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D01D" w14:textId="03EB1A29" w:rsidR="00965311" w:rsidRPr="008D4276" w:rsidRDefault="00965311" w:rsidP="00965311">
      <w:pPr>
        <w:rPr>
          <w:rFonts w:asciiTheme="majorHAnsi" w:hAnsiTheme="majorHAnsi" w:cstheme="minorHAnsi"/>
          <w:lang w:eastAsia="ko-KR"/>
        </w:rPr>
      </w:pPr>
      <w:r w:rsidRPr="008D4276">
        <w:rPr>
          <w:rFonts w:asciiTheme="majorHAnsi" w:eastAsia="Malgun Gothic" w:hAnsiTheme="majorHAnsi" w:cs="Arial" w:hint="eastAsia"/>
        </w:rPr>
        <w:t>▼</w:t>
      </w:r>
      <w:r w:rsidRPr="008D4276">
        <w:rPr>
          <w:rFonts w:asciiTheme="majorHAnsi" w:hAnsiTheme="majorHAnsi" w:cstheme="minorHAnsi"/>
        </w:rPr>
        <w:t>This medicinal product is subject to additional monitoring in Australia due to provisional approval of an extension of indications. This will allow quick identification of new safety information. Healthcare professionals are asked to report any suspected adverse events at</w:t>
      </w:r>
      <w:r w:rsidR="00A87D35" w:rsidRPr="008D4276">
        <w:rPr>
          <w:rFonts w:asciiTheme="majorHAnsi" w:hAnsiTheme="majorHAnsi" w:cstheme="minorHAnsi"/>
          <w:lang w:eastAsia="ko-KR"/>
        </w:rPr>
        <w:t xml:space="preserve">   </w:t>
      </w:r>
      <w:hyperlink r:id="rId11" w:history="1">
        <w:r w:rsidR="00A87D35" w:rsidRPr="008D4276">
          <w:rPr>
            <w:rStyle w:val="Hyperlink"/>
            <w:rFonts w:asciiTheme="majorHAnsi" w:hAnsiTheme="majorHAnsi" w:cstheme="minorHAnsi"/>
          </w:rPr>
          <w:t>https://www.tga.gov.au/reporting-problems</w:t>
        </w:r>
      </w:hyperlink>
      <w:r w:rsidR="00A87D35" w:rsidRPr="008D4276">
        <w:rPr>
          <w:rFonts w:asciiTheme="majorHAnsi" w:hAnsiTheme="majorHAnsi" w:cstheme="minorHAnsi"/>
          <w:lang w:eastAsia="ko-KR"/>
        </w:rPr>
        <w:t>.</w:t>
      </w:r>
    </w:p>
    <w:p w14:paraId="1AA778A4" w14:textId="6D573B62" w:rsidR="004032BD" w:rsidRPr="008D4276" w:rsidRDefault="004032BD" w:rsidP="00965311">
      <w:pPr>
        <w:pStyle w:val="Heading1"/>
        <w:numPr>
          <w:ilvl w:val="0"/>
          <w:numId w:val="0"/>
        </w:numPr>
        <w:rPr>
          <w:rFonts w:eastAsia="SimSun" w:cs="Calibri"/>
        </w:rPr>
      </w:pPr>
      <w:r w:rsidRPr="008D4276">
        <w:rPr>
          <w:rFonts w:eastAsia="SimSun" w:cs="Calibri"/>
        </w:rPr>
        <w:t>Australian P</w:t>
      </w:r>
      <w:r w:rsidR="00677840" w:rsidRPr="008D4276">
        <w:rPr>
          <w:rFonts w:eastAsia="SimSun" w:cs="Calibri"/>
        </w:rPr>
        <w:t xml:space="preserve">roduct </w:t>
      </w:r>
      <w:r w:rsidRPr="008D4276">
        <w:rPr>
          <w:rFonts w:eastAsia="SimSun" w:cs="Calibri"/>
        </w:rPr>
        <w:t>I</w:t>
      </w:r>
      <w:r w:rsidR="00677840" w:rsidRPr="008D4276">
        <w:rPr>
          <w:rFonts w:eastAsia="SimSun" w:cs="Calibri"/>
        </w:rPr>
        <w:t>nformation</w:t>
      </w:r>
      <w:r w:rsidRPr="008D4276">
        <w:rPr>
          <w:rFonts w:eastAsia="SimSun" w:cs="Calibri"/>
        </w:rPr>
        <w:t xml:space="preserve"> – </w:t>
      </w:r>
      <w:r w:rsidR="00D054F7" w:rsidRPr="008D4276">
        <w:rPr>
          <w:rFonts w:eastAsia="SimSun" w:cs="Calibri"/>
        </w:rPr>
        <w:t>avtozma</w:t>
      </w:r>
      <w:r w:rsidR="00D054F7" w:rsidRPr="008D4276">
        <w:rPr>
          <w:rFonts w:eastAsia="SimSun" w:cs="Calibri"/>
          <w:vertAlign w:val="superscript"/>
        </w:rPr>
        <w:t>®</w:t>
      </w:r>
      <w:r w:rsidR="007E693C" w:rsidRPr="008D4276">
        <w:rPr>
          <w:rFonts w:eastAsia="SimSun" w:cs="Calibri"/>
        </w:rPr>
        <w:t xml:space="preserve"> </w:t>
      </w:r>
      <w:r w:rsidRPr="008D4276">
        <w:rPr>
          <w:rFonts w:eastAsia="SimSun" w:cs="Calibri"/>
        </w:rPr>
        <w:t>(</w:t>
      </w:r>
      <w:r w:rsidR="00D054F7" w:rsidRPr="008D4276">
        <w:rPr>
          <w:rFonts w:eastAsia="SimSun" w:cs="Calibri"/>
        </w:rPr>
        <w:t>tocilizumab</w:t>
      </w:r>
      <w:r w:rsidRPr="008D4276">
        <w:rPr>
          <w:rFonts w:eastAsia="SimSun" w:cs="Calibri"/>
        </w:rPr>
        <w:t>)</w:t>
      </w:r>
      <w:r w:rsidR="00497C85" w:rsidRPr="008D4276">
        <w:rPr>
          <w:rFonts w:eastAsia="SimSun" w:cs="Calibri"/>
        </w:rPr>
        <w:t xml:space="preserve"> </w:t>
      </w:r>
    </w:p>
    <w:p w14:paraId="289711FF" w14:textId="77777777" w:rsidR="00965311" w:rsidRPr="008D4276" w:rsidRDefault="00965311" w:rsidP="004D6592">
      <w:pPr>
        <w:rPr>
          <w:rFonts w:asciiTheme="majorHAnsi" w:hAnsiTheme="majorHAnsi"/>
        </w:rPr>
      </w:pPr>
    </w:p>
    <w:p w14:paraId="25CBE4FA" w14:textId="77777777" w:rsidR="001A3992" w:rsidRPr="008D4276" w:rsidRDefault="001A3992" w:rsidP="00DF5E99">
      <w:pPr>
        <w:pStyle w:val="Heading1"/>
        <w:rPr>
          <w:rFonts w:cs="Calibri"/>
        </w:rPr>
      </w:pPr>
      <w:r w:rsidRPr="008D4276">
        <w:rPr>
          <w:rFonts w:cs="Calibri"/>
        </w:rPr>
        <w:t>Name of the medicine</w:t>
      </w:r>
    </w:p>
    <w:p w14:paraId="131DB442" w14:textId="78842ADE" w:rsidR="00980BEE" w:rsidRPr="008D4276" w:rsidRDefault="00980BEE" w:rsidP="00980BEE">
      <w:pPr>
        <w:rPr>
          <w:rFonts w:asciiTheme="majorHAnsi" w:hAnsiTheme="majorHAnsi" w:cstheme="minorHAnsi"/>
        </w:rPr>
      </w:pPr>
      <w:r w:rsidRPr="008D4276">
        <w:rPr>
          <w:rFonts w:asciiTheme="majorHAnsi" w:hAnsiTheme="majorHAnsi" w:cstheme="minorHAnsi"/>
        </w:rPr>
        <w:t>Tocilizumab</w:t>
      </w:r>
      <w:r w:rsidR="00D054F7" w:rsidRPr="008D4276">
        <w:rPr>
          <w:rFonts w:asciiTheme="majorHAnsi" w:hAnsiTheme="majorHAnsi" w:cstheme="minorHAnsi"/>
        </w:rPr>
        <w:t xml:space="preserve"> (rch)</w:t>
      </w:r>
    </w:p>
    <w:p w14:paraId="32B465FA" w14:textId="56656EBB" w:rsidR="00D054F7" w:rsidRPr="008D4276" w:rsidRDefault="00D054F7" w:rsidP="00980BEE">
      <w:pPr>
        <w:rPr>
          <w:rFonts w:asciiTheme="majorHAnsi" w:hAnsiTheme="majorHAnsi" w:cstheme="minorHAnsi"/>
        </w:rPr>
      </w:pPr>
      <w:r w:rsidRPr="008D4276">
        <w:rPr>
          <w:rFonts w:asciiTheme="majorHAnsi" w:hAnsiTheme="majorHAnsi" w:cstheme="minorHAnsi"/>
          <w:spacing w:val="-1"/>
        </w:rPr>
        <w:t>AVTOZMA (tocilizumab) (rch) is a biosimilar medicine to ACTEMRA (tocilizumab). The comparability of AVTOZMA with ACTEMRA has been demonstrated with regard to physicochemical characteristics and efficacy and safety outcomes [see section 5.1 Pharmacodynamic properties, Clinical trials and 4.8 Adverse effects (Undesirable effects)]. The evidence for comparability supports the use of AVTOZMA for the listed indications.</w:t>
      </w:r>
    </w:p>
    <w:p w14:paraId="1A1C038B" w14:textId="77777777" w:rsidR="001A3992" w:rsidRPr="008D4276" w:rsidRDefault="001A3992" w:rsidP="001A3992">
      <w:pPr>
        <w:pStyle w:val="Heading1"/>
        <w:rPr>
          <w:rFonts w:cs="Calibri"/>
        </w:rPr>
      </w:pPr>
      <w:r w:rsidRPr="008D4276">
        <w:rPr>
          <w:rFonts w:cs="Calibri"/>
        </w:rPr>
        <w:t>Qualitative and quantitative composition</w:t>
      </w:r>
    </w:p>
    <w:p w14:paraId="160C8724" w14:textId="468E0A0C" w:rsidR="00980BEE" w:rsidRPr="008D4276" w:rsidRDefault="00D054F7" w:rsidP="00980BEE">
      <w:pPr>
        <w:rPr>
          <w:rFonts w:asciiTheme="majorHAnsi" w:hAnsiTheme="majorHAnsi" w:cstheme="minorHAnsi"/>
        </w:rPr>
      </w:pPr>
      <w:r w:rsidRPr="008D4276">
        <w:rPr>
          <w:rFonts w:asciiTheme="majorHAnsi" w:hAnsiTheme="majorHAnsi" w:cstheme="minorHAnsi"/>
        </w:rPr>
        <w:t>A</w:t>
      </w:r>
      <w:r w:rsidR="00190DC9" w:rsidRPr="008D4276">
        <w:rPr>
          <w:rFonts w:asciiTheme="majorHAnsi" w:hAnsiTheme="majorHAnsi" w:cstheme="minorHAnsi"/>
        </w:rPr>
        <w:t>vtozma</w:t>
      </w:r>
      <w:r w:rsidRPr="008D4276">
        <w:rPr>
          <w:rFonts w:asciiTheme="majorHAnsi" w:hAnsiTheme="majorHAnsi" w:cstheme="minorHAnsi"/>
        </w:rPr>
        <w:t xml:space="preserve"> </w:t>
      </w:r>
      <w:r w:rsidR="00980BEE" w:rsidRPr="008D4276">
        <w:rPr>
          <w:rFonts w:asciiTheme="majorHAnsi" w:hAnsiTheme="majorHAnsi" w:cstheme="minorHAnsi"/>
        </w:rPr>
        <w:t>80 mg/ 4 mL concentrate solution for intravenous infusion vial contains 80 mg tocilizumab</w:t>
      </w:r>
    </w:p>
    <w:p w14:paraId="79A93BD4" w14:textId="57AFFEA4" w:rsidR="00980BEE" w:rsidRPr="008D4276" w:rsidRDefault="00190DC9" w:rsidP="00980BEE">
      <w:pPr>
        <w:rPr>
          <w:rFonts w:asciiTheme="majorHAnsi" w:hAnsiTheme="majorHAnsi" w:cstheme="minorHAnsi"/>
        </w:rPr>
      </w:pPr>
      <w:r w:rsidRPr="008D4276">
        <w:rPr>
          <w:rFonts w:asciiTheme="majorHAnsi" w:hAnsiTheme="majorHAnsi" w:cstheme="minorHAnsi"/>
        </w:rPr>
        <w:t>Avtozma</w:t>
      </w:r>
      <w:r w:rsidRPr="008D4276" w:rsidDel="00190DC9">
        <w:rPr>
          <w:rFonts w:asciiTheme="majorHAnsi" w:hAnsiTheme="majorHAnsi" w:cstheme="minorHAnsi"/>
        </w:rPr>
        <w:t xml:space="preserve"> </w:t>
      </w:r>
      <w:r w:rsidR="00980BEE" w:rsidRPr="008D4276">
        <w:rPr>
          <w:rFonts w:asciiTheme="majorHAnsi" w:hAnsiTheme="majorHAnsi" w:cstheme="minorHAnsi"/>
        </w:rPr>
        <w:t>200 mg/ 10 mL concentrate solution for intravenous infusion vial contains 200 mg tocilizumab</w:t>
      </w:r>
    </w:p>
    <w:p w14:paraId="6C69265B" w14:textId="540FEE12" w:rsidR="00980BEE" w:rsidRPr="008D4276" w:rsidRDefault="00190DC9" w:rsidP="00980BEE">
      <w:pPr>
        <w:rPr>
          <w:rFonts w:asciiTheme="majorHAnsi" w:hAnsiTheme="majorHAnsi" w:cstheme="minorHAnsi"/>
        </w:rPr>
      </w:pPr>
      <w:r w:rsidRPr="008D4276">
        <w:rPr>
          <w:rFonts w:asciiTheme="majorHAnsi" w:hAnsiTheme="majorHAnsi" w:cstheme="minorHAnsi"/>
        </w:rPr>
        <w:t>Avtozma</w:t>
      </w:r>
      <w:r w:rsidRPr="008D4276" w:rsidDel="00190DC9">
        <w:rPr>
          <w:rFonts w:asciiTheme="majorHAnsi" w:hAnsiTheme="majorHAnsi" w:cstheme="minorHAnsi"/>
        </w:rPr>
        <w:t xml:space="preserve"> </w:t>
      </w:r>
      <w:r w:rsidR="00980BEE" w:rsidRPr="008D4276">
        <w:rPr>
          <w:rFonts w:asciiTheme="majorHAnsi" w:hAnsiTheme="majorHAnsi" w:cstheme="minorHAnsi"/>
        </w:rPr>
        <w:t>400 mg/ 20 mL concentrate solution for intravenous infusion vial contains 400 mg tocilizumab</w:t>
      </w:r>
    </w:p>
    <w:p w14:paraId="661EE733" w14:textId="151A0565" w:rsidR="00980BEE" w:rsidRPr="008D4276" w:rsidRDefault="00190DC9" w:rsidP="00980BEE">
      <w:pPr>
        <w:rPr>
          <w:rFonts w:asciiTheme="majorHAnsi" w:hAnsiTheme="majorHAnsi" w:cstheme="minorHAnsi"/>
        </w:rPr>
      </w:pPr>
      <w:r w:rsidRPr="008D4276">
        <w:rPr>
          <w:rFonts w:asciiTheme="majorHAnsi" w:hAnsiTheme="majorHAnsi" w:cstheme="minorHAnsi"/>
        </w:rPr>
        <w:t>Avtozma</w:t>
      </w:r>
      <w:r w:rsidRPr="008D4276" w:rsidDel="00190DC9">
        <w:rPr>
          <w:rFonts w:asciiTheme="majorHAnsi" w:hAnsiTheme="majorHAnsi" w:cstheme="minorHAnsi"/>
        </w:rPr>
        <w:t xml:space="preserve"> </w:t>
      </w:r>
      <w:r w:rsidR="00980BEE" w:rsidRPr="008D4276">
        <w:rPr>
          <w:rFonts w:asciiTheme="majorHAnsi" w:hAnsiTheme="majorHAnsi" w:cstheme="minorHAnsi"/>
        </w:rPr>
        <w:t>162 mg/ 0.9 mL solution for subcutaneous (SC) injection contains 162 mg tocilizumab</w:t>
      </w:r>
    </w:p>
    <w:p w14:paraId="185CCC56" w14:textId="77777777" w:rsidR="003E25C3" w:rsidRPr="008D4276" w:rsidRDefault="00980BEE" w:rsidP="004D6592">
      <w:pPr>
        <w:pStyle w:val="Heading4"/>
        <w:rPr>
          <w:rFonts w:asciiTheme="majorHAnsi" w:hAnsiTheme="majorHAnsi"/>
        </w:rPr>
      </w:pPr>
      <w:r w:rsidRPr="008D4276">
        <w:rPr>
          <w:rFonts w:asciiTheme="majorHAnsi" w:hAnsiTheme="majorHAnsi"/>
        </w:rPr>
        <w:t>Excipients with known effect</w:t>
      </w:r>
    </w:p>
    <w:p w14:paraId="0896DEE4" w14:textId="18A2BED5" w:rsidR="00980BEE" w:rsidRPr="008D4276" w:rsidRDefault="00190DC9" w:rsidP="00980BEE">
      <w:pPr>
        <w:rPr>
          <w:rFonts w:asciiTheme="majorHAnsi" w:hAnsiTheme="majorHAnsi" w:cstheme="minorHAnsi"/>
        </w:rPr>
      </w:pPr>
      <w:r w:rsidRPr="008D4276">
        <w:rPr>
          <w:rFonts w:asciiTheme="majorHAnsi" w:hAnsiTheme="majorHAnsi" w:cstheme="minorHAnsi"/>
        </w:rPr>
        <w:t>Avtozma</w:t>
      </w:r>
      <w:r w:rsidR="00980BEE" w:rsidRPr="008D4276">
        <w:rPr>
          <w:rFonts w:asciiTheme="majorHAnsi" w:hAnsiTheme="majorHAnsi" w:cstheme="minorHAnsi"/>
        </w:rPr>
        <w:t xml:space="preserve"> concentrated solution for intravenous infusion contains sodium.</w:t>
      </w:r>
    </w:p>
    <w:p w14:paraId="3FC0B23B" w14:textId="019D3F6D" w:rsidR="00497C85" w:rsidRPr="008D4276" w:rsidRDefault="00497C85" w:rsidP="00497C85">
      <w:pPr>
        <w:rPr>
          <w:rFonts w:asciiTheme="majorHAnsi" w:hAnsiTheme="majorHAnsi" w:cstheme="minorHAnsi"/>
        </w:rPr>
      </w:pPr>
      <w:r w:rsidRPr="008D4276">
        <w:rPr>
          <w:rFonts w:asciiTheme="majorHAnsi" w:hAnsiTheme="majorHAnsi" w:cstheme="minorHAnsi"/>
        </w:rPr>
        <w:t>For the full list of excipients, see Section 6.1 List of excipients.</w:t>
      </w:r>
    </w:p>
    <w:p w14:paraId="5E8246E4" w14:textId="77777777" w:rsidR="001A3992" w:rsidRPr="008D4276" w:rsidRDefault="001A3992" w:rsidP="001A3992">
      <w:pPr>
        <w:pStyle w:val="Heading1"/>
        <w:rPr>
          <w:rFonts w:cs="Calibri"/>
        </w:rPr>
      </w:pPr>
      <w:r w:rsidRPr="008D4276">
        <w:rPr>
          <w:rFonts w:cs="Calibri"/>
        </w:rPr>
        <w:t>Pharmaceutical form</w:t>
      </w:r>
    </w:p>
    <w:p w14:paraId="6B4CE1D0" w14:textId="77777777" w:rsidR="003E25C3" w:rsidRPr="008D4276" w:rsidRDefault="003E25C3" w:rsidP="003E25C3">
      <w:pPr>
        <w:pStyle w:val="Heading3"/>
        <w:rPr>
          <w:rFonts w:cs="Calibri"/>
        </w:rPr>
      </w:pPr>
      <w:r w:rsidRPr="008D4276">
        <w:rPr>
          <w:rFonts w:cs="Calibri"/>
        </w:rPr>
        <w:t>Concentrated solution for intravenous infusion</w:t>
      </w:r>
    </w:p>
    <w:p w14:paraId="7F7FE64A" w14:textId="5C14BE03" w:rsidR="003E25C3" w:rsidRPr="008D4276" w:rsidRDefault="00190DC9" w:rsidP="003E25C3">
      <w:pPr>
        <w:rPr>
          <w:rFonts w:asciiTheme="majorHAnsi" w:hAnsiTheme="majorHAnsi" w:cstheme="minorHAnsi"/>
        </w:rPr>
      </w:pPr>
      <w:r w:rsidRPr="008D4276">
        <w:rPr>
          <w:rFonts w:asciiTheme="majorHAnsi" w:hAnsiTheme="majorHAnsi" w:cstheme="minorHAnsi"/>
        </w:rPr>
        <w:t>Avtozma</w:t>
      </w:r>
      <w:r w:rsidRPr="008D4276" w:rsidDel="00190DC9">
        <w:rPr>
          <w:rFonts w:asciiTheme="majorHAnsi" w:hAnsiTheme="majorHAnsi" w:cstheme="minorHAnsi"/>
        </w:rPr>
        <w:t xml:space="preserve"> </w:t>
      </w:r>
      <w:r w:rsidR="003E25C3" w:rsidRPr="008D4276">
        <w:rPr>
          <w:rFonts w:asciiTheme="majorHAnsi" w:hAnsiTheme="majorHAnsi" w:cstheme="minorHAnsi"/>
        </w:rPr>
        <w:t>concentrated solution for intravenous (IV) infusion is a clear to</w:t>
      </w:r>
      <w:r w:rsidR="00D054F7" w:rsidRPr="008D4276">
        <w:rPr>
          <w:rFonts w:asciiTheme="majorHAnsi" w:hAnsiTheme="majorHAnsi" w:cstheme="minorHAnsi"/>
        </w:rPr>
        <w:t xml:space="preserve"> slightly</w:t>
      </w:r>
      <w:r w:rsidR="003E25C3" w:rsidRPr="008D4276">
        <w:rPr>
          <w:rFonts w:asciiTheme="majorHAnsi" w:hAnsiTheme="majorHAnsi" w:cstheme="minorHAnsi"/>
        </w:rPr>
        <w:t xml:space="preserve"> opalescent, colourless to pale yellow sterile solution</w:t>
      </w:r>
      <w:r w:rsidR="004D6592" w:rsidRPr="008D4276">
        <w:rPr>
          <w:rFonts w:asciiTheme="majorHAnsi" w:hAnsiTheme="majorHAnsi" w:cstheme="minorHAnsi"/>
        </w:rPr>
        <w:t>.</w:t>
      </w:r>
    </w:p>
    <w:p w14:paraId="68B29D4A" w14:textId="77777777" w:rsidR="003E25C3" w:rsidRPr="008D4276" w:rsidRDefault="003E25C3" w:rsidP="003E25C3">
      <w:pPr>
        <w:pStyle w:val="Heading3"/>
        <w:rPr>
          <w:rFonts w:cs="Calibri"/>
        </w:rPr>
      </w:pPr>
      <w:r w:rsidRPr="008D4276">
        <w:rPr>
          <w:rFonts w:cs="Calibri"/>
        </w:rPr>
        <w:t>Solution for subcutaneous injection</w:t>
      </w:r>
    </w:p>
    <w:p w14:paraId="333DAAA2" w14:textId="5C575E81" w:rsidR="003E25C3" w:rsidRPr="008D4276" w:rsidRDefault="00190DC9" w:rsidP="003E25C3">
      <w:pPr>
        <w:rPr>
          <w:rFonts w:asciiTheme="majorHAnsi" w:hAnsiTheme="majorHAnsi" w:cstheme="minorHAnsi"/>
        </w:rPr>
      </w:pPr>
      <w:r w:rsidRPr="008D4276">
        <w:rPr>
          <w:rFonts w:asciiTheme="majorHAnsi" w:hAnsiTheme="majorHAnsi" w:cstheme="minorHAnsi"/>
        </w:rPr>
        <w:t>Avtozma</w:t>
      </w:r>
      <w:r w:rsidR="00D054F7" w:rsidRPr="008D4276" w:rsidDel="00D054F7">
        <w:rPr>
          <w:rFonts w:asciiTheme="majorHAnsi" w:hAnsiTheme="majorHAnsi" w:cstheme="minorHAnsi"/>
        </w:rPr>
        <w:t xml:space="preserve"> </w:t>
      </w:r>
      <w:r w:rsidR="003E25C3" w:rsidRPr="008D4276">
        <w:rPr>
          <w:rFonts w:asciiTheme="majorHAnsi" w:hAnsiTheme="majorHAnsi" w:cstheme="minorHAnsi"/>
        </w:rPr>
        <w:t xml:space="preserve">solution for subcutaneous (SC) injection is a clear to </w:t>
      </w:r>
      <w:r w:rsidR="00301D05" w:rsidRPr="008D4276">
        <w:rPr>
          <w:rFonts w:asciiTheme="majorHAnsi" w:hAnsiTheme="majorHAnsi" w:cstheme="minorHAnsi"/>
          <w:lang w:eastAsia="ko-KR"/>
        </w:rPr>
        <w:t xml:space="preserve"> </w:t>
      </w:r>
      <w:r w:rsidR="00301D05" w:rsidRPr="008D4276">
        <w:rPr>
          <w:rFonts w:asciiTheme="majorHAnsi" w:hAnsiTheme="majorHAnsi" w:cstheme="minorHAnsi"/>
        </w:rPr>
        <w:t xml:space="preserve">slightly </w:t>
      </w:r>
      <w:r w:rsidR="003E25C3" w:rsidRPr="008D4276">
        <w:rPr>
          <w:rFonts w:asciiTheme="majorHAnsi" w:hAnsiTheme="majorHAnsi" w:cstheme="minorHAnsi"/>
        </w:rPr>
        <w:t>opalescent, colourless to yellowish sterile solution</w:t>
      </w:r>
      <w:r w:rsidR="004D6592" w:rsidRPr="008D4276">
        <w:rPr>
          <w:rFonts w:asciiTheme="majorHAnsi" w:hAnsiTheme="majorHAnsi" w:cstheme="minorHAnsi"/>
        </w:rPr>
        <w:t>.</w:t>
      </w:r>
    </w:p>
    <w:p w14:paraId="46E68147" w14:textId="77777777" w:rsidR="001A3992" w:rsidRPr="008D4276" w:rsidRDefault="001A3992" w:rsidP="001A3992">
      <w:pPr>
        <w:pStyle w:val="Heading1"/>
        <w:rPr>
          <w:rFonts w:cs="Calibri"/>
        </w:rPr>
      </w:pPr>
      <w:r w:rsidRPr="008D4276">
        <w:rPr>
          <w:rFonts w:cs="Calibri"/>
        </w:rPr>
        <w:t>Clinical particulars</w:t>
      </w:r>
    </w:p>
    <w:p w14:paraId="13FA6294" w14:textId="77777777" w:rsidR="001A3992" w:rsidRPr="008D4276" w:rsidRDefault="001A3992" w:rsidP="001A3992">
      <w:pPr>
        <w:pStyle w:val="Heading2"/>
        <w:spacing w:before="0"/>
        <w:rPr>
          <w:rFonts w:cs="Calibri"/>
        </w:rPr>
      </w:pPr>
      <w:r w:rsidRPr="008D4276">
        <w:rPr>
          <w:rFonts w:cs="Calibri"/>
        </w:rPr>
        <w:t xml:space="preserve">Therapeutic indications </w:t>
      </w:r>
    </w:p>
    <w:p w14:paraId="48A86DC3" w14:textId="77777777" w:rsidR="003E25C3" w:rsidRPr="008D4276" w:rsidRDefault="003E25C3" w:rsidP="003E25C3">
      <w:pPr>
        <w:pStyle w:val="Heading3"/>
        <w:rPr>
          <w:rFonts w:cs="Calibri"/>
        </w:rPr>
      </w:pPr>
      <w:r w:rsidRPr="008D4276">
        <w:rPr>
          <w:rFonts w:cs="Calibri"/>
        </w:rPr>
        <w:lastRenderedPageBreak/>
        <w:t>Rheumatoid Arthritis (IV and SC formulations)</w:t>
      </w:r>
    </w:p>
    <w:p w14:paraId="3F233814" w14:textId="1ED16FC1"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003E25C3" w:rsidRPr="008D4276">
        <w:rPr>
          <w:rFonts w:asciiTheme="majorHAnsi" w:hAnsiTheme="majorHAnsi" w:cstheme="minorHAnsi"/>
        </w:rPr>
        <w:t xml:space="preserve"> is indicated for the treatment of moderate to severe active rheumatoid arthritis (RA) in adult patients in combination with methotrexate (MTX) or other non-biological disease- modifying anti-rheumatic drugs (DMARDs) in case of either an inadequate response or intolerance to previous therapy with one or more DMARDs.</w:t>
      </w:r>
    </w:p>
    <w:p w14:paraId="6A9A7983" w14:textId="4B5044BB"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is indicated for the treatment of moderate to severe active rheumatoid arthritis in adult patients with poor prognostic factors (see section 5.1 Pharmacodynamic Properties, Clinical Trials) in combination with MTX in those not previously treated with MTX.</w:t>
      </w:r>
    </w:p>
    <w:p w14:paraId="43347D51" w14:textId="61699C50" w:rsidR="003E25C3" w:rsidRPr="008D4276" w:rsidRDefault="003E25C3" w:rsidP="003E25C3">
      <w:pPr>
        <w:rPr>
          <w:rFonts w:asciiTheme="majorHAnsi" w:hAnsiTheme="majorHAnsi" w:cstheme="minorHAnsi"/>
        </w:rPr>
      </w:pPr>
      <w:r w:rsidRPr="008D4276">
        <w:rPr>
          <w:rFonts w:asciiTheme="majorHAnsi" w:hAnsiTheme="majorHAnsi" w:cstheme="minorHAnsi"/>
        </w:rPr>
        <w:t xml:space="preserve">In the two groups of patients above, </w:t>
      </w:r>
      <w:r w:rsidR="00861784" w:rsidRPr="008D4276">
        <w:rPr>
          <w:rFonts w:asciiTheme="majorHAnsi" w:hAnsiTheme="majorHAnsi" w:cstheme="minorHAnsi"/>
        </w:rPr>
        <w:t>Avtozma</w:t>
      </w:r>
      <w:r w:rsidR="00861784" w:rsidRPr="008D4276" w:rsidDel="00861784">
        <w:rPr>
          <w:rFonts w:asciiTheme="majorHAnsi" w:hAnsiTheme="majorHAnsi" w:cstheme="minorHAnsi"/>
        </w:rPr>
        <w:t xml:space="preserve"> </w:t>
      </w:r>
      <w:r w:rsidRPr="008D4276">
        <w:rPr>
          <w:rFonts w:asciiTheme="majorHAnsi" w:hAnsiTheme="majorHAnsi" w:cstheme="minorHAnsi"/>
        </w:rPr>
        <w:t xml:space="preserve"> can be given as monotherapy in case of intolerance to MTX or where continued treatment with MTX is inappropriate.</w:t>
      </w:r>
    </w:p>
    <w:p w14:paraId="4FB86763" w14:textId="2B9E95DC"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 xml:space="preserve"> has been shown to inhibit the progression of joint damage in adults, as measured by X-ray, when given in combination with methotrexate.</w:t>
      </w:r>
    </w:p>
    <w:p w14:paraId="70632E6F" w14:textId="77777777" w:rsidR="003E25C3" w:rsidRPr="008D4276" w:rsidRDefault="003E25C3" w:rsidP="003E25C3">
      <w:pPr>
        <w:pStyle w:val="Heading3"/>
        <w:rPr>
          <w:rFonts w:cs="Calibri"/>
        </w:rPr>
      </w:pPr>
      <w:r w:rsidRPr="008D4276">
        <w:rPr>
          <w:rFonts w:cs="Calibri"/>
        </w:rPr>
        <w:t>Giant Cell Arteritis (SC formulations only)</w:t>
      </w:r>
    </w:p>
    <w:p w14:paraId="27F940A0" w14:textId="7DE7E8DE"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 xml:space="preserve"> is indicated for the treatment of giant cell arteritis (GCA) in adult patients.</w:t>
      </w:r>
    </w:p>
    <w:p w14:paraId="20310DF9" w14:textId="77777777" w:rsidR="003E25C3" w:rsidRPr="008D4276" w:rsidRDefault="003E25C3" w:rsidP="003E25C3">
      <w:pPr>
        <w:pStyle w:val="Heading3"/>
        <w:rPr>
          <w:rFonts w:cs="Calibri"/>
        </w:rPr>
      </w:pPr>
      <w:r w:rsidRPr="008D4276">
        <w:rPr>
          <w:rFonts w:cs="Calibri"/>
        </w:rPr>
        <w:t>Coronavirus disease 2019 (COVID-19) (IV formulation only)</w:t>
      </w:r>
    </w:p>
    <w:p w14:paraId="14F1C6C0" w14:textId="44DD8595"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 xml:space="preserve"> has provisional approval for the treatment of coronavirus disease 2019 (COVID-19) in hospitalised adults who are receiving systemic corticosteroids and require supplemental oxygen or mechanical ventilation.</w:t>
      </w:r>
    </w:p>
    <w:p w14:paraId="40EC8BDB" w14:textId="0B3A0019" w:rsidR="000524CC" w:rsidRPr="008D4276" w:rsidRDefault="003E25C3" w:rsidP="003E25C3">
      <w:pPr>
        <w:rPr>
          <w:rFonts w:asciiTheme="majorHAnsi" w:hAnsiTheme="majorHAnsi" w:cstheme="minorHAnsi"/>
          <w:lang w:eastAsia="ko-KR"/>
        </w:rPr>
      </w:pPr>
      <w:r w:rsidRPr="008D4276">
        <w:rPr>
          <w:rFonts w:asciiTheme="majorHAnsi" w:hAnsiTheme="majorHAnsi" w:cstheme="minorHAnsi"/>
        </w:rPr>
        <w:t>Provisional approval has been made on the basis of short-term efficacy and safety data. Continued approval depends on the evidence of longer-term efficacy and safety from ongoing clinical trials and post-market assessment.</w:t>
      </w:r>
    </w:p>
    <w:p w14:paraId="378AAED5" w14:textId="77777777" w:rsidR="003E25C3" w:rsidRPr="008D4276" w:rsidRDefault="003E25C3" w:rsidP="003E25C3">
      <w:pPr>
        <w:pStyle w:val="Heading3"/>
        <w:rPr>
          <w:rFonts w:cs="Calibri"/>
        </w:rPr>
      </w:pPr>
      <w:r w:rsidRPr="008D4276">
        <w:rPr>
          <w:rFonts w:cs="Calibri"/>
        </w:rPr>
        <w:t>Polyarticular Juvenile Idiopathic Arthritis (IV and SC formulations)</w:t>
      </w:r>
    </w:p>
    <w:p w14:paraId="5E61EC28" w14:textId="30DBBBF9"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 xml:space="preserve">is indicated for the treatment of moderate to severe active polyarticular juvenile idiopathic arthritis in patients 2 years of age and older who have had an inadequate response to or intolerance to methotrexate (MTX). </w:t>
      </w:r>
      <w:r w:rsidRPr="008D4276">
        <w:rPr>
          <w:rFonts w:asciiTheme="majorHAnsi" w:hAnsiTheme="majorHAnsi" w:cstheme="minorHAnsi"/>
        </w:rPr>
        <w:t>Avtozma</w:t>
      </w:r>
      <w:r w:rsidR="003E25C3" w:rsidRPr="008D4276">
        <w:rPr>
          <w:rFonts w:asciiTheme="majorHAnsi" w:hAnsiTheme="majorHAnsi" w:cstheme="minorHAnsi"/>
        </w:rPr>
        <w:t xml:space="preserve"> can be given alone or in combination with MTX.</w:t>
      </w:r>
    </w:p>
    <w:p w14:paraId="6DAD9F02" w14:textId="77777777" w:rsidR="003E25C3" w:rsidRPr="008D4276" w:rsidRDefault="003E25C3" w:rsidP="003E25C3">
      <w:pPr>
        <w:pStyle w:val="Heading3"/>
        <w:rPr>
          <w:rFonts w:cs="Calibri"/>
        </w:rPr>
      </w:pPr>
      <w:r w:rsidRPr="008D4276">
        <w:rPr>
          <w:rFonts w:cs="Calibri"/>
        </w:rPr>
        <w:t>Systemic Juvenile Idiopathic Arthritis (IV and SC formulations)</w:t>
      </w:r>
    </w:p>
    <w:p w14:paraId="38B9FFD2" w14:textId="77777777" w:rsidR="003E25C3" w:rsidRPr="008D4276" w:rsidRDefault="003E25C3" w:rsidP="004D6592">
      <w:pPr>
        <w:pStyle w:val="Heading4"/>
        <w:rPr>
          <w:rFonts w:asciiTheme="majorHAnsi" w:hAnsiTheme="majorHAnsi"/>
        </w:rPr>
      </w:pPr>
      <w:r w:rsidRPr="008D4276">
        <w:rPr>
          <w:rFonts w:asciiTheme="majorHAnsi" w:hAnsiTheme="majorHAnsi"/>
        </w:rPr>
        <w:t>Intravenous formulation</w:t>
      </w:r>
    </w:p>
    <w:p w14:paraId="5297EAF0" w14:textId="084F03CA"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00040287" w:rsidRPr="008D4276">
        <w:rPr>
          <w:rFonts w:asciiTheme="majorHAnsi" w:hAnsiTheme="majorHAnsi" w:cstheme="minorHAnsi"/>
        </w:rPr>
        <w:t xml:space="preserve"> </w:t>
      </w:r>
      <w:r w:rsidR="003E25C3" w:rsidRPr="008D4276">
        <w:rPr>
          <w:rFonts w:asciiTheme="majorHAnsi" w:hAnsiTheme="majorHAnsi" w:cstheme="minorHAnsi"/>
        </w:rPr>
        <w:t>is indicated for the treatment of active systemic juvenile idiopathic arthritis in patients 2 years of age and older.</w:t>
      </w:r>
    </w:p>
    <w:p w14:paraId="291CD640" w14:textId="77777777" w:rsidR="003E25C3" w:rsidRPr="008D4276" w:rsidRDefault="003E25C3" w:rsidP="004D6592">
      <w:pPr>
        <w:pStyle w:val="Heading4"/>
        <w:rPr>
          <w:rFonts w:asciiTheme="majorHAnsi" w:hAnsiTheme="majorHAnsi"/>
        </w:rPr>
      </w:pPr>
      <w:r w:rsidRPr="008D4276">
        <w:rPr>
          <w:rFonts w:asciiTheme="majorHAnsi" w:hAnsiTheme="majorHAnsi"/>
        </w:rPr>
        <w:t>Subcutaneous formulation</w:t>
      </w:r>
    </w:p>
    <w:p w14:paraId="52541FA7" w14:textId="751362FC"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is indicated for the treatment of active systemic juvenile idiopathic arthritis in patients 1 year of age and older.</w:t>
      </w:r>
    </w:p>
    <w:p w14:paraId="004F31AC" w14:textId="03C952F7"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IV and SC can be given alone or in combination with methotrexate (MTX).</w:t>
      </w:r>
    </w:p>
    <w:p w14:paraId="79314B74" w14:textId="77777777" w:rsidR="003E25C3" w:rsidRPr="008D4276" w:rsidRDefault="003E25C3" w:rsidP="003E25C3">
      <w:pPr>
        <w:pStyle w:val="Heading3"/>
        <w:rPr>
          <w:rFonts w:cs="Calibri"/>
        </w:rPr>
      </w:pPr>
      <w:r w:rsidRPr="008D4276">
        <w:rPr>
          <w:rFonts w:cs="Calibri"/>
        </w:rPr>
        <w:t>Cytokine Release Syndrome (CRS) (IV formulation only)</w:t>
      </w:r>
    </w:p>
    <w:p w14:paraId="3949F1F8" w14:textId="23CD383E"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is indicated for the treatment of chimeric antigen receptor (CAR) T cell-induced severe or life-threatening cytokine release syndrome (CRS) in adults and paediatric patients 2 years of age and older.</w:t>
      </w:r>
    </w:p>
    <w:p w14:paraId="07A47CD2" w14:textId="77777777" w:rsidR="001A3992" w:rsidRPr="008D4276" w:rsidRDefault="001A3992" w:rsidP="001A3992">
      <w:pPr>
        <w:pStyle w:val="Heading2"/>
        <w:spacing w:before="0"/>
        <w:rPr>
          <w:rFonts w:cs="Calibri"/>
        </w:rPr>
      </w:pPr>
      <w:r w:rsidRPr="008D4276">
        <w:rPr>
          <w:rFonts w:cs="Calibri"/>
        </w:rPr>
        <w:t xml:space="preserve">Dose and method of administration </w:t>
      </w:r>
    </w:p>
    <w:p w14:paraId="758D37B1" w14:textId="7BFD99FD" w:rsidR="003E25C3" w:rsidRPr="008D4276" w:rsidRDefault="003E25C3" w:rsidP="003E25C3">
      <w:pPr>
        <w:pStyle w:val="Heading3"/>
        <w:rPr>
          <w:rFonts w:cs="Calibri"/>
        </w:rPr>
      </w:pPr>
      <w:r w:rsidRPr="008D4276">
        <w:rPr>
          <w:rFonts w:cs="Calibri"/>
        </w:rPr>
        <w:lastRenderedPageBreak/>
        <w:t>Dose</w:t>
      </w:r>
    </w:p>
    <w:p w14:paraId="44D75EDF" w14:textId="3B9EBE07" w:rsidR="003E25C3" w:rsidRPr="008D4276" w:rsidRDefault="003E25C3" w:rsidP="003E25C3">
      <w:pPr>
        <w:rPr>
          <w:rFonts w:asciiTheme="majorHAnsi" w:hAnsiTheme="majorHAnsi" w:cstheme="minorHAnsi"/>
        </w:rPr>
      </w:pPr>
      <w:r w:rsidRPr="008D4276">
        <w:rPr>
          <w:rFonts w:asciiTheme="majorHAnsi" w:hAnsiTheme="majorHAnsi" w:cstheme="minorHAnsi"/>
        </w:rPr>
        <w:t>Treatment should be initiated by healthcare professionals experienced not only in the diagnosis and treatment of RA, GCA, pJIA, sJIA or CRS but also in the use of biological therapies for these conditions. For pJIA and sJIA treatment should be prescribed by medical practitioners experienced in the management of these conditions.</w:t>
      </w:r>
    </w:p>
    <w:p w14:paraId="34949C9A" w14:textId="12F35D0C" w:rsidR="003E25C3" w:rsidRPr="00436C68" w:rsidRDefault="003E25C3" w:rsidP="007D4910">
      <w:pPr>
        <w:pStyle w:val="ListBullet2"/>
      </w:pPr>
      <w:r w:rsidRPr="00436C68">
        <w:t xml:space="preserve">For adult patients with RA and children with pJIA and sJIA, </w:t>
      </w:r>
      <w:r w:rsidR="00861784" w:rsidRPr="00436C68">
        <w:t>Avtozma</w:t>
      </w:r>
      <w:r w:rsidR="00861784" w:rsidRPr="00436C68" w:rsidDel="00861784">
        <w:t xml:space="preserve"> </w:t>
      </w:r>
      <w:r w:rsidRPr="00436C68">
        <w:t xml:space="preserve"> may be administered as an IV infusion or a SC injection.</w:t>
      </w:r>
    </w:p>
    <w:p w14:paraId="44489AFC" w14:textId="1D454385" w:rsidR="003E25C3" w:rsidRPr="00436C68" w:rsidRDefault="003E25C3" w:rsidP="007D4910">
      <w:pPr>
        <w:pStyle w:val="ListBullet2"/>
      </w:pPr>
      <w:r w:rsidRPr="00436C68">
        <w:t>For adult patients with GCA,</w:t>
      </w:r>
      <w:r w:rsidR="00D054F7" w:rsidRPr="00436C68">
        <w:t xml:space="preserve"> </w:t>
      </w:r>
      <w:r w:rsidR="00861784" w:rsidRPr="00436C68">
        <w:t>Avtozma</w:t>
      </w:r>
      <w:r w:rsidR="00861784" w:rsidRPr="00436C68" w:rsidDel="00861784">
        <w:t xml:space="preserve"> </w:t>
      </w:r>
      <w:r w:rsidRPr="00436C68">
        <w:t>is administered as a SC injection.</w:t>
      </w:r>
    </w:p>
    <w:p w14:paraId="306E83A0" w14:textId="053BF49A" w:rsidR="003E25C3" w:rsidRPr="00436C68" w:rsidRDefault="003E25C3" w:rsidP="007D4910">
      <w:pPr>
        <w:pStyle w:val="ListBullet2"/>
      </w:pPr>
      <w:r w:rsidRPr="00436C68">
        <w:t>For adult patients with COVID-19,</w:t>
      </w:r>
      <w:r w:rsidR="00861784" w:rsidRPr="00436C68">
        <w:t xml:space="preserve"> Avtozma</w:t>
      </w:r>
      <w:r w:rsidRPr="00436C68">
        <w:t xml:space="preserve"> is administered as an IV infusion.</w:t>
      </w:r>
    </w:p>
    <w:p w14:paraId="755F09AF" w14:textId="0F609475" w:rsidR="00854645" w:rsidRPr="00436C68" w:rsidRDefault="003E25C3" w:rsidP="007D4910">
      <w:pPr>
        <w:pStyle w:val="ListBullet2"/>
      </w:pPr>
      <w:r w:rsidRPr="00436C68">
        <w:t xml:space="preserve">For paediatric and adult patients with CRS, </w:t>
      </w:r>
      <w:r w:rsidR="00861784" w:rsidRPr="00436C68">
        <w:t>Avtozma</w:t>
      </w:r>
      <w:r w:rsidR="00861784" w:rsidRPr="00436C68" w:rsidDel="00861784">
        <w:t xml:space="preserve"> </w:t>
      </w:r>
      <w:r w:rsidRPr="00436C68">
        <w:t>is administered as an IV infusion.</w:t>
      </w:r>
    </w:p>
    <w:p w14:paraId="1ABC4EF2" w14:textId="2FA69962"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003E25C3" w:rsidRPr="008D4276">
        <w:rPr>
          <w:rFonts w:asciiTheme="majorHAnsi" w:hAnsiTheme="majorHAnsi" w:cstheme="minorHAnsi"/>
        </w:rPr>
        <w:t xml:space="preserve"> IV formulation is not intended for SC administration.</w:t>
      </w:r>
    </w:p>
    <w:p w14:paraId="452D47C5" w14:textId="25572436" w:rsidR="003E25C3" w:rsidRPr="008D4276" w:rsidRDefault="00861784" w:rsidP="003E25C3">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3E25C3" w:rsidRPr="008D4276">
        <w:rPr>
          <w:rFonts w:asciiTheme="majorHAnsi" w:hAnsiTheme="majorHAnsi" w:cstheme="minorHAnsi"/>
        </w:rPr>
        <w:t>SC formulation is not intended for IV administration.</w:t>
      </w:r>
    </w:p>
    <w:p w14:paraId="4171F194" w14:textId="1B14FCC4" w:rsidR="003E25C3" w:rsidRPr="008D4276" w:rsidRDefault="003E25C3" w:rsidP="003E25C3">
      <w:pPr>
        <w:rPr>
          <w:rFonts w:asciiTheme="majorHAnsi" w:hAnsiTheme="majorHAnsi" w:cstheme="minorHAnsi"/>
        </w:rPr>
      </w:pPr>
      <w:r w:rsidRPr="008D4276">
        <w:rPr>
          <w:rFonts w:asciiTheme="majorHAnsi" w:hAnsiTheme="majorHAnsi" w:cstheme="minorHAnsi"/>
        </w:rPr>
        <w:t>For the treatment of patients with pJIA sJIA and CRS</w:t>
      </w:r>
      <w:r w:rsidR="00D054F7" w:rsidRPr="008D4276">
        <w:rPr>
          <w:rFonts w:asciiTheme="majorHAnsi" w:hAnsiTheme="majorHAnsi" w:cstheme="minorHAnsi"/>
        </w:rPr>
        <w:t xml:space="preserve"> </w:t>
      </w:r>
      <w:r w:rsidR="00861784" w:rsidRPr="008D4276">
        <w:rPr>
          <w:rFonts w:asciiTheme="majorHAnsi" w:hAnsiTheme="majorHAnsi" w:cstheme="minorHAnsi"/>
        </w:rPr>
        <w:t>Avtozma</w:t>
      </w:r>
      <w:r w:rsidR="00861784" w:rsidRPr="008D4276" w:rsidDel="00861784">
        <w:rPr>
          <w:rFonts w:asciiTheme="majorHAnsi" w:hAnsiTheme="majorHAnsi" w:cstheme="minorHAnsi"/>
        </w:rPr>
        <w:t xml:space="preserve"> </w:t>
      </w:r>
      <w:r w:rsidRPr="008D4276">
        <w:rPr>
          <w:rFonts w:asciiTheme="majorHAnsi" w:hAnsiTheme="majorHAnsi" w:cstheme="minorHAnsi"/>
        </w:rPr>
        <w:t xml:space="preserve"> administration as an IV infusion should be administered in a hospital setting with immediate access to the necessary medical personnel and full resuscitation facilities (see section 4.4 Special Warnings and Precautions and section 4.8 Adverse Effects (Undesirable Effects)).</w:t>
      </w:r>
    </w:p>
    <w:p w14:paraId="07613558" w14:textId="77777777" w:rsidR="00854645" w:rsidRPr="008D4276" w:rsidRDefault="00854645" w:rsidP="004D6592">
      <w:pPr>
        <w:pStyle w:val="Heading4"/>
        <w:rPr>
          <w:rFonts w:asciiTheme="majorHAnsi" w:hAnsiTheme="majorHAnsi"/>
        </w:rPr>
      </w:pPr>
      <w:r w:rsidRPr="008D4276">
        <w:rPr>
          <w:rFonts w:asciiTheme="majorHAnsi" w:hAnsiTheme="majorHAnsi"/>
        </w:rPr>
        <w:t>Subcutaneous Administration</w:t>
      </w:r>
    </w:p>
    <w:p w14:paraId="37482F4F" w14:textId="0F31BA2E" w:rsidR="00854645" w:rsidRPr="008D4276" w:rsidRDefault="00854645" w:rsidP="00854645">
      <w:pPr>
        <w:rPr>
          <w:rFonts w:asciiTheme="majorHAnsi" w:hAnsiTheme="majorHAnsi" w:cstheme="minorHAnsi"/>
        </w:rPr>
      </w:pPr>
      <w:r w:rsidRPr="008D4276">
        <w:rPr>
          <w:rFonts w:asciiTheme="majorHAnsi" w:hAnsiTheme="majorHAnsi" w:cstheme="minorHAnsi"/>
        </w:rPr>
        <w:t>Subcutaneous</w:t>
      </w:r>
      <w:r w:rsidR="00861784" w:rsidRPr="008D4276">
        <w:rPr>
          <w:rFonts w:asciiTheme="majorHAnsi" w:hAnsiTheme="majorHAnsi" w:cstheme="minorHAnsi"/>
        </w:rPr>
        <w:t xml:space="preserve"> Avtozma</w:t>
      </w:r>
      <w:r w:rsidRPr="008D4276">
        <w:rPr>
          <w:rFonts w:asciiTheme="majorHAnsi" w:hAnsiTheme="majorHAnsi" w:cstheme="minorHAnsi"/>
        </w:rPr>
        <w:t xml:space="preserve"> is indicated in the treatment of patients with adult RA, GCA, pJIA and sJIA.</w:t>
      </w:r>
    </w:p>
    <w:p w14:paraId="674BC855" w14:textId="01C03B6D" w:rsidR="00854645" w:rsidRPr="008D4276" w:rsidRDefault="00854645" w:rsidP="00854645">
      <w:pPr>
        <w:rPr>
          <w:rFonts w:asciiTheme="majorHAnsi" w:hAnsiTheme="majorHAnsi" w:cstheme="minorHAnsi"/>
        </w:rPr>
      </w:pPr>
      <w:r w:rsidRPr="008D4276">
        <w:rPr>
          <w:rFonts w:asciiTheme="majorHAnsi" w:hAnsiTheme="majorHAnsi" w:cstheme="minorHAnsi"/>
        </w:rPr>
        <w:t xml:space="preserve">For patients receiving </w:t>
      </w:r>
      <w:r w:rsidR="00861784" w:rsidRPr="008D4276">
        <w:rPr>
          <w:rFonts w:asciiTheme="majorHAnsi" w:hAnsiTheme="majorHAnsi" w:cstheme="minorHAnsi"/>
        </w:rPr>
        <w:t>Avtozma</w:t>
      </w:r>
      <w:r w:rsidR="00861784" w:rsidRPr="008D4276" w:rsidDel="00861784">
        <w:rPr>
          <w:rFonts w:asciiTheme="majorHAnsi" w:hAnsiTheme="majorHAnsi" w:cstheme="minorHAnsi"/>
        </w:rPr>
        <w:t xml:space="preserve"> </w:t>
      </w:r>
      <w:r w:rsidRPr="008D4276">
        <w:rPr>
          <w:rFonts w:asciiTheme="majorHAnsi" w:hAnsiTheme="majorHAnsi" w:cstheme="minorHAnsi"/>
        </w:rPr>
        <w:t xml:space="preserve"> as an SC injection, 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The patient must be closely monitored during the injection and afterwards for any signs and symptoms of a hypersensitivity reaction.</w:t>
      </w:r>
    </w:p>
    <w:p w14:paraId="61514E87" w14:textId="46B4675D" w:rsidR="00854645" w:rsidRPr="008D4276" w:rsidRDefault="00854645" w:rsidP="00854645">
      <w:pPr>
        <w:rPr>
          <w:rFonts w:asciiTheme="majorHAnsi" w:hAnsiTheme="majorHAnsi" w:cstheme="minorHAnsi"/>
        </w:rPr>
      </w:pPr>
      <w:r w:rsidRPr="008D4276">
        <w:rPr>
          <w:rFonts w:asciiTheme="majorHAnsi" w:hAnsiTheme="majorHAnsi" w:cstheme="minorHAnsi"/>
        </w:rPr>
        <w:t xml:space="preserve">Patients transitioning from IV </w:t>
      </w:r>
      <w:r w:rsidR="00861784" w:rsidRPr="008D4276">
        <w:rPr>
          <w:rFonts w:asciiTheme="majorHAnsi" w:hAnsiTheme="majorHAnsi" w:cstheme="minorHAnsi"/>
        </w:rPr>
        <w:t>Avtozma</w:t>
      </w:r>
      <w:r w:rsidR="00861784" w:rsidRPr="008D4276" w:rsidDel="00861784">
        <w:rPr>
          <w:rFonts w:asciiTheme="majorHAnsi" w:hAnsiTheme="majorHAnsi" w:cstheme="minorHAnsi"/>
        </w:rPr>
        <w:t xml:space="preserve"> </w:t>
      </w:r>
      <w:r w:rsidRPr="008D4276">
        <w:rPr>
          <w:rFonts w:asciiTheme="majorHAnsi" w:hAnsiTheme="majorHAnsi" w:cstheme="minorHAnsi"/>
        </w:rPr>
        <w:t>therapy to SC administration should administer the first SC dose at the time of the next scheduled IV dose under the supervision of a qualified healthcare professional.</w:t>
      </w:r>
    </w:p>
    <w:p w14:paraId="073E6F3B" w14:textId="7C03B42C" w:rsidR="00854645" w:rsidRPr="008D4276" w:rsidRDefault="00854645" w:rsidP="00854645">
      <w:pPr>
        <w:rPr>
          <w:rFonts w:asciiTheme="majorHAnsi" w:hAnsiTheme="majorHAnsi" w:cstheme="minorHAnsi"/>
        </w:rPr>
      </w:pPr>
      <w:r w:rsidRPr="008D4276">
        <w:rPr>
          <w:rFonts w:asciiTheme="majorHAnsi" w:hAnsiTheme="majorHAnsi" w:cstheme="minorHAnsi"/>
        </w:rPr>
        <w:t xml:space="preserve">Subcutaneous </w:t>
      </w:r>
      <w:r w:rsidR="00861784" w:rsidRPr="008D4276">
        <w:rPr>
          <w:rFonts w:asciiTheme="majorHAnsi" w:hAnsiTheme="majorHAnsi" w:cstheme="minorHAnsi"/>
        </w:rPr>
        <w:t>Avtozma</w:t>
      </w:r>
      <w:r w:rsidR="00040287" w:rsidRPr="008D4276">
        <w:rPr>
          <w:rFonts w:asciiTheme="majorHAnsi" w:hAnsiTheme="majorHAnsi" w:cstheme="minorHAnsi"/>
        </w:rPr>
        <w:t xml:space="preserve"> </w:t>
      </w:r>
      <w:r w:rsidRPr="008D4276">
        <w:rPr>
          <w:rFonts w:asciiTheme="majorHAnsi" w:hAnsiTheme="majorHAnsi" w:cstheme="minorHAnsi"/>
        </w:rPr>
        <w:t>is intended for use under the guidance and supervision of the patient’s treating physician. After proper training in injection technique, patients or parent/guardian may inject with</w:t>
      </w:r>
      <w:r w:rsidR="00861784" w:rsidRPr="008D4276">
        <w:rPr>
          <w:rFonts w:asciiTheme="majorHAnsi" w:hAnsiTheme="majorHAnsi" w:cstheme="minorHAnsi"/>
        </w:rPr>
        <w:t xml:space="preserve"> Avtozma</w:t>
      </w:r>
      <w:r w:rsidR="00861784" w:rsidRPr="008D4276" w:rsidDel="00861784">
        <w:rPr>
          <w:rFonts w:asciiTheme="majorHAnsi" w:hAnsiTheme="majorHAnsi" w:cstheme="minorHAnsi"/>
        </w:rPr>
        <w:t xml:space="preserve"> </w:t>
      </w:r>
      <w:r w:rsidRPr="008D4276">
        <w:rPr>
          <w:rFonts w:asciiTheme="majorHAnsi" w:hAnsiTheme="majorHAnsi" w:cstheme="minorHAnsi"/>
        </w:rPr>
        <w:t xml:space="preserve"> only if their treating physician determines that it is appropriate and is satisfied that the patient or parent/guardian can safely inject in the home environment and with medical follow-up as necessary.</w:t>
      </w:r>
    </w:p>
    <w:p w14:paraId="013DEA47" w14:textId="3524070D" w:rsidR="00854645" w:rsidRPr="008D4276" w:rsidRDefault="00854645" w:rsidP="00854645">
      <w:pPr>
        <w:rPr>
          <w:rFonts w:asciiTheme="majorHAnsi" w:hAnsiTheme="majorHAnsi" w:cstheme="minorHAnsi"/>
        </w:rPr>
      </w:pPr>
      <w:r w:rsidRPr="008D4276">
        <w:rPr>
          <w:rFonts w:asciiTheme="majorHAnsi" w:hAnsiTheme="majorHAnsi" w:cstheme="minorHAnsi"/>
        </w:rPr>
        <w:t xml:space="preserve">Assess suitability of patient or parent/guardian for SC home use and instruct patients or parent/guardian to inform a healthcare professional if they experience symptoms of allergic reaction before administering the next dose. Patients should seek immediate medical attention if developing symptoms of serious allergic reactions (see section 4.4 Special Warnings and Precautions for Use). Treating healthcare professionals must ensure that the patient or parent/guardian is aware of the signs of hypersensitivity and the risk of </w:t>
      </w:r>
      <w:r w:rsidR="00855BCA" w:rsidRPr="008D4276">
        <w:rPr>
          <w:rFonts w:asciiTheme="majorHAnsi" w:hAnsiTheme="majorHAnsi" w:cstheme="minorHAnsi"/>
        </w:rPr>
        <w:t>anaphylaxis and</w:t>
      </w:r>
      <w:r w:rsidRPr="008D4276">
        <w:rPr>
          <w:rFonts w:asciiTheme="majorHAnsi" w:hAnsiTheme="majorHAnsi" w:cstheme="minorHAnsi"/>
        </w:rPr>
        <w:t xml:space="preserve"> is capable of seeking assistance should early features of a serious hypersensitivity reaction occur.</w:t>
      </w:r>
    </w:p>
    <w:p w14:paraId="001A6C6A" w14:textId="422F5C5B" w:rsidR="00C65D03" w:rsidRDefault="00854645" w:rsidP="00854645">
      <w:pPr>
        <w:rPr>
          <w:rFonts w:asciiTheme="majorHAnsi" w:hAnsiTheme="majorHAnsi" w:cstheme="minorHAnsi"/>
        </w:rPr>
      </w:pPr>
      <w:r w:rsidRPr="008D4276">
        <w:rPr>
          <w:rFonts w:asciiTheme="majorHAnsi" w:hAnsiTheme="majorHAnsi" w:cstheme="minorHAnsi"/>
        </w:rPr>
        <w:lastRenderedPageBreak/>
        <w:t>The pre-filled syringe with needle safety device can be used to treat paediatric patients of all approved ages. The pre-filled pen (A</w:t>
      </w:r>
      <w:r w:rsidR="00920347" w:rsidRPr="008D4276">
        <w:rPr>
          <w:rFonts w:asciiTheme="majorHAnsi" w:hAnsiTheme="majorHAnsi" w:cstheme="minorHAnsi"/>
        </w:rPr>
        <w:t>V</w:t>
      </w:r>
      <w:r w:rsidRPr="008D4276">
        <w:rPr>
          <w:rFonts w:asciiTheme="majorHAnsi" w:hAnsiTheme="majorHAnsi" w:cstheme="minorHAnsi"/>
        </w:rPr>
        <w:t>TPen) should not be used to treat children and adolescent patients ˂ 12 years of age.</w:t>
      </w:r>
    </w:p>
    <w:p w14:paraId="2204C572" w14:textId="5046FEDA" w:rsidR="00C65D03" w:rsidRPr="008D4276" w:rsidRDefault="00D30C8B" w:rsidP="00854645">
      <w:pPr>
        <w:rPr>
          <w:rFonts w:asciiTheme="majorHAnsi" w:hAnsiTheme="majorHAnsi" w:cstheme="minorHAnsi"/>
        </w:rPr>
      </w:pPr>
      <w:bookmarkStart w:id="0" w:name="_Hlk193895581"/>
      <w:r>
        <w:rPr>
          <w:rFonts w:asciiTheme="majorHAnsi" w:hAnsiTheme="majorHAnsi" w:cstheme="minorHAnsi"/>
        </w:rPr>
        <w:t xml:space="preserve">The </w:t>
      </w:r>
      <w:r w:rsidR="006E304C">
        <w:rPr>
          <w:rFonts w:asciiTheme="majorHAnsi" w:hAnsiTheme="majorHAnsi" w:cstheme="minorHAnsi"/>
        </w:rPr>
        <w:t>p</w:t>
      </w:r>
      <w:r w:rsidR="004C6C02" w:rsidRPr="004C6C02">
        <w:rPr>
          <w:rFonts w:asciiTheme="majorHAnsi" w:hAnsiTheme="majorHAnsi" w:cstheme="minorHAnsi"/>
        </w:rPr>
        <w:t>re-filled pen</w:t>
      </w:r>
      <w:r>
        <w:rPr>
          <w:rFonts w:asciiTheme="majorHAnsi" w:hAnsiTheme="majorHAnsi" w:cstheme="minorHAnsi"/>
        </w:rPr>
        <w:t xml:space="preserve"> (AVTpen)</w:t>
      </w:r>
      <w:r w:rsidR="004C6C02" w:rsidRPr="004C6C02">
        <w:rPr>
          <w:rFonts w:asciiTheme="majorHAnsi" w:hAnsiTheme="majorHAnsi" w:cstheme="minorHAnsi"/>
        </w:rPr>
        <w:t xml:space="preserve"> should not be used in any patient who is assessed as having inadequate subcutaneous tissue with a low </w:t>
      </w:r>
      <w:r w:rsidR="008E0261">
        <w:rPr>
          <w:rFonts w:asciiTheme="majorHAnsi" w:hAnsiTheme="majorHAnsi" w:cstheme="minorHAnsi"/>
        </w:rPr>
        <w:t>B</w:t>
      </w:r>
      <w:r w:rsidR="004C6C02" w:rsidRPr="004C6C02">
        <w:rPr>
          <w:rFonts w:asciiTheme="majorHAnsi" w:hAnsiTheme="majorHAnsi" w:cstheme="minorHAnsi"/>
        </w:rPr>
        <w:t xml:space="preserve">ody </w:t>
      </w:r>
      <w:r w:rsidR="008E0261">
        <w:rPr>
          <w:rFonts w:asciiTheme="majorHAnsi" w:hAnsiTheme="majorHAnsi" w:cstheme="minorHAnsi"/>
        </w:rPr>
        <w:t>M</w:t>
      </w:r>
      <w:r w:rsidR="004C6C02" w:rsidRPr="004C6C02">
        <w:rPr>
          <w:rFonts w:asciiTheme="majorHAnsi" w:hAnsiTheme="majorHAnsi" w:cstheme="minorHAnsi"/>
        </w:rPr>
        <w:t xml:space="preserve">ass </w:t>
      </w:r>
      <w:r w:rsidR="008E0261">
        <w:rPr>
          <w:rFonts w:asciiTheme="majorHAnsi" w:hAnsiTheme="majorHAnsi" w:cstheme="minorHAnsi"/>
        </w:rPr>
        <w:t>I</w:t>
      </w:r>
      <w:r w:rsidR="004C6C02" w:rsidRPr="004C6C02">
        <w:rPr>
          <w:rFonts w:asciiTheme="majorHAnsi" w:hAnsiTheme="majorHAnsi" w:cstheme="minorHAnsi"/>
        </w:rPr>
        <w:t>ndex (BMI) or a thin build since there is a potential risk associated with intramuscular injection due to a thinner subcutaneous tissue layer.</w:t>
      </w:r>
      <w:bookmarkEnd w:id="0"/>
    </w:p>
    <w:p w14:paraId="66DB998B" w14:textId="26E70269" w:rsidR="00854645" w:rsidRPr="008D4276" w:rsidRDefault="00854645" w:rsidP="004D6592">
      <w:pPr>
        <w:pStyle w:val="Heading4"/>
        <w:rPr>
          <w:rFonts w:asciiTheme="majorHAnsi" w:hAnsiTheme="majorHAnsi"/>
        </w:rPr>
      </w:pPr>
      <w:r w:rsidRPr="008D4276">
        <w:rPr>
          <w:rFonts w:asciiTheme="majorHAnsi" w:hAnsiTheme="majorHAnsi"/>
        </w:rPr>
        <w:t>Rheumatoid Arthritis in Adults (IV or SC formulation)</w:t>
      </w:r>
    </w:p>
    <w:p w14:paraId="14E6E301" w14:textId="77777777" w:rsidR="00854645" w:rsidRPr="008D4276" w:rsidRDefault="00854645" w:rsidP="00F27BE1">
      <w:pPr>
        <w:pStyle w:val="Heading5"/>
        <w:rPr>
          <w:rFonts w:asciiTheme="majorHAnsi" w:hAnsiTheme="majorHAnsi" w:cs="Calibri"/>
        </w:rPr>
      </w:pPr>
      <w:r w:rsidRPr="008D4276">
        <w:rPr>
          <w:rFonts w:asciiTheme="majorHAnsi" w:hAnsiTheme="majorHAnsi" w:cs="Calibri"/>
        </w:rPr>
        <w:t>Intravenous Dosing Regimen</w:t>
      </w:r>
    </w:p>
    <w:p w14:paraId="789F625E" w14:textId="1C979F32" w:rsidR="00854645" w:rsidRPr="008D4276" w:rsidRDefault="00854645" w:rsidP="00854645">
      <w:pPr>
        <w:rPr>
          <w:rFonts w:asciiTheme="majorHAnsi" w:hAnsiTheme="majorHAnsi" w:cstheme="minorHAnsi"/>
        </w:rPr>
      </w:pPr>
      <w:r w:rsidRPr="008D4276">
        <w:rPr>
          <w:rFonts w:asciiTheme="majorHAnsi" w:hAnsiTheme="majorHAnsi" w:cstheme="minorHAnsi"/>
        </w:rPr>
        <w:t>The recommended dose of</w:t>
      </w:r>
      <w:r w:rsidR="00861784" w:rsidRPr="008D4276">
        <w:rPr>
          <w:rFonts w:asciiTheme="majorHAnsi" w:hAnsiTheme="majorHAnsi" w:cstheme="minorHAnsi"/>
        </w:rPr>
        <w:t xml:space="preserve"> Avtozma</w:t>
      </w:r>
      <w:r w:rsidR="00861784" w:rsidRPr="008D4276" w:rsidDel="00861784">
        <w:rPr>
          <w:rFonts w:asciiTheme="majorHAnsi" w:hAnsiTheme="majorHAnsi" w:cstheme="minorHAnsi"/>
        </w:rPr>
        <w:t xml:space="preserve"> </w:t>
      </w:r>
      <w:r w:rsidRPr="008D4276">
        <w:rPr>
          <w:rFonts w:asciiTheme="majorHAnsi" w:hAnsiTheme="majorHAnsi" w:cstheme="minorHAnsi"/>
        </w:rPr>
        <w:t xml:space="preserve"> for adult patients is 8 mg/kg given once every 4 weeks as an IV infusion.</w:t>
      </w:r>
    </w:p>
    <w:p w14:paraId="158DBB85" w14:textId="77777777" w:rsidR="00854645" w:rsidRPr="008D4276" w:rsidRDefault="00854645" w:rsidP="00854645">
      <w:pPr>
        <w:rPr>
          <w:rFonts w:asciiTheme="majorHAnsi" w:hAnsiTheme="majorHAnsi" w:cstheme="minorHAnsi"/>
        </w:rPr>
      </w:pPr>
      <w:r w:rsidRPr="008D4276">
        <w:rPr>
          <w:rFonts w:asciiTheme="majorHAnsi" w:hAnsiTheme="majorHAnsi" w:cstheme="minorHAnsi"/>
        </w:rPr>
        <w:t>For individuals whose body weight is more than 100 kg, doses exceeding 800 mg per infusion are not recommended (see section 5.2 Pharmacokinetic Properties).</w:t>
      </w:r>
    </w:p>
    <w:p w14:paraId="795F8B18" w14:textId="7FC3074B" w:rsidR="00854645" w:rsidRPr="008D4276" w:rsidRDefault="00861784" w:rsidP="00854645">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854645" w:rsidRPr="008D4276">
        <w:rPr>
          <w:rFonts w:asciiTheme="majorHAnsi" w:hAnsiTheme="majorHAnsi" w:cstheme="minorHAnsi"/>
        </w:rPr>
        <w:t>can be used alone or in combination with MTX and/or other non-biological DMARDs.</w:t>
      </w:r>
    </w:p>
    <w:p w14:paraId="6168173F" w14:textId="77FBC90B" w:rsidR="00854645" w:rsidRPr="008D4276" w:rsidRDefault="00861784" w:rsidP="00854645">
      <w:pPr>
        <w:rPr>
          <w:rFonts w:asciiTheme="majorHAnsi" w:hAnsiTheme="majorHAnsi" w:cstheme="minorHAnsi"/>
        </w:rPr>
      </w:pPr>
      <w:r w:rsidRPr="008D4276">
        <w:rPr>
          <w:rFonts w:asciiTheme="majorHAnsi" w:hAnsiTheme="majorHAnsi" w:cstheme="minorHAnsi"/>
        </w:rPr>
        <w:t>Avtozma</w:t>
      </w:r>
      <w:r w:rsidRPr="008D4276" w:rsidDel="00861784">
        <w:rPr>
          <w:rFonts w:asciiTheme="majorHAnsi" w:hAnsiTheme="majorHAnsi" w:cstheme="minorHAnsi"/>
        </w:rPr>
        <w:t xml:space="preserve"> </w:t>
      </w:r>
      <w:r w:rsidR="00854645" w:rsidRPr="008D4276">
        <w:rPr>
          <w:rFonts w:asciiTheme="majorHAnsi" w:hAnsiTheme="majorHAnsi" w:cstheme="minorHAnsi"/>
        </w:rPr>
        <w:t xml:space="preserve"> IV formulation should be diluted by a healthcare professional with sterile 0.9% w/v sodium chloride solution using aseptic technique (see below Method of Administration). The recommended duration of IV infusion is 1 hour.</w:t>
      </w:r>
    </w:p>
    <w:p w14:paraId="7150ABB8" w14:textId="115CB47E" w:rsidR="00854645" w:rsidRPr="008D4276" w:rsidRDefault="00854645" w:rsidP="00854645">
      <w:pPr>
        <w:rPr>
          <w:rFonts w:asciiTheme="majorHAnsi" w:hAnsiTheme="majorHAnsi" w:cstheme="minorHAnsi"/>
        </w:rPr>
      </w:pPr>
      <w:r w:rsidRPr="008D4276">
        <w:rPr>
          <w:rFonts w:asciiTheme="majorHAnsi" w:hAnsiTheme="majorHAnsi" w:cstheme="minorHAnsi"/>
        </w:rPr>
        <w:t>During IV infusion, and for 30 minutes’ post-infusion with</w:t>
      </w:r>
      <w:r w:rsidR="00861784" w:rsidRPr="008D4276">
        <w:rPr>
          <w:rFonts w:asciiTheme="majorHAnsi" w:hAnsiTheme="majorHAnsi" w:cstheme="minorHAnsi"/>
        </w:rPr>
        <w:t xml:space="preserve"> Avtozma</w:t>
      </w:r>
      <w:r w:rsidR="00861784" w:rsidRPr="008D4276" w:rsidDel="00861784">
        <w:rPr>
          <w:rFonts w:asciiTheme="majorHAnsi" w:hAnsiTheme="majorHAnsi" w:cstheme="minorHAnsi"/>
        </w:rPr>
        <w:t xml:space="preserve"> </w:t>
      </w:r>
      <w:r w:rsidRPr="008D4276">
        <w:rPr>
          <w:rFonts w:asciiTheme="majorHAnsi" w:hAnsiTheme="majorHAnsi" w:cstheme="minorHAnsi"/>
        </w:rPr>
        <w:t>, the patient must be closely monitored at all times for any signs or symptoms of a hypersensitivity reaction. Should any such reaction occur then appropriate urgent responses and treatments are to be initiated. The necessary equipment, treatments and protocols sufficient to initiate the management of acute anaphylaxis are to be in place along with the availability of appropriately trained personnel. There must be continued education and training of the health care professionals who administer the infusions. As part of the informed consent process patients should be made aware of the risk of anaphylaxis and the equipment, treatments and protocols in place to manage this risk.</w:t>
      </w:r>
    </w:p>
    <w:p w14:paraId="3ED897E6" w14:textId="77777777" w:rsidR="00854645" w:rsidRPr="008D4276" w:rsidRDefault="00854645" w:rsidP="00F27BE1">
      <w:pPr>
        <w:pStyle w:val="Heading5"/>
        <w:rPr>
          <w:rFonts w:asciiTheme="majorHAnsi" w:hAnsiTheme="majorHAnsi" w:cs="Calibri"/>
        </w:rPr>
      </w:pPr>
      <w:r w:rsidRPr="008D4276">
        <w:rPr>
          <w:rFonts w:asciiTheme="majorHAnsi" w:hAnsiTheme="majorHAnsi" w:cs="Calibri"/>
        </w:rPr>
        <w:t>Subcutaneous Dosing Regimen</w:t>
      </w:r>
    </w:p>
    <w:p w14:paraId="16481552" w14:textId="1634B170" w:rsidR="00854645" w:rsidRPr="008D4276" w:rsidRDefault="00854645" w:rsidP="00854645">
      <w:pPr>
        <w:rPr>
          <w:rFonts w:asciiTheme="majorHAnsi" w:hAnsiTheme="majorHAnsi" w:cstheme="minorHAnsi"/>
        </w:rPr>
      </w:pPr>
      <w:r w:rsidRPr="008D4276">
        <w:rPr>
          <w:rFonts w:asciiTheme="majorHAnsi" w:hAnsiTheme="majorHAnsi" w:cstheme="minorHAnsi"/>
        </w:rPr>
        <w:t>The recommended dose of</w:t>
      </w:r>
      <w:r w:rsidR="00D054F7" w:rsidRPr="008D4276">
        <w:rPr>
          <w:rFonts w:asciiTheme="majorHAnsi" w:hAnsiTheme="majorHAnsi" w:cstheme="minorHAnsi"/>
        </w:rPr>
        <w:t xml:space="preserve"> </w:t>
      </w:r>
      <w:r w:rsidR="00861784" w:rsidRPr="008D4276">
        <w:rPr>
          <w:rFonts w:asciiTheme="majorHAnsi" w:hAnsiTheme="majorHAnsi" w:cstheme="minorHAnsi"/>
        </w:rPr>
        <w:t>Avtozma</w:t>
      </w:r>
      <w:r w:rsidRPr="008D4276">
        <w:rPr>
          <w:rFonts w:asciiTheme="majorHAnsi" w:hAnsiTheme="majorHAnsi" w:cstheme="minorHAnsi"/>
        </w:rPr>
        <w:t xml:space="preserve"> for adult patients is 162 mg given once every week as a subcutaneous injection.</w:t>
      </w:r>
    </w:p>
    <w:p w14:paraId="66669832" w14:textId="2C85053D" w:rsidR="00854645" w:rsidRPr="008D4276" w:rsidRDefault="00861784" w:rsidP="00854645">
      <w:pPr>
        <w:rPr>
          <w:rFonts w:asciiTheme="majorHAnsi" w:hAnsiTheme="majorHAnsi" w:cstheme="minorHAnsi"/>
        </w:rPr>
      </w:pPr>
      <w:r w:rsidRPr="008D4276">
        <w:rPr>
          <w:rFonts w:asciiTheme="majorHAnsi" w:hAnsiTheme="majorHAnsi" w:cstheme="minorHAnsi"/>
        </w:rPr>
        <w:t>Avtozma</w:t>
      </w:r>
      <w:r w:rsidR="00040287" w:rsidRPr="008D4276">
        <w:rPr>
          <w:rFonts w:asciiTheme="majorHAnsi" w:hAnsiTheme="majorHAnsi" w:cstheme="minorHAnsi"/>
        </w:rPr>
        <w:t xml:space="preserve"> </w:t>
      </w:r>
      <w:r w:rsidR="00251B04" w:rsidRPr="008D4276">
        <w:rPr>
          <w:rFonts w:asciiTheme="majorHAnsi" w:hAnsiTheme="majorHAnsi" w:cstheme="minorHAnsi"/>
        </w:rPr>
        <w:t>c</w:t>
      </w:r>
      <w:r w:rsidR="00854645" w:rsidRPr="008D4276">
        <w:rPr>
          <w:rFonts w:asciiTheme="majorHAnsi" w:hAnsiTheme="majorHAnsi" w:cstheme="minorHAnsi"/>
        </w:rPr>
        <w:t>an be used alone or in combination with MTX and/or other non-biological DMARDs.</w:t>
      </w:r>
    </w:p>
    <w:p w14:paraId="08B8187C" w14:textId="0E7799C7" w:rsidR="00854645" w:rsidRPr="008D4276" w:rsidRDefault="00854645" w:rsidP="00854645">
      <w:pPr>
        <w:rPr>
          <w:rFonts w:asciiTheme="majorHAnsi" w:hAnsiTheme="majorHAnsi" w:cstheme="minorHAnsi"/>
        </w:rPr>
      </w:pPr>
      <w:r w:rsidRPr="008D4276">
        <w:rPr>
          <w:rFonts w:asciiTheme="majorHAnsi" w:hAnsiTheme="majorHAnsi" w:cstheme="minorHAnsi"/>
        </w:rPr>
        <w:t>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(see section 4.2 Dose and Method of Administration, Subcutaneous Administration for information about requirements for patients who may be suitable for SC home use).</w:t>
      </w:r>
    </w:p>
    <w:p w14:paraId="015202C0" w14:textId="77777777" w:rsidR="00854645" w:rsidRPr="008D4276" w:rsidRDefault="00854645" w:rsidP="004D6592">
      <w:pPr>
        <w:pStyle w:val="Heading4"/>
        <w:rPr>
          <w:rFonts w:asciiTheme="majorHAnsi" w:hAnsiTheme="majorHAnsi"/>
        </w:rPr>
      </w:pPr>
      <w:r w:rsidRPr="008D4276">
        <w:rPr>
          <w:rFonts w:asciiTheme="majorHAnsi" w:hAnsiTheme="majorHAnsi"/>
        </w:rPr>
        <w:t>Dose Modification Recommendations for RA</w:t>
      </w:r>
    </w:p>
    <w:p w14:paraId="424026B7" w14:textId="77777777" w:rsidR="00854645" w:rsidRDefault="00854645" w:rsidP="00854645">
      <w:pPr>
        <w:numPr>
          <w:ilvl w:val="2"/>
          <w:numId w:val="11"/>
        </w:numPr>
        <w:spacing w:after="200"/>
        <w:rPr>
          <w:rFonts w:asciiTheme="majorHAnsi" w:hAnsiTheme="majorHAnsi" w:cstheme="minorHAnsi"/>
        </w:rPr>
      </w:pPr>
      <w:r w:rsidRPr="008D4276">
        <w:rPr>
          <w:rFonts w:asciiTheme="majorHAnsi" w:hAnsiTheme="majorHAnsi" w:cstheme="minorHAnsi"/>
        </w:rPr>
        <w:t>Liver enzyme abnormalities</w:t>
      </w:r>
    </w:p>
    <w:p w14:paraId="4262F324" w14:textId="77777777" w:rsidR="00C9760B" w:rsidRPr="008D4276" w:rsidRDefault="00C9760B" w:rsidP="00C9760B">
      <w:pPr>
        <w:spacing w:after="200"/>
        <w:ind w:left="1380"/>
        <w:rPr>
          <w:rFonts w:asciiTheme="majorHAnsi" w:hAnsiTheme="maj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6475"/>
      </w:tblGrid>
      <w:tr w:rsidR="00E63BA6" w:rsidRPr="001922B7" w14:paraId="0D6511B6" w14:textId="77777777" w:rsidTr="00F27BE1">
        <w:trPr>
          <w:trHeight w:val="275"/>
        </w:trPr>
        <w:tc>
          <w:tcPr>
            <w:tcW w:w="1411" w:type="pct"/>
          </w:tcPr>
          <w:p w14:paraId="4DF2642A" w14:textId="77777777" w:rsidR="00854645" w:rsidRPr="008D4276" w:rsidRDefault="00854645" w:rsidP="00D054F7">
            <w:pPr>
              <w:pStyle w:val="NoSpacing"/>
              <w:jc w:val="center"/>
              <w:rPr>
                <w:rFonts w:asciiTheme="majorHAnsi" w:hAnsiTheme="majorHAnsi" w:cs="Calibri"/>
                <w:b/>
                <w:bCs/>
              </w:rPr>
            </w:pPr>
            <w:r w:rsidRPr="008D4276">
              <w:rPr>
                <w:rFonts w:asciiTheme="majorHAnsi" w:hAnsiTheme="majorHAnsi" w:cs="Calibri"/>
                <w:b/>
                <w:bCs/>
              </w:rPr>
              <w:lastRenderedPageBreak/>
              <w:t>Lab Value</w:t>
            </w:r>
          </w:p>
        </w:tc>
        <w:tc>
          <w:tcPr>
            <w:tcW w:w="3589" w:type="pct"/>
          </w:tcPr>
          <w:p w14:paraId="66F984B5" w14:textId="77777777" w:rsidR="00854645" w:rsidRPr="008D4276" w:rsidRDefault="00854645" w:rsidP="00D054F7">
            <w:pPr>
              <w:pStyle w:val="NoSpacing"/>
              <w:jc w:val="center"/>
              <w:rPr>
                <w:rFonts w:asciiTheme="majorHAnsi" w:hAnsiTheme="majorHAnsi" w:cs="Calibri"/>
                <w:b/>
                <w:bCs/>
              </w:rPr>
            </w:pPr>
            <w:r w:rsidRPr="008D4276">
              <w:rPr>
                <w:rFonts w:asciiTheme="majorHAnsi" w:hAnsiTheme="majorHAnsi" w:cs="Calibri"/>
                <w:b/>
                <w:bCs/>
              </w:rPr>
              <w:t>Action</w:t>
            </w:r>
          </w:p>
        </w:tc>
      </w:tr>
      <w:tr w:rsidR="00E63BA6" w:rsidRPr="001922B7" w14:paraId="16ADFF2F" w14:textId="77777777" w:rsidTr="00F27BE1">
        <w:trPr>
          <w:trHeight w:val="2762"/>
        </w:trPr>
        <w:tc>
          <w:tcPr>
            <w:tcW w:w="1411" w:type="pct"/>
          </w:tcPr>
          <w:p w14:paraId="7965338D" w14:textId="77777777" w:rsidR="00854645" w:rsidRPr="008D4276" w:rsidRDefault="00854645" w:rsidP="00E63BA6">
            <w:pPr>
              <w:pStyle w:val="NoSpacing"/>
              <w:rPr>
                <w:rFonts w:asciiTheme="majorHAnsi" w:hAnsiTheme="majorHAnsi" w:cs="Calibri"/>
              </w:rPr>
            </w:pPr>
            <w:r w:rsidRPr="008D4276">
              <w:rPr>
                <w:rFonts w:asciiTheme="majorHAnsi" w:hAnsiTheme="majorHAnsi" w:cs="Calibri"/>
              </w:rPr>
              <w:t>&gt; 1 to 3 x ULN</w:t>
            </w:r>
          </w:p>
        </w:tc>
        <w:tc>
          <w:tcPr>
            <w:tcW w:w="3589" w:type="pct"/>
          </w:tcPr>
          <w:p w14:paraId="3A77B085" w14:textId="77777777" w:rsidR="00854645" w:rsidRPr="008D4276" w:rsidRDefault="00854645" w:rsidP="00E63BA6">
            <w:pPr>
              <w:pStyle w:val="NoSpacing"/>
              <w:rPr>
                <w:rFonts w:asciiTheme="majorHAnsi" w:hAnsiTheme="majorHAnsi" w:cs="Calibri"/>
              </w:rPr>
            </w:pPr>
            <w:r w:rsidRPr="008D4276">
              <w:rPr>
                <w:rFonts w:asciiTheme="majorHAnsi" w:hAnsiTheme="majorHAnsi" w:cs="Calibri"/>
              </w:rPr>
              <w:t>Dose modify concomitant DMARDs if appropriate</w:t>
            </w:r>
          </w:p>
          <w:p w14:paraId="1CBBA161" w14:textId="16F23A4C" w:rsidR="00854645" w:rsidRPr="008D4276" w:rsidRDefault="00854645" w:rsidP="00E63BA6">
            <w:pPr>
              <w:pStyle w:val="NoSpacing"/>
              <w:rPr>
                <w:rFonts w:asciiTheme="majorHAnsi" w:hAnsiTheme="majorHAnsi" w:cs="Calibri"/>
              </w:rPr>
            </w:pPr>
            <w:r w:rsidRPr="008D4276">
              <w:rPr>
                <w:rFonts w:asciiTheme="majorHAnsi" w:hAnsiTheme="majorHAnsi" w:cs="Calibri"/>
              </w:rPr>
              <w:t xml:space="preserve">For patients receiving intravenous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with persistent increases in this range, reduce</w:t>
            </w:r>
            <w:r w:rsidR="00861784" w:rsidRPr="008D4276">
              <w:rPr>
                <w:rFonts w:asciiTheme="majorHAnsi" w:hAnsiTheme="majorHAnsi" w:cs="Calibri"/>
              </w:rPr>
              <w:t xml:space="preserve"> Avtozma</w:t>
            </w:r>
            <w:r w:rsidR="004F516B" w:rsidRPr="008D4276" w:rsidDel="00D054F7">
              <w:rPr>
                <w:rFonts w:asciiTheme="majorHAnsi" w:hAnsiTheme="majorHAnsi" w:cs="Calibri"/>
              </w:rPr>
              <w:t xml:space="preserve"> </w:t>
            </w:r>
            <w:r w:rsidR="004F516B" w:rsidRPr="008D4276">
              <w:rPr>
                <w:rFonts w:asciiTheme="majorHAnsi" w:hAnsiTheme="majorHAnsi" w:cs="Calibri"/>
              </w:rPr>
              <w:t xml:space="preserve"> </w:t>
            </w:r>
            <w:r w:rsidRPr="008D4276">
              <w:rPr>
                <w:rFonts w:asciiTheme="majorHAnsi" w:hAnsiTheme="majorHAnsi" w:cs="Calibri"/>
              </w:rPr>
              <w:t xml:space="preserve">dose to 4 mg/kg or interrupt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until ALT/AST have normalised.</w:t>
            </w:r>
          </w:p>
          <w:p w14:paraId="652ACF84" w14:textId="77777777" w:rsidR="00854645" w:rsidRPr="008D4276" w:rsidRDefault="00854645" w:rsidP="00E63BA6">
            <w:pPr>
              <w:pStyle w:val="NoSpacing"/>
              <w:rPr>
                <w:rFonts w:asciiTheme="majorHAnsi" w:hAnsiTheme="majorHAnsi" w:cs="Calibri"/>
              </w:rPr>
            </w:pPr>
            <w:r w:rsidRPr="008D4276">
              <w:rPr>
                <w:rFonts w:asciiTheme="majorHAnsi" w:hAnsiTheme="majorHAnsi" w:cs="Calibri"/>
              </w:rPr>
              <w:t>Restart with 4 mg/kg or 8 mg/kg, as clinically appropriate.</w:t>
            </w:r>
          </w:p>
          <w:p w14:paraId="3667ED85" w14:textId="7A8B7835" w:rsidR="00854645" w:rsidRPr="008D4276" w:rsidRDefault="00854645" w:rsidP="00E63BA6">
            <w:pPr>
              <w:pStyle w:val="NoSpacing"/>
              <w:rPr>
                <w:rFonts w:asciiTheme="majorHAnsi" w:hAnsiTheme="majorHAnsi" w:cs="Calibri"/>
              </w:rPr>
            </w:pPr>
            <w:r w:rsidRPr="008D4276">
              <w:rPr>
                <w:rFonts w:asciiTheme="majorHAnsi" w:hAnsiTheme="majorHAnsi" w:cs="Calibri"/>
              </w:rPr>
              <w:t>For patients receiving subcutaneous</w:t>
            </w:r>
            <w:r w:rsidR="00D054F7" w:rsidRPr="008D4276">
              <w:rPr>
                <w:rFonts w:asciiTheme="majorHAnsi" w:hAnsiTheme="majorHAnsi" w:cs="Calibri"/>
              </w:rPr>
              <w:t xml:space="preserve"> </w:t>
            </w:r>
            <w:r w:rsidR="00861784" w:rsidRPr="008D4276">
              <w:rPr>
                <w:rFonts w:asciiTheme="majorHAnsi" w:hAnsiTheme="majorHAnsi" w:cs="Calibri"/>
              </w:rPr>
              <w:t>Avtozma</w:t>
            </w:r>
            <w:r w:rsidRPr="008D4276">
              <w:rPr>
                <w:rFonts w:asciiTheme="majorHAnsi" w:hAnsiTheme="majorHAnsi" w:cs="Calibri"/>
              </w:rPr>
              <w:t xml:space="preserve"> with persistent increases in this range, reduce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injection frequency to every other week or interrupt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until ALT/AST have</w:t>
            </w:r>
          </w:p>
          <w:p w14:paraId="4C0FD6BD" w14:textId="77777777" w:rsidR="00854645" w:rsidRPr="008D4276" w:rsidRDefault="00854645" w:rsidP="00E63BA6">
            <w:pPr>
              <w:pStyle w:val="NoSpacing"/>
              <w:rPr>
                <w:rFonts w:asciiTheme="majorHAnsi" w:hAnsiTheme="majorHAnsi" w:cs="Calibri"/>
              </w:rPr>
            </w:pPr>
            <w:r w:rsidRPr="008D4276">
              <w:rPr>
                <w:rFonts w:asciiTheme="majorHAnsi" w:hAnsiTheme="majorHAnsi" w:cs="Calibri"/>
              </w:rPr>
              <w:t>normalised. Restart with weekly injection or injection every other week, as clinically appropriate.</w:t>
            </w:r>
          </w:p>
        </w:tc>
      </w:tr>
      <w:tr w:rsidR="00F27BE1" w:rsidRPr="001922B7" w14:paraId="7CD54F82" w14:textId="77777777" w:rsidTr="008E0261">
        <w:trPr>
          <w:trHeight w:val="1349"/>
        </w:trPr>
        <w:tc>
          <w:tcPr>
            <w:tcW w:w="1411" w:type="pct"/>
          </w:tcPr>
          <w:p w14:paraId="1DD7B356" w14:textId="3CDCF488" w:rsidR="00F27BE1" w:rsidRPr="008D4276" w:rsidRDefault="00F27BE1" w:rsidP="00E63BA6">
            <w:pPr>
              <w:pStyle w:val="NoSpacing"/>
              <w:rPr>
                <w:rFonts w:asciiTheme="majorHAnsi" w:hAnsiTheme="majorHAnsi" w:cs="Calibri"/>
              </w:rPr>
            </w:pPr>
            <w:r w:rsidRPr="008D4276">
              <w:rPr>
                <w:rFonts w:asciiTheme="majorHAnsi" w:hAnsiTheme="majorHAnsi" w:cs="Calibri"/>
              </w:rPr>
              <w:t>&gt; 3 to 5 x ULN</w:t>
            </w:r>
          </w:p>
        </w:tc>
        <w:tc>
          <w:tcPr>
            <w:tcW w:w="3589" w:type="pct"/>
          </w:tcPr>
          <w:p w14:paraId="0F448059" w14:textId="41492554" w:rsidR="00F27BE1" w:rsidRPr="008D4276" w:rsidRDefault="00F27BE1" w:rsidP="00E63BA6">
            <w:pPr>
              <w:pStyle w:val="NoSpacing"/>
              <w:rPr>
                <w:rFonts w:asciiTheme="majorHAnsi" w:hAnsiTheme="majorHAnsi" w:cs="Calibri"/>
                <w:lang w:eastAsia="ko-KR"/>
              </w:rPr>
            </w:pPr>
            <w:r w:rsidRPr="008D4276">
              <w:rPr>
                <w:rFonts w:asciiTheme="majorHAnsi" w:hAnsiTheme="majorHAnsi" w:cs="Calibri"/>
              </w:rPr>
              <w:t xml:space="preserve">Interrupt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dosing until &lt; 3 x ULN and follow recommendations above for &gt; 1 to 3 x ULN</w:t>
            </w:r>
          </w:p>
          <w:p w14:paraId="7707AF19" w14:textId="2E29D4FE"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For persistent increases &gt; 3 x ULN (confirmed by repeat testing, see section 4.4 Special Warnings and Precautions for Use), discontinue </w:t>
            </w:r>
            <w:r w:rsidR="00D054F7" w:rsidRPr="008D4276">
              <w:rPr>
                <w:rFonts w:asciiTheme="majorHAnsi" w:hAnsiTheme="majorHAnsi" w:cs="Calibri"/>
              </w:rPr>
              <w:t xml:space="preserve"> </w:t>
            </w:r>
            <w:r w:rsidR="00861784" w:rsidRPr="008D4276">
              <w:rPr>
                <w:rFonts w:asciiTheme="majorHAnsi" w:hAnsiTheme="majorHAnsi" w:cs="Calibri"/>
              </w:rPr>
              <w:t>Avtozma</w:t>
            </w:r>
            <w:r w:rsidRPr="008D4276">
              <w:rPr>
                <w:rFonts w:asciiTheme="majorHAnsi" w:hAnsiTheme="majorHAnsi" w:cs="Calibri"/>
              </w:rPr>
              <w:t>.</w:t>
            </w:r>
          </w:p>
        </w:tc>
      </w:tr>
      <w:tr w:rsidR="00F27BE1" w:rsidRPr="001922B7" w14:paraId="792C0F3F" w14:textId="77777777" w:rsidTr="00F27BE1">
        <w:trPr>
          <w:trHeight w:val="327"/>
        </w:trPr>
        <w:tc>
          <w:tcPr>
            <w:tcW w:w="1411" w:type="pct"/>
          </w:tcPr>
          <w:p w14:paraId="2D22097F" w14:textId="2D58C11D" w:rsidR="00F27BE1" w:rsidRPr="008D4276" w:rsidRDefault="00F27BE1" w:rsidP="00E63BA6">
            <w:pPr>
              <w:pStyle w:val="NoSpacing"/>
              <w:rPr>
                <w:rFonts w:asciiTheme="majorHAnsi" w:hAnsiTheme="majorHAnsi" w:cs="Calibri"/>
              </w:rPr>
            </w:pPr>
            <w:r w:rsidRPr="008D4276">
              <w:rPr>
                <w:rFonts w:asciiTheme="majorHAnsi" w:hAnsiTheme="majorHAnsi" w:cs="Calibri"/>
              </w:rPr>
              <w:t>&gt; 5 x ULN</w:t>
            </w:r>
          </w:p>
        </w:tc>
        <w:tc>
          <w:tcPr>
            <w:tcW w:w="3589" w:type="pct"/>
          </w:tcPr>
          <w:p w14:paraId="0DD32B2D" w14:textId="15DCE712" w:rsidR="00F27BE1" w:rsidRPr="008D4276" w:rsidRDefault="00F27BE1" w:rsidP="00E63BA6">
            <w:pPr>
              <w:pStyle w:val="NoSpacing"/>
              <w:rPr>
                <w:rFonts w:asciiTheme="majorHAnsi" w:hAnsiTheme="majorHAnsi" w:cs="Calibri"/>
              </w:rPr>
            </w:pPr>
            <w:r w:rsidRPr="008D4276">
              <w:rPr>
                <w:rFonts w:asciiTheme="majorHAnsi" w:hAnsiTheme="majorHAnsi" w:cs="Calibri"/>
              </w:rPr>
              <w:t>Discontinue</w:t>
            </w:r>
            <w:r w:rsidR="00D054F7" w:rsidRPr="008D4276">
              <w:rPr>
                <w:rFonts w:asciiTheme="majorHAnsi" w:hAnsiTheme="majorHAnsi" w:cs="Calibri"/>
              </w:rPr>
              <w:t xml:space="preserve">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p>
        </w:tc>
      </w:tr>
    </w:tbl>
    <w:p w14:paraId="1825A428" w14:textId="77777777" w:rsidR="00D054F7" w:rsidRPr="008D4276" w:rsidRDefault="00D054F7" w:rsidP="00D054F7">
      <w:pPr>
        <w:tabs>
          <w:tab w:val="left" w:pos="1945"/>
        </w:tabs>
        <w:spacing w:after="200"/>
        <w:ind w:left="1380"/>
        <w:rPr>
          <w:rFonts w:asciiTheme="majorHAnsi" w:hAnsiTheme="majorHAnsi" w:cstheme="minorHAnsi"/>
        </w:rPr>
      </w:pPr>
    </w:p>
    <w:p w14:paraId="170DF60A" w14:textId="1BFB70DE" w:rsidR="00F27BE1" w:rsidRPr="008D4276" w:rsidRDefault="00F27BE1" w:rsidP="00F27BE1">
      <w:pPr>
        <w:numPr>
          <w:ilvl w:val="2"/>
          <w:numId w:val="11"/>
        </w:numPr>
        <w:tabs>
          <w:tab w:val="left" w:pos="1945"/>
        </w:tabs>
        <w:spacing w:after="200"/>
        <w:rPr>
          <w:rFonts w:asciiTheme="majorHAnsi" w:hAnsiTheme="majorHAnsi" w:cstheme="minorHAnsi"/>
        </w:rPr>
      </w:pPr>
      <w:r w:rsidRPr="008D4276">
        <w:rPr>
          <w:rFonts w:asciiTheme="majorHAnsi" w:hAnsiTheme="majorHAnsi" w:cstheme="minorHAnsi"/>
        </w:rPr>
        <w:t>Low absolute neutrophil count (ANC)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6475"/>
      </w:tblGrid>
      <w:tr w:rsidR="00F27BE1" w:rsidRPr="001922B7" w14:paraId="73F3DC30" w14:textId="77777777" w:rsidTr="00F27BE1">
        <w:trPr>
          <w:trHeight w:val="551"/>
        </w:trPr>
        <w:tc>
          <w:tcPr>
            <w:tcW w:w="1411" w:type="pct"/>
          </w:tcPr>
          <w:p w14:paraId="626C2FAD"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Lab Value (cells x 109/L)</w:t>
            </w:r>
          </w:p>
        </w:tc>
        <w:tc>
          <w:tcPr>
            <w:tcW w:w="3589" w:type="pct"/>
          </w:tcPr>
          <w:p w14:paraId="6B6DF243"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Action</w:t>
            </w:r>
          </w:p>
        </w:tc>
      </w:tr>
      <w:tr w:rsidR="00F27BE1" w:rsidRPr="001922B7" w14:paraId="703C7C24" w14:textId="77777777" w:rsidTr="00F27BE1">
        <w:trPr>
          <w:trHeight w:val="276"/>
        </w:trPr>
        <w:tc>
          <w:tcPr>
            <w:tcW w:w="1411" w:type="pct"/>
          </w:tcPr>
          <w:p w14:paraId="6D531459"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ANC &gt; 1</w:t>
            </w:r>
          </w:p>
        </w:tc>
        <w:tc>
          <w:tcPr>
            <w:tcW w:w="3589" w:type="pct"/>
          </w:tcPr>
          <w:p w14:paraId="27407E5D"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Maintain dose.</w:t>
            </w:r>
          </w:p>
        </w:tc>
      </w:tr>
      <w:tr w:rsidR="00F27BE1" w:rsidRPr="001922B7" w14:paraId="7C68D899" w14:textId="77777777" w:rsidTr="00F27BE1">
        <w:trPr>
          <w:trHeight w:val="1931"/>
        </w:trPr>
        <w:tc>
          <w:tcPr>
            <w:tcW w:w="1411" w:type="pct"/>
          </w:tcPr>
          <w:p w14:paraId="5B73606C"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ANC 0.5 to 1</w:t>
            </w:r>
          </w:p>
        </w:tc>
        <w:tc>
          <w:tcPr>
            <w:tcW w:w="3589" w:type="pct"/>
          </w:tcPr>
          <w:p w14:paraId="7446E613" w14:textId="56996C5D"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Interrupt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dosing.</w:t>
            </w:r>
          </w:p>
          <w:p w14:paraId="5EF554BF" w14:textId="4566171B"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For patients receiving intravenous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when ANC &gt; 1 x 10</w:t>
            </w:r>
            <w:r w:rsidRPr="008D4276">
              <w:rPr>
                <w:rFonts w:asciiTheme="majorHAnsi" w:hAnsiTheme="majorHAnsi" w:cs="Calibri"/>
                <w:vertAlign w:val="superscript"/>
              </w:rPr>
              <w:t>9</w:t>
            </w:r>
            <w:r w:rsidRPr="008D4276">
              <w:rPr>
                <w:rFonts w:asciiTheme="majorHAnsi" w:hAnsiTheme="majorHAnsi" w:cs="Calibri"/>
              </w:rPr>
              <w:t>/L resume</w:t>
            </w:r>
            <w:r w:rsidR="00D054F7" w:rsidRPr="008D4276">
              <w:rPr>
                <w:rFonts w:asciiTheme="majorHAnsi" w:hAnsiTheme="majorHAnsi" w:cs="Calibri"/>
              </w:rPr>
              <w:t xml:space="preserve"> </w:t>
            </w:r>
            <w:r w:rsidR="00861784" w:rsidRPr="008D4276">
              <w:rPr>
                <w:rFonts w:asciiTheme="majorHAnsi" w:hAnsiTheme="majorHAnsi" w:cs="Calibri"/>
              </w:rPr>
              <w:t>Avtozma</w:t>
            </w:r>
            <w:r w:rsidRPr="008D4276">
              <w:rPr>
                <w:rFonts w:asciiTheme="majorHAnsi" w:hAnsiTheme="majorHAnsi" w:cs="Calibri"/>
              </w:rPr>
              <w:t xml:space="preserve"> at 4 mg/kg and increase to 8 mg/kg as clinically appropriate.</w:t>
            </w:r>
          </w:p>
          <w:p w14:paraId="04C10852" w14:textId="78EB20A5"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For patients receiving subcutaneous </w:t>
            </w:r>
            <w:r w:rsidR="00861784" w:rsidRPr="008D4276">
              <w:rPr>
                <w:rFonts w:asciiTheme="majorHAnsi" w:hAnsiTheme="majorHAnsi" w:cs="Calibri"/>
              </w:rPr>
              <w:t>Avtozma</w:t>
            </w:r>
            <w:r w:rsidR="00040287" w:rsidRPr="008D4276" w:rsidDel="00D054F7">
              <w:rPr>
                <w:rFonts w:asciiTheme="majorHAnsi" w:hAnsiTheme="majorHAnsi" w:cs="Calibri"/>
              </w:rPr>
              <w:t xml:space="preserve"> </w:t>
            </w:r>
            <w:r w:rsidRPr="008D4276">
              <w:rPr>
                <w:rFonts w:asciiTheme="majorHAnsi" w:hAnsiTheme="majorHAnsi" w:cs="Calibri"/>
              </w:rPr>
              <w:t>, when ANC &gt; 1 x 10</w:t>
            </w:r>
            <w:r w:rsidRPr="008D4276">
              <w:rPr>
                <w:rFonts w:asciiTheme="majorHAnsi" w:hAnsiTheme="majorHAnsi" w:cs="Calibri"/>
                <w:vertAlign w:val="superscript"/>
              </w:rPr>
              <w:t>9</w:t>
            </w:r>
            <w:r w:rsidRPr="008D4276">
              <w:rPr>
                <w:rFonts w:asciiTheme="majorHAnsi" w:hAnsiTheme="majorHAnsi" w:cs="Calibri"/>
              </w:rPr>
              <w:t xml:space="preserve">/L resume </w:t>
            </w:r>
            <w:r w:rsidR="00861784" w:rsidRPr="008D4276">
              <w:rPr>
                <w:rFonts w:asciiTheme="majorHAnsi" w:hAnsiTheme="majorHAnsi" w:cs="Calibri"/>
              </w:rPr>
              <w:t>Avtozma</w:t>
            </w:r>
            <w:r w:rsidR="00861784" w:rsidRPr="008D4276" w:rsidDel="00861784">
              <w:rPr>
                <w:rFonts w:asciiTheme="majorHAnsi" w:hAnsiTheme="majorHAnsi" w:cs="Calibri"/>
              </w:rPr>
              <w:t xml:space="preserve"> </w:t>
            </w:r>
            <w:r w:rsidRPr="008D4276">
              <w:rPr>
                <w:rFonts w:asciiTheme="majorHAnsi" w:hAnsiTheme="majorHAnsi" w:cs="Calibri"/>
              </w:rPr>
              <w:t xml:space="preserve"> injection every other week and increase frequency to every week, as clinically appropriate.</w:t>
            </w:r>
          </w:p>
        </w:tc>
      </w:tr>
      <w:tr w:rsidR="00F27BE1" w:rsidRPr="001922B7" w14:paraId="3104C388" w14:textId="77777777" w:rsidTr="00F27BE1">
        <w:trPr>
          <w:trHeight w:val="275"/>
        </w:trPr>
        <w:tc>
          <w:tcPr>
            <w:tcW w:w="1411" w:type="pct"/>
          </w:tcPr>
          <w:p w14:paraId="5D4A693B"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ANC &lt; 0.5</w:t>
            </w:r>
          </w:p>
        </w:tc>
        <w:tc>
          <w:tcPr>
            <w:tcW w:w="3589" w:type="pct"/>
          </w:tcPr>
          <w:p w14:paraId="0AB3DBD2" w14:textId="6F504A8E"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Discontinue </w:t>
            </w:r>
            <w:r w:rsidR="00861784" w:rsidRPr="008D4276">
              <w:rPr>
                <w:rFonts w:asciiTheme="majorHAnsi" w:hAnsiTheme="majorHAnsi" w:cs="Calibri"/>
              </w:rPr>
              <w:t>Avtozma</w:t>
            </w:r>
            <w:r w:rsidR="00040287" w:rsidRPr="008D4276" w:rsidDel="00D054F7">
              <w:rPr>
                <w:rFonts w:asciiTheme="majorHAnsi" w:hAnsiTheme="majorHAnsi" w:cs="Calibri"/>
              </w:rPr>
              <w:t xml:space="preserve"> </w:t>
            </w:r>
            <w:r w:rsidRPr="008D4276">
              <w:rPr>
                <w:rFonts w:asciiTheme="majorHAnsi" w:hAnsiTheme="majorHAnsi" w:cs="Calibri"/>
              </w:rPr>
              <w:t>.</w:t>
            </w:r>
          </w:p>
        </w:tc>
      </w:tr>
    </w:tbl>
    <w:p w14:paraId="545DC130" w14:textId="77777777" w:rsidR="009C556A" w:rsidRDefault="009C556A" w:rsidP="008E0261">
      <w:pPr>
        <w:tabs>
          <w:tab w:val="left" w:pos="1945"/>
        </w:tabs>
        <w:spacing w:after="200"/>
        <w:ind w:left="1380"/>
        <w:rPr>
          <w:rFonts w:asciiTheme="majorHAnsi" w:hAnsiTheme="majorHAnsi" w:cstheme="minorHAnsi"/>
        </w:rPr>
      </w:pPr>
    </w:p>
    <w:p w14:paraId="14B8A272" w14:textId="7E0657A8" w:rsidR="00F27BE1" w:rsidRPr="008D4276" w:rsidRDefault="00F27BE1" w:rsidP="00F27BE1">
      <w:pPr>
        <w:numPr>
          <w:ilvl w:val="2"/>
          <w:numId w:val="11"/>
        </w:numPr>
        <w:tabs>
          <w:tab w:val="left" w:pos="1945"/>
        </w:tabs>
        <w:spacing w:after="200"/>
        <w:rPr>
          <w:rFonts w:asciiTheme="majorHAnsi" w:hAnsiTheme="majorHAnsi" w:cstheme="minorHAnsi"/>
        </w:rPr>
      </w:pPr>
      <w:r w:rsidRPr="008D4276">
        <w:rPr>
          <w:rFonts w:asciiTheme="majorHAnsi" w:hAnsiTheme="majorHAnsi" w:cstheme="minorHAnsi"/>
        </w:rPr>
        <w:t>Low platelet count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6475"/>
      </w:tblGrid>
      <w:tr w:rsidR="00F27BE1" w:rsidRPr="001922B7" w14:paraId="1E360F32" w14:textId="77777777" w:rsidTr="00F27BE1">
        <w:trPr>
          <w:trHeight w:val="554"/>
        </w:trPr>
        <w:tc>
          <w:tcPr>
            <w:tcW w:w="1411" w:type="pct"/>
          </w:tcPr>
          <w:p w14:paraId="20800F71"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Lab Value (cells x 109/L)</w:t>
            </w:r>
          </w:p>
        </w:tc>
        <w:tc>
          <w:tcPr>
            <w:tcW w:w="3589" w:type="pct"/>
          </w:tcPr>
          <w:p w14:paraId="6BDD2735"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Action</w:t>
            </w:r>
          </w:p>
        </w:tc>
      </w:tr>
      <w:tr w:rsidR="00F27BE1" w:rsidRPr="001922B7" w14:paraId="1D6DA59F" w14:textId="77777777" w:rsidTr="00F27BE1">
        <w:trPr>
          <w:trHeight w:val="1931"/>
        </w:trPr>
        <w:tc>
          <w:tcPr>
            <w:tcW w:w="1411" w:type="pct"/>
          </w:tcPr>
          <w:p w14:paraId="1AF1BD38"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50 to 100</w:t>
            </w:r>
          </w:p>
        </w:tc>
        <w:tc>
          <w:tcPr>
            <w:tcW w:w="3589" w:type="pct"/>
          </w:tcPr>
          <w:p w14:paraId="46F4CED5" w14:textId="76492A16"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Interrupt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xml:space="preserve"> dosing</w:t>
            </w:r>
          </w:p>
          <w:p w14:paraId="38AF91C7" w14:textId="11F305FD"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For patients receiving intravenous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when platelet count is &gt; 100 x 10</w:t>
            </w:r>
            <w:r w:rsidRPr="008D4276">
              <w:rPr>
                <w:rFonts w:asciiTheme="majorHAnsi" w:hAnsiTheme="majorHAnsi" w:cs="Calibri"/>
                <w:vertAlign w:val="superscript"/>
              </w:rPr>
              <w:t>9</w:t>
            </w:r>
            <w:r w:rsidRPr="008D4276">
              <w:rPr>
                <w:rFonts w:asciiTheme="majorHAnsi" w:hAnsiTheme="majorHAnsi" w:cs="Calibri"/>
              </w:rPr>
              <w:t xml:space="preserve">/L resume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xml:space="preserve"> at 4 mg/kg and increase to 8 mg/kg as clinically appropriate.</w:t>
            </w:r>
          </w:p>
          <w:p w14:paraId="42785550" w14:textId="3C38AA0D"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For patients receiving subcutaneous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when platelet count is &gt; 100 x 10</w:t>
            </w:r>
            <w:r w:rsidRPr="008D4276">
              <w:rPr>
                <w:rFonts w:asciiTheme="majorHAnsi" w:hAnsiTheme="majorHAnsi" w:cs="Calibri"/>
                <w:vertAlign w:val="superscript"/>
              </w:rPr>
              <w:t>9</w:t>
            </w:r>
            <w:r w:rsidRPr="008D4276">
              <w:rPr>
                <w:rFonts w:asciiTheme="majorHAnsi" w:hAnsiTheme="majorHAnsi" w:cs="Calibri"/>
              </w:rPr>
              <w:t>/L resume</w:t>
            </w:r>
            <w:r w:rsidR="002A5FC9" w:rsidRPr="008D4276">
              <w:rPr>
                <w:rFonts w:asciiTheme="majorHAnsi" w:hAnsiTheme="majorHAnsi" w:cs="Calibri"/>
              </w:rPr>
              <w:t xml:space="preserve"> Avtozma</w:t>
            </w:r>
            <w:r w:rsidR="002A5FC9" w:rsidRPr="008D4276" w:rsidDel="002A5FC9">
              <w:rPr>
                <w:rFonts w:asciiTheme="majorHAnsi" w:hAnsiTheme="majorHAnsi" w:cs="Calibri"/>
              </w:rPr>
              <w:t xml:space="preserve"> </w:t>
            </w:r>
            <w:r w:rsidRPr="008D4276">
              <w:rPr>
                <w:rFonts w:asciiTheme="majorHAnsi" w:hAnsiTheme="majorHAnsi" w:cs="Calibri"/>
              </w:rPr>
              <w:t xml:space="preserve"> injection every other week and increase frequency to every week, as clinically appropriate.</w:t>
            </w:r>
          </w:p>
        </w:tc>
      </w:tr>
      <w:tr w:rsidR="00F27BE1" w:rsidRPr="001922B7" w14:paraId="63A6D9A3" w14:textId="77777777" w:rsidTr="00F27BE1">
        <w:trPr>
          <w:trHeight w:val="275"/>
        </w:trPr>
        <w:tc>
          <w:tcPr>
            <w:tcW w:w="1411" w:type="pct"/>
          </w:tcPr>
          <w:p w14:paraId="12778A26"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&lt; 50</w:t>
            </w:r>
          </w:p>
        </w:tc>
        <w:tc>
          <w:tcPr>
            <w:tcW w:w="3589" w:type="pct"/>
          </w:tcPr>
          <w:p w14:paraId="0EFB8EED" w14:textId="57307F19"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Discontinue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w:t>
            </w:r>
          </w:p>
        </w:tc>
      </w:tr>
    </w:tbl>
    <w:p w14:paraId="5932097C" w14:textId="77777777" w:rsidR="00F27BE1" w:rsidRPr="008D4276" w:rsidRDefault="00F27BE1" w:rsidP="00854645">
      <w:pPr>
        <w:tabs>
          <w:tab w:val="left" w:pos="1945"/>
        </w:tabs>
        <w:rPr>
          <w:rFonts w:asciiTheme="majorHAnsi" w:hAnsiTheme="majorHAnsi" w:cstheme="minorHAnsi"/>
        </w:rPr>
      </w:pPr>
    </w:p>
    <w:p w14:paraId="4EC98F5C" w14:textId="77777777" w:rsidR="00F27BE1" w:rsidRPr="008D4276" w:rsidRDefault="00F27BE1" w:rsidP="004D6592">
      <w:pPr>
        <w:pStyle w:val="Heading4"/>
        <w:rPr>
          <w:rFonts w:asciiTheme="majorHAnsi" w:hAnsiTheme="majorHAnsi"/>
        </w:rPr>
      </w:pPr>
      <w:r w:rsidRPr="008D4276">
        <w:rPr>
          <w:rFonts w:asciiTheme="majorHAnsi" w:hAnsiTheme="majorHAnsi"/>
        </w:rPr>
        <w:lastRenderedPageBreak/>
        <w:t>Giant Cell Arteritis (SC formulation only)</w:t>
      </w:r>
    </w:p>
    <w:p w14:paraId="258DA52C" w14:textId="7A88C3A3" w:rsidR="00F27BE1" w:rsidRPr="008D4276" w:rsidRDefault="00F27BE1" w:rsidP="00F27BE1">
      <w:pPr>
        <w:tabs>
          <w:tab w:val="left" w:pos="1945"/>
        </w:tabs>
        <w:rPr>
          <w:rFonts w:asciiTheme="majorHAnsi" w:hAnsiTheme="majorHAnsi" w:cstheme="minorHAnsi"/>
        </w:rPr>
      </w:pPr>
      <w:r w:rsidRPr="008D4276">
        <w:rPr>
          <w:rFonts w:asciiTheme="majorHAnsi" w:hAnsiTheme="majorHAnsi" w:cstheme="minorHAnsi"/>
        </w:rPr>
        <w:t xml:space="preserve">The recommended dose of </w:t>
      </w:r>
      <w:r w:rsidR="00D054F7" w:rsidRPr="008D4276">
        <w:rPr>
          <w:rFonts w:asciiTheme="majorHAnsi" w:hAnsiTheme="majorHAnsi" w:cstheme="minorHAnsi"/>
        </w:rPr>
        <w:t>AVTOZMA</w:t>
      </w:r>
      <w:r w:rsidRPr="008D4276">
        <w:rPr>
          <w:rFonts w:asciiTheme="majorHAnsi" w:hAnsiTheme="majorHAnsi" w:cstheme="minorHAnsi"/>
        </w:rPr>
        <w:t xml:space="preserve"> for adult patients with GCA is 162 mg given once every week as a subcutaneous injection, in combination with a tapering course of glucocorticoids. A dose of 162</w:t>
      </w:r>
      <w:r w:rsidR="00B36DBA" w:rsidRPr="008D4276">
        <w:rPr>
          <w:rFonts w:asciiTheme="majorHAnsi" w:hAnsiTheme="majorHAnsi" w:cstheme="minorHAnsi"/>
        </w:rPr>
        <w:t> </w:t>
      </w:r>
      <w:r w:rsidRPr="008D4276">
        <w:rPr>
          <w:rFonts w:asciiTheme="majorHAnsi" w:hAnsiTheme="majorHAnsi" w:cstheme="minorHAnsi"/>
        </w:rPr>
        <w:t>mg given once every other week as a subcutaneous injection, in combination with a tapering course of glucocorticoids, may be prescribed based on clinical considerations.</w:t>
      </w:r>
    </w:p>
    <w:p w14:paraId="46066047" w14:textId="2D55EFFC" w:rsidR="00F27BE1" w:rsidRPr="008D4276" w:rsidRDefault="002A5FC9" w:rsidP="00F27BE1">
      <w:pPr>
        <w:tabs>
          <w:tab w:val="left" w:pos="1945"/>
        </w:tabs>
        <w:rPr>
          <w:rFonts w:asciiTheme="majorHAnsi" w:hAnsiTheme="majorHAnsi" w:cstheme="minorHAnsi"/>
        </w:rPr>
      </w:pPr>
      <w:r w:rsidRPr="008D4276">
        <w:rPr>
          <w:rFonts w:asciiTheme="majorHAnsi" w:hAnsiTheme="majorHAnsi" w:cstheme="minorHAnsi"/>
        </w:rPr>
        <w:t>Avtozma</w:t>
      </w:r>
      <w:r w:rsidRPr="008D4276" w:rsidDel="002A5FC9">
        <w:rPr>
          <w:rFonts w:asciiTheme="majorHAnsi" w:hAnsiTheme="majorHAnsi" w:cstheme="minorHAnsi"/>
        </w:rPr>
        <w:t xml:space="preserve"> </w:t>
      </w:r>
      <w:r w:rsidR="00F27BE1" w:rsidRPr="008D4276">
        <w:rPr>
          <w:rFonts w:asciiTheme="majorHAnsi" w:hAnsiTheme="majorHAnsi" w:cstheme="minorHAnsi"/>
        </w:rPr>
        <w:t>can be used alone following discontinuation of glucocorticoids.</w:t>
      </w:r>
    </w:p>
    <w:p w14:paraId="7DA84EB8" w14:textId="5A119F23" w:rsidR="00F27BE1" w:rsidRPr="008D4276" w:rsidRDefault="00F27BE1" w:rsidP="00F27BE1">
      <w:pPr>
        <w:tabs>
          <w:tab w:val="left" w:pos="1945"/>
        </w:tabs>
        <w:rPr>
          <w:rFonts w:asciiTheme="majorHAnsi" w:hAnsiTheme="majorHAnsi" w:cstheme="minorHAnsi"/>
        </w:rPr>
      </w:pPr>
      <w:r w:rsidRPr="008D4276">
        <w:rPr>
          <w:rFonts w:asciiTheme="majorHAnsi" w:hAnsiTheme="majorHAnsi" w:cstheme="minorHAnsi"/>
        </w:rPr>
        <w:t xml:space="preserve">Data on use of </w:t>
      </w:r>
      <w:r w:rsidR="002A5FC9" w:rsidRPr="008D4276">
        <w:rPr>
          <w:rFonts w:asciiTheme="majorHAnsi" w:hAnsiTheme="majorHAnsi" w:cstheme="minorHAnsi"/>
        </w:rPr>
        <w:t>Avtozma</w:t>
      </w:r>
      <w:r w:rsidR="002A5FC9" w:rsidRPr="008D4276" w:rsidDel="002A5FC9">
        <w:rPr>
          <w:rFonts w:asciiTheme="majorHAnsi" w:hAnsiTheme="majorHAnsi" w:cstheme="minorHAnsi"/>
        </w:rPr>
        <w:t xml:space="preserve"> </w:t>
      </w:r>
      <w:r w:rsidRPr="008D4276">
        <w:rPr>
          <w:rFonts w:asciiTheme="majorHAnsi" w:hAnsiTheme="majorHAnsi" w:cstheme="minorHAnsi"/>
        </w:rPr>
        <w:t>beyond 52 weeks is limited. Treatment beyond 52 weeks should be guided by disease activity, physician assessments, patient choice and emerging data.</w:t>
      </w:r>
    </w:p>
    <w:p w14:paraId="475AB3F2" w14:textId="7112E3F1" w:rsidR="00F27BE1" w:rsidRPr="008D4276" w:rsidRDefault="00F27BE1" w:rsidP="00F27BE1">
      <w:pPr>
        <w:tabs>
          <w:tab w:val="left" w:pos="1945"/>
        </w:tabs>
        <w:rPr>
          <w:rFonts w:asciiTheme="majorHAnsi" w:hAnsiTheme="majorHAnsi" w:cstheme="minorHAnsi"/>
        </w:rPr>
      </w:pPr>
      <w:r w:rsidRPr="008D4276">
        <w:rPr>
          <w:rFonts w:asciiTheme="majorHAnsi" w:hAnsiTheme="majorHAnsi" w:cstheme="minorHAnsi"/>
        </w:rPr>
        <w:t xml:space="preserve">In the event of patients experiencing a relapse of GCA during the course of </w:t>
      </w:r>
      <w:r w:rsidR="002A5FC9" w:rsidRPr="008D4276">
        <w:rPr>
          <w:rFonts w:asciiTheme="majorHAnsi" w:hAnsiTheme="majorHAnsi" w:cstheme="minorHAnsi"/>
        </w:rPr>
        <w:t>Avtozma</w:t>
      </w:r>
      <w:r w:rsidR="002A5FC9" w:rsidRPr="008D4276" w:rsidDel="002A5FC9">
        <w:rPr>
          <w:rFonts w:asciiTheme="majorHAnsi" w:hAnsiTheme="majorHAnsi" w:cstheme="minorHAnsi"/>
        </w:rPr>
        <w:t xml:space="preserve"> </w:t>
      </w:r>
      <w:r w:rsidRPr="008D4276">
        <w:rPr>
          <w:rFonts w:asciiTheme="majorHAnsi" w:hAnsiTheme="majorHAnsi" w:cstheme="minorHAnsi"/>
        </w:rPr>
        <w:t>therapy, the treating physician should consider re-introducing and/or escalating the dose of concomitant glucocorticoids (or restarting glucocorticoid therapy if it has been discontinued) according to best medical judgement/treatment guidelines.</w:t>
      </w:r>
    </w:p>
    <w:p w14:paraId="566BDEE6" w14:textId="7CBF99C5" w:rsidR="00F27BE1" w:rsidRPr="008D4276" w:rsidRDefault="002A5FC9" w:rsidP="00F27BE1">
      <w:pPr>
        <w:tabs>
          <w:tab w:val="left" w:pos="1945"/>
        </w:tabs>
        <w:rPr>
          <w:rFonts w:asciiTheme="majorHAnsi" w:hAnsiTheme="majorHAnsi" w:cstheme="minorHAnsi"/>
        </w:rPr>
      </w:pPr>
      <w:r w:rsidRPr="008D4276">
        <w:rPr>
          <w:rFonts w:asciiTheme="majorHAnsi" w:hAnsiTheme="majorHAnsi" w:cstheme="minorHAnsi"/>
        </w:rPr>
        <w:t>Avtozma</w:t>
      </w:r>
      <w:r w:rsidRPr="008D4276" w:rsidDel="002A5FC9">
        <w:rPr>
          <w:rFonts w:asciiTheme="majorHAnsi" w:hAnsiTheme="majorHAnsi" w:cstheme="minorHAnsi"/>
        </w:rPr>
        <w:t xml:space="preserve"> </w:t>
      </w:r>
      <w:r w:rsidR="00F27BE1" w:rsidRPr="008D4276">
        <w:rPr>
          <w:rFonts w:asciiTheme="majorHAnsi" w:hAnsiTheme="majorHAnsi" w:cstheme="minorHAnsi"/>
        </w:rPr>
        <w:t>SC formulation is not intended for IV administration.</w:t>
      </w:r>
    </w:p>
    <w:p w14:paraId="03531359" w14:textId="77777777" w:rsidR="00F27BE1" w:rsidRPr="008D4276" w:rsidRDefault="00F27BE1" w:rsidP="00F27BE1">
      <w:pPr>
        <w:tabs>
          <w:tab w:val="left" w:pos="1945"/>
        </w:tabs>
        <w:rPr>
          <w:rFonts w:asciiTheme="majorHAnsi" w:hAnsiTheme="majorHAnsi" w:cstheme="minorHAnsi"/>
        </w:rPr>
      </w:pPr>
      <w:r w:rsidRPr="008D4276">
        <w:rPr>
          <w:rFonts w:asciiTheme="majorHAnsi" w:hAnsiTheme="majorHAnsi" w:cstheme="minorHAnsi"/>
        </w:rPr>
        <w:t>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The patient must be closely monitored during the injection and afterwards for any signs and symptoms of a hypersensitivity reaction.</w:t>
      </w:r>
    </w:p>
    <w:p w14:paraId="2519DF20" w14:textId="56854BE6" w:rsidR="00F27BE1" w:rsidRPr="008D4276" w:rsidRDefault="00F27BE1" w:rsidP="00F27BE1">
      <w:pPr>
        <w:tabs>
          <w:tab w:val="left" w:pos="1945"/>
        </w:tabs>
        <w:rPr>
          <w:rFonts w:asciiTheme="majorHAnsi" w:hAnsiTheme="majorHAnsi" w:cstheme="minorHAnsi"/>
        </w:rPr>
      </w:pPr>
      <w:r w:rsidRPr="008D4276">
        <w:rPr>
          <w:rFonts w:asciiTheme="majorHAnsi" w:hAnsiTheme="majorHAnsi" w:cstheme="minorHAnsi"/>
        </w:rPr>
        <w:t xml:space="preserve">Subcutaneous </w:t>
      </w:r>
      <w:r w:rsidR="002A5FC9" w:rsidRPr="008D4276">
        <w:rPr>
          <w:rFonts w:asciiTheme="majorHAnsi" w:hAnsiTheme="majorHAnsi" w:cstheme="minorHAnsi"/>
        </w:rPr>
        <w:t>Avtozma</w:t>
      </w:r>
      <w:r w:rsidR="002A5FC9" w:rsidRPr="008D4276" w:rsidDel="002A5FC9">
        <w:rPr>
          <w:rFonts w:asciiTheme="majorHAnsi" w:hAnsiTheme="majorHAnsi" w:cstheme="minorHAnsi"/>
        </w:rPr>
        <w:t xml:space="preserve"> </w:t>
      </w:r>
      <w:r w:rsidRPr="008D4276">
        <w:rPr>
          <w:rFonts w:asciiTheme="majorHAnsi" w:hAnsiTheme="majorHAnsi" w:cstheme="minorHAnsi"/>
        </w:rPr>
        <w:t xml:space="preserve">is intended for use under the guidance and supervision of the patient’s treating physician. After proper training in injection technique, patients may self-inject with </w:t>
      </w:r>
      <w:r w:rsidR="002A5FC9" w:rsidRPr="008D4276">
        <w:rPr>
          <w:rFonts w:asciiTheme="majorHAnsi" w:hAnsiTheme="majorHAnsi" w:cstheme="minorHAnsi"/>
        </w:rPr>
        <w:t>Avtozma</w:t>
      </w:r>
      <w:r w:rsidR="002A5FC9" w:rsidRPr="008D4276" w:rsidDel="002A5FC9">
        <w:rPr>
          <w:rFonts w:asciiTheme="majorHAnsi" w:hAnsiTheme="majorHAnsi" w:cstheme="minorHAnsi"/>
        </w:rPr>
        <w:t xml:space="preserve"> </w:t>
      </w:r>
      <w:r w:rsidRPr="008D4276">
        <w:rPr>
          <w:rFonts w:asciiTheme="majorHAnsi" w:hAnsiTheme="majorHAnsi" w:cstheme="minorHAnsi"/>
        </w:rPr>
        <w:t>only if their treating physician determines that it is appropriate and is satisfied that the patient can safely self-inject in the home environment and with medical follow-up as necessary.</w:t>
      </w:r>
    </w:p>
    <w:p w14:paraId="08191F9B" w14:textId="52BD9C9B" w:rsidR="00F27BE1" w:rsidRPr="008D4276" w:rsidRDefault="00F27BE1" w:rsidP="00F27BE1">
      <w:pPr>
        <w:tabs>
          <w:tab w:val="left" w:pos="1945"/>
        </w:tabs>
        <w:rPr>
          <w:rFonts w:asciiTheme="majorHAnsi" w:hAnsiTheme="majorHAnsi" w:cstheme="minorHAnsi"/>
          <w:lang w:eastAsia="ko-KR"/>
        </w:rPr>
      </w:pPr>
      <w:r w:rsidRPr="008D4276">
        <w:rPr>
          <w:rFonts w:asciiTheme="majorHAnsi" w:hAnsiTheme="majorHAnsi" w:cstheme="minorHAnsi"/>
        </w:rPr>
        <w:t>Assess suitability of patient for SC home use and instruct patients to inform a healthcare professional if they experience symptoms of allergic reaction before administering the next dose. Patients should seek immediate medical attention if developing symptoms of serious allergic reactions (see section 4.4 Special Warnings and Precautions). Treating healthcare professionals must ensure that the patient is aware of the signs of hypersensitivity and the risk of anaphylaxis, and is capable of seeking assistance should early features of a serious hypersensitivity reaction occur.</w:t>
      </w:r>
    </w:p>
    <w:p w14:paraId="7CA10836"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Dose Modification Recommendations for GCA</w:t>
      </w:r>
    </w:p>
    <w:p w14:paraId="48C4F794" w14:textId="77777777" w:rsidR="00F27BE1" w:rsidRPr="008D4276" w:rsidRDefault="00F27BE1" w:rsidP="00F27BE1">
      <w:pPr>
        <w:numPr>
          <w:ilvl w:val="2"/>
          <w:numId w:val="11"/>
        </w:numPr>
        <w:tabs>
          <w:tab w:val="left" w:pos="1945"/>
        </w:tabs>
        <w:spacing w:after="200"/>
        <w:rPr>
          <w:rFonts w:asciiTheme="majorHAnsi" w:hAnsiTheme="majorHAnsi" w:cstheme="minorHAnsi"/>
        </w:rPr>
      </w:pPr>
      <w:r w:rsidRPr="008D4276">
        <w:rPr>
          <w:rFonts w:asciiTheme="majorHAnsi" w:hAnsiTheme="majorHAnsi" w:cstheme="minorHAnsi"/>
        </w:rPr>
        <w:t>Liver enzyme abnormalities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6"/>
        <w:gridCol w:w="6944"/>
      </w:tblGrid>
      <w:tr w:rsidR="00F27BE1" w:rsidRPr="001922B7" w14:paraId="09866CD6" w14:textId="77777777" w:rsidTr="00F27BE1">
        <w:trPr>
          <w:trHeight w:val="275"/>
        </w:trPr>
        <w:tc>
          <w:tcPr>
            <w:tcW w:w="1151" w:type="pct"/>
          </w:tcPr>
          <w:p w14:paraId="7ECED2A7"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Lab Value</w:t>
            </w:r>
          </w:p>
        </w:tc>
        <w:tc>
          <w:tcPr>
            <w:tcW w:w="3849" w:type="pct"/>
          </w:tcPr>
          <w:p w14:paraId="5F743E49"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Action</w:t>
            </w:r>
          </w:p>
        </w:tc>
      </w:tr>
      <w:tr w:rsidR="00F27BE1" w:rsidRPr="001922B7" w14:paraId="65AFBA72" w14:textId="77777777" w:rsidTr="00F27BE1">
        <w:trPr>
          <w:trHeight w:val="1379"/>
        </w:trPr>
        <w:tc>
          <w:tcPr>
            <w:tcW w:w="1151" w:type="pct"/>
          </w:tcPr>
          <w:p w14:paraId="0509F9F4"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&gt; 1 to 3 x ULN</w:t>
            </w:r>
          </w:p>
        </w:tc>
        <w:tc>
          <w:tcPr>
            <w:tcW w:w="3849" w:type="pct"/>
          </w:tcPr>
          <w:p w14:paraId="6AC6BF8F" w14:textId="2B75E95B" w:rsidR="00F27BE1" w:rsidRPr="008D4276" w:rsidRDefault="00F27BE1" w:rsidP="00E63BA6">
            <w:pPr>
              <w:pStyle w:val="NoSpacing"/>
              <w:rPr>
                <w:rFonts w:asciiTheme="majorHAnsi" w:hAnsiTheme="majorHAnsi" w:cs="Calibri"/>
              </w:rPr>
            </w:pPr>
            <w:r w:rsidRPr="008D4276">
              <w:rPr>
                <w:rFonts w:asciiTheme="majorHAnsi" w:hAnsiTheme="majorHAnsi" w:cs="Calibri"/>
              </w:rPr>
              <w:t>Dose modify concomitant immunomodulatory agents if appropriate. For patients with persistent increases in this range, reduce</w:t>
            </w:r>
            <w:r w:rsidR="002A5FC9" w:rsidRPr="008D4276">
              <w:rPr>
                <w:rFonts w:asciiTheme="majorHAnsi" w:hAnsiTheme="majorHAnsi" w:cs="Calibri"/>
              </w:rPr>
              <w:t xml:space="preserve"> Avtozma</w:t>
            </w:r>
            <w:r w:rsidR="00040287" w:rsidRPr="008D4276" w:rsidDel="00D054F7">
              <w:rPr>
                <w:rFonts w:asciiTheme="majorHAnsi" w:hAnsiTheme="majorHAnsi" w:cs="Calibri"/>
              </w:rPr>
              <w:t xml:space="preserve"> </w:t>
            </w:r>
            <w:r w:rsidR="002A5FC9" w:rsidRPr="008D4276" w:rsidDel="002A5FC9">
              <w:rPr>
                <w:rFonts w:asciiTheme="majorHAnsi" w:hAnsiTheme="majorHAnsi" w:cs="Calibri"/>
              </w:rPr>
              <w:t xml:space="preserve"> </w:t>
            </w:r>
            <w:r w:rsidRPr="008D4276">
              <w:rPr>
                <w:rFonts w:asciiTheme="majorHAnsi" w:hAnsiTheme="majorHAnsi" w:cs="Calibri"/>
              </w:rPr>
              <w:t xml:space="preserve">injection frequency to every other week or interrupt </w:t>
            </w:r>
            <w:r w:rsidR="002A5FC9" w:rsidRPr="008D4276">
              <w:rPr>
                <w:rFonts w:asciiTheme="majorHAnsi" w:hAnsiTheme="majorHAnsi" w:cs="Calibri"/>
              </w:rPr>
              <w:t>Avtozma</w:t>
            </w:r>
            <w:r w:rsidR="00040287" w:rsidRPr="008D4276" w:rsidDel="00D054F7">
              <w:rPr>
                <w:rFonts w:asciiTheme="majorHAnsi" w:hAnsiTheme="majorHAnsi" w:cs="Calibri"/>
              </w:rPr>
              <w:t xml:space="preserve"> </w:t>
            </w:r>
            <w:r w:rsidR="00040287" w:rsidRPr="008D4276">
              <w:rPr>
                <w:rFonts w:asciiTheme="majorHAnsi" w:hAnsiTheme="majorHAnsi" w:cs="Calibri"/>
              </w:rPr>
              <w:t xml:space="preserve"> </w:t>
            </w:r>
            <w:r w:rsidRPr="008D4276">
              <w:rPr>
                <w:rFonts w:asciiTheme="majorHAnsi" w:hAnsiTheme="majorHAnsi" w:cs="Calibri"/>
              </w:rPr>
              <w:t>until ALT/AST have normalised. Restart with weekly injection or injection every other week, as clinically appropriate.</w:t>
            </w:r>
          </w:p>
        </w:tc>
      </w:tr>
      <w:tr w:rsidR="00F27BE1" w:rsidRPr="001922B7" w14:paraId="7D320975" w14:textId="77777777" w:rsidTr="008E0261">
        <w:trPr>
          <w:trHeight w:val="1079"/>
        </w:trPr>
        <w:tc>
          <w:tcPr>
            <w:tcW w:w="1151" w:type="pct"/>
          </w:tcPr>
          <w:p w14:paraId="21909E07"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lastRenderedPageBreak/>
              <w:t>&gt; 3 to 5 x ULN</w:t>
            </w:r>
          </w:p>
        </w:tc>
        <w:tc>
          <w:tcPr>
            <w:tcW w:w="3849" w:type="pct"/>
          </w:tcPr>
          <w:p w14:paraId="440B3AA0" w14:textId="72DF67A9" w:rsidR="00F27BE1" w:rsidRPr="008E0261" w:rsidRDefault="00F27BE1" w:rsidP="00A441EB">
            <w:pPr>
              <w:pStyle w:val="NoSpacing"/>
            </w:pPr>
            <w:r w:rsidRPr="008E0261">
              <w:t>Interrupt</w:t>
            </w:r>
            <w:r w:rsidR="00A441EB">
              <w:rPr>
                <w:rFonts w:hint="eastAsia"/>
                <w:lang w:eastAsia="ko-KR"/>
              </w:rPr>
              <w:t xml:space="preserve"> </w:t>
            </w:r>
            <w:r w:rsidR="002A5FC9" w:rsidRPr="008E0261">
              <w:t>Avtozma</w:t>
            </w:r>
            <w:r w:rsidR="002A5FC9" w:rsidRPr="008E0261" w:rsidDel="002A5FC9">
              <w:t xml:space="preserve"> </w:t>
            </w:r>
            <w:r w:rsidRPr="008E0261">
              <w:t>dosing</w:t>
            </w:r>
            <w:r w:rsidR="00A441EB">
              <w:rPr>
                <w:rFonts w:hint="eastAsia"/>
                <w:lang w:eastAsia="ko-KR"/>
              </w:rPr>
              <w:t xml:space="preserve"> </w:t>
            </w:r>
            <w:r w:rsidRPr="008E0261">
              <w:t>until</w:t>
            </w:r>
            <w:r w:rsidRPr="008E0261">
              <w:tab/>
              <w:t>&lt;</w:t>
            </w:r>
            <w:r w:rsidR="00A441EB">
              <w:rPr>
                <w:rFonts w:hint="eastAsia"/>
                <w:lang w:eastAsia="ko-KR"/>
              </w:rPr>
              <w:t xml:space="preserve"> </w:t>
            </w:r>
            <w:r w:rsidRPr="008E0261">
              <w:t>3</w:t>
            </w:r>
            <w:r w:rsidR="00A441EB">
              <w:rPr>
                <w:rFonts w:hint="eastAsia"/>
                <w:lang w:eastAsia="ko-KR"/>
              </w:rPr>
              <w:t xml:space="preserve"> </w:t>
            </w:r>
            <w:r w:rsidRPr="008E0261">
              <w:t>x</w:t>
            </w:r>
            <w:r w:rsidR="00A441EB">
              <w:rPr>
                <w:rFonts w:hint="eastAsia"/>
                <w:lang w:eastAsia="ko-KR"/>
              </w:rPr>
              <w:t xml:space="preserve"> </w:t>
            </w:r>
            <w:r w:rsidRPr="008E0261">
              <w:t>ULN</w:t>
            </w:r>
            <w:r w:rsidR="00A441EB">
              <w:rPr>
                <w:rFonts w:hint="eastAsia"/>
                <w:lang w:eastAsia="ko-KR"/>
              </w:rPr>
              <w:t xml:space="preserve"> </w:t>
            </w:r>
            <w:r w:rsidRPr="008E0261">
              <w:t>and</w:t>
            </w:r>
            <w:r w:rsidR="00A441EB">
              <w:rPr>
                <w:rFonts w:hint="eastAsia"/>
                <w:lang w:eastAsia="ko-KR"/>
              </w:rPr>
              <w:t xml:space="preserve"> </w:t>
            </w:r>
            <w:r w:rsidRPr="008E0261">
              <w:t>follow recommendations above for &gt;1 to 3 x ULN.</w:t>
            </w:r>
          </w:p>
          <w:p w14:paraId="6A05D7BB" w14:textId="692A8BEC" w:rsidR="00F27BE1" w:rsidRPr="008E0261" w:rsidRDefault="00F27BE1" w:rsidP="008E0261">
            <w:r w:rsidRPr="008E0261">
              <w:t>For persistent increases &gt; 3 x ULN (confirmed by repeat testing, see section 4.4 Special Warnings and Precautions for Use), discontinue</w:t>
            </w:r>
            <w:r w:rsidR="00A441EB">
              <w:rPr>
                <w:rFonts w:hint="eastAsia"/>
                <w:lang w:eastAsia="ko-KR"/>
              </w:rPr>
              <w:t xml:space="preserve"> Avtozma.</w:t>
            </w:r>
          </w:p>
        </w:tc>
      </w:tr>
      <w:tr w:rsidR="00F27BE1" w:rsidRPr="001922B7" w14:paraId="53B6F8F3" w14:textId="77777777" w:rsidTr="00F27BE1">
        <w:trPr>
          <w:trHeight w:val="275"/>
        </w:trPr>
        <w:tc>
          <w:tcPr>
            <w:tcW w:w="1151" w:type="pct"/>
          </w:tcPr>
          <w:p w14:paraId="03A1B642"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&gt; 5 x ULN</w:t>
            </w:r>
          </w:p>
        </w:tc>
        <w:tc>
          <w:tcPr>
            <w:tcW w:w="3849" w:type="pct"/>
          </w:tcPr>
          <w:p w14:paraId="6DD9B30D" w14:textId="2046C616"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Discontinue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w:t>
            </w:r>
          </w:p>
        </w:tc>
      </w:tr>
    </w:tbl>
    <w:p w14:paraId="2EF48E87" w14:textId="77777777" w:rsidR="00D054F7" w:rsidRPr="008D4276" w:rsidRDefault="00D054F7" w:rsidP="004D6592">
      <w:pPr>
        <w:rPr>
          <w:rFonts w:asciiTheme="majorHAnsi" w:hAnsiTheme="majorHAnsi" w:cstheme="minorHAnsi"/>
        </w:rPr>
      </w:pPr>
    </w:p>
    <w:p w14:paraId="2D796C9A" w14:textId="498FDBEA" w:rsidR="00F27BE1" w:rsidRPr="008D4276" w:rsidRDefault="00F27BE1" w:rsidP="00F27BE1">
      <w:pPr>
        <w:numPr>
          <w:ilvl w:val="2"/>
          <w:numId w:val="11"/>
        </w:numPr>
        <w:tabs>
          <w:tab w:val="left" w:pos="1945"/>
        </w:tabs>
        <w:spacing w:after="200"/>
        <w:rPr>
          <w:rFonts w:asciiTheme="majorHAnsi" w:hAnsiTheme="majorHAnsi" w:cstheme="minorHAnsi"/>
        </w:rPr>
      </w:pPr>
      <w:r w:rsidRPr="008D4276">
        <w:rPr>
          <w:rFonts w:asciiTheme="majorHAnsi" w:hAnsiTheme="majorHAnsi" w:cstheme="minorHAnsi"/>
        </w:rPr>
        <w:t>Low absolute neutrophil count (ANC)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1"/>
        <w:gridCol w:w="7059"/>
      </w:tblGrid>
      <w:tr w:rsidR="00F27BE1" w:rsidRPr="001922B7" w14:paraId="2971AA5F" w14:textId="77777777" w:rsidTr="00F27BE1">
        <w:trPr>
          <w:trHeight w:val="551"/>
        </w:trPr>
        <w:tc>
          <w:tcPr>
            <w:tcW w:w="1087" w:type="pct"/>
          </w:tcPr>
          <w:p w14:paraId="38050660"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Lab Value (cells x 109/L)</w:t>
            </w:r>
          </w:p>
        </w:tc>
        <w:tc>
          <w:tcPr>
            <w:tcW w:w="3913" w:type="pct"/>
          </w:tcPr>
          <w:p w14:paraId="33D264CC"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Action</w:t>
            </w:r>
          </w:p>
        </w:tc>
      </w:tr>
      <w:tr w:rsidR="00F27BE1" w:rsidRPr="001922B7" w14:paraId="66CA98F3" w14:textId="77777777" w:rsidTr="00F27BE1">
        <w:trPr>
          <w:trHeight w:val="275"/>
        </w:trPr>
        <w:tc>
          <w:tcPr>
            <w:tcW w:w="1087" w:type="pct"/>
          </w:tcPr>
          <w:p w14:paraId="08A1C433"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ANC &gt; 1</w:t>
            </w:r>
          </w:p>
        </w:tc>
        <w:tc>
          <w:tcPr>
            <w:tcW w:w="3913" w:type="pct"/>
          </w:tcPr>
          <w:p w14:paraId="40F08928"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Maintain dose.</w:t>
            </w:r>
          </w:p>
        </w:tc>
      </w:tr>
      <w:tr w:rsidR="00F27BE1" w:rsidRPr="001922B7" w14:paraId="4D5E5F8F" w14:textId="77777777" w:rsidTr="00F27BE1">
        <w:trPr>
          <w:trHeight w:val="827"/>
        </w:trPr>
        <w:tc>
          <w:tcPr>
            <w:tcW w:w="1087" w:type="pct"/>
          </w:tcPr>
          <w:p w14:paraId="055A7ED1"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ANC 0.5 to 1</w:t>
            </w:r>
          </w:p>
        </w:tc>
        <w:tc>
          <w:tcPr>
            <w:tcW w:w="3913" w:type="pct"/>
          </w:tcPr>
          <w:p w14:paraId="7BBFD7E9" w14:textId="5629FC4D"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Interrupt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xml:space="preserve"> dosing</w:t>
            </w:r>
          </w:p>
          <w:p w14:paraId="09CB0A7F" w14:textId="23C10CA9" w:rsidR="00F27BE1" w:rsidRPr="008D4276" w:rsidRDefault="00F27BE1" w:rsidP="00E63BA6">
            <w:pPr>
              <w:pStyle w:val="NoSpacing"/>
              <w:rPr>
                <w:rFonts w:asciiTheme="majorHAnsi" w:hAnsiTheme="majorHAnsi" w:cs="Calibri"/>
              </w:rPr>
            </w:pPr>
            <w:r w:rsidRPr="008D4276">
              <w:rPr>
                <w:rFonts w:asciiTheme="majorHAnsi" w:hAnsiTheme="majorHAnsi" w:cs="Calibri"/>
              </w:rPr>
              <w:t>When ANC &gt; 1 x 10</w:t>
            </w:r>
            <w:r w:rsidRPr="008D4276">
              <w:rPr>
                <w:rFonts w:asciiTheme="majorHAnsi" w:hAnsiTheme="majorHAnsi" w:cs="Calibri"/>
                <w:vertAlign w:val="superscript"/>
              </w:rPr>
              <w:t>9</w:t>
            </w:r>
            <w:r w:rsidRPr="008D4276">
              <w:rPr>
                <w:rFonts w:asciiTheme="majorHAnsi" w:hAnsiTheme="majorHAnsi" w:cs="Calibri"/>
              </w:rPr>
              <w:t xml:space="preserve">/L resume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xml:space="preserve"> injection every other week and increase frequency to every week, as clinically appropriate.</w:t>
            </w:r>
          </w:p>
        </w:tc>
      </w:tr>
      <w:tr w:rsidR="00F27BE1" w:rsidRPr="001922B7" w14:paraId="6C4EDCF0" w14:textId="77777777" w:rsidTr="00F27BE1">
        <w:trPr>
          <w:trHeight w:val="277"/>
        </w:trPr>
        <w:tc>
          <w:tcPr>
            <w:tcW w:w="1087" w:type="pct"/>
          </w:tcPr>
          <w:p w14:paraId="3884DE58"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ANC &lt; 0.5</w:t>
            </w:r>
          </w:p>
        </w:tc>
        <w:tc>
          <w:tcPr>
            <w:tcW w:w="3913" w:type="pct"/>
          </w:tcPr>
          <w:p w14:paraId="5C52B74D" w14:textId="400F7E72" w:rsidR="00F27BE1" w:rsidRPr="008D4276" w:rsidRDefault="00F27BE1" w:rsidP="00E63BA6">
            <w:pPr>
              <w:pStyle w:val="NoSpacing"/>
              <w:rPr>
                <w:rFonts w:asciiTheme="majorHAnsi" w:hAnsiTheme="majorHAnsi" w:cs="Calibri"/>
              </w:rPr>
            </w:pPr>
            <w:r w:rsidRPr="008D4276">
              <w:rPr>
                <w:rFonts w:asciiTheme="majorHAnsi" w:hAnsiTheme="majorHAnsi" w:cs="Calibri"/>
              </w:rPr>
              <w:t>Discontinue</w:t>
            </w:r>
            <w:r w:rsidR="002A5FC9" w:rsidRPr="008D4276">
              <w:rPr>
                <w:rFonts w:asciiTheme="majorHAnsi" w:hAnsiTheme="majorHAnsi" w:cs="Calibri"/>
              </w:rPr>
              <w:t xml:space="preserve"> Avtozma</w:t>
            </w:r>
            <w:r w:rsidR="002A5FC9" w:rsidRPr="008D4276" w:rsidDel="002A5FC9">
              <w:rPr>
                <w:rFonts w:asciiTheme="majorHAnsi" w:hAnsiTheme="majorHAnsi" w:cs="Calibri"/>
              </w:rPr>
              <w:t xml:space="preserve"> </w:t>
            </w:r>
            <w:r w:rsidRPr="008D4276">
              <w:rPr>
                <w:rFonts w:asciiTheme="majorHAnsi" w:hAnsiTheme="majorHAnsi" w:cs="Calibri"/>
              </w:rPr>
              <w:t>.</w:t>
            </w:r>
          </w:p>
        </w:tc>
      </w:tr>
    </w:tbl>
    <w:p w14:paraId="2DE63B5F" w14:textId="77777777" w:rsidR="00D054F7" w:rsidRPr="008D4276" w:rsidRDefault="00D054F7" w:rsidP="004D6592">
      <w:pPr>
        <w:rPr>
          <w:rFonts w:asciiTheme="majorHAnsi" w:hAnsiTheme="majorHAnsi" w:cstheme="minorHAnsi"/>
        </w:rPr>
      </w:pPr>
    </w:p>
    <w:p w14:paraId="287EC678" w14:textId="6396DE97" w:rsidR="00F27BE1" w:rsidRPr="008D4276" w:rsidRDefault="00F27BE1" w:rsidP="00F27BE1">
      <w:pPr>
        <w:numPr>
          <w:ilvl w:val="2"/>
          <w:numId w:val="11"/>
        </w:numPr>
        <w:tabs>
          <w:tab w:val="left" w:pos="1945"/>
        </w:tabs>
        <w:spacing w:after="200"/>
        <w:rPr>
          <w:rFonts w:asciiTheme="majorHAnsi" w:hAnsiTheme="majorHAnsi" w:cstheme="minorHAnsi"/>
        </w:rPr>
      </w:pPr>
      <w:r w:rsidRPr="008D4276">
        <w:rPr>
          <w:rFonts w:asciiTheme="majorHAnsi" w:hAnsiTheme="majorHAnsi" w:cstheme="minorHAnsi"/>
        </w:rPr>
        <w:t>Low platelet count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1"/>
        <w:gridCol w:w="7039"/>
      </w:tblGrid>
      <w:tr w:rsidR="00F27BE1" w:rsidRPr="001922B7" w14:paraId="52EF482D" w14:textId="77777777" w:rsidTr="00F27BE1">
        <w:trPr>
          <w:trHeight w:val="552"/>
        </w:trPr>
        <w:tc>
          <w:tcPr>
            <w:tcW w:w="1098" w:type="pct"/>
          </w:tcPr>
          <w:p w14:paraId="2290B6FF"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Lab Value (cells x 109/L)</w:t>
            </w:r>
          </w:p>
        </w:tc>
        <w:tc>
          <w:tcPr>
            <w:tcW w:w="3902" w:type="pct"/>
          </w:tcPr>
          <w:p w14:paraId="24C92077" w14:textId="77777777" w:rsidR="00F27BE1" w:rsidRPr="008D4276" w:rsidRDefault="00F27BE1" w:rsidP="00D054F7">
            <w:pPr>
              <w:pStyle w:val="NoSpacing"/>
              <w:jc w:val="center"/>
              <w:rPr>
                <w:rFonts w:asciiTheme="majorHAnsi" w:hAnsiTheme="majorHAnsi" w:cs="Calibri"/>
                <w:b/>
                <w:bCs/>
              </w:rPr>
            </w:pPr>
            <w:r w:rsidRPr="008D4276">
              <w:rPr>
                <w:rFonts w:asciiTheme="majorHAnsi" w:hAnsiTheme="majorHAnsi" w:cs="Calibri"/>
                <w:b/>
                <w:bCs/>
              </w:rPr>
              <w:t>Action</w:t>
            </w:r>
          </w:p>
        </w:tc>
      </w:tr>
      <w:tr w:rsidR="00F27BE1" w:rsidRPr="001922B7" w14:paraId="57F6B472" w14:textId="77777777" w:rsidTr="00F27BE1">
        <w:trPr>
          <w:trHeight w:val="1103"/>
        </w:trPr>
        <w:tc>
          <w:tcPr>
            <w:tcW w:w="1098" w:type="pct"/>
          </w:tcPr>
          <w:p w14:paraId="40B0C31C"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50 to 100</w:t>
            </w:r>
          </w:p>
        </w:tc>
        <w:tc>
          <w:tcPr>
            <w:tcW w:w="3902" w:type="pct"/>
          </w:tcPr>
          <w:p w14:paraId="5839DE11" w14:textId="2D72A718"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Interrupt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xml:space="preserve"> dosing.</w:t>
            </w:r>
          </w:p>
          <w:p w14:paraId="3F09044C" w14:textId="228108BB" w:rsidR="00F27BE1" w:rsidRPr="008D4276" w:rsidRDefault="00F27BE1" w:rsidP="00E63BA6">
            <w:pPr>
              <w:pStyle w:val="NoSpacing"/>
              <w:rPr>
                <w:rFonts w:asciiTheme="majorHAnsi" w:hAnsiTheme="majorHAnsi" w:cs="Calibri"/>
              </w:rPr>
            </w:pPr>
            <w:r w:rsidRPr="008D4276">
              <w:rPr>
                <w:rFonts w:asciiTheme="majorHAnsi" w:hAnsiTheme="majorHAnsi" w:cs="Calibri"/>
              </w:rPr>
              <w:t>When platelet count is &gt; 100 x 10</w:t>
            </w:r>
            <w:r w:rsidRPr="008D4276">
              <w:rPr>
                <w:rFonts w:asciiTheme="majorHAnsi" w:hAnsiTheme="majorHAnsi" w:cs="Calibri"/>
                <w:vertAlign w:val="superscript"/>
              </w:rPr>
              <w:t>9</w:t>
            </w:r>
            <w:r w:rsidRPr="008D4276">
              <w:rPr>
                <w:rFonts w:asciiTheme="majorHAnsi" w:hAnsiTheme="majorHAnsi" w:cs="Calibri"/>
              </w:rPr>
              <w:t xml:space="preserve">/L resume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r w:rsidRPr="008D4276">
              <w:rPr>
                <w:rFonts w:asciiTheme="majorHAnsi" w:hAnsiTheme="majorHAnsi" w:cs="Calibri"/>
              </w:rPr>
              <w:t xml:space="preserve"> injection every other week and increase frequency to every week, as clinically appropriate.</w:t>
            </w:r>
          </w:p>
        </w:tc>
      </w:tr>
      <w:tr w:rsidR="00F27BE1" w:rsidRPr="001922B7" w14:paraId="725612F4" w14:textId="77777777" w:rsidTr="00F27BE1">
        <w:trPr>
          <w:trHeight w:val="278"/>
        </w:trPr>
        <w:tc>
          <w:tcPr>
            <w:tcW w:w="1098" w:type="pct"/>
          </w:tcPr>
          <w:p w14:paraId="2E755547" w14:textId="77777777" w:rsidR="00F27BE1" w:rsidRPr="008D4276" w:rsidRDefault="00F27BE1" w:rsidP="00E63BA6">
            <w:pPr>
              <w:pStyle w:val="NoSpacing"/>
              <w:rPr>
                <w:rFonts w:asciiTheme="majorHAnsi" w:hAnsiTheme="majorHAnsi" w:cs="Calibri"/>
              </w:rPr>
            </w:pPr>
            <w:r w:rsidRPr="008D4276">
              <w:rPr>
                <w:rFonts w:asciiTheme="majorHAnsi" w:hAnsiTheme="majorHAnsi" w:cs="Calibri"/>
              </w:rPr>
              <w:t>&lt; 50</w:t>
            </w:r>
          </w:p>
        </w:tc>
        <w:tc>
          <w:tcPr>
            <w:tcW w:w="3902" w:type="pct"/>
          </w:tcPr>
          <w:p w14:paraId="665552CB" w14:textId="4B38AC93" w:rsidR="00F27BE1" w:rsidRPr="008D4276" w:rsidRDefault="00F27BE1" w:rsidP="00E63BA6">
            <w:pPr>
              <w:pStyle w:val="NoSpacing"/>
              <w:rPr>
                <w:rFonts w:asciiTheme="majorHAnsi" w:hAnsiTheme="majorHAnsi" w:cs="Calibri"/>
              </w:rPr>
            </w:pPr>
            <w:r w:rsidRPr="008D4276">
              <w:rPr>
                <w:rFonts w:asciiTheme="majorHAnsi" w:hAnsiTheme="majorHAnsi" w:cs="Calibri"/>
              </w:rPr>
              <w:t xml:space="preserve">Discontinue </w:t>
            </w:r>
            <w:r w:rsidR="002A5FC9" w:rsidRPr="008D4276">
              <w:rPr>
                <w:rFonts w:asciiTheme="majorHAnsi" w:hAnsiTheme="majorHAnsi" w:cs="Calibri"/>
              </w:rPr>
              <w:t>Avtozma</w:t>
            </w:r>
            <w:r w:rsidR="002A5FC9" w:rsidRPr="008D4276" w:rsidDel="002A5FC9">
              <w:rPr>
                <w:rFonts w:asciiTheme="majorHAnsi" w:hAnsiTheme="majorHAnsi" w:cs="Calibri"/>
              </w:rPr>
              <w:t xml:space="preserve"> </w:t>
            </w:r>
          </w:p>
        </w:tc>
      </w:tr>
    </w:tbl>
    <w:p w14:paraId="48303505" w14:textId="78902ED8" w:rsidR="00F27BE1" w:rsidRPr="008D4276" w:rsidRDefault="00F27BE1" w:rsidP="00F27BE1">
      <w:pPr>
        <w:pStyle w:val="Heading5"/>
        <w:rPr>
          <w:rFonts w:asciiTheme="majorHAnsi" w:hAnsiTheme="majorHAnsi" w:cs="Calibri"/>
        </w:rPr>
      </w:pPr>
      <w:r w:rsidRPr="008D4276">
        <w:rPr>
          <w:rFonts w:asciiTheme="majorHAnsi" w:hAnsiTheme="majorHAnsi" w:cs="Calibri"/>
        </w:rPr>
        <w:t>Missed dose (GCA/RA)</w:t>
      </w:r>
    </w:p>
    <w:p w14:paraId="7C6ECD51" w14:textId="5DC86F06" w:rsidR="00F27BE1" w:rsidRPr="008D4276" w:rsidRDefault="00F27BE1" w:rsidP="00F27BE1">
      <w:pPr>
        <w:rPr>
          <w:rFonts w:asciiTheme="majorHAnsi" w:hAnsiTheme="majorHAnsi" w:cstheme="minorHAnsi"/>
        </w:rPr>
      </w:pPr>
      <w:r w:rsidRPr="008D4276">
        <w:rPr>
          <w:rFonts w:asciiTheme="majorHAnsi" w:hAnsiTheme="majorHAnsi" w:cstheme="minorHAnsi"/>
        </w:rPr>
        <w:t>If a patient misses a weekly injection of</w:t>
      </w:r>
      <w:r w:rsidR="00CC6E84" w:rsidRPr="008D4276">
        <w:rPr>
          <w:rFonts w:asciiTheme="majorHAnsi" w:hAnsiTheme="majorHAnsi" w:cstheme="minorHAnsi"/>
        </w:rPr>
        <w:t xml:space="preserve"> </w:t>
      </w:r>
      <w:r w:rsidR="002A5FC9" w:rsidRPr="008D4276">
        <w:rPr>
          <w:rFonts w:asciiTheme="majorHAnsi" w:hAnsiTheme="majorHAnsi" w:cstheme="minorHAnsi"/>
        </w:rPr>
        <w:t>Avtozma</w:t>
      </w:r>
      <w:r w:rsidRPr="008D4276">
        <w:rPr>
          <w:rFonts w:asciiTheme="majorHAnsi" w:hAnsiTheme="majorHAnsi" w:cstheme="minorHAnsi"/>
        </w:rPr>
        <w:t xml:space="preserve"> within 7 days of the scheduled dose, they should be instructed to take the missed dose on the next scheduled day. If a patient misses a fortnightly (i.e. every other week) injection of </w:t>
      </w:r>
      <w:r w:rsidR="002A5FC9" w:rsidRPr="008D4276">
        <w:rPr>
          <w:rFonts w:asciiTheme="majorHAnsi" w:hAnsiTheme="majorHAnsi" w:cstheme="minorHAnsi"/>
        </w:rPr>
        <w:t>Avtozma</w:t>
      </w:r>
      <w:r w:rsidR="00040287" w:rsidRPr="008D4276">
        <w:rPr>
          <w:rFonts w:asciiTheme="majorHAnsi" w:hAnsiTheme="majorHAnsi" w:cstheme="minorHAnsi"/>
        </w:rPr>
        <w:t xml:space="preserve"> </w:t>
      </w:r>
      <w:r w:rsidRPr="008D4276">
        <w:rPr>
          <w:rFonts w:asciiTheme="majorHAnsi" w:hAnsiTheme="majorHAnsi" w:cstheme="minorHAnsi"/>
        </w:rPr>
        <w:t>within 7 days of the scheduled dose, they should be instructed to take the missed dose immediately and the next dose on the next scheduled day.</w:t>
      </w:r>
    </w:p>
    <w:p w14:paraId="41C787B9" w14:textId="77777777" w:rsidR="00F27BE1" w:rsidRPr="008D4276" w:rsidRDefault="00F27BE1" w:rsidP="004D6592">
      <w:pPr>
        <w:pStyle w:val="Heading4"/>
        <w:rPr>
          <w:rFonts w:asciiTheme="majorHAnsi" w:hAnsiTheme="majorHAnsi"/>
        </w:rPr>
      </w:pPr>
      <w:r w:rsidRPr="008D4276">
        <w:rPr>
          <w:rFonts w:asciiTheme="majorHAnsi" w:hAnsiTheme="majorHAnsi"/>
        </w:rPr>
        <w:t>Cytokine Release Syndrome (CRS) (adults and paediatrics)</w:t>
      </w:r>
    </w:p>
    <w:p w14:paraId="1EAEA23F"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The recommended dose for treatment of CRS is 8 mg/kg in patients weighing greater than or equal to 30 kg or 12 mg/kg in patients weighing less than 30 kg given as a 60-minute intravenous infusion.</w:t>
      </w:r>
    </w:p>
    <w:p w14:paraId="1DF8AA2D" w14:textId="67BEAE66" w:rsidR="00F27BE1" w:rsidRPr="008D4276" w:rsidRDefault="00D866F6" w:rsidP="00F27BE1">
      <w:pPr>
        <w:rPr>
          <w:rFonts w:asciiTheme="majorHAnsi" w:hAnsiTheme="majorHAnsi" w:cstheme="minorHAnsi"/>
        </w:rPr>
      </w:pPr>
      <w:r w:rsidRPr="008D4276">
        <w:rPr>
          <w:rFonts w:asciiTheme="majorHAnsi" w:hAnsiTheme="majorHAnsi" w:cstheme="minorHAnsi"/>
        </w:rPr>
        <w:t>Avtozma</w:t>
      </w:r>
      <w:r w:rsidRPr="008D4276" w:rsidDel="00D866F6">
        <w:rPr>
          <w:rFonts w:asciiTheme="majorHAnsi" w:hAnsiTheme="majorHAnsi" w:cstheme="minorHAnsi"/>
        </w:rPr>
        <w:t xml:space="preserve"> </w:t>
      </w:r>
      <w:r w:rsidR="00F27BE1" w:rsidRPr="008D4276">
        <w:rPr>
          <w:rFonts w:asciiTheme="majorHAnsi" w:hAnsiTheme="majorHAnsi" w:cstheme="minorHAnsi"/>
        </w:rPr>
        <w:t>can be given alone or in combination with corticosteroids.</w:t>
      </w:r>
    </w:p>
    <w:p w14:paraId="796D0721" w14:textId="19357046" w:rsidR="00854645" w:rsidRPr="008D4276" w:rsidRDefault="00F27BE1" w:rsidP="00F27BE1">
      <w:pPr>
        <w:rPr>
          <w:rFonts w:asciiTheme="majorHAnsi" w:hAnsiTheme="majorHAnsi" w:cstheme="minorHAnsi"/>
        </w:rPr>
      </w:pPr>
      <w:r w:rsidRPr="008D4276">
        <w:rPr>
          <w:rFonts w:asciiTheme="majorHAnsi" w:hAnsiTheme="majorHAnsi" w:cstheme="minorHAnsi"/>
        </w:rPr>
        <w:t xml:space="preserve">If no clinical improvement in the signs and symptoms of CRS occurs after the first dose, up to 3 additional doses of </w:t>
      </w:r>
      <w:r w:rsidR="00D866F6" w:rsidRPr="008D4276">
        <w:rPr>
          <w:rFonts w:asciiTheme="majorHAnsi" w:hAnsiTheme="majorHAnsi" w:cstheme="minorHAnsi"/>
        </w:rPr>
        <w:t>Avtozma</w:t>
      </w:r>
      <w:r w:rsidR="00D866F6" w:rsidRPr="008D4276" w:rsidDel="00D866F6">
        <w:rPr>
          <w:rFonts w:asciiTheme="majorHAnsi" w:hAnsiTheme="majorHAnsi" w:cstheme="minorHAnsi"/>
        </w:rPr>
        <w:t xml:space="preserve"> </w:t>
      </w:r>
      <w:r w:rsidR="00040287" w:rsidRPr="008D4276">
        <w:rPr>
          <w:rFonts w:asciiTheme="majorHAnsi" w:hAnsiTheme="majorHAnsi" w:cstheme="minorHAnsi"/>
        </w:rPr>
        <w:t xml:space="preserve"> </w:t>
      </w:r>
      <w:r w:rsidRPr="008D4276">
        <w:rPr>
          <w:rFonts w:asciiTheme="majorHAnsi" w:hAnsiTheme="majorHAnsi" w:cstheme="minorHAnsi"/>
        </w:rPr>
        <w:t>may be administered. The interval between consecutive doses should be at least 8 hours. Doses exceeding 800 mg per infusion are not recommended in CRS patients.</w:t>
      </w:r>
    </w:p>
    <w:p w14:paraId="02E49BF5" w14:textId="40673D5D" w:rsidR="00F27BE1" w:rsidRPr="008D4276" w:rsidRDefault="00F27BE1" w:rsidP="00F27BE1">
      <w:pPr>
        <w:rPr>
          <w:rFonts w:asciiTheme="majorHAnsi" w:hAnsiTheme="majorHAnsi" w:cstheme="minorHAnsi"/>
          <w:b/>
          <w:bCs/>
        </w:rPr>
      </w:pPr>
      <w:r w:rsidRPr="008D4276">
        <w:rPr>
          <w:rFonts w:asciiTheme="majorHAnsi" w:hAnsiTheme="majorHAnsi" w:cstheme="minorHAnsi"/>
          <w:b/>
          <w:bCs/>
        </w:rPr>
        <w:lastRenderedPageBreak/>
        <w:t>Patients with severe or life-threatening CRS frequently have cytopenias or elevated ALT or AST due to the underlying malignancy, preceding lymphodepleting chemotherapy or the CRS.</w:t>
      </w:r>
    </w:p>
    <w:p w14:paraId="175FB0DB" w14:textId="77777777" w:rsidR="00F27BE1" w:rsidRPr="008D4276" w:rsidRDefault="00F27BE1" w:rsidP="004D6592">
      <w:pPr>
        <w:pStyle w:val="Heading4"/>
        <w:rPr>
          <w:rFonts w:asciiTheme="majorHAnsi" w:hAnsiTheme="majorHAnsi"/>
        </w:rPr>
      </w:pPr>
      <w:r w:rsidRPr="008D4276">
        <w:rPr>
          <w:rFonts w:asciiTheme="majorHAnsi" w:hAnsiTheme="majorHAnsi"/>
        </w:rPr>
        <w:t>COVID-19 (IV formulation only)</w:t>
      </w:r>
    </w:p>
    <w:p w14:paraId="4D108B5D" w14:textId="3220F284"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The recommended dose of </w:t>
      </w:r>
      <w:r w:rsidR="00D866F6" w:rsidRPr="008D4276">
        <w:rPr>
          <w:rFonts w:asciiTheme="majorHAnsi" w:hAnsiTheme="majorHAnsi" w:cstheme="minorHAnsi"/>
        </w:rPr>
        <w:t>Avtozma</w:t>
      </w:r>
      <w:r w:rsidR="00D866F6" w:rsidRPr="008D4276" w:rsidDel="00D866F6">
        <w:rPr>
          <w:rFonts w:asciiTheme="majorHAnsi" w:hAnsiTheme="majorHAnsi" w:cstheme="minorHAnsi"/>
        </w:rPr>
        <w:t xml:space="preserve"> </w:t>
      </w:r>
      <w:r w:rsidRPr="008D4276">
        <w:rPr>
          <w:rFonts w:asciiTheme="majorHAnsi" w:hAnsiTheme="majorHAnsi" w:cstheme="minorHAnsi"/>
        </w:rPr>
        <w:t xml:space="preserve"> for treatment of adult patients with COVID-19 is a single 60-minute infusion of 8 mg/kg.</w:t>
      </w:r>
    </w:p>
    <w:p w14:paraId="67F3DBFE"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Doses exceeding 800 mg per infusion are not recommended in patients with COVID-19. </w:t>
      </w:r>
    </w:p>
    <w:p w14:paraId="41A9B4C5" w14:textId="2688C4D5" w:rsidR="00F27BE1" w:rsidRPr="008D4276" w:rsidRDefault="00F27BE1" w:rsidP="004D6592">
      <w:pPr>
        <w:pStyle w:val="Heading4"/>
        <w:rPr>
          <w:rFonts w:asciiTheme="majorHAnsi" w:hAnsiTheme="majorHAnsi"/>
        </w:rPr>
      </w:pPr>
      <w:r w:rsidRPr="008D4276">
        <w:rPr>
          <w:rFonts w:asciiTheme="majorHAnsi" w:hAnsiTheme="majorHAnsi"/>
        </w:rPr>
        <w:t xml:space="preserve">Polyarticular Juvenile Idiopathic Arthritis (pJIA) (IV and SC formulations) </w:t>
      </w:r>
    </w:p>
    <w:p w14:paraId="6CA75069" w14:textId="35047790"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A change in dose should only be based on a consistent change in the patient’s body weight over time.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can be used alone or in combination with MTX.</w:t>
      </w:r>
    </w:p>
    <w:p w14:paraId="64A579F6"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Intravenous Dosing Regimen</w:t>
      </w:r>
    </w:p>
    <w:p w14:paraId="3B44B31A" w14:textId="076B9F57"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The recommended dose of IV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 xml:space="preserve"> for patients with pJIA is:</w:t>
      </w:r>
    </w:p>
    <w:p w14:paraId="5597B307" w14:textId="08C8996C" w:rsidR="00F27BE1" w:rsidRPr="008D4276" w:rsidRDefault="00F27BE1" w:rsidP="00B36DBA">
      <w:pPr>
        <w:pStyle w:val="ListParagraph"/>
        <w:numPr>
          <w:ilvl w:val="0"/>
          <w:numId w:val="84"/>
        </w:numPr>
        <w:rPr>
          <w:rFonts w:asciiTheme="majorHAnsi" w:hAnsiTheme="majorHAnsi"/>
        </w:rPr>
      </w:pPr>
      <w:r w:rsidRPr="008D4276">
        <w:rPr>
          <w:rFonts w:asciiTheme="majorHAnsi" w:hAnsiTheme="majorHAnsi"/>
        </w:rPr>
        <w:t>10 mg/kg for patients below 30 kg,</w:t>
      </w:r>
    </w:p>
    <w:p w14:paraId="37BBF16E" w14:textId="3AEDA1C4" w:rsidR="00F27BE1" w:rsidRPr="008D4276" w:rsidRDefault="00F27BE1" w:rsidP="00B36DBA">
      <w:pPr>
        <w:pStyle w:val="ListParagraph"/>
        <w:numPr>
          <w:ilvl w:val="0"/>
          <w:numId w:val="84"/>
        </w:numPr>
        <w:rPr>
          <w:rFonts w:asciiTheme="majorHAnsi" w:hAnsiTheme="majorHAnsi"/>
        </w:rPr>
      </w:pPr>
      <w:r w:rsidRPr="008D4276">
        <w:rPr>
          <w:rFonts w:asciiTheme="majorHAnsi" w:hAnsiTheme="majorHAnsi"/>
        </w:rPr>
        <w:t xml:space="preserve">8 mg/kg for patients </w:t>
      </w:r>
      <w:r w:rsidRPr="008D4276">
        <w:rPr>
          <w:rFonts w:asciiTheme="majorHAnsi" w:hAnsiTheme="majorHAnsi" w:hint="eastAsia"/>
        </w:rPr>
        <w:t>≥</w:t>
      </w:r>
      <w:r w:rsidRPr="008D4276">
        <w:rPr>
          <w:rFonts w:asciiTheme="majorHAnsi" w:hAnsiTheme="majorHAnsi"/>
        </w:rPr>
        <w:t xml:space="preserve"> 30 kg,</w:t>
      </w:r>
    </w:p>
    <w:p w14:paraId="4029D34A"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given once every four weeks as an IV infusion.</w:t>
      </w:r>
    </w:p>
    <w:p w14:paraId="1F9B9EEB"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The recommended duration of IV infusion is 1 hour.</w:t>
      </w:r>
    </w:p>
    <w:p w14:paraId="302C5977"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Subcutaneous Dosing Regimen</w:t>
      </w:r>
    </w:p>
    <w:p w14:paraId="78D8CDAD" w14:textId="46CC7FC8"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The recommended dose of SC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 xml:space="preserve"> for patients with pJIA is:</w:t>
      </w:r>
    </w:p>
    <w:p w14:paraId="30575F28" w14:textId="73E552A2" w:rsidR="00F27BE1" w:rsidRPr="008D4276" w:rsidRDefault="00F27BE1" w:rsidP="00B36DBA">
      <w:pPr>
        <w:pStyle w:val="ListParagraph"/>
        <w:numPr>
          <w:ilvl w:val="0"/>
          <w:numId w:val="85"/>
        </w:numPr>
        <w:rPr>
          <w:rFonts w:asciiTheme="majorHAnsi" w:hAnsiTheme="majorHAnsi"/>
        </w:rPr>
      </w:pPr>
      <w:r w:rsidRPr="008D4276">
        <w:rPr>
          <w:rFonts w:asciiTheme="majorHAnsi" w:hAnsiTheme="majorHAnsi"/>
        </w:rPr>
        <w:t>162 mg once every three weeks for patients below 30 kg</w:t>
      </w:r>
    </w:p>
    <w:p w14:paraId="22EA5E5F" w14:textId="28517AA9" w:rsidR="00F27BE1" w:rsidRPr="008D4276" w:rsidRDefault="00F27BE1" w:rsidP="00B36DBA">
      <w:pPr>
        <w:pStyle w:val="ListParagraph"/>
        <w:numPr>
          <w:ilvl w:val="0"/>
          <w:numId w:val="85"/>
        </w:numPr>
        <w:rPr>
          <w:rFonts w:asciiTheme="majorHAnsi" w:hAnsiTheme="majorHAnsi"/>
        </w:rPr>
      </w:pPr>
      <w:r w:rsidRPr="008D4276">
        <w:rPr>
          <w:rFonts w:asciiTheme="majorHAnsi" w:hAnsiTheme="majorHAnsi"/>
        </w:rPr>
        <w:t xml:space="preserve">162 mg once every two weeks for patients </w:t>
      </w:r>
      <w:r w:rsidRPr="008D4276">
        <w:rPr>
          <w:rFonts w:asciiTheme="majorHAnsi" w:hAnsiTheme="majorHAnsi" w:hint="eastAsia"/>
        </w:rPr>
        <w:t>≥</w:t>
      </w:r>
      <w:r w:rsidRPr="008D4276">
        <w:rPr>
          <w:rFonts w:asciiTheme="majorHAnsi" w:hAnsiTheme="majorHAnsi"/>
        </w:rPr>
        <w:t xml:space="preserve"> 30 kg</w:t>
      </w:r>
    </w:p>
    <w:p w14:paraId="14331803" w14:textId="2E4EF7D2" w:rsidR="00F27BE1" w:rsidRPr="008D4276" w:rsidRDefault="00F27BE1" w:rsidP="00F27BE1">
      <w:pPr>
        <w:rPr>
          <w:rFonts w:asciiTheme="majorHAnsi" w:hAnsiTheme="majorHAnsi" w:cstheme="minorHAnsi"/>
        </w:rPr>
      </w:pPr>
      <w:r w:rsidRPr="008D4276">
        <w:rPr>
          <w:rFonts w:asciiTheme="majorHAnsi" w:hAnsiTheme="majorHAnsi" w:cstheme="minorHAnsi"/>
        </w:rPr>
        <w:t>The pre-filled syringe with needle safety device can be used to treat paediatric patients of all approved ages. The pre-filled pen (A</w:t>
      </w:r>
      <w:r w:rsidR="00CC6E84" w:rsidRPr="008D4276">
        <w:rPr>
          <w:rFonts w:asciiTheme="majorHAnsi" w:hAnsiTheme="majorHAnsi" w:cstheme="minorHAnsi"/>
        </w:rPr>
        <w:t>V</w:t>
      </w:r>
      <w:r w:rsidRPr="008D4276">
        <w:rPr>
          <w:rFonts w:asciiTheme="majorHAnsi" w:hAnsiTheme="majorHAnsi" w:cstheme="minorHAnsi"/>
        </w:rPr>
        <w:t>TPen) should not be used to treat children and adolescent patients ˂ 12 years of age.</w:t>
      </w:r>
    </w:p>
    <w:p w14:paraId="28361AA2" w14:textId="3D2E8AA0" w:rsidR="00F27BE1" w:rsidRDefault="00F27BE1" w:rsidP="00F27BE1">
      <w:pPr>
        <w:rPr>
          <w:rFonts w:asciiTheme="majorHAnsi" w:hAnsiTheme="majorHAnsi" w:cstheme="minorHAnsi"/>
        </w:rPr>
      </w:pPr>
      <w:r w:rsidRPr="008D4276">
        <w:rPr>
          <w:rFonts w:asciiTheme="majorHAnsi" w:hAnsiTheme="majorHAnsi" w:cstheme="minorHAnsi"/>
        </w:rPr>
        <w:t>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(see section 4.2 Dose and Method of Administration, Subcutaneous Administration for information about requirements for patients who may be suitable for SC home use).</w:t>
      </w:r>
    </w:p>
    <w:p w14:paraId="5FE1D08F" w14:textId="77777777" w:rsidR="00406388" w:rsidRPr="008D4276" w:rsidRDefault="00406388" w:rsidP="00F27BE1">
      <w:pPr>
        <w:rPr>
          <w:rFonts w:asciiTheme="majorHAnsi" w:hAnsiTheme="majorHAnsi" w:cstheme="minorHAnsi"/>
        </w:rPr>
      </w:pPr>
    </w:p>
    <w:p w14:paraId="5C275E9B" w14:textId="750AFA8D" w:rsidR="00406388" w:rsidRPr="00406388" w:rsidRDefault="00F27BE1">
      <w:pPr>
        <w:pStyle w:val="Heading5"/>
        <w:rPr>
          <w:rFonts w:asciiTheme="majorHAnsi" w:hAnsiTheme="majorHAnsi" w:cs="Calibri"/>
        </w:rPr>
      </w:pPr>
      <w:r w:rsidRPr="008D4276">
        <w:rPr>
          <w:rFonts w:asciiTheme="majorHAnsi" w:hAnsiTheme="majorHAnsi" w:cs="Calibri"/>
        </w:rPr>
        <w:t>Missed dose (pJIA)</w:t>
      </w:r>
    </w:p>
    <w:p w14:paraId="77C8BAB7" w14:textId="7C59E332"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If a pJIA patient misses a subcutaneous injection of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 xml:space="preserve"> within 7 days of the scheduled dose, they should inject the missed dose as soon as they remember and give the next dose at the regular scheduled time. If a patient misses a subcutaneous injection of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00040287" w:rsidRPr="008D4276">
        <w:rPr>
          <w:rFonts w:asciiTheme="majorHAnsi" w:hAnsiTheme="majorHAnsi" w:cstheme="minorHAnsi"/>
        </w:rPr>
        <w:t xml:space="preserve"> </w:t>
      </w:r>
      <w:r w:rsidRPr="008D4276">
        <w:rPr>
          <w:rFonts w:asciiTheme="majorHAnsi" w:hAnsiTheme="majorHAnsi" w:cstheme="minorHAnsi"/>
        </w:rPr>
        <w:t>by more than 7 days of the scheduled dose or is unsure when to inject the next dose, they should contact their Healthcare professional.</w:t>
      </w:r>
    </w:p>
    <w:p w14:paraId="6AAFEE59" w14:textId="77777777" w:rsidR="00F27BE1" w:rsidRPr="008D4276" w:rsidRDefault="00F27BE1" w:rsidP="004D6592">
      <w:pPr>
        <w:pStyle w:val="Heading4"/>
        <w:rPr>
          <w:rFonts w:asciiTheme="majorHAnsi" w:hAnsiTheme="majorHAnsi"/>
        </w:rPr>
      </w:pPr>
      <w:r w:rsidRPr="008D4276">
        <w:rPr>
          <w:rFonts w:asciiTheme="majorHAnsi" w:hAnsiTheme="majorHAnsi"/>
        </w:rPr>
        <w:lastRenderedPageBreak/>
        <w:t>Systemic Juvenile Idiopathic Arthritis (sJIA) (IV and SC formulations)</w:t>
      </w:r>
    </w:p>
    <w:p w14:paraId="7A57AD83" w14:textId="1F6DF55E"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A change in dose should only be based on a consistent change in the patient’s body weight over time.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00040287" w:rsidRPr="008D4276">
        <w:rPr>
          <w:rFonts w:asciiTheme="majorHAnsi" w:hAnsiTheme="majorHAnsi" w:cstheme="minorHAnsi"/>
        </w:rPr>
        <w:t xml:space="preserve"> </w:t>
      </w:r>
      <w:r w:rsidRPr="008D4276">
        <w:rPr>
          <w:rFonts w:asciiTheme="majorHAnsi" w:hAnsiTheme="majorHAnsi" w:cstheme="minorHAnsi"/>
        </w:rPr>
        <w:t>can be used alone or in combination with MTX.</w:t>
      </w:r>
    </w:p>
    <w:p w14:paraId="10A86AFC"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Intravenous dosing regimen</w:t>
      </w:r>
    </w:p>
    <w:p w14:paraId="281D0AB5" w14:textId="586AE8E5"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The recommended dose of IV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for patients with sJIA is:</w:t>
      </w:r>
    </w:p>
    <w:p w14:paraId="7D308E54" w14:textId="557244E7" w:rsidR="00F27BE1" w:rsidRPr="008D4276" w:rsidRDefault="00F27BE1" w:rsidP="00B36DBA">
      <w:pPr>
        <w:pStyle w:val="ListParagraph"/>
        <w:numPr>
          <w:ilvl w:val="0"/>
          <w:numId w:val="86"/>
        </w:numPr>
        <w:rPr>
          <w:rFonts w:asciiTheme="majorHAnsi" w:hAnsiTheme="majorHAnsi"/>
        </w:rPr>
      </w:pPr>
      <w:r w:rsidRPr="008D4276">
        <w:rPr>
          <w:rFonts w:asciiTheme="majorHAnsi" w:hAnsiTheme="majorHAnsi"/>
        </w:rPr>
        <w:t>12 mg/kg for patients below 30 kg,</w:t>
      </w:r>
    </w:p>
    <w:p w14:paraId="4AD11EC8" w14:textId="35AA26E6" w:rsidR="00F27BE1" w:rsidRPr="008D4276" w:rsidRDefault="00F27BE1" w:rsidP="00B36DBA">
      <w:pPr>
        <w:pStyle w:val="ListParagraph"/>
        <w:numPr>
          <w:ilvl w:val="0"/>
          <w:numId w:val="86"/>
        </w:numPr>
        <w:rPr>
          <w:rFonts w:asciiTheme="majorHAnsi" w:hAnsiTheme="majorHAnsi"/>
        </w:rPr>
      </w:pPr>
      <w:r w:rsidRPr="008D4276">
        <w:rPr>
          <w:rFonts w:asciiTheme="majorHAnsi" w:hAnsiTheme="majorHAnsi"/>
        </w:rPr>
        <w:t xml:space="preserve">8 mg/kg for patients </w:t>
      </w:r>
      <w:r w:rsidRPr="008D4276">
        <w:rPr>
          <w:rFonts w:asciiTheme="majorHAnsi" w:hAnsiTheme="majorHAnsi" w:hint="eastAsia"/>
        </w:rPr>
        <w:t>≥</w:t>
      </w:r>
      <w:r w:rsidRPr="008D4276">
        <w:rPr>
          <w:rFonts w:asciiTheme="majorHAnsi" w:hAnsiTheme="majorHAnsi"/>
        </w:rPr>
        <w:t xml:space="preserve"> 30 kg,</w:t>
      </w:r>
    </w:p>
    <w:p w14:paraId="5396B8A5"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given once every two weeks as an IV infusion.</w:t>
      </w:r>
    </w:p>
    <w:p w14:paraId="5836718C"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The recommended duration of IV infusion is 1 hour.</w:t>
      </w:r>
    </w:p>
    <w:p w14:paraId="3BAEFF5F"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Subcutaneous dosing regimen</w:t>
      </w:r>
    </w:p>
    <w:p w14:paraId="4387AE7C" w14:textId="1875798D"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The recommended dose of SC </w:t>
      </w:r>
      <w:r w:rsidR="00163ACA" w:rsidRPr="008D4276">
        <w:rPr>
          <w:rFonts w:asciiTheme="majorHAnsi" w:hAnsiTheme="majorHAnsi" w:cstheme="minorHAnsi"/>
        </w:rPr>
        <w:t>Avtozma</w:t>
      </w:r>
      <w:r w:rsidR="00040287" w:rsidRPr="008D4276">
        <w:rPr>
          <w:rFonts w:asciiTheme="majorHAnsi" w:hAnsiTheme="majorHAnsi" w:cstheme="minorHAnsi"/>
        </w:rPr>
        <w:t xml:space="preserve"> </w:t>
      </w:r>
      <w:r w:rsidRPr="008D4276">
        <w:rPr>
          <w:rFonts w:asciiTheme="majorHAnsi" w:hAnsiTheme="majorHAnsi" w:cstheme="minorHAnsi"/>
        </w:rPr>
        <w:t>for patients with sJIA is:</w:t>
      </w:r>
    </w:p>
    <w:p w14:paraId="473DB61F" w14:textId="46E3F94B" w:rsidR="00F27BE1" w:rsidRPr="008D4276" w:rsidRDefault="00F27BE1" w:rsidP="00B36DBA">
      <w:pPr>
        <w:pStyle w:val="ListParagraph"/>
        <w:numPr>
          <w:ilvl w:val="0"/>
          <w:numId w:val="87"/>
        </w:numPr>
        <w:rPr>
          <w:rFonts w:asciiTheme="majorHAnsi" w:hAnsiTheme="majorHAnsi"/>
        </w:rPr>
      </w:pPr>
      <w:r w:rsidRPr="008D4276">
        <w:rPr>
          <w:rFonts w:asciiTheme="majorHAnsi" w:hAnsiTheme="majorHAnsi"/>
        </w:rPr>
        <w:t>162 mg once every two weeks for patients below 30 kg,</w:t>
      </w:r>
    </w:p>
    <w:p w14:paraId="25808C65" w14:textId="43BDA8CC" w:rsidR="00F27BE1" w:rsidRPr="008D4276" w:rsidRDefault="00F27BE1" w:rsidP="00B36DBA">
      <w:pPr>
        <w:pStyle w:val="ListParagraph"/>
        <w:numPr>
          <w:ilvl w:val="0"/>
          <w:numId w:val="87"/>
        </w:numPr>
        <w:rPr>
          <w:rFonts w:asciiTheme="majorHAnsi" w:hAnsiTheme="majorHAnsi"/>
        </w:rPr>
      </w:pPr>
      <w:r w:rsidRPr="008D4276">
        <w:rPr>
          <w:rFonts w:asciiTheme="majorHAnsi" w:hAnsiTheme="majorHAnsi"/>
        </w:rPr>
        <w:t xml:space="preserve">162 mg once every week for patients </w:t>
      </w:r>
      <w:r w:rsidRPr="008D4276">
        <w:rPr>
          <w:rFonts w:asciiTheme="majorHAnsi" w:hAnsiTheme="majorHAnsi" w:hint="eastAsia"/>
        </w:rPr>
        <w:t>≥</w:t>
      </w:r>
      <w:r w:rsidRPr="008D4276">
        <w:rPr>
          <w:rFonts w:asciiTheme="majorHAnsi" w:hAnsiTheme="majorHAnsi"/>
        </w:rPr>
        <w:t xml:space="preserve"> 30 kg</w:t>
      </w:r>
    </w:p>
    <w:p w14:paraId="4F96BCF5" w14:textId="34DEC2A5"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Patients must have a minimum body weight of 10 kg when receiving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subcutaneously. The pre-filled syringe with needle safety device can be used to treat paediatric patients of all approved ages. The pre-filled pen (A</w:t>
      </w:r>
      <w:r w:rsidR="00CC6E84" w:rsidRPr="008D4276">
        <w:rPr>
          <w:rFonts w:asciiTheme="majorHAnsi" w:hAnsiTheme="majorHAnsi" w:cstheme="minorHAnsi"/>
        </w:rPr>
        <w:t>V</w:t>
      </w:r>
      <w:r w:rsidRPr="008D4276">
        <w:rPr>
          <w:rFonts w:asciiTheme="majorHAnsi" w:hAnsiTheme="majorHAnsi" w:cstheme="minorHAnsi"/>
        </w:rPr>
        <w:t>TPen) should not be used to treat children and adolescent patients ˂ 12 years of age.</w:t>
      </w:r>
    </w:p>
    <w:p w14:paraId="64DBDAAB"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Missed dose (sJIA)</w:t>
      </w:r>
    </w:p>
    <w:p w14:paraId="6160BFE4" w14:textId="14C21046"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If a patient misses a weekly injection of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 xml:space="preserve"> within 7 days of the scheduled dose, they should be instructed to take the missed dose on the next scheduled day. If a patient misses a fortnightly (i.e. every other week) injection of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within 7 days of the scheduled dose, they should be instructed to take the missed dose immediately and the next dose on the next scheduled day.</w:t>
      </w:r>
    </w:p>
    <w:p w14:paraId="57AE6BA3" w14:textId="77777777" w:rsidR="00F27BE1" w:rsidRPr="008D4276" w:rsidRDefault="00F27BE1" w:rsidP="004D6592">
      <w:pPr>
        <w:pStyle w:val="Heading4"/>
        <w:rPr>
          <w:rFonts w:asciiTheme="majorHAnsi" w:hAnsiTheme="majorHAnsi"/>
        </w:rPr>
      </w:pPr>
      <w:r w:rsidRPr="008D4276">
        <w:rPr>
          <w:rFonts w:asciiTheme="majorHAnsi" w:hAnsiTheme="majorHAnsi"/>
        </w:rPr>
        <w:t>Dose Modification Recommendations for pJIA and sJIA:</w:t>
      </w:r>
    </w:p>
    <w:p w14:paraId="5F7E769B" w14:textId="26F63E50"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Dose reduction of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has not been studied in the pJIA or sJIA population. Dose interruptions of</w:t>
      </w:r>
      <w:r w:rsidR="00CC6E84" w:rsidRPr="008D4276">
        <w:rPr>
          <w:rFonts w:asciiTheme="majorHAnsi" w:hAnsiTheme="majorHAnsi" w:cstheme="minorHAnsi"/>
        </w:rPr>
        <w:t xml:space="preserve"> </w:t>
      </w:r>
      <w:r w:rsidR="00163ACA" w:rsidRPr="008D4276">
        <w:rPr>
          <w:rFonts w:asciiTheme="majorHAnsi" w:hAnsiTheme="majorHAnsi" w:cstheme="minorHAnsi"/>
        </w:rPr>
        <w:t>Avtozma</w:t>
      </w:r>
      <w:r w:rsidR="00163ACA" w:rsidRPr="008D4276" w:rsidDel="00163ACA">
        <w:rPr>
          <w:rFonts w:asciiTheme="majorHAnsi" w:hAnsiTheme="majorHAnsi" w:cstheme="minorHAnsi"/>
        </w:rPr>
        <w:t xml:space="preserve"> </w:t>
      </w:r>
      <w:r w:rsidRPr="008D4276">
        <w:rPr>
          <w:rFonts w:asciiTheme="majorHAnsi" w:hAnsiTheme="majorHAnsi" w:cstheme="minorHAnsi"/>
        </w:rPr>
        <w:t xml:space="preserve"> for laboratory abnormalities are recommended in patients with pJIA or sJIA at levels similar to what is outlined above for patients with RA (see section 4.4 Special Warnings and Precautions). If appropriate, concomitant MTX and/or other medications should be dose modified or stopped and </w:t>
      </w:r>
      <w:r w:rsidR="0027137C" w:rsidRPr="008D4276">
        <w:rPr>
          <w:rFonts w:asciiTheme="majorHAnsi" w:hAnsiTheme="majorHAnsi" w:cstheme="minorHAnsi"/>
        </w:rPr>
        <w:t>Avtozma</w:t>
      </w:r>
      <w:r w:rsidR="0027137C" w:rsidRPr="008D4276" w:rsidDel="0027137C">
        <w:rPr>
          <w:rFonts w:asciiTheme="majorHAnsi" w:hAnsiTheme="majorHAnsi" w:cstheme="minorHAnsi"/>
        </w:rPr>
        <w:t xml:space="preserve"> </w:t>
      </w:r>
      <w:r w:rsidRPr="008D4276">
        <w:rPr>
          <w:rFonts w:asciiTheme="majorHAnsi" w:hAnsiTheme="majorHAnsi" w:cstheme="minorHAnsi"/>
        </w:rPr>
        <w:t>dosing interrupted until the clinical situation has been evaluated. In pJIA or sJIA the decision to discontinue</w:t>
      </w:r>
      <w:r w:rsidR="00CC6E84" w:rsidRPr="008D4276">
        <w:rPr>
          <w:rFonts w:asciiTheme="majorHAnsi" w:hAnsiTheme="majorHAnsi" w:cstheme="minorHAnsi"/>
        </w:rPr>
        <w:t xml:space="preserve"> </w:t>
      </w:r>
      <w:r w:rsidR="0027137C" w:rsidRPr="008D4276">
        <w:rPr>
          <w:rFonts w:asciiTheme="majorHAnsi" w:hAnsiTheme="majorHAnsi" w:cstheme="minorHAnsi"/>
        </w:rPr>
        <w:t>Avtozma</w:t>
      </w:r>
      <w:r w:rsidRPr="008D4276">
        <w:rPr>
          <w:rFonts w:asciiTheme="majorHAnsi" w:hAnsiTheme="majorHAnsi" w:cstheme="minorHAnsi"/>
        </w:rPr>
        <w:t xml:space="preserve"> for a laboratory abnormality should be based upon the medical assessment of the individual patient.</w:t>
      </w:r>
    </w:p>
    <w:p w14:paraId="7B7D63FD" w14:textId="77777777" w:rsidR="00F27BE1" w:rsidRPr="008D4276" w:rsidRDefault="00F27BE1" w:rsidP="00F27BE1">
      <w:pPr>
        <w:pStyle w:val="Heading3"/>
        <w:rPr>
          <w:rFonts w:cs="Calibri"/>
        </w:rPr>
      </w:pPr>
      <w:r w:rsidRPr="008D4276">
        <w:rPr>
          <w:rFonts w:cs="Calibri"/>
        </w:rPr>
        <w:t>Special Populations</w:t>
      </w:r>
    </w:p>
    <w:p w14:paraId="1471E89C" w14:textId="77777777" w:rsidR="00F27BE1" w:rsidRPr="008D4276" w:rsidRDefault="00F27BE1" w:rsidP="004D6592">
      <w:pPr>
        <w:pStyle w:val="Heading4"/>
        <w:rPr>
          <w:rFonts w:asciiTheme="majorHAnsi" w:hAnsiTheme="majorHAnsi"/>
        </w:rPr>
      </w:pPr>
      <w:r w:rsidRPr="008D4276">
        <w:rPr>
          <w:rFonts w:asciiTheme="majorHAnsi" w:hAnsiTheme="majorHAnsi"/>
        </w:rPr>
        <w:t>Children</w:t>
      </w:r>
    </w:p>
    <w:p w14:paraId="70F55A59" w14:textId="160AB7F3"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The safety and efficacy of </w:t>
      </w:r>
      <w:r w:rsidR="0027137C" w:rsidRPr="008D4276">
        <w:rPr>
          <w:rFonts w:asciiTheme="majorHAnsi" w:hAnsiTheme="majorHAnsi" w:cstheme="minorHAnsi"/>
        </w:rPr>
        <w:t>Avtozma</w:t>
      </w:r>
      <w:r w:rsidR="0027137C" w:rsidRPr="008D4276" w:rsidDel="0027137C">
        <w:rPr>
          <w:rFonts w:asciiTheme="majorHAnsi" w:hAnsiTheme="majorHAnsi" w:cstheme="minorHAnsi"/>
        </w:rPr>
        <w:t xml:space="preserve"> </w:t>
      </w:r>
      <w:r w:rsidRPr="008D4276">
        <w:rPr>
          <w:rFonts w:asciiTheme="majorHAnsi" w:hAnsiTheme="majorHAnsi" w:cstheme="minorHAnsi"/>
        </w:rPr>
        <w:t xml:space="preserve"> in children below 18 years of age with conditions other than pJIA, sJIA or CRS have not been established. The safety and efficacy in patients aged less than 2 years with pJIA and CRS have not been established. The safety and efficacy in patients aged less than 2 years with IV </w:t>
      </w:r>
      <w:r w:rsidR="0027137C" w:rsidRPr="008D4276">
        <w:rPr>
          <w:rFonts w:asciiTheme="majorHAnsi" w:hAnsiTheme="majorHAnsi" w:cstheme="minorHAnsi"/>
        </w:rPr>
        <w:t>Avtozma</w:t>
      </w:r>
      <w:r w:rsidRPr="008D4276">
        <w:rPr>
          <w:rFonts w:asciiTheme="majorHAnsi" w:hAnsiTheme="majorHAnsi" w:cstheme="minorHAnsi"/>
        </w:rPr>
        <w:t xml:space="preserve"> in sJIA or less than 1 year with SC </w:t>
      </w:r>
      <w:r w:rsidR="0027137C" w:rsidRPr="008D4276">
        <w:rPr>
          <w:rFonts w:asciiTheme="majorHAnsi" w:hAnsiTheme="majorHAnsi" w:cstheme="minorHAnsi"/>
        </w:rPr>
        <w:t>Avtozma</w:t>
      </w:r>
      <w:r w:rsidRPr="008D4276">
        <w:rPr>
          <w:rFonts w:asciiTheme="majorHAnsi" w:hAnsiTheme="majorHAnsi" w:cstheme="minorHAnsi"/>
        </w:rPr>
        <w:t xml:space="preserve"> in sJIA have not been established. </w:t>
      </w:r>
      <w:r w:rsidR="0027137C" w:rsidRPr="008D4276">
        <w:rPr>
          <w:rFonts w:asciiTheme="majorHAnsi" w:hAnsiTheme="majorHAnsi" w:cstheme="minorHAnsi"/>
        </w:rPr>
        <w:t>Avtozma</w:t>
      </w:r>
      <w:r w:rsidRPr="008D4276">
        <w:rPr>
          <w:rFonts w:asciiTheme="majorHAnsi" w:hAnsiTheme="majorHAnsi" w:cstheme="minorHAnsi"/>
        </w:rPr>
        <w:t xml:space="preserve"> subcutaneous formulation is not intended to be given to children with sJIA weighing less than 10 kg.</w:t>
      </w:r>
    </w:p>
    <w:p w14:paraId="0F97F295" w14:textId="77777777" w:rsidR="00F27BE1" w:rsidRPr="008D4276" w:rsidRDefault="00F27BE1" w:rsidP="004D6592">
      <w:pPr>
        <w:pStyle w:val="Heading4"/>
        <w:rPr>
          <w:rFonts w:asciiTheme="majorHAnsi" w:hAnsiTheme="majorHAnsi"/>
        </w:rPr>
      </w:pPr>
      <w:r w:rsidRPr="008D4276">
        <w:rPr>
          <w:rFonts w:asciiTheme="majorHAnsi" w:hAnsiTheme="majorHAnsi"/>
        </w:rPr>
        <w:lastRenderedPageBreak/>
        <w:t>Elderly</w:t>
      </w:r>
    </w:p>
    <w:p w14:paraId="5342077C"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No dose adjustment is required in elderly patients aged 65 years and older.</w:t>
      </w:r>
    </w:p>
    <w:p w14:paraId="2725F338" w14:textId="77777777" w:rsidR="00F27BE1" w:rsidRPr="008D4276" w:rsidRDefault="00F27BE1" w:rsidP="004D6592">
      <w:pPr>
        <w:pStyle w:val="Heading4"/>
        <w:rPr>
          <w:rFonts w:asciiTheme="majorHAnsi" w:hAnsiTheme="majorHAnsi"/>
        </w:rPr>
      </w:pPr>
      <w:r w:rsidRPr="008D4276">
        <w:rPr>
          <w:rFonts w:asciiTheme="majorHAnsi" w:hAnsiTheme="majorHAnsi"/>
        </w:rPr>
        <w:t>Renal impairment</w:t>
      </w:r>
    </w:p>
    <w:p w14:paraId="75F076A5" w14:textId="343F9E26"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No dose adjustment is required in patients with mild to moderate renal impairment (see section 5.2 Pharmacokinetic Properties). </w:t>
      </w:r>
      <w:r w:rsidR="00E13A84" w:rsidRPr="008D4276">
        <w:rPr>
          <w:rFonts w:asciiTheme="majorHAnsi" w:hAnsiTheme="majorHAnsi" w:cstheme="minorHAnsi"/>
        </w:rPr>
        <w:t>Avtozma</w:t>
      </w:r>
      <w:r w:rsidR="00E13A84" w:rsidRPr="008D4276" w:rsidDel="00E13A84">
        <w:rPr>
          <w:rFonts w:asciiTheme="majorHAnsi" w:hAnsiTheme="majorHAnsi" w:cstheme="minorHAnsi"/>
        </w:rPr>
        <w:t xml:space="preserve"> </w:t>
      </w:r>
      <w:r w:rsidRPr="008D4276">
        <w:rPr>
          <w:rFonts w:asciiTheme="majorHAnsi" w:hAnsiTheme="majorHAnsi" w:cstheme="minorHAnsi"/>
        </w:rPr>
        <w:t xml:space="preserve"> has not been studied in patients with severe renal impairment.</w:t>
      </w:r>
    </w:p>
    <w:p w14:paraId="250486D6" w14:textId="77777777" w:rsidR="00F27BE1" w:rsidRPr="008D4276" w:rsidRDefault="00F27BE1" w:rsidP="004D6592">
      <w:pPr>
        <w:pStyle w:val="Heading4"/>
        <w:rPr>
          <w:rFonts w:asciiTheme="majorHAnsi" w:hAnsiTheme="majorHAnsi"/>
        </w:rPr>
      </w:pPr>
      <w:r w:rsidRPr="008D4276">
        <w:rPr>
          <w:rFonts w:asciiTheme="majorHAnsi" w:hAnsiTheme="majorHAnsi"/>
        </w:rPr>
        <w:t>Hepatic impairment</w:t>
      </w:r>
    </w:p>
    <w:p w14:paraId="39B592FD" w14:textId="07A2EC7A" w:rsidR="00F27BE1" w:rsidRPr="008D4276" w:rsidRDefault="00F27BE1" w:rsidP="00F27BE1">
      <w:pPr>
        <w:rPr>
          <w:rFonts w:asciiTheme="majorHAnsi" w:hAnsiTheme="majorHAnsi" w:cstheme="minorHAnsi"/>
        </w:rPr>
      </w:pPr>
      <w:r w:rsidRPr="008D4276">
        <w:rPr>
          <w:rFonts w:asciiTheme="majorHAnsi" w:hAnsiTheme="majorHAnsi" w:cstheme="minorHAnsi"/>
        </w:rPr>
        <w:t>The safety and efficacy of</w:t>
      </w:r>
      <w:r w:rsidR="00E13A84" w:rsidRPr="008D4276">
        <w:rPr>
          <w:rFonts w:asciiTheme="majorHAnsi" w:hAnsiTheme="majorHAnsi" w:cstheme="minorHAnsi"/>
        </w:rPr>
        <w:t xml:space="preserve"> Avtozma</w:t>
      </w:r>
      <w:r w:rsidR="00E13A84" w:rsidRPr="008D4276" w:rsidDel="00E13A84">
        <w:rPr>
          <w:rFonts w:asciiTheme="majorHAnsi" w:hAnsiTheme="majorHAnsi" w:cstheme="minorHAnsi"/>
        </w:rPr>
        <w:t xml:space="preserve"> </w:t>
      </w:r>
      <w:r w:rsidRPr="008D4276">
        <w:rPr>
          <w:rFonts w:asciiTheme="majorHAnsi" w:hAnsiTheme="majorHAnsi" w:cstheme="minorHAnsi"/>
        </w:rPr>
        <w:t xml:space="preserve"> has not been studied in patients with hepatic impairment (see section 4.4 Special Warnings and Precautions) and therefore no dose recommendations can be made.</w:t>
      </w:r>
    </w:p>
    <w:p w14:paraId="05D4C62F" w14:textId="77777777" w:rsidR="00F27BE1" w:rsidRPr="008D4276" w:rsidRDefault="00F27BE1" w:rsidP="00F27BE1">
      <w:pPr>
        <w:pStyle w:val="Heading3"/>
        <w:rPr>
          <w:rFonts w:cs="Calibri"/>
        </w:rPr>
      </w:pPr>
      <w:r w:rsidRPr="008D4276">
        <w:rPr>
          <w:rFonts w:cs="Calibri"/>
        </w:rPr>
        <w:t>Method of Administration</w:t>
      </w:r>
    </w:p>
    <w:p w14:paraId="4EC3BD7C" w14:textId="77777777" w:rsidR="00F27BE1" w:rsidRPr="008D4276" w:rsidRDefault="00F27BE1" w:rsidP="004D6592">
      <w:pPr>
        <w:pStyle w:val="Heading4"/>
        <w:rPr>
          <w:rFonts w:asciiTheme="majorHAnsi" w:hAnsiTheme="majorHAnsi"/>
        </w:rPr>
      </w:pPr>
      <w:r w:rsidRPr="008D4276">
        <w:rPr>
          <w:rFonts w:asciiTheme="majorHAnsi" w:hAnsiTheme="majorHAnsi"/>
        </w:rPr>
        <w:t>Concentrated solution for intravenous infusion</w:t>
      </w:r>
    </w:p>
    <w:p w14:paraId="464911AB"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Parenteral medications should be inspected visually for particulate matter or discolouration prior to administration.</w:t>
      </w:r>
    </w:p>
    <w:p w14:paraId="7C379BDE" w14:textId="5BEC96AD"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Only solutions which are clear to </w:t>
      </w:r>
      <w:r w:rsidR="00CC6E84" w:rsidRPr="008D4276">
        <w:rPr>
          <w:rFonts w:asciiTheme="majorHAnsi" w:hAnsiTheme="majorHAnsi" w:cstheme="minorHAnsi"/>
        </w:rPr>
        <w:t xml:space="preserve">slightly </w:t>
      </w:r>
      <w:r w:rsidRPr="008D4276">
        <w:rPr>
          <w:rFonts w:asciiTheme="majorHAnsi" w:hAnsiTheme="majorHAnsi" w:cstheme="minorHAnsi"/>
        </w:rPr>
        <w:t>opalescent, colourless to pale yellow and free of visible particles must be infused.</w:t>
      </w:r>
    </w:p>
    <w:p w14:paraId="7C63902D" w14:textId="1056C18A" w:rsidR="00F27BE1" w:rsidRPr="008D4276" w:rsidRDefault="00F27BE1" w:rsidP="00F27BE1">
      <w:pPr>
        <w:rPr>
          <w:rFonts w:asciiTheme="majorHAnsi" w:hAnsiTheme="majorHAnsi" w:cstheme="minorHAnsi"/>
        </w:rPr>
      </w:pPr>
      <w:r w:rsidRPr="008D4276">
        <w:rPr>
          <w:rFonts w:asciiTheme="majorHAnsi" w:hAnsiTheme="majorHAnsi" w:cstheme="minorHAnsi"/>
        </w:rPr>
        <w:t>Use a sterile needle and syringe to prepare</w:t>
      </w:r>
      <w:r w:rsidR="00E13A84" w:rsidRPr="008D4276">
        <w:rPr>
          <w:rFonts w:asciiTheme="majorHAnsi" w:hAnsiTheme="majorHAnsi" w:cstheme="minorHAnsi"/>
        </w:rPr>
        <w:t xml:space="preserve"> Avtozma</w:t>
      </w:r>
      <w:r w:rsidR="00E13A84" w:rsidRPr="008D4276" w:rsidDel="00E13A84">
        <w:rPr>
          <w:rFonts w:asciiTheme="majorHAnsi" w:hAnsiTheme="majorHAnsi" w:cstheme="minorHAnsi"/>
        </w:rPr>
        <w:t xml:space="preserve"> </w:t>
      </w:r>
      <w:r w:rsidRPr="008D4276">
        <w:rPr>
          <w:rFonts w:asciiTheme="majorHAnsi" w:hAnsiTheme="majorHAnsi" w:cstheme="minorHAnsi"/>
        </w:rPr>
        <w:t>IV formulations.</w:t>
      </w:r>
    </w:p>
    <w:p w14:paraId="129F0A5B"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Rheumatoid Arthritis, CRS and COVID-19 patients (</w:t>
      </w:r>
      <w:r w:rsidRPr="008D4276">
        <w:rPr>
          <w:rFonts w:asciiTheme="majorHAnsi" w:hAnsiTheme="majorHAnsi" w:cs="Calibri" w:hint="eastAsia"/>
        </w:rPr>
        <w:t>≥</w:t>
      </w:r>
      <w:r w:rsidRPr="008D4276">
        <w:rPr>
          <w:rFonts w:asciiTheme="majorHAnsi" w:hAnsiTheme="majorHAnsi" w:cs="Calibri"/>
        </w:rPr>
        <w:t xml:space="preserve"> 30 kg)</w:t>
      </w:r>
    </w:p>
    <w:p w14:paraId="7A5D1035" w14:textId="4C923DD5" w:rsidR="00F27BE1" w:rsidRPr="008D4276" w:rsidRDefault="00F27BE1" w:rsidP="00F27BE1">
      <w:pPr>
        <w:rPr>
          <w:rFonts w:asciiTheme="majorHAnsi" w:hAnsiTheme="majorHAnsi" w:cstheme="minorHAnsi"/>
        </w:rPr>
      </w:pPr>
      <w:r w:rsidRPr="008D4276">
        <w:rPr>
          <w:rFonts w:asciiTheme="majorHAnsi" w:hAnsiTheme="majorHAnsi" w:cstheme="minorHAnsi"/>
        </w:rPr>
        <w:t xml:space="preserve">From a 100 mL infusion bag, withdraw a volume of 0.9% sodium chloride solution equal to the volume of the </w:t>
      </w:r>
      <w:r w:rsidR="00E13A84" w:rsidRPr="008D4276">
        <w:rPr>
          <w:rFonts w:asciiTheme="majorHAnsi" w:hAnsiTheme="majorHAnsi" w:cstheme="minorHAnsi"/>
        </w:rPr>
        <w:t>Avtozma</w:t>
      </w:r>
      <w:r w:rsidR="00E13A84" w:rsidRPr="008D4276" w:rsidDel="00E13A84">
        <w:rPr>
          <w:rFonts w:asciiTheme="majorHAnsi" w:hAnsiTheme="majorHAnsi" w:cstheme="minorHAnsi"/>
        </w:rPr>
        <w:t xml:space="preserve"> </w:t>
      </w:r>
      <w:r w:rsidRPr="008D4276">
        <w:rPr>
          <w:rFonts w:asciiTheme="majorHAnsi" w:hAnsiTheme="majorHAnsi" w:cstheme="minorHAnsi"/>
        </w:rPr>
        <w:t xml:space="preserve">solution required for the patient’s dose, and discard. Withdraw the required amount of </w:t>
      </w:r>
      <w:r w:rsidR="00E13A84" w:rsidRPr="008D4276">
        <w:rPr>
          <w:rFonts w:asciiTheme="majorHAnsi" w:hAnsiTheme="majorHAnsi" w:cstheme="minorHAnsi"/>
        </w:rPr>
        <w:t>Avtozma</w:t>
      </w:r>
      <w:r w:rsidR="00040287" w:rsidRPr="008D4276">
        <w:rPr>
          <w:rFonts w:asciiTheme="majorHAnsi" w:hAnsiTheme="majorHAnsi" w:cstheme="minorHAnsi"/>
        </w:rPr>
        <w:t xml:space="preserve"> </w:t>
      </w:r>
      <w:r w:rsidRPr="008D4276">
        <w:rPr>
          <w:rFonts w:asciiTheme="majorHAnsi" w:hAnsiTheme="majorHAnsi" w:cstheme="minorHAnsi"/>
        </w:rPr>
        <w:t>(0.4 mL per kg of the patient’s body weight) under aseptic conditions and add to the infusion bag. To mix the solution, gently invert the bag to avoid foaming.</w:t>
      </w:r>
    </w:p>
    <w:p w14:paraId="46728B0A" w14:textId="77777777" w:rsidR="00F27BE1" w:rsidRPr="008D4276" w:rsidRDefault="00F27BE1" w:rsidP="004D6592">
      <w:pPr>
        <w:pStyle w:val="Heading4"/>
        <w:rPr>
          <w:rFonts w:asciiTheme="majorHAnsi" w:hAnsiTheme="majorHAnsi"/>
        </w:rPr>
      </w:pPr>
      <w:r w:rsidRPr="008D4276">
        <w:rPr>
          <w:rFonts w:asciiTheme="majorHAnsi" w:hAnsiTheme="majorHAnsi"/>
        </w:rPr>
        <w:t>Use in paediatric patients</w:t>
      </w:r>
    </w:p>
    <w:p w14:paraId="334CDE18" w14:textId="77777777" w:rsidR="00F27BE1" w:rsidRPr="008D4276" w:rsidRDefault="00F27BE1" w:rsidP="00E63BA6">
      <w:pPr>
        <w:pStyle w:val="Heading5"/>
        <w:rPr>
          <w:rFonts w:asciiTheme="majorHAnsi" w:hAnsiTheme="majorHAnsi" w:cs="Calibri"/>
        </w:rPr>
      </w:pPr>
      <w:r w:rsidRPr="008D4276">
        <w:rPr>
          <w:rFonts w:asciiTheme="majorHAnsi" w:hAnsiTheme="majorHAnsi" w:cs="Calibri"/>
        </w:rPr>
        <w:t xml:space="preserve">pJIA, sJIA and CRS patients </w:t>
      </w:r>
      <w:r w:rsidRPr="008D4276">
        <w:rPr>
          <w:rFonts w:asciiTheme="majorHAnsi" w:hAnsiTheme="majorHAnsi" w:cs="Calibri" w:hint="eastAsia"/>
        </w:rPr>
        <w:t>≥</w:t>
      </w:r>
      <w:r w:rsidRPr="008D4276">
        <w:rPr>
          <w:rFonts w:asciiTheme="majorHAnsi" w:hAnsiTheme="majorHAnsi" w:cs="Calibri"/>
        </w:rPr>
        <w:t xml:space="preserve"> 30 kg</w:t>
      </w:r>
    </w:p>
    <w:p w14:paraId="26F101EE" w14:textId="3843AE16" w:rsidR="00F27BE1" w:rsidRPr="008D4276" w:rsidRDefault="00F27BE1" w:rsidP="00F27BE1">
      <w:pPr>
        <w:rPr>
          <w:rFonts w:asciiTheme="majorHAnsi" w:hAnsiTheme="majorHAnsi" w:cstheme="minorHAnsi"/>
        </w:rPr>
      </w:pPr>
      <w:r w:rsidRPr="008D4276">
        <w:rPr>
          <w:rFonts w:asciiTheme="majorHAnsi" w:hAnsiTheme="majorHAnsi" w:cstheme="minorHAnsi"/>
        </w:rPr>
        <w:t>From a 100 mL infusion bag, withdraw a volume of 0.9% sodium chloride solution equal to the volume of the</w:t>
      </w:r>
      <w:r w:rsidR="00CC6E84" w:rsidRPr="008D4276">
        <w:rPr>
          <w:rFonts w:asciiTheme="majorHAnsi" w:hAnsiTheme="majorHAnsi" w:cstheme="minorHAnsi"/>
        </w:rPr>
        <w:t xml:space="preserve"> </w:t>
      </w:r>
      <w:r w:rsidR="00E13A84" w:rsidRPr="008D4276">
        <w:rPr>
          <w:rFonts w:asciiTheme="majorHAnsi" w:hAnsiTheme="majorHAnsi" w:cstheme="minorHAnsi"/>
        </w:rPr>
        <w:t>Avtozma</w:t>
      </w:r>
      <w:r w:rsidR="00040287" w:rsidRPr="008D4276" w:rsidDel="00D054F7">
        <w:rPr>
          <w:rFonts w:asciiTheme="majorHAnsi" w:hAnsiTheme="majorHAnsi" w:cstheme="minorHAnsi"/>
        </w:rPr>
        <w:t xml:space="preserve"> </w:t>
      </w:r>
      <w:r w:rsidR="00040287" w:rsidRPr="008D4276">
        <w:rPr>
          <w:rFonts w:asciiTheme="majorHAnsi" w:hAnsiTheme="majorHAnsi" w:cstheme="minorHAnsi"/>
        </w:rPr>
        <w:t xml:space="preserve"> </w:t>
      </w:r>
      <w:r w:rsidRPr="008D4276">
        <w:rPr>
          <w:rFonts w:asciiTheme="majorHAnsi" w:hAnsiTheme="majorHAnsi" w:cstheme="minorHAnsi"/>
        </w:rPr>
        <w:t xml:space="preserve">solution required for the patient’s dose. Withdraw the required amount of </w:t>
      </w:r>
      <w:r w:rsidR="00E13A84" w:rsidRPr="008D4276">
        <w:rPr>
          <w:rFonts w:asciiTheme="majorHAnsi" w:hAnsiTheme="majorHAnsi" w:cstheme="minorHAnsi"/>
        </w:rPr>
        <w:t>Avtozma</w:t>
      </w:r>
      <w:r w:rsidR="00040287" w:rsidRPr="008D4276">
        <w:rPr>
          <w:rFonts w:asciiTheme="majorHAnsi" w:hAnsiTheme="majorHAnsi" w:cstheme="minorHAnsi"/>
        </w:rPr>
        <w:t xml:space="preserve"> </w:t>
      </w:r>
      <w:r w:rsidRPr="008D4276">
        <w:rPr>
          <w:rFonts w:asciiTheme="majorHAnsi" w:hAnsiTheme="majorHAnsi" w:cstheme="minorHAnsi"/>
        </w:rPr>
        <w:t>(0.4 mL per kg of the patient’s body weight) under aseptic conditions and dilute in a 100</w:t>
      </w:r>
      <w:r w:rsidR="004D6592" w:rsidRPr="008D4276">
        <w:rPr>
          <w:rFonts w:asciiTheme="majorHAnsi" w:hAnsiTheme="majorHAnsi" w:cstheme="minorHAnsi"/>
        </w:rPr>
        <w:t> </w:t>
      </w:r>
      <w:r w:rsidRPr="008D4276">
        <w:rPr>
          <w:rFonts w:asciiTheme="majorHAnsi" w:hAnsiTheme="majorHAnsi" w:cstheme="minorHAnsi"/>
        </w:rPr>
        <w:t>mL infusion bag containing sterile, non-pyrogenic 0.9% sodium chloride solution. To mix the solution, gently invert the bag to avoid foaming.</w:t>
      </w:r>
    </w:p>
    <w:p w14:paraId="06E3DEAE"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pJIA patients below 30 kg</w:t>
      </w:r>
    </w:p>
    <w:p w14:paraId="6EE27D2B" w14:textId="177A5098" w:rsidR="00F27BE1" w:rsidRPr="008D4276" w:rsidRDefault="00F27BE1" w:rsidP="00F27BE1">
      <w:pPr>
        <w:rPr>
          <w:rFonts w:asciiTheme="majorHAnsi" w:hAnsiTheme="majorHAnsi" w:cstheme="minorHAnsi"/>
        </w:rPr>
      </w:pPr>
      <w:r w:rsidRPr="008D4276">
        <w:rPr>
          <w:rFonts w:asciiTheme="majorHAnsi" w:hAnsiTheme="majorHAnsi" w:cstheme="minorHAnsi"/>
        </w:rPr>
        <w:t>From a 50 mL infusion bag, withdraw a volume of 0.9% sodium chloride solution equal to 0.5</w:t>
      </w:r>
      <w:r w:rsidR="004D6592" w:rsidRPr="008D4276">
        <w:rPr>
          <w:rFonts w:asciiTheme="majorHAnsi" w:hAnsiTheme="majorHAnsi" w:cstheme="minorHAnsi"/>
        </w:rPr>
        <w:t> </w:t>
      </w:r>
      <w:r w:rsidRPr="008D4276">
        <w:rPr>
          <w:rFonts w:asciiTheme="majorHAnsi" w:hAnsiTheme="majorHAnsi" w:cstheme="minorHAnsi"/>
        </w:rPr>
        <w:t xml:space="preserve">mL/kg of the patient’s body weight and discard. This volume should be replaced in the saline bag with an equal volume of </w:t>
      </w:r>
      <w:r w:rsidR="007142F5" w:rsidRPr="008D4276">
        <w:rPr>
          <w:rFonts w:asciiTheme="majorHAnsi" w:hAnsiTheme="majorHAnsi" w:cstheme="minorHAnsi"/>
        </w:rPr>
        <w:t>Avtozma</w:t>
      </w:r>
      <w:r w:rsidR="007142F5" w:rsidRPr="008D4276" w:rsidDel="007142F5">
        <w:rPr>
          <w:rFonts w:asciiTheme="majorHAnsi" w:hAnsiTheme="majorHAnsi" w:cstheme="minorHAnsi"/>
        </w:rPr>
        <w:t xml:space="preserve"> </w:t>
      </w:r>
      <w:r w:rsidRPr="008D4276">
        <w:rPr>
          <w:rFonts w:asciiTheme="majorHAnsi" w:hAnsiTheme="majorHAnsi" w:cstheme="minorHAnsi"/>
        </w:rPr>
        <w:t>under aseptic conditions. To mix the solution, gently invert the bag to avoid foaming.</w:t>
      </w:r>
    </w:p>
    <w:p w14:paraId="01E8D129" w14:textId="77777777" w:rsidR="00F27BE1" w:rsidRPr="008D4276" w:rsidRDefault="00F27BE1" w:rsidP="00F27BE1">
      <w:pPr>
        <w:pStyle w:val="Heading5"/>
        <w:rPr>
          <w:rFonts w:asciiTheme="majorHAnsi" w:hAnsiTheme="majorHAnsi" w:cs="Calibri"/>
        </w:rPr>
      </w:pPr>
      <w:r w:rsidRPr="008D4276">
        <w:rPr>
          <w:rFonts w:asciiTheme="majorHAnsi" w:hAnsiTheme="majorHAnsi" w:cs="Calibri"/>
        </w:rPr>
        <w:t>sJIA and CRS patients below 30 kg</w:t>
      </w:r>
    </w:p>
    <w:p w14:paraId="5BACD328" w14:textId="4A729F73" w:rsidR="00F27BE1" w:rsidRPr="008D4276" w:rsidRDefault="00F27BE1" w:rsidP="00F27BE1">
      <w:pPr>
        <w:rPr>
          <w:rFonts w:asciiTheme="majorHAnsi" w:hAnsiTheme="majorHAnsi" w:cstheme="minorHAnsi"/>
        </w:rPr>
      </w:pPr>
      <w:r w:rsidRPr="008D4276">
        <w:rPr>
          <w:rFonts w:asciiTheme="majorHAnsi" w:hAnsiTheme="majorHAnsi" w:cstheme="minorHAnsi"/>
        </w:rPr>
        <w:t>From a 50 mL infusion bag, withdraw a volume of 0.9% sodium chloride solution equal to 0.6</w:t>
      </w:r>
      <w:r w:rsidR="004D6592" w:rsidRPr="008D4276">
        <w:rPr>
          <w:rFonts w:asciiTheme="majorHAnsi" w:hAnsiTheme="majorHAnsi" w:cstheme="minorHAnsi"/>
        </w:rPr>
        <w:t> </w:t>
      </w:r>
      <w:r w:rsidRPr="008D4276">
        <w:rPr>
          <w:rFonts w:asciiTheme="majorHAnsi" w:hAnsiTheme="majorHAnsi" w:cstheme="minorHAnsi"/>
        </w:rPr>
        <w:t xml:space="preserve">mL/kg of the patient’s body weight and discard. This volume should be replaced in the saline </w:t>
      </w:r>
      <w:r w:rsidRPr="008D4276">
        <w:rPr>
          <w:rFonts w:asciiTheme="majorHAnsi" w:hAnsiTheme="majorHAnsi" w:cstheme="minorHAnsi"/>
        </w:rPr>
        <w:lastRenderedPageBreak/>
        <w:t xml:space="preserve">bag with an equal volume of </w:t>
      </w:r>
      <w:r w:rsidR="007142F5" w:rsidRPr="008D4276">
        <w:rPr>
          <w:rFonts w:asciiTheme="majorHAnsi" w:hAnsiTheme="majorHAnsi" w:cstheme="minorHAnsi"/>
        </w:rPr>
        <w:t>Avtozma</w:t>
      </w:r>
      <w:r w:rsidR="00040287" w:rsidRPr="008D4276" w:rsidDel="00D054F7">
        <w:rPr>
          <w:rFonts w:asciiTheme="majorHAnsi" w:hAnsiTheme="majorHAnsi" w:cstheme="minorHAnsi"/>
        </w:rPr>
        <w:t xml:space="preserve"> </w:t>
      </w:r>
      <w:r w:rsidR="00040287" w:rsidRPr="008D4276">
        <w:rPr>
          <w:rFonts w:asciiTheme="majorHAnsi" w:hAnsiTheme="majorHAnsi" w:cstheme="minorHAnsi"/>
        </w:rPr>
        <w:t xml:space="preserve"> </w:t>
      </w:r>
      <w:r w:rsidRPr="008D4276">
        <w:rPr>
          <w:rFonts w:asciiTheme="majorHAnsi" w:hAnsiTheme="majorHAnsi" w:cstheme="minorHAnsi"/>
        </w:rPr>
        <w:t>under aseptic conditions. To mix the solution, gently invert the bag to avoid foaming.</w:t>
      </w:r>
    </w:p>
    <w:p w14:paraId="102D8765" w14:textId="77777777" w:rsidR="00F27BE1" w:rsidRPr="008D4276" w:rsidRDefault="00F27BE1" w:rsidP="004D6592">
      <w:pPr>
        <w:pStyle w:val="Heading4"/>
        <w:rPr>
          <w:rFonts w:asciiTheme="majorHAnsi" w:hAnsiTheme="majorHAnsi"/>
        </w:rPr>
      </w:pPr>
      <w:r w:rsidRPr="008D4276">
        <w:rPr>
          <w:rFonts w:asciiTheme="majorHAnsi" w:hAnsiTheme="majorHAnsi"/>
        </w:rPr>
        <w:t>Solution for Subcutaneous Injection</w:t>
      </w:r>
    </w:p>
    <w:p w14:paraId="3DAFDA59" w14:textId="21277059" w:rsidR="00F27BE1" w:rsidRPr="008D4276" w:rsidRDefault="007142F5" w:rsidP="00F27BE1">
      <w:pPr>
        <w:rPr>
          <w:rFonts w:asciiTheme="majorHAnsi" w:hAnsiTheme="majorHAnsi" w:cstheme="minorHAnsi"/>
        </w:rPr>
      </w:pPr>
      <w:r w:rsidRPr="008D4276">
        <w:rPr>
          <w:rFonts w:asciiTheme="majorHAnsi" w:hAnsiTheme="majorHAnsi" w:cstheme="minorHAnsi"/>
        </w:rPr>
        <w:t>Avtozma</w:t>
      </w:r>
      <w:r w:rsidRPr="008D4276" w:rsidDel="007142F5">
        <w:rPr>
          <w:rFonts w:asciiTheme="majorHAnsi" w:hAnsiTheme="majorHAnsi" w:cstheme="minorHAnsi"/>
        </w:rPr>
        <w:t xml:space="preserve"> </w:t>
      </w:r>
      <w:r w:rsidR="00F27BE1" w:rsidRPr="008D4276">
        <w:rPr>
          <w:rFonts w:asciiTheme="majorHAnsi" w:hAnsiTheme="majorHAnsi" w:cstheme="minorHAnsi"/>
        </w:rPr>
        <w:t xml:space="preserve"> SC formulation is administered with a single-use pre-filled syringe or pen. The pre-filled pen (A</w:t>
      </w:r>
      <w:r w:rsidR="00CC6E84" w:rsidRPr="008D4276">
        <w:rPr>
          <w:rFonts w:asciiTheme="majorHAnsi" w:hAnsiTheme="majorHAnsi" w:cstheme="minorHAnsi"/>
        </w:rPr>
        <w:t>V</w:t>
      </w:r>
      <w:r w:rsidR="00F27BE1" w:rsidRPr="008D4276">
        <w:rPr>
          <w:rFonts w:asciiTheme="majorHAnsi" w:hAnsiTheme="majorHAnsi" w:cstheme="minorHAnsi"/>
        </w:rPr>
        <w:t>TPen) should not be used to treat children and adolescent patients ˂ 12 years of age since there is a potential risk of intramuscular injection due to a thinner subcutaneous tissue layer.</w:t>
      </w:r>
    </w:p>
    <w:p w14:paraId="1E586C10"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The recommended injection sites (abdomen, thigh and upper arm) should be rotated and injections should never be given into moles, scars, or areas where the skin is tender, bruised, red, hard, or not intact. Administration in the thigh may result in slightly increased absorption compared to the other recommended injection sites but this is not considered clinically relevant.</w:t>
      </w:r>
    </w:p>
    <w:p w14:paraId="41367296"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Do not use if the medicine is cloudy or contains particles, is any colour besides colourless to slightly yellowish, or any part of the pre-filled syringe appears to be damaged.</w:t>
      </w:r>
    </w:p>
    <w:p w14:paraId="60D6B6FD" w14:textId="010DC93F" w:rsidR="00F27BE1" w:rsidRPr="008D4276" w:rsidRDefault="007142F5" w:rsidP="00F27BE1">
      <w:pPr>
        <w:rPr>
          <w:rFonts w:asciiTheme="majorHAnsi" w:hAnsiTheme="majorHAnsi" w:cstheme="minorHAnsi"/>
        </w:rPr>
      </w:pPr>
      <w:r w:rsidRPr="008D4276">
        <w:rPr>
          <w:rFonts w:asciiTheme="majorHAnsi" w:hAnsiTheme="majorHAnsi" w:cstheme="minorHAnsi"/>
        </w:rPr>
        <w:t>Avtozma</w:t>
      </w:r>
      <w:r w:rsidRPr="008D4276" w:rsidDel="007142F5">
        <w:rPr>
          <w:rFonts w:asciiTheme="majorHAnsi" w:hAnsiTheme="majorHAnsi" w:cstheme="minorHAnsi"/>
        </w:rPr>
        <w:t xml:space="preserve"> </w:t>
      </w:r>
      <w:r w:rsidR="00F27BE1" w:rsidRPr="008D4276">
        <w:rPr>
          <w:rFonts w:asciiTheme="majorHAnsi" w:hAnsiTheme="majorHAnsi" w:cstheme="minorHAnsi"/>
        </w:rPr>
        <w:t>should not be shaken.</w:t>
      </w:r>
    </w:p>
    <w:p w14:paraId="2836E13A" w14:textId="77777777" w:rsidR="00F27BE1" w:rsidRPr="008D4276" w:rsidRDefault="00F27BE1" w:rsidP="00F27BE1">
      <w:pPr>
        <w:rPr>
          <w:rFonts w:asciiTheme="majorHAnsi" w:hAnsiTheme="majorHAnsi" w:cstheme="minorHAnsi"/>
        </w:rPr>
      </w:pPr>
      <w:r w:rsidRPr="008D4276">
        <w:rPr>
          <w:rFonts w:asciiTheme="majorHAnsi" w:hAnsiTheme="majorHAnsi" w:cstheme="minorHAnsi"/>
        </w:rPr>
        <w:t>After removing the pre-filled syringe from the refrigerator, it should be allowed to reach room temperature by waiting for 25 to 30 minutes, before injecting. After removing the cap the injection should be started within 5 minutes.</w:t>
      </w:r>
    </w:p>
    <w:p w14:paraId="37A1DE88" w14:textId="17E9A764" w:rsidR="00F27BE1" w:rsidRPr="008D4276" w:rsidRDefault="00F27BE1" w:rsidP="00F27BE1">
      <w:pPr>
        <w:rPr>
          <w:rFonts w:asciiTheme="majorHAnsi" w:hAnsiTheme="majorHAnsi" w:cstheme="minorHAnsi"/>
        </w:rPr>
      </w:pPr>
      <w:r w:rsidRPr="008D4276">
        <w:rPr>
          <w:rFonts w:asciiTheme="majorHAnsi" w:hAnsiTheme="majorHAnsi" w:cstheme="minorHAnsi"/>
        </w:rPr>
        <w:t>After removing the pre-filled pen from the refrigerator, it should be allowed to reach room temperature by waiting 45 minutes, before injecting. After removing the cap the injection should be started within 3 minutes.</w:t>
      </w:r>
    </w:p>
    <w:p w14:paraId="4C55287B" w14:textId="77777777" w:rsidR="001A3992" w:rsidRPr="008D4276" w:rsidRDefault="001A3992" w:rsidP="001A3992">
      <w:pPr>
        <w:pStyle w:val="Heading2"/>
        <w:spacing w:before="0"/>
        <w:rPr>
          <w:rFonts w:cs="Calibri"/>
        </w:rPr>
      </w:pPr>
      <w:r w:rsidRPr="008D4276">
        <w:rPr>
          <w:rFonts w:cs="Calibri"/>
        </w:rPr>
        <w:t>Contraindications</w:t>
      </w:r>
    </w:p>
    <w:p w14:paraId="0550CA82" w14:textId="08EE313C" w:rsidR="005E036E" w:rsidRPr="008D4276" w:rsidRDefault="007142F5" w:rsidP="005E036E">
      <w:pPr>
        <w:rPr>
          <w:rFonts w:asciiTheme="majorHAnsi" w:hAnsiTheme="majorHAnsi" w:cstheme="minorHAnsi"/>
        </w:rPr>
      </w:pPr>
      <w:r w:rsidRPr="008D4276">
        <w:rPr>
          <w:rFonts w:asciiTheme="majorHAnsi" w:hAnsiTheme="majorHAnsi" w:cstheme="minorHAnsi"/>
        </w:rPr>
        <w:t>Avtozma</w:t>
      </w:r>
      <w:r w:rsidRPr="008D4276" w:rsidDel="007142F5">
        <w:rPr>
          <w:rFonts w:asciiTheme="majorHAnsi" w:hAnsiTheme="majorHAnsi" w:cstheme="minorHAnsi"/>
        </w:rPr>
        <w:t xml:space="preserve"> </w:t>
      </w:r>
      <w:r w:rsidR="005E036E" w:rsidRPr="008D4276">
        <w:rPr>
          <w:rFonts w:asciiTheme="majorHAnsi" w:hAnsiTheme="majorHAnsi" w:cstheme="minorHAnsi"/>
        </w:rPr>
        <w:t>is contraindicated in patients with:</w:t>
      </w:r>
    </w:p>
    <w:p w14:paraId="07759640" w14:textId="31597E20" w:rsidR="005E036E" w:rsidRPr="008D4276" w:rsidRDefault="005E036E" w:rsidP="004D6592">
      <w:pPr>
        <w:pStyle w:val="ListParagraph"/>
        <w:numPr>
          <w:ilvl w:val="0"/>
          <w:numId w:val="82"/>
        </w:numPr>
        <w:rPr>
          <w:rFonts w:asciiTheme="majorHAnsi" w:hAnsiTheme="majorHAnsi"/>
        </w:rPr>
      </w:pPr>
      <w:r w:rsidRPr="008D4276">
        <w:rPr>
          <w:rFonts w:asciiTheme="majorHAnsi" w:hAnsiTheme="majorHAnsi"/>
        </w:rPr>
        <w:t>known hypersensitivity to any component of the product or with a history of any reaction consistent with hypersensitivity to any component of the product, Chinese hamster ovary cell products or other recombinant human or humanised antibodies</w:t>
      </w:r>
    </w:p>
    <w:p w14:paraId="16CBC159" w14:textId="530B1089" w:rsidR="005E036E" w:rsidRPr="008D4276" w:rsidRDefault="005E036E" w:rsidP="004D6592">
      <w:pPr>
        <w:pStyle w:val="ListParagraph"/>
        <w:numPr>
          <w:ilvl w:val="0"/>
          <w:numId w:val="82"/>
        </w:numPr>
        <w:rPr>
          <w:rFonts w:asciiTheme="majorHAnsi" w:hAnsiTheme="majorHAnsi"/>
        </w:rPr>
      </w:pPr>
      <w:r w:rsidRPr="008D4276">
        <w:rPr>
          <w:rFonts w:asciiTheme="majorHAnsi" w:hAnsiTheme="majorHAnsi"/>
        </w:rPr>
        <w:t>active, severe infections (see section 4.4 Special Warnings and Precautions)</w:t>
      </w:r>
    </w:p>
    <w:p w14:paraId="79FEC641" w14:textId="77777777" w:rsidR="001A3992" w:rsidRPr="008D4276" w:rsidRDefault="00E74A56" w:rsidP="001A3992">
      <w:pPr>
        <w:pStyle w:val="Heading2"/>
        <w:spacing w:before="0"/>
        <w:rPr>
          <w:rFonts w:cs="Calibri"/>
        </w:rPr>
      </w:pPr>
      <w:r w:rsidRPr="008D4276">
        <w:rPr>
          <w:rFonts w:cs="Calibri"/>
        </w:rPr>
        <w:t>Special warnings and p</w:t>
      </w:r>
      <w:r w:rsidR="001A3992" w:rsidRPr="008D4276">
        <w:rPr>
          <w:rFonts w:cs="Calibri"/>
        </w:rPr>
        <w:t xml:space="preserve">recautions </w:t>
      </w:r>
      <w:r w:rsidRPr="008D4276">
        <w:rPr>
          <w:rFonts w:cs="Calibri"/>
        </w:rPr>
        <w:t>for use</w:t>
      </w:r>
    </w:p>
    <w:p w14:paraId="46D5CBBB" w14:textId="36C4AD2E" w:rsidR="005E036E" w:rsidRPr="008D4276" w:rsidRDefault="005E036E" w:rsidP="005E036E">
      <w:pPr>
        <w:rPr>
          <w:rFonts w:asciiTheme="majorHAnsi" w:hAnsiTheme="majorHAnsi" w:cstheme="minorHAnsi"/>
        </w:rPr>
      </w:pPr>
      <w:r w:rsidRPr="008D4276">
        <w:rPr>
          <w:rFonts w:asciiTheme="majorHAnsi" w:hAnsiTheme="majorHAnsi" w:cstheme="minorHAnsi"/>
        </w:rPr>
        <w:t>In order to improve the traceability of biological medicinal products, the tradename and batch number of the administered product should be clearly recorded in the patient medical record. Substitution by any other biological medicinal product requires the consent of the prescribing physician.</w:t>
      </w:r>
    </w:p>
    <w:p w14:paraId="2616AAC6" w14:textId="77777777" w:rsidR="005E036E" w:rsidRPr="008D4276" w:rsidRDefault="005E036E" w:rsidP="005E036E">
      <w:pPr>
        <w:pStyle w:val="Heading3"/>
        <w:rPr>
          <w:rFonts w:cs="Calibri"/>
        </w:rPr>
      </w:pPr>
      <w:r w:rsidRPr="008D4276">
        <w:rPr>
          <w:rFonts w:cs="Calibri"/>
        </w:rPr>
        <w:t>All Indications</w:t>
      </w:r>
    </w:p>
    <w:p w14:paraId="4EA222C1" w14:textId="77777777" w:rsidR="005E036E" w:rsidRPr="008D4276" w:rsidRDefault="005E036E" w:rsidP="004D6592">
      <w:pPr>
        <w:pStyle w:val="Heading4"/>
        <w:rPr>
          <w:rFonts w:asciiTheme="majorHAnsi" w:hAnsiTheme="majorHAnsi"/>
        </w:rPr>
      </w:pPr>
      <w:r w:rsidRPr="008D4276">
        <w:rPr>
          <w:rFonts w:asciiTheme="majorHAnsi" w:hAnsiTheme="majorHAnsi"/>
        </w:rPr>
        <w:t>Infections</w:t>
      </w:r>
    </w:p>
    <w:p w14:paraId="3D1C2220" w14:textId="2C73904B" w:rsidR="005E036E" w:rsidRPr="008D4276" w:rsidRDefault="005E036E" w:rsidP="005E036E">
      <w:pPr>
        <w:spacing w:after="200"/>
        <w:rPr>
          <w:rFonts w:asciiTheme="majorHAnsi" w:hAnsiTheme="majorHAnsi" w:cstheme="minorHAnsi"/>
        </w:rPr>
      </w:pPr>
      <w:r w:rsidRPr="008D4276">
        <w:rPr>
          <w:rFonts w:asciiTheme="majorHAnsi" w:hAnsiTheme="majorHAnsi" w:cstheme="minorHAnsi"/>
        </w:rPr>
        <w:t xml:space="preserve">Serious and sometimes fatal infections have been reported in patients receiving immunosuppressive agents including </w:t>
      </w:r>
      <w:bookmarkStart w:id="1" w:name="_Hlk159397936"/>
      <w:r w:rsidR="00CC6E84" w:rsidRPr="008D4276">
        <w:rPr>
          <w:rFonts w:asciiTheme="majorHAnsi" w:hAnsiTheme="majorHAnsi" w:cstheme="minorHAnsi"/>
        </w:rPr>
        <w:t>tocilizumab</w:t>
      </w:r>
      <w:bookmarkEnd w:id="1"/>
      <w:r w:rsidRPr="008D4276">
        <w:rPr>
          <w:rFonts w:asciiTheme="majorHAnsi" w:hAnsiTheme="majorHAnsi" w:cstheme="minorHAnsi"/>
        </w:rPr>
        <w:t xml:space="preserve"> (see section 4.8 Adverse Effects (Undesirable Effects)). </w:t>
      </w:r>
      <w:r w:rsidR="00CC6E84" w:rsidRPr="008D4276">
        <w:rPr>
          <w:rFonts w:asciiTheme="majorHAnsi" w:hAnsiTheme="majorHAnsi" w:cstheme="minorHAnsi"/>
        </w:rPr>
        <w:t xml:space="preserve">Tocilizumab </w:t>
      </w:r>
      <w:r w:rsidRPr="008D4276">
        <w:rPr>
          <w:rFonts w:asciiTheme="majorHAnsi" w:hAnsiTheme="majorHAnsi" w:cstheme="minorHAnsi"/>
        </w:rPr>
        <w:t xml:space="preserve">treatment should not be initiated in patients with active infections (see section 4.3 Contraindications). If a patient develops a serious infection, administration of </w:t>
      </w:r>
      <w:r w:rsidR="00CC6E84" w:rsidRPr="008D4276">
        <w:rPr>
          <w:rFonts w:asciiTheme="majorHAnsi" w:hAnsiTheme="majorHAnsi" w:cstheme="minorHAnsi"/>
        </w:rPr>
        <w:t>tocilizumab</w:t>
      </w:r>
      <w:r w:rsidRPr="008D4276">
        <w:rPr>
          <w:rFonts w:asciiTheme="majorHAnsi" w:hAnsiTheme="majorHAnsi" w:cstheme="minorHAnsi"/>
        </w:rPr>
        <w:t xml:space="preserve"> should be interrupted until the infection is controlled. Physicians should exercise </w:t>
      </w:r>
      <w:r w:rsidRPr="008D4276">
        <w:rPr>
          <w:rFonts w:asciiTheme="majorHAnsi" w:hAnsiTheme="majorHAnsi" w:cstheme="minorHAnsi"/>
        </w:rPr>
        <w:lastRenderedPageBreak/>
        <w:t xml:space="preserve">caution when considering the use of </w:t>
      </w:r>
      <w:r w:rsidR="00CC6E84" w:rsidRPr="008D4276">
        <w:rPr>
          <w:rFonts w:asciiTheme="majorHAnsi" w:hAnsiTheme="majorHAnsi" w:cstheme="minorHAnsi"/>
        </w:rPr>
        <w:t>tocilizumab</w:t>
      </w:r>
      <w:r w:rsidRPr="008D4276">
        <w:rPr>
          <w:rFonts w:asciiTheme="majorHAnsi" w:hAnsiTheme="majorHAnsi" w:cstheme="minorHAnsi"/>
        </w:rPr>
        <w:t xml:space="preserve"> in patients with a history of recurring or chronic infection, or with underlying conditions (e.g. diverticulitis, diabetes) which may predispose patients to infections.</w:t>
      </w:r>
    </w:p>
    <w:p w14:paraId="7B56018F" w14:textId="68736104" w:rsidR="005E036E" w:rsidRPr="008D4276" w:rsidRDefault="005E036E" w:rsidP="005E036E">
      <w:pPr>
        <w:spacing w:after="200"/>
        <w:rPr>
          <w:rFonts w:asciiTheme="majorHAnsi" w:hAnsiTheme="majorHAnsi" w:cstheme="minorHAnsi"/>
        </w:rPr>
      </w:pPr>
      <w:r w:rsidRPr="008D4276">
        <w:rPr>
          <w:rFonts w:asciiTheme="majorHAnsi" w:hAnsiTheme="majorHAnsi" w:cstheme="minorHAnsi"/>
        </w:rPr>
        <w:t xml:space="preserve">In patients with COVID-19, </w:t>
      </w:r>
      <w:r w:rsidR="00CC6E84" w:rsidRPr="008D4276">
        <w:rPr>
          <w:rFonts w:asciiTheme="majorHAnsi" w:hAnsiTheme="majorHAnsi" w:cstheme="minorHAnsi"/>
        </w:rPr>
        <w:t>tocilizumab</w:t>
      </w:r>
      <w:r w:rsidRPr="008D4276">
        <w:rPr>
          <w:rFonts w:asciiTheme="majorHAnsi" w:hAnsiTheme="majorHAnsi" w:cstheme="minorHAnsi"/>
        </w:rPr>
        <w:t xml:space="preserve"> should not be administered if patients also have any other concurrent serious active infection.</w:t>
      </w:r>
    </w:p>
    <w:p w14:paraId="2D86C648" w14:textId="7EAE3A00" w:rsidR="005E036E" w:rsidRPr="008D4276" w:rsidRDefault="005E036E" w:rsidP="005E036E">
      <w:pPr>
        <w:spacing w:after="200"/>
        <w:rPr>
          <w:rFonts w:asciiTheme="majorHAnsi" w:hAnsiTheme="majorHAnsi" w:cstheme="minorHAnsi"/>
        </w:rPr>
      </w:pPr>
      <w:r w:rsidRPr="008D4276">
        <w:rPr>
          <w:rFonts w:asciiTheme="majorHAnsi" w:hAnsiTheme="majorHAnsi" w:cstheme="minorHAnsi"/>
        </w:rPr>
        <w:t xml:space="preserve">Vigilance for the timely detection of serious infection is recommended for patients receiving immunosuppressive agents, such as </w:t>
      </w:r>
      <w:r w:rsidR="00CC6E84" w:rsidRPr="008D4276">
        <w:rPr>
          <w:rFonts w:asciiTheme="majorHAnsi" w:hAnsiTheme="majorHAnsi" w:cstheme="minorHAnsi"/>
        </w:rPr>
        <w:t>tocilizumab</w:t>
      </w:r>
      <w:r w:rsidRPr="008D4276">
        <w:rPr>
          <w:rFonts w:asciiTheme="majorHAnsi" w:hAnsiTheme="majorHAnsi" w:cstheme="minorHAnsi"/>
        </w:rPr>
        <w:t xml:space="preserve">, as signs and symptoms of acute inflammation may be lessened, due to suppression of the acute phase reaction. The effects of </w:t>
      </w:r>
      <w:r w:rsidR="00CC6E84" w:rsidRPr="008D4276">
        <w:rPr>
          <w:rFonts w:asciiTheme="majorHAnsi" w:hAnsiTheme="majorHAnsi" w:cstheme="minorHAnsi"/>
        </w:rPr>
        <w:t>tocilizumab</w:t>
      </w:r>
      <w:r w:rsidRPr="008D4276">
        <w:rPr>
          <w:rFonts w:asciiTheme="majorHAnsi" w:hAnsiTheme="majorHAnsi" w:cstheme="minorHAnsi"/>
        </w:rPr>
        <w:t xml:space="preserve"> on C-reactive protein (CRP), neutrophils and signs and symptoms of infection should be considered when evaluating a patient for a potential infection. Patients (which include younger children who may be less able to communicate their symptoms) and parents/guardians of minors should be instructed to contact a physician immediately when any symptoms suggesting infection appear, in order to assure rapid evaluation and appropriate treatment.</w:t>
      </w:r>
    </w:p>
    <w:p w14:paraId="26719166" w14:textId="39E12CD9" w:rsidR="005E036E" w:rsidRPr="008D4276" w:rsidRDefault="005E036E" w:rsidP="005E036E">
      <w:pPr>
        <w:spacing w:after="200"/>
        <w:rPr>
          <w:rFonts w:asciiTheme="majorHAnsi" w:hAnsiTheme="majorHAnsi" w:cstheme="minorHAnsi"/>
        </w:rPr>
      </w:pPr>
      <w:r w:rsidRPr="008D4276">
        <w:rPr>
          <w:rFonts w:asciiTheme="majorHAnsi" w:hAnsiTheme="majorHAnsi" w:cstheme="minorHAnsi"/>
        </w:rPr>
        <w:t xml:space="preserve">The use of </w:t>
      </w:r>
      <w:r w:rsidR="00CC6E84" w:rsidRPr="008D4276">
        <w:rPr>
          <w:rFonts w:asciiTheme="majorHAnsi" w:hAnsiTheme="majorHAnsi" w:cstheme="minorHAnsi"/>
        </w:rPr>
        <w:t>tocilizumab</w:t>
      </w:r>
      <w:r w:rsidRPr="008D4276">
        <w:rPr>
          <w:rFonts w:asciiTheme="majorHAnsi" w:hAnsiTheme="majorHAnsi" w:cstheme="minorHAnsi"/>
        </w:rPr>
        <w:t xml:space="preserve"> is not recommended in patients with HIV, positive core antibody for hepatitis</w:t>
      </w:r>
      <w:r w:rsidR="004D6592" w:rsidRPr="008D4276">
        <w:rPr>
          <w:rFonts w:asciiTheme="majorHAnsi" w:hAnsiTheme="majorHAnsi" w:cstheme="minorHAnsi"/>
        </w:rPr>
        <w:t> </w:t>
      </w:r>
      <w:r w:rsidRPr="008D4276">
        <w:rPr>
          <w:rFonts w:asciiTheme="majorHAnsi" w:hAnsiTheme="majorHAnsi" w:cstheme="minorHAnsi"/>
        </w:rPr>
        <w:t>B, prior HCV infection, or symptomatic EBV infection. Viral reactivation (e.g. hepatitis</w:t>
      </w:r>
      <w:r w:rsidR="004D6592" w:rsidRPr="008D4276">
        <w:rPr>
          <w:rFonts w:asciiTheme="majorHAnsi" w:hAnsiTheme="majorHAnsi" w:cstheme="minorHAnsi"/>
        </w:rPr>
        <w:t> </w:t>
      </w:r>
      <w:r w:rsidRPr="008D4276">
        <w:rPr>
          <w:rFonts w:asciiTheme="majorHAnsi" w:hAnsiTheme="majorHAnsi" w:cstheme="minorHAnsi"/>
        </w:rPr>
        <w:t xml:space="preserve">B) has been reported with biologic therapies for RA. In clinical studies with </w:t>
      </w:r>
      <w:r w:rsidR="00CC6E84" w:rsidRPr="008D4276">
        <w:rPr>
          <w:rFonts w:asciiTheme="majorHAnsi" w:hAnsiTheme="majorHAnsi" w:cstheme="minorHAnsi"/>
        </w:rPr>
        <w:t>tocilizumab</w:t>
      </w:r>
      <w:r w:rsidRPr="008D4276">
        <w:rPr>
          <w:rFonts w:asciiTheme="majorHAnsi" w:hAnsiTheme="majorHAnsi" w:cstheme="minorHAnsi"/>
        </w:rPr>
        <w:t>, patients who screened positive for hepatitis were excluded.</w:t>
      </w:r>
    </w:p>
    <w:p w14:paraId="6DE3B657" w14:textId="77777777" w:rsidR="005E036E" w:rsidRPr="008D4276" w:rsidRDefault="005E036E" w:rsidP="005E036E">
      <w:pPr>
        <w:spacing w:after="200"/>
        <w:rPr>
          <w:rFonts w:asciiTheme="majorHAnsi" w:hAnsiTheme="majorHAnsi" w:cstheme="minorHAnsi"/>
        </w:rPr>
      </w:pPr>
      <w:r w:rsidRPr="008D4276">
        <w:rPr>
          <w:rFonts w:asciiTheme="majorHAnsi" w:hAnsiTheme="majorHAnsi" w:cstheme="minorHAnsi"/>
        </w:rPr>
        <w:t>In the RA long term exposure population, the overall rate of serious infections (bacterial, viral and fungal) was 4.7 events per 100 patient years. Reported serious infections, some with fatal outcome, included active tuberculosis, which may present with intrapulmonary or extrapulmonary disease, invasive pulmonary infections, including candidiasis, aspergillosis, coccidioidomycosis and pneumocystis jirovecii, pneumonia, cellulitis, herpes zoster, gastroenteritis, diverticulitis, sepsis and bacterial arthritis. Cases of opportunistic infections have been reported.</w:t>
      </w:r>
    </w:p>
    <w:p w14:paraId="53D721F6" w14:textId="77777777" w:rsidR="005E036E" w:rsidRPr="008D4276" w:rsidRDefault="005E036E" w:rsidP="004D6592">
      <w:pPr>
        <w:pStyle w:val="Heading4"/>
        <w:rPr>
          <w:rFonts w:asciiTheme="majorHAnsi" w:hAnsiTheme="majorHAnsi"/>
        </w:rPr>
      </w:pPr>
      <w:bookmarkStart w:id="2" w:name="Gastrointestinal_Perforation_-_Complicat"/>
      <w:bookmarkEnd w:id="2"/>
      <w:r w:rsidRPr="008D4276">
        <w:rPr>
          <w:rFonts w:asciiTheme="majorHAnsi" w:hAnsiTheme="majorHAnsi"/>
        </w:rPr>
        <w:t>Gastrointestinal Perforation - Complications of Diverticulitis</w:t>
      </w:r>
    </w:p>
    <w:p w14:paraId="7F3ECC08" w14:textId="360076A5" w:rsidR="005E036E" w:rsidRPr="008D4276" w:rsidRDefault="005E036E" w:rsidP="005E036E">
      <w:pPr>
        <w:spacing w:after="200"/>
        <w:rPr>
          <w:rFonts w:asciiTheme="majorHAnsi" w:hAnsiTheme="majorHAnsi" w:cstheme="minorHAnsi"/>
        </w:rPr>
      </w:pPr>
      <w:r w:rsidRPr="008D4276">
        <w:rPr>
          <w:rFonts w:asciiTheme="majorHAnsi" w:hAnsiTheme="majorHAnsi" w:cstheme="minorHAnsi"/>
        </w:rPr>
        <w:t xml:space="preserve">Events of diverticular perforation as complications of diverticulitis have been reported in patients treated with </w:t>
      </w:r>
      <w:r w:rsidR="00CC6E84" w:rsidRPr="008D4276">
        <w:rPr>
          <w:rFonts w:asciiTheme="majorHAnsi" w:hAnsiTheme="majorHAnsi" w:cstheme="minorHAnsi"/>
        </w:rPr>
        <w:t>tocilizumab</w:t>
      </w:r>
      <w:r w:rsidRPr="008D4276">
        <w:rPr>
          <w:rFonts w:asciiTheme="majorHAnsi" w:hAnsiTheme="majorHAnsi" w:cstheme="minorHAnsi"/>
        </w:rPr>
        <w:t xml:space="preserve">. </w:t>
      </w:r>
      <w:r w:rsidR="00CC6E84" w:rsidRPr="008D4276">
        <w:rPr>
          <w:rFonts w:asciiTheme="majorHAnsi" w:hAnsiTheme="majorHAnsi" w:cstheme="minorHAnsi"/>
        </w:rPr>
        <w:t>Tocilizumab</w:t>
      </w:r>
      <w:r w:rsidRPr="008D4276">
        <w:rPr>
          <w:rFonts w:asciiTheme="majorHAnsi" w:hAnsiTheme="majorHAnsi" w:cstheme="minorHAnsi"/>
        </w:rPr>
        <w:t xml:space="preserve"> should be used with caution in patients with previous history of intestinal ulceration or diverticulitis. Patients presenting with symptoms potentially indicative of complicated diverticulitis, such as abdominal pain, should be evaluated promptly for early identification of gastrointestinal perforation.</w:t>
      </w:r>
    </w:p>
    <w:p w14:paraId="27263DCD" w14:textId="77777777" w:rsidR="005E036E" w:rsidRPr="008D4276" w:rsidRDefault="005E036E" w:rsidP="004D6592">
      <w:pPr>
        <w:pStyle w:val="Heading4"/>
        <w:rPr>
          <w:rFonts w:asciiTheme="majorHAnsi" w:hAnsiTheme="majorHAnsi"/>
        </w:rPr>
      </w:pPr>
      <w:bookmarkStart w:id="3" w:name="Tuberculosis"/>
      <w:bookmarkEnd w:id="3"/>
      <w:r w:rsidRPr="008D4276">
        <w:rPr>
          <w:rFonts w:asciiTheme="majorHAnsi" w:hAnsiTheme="majorHAnsi"/>
        </w:rPr>
        <w:t>Tuberculosis</w:t>
      </w:r>
    </w:p>
    <w:p w14:paraId="011DB4B9" w14:textId="52C79B35" w:rsidR="005E036E" w:rsidRPr="008D4276" w:rsidRDefault="005E036E" w:rsidP="00B36DBA">
      <w:pPr>
        <w:rPr>
          <w:rFonts w:asciiTheme="majorHAnsi" w:hAnsiTheme="majorHAnsi"/>
        </w:rPr>
      </w:pPr>
      <w:r w:rsidRPr="008D4276">
        <w:rPr>
          <w:rFonts w:asciiTheme="majorHAnsi" w:hAnsiTheme="majorHAnsi"/>
        </w:rPr>
        <w:t xml:space="preserve">As recommended for other biological treatments all patients should be screened for latent tuberculosis (TB) infection prior to starting </w:t>
      </w:r>
      <w:r w:rsidR="00CC6E84" w:rsidRPr="008D4276">
        <w:rPr>
          <w:rFonts w:asciiTheme="majorHAnsi" w:hAnsiTheme="majorHAnsi"/>
        </w:rPr>
        <w:t>tocilizumab</w:t>
      </w:r>
      <w:r w:rsidRPr="008D4276">
        <w:rPr>
          <w:rFonts w:asciiTheme="majorHAnsi" w:hAnsiTheme="majorHAnsi"/>
        </w:rPr>
        <w:t xml:space="preserve"> therapy. Patients with latent TB should be treated with standard anti-mycobacterial therapy before initiating </w:t>
      </w:r>
      <w:r w:rsidR="00CC6E84" w:rsidRPr="008D4276">
        <w:rPr>
          <w:rFonts w:asciiTheme="majorHAnsi" w:hAnsiTheme="majorHAnsi"/>
        </w:rPr>
        <w:t>tocilizumab</w:t>
      </w:r>
      <w:r w:rsidRPr="008D4276">
        <w:rPr>
          <w:rFonts w:asciiTheme="majorHAnsi" w:hAnsiTheme="majorHAnsi"/>
        </w:rPr>
        <w:t>. Physicians are reminded of the risk of false negative tuberculin skin and interferon-gamma TB blood test results, especially in patients who are severely ill or immunocompromised.</w:t>
      </w:r>
    </w:p>
    <w:p w14:paraId="11F24850" w14:textId="4E9A222F" w:rsidR="005E036E" w:rsidRPr="008D4276" w:rsidRDefault="005E036E" w:rsidP="00B36DBA">
      <w:pPr>
        <w:rPr>
          <w:rFonts w:asciiTheme="majorHAnsi" w:hAnsiTheme="majorHAnsi"/>
        </w:rPr>
      </w:pPr>
      <w:r w:rsidRPr="008D4276">
        <w:rPr>
          <w:rFonts w:asciiTheme="majorHAnsi" w:hAnsiTheme="majorHAnsi"/>
        </w:rPr>
        <w:t xml:space="preserve">Patients should be instructed to seek medical advice if signs or symptoms suggestive of a TB infection (e.g. persistent cough, wasting/weight loss, low grade fever) occur during or after therapy with </w:t>
      </w:r>
      <w:r w:rsidR="00CC6E84" w:rsidRPr="008D4276">
        <w:rPr>
          <w:rFonts w:asciiTheme="majorHAnsi" w:hAnsiTheme="majorHAnsi"/>
        </w:rPr>
        <w:t>tocilizumab</w:t>
      </w:r>
      <w:r w:rsidRPr="008D4276">
        <w:rPr>
          <w:rFonts w:asciiTheme="majorHAnsi" w:hAnsiTheme="majorHAnsi"/>
        </w:rPr>
        <w:t>.</w:t>
      </w:r>
    </w:p>
    <w:p w14:paraId="16CCDDF0" w14:textId="77777777" w:rsidR="005E036E" w:rsidRPr="008D4276" w:rsidRDefault="005E036E" w:rsidP="004D6592">
      <w:pPr>
        <w:pStyle w:val="Heading4"/>
        <w:rPr>
          <w:rFonts w:asciiTheme="majorHAnsi" w:hAnsiTheme="majorHAnsi"/>
        </w:rPr>
      </w:pPr>
      <w:bookmarkStart w:id="4" w:name="Vaccinations"/>
      <w:bookmarkEnd w:id="4"/>
      <w:r w:rsidRPr="008D4276">
        <w:rPr>
          <w:rFonts w:asciiTheme="majorHAnsi" w:hAnsiTheme="majorHAnsi"/>
        </w:rPr>
        <w:lastRenderedPageBreak/>
        <w:t>Vaccinations</w:t>
      </w:r>
    </w:p>
    <w:p w14:paraId="4C6AEE7E" w14:textId="0A1E4E6D" w:rsidR="005E036E" w:rsidRPr="008D4276" w:rsidRDefault="005E036E" w:rsidP="00B36DBA">
      <w:pPr>
        <w:rPr>
          <w:rFonts w:asciiTheme="majorHAnsi" w:hAnsiTheme="majorHAnsi"/>
        </w:rPr>
      </w:pPr>
      <w:r w:rsidRPr="008D4276">
        <w:rPr>
          <w:rFonts w:asciiTheme="majorHAnsi" w:hAnsiTheme="majorHAnsi"/>
        </w:rPr>
        <w:t xml:space="preserve">Live and live attenuated vaccines should not be given concurrently with </w:t>
      </w:r>
      <w:r w:rsidR="00CC6E84" w:rsidRPr="008D4276">
        <w:rPr>
          <w:rFonts w:asciiTheme="majorHAnsi" w:hAnsiTheme="majorHAnsi"/>
        </w:rPr>
        <w:t>tocilizumab</w:t>
      </w:r>
      <w:r w:rsidRPr="008D4276">
        <w:rPr>
          <w:rFonts w:asciiTheme="majorHAnsi" w:hAnsiTheme="majorHAnsi"/>
        </w:rPr>
        <w:t xml:space="preserve"> as clinical safety has not been established.</w:t>
      </w:r>
    </w:p>
    <w:p w14:paraId="3D4C3B5B" w14:textId="47B36DE9" w:rsidR="005E036E" w:rsidRPr="008D4276" w:rsidRDefault="005E036E" w:rsidP="00B36DBA">
      <w:pPr>
        <w:rPr>
          <w:rFonts w:asciiTheme="majorHAnsi" w:hAnsiTheme="majorHAnsi"/>
        </w:rPr>
      </w:pPr>
      <w:r w:rsidRPr="008D4276">
        <w:rPr>
          <w:rFonts w:asciiTheme="majorHAnsi" w:hAnsiTheme="majorHAnsi"/>
        </w:rPr>
        <w:t xml:space="preserve">No data are available on the secondary transmission of infection from persons receiving live vaccines to patients receiving </w:t>
      </w:r>
      <w:r w:rsidR="00CC6E84" w:rsidRPr="008D4276">
        <w:rPr>
          <w:rFonts w:asciiTheme="majorHAnsi" w:hAnsiTheme="majorHAnsi"/>
        </w:rPr>
        <w:t>tocilizumab</w:t>
      </w:r>
      <w:r w:rsidRPr="008D4276">
        <w:rPr>
          <w:rFonts w:asciiTheme="majorHAnsi" w:hAnsiTheme="majorHAnsi"/>
        </w:rPr>
        <w:t>.</w:t>
      </w:r>
    </w:p>
    <w:p w14:paraId="308DD4E5" w14:textId="498C53F8" w:rsidR="005E036E" w:rsidRPr="008D4276" w:rsidRDefault="005E036E" w:rsidP="00B36DBA">
      <w:pPr>
        <w:rPr>
          <w:rFonts w:asciiTheme="majorHAnsi" w:hAnsiTheme="majorHAnsi"/>
        </w:rPr>
      </w:pPr>
      <w:r w:rsidRPr="008D4276">
        <w:rPr>
          <w:rFonts w:asciiTheme="majorHAnsi" w:hAnsiTheme="majorHAnsi"/>
        </w:rPr>
        <w:t xml:space="preserve">In a small, randomised open-label study, adult RA patients treated with </w:t>
      </w:r>
      <w:r w:rsidR="00CC6E84" w:rsidRPr="008D4276">
        <w:rPr>
          <w:rFonts w:asciiTheme="majorHAnsi" w:hAnsiTheme="majorHAnsi"/>
        </w:rPr>
        <w:t>tocilizumab</w:t>
      </w:r>
      <w:r w:rsidRPr="008D4276">
        <w:rPr>
          <w:rFonts w:asciiTheme="majorHAnsi" w:hAnsiTheme="majorHAnsi"/>
        </w:rPr>
        <w:t xml:space="preserve"> plus MTX had a response to both the 23-valent pneumococcal polysaccharide (PPV) and tetanus toxoid (TTV) vaccines comparable to the response seen in patients receiving MTX only (60% vs 71% for PPV; 42% vs 39% for TTV, respectively). Because of the small number of patients in the study no firm conclusions can be drawn about the absolute differences in antibody responses between the two groups.</w:t>
      </w:r>
    </w:p>
    <w:p w14:paraId="4C2D2FEE" w14:textId="2CA3F71F" w:rsidR="005E036E" w:rsidRPr="008D4276" w:rsidRDefault="005E036E" w:rsidP="00B36DBA">
      <w:pPr>
        <w:rPr>
          <w:rFonts w:asciiTheme="majorHAnsi" w:hAnsiTheme="majorHAnsi"/>
        </w:rPr>
      </w:pPr>
      <w:r w:rsidRPr="008D4276">
        <w:rPr>
          <w:rFonts w:asciiTheme="majorHAnsi" w:hAnsiTheme="majorHAnsi"/>
        </w:rPr>
        <w:t xml:space="preserve">It is recommended that all patients, particularly paediatric or elderly patients be brought up to date with all immunisations in agreement with current immunisation guidelines prior to initiating </w:t>
      </w:r>
      <w:r w:rsidR="00CC6E84" w:rsidRPr="008D4276">
        <w:rPr>
          <w:rFonts w:asciiTheme="majorHAnsi" w:hAnsiTheme="majorHAnsi"/>
        </w:rPr>
        <w:t>tocilizumab</w:t>
      </w:r>
      <w:r w:rsidRPr="008D4276">
        <w:rPr>
          <w:rFonts w:asciiTheme="majorHAnsi" w:hAnsiTheme="majorHAnsi"/>
        </w:rPr>
        <w:t xml:space="preserve"> therapy. The interval between live vaccinations and initiation of </w:t>
      </w:r>
      <w:r w:rsidR="00CC6E84" w:rsidRPr="008D4276">
        <w:rPr>
          <w:rFonts w:asciiTheme="majorHAnsi" w:hAnsiTheme="majorHAnsi"/>
        </w:rPr>
        <w:t>tocilizumab</w:t>
      </w:r>
      <w:r w:rsidRPr="008D4276">
        <w:rPr>
          <w:rFonts w:asciiTheme="majorHAnsi" w:hAnsiTheme="majorHAnsi"/>
        </w:rPr>
        <w:t xml:space="preserve"> therapy should be in accordance with current vaccination guidelines regarding immunosuppressive agents.</w:t>
      </w:r>
    </w:p>
    <w:p w14:paraId="7C949606" w14:textId="693EAD11" w:rsidR="005E036E" w:rsidRPr="008D4276" w:rsidRDefault="005E036E" w:rsidP="00B36DBA">
      <w:pPr>
        <w:rPr>
          <w:rFonts w:asciiTheme="majorHAnsi" w:hAnsiTheme="majorHAnsi"/>
        </w:rPr>
      </w:pPr>
      <w:r w:rsidRPr="008D4276">
        <w:rPr>
          <w:rFonts w:asciiTheme="majorHAnsi" w:hAnsiTheme="majorHAnsi"/>
        </w:rPr>
        <w:t xml:space="preserve">The efficacy and safety of </w:t>
      </w:r>
      <w:r w:rsidR="00CC6E84" w:rsidRPr="008D4276">
        <w:rPr>
          <w:rFonts w:asciiTheme="majorHAnsi" w:hAnsiTheme="majorHAnsi"/>
        </w:rPr>
        <w:t>tocilizumab</w:t>
      </w:r>
      <w:r w:rsidRPr="008D4276">
        <w:rPr>
          <w:rFonts w:asciiTheme="majorHAnsi" w:hAnsiTheme="majorHAnsi"/>
        </w:rPr>
        <w:t xml:space="preserve"> for the treatment of COVID-19 has not been established in subjects who have received a COVID-19 vaccine at any time prior to its </w:t>
      </w:r>
      <w:r w:rsidR="00062C54" w:rsidRPr="008D4276">
        <w:rPr>
          <w:rFonts w:asciiTheme="majorHAnsi" w:hAnsiTheme="majorHAnsi"/>
        </w:rPr>
        <w:t>administration.</w:t>
      </w:r>
    </w:p>
    <w:p w14:paraId="6B4C58D7" w14:textId="77777777" w:rsidR="005E036E" w:rsidRPr="008D4276" w:rsidRDefault="005E036E" w:rsidP="004D6592">
      <w:pPr>
        <w:pStyle w:val="Heading4"/>
        <w:rPr>
          <w:rFonts w:asciiTheme="majorHAnsi" w:hAnsiTheme="majorHAnsi"/>
        </w:rPr>
      </w:pPr>
      <w:bookmarkStart w:id="5" w:name="Hypersensitivity_Reactions,_including_An"/>
      <w:bookmarkEnd w:id="5"/>
      <w:r w:rsidRPr="008D4276">
        <w:rPr>
          <w:rFonts w:asciiTheme="majorHAnsi" w:hAnsiTheme="majorHAnsi"/>
        </w:rPr>
        <w:t>Hypersensitivity Reactions, including Anaphylaxis</w:t>
      </w:r>
    </w:p>
    <w:p w14:paraId="6AF92943" w14:textId="0C382F17" w:rsidR="005E036E" w:rsidRPr="008D4276" w:rsidRDefault="005E036E" w:rsidP="00B36DBA">
      <w:pPr>
        <w:rPr>
          <w:rFonts w:asciiTheme="majorHAnsi" w:hAnsiTheme="majorHAnsi"/>
        </w:rPr>
      </w:pPr>
      <w:r w:rsidRPr="008D4276">
        <w:rPr>
          <w:rFonts w:asciiTheme="majorHAnsi" w:hAnsiTheme="majorHAnsi"/>
        </w:rPr>
        <w:t xml:space="preserve">Serious hypersensitivity reactions, including anaphylaxis, have been reported in association with </w:t>
      </w:r>
      <w:r w:rsidR="00CC6E84" w:rsidRPr="008D4276">
        <w:rPr>
          <w:rFonts w:asciiTheme="majorHAnsi" w:hAnsiTheme="majorHAnsi"/>
        </w:rPr>
        <w:t>tocilizumab</w:t>
      </w:r>
      <w:r w:rsidRPr="008D4276">
        <w:rPr>
          <w:rFonts w:asciiTheme="majorHAnsi" w:hAnsiTheme="majorHAnsi"/>
        </w:rPr>
        <w:t xml:space="preserve"> (see section 4.8 Adverse Effects (Undesirable Effects)) and anaphylactic events with a fatal outcome have been reported with intravenous infusions of </w:t>
      </w:r>
      <w:r w:rsidR="00CC6E84" w:rsidRPr="008D4276">
        <w:rPr>
          <w:rFonts w:asciiTheme="majorHAnsi" w:hAnsiTheme="majorHAnsi"/>
        </w:rPr>
        <w:t>tocilizumab</w:t>
      </w:r>
      <w:r w:rsidRPr="008D4276">
        <w:rPr>
          <w:rFonts w:asciiTheme="majorHAnsi" w:hAnsiTheme="majorHAnsi"/>
        </w:rPr>
        <w:t xml:space="preserve">. In the post- marketing setting, events of serious hypersensitivity and anaphylaxis, have occurred in patients treated with a range of doses of </w:t>
      </w:r>
      <w:r w:rsidR="00CC6E84" w:rsidRPr="008D4276">
        <w:rPr>
          <w:rFonts w:asciiTheme="majorHAnsi" w:hAnsiTheme="majorHAnsi"/>
        </w:rPr>
        <w:t>tocilizumab</w:t>
      </w:r>
      <w:r w:rsidRPr="008D4276">
        <w:rPr>
          <w:rFonts w:asciiTheme="majorHAnsi" w:hAnsiTheme="majorHAnsi"/>
        </w:rPr>
        <w:t xml:space="preserve">, including intravenous and subcutaneous administration of </w:t>
      </w:r>
      <w:r w:rsidR="00CC6E84" w:rsidRPr="008D4276">
        <w:rPr>
          <w:rFonts w:asciiTheme="majorHAnsi" w:hAnsiTheme="majorHAnsi"/>
        </w:rPr>
        <w:t>tocilizumab</w:t>
      </w:r>
      <w:r w:rsidRPr="008D4276">
        <w:rPr>
          <w:rFonts w:asciiTheme="majorHAnsi" w:hAnsiTheme="majorHAnsi"/>
        </w:rPr>
        <w:t>, with or without concomitant therapies, premedication and/or a previous hypersensitivity reaction.</w:t>
      </w:r>
    </w:p>
    <w:p w14:paraId="73B0E49A" w14:textId="1C29B2FB" w:rsidR="005E036E" w:rsidRPr="008D4276" w:rsidRDefault="005E036E" w:rsidP="00B36DBA">
      <w:pPr>
        <w:rPr>
          <w:rFonts w:asciiTheme="majorHAnsi" w:hAnsiTheme="majorHAnsi"/>
        </w:rPr>
      </w:pPr>
      <w:r w:rsidRPr="008D4276">
        <w:rPr>
          <w:rFonts w:asciiTheme="majorHAnsi" w:hAnsiTheme="majorHAnsi"/>
        </w:rPr>
        <w:t xml:space="preserve">In the post marketing setting, cases with a fatal outcome have been reported with intravenous </w:t>
      </w:r>
      <w:r w:rsidR="00CC6E84" w:rsidRPr="008D4276">
        <w:rPr>
          <w:rFonts w:asciiTheme="majorHAnsi" w:hAnsiTheme="majorHAnsi"/>
        </w:rPr>
        <w:t>tocilizumab</w:t>
      </w:r>
      <w:r w:rsidRPr="008D4276">
        <w:rPr>
          <w:rFonts w:asciiTheme="majorHAnsi" w:hAnsiTheme="majorHAnsi"/>
        </w:rPr>
        <w:t xml:space="preserve">. These events have occurred as early as the first infusion of </w:t>
      </w:r>
      <w:r w:rsidR="00CC6E84" w:rsidRPr="008D4276">
        <w:rPr>
          <w:rFonts w:asciiTheme="majorHAnsi" w:hAnsiTheme="majorHAnsi"/>
        </w:rPr>
        <w:t xml:space="preserve">tocilizumab </w:t>
      </w:r>
      <w:r w:rsidRPr="008D4276">
        <w:rPr>
          <w:rFonts w:asciiTheme="majorHAnsi" w:hAnsiTheme="majorHAnsi"/>
        </w:rPr>
        <w:t>(see section 4.3 Contraindications and section 4.8 Adverse Effects (Undesirable Effects)). Appropriate treatment should be available for immediate use in the event of an anaphylactic reaction during infusion with</w:t>
      </w:r>
      <w:r w:rsidR="00CC6E84" w:rsidRPr="008D4276">
        <w:rPr>
          <w:rFonts w:asciiTheme="majorHAnsi" w:hAnsiTheme="majorHAnsi"/>
        </w:rPr>
        <w:t xml:space="preserve"> tocilizumab</w:t>
      </w:r>
      <w:r w:rsidRPr="008D4276">
        <w:rPr>
          <w:rFonts w:asciiTheme="majorHAnsi" w:hAnsiTheme="majorHAnsi"/>
        </w:rPr>
        <w:t>.</w:t>
      </w:r>
    </w:p>
    <w:p w14:paraId="643ECC1F" w14:textId="04FFD65D" w:rsidR="005E036E" w:rsidRPr="008D4276" w:rsidRDefault="005E036E" w:rsidP="00B36DBA">
      <w:pPr>
        <w:rPr>
          <w:rFonts w:asciiTheme="majorHAnsi" w:hAnsiTheme="majorHAnsi"/>
        </w:rPr>
      </w:pPr>
      <w:r w:rsidRPr="008D4276">
        <w:rPr>
          <w:rFonts w:asciiTheme="majorHAnsi" w:hAnsiTheme="majorHAnsi"/>
        </w:rPr>
        <w:t xml:space="preserve">The treating healthcare professional should consider the risks of potential hypersensitivity reactions when assessing a patient’s suitability for home use with subcutaneous </w:t>
      </w:r>
      <w:r w:rsidR="005D1EFF" w:rsidRPr="008D4276">
        <w:rPr>
          <w:rFonts w:asciiTheme="majorHAnsi" w:hAnsiTheme="majorHAnsi"/>
        </w:rPr>
        <w:t>tocilizumab</w:t>
      </w:r>
      <w:r w:rsidRPr="008D4276">
        <w:rPr>
          <w:rFonts w:asciiTheme="majorHAnsi" w:hAnsiTheme="majorHAnsi"/>
        </w:rPr>
        <w:t xml:space="preserve">. Healthcare professionals should ensure training in the subcutaneous injection technique is provided to patients. Serious hypersensitivity reactions have occurred with subcutaneous </w:t>
      </w:r>
      <w:r w:rsidR="005D1EFF" w:rsidRPr="008D4276">
        <w:rPr>
          <w:rFonts w:asciiTheme="majorHAnsi" w:hAnsiTheme="majorHAnsi"/>
        </w:rPr>
        <w:t>tocilizumab</w:t>
      </w:r>
      <w:r w:rsidRPr="008D4276">
        <w:rPr>
          <w:rFonts w:asciiTheme="majorHAnsi" w:hAnsiTheme="majorHAnsi"/>
        </w:rPr>
        <w:t xml:space="preserve"> and anaphylaxis has occurred in the post-marketing setting. Hypersensitivity reactions, including anaphylaxis, may occur even after multiple injections of subcutaneous </w:t>
      </w:r>
      <w:r w:rsidR="005D1EFF" w:rsidRPr="008D4276">
        <w:rPr>
          <w:rFonts w:asciiTheme="majorHAnsi" w:hAnsiTheme="majorHAnsi"/>
        </w:rPr>
        <w:t>tocilizumab</w:t>
      </w:r>
      <w:r w:rsidRPr="008D4276">
        <w:rPr>
          <w:rFonts w:asciiTheme="majorHAnsi" w:hAnsiTheme="majorHAnsi"/>
        </w:rPr>
        <w:t xml:space="preserve">. Inform patients that some patients who have been treated with </w:t>
      </w:r>
      <w:r w:rsidR="005D1EFF" w:rsidRPr="008D4276">
        <w:rPr>
          <w:rFonts w:asciiTheme="majorHAnsi" w:hAnsiTheme="majorHAnsi"/>
        </w:rPr>
        <w:t>tocilizumab</w:t>
      </w:r>
      <w:r w:rsidRPr="008D4276">
        <w:rPr>
          <w:rFonts w:asciiTheme="majorHAnsi" w:hAnsiTheme="majorHAnsi"/>
        </w:rPr>
        <w:t xml:space="preserve"> have developed serious allergic reactions, including anaphylaxis. Instruct patients to inform a healthcare professional if they experience symptoms of allergic reaction before administering the next dose. Patients should seek immediate medical attention if developing symptoms of serious allergic reactions (see section 4.2 Dose and Method of Administration).</w:t>
      </w:r>
    </w:p>
    <w:p w14:paraId="5829BBEB" w14:textId="5D54F5B8" w:rsidR="005E036E" w:rsidRPr="008D4276" w:rsidRDefault="005E036E" w:rsidP="00B36DBA">
      <w:pPr>
        <w:rPr>
          <w:rFonts w:asciiTheme="majorHAnsi" w:hAnsiTheme="majorHAnsi"/>
        </w:rPr>
      </w:pPr>
      <w:r w:rsidRPr="008D4276">
        <w:rPr>
          <w:rFonts w:asciiTheme="majorHAnsi" w:hAnsiTheme="majorHAnsi"/>
        </w:rPr>
        <w:lastRenderedPageBreak/>
        <w:t xml:space="preserve">If an anaphylactic reaction or other serious hypersensitivity reaction occurs, administration of </w:t>
      </w:r>
      <w:r w:rsidR="00B67D4D" w:rsidRPr="008D4276">
        <w:rPr>
          <w:rFonts w:asciiTheme="majorHAnsi" w:hAnsiTheme="majorHAnsi"/>
        </w:rPr>
        <w:t>t</w:t>
      </w:r>
      <w:r w:rsidR="005D1EFF" w:rsidRPr="008D4276">
        <w:rPr>
          <w:rFonts w:asciiTheme="majorHAnsi" w:hAnsiTheme="majorHAnsi"/>
        </w:rPr>
        <w:t>ocilizumab</w:t>
      </w:r>
      <w:r w:rsidRPr="008D4276">
        <w:rPr>
          <w:rFonts w:asciiTheme="majorHAnsi" w:hAnsiTheme="majorHAnsi"/>
        </w:rPr>
        <w:t xml:space="preserve"> should be stopped immediately and</w:t>
      </w:r>
      <w:r w:rsidR="005D1EFF" w:rsidRPr="008D4276">
        <w:rPr>
          <w:rFonts w:asciiTheme="majorHAnsi" w:hAnsiTheme="majorHAnsi"/>
        </w:rPr>
        <w:t xml:space="preserve"> tocilizumab</w:t>
      </w:r>
      <w:r w:rsidRPr="008D4276">
        <w:rPr>
          <w:rFonts w:asciiTheme="majorHAnsi" w:hAnsiTheme="majorHAnsi"/>
        </w:rPr>
        <w:t xml:space="preserve"> should be permanently discontinued.</w:t>
      </w:r>
    </w:p>
    <w:p w14:paraId="541B0D79" w14:textId="4941ECE5" w:rsidR="005E036E" w:rsidRPr="008D4276" w:rsidRDefault="005E036E" w:rsidP="00B36DBA">
      <w:pPr>
        <w:rPr>
          <w:rFonts w:asciiTheme="majorHAnsi" w:hAnsiTheme="majorHAnsi"/>
        </w:rPr>
      </w:pPr>
      <w:r w:rsidRPr="008D4276">
        <w:rPr>
          <w:rFonts w:asciiTheme="majorHAnsi" w:hAnsiTheme="majorHAnsi"/>
        </w:rPr>
        <w:t xml:space="preserve">Patients with a history of any reaction consistent with hypersensitivity (e.g. urticaria, bronchospasm, angioedema) to </w:t>
      </w:r>
      <w:r w:rsidR="005D1EFF" w:rsidRPr="008D4276">
        <w:rPr>
          <w:rFonts w:asciiTheme="majorHAnsi" w:hAnsiTheme="majorHAnsi"/>
        </w:rPr>
        <w:t>tocilizumab</w:t>
      </w:r>
      <w:r w:rsidRPr="008D4276">
        <w:rPr>
          <w:rFonts w:asciiTheme="majorHAnsi" w:hAnsiTheme="majorHAnsi"/>
        </w:rPr>
        <w:t xml:space="preserve"> or any component of the product must not be re- challenged with </w:t>
      </w:r>
      <w:r w:rsidR="005D1EFF" w:rsidRPr="008D4276">
        <w:rPr>
          <w:rFonts w:asciiTheme="majorHAnsi" w:hAnsiTheme="majorHAnsi"/>
        </w:rPr>
        <w:t>tocilizumab</w:t>
      </w:r>
      <w:r w:rsidRPr="008D4276">
        <w:rPr>
          <w:rFonts w:asciiTheme="majorHAnsi" w:hAnsiTheme="majorHAnsi"/>
        </w:rPr>
        <w:t xml:space="preserve"> (see section 4.3 Contraindications).</w:t>
      </w:r>
    </w:p>
    <w:p w14:paraId="2CE0B266" w14:textId="77777777" w:rsidR="005E036E" w:rsidRPr="008D4276" w:rsidRDefault="005E036E" w:rsidP="004D6592">
      <w:pPr>
        <w:pStyle w:val="Heading4"/>
        <w:rPr>
          <w:rFonts w:asciiTheme="majorHAnsi" w:hAnsiTheme="majorHAnsi"/>
        </w:rPr>
      </w:pPr>
      <w:bookmarkStart w:id="6" w:name="Viral_Reactivation"/>
      <w:bookmarkEnd w:id="6"/>
      <w:r w:rsidRPr="008D4276">
        <w:rPr>
          <w:rFonts w:asciiTheme="majorHAnsi" w:hAnsiTheme="majorHAnsi"/>
        </w:rPr>
        <w:t>Viral Reactivation</w:t>
      </w:r>
    </w:p>
    <w:p w14:paraId="4328CBEB" w14:textId="0129E77C" w:rsidR="005E036E" w:rsidRPr="008D4276" w:rsidRDefault="005E036E" w:rsidP="00B36DBA">
      <w:pPr>
        <w:rPr>
          <w:rFonts w:asciiTheme="majorHAnsi" w:hAnsiTheme="majorHAnsi"/>
        </w:rPr>
      </w:pPr>
      <w:r w:rsidRPr="008D4276">
        <w:rPr>
          <w:rFonts w:asciiTheme="majorHAnsi" w:hAnsiTheme="majorHAnsi"/>
        </w:rPr>
        <w:t xml:space="preserve">Viral reactivation (e.g. hepatitis B virus) has been reported with biologic therapies for RA. In clinical studies with </w:t>
      </w:r>
      <w:r w:rsidR="005D1EFF" w:rsidRPr="008D4276">
        <w:rPr>
          <w:rFonts w:asciiTheme="majorHAnsi" w:hAnsiTheme="majorHAnsi"/>
        </w:rPr>
        <w:t>tocilizumab</w:t>
      </w:r>
      <w:r w:rsidRPr="008D4276">
        <w:rPr>
          <w:rFonts w:asciiTheme="majorHAnsi" w:hAnsiTheme="majorHAnsi"/>
        </w:rPr>
        <w:t>, patients who screened positive for hepatitis were excluded.</w:t>
      </w:r>
    </w:p>
    <w:p w14:paraId="0F23E08C" w14:textId="77777777" w:rsidR="005E036E" w:rsidRPr="008D4276" w:rsidRDefault="005E036E" w:rsidP="004D6592">
      <w:pPr>
        <w:pStyle w:val="Heading4"/>
        <w:rPr>
          <w:rFonts w:asciiTheme="majorHAnsi" w:hAnsiTheme="majorHAnsi"/>
        </w:rPr>
      </w:pPr>
      <w:bookmarkStart w:id="7" w:name="Active_Hepatic_Disease_and_Hepatic_Impai"/>
      <w:bookmarkEnd w:id="7"/>
      <w:r w:rsidRPr="008D4276">
        <w:rPr>
          <w:rFonts w:asciiTheme="majorHAnsi" w:hAnsiTheme="majorHAnsi"/>
        </w:rPr>
        <w:t>Active Hepatic Disease and Hepatic Impairment</w:t>
      </w:r>
    </w:p>
    <w:p w14:paraId="6E6A1D18" w14:textId="4BEA5580" w:rsidR="005E036E" w:rsidRPr="008D4276" w:rsidRDefault="005E036E" w:rsidP="00B36DBA">
      <w:pPr>
        <w:rPr>
          <w:rFonts w:asciiTheme="majorHAnsi" w:hAnsiTheme="majorHAnsi"/>
        </w:rPr>
      </w:pPr>
      <w:r w:rsidRPr="008D4276">
        <w:rPr>
          <w:rFonts w:asciiTheme="majorHAnsi" w:hAnsiTheme="majorHAnsi"/>
        </w:rPr>
        <w:t xml:space="preserve">Treatment with </w:t>
      </w:r>
      <w:r w:rsidR="005D1EFF" w:rsidRPr="008D4276">
        <w:rPr>
          <w:rFonts w:asciiTheme="majorHAnsi" w:hAnsiTheme="majorHAnsi"/>
        </w:rPr>
        <w:t>tocilizumab</w:t>
      </w:r>
      <w:r w:rsidRPr="008D4276">
        <w:rPr>
          <w:rFonts w:asciiTheme="majorHAnsi" w:hAnsiTheme="majorHAnsi"/>
        </w:rPr>
        <w:t xml:space="preserve"> particularly when administered concomitantly with MTX, may be associated with elevations in hepatic transaminases therefore caution should be exercised. Treatment with </w:t>
      </w:r>
      <w:r w:rsidR="005D1EFF" w:rsidRPr="008D4276">
        <w:rPr>
          <w:rFonts w:asciiTheme="majorHAnsi" w:hAnsiTheme="majorHAnsi"/>
        </w:rPr>
        <w:t>tocilizumab</w:t>
      </w:r>
      <w:r w:rsidRPr="008D4276">
        <w:rPr>
          <w:rFonts w:asciiTheme="majorHAnsi" w:hAnsiTheme="majorHAnsi"/>
        </w:rPr>
        <w:t xml:space="preserve"> is not recommended in patients with active hepatic disease or hepatic impairment (see section 4.8 Adverse Effects (Undesirable Effects) and section 4.2 Dose and Method of Administration).</w:t>
      </w:r>
    </w:p>
    <w:p w14:paraId="77EB116F" w14:textId="77DEEB6F" w:rsidR="005E036E" w:rsidRPr="008D4276" w:rsidRDefault="005E036E" w:rsidP="00B36DBA">
      <w:pPr>
        <w:rPr>
          <w:rFonts w:asciiTheme="majorHAnsi" w:hAnsiTheme="majorHAnsi"/>
        </w:rPr>
      </w:pPr>
      <w:r w:rsidRPr="008D4276">
        <w:rPr>
          <w:rFonts w:asciiTheme="majorHAnsi" w:hAnsiTheme="majorHAnsi"/>
        </w:rPr>
        <w:t xml:space="preserve">Viral reactivation (e.g. hepatitis B) has been reported with biologic therapies for RA. In clinical studies with </w:t>
      </w:r>
      <w:r w:rsidR="005D1EFF" w:rsidRPr="008D4276">
        <w:rPr>
          <w:rFonts w:asciiTheme="majorHAnsi" w:hAnsiTheme="majorHAnsi"/>
        </w:rPr>
        <w:t>tocilizumab</w:t>
      </w:r>
      <w:r w:rsidRPr="008D4276">
        <w:rPr>
          <w:rFonts w:asciiTheme="majorHAnsi" w:hAnsiTheme="majorHAnsi"/>
        </w:rPr>
        <w:t>, patients who screened positive for hepatitis were excluded.</w:t>
      </w:r>
    </w:p>
    <w:p w14:paraId="1008C8F0" w14:textId="77777777" w:rsidR="005E036E" w:rsidRPr="008D4276" w:rsidRDefault="005E036E" w:rsidP="004D6592">
      <w:pPr>
        <w:pStyle w:val="Heading4"/>
        <w:rPr>
          <w:rFonts w:asciiTheme="majorHAnsi" w:hAnsiTheme="majorHAnsi"/>
        </w:rPr>
      </w:pPr>
      <w:bookmarkStart w:id="8" w:name="Hepatotoxicity"/>
      <w:bookmarkEnd w:id="8"/>
      <w:r w:rsidRPr="008D4276">
        <w:rPr>
          <w:rFonts w:asciiTheme="majorHAnsi" w:hAnsiTheme="majorHAnsi"/>
        </w:rPr>
        <w:t>Hepatotoxicity</w:t>
      </w:r>
    </w:p>
    <w:p w14:paraId="3C114B2C" w14:textId="16E747B9" w:rsidR="005E036E" w:rsidRPr="008D4276" w:rsidRDefault="005E036E" w:rsidP="00B36DBA">
      <w:pPr>
        <w:rPr>
          <w:rFonts w:asciiTheme="majorHAnsi" w:hAnsiTheme="majorHAnsi"/>
        </w:rPr>
      </w:pPr>
      <w:r w:rsidRPr="008D4276">
        <w:rPr>
          <w:rFonts w:asciiTheme="majorHAnsi" w:hAnsiTheme="majorHAnsi"/>
        </w:rPr>
        <w:t xml:space="preserve">Mild and moderate elevations of hepatic transaminases and bilirubin have been reported with </w:t>
      </w:r>
      <w:r w:rsidR="005D1EFF" w:rsidRPr="008D4276">
        <w:rPr>
          <w:rFonts w:asciiTheme="majorHAnsi" w:hAnsiTheme="majorHAnsi"/>
        </w:rPr>
        <w:t>tocilizumab</w:t>
      </w:r>
      <w:r w:rsidRPr="008D4276">
        <w:rPr>
          <w:rFonts w:asciiTheme="majorHAnsi" w:hAnsiTheme="majorHAnsi"/>
        </w:rPr>
        <w:t xml:space="preserve"> treatment (see section 4.8 Adverse Effects (Undesirable Effects)). An increased frequency of these elevations was observed when potentially hepatotoxic drugs (e.g. MTX) were used in combination with </w:t>
      </w:r>
      <w:r w:rsidR="005D1EFF" w:rsidRPr="008D4276">
        <w:rPr>
          <w:rFonts w:asciiTheme="majorHAnsi" w:hAnsiTheme="majorHAnsi"/>
        </w:rPr>
        <w:t>tocilizumab</w:t>
      </w:r>
      <w:r w:rsidRPr="008D4276">
        <w:rPr>
          <w:rFonts w:asciiTheme="majorHAnsi" w:hAnsiTheme="majorHAnsi"/>
        </w:rPr>
        <w:t xml:space="preserve">. There is a potential risk of hepatotoxicity with use of </w:t>
      </w:r>
      <w:r w:rsidR="005D1EFF" w:rsidRPr="008D4276">
        <w:rPr>
          <w:rFonts w:asciiTheme="majorHAnsi" w:hAnsiTheme="majorHAnsi"/>
        </w:rPr>
        <w:t>tocilizumab</w:t>
      </w:r>
      <w:r w:rsidRPr="008D4276">
        <w:rPr>
          <w:rFonts w:asciiTheme="majorHAnsi" w:hAnsiTheme="majorHAnsi"/>
        </w:rPr>
        <w:t>.</w:t>
      </w:r>
    </w:p>
    <w:p w14:paraId="7E7DA25C" w14:textId="2BFFD056" w:rsidR="005E036E" w:rsidRPr="008D4276" w:rsidRDefault="005E036E" w:rsidP="00B36DBA">
      <w:pPr>
        <w:rPr>
          <w:rFonts w:asciiTheme="majorHAnsi" w:hAnsiTheme="majorHAnsi"/>
        </w:rPr>
      </w:pPr>
      <w:r w:rsidRPr="008D4276">
        <w:rPr>
          <w:rFonts w:asciiTheme="majorHAnsi" w:hAnsiTheme="majorHAnsi"/>
        </w:rPr>
        <w:t xml:space="preserve">Serious drug-induced liver injury, including acute liver failure, hepatitis and jaundice, have been observed with </w:t>
      </w:r>
      <w:r w:rsidR="005D1EFF" w:rsidRPr="008D4276">
        <w:rPr>
          <w:rFonts w:asciiTheme="majorHAnsi" w:hAnsiTheme="majorHAnsi"/>
        </w:rPr>
        <w:t>tocilizumab</w:t>
      </w:r>
      <w:r w:rsidRPr="008D4276">
        <w:rPr>
          <w:rFonts w:asciiTheme="majorHAnsi" w:hAnsiTheme="majorHAnsi"/>
        </w:rPr>
        <w:t xml:space="preserve"> (see section 4.8 Adverse Effects (Undesirable Effects), Post Marketing Experience). Serious hepatic injury occurred between 2 weeks to more than 5 years after initiation of </w:t>
      </w:r>
      <w:r w:rsidR="005D1EFF" w:rsidRPr="008D4276">
        <w:rPr>
          <w:rFonts w:asciiTheme="majorHAnsi" w:hAnsiTheme="majorHAnsi"/>
        </w:rPr>
        <w:t>tocilizumab</w:t>
      </w:r>
      <w:r w:rsidRPr="008D4276">
        <w:rPr>
          <w:rFonts w:asciiTheme="majorHAnsi" w:hAnsiTheme="majorHAnsi"/>
        </w:rPr>
        <w:t>. Some of these cases have resulted in liver transplant or death. While most cases presented with marked elevations of transaminases (&gt; 5 times ULN), some cases presented with signs or symptoms of liver dysfunction and only mildly elevated transaminases.</w:t>
      </w:r>
    </w:p>
    <w:p w14:paraId="34CA9949" w14:textId="5A3E9A33" w:rsidR="005E036E" w:rsidRPr="008D4276" w:rsidRDefault="005E036E" w:rsidP="00B36DBA">
      <w:pPr>
        <w:rPr>
          <w:rFonts w:asciiTheme="majorHAnsi" w:hAnsiTheme="majorHAnsi"/>
        </w:rPr>
      </w:pPr>
      <w:r w:rsidRPr="008D4276">
        <w:rPr>
          <w:rFonts w:asciiTheme="majorHAnsi" w:hAnsiTheme="majorHAnsi"/>
        </w:rPr>
        <w:t xml:space="preserve">It is not recommended to initiate </w:t>
      </w:r>
      <w:r w:rsidR="005D1EFF" w:rsidRPr="008D4276">
        <w:rPr>
          <w:rFonts w:asciiTheme="majorHAnsi" w:hAnsiTheme="majorHAnsi"/>
        </w:rPr>
        <w:t>tocilizumab</w:t>
      </w:r>
      <w:r w:rsidRPr="008D4276">
        <w:rPr>
          <w:rFonts w:asciiTheme="majorHAnsi" w:hAnsiTheme="majorHAnsi"/>
        </w:rPr>
        <w:t xml:space="preserve"> treatment in patients with elevated transaminases ALT or AST greater than 1.5 x ULN, except in cases of CRS (see section 4.2 Dose and Method of Administration). In RA, GCA, pJIA and sJIA patients who develop elevated ALT or AST greater than 5 x ULN, discontinue </w:t>
      </w:r>
      <w:r w:rsidR="005D1EFF" w:rsidRPr="008D4276">
        <w:rPr>
          <w:rFonts w:asciiTheme="majorHAnsi" w:hAnsiTheme="majorHAnsi"/>
        </w:rPr>
        <w:t>tocilizumab</w:t>
      </w:r>
      <w:r w:rsidRPr="008D4276">
        <w:rPr>
          <w:rFonts w:asciiTheme="majorHAnsi" w:hAnsiTheme="majorHAnsi"/>
        </w:rPr>
        <w:t>.</w:t>
      </w:r>
    </w:p>
    <w:p w14:paraId="5B6754B8" w14:textId="558E1C49" w:rsidR="005E036E" w:rsidRPr="008D4276" w:rsidRDefault="005E036E" w:rsidP="00B36DBA">
      <w:pPr>
        <w:rPr>
          <w:rFonts w:asciiTheme="majorHAnsi" w:hAnsiTheme="majorHAnsi"/>
        </w:rPr>
      </w:pPr>
      <w:r w:rsidRPr="008D4276">
        <w:rPr>
          <w:rFonts w:asciiTheme="majorHAnsi" w:hAnsiTheme="majorHAnsi"/>
        </w:rPr>
        <w:t xml:space="preserve">In RA and GCA patients, the ALT/AST should be monitored every 4 to 8 weeks for the first 6 months of treatment followed by every 12 weeks thereafter. For recommended modifications including </w:t>
      </w:r>
      <w:r w:rsidR="005D1EFF" w:rsidRPr="008D4276">
        <w:rPr>
          <w:rFonts w:asciiTheme="majorHAnsi" w:hAnsiTheme="majorHAnsi"/>
        </w:rPr>
        <w:t>tocilizumab</w:t>
      </w:r>
      <w:r w:rsidRPr="008D4276">
        <w:rPr>
          <w:rFonts w:asciiTheme="majorHAnsi" w:hAnsiTheme="majorHAnsi"/>
        </w:rPr>
        <w:t xml:space="preserve"> discontinuation based on transaminases levels, see section 4.2 Dose and Method of Administration. For ALT or AST elevations &gt; 3 to 5 x ULN, confirmed by repeat testing, </w:t>
      </w:r>
      <w:r w:rsidR="005D1EFF" w:rsidRPr="008D4276">
        <w:rPr>
          <w:rFonts w:asciiTheme="majorHAnsi" w:hAnsiTheme="majorHAnsi"/>
        </w:rPr>
        <w:t>tocilizumab</w:t>
      </w:r>
      <w:r w:rsidRPr="008D4276">
        <w:rPr>
          <w:rFonts w:asciiTheme="majorHAnsi" w:hAnsiTheme="majorHAnsi"/>
        </w:rPr>
        <w:t xml:space="preserve"> treatment should be interrupted. Once the patient’s hepatic transaminases are below 3 x ULN, treatment with </w:t>
      </w:r>
      <w:r w:rsidR="005D1EFF" w:rsidRPr="008D4276">
        <w:rPr>
          <w:rFonts w:asciiTheme="majorHAnsi" w:hAnsiTheme="majorHAnsi"/>
        </w:rPr>
        <w:t>tocilizumab</w:t>
      </w:r>
      <w:r w:rsidRPr="008D4276">
        <w:rPr>
          <w:rFonts w:asciiTheme="majorHAnsi" w:hAnsiTheme="majorHAnsi"/>
        </w:rPr>
        <w:t xml:space="preserve"> may recommence at 4 or 8 mg/kg for the IV formulation or every other week or weekly injection for the SC formulation.</w:t>
      </w:r>
    </w:p>
    <w:p w14:paraId="2629F076" w14:textId="77777777" w:rsidR="005E036E" w:rsidRPr="008D4276" w:rsidRDefault="005E036E" w:rsidP="00B36DBA">
      <w:pPr>
        <w:rPr>
          <w:rFonts w:asciiTheme="majorHAnsi" w:hAnsiTheme="majorHAnsi"/>
        </w:rPr>
      </w:pPr>
      <w:r w:rsidRPr="008D4276">
        <w:rPr>
          <w:rFonts w:asciiTheme="majorHAnsi" w:hAnsiTheme="majorHAnsi"/>
        </w:rPr>
        <w:lastRenderedPageBreak/>
        <w:t>In pJIA and sJIA patients, ALT and AST should be monitored at the time of the second administration and thereafter every 4 to 8 weeks for pJIA and every 2 to 4 weeks for sJIA (see section 4.2 Dose and Method of Administration).</w:t>
      </w:r>
    </w:p>
    <w:p w14:paraId="31FA9BA3" w14:textId="2DB789EF" w:rsidR="005E036E" w:rsidRPr="008D4276" w:rsidRDefault="005E036E" w:rsidP="00B36DBA">
      <w:pPr>
        <w:rPr>
          <w:rFonts w:asciiTheme="majorHAnsi" w:hAnsiTheme="majorHAnsi"/>
        </w:rPr>
      </w:pPr>
      <w:r w:rsidRPr="008D4276">
        <w:rPr>
          <w:rFonts w:asciiTheme="majorHAnsi" w:hAnsiTheme="majorHAnsi"/>
        </w:rPr>
        <w:t>Patients hospitalised with COVID-19 may have elevated ALT or AST levels. Multi-organ failure with involvement of the liver is recognised as a complication of severe COVID-19. The decision to administer</w:t>
      </w:r>
      <w:r w:rsidR="005D1EFF" w:rsidRPr="008D4276">
        <w:rPr>
          <w:rFonts w:asciiTheme="majorHAnsi" w:hAnsiTheme="majorHAnsi"/>
        </w:rPr>
        <w:t xml:space="preserve"> tocilizumab</w:t>
      </w:r>
      <w:r w:rsidRPr="008D4276">
        <w:rPr>
          <w:rFonts w:asciiTheme="majorHAnsi" w:hAnsiTheme="majorHAnsi"/>
        </w:rPr>
        <w:t xml:space="preserve"> should balance the potential benefit against the risks of acute treatment with </w:t>
      </w:r>
      <w:r w:rsidR="005D1EFF" w:rsidRPr="008D4276">
        <w:rPr>
          <w:rFonts w:asciiTheme="majorHAnsi" w:hAnsiTheme="majorHAnsi"/>
        </w:rPr>
        <w:t>tocilizumab</w:t>
      </w:r>
      <w:r w:rsidRPr="008D4276">
        <w:rPr>
          <w:rFonts w:asciiTheme="majorHAnsi" w:hAnsiTheme="majorHAnsi"/>
        </w:rPr>
        <w:t xml:space="preserve">. In COVID-19 patients with elevated ALT or AST above 10 x ULN, administration of </w:t>
      </w:r>
      <w:r w:rsidR="005D1EFF" w:rsidRPr="008D4276">
        <w:rPr>
          <w:rFonts w:asciiTheme="majorHAnsi" w:hAnsiTheme="majorHAnsi"/>
        </w:rPr>
        <w:t>tocilizumab</w:t>
      </w:r>
      <w:r w:rsidRPr="008D4276">
        <w:rPr>
          <w:rFonts w:asciiTheme="majorHAnsi" w:hAnsiTheme="majorHAnsi"/>
        </w:rPr>
        <w:t xml:space="preserve"> treatment is not recommended.</w:t>
      </w:r>
    </w:p>
    <w:p w14:paraId="76317B9A" w14:textId="77777777" w:rsidR="005E036E" w:rsidRPr="008D4276" w:rsidRDefault="005E036E" w:rsidP="00B36DBA">
      <w:pPr>
        <w:rPr>
          <w:rFonts w:asciiTheme="majorHAnsi" w:hAnsiTheme="majorHAnsi"/>
        </w:rPr>
      </w:pPr>
      <w:r w:rsidRPr="008D4276">
        <w:rPr>
          <w:rFonts w:asciiTheme="majorHAnsi" w:hAnsiTheme="majorHAnsi"/>
        </w:rPr>
        <w:t>In COVID-19 patients, ALT/AST should be monitored according to current standard clinical practices.</w:t>
      </w:r>
    </w:p>
    <w:p w14:paraId="635FB668" w14:textId="77777777" w:rsidR="005E036E" w:rsidRPr="008D4276" w:rsidRDefault="005E036E" w:rsidP="004D6592">
      <w:pPr>
        <w:pStyle w:val="Heading4"/>
        <w:rPr>
          <w:rFonts w:asciiTheme="majorHAnsi" w:hAnsiTheme="majorHAnsi"/>
        </w:rPr>
      </w:pPr>
      <w:bookmarkStart w:id="9" w:name="Haematological_Abnormalities"/>
      <w:bookmarkEnd w:id="9"/>
      <w:r w:rsidRPr="008D4276">
        <w:rPr>
          <w:rFonts w:asciiTheme="majorHAnsi" w:hAnsiTheme="majorHAnsi"/>
        </w:rPr>
        <w:t>Haematological Abnormalities</w:t>
      </w:r>
    </w:p>
    <w:p w14:paraId="69E5B089" w14:textId="75337069" w:rsidR="005E036E" w:rsidRPr="008D4276" w:rsidRDefault="005E036E" w:rsidP="00B36DBA">
      <w:pPr>
        <w:rPr>
          <w:rFonts w:asciiTheme="majorHAnsi" w:hAnsiTheme="majorHAnsi"/>
        </w:rPr>
      </w:pPr>
      <w:r w:rsidRPr="008D4276">
        <w:rPr>
          <w:rFonts w:asciiTheme="majorHAnsi" w:hAnsiTheme="majorHAnsi"/>
        </w:rPr>
        <w:t xml:space="preserve">Decreases in neutrophil and platelet counts have occurred following treatment with </w:t>
      </w:r>
      <w:r w:rsidR="005D1EFF" w:rsidRPr="008D4276">
        <w:rPr>
          <w:rFonts w:asciiTheme="majorHAnsi" w:hAnsiTheme="majorHAnsi"/>
        </w:rPr>
        <w:t>tocilizumab</w:t>
      </w:r>
      <w:r w:rsidRPr="008D4276">
        <w:rPr>
          <w:rFonts w:asciiTheme="majorHAnsi" w:hAnsiTheme="majorHAnsi"/>
        </w:rPr>
        <w:t xml:space="preserve"> 8</w:t>
      </w:r>
      <w:r w:rsidR="004D6592" w:rsidRPr="008D4276">
        <w:rPr>
          <w:rFonts w:asciiTheme="majorHAnsi" w:hAnsiTheme="majorHAnsi"/>
        </w:rPr>
        <w:t> </w:t>
      </w:r>
      <w:r w:rsidRPr="008D4276">
        <w:rPr>
          <w:rFonts w:asciiTheme="majorHAnsi" w:hAnsiTheme="majorHAnsi"/>
        </w:rPr>
        <w:t>mg/kg in combination with MTX (see section 4.8 Adverse Effects (Undesirable Effects)). There may be an increased risk of neutropenia in patients who have previously been treated with a TNF antagonist.</w:t>
      </w:r>
    </w:p>
    <w:p w14:paraId="2BB2622B" w14:textId="453DDE42" w:rsidR="005E036E" w:rsidRPr="008D4276" w:rsidRDefault="005E036E" w:rsidP="00B36DBA">
      <w:pPr>
        <w:rPr>
          <w:rFonts w:asciiTheme="majorHAnsi" w:hAnsiTheme="majorHAnsi"/>
        </w:rPr>
      </w:pPr>
      <w:r w:rsidRPr="008D4276">
        <w:rPr>
          <w:rFonts w:asciiTheme="majorHAnsi" w:hAnsiTheme="majorHAnsi"/>
        </w:rPr>
        <w:t xml:space="preserve">In patients not previously treated with </w:t>
      </w:r>
      <w:r w:rsidR="005D1EFF" w:rsidRPr="008D4276">
        <w:rPr>
          <w:rFonts w:asciiTheme="majorHAnsi" w:hAnsiTheme="majorHAnsi"/>
        </w:rPr>
        <w:t>tocilizumab</w:t>
      </w:r>
      <w:r w:rsidRPr="008D4276">
        <w:rPr>
          <w:rFonts w:asciiTheme="majorHAnsi" w:hAnsiTheme="majorHAnsi"/>
        </w:rPr>
        <w:t>, initiation is not recommended in patients with an absolute neutrophil count (ANC) below 2 x 10</w:t>
      </w:r>
      <w:r w:rsidRPr="008D4276">
        <w:rPr>
          <w:rFonts w:asciiTheme="majorHAnsi" w:hAnsiTheme="majorHAnsi"/>
          <w:vertAlign w:val="superscript"/>
        </w:rPr>
        <w:t>9</w:t>
      </w:r>
      <w:r w:rsidRPr="008D4276">
        <w:rPr>
          <w:rFonts w:asciiTheme="majorHAnsi" w:hAnsiTheme="majorHAnsi"/>
        </w:rPr>
        <w:t>/L. In RA, GCA, pJIA and sJIA patients with an ANC below 0.5 x 10</w:t>
      </w:r>
      <w:r w:rsidRPr="008D4276">
        <w:rPr>
          <w:rFonts w:asciiTheme="majorHAnsi" w:hAnsiTheme="majorHAnsi"/>
          <w:vertAlign w:val="superscript"/>
        </w:rPr>
        <w:t>9</w:t>
      </w:r>
      <w:r w:rsidRPr="008D4276">
        <w:rPr>
          <w:rFonts w:asciiTheme="majorHAnsi" w:hAnsiTheme="majorHAnsi"/>
        </w:rPr>
        <w:t>/L, treatment is not recommended (see section 4.2 Dose and Method of Administration). In COVID-19 patients with an ANC below 1 x 10</w:t>
      </w:r>
      <w:r w:rsidRPr="008D4276">
        <w:rPr>
          <w:rFonts w:asciiTheme="majorHAnsi" w:hAnsiTheme="majorHAnsi"/>
          <w:vertAlign w:val="superscript"/>
        </w:rPr>
        <w:t>9</w:t>
      </w:r>
      <w:r w:rsidRPr="008D4276">
        <w:rPr>
          <w:rFonts w:asciiTheme="majorHAnsi" w:hAnsiTheme="majorHAnsi"/>
        </w:rPr>
        <w:t xml:space="preserve">, administration of </w:t>
      </w:r>
      <w:r w:rsidR="005D1EFF" w:rsidRPr="008D4276">
        <w:rPr>
          <w:rFonts w:asciiTheme="majorHAnsi" w:hAnsiTheme="majorHAnsi"/>
        </w:rPr>
        <w:t>tocilizumab</w:t>
      </w:r>
      <w:r w:rsidRPr="008D4276">
        <w:rPr>
          <w:rFonts w:asciiTheme="majorHAnsi" w:hAnsiTheme="majorHAnsi"/>
        </w:rPr>
        <w:t xml:space="preserve"> is not recommended.</w:t>
      </w:r>
    </w:p>
    <w:p w14:paraId="756CE2C2" w14:textId="7DC8482C" w:rsidR="005E036E" w:rsidRPr="008D4276" w:rsidRDefault="005E036E" w:rsidP="00B36DBA">
      <w:pPr>
        <w:rPr>
          <w:rFonts w:asciiTheme="majorHAnsi" w:hAnsiTheme="majorHAnsi"/>
        </w:rPr>
      </w:pPr>
      <w:r w:rsidRPr="008D4276">
        <w:rPr>
          <w:rFonts w:asciiTheme="majorHAnsi" w:hAnsiTheme="majorHAnsi"/>
        </w:rPr>
        <w:t>Caution should be exercised when considering initiation of</w:t>
      </w:r>
      <w:r w:rsidR="005D1EFF" w:rsidRPr="008D4276">
        <w:rPr>
          <w:rFonts w:asciiTheme="majorHAnsi" w:hAnsiTheme="majorHAnsi"/>
        </w:rPr>
        <w:t xml:space="preserve"> tocilizumab</w:t>
      </w:r>
      <w:r w:rsidRPr="008D4276">
        <w:rPr>
          <w:rFonts w:asciiTheme="majorHAnsi" w:hAnsiTheme="majorHAnsi"/>
        </w:rPr>
        <w:t xml:space="preserve"> treatment in patients with a low platelet count (i.e. platelet count below 100 x 10</w:t>
      </w:r>
      <w:r w:rsidRPr="008D4276">
        <w:rPr>
          <w:rFonts w:asciiTheme="majorHAnsi" w:hAnsiTheme="majorHAnsi"/>
          <w:vertAlign w:val="superscript"/>
        </w:rPr>
        <w:t>9</w:t>
      </w:r>
      <w:r w:rsidRPr="008D4276">
        <w:rPr>
          <w:rFonts w:asciiTheme="majorHAnsi" w:hAnsiTheme="majorHAnsi"/>
        </w:rPr>
        <w:t>/L). In all patients, including COVID-19, with a platelet count &lt; 50 x 10</w:t>
      </w:r>
      <w:r w:rsidRPr="008D4276">
        <w:rPr>
          <w:rFonts w:asciiTheme="majorHAnsi" w:hAnsiTheme="majorHAnsi"/>
          <w:vertAlign w:val="superscript"/>
        </w:rPr>
        <w:t>9</w:t>
      </w:r>
      <w:r w:rsidRPr="008D4276">
        <w:rPr>
          <w:rFonts w:asciiTheme="majorHAnsi" w:hAnsiTheme="majorHAnsi"/>
        </w:rPr>
        <w:t xml:space="preserve">/L </w:t>
      </w:r>
      <w:r w:rsidR="005D1EFF" w:rsidRPr="008D4276">
        <w:rPr>
          <w:rFonts w:asciiTheme="majorHAnsi" w:hAnsiTheme="majorHAnsi"/>
        </w:rPr>
        <w:t>tocilizumab</w:t>
      </w:r>
      <w:r w:rsidRPr="008D4276">
        <w:rPr>
          <w:rFonts w:asciiTheme="majorHAnsi" w:hAnsiTheme="majorHAnsi"/>
        </w:rPr>
        <w:t xml:space="preserve"> is not recommended (see section 4.2 Dose and Method of Administration).</w:t>
      </w:r>
    </w:p>
    <w:p w14:paraId="6D443631" w14:textId="0785CA88" w:rsidR="005E036E" w:rsidRPr="008D4276" w:rsidRDefault="005E036E" w:rsidP="00B36DBA">
      <w:pPr>
        <w:rPr>
          <w:rFonts w:asciiTheme="majorHAnsi" w:hAnsiTheme="majorHAnsi"/>
        </w:rPr>
      </w:pPr>
      <w:r w:rsidRPr="008D4276">
        <w:rPr>
          <w:rFonts w:asciiTheme="majorHAnsi" w:hAnsiTheme="majorHAnsi"/>
        </w:rPr>
        <w:t xml:space="preserve">Severe neutropenia may be associated with an increased risk of serious infections, although there has been no clear association between decreases in neutrophils and the occurrence of serious infections in clinical trials with </w:t>
      </w:r>
      <w:r w:rsidR="005D1EFF" w:rsidRPr="008D4276">
        <w:rPr>
          <w:rFonts w:asciiTheme="majorHAnsi" w:hAnsiTheme="majorHAnsi"/>
        </w:rPr>
        <w:t>tocilizumab</w:t>
      </w:r>
      <w:r w:rsidRPr="008D4276">
        <w:rPr>
          <w:rFonts w:asciiTheme="majorHAnsi" w:hAnsiTheme="majorHAnsi"/>
        </w:rPr>
        <w:t xml:space="preserve"> to date.</w:t>
      </w:r>
    </w:p>
    <w:p w14:paraId="6CDFF09B" w14:textId="77777777" w:rsidR="005E036E" w:rsidRPr="008D4276" w:rsidRDefault="005E036E" w:rsidP="00B36DBA">
      <w:pPr>
        <w:rPr>
          <w:rFonts w:asciiTheme="majorHAnsi" w:hAnsiTheme="majorHAnsi"/>
        </w:rPr>
      </w:pPr>
      <w:r w:rsidRPr="008D4276">
        <w:rPr>
          <w:rFonts w:asciiTheme="majorHAnsi" w:hAnsiTheme="majorHAnsi"/>
        </w:rPr>
        <w:t>In RA and GCA patients, neutrophils and platelets should be monitored 4 to 8 weeks after start of therapy and thereafter according to standard clinical practice. For recommended dose modifications based on ANC and platelet counts, see section 4.2 Dose and Method of Administration.</w:t>
      </w:r>
    </w:p>
    <w:p w14:paraId="661E5F6B" w14:textId="77777777" w:rsidR="005E036E" w:rsidRPr="008D4276" w:rsidRDefault="005E036E" w:rsidP="00B36DBA">
      <w:pPr>
        <w:rPr>
          <w:rFonts w:asciiTheme="majorHAnsi" w:hAnsiTheme="majorHAnsi"/>
        </w:rPr>
      </w:pPr>
      <w:r w:rsidRPr="008D4276">
        <w:rPr>
          <w:rFonts w:asciiTheme="majorHAnsi" w:hAnsiTheme="majorHAnsi"/>
        </w:rPr>
        <w:t>In pJIA and sJIA patients, neutrophils and platelets should be monitored at the time of the second administration and thereafter every 4 to 8 weeks for pJIA and every 2 to 4 weeks for sJIA (see section 4.2 Dose and Method of Administration).</w:t>
      </w:r>
    </w:p>
    <w:p w14:paraId="363F887A" w14:textId="77777777" w:rsidR="005E036E" w:rsidRPr="008D4276" w:rsidRDefault="005E036E" w:rsidP="00B36DBA">
      <w:pPr>
        <w:rPr>
          <w:rFonts w:asciiTheme="majorHAnsi" w:hAnsiTheme="majorHAnsi"/>
        </w:rPr>
      </w:pPr>
      <w:r w:rsidRPr="008D4276">
        <w:rPr>
          <w:rFonts w:asciiTheme="majorHAnsi" w:hAnsiTheme="majorHAnsi"/>
        </w:rPr>
        <w:t>In COVID-19 patients, the neutrophil count and platelets should be monitored according to current standard clinical practices.</w:t>
      </w:r>
    </w:p>
    <w:p w14:paraId="3E638CC8" w14:textId="77777777" w:rsidR="005E036E" w:rsidRPr="008D4276" w:rsidRDefault="005E036E" w:rsidP="004D6592">
      <w:pPr>
        <w:pStyle w:val="Heading4"/>
        <w:rPr>
          <w:rFonts w:asciiTheme="majorHAnsi" w:hAnsiTheme="majorHAnsi"/>
        </w:rPr>
      </w:pPr>
      <w:bookmarkStart w:id="10" w:name="Lipid_Parameters"/>
      <w:bookmarkEnd w:id="10"/>
      <w:r w:rsidRPr="008D4276">
        <w:rPr>
          <w:rFonts w:asciiTheme="majorHAnsi" w:hAnsiTheme="majorHAnsi"/>
        </w:rPr>
        <w:t>Lipid Parameters</w:t>
      </w:r>
    </w:p>
    <w:p w14:paraId="0C1CB40B" w14:textId="32B77157" w:rsidR="005E036E" w:rsidRPr="008D4276" w:rsidRDefault="005E036E" w:rsidP="00B36DBA">
      <w:pPr>
        <w:rPr>
          <w:rFonts w:asciiTheme="majorHAnsi" w:hAnsiTheme="majorHAnsi"/>
        </w:rPr>
      </w:pPr>
      <w:r w:rsidRPr="008D4276">
        <w:rPr>
          <w:rFonts w:asciiTheme="majorHAnsi" w:hAnsiTheme="majorHAnsi"/>
        </w:rPr>
        <w:t xml:space="preserve">Elevations in lipid parameters including total cholesterol, low-density lipoprotein (LDL), high- density lipoprotein (HDL) and triglycerides were observed in patients treated with </w:t>
      </w:r>
      <w:r w:rsidR="005D1EFF" w:rsidRPr="008D4276">
        <w:rPr>
          <w:rFonts w:asciiTheme="majorHAnsi" w:hAnsiTheme="majorHAnsi"/>
        </w:rPr>
        <w:t>tocilizumab</w:t>
      </w:r>
      <w:r w:rsidRPr="008D4276">
        <w:rPr>
          <w:rFonts w:asciiTheme="majorHAnsi" w:hAnsiTheme="majorHAnsi"/>
        </w:rPr>
        <w:t xml:space="preserve"> (see section 4.8 Adverse Effects (Undesirable Effects)). In the majority of patients, there was no </w:t>
      </w:r>
      <w:r w:rsidRPr="008D4276">
        <w:rPr>
          <w:rFonts w:asciiTheme="majorHAnsi" w:hAnsiTheme="majorHAnsi"/>
        </w:rPr>
        <w:lastRenderedPageBreak/>
        <w:t>increase in atherogenic indices, and elevations in total cholesterol responded to treatment with lipid lowering agents.</w:t>
      </w:r>
    </w:p>
    <w:p w14:paraId="4433C63D" w14:textId="56E92269" w:rsidR="005E036E" w:rsidRPr="008D4276" w:rsidRDefault="005E036E" w:rsidP="00B36DBA">
      <w:pPr>
        <w:rPr>
          <w:rFonts w:asciiTheme="majorHAnsi" w:hAnsiTheme="majorHAnsi"/>
        </w:rPr>
      </w:pPr>
      <w:r w:rsidRPr="008D4276">
        <w:rPr>
          <w:rFonts w:asciiTheme="majorHAnsi" w:hAnsiTheme="majorHAnsi"/>
        </w:rPr>
        <w:t xml:space="preserve">Assessment of lipid parameters should be performed in patients 4 to 8 weeks following initiation of </w:t>
      </w:r>
      <w:r w:rsidR="005D1EFF" w:rsidRPr="008D4276">
        <w:rPr>
          <w:rFonts w:asciiTheme="majorHAnsi" w:hAnsiTheme="majorHAnsi"/>
        </w:rPr>
        <w:t>tocilizumab</w:t>
      </w:r>
      <w:r w:rsidRPr="008D4276">
        <w:rPr>
          <w:rFonts w:asciiTheme="majorHAnsi" w:hAnsiTheme="majorHAnsi"/>
        </w:rPr>
        <w:t xml:space="preserve"> therapy. RA and sJIA patients should then be managed according to local clinical guidelines for management of hyperlipidaemia. For pJIA patients, assessment of lipid parameters should be performed at 3 monthly intervals during </w:t>
      </w:r>
      <w:r w:rsidR="005D1EFF" w:rsidRPr="008D4276">
        <w:rPr>
          <w:rFonts w:asciiTheme="majorHAnsi" w:hAnsiTheme="majorHAnsi"/>
        </w:rPr>
        <w:t>tocilizumab</w:t>
      </w:r>
      <w:r w:rsidRPr="008D4276">
        <w:rPr>
          <w:rFonts w:asciiTheme="majorHAnsi" w:hAnsiTheme="majorHAnsi"/>
        </w:rPr>
        <w:t xml:space="preserve"> treatment until it is clear the risk of development of significant changes in lipid parameters has diminished.</w:t>
      </w:r>
    </w:p>
    <w:p w14:paraId="1148ED80" w14:textId="77777777" w:rsidR="005E036E" w:rsidRPr="008D4276" w:rsidRDefault="005E036E" w:rsidP="004D6592">
      <w:pPr>
        <w:pStyle w:val="Heading4"/>
        <w:rPr>
          <w:rFonts w:asciiTheme="majorHAnsi" w:hAnsiTheme="majorHAnsi"/>
        </w:rPr>
      </w:pPr>
      <w:bookmarkStart w:id="11" w:name="Demyelinating_Disorders"/>
      <w:bookmarkEnd w:id="11"/>
      <w:r w:rsidRPr="008D4276">
        <w:rPr>
          <w:rFonts w:asciiTheme="majorHAnsi" w:hAnsiTheme="majorHAnsi"/>
        </w:rPr>
        <w:t>Demyelinating Disorders</w:t>
      </w:r>
    </w:p>
    <w:p w14:paraId="35CC0B16" w14:textId="48D9EF02" w:rsidR="005E036E" w:rsidRPr="008D4276" w:rsidRDefault="005E036E" w:rsidP="00B36DBA">
      <w:pPr>
        <w:rPr>
          <w:rFonts w:asciiTheme="majorHAnsi" w:hAnsiTheme="majorHAnsi"/>
        </w:rPr>
      </w:pPr>
      <w:r w:rsidRPr="008D4276">
        <w:rPr>
          <w:rFonts w:asciiTheme="majorHAnsi" w:hAnsiTheme="majorHAnsi"/>
        </w:rPr>
        <w:t xml:space="preserve">Physicians should be vigilant for symptoms potentially indicative of new-onset central demyelinating disorders. The potential for central demyelination with </w:t>
      </w:r>
      <w:r w:rsidR="005D1EFF" w:rsidRPr="008D4276">
        <w:rPr>
          <w:rFonts w:asciiTheme="majorHAnsi" w:hAnsiTheme="majorHAnsi"/>
        </w:rPr>
        <w:t>tocilizumab</w:t>
      </w:r>
      <w:r w:rsidRPr="008D4276">
        <w:rPr>
          <w:rFonts w:asciiTheme="majorHAnsi" w:hAnsiTheme="majorHAnsi"/>
        </w:rPr>
        <w:t xml:space="preserve"> is currently unknown. Multiple sclerosis and chronic inflammatory demyelinating polyneuropathy were reported rarely in RA clinical studies.</w:t>
      </w:r>
    </w:p>
    <w:p w14:paraId="6FD21EAF" w14:textId="77777777" w:rsidR="005E036E" w:rsidRPr="008D4276" w:rsidRDefault="005E036E" w:rsidP="004D6592">
      <w:pPr>
        <w:pStyle w:val="Heading4"/>
        <w:rPr>
          <w:rFonts w:asciiTheme="majorHAnsi" w:hAnsiTheme="majorHAnsi"/>
        </w:rPr>
      </w:pPr>
      <w:bookmarkStart w:id="12" w:name="Malignancy"/>
      <w:bookmarkEnd w:id="12"/>
      <w:r w:rsidRPr="008D4276">
        <w:rPr>
          <w:rFonts w:asciiTheme="majorHAnsi" w:hAnsiTheme="majorHAnsi"/>
        </w:rPr>
        <w:t>Malignancy</w:t>
      </w:r>
    </w:p>
    <w:p w14:paraId="6AF01BA7" w14:textId="77777777" w:rsidR="005E036E" w:rsidRPr="008D4276" w:rsidRDefault="005E036E" w:rsidP="00B36DBA">
      <w:pPr>
        <w:rPr>
          <w:rFonts w:asciiTheme="majorHAnsi" w:hAnsiTheme="majorHAnsi"/>
        </w:rPr>
      </w:pPr>
      <w:r w:rsidRPr="008D4276">
        <w:rPr>
          <w:rFonts w:asciiTheme="majorHAnsi" w:hAnsiTheme="majorHAnsi"/>
        </w:rPr>
        <w:t xml:space="preserve">The risk of malignancy is increased in patients with RA. Immunomodulatory medicinal products may increase the risk of malignancy. </w:t>
      </w:r>
    </w:p>
    <w:p w14:paraId="7B2BAB35" w14:textId="77777777" w:rsidR="005E036E" w:rsidRPr="008D4276" w:rsidRDefault="005E036E" w:rsidP="00B36DBA">
      <w:pPr>
        <w:rPr>
          <w:rFonts w:asciiTheme="majorHAnsi" w:hAnsiTheme="majorHAnsi"/>
        </w:rPr>
      </w:pPr>
      <w:r w:rsidRPr="008D4276">
        <w:rPr>
          <w:rFonts w:asciiTheme="majorHAnsi" w:hAnsiTheme="majorHAnsi"/>
        </w:rPr>
        <w:t>Patients receiving immunosuppressive therapy are at an increased risk of developing skin cancer (melanoma and non-melanoma). The risk appears to be related to the intensity and duration of immunosuppression rather than to the use of any specific agent. Periodic skin examination is recommended for all patients who are at increased risk for skin cancer and exposure to sunlight and UV light should be limited by wearing protective clothing and using a sunscreen with a high protection factor.</w:t>
      </w:r>
    </w:p>
    <w:p w14:paraId="5553F734" w14:textId="77777777" w:rsidR="005E036E" w:rsidRPr="008D4276" w:rsidRDefault="005E036E" w:rsidP="004D6592">
      <w:pPr>
        <w:pStyle w:val="Heading4"/>
        <w:rPr>
          <w:rFonts w:asciiTheme="majorHAnsi" w:hAnsiTheme="majorHAnsi"/>
        </w:rPr>
      </w:pPr>
      <w:bookmarkStart w:id="13" w:name="Intravenous_Infusion_Reactions"/>
      <w:bookmarkEnd w:id="13"/>
      <w:r w:rsidRPr="008D4276">
        <w:rPr>
          <w:rFonts w:asciiTheme="majorHAnsi" w:hAnsiTheme="majorHAnsi"/>
        </w:rPr>
        <w:t>Intravenous Infusion Reactions</w:t>
      </w:r>
    </w:p>
    <w:p w14:paraId="113F75E9" w14:textId="6BB309E6" w:rsidR="005E036E" w:rsidRPr="008D4276" w:rsidRDefault="005E036E" w:rsidP="00B36DBA">
      <w:pPr>
        <w:rPr>
          <w:rFonts w:asciiTheme="majorHAnsi" w:hAnsiTheme="majorHAnsi"/>
        </w:rPr>
      </w:pPr>
      <w:r w:rsidRPr="008D4276">
        <w:rPr>
          <w:rFonts w:asciiTheme="majorHAnsi" w:hAnsiTheme="majorHAnsi"/>
        </w:rPr>
        <w:t xml:space="preserve">Infusion reactions have been observed during and within 24 hours of treatment with </w:t>
      </w:r>
      <w:r w:rsidR="00920347" w:rsidRPr="008D4276">
        <w:rPr>
          <w:rFonts w:asciiTheme="majorHAnsi" w:hAnsiTheme="majorHAnsi"/>
        </w:rPr>
        <w:t>tocilizumab</w:t>
      </w:r>
      <w:r w:rsidRPr="008D4276">
        <w:rPr>
          <w:rFonts w:asciiTheme="majorHAnsi" w:hAnsiTheme="majorHAnsi"/>
        </w:rPr>
        <w:t xml:space="preserve"> (see section 4.8 Adverse Effects (Undesirable Effects)).</w:t>
      </w:r>
    </w:p>
    <w:p w14:paraId="4A9B3453" w14:textId="77777777" w:rsidR="005E036E" w:rsidRPr="008D4276" w:rsidRDefault="005E036E" w:rsidP="004D6592">
      <w:pPr>
        <w:pStyle w:val="Heading4"/>
        <w:rPr>
          <w:rFonts w:asciiTheme="majorHAnsi" w:hAnsiTheme="majorHAnsi"/>
        </w:rPr>
      </w:pPr>
      <w:bookmarkStart w:id="14" w:name="Cardiovascular_Risk"/>
      <w:bookmarkEnd w:id="14"/>
      <w:r w:rsidRPr="008D4276">
        <w:rPr>
          <w:rFonts w:asciiTheme="majorHAnsi" w:hAnsiTheme="majorHAnsi"/>
        </w:rPr>
        <w:t>Cardiovascular Risk</w:t>
      </w:r>
    </w:p>
    <w:p w14:paraId="3F333556" w14:textId="4E8FA527" w:rsidR="005E036E" w:rsidRPr="008D4276" w:rsidRDefault="005E036E" w:rsidP="00B36DBA">
      <w:pPr>
        <w:rPr>
          <w:rFonts w:asciiTheme="majorHAnsi" w:hAnsiTheme="majorHAnsi"/>
        </w:rPr>
      </w:pPr>
      <w:r w:rsidRPr="008D4276">
        <w:rPr>
          <w:rFonts w:asciiTheme="majorHAnsi" w:hAnsiTheme="majorHAnsi"/>
        </w:rPr>
        <w:t xml:space="preserve">RA patients have an increased risk for cardiovascular disorders and should have risk factors (e.g. hypertension, hyperlipidaemia) managed as part of usual standard of care (see section 4.4 Special Warnings and Precautions for Use- Lipid Parameters). Elevations in LDL and HDL lipids have been observed, with no clinical consequences identified. No data are available concerning cardiovascular outcomes with long-term use of </w:t>
      </w:r>
      <w:r w:rsidR="005D1EFF" w:rsidRPr="008D4276">
        <w:rPr>
          <w:rFonts w:asciiTheme="majorHAnsi" w:hAnsiTheme="majorHAnsi"/>
        </w:rPr>
        <w:t>tocilizumab</w:t>
      </w:r>
      <w:r w:rsidRPr="008D4276">
        <w:rPr>
          <w:rFonts w:asciiTheme="majorHAnsi" w:hAnsiTheme="majorHAnsi"/>
        </w:rPr>
        <w:t>.</w:t>
      </w:r>
    </w:p>
    <w:p w14:paraId="2A91EE46" w14:textId="77777777" w:rsidR="005E036E" w:rsidRPr="008D4276" w:rsidRDefault="005E036E" w:rsidP="004D6592">
      <w:pPr>
        <w:pStyle w:val="Heading4"/>
        <w:rPr>
          <w:rFonts w:asciiTheme="majorHAnsi" w:hAnsiTheme="majorHAnsi"/>
        </w:rPr>
      </w:pPr>
      <w:bookmarkStart w:id="15" w:name="Combination_with_TNF_Antagonists_and/or_"/>
      <w:bookmarkEnd w:id="15"/>
      <w:r w:rsidRPr="008D4276">
        <w:rPr>
          <w:rFonts w:asciiTheme="majorHAnsi" w:hAnsiTheme="majorHAnsi"/>
        </w:rPr>
        <w:t>Combination with TNF Antagonists and/or other Biological Therapies</w:t>
      </w:r>
    </w:p>
    <w:p w14:paraId="3B6EB897" w14:textId="1124AFA3" w:rsidR="005E036E" w:rsidRPr="008D4276" w:rsidRDefault="005E036E" w:rsidP="00B36DBA">
      <w:pPr>
        <w:rPr>
          <w:rFonts w:asciiTheme="majorHAnsi" w:hAnsiTheme="majorHAnsi"/>
        </w:rPr>
      </w:pPr>
      <w:r w:rsidRPr="008D4276">
        <w:rPr>
          <w:rFonts w:asciiTheme="majorHAnsi" w:hAnsiTheme="majorHAnsi"/>
        </w:rPr>
        <w:t xml:space="preserve">There is no experience with the use of </w:t>
      </w:r>
      <w:r w:rsidR="005D1EFF" w:rsidRPr="008D4276">
        <w:rPr>
          <w:rFonts w:asciiTheme="majorHAnsi" w:hAnsiTheme="majorHAnsi"/>
        </w:rPr>
        <w:t>tocilizumab</w:t>
      </w:r>
      <w:r w:rsidRPr="008D4276">
        <w:rPr>
          <w:rFonts w:asciiTheme="majorHAnsi" w:hAnsiTheme="majorHAnsi"/>
        </w:rPr>
        <w:t xml:space="preserve"> with TNF antagonists or other biological treatments for RA. </w:t>
      </w:r>
      <w:r w:rsidR="005D1EFF" w:rsidRPr="008D4276">
        <w:rPr>
          <w:rFonts w:asciiTheme="majorHAnsi" w:hAnsiTheme="majorHAnsi"/>
        </w:rPr>
        <w:t>Tocilizumab</w:t>
      </w:r>
      <w:r w:rsidRPr="008D4276">
        <w:rPr>
          <w:rFonts w:asciiTheme="majorHAnsi" w:hAnsiTheme="majorHAnsi"/>
        </w:rPr>
        <w:t xml:space="preserve"> is not recommended for use with other biological agents including TNF antagonists, anakinra, rituximab and abatacept.</w:t>
      </w:r>
    </w:p>
    <w:p w14:paraId="21AC456F" w14:textId="77777777" w:rsidR="005E036E" w:rsidRPr="008D4276" w:rsidRDefault="005E036E" w:rsidP="004D6592">
      <w:pPr>
        <w:pStyle w:val="Heading4"/>
        <w:rPr>
          <w:rFonts w:asciiTheme="majorHAnsi" w:hAnsiTheme="majorHAnsi"/>
        </w:rPr>
      </w:pPr>
      <w:bookmarkStart w:id="16" w:name="Sodium"/>
      <w:bookmarkEnd w:id="16"/>
      <w:r w:rsidRPr="008D4276">
        <w:rPr>
          <w:rFonts w:asciiTheme="majorHAnsi" w:hAnsiTheme="majorHAnsi"/>
        </w:rPr>
        <w:t>Sodium</w:t>
      </w:r>
    </w:p>
    <w:p w14:paraId="68F07F39" w14:textId="19FC3597" w:rsidR="005E036E" w:rsidRPr="008D4276" w:rsidRDefault="005E036E" w:rsidP="00B36DBA">
      <w:pPr>
        <w:rPr>
          <w:rFonts w:asciiTheme="majorHAnsi" w:hAnsiTheme="majorHAnsi"/>
        </w:rPr>
      </w:pPr>
      <w:r w:rsidRPr="008D4276">
        <w:rPr>
          <w:rFonts w:asciiTheme="majorHAnsi" w:hAnsiTheme="majorHAnsi"/>
        </w:rPr>
        <w:t xml:space="preserve">Intravenous </w:t>
      </w:r>
      <w:r w:rsidR="005D1EFF" w:rsidRPr="008D4276">
        <w:rPr>
          <w:rFonts w:asciiTheme="majorHAnsi" w:hAnsiTheme="majorHAnsi"/>
        </w:rPr>
        <w:t>tocilizumab</w:t>
      </w:r>
      <w:r w:rsidRPr="008D4276">
        <w:rPr>
          <w:rFonts w:asciiTheme="majorHAnsi" w:hAnsiTheme="majorHAnsi"/>
        </w:rPr>
        <w:t xml:space="preserve"> contains 1.17</w:t>
      </w:r>
      <w:r w:rsidR="004D6592" w:rsidRPr="008D4276">
        <w:rPr>
          <w:rFonts w:asciiTheme="majorHAnsi" w:hAnsiTheme="majorHAnsi"/>
        </w:rPr>
        <w:t> </w:t>
      </w:r>
      <w:r w:rsidRPr="008D4276">
        <w:rPr>
          <w:rFonts w:asciiTheme="majorHAnsi" w:hAnsiTheme="majorHAnsi"/>
        </w:rPr>
        <w:t>mmol (26.55 mg) of sodium per maximum dose of 1200</w:t>
      </w:r>
      <w:r w:rsidR="004D6592" w:rsidRPr="008D4276">
        <w:rPr>
          <w:rFonts w:asciiTheme="majorHAnsi" w:hAnsiTheme="majorHAnsi"/>
        </w:rPr>
        <w:t> </w:t>
      </w:r>
      <w:r w:rsidRPr="008D4276">
        <w:rPr>
          <w:rFonts w:asciiTheme="majorHAnsi" w:hAnsiTheme="majorHAnsi"/>
        </w:rPr>
        <w:t>mg. This should be taken into consideration by patients on a controlled sodium diet. Doses below 1025</w:t>
      </w:r>
      <w:r w:rsidR="004D6592" w:rsidRPr="008D4276">
        <w:rPr>
          <w:rFonts w:asciiTheme="majorHAnsi" w:hAnsiTheme="majorHAnsi"/>
        </w:rPr>
        <w:t> </w:t>
      </w:r>
      <w:r w:rsidRPr="008D4276">
        <w:rPr>
          <w:rFonts w:asciiTheme="majorHAnsi" w:hAnsiTheme="majorHAnsi"/>
        </w:rPr>
        <w:t>mg of</w:t>
      </w:r>
      <w:r w:rsidR="005D1EFF" w:rsidRPr="008D4276">
        <w:rPr>
          <w:rFonts w:asciiTheme="majorHAnsi" w:hAnsiTheme="majorHAnsi"/>
        </w:rPr>
        <w:t xml:space="preserve"> tocilizumab</w:t>
      </w:r>
      <w:r w:rsidRPr="008D4276">
        <w:rPr>
          <w:rFonts w:asciiTheme="majorHAnsi" w:hAnsiTheme="majorHAnsi"/>
        </w:rPr>
        <w:t xml:space="preserve"> contain less than 1 mmol of sodium (23 mg) and can essentially be considered ‘sodium free’.</w:t>
      </w:r>
    </w:p>
    <w:p w14:paraId="6D4DADFB" w14:textId="7BA0ACDB" w:rsidR="005E036E" w:rsidRPr="008D4276" w:rsidRDefault="005E036E" w:rsidP="00B36DBA">
      <w:pPr>
        <w:rPr>
          <w:rFonts w:asciiTheme="majorHAnsi" w:hAnsiTheme="majorHAnsi"/>
        </w:rPr>
      </w:pPr>
      <w:r w:rsidRPr="008D4276">
        <w:rPr>
          <w:rFonts w:asciiTheme="majorHAnsi" w:hAnsiTheme="majorHAnsi"/>
        </w:rPr>
        <w:t xml:space="preserve">The subcutaneous </w:t>
      </w:r>
      <w:r w:rsidR="005D1EFF" w:rsidRPr="008D4276">
        <w:rPr>
          <w:rFonts w:asciiTheme="majorHAnsi" w:hAnsiTheme="majorHAnsi"/>
        </w:rPr>
        <w:t>tocilizumab</w:t>
      </w:r>
      <w:r w:rsidRPr="008D4276">
        <w:rPr>
          <w:rFonts w:asciiTheme="majorHAnsi" w:hAnsiTheme="majorHAnsi"/>
        </w:rPr>
        <w:t xml:space="preserve"> formulation does not contain sodium.</w:t>
      </w:r>
    </w:p>
    <w:p w14:paraId="403754CC" w14:textId="77777777" w:rsidR="005E036E" w:rsidRPr="008D4276" w:rsidRDefault="005E036E" w:rsidP="005E036E">
      <w:pPr>
        <w:pStyle w:val="Heading3"/>
        <w:rPr>
          <w:rFonts w:cs="Calibri"/>
        </w:rPr>
      </w:pPr>
      <w:bookmarkStart w:id="17" w:name="_Hlk159332245"/>
      <w:r w:rsidRPr="008D4276">
        <w:rPr>
          <w:rFonts w:cs="Calibri"/>
        </w:rPr>
        <w:lastRenderedPageBreak/>
        <w:t>Systemic Juvenile Idiopathic Arthritis</w:t>
      </w:r>
    </w:p>
    <w:p w14:paraId="25BCFCB0" w14:textId="77777777" w:rsidR="005E036E" w:rsidRPr="008D4276" w:rsidRDefault="005E036E" w:rsidP="004D6592">
      <w:pPr>
        <w:pStyle w:val="Heading4"/>
        <w:rPr>
          <w:rFonts w:asciiTheme="majorHAnsi" w:hAnsiTheme="majorHAnsi"/>
        </w:rPr>
      </w:pPr>
      <w:bookmarkStart w:id="18" w:name="Macrophage_activation_syndrome_(MAS)"/>
      <w:bookmarkEnd w:id="18"/>
      <w:r w:rsidRPr="008D4276">
        <w:rPr>
          <w:rFonts w:asciiTheme="majorHAnsi" w:hAnsiTheme="majorHAnsi"/>
        </w:rPr>
        <w:t>Macrophage activation syndrome (MAS)</w:t>
      </w:r>
    </w:p>
    <w:p w14:paraId="7462AB14" w14:textId="5E1446F1" w:rsidR="005E036E" w:rsidRPr="008D4276" w:rsidRDefault="005E036E" w:rsidP="00B36DBA">
      <w:pPr>
        <w:rPr>
          <w:rFonts w:asciiTheme="majorHAnsi" w:hAnsiTheme="majorHAnsi"/>
        </w:rPr>
      </w:pPr>
      <w:r w:rsidRPr="008D4276">
        <w:rPr>
          <w:rFonts w:asciiTheme="majorHAnsi" w:hAnsiTheme="majorHAnsi"/>
        </w:rPr>
        <w:t xml:space="preserve">MAS is a serious life-threatening disorder that may develop in patients with sJIA. In clinical trials, </w:t>
      </w:r>
      <w:r w:rsidR="00B67D4D" w:rsidRPr="008D4276">
        <w:rPr>
          <w:rFonts w:asciiTheme="majorHAnsi" w:hAnsiTheme="majorHAnsi"/>
        </w:rPr>
        <w:t>t</w:t>
      </w:r>
      <w:r w:rsidR="005D1EFF" w:rsidRPr="008D4276">
        <w:rPr>
          <w:rFonts w:asciiTheme="majorHAnsi" w:hAnsiTheme="majorHAnsi"/>
        </w:rPr>
        <w:t>ocilizumab</w:t>
      </w:r>
      <w:r w:rsidRPr="008D4276">
        <w:rPr>
          <w:rFonts w:asciiTheme="majorHAnsi" w:hAnsiTheme="majorHAnsi"/>
        </w:rPr>
        <w:t xml:space="preserve"> has not been studied in patients during an episode of active MAS (see section 4.8 Adverse Effects (Undesirable Effects)).</w:t>
      </w:r>
    </w:p>
    <w:p w14:paraId="084A05D2" w14:textId="77777777" w:rsidR="005E036E" w:rsidRPr="008D4276" w:rsidRDefault="005E036E" w:rsidP="005E036E">
      <w:pPr>
        <w:pStyle w:val="Heading3"/>
        <w:rPr>
          <w:rFonts w:cs="Calibri"/>
        </w:rPr>
      </w:pPr>
      <w:bookmarkStart w:id="19" w:name="Use_in_the_Elderly"/>
      <w:bookmarkEnd w:id="19"/>
      <w:r w:rsidRPr="008D4276">
        <w:rPr>
          <w:rFonts w:cs="Calibri"/>
        </w:rPr>
        <w:t>Use in the Elderly</w:t>
      </w:r>
    </w:p>
    <w:p w14:paraId="21C198D3" w14:textId="4AF26F48" w:rsidR="005E036E" w:rsidRPr="008D4276" w:rsidRDefault="005E036E" w:rsidP="00B36DBA">
      <w:pPr>
        <w:rPr>
          <w:rFonts w:asciiTheme="majorHAnsi" w:hAnsiTheme="majorHAnsi"/>
          <w:iCs/>
        </w:rPr>
      </w:pPr>
      <w:r w:rsidRPr="008D4276">
        <w:rPr>
          <w:rFonts w:asciiTheme="majorHAnsi" w:hAnsiTheme="majorHAnsi"/>
        </w:rPr>
        <w:t xml:space="preserve">Population analyses evaluated the potential effects of demographic characteristics on the pharmacokinetics of </w:t>
      </w:r>
      <w:r w:rsidR="005D1EFF" w:rsidRPr="008D4276">
        <w:rPr>
          <w:rFonts w:asciiTheme="majorHAnsi" w:hAnsiTheme="majorHAnsi"/>
        </w:rPr>
        <w:t>tocilizumab</w:t>
      </w:r>
      <w:r w:rsidRPr="008D4276">
        <w:rPr>
          <w:rFonts w:asciiTheme="majorHAnsi" w:hAnsiTheme="majorHAnsi"/>
        </w:rPr>
        <w:t xml:space="preserve"> in adult RA patients. Results of these analyses showed that no adjustment of the dose is necessary for age, gender, or race</w:t>
      </w:r>
      <w:r w:rsidRPr="008D4276">
        <w:rPr>
          <w:rFonts w:asciiTheme="majorHAnsi" w:hAnsiTheme="majorHAnsi"/>
          <w:i/>
        </w:rPr>
        <w:t>.</w:t>
      </w:r>
    </w:p>
    <w:p w14:paraId="6B94BACE" w14:textId="1A1E9187" w:rsidR="005E036E" w:rsidRPr="008D4276" w:rsidRDefault="005E036E" w:rsidP="00B36DBA">
      <w:pPr>
        <w:rPr>
          <w:rFonts w:asciiTheme="majorHAnsi" w:hAnsiTheme="majorHAnsi"/>
        </w:rPr>
      </w:pPr>
      <w:r w:rsidRPr="008D4276">
        <w:rPr>
          <w:rFonts w:asciiTheme="majorHAnsi" w:hAnsiTheme="majorHAnsi"/>
        </w:rPr>
        <w:t>No dose adjustment is required in elderly patients.</w:t>
      </w:r>
    </w:p>
    <w:p w14:paraId="43CF5504" w14:textId="77777777" w:rsidR="005E036E" w:rsidRPr="008D4276" w:rsidRDefault="005E036E" w:rsidP="005E036E">
      <w:pPr>
        <w:pStyle w:val="Heading3"/>
        <w:rPr>
          <w:rFonts w:cs="Calibri"/>
        </w:rPr>
      </w:pPr>
      <w:bookmarkStart w:id="20" w:name="Paediatric_use"/>
      <w:bookmarkEnd w:id="20"/>
      <w:r w:rsidRPr="008D4276">
        <w:rPr>
          <w:rFonts w:cs="Calibri"/>
        </w:rPr>
        <w:t>Paediatric use</w:t>
      </w:r>
    </w:p>
    <w:p w14:paraId="03FD4EC0" w14:textId="18EB95F6" w:rsidR="005E036E" w:rsidRPr="008D4276" w:rsidRDefault="005E036E" w:rsidP="00B36DBA">
      <w:pPr>
        <w:rPr>
          <w:rFonts w:asciiTheme="majorHAnsi" w:hAnsiTheme="majorHAnsi"/>
        </w:rPr>
      </w:pPr>
      <w:r w:rsidRPr="008D4276">
        <w:rPr>
          <w:rFonts w:asciiTheme="majorHAnsi" w:hAnsiTheme="majorHAnsi"/>
        </w:rPr>
        <w:t xml:space="preserve">The safety and efficacy of intravenous </w:t>
      </w:r>
      <w:r w:rsidR="005D1EFF" w:rsidRPr="008D4276">
        <w:rPr>
          <w:rFonts w:asciiTheme="majorHAnsi" w:hAnsiTheme="majorHAnsi"/>
        </w:rPr>
        <w:t>tocilizumab</w:t>
      </w:r>
      <w:r w:rsidRPr="008D4276">
        <w:rPr>
          <w:rFonts w:asciiTheme="majorHAnsi" w:hAnsiTheme="majorHAnsi"/>
        </w:rPr>
        <w:t xml:space="preserve"> in children below 18 years of age with conditions other than pJIA, sJIA or CRS have not been established. Ten patients who participated in the pivotal study for pJIA were less than 4 years of age. The use of </w:t>
      </w:r>
      <w:r w:rsidR="005D1EFF" w:rsidRPr="008D4276">
        <w:rPr>
          <w:rFonts w:asciiTheme="majorHAnsi" w:hAnsiTheme="majorHAnsi"/>
        </w:rPr>
        <w:t>tocilizumab</w:t>
      </w:r>
      <w:r w:rsidRPr="008D4276">
        <w:rPr>
          <w:rFonts w:asciiTheme="majorHAnsi" w:hAnsiTheme="majorHAnsi"/>
        </w:rPr>
        <w:t xml:space="preserve"> IV in children under the age of two have not been studied.</w:t>
      </w:r>
    </w:p>
    <w:p w14:paraId="27C2DC7D" w14:textId="00735E0D" w:rsidR="005E036E" w:rsidRPr="008D4276" w:rsidRDefault="005E036E" w:rsidP="00B36DBA">
      <w:pPr>
        <w:rPr>
          <w:rFonts w:asciiTheme="majorHAnsi" w:hAnsiTheme="majorHAnsi"/>
        </w:rPr>
      </w:pPr>
      <w:r w:rsidRPr="008D4276">
        <w:rPr>
          <w:rFonts w:asciiTheme="majorHAnsi" w:hAnsiTheme="majorHAnsi"/>
        </w:rPr>
        <w:t xml:space="preserve">Available data only support use of intravenous </w:t>
      </w:r>
      <w:r w:rsidR="005D1EFF" w:rsidRPr="008D4276">
        <w:rPr>
          <w:rFonts w:asciiTheme="majorHAnsi" w:hAnsiTheme="majorHAnsi"/>
        </w:rPr>
        <w:t>tocilizumab</w:t>
      </w:r>
      <w:r w:rsidRPr="008D4276">
        <w:rPr>
          <w:rFonts w:asciiTheme="majorHAnsi" w:hAnsiTheme="majorHAnsi"/>
        </w:rPr>
        <w:t xml:space="preserve"> in children with pJIA who have had an inadequate response to or intolerance to MTX. Long-term safety data for intravenous </w:t>
      </w:r>
      <w:r w:rsidR="005D1EFF" w:rsidRPr="008D4276">
        <w:rPr>
          <w:rFonts w:asciiTheme="majorHAnsi" w:hAnsiTheme="majorHAnsi"/>
        </w:rPr>
        <w:t>tocilizumab</w:t>
      </w:r>
      <w:r w:rsidRPr="008D4276">
        <w:rPr>
          <w:rFonts w:asciiTheme="majorHAnsi" w:hAnsiTheme="majorHAnsi"/>
        </w:rPr>
        <w:t xml:space="preserve"> use in children with pJIA are currently limited to 2 years, and at present no comparison with the safety profile of other biological DMARDs approved for use in this indication has been made.</w:t>
      </w:r>
    </w:p>
    <w:p w14:paraId="79917ED9" w14:textId="77777777" w:rsidR="005E036E" w:rsidRPr="008D4276" w:rsidRDefault="005E036E" w:rsidP="00B36DBA">
      <w:pPr>
        <w:rPr>
          <w:rFonts w:asciiTheme="majorHAnsi" w:hAnsiTheme="majorHAnsi"/>
        </w:rPr>
      </w:pPr>
      <w:r w:rsidRPr="008D4276">
        <w:rPr>
          <w:rFonts w:asciiTheme="majorHAnsi" w:hAnsiTheme="majorHAnsi"/>
        </w:rPr>
        <w:t>Treatment with a murine analogue did not exert toxicity in juvenile mice. In particular, there was no impairment of skeletal growth, immune function and sexual maturation.</w:t>
      </w:r>
    </w:p>
    <w:p w14:paraId="5DBC4A0F" w14:textId="37318FEC" w:rsidR="005E036E" w:rsidRPr="008D4276" w:rsidRDefault="005E036E" w:rsidP="00B36DBA">
      <w:pPr>
        <w:rPr>
          <w:rFonts w:asciiTheme="majorHAnsi" w:hAnsiTheme="majorHAnsi"/>
        </w:rPr>
      </w:pPr>
      <w:r w:rsidRPr="008D4276">
        <w:rPr>
          <w:rFonts w:asciiTheme="majorHAnsi" w:hAnsiTheme="majorHAnsi"/>
        </w:rPr>
        <w:t xml:space="preserve">The safety and efficacy of subcutaneous </w:t>
      </w:r>
      <w:r w:rsidR="005D1EFF" w:rsidRPr="008D4276">
        <w:rPr>
          <w:rFonts w:asciiTheme="majorHAnsi" w:hAnsiTheme="majorHAnsi"/>
        </w:rPr>
        <w:t>tocilizumab</w:t>
      </w:r>
      <w:r w:rsidRPr="008D4276">
        <w:rPr>
          <w:rFonts w:asciiTheme="majorHAnsi" w:hAnsiTheme="majorHAnsi"/>
        </w:rPr>
        <w:t xml:space="preserve"> in children from birth to less than 1 year has not been established. No data are available. Data in patients with sJIA aged 1 year is limited (see section 5.2 Pharmacokinetic Properties). Three patients aged 1-2 were included in Study WA28118. The safety and efficacy of </w:t>
      </w:r>
      <w:r w:rsidR="005D1EFF" w:rsidRPr="008D4276">
        <w:rPr>
          <w:rFonts w:asciiTheme="majorHAnsi" w:hAnsiTheme="majorHAnsi"/>
        </w:rPr>
        <w:t>tocilizumab</w:t>
      </w:r>
      <w:r w:rsidRPr="008D4276">
        <w:rPr>
          <w:rFonts w:asciiTheme="majorHAnsi" w:hAnsiTheme="majorHAnsi"/>
        </w:rPr>
        <w:t xml:space="preserve"> SC has not been established for patients with CRS or children below 2 years of age with pJIA. The pre-filled pen (A</w:t>
      </w:r>
      <w:r w:rsidR="005D1EFF" w:rsidRPr="008D4276">
        <w:rPr>
          <w:rFonts w:asciiTheme="majorHAnsi" w:hAnsiTheme="majorHAnsi"/>
        </w:rPr>
        <w:t>V</w:t>
      </w:r>
      <w:r w:rsidRPr="008D4276">
        <w:rPr>
          <w:rFonts w:asciiTheme="majorHAnsi" w:hAnsiTheme="majorHAnsi"/>
        </w:rPr>
        <w:t>TPen) should not be used to treat children and adolescent patients ˂ 12 years of age since there is a potential risk of intramuscular injection due to a thinner subcutaneous tissue layer.</w:t>
      </w:r>
    </w:p>
    <w:p w14:paraId="1B720BC6" w14:textId="77777777" w:rsidR="005E036E" w:rsidRPr="008D4276" w:rsidRDefault="005E036E" w:rsidP="005E036E">
      <w:pPr>
        <w:pStyle w:val="Heading3"/>
        <w:rPr>
          <w:rFonts w:cs="Calibri"/>
        </w:rPr>
      </w:pPr>
      <w:bookmarkStart w:id="21" w:name="Effects_on_laboratory_tests"/>
      <w:bookmarkEnd w:id="21"/>
      <w:r w:rsidRPr="008D4276">
        <w:rPr>
          <w:rFonts w:cs="Calibri"/>
        </w:rPr>
        <w:t>Effects on laboratory tests</w:t>
      </w:r>
    </w:p>
    <w:p w14:paraId="013A7B1B" w14:textId="4263EE88" w:rsidR="005E036E" w:rsidRPr="008D4276" w:rsidRDefault="005E036E" w:rsidP="00B36DBA">
      <w:pPr>
        <w:rPr>
          <w:rFonts w:asciiTheme="majorHAnsi" w:hAnsiTheme="majorHAnsi"/>
        </w:rPr>
      </w:pPr>
      <w:r w:rsidRPr="008D4276">
        <w:rPr>
          <w:rFonts w:asciiTheme="majorHAnsi" w:hAnsiTheme="majorHAnsi"/>
        </w:rPr>
        <w:t xml:space="preserve">Caution should be exercised when considering initiation of </w:t>
      </w:r>
      <w:r w:rsidR="005D1EFF" w:rsidRPr="008D4276">
        <w:rPr>
          <w:rFonts w:asciiTheme="majorHAnsi" w:hAnsiTheme="majorHAnsi"/>
        </w:rPr>
        <w:t>tocilizumab</w:t>
      </w:r>
      <w:r w:rsidRPr="008D4276">
        <w:rPr>
          <w:rFonts w:asciiTheme="majorHAnsi" w:hAnsiTheme="majorHAnsi"/>
        </w:rPr>
        <w:t xml:space="preserve"> treatment in patients with a low neutrophil count. Decreases in neutrophil counts below 1 x 10</w:t>
      </w:r>
      <w:r w:rsidRPr="008D4276">
        <w:rPr>
          <w:rFonts w:asciiTheme="majorHAnsi" w:hAnsiTheme="majorHAnsi"/>
          <w:vertAlign w:val="superscript"/>
        </w:rPr>
        <w:t>9</w:t>
      </w:r>
      <w:r w:rsidRPr="008D4276">
        <w:rPr>
          <w:rFonts w:asciiTheme="majorHAnsi" w:hAnsiTheme="majorHAnsi"/>
        </w:rPr>
        <w:t>/L occurred in 3.4%, with counts &lt; 0.5 x 10</w:t>
      </w:r>
      <w:r w:rsidRPr="008D4276">
        <w:rPr>
          <w:rFonts w:asciiTheme="majorHAnsi" w:hAnsiTheme="majorHAnsi"/>
          <w:vertAlign w:val="superscript"/>
        </w:rPr>
        <w:t>9</w:t>
      </w:r>
      <w:r w:rsidRPr="008D4276">
        <w:rPr>
          <w:rFonts w:asciiTheme="majorHAnsi" w:hAnsiTheme="majorHAnsi"/>
        </w:rPr>
        <w:t xml:space="preserve">/L occurring in 0.3%, of patients on </w:t>
      </w:r>
      <w:r w:rsidR="005D1EFF" w:rsidRPr="008D4276">
        <w:rPr>
          <w:rFonts w:asciiTheme="majorHAnsi" w:hAnsiTheme="majorHAnsi"/>
        </w:rPr>
        <w:t>tocilizumab</w:t>
      </w:r>
      <w:r w:rsidRPr="008D4276">
        <w:rPr>
          <w:rFonts w:asciiTheme="majorHAnsi" w:hAnsiTheme="majorHAnsi"/>
        </w:rPr>
        <w:t xml:space="preserve"> 8 mg/kg + DMARD without clear association with serious infection (see section 4.4 Special Warnings and Precautions and 4.8 Adverse Effects (Undesirable Effects)). In patients with an absolute neutrophil count &lt; 0.5 </w:t>
      </w:r>
      <w:bookmarkStart w:id="22" w:name="4.5_INTERACTION_WITH_OTHER_MEDICINES_AND"/>
      <w:bookmarkEnd w:id="22"/>
      <w:r w:rsidRPr="008D4276">
        <w:rPr>
          <w:rFonts w:asciiTheme="majorHAnsi" w:hAnsiTheme="majorHAnsi"/>
        </w:rPr>
        <w:t>x 10</w:t>
      </w:r>
      <w:r w:rsidRPr="008D4276">
        <w:rPr>
          <w:rFonts w:asciiTheme="majorHAnsi" w:hAnsiTheme="majorHAnsi"/>
          <w:vertAlign w:val="superscript"/>
        </w:rPr>
        <w:t>9</w:t>
      </w:r>
      <w:r w:rsidRPr="008D4276">
        <w:rPr>
          <w:rFonts w:asciiTheme="majorHAnsi" w:hAnsiTheme="majorHAnsi"/>
        </w:rPr>
        <w:t>/L treatment is not recommended.</w:t>
      </w:r>
    </w:p>
    <w:bookmarkEnd w:id="17"/>
    <w:p w14:paraId="54335AEA" w14:textId="77777777" w:rsidR="001A3992" w:rsidRPr="008D4276" w:rsidRDefault="001A3992" w:rsidP="001A3992">
      <w:pPr>
        <w:pStyle w:val="Heading2"/>
        <w:keepNext/>
        <w:keepLines/>
        <w:spacing w:before="0"/>
        <w:rPr>
          <w:rFonts w:cs="Calibri"/>
        </w:rPr>
      </w:pPr>
      <w:r w:rsidRPr="008D4276">
        <w:rPr>
          <w:rFonts w:cs="Calibri"/>
        </w:rPr>
        <w:t>Interactions with other medicines and other forms of interactions</w:t>
      </w:r>
    </w:p>
    <w:p w14:paraId="2C373F2A" w14:textId="43F3EF19" w:rsidR="005E036E" w:rsidRPr="008D4276" w:rsidRDefault="005E036E" w:rsidP="00B36DBA">
      <w:pPr>
        <w:rPr>
          <w:rFonts w:asciiTheme="majorHAnsi" w:hAnsiTheme="majorHAnsi"/>
        </w:rPr>
      </w:pPr>
      <w:r w:rsidRPr="008D4276">
        <w:rPr>
          <w:rFonts w:asciiTheme="majorHAnsi" w:hAnsiTheme="majorHAnsi"/>
        </w:rPr>
        <w:t xml:space="preserve">Population pharmacokinetic analyses did not detect any effect of MTX, non-steroidal anti- inflammatory drugs or corticosteroids on </w:t>
      </w:r>
      <w:r w:rsidR="005D1EFF" w:rsidRPr="008D4276">
        <w:rPr>
          <w:rFonts w:asciiTheme="majorHAnsi" w:hAnsiTheme="majorHAnsi"/>
        </w:rPr>
        <w:t>tocilizumab</w:t>
      </w:r>
      <w:r w:rsidRPr="008D4276">
        <w:rPr>
          <w:rFonts w:asciiTheme="majorHAnsi" w:hAnsiTheme="majorHAnsi"/>
        </w:rPr>
        <w:t xml:space="preserve"> clearance in RA patients. In GCA patients, no effect of cumulative corticosteroid dose on </w:t>
      </w:r>
      <w:r w:rsidR="005D1EFF" w:rsidRPr="008D4276">
        <w:rPr>
          <w:rFonts w:asciiTheme="majorHAnsi" w:hAnsiTheme="majorHAnsi"/>
        </w:rPr>
        <w:t>tocilizumab</w:t>
      </w:r>
      <w:r w:rsidRPr="008D4276">
        <w:rPr>
          <w:rFonts w:asciiTheme="majorHAnsi" w:hAnsiTheme="majorHAnsi"/>
        </w:rPr>
        <w:t xml:space="preserve"> exposure was observed. Concomitant </w:t>
      </w:r>
      <w:r w:rsidRPr="008D4276">
        <w:rPr>
          <w:rFonts w:asciiTheme="majorHAnsi" w:hAnsiTheme="majorHAnsi"/>
        </w:rPr>
        <w:lastRenderedPageBreak/>
        <w:t xml:space="preserve">administration of a single dose of 10 mg/kg </w:t>
      </w:r>
      <w:r w:rsidR="005D1EFF" w:rsidRPr="008D4276">
        <w:rPr>
          <w:rFonts w:asciiTheme="majorHAnsi" w:hAnsiTheme="majorHAnsi"/>
        </w:rPr>
        <w:t>tocilizumab</w:t>
      </w:r>
      <w:r w:rsidRPr="008D4276">
        <w:rPr>
          <w:rFonts w:asciiTheme="majorHAnsi" w:hAnsiTheme="majorHAnsi"/>
        </w:rPr>
        <w:t xml:space="preserve"> with 10 - 25 mg MTX once weekly had no clinically significant effect on MTX exposure.</w:t>
      </w:r>
    </w:p>
    <w:p w14:paraId="5E7EF597" w14:textId="00287A9C" w:rsidR="005E036E" w:rsidRPr="008D4276" w:rsidRDefault="005D1EFF" w:rsidP="00B36DBA">
      <w:pPr>
        <w:rPr>
          <w:rFonts w:asciiTheme="majorHAnsi" w:hAnsiTheme="majorHAnsi"/>
        </w:rPr>
      </w:pPr>
      <w:r w:rsidRPr="008D4276">
        <w:rPr>
          <w:rFonts w:asciiTheme="majorHAnsi" w:hAnsiTheme="majorHAnsi"/>
        </w:rPr>
        <w:t>Tocilizumab</w:t>
      </w:r>
      <w:r w:rsidR="005E036E" w:rsidRPr="008D4276">
        <w:rPr>
          <w:rFonts w:asciiTheme="majorHAnsi" w:hAnsiTheme="majorHAnsi"/>
        </w:rPr>
        <w:t xml:space="preserve"> has not been studied in combination with other biological DMARDs.</w:t>
      </w:r>
    </w:p>
    <w:p w14:paraId="47A078B2" w14:textId="5C3B97BE" w:rsidR="005E036E" w:rsidRPr="008D4276" w:rsidRDefault="005E036E" w:rsidP="00B36DBA">
      <w:pPr>
        <w:rPr>
          <w:rFonts w:asciiTheme="majorHAnsi" w:hAnsiTheme="majorHAnsi"/>
        </w:rPr>
      </w:pPr>
      <w:r w:rsidRPr="008D4276">
        <w:rPr>
          <w:rFonts w:asciiTheme="majorHAnsi" w:hAnsiTheme="majorHAnsi"/>
        </w:rPr>
        <w:t xml:space="preserve">The expression of hepatic CYP450 enzymes is suppressed by cytokines that stimulate chronic inflammation, such as IL-6. </w:t>
      </w:r>
      <w:r w:rsidR="005F5A43" w:rsidRPr="008D4276">
        <w:rPr>
          <w:rFonts w:asciiTheme="majorHAnsi" w:hAnsiTheme="majorHAnsi"/>
        </w:rPr>
        <w:t>Thus,</w:t>
      </w:r>
      <w:r w:rsidRPr="008D4276">
        <w:rPr>
          <w:rFonts w:asciiTheme="majorHAnsi" w:hAnsiTheme="majorHAnsi"/>
        </w:rPr>
        <w:t xml:space="preserve"> suppression of CYP450 expression may be reversed when potent cytokine inhibitory therapy, such as</w:t>
      </w:r>
      <w:r w:rsidR="005D1EFF" w:rsidRPr="008D4276">
        <w:rPr>
          <w:rFonts w:asciiTheme="majorHAnsi" w:hAnsiTheme="majorHAnsi"/>
        </w:rPr>
        <w:t xml:space="preserve"> tocilizumab</w:t>
      </w:r>
      <w:r w:rsidRPr="008D4276">
        <w:rPr>
          <w:rFonts w:asciiTheme="majorHAnsi" w:hAnsiTheme="majorHAnsi"/>
        </w:rPr>
        <w:t>, is introduced.</w:t>
      </w:r>
    </w:p>
    <w:p w14:paraId="72433282" w14:textId="75392D56" w:rsidR="005E036E" w:rsidRPr="008D4276" w:rsidRDefault="005E036E" w:rsidP="00B36DBA">
      <w:pPr>
        <w:rPr>
          <w:rFonts w:asciiTheme="majorHAnsi" w:hAnsiTheme="majorHAnsi"/>
        </w:rPr>
      </w:pPr>
      <w:r w:rsidRPr="008D4276">
        <w:rPr>
          <w:rFonts w:asciiTheme="majorHAnsi" w:hAnsiTheme="majorHAnsi"/>
        </w:rPr>
        <w:t xml:space="preserve">In vitro studies with cultured human hepatocytes demonstrated that IL-6 caused a reduction in CYP3A4 and to a lesser extent CYP1A2, CYP2C9 and CYP2C19 enzyme messenger RNA (mRNA) expression. </w:t>
      </w:r>
      <w:r w:rsidR="004D6592" w:rsidRPr="008D4276">
        <w:rPr>
          <w:rFonts w:asciiTheme="majorHAnsi" w:hAnsiTheme="majorHAnsi"/>
        </w:rPr>
        <w:t>Tocilizumab</w:t>
      </w:r>
      <w:r w:rsidRPr="008D4276">
        <w:rPr>
          <w:rFonts w:asciiTheme="majorHAnsi" w:hAnsiTheme="majorHAnsi"/>
        </w:rPr>
        <w:t xml:space="preserve"> was shown to normalise expression of the mRNA for these enzymes.</w:t>
      </w:r>
    </w:p>
    <w:p w14:paraId="16F58A02" w14:textId="77777777" w:rsidR="005E036E" w:rsidRPr="008D4276" w:rsidRDefault="005E036E" w:rsidP="00B36DBA">
      <w:pPr>
        <w:rPr>
          <w:rFonts w:asciiTheme="majorHAnsi" w:hAnsiTheme="majorHAnsi"/>
        </w:rPr>
      </w:pPr>
      <w:r w:rsidRPr="008D4276">
        <w:rPr>
          <w:rFonts w:asciiTheme="majorHAnsi" w:hAnsiTheme="majorHAnsi"/>
        </w:rPr>
        <w:t>This is clinically relevant for CYP450 substrates with a narrow therapeutic index, and/or where the dose is individually adjusted.</w:t>
      </w:r>
    </w:p>
    <w:p w14:paraId="64BC2E0A" w14:textId="2D8D29DD" w:rsidR="005E036E" w:rsidRPr="008D4276" w:rsidRDefault="005E036E" w:rsidP="00B36DBA">
      <w:pPr>
        <w:rPr>
          <w:rFonts w:asciiTheme="majorHAnsi" w:hAnsiTheme="majorHAnsi"/>
        </w:rPr>
      </w:pPr>
      <w:r w:rsidRPr="008D4276">
        <w:rPr>
          <w:rFonts w:asciiTheme="majorHAnsi" w:hAnsiTheme="majorHAnsi"/>
        </w:rPr>
        <w:t xml:space="preserve">In a study in RA patients, levels of simvastatin and its acid metabolite (CYP3A4 substrates) were decreased by 57% and 39%, respectively, one week following a single dose of </w:t>
      </w:r>
      <w:r w:rsidR="005D1EFF" w:rsidRPr="008D4276">
        <w:rPr>
          <w:rFonts w:asciiTheme="majorHAnsi" w:hAnsiTheme="majorHAnsi"/>
        </w:rPr>
        <w:t>tocilizumab</w:t>
      </w:r>
      <w:r w:rsidRPr="008D4276">
        <w:rPr>
          <w:rFonts w:asciiTheme="majorHAnsi" w:hAnsiTheme="majorHAnsi"/>
        </w:rPr>
        <w:t>, to a level similar or slightly higher than those observed (in other studies) in healthy subjects.</w:t>
      </w:r>
    </w:p>
    <w:p w14:paraId="369A6D28" w14:textId="7777316E" w:rsidR="005E036E" w:rsidRPr="008D4276" w:rsidRDefault="005E036E" w:rsidP="00B36DBA">
      <w:pPr>
        <w:rPr>
          <w:rFonts w:asciiTheme="majorHAnsi" w:hAnsiTheme="majorHAnsi"/>
        </w:rPr>
      </w:pPr>
      <w:r w:rsidRPr="008D4276">
        <w:rPr>
          <w:rFonts w:asciiTheme="majorHAnsi" w:hAnsiTheme="majorHAnsi"/>
        </w:rPr>
        <w:t xml:space="preserve">When starting or stopping therapy with </w:t>
      </w:r>
      <w:r w:rsidR="005D1EFF" w:rsidRPr="008D4276">
        <w:rPr>
          <w:rFonts w:asciiTheme="majorHAnsi" w:hAnsiTheme="majorHAnsi"/>
        </w:rPr>
        <w:t>tocilizumab</w:t>
      </w:r>
      <w:r w:rsidRPr="008D4276">
        <w:rPr>
          <w:rFonts w:asciiTheme="majorHAnsi" w:hAnsiTheme="majorHAnsi"/>
        </w:rPr>
        <w:t xml:space="preserve">, patients taking medicinal products which are individually adjusted and are metabolised via CYP450 3A4, 1A2, 2C9 or 2C19 (e.g. atorvastatin, calcium channel blockers, theophylline, warfarin, phenytoin, cyclosporin or benzodiazepines) should be monitored as doses may need to be adjusted to maintain therapeutic effect. The degree of dose up-titration upon initiation of therapy or dose down-titration when stopping therapy with </w:t>
      </w:r>
      <w:r w:rsidR="005D1EFF" w:rsidRPr="008D4276">
        <w:rPr>
          <w:rFonts w:asciiTheme="majorHAnsi" w:hAnsiTheme="majorHAnsi"/>
        </w:rPr>
        <w:t>tocilizumab</w:t>
      </w:r>
      <w:r w:rsidRPr="008D4276">
        <w:rPr>
          <w:rFonts w:asciiTheme="majorHAnsi" w:hAnsiTheme="majorHAnsi"/>
        </w:rPr>
        <w:t xml:space="preserve"> should be based on the therapeutic response and/or adverse effects of the patient to the individual medicine. Given a relatively long elimination half-life (t</w:t>
      </w:r>
      <w:r w:rsidRPr="008D4276">
        <w:rPr>
          <w:rFonts w:asciiTheme="majorHAnsi" w:hAnsiTheme="majorHAnsi"/>
          <w:vertAlign w:val="subscript"/>
        </w:rPr>
        <w:t>1/2</w:t>
      </w:r>
      <w:r w:rsidRPr="008D4276">
        <w:rPr>
          <w:rFonts w:asciiTheme="majorHAnsi" w:hAnsiTheme="majorHAnsi"/>
        </w:rPr>
        <w:t xml:space="preserve">), the effect of </w:t>
      </w:r>
      <w:r w:rsidR="005D1EFF" w:rsidRPr="008D4276">
        <w:rPr>
          <w:rFonts w:asciiTheme="majorHAnsi" w:hAnsiTheme="majorHAnsi"/>
        </w:rPr>
        <w:t>tocilizumab</w:t>
      </w:r>
      <w:r w:rsidRPr="008D4276">
        <w:rPr>
          <w:rFonts w:asciiTheme="majorHAnsi" w:hAnsiTheme="majorHAnsi"/>
        </w:rPr>
        <w:t xml:space="preserve"> on CYP450 enzyme activity may persist for several weeks after stopping therapy.</w:t>
      </w:r>
    </w:p>
    <w:p w14:paraId="51339E6B" w14:textId="77777777" w:rsidR="001A3992" w:rsidRPr="008D4276" w:rsidRDefault="001A3992" w:rsidP="001A3992">
      <w:pPr>
        <w:pStyle w:val="Heading2"/>
        <w:spacing w:before="0"/>
        <w:rPr>
          <w:rFonts w:cs="Calibri"/>
        </w:rPr>
      </w:pPr>
      <w:r w:rsidRPr="008D4276">
        <w:rPr>
          <w:rFonts w:cs="Calibri"/>
        </w:rPr>
        <w:t xml:space="preserve">Fertility, pregnancy and lactation </w:t>
      </w:r>
    </w:p>
    <w:p w14:paraId="44515FCA" w14:textId="77777777" w:rsidR="001A3992" w:rsidRPr="008D4276" w:rsidRDefault="001A3992" w:rsidP="001A3992">
      <w:pPr>
        <w:pStyle w:val="Heading3"/>
        <w:spacing w:before="0" w:after="120"/>
        <w:rPr>
          <w:rFonts w:cs="Calibri"/>
        </w:rPr>
      </w:pPr>
      <w:r w:rsidRPr="008D4276">
        <w:rPr>
          <w:rFonts w:cs="Calibri"/>
        </w:rPr>
        <w:t>Effects on fertility</w:t>
      </w:r>
    </w:p>
    <w:p w14:paraId="46F57173" w14:textId="32B03276" w:rsidR="005E036E" w:rsidRPr="008D4276" w:rsidRDefault="005E036E" w:rsidP="00B36DBA">
      <w:pPr>
        <w:rPr>
          <w:rFonts w:asciiTheme="majorHAnsi" w:hAnsiTheme="majorHAnsi"/>
        </w:rPr>
      </w:pPr>
      <w:r w:rsidRPr="008D4276">
        <w:rPr>
          <w:rFonts w:asciiTheme="majorHAnsi" w:hAnsiTheme="majorHAnsi"/>
        </w:rPr>
        <w:t xml:space="preserve">Preclinical data do not suggest an effect on fertility under treatment with a murine analogue of </w:t>
      </w:r>
      <w:r w:rsidR="005D1EFF" w:rsidRPr="008D4276">
        <w:rPr>
          <w:rFonts w:asciiTheme="majorHAnsi" w:hAnsiTheme="majorHAnsi"/>
        </w:rPr>
        <w:t>tocilizumab</w:t>
      </w:r>
      <w:r w:rsidRPr="008D4276">
        <w:rPr>
          <w:rFonts w:asciiTheme="majorHAnsi" w:hAnsiTheme="majorHAnsi"/>
        </w:rPr>
        <w:t>. Effects on endocrine active organs or on organs of the reproductive system were not seen in a chronic cynomolgus monkey toxicity study, nor was reproductive performance affected in IL-6 deficient male and female mice.</w:t>
      </w:r>
    </w:p>
    <w:p w14:paraId="00D497F6" w14:textId="27EFCF0A" w:rsidR="001A3992" w:rsidRPr="008D4276" w:rsidRDefault="001A3992" w:rsidP="001A3992">
      <w:pPr>
        <w:pStyle w:val="Heading3"/>
        <w:spacing w:before="0" w:after="120"/>
        <w:rPr>
          <w:rFonts w:cs="Calibri"/>
        </w:rPr>
      </w:pPr>
      <w:r w:rsidRPr="008D4276">
        <w:rPr>
          <w:rFonts w:cs="Calibri"/>
        </w:rPr>
        <w:t xml:space="preserve">Use in pregnancy </w:t>
      </w:r>
      <w:r w:rsidR="00497C85" w:rsidRPr="008D4276">
        <w:rPr>
          <w:rFonts w:cs="Calibri"/>
        </w:rPr>
        <w:t>– Pregnancy Category C</w:t>
      </w:r>
    </w:p>
    <w:p w14:paraId="67E1874D" w14:textId="6B128BFB" w:rsidR="005E036E" w:rsidRPr="008D4276" w:rsidRDefault="004D6592" w:rsidP="00B36DBA">
      <w:pPr>
        <w:rPr>
          <w:rFonts w:asciiTheme="majorHAnsi" w:hAnsiTheme="majorHAnsi"/>
        </w:rPr>
      </w:pPr>
      <w:r w:rsidRPr="008D4276">
        <w:rPr>
          <w:rFonts w:asciiTheme="majorHAnsi" w:hAnsiTheme="majorHAnsi"/>
        </w:rPr>
        <w:t>Tocilizumab</w:t>
      </w:r>
      <w:r w:rsidR="005E036E" w:rsidRPr="008D4276">
        <w:rPr>
          <w:rFonts w:asciiTheme="majorHAnsi" w:hAnsiTheme="majorHAnsi"/>
        </w:rPr>
        <w:t xml:space="preserve"> should not be used during pregnancy unless clearly necessary. There are no adequate data from the use of </w:t>
      </w:r>
      <w:r w:rsidR="005D1EFF" w:rsidRPr="008D4276">
        <w:rPr>
          <w:rFonts w:asciiTheme="majorHAnsi" w:hAnsiTheme="majorHAnsi"/>
        </w:rPr>
        <w:t>tocilizumab</w:t>
      </w:r>
      <w:r w:rsidR="005E036E" w:rsidRPr="008D4276">
        <w:rPr>
          <w:rFonts w:asciiTheme="majorHAnsi" w:hAnsiTheme="majorHAnsi"/>
        </w:rPr>
        <w:t xml:space="preserve"> in pregnant women. The potential risk for humans is unknown. Women of childbearing potential should be advised to use adequate contraception during and for several months after therapy with </w:t>
      </w:r>
      <w:r w:rsidR="005D1EFF" w:rsidRPr="008D4276">
        <w:rPr>
          <w:rFonts w:asciiTheme="majorHAnsi" w:hAnsiTheme="majorHAnsi"/>
        </w:rPr>
        <w:t>tocilizumab</w:t>
      </w:r>
      <w:r w:rsidR="005E036E" w:rsidRPr="008D4276">
        <w:rPr>
          <w:rFonts w:asciiTheme="majorHAnsi" w:hAnsiTheme="majorHAnsi"/>
        </w:rPr>
        <w:t>.</w:t>
      </w:r>
    </w:p>
    <w:p w14:paraId="1120E4BB" w14:textId="27BEDE8C" w:rsidR="005E036E" w:rsidRPr="008D4276" w:rsidRDefault="005E036E" w:rsidP="00B36DBA">
      <w:pPr>
        <w:rPr>
          <w:rFonts w:asciiTheme="majorHAnsi" w:hAnsiTheme="majorHAnsi"/>
        </w:rPr>
      </w:pPr>
      <w:r w:rsidRPr="008D4276">
        <w:rPr>
          <w:rFonts w:asciiTheme="majorHAnsi" w:hAnsiTheme="majorHAnsi"/>
        </w:rPr>
        <w:t>In an embryo-foetal toxicity study conducted in cynomolgus monkeys, a slight increase of abortion/embryo-foetal death was observed with high systemic cumulative exposure in the 10</w:t>
      </w:r>
      <w:r w:rsidR="004D6592" w:rsidRPr="008D4276">
        <w:rPr>
          <w:rFonts w:asciiTheme="majorHAnsi" w:hAnsiTheme="majorHAnsi"/>
        </w:rPr>
        <w:t> </w:t>
      </w:r>
      <w:r w:rsidRPr="008D4276">
        <w:rPr>
          <w:rFonts w:asciiTheme="majorHAnsi" w:hAnsiTheme="majorHAnsi"/>
        </w:rPr>
        <w:t xml:space="preserve">mg/kg/day mid-dose group (&gt; 35 times human exposure) and in the 50 mg/kg/day high-dose group (&gt; 100 times human exposure) compared to vehicle control and low-dose groups. It cannot be excluded that this finding is related to </w:t>
      </w:r>
      <w:r w:rsidR="005D1EFF" w:rsidRPr="008D4276">
        <w:rPr>
          <w:rFonts w:asciiTheme="majorHAnsi" w:hAnsiTheme="majorHAnsi"/>
        </w:rPr>
        <w:t>tocilizumab</w:t>
      </w:r>
      <w:r w:rsidRPr="008D4276">
        <w:rPr>
          <w:rFonts w:asciiTheme="majorHAnsi" w:hAnsiTheme="majorHAnsi"/>
        </w:rPr>
        <w:t xml:space="preserve"> treatment. Placental transfer of </w:t>
      </w:r>
      <w:r w:rsidRPr="008D4276">
        <w:rPr>
          <w:rFonts w:asciiTheme="majorHAnsi" w:hAnsiTheme="majorHAnsi"/>
        </w:rPr>
        <w:lastRenderedPageBreak/>
        <w:t xml:space="preserve">both </w:t>
      </w:r>
      <w:r w:rsidR="005D1EFF" w:rsidRPr="008D4276">
        <w:rPr>
          <w:rFonts w:asciiTheme="majorHAnsi" w:hAnsiTheme="majorHAnsi"/>
        </w:rPr>
        <w:t>tocilizumab</w:t>
      </w:r>
      <w:r w:rsidRPr="008D4276">
        <w:rPr>
          <w:rFonts w:asciiTheme="majorHAnsi" w:hAnsiTheme="majorHAnsi"/>
        </w:rPr>
        <w:t xml:space="preserve"> and anti-</w:t>
      </w:r>
      <w:r w:rsidR="005D1EFF" w:rsidRPr="008D4276">
        <w:rPr>
          <w:rFonts w:asciiTheme="majorHAnsi" w:hAnsiTheme="majorHAnsi"/>
        </w:rPr>
        <w:t>tocilizumab</w:t>
      </w:r>
      <w:r w:rsidRPr="008D4276">
        <w:rPr>
          <w:rFonts w:asciiTheme="majorHAnsi" w:hAnsiTheme="majorHAnsi"/>
        </w:rPr>
        <w:t xml:space="preserve"> antibodies to the foetus was seen in cynomolgus monkeys.</w:t>
      </w:r>
    </w:p>
    <w:p w14:paraId="76D66818" w14:textId="77777777" w:rsidR="001A3992" w:rsidRPr="008D4276" w:rsidRDefault="001A3992" w:rsidP="001A3992">
      <w:pPr>
        <w:pStyle w:val="Heading3"/>
        <w:spacing w:before="0" w:after="120"/>
        <w:rPr>
          <w:rFonts w:cs="Calibri"/>
        </w:rPr>
      </w:pPr>
      <w:r w:rsidRPr="008D4276">
        <w:rPr>
          <w:rFonts w:cs="Calibri"/>
        </w:rPr>
        <w:t xml:space="preserve">Use in lactation. </w:t>
      </w:r>
    </w:p>
    <w:p w14:paraId="08E47448" w14:textId="6356CDEA" w:rsidR="005E036E" w:rsidRPr="008D4276" w:rsidRDefault="005E036E" w:rsidP="005E036E">
      <w:pPr>
        <w:rPr>
          <w:rFonts w:asciiTheme="majorHAnsi" w:hAnsiTheme="majorHAnsi" w:cstheme="minorHAnsi"/>
        </w:rPr>
      </w:pPr>
      <w:r w:rsidRPr="008D4276">
        <w:rPr>
          <w:rFonts w:asciiTheme="majorHAnsi" w:hAnsiTheme="majorHAnsi" w:cstheme="minorHAnsi"/>
        </w:rPr>
        <w:t xml:space="preserve">It is unknown whether </w:t>
      </w:r>
      <w:r w:rsidR="005D1EFF" w:rsidRPr="008D4276">
        <w:rPr>
          <w:rFonts w:asciiTheme="majorHAnsi" w:hAnsiTheme="majorHAnsi" w:cstheme="minorHAnsi"/>
        </w:rPr>
        <w:t>tocilizumab</w:t>
      </w:r>
      <w:r w:rsidRPr="008D4276">
        <w:rPr>
          <w:rFonts w:asciiTheme="majorHAnsi" w:hAnsiTheme="majorHAnsi" w:cstheme="minorHAnsi"/>
        </w:rPr>
        <w:t xml:space="preserve"> is excreted in human breast milk and its efficacy and safety in lactating women has not been established. However, it is known that endogenous immunoglobulins of the IgG isotype are excreted into human milk. A decision on whether to continue/discontinue breast-feeding or to continue/discontinue therapy with </w:t>
      </w:r>
      <w:r w:rsidR="005D1EFF" w:rsidRPr="008D4276">
        <w:rPr>
          <w:rFonts w:asciiTheme="majorHAnsi" w:hAnsiTheme="majorHAnsi" w:cstheme="minorHAnsi"/>
        </w:rPr>
        <w:t>tocilizumab</w:t>
      </w:r>
      <w:r w:rsidRPr="008D4276">
        <w:rPr>
          <w:rFonts w:asciiTheme="majorHAnsi" w:hAnsiTheme="majorHAnsi" w:cstheme="minorHAnsi"/>
        </w:rPr>
        <w:t xml:space="preserve"> should be made taking into account the benefit of breast-feeding to the child and the benefit of </w:t>
      </w:r>
      <w:r w:rsidR="005D1EFF" w:rsidRPr="008D4276">
        <w:rPr>
          <w:rFonts w:asciiTheme="majorHAnsi" w:hAnsiTheme="majorHAnsi" w:cstheme="minorHAnsi"/>
        </w:rPr>
        <w:t>tocilizumab</w:t>
      </w:r>
      <w:r w:rsidRPr="008D4276">
        <w:rPr>
          <w:rFonts w:asciiTheme="majorHAnsi" w:hAnsiTheme="majorHAnsi" w:cstheme="minorHAnsi"/>
        </w:rPr>
        <w:t xml:space="preserve"> therapy to the woman.</w:t>
      </w:r>
    </w:p>
    <w:p w14:paraId="4D10DDCB" w14:textId="1426729C" w:rsidR="005E036E" w:rsidRPr="008D4276" w:rsidRDefault="005E036E" w:rsidP="005E036E">
      <w:pPr>
        <w:rPr>
          <w:rFonts w:asciiTheme="majorHAnsi" w:hAnsiTheme="majorHAnsi" w:cstheme="minorHAnsi"/>
        </w:rPr>
      </w:pPr>
      <w:r w:rsidRPr="008D4276">
        <w:rPr>
          <w:rFonts w:asciiTheme="majorHAnsi" w:hAnsiTheme="majorHAnsi" w:cstheme="minorHAnsi"/>
        </w:rPr>
        <w:t xml:space="preserve">Transfer of a murine analogue of </w:t>
      </w:r>
      <w:r w:rsidR="005D1EFF" w:rsidRPr="008D4276">
        <w:rPr>
          <w:rFonts w:asciiTheme="majorHAnsi" w:hAnsiTheme="majorHAnsi" w:cstheme="minorHAnsi"/>
        </w:rPr>
        <w:t>tocilizumab</w:t>
      </w:r>
      <w:r w:rsidRPr="008D4276">
        <w:rPr>
          <w:rFonts w:asciiTheme="majorHAnsi" w:hAnsiTheme="majorHAnsi" w:cstheme="minorHAnsi"/>
        </w:rPr>
        <w:t xml:space="preserve"> into the milk of lactating mice has been observed.</w:t>
      </w:r>
    </w:p>
    <w:p w14:paraId="1A64559C" w14:textId="77777777" w:rsidR="001A3992" w:rsidRPr="008D4276" w:rsidRDefault="001A3992" w:rsidP="001A3992">
      <w:pPr>
        <w:pStyle w:val="Heading2"/>
        <w:spacing w:before="0"/>
        <w:rPr>
          <w:rFonts w:cs="Calibri"/>
        </w:rPr>
      </w:pPr>
      <w:r w:rsidRPr="008D4276">
        <w:rPr>
          <w:rFonts w:cs="Calibri"/>
        </w:rPr>
        <w:t xml:space="preserve">Effects on ability to drive and use machines </w:t>
      </w:r>
    </w:p>
    <w:p w14:paraId="16350E7A" w14:textId="22079407" w:rsidR="00497C85" w:rsidRPr="008D4276" w:rsidRDefault="005E036E" w:rsidP="00B36DBA">
      <w:pPr>
        <w:rPr>
          <w:rFonts w:asciiTheme="majorHAnsi" w:hAnsiTheme="majorHAnsi"/>
        </w:rPr>
      </w:pPr>
      <w:r w:rsidRPr="008D4276">
        <w:rPr>
          <w:rFonts w:asciiTheme="majorHAnsi" w:hAnsiTheme="majorHAnsi"/>
        </w:rPr>
        <w:t xml:space="preserve">No studies on the effects on the ability to drive and use machines have been performed and there is no evidence from the available data that </w:t>
      </w:r>
      <w:r w:rsidR="005D1EFF" w:rsidRPr="008D4276">
        <w:rPr>
          <w:rFonts w:asciiTheme="majorHAnsi" w:hAnsiTheme="majorHAnsi"/>
        </w:rPr>
        <w:t>tocilizumab</w:t>
      </w:r>
      <w:r w:rsidRPr="008D4276">
        <w:rPr>
          <w:rFonts w:asciiTheme="majorHAnsi" w:hAnsiTheme="majorHAnsi"/>
        </w:rPr>
        <w:t xml:space="preserve"> treatment affects the ability to drive and use machines. However, given that dizziness has been reported, patients who experience this adverse reaction should be advised not to drive or use machines until it has resolved. </w:t>
      </w:r>
    </w:p>
    <w:p w14:paraId="0C7918C5" w14:textId="77777777" w:rsidR="001A3992" w:rsidRPr="008D4276" w:rsidRDefault="001A3992" w:rsidP="001A3992">
      <w:pPr>
        <w:pStyle w:val="Heading2"/>
        <w:keepNext/>
        <w:keepLines/>
        <w:spacing w:before="0"/>
        <w:rPr>
          <w:rFonts w:cs="Calibri"/>
        </w:rPr>
      </w:pPr>
      <w:r w:rsidRPr="008D4276">
        <w:rPr>
          <w:rFonts w:cs="Calibri"/>
        </w:rPr>
        <w:t>Adverse effects (Undesirable effects)</w:t>
      </w:r>
    </w:p>
    <w:p w14:paraId="499BA467" w14:textId="7EEF62A4" w:rsidR="005E036E" w:rsidRPr="008D4276" w:rsidRDefault="005E036E" w:rsidP="002B424E">
      <w:pPr>
        <w:pStyle w:val="Heading3"/>
        <w:rPr>
          <w:rFonts w:cs="Calibri"/>
        </w:rPr>
      </w:pPr>
      <w:r w:rsidRPr="008D4276">
        <w:rPr>
          <w:rFonts w:cs="Calibri"/>
        </w:rPr>
        <w:t>Rheumatoid Arthritis</w:t>
      </w:r>
    </w:p>
    <w:p w14:paraId="4E94EAF6" w14:textId="17C6A3B7" w:rsidR="005E036E" w:rsidRPr="008D4276" w:rsidRDefault="005E036E" w:rsidP="004D6592">
      <w:pPr>
        <w:pStyle w:val="Heading4"/>
        <w:rPr>
          <w:rFonts w:asciiTheme="majorHAnsi" w:hAnsiTheme="majorHAnsi"/>
        </w:rPr>
      </w:pPr>
      <w:r w:rsidRPr="008D4276">
        <w:rPr>
          <w:rFonts w:asciiTheme="majorHAnsi" w:hAnsiTheme="majorHAnsi"/>
        </w:rPr>
        <w:t xml:space="preserve">Patients Treated with Intravenous </w:t>
      </w:r>
      <w:r w:rsidR="005D1EFF" w:rsidRPr="008D4276">
        <w:rPr>
          <w:rFonts w:asciiTheme="majorHAnsi" w:hAnsiTheme="majorHAnsi"/>
        </w:rPr>
        <w:t>Tocilizumab</w:t>
      </w:r>
    </w:p>
    <w:p w14:paraId="4206BBE7" w14:textId="3A836EC9" w:rsidR="005E036E" w:rsidRPr="008D4276" w:rsidRDefault="005E036E" w:rsidP="005E036E">
      <w:pPr>
        <w:rPr>
          <w:rFonts w:asciiTheme="majorHAnsi" w:hAnsiTheme="majorHAnsi" w:cstheme="minorHAnsi"/>
        </w:rPr>
      </w:pPr>
      <w:r w:rsidRPr="008D4276">
        <w:rPr>
          <w:rFonts w:asciiTheme="majorHAnsi" w:hAnsiTheme="majorHAnsi" w:cstheme="minorHAnsi"/>
        </w:rPr>
        <w:t xml:space="preserve">The safety of </w:t>
      </w:r>
      <w:r w:rsidR="005D1EFF" w:rsidRPr="008D4276">
        <w:rPr>
          <w:rFonts w:asciiTheme="majorHAnsi" w:hAnsiTheme="majorHAnsi" w:cstheme="minorHAnsi"/>
        </w:rPr>
        <w:t>tocilizumab</w:t>
      </w:r>
      <w:r w:rsidRPr="008D4276">
        <w:rPr>
          <w:rFonts w:asciiTheme="majorHAnsi" w:hAnsiTheme="majorHAnsi" w:cstheme="minorHAnsi"/>
        </w:rPr>
        <w:t xml:space="preserve"> has been studied in 5 phase III, double-blind controlled trials and their extension periods.</w:t>
      </w:r>
    </w:p>
    <w:p w14:paraId="17637346" w14:textId="4A76670F" w:rsidR="005E036E" w:rsidRPr="008D4276" w:rsidRDefault="005E036E" w:rsidP="005E036E">
      <w:pPr>
        <w:rPr>
          <w:rFonts w:asciiTheme="majorHAnsi" w:hAnsiTheme="majorHAnsi" w:cstheme="minorHAnsi"/>
        </w:rPr>
      </w:pPr>
      <w:r w:rsidRPr="008D4276">
        <w:rPr>
          <w:rFonts w:asciiTheme="majorHAnsi" w:hAnsiTheme="majorHAnsi" w:cstheme="minorHAnsi"/>
        </w:rPr>
        <w:t xml:space="preserve">The all control population includes all patients who received at least one dose of </w:t>
      </w:r>
      <w:r w:rsidR="005D1EFF" w:rsidRPr="008D4276">
        <w:rPr>
          <w:rFonts w:asciiTheme="majorHAnsi" w:hAnsiTheme="majorHAnsi" w:cstheme="minorHAnsi"/>
        </w:rPr>
        <w:t>tocilizumab</w:t>
      </w:r>
      <w:r w:rsidRPr="008D4276">
        <w:rPr>
          <w:rFonts w:asciiTheme="majorHAnsi" w:hAnsiTheme="majorHAnsi" w:cstheme="minorHAnsi"/>
        </w:rPr>
        <w:t xml:space="preserve"> in the double-blind controlled period of the 5 studies. The control period in 4 of the studies was 6</w:t>
      </w:r>
      <w:r w:rsidR="004D6592" w:rsidRPr="008D4276">
        <w:rPr>
          <w:rFonts w:asciiTheme="majorHAnsi" w:hAnsiTheme="majorHAnsi" w:cstheme="minorHAnsi"/>
        </w:rPr>
        <w:t> </w:t>
      </w:r>
      <w:r w:rsidRPr="008D4276">
        <w:rPr>
          <w:rFonts w:asciiTheme="majorHAnsi" w:hAnsiTheme="majorHAnsi" w:cstheme="minorHAnsi"/>
        </w:rPr>
        <w:t xml:space="preserve">months and in 1 study was up to 2 years. In the double-blind controlled studies 774 patients received </w:t>
      </w:r>
      <w:r w:rsidR="005D1EFF" w:rsidRPr="008D4276">
        <w:rPr>
          <w:rFonts w:asciiTheme="majorHAnsi" w:hAnsiTheme="majorHAnsi" w:cstheme="minorHAnsi"/>
        </w:rPr>
        <w:t>tocilizumab</w:t>
      </w:r>
      <w:r w:rsidRPr="008D4276">
        <w:rPr>
          <w:rFonts w:asciiTheme="majorHAnsi" w:hAnsiTheme="majorHAnsi" w:cstheme="minorHAnsi"/>
        </w:rPr>
        <w:t xml:space="preserve"> 4 mg/kg in combination with MTX, 1870 patients received </w:t>
      </w:r>
      <w:r w:rsidR="005D1EFF" w:rsidRPr="008D4276">
        <w:rPr>
          <w:rFonts w:asciiTheme="majorHAnsi" w:hAnsiTheme="majorHAnsi" w:cstheme="minorHAnsi"/>
        </w:rPr>
        <w:t>tocilizumab</w:t>
      </w:r>
      <w:r w:rsidRPr="008D4276">
        <w:rPr>
          <w:rFonts w:asciiTheme="majorHAnsi" w:hAnsiTheme="majorHAnsi" w:cstheme="minorHAnsi"/>
        </w:rPr>
        <w:t xml:space="preserve"> 8</w:t>
      </w:r>
      <w:r w:rsidR="004D6592" w:rsidRPr="008D4276">
        <w:rPr>
          <w:rFonts w:asciiTheme="majorHAnsi" w:hAnsiTheme="majorHAnsi" w:cstheme="minorHAnsi"/>
        </w:rPr>
        <w:t> </w:t>
      </w:r>
      <w:r w:rsidRPr="008D4276">
        <w:rPr>
          <w:rFonts w:asciiTheme="majorHAnsi" w:hAnsiTheme="majorHAnsi" w:cstheme="minorHAnsi"/>
        </w:rPr>
        <w:t xml:space="preserve">mg/kg in combination with MTX/other DMARDs and 288 patients received </w:t>
      </w:r>
      <w:r w:rsidR="005D1EFF" w:rsidRPr="008D4276">
        <w:rPr>
          <w:rFonts w:asciiTheme="majorHAnsi" w:hAnsiTheme="majorHAnsi" w:cstheme="minorHAnsi"/>
        </w:rPr>
        <w:t xml:space="preserve">tocilizumab </w:t>
      </w:r>
      <w:r w:rsidRPr="008D4276">
        <w:rPr>
          <w:rFonts w:asciiTheme="majorHAnsi" w:hAnsiTheme="majorHAnsi" w:cstheme="minorHAnsi"/>
        </w:rPr>
        <w:t>8 mg/kg monotherapy.</w:t>
      </w:r>
    </w:p>
    <w:p w14:paraId="5D49FC8D" w14:textId="2384B80D" w:rsidR="005E036E" w:rsidRPr="008D4276" w:rsidRDefault="005E036E" w:rsidP="005E036E">
      <w:pPr>
        <w:rPr>
          <w:rFonts w:asciiTheme="majorHAnsi" w:hAnsiTheme="majorHAnsi" w:cstheme="minorHAnsi"/>
        </w:rPr>
      </w:pPr>
      <w:r w:rsidRPr="008D4276">
        <w:rPr>
          <w:rFonts w:asciiTheme="majorHAnsi" w:hAnsiTheme="majorHAnsi" w:cstheme="minorHAnsi"/>
        </w:rPr>
        <w:t xml:space="preserve">The all exposure population includes all patients who received at least one dose of </w:t>
      </w:r>
      <w:r w:rsidR="005D1EFF" w:rsidRPr="008D4276">
        <w:rPr>
          <w:rFonts w:asciiTheme="majorHAnsi" w:hAnsiTheme="majorHAnsi" w:cstheme="minorHAnsi"/>
        </w:rPr>
        <w:t>tocilizumab</w:t>
      </w:r>
      <w:r w:rsidRPr="008D4276">
        <w:rPr>
          <w:rFonts w:asciiTheme="majorHAnsi" w:hAnsiTheme="majorHAnsi" w:cstheme="minorHAnsi"/>
        </w:rPr>
        <w:t xml:space="preserve"> either in the double-blind control period or open label extension phase in studies. Of the 4009 patients in this population, 3577 received treatment for at least 6 months, 3296 for at least one year; 2806 received treatment for at least 2 years and 1222 for 3 years. The mean duration of exposure to </w:t>
      </w:r>
      <w:r w:rsidR="005D1EFF" w:rsidRPr="008D4276">
        <w:rPr>
          <w:rFonts w:asciiTheme="majorHAnsi" w:hAnsiTheme="majorHAnsi" w:cstheme="minorHAnsi"/>
        </w:rPr>
        <w:t>tocilizumab</w:t>
      </w:r>
      <w:r w:rsidRPr="008D4276">
        <w:rPr>
          <w:rFonts w:asciiTheme="majorHAnsi" w:hAnsiTheme="majorHAnsi" w:cstheme="minorHAnsi"/>
        </w:rPr>
        <w:t xml:space="preserve"> in the  exposure population was 2.14 years.</w:t>
      </w:r>
    </w:p>
    <w:p w14:paraId="100516FE" w14:textId="3595A038" w:rsidR="005E036E" w:rsidRPr="008D4276" w:rsidRDefault="005E036E" w:rsidP="005E036E">
      <w:pPr>
        <w:rPr>
          <w:rFonts w:asciiTheme="majorHAnsi" w:hAnsiTheme="majorHAnsi" w:cstheme="minorHAnsi"/>
        </w:rPr>
      </w:pPr>
      <w:r w:rsidRPr="008D4276">
        <w:rPr>
          <w:rFonts w:asciiTheme="majorHAnsi" w:hAnsiTheme="majorHAnsi" w:cstheme="minorHAnsi"/>
        </w:rPr>
        <w:t xml:space="preserve">The most commonly reported AEs in controlled studies up to 2 years (occurring in </w:t>
      </w:r>
      <w:r w:rsidRPr="008D4276">
        <w:rPr>
          <w:rFonts w:asciiTheme="majorHAnsi" w:hAnsiTheme="majorHAnsi" w:cstheme="minorHAnsi" w:hint="eastAsia"/>
        </w:rPr>
        <w:t>≥</w:t>
      </w:r>
      <w:r w:rsidRPr="008D4276">
        <w:rPr>
          <w:rFonts w:asciiTheme="majorHAnsi" w:hAnsiTheme="majorHAnsi" w:cstheme="minorHAnsi"/>
        </w:rPr>
        <w:t xml:space="preserve"> 5% of patients treated with </w:t>
      </w:r>
      <w:r w:rsidR="005D1EFF" w:rsidRPr="008D4276">
        <w:rPr>
          <w:rFonts w:asciiTheme="majorHAnsi" w:hAnsiTheme="majorHAnsi" w:cstheme="minorHAnsi"/>
        </w:rPr>
        <w:t>tocilizumab</w:t>
      </w:r>
      <w:r w:rsidRPr="008D4276">
        <w:rPr>
          <w:rFonts w:asciiTheme="majorHAnsi" w:hAnsiTheme="majorHAnsi" w:cstheme="minorHAnsi"/>
        </w:rPr>
        <w:t xml:space="preserve"> monotherapy or in combination with DMARDs) were upper respiratory tract infections, nasopharyngitis, headache, hypertension, increased ALT and bronchitis. In study II the rate of AEs (including deaths, serious A</w:t>
      </w:r>
      <w:r w:rsidR="005D1EFF" w:rsidRPr="008D4276">
        <w:rPr>
          <w:rFonts w:asciiTheme="majorHAnsi" w:hAnsiTheme="majorHAnsi" w:cstheme="minorHAnsi"/>
        </w:rPr>
        <w:t>e</w:t>
      </w:r>
      <w:r w:rsidRPr="008D4276">
        <w:rPr>
          <w:rFonts w:asciiTheme="majorHAnsi" w:hAnsiTheme="majorHAnsi" w:cstheme="minorHAnsi"/>
        </w:rPr>
        <w:t>s and A</w:t>
      </w:r>
      <w:r w:rsidR="005D1EFF" w:rsidRPr="008D4276">
        <w:rPr>
          <w:rFonts w:asciiTheme="majorHAnsi" w:hAnsiTheme="majorHAnsi" w:cstheme="minorHAnsi"/>
        </w:rPr>
        <w:t>e</w:t>
      </w:r>
      <w:r w:rsidRPr="008D4276">
        <w:rPr>
          <w:rFonts w:asciiTheme="majorHAnsi" w:hAnsiTheme="majorHAnsi" w:cstheme="minorHAnsi"/>
        </w:rPr>
        <w:t>s leading to treatment withdrawal or dose modification) after 2 years, calculated as a function of exposure (i.e. events per 100 patient years), had not increased in comparison with the AE profile observed after 1 year of study II.</w:t>
      </w:r>
    </w:p>
    <w:p w14:paraId="0DF315A3" w14:textId="108B7297" w:rsidR="005E036E" w:rsidRPr="008D4276" w:rsidRDefault="001B7B8C" w:rsidP="001B7B8C">
      <w:pPr>
        <w:pStyle w:val="Caption"/>
        <w:rPr>
          <w:rFonts w:asciiTheme="majorHAnsi" w:hAnsiTheme="majorHAnsi" w:cs="Calibri"/>
        </w:rPr>
      </w:pPr>
      <w:bookmarkStart w:id="23" w:name="_Ref159341533"/>
      <w:r w:rsidRPr="008D4276">
        <w:rPr>
          <w:rFonts w:asciiTheme="majorHAnsi" w:hAnsiTheme="majorHAnsi" w:cs="Calibri"/>
        </w:rPr>
        <w:lastRenderedPageBreak/>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w:t>
      </w:r>
      <w:r w:rsidR="0006243F" w:rsidRPr="008D4276">
        <w:rPr>
          <w:rFonts w:asciiTheme="majorHAnsi" w:hAnsiTheme="majorHAnsi" w:cs="Calibri"/>
        </w:rPr>
        <w:fldChar w:fldCharType="end"/>
      </w:r>
      <w:bookmarkEnd w:id="23"/>
      <w:r w:rsidRPr="008D4276">
        <w:rPr>
          <w:rFonts w:asciiTheme="majorHAnsi" w:hAnsiTheme="majorHAnsi" w:cs="Calibri"/>
        </w:rPr>
        <w:t xml:space="preserve"> Adverse Events occurring in at least 2% or more of patients on 8 mg/kg </w:t>
      </w:r>
      <w:r w:rsidR="005D1EFF" w:rsidRPr="008D4276">
        <w:rPr>
          <w:rFonts w:asciiTheme="majorHAnsi" w:hAnsiTheme="majorHAnsi" w:cs="Calibri"/>
        </w:rPr>
        <w:t>tocilizumab</w:t>
      </w:r>
      <w:r w:rsidRPr="008D4276">
        <w:rPr>
          <w:rFonts w:asciiTheme="majorHAnsi" w:hAnsiTheme="majorHAnsi" w:cs="Calibri"/>
        </w:rPr>
        <w:t xml:space="preserve"> + DMARD and at least 1% greater than that observed in patients on placebo + DMARD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94"/>
        <w:gridCol w:w="1508"/>
        <w:gridCol w:w="1182"/>
        <w:gridCol w:w="1227"/>
        <w:gridCol w:w="1506"/>
        <w:gridCol w:w="1503"/>
      </w:tblGrid>
      <w:tr w:rsidR="001B7B8C" w:rsidRPr="001922B7" w14:paraId="55F6A0CB" w14:textId="77777777" w:rsidTr="006B2156">
        <w:trPr>
          <w:trHeight w:val="280"/>
          <w:tblHeader/>
        </w:trPr>
        <w:tc>
          <w:tcPr>
            <w:tcW w:w="5000" w:type="pct"/>
            <w:gridSpan w:val="6"/>
            <w:vAlign w:val="center"/>
          </w:tcPr>
          <w:p w14:paraId="008A554A" w14:textId="77777777"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All Control Study Population</w:t>
            </w:r>
          </w:p>
        </w:tc>
      </w:tr>
      <w:tr w:rsidR="001B7B8C" w:rsidRPr="001922B7" w14:paraId="2176BCE3" w14:textId="77777777" w:rsidTr="006B2156">
        <w:trPr>
          <w:trHeight w:val="935"/>
          <w:tblHeader/>
        </w:trPr>
        <w:tc>
          <w:tcPr>
            <w:tcW w:w="1161" w:type="pct"/>
          </w:tcPr>
          <w:p w14:paraId="71836C54" w14:textId="77777777" w:rsidR="001B7B8C" w:rsidRPr="008D4276" w:rsidRDefault="001B7B8C" w:rsidP="001B7B8C">
            <w:pPr>
              <w:pStyle w:val="NoSpacing"/>
              <w:rPr>
                <w:rFonts w:asciiTheme="majorHAnsi" w:hAnsiTheme="majorHAnsi" w:cs="Calibri"/>
                <w:b/>
                <w:bCs/>
                <w:sz w:val="20"/>
                <w:szCs w:val="20"/>
              </w:rPr>
            </w:pPr>
          </w:p>
          <w:p w14:paraId="59DFBCFD" w14:textId="77777777" w:rsidR="001B7B8C" w:rsidRPr="008D4276" w:rsidRDefault="001B7B8C" w:rsidP="001B7B8C">
            <w:pPr>
              <w:pStyle w:val="NoSpacing"/>
              <w:rPr>
                <w:rFonts w:asciiTheme="majorHAnsi" w:hAnsiTheme="majorHAnsi" w:cs="Calibri"/>
                <w:b/>
                <w:bCs/>
                <w:sz w:val="20"/>
                <w:szCs w:val="20"/>
              </w:rPr>
            </w:pPr>
          </w:p>
          <w:p w14:paraId="08A9C2ED" w14:textId="77777777" w:rsidR="001B7B8C" w:rsidRPr="008D4276" w:rsidRDefault="001B7B8C" w:rsidP="001B7B8C">
            <w:pPr>
              <w:pStyle w:val="NoSpacing"/>
              <w:rPr>
                <w:rFonts w:asciiTheme="majorHAnsi" w:hAnsiTheme="majorHAnsi" w:cs="Calibri"/>
                <w:b/>
                <w:bCs/>
                <w:sz w:val="20"/>
                <w:szCs w:val="20"/>
              </w:rPr>
            </w:pPr>
          </w:p>
          <w:p w14:paraId="73A7A848" w14:textId="77777777" w:rsidR="001B7B8C" w:rsidRPr="008D4276" w:rsidRDefault="001B7B8C" w:rsidP="001B7B8C">
            <w:pPr>
              <w:pStyle w:val="NoSpacing"/>
              <w:rPr>
                <w:rFonts w:asciiTheme="majorHAnsi" w:hAnsiTheme="majorHAnsi" w:cs="Calibri"/>
                <w:b/>
                <w:bCs/>
                <w:sz w:val="20"/>
                <w:szCs w:val="20"/>
              </w:rPr>
            </w:pPr>
            <w:r w:rsidRPr="008D4276">
              <w:rPr>
                <w:rFonts w:asciiTheme="majorHAnsi" w:hAnsiTheme="majorHAnsi" w:cs="Calibri"/>
                <w:b/>
                <w:bCs/>
                <w:sz w:val="20"/>
                <w:szCs w:val="20"/>
              </w:rPr>
              <w:t>Preferred Term</w:t>
            </w:r>
          </w:p>
        </w:tc>
        <w:tc>
          <w:tcPr>
            <w:tcW w:w="836" w:type="pct"/>
            <w:vAlign w:val="center"/>
          </w:tcPr>
          <w:p w14:paraId="01EFB61D" w14:textId="7E4D1446" w:rsidR="001B7B8C" w:rsidRPr="008D4276" w:rsidRDefault="005D1EFF"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tocilizumab</w:t>
            </w:r>
            <w:r w:rsidR="001B7B8C" w:rsidRPr="008D4276">
              <w:rPr>
                <w:rFonts w:asciiTheme="majorHAnsi" w:hAnsiTheme="majorHAnsi" w:cs="Calibri"/>
                <w:b/>
                <w:bCs/>
                <w:sz w:val="20"/>
                <w:szCs w:val="20"/>
              </w:rPr>
              <w:t xml:space="preserve"> 8 mg/kg</w:t>
            </w:r>
          </w:p>
          <w:p w14:paraId="642A35FF" w14:textId="77777777"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monotherapy</w:t>
            </w:r>
          </w:p>
          <w:p w14:paraId="31F34A20" w14:textId="77777777" w:rsidR="001B7B8C" w:rsidRPr="008D4276" w:rsidRDefault="001B7B8C" w:rsidP="001B7B8C">
            <w:pPr>
              <w:pStyle w:val="NoSpacing"/>
              <w:jc w:val="center"/>
              <w:rPr>
                <w:rFonts w:asciiTheme="majorHAnsi" w:hAnsiTheme="majorHAnsi" w:cs="Calibri"/>
                <w:b/>
                <w:bCs/>
                <w:sz w:val="20"/>
                <w:szCs w:val="20"/>
              </w:rPr>
            </w:pPr>
          </w:p>
          <w:p w14:paraId="42667212" w14:textId="5F6E9FBF"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n=288 (%)</w:t>
            </w:r>
          </w:p>
        </w:tc>
        <w:tc>
          <w:tcPr>
            <w:tcW w:w="655" w:type="pct"/>
            <w:vAlign w:val="center"/>
          </w:tcPr>
          <w:p w14:paraId="6F3305BC" w14:textId="77777777"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MTX</w:t>
            </w:r>
          </w:p>
          <w:p w14:paraId="136FFE67" w14:textId="77777777" w:rsidR="001B7B8C" w:rsidRPr="008D4276" w:rsidRDefault="001B7B8C" w:rsidP="001B7B8C">
            <w:pPr>
              <w:pStyle w:val="NoSpacing"/>
              <w:jc w:val="center"/>
              <w:rPr>
                <w:rFonts w:asciiTheme="majorHAnsi" w:hAnsiTheme="majorHAnsi" w:cs="Calibri"/>
                <w:b/>
                <w:bCs/>
                <w:sz w:val="20"/>
                <w:szCs w:val="20"/>
              </w:rPr>
            </w:pPr>
          </w:p>
          <w:p w14:paraId="4A7F67B2" w14:textId="77777777" w:rsidR="001B7B8C" w:rsidRPr="008D4276" w:rsidRDefault="001B7B8C" w:rsidP="001B7B8C">
            <w:pPr>
              <w:pStyle w:val="NoSpacing"/>
              <w:jc w:val="center"/>
              <w:rPr>
                <w:rFonts w:asciiTheme="majorHAnsi" w:hAnsiTheme="majorHAnsi" w:cs="Calibri"/>
                <w:b/>
                <w:bCs/>
                <w:sz w:val="20"/>
                <w:szCs w:val="20"/>
              </w:rPr>
            </w:pPr>
          </w:p>
          <w:p w14:paraId="14B9ECEF" w14:textId="77777777"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n=284 (%)</w:t>
            </w:r>
          </w:p>
        </w:tc>
        <w:tc>
          <w:tcPr>
            <w:tcW w:w="680" w:type="pct"/>
            <w:vAlign w:val="center"/>
          </w:tcPr>
          <w:p w14:paraId="3BC35B6D" w14:textId="6E0FC6A6" w:rsidR="001B7B8C" w:rsidRPr="008D4276" w:rsidRDefault="005D1EFF"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Tocilizumab</w:t>
            </w:r>
            <w:r w:rsidRPr="008D4276" w:rsidDel="005D1EFF">
              <w:rPr>
                <w:rFonts w:asciiTheme="majorHAnsi" w:hAnsiTheme="majorHAnsi" w:cs="Calibri"/>
                <w:b/>
                <w:bCs/>
                <w:sz w:val="20"/>
                <w:szCs w:val="20"/>
              </w:rPr>
              <w:t xml:space="preserve"> </w:t>
            </w:r>
            <w:r w:rsidRPr="008D4276">
              <w:rPr>
                <w:rFonts w:asciiTheme="majorHAnsi" w:hAnsiTheme="majorHAnsi" w:cs="Calibri"/>
                <w:b/>
                <w:bCs/>
                <w:sz w:val="20"/>
                <w:szCs w:val="20"/>
              </w:rPr>
              <w:t xml:space="preserve"> </w:t>
            </w:r>
            <w:r w:rsidR="001B7B8C" w:rsidRPr="008D4276">
              <w:rPr>
                <w:rFonts w:asciiTheme="majorHAnsi" w:hAnsiTheme="majorHAnsi" w:cs="Calibri"/>
                <w:b/>
                <w:bCs/>
                <w:sz w:val="20"/>
                <w:szCs w:val="20"/>
              </w:rPr>
              <w:t>4 mg/kg + MTX</w:t>
            </w:r>
          </w:p>
          <w:p w14:paraId="1A92D312" w14:textId="77777777" w:rsidR="001B7B8C" w:rsidRPr="008D4276" w:rsidRDefault="001B7B8C" w:rsidP="001B7B8C">
            <w:pPr>
              <w:pStyle w:val="NoSpacing"/>
              <w:jc w:val="center"/>
              <w:rPr>
                <w:rFonts w:asciiTheme="majorHAnsi" w:hAnsiTheme="majorHAnsi" w:cs="Calibri"/>
                <w:b/>
                <w:bCs/>
                <w:sz w:val="20"/>
                <w:szCs w:val="20"/>
              </w:rPr>
            </w:pPr>
          </w:p>
          <w:p w14:paraId="50972CD4" w14:textId="5D6F86CA"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n=774 (%)</w:t>
            </w:r>
          </w:p>
        </w:tc>
        <w:tc>
          <w:tcPr>
            <w:tcW w:w="835" w:type="pct"/>
            <w:vAlign w:val="center"/>
          </w:tcPr>
          <w:p w14:paraId="529F9EC0" w14:textId="6E44CD02" w:rsidR="001B7B8C" w:rsidRPr="008D4276" w:rsidRDefault="005D1EFF" w:rsidP="001B7B8C">
            <w:pPr>
              <w:pStyle w:val="NoSpacing"/>
              <w:jc w:val="center"/>
              <w:rPr>
                <w:rFonts w:asciiTheme="majorHAnsi" w:hAnsiTheme="majorHAnsi" w:cs="Calibri"/>
                <w:b/>
                <w:bCs/>
                <w:sz w:val="20"/>
                <w:szCs w:val="20"/>
              </w:rPr>
            </w:pPr>
            <w:r w:rsidRPr="008D4276">
              <w:rPr>
                <w:rFonts w:asciiTheme="majorHAnsi" w:hAnsiTheme="majorHAnsi" w:cs="Calibri"/>
              </w:rPr>
              <w:t xml:space="preserve"> </w:t>
            </w:r>
            <w:r w:rsidRPr="008D4276">
              <w:rPr>
                <w:rFonts w:asciiTheme="majorHAnsi" w:hAnsiTheme="majorHAnsi" w:cs="Calibri"/>
                <w:b/>
                <w:bCs/>
                <w:sz w:val="20"/>
                <w:szCs w:val="20"/>
              </w:rPr>
              <w:t>tocilizumab</w:t>
            </w:r>
            <w:r w:rsidR="001B7B8C" w:rsidRPr="008D4276">
              <w:rPr>
                <w:rFonts w:asciiTheme="majorHAnsi" w:hAnsiTheme="majorHAnsi" w:cs="Calibri"/>
                <w:b/>
                <w:bCs/>
                <w:sz w:val="20"/>
                <w:szCs w:val="20"/>
              </w:rPr>
              <w:t xml:space="preserve"> 8 mg/kg + DMARDs</w:t>
            </w:r>
          </w:p>
          <w:p w14:paraId="68960719" w14:textId="77777777" w:rsidR="001B7B8C" w:rsidRPr="008D4276" w:rsidRDefault="001B7B8C" w:rsidP="001B7B8C">
            <w:pPr>
              <w:pStyle w:val="NoSpacing"/>
              <w:jc w:val="center"/>
              <w:rPr>
                <w:rFonts w:asciiTheme="majorHAnsi" w:hAnsiTheme="majorHAnsi" w:cs="Calibri"/>
                <w:b/>
                <w:bCs/>
                <w:sz w:val="20"/>
                <w:szCs w:val="20"/>
              </w:rPr>
            </w:pPr>
          </w:p>
          <w:p w14:paraId="509A0E81" w14:textId="0DB80B4B"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n=1870 (%)</w:t>
            </w:r>
          </w:p>
        </w:tc>
        <w:tc>
          <w:tcPr>
            <w:tcW w:w="833" w:type="pct"/>
            <w:vAlign w:val="center"/>
          </w:tcPr>
          <w:p w14:paraId="412B5423" w14:textId="77777777"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Placebo + DMARDs</w:t>
            </w:r>
          </w:p>
          <w:p w14:paraId="3647A46C" w14:textId="77777777" w:rsidR="001B7B8C" w:rsidRPr="008D4276" w:rsidRDefault="001B7B8C" w:rsidP="001B7B8C">
            <w:pPr>
              <w:pStyle w:val="NoSpacing"/>
              <w:jc w:val="center"/>
              <w:rPr>
                <w:rFonts w:asciiTheme="majorHAnsi" w:hAnsiTheme="majorHAnsi" w:cs="Calibri"/>
                <w:b/>
                <w:bCs/>
                <w:sz w:val="20"/>
                <w:szCs w:val="20"/>
              </w:rPr>
            </w:pPr>
          </w:p>
          <w:p w14:paraId="757B97AD" w14:textId="77777777" w:rsidR="001B7B8C" w:rsidRPr="008D4276" w:rsidRDefault="001B7B8C" w:rsidP="001B7B8C">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n=1555 (%)</w:t>
            </w:r>
          </w:p>
        </w:tc>
      </w:tr>
      <w:tr w:rsidR="001B7B8C" w:rsidRPr="001922B7" w14:paraId="21F4743E" w14:textId="77777777" w:rsidTr="001B7B8C">
        <w:trPr>
          <w:trHeight w:val="423"/>
        </w:trPr>
        <w:tc>
          <w:tcPr>
            <w:tcW w:w="1161" w:type="pct"/>
          </w:tcPr>
          <w:p w14:paraId="63391FD0"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Upper Respiratory Tract Infection</w:t>
            </w:r>
          </w:p>
        </w:tc>
        <w:tc>
          <w:tcPr>
            <w:tcW w:w="836" w:type="pct"/>
            <w:vAlign w:val="center"/>
          </w:tcPr>
          <w:p w14:paraId="2186561E"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7</w:t>
            </w:r>
          </w:p>
        </w:tc>
        <w:tc>
          <w:tcPr>
            <w:tcW w:w="655" w:type="pct"/>
            <w:vAlign w:val="center"/>
          </w:tcPr>
          <w:p w14:paraId="39A2716D"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680" w:type="pct"/>
            <w:vAlign w:val="center"/>
          </w:tcPr>
          <w:p w14:paraId="27E622BD"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9</w:t>
            </w:r>
          </w:p>
        </w:tc>
        <w:tc>
          <w:tcPr>
            <w:tcW w:w="835" w:type="pct"/>
            <w:vAlign w:val="center"/>
          </w:tcPr>
          <w:p w14:paraId="42CF72B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9</w:t>
            </w:r>
          </w:p>
        </w:tc>
        <w:tc>
          <w:tcPr>
            <w:tcW w:w="833" w:type="pct"/>
            <w:vAlign w:val="center"/>
          </w:tcPr>
          <w:p w14:paraId="2B70D05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7</w:t>
            </w:r>
          </w:p>
        </w:tc>
      </w:tr>
      <w:tr w:rsidR="001B7B8C" w:rsidRPr="001922B7" w14:paraId="322423AB" w14:textId="77777777" w:rsidTr="001B7B8C">
        <w:trPr>
          <w:trHeight w:val="253"/>
        </w:trPr>
        <w:tc>
          <w:tcPr>
            <w:tcW w:w="1161" w:type="pct"/>
          </w:tcPr>
          <w:p w14:paraId="3A1C2692"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Nasopharyngitis</w:t>
            </w:r>
          </w:p>
        </w:tc>
        <w:tc>
          <w:tcPr>
            <w:tcW w:w="836" w:type="pct"/>
            <w:vAlign w:val="center"/>
          </w:tcPr>
          <w:p w14:paraId="650083C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7</w:t>
            </w:r>
          </w:p>
        </w:tc>
        <w:tc>
          <w:tcPr>
            <w:tcW w:w="655" w:type="pct"/>
            <w:vAlign w:val="center"/>
          </w:tcPr>
          <w:p w14:paraId="5FCC7A34"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6</w:t>
            </w:r>
          </w:p>
        </w:tc>
        <w:tc>
          <w:tcPr>
            <w:tcW w:w="680" w:type="pct"/>
            <w:vAlign w:val="center"/>
          </w:tcPr>
          <w:p w14:paraId="427901F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835" w:type="pct"/>
            <w:vAlign w:val="center"/>
          </w:tcPr>
          <w:p w14:paraId="374D6235"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7</w:t>
            </w:r>
          </w:p>
        </w:tc>
        <w:tc>
          <w:tcPr>
            <w:tcW w:w="833" w:type="pct"/>
            <w:vAlign w:val="center"/>
          </w:tcPr>
          <w:p w14:paraId="2EBD604D"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r>
      <w:tr w:rsidR="001B7B8C" w:rsidRPr="001922B7" w14:paraId="16950568" w14:textId="77777777" w:rsidTr="001B7B8C">
        <w:trPr>
          <w:trHeight w:val="253"/>
        </w:trPr>
        <w:tc>
          <w:tcPr>
            <w:tcW w:w="1161" w:type="pct"/>
          </w:tcPr>
          <w:p w14:paraId="2F792BB7"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Headache</w:t>
            </w:r>
          </w:p>
        </w:tc>
        <w:tc>
          <w:tcPr>
            <w:tcW w:w="836" w:type="pct"/>
            <w:vAlign w:val="center"/>
          </w:tcPr>
          <w:p w14:paraId="568EE817"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7</w:t>
            </w:r>
          </w:p>
        </w:tc>
        <w:tc>
          <w:tcPr>
            <w:tcW w:w="655" w:type="pct"/>
            <w:vAlign w:val="center"/>
          </w:tcPr>
          <w:p w14:paraId="436AA7AD"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80" w:type="pct"/>
            <w:vAlign w:val="center"/>
          </w:tcPr>
          <w:p w14:paraId="6DAF7235"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6</w:t>
            </w:r>
          </w:p>
        </w:tc>
        <w:tc>
          <w:tcPr>
            <w:tcW w:w="835" w:type="pct"/>
            <w:vAlign w:val="center"/>
          </w:tcPr>
          <w:p w14:paraId="7EBD5DB3"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6</w:t>
            </w:r>
          </w:p>
        </w:tc>
        <w:tc>
          <w:tcPr>
            <w:tcW w:w="833" w:type="pct"/>
            <w:vAlign w:val="center"/>
          </w:tcPr>
          <w:p w14:paraId="41C0A55F"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r>
      <w:tr w:rsidR="001B7B8C" w:rsidRPr="001922B7" w14:paraId="2F77D529" w14:textId="77777777" w:rsidTr="001B7B8C">
        <w:trPr>
          <w:trHeight w:val="251"/>
        </w:trPr>
        <w:tc>
          <w:tcPr>
            <w:tcW w:w="1161" w:type="pct"/>
          </w:tcPr>
          <w:p w14:paraId="6DFD1CBA"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Hypertension</w:t>
            </w:r>
          </w:p>
        </w:tc>
        <w:tc>
          <w:tcPr>
            <w:tcW w:w="836" w:type="pct"/>
            <w:vAlign w:val="center"/>
          </w:tcPr>
          <w:p w14:paraId="22440362"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6</w:t>
            </w:r>
          </w:p>
        </w:tc>
        <w:tc>
          <w:tcPr>
            <w:tcW w:w="655" w:type="pct"/>
            <w:vAlign w:val="center"/>
          </w:tcPr>
          <w:p w14:paraId="26428B2A"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80" w:type="pct"/>
            <w:vAlign w:val="center"/>
          </w:tcPr>
          <w:p w14:paraId="61E18573"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6</w:t>
            </w:r>
          </w:p>
        </w:tc>
        <w:tc>
          <w:tcPr>
            <w:tcW w:w="835" w:type="pct"/>
            <w:vAlign w:val="center"/>
          </w:tcPr>
          <w:p w14:paraId="23C979A6"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833" w:type="pct"/>
            <w:vAlign w:val="center"/>
          </w:tcPr>
          <w:p w14:paraId="034CAC3A"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r>
      <w:tr w:rsidR="001B7B8C" w:rsidRPr="001922B7" w14:paraId="30645CDB" w14:textId="77777777" w:rsidTr="001B7B8C">
        <w:trPr>
          <w:trHeight w:val="254"/>
        </w:trPr>
        <w:tc>
          <w:tcPr>
            <w:tcW w:w="1161" w:type="pct"/>
          </w:tcPr>
          <w:p w14:paraId="23394031"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Cough</w:t>
            </w:r>
          </w:p>
        </w:tc>
        <w:tc>
          <w:tcPr>
            <w:tcW w:w="836" w:type="pct"/>
            <w:vAlign w:val="center"/>
          </w:tcPr>
          <w:p w14:paraId="66606E6A"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655" w:type="pct"/>
            <w:vAlign w:val="center"/>
          </w:tcPr>
          <w:p w14:paraId="1C78D7D0"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0</w:t>
            </w:r>
          </w:p>
        </w:tc>
        <w:tc>
          <w:tcPr>
            <w:tcW w:w="680" w:type="pct"/>
            <w:vAlign w:val="center"/>
          </w:tcPr>
          <w:p w14:paraId="62FC1157"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5" w:type="pct"/>
            <w:vAlign w:val="center"/>
          </w:tcPr>
          <w:p w14:paraId="7B321B15"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4C45E4B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r>
      <w:tr w:rsidR="001B7B8C" w:rsidRPr="001922B7" w14:paraId="4DEBE1BD" w14:textId="77777777" w:rsidTr="001B7B8C">
        <w:trPr>
          <w:trHeight w:val="251"/>
        </w:trPr>
        <w:tc>
          <w:tcPr>
            <w:tcW w:w="1161" w:type="pct"/>
          </w:tcPr>
          <w:p w14:paraId="154B1A9F"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ALT increased</w:t>
            </w:r>
          </w:p>
        </w:tc>
        <w:tc>
          <w:tcPr>
            <w:tcW w:w="836" w:type="pct"/>
            <w:vAlign w:val="center"/>
          </w:tcPr>
          <w:p w14:paraId="7D49102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6</w:t>
            </w:r>
          </w:p>
        </w:tc>
        <w:tc>
          <w:tcPr>
            <w:tcW w:w="655" w:type="pct"/>
            <w:vAlign w:val="center"/>
          </w:tcPr>
          <w:p w14:paraId="76FE034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c>
          <w:tcPr>
            <w:tcW w:w="680" w:type="pct"/>
            <w:vAlign w:val="center"/>
          </w:tcPr>
          <w:p w14:paraId="09CFD95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5" w:type="pct"/>
            <w:vAlign w:val="center"/>
          </w:tcPr>
          <w:p w14:paraId="05D09FEB"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2F93A34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r>
      <w:tr w:rsidR="001B7B8C" w:rsidRPr="001922B7" w14:paraId="478177C6" w14:textId="77777777" w:rsidTr="001B7B8C">
        <w:trPr>
          <w:trHeight w:val="254"/>
        </w:trPr>
        <w:tc>
          <w:tcPr>
            <w:tcW w:w="1161" w:type="pct"/>
          </w:tcPr>
          <w:p w14:paraId="6D3FEEAB"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Diarrhoea</w:t>
            </w:r>
          </w:p>
        </w:tc>
        <w:tc>
          <w:tcPr>
            <w:tcW w:w="836" w:type="pct"/>
            <w:vAlign w:val="center"/>
          </w:tcPr>
          <w:p w14:paraId="48B3FC40"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655" w:type="pct"/>
            <w:vAlign w:val="center"/>
          </w:tcPr>
          <w:p w14:paraId="3BE0ECE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680" w:type="pct"/>
            <w:vAlign w:val="center"/>
          </w:tcPr>
          <w:p w14:paraId="3EED48F6"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835" w:type="pct"/>
            <w:vAlign w:val="center"/>
          </w:tcPr>
          <w:p w14:paraId="3014E68D"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c>
          <w:tcPr>
            <w:tcW w:w="833" w:type="pct"/>
            <w:vAlign w:val="center"/>
          </w:tcPr>
          <w:p w14:paraId="2CDD794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r>
      <w:tr w:rsidR="001B7B8C" w:rsidRPr="001922B7" w14:paraId="13021026" w14:textId="77777777" w:rsidTr="001B7B8C">
        <w:trPr>
          <w:trHeight w:val="251"/>
        </w:trPr>
        <w:tc>
          <w:tcPr>
            <w:tcW w:w="1161" w:type="pct"/>
          </w:tcPr>
          <w:p w14:paraId="4CDCB382"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Back Pain</w:t>
            </w:r>
          </w:p>
        </w:tc>
        <w:tc>
          <w:tcPr>
            <w:tcW w:w="836" w:type="pct"/>
            <w:vAlign w:val="center"/>
          </w:tcPr>
          <w:p w14:paraId="49DF4E2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55" w:type="pct"/>
            <w:vAlign w:val="center"/>
          </w:tcPr>
          <w:p w14:paraId="16C521E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c>
          <w:tcPr>
            <w:tcW w:w="680" w:type="pct"/>
            <w:vAlign w:val="center"/>
          </w:tcPr>
          <w:p w14:paraId="23B2738F"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5" w:type="pct"/>
            <w:vAlign w:val="center"/>
          </w:tcPr>
          <w:p w14:paraId="10080A3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c>
          <w:tcPr>
            <w:tcW w:w="833" w:type="pct"/>
            <w:vAlign w:val="center"/>
          </w:tcPr>
          <w:p w14:paraId="1F7CD4F2"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r>
      <w:tr w:rsidR="001B7B8C" w:rsidRPr="001922B7" w14:paraId="73A3C44E" w14:textId="77777777" w:rsidTr="001B7B8C">
        <w:trPr>
          <w:trHeight w:val="254"/>
        </w:trPr>
        <w:tc>
          <w:tcPr>
            <w:tcW w:w="1161" w:type="pct"/>
          </w:tcPr>
          <w:p w14:paraId="5132392D"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Peripheral Oedema</w:t>
            </w:r>
          </w:p>
        </w:tc>
        <w:tc>
          <w:tcPr>
            <w:tcW w:w="836" w:type="pct"/>
            <w:vAlign w:val="center"/>
          </w:tcPr>
          <w:p w14:paraId="0EC8561B"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55" w:type="pct"/>
            <w:vAlign w:val="center"/>
          </w:tcPr>
          <w:p w14:paraId="369C0CB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0</w:t>
            </w:r>
          </w:p>
        </w:tc>
        <w:tc>
          <w:tcPr>
            <w:tcW w:w="680" w:type="pct"/>
            <w:vAlign w:val="center"/>
          </w:tcPr>
          <w:p w14:paraId="1BA0D08E"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835" w:type="pct"/>
            <w:vAlign w:val="center"/>
          </w:tcPr>
          <w:p w14:paraId="036D85AC"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1BADBFCC"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r>
      <w:tr w:rsidR="001B7B8C" w:rsidRPr="001922B7" w14:paraId="2BAC10A1" w14:textId="77777777" w:rsidTr="001B7B8C">
        <w:trPr>
          <w:trHeight w:val="253"/>
        </w:trPr>
        <w:tc>
          <w:tcPr>
            <w:tcW w:w="1161" w:type="pct"/>
          </w:tcPr>
          <w:p w14:paraId="6CAEE450"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Dizziness</w:t>
            </w:r>
          </w:p>
        </w:tc>
        <w:tc>
          <w:tcPr>
            <w:tcW w:w="836" w:type="pct"/>
            <w:vAlign w:val="center"/>
          </w:tcPr>
          <w:p w14:paraId="0C79B432"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655" w:type="pct"/>
            <w:vAlign w:val="center"/>
          </w:tcPr>
          <w:p w14:paraId="3402A1A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c>
          <w:tcPr>
            <w:tcW w:w="680" w:type="pct"/>
            <w:vAlign w:val="center"/>
          </w:tcPr>
          <w:p w14:paraId="63FF718E"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835" w:type="pct"/>
            <w:vAlign w:val="center"/>
          </w:tcPr>
          <w:p w14:paraId="59B44D25"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7500683E"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r>
      <w:tr w:rsidR="001B7B8C" w:rsidRPr="001922B7" w14:paraId="69BCE0F6" w14:textId="77777777" w:rsidTr="001B7B8C">
        <w:trPr>
          <w:trHeight w:val="251"/>
        </w:trPr>
        <w:tc>
          <w:tcPr>
            <w:tcW w:w="1161" w:type="pct"/>
          </w:tcPr>
          <w:p w14:paraId="0306BEF1"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Bronchitis</w:t>
            </w:r>
          </w:p>
        </w:tc>
        <w:tc>
          <w:tcPr>
            <w:tcW w:w="836" w:type="pct"/>
            <w:vAlign w:val="center"/>
          </w:tcPr>
          <w:p w14:paraId="34D7DDD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655" w:type="pct"/>
            <w:vAlign w:val="center"/>
          </w:tcPr>
          <w:p w14:paraId="58668D73"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80" w:type="pct"/>
            <w:vAlign w:val="center"/>
          </w:tcPr>
          <w:p w14:paraId="714D476C"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c>
          <w:tcPr>
            <w:tcW w:w="835" w:type="pct"/>
            <w:vAlign w:val="center"/>
          </w:tcPr>
          <w:p w14:paraId="3CB9E17C"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420C3793"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r>
      <w:tr w:rsidR="001B7B8C" w:rsidRPr="001922B7" w14:paraId="578D3ED9" w14:textId="77777777" w:rsidTr="001B7B8C">
        <w:trPr>
          <w:trHeight w:val="253"/>
        </w:trPr>
        <w:tc>
          <w:tcPr>
            <w:tcW w:w="1161" w:type="pct"/>
          </w:tcPr>
          <w:p w14:paraId="0E0F200D"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Rash</w:t>
            </w:r>
          </w:p>
        </w:tc>
        <w:tc>
          <w:tcPr>
            <w:tcW w:w="836" w:type="pct"/>
            <w:vAlign w:val="center"/>
          </w:tcPr>
          <w:p w14:paraId="754D4EAA"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55" w:type="pct"/>
            <w:vAlign w:val="center"/>
          </w:tcPr>
          <w:p w14:paraId="31CFB596"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c>
          <w:tcPr>
            <w:tcW w:w="680" w:type="pct"/>
            <w:vAlign w:val="center"/>
          </w:tcPr>
          <w:p w14:paraId="08760FA4"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4</w:t>
            </w:r>
          </w:p>
        </w:tc>
        <w:tc>
          <w:tcPr>
            <w:tcW w:w="835" w:type="pct"/>
            <w:vAlign w:val="center"/>
          </w:tcPr>
          <w:p w14:paraId="3442B96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7ECE9DEB"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r>
      <w:tr w:rsidR="001B7B8C" w:rsidRPr="001922B7" w14:paraId="1DA09682" w14:textId="77777777" w:rsidTr="001B7B8C">
        <w:trPr>
          <w:trHeight w:val="251"/>
        </w:trPr>
        <w:tc>
          <w:tcPr>
            <w:tcW w:w="1161" w:type="pct"/>
          </w:tcPr>
          <w:p w14:paraId="60B0FC0C"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Mouth Ulceration</w:t>
            </w:r>
          </w:p>
        </w:tc>
        <w:tc>
          <w:tcPr>
            <w:tcW w:w="836" w:type="pct"/>
            <w:vAlign w:val="center"/>
          </w:tcPr>
          <w:p w14:paraId="00C243D0"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55" w:type="pct"/>
            <w:vAlign w:val="center"/>
          </w:tcPr>
          <w:p w14:paraId="37B021CF"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80" w:type="pct"/>
            <w:vAlign w:val="center"/>
          </w:tcPr>
          <w:p w14:paraId="7B0DD23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c>
          <w:tcPr>
            <w:tcW w:w="835" w:type="pct"/>
            <w:vAlign w:val="center"/>
          </w:tcPr>
          <w:p w14:paraId="5C46B9B5"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833" w:type="pct"/>
            <w:vAlign w:val="center"/>
          </w:tcPr>
          <w:p w14:paraId="204F4F44"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r>
      <w:tr w:rsidR="001B7B8C" w:rsidRPr="001922B7" w14:paraId="2B88C1D1" w14:textId="77777777" w:rsidTr="001B7B8C">
        <w:trPr>
          <w:trHeight w:val="265"/>
        </w:trPr>
        <w:tc>
          <w:tcPr>
            <w:tcW w:w="1161" w:type="pct"/>
          </w:tcPr>
          <w:p w14:paraId="34BAB28C"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Abdominal Pain Upper</w:t>
            </w:r>
          </w:p>
        </w:tc>
        <w:tc>
          <w:tcPr>
            <w:tcW w:w="836" w:type="pct"/>
            <w:vAlign w:val="center"/>
          </w:tcPr>
          <w:p w14:paraId="79607CF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55" w:type="pct"/>
            <w:vAlign w:val="center"/>
          </w:tcPr>
          <w:p w14:paraId="05A74DAD"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80" w:type="pct"/>
            <w:vAlign w:val="center"/>
          </w:tcPr>
          <w:p w14:paraId="7E5BAB0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5" w:type="pct"/>
            <w:vAlign w:val="center"/>
          </w:tcPr>
          <w:p w14:paraId="1DBC384E"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58C8D463"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r>
      <w:tr w:rsidR="001B7B8C" w:rsidRPr="001922B7" w14:paraId="5516CFEC" w14:textId="77777777" w:rsidTr="001B7B8C">
        <w:trPr>
          <w:trHeight w:val="251"/>
        </w:trPr>
        <w:tc>
          <w:tcPr>
            <w:tcW w:w="1161" w:type="pct"/>
          </w:tcPr>
          <w:p w14:paraId="38803F53"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Gastritis</w:t>
            </w:r>
          </w:p>
        </w:tc>
        <w:tc>
          <w:tcPr>
            <w:tcW w:w="836" w:type="pct"/>
            <w:vAlign w:val="center"/>
          </w:tcPr>
          <w:p w14:paraId="2B0A292C"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c>
          <w:tcPr>
            <w:tcW w:w="655" w:type="pct"/>
            <w:vAlign w:val="center"/>
          </w:tcPr>
          <w:p w14:paraId="3FDA448B"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680" w:type="pct"/>
            <w:vAlign w:val="center"/>
          </w:tcPr>
          <w:p w14:paraId="33844DE1"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835" w:type="pct"/>
            <w:vAlign w:val="center"/>
          </w:tcPr>
          <w:p w14:paraId="75AC923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2</w:t>
            </w:r>
          </w:p>
        </w:tc>
        <w:tc>
          <w:tcPr>
            <w:tcW w:w="833" w:type="pct"/>
            <w:vAlign w:val="center"/>
          </w:tcPr>
          <w:p w14:paraId="7872543E"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r>
      <w:tr w:rsidR="001B7B8C" w:rsidRPr="001922B7" w14:paraId="31AA1797" w14:textId="77777777" w:rsidTr="001B7B8C">
        <w:trPr>
          <w:trHeight w:val="205"/>
        </w:trPr>
        <w:tc>
          <w:tcPr>
            <w:tcW w:w="1161" w:type="pct"/>
          </w:tcPr>
          <w:p w14:paraId="6733853F" w14:textId="77777777" w:rsidR="001B7B8C" w:rsidRPr="008D4276" w:rsidRDefault="001B7B8C" w:rsidP="001B7B8C">
            <w:pPr>
              <w:pStyle w:val="NoSpacing"/>
              <w:rPr>
                <w:rFonts w:asciiTheme="majorHAnsi" w:hAnsiTheme="majorHAnsi" w:cs="Calibri"/>
                <w:sz w:val="20"/>
                <w:szCs w:val="20"/>
              </w:rPr>
            </w:pPr>
            <w:r w:rsidRPr="008D4276">
              <w:rPr>
                <w:rFonts w:asciiTheme="majorHAnsi" w:hAnsiTheme="majorHAnsi" w:cs="Calibri"/>
                <w:sz w:val="20"/>
                <w:szCs w:val="20"/>
              </w:rPr>
              <w:t>Transaminase increased</w:t>
            </w:r>
          </w:p>
        </w:tc>
        <w:tc>
          <w:tcPr>
            <w:tcW w:w="836" w:type="pct"/>
            <w:vAlign w:val="center"/>
          </w:tcPr>
          <w:p w14:paraId="3E8BAD09"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c>
          <w:tcPr>
            <w:tcW w:w="655" w:type="pct"/>
            <w:vAlign w:val="center"/>
          </w:tcPr>
          <w:p w14:paraId="0F7A025F"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5</w:t>
            </w:r>
          </w:p>
        </w:tc>
        <w:tc>
          <w:tcPr>
            <w:tcW w:w="680" w:type="pct"/>
            <w:vAlign w:val="center"/>
          </w:tcPr>
          <w:p w14:paraId="56B9B0A8"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5" w:type="pct"/>
            <w:vAlign w:val="center"/>
          </w:tcPr>
          <w:p w14:paraId="2CBAF513"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3</w:t>
            </w:r>
          </w:p>
        </w:tc>
        <w:tc>
          <w:tcPr>
            <w:tcW w:w="833" w:type="pct"/>
            <w:vAlign w:val="center"/>
          </w:tcPr>
          <w:p w14:paraId="1B589DCA" w14:textId="77777777" w:rsidR="001B7B8C" w:rsidRPr="008D4276" w:rsidRDefault="001B7B8C" w:rsidP="001B7B8C">
            <w:pPr>
              <w:pStyle w:val="NoSpacing"/>
              <w:jc w:val="center"/>
              <w:rPr>
                <w:rFonts w:asciiTheme="majorHAnsi" w:hAnsiTheme="majorHAnsi" w:cs="Calibri"/>
                <w:sz w:val="20"/>
                <w:szCs w:val="20"/>
              </w:rPr>
            </w:pPr>
            <w:r w:rsidRPr="008D4276">
              <w:rPr>
                <w:rFonts w:asciiTheme="majorHAnsi" w:hAnsiTheme="majorHAnsi" w:cs="Calibri"/>
                <w:sz w:val="20"/>
                <w:szCs w:val="20"/>
              </w:rPr>
              <w:t>1</w:t>
            </w:r>
          </w:p>
        </w:tc>
      </w:tr>
    </w:tbl>
    <w:p w14:paraId="2D1E3E36" w14:textId="77777777" w:rsidR="001B7B8C" w:rsidRPr="008D4276" w:rsidRDefault="001B7B8C" w:rsidP="001B7B8C">
      <w:pPr>
        <w:pStyle w:val="NoSpacing"/>
        <w:rPr>
          <w:rFonts w:asciiTheme="majorHAnsi" w:hAnsiTheme="majorHAnsi" w:cs="Calibri"/>
        </w:rPr>
      </w:pPr>
    </w:p>
    <w:p w14:paraId="1B8678D8" w14:textId="6079A58F" w:rsidR="001B7B8C" w:rsidRPr="008D4276" w:rsidRDefault="001B7B8C" w:rsidP="001B7B8C">
      <w:pPr>
        <w:rPr>
          <w:rFonts w:asciiTheme="majorHAnsi" w:hAnsiTheme="majorHAnsi" w:cstheme="minorHAnsi"/>
        </w:rPr>
      </w:pPr>
      <w:r w:rsidRPr="008D4276">
        <w:rPr>
          <w:rFonts w:asciiTheme="majorHAnsi" w:hAnsiTheme="majorHAnsi" w:cstheme="minorHAnsi"/>
        </w:rPr>
        <w:t xml:space="preserve">Other infrequent and medically relevant adverse events occurring at an incidence of less than 2% in RA patients treated with </w:t>
      </w:r>
      <w:r w:rsidR="00631356" w:rsidRPr="008D4276">
        <w:rPr>
          <w:rFonts w:asciiTheme="majorHAnsi" w:hAnsiTheme="majorHAnsi" w:cstheme="minorHAnsi"/>
        </w:rPr>
        <w:t>tocilizumab</w:t>
      </w:r>
      <w:r w:rsidRPr="008D4276">
        <w:rPr>
          <w:rFonts w:asciiTheme="majorHAnsi" w:hAnsiTheme="majorHAnsi" w:cstheme="minorHAnsi"/>
        </w:rPr>
        <w:t xml:space="preserve"> in controlled trials were:</w:t>
      </w:r>
    </w:p>
    <w:p w14:paraId="10D6BBEE"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Infections and infestations:</w:t>
      </w:r>
      <w:r w:rsidRPr="008D4276">
        <w:rPr>
          <w:rFonts w:asciiTheme="majorHAnsi" w:hAnsiTheme="majorHAnsi" w:cstheme="minorHAnsi"/>
        </w:rPr>
        <w:t xml:space="preserve"> cellulitis, oral herpes simplex, herpes zoster, diverticulitis</w:t>
      </w:r>
    </w:p>
    <w:p w14:paraId="18F45B8D"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Gastrointestinal disorders:</w:t>
      </w:r>
      <w:r w:rsidRPr="008D4276">
        <w:rPr>
          <w:rFonts w:asciiTheme="majorHAnsi" w:hAnsiTheme="majorHAnsi" w:cstheme="minorHAnsi"/>
        </w:rPr>
        <w:t xml:space="preserve"> stomatitis, gastric ulcer</w:t>
      </w:r>
    </w:p>
    <w:p w14:paraId="3A311C47"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Skin and subcutaneous tissue disorders</w:t>
      </w:r>
      <w:r w:rsidRPr="008D4276">
        <w:rPr>
          <w:rFonts w:asciiTheme="majorHAnsi" w:hAnsiTheme="majorHAnsi" w:cstheme="minorHAnsi"/>
        </w:rPr>
        <w:t xml:space="preserve">: pruritus, urticaria Investigations: weight increased, total bilirubin increased </w:t>
      </w:r>
    </w:p>
    <w:p w14:paraId="7168EBA3" w14:textId="1CDF3641"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Blood and lymphatic system disorders</w:t>
      </w:r>
      <w:r w:rsidRPr="008D4276">
        <w:rPr>
          <w:rFonts w:asciiTheme="majorHAnsi" w:hAnsiTheme="majorHAnsi" w:cstheme="minorHAnsi"/>
        </w:rPr>
        <w:t>: leucopenia, neutropenia</w:t>
      </w:r>
    </w:p>
    <w:p w14:paraId="440F2DB0"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Metabolism and nutrition disorders:</w:t>
      </w:r>
      <w:r w:rsidRPr="008D4276">
        <w:rPr>
          <w:rFonts w:asciiTheme="majorHAnsi" w:hAnsiTheme="majorHAnsi" w:cstheme="minorHAnsi"/>
        </w:rPr>
        <w:t xml:space="preserve"> hypercholesterolaemia, hypertriglyceridaemia </w:t>
      </w:r>
    </w:p>
    <w:p w14:paraId="0467F26C"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General disorders and administration site conditions:</w:t>
      </w:r>
      <w:r w:rsidRPr="008D4276">
        <w:rPr>
          <w:rFonts w:asciiTheme="majorHAnsi" w:hAnsiTheme="majorHAnsi" w:cstheme="minorHAnsi"/>
        </w:rPr>
        <w:t xml:space="preserve"> hypersensitivity reaction </w:t>
      </w:r>
    </w:p>
    <w:p w14:paraId="6124CDFD" w14:textId="1558A2BD"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Respiratory, thoracic and mediastinal disorders:</w:t>
      </w:r>
      <w:r w:rsidRPr="008D4276">
        <w:rPr>
          <w:rFonts w:asciiTheme="majorHAnsi" w:hAnsiTheme="majorHAnsi" w:cstheme="minorHAnsi"/>
        </w:rPr>
        <w:t xml:space="preserve"> dyspnoea</w:t>
      </w:r>
    </w:p>
    <w:p w14:paraId="5BFF53D3"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Eye disorders:</w:t>
      </w:r>
      <w:r w:rsidRPr="008D4276">
        <w:rPr>
          <w:rFonts w:asciiTheme="majorHAnsi" w:hAnsiTheme="majorHAnsi" w:cstheme="minorHAnsi"/>
        </w:rPr>
        <w:t xml:space="preserve"> conjunctivitis</w:t>
      </w:r>
    </w:p>
    <w:p w14:paraId="6D3FBB96" w14:textId="77777777" w:rsidR="001B7B8C" w:rsidRPr="008D4276" w:rsidRDefault="001B7B8C" w:rsidP="001B7B8C">
      <w:pPr>
        <w:pStyle w:val="NoSpacing"/>
        <w:rPr>
          <w:rFonts w:asciiTheme="majorHAnsi" w:hAnsiTheme="majorHAnsi" w:cstheme="minorHAnsi"/>
        </w:rPr>
      </w:pPr>
      <w:r w:rsidRPr="008D4276">
        <w:rPr>
          <w:rFonts w:asciiTheme="majorHAnsi" w:hAnsiTheme="majorHAnsi" w:cstheme="minorHAnsi"/>
          <w:i/>
          <w:iCs/>
        </w:rPr>
        <w:t>Renal disorders:</w:t>
      </w:r>
      <w:r w:rsidRPr="008D4276">
        <w:rPr>
          <w:rFonts w:asciiTheme="majorHAnsi" w:hAnsiTheme="majorHAnsi" w:cstheme="minorHAnsi"/>
        </w:rPr>
        <w:t xml:space="preserve"> nephrolithiasis</w:t>
      </w:r>
    </w:p>
    <w:p w14:paraId="7C37FD70" w14:textId="410C65F3" w:rsidR="005E036E" w:rsidRPr="008D4276" w:rsidRDefault="001B7B8C" w:rsidP="001B7B8C">
      <w:pPr>
        <w:pStyle w:val="NoSpacing"/>
        <w:rPr>
          <w:rFonts w:asciiTheme="majorHAnsi" w:hAnsiTheme="majorHAnsi" w:cstheme="minorHAnsi"/>
        </w:rPr>
      </w:pPr>
      <w:r w:rsidRPr="008D4276">
        <w:rPr>
          <w:rFonts w:asciiTheme="majorHAnsi" w:hAnsiTheme="majorHAnsi" w:cstheme="minorHAnsi"/>
          <w:i/>
          <w:iCs/>
        </w:rPr>
        <w:t>Endocrine disorders:</w:t>
      </w:r>
      <w:r w:rsidRPr="008D4276">
        <w:rPr>
          <w:rFonts w:asciiTheme="majorHAnsi" w:hAnsiTheme="majorHAnsi" w:cstheme="minorHAnsi"/>
        </w:rPr>
        <w:t xml:space="preserve"> hypothyroidism</w:t>
      </w:r>
    </w:p>
    <w:p w14:paraId="53525170" w14:textId="77777777" w:rsidR="00DA5D00" w:rsidRPr="008D4276" w:rsidRDefault="00DA5D00" w:rsidP="004D6592">
      <w:pPr>
        <w:pStyle w:val="Heading4"/>
        <w:rPr>
          <w:rFonts w:asciiTheme="majorHAnsi" w:hAnsiTheme="majorHAnsi"/>
        </w:rPr>
      </w:pPr>
      <w:bookmarkStart w:id="24" w:name="_Hlk159333873"/>
      <w:r w:rsidRPr="008D4276">
        <w:rPr>
          <w:rFonts w:asciiTheme="majorHAnsi" w:hAnsiTheme="majorHAnsi"/>
        </w:rPr>
        <w:t>Infections</w:t>
      </w:r>
    </w:p>
    <w:p w14:paraId="180B20EA" w14:textId="3853D9D9" w:rsidR="00DA5D00" w:rsidRPr="008D4276" w:rsidRDefault="00DA5D00" w:rsidP="004D6592">
      <w:pPr>
        <w:rPr>
          <w:rFonts w:asciiTheme="majorHAnsi" w:hAnsiTheme="majorHAnsi"/>
        </w:rPr>
      </w:pPr>
      <w:r w:rsidRPr="008D4276">
        <w:rPr>
          <w:rFonts w:asciiTheme="majorHAnsi" w:hAnsiTheme="majorHAnsi"/>
        </w:rPr>
        <w:t xml:space="preserve">In the 6 month controlled clinical trials, the rate of all infections reported with </w:t>
      </w:r>
      <w:r w:rsidR="00631356" w:rsidRPr="008D4276">
        <w:rPr>
          <w:rFonts w:asciiTheme="majorHAnsi" w:hAnsiTheme="majorHAnsi"/>
        </w:rPr>
        <w:t>tocilizumab</w:t>
      </w:r>
      <w:r w:rsidRPr="008D4276">
        <w:rPr>
          <w:rFonts w:asciiTheme="majorHAnsi" w:hAnsiTheme="majorHAnsi"/>
        </w:rPr>
        <w:t xml:space="preserve"> 8 mg/kg + DMARD treatment was 127 events per 100 patient (pt) years compared to 112 events per 100 pt years in the placebo + DMARD group. In the </w:t>
      </w:r>
      <w:r w:rsidRPr="008D4276">
        <w:rPr>
          <w:rFonts w:asciiTheme="majorHAnsi" w:hAnsiTheme="majorHAnsi"/>
          <w:i/>
        </w:rPr>
        <w:t xml:space="preserve">all exposure </w:t>
      </w:r>
      <w:r w:rsidRPr="008D4276">
        <w:rPr>
          <w:rFonts w:asciiTheme="majorHAnsi" w:hAnsiTheme="majorHAnsi"/>
        </w:rPr>
        <w:t xml:space="preserve">population the overall rate of infections with </w:t>
      </w:r>
      <w:r w:rsidR="00631356" w:rsidRPr="008D4276">
        <w:rPr>
          <w:rFonts w:asciiTheme="majorHAnsi" w:hAnsiTheme="majorHAnsi"/>
        </w:rPr>
        <w:t>tocilizumab</w:t>
      </w:r>
      <w:r w:rsidRPr="008D4276">
        <w:rPr>
          <w:rFonts w:asciiTheme="majorHAnsi" w:hAnsiTheme="majorHAnsi"/>
        </w:rPr>
        <w:t xml:space="preserve"> was 108 events per 100 pt years exposure.</w:t>
      </w:r>
    </w:p>
    <w:p w14:paraId="7DFA61B5" w14:textId="3B0288CD" w:rsidR="00DA5D00" w:rsidRPr="008D4276" w:rsidRDefault="00DA5D00" w:rsidP="004D6592">
      <w:pPr>
        <w:rPr>
          <w:rFonts w:asciiTheme="majorHAnsi" w:hAnsiTheme="majorHAnsi"/>
        </w:rPr>
      </w:pPr>
      <w:r w:rsidRPr="008D4276">
        <w:rPr>
          <w:rFonts w:asciiTheme="majorHAnsi" w:hAnsiTheme="majorHAnsi"/>
        </w:rPr>
        <w:t xml:space="preserve">In the 6 month controlled clinical trials, the rate of serious infections (bacterial, viral and fungal) with </w:t>
      </w:r>
      <w:r w:rsidR="00631356" w:rsidRPr="008D4276">
        <w:rPr>
          <w:rFonts w:asciiTheme="majorHAnsi" w:hAnsiTheme="majorHAnsi"/>
        </w:rPr>
        <w:t>tocilizumab</w:t>
      </w:r>
      <w:r w:rsidRPr="008D4276">
        <w:rPr>
          <w:rFonts w:asciiTheme="majorHAnsi" w:hAnsiTheme="majorHAnsi"/>
        </w:rPr>
        <w:t xml:space="preserve"> 8 mg/kg + DMARD was 5.3 events per 100 pt years exposure compared to 3.9 events per 100 pt years exposure in the placebo + DMARD group. In the monotherapy study the </w:t>
      </w:r>
      <w:r w:rsidRPr="008D4276">
        <w:rPr>
          <w:rFonts w:asciiTheme="majorHAnsi" w:hAnsiTheme="majorHAnsi"/>
        </w:rPr>
        <w:lastRenderedPageBreak/>
        <w:t xml:space="preserve">rate of serious infections was 3.6 events per 100 pt years of exposure in the </w:t>
      </w:r>
      <w:r w:rsidR="00631356" w:rsidRPr="008D4276">
        <w:rPr>
          <w:rFonts w:asciiTheme="majorHAnsi" w:hAnsiTheme="majorHAnsi"/>
        </w:rPr>
        <w:t>tocilizumab</w:t>
      </w:r>
      <w:r w:rsidRPr="008D4276">
        <w:rPr>
          <w:rFonts w:asciiTheme="majorHAnsi" w:hAnsiTheme="majorHAnsi"/>
        </w:rPr>
        <w:t xml:space="preserve"> group and 1.5 events per 100 pt years of exposure in the MTX group.</w:t>
      </w:r>
    </w:p>
    <w:p w14:paraId="09835F82" w14:textId="77777777" w:rsidR="00DA5D00" w:rsidRPr="008D4276" w:rsidRDefault="00DA5D00" w:rsidP="004D6592">
      <w:pPr>
        <w:rPr>
          <w:rFonts w:asciiTheme="majorHAnsi" w:hAnsiTheme="majorHAnsi" w:cstheme="minorHAnsi"/>
        </w:rPr>
      </w:pPr>
      <w:r w:rsidRPr="008D4276">
        <w:rPr>
          <w:rFonts w:asciiTheme="majorHAnsi" w:hAnsiTheme="majorHAnsi" w:cstheme="minorHAnsi"/>
        </w:rPr>
        <w:t>In the all exposure population the overall rate of serious infections was 4.7 events per 100 pt years. Reported serious infections, some with fatal outcome, included active tuberculosis, which may present with intrapulmonary or extrapulmonary disease, invasive pulmonary infections, including candidiasis, aspergillosis, coccidioidomycosis and pneumocystis jirovecii, pneumonia, cellulitis, herpes zoster, gastroenteritis, diverticulitis, sepsis and bacterial arthritis. Cases of opportunistic infections have also been reported.</w:t>
      </w:r>
    </w:p>
    <w:p w14:paraId="0FF3B05B" w14:textId="77777777" w:rsidR="00DA5D00" w:rsidRPr="008D4276" w:rsidRDefault="00DA5D00" w:rsidP="004D6592">
      <w:pPr>
        <w:pStyle w:val="Heading4"/>
        <w:rPr>
          <w:rFonts w:asciiTheme="majorHAnsi" w:hAnsiTheme="majorHAnsi"/>
        </w:rPr>
      </w:pPr>
      <w:bookmarkStart w:id="25" w:name="Gastrointestinal_Perforation"/>
      <w:bookmarkEnd w:id="25"/>
      <w:r w:rsidRPr="008D4276">
        <w:rPr>
          <w:rFonts w:asciiTheme="majorHAnsi" w:hAnsiTheme="majorHAnsi"/>
        </w:rPr>
        <w:t>Gastrointestinal Perforation</w:t>
      </w:r>
    </w:p>
    <w:p w14:paraId="12C15A65" w14:textId="6B46EA20" w:rsidR="00DA5D00" w:rsidRPr="008D4276" w:rsidRDefault="00DA5D00" w:rsidP="004D6592">
      <w:pPr>
        <w:rPr>
          <w:rFonts w:asciiTheme="majorHAnsi" w:hAnsiTheme="majorHAnsi"/>
        </w:rPr>
      </w:pPr>
      <w:r w:rsidRPr="008D4276">
        <w:rPr>
          <w:rFonts w:asciiTheme="majorHAnsi" w:hAnsiTheme="majorHAnsi"/>
        </w:rPr>
        <w:t>During the 6 month controlled clinical trials, the overall rate of gastrointestinal (GI) perforation was 0.26 events per 100 pt years with</w:t>
      </w:r>
      <w:r w:rsidR="00631356" w:rsidRPr="008D4276">
        <w:rPr>
          <w:rFonts w:asciiTheme="majorHAnsi" w:hAnsiTheme="majorHAnsi"/>
        </w:rPr>
        <w:t xml:space="preserve"> tocilizumab</w:t>
      </w:r>
      <w:r w:rsidRPr="008D4276">
        <w:rPr>
          <w:rFonts w:asciiTheme="majorHAnsi" w:hAnsiTheme="majorHAnsi"/>
        </w:rPr>
        <w:t xml:space="preserve"> therapy. In the </w:t>
      </w:r>
      <w:r w:rsidRPr="008D4276">
        <w:rPr>
          <w:rFonts w:asciiTheme="majorHAnsi" w:hAnsiTheme="majorHAnsi"/>
          <w:i/>
        </w:rPr>
        <w:t xml:space="preserve">all exposure </w:t>
      </w:r>
      <w:r w:rsidRPr="008D4276">
        <w:rPr>
          <w:rFonts w:asciiTheme="majorHAnsi" w:hAnsiTheme="majorHAnsi"/>
        </w:rPr>
        <w:t>population the overall rate of gastrointestinal perforation was 0.28 events per 100 pt years. Reports of gastrointestinal perforation were primarily reported as complications of diverticulitis including generalised purulent peritonitis, lower GI perforation, fistulae and abscess.</w:t>
      </w:r>
    </w:p>
    <w:p w14:paraId="1EB5852C" w14:textId="77777777" w:rsidR="00DA5D00" w:rsidRPr="008D4276" w:rsidRDefault="00DA5D00" w:rsidP="004D6592">
      <w:pPr>
        <w:pStyle w:val="Heading4"/>
        <w:rPr>
          <w:rFonts w:asciiTheme="majorHAnsi" w:hAnsiTheme="majorHAnsi"/>
        </w:rPr>
      </w:pPr>
      <w:r w:rsidRPr="008D4276">
        <w:rPr>
          <w:rFonts w:asciiTheme="majorHAnsi" w:hAnsiTheme="majorHAnsi"/>
        </w:rPr>
        <w:t>Infusion Reactions</w:t>
      </w:r>
    </w:p>
    <w:p w14:paraId="34C2B078" w14:textId="1A90BCAC" w:rsidR="00DA5D00" w:rsidRPr="008D4276" w:rsidRDefault="00DA5D00" w:rsidP="004D6592">
      <w:pPr>
        <w:rPr>
          <w:rFonts w:asciiTheme="majorHAnsi" w:hAnsiTheme="majorHAnsi"/>
        </w:rPr>
      </w:pPr>
      <w:r w:rsidRPr="008D4276">
        <w:rPr>
          <w:rFonts w:asciiTheme="majorHAnsi" w:hAnsiTheme="majorHAnsi"/>
        </w:rPr>
        <w:t xml:space="preserve">In the 6 month controlled trials, adverse events associated with infusion (selected events occurring during or within 24 hours of infusion) were reported by 6.9% of patients in the </w:t>
      </w:r>
      <w:r w:rsidR="00631356" w:rsidRPr="008D4276">
        <w:rPr>
          <w:rFonts w:asciiTheme="majorHAnsi" w:hAnsiTheme="majorHAnsi"/>
        </w:rPr>
        <w:t>tocilizumab</w:t>
      </w:r>
      <w:r w:rsidRPr="008D4276">
        <w:rPr>
          <w:rFonts w:asciiTheme="majorHAnsi" w:hAnsiTheme="majorHAnsi"/>
        </w:rPr>
        <w:t xml:space="preserve"> 8 mg/kg + DMARD and 5.1% of patients in the placebo + DMARD group. Events reported during the infusion were primarily episodes of hypertension. Events reported within 24 hours of finishing an infusion were headache and skin reactions (rash, urticaria). These events were not treatment limiting.</w:t>
      </w:r>
    </w:p>
    <w:p w14:paraId="2BF8AA03" w14:textId="77777777" w:rsidR="00DA5D00" w:rsidRPr="008D4276" w:rsidRDefault="00DA5D00" w:rsidP="004D6592">
      <w:pPr>
        <w:rPr>
          <w:rFonts w:asciiTheme="majorHAnsi" w:hAnsiTheme="majorHAnsi"/>
        </w:rPr>
      </w:pPr>
      <w:r w:rsidRPr="008D4276">
        <w:rPr>
          <w:rFonts w:asciiTheme="majorHAnsi" w:hAnsiTheme="majorHAnsi"/>
        </w:rPr>
        <w:t>The rate of anaphylactic reactions (occurring in a total of 8/4009 patients, 0.2%) was several fold higher with the 4 mg/kg dose, compared to the 8 mg/kg dose.</w:t>
      </w:r>
    </w:p>
    <w:p w14:paraId="7D9EF453" w14:textId="7AD3F616" w:rsidR="00DA5D00" w:rsidRPr="008D4276" w:rsidRDefault="00DA5D00" w:rsidP="004D6592">
      <w:pPr>
        <w:rPr>
          <w:rFonts w:asciiTheme="majorHAnsi" w:hAnsiTheme="majorHAnsi"/>
        </w:rPr>
      </w:pPr>
      <w:r w:rsidRPr="008D4276">
        <w:rPr>
          <w:rFonts w:asciiTheme="majorHAnsi" w:hAnsiTheme="majorHAnsi"/>
        </w:rPr>
        <w:t>Clinically significant hypersensitivity reactions associated with</w:t>
      </w:r>
      <w:r w:rsidR="00631356" w:rsidRPr="008D4276">
        <w:rPr>
          <w:rFonts w:asciiTheme="majorHAnsi" w:hAnsiTheme="majorHAnsi"/>
        </w:rPr>
        <w:t xml:space="preserve"> tocilizumab</w:t>
      </w:r>
      <w:r w:rsidRPr="008D4276">
        <w:rPr>
          <w:rFonts w:asciiTheme="majorHAnsi" w:hAnsiTheme="majorHAnsi"/>
        </w:rPr>
        <w:t xml:space="preserve"> and requiring treatment discontinuation, were reported in a total of 56 out of 4009 patients (1.4%) treated with </w:t>
      </w:r>
      <w:r w:rsidR="00631356" w:rsidRPr="008D4276">
        <w:rPr>
          <w:rFonts w:asciiTheme="majorHAnsi" w:hAnsiTheme="majorHAnsi"/>
        </w:rPr>
        <w:t>tocilizumab</w:t>
      </w:r>
      <w:r w:rsidRPr="008D4276">
        <w:rPr>
          <w:rFonts w:asciiTheme="majorHAnsi" w:hAnsiTheme="majorHAnsi"/>
        </w:rPr>
        <w:t xml:space="preserve"> during the controlled and open label clinical trials. These reactions were generally observed during the second to fifth infusions of </w:t>
      </w:r>
      <w:r w:rsidR="00631356" w:rsidRPr="008D4276">
        <w:rPr>
          <w:rFonts w:asciiTheme="majorHAnsi" w:hAnsiTheme="majorHAnsi"/>
        </w:rPr>
        <w:t>tocilizumab</w:t>
      </w:r>
      <w:r w:rsidRPr="008D4276">
        <w:rPr>
          <w:rFonts w:asciiTheme="majorHAnsi" w:hAnsiTheme="majorHAnsi"/>
        </w:rPr>
        <w:t>.</w:t>
      </w:r>
    </w:p>
    <w:p w14:paraId="5610200B" w14:textId="77777777" w:rsidR="00DA5D00" w:rsidRPr="008D4276" w:rsidRDefault="00DA5D00" w:rsidP="004D6592">
      <w:pPr>
        <w:pStyle w:val="Heading4"/>
        <w:rPr>
          <w:rFonts w:asciiTheme="majorHAnsi" w:hAnsiTheme="majorHAnsi"/>
        </w:rPr>
      </w:pPr>
      <w:r w:rsidRPr="008D4276">
        <w:rPr>
          <w:rFonts w:asciiTheme="majorHAnsi" w:hAnsiTheme="majorHAnsi"/>
        </w:rPr>
        <w:t>Immunogenicity</w:t>
      </w:r>
    </w:p>
    <w:p w14:paraId="43AA24A1" w14:textId="5072076F" w:rsidR="00DA5D00" w:rsidRPr="008D4276" w:rsidRDefault="00DA5D00" w:rsidP="004D6592">
      <w:pPr>
        <w:rPr>
          <w:rFonts w:asciiTheme="majorHAnsi" w:hAnsiTheme="majorHAnsi"/>
        </w:rPr>
      </w:pPr>
      <w:r w:rsidRPr="008D4276">
        <w:rPr>
          <w:rFonts w:asciiTheme="majorHAnsi" w:hAnsiTheme="majorHAnsi"/>
        </w:rPr>
        <w:t>A total of 2876 patients have been tested for anti-</w:t>
      </w:r>
      <w:r w:rsidR="00631356" w:rsidRPr="008D4276">
        <w:rPr>
          <w:rFonts w:asciiTheme="majorHAnsi" w:hAnsiTheme="majorHAnsi"/>
        </w:rPr>
        <w:t>tocilizumab</w:t>
      </w:r>
      <w:r w:rsidRPr="008D4276">
        <w:rPr>
          <w:rFonts w:asciiTheme="majorHAnsi" w:hAnsiTheme="majorHAnsi"/>
        </w:rPr>
        <w:t xml:space="preserve"> antibodies in the 6 month controlled clinical trials. Forty-six patients (1.6%) developed positive anti-</w:t>
      </w:r>
      <w:r w:rsidR="004605F8" w:rsidRPr="008D4276">
        <w:rPr>
          <w:rFonts w:asciiTheme="majorHAnsi" w:hAnsiTheme="majorHAnsi"/>
        </w:rPr>
        <w:t>tocilizumab</w:t>
      </w:r>
      <w:r w:rsidRPr="008D4276">
        <w:rPr>
          <w:rFonts w:asciiTheme="majorHAnsi" w:hAnsiTheme="majorHAnsi"/>
        </w:rPr>
        <w:t xml:space="preserve"> antibodies of whom 5 had an associated medically significant hypersensitivity reaction leading to withdrawal. Thirty patients (1.1%) developed neutralising antibodies.</w:t>
      </w:r>
    </w:p>
    <w:p w14:paraId="17F1AC92" w14:textId="5680E0E5" w:rsidR="00631356" w:rsidRPr="008D4276" w:rsidRDefault="006B6BA2" w:rsidP="008D4276">
      <w:pPr>
        <w:pStyle w:val="Heading5"/>
        <w:rPr>
          <w:rFonts w:asciiTheme="majorHAnsi" w:hAnsiTheme="majorHAnsi"/>
        </w:rPr>
      </w:pPr>
      <w:r w:rsidRPr="008D4276">
        <w:rPr>
          <w:rFonts w:asciiTheme="majorHAnsi" w:hAnsiTheme="majorHAnsi"/>
        </w:rPr>
        <w:t xml:space="preserve">Immunogenicity Comparability </w:t>
      </w:r>
      <w:r w:rsidR="00631356" w:rsidRPr="008D4276">
        <w:rPr>
          <w:rFonts w:asciiTheme="majorHAnsi" w:hAnsiTheme="majorHAnsi"/>
        </w:rPr>
        <w:t>of ACTEMR</w:t>
      </w:r>
      <w:r w:rsidR="004D6592" w:rsidRPr="008D4276">
        <w:rPr>
          <w:rFonts w:asciiTheme="majorHAnsi" w:hAnsiTheme="majorHAnsi"/>
        </w:rPr>
        <w:t xml:space="preserve">A </w:t>
      </w:r>
      <w:r w:rsidR="00631356" w:rsidRPr="008D4276">
        <w:rPr>
          <w:rFonts w:asciiTheme="majorHAnsi" w:hAnsiTheme="majorHAnsi"/>
        </w:rPr>
        <w:t>and AVTOZMA</w:t>
      </w:r>
    </w:p>
    <w:p w14:paraId="27F98BE2" w14:textId="2754B62D" w:rsidR="00631356" w:rsidRPr="008D4276" w:rsidRDefault="00631356" w:rsidP="004D6592">
      <w:pPr>
        <w:rPr>
          <w:rFonts w:asciiTheme="majorHAnsi" w:hAnsiTheme="majorHAnsi"/>
        </w:rPr>
      </w:pPr>
      <w:r w:rsidRPr="008D4276">
        <w:rPr>
          <w:rFonts w:asciiTheme="majorHAnsi" w:hAnsiTheme="majorHAnsi"/>
        </w:rPr>
        <w:t xml:space="preserve">The immunogenicity of CT-P47 (AVTOZMA) in clinical studies using the SC formulation was </w:t>
      </w:r>
      <w:r w:rsidR="00AF323D" w:rsidRPr="008D4276">
        <w:rPr>
          <w:rFonts w:asciiTheme="majorHAnsi" w:hAnsiTheme="majorHAnsi"/>
        </w:rPr>
        <w:t>assessed in</w:t>
      </w:r>
      <w:r w:rsidRPr="008D4276">
        <w:rPr>
          <w:rFonts w:asciiTheme="majorHAnsi" w:hAnsiTheme="majorHAnsi"/>
        </w:rPr>
        <w:t xml:space="preserve"> </w:t>
      </w:r>
      <w:r w:rsidR="00352152" w:rsidRPr="008D4276">
        <w:rPr>
          <w:rFonts w:asciiTheme="majorHAnsi" w:hAnsiTheme="majorHAnsi"/>
        </w:rPr>
        <w:t xml:space="preserve">468 healthy subjects (14 subjects in CT-P47 1.1 Part 1; 144 subjects in CT-P47 1.1 Part 2; </w:t>
      </w:r>
      <w:r w:rsidRPr="008D4276">
        <w:rPr>
          <w:rFonts w:asciiTheme="majorHAnsi" w:hAnsiTheme="majorHAnsi"/>
        </w:rPr>
        <w:t xml:space="preserve">310 subjects for CT-P47 1.3) up to Day 43 and 33 patients with moderate to severe RA up to Week 12 (Study CT P47 3.2). The immunogenicity of the IV formulation was evaluated based on </w:t>
      </w:r>
      <w:r w:rsidR="00352152" w:rsidRPr="008D4276">
        <w:rPr>
          <w:rFonts w:asciiTheme="majorHAnsi" w:hAnsiTheme="majorHAnsi"/>
        </w:rPr>
        <w:t xml:space="preserve"> 45</w:t>
      </w:r>
      <w:r w:rsidRPr="008D4276">
        <w:rPr>
          <w:rFonts w:asciiTheme="majorHAnsi" w:hAnsiTheme="majorHAnsi"/>
        </w:rPr>
        <w:t xml:space="preserve"> healthy subjects up to Day 56 (Study CT-P47 1.2), and</w:t>
      </w:r>
      <w:r w:rsidR="00352152" w:rsidRPr="008D4276">
        <w:rPr>
          <w:rFonts w:asciiTheme="majorHAnsi" w:hAnsiTheme="majorHAnsi"/>
        </w:rPr>
        <w:t xml:space="preserve"> 234</w:t>
      </w:r>
      <w:r w:rsidRPr="008D4276">
        <w:rPr>
          <w:rFonts w:asciiTheme="majorHAnsi" w:hAnsiTheme="majorHAnsi"/>
        </w:rPr>
        <w:t xml:space="preserve"> patients with moderate to severe RA up to Week </w:t>
      </w:r>
      <w:r w:rsidR="006C499C">
        <w:rPr>
          <w:rFonts w:asciiTheme="majorHAnsi" w:hAnsiTheme="majorHAnsi" w:hint="eastAsia"/>
          <w:lang w:eastAsia="ko-KR"/>
        </w:rPr>
        <w:t>20</w:t>
      </w:r>
      <w:r w:rsidRPr="008D4276">
        <w:rPr>
          <w:rFonts w:asciiTheme="majorHAnsi" w:hAnsiTheme="majorHAnsi"/>
        </w:rPr>
        <w:t xml:space="preserve"> (Study CT-P47 3.1)</w:t>
      </w:r>
      <w:r w:rsidR="00352152" w:rsidRPr="008D4276">
        <w:rPr>
          <w:rFonts w:asciiTheme="majorHAnsi" w:hAnsiTheme="majorHAnsi"/>
        </w:rPr>
        <w:t xml:space="preserve"> (with an additional 110 subjects</w:t>
      </w:r>
      <w:r w:rsidR="00C502D1" w:rsidRPr="00C502D1">
        <w:rPr>
          <w:rFonts w:asciiTheme="majorHAnsi" w:hAnsiTheme="majorHAnsi"/>
        </w:rPr>
        <w:t>CT-P47 after single transition from reference drug</w:t>
      </w:r>
      <w:r w:rsidR="00352152" w:rsidRPr="008D4276">
        <w:rPr>
          <w:rFonts w:asciiTheme="majorHAnsi" w:hAnsiTheme="majorHAnsi"/>
        </w:rPr>
        <w:t xml:space="preserve"> between Week 24 and Week </w:t>
      </w:r>
      <w:r w:rsidR="00D6565B">
        <w:rPr>
          <w:rFonts w:asciiTheme="majorHAnsi" w:hAnsiTheme="majorHAnsi" w:hint="eastAsia"/>
          <w:lang w:eastAsia="ko-KR"/>
        </w:rPr>
        <w:t>48</w:t>
      </w:r>
      <w:r w:rsidR="00352152" w:rsidRPr="008D4276">
        <w:rPr>
          <w:rFonts w:asciiTheme="majorHAnsi" w:hAnsiTheme="majorHAnsi"/>
        </w:rPr>
        <w:t xml:space="preserve"> inclusive) from Study CT-P47 3.1</w:t>
      </w:r>
      <w:r w:rsidRPr="008D4276">
        <w:rPr>
          <w:rFonts w:asciiTheme="majorHAnsi" w:hAnsiTheme="majorHAnsi"/>
        </w:rPr>
        <w:t xml:space="preserve">. </w:t>
      </w:r>
    </w:p>
    <w:p w14:paraId="3E6AC08E" w14:textId="77777777" w:rsidR="00631356" w:rsidRPr="008D4276" w:rsidRDefault="00631356" w:rsidP="004D6592">
      <w:pPr>
        <w:rPr>
          <w:rFonts w:asciiTheme="majorHAnsi" w:hAnsiTheme="majorHAnsi"/>
        </w:rPr>
      </w:pPr>
      <w:r w:rsidRPr="008D4276">
        <w:rPr>
          <w:rFonts w:asciiTheme="majorHAnsi" w:hAnsiTheme="majorHAnsi"/>
        </w:rPr>
        <w:lastRenderedPageBreak/>
        <w:t xml:space="preserve">For the subcutaneous formulation, in Study CT-P47 1.1 Part 2, 20 (13.9%) and 29 (20.7%) of subjects in the CT-P47 and ACTEMRA groups, respectively, developed anti-drug antibodies (ADA) across the study. Neutralizing antibodies (NAb) were present in 17 (11.8%) and 20 (14.3%) of subjects for the CT-P47 and ACTEMRA groups, respectively. </w:t>
      </w:r>
    </w:p>
    <w:p w14:paraId="17535749" w14:textId="77777777" w:rsidR="00631356" w:rsidRPr="008D4276" w:rsidRDefault="00631356" w:rsidP="004D6592">
      <w:pPr>
        <w:rPr>
          <w:rFonts w:asciiTheme="majorHAnsi" w:hAnsiTheme="majorHAnsi"/>
        </w:rPr>
      </w:pPr>
      <w:r w:rsidRPr="008D4276">
        <w:rPr>
          <w:rFonts w:asciiTheme="majorHAnsi" w:hAnsiTheme="majorHAnsi"/>
        </w:rPr>
        <w:t>In Study CT-P47 1.3, 26 (17.0%) and 32 (20.4%) of subjects in the CT-P47 auto-injector and pre-filled syringe groups, respectively, developed ADA across the study while NAb were present in 12 (7.8%) and 14 (8.9%) of subjects, respectively.</w:t>
      </w:r>
    </w:p>
    <w:p w14:paraId="3460BCEC" w14:textId="416B8763" w:rsidR="00631356" w:rsidRPr="008D4276" w:rsidRDefault="00631356" w:rsidP="004D6592">
      <w:pPr>
        <w:rPr>
          <w:rFonts w:asciiTheme="majorHAnsi" w:hAnsiTheme="majorHAnsi"/>
        </w:rPr>
      </w:pPr>
      <w:r w:rsidRPr="008D4276">
        <w:rPr>
          <w:rFonts w:asciiTheme="majorHAnsi" w:hAnsiTheme="majorHAnsi"/>
        </w:rPr>
        <w:t>For the intravenous formulation, in Study CT-P47 1.2, 5 (11.1%) and 1 (2.3%) of subjects in the CT-P47 and ACTEMRA groups, respectively, developed ADA across the study while NAb were present in 2 (4.4%) of subjects in the CT-P47 group</w:t>
      </w:r>
      <w:r w:rsidR="00BD7388" w:rsidRPr="008D4276">
        <w:rPr>
          <w:rFonts w:asciiTheme="majorHAnsi" w:hAnsiTheme="majorHAnsi"/>
        </w:rPr>
        <w:t xml:space="preserve"> and none in the Actemra group</w:t>
      </w:r>
      <w:r w:rsidRPr="008D4276">
        <w:rPr>
          <w:rFonts w:asciiTheme="majorHAnsi" w:hAnsiTheme="majorHAnsi"/>
        </w:rPr>
        <w:t xml:space="preserve">. In Study CT-P47 3.1, 12 (5.1%) and 13 (5.5%) of subjects in the CT-P47 and ACTEMRA groups, respectively, developed ADA across the study with NAb present in 11 (4.7%) and 10 (4.2%) of subjects, respectively. </w:t>
      </w:r>
    </w:p>
    <w:p w14:paraId="734E2789" w14:textId="77DDB18A" w:rsidR="00631356" w:rsidRPr="008D4276" w:rsidRDefault="00631356" w:rsidP="004D6592">
      <w:pPr>
        <w:rPr>
          <w:rFonts w:asciiTheme="majorHAnsi" w:hAnsiTheme="majorHAnsi"/>
        </w:rPr>
      </w:pPr>
      <w:r w:rsidRPr="008D4276">
        <w:rPr>
          <w:rFonts w:asciiTheme="majorHAnsi" w:hAnsiTheme="majorHAnsi"/>
        </w:rPr>
        <w:t xml:space="preserve">In healthy subjects, the proportions of subjects who had at least 1 post-treatment ADA positive result and were NAb positive were similar between CT-P47 and ACTEMRA in both the subcutaneous and intravenous formulations. In addition, the two CT-P47 SC devices (AVTPen vs. PFS) showed comparable </w:t>
      </w:r>
      <w:r w:rsidR="00DF1194" w:rsidRPr="00DF1194">
        <w:rPr>
          <w:rFonts w:asciiTheme="majorHAnsi" w:hAnsiTheme="majorHAnsi"/>
        </w:rPr>
        <w:t>immunogenicity resul</w:t>
      </w:r>
      <w:r w:rsidR="00DF1194">
        <w:rPr>
          <w:rFonts w:asciiTheme="majorHAnsi" w:hAnsiTheme="majorHAnsi" w:hint="eastAsia"/>
          <w:lang w:eastAsia="ko-KR"/>
        </w:rPr>
        <w:t>t</w:t>
      </w:r>
      <w:r w:rsidR="0086221D">
        <w:rPr>
          <w:rFonts w:asciiTheme="majorHAnsi" w:hAnsiTheme="majorHAnsi" w:hint="eastAsia"/>
          <w:lang w:eastAsia="ko-KR"/>
        </w:rPr>
        <w:t>s</w:t>
      </w:r>
      <w:r w:rsidRPr="008D4276">
        <w:rPr>
          <w:rFonts w:asciiTheme="majorHAnsi" w:hAnsiTheme="majorHAnsi"/>
        </w:rPr>
        <w:t>.</w:t>
      </w:r>
    </w:p>
    <w:p w14:paraId="60D6D3DA" w14:textId="52DC8695" w:rsidR="000662E9" w:rsidRDefault="00631356" w:rsidP="004D6592">
      <w:pPr>
        <w:rPr>
          <w:rFonts w:asciiTheme="majorHAnsi" w:hAnsiTheme="majorHAnsi"/>
          <w:lang w:eastAsia="ko-KR"/>
        </w:rPr>
      </w:pPr>
      <w:r w:rsidRPr="008D4276">
        <w:rPr>
          <w:rFonts w:asciiTheme="majorHAnsi" w:hAnsiTheme="majorHAnsi"/>
        </w:rPr>
        <w:t>The immunogenicity results in patients with moderate to severe RA (Study CT-P47 3.1) showthat the frequency of ADA and NAb incidences at each timepoint were</w:t>
      </w:r>
      <w:r w:rsidR="00847760" w:rsidRPr="008D4276">
        <w:rPr>
          <w:rFonts w:asciiTheme="majorHAnsi" w:hAnsiTheme="majorHAnsi"/>
        </w:rPr>
        <w:t xml:space="preserve"> generally </w:t>
      </w:r>
      <w:r w:rsidRPr="008D4276">
        <w:rPr>
          <w:rFonts w:asciiTheme="majorHAnsi" w:hAnsiTheme="majorHAnsi"/>
        </w:rPr>
        <w:t xml:space="preserve"> similar between the CT-P47 and </w:t>
      </w:r>
      <w:r w:rsidR="005C7317" w:rsidRPr="008D4276">
        <w:rPr>
          <w:rFonts w:asciiTheme="majorHAnsi" w:hAnsiTheme="majorHAnsi"/>
        </w:rPr>
        <w:t>ACTEMRA treatment</w:t>
      </w:r>
      <w:r w:rsidRPr="008D4276">
        <w:rPr>
          <w:rFonts w:asciiTheme="majorHAnsi" w:hAnsiTheme="majorHAnsi"/>
        </w:rPr>
        <w:t xml:space="preserve"> groups.</w:t>
      </w:r>
      <w:r w:rsidR="00847760" w:rsidRPr="008D4276">
        <w:rPr>
          <w:rFonts w:asciiTheme="majorHAnsi" w:hAnsiTheme="majorHAnsi"/>
        </w:rPr>
        <w:t xml:space="preserve">. </w:t>
      </w:r>
      <w:r w:rsidRPr="008D4276">
        <w:rPr>
          <w:rFonts w:asciiTheme="majorHAnsi" w:hAnsiTheme="majorHAnsi"/>
        </w:rPr>
        <w:t xml:space="preserve">Moreover, the proportion of ADA positive patients at all timepoints was below 5%, which is in line with historical studies with tocilizumab where low (1-2%) ADA incidences were reported. </w:t>
      </w:r>
      <w:r w:rsidR="0091294A">
        <w:rPr>
          <w:rFonts w:asciiTheme="majorHAnsi" w:hAnsiTheme="majorHAnsi"/>
        </w:rPr>
        <w:t xml:space="preserve">Please refer to </w:t>
      </w:r>
      <w:r w:rsidR="0091294A" w:rsidRPr="008E0261">
        <w:rPr>
          <w:rFonts w:ascii="Cambria" w:hAnsi="Cambria"/>
        </w:rPr>
        <w:fldChar w:fldCharType="begin"/>
      </w:r>
      <w:r w:rsidR="0091294A" w:rsidRPr="008E0261">
        <w:rPr>
          <w:rFonts w:ascii="Cambria" w:hAnsi="Cambria"/>
        </w:rPr>
        <w:instrText xml:space="preserve"> REF _Ref191988182 \h </w:instrText>
      </w:r>
      <w:r w:rsidR="00586C84">
        <w:rPr>
          <w:rFonts w:ascii="Cambria" w:hAnsi="Cambria"/>
        </w:rPr>
        <w:instrText xml:space="preserve"> \* MERGEFORMAT </w:instrText>
      </w:r>
      <w:r w:rsidR="0091294A" w:rsidRPr="008E0261">
        <w:rPr>
          <w:rFonts w:ascii="Cambria" w:hAnsi="Cambria"/>
        </w:rPr>
      </w:r>
      <w:r w:rsidR="0091294A" w:rsidRPr="008E0261">
        <w:rPr>
          <w:rFonts w:ascii="Cambria" w:hAnsi="Cambria"/>
        </w:rPr>
        <w:fldChar w:fldCharType="separate"/>
      </w:r>
      <w:r w:rsidR="004C310F" w:rsidRPr="008E0261">
        <w:rPr>
          <w:rFonts w:ascii="Cambria" w:hAnsi="Cambria"/>
        </w:rPr>
        <w:t xml:space="preserve">Table </w:t>
      </w:r>
      <w:r w:rsidR="004C310F">
        <w:rPr>
          <w:rFonts w:ascii="Cambria" w:hAnsi="Cambria"/>
          <w:noProof/>
        </w:rPr>
        <w:t>2</w:t>
      </w:r>
      <w:r w:rsidR="0091294A" w:rsidRPr="008E0261">
        <w:rPr>
          <w:rFonts w:ascii="Cambria" w:hAnsi="Cambria"/>
        </w:rPr>
        <w:fldChar w:fldCharType="end"/>
      </w:r>
      <w:r w:rsidR="0091294A" w:rsidRPr="008E0261">
        <w:rPr>
          <w:rFonts w:ascii="Cambria" w:hAnsi="Cambria"/>
        </w:rPr>
        <w:t>.</w:t>
      </w:r>
      <w:r w:rsidR="0091294A">
        <w:rPr>
          <w:rFonts w:asciiTheme="majorHAnsi" w:hAnsiTheme="majorHAnsi"/>
        </w:rPr>
        <w:t xml:space="preserve"> </w:t>
      </w:r>
    </w:p>
    <w:p w14:paraId="118BB29D" w14:textId="0339ED62" w:rsidR="0091294A" w:rsidRDefault="0091294A" w:rsidP="0091294A">
      <w:pPr>
        <w:pStyle w:val="Caption"/>
        <w:keepNext/>
        <w:rPr>
          <w:rFonts w:ascii="Cambria" w:hAnsi="Cambria"/>
        </w:rPr>
      </w:pPr>
      <w:bookmarkStart w:id="26" w:name="_Ref191988182"/>
      <w:bookmarkStart w:id="27" w:name="_Ref191988134"/>
      <w:r w:rsidRPr="008E0261">
        <w:rPr>
          <w:rFonts w:ascii="Cambria" w:hAnsi="Cambria"/>
          <w:sz w:val="22"/>
          <w:szCs w:val="22"/>
        </w:rPr>
        <w:t xml:space="preserve">Table </w:t>
      </w:r>
      <w:r w:rsidRPr="008E0261">
        <w:rPr>
          <w:rFonts w:ascii="Cambria" w:hAnsi="Cambria"/>
          <w:sz w:val="22"/>
          <w:szCs w:val="22"/>
        </w:rPr>
        <w:fldChar w:fldCharType="begin"/>
      </w:r>
      <w:r w:rsidRPr="008E0261">
        <w:rPr>
          <w:rFonts w:ascii="Cambria" w:hAnsi="Cambria"/>
          <w:sz w:val="22"/>
          <w:szCs w:val="22"/>
        </w:rPr>
        <w:instrText xml:space="preserve"> SEQ Table \* ARABIC </w:instrText>
      </w:r>
      <w:r w:rsidRPr="008E0261">
        <w:rPr>
          <w:rFonts w:ascii="Cambria" w:hAnsi="Cambria"/>
          <w:sz w:val="22"/>
          <w:szCs w:val="22"/>
        </w:rPr>
        <w:fldChar w:fldCharType="separate"/>
      </w:r>
      <w:r w:rsidR="004C310F">
        <w:rPr>
          <w:rFonts w:ascii="Cambria" w:hAnsi="Cambria"/>
          <w:noProof/>
          <w:sz w:val="22"/>
          <w:szCs w:val="22"/>
        </w:rPr>
        <w:t>2</w:t>
      </w:r>
      <w:r w:rsidRPr="008E0261">
        <w:rPr>
          <w:rFonts w:ascii="Cambria" w:hAnsi="Cambria"/>
          <w:sz w:val="22"/>
          <w:szCs w:val="22"/>
        </w:rPr>
        <w:fldChar w:fldCharType="end"/>
      </w:r>
      <w:bookmarkEnd w:id="26"/>
      <w:r w:rsidRPr="008E0261">
        <w:rPr>
          <w:rFonts w:ascii="Cambria" w:hAnsi="Cambria"/>
          <w:sz w:val="22"/>
          <w:szCs w:val="22"/>
        </w:rPr>
        <w:t xml:space="preserve"> </w:t>
      </w:r>
      <w:bookmarkStart w:id="28" w:name="_Ref191988142"/>
      <w:r w:rsidRPr="008E0261">
        <w:rPr>
          <w:rFonts w:ascii="Cambria" w:hAnsi="Cambria"/>
          <w:sz w:val="22"/>
          <w:szCs w:val="22"/>
        </w:rPr>
        <w:t>–</w:t>
      </w:r>
      <w:r w:rsidRPr="008E0261">
        <w:rPr>
          <w:rFonts w:ascii="Cambria" w:hAnsi="Cambria"/>
        </w:rPr>
        <w:t xml:space="preserve"> Study CTP47 3.1 - Immunogenicity results by ADA/NAb status (Safety set)</w:t>
      </w:r>
      <w:bookmarkEnd w:id="27"/>
      <w:bookmarkEnd w:id="28"/>
    </w:p>
    <w:tbl>
      <w:tblPr>
        <w:tblStyle w:val="TableGrid"/>
        <w:tblW w:w="9297" w:type="dxa"/>
        <w:tblLayout w:type="fixed"/>
        <w:tblLook w:val="04A0" w:firstRow="1" w:lastRow="0" w:firstColumn="1" w:lastColumn="0" w:noHBand="0" w:noVBand="1"/>
      </w:tblPr>
      <w:tblGrid>
        <w:gridCol w:w="2349"/>
        <w:gridCol w:w="2314"/>
        <w:gridCol w:w="1160"/>
        <w:gridCol w:w="1154"/>
        <w:gridCol w:w="2320"/>
      </w:tblGrid>
      <w:tr w:rsidR="000662E9" w14:paraId="2A457B2F" w14:textId="77777777" w:rsidTr="005E0CE0">
        <w:trPr>
          <w:trHeight w:val="736"/>
        </w:trPr>
        <w:tc>
          <w:tcPr>
            <w:tcW w:w="2349" w:type="dxa"/>
            <w:vAlign w:val="center"/>
          </w:tcPr>
          <w:p w14:paraId="5E0DDF10" w14:textId="1AAF5409" w:rsidR="000662E9" w:rsidRPr="003F5E79" w:rsidRDefault="000662E9" w:rsidP="005E0CE0">
            <w:pPr>
              <w:pStyle w:val="BodyText"/>
              <w:ind w:left="0"/>
              <w:rPr>
                <w:rFonts w:asciiTheme="majorHAnsi" w:eastAsiaTheme="minorEastAsia" w:hAnsiTheme="majorHAnsi"/>
                <w:sz w:val="22"/>
                <w:szCs w:val="22"/>
              </w:rPr>
            </w:pPr>
            <w:r>
              <w:rPr>
                <w:rFonts w:asciiTheme="majorHAnsi" w:eastAsiaTheme="minorEastAsia" w:hAnsiTheme="majorHAnsi" w:hint="eastAsia"/>
                <w:sz w:val="22"/>
                <w:szCs w:val="22"/>
              </w:rPr>
              <w:t>Treatment Period I</w:t>
            </w:r>
            <w:r w:rsidR="00164D81">
              <w:rPr>
                <w:rFonts w:asciiTheme="majorHAnsi" w:eastAsiaTheme="minorEastAsia" w:hAnsiTheme="majorHAnsi"/>
                <w:sz w:val="22"/>
                <w:szCs w:val="22"/>
              </w:rPr>
              <w:t xml:space="preserve"> – week 0-24</w:t>
            </w:r>
            <w:r>
              <w:rPr>
                <w:rFonts w:asciiTheme="majorHAnsi" w:eastAsiaTheme="minorEastAsia" w:hAnsiTheme="majorHAnsi" w:hint="eastAsia"/>
                <w:sz w:val="22"/>
                <w:szCs w:val="22"/>
              </w:rPr>
              <w:t xml:space="preserve"> </w:t>
            </w:r>
          </w:p>
        </w:tc>
        <w:tc>
          <w:tcPr>
            <w:tcW w:w="3474" w:type="dxa"/>
            <w:gridSpan w:val="2"/>
            <w:vAlign w:val="center"/>
          </w:tcPr>
          <w:p w14:paraId="55335E39"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CT-P47</w:t>
            </w:r>
          </w:p>
          <w:p w14:paraId="2EB2A2C0"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(n=</w:t>
            </w:r>
            <w:r>
              <w:rPr>
                <w:rFonts w:asciiTheme="majorHAnsi" w:eastAsiaTheme="minorEastAsia" w:hAnsiTheme="majorHAnsi" w:hint="eastAsia"/>
                <w:sz w:val="22"/>
                <w:szCs w:val="22"/>
              </w:rPr>
              <w:t>234</w:t>
            </w:r>
            <w:r w:rsidRPr="003F5E79">
              <w:rPr>
                <w:rFonts w:asciiTheme="majorHAnsi" w:eastAsiaTheme="minorEastAsia" w:hAnsiTheme="majorHAnsi"/>
                <w:sz w:val="22"/>
                <w:szCs w:val="22"/>
              </w:rPr>
              <w:t>)</w:t>
            </w:r>
          </w:p>
        </w:tc>
        <w:tc>
          <w:tcPr>
            <w:tcW w:w="3474" w:type="dxa"/>
            <w:gridSpan w:val="2"/>
            <w:vAlign w:val="center"/>
          </w:tcPr>
          <w:p w14:paraId="161A64C3"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RoActemra</w:t>
            </w:r>
          </w:p>
          <w:p w14:paraId="0D984B7C"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(n=</w:t>
            </w:r>
            <w:r>
              <w:rPr>
                <w:rFonts w:asciiTheme="majorHAnsi" w:eastAsiaTheme="minorEastAsia" w:hAnsiTheme="majorHAnsi" w:hint="eastAsia"/>
                <w:sz w:val="22"/>
                <w:szCs w:val="22"/>
              </w:rPr>
              <w:t>237</w:t>
            </w:r>
            <w:r w:rsidRPr="003F5E79">
              <w:rPr>
                <w:rFonts w:asciiTheme="majorHAnsi" w:eastAsiaTheme="minorEastAsia" w:hAnsiTheme="majorHAnsi"/>
                <w:sz w:val="22"/>
                <w:szCs w:val="22"/>
              </w:rPr>
              <w:t>)</w:t>
            </w:r>
          </w:p>
          <w:p w14:paraId="269481D4" w14:textId="77777777" w:rsidR="000662E9" w:rsidRPr="003F5E79" w:rsidRDefault="000662E9" w:rsidP="005E0CE0">
            <w:pPr>
              <w:pStyle w:val="BodyText"/>
              <w:ind w:left="0"/>
              <w:jc w:val="center"/>
              <w:rPr>
                <w:rFonts w:asciiTheme="majorHAnsi" w:eastAsiaTheme="minorEastAsia" w:hAnsiTheme="majorHAnsi"/>
                <w:sz w:val="22"/>
                <w:szCs w:val="22"/>
              </w:rPr>
            </w:pPr>
          </w:p>
        </w:tc>
      </w:tr>
      <w:tr w:rsidR="000662E9" w14:paraId="4D1BF72B" w14:textId="77777777" w:rsidTr="005E0CE0">
        <w:trPr>
          <w:trHeight w:val="296"/>
        </w:trPr>
        <w:tc>
          <w:tcPr>
            <w:tcW w:w="2349" w:type="dxa"/>
            <w:vAlign w:val="center"/>
          </w:tcPr>
          <w:p w14:paraId="46937365" w14:textId="77777777" w:rsidR="000662E9" w:rsidRPr="003F5E79" w:rsidRDefault="000662E9" w:rsidP="005E0CE0">
            <w:pPr>
              <w:pStyle w:val="BodyText"/>
              <w:ind w:left="0"/>
              <w:rPr>
                <w:rFonts w:asciiTheme="majorHAnsi" w:hAnsiTheme="majorHAnsi"/>
                <w:sz w:val="22"/>
                <w:szCs w:val="22"/>
              </w:rPr>
            </w:pPr>
            <w:r w:rsidRPr="003F5E79">
              <w:rPr>
                <w:rFonts w:asciiTheme="majorHAnsi" w:hAnsiTheme="majorHAnsi"/>
                <w:sz w:val="22"/>
                <w:szCs w:val="22"/>
              </w:rPr>
              <w:t>at least 1 ADA positive</w:t>
            </w:r>
          </w:p>
        </w:tc>
        <w:tc>
          <w:tcPr>
            <w:tcW w:w="3474" w:type="dxa"/>
            <w:gridSpan w:val="2"/>
            <w:vAlign w:val="center"/>
          </w:tcPr>
          <w:p w14:paraId="21BEC1CF" w14:textId="0245367C" w:rsidR="000662E9" w:rsidRPr="003F5E79" w:rsidRDefault="000A01A5"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 xml:space="preserve">6/223 </w:t>
            </w:r>
            <w:r w:rsidR="000662E9">
              <w:rPr>
                <w:rFonts w:asciiTheme="majorHAnsi" w:eastAsiaTheme="minorEastAsia" w:hAnsiTheme="majorHAnsi" w:hint="eastAsia"/>
                <w:sz w:val="22"/>
                <w:szCs w:val="22"/>
              </w:rPr>
              <w:t>(</w:t>
            </w:r>
            <w:r>
              <w:rPr>
                <w:rFonts w:asciiTheme="majorHAnsi" w:eastAsiaTheme="minorEastAsia" w:hAnsiTheme="majorHAnsi" w:hint="eastAsia"/>
                <w:sz w:val="22"/>
                <w:szCs w:val="22"/>
                <w:lang w:eastAsia="ko-KR"/>
              </w:rPr>
              <w:t>2</w:t>
            </w:r>
            <w:r w:rsidR="000662E9">
              <w:rPr>
                <w:rFonts w:asciiTheme="majorHAnsi" w:eastAsiaTheme="minorEastAsia" w:hAnsiTheme="majorHAnsi" w:hint="eastAsia"/>
                <w:sz w:val="22"/>
                <w:szCs w:val="22"/>
              </w:rPr>
              <w:t>.</w:t>
            </w:r>
            <w:r>
              <w:rPr>
                <w:rFonts w:asciiTheme="majorHAnsi" w:eastAsiaTheme="minorEastAsia" w:hAnsiTheme="majorHAnsi" w:hint="eastAsia"/>
                <w:sz w:val="22"/>
                <w:szCs w:val="22"/>
                <w:lang w:eastAsia="ko-KR"/>
              </w:rPr>
              <w:t>7</w:t>
            </w:r>
            <w:r w:rsidR="0091294A">
              <w:rPr>
                <w:rFonts w:asciiTheme="majorHAnsi" w:eastAsiaTheme="minorEastAsia" w:hAnsiTheme="majorHAnsi"/>
                <w:sz w:val="22"/>
                <w:szCs w:val="22"/>
              </w:rPr>
              <w:t>%</w:t>
            </w:r>
            <w:r w:rsidR="000662E9">
              <w:rPr>
                <w:rFonts w:asciiTheme="majorHAnsi" w:eastAsiaTheme="minorEastAsia" w:hAnsiTheme="majorHAnsi" w:hint="eastAsia"/>
                <w:sz w:val="22"/>
                <w:szCs w:val="22"/>
              </w:rPr>
              <w:t>)</w:t>
            </w:r>
          </w:p>
        </w:tc>
        <w:tc>
          <w:tcPr>
            <w:tcW w:w="3474" w:type="dxa"/>
            <w:gridSpan w:val="2"/>
            <w:vAlign w:val="center"/>
          </w:tcPr>
          <w:p w14:paraId="2E1DED0E" w14:textId="1784B593" w:rsidR="000662E9" w:rsidRPr="003F5E79" w:rsidRDefault="000A01A5"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 xml:space="preserve">4/222 </w:t>
            </w:r>
            <w:r w:rsidR="000662E9">
              <w:rPr>
                <w:rFonts w:asciiTheme="majorHAnsi" w:eastAsiaTheme="minorEastAsia" w:hAnsiTheme="majorHAnsi" w:hint="eastAsia"/>
                <w:sz w:val="22"/>
                <w:szCs w:val="22"/>
              </w:rPr>
              <w:t>(</w:t>
            </w:r>
            <w:r>
              <w:rPr>
                <w:rFonts w:asciiTheme="majorHAnsi" w:eastAsiaTheme="minorEastAsia" w:hAnsiTheme="majorHAnsi" w:hint="eastAsia"/>
                <w:sz w:val="22"/>
                <w:szCs w:val="22"/>
                <w:lang w:eastAsia="ko-KR"/>
              </w:rPr>
              <w:t>1</w:t>
            </w:r>
            <w:r w:rsidR="000662E9">
              <w:rPr>
                <w:rFonts w:asciiTheme="majorHAnsi" w:eastAsiaTheme="minorEastAsia" w:hAnsiTheme="majorHAnsi" w:hint="eastAsia"/>
                <w:sz w:val="22"/>
                <w:szCs w:val="22"/>
              </w:rPr>
              <w:t>.</w:t>
            </w:r>
            <w:r>
              <w:rPr>
                <w:rFonts w:asciiTheme="majorHAnsi" w:eastAsiaTheme="minorEastAsia" w:hAnsiTheme="majorHAnsi" w:hint="eastAsia"/>
                <w:sz w:val="22"/>
                <w:szCs w:val="22"/>
                <w:lang w:eastAsia="ko-KR"/>
              </w:rPr>
              <w:t>8</w:t>
            </w:r>
            <w:r w:rsidR="0091294A">
              <w:rPr>
                <w:rFonts w:asciiTheme="majorHAnsi" w:eastAsiaTheme="minorEastAsia" w:hAnsiTheme="majorHAnsi"/>
                <w:sz w:val="22"/>
                <w:szCs w:val="22"/>
              </w:rPr>
              <w:t>%</w:t>
            </w:r>
            <w:r w:rsidR="000662E9">
              <w:rPr>
                <w:rFonts w:asciiTheme="majorHAnsi" w:eastAsiaTheme="minorEastAsia" w:hAnsiTheme="majorHAnsi" w:hint="eastAsia"/>
                <w:sz w:val="22"/>
                <w:szCs w:val="22"/>
              </w:rPr>
              <w:t>)</w:t>
            </w:r>
          </w:p>
        </w:tc>
      </w:tr>
      <w:tr w:rsidR="000662E9" w14:paraId="5D1D5CF9" w14:textId="77777777" w:rsidTr="005E0CE0">
        <w:trPr>
          <w:trHeight w:val="296"/>
        </w:trPr>
        <w:tc>
          <w:tcPr>
            <w:tcW w:w="2349" w:type="dxa"/>
            <w:vAlign w:val="center"/>
          </w:tcPr>
          <w:p w14:paraId="44E61898" w14:textId="77777777" w:rsidR="000662E9" w:rsidRPr="003F5E79" w:rsidRDefault="000662E9" w:rsidP="005E0CE0">
            <w:pPr>
              <w:pStyle w:val="BodyText"/>
              <w:ind w:left="0"/>
              <w:rPr>
                <w:rFonts w:asciiTheme="majorHAnsi" w:hAnsiTheme="majorHAnsi"/>
                <w:sz w:val="22"/>
                <w:szCs w:val="22"/>
              </w:rPr>
            </w:pPr>
            <w:r w:rsidRPr="003F5E79">
              <w:rPr>
                <w:rFonts w:asciiTheme="majorHAnsi" w:hAnsiTheme="majorHAnsi"/>
                <w:sz w:val="22"/>
                <w:szCs w:val="22"/>
              </w:rPr>
              <w:t>at least 1 NAb positive</w:t>
            </w:r>
          </w:p>
        </w:tc>
        <w:tc>
          <w:tcPr>
            <w:tcW w:w="3474" w:type="dxa"/>
            <w:gridSpan w:val="2"/>
            <w:vAlign w:val="center"/>
          </w:tcPr>
          <w:p w14:paraId="4A4A4F3E" w14:textId="49DEB5C7" w:rsidR="000662E9" w:rsidRPr="003F5E79" w:rsidRDefault="000662E9"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rPr>
              <w:t>10</w:t>
            </w:r>
            <w:r w:rsidR="000A01A5">
              <w:rPr>
                <w:rFonts w:asciiTheme="majorHAnsi" w:eastAsiaTheme="minorEastAsia" w:hAnsiTheme="majorHAnsi" w:hint="eastAsia"/>
                <w:sz w:val="22"/>
                <w:szCs w:val="22"/>
                <w:lang w:eastAsia="ko-KR"/>
              </w:rPr>
              <w:t>/231</w:t>
            </w:r>
            <w:r>
              <w:rPr>
                <w:rFonts w:asciiTheme="majorHAnsi" w:eastAsiaTheme="minorEastAsia" w:hAnsiTheme="majorHAnsi" w:hint="eastAsia"/>
                <w:sz w:val="22"/>
                <w:szCs w:val="22"/>
              </w:rPr>
              <w:t xml:space="preserve"> (4.3</w:t>
            </w:r>
            <w:r w:rsidR="0091294A">
              <w:rPr>
                <w:rFonts w:asciiTheme="majorHAnsi" w:eastAsiaTheme="minorEastAsia" w:hAnsiTheme="majorHAnsi"/>
                <w:sz w:val="22"/>
                <w:szCs w:val="22"/>
              </w:rPr>
              <w:t>%</w:t>
            </w:r>
            <w:r>
              <w:rPr>
                <w:rFonts w:asciiTheme="majorHAnsi" w:eastAsiaTheme="minorEastAsia" w:hAnsiTheme="majorHAnsi" w:hint="eastAsia"/>
                <w:sz w:val="22"/>
                <w:szCs w:val="22"/>
              </w:rPr>
              <w:t>)</w:t>
            </w:r>
          </w:p>
        </w:tc>
        <w:tc>
          <w:tcPr>
            <w:tcW w:w="3474" w:type="dxa"/>
            <w:gridSpan w:val="2"/>
            <w:vAlign w:val="center"/>
          </w:tcPr>
          <w:p w14:paraId="1FCED711" w14:textId="19510EE9" w:rsidR="000662E9" w:rsidRPr="003F5E79" w:rsidRDefault="000A01A5"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8</w:t>
            </w:r>
            <w:r w:rsidR="000662E9">
              <w:rPr>
                <w:rFonts w:asciiTheme="majorHAnsi" w:eastAsiaTheme="minorEastAsia" w:hAnsiTheme="majorHAnsi" w:hint="eastAsia"/>
                <w:sz w:val="22"/>
                <w:szCs w:val="22"/>
              </w:rPr>
              <w:t xml:space="preserve"> </w:t>
            </w:r>
            <w:r>
              <w:rPr>
                <w:rFonts w:asciiTheme="majorHAnsi" w:eastAsiaTheme="minorEastAsia" w:hAnsiTheme="majorHAnsi" w:hint="eastAsia"/>
                <w:sz w:val="22"/>
                <w:szCs w:val="22"/>
                <w:lang w:eastAsia="ko-KR"/>
              </w:rPr>
              <w:t>/233</w:t>
            </w:r>
            <w:r w:rsidR="000662E9">
              <w:rPr>
                <w:rFonts w:asciiTheme="majorHAnsi" w:eastAsiaTheme="minorEastAsia" w:hAnsiTheme="majorHAnsi" w:hint="eastAsia"/>
                <w:sz w:val="22"/>
                <w:szCs w:val="22"/>
              </w:rPr>
              <w:t>(3.</w:t>
            </w:r>
            <w:r w:rsidR="006F32E8">
              <w:rPr>
                <w:rFonts w:asciiTheme="majorHAnsi" w:eastAsiaTheme="minorEastAsia" w:hAnsiTheme="majorHAnsi" w:hint="eastAsia"/>
                <w:sz w:val="22"/>
                <w:szCs w:val="22"/>
                <w:lang w:eastAsia="ko-KR"/>
              </w:rPr>
              <w:t>4</w:t>
            </w:r>
            <w:r w:rsidR="0091294A">
              <w:rPr>
                <w:rFonts w:asciiTheme="majorHAnsi" w:eastAsiaTheme="minorEastAsia" w:hAnsiTheme="majorHAnsi"/>
                <w:sz w:val="22"/>
                <w:szCs w:val="22"/>
              </w:rPr>
              <w:t>%</w:t>
            </w:r>
            <w:r w:rsidR="000662E9">
              <w:rPr>
                <w:rFonts w:asciiTheme="majorHAnsi" w:eastAsiaTheme="minorEastAsia" w:hAnsiTheme="majorHAnsi" w:hint="eastAsia"/>
                <w:sz w:val="22"/>
                <w:szCs w:val="22"/>
              </w:rPr>
              <w:t>)</w:t>
            </w:r>
          </w:p>
        </w:tc>
      </w:tr>
      <w:tr w:rsidR="000662E9" w14:paraId="724C832E" w14:textId="77777777" w:rsidTr="0091294A">
        <w:trPr>
          <w:trHeight w:val="296"/>
        </w:trPr>
        <w:tc>
          <w:tcPr>
            <w:tcW w:w="2349" w:type="dxa"/>
            <w:vAlign w:val="center"/>
          </w:tcPr>
          <w:p w14:paraId="4A84A655" w14:textId="34BCBD77" w:rsidR="000662E9" w:rsidRPr="00F10F35" w:rsidRDefault="000662E9" w:rsidP="005E0CE0">
            <w:pPr>
              <w:pStyle w:val="BodyText"/>
              <w:ind w:left="0"/>
              <w:rPr>
                <w:rFonts w:asciiTheme="majorHAnsi" w:eastAsiaTheme="minorEastAsia" w:hAnsiTheme="majorHAnsi"/>
                <w:sz w:val="22"/>
                <w:szCs w:val="22"/>
              </w:rPr>
            </w:pPr>
            <w:r>
              <w:rPr>
                <w:rFonts w:asciiTheme="majorHAnsi" w:eastAsiaTheme="minorEastAsia" w:hAnsiTheme="majorHAnsi" w:hint="eastAsia"/>
                <w:sz w:val="22"/>
                <w:szCs w:val="22"/>
              </w:rPr>
              <w:t>Treatment Period II</w:t>
            </w:r>
            <w:r w:rsidR="00487D7B">
              <w:rPr>
                <w:rFonts w:asciiTheme="majorHAnsi" w:eastAsiaTheme="minorEastAsia" w:hAnsiTheme="majorHAnsi"/>
                <w:sz w:val="22"/>
                <w:szCs w:val="22"/>
              </w:rPr>
              <w:t xml:space="preserve"> – </w:t>
            </w:r>
            <w:r w:rsidR="007772F0">
              <w:rPr>
                <w:rFonts w:asciiTheme="majorHAnsi" w:eastAsiaTheme="minorEastAsia" w:hAnsiTheme="majorHAnsi"/>
                <w:sz w:val="22"/>
                <w:szCs w:val="22"/>
              </w:rPr>
              <w:t>week 0-</w:t>
            </w:r>
            <w:r w:rsidR="006F3253">
              <w:rPr>
                <w:rFonts w:asciiTheme="majorHAnsi" w:eastAsiaTheme="minorEastAsia" w:hAnsiTheme="majorHAnsi" w:hint="eastAsia"/>
                <w:sz w:val="22"/>
                <w:szCs w:val="22"/>
                <w:lang w:eastAsia="ko-KR"/>
              </w:rPr>
              <w:t>54</w:t>
            </w:r>
            <w:r w:rsidR="00487D7B">
              <w:rPr>
                <w:rFonts w:asciiTheme="majorHAnsi" w:eastAsiaTheme="minorEastAsia" w:hAnsiTheme="majorHAnsi"/>
                <w:sz w:val="22"/>
                <w:szCs w:val="22"/>
              </w:rPr>
              <w:t xml:space="preserve"> </w:t>
            </w:r>
          </w:p>
        </w:tc>
        <w:tc>
          <w:tcPr>
            <w:tcW w:w="2314" w:type="dxa"/>
            <w:vAlign w:val="center"/>
          </w:tcPr>
          <w:p w14:paraId="5DEDD79B"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CT-P47 maintenance</w:t>
            </w:r>
          </w:p>
          <w:p w14:paraId="08752F27"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(n=225)</w:t>
            </w:r>
          </w:p>
        </w:tc>
        <w:tc>
          <w:tcPr>
            <w:tcW w:w="2314" w:type="dxa"/>
            <w:gridSpan w:val="2"/>
            <w:vAlign w:val="center"/>
          </w:tcPr>
          <w:p w14:paraId="129E967B"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RoActemra maintenance</w:t>
            </w:r>
          </w:p>
          <w:p w14:paraId="68FF9FB5"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(n=109)</w:t>
            </w:r>
          </w:p>
        </w:tc>
        <w:tc>
          <w:tcPr>
            <w:tcW w:w="2320" w:type="dxa"/>
            <w:vAlign w:val="center"/>
          </w:tcPr>
          <w:p w14:paraId="319ED758"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Switched to CT-P47</w:t>
            </w:r>
          </w:p>
          <w:p w14:paraId="35B816B9" w14:textId="77777777" w:rsidR="000662E9" w:rsidRPr="003F5E79" w:rsidRDefault="000662E9" w:rsidP="005E0CE0">
            <w:pPr>
              <w:pStyle w:val="BodyText"/>
              <w:ind w:left="0"/>
              <w:jc w:val="center"/>
              <w:rPr>
                <w:rFonts w:asciiTheme="majorHAnsi" w:eastAsiaTheme="minorEastAsia" w:hAnsiTheme="majorHAnsi"/>
                <w:sz w:val="22"/>
                <w:szCs w:val="22"/>
              </w:rPr>
            </w:pPr>
            <w:r w:rsidRPr="003F5E79">
              <w:rPr>
                <w:rFonts w:asciiTheme="majorHAnsi" w:eastAsiaTheme="minorEastAsia" w:hAnsiTheme="majorHAnsi"/>
                <w:sz w:val="22"/>
                <w:szCs w:val="22"/>
              </w:rPr>
              <w:t>(n=110)</w:t>
            </w:r>
          </w:p>
        </w:tc>
      </w:tr>
      <w:tr w:rsidR="000662E9" w14:paraId="2A976D84" w14:textId="77777777" w:rsidTr="0091294A">
        <w:trPr>
          <w:trHeight w:val="296"/>
        </w:trPr>
        <w:tc>
          <w:tcPr>
            <w:tcW w:w="2349" w:type="dxa"/>
            <w:vAlign w:val="center"/>
          </w:tcPr>
          <w:p w14:paraId="7C5182F4" w14:textId="77777777" w:rsidR="000662E9" w:rsidRPr="003F5E79" w:rsidRDefault="000662E9" w:rsidP="005E0CE0">
            <w:pPr>
              <w:pStyle w:val="BodyText"/>
              <w:ind w:left="0"/>
              <w:rPr>
                <w:rFonts w:asciiTheme="majorHAnsi" w:eastAsiaTheme="minorEastAsia" w:hAnsiTheme="majorHAnsi"/>
                <w:sz w:val="22"/>
                <w:szCs w:val="22"/>
              </w:rPr>
            </w:pPr>
            <w:r w:rsidRPr="003F5E79">
              <w:rPr>
                <w:rFonts w:asciiTheme="majorHAnsi" w:hAnsiTheme="majorHAnsi"/>
                <w:sz w:val="22"/>
                <w:szCs w:val="22"/>
              </w:rPr>
              <w:t>at least 1 ADA positive</w:t>
            </w:r>
          </w:p>
        </w:tc>
        <w:tc>
          <w:tcPr>
            <w:tcW w:w="2314" w:type="dxa"/>
            <w:vAlign w:val="center"/>
          </w:tcPr>
          <w:p w14:paraId="5E19C599" w14:textId="00D278A8" w:rsidR="000662E9" w:rsidRPr="003F5E79" w:rsidRDefault="006F32E8"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2/209</w:t>
            </w:r>
            <w:r w:rsidR="000662E9">
              <w:rPr>
                <w:rFonts w:asciiTheme="majorHAnsi" w:eastAsiaTheme="minorEastAsia" w:hAnsiTheme="majorHAnsi" w:hint="eastAsia"/>
                <w:sz w:val="22"/>
                <w:szCs w:val="22"/>
              </w:rPr>
              <w:t>(</w:t>
            </w:r>
            <w:r>
              <w:rPr>
                <w:rFonts w:asciiTheme="majorHAnsi" w:eastAsiaTheme="minorEastAsia" w:hAnsiTheme="majorHAnsi" w:hint="eastAsia"/>
                <w:sz w:val="22"/>
                <w:szCs w:val="22"/>
                <w:lang w:eastAsia="ko-KR"/>
              </w:rPr>
              <w:t>1</w:t>
            </w:r>
            <w:r w:rsidR="000662E9">
              <w:rPr>
                <w:rFonts w:asciiTheme="majorHAnsi" w:eastAsiaTheme="minorEastAsia" w:hAnsiTheme="majorHAnsi" w:hint="eastAsia"/>
                <w:sz w:val="22"/>
                <w:szCs w:val="22"/>
              </w:rPr>
              <w:t>.</w:t>
            </w:r>
            <w:r>
              <w:rPr>
                <w:rFonts w:asciiTheme="majorHAnsi" w:eastAsiaTheme="minorEastAsia" w:hAnsiTheme="majorHAnsi" w:hint="eastAsia"/>
                <w:sz w:val="22"/>
                <w:szCs w:val="22"/>
                <w:lang w:eastAsia="ko-KR"/>
              </w:rPr>
              <w:t>0</w:t>
            </w:r>
            <w:r w:rsidR="0091294A">
              <w:rPr>
                <w:rFonts w:asciiTheme="majorHAnsi" w:eastAsiaTheme="minorEastAsia" w:hAnsiTheme="majorHAnsi"/>
                <w:sz w:val="22"/>
                <w:szCs w:val="22"/>
              </w:rPr>
              <w:t>%</w:t>
            </w:r>
            <w:r w:rsidR="000662E9">
              <w:rPr>
                <w:rFonts w:asciiTheme="majorHAnsi" w:eastAsiaTheme="minorEastAsia" w:hAnsiTheme="majorHAnsi" w:hint="eastAsia"/>
                <w:sz w:val="22"/>
                <w:szCs w:val="22"/>
              </w:rPr>
              <w:t>)</w:t>
            </w:r>
          </w:p>
        </w:tc>
        <w:tc>
          <w:tcPr>
            <w:tcW w:w="2314" w:type="dxa"/>
            <w:gridSpan w:val="2"/>
            <w:vAlign w:val="center"/>
          </w:tcPr>
          <w:p w14:paraId="1DBE5B45" w14:textId="3F94EC38" w:rsidR="000662E9" w:rsidRPr="003F5E79" w:rsidRDefault="006F32E8"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4/100</w:t>
            </w:r>
            <w:r w:rsidR="000662E9">
              <w:rPr>
                <w:rFonts w:asciiTheme="majorHAnsi" w:eastAsiaTheme="minorEastAsia" w:hAnsiTheme="majorHAnsi" w:hint="eastAsia"/>
                <w:sz w:val="22"/>
                <w:szCs w:val="22"/>
              </w:rPr>
              <w:t xml:space="preserve"> (4</w:t>
            </w:r>
            <w:r>
              <w:rPr>
                <w:rFonts w:asciiTheme="majorHAnsi" w:eastAsiaTheme="minorEastAsia" w:hAnsiTheme="majorHAnsi" w:hint="eastAsia"/>
                <w:sz w:val="22"/>
                <w:szCs w:val="22"/>
                <w:lang w:eastAsia="ko-KR"/>
              </w:rPr>
              <w:t xml:space="preserve"> </w:t>
            </w:r>
            <w:r w:rsidR="0091294A">
              <w:rPr>
                <w:rFonts w:asciiTheme="majorHAnsi" w:eastAsiaTheme="minorEastAsia" w:hAnsiTheme="majorHAnsi"/>
                <w:sz w:val="22"/>
                <w:szCs w:val="22"/>
              </w:rPr>
              <w:t>%</w:t>
            </w:r>
            <w:r w:rsidR="000662E9">
              <w:rPr>
                <w:rFonts w:asciiTheme="majorHAnsi" w:eastAsiaTheme="minorEastAsia" w:hAnsiTheme="majorHAnsi" w:hint="eastAsia"/>
                <w:sz w:val="22"/>
                <w:szCs w:val="22"/>
              </w:rPr>
              <w:t>)</w:t>
            </w:r>
          </w:p>
        </w:tc>
        <w:tc>
          <w:tcPr>
            <w:tcW w:w="2320" w:type="dxa"/>
            <w:vAlign w:val="center"/>
          </w:tcPr>
          <w:p w14:paraId="2AC033FE" w14:textId="0030AC2D" w:rsidR="000662E9" w:rsidRPr="003F5E79" w:rsidRDefault="006F32E8"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0/103</w:t>
            </w:r>
            <w:r w:rsidR="0091294A">
              <w:rPr>
                <w:rFonts w:asciiTheme="majorHAnsi" w:eastAsiaTheme="minorEastAsia" w:hAnsiTheme="majorHAnsi"/>
                <w:sz w:val="22"/>
                <w:szCs w:val="22"/>
              </w:rPr>
              <w:t>%</w:t>
            </w:r>
          </w:p>
        </w:tc>
      </w:tr>
      <w:tr w:rsidR="000662E9" w14:paraId="2E2A6D6B" w14:textId="77777777" w:rsidTr="0091294A">
        <w:trPr>
          <w:trHeight w:val="296"/>
        </w:trPr>
        <w:tc>
          <w:tcPr>
            <w:tcW w:w="2349" w:type="dxa"/>
            <w:vAlign w:val="center"/>
          </w:tcPr>
          <w:p w14:paraId="0E513D6B" w14:textId="77777777" w:rsidR="000662E9" w:rsidRPr="003F5E79" w:rsidRDefault="000662E9" w:rsidP="005E0CE0">
            <w:pPr>
              <w:pStyle w:val="BodyText"/>
              <w:ind w:left="0"/>
              <w:rPr>
                <w:rFonts w:asciiTheme="majorHAnsi" w:eastAsiaTheme="minorEastAsia" w:hAnsiTheme="majorHAnsi"/>
                <w:sz w:val="22"/>
                <w:szCs w:val="22"/>
              </w:rPr>
            </w:pPr>
            <w:r w:rsidRPr="003F5E79">
              <w:rPr>
                <w:rFonts w:asciiTheme="majorHAnsi" w:hAnsiTheme="majorHAnsi"/>
                <w:sz w:val="22"/>
                <w:szCs w:val="22"/>
              </w:rPr>
              <w:t>at least 1 NAb positive</w:t>
            </w:r>
          </w:p>
        </w:tc>
        <w:tc>
          <w:tcPr>
            <w:tcW w:w="2314" w:type="dxa"/>
            <w:vAlign w:val="center"/>
          </w:tcPr>
          <w:p w14:paraId="5DADEAE4" w14:textId="0E47B97C" w:rsidR="000662E9" w:rsidRPr="003F5E79" w:rsidRDefault="006F32E8"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lang w:eastAsia="ko-KR"/>
              </w:rPr>
              <w:t>2/213</w:t>
            </w:r>
            <w:r w:rsidR="000662E9">
              <w:rPr>
                <w:rFonts w:asciiTheme="majorHAnsi" w:eastAsiaTheme="minorEastAsia" w:hAnsiTheme="majorHAnsi" w:hint="eastAsia"/>
                <w:sz w:val="22"/>
                <w:szCs w:val="22"/>
              </w:rPr>
              <w:t xml:space="preserve"> (</w:t>
            </w:r>
            <w:r>
              <w:rPr>
                <w:rFonts w:asciiTheme="majorHAnsi" w:eastAsiaTheme="minorEastAsia" w:hAnsiTheme="majorHAnsi" w:hint="eastAsia"/>
                <w:sz w:val="22"/>
                <w:szCs w:val="22"/>
                <w:lang w:eastAsia="ko-KR"/>
              </w:rPr>
              <w:t>0.9</w:t>
            </w:r>
            <w:r w:rsidR="0091294A">
              <w:rPr>
                <w:rFonts w:asciiTheme="majorHAnsi" w:eastAsiaTheme="minorEastAsia" w:hAnsiTheme="majorHAnsi"/>
                <w:sz w:val="22"/>
                <w:szCs w:val="22"/>
              </w:rPr>
              <w:t>%</w:t>
            </w:r>
            <w:r w:rsidR="000662E9">
              <w:rPr>
                <w:rFonts w:asciiTheme="majorHAnsi" w:eastAsiaTheme="minorEastAsia" w:hAnsiTheme="majorHAnsi" w:hint="eastAsia"/>
                <w:sz w:val="22"/>
                <w:szCs w:val="22"/>
              </w:rPr>
              <w:t>)</w:t>
            </w:r>
          </w:p>
        </w:tc>
        <w:tc>
          <w:tcPr>
            <w:tcW w:w="2314" w:type="dxa"/>
            <w:gridSpan w:val="2"/>
            <w:vAlign w:val="center"/>
          </w:tcPr>
          <w:p w14:paraId="74190F6E" w14:textId="7DA0D987" w:rsidR="000662E9" w:rsidRPr="003F5E79" w:rsidRDefault="000662E9"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rPr>
              <w:t xml:space="preserve"> </w:t>
            </w:r>
            <w:r w:rsidR="006F32E8">
              <w:rPr>
                <w:rFonts w:asciiTheme="majorHAnsi" w:eastAsiaTheme="minorEastAsia" w:hAnsiTheme="majorHAnsi" w:hint="eastAsia"/>
                <w:sz w:val="22"/>
                <w:szCs w:val="22"/>
                <w:lang w:eastAsia="ko-KR"/>
              </w:rPr>
              <w:t>1/105</w:t>
            </w:r>
            <w:r>
              <w:rPr>
                <w:rFonts w:asciiTheme="majorHAnsi" w:eastAsiaTheme="minorEastAsia" w:hAnsiTheme="majorHAnsi" w:hint="eastAsia"/>
                <w:sz w:val="22"/>
                <w:szCs w:val="22"/>
              </w:rPr>
              <w:t xml:space="preserve"> (1</w:t>
            </w:r>
            <w:r w:rsidR="006F32E8">
              <w:rPr>
                <w:rFonts w:asciiTheme="majorHAnsi" w:eastAsiaTheme="minorEastAsia" w:hAnsiTheme="majorHAnsi" w:hint="eastAsia"/>
                <w:sz w:val="22"/>
                <w:szCs w:val="22"/>
                <w:lang w:eastAsia="ko-KR"/>
              </w:rPr>
              <w:t>.0</w:t>
            </w:r>
            <w:r w:rsidR="0091294A">
              <w:rPr>
                <w:rFonts w:asciiTheme="majorHAnsi" w:eastAsiaTheme="minorEastAsia" w:hAnsiTheme="majorHAnsi"/>
                <w:sz w:val="22"/>
                <w:szCs w:val="22"/>
              </w:rPr>
              <w:t>%</w:t>
            </w:r>
            <w:r>
              <w:rPr>
                <w:rFonts w:asciiTheme="majorHAnsi" w:eastAsiaTheme="minorEastAsia" w:hAnsiTheme="majorHAnsi" w:hint="eastAsia"/>
                <w:sz w:val="22"/>
                <w:szCs w:val="22"/>
              </w:rPr>
              <w:t>)</w:t>
            </w:r>
          </w:p>
        </w:tc>
        <w:tc>
          <w:tcPr>
            <w:tcW w:w="2320" w:type="dxa"/>
            <w:vAlign w:val="center"/>
          </w:tcPr>
          <w:p w14:paraId="0071F0AB" w14:textId="47BD5AB1" w:rsidR="000662E9" w:rsidRPr="003F5E79" w:rsidRDefault="000662E9" w:rsidP="005E0CE0">
            <w:pPr>
              <w:pStyle w:val="BodyText"/>
              <w:ind w:left="0"/>
              <w:jc w:val="center"/>
              <w:rPr>
                <w:rFonts w:asciiTheme="majorHAnsi" w:eastAsiaTheme="minorEastAsia" w:hAnsiTheme="majorHAnsi"/>
                <w:sz w:val="22"/>
                <w:szCs w:val="22"/>
              </w:rPr>
            </w:pPr>
            <w:r>
              <w:rPr>
                <w:rFonts w:asciiTheme="majorHAnsi" w:eastAsiaTheme="minorEastAsia" w:hAnsiTheme="majorHAnsi" w:hint="eastAsia"/>
                <w:sz w:val="22"/>
                <w:szCs w:val="22"/>
              </w:rPr>
              <w:t xml:space="preserve"> </w:t>
            </w:r>
            <w:r w:rsidR="006F32E8">
              <w:rPr>
                <w:rFonts w:asciiTheme="majorHAnsi" w:eastAsiaTheme="minorEastAsia" w:hAnsiTheme="majorHAnsi" w:hint="eastAsia"/>
                <w:sz w:val="22"/>
                <w:szCs w:val="22"/>
                <w:lang w:eastAsia="ko-KR"/>
              </w:rPr>
              <w:t>0/105</w:t>
            </w:r>
            <w:r>
              <w:rPr>
                <w:rFonts w:asciiTheme="majorHAnsi" w:eastAsiaTheme="minorEastAsia" w:hAnsiTheme="majorHAnsi" w:hint="eastAsia"/>
                <w:sz w:val="22"/>
                <w:szCs w:val="22"/>
              </w:rPr>
              <w:t xml:space="preserve"> </w:t>
            </w:r>
          </w:p>
        </w:tc>
      </w:tr>
    </w:tbl>
    <w:p w14:paraId="2CB47C89" w14:textId="77777777" w:rsidR="000662E9" w:rsidRDefault="000662E9" w:rsidP="000662E9">
      <w:pPr>
        <w:pStyle w:val="BodyText"/>
        <w:spacing w:before="40"/>
        <w:ind w:left="0"/>
        <w:rPr>
          <w:rFonts w:ascii="Cambria" w:eastAsiaTheme="minorEastAsia" w:hAnsi="Cambria"/>
          <w:sz w:val="20"/>
          <w:szCs w:val="20"/>
          <w:lang w:eastAsia="ko-KR"/>
        </w:rPr>
      </w:pPr>
      <w:r>
        <w:rPr>
          <w:rFonts w:ascii="Cambria" w:eastAsiaTheme="minorEastAsia" w:hAnsi="Cambria" w:hint="eastAsia"/>
          <w:sz w:val="20"/>
          <w:szCs w:val="20"/>
          <w:lang w:eastAsia="ko-KR"/>
        </w:rPr>
        <w:t xml:space="preserve">Abbreviation: ADA, </w:t>
      </w:r>
      <w:r w:rsidRPr="00282B9B">
        <w:rPr>
          <w:rFonts w:ascii="Cambria" w:eastAsiaTheme="minorEastAsia" w:hAnsi="Cambria"/>
          <w:sz w:val="20"/>
          <w:szCs w:val="20"/>
          <w:lang w:eastAsia="ko-KR"/>
        </w:rPr>
        <w:t>Anti-drug antibody</w:t>
      </w:r>
      <w:r>
        <w:rPr>
          <w:rFonts w:ascii="Cambria" w:eastAsiaTheme="minorEastAsia" w:hAnsi="Cambria" w:hint="eastAsia"/>
          <w:sz w:val="20"/>
          <w:szCs w:val="20"/>
          <w:lang w:eastAsia="ko-KR"/>
        </w:rPr>
        <w:t xml:space="preserve">; NAb, </w:t>
      </w:r>
      <w:r w:rsidRPr="00282B9B">
        <w:rPr>
          <w:rFonts w:ascii="Cambria" w:eastAsiaTheme="minorEastAsia" w:hAnsi="Cambria"/>
          <w:sz w:val="20"/>
          <w:szCs w:val="20"/>
          <w:lang w:eastAsia="ko-KR"/>
        </w:rPr>
        <w:t>Neutralizing antibody</w:t>
      </w:r>
      <w:r>
        <w:rPr>
          <w:rFonts w:ascii="Cambria" w:eastAsiaTheme="minorEastAsia" w:hAnsi="Cambria" w:hint="eastAsia"/>
          <w:sz w:val="20"/>
          <w:szCs w:val="20"/>
          <w:lang w:eastAsia="ko-KR"/>
        </w:rPr>
        <w:t>.</w:t>
      </w:r>
    </w:p>
    <w:p w14:paraId="5BD9EB72" w14:textId="77777777" w:rsidR="00190A2D" w:rsidRPr="00190A2D" w:rsidRDefault="00190A2D" w:rsidP="00C827C7">
      <w:pPr>
        <w:pStyle w:val="BodyText"/>
        <w:spacing w:before="40"/>
        <w:ind w:left="0"/>
        <w:rPr>
          <w:rFonts w:ascii="Cambria" w:hAnsi="Cambria"/>
          <w:sz w:val="20"/>
          <w:szCs w:val="20"/>
          <w:lang w:eastAsia="ko-KR"/>
        </w:rPr>
      </w:pPr>
      <w:r w:rsidRPr="00190A2D">
        <w:rPr>
          <w:rFonts w:ascii="Cambria" w:hAnsi="Cambria"/>
          <w:sz w:val="20"/>
          <w:szCs w:val="20"/>
          <w:lang w:eastAsia="ko-KR"/>
        </w:rPr>
        <w:t xml:space="preserve">Note: For Treatment Period I, the numerator was the number of patients with at least one ADA or NAb positive result after first study drug administration in Treatment Period I and before the first study drug administration in Treatment Period II. The denominator was the number of patients who had at least one ADA result after first study drug administration in Treatment Period I and before the first study drug administration in Treatment Period II and had not any ADA positive (in case of ADA summary) or NAb positive (in case of NAb summary) result before the first study drug administration. </w:t>
      </w:r>
      <w:r w:rsidRPr="00C827C7">
        <w:rPr>
          <w:rFonts w:ascii="Cambria" w:eastAsiaTheme="majorEastAsia" w:hAnsi="Cambria"/>
          <w:sz w:val="20"/>
          <w:szCs w:val="20"/>
          <w:lang w:eastAsia="ko-KR"/>
        </w:rPr>
        <w:t>For Treatment Period II, the numerator was the number of patients with at least one ADA or NAb positive result after first study drug administration in Treatment Period II. The denominator was the number of patients who had at least one ADA result after first study drug administration in Treatment Period II, and had not any ADA positive (in case of ADA summary) or NAb positive (in case of NAb summary) result before the first study drug administration in Treatment Period II.</w:t>
      </w:r>
    </w:p>
    <w:p w14:paraId="5E3DEAB1" w14:textId="592510EB" w:rsidR="006F3253" w:rsidRPr="001922B7" w:rsidRDefault="007772F0" w:rsidP="008E0261">
      <w:pPr>
        <w:tabs>
          <w:tab w:val="left" w:pos="7095"/>
        </w:tabs>
        <w:rPr>
          <w:rFonts w:asciiTheme="majorHAnsi" w:hAnsiTheme="majorHAnsi"/>
          <w:lang w:eastAsia="ko-KR"/>
        </w:rPr>
      </w:pPr>
      <w:r>
        <w:rPr>
          <w:rFonts w:asciiTheme="majorHAnsi" w:hAnsiTheme="majorHAnsi"/>
          <w:lang w:eastAsia="ko-KR"/>
        </w:rPr>
        <w:lastRenderedPageBreak/>
        <w:tab/>
      </w:r>
    </w:p>
    <w:p w14:paraId="714C1E22" w14:textId="77777777" w:rsidR="00DA5D00" w:rsidRPr="008D4276" w:rsidRDefault="00DA5D00" w:rsidP="00DA5D00">
      <w:pPr>
        <w:pStyle w:val="Heading3"/>
        <w:rPr>
          <w:rFonts w:cs="Calibri"/>
        </w:rPr>
      </w:pPr>
      <w:r w:rsidRPr="008D4276">
        <w:rPr>
          <w:rFonts w:cs="Calibri"/>
        </w:rPr>
        <w:t>Early Rheumatoid Arthritis</w:t>
      </w:r>
    </w:p>
    <w:p w14:paraId="102D02E7" w14:textId="68D89D9F" w:rsidR="00DA5D00" w:rsidRPr="008D4276" w:rsidRDefault="00DA5D00" w:rsidP="004D6592">
      <w:pPr>
        <w:rPr>
          <w:rFonts w:asciiTheme="majorHAnsi" w:hAnsiTheme="majorHAnsi"/>
        </w:rPr>
      </w:pPr>
      <w:r w:rsidRPr="008D4276">
        <w:rPr>
          <w:rFonts w:asciiTheme="majorHAnsi" w:hAnsiTheme="majorHAnsi"/>
        </w:rPr>
        <w:t xml:space="preserve">Study VIII (FUNCTION) evaluated 1162 patients with early, moderate to severe RA who were naïve to treatment with both MTX and a biologic agent. The overall safety profile observed in the </w:t>
      </w:r>
      <w:r w:rsidR="00631356" w:rsidRPr="008D4276">
        <w:rPr>
          <w:rFonts w:asciiTheme="majorHAnsi" w:hAnsiTheme="majorHAnsi"/>
        </w:rPr>
        <w:t xml:space="preserve">tocilizumab </w:t>
      </w:r>
      <w:r w:rsidRPr="008D4276">
        <w:rPr>
          <w:rFonts w:asciiTheme="majorHAnsi" w:hAnsiTheme="majorHAnsi"/>
        </w:rPr>
        <w:t xml:space="preserve">treatment groups was consistent with the known safety profile of </w:t>
      </w:r>
      <w:r w:rsidR="00631356" w:rsidRPr="008D4276">
        <w:rPr>
          <w:rFonts w:asciiTheme="majorHAnsi" w:hAnsiTheme="majorHAnsi"/>
        </w:rPr>
        <w:t>tocilizumab</w:t>
      </w:r>
      <w:r w:rsidRPr="008D4276">
        <w:rPr>
          <w:rFonts w:asciiTheme="majorHAnsi" w:hAnsiTheme="majorHAnsi"/>
        </w:rPr>
        <w:t xml:space="preserve"> (</w:t>
      </w:r>
      <w:r w:rsidR="0011494C">
        <w:rPr>
          <w:rFonts w:asciiTheme="majorHAnsi" w:hAnsiTheme="majorHAnsi"/>
        </w:rPr>
        <w:fldChar w:fldCharType="begin"/>
      </w:r>
      <w:r w:rsidR="0011494C">
        <w:rPr>
          <w:rFonts w:asciiTheme="majorHAnsi" w:hAnsiTheme="majorHAnsi"/>
        </w:rPr>
        <w:instrText xml:space="preserve"> REF _Ref159341533 \h </w:instrText>
      </w:r>
      <w:r w:rsidR="0011494C">
        <w:rPr>
          <w:rFonts w:asciiTheme="majorHAnsi" w:hAnsiTheme="majorHAnsi"/>
        </w:rPr>
      </w:r>
      <w:r w:rsidR="0011494C">
        <w:rPr>
          <w:rFonts w:asciiTheme="majorHAnsi" w:hAnsiTheme="majorHAnsi"/>
        </w:rPr>
        <w:fldChar w:fldCharType="separate"/>
      </w:r>
      <w:r w:rsidR="004C310F" w:rsidRPr="008D4276">
        <w:rPr>
          <w:rFonts w:asciiTheme="majorHAnsi" w:hAnsiTheme="majorHAnsi" w:cs="Calibri"/>
        </w:rPr>
        <w:t xml:space="preserve">Table </w:t>
      </w:r>
      <w:r w:rsidR="004C310F">
        <w:rPr>
          <w:rFonts w:asciiTheme="majorHAnsi" w:hAnsiTheme="majorHAnsi" w:cs="Calibri"/>
          <w:noProof/>
        </w:rPr>
        <w:t>1</w:t>
      </w:r>
      <w:r w:rsidR="0011494C">
        <w:rPr>
          <w:rFonts w:asciiTheme="majorHAnsi" w:hAnsiTheme="majorHAnsi"/>
        </w:rPr>
        <w:fldChar w:fldCharType="end"/>
      </w:r>
      <w:r w:rsidRPr="008D4276">
        <w:rPr>
          <w:rFonts w:asciiTheme="majorHAnsi" w:hAnsiTheme="majorHAnsi"/>
        </w:rPr>
        <w:t>).</w:t>
      </w:r>
    </w:p>
    <w:p w14:paraId="6F001DE5" w14:textId="58CA9931" w:rsidR="00DA5D00" w:rsidRPr="008D4276" w:rsidRDefault="00DA5D00" w:rsidP="004D6592">
      <w:pPr>
        <w:rPr>
          <w:rFonts w:asciiTheme="majorHAnsi" w:hAnsiTheme="majorHAnsi"/>
        </w:rPr>
      </w:pPr>
      <w:r w:rsidRPr="008D4276">
        <w:rPr>
          <w:rFonts w:asciiTheme="majorHAnsi" w:hAnsiTheme="majorHAnsi"/>
        </w:rPr>
        <w:t xml:space="preserve">The overall rate of serious adverse events (SAEs) per 100 patient years (PY) was numerically higher for the </w:t>
      </w:r>
      <w:r w:rsidR="00631356" w:rsidRPr="008D4276">
        <w:rPr>
          <w:rFonts w:asciiTheme="majorHAnsi" w:hAnsiTheme="majorHAnsi"/>
        </w:rPr>
        <w:t>tocilizumab</w:t>
      </w:r>
      <w:r w:rsidRPr="008D4276">
        <w:rPr>
          <w:rFonts w:asciiTheme="majorHAnsi" w:hAnsiTheme="majorHAnsi"/>
        </w:rPr>
        <w:t xml:space="preserve"> arms (13.2 SAEs per 100 PY) than the placebo + MTX arm (10.6 SAEs per 100 PY). These were reported under ‘Infections and Infestations’, ‘Neoplasms Benign, Malignant and Unspecified’, ‘Respiratory, Thoracic and Mediastinal Disorders’ and ‘Injury, Poisoning and Procedural Complications’. The rate of discontinuation due to an adverse event was approximately twice as high in the </w:t>
      </w:r>
      <w:r w:rsidR="00631356" w:rsidRPr="008D4276">
        <w:rPr>
          <w:rFonts w:asciiTheme="majorHAnsi" w:hAnsiTheme="majorHAnsi"/>
        </w:rPr>
        <w:t>tocilizumab</w:t>
      </w:r>
      <w:r w:rsidRPr="008D4276">
        <w:rPr>
          <w:rFonts w:asciiTheme="majorHAnsi" w:hAnsiTheme="majorHAnsi"/>
        </w:rPr>
        <w:t xml:space="preserve"> arms, as in the placebo + MTX arm (16.1 and 8.2 events per 100 PY respectively). In all 3 </w:t>
      </w:r>
      <w:r w:rsidR="00631356" w:rsidRPr="008D4276">
        <w:rPr>
          <w:rFonts w:asciiTheme="majorHAnsi" w:hAnsiTheme="majorHAnsi"/>
        </w:rPr>
        <w:t>tocilizumab</w:t>
      </w:r>
      <w:r w:rsidRPr="008D4276">
        <w:rPr>
          <w:rFonts w:asciiTheme="majorHAnsi" w:hAnsiTheme="majorHAnsi"/>
        </w:rPr>
        <w:t xml:space="preserve"> treatment arms, the most common reason for treatment discontinuation was attributed to ‘Investigations’ events, in particular events related to liver enzyme elevations. In the study there were 14 patient deaths reported, 12 in </w:t>
      </w:r>
      <w:r w:rsidR="00631356" w:rsidRPr="008D4276">
        <w:rPr>
          <w:rFonts w:asciiTheme="majorHAnsi" w:hAnsiTheme="majorHAnsi"/>
        </w:rPr>
        <w:t>tocilizumab</w:t>
      </w:r>
      <w:r w:rsidRPr="008D4276">
        <w:rPr>
          <w:rFonts w:asciiTheme="majorHAnsi" w:hAnsiTheme="majorHAnsi"/>
        </w:rPr>
        <w:t>-treated patients and 2 in Placebo + MTX-treated patients.</w:t>
      </w:r>
    </w:p>
    <w:p w14:paraId="7287BA06" w14:textId="6F63C2BE" w:rsidR="00DA5D00" w:rsidRPr="008D4276" w:rsidRDefault="002E2D9E" w:rsidP="00DA5D00">
      <w:pPr>
        <w:pStyle w:val="Heading3"/>
        <w:rPr>
          <w:rFonts w:cs="Calibri"/>
        </w:rPr>
      </w:pPr>
      <w:bookmarkStart w:id="29" w:name="Actemra_vs_adalimumab_in_monotherapy"/>
      <w:bookmarkEnd w:id="29"/>
      <w:r w:rsidRPr="008D4276">
        <w:rPr>
          <w:rFonts w:cs="Calibri"/>
        </w:rPr>
        <w:t>Tocilizumab</w:t>
      </w:r>
      <w:r w:rsidR="00DA5D00" w:rsidRPr="008D4276">
        <w:rPr>
          <w:rFonts w:cs="Calibri"/>
        </w:rPr>
        <w:t xml:space="preserve"> vs adalimumab in monotherapy</w:t>
      </w:r>
    </w:p>
    <w:p w14:paraId="5BF85E4E" w14:textId="1FF2A7B1" w:rsidR="00DA5D00" w:rsidRPr="008D4276" w:rsidRDefault="00DA5D00" w:rsidP="004D6592">
      <w:pPr>
        <w:rPr>
          <w:rFonts w:asciiTheme="majorHAnsi" w:hAnsiTheme="majorHAnsi"/>
        </w:rPr>
      </w:pPr>
      <w:r w:rsidRPr="008D4276">
        <w:rPr>
          <w:rFonts w:asciiTheme="majorHAnsi" w:hAnsiTheme="majorHAnsi"/>
        </w:rPr>
        <w:t xml:space="preserve">In a 24-week double-blinded, parallel study (monotherapy with </w:t>
      </w:r>
      <w:r w:rsidR="002E2D9E" w:rsidRPr="008D4276">
        <w:rPr>
          <w:rFonts w:asciiTheme="majorHAnsi" w:hAnsiTheme="majorHAnsi"/>
        </w:rPr>
        <w:t>tocilizumab</w:t>
      </w:r>
      <w:r w:rsidRPr="008D4276">
        <w:rPr>
          <w:rFonts w:asciiTheme="majorHAnsi" w:hAnsiTheme="majorHAnsi"/>
        </w:rPr>
        <w:t xml:space="preserve"> 8 mg/kg IV q4w (n=162) compared to adalimumab 40 mg SC q2w (n=162)), the overall clinical adverse event profile was similar between </w:t>
      </w:r>
      <w:r w:rsidR="002E2D9E" w:rsidRPr="008D4276">
        <w:rPr>
          <w:rFonts w:asciiTheme="majorHAnsi" w:hAnsiTheme="majorHAnsi"/>
        </w:rPr>
        <w:t>tocilizumab</w:t>
      </w:r>
      <w:r w:rsidRPr="008D4276">
        <w:rPr>
          <w:rFonts w:asciiTheme="majorHAnsi" w:hAnsiTheme="majorHAnsi"/>
        </w:rPr>
        <w:t xml:space="preserve"> and adalimumab. The proportion of patients with serious adverse events was balanced between the treatment groups (</w:t>
      </w:r>
      <w:r w:rsidR="002E2D9E" w:rsidRPr="008D4276">
        <w:rPr>
          <w:rFonts w:asciiTheme="majorHAnsi" w:hAnsiTheme="majorHAnsi"/>
        </w:rPr>
        <w:t>tocilizumab</w:t>
      </w:r>
      <w:r w:rsidRPr="008D4276">
        <w:rPr>
          <w:rFonts w:asciiTheme="majorHAnsi" w:hAnsiTheme="majorHAnsi"/>
        </w:rPr>
        <w:t xml:space="preserve"> 11.7% vs. adalimumab 9.9%) with the most common event being infections (3.1% each). There was a sudden death in the </w:t>
      </w:r>
      <w:r w:rsidR="002E2D9E" w:rsidRPr="008D4276">
        <w:rPr>
          <w:rFonts w:asciiTheme="majorHAnsi" w:hAnsiTheme="majorHAnsi"/>
        </w:rPr>
        <w:t>tocilizumab</w:t>
      </w:r>
      <w:r w:rsidRPr="008D4276">
        <w:rPr>
          <w:rFonts w:asciiTheme="majorHAnsi" w:hAnsiTheme="majorHAnsi"/>
        </w:rPr>
        <w:t xml:space="preserve"> arm of a patient who died 10 days after the last dose. The cause of death was unknown. The patient had a history of peripheral vascular disease, hypertension, smoking and interstitial lung disease. Both study treatments induced the same pattern of changes in laboratory safety parameters (decreases in neutrophil and platelet counts, increases in ALT, AST and lipids), however, the magnitude of change and the frequency of marked abnormalities was higher with </w:t>
      </w:r>
      <w:r w:rsidR="002E2D9E" w:rsidRPr="008D4276">
        <w:rPr>
          <w:rFonts w:asciiTheme="majorHAnsi" w:hAnsiTheme="majorHAnsi"/>
        </w:rPr>
        <w:t>tocilizumab</w:t>
      </w:r>
      <w:r w:rsidRPr="008D4276">
        <w:rPr>
          <w:rFonts w:asciiTheme="majorHAnsi" w:hAnsiTheme="majorHAnsi"/>
        </w:rPr>
        <w:t xml:space="preserve"> compared with adalimumab. Four (2.5%) patients in the </w:t>
      </w:r>
      <w:r w:rsidR="002E2D9E" w:rsidRPr="008D4276">
        <w:rPr>
          <w:rFonts w:asciiTheme="majorHAnsi" w:hAnsiTheme="majorHAnsi"/>
        </w:rPr>
        <w:t>tocilizumab</w:t>
      </w:r>
      <w:r w:rsidRPr="008D4276">
        <w:rPr>
          <w:rFonts w:asciiTheme="majorHAnsi" w:hAnsiTheme="majorHAnsi"/>
        </w:rPr>
        <w:t xml:space="preserve"> arm and two (1.2%) patients in the adalimumab arm experienced CTC grade 3 or 4 neutrophil count decreases. Eleven (6.8%) patients in the </w:t>
      </w:r>
      <w:r w:rsidR="002E2D9E" w:rsidRPr="008D4276">
        <w:rPr>
          <w:rFonts w:asciiTheme="majorHAnsi" w:hAnsiTheme="majorHAnsi"/>
        </w:rPr>
        <w:t>tocilizumab</w:t>
      </w:r>
      <w:r w:rsidRPr="008D4276">
        <w:rPr>
          <w:rFonts w:asciiTheme="majorHAnsi" w:hAnsiTheme="majorHAnsi"/>
        </w:rPr>
        <w:t xml:space="preserve"> arm and 5 (3.1%) patients in the adalimumab arm experienced ALT increases of CTC grade 2 or higher. For patients not receiving lipid lowering agents the mean increase in LDL from baseline to week 24 was 0.64 mmol/L (25 mg/dL) for patients in the </w:t>
      </w:r>
      <w:r w:rsidR="002E2D9E" w:rsidRPr="008D4276">
        <w:rPr>
          <w:rFonts w:asciiTheme="majorHAnsi" w:hAnsiTheme="majorHAnsi"/>
        </w:rPr>
        <w:t>tocilizumab</w:t>
      </w:r>
      <w:r w:rsidRPr="008D4276">
        <w:rPr>
          <w:rFonts w:asciiTheme="majorHAnsi" w:hAnsiTheme="majorHAnsi"/>
        </w:rPr>
        <w:t xml:space="preserve"> arm and 0.19 mmol/L (7 mg/dL) for patients in the adalimumab arm. The safety observed in the </w:t>
      </w:r>
      <w:r w:rsidR="002E2D9E" w:rsidRPr="008D4276">
        <w:rPr>
          <w:rFonts w:asciiTheme="majorHAnsi" w:hAnsiTheme="majorHAnsi"/>
        </w:rPr>
        <w:t>tocilizumab</w:t>
      </w:r>
      <w:r w:rsidR="002E2D9E" w:rsidRPr="008D4276" w:rsidDel="002E2D9E">
        <w:rPr>
          <w:rFonts w:asciiTheme="majorHAnsi" w:hAnsiTheme="majorHAnsi"/>
        </w:rPr>
        <w:t xml:space="preserve"> </w:t>
      </w:r>
      <w:r w:rsidRPr="008D4276">
        <w:rPr>
          <w:rFonts w:asciiTheme="majorHAnsi" w:hAnsiTheme="majorHAnsi"/>
        </w:rPr>
        <w:t xml:space="preserve">arm was consistent with the known safety profile of </w:t>
      </w:r>
      <w:r w:rsidR="002E2D9E" w:rsidRPr="008D4276">
        <w:rPr>
          <w:rFonts w:asciiTheme="majorHAnsi" w:hAnsiTheme="majorHAnsi"/>
        </w:rPr>
        <w:t>tocilizumab</w:t>
      </w:r>
      <w:r w:rsidRPr="008D4276">
        <w:rPr>
          <w:rFonts w:asciiTheme="majorHAnsi" w:hAnsiTheme="majorHAnsi"/>
        </w:rPr>
        <w:t xml:space="preserve"> and no new or unexpected adverse drug reactions were observed.</w:t>
      </w:r>
    </w:p>
    <w:p w14:paraId="6246C65A" w14:textId="3B17E35A" w:rsidR="00DA5D00" w:rsidRPr="008D4276" w:rsidRDefault="00DA5D00" w:rsidP="00DA5D00">
      <w:pPr>
        <w:pStyle w:val="Heading3"/>
        <w:rPr>
          <w:rFonts w:cs="Calibri"/>
        </w:rPr>
      </w:pPr>
      <w:bookmarkStart w:id="30" w:name="Patients_Treated_with_Subcutaneous_Actem"/>
      <w:bookmarkEnd w:id="30"/>
      <w:r w:rsidRPr="008D4276">
        <w:rPr>
          <w:rFonts w:cs="Calibri"/>
        </w:rPr>
        <w:t xml:space="preserve">Patients Treated with Subcutaneous </w:t>
      </w:r>
      <w:r w:rsidR="002E2D9E" w:rsidRPr="008D4276">
        <w:rPr>
          <w:rFonts w:cs="Calibri"/>
        </w:rPr>
        <w:t>Tocilizumab</w:t>
      </w:r>
    </w:p>
    <w:p w14:paraId="503459BD" w14:textId="22522A27" w:rsidR="00DA5D00" w:rsidRPr="008D4276" w:rsidRDefault="00DA5D00" w:rsidP="004D6592">
      <w:pPr>
        <w:rPr>
          <w:rFonts w:asciiTheme="majorHAnsi" w:hAnsiTheme="majorHAnsi"/>
        </w:rPr>
      </w:pPr>
      <w:r w:rsidRPr="008D4276">
        <w:rPr>
          <w:rFonts w:asciiTheme="majorHAnsi" w:hAnsiTheme="majorHAnsi"/>
        </w:rPr>
        <w:t xml:space="preserve">The safety of subcutaneous </w:t>
      </w:r>
      <w:r w:rsidR="002E2D9E" w:rsidRPr="008D4276">
        <w:rPr>
          <w:rFonts w:asciiTheme="majorHAnsi" w:hAnsiTheme="majorHAnsi"/>
        </w:rPr>
        <w:t>tocilizumab</w:t>
      </w:r>
      <w:r w:rsidRPr="008D4276">
        <w:rPr>
          <w:rFonts w:asciiTheme="majorHAnsi" w:hAnsiTheme="majorHAnsi"/>
        </w:rPr>
        <w:t xml:space="preserve"> includes data from Study VI (SUMMACTA) and Study VII (BREVACTA). SUMMACTA compared the efficacy and safety of subcutaneous </w:t>
      </w:r>
      <w:r w:rsidR="002E2D9E" w:rsidRPr="008D4276">
        <w:rPr>
          <w:rFonts w:asciiTheme="majorHAnsi" w:hAnsiTheme="majorHAnsi"/>
        </w:rPr>
        <w:t>tocilizumab</w:t>
      </w:r>
      <w:r w:rsidRPr="008D4276">
        <w:rPr>
          <w:rFonts w:asciiTheme="majorHAnsi" w:hAnsiTheme="majorHAnsi"/>
        </w:rPr>
        <w:t xml:space="preserve"> 162 mg administered every week versus intravenous</w:t>
      </w:r>
      <w:r w:rsidR="002E2D9E" w:rsidRPr="008D4276">
        <w:rPr>
          <w:rFonts w:asciiTheme="majorHAnsi" w:hAnsiTheme="majorHAnsi"/>
        </w:rPr>
        <w:t xml:space="preserve"> tocilizumab</w:t>
      </w:r>
      <w:r w:rsidRPr="008D4276">
        <w:rPr>
          <w:rFonts w:asciiTheme="majorHAnsi" w:hAnsiTheme="majorHAnsi"/>
        </w:rPr>
        <w:t xml:space="preserve"> 8 mg/kg every 4 weeks in 1262 subjects with adult RA. BREVACTA was a placebo-controlled superiority study that evaluated the safety and efficacy of subcutaneous </w:t>
      </w:r>
      <w:r w:rsidR="002E2D9E" w:rsidRPr="008D4276">
        <w:rPr>
          <w:rFonts w:asciiTheme="majorHAnsi" w:hAnsiTheme="majorHAnsi"/>
        </w:rPr>
        <w:t>tocilizumab</w:t>
      </w:r>
      <w:r w:rsidRPr="008D4276">
        <w:rPr>
          <w:rFonts w:asciiTheme="majorHAnsi" w:hAnsiTheme="majorHAnsi"/>
        </w:rPr>
        <w:t xml:space="preserve"> 162 mg administered every other week or </w:t>
      </w:r>
      <w:r w:rsidRPr="008D4276">
        <w:rPr>
          <w:rFonts w:asciiTheme="majorHAnsi" w:hAnsiTheme="majorHAnsi"/>
        </w:rPr>
        <w:lastRenderedPageBreak/>
        <w:t>placebo in 656 patients. All patients in both studies received background non-biological DMARD(s).</w:t>
      </w:r>
    </w:p>
    <w:p w14:paraId="036388D9" w14:textId="42D58531" w:rsidR="00DA5D00" w:rsidRPr="008D4276" w:rsidRDefault="00DA5D00" w:rsidP="004D6592">
      <w:pPr>
        <w:rPr>
          <w:rFonts w:asciiTheme="majorHAnsi" w:hAnsiTheme="majorHAnsi"/>
        </w:rPr>
      </w:pPr>
      <w:r w:rsidRPr="008D4276">
        <w:rPr>
          <w:rFonts w:asciiTheme="majorHAnsi" w:hAnsiTheme="majorHAnsi"/>
        </w:rPr>
        <w:t xml:space="preserve">The safety and immunogenicity observed for subcutaneous </w:t>
      </w:r>
      <w:r w:rsidR="002E2D9E" w:rsidRPr="008D4276">
        <w:rPr>
          <w:rFonts w:asciiTheme="majorHAnsi" w:hAnsiTheme="majorHAnsi"/>
        </w:rPr>
        <w:t>tocilizumab</w:t>
      </w:r>
      <w:r w:rsidRPr="008D4276">
        <w:rPr>
          <w:rFonts w:asciiTheme="majorHAnsi" w:hAnsiTheme="majorHAnsi"/>
        </w:rPr>
        <w:t xml:space="preserve"> was consistent with the known safety profile of intravenous </w:t>
      </w:r>
      <w:r w:rsidR="002E2D9E" w:rsidRPr="008D4276">
        <w:rPr>
          <w:rFonts w:asciiTheme="majorHAnsi" w:hAnsiTheme="majorHAnsi"/>
        </w:rPr>
        <w:t>tocilizumab</w:t>
      </w:r>
      <w:r w:rsidRPr="008D4276">
        <w:rPr>
          <w:rFonts w:asciiTheme="majorHAnsi" w:hAnsiTheme="majorHAnsi"/>
        </w:rPr>
        <w:t xml:space="preserve"> and no new or unexpected adverse drug reactions were observed (see Table 1). A higher frequency of injection site reactions was observed in patients who received subcutaneous </w:t>
      </w:r>
      <w:r w:rsidR="002E2D9E" w:rsidRPr="008D4276">
        <w:rPr>
          <w:rFonts w:asciiTheme="majorHAnsi" w:hAnsiTheme="majorHAnsi"/>
        </w:rPr>
        <w:t>tocilizumab</w:t>
      </w:r>
      <w:r w:rsidRPr="008D4276">
        <w:rPr>
          <w:rFonts w:asciiTheme="majorHAnsi" w:hAnsiTheme="majorHAnsi"/>
        </w:rPr>
        <w:t xml:space="preserve"> compared with those who received subcutaneous placebo injections (in the IV arms of the studies).</w:t>
      </w:r>
    </w:p>
    <w:p w14:paraId="1C859080" w14:textId="77777777" w:rsidR="00DA5D00" w:rsidRPr="008D4276" w:rsidRDefault="00DA5D00" w:rsidP="004D6592">
      <w:pPr>
        <w:pStyle w:val="Heading4"/>
        <w:rPr>
          <w:rFonts w:asciiTheme="majorHAnsi" w:hAnsiTheme="majorHAnsi"/>
        </w:rPr>
      </w:pPr>
      <w:r w:rsidRPr="008D4276">
        <w:rPr>
          <w:rFonts w:asciiTheme="majorHAnsi" w:hAnsiTheme="majorHAnsi"/>
        </w:rPr>
        <w:t>Injection Site Reactions</w:t>
      </w:r>
    </w:p>
    <w:p w14:paraId="4B0543A9" w14:textId="481C04D0" w:rsidR="00DA5D00" w:rsidRPr="008D4276" w:rsidRDefault="00DA5D00" w:rsidP="004D6592">
      <w:pPr>
        <w:rPr>
          <w:rFonts w:asciiTheme="majorHAnsi" w:hAnsiTheme="majorHAnsi"/>
        </w:rPr>
      </w:pPr>
      <w:r w:rsidRPr="008D4276">
        <w:rPr>
          <w:rFonts w:asciiTheme="majorHAnsi" w:hAnsiTheme="majorHAnsi"/>
        </w:rPr>
        <w:t xml:space="preserve">During the 6-month controlled period in SUMMACTA, the frequency of injection site reactions was 10.1% (64/631) and 2.4% (15/631) for the subcutaneous </w:t>
      </w:r>
      <w:r w:rsidR="002E2D9E" w:rsidRPr="008D4276">
        <w:rPr>
          <w:rFonts w:asciiTheme="majorHAnsi" w:hAnsiTheme="majorHAnsi"/>
        </w:rPr>
        <w:t>tocilizumab</w:t>
      </w:r>
      <w:r w:rsidRPr="008D4276">
        <w:rPr>
          <w:rFonts w:asciiTheme="majorHAnsi" w:hAnsiTheme="majorHAnsi"/>
        </w:rPr>
        <w:t xml:space="preserve"> and the subcutaneous placebo (in the IV arm of the study) weekly injections, respectively. In BREVACTA, the frequency of injection site reactions was 7.1% (31/437) and 4.1% (9/218) for the subcutaneous </w:t>
      </w:r>
      <w:r w:rsidR="002E2D9E" w:rsidRPr="008D4276">
        <w:rPr>
          <w:rFonts w:asciiTheme="majorHAnsi" w:hAnsiTheme="majorHAnsi"/>
        </w:rPr>
        <w:t>tocilizumab</w:t>
      </w:r>
      <w:r w:rsidRPr="008D4276">
        <w:rPr>
          <w:rFonts w:asciiTheme="majorHAnsi" w:hAnsiTheme="majorHAnsi"/>
        </w:rPr>
        <w:t xml:space="preserve"> and placebo every other week, respectively. These injection site reactions (including erythema, pruritus, pain and haematoma) were mild to moderate in severity. The majority was resolved without any treatment and none necessitated drug discontinuation.</w:t>
      </w:r>
    </w:p>
    <w:p w14:paraId="240176F9" w14:textId="77777777" w:rsidR="00DA5D00" w:rsidRPr="008D4276" w:rsidRDefault="00DA5D00" w:rsidP="004D6592">
      <w:pPr>
        <w:pStyle w:val="Heading4"/>
        <w:rPr>
          <w:rFonts w:asciiTheme="majorHAnsi" w:hAnsiTheme="majorHAnsi"/>
        </w:rPr>
      </w:pPr>
      <w:r w:rsidRPr="008D4276">
        <w:rPr>
          <w:rFonts w:asciiTheme="majorHAnsi" w:hAnsiTheme="majorHAnsi"/>
        </w:rPr>
        <w:t>Immunogenicity</w:t>
      </w:r>
    </w:p>
    <w:p w14:paraId="673DFA5B" w14:textId="614A58FE" w:rsidR="00DA5D00" w:rsidRPr="008D4276" w:rsidRDefault="00DA5D00" w:rsidP="004D6592">
      <w:pPr>
        <w:rPr>
          <w:rFonts w:asciiTheme="majorHAnsi" w:hAnsiTheme="majorHAnsi"/>
        </w:rPr>
      </w:pPr>
      <w:r w:rsidRPr="008D4276">
        <w:rPr>
          <w:rFonts w:asciiTheme="majorHAnsi" w:hAnsiTheme="majorHAnsi"/>
        </w:rPr>
        <w:t xml:space="preserve">In SUMMACTA, a total of 625 patients treated with </w:t>
      </w:r>
      <w:r w:rsidR="002E2D9E" w:rsidRPr="008D4276">
        <w:rPr>
          <w:rFonts w:asciiTheme="majorHAnsi" w:hAnsiTheme="majorHAnsi"/>
        </w:rPr>
        <w:t>tocilizumab</w:t>
      </w:r>
      <w:r w:rsidRPr="008D4276">
        <w:rPr>
          <w:rFonts w:asciiTheme="majorHAnsi" w:hAnsiTheme="majorHAnsi"/>
        </w:rPr>
        <w:t xml:space="preserve"> 162 mg weekly were tested for anti-</w:t>
      </w:r>
      <w:r w:rsidR="002E2D9E" w:rsidRPr="008D4276">
        <w:rPr>
          <w:rFonts w:asciiTheme="majorHAnsi" w:hAnsiTheme="majorHAnsi"/>
        </w:rPr>
        <w:t>tocilizumab</w:t>
      </w:r>
      <w:r w:rsidRPr="008D4276">
        <w:rPr>
          <w:rFonts w:asciiTheme="majorHAnsi" w:hAnsiTheme="majorHAnsi"/>
        </w:rPr>
        <w:t xml:space="preserve"> antibodies in the 6 month controlled period. Five patients (0.8%) developed positive anti-</w:t>
      </w:r>
      <w:r w:rsidR="002E2D9E" w:rsidRPr="008D4276">
        <w:rPr>
          <w:rFonts w:asciiTheme="majorHAnsi" w:hAnsiTheme="majorHAnsi"/>
        </w:rPr>
        <w:t>tocilizumab</w:t>
      </w:r>
      <w:r w:rsidRPr="008D4276">
        <w:rPr>
          <w:rFonts w:asciiTheme="majorHAnsi" w:hAnsiTheme="majorHAnsi"/>
        </w:rPr>
        <w:t xml:space="preserve"> antibodies; of these, all developed neutralising anti-</w:t>
      </w:r>
      <w:r w:rsidR="002E2D9E" w:rsidRPr="008D4276">
        <w:rPr>
          <w:rFonts w:asciiTheme="majorHAnsi" w:hAnsiTheme="majorHAnsi"/>
        </w:rPr>
        <w:t>tocilizumab</w:t>
      </w:r>
      <w:r w:rsidRPr="008D4276">
        <w:rPr>
          <w:rFonts w:asciiTheme="majorHAnsi" w:hAnsiTheme="majorHAnsi"/>
        </w:rPr>
        <w:t xml:space="preserve"> antibodies. In BREVACTA, a total of 434 patients treated with </w:t>
      </w:r>
      <w:r w:rsidR="002E2D9E" w:rsidRPr="008D4276">
        <w:rPr>
          <w:rFonts w:asciiTheme="majorHAnsi" w:hAnsiTheme="majorHAnsi"/>
        </w:rPr>
        <w:t>tocilizumab</w:t>
      </w:r>
      <w:r w:rsidRPr="008D4276">
        <w:rPr>
          <w:rFonts w:asciiTheme="majorHAnsi" w:hAnsiTheme="majorHAnsi"/>
        </w:rPr>
        <w:t xml:space="preserve"> 162 mg every other week were tested for anti-</w:t>
      </w:r>
      <w:r w:rsidR="002E2D9E" w:rsidRPr="008D4276">
        <w:rPr>
          <w:rFonts w:asciiTheme="majorHAnsi" w:hAnsiTheme="majorHAnsi"/>
        </w:rPr>
        <w:t>tocilizumab</w:t>
      </w:r>
      <w:r w:rsidRPr="008D4276">
        <w:rPr>
          <w:rFonts w:asciiTheme="majorHAnsi" w:hAnsiTheme="majorHAnsi"/>
        </w:rPr>
        <w:t xml:space="preserve"> antibodies. Seven patients (1.6%) in the subcutaneous </w:t>
      </w:r>
      <w:r w:rsidR="002E2D9E" w:rsidRPr="008D4276">
        <w:rPr>
          <w:rFonts w:asciiTheme="majorHAnsi" w:hAnsiTheme="majorHAnsi"/>
        </w:rPr>
        <w:t>tocilizumab</w:t>
      </w:r>
      <w:r w:rsidRPr="008D4276">
        <w:rPr>
          <w:rFonts w:asciiTheme="majorHAnsi" w:hAnsiTheme="majorHAnsi"/>
        </w:rPr>
        <w:t xml:space="preserve"> arm developed anti-</w:t>
      </w:r>
      <w:r w:rsidR="002E2D9E" w:rsidRPr="008D4276">
        <w:rPr>
          <w:rFonts w:asciiTheme="majorHAnsi" w:hAnsiTheme="majorHAnsi"/>
        </w:rPr>
        <w:t>tocilizumab</w:t>
      </w:r>
      <w:r w:rsidRPr="008D4276">
        <w:rPr>
          <w:rFonts w:asciiTheme="majorHAnsi" w:hAnsiTheme="majorHAnsi"/>
        </w:rPr>
        <w:t xml:space="preserve"> antibodies; of these 6 (1.4%) in the subcutaneous </w:t>
      </w:r>
      <w:r w:rsidR="002E2D9E" w:rsidRPr="008D4276">
        <w:rPr>
          <w:rFonts w:asciiTheme="majorHAnsi" w:hAnsiTheme="majorHAnsi"/>
        </w:rPr>
        <w:t>tocilizumab</w:t>
      </w:r>
      <w:r w:rsidRPr="008D4276">
        <w:rPr>
          <w:rFonts w:asciiTheme="majorHAnsi" w:hAnsiTheme="majorHAnsi"/>
        </w:rPr>
        <w:t xml:space="preserve"> arm developed neutralising antibodies.</w:t>
      </w:r>
    </w:p>
    <w:p w14:paraId="4FBA7556" w14:textId="5BE7A6D4" w:rsidR="00DA5D00" w:rsidRPr="008D4276" w:rsidRDefault="00DA5D00" w:rsidP="004D6592">
      <w:pPr>
        <w:rPr>
          <w:rFonts w:asciiTheme="majorHAnsi" w:hAnsiTheme="majorHAnsi"/>
        </w:rPr>
      </w:pPr>
      <w:r w:rsidRPr="008D4276">
        <w:rPr>
          <w:rFonts w:asciiTheme="majorHAnsi" w:hAnsiTheme="majorHAnsi"/>
        </w:rPr>
        <w:t xml:space="preserve">A total of 1454 subcutaneous </w:t>
      </w:r>
      <w:r w:rsidR="002E2D9E" w:rsidRPr="008D4276">
        <w:rPr>
          <w:rFonts w:asciiTheme="majorHAnsi" w:hAnsiTheme="majorHAnsi"/>
        </w:rPr>
        <w:t>tocilizumab</w:t>
      </w:r>
      <w:r w:rsidRPr="008D4276">
        <w:rPr>
          <w:rFonts w:asciiTheme="majorHAnsi" w:hAnsiTheme="majorHAnsi"/>
        </w:rPr>
        <w:t xml:space="preserve"> all exposure patients have been tested for anti-</w:t>
      </w:r>
      <w:r w:rsidR="002E2D9E" w:rsidRPr="008D4276">
        <w:rPr>
          <w:rFonts w:asciiTheme="majorHAnsi" w:hAnsiTheme="majorHAnsi"/>
        </w:rPr>
        <w:t>tocilizumab</w:t>
      </w:r>
      <w:r w:rsidRPr="008D4276">
        <w:rPr>
          <w:rFonts w:asciiTheme="majorHAnsi" w:hAnsiTheme="majorHAnsi"/>
        </w:rPr>
        <w:t xml:space="preserve"> antibodies, 13 patients (0.9%) developed positive anti-</w:t>
      </w:r>
      <w:r w:rsidR="002E2D9E" w:rsidRPr="008D4276">
        <w:rPr>
          <w:rFonts w:asciiTheme="majorHAnsi" w:hAnsiTheme="majorHAnsi"/>
        </w:rPr>
        <w:t>tocilizumab</w:t>
      </w:r>
      <w:r w:rsidRPr="008D4276">
        <w:rPr>
          <w:rFonts w:asciiTheme="majorHAnsi" w:hAnsiTheme="majorHAnsi"/>
        </w:rPr>
        <w:t xml:space="preserve"> antibodies, and of these 12 patients (0.8%) developed neutralising anti-</w:t>
      </w:r>
      <w:r w:rsidR="002E2D9E" w:rsidRPr="008D4276">
        <w:rPr>
          <w:rFonts w:asciiTheme="majorHAnsi" w:hAnsiTheme="majorHAnsi"/>
        </w:rPr>
        <w:t>tocilizumab</w:t>
      </w:r>
      <w:r w:rsidRPr="008D4276">
        <w:rPr>
          <w:rFonts w:asciiTheme="majorHAnsi" w:hAnsiTheme="majorHAnsi"/>
        </w:rPr>
        <w:t xml:space="preserve"> antibodies.</w:t>
      </w:r>
    </w:p>
    <w:p w14:paraId="2B435750" w14:textId="77777777" w:rsidR="00DA5D00" w:rsidRPr="008D4276" w:rsidRDefault="00DA5D00" w:rsidP="004D6592">
      <w:pPr>
        <w:rPr>
          <w:rFonts w:asciiTheme="majorHAnsi" w:hAnsiTheme="majorHAnsi"/>
        </w:rPr>
      </w:pPr>
      <w:r w:rsidRPr="008D4276">
        <w:rPr>
          <w:rFonts w:asciiTheme="majorHAnsi" w:hAnsiTheme="majorHAnsi"/>
        </w:rPr>
        <w:t xml:space="preserve">No correlation of antibody development to clinical response or adverse events was observed. </w:t>
      </w:r>
    </w:p>
    <w:p w14:paraId="3F343CE2" w14:textId="60E77A15" w:rsidR="00DA5D00" w:rsidRPr="008D4276" w:rsidRDefault="00DA5D00" w:rsidP="004D6592">
      <w:pPr>
        <w:pStyle w:val="Heading4"/>
        <w:rPr>
          <w:rFonts w:asciiTheme="majorHAnsi" w:hAnsiTheme="majorHAnsi"/>
        </w:rPr>
      </w:pPr>
      <w:r w:rsidRPr="008D4276">
        <w:rPr>
          <w:rFonts w:asciiTheme="majorHAnsi" w:hAnsiTheme="majorHAnsi"/>
        </w:rPr>
        <w:t>Hypersensitivity and Anaphylaxis</w:t>
      </w:r>
    </w:p>
    <w:p w14:paraId="52107F5F" w14:textId="60F80A00" w:rsidR="00DA5D00" w:rsidRPr="008D4276" w:rsidRDefault="00DA5D00" w:rsidP="004D6592">
      <w:pPr>
        <w:rPr>
          <w:rFonts w:asciiTheme="majorHAnsi" w:hAnsiTheme="majorHAnsi"/>
        </w:rPr>
      </w:pPr>
      <w:r w:rsidRPr="008D4276">
        <w:rPr>
          <w:rFonts w:asciiTheme="majorHAnsi" w:hAnsiTheme="majorHAnsi"/>
        </w:rPr>
        <w:t xml:space="preserve">In the subcutaneous </w:t>
      </w:r>
      <w:r w:rsidR="002E2D9E" w:rsidRPr="008D4276">
        <w:rPr>
          <w:rFonts w:asciiTheme="majorHAnsi" w:hAnsiTheme="majorHAnsi"/>
        </w:rPr>
        <w:t>tocilizumab</w:t>
      </w:r>
      <w:r w:rsidRPr="008D4276">
        <w:rPr>
          <w:rFonts w:asciiTheme="majorHAnsi" w:hAnsiTheme="majorHAnsi"/>
        </w:rPr>
        <w:t xml:space="preserve"> development program clinically significant hypersensitivity reactions were defined as any adverse event during or within 24 hours of an injection (excluding injection site reactions), related to treatment and leading to study withdrawal. Clinically significant hypersensitivity reactions were experienced in 0.7% (8 out of 1068) of patients in the subcutaneous 6-month controlled RA trials and 0.7% (10 out of 1465) of patients in the subcutaneous all-exposure population. The events included, but were not limited to hypersensitivity (5 events) and urticaria (1 event).</w:t>
      </w:r>
    </w:p>
    <w:p w14:paraId="5DF32E1C" w14:textId="26A48CED" w:rsidR="00DA5D00" w:rsidRPr="008D4276" w:rsidRDefault="00DA5D00" w:rsidP="004D6592">
      <w:pPr>
        <w:rPr>
          <w:rFonts w:asciiTheme="majorHAnsi" w:hAnsiTheme="majorHAnsi"/>
        </w:rPr>
      </w:pPr>
      <w:r w:rsidRPr="008D4276">
        <w:rPr>
          <w:rFonts w:asciiTheme="majorHAnsi" w:hAnsiTheme="majorHAnsi"/>
        </w:rPr>
        <w:t xml:space="preserve">There were no cases of anaphylaxis in the subcutaneous </w:t>
      </w:r>
      <w:r w:rsidR="002E2D9E" w:rsidRPr="008D4276">
        <w:rPr>
          <w:rFonts w:asciiTheme="majorHAnsi" w:hAnsiTheme="majorHAnsi"/>
        </w:rPr>
        <w:t>tocilizumab</w:t>
      </w:r>
      <w:r w:rsidRPr="008D4276">
        <w:rPr>
          <w:rFonts w:asciiTheme="majorHAnsi" w:hAnsiTheme="majorHAnsi"/>
        </w:rPr>
        <w:t xml:space="preserve"> pivotal studies SUMMACTA and BREVACTA, however anaphylaxis has been reported in the post-market setting.</w:t>
      </w:r>
    </w:p>
    <w:p w14:paraId="553CD6C4" w14:textId="77777777" w:rsidR="00DA5D00" w:rsidRPr="008D4276" w:rsidRDefault="00DA5D00" w:rsidP="00DA5D00">
      <w:pPr>
        <w:pStyle w:val="Heading3"/>
        <w:rPr>
          <w:rFonts w:cs="Calibri"/>
        </w:rPr>
      </w:pPr>
      <w:r w:rsidRPr="008D4276">
        <w:rPr>
          <w:rFonts w:cs="Calibri"/>
        </w:rPr>
        <w:t>Giant Cell Arteritis</w:t>
      </w:r>
    </w:p>
    <w:p w14:paraId="1A07FAF1" w14:textId="5010BA5B" w:rsidR="00DA5D00" w:rsidRPr="008D4276" w:rsidRDefault="00DA5D00" w:rsidP="004D6592">
      <w:pPr>
        <w:rPr>
          <w:rFonts w:asciiTheme="majorHAnsi" w:hAnsiTheme="majorHAnsi"/>
        </w:rPr>
      </w:pPr>
      <w:r w:rsidRPr="008D4276">
        <w:rPr>
          <w:rFonts w:asciiTheme="majorHAnsi" w:hAnsiTheme="majorHAnsi"/>
        </w:rPr>
        <w:t>The safety of subcutaneous</w:t>
      </w:r>
      <w:r w:rsidR="002E2D9E" w:rsidRPr="008D4276">
        <w:rPr>
          <w:rFonts w:asciiTheme="majorHAnsi" w:hAnsiTheme="majorHAnsi"/>
        </w:rPr>
        <w:t xml:space="preserve"> tocilizumab</w:t>
      </w:r>
      <w:r w:rsidRPr="008D4276">
        <w:rPr>
          <w:rFonts w:asciiTheme="majorHAnsi" w:hAnsiTheme="majorHAnsi"/>
        </w:rPr>
        <w:t xml:space="preserve"> was studied in 251 GCA patients in a Phase III study (Study X, GiACTA). The total patient years duration in the </w:t>
      </w:r>
      <w:r w:rsidR="002E2D9E" w:rsidRPr="008D4276">
        <w:rPr>
          <w:rFonts w:asciiTheme="majorHAnsi" w:hAnsiTheme="majorHAnsi"/>
        </w:rPr>
        <w:t>tocilizumab</w:t>
      </w:r>
      <w:r w:rsidRPr="008D4276">
        <w:rPr>
          <w:rFonts w:asciiTheme="majorHAnsi" w:hAnsiTheme="majorHAnsi"/>
        </w:rPr>
        <w:t xml:space="preserve"> all exposure population </w:t>
      </w:r>
      <w:r w:rsidRPr="008D4276">
        <w:rPr>
          <w:rFonts w:asciiTheme="majorHAnsi" w:hAnsiTheme="majorHAnsi"/>
        </w:rPr>
        <w:lastRenderedPageBreak/>
        <w:t xml:space="preserve">was 138.5 patient years during the 12-month double blind, placebo-controlled phase of the study. The overall safety profile observed in the </w:t>
      </w:r>
      <w:r w:rsidR="002E2D9E" w:rsidRPr="008D4276">
        <w:rPr>
          <w:rFonts w:asciiTheme="majorHAnsi" w:hAnsiTheme="majorHAnsi"/>
        </w:rPr>
        <w:t>tocilizumab</w:t>
      </w:r>
      <w:r w:rsidRPr="008D4276">
        <w:rPr>
          <w:rFonts w:asciiTheme="majorHAnsi" w:hAnsiTheme="majorHAnsi"/>
        </w:rPr>
        <w:t xml:space="preserve"> treatment groups was consistent with the known safety profile of </w:t>
      </w:r>
      <w:r w:rsidR="002E2D9E" w:rsidRPr="008D4276">
        <w:rPr>
          <w:rFonts w:asciiTheme="majorHAnsi" w:hAnsiTheme="majorHAnsi"/>
        </w:rPr>
        <w:t>tocilizumab</w:t>
      </w:r>
      <w:r w:rsidRPr="008D4276">
        <w:rPr>
          <w:rFonts w:asciiTheme="majorHAnsi" w:hAnsiTheme="majorHAnsi"/>
        </w:rPr>
        <w:t xml:space="preserve"> (see Table 1).</w:t>
      </w:r>
    </w:p>
    <w:p w14:paraId="3F32ABF2" w14:textId="77777777" w:rsidR="00DA5D00" w:rsidRPr="008D4276" w:rsidRDefault="00DA5D00" w:rsidP="004D6592">
      <w:pPr>
        <w:pStyle w:val="Heading4"/>
        <w:rPr>
          <w:rFonts w:asciiTheme="majorHAnsi" w:hAnsiTheme="majorHAnsi"/>
        </w:rPr>
      </w:pPr>
      <w:r w:rsidRPr="008D4276">
        <w:rPr>
          <w:rFonts w:asciiTheme="majorHAnsi" w:hAnsiTheme="majorHAnsi"/>
        </w:rPr>
        <w:t>Infections</w:t>
      </w:r>
    </w:p>
    <w:p w14:paraId="15FB25D4" w14:textId="5FAFF375" w:rsidR="00DA5D00" w:rsidRPr="008D4276" w:rsidRDefault="00DA5D00" w:rsidP="004D6592">
      <w:pPr>
        <w:rPr>
          <w:rFonts w:asciiTheme="majorHAnsi" w:hAnsiTheme="majorHAnsi"/>
        </w:rPr>
      </w:pPr>
      <w:r w:rsidRPr="008D4276">
        <w:rPr>
          <w:rFonts w:asciiTheme="majorHAnsi" w:hAnsiTheme="majorHAnsi"/>
        </w:rPr>
        <w:t xml:space="preserve">The rate of infection/serious infection events was 200.2/9.7 events per 100 patient years in the </w:t>
      </w:r>
      <w:r w:rsidR="002E2D9E" w:rsidRPr="008D4276">
        <w:rPr>
          <w:rFonts w:asciiTheme="majorHAnsi" w:hAnsiTheme="majorHAnsi"/>
        </w:rPr>
        <w:t>tocilizumab</w:t>
      </w:r>
      <w:r w:rsidRPr="008D4276">
        <w:rPr>
          <w:rFonts w:asciiTheme="majorHAnsi" w:hAnsiTheme="majorHAnsi"/>
        </w:rPr>
        <w:t xml:space="preserve"> weekly group and 160.2/4.4 events per 100 patient years in the </w:t>
      </w:r>
      <w:r w:rsidR="002E2D9E" w:rsidRPr="008D4276">
        <w:rPr>
          <w:rFonts w:asciiTheme="majorHAnsi" w:hAnsiTheme="majorHAnsi"/>
        </w:rPr>
        <w:t>tocilizumab</w:t>
      </w:r>
      <w:r w:rsidRPr="008D4276">
        <w:rPr>
          <w:rFonts w:asciiTheme="majorHAnsi" w:hAnsiTheme="majorHAnsi"/>
        </w:rPr>
        <w:t xml:space="preserve"> every other week group compared to 156.0/4.2 events per 100 patient years in the placebo plus 26 week prednisone taper 210.2/12.5 events per 100 patient years in the placebo plus 52 weeks taper groups.</w:t>
      </w:r>
    </w:p>
    <w:p w14:paraId="5EE6F15B" w14:textId="77777777" w:rsidR="00DA5D00" w:rsidRPr="008D4276" w:rsidRDefault="00DA5D00" w:rsidP="004D6592">
      <w:pPr>
        <w:pStyle w:val="Heading4"/>
        <w:rPr>
          <w:rFonts w:asciiTheme="majorHAnsi" w:hAnsiTheme="majorHAnsi"/>
        </w:rPr>
      </w:pPr>
      <w:bookmarkStart w:id="31" w:name="Injection_Site_Reactions"/>
      <w:bookmarkEnd w:id="31"/>
      <w:r w:rsidRPr="008D4276">
        <w:rPr>
          <w:rFonts w:asciiTheme="majorHAnsi" w:hAnsiTheme="majorHAnsi"/>
        </w:rPr>
        <w:t>Injection Site Reactions</w:t>
      </w:r>
    </w:p>
    <w:p w14:paraId="5CC62ADD" w14:textId="7C1BB182" w:rsidR="00DA5D00" w:rsidRPr="008D4276" w:rsidRDefault="00DA5D00" w:rsidP="004D6592">
      <w:pPr>
        <w:rPr>
          <w:rFonts w:asciiTheme="majorHAnsi" w:hAnsiTheme="majorHAnsi"/>
        </w:rPr>
      </w:pPr>
      <w:r w:rsidRPr="008D4276">
        <w:rPr>
          <w:rFonts w:asciiTheme="majorHAnsi" w:hAnsiTheme="majorHAnsi"/>
        </w:rPr>
        <w:t xml:space="preserve">In the </w:t>
      </w:r>
      <w:r w:rsidR="002E2D9E" w:rsidRPr="008D4276">
        <w:rPr>
          <w:rFonts w:asciiTheme="majorHAnsi" w:hAnsiTheme="majorHAnsi"/>
        </w:rPr>
        <w:t>tocilizumab</w:t>
      </w:r>
      <w:r w:rsidRPr="008D4276">
        <w:rPr>
          <w:rFonts w:asciiTheme="majorHAnsi" w:hAnsiTheme="majorHAnsi"/>
        </w:rPr>
        <w:t xml:space="preserve"> weekly group and the every other week group, 6% (6/100) of patients and 14% (7/49) of patients, reported an adverse reaction occurring at the site of a subcutaneous injection, respectively. No injection site reaction was reported as a serious adverse event or required treatment discontinuation.</w:t>
      </w:r>
    </w:p>
    <w:p w14:paraId="39675553" w14:textId="77777777" w:rsidR="00DA5D00" w:rsidRPr="008D4276" w:rsidRDefault="00DA5D00" w:rsidP="004D6592">
      <w:pPr>
        <w:pStyle w:val="Heading4"/>
        <w:rPr>
          <w:rFonts w:asciiTheme="majorHAnsi" w:hAnsiTheme="majorHAnsi"/>
        </w:rPr>
      </w:pPr>
      <w:r w:rsidRPr="008D4276">
        <w:rPr>
          <w:rFonts w:asciiTheme="majorHAnsi" w:hAnsiTheme="majorHAnsi"/>
        </w:rPr>
        <w:t>Immunogenicity</w:t>
      </w:r>
    </w:p>
    <w:p w14:paraId="4C41205A" w14:textId="38359120" w:rsidR="00DA5D00" w:rsidRPr="008D4276" w:rsidRDefault="00DA5D00" w:rsidP="004D6592">
      <w:pPr>
        <w:rPr>
          <w:rFonts w:asciiTheme="majorHAnsi" w:hAnsiTheme="majorHAnsi"/>
        </w:rPr>
      </w:pPr>
      <w:r w:rsidRPr="008D4276">
        <w:rPr>
          <w:rFonts w:asciiTheme="majorHAnsi" w:hAnsiTheme="majorHAnsi"/>
        </w:rPr>
        <w:t xml:space="preserve">In the </w:t>
      </w:r>
      <w:r w:rsidR="002E2D9E" w:rsidRPr="008D4276">
        <w:rPr>
          <w:rFonts w:asciiTheme="majorHAnsi" w:hAnsiTheme="majorHAnsi"/>
        </w:rPr>
        <w:t>tocilizumab</w:t>
      </w:r>
      <w:r w:rsidRPr="008D4276">
        <w:rPr>
          <w:rFonts w:asciiTheme="majorHAnsi" w:hAnsiTheme="majorHAnsi"/>
        </w:rPr>
        <w:t xml:space="preserve"> weekly group and the every other week group, 1 patient (1.1%, 1/95) and 3 patients (6.5%, 3/46), developed positive neutralising anti-</w:t>
      </w:r>
      <w:r w:rsidR="002E2D9E" w:rsidRPr="008D4276">
        <w:rPr>
          <w:rFonts w:asciiTheme="majorHAnsi" w:hAnsiTheme="majorHAnsi"/>
        </w:rPr>
        <w:t>tocilizumab</w:t>
      </w:r>
      <w:r w:rsidRPr="008D4276">
        <w:rPr>
          <w:rFonts w:asciiTheme="majorHAnsi" w:hAnsiTheme="majorHAnsi"/>
        </w:rPr>
        <w:t xml:space="preserve"> antibodies, respectively. These were not of the IgE isotype. These patients did not develop hypersensitivity reactions or injection site reactions.</w:t>
      </w:r>
    </w:p>
    <w:p w14:paraId="7982F64E" w14:textId="77777777" w:rsidR="00DA5D00" w:rsidRPr="008D4276" w:rsidRDefault="00DA5D00" w:rsidP="004D6592">
      <w:pPr>
        <w:pStyle w:val="Heading4"/>
        <w:rPr>
          <w:rFonts w:asciiTheme="majorHAnsi" w:hAnsiTheme="majorHAnsi"/>
        </w:rPr>
      </w:pPr>
      <w:r w:rsidRPr="008D4276">
        <w:rPr>
          <w:rFonts w:asciiTheme="majorHAnsi" w:hAnsiTheme="majorHAnsi"/>
        </w:rPr>
        <w:t>Hypersensitivity and Anaphylaxis</w:t>
      </w:r>
    </w:p>
    <w:p w14:paraId="303017D5" w14:textId="5BFB288D" w:rsidR="00DA5D00" w:rsidRPr="008D4276" w:rsidRDefault="00DA5D00" w:rsidP="004D6592">
      <w:pPr>
        <w:rPr>
          <w:rFonts w:asciiTheme="majorHAnsi" w:hAnsiTheme="majorHAnsi"/>
        </w:rPr>
      </w:pPr>
      <w:r w:rsidRPr="008D4276">
        <w:rPr>
          <w:rFonts w:asciiTheme="majorHAnsi" w:hAnsiTheme="majorHAnsi"/>
        </w:rPr>
        <w:t xml:space="preserve">In the </w:t>
      </w:r>
      <w:r w:rsidR="002E2D9E" w:rsidRPr="008D4276">
        <w:rPr>
          <w:rFonts w:asciiTheme="majorHAnsi" w:hAnsiTheme="majorHAnsi"/>
        </w:rPr>
        <w:t>tocilizumab</w:t>
      </w:r>
      <w:r w:rsidRPr="008D4276">
        <w:rPr>
          <w:rFonts w:asciiTheme="majorHAnsi" w:hAnsiTheme="majorHAnsi"/>
        </w:rPr>
        <w:t xml:space="preserve"> weekly group, no patients experienced a clinically significant hypersensitivity reaction or anaphylaxis. Two patients in the </w:t>
      </w:r>
      <w:r w:rsidR="002E2D9E" w:rsidRPr="008D4276">
        <w:rPr>
          <w:rFonts w:asciiTheme="majorHAnsi" w:hAnsiTheme="majorHAnsi"/>
        </w:rPr>
        <w:t>tocilizumab</w:t>
      </w:r>
      <w:r w:rsidRPr="008D4276">
        <w:rPr>
          <w:rFonts w:asciiTheme="majorHAnsi" w:hAnsiTheme="majorHAnsi"/>
        </w:rPr>
        <w:t xml:space="preserve"> every other week group had clinically significant hypersensitivity reactions. One patient in the </w:t>
      </w:r>
      <w:r w:rsidR="002E2D9E" w:rsidRPr="008D4276">
        <w:rPr>
          <w:rFonts w:asciiTheme="majorHAnsi" w:hAnsiTheme="majorHAnsi"/>
        </w:rPr>
        <w:t>tocilizumab</w:t>
      </w:r>
      <w:r w:rsidRPr="008D4276">
        <w:rPr>
          <w:rFonts w:asciiTheme="majorHAnsi" w:hAnsiTheme="majorHAnsi"/>
        </w:rPr>
        <w:t xml:space="preserve"> every other week group experienced events constituting an anaphylactic reaction. These were not considered to be clinically significant upon medical review.</w:t>
      </w:r>
    </w:p>
    <w:p w14:paraId="400F05D8" w14:textId="77777777" w:rsidR="00DA5D00" w:rsidRPr="008D4276" w:rsidRDefault="00DA5D00" w:rsidP="00DA5D00">
      <w:pPr>
        <w:pStyle w:val="Heading3"/>
        <w:rPr>
          <w:rFonts w:cs="Calibri"/>
        </w:rPr>
      </w:pPr>
      <w:r w:rsidRPr="008D4276">
        <w:rPr>
          <w:rFonts w:cs="Calibri"/>
        </w:rPr>
        <w:t>COVID-19</w:t>
      </w:r>
    </w:p>
    <w:p w14:paraId="1B60038A" w14:textId="01D366EA" w:rsidR="00DA5D00" w:rsidRPr="008D4276" w:rsidRDefault="00DA5D00" w:rsidP="004D6592">
      <w:pPr>
        <w:rPr>
          <w:rFonts w:asciiTheme="majorHAnsi" w:hAnsiTheme="majorHAnsi"/>
        </w:rPr>
      </w:pPr>
      <w:r w:rsidRPr="008D4276">
        <w:rPr>
          <w:rFonts w:asciiTheme="majorHAnsi" w:hAnsiTheme="majorHAnsi"/>
        </w:rPr>
        <w:t xml:space="preserve">The safety evaluation of </w:t>
      </w:r>
      <w:r w:rsidR="002E2D9E" w:rsidRPr="008D4276">
        <w:rPr>
          <w:rFonts w:asciiTheme="majorHAnsi" w:hAnsiTheme="majorHAnsi"/>
        </w:rPr>
        <w:t>tocilizumab</w:t>
      </w:r>
      <w:r w:rsidRPr="008D4276">
        <w:rPr>
          <w:rFonts w:asciiTheme="majorHAnsi" w:hAnsiTheme="majorHAnsi"/>
        </w:rPr>
        <w:t xml:space="preserve"> in COVID-19 was based on 3 randomised, double-blind, placebo controlled trials (studies EMPACTA, COVACTA and REMDACTA). A total of 974 patients were exposed to </w:t>
      </w:r>
      <w:r w:rsidR="002E2D9E" w:rsidRPr="008D4276">
        <w:rPr>
          <w:rFonts w:asciiTheme="majorHAnsi" w:hAnsiTheme="majorHAnsi"/>
        </w:rPr>
        <w:t>tocilizumab</w:t>
      </w:r>
      <w:r w:rsidRPr="008D4276">
        <w:rPr>
          <w:rFonts w:asciiTheme="majorHAnsi" w:hAnsiTheme="majorHAnsi"/>
        </w:rPr>
        <w:t xml:space="preserve"> in these studies. Safety data from the randomised, controlled, open-label, platform trial (RECOVERY (Randomised Evaluation of COVID-19 Therapy)) is not provided here as collection of adverse event data was limited.</w:t>
      </w:r>
    </w:p>
    <w:p w14:paraId="47BD7698" w14:textId="77777777" w:rsidR="004C310F" w:rsidRPr="004C310F" w:rsidRDefault="00DA5D00" w:rsidP="004C310F">
      <w:pPr>
        <w:rPr>
          <w:rFonts w:asciiTheme="majorHAnsi" w:hAnsiTheme="majorHAnsi"/>
        </w:rPr>
      </w:pPr>
      <w:r w:rsidRPr="008D4276">
        <w:rPr>
          <w:rFonts w:asciiTheme="majorHAnsi" w:hAnsiTheme="majorHAnsi"/>
        </w:rPr>
        <w:t xml:space="preserve">The following adverse reactions, listed by MedDRA system organ class in </w:t>
      </w:r>
      <w:r w:rsidR="00E63BA6" w:rsidRPr="008D4276">
        <w:rPr>
          <w:rFonts w:asciiTheme="majorHAnsi" w:hAnsiTheme="majorHAnsi"/>
        </w:rPr>
        <w:fldChar w:fldCharType="begin"/>
      </w:r>
      <w:r w:rsidR="00E63BA6" w:rsidRPr="008D4276">
        <w:rPr>
          <w:rFonts w:asciiTheme="majorHAnsi" w:hAnsiTheme="majorHAnsi"/>
        </w:rPr>
        <w:instrText xml:space="preserve"> REF _Ref159341512 \h </w:instrText>
      </w:r>
      <w:r w:rsidR="00582401" w:rsidRPr="008D4276">
        <w:rPr>
          <w:rFonts w:asciiTheme="majorHAnsi" w:hAnsiTheme="majorHAnsi"/>
        </w:rPr>
        <w:instrText xml:space="preserve"> \* MERGEFORMAT </w:instrText>
      </w:r>
      <w:r w:rsidR="00E63BA6" w:rsidRPr="008D4276">
        <w:rPr>
          <w:rFonts w:asciiTheme="majorHAnsi" w:hAnsiTheme="majorHAnsi"/>
        </w:rPr>
      </w:r>
      <w:r w:rsidR="00E63BA6" w:rsidRPr="008D4276">
        <w:rPr>
          <w:rFonts w:asciiTheme="majorHAnsi" w:hAnsiTheme="majorHAnsi"/>
        </w:rPr>
        <w:fldChar w:fldCharType="separate"/>
      </w:r>
      <w:r w:rsidR="004C310F" w:rsidRPr="004C310F">
        <w:rPr>
          <w:rFonts w:asciiTheme="majorHAnsi" w:hAnsiTheme="majorHAnsi"/>
        </w:rPr>
        <w:br w:type="page"/>
      </w:r>
    </w:p>
    <w:p w14:paraId="0CDE5553" w14:textId="7CDD8A1A" w:rsidR="00DA5D00" w:rsidRPr="008D4276" w:rsidRDefault="004C310F" w:rsidP="004D6592">
      <w:pPr>
        <w:rPr>
          <w:rFonts w:asciiTheme="majorHAnsi" w:hAnsiTheme="majorHAnsi"/>
        </w:rPr>
      </w:pPr>
      <w:r w:rsidRPr="004C310F">
        <w:rPr>
          <w:rFonts w:asciiTheme="majorHAnsi" w:hAnsiTheme="majorHAnsi"/>
        </w:rPr>
        <w:t>Table</w:t>
      </w:r>
      <w:r w:rsidRPr="008D4276">
        <w:rPr>
          <w:rFonts w:asciiTheme="majorHAnsi" w:hAnsiTheme="majorHAnsi" w:cs="Calibri"/>
        </w:rPr>
        <w:t xml:space="preserve"> </w:t>
      </w:r>
      <w:r>
        <w:rPr>
          <w:rFonts w:asciiTheme="majorHAnsi" w:hAnsiTheme="majorHAnsi" w:cs="Calibri"/>
          <w:noProof/>
        </w:rPr>
        <w:t>3</w:t>
      </w:r>
      <w:r w:rsidR="00E63BA6" w:rsidRPr="008D4276">
        <w:rPr>
          <w:rFonts w:asciiTheme="majorHAnsi" w:hAnsiTheme="majorHAnsi"/>
        </w:rPr>
        <w:fldChar w:fldCharType="end"/>
      </w:r>
      <w:r w:rsidR="00DA5D00" w:rsidRPr="008D4276">
        <w:rPr>
          <w:rFonts w:asciiTheme="majorHAnsi" w:hAnsiTheme="majorHAnsi"/>
        </w:rPr>
        <w:t xml:space="preserve">, have been adjudicated from events which occurred in at least 3% of </w:t>
      </w:r>
      <w:r w:rsidR="002E2D9E" w:rsidRPr="008D4276">
        <w:rPr>
          <w:rFonts w:asciiTheme="majorHAnsi" w:hAnsiTheme="majorHAnsi"/>
        </w:rPr>
        <w:t>tocilizumab</w:t>
      </w:r>
      <w:r w:rsidR="00DA5D00" w:rsidRPr="008D4276">
        <w:rPr>
          <w:rFonts w:asciiTheme="majorHAnsi" w:hAnsiTheme="majorHAnsi"/>
        </w:rPr>
        <w:t xml:space="preserve"> treated patients and more commonly than in patients on placebo in the pooled safety-evaluable population from clinical studies EMPACTA, COVACTA and REMDACTA.</w:t>
      </w:r>
    </w:p>
    <w:p w14:paraId="487C0288" w14:textId="77777777" w:rsidR="00DA5D00" w:rsidRPr="008D4276" w:rsidRDefault="00DA5D00" w:rsidP="004D6592">
      <w:pPr>
        <w:rPr>
          <w:rFonts w:asciiTheme="majorHAnsi" w:hAnsiTheme="majorHAnsi"/>
        </w:rPr>
      </w:pPr>
      <w:r w:rsidRPr="008D4276">
        <w:rPr>
          <w:rFonts w:asciiTheme="majorHAnsi" w:hAnsiTheme="majorHAnsi"/>
        </w:rPr>
        <w:t>The corresponding frequency category for each adverse drug reaction is based on the following convention: very common (</w:t>
      </w:r>
      <w:r w:rsidRPr="008D4276">
        <w:rPr>
          <w:rFonts w:asciiTheme="majorHAnsi" w:hAnsiTheme="majorHAnsi" w:hint="eastAsia"/>
        </w:rPr>
        <w:t>≥</w:t>
      </w:r>
      <w:r w:rsidRPr="008D4276">
        <w:rPr>
          <w:rFonts w:asciiTheme="majorHAnsi" w:hAnsiTheme="majorHAnsi"/>
        </w:rPr>
        <w:t xml:space="preserve"> 1/10); common (</w:t>
      </w:r>
      <w:r w:rsidRPr="008D4276">
        <w:rPr>
          <w:rFonts w:asciiTheme="majorHAnsi" w:hAnsiTheme="majorHAnsi" w:hint="eastAsia"/>
        </w:rPr>
        <w:t>≥</w:t>
      </w:r>
      <w:r w:rsidRPr="008D4276">
        <w:rPr>
          <w:rFonts w:asciiTheme="majorHAnsi" w:hAnsiTheme="majorHAnsi"/>
        </w:rPr>
        <w:t xml:space="preserve"> 1/100 to &lt; 1/10); uncommon (</w:t>
      </w:r>
      <w:r w:rsidRPr="008D4276">
        <w:rPr>
          <w:rFonts w:asciiTheme="majorHAnsi" w:hAnsiTheme="majorHAnsi" w:hint="eastAsia"/>
        </w:rPr>
        <w:t>≥</w:t>
      </w:r>
      <w:r w:rsidRPr="008D4276">
        <w:rPr>
          <w:rFonts w:asciiTheme="majorHAnsi" w:hAnsiTheme="majorHAnsi"/>
        </w:rPr>
        <w:t xml:space="preserve"> 1/1,000 to &lt; 1/100); rare (</w:t>
      </w:r>
      <w:r w:rsidRPr="008D4276">
        <w:rPr>
          <w:rFonts w:asciiTheme="majorHAnsi" w:hAnsiTheme="majorHAnsi" w:hint="eastAsia"/>
        </w:rPr>
        <w:t>≥</w:t>
      </w:r>
      <w:r w:rsidRPr="008D4276">
        <w:rPr>
          <w:rFonts w:asciiTheme="majorHAnsi" w:hAnsiTheme="majorHAnsi"/>
        </w:rPr>
        <w:t xml:space="preserve"> 1/10,000 to &lt; 1/1,000); very rare (&lt; 1/10,000).</w:t>
      </w:r>
    </w:p>
    <w:p w14:paraId="245B0559" w14:textId="77777777" w:rsidR="00C9760B" w:rsidRDefault="00C9760B">
      <w:pPr>
        <w:spacing w:after="200"/>
        <w:rPr>
          <w:rFonts w:asciiTheme="majorHAnsi" w:hAnsiTheme="majorHAnsi" w:cs="Calibri"/>
          <w:b/>
          <w:bCs/>
          <w:color w:val="000000" w:themeColor="text1"/>
          <w:sz w:val="20"/>
          <w:szCs w:val="18"/>
        </w:rPr>
      </w:pPr>
      <w:bookmarkStart w:id="32" w:name="_Ref159341512"/>
      <w:bookmarkEnd w:id="24"/>
      <w:r>
        <w:rPr>
          <w:rFonts w:asciiTheme="majorHAnsi" w:hAnsiTheme="majorHAnsi" w:cs="Calibri"/>
        </w:rPr>
        <w:br w:type="page"/>
      </w:r>
    </w:p>
    <w:p w14:paraId="67A9F5E0" w14:textId="5EF66726" w:rsidR="00DA5D00" w:rsidRPr="008D4276" w:rsidRDefault="00DA5D00" w:rsidP="00DA5D00">
      <w:pPr>
        <w:pStyle w:val="Caption"/>
        <w:rPr>
          <w:rFonts w:asciiTheme="majorHAnsi" w:hAnsiTheme="majorHAnsi" w:cs="Calibri"/>
          <w:vertAlign w:val="superscript"/>
        </w:rPr>
      </w:pPr>
      <w:r w:rsidRPr="008D4276">
        <w:rPr>
          <w:rFonts w:asciiTheme="majorHAnsi" w:hAnsiTheme="majorHAnsi" w:cs="Calibri"/>
        </w:rPr>
        <w:lastRenderedPageBreak/>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3</w:t>
      </w:r>
      <w:r w:rsidR="0006243F" w:rsidRPr="008D4276">
        <w:rPr>
          <w:rFonts w:asciiTheme="majorHAnsi" w:hAnsiTheme="majorHAnsi" w:cs="Calibri"/>
        </w:rPr>
        <w:fldChar w:fldCharType="end"/>
      </w:r>
      <w:bookmarkEnd w:id="32"/>
      <w:r w:rsidRPr="008D4276">
        <w:rPr>
          <w:rFonts w:asciiTheme="majorHAnsi" w:hAnsiTheme="majorHAnsi" w:cs="Calibri"/>
        </w:rPr>
        <w:t xml:space="preserve"> Summary of Adverse Reactions</w:t>
      </w:r>
      <w:r w:rsidRPr="008D4276">
        <w:rPr>
          <w:rFonts w:asciiTheme="majorHAnsi" w:hAnsiTheme="majorHAnsi" w:cs="Calibri"/>
          <w:vertAlign w:val="superscript"/>
        </w:rPr>
        <w:t>1</w:t>
      </w:r>
      <w:r w:rsidRPr="008D4276">
        <w:rPr>
          <w:rFonts w:asciiTheme="majorHAnsi" w:hAnsiTheme="majorHAnsi" w:cs="Calibri"/>
        </w:rPr>
        <w:t xml:space="preserve"> Occurring in COVID-19 patients treated with </w:t>
      </w:r>
      <w:r w:rsidR="002E2D9E" w:rsidRPr="008D4276">
        <w:rPr>
          <w:rFonts w:asciiTheme="majorHAnsi" w:hAnsiTheme="majorHAnsi" w:cs="Calibri"/>
        </w:rPr>
        <w:t>Tocilizumab</w:t>
      </w:r>
      <w:r w:rsidRPr="008D4276">
        <w:rPr>
          <w:rFonts w:asciiTheme="majorHAnsi" w:hAnsiTheme="majorHAnsi" w:cs="Calibri"/>
          <w:vertAlign w:val="superscript"/>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1E0" w:firstRow="1" w:lastRow="1" w:firstColumn="1" w:lastColumn="1" w:noHBand="0" w:noVBand="0"/>
      </w:tblPr>
      <w:tblGrid>
        <w:gridCol w:w="2316"/>
        <w:gridCol w:w="2306"/>
        <w:gridCol w:w="2179"/>
        <w:gridCol w:w="2219"/>
      </w:tblGrid>
      <w:tr w:rsidR="00DA5D00" w:rsidRPr="001922B7" w14:paraId="7ADAE913" w14:textId="77777777" w:rsidTr="00DA5D00">
        <w:trPr>
          <w:trHeight w:val="536"/>
        </w:trPr>
        <w:tc>
          <w:tcPr>
            <w:tcW w:w="1284" w:type="pct"/>
            <w:vAlign w:val="center"/>
          </w:tcPr>
          <w:p w14:paraId="7A1558E3" w14:textId="77777777" w:rsidR="00DA5D00" w:rsidRPr="008D4276" w:rsidRDefault="00DA5D00" w:rsidP="00DA5D00">
            <w:pPr>
              <w:pStyle w:val="NoSpacing"/>
              <w:jc w:val="center"/>
              <w:rPr>
                <w:rFonts w:asciiTheme="majorHAnsi" w:hAnsiTheme="majorHAnsi" w:cs="Calibri"/>
                <w:b/>
                <w:bCs/>
              </w:rPr>
            </w:pPr>
            <w:r w:rsidRPr="008D4276">
              <w:rPr>
                <w:rFonts w:asciiTheme="majorHAnsi" w:hAnsiTheme="majorHAnsi" w:cs="Calibri"/>
                <w:b/>
                <w:bCs/>
              </w:rPr>
              <w:t>MedDRA System Organ Class</w:t>
            </w:r>
          </w:p>
        </w:tc>
        <w:tc>
          <w:tcPr>
            <w:tcW w:w="1278" w:type="pct"/>
            <w:vAlign w:val="center"/>
          </w:tcPr>
          <w:p w14:paraId="1FFFEE3F" w14:textId="77777777" w:rsidR="00DA5D00" w:rsidRPr="008D4276" w:rsidRDefault="00DA5D00" w:rsidP="00DA5D00">
            <w:pPr>
              <w:pStyle w:val="NoSpacing"/>
              <w:jc w:val="center"/>
              <w:rPr>
                <w:rFonts w:asciiTheme="majorHAnsi" w:hAnsiTheme="majorHAnsi" w:cs="Calibri"/>
                <w:b/>
                <w:bCs/>
              </w:rPr>
            </w:pPr>
            <w:r w:rsidRPr="008D4276">
              <w:rPr>
                <w:rFonts w:asciiTheme="majorHAnsi" w:hAnsiTheme="majorHAnsi" w:cs="Calibri"/>
                <w:b/>
                <w:bCs/>
              </w:rPr>
              <w:t>AE Term(s)</w:t>
            </w:r>
          </w:p>
        </w:tc>
        <w:tc>
          <w:tcPr>
            <w:tcW w:w="1208" w:type="pct"/>
            <w:vAlign w:val="center"/>
          </w:tcPr>
          <w:p w14:paraId="18E7291E" w14:textId="226DEE50" w:rsidR="00DA5D00" w:rsidRPr="008D4276" w:rsidRDefault="00DA5D00" w:rsidP="00DA5D00">
            <w:pPr>
              <w:pStyle w:val="NoSpacing"/>
              <w:jc w:val="center"/>
              <w:rPr>
                <w:rFonts w:asciiTheme="majorHAnsi" w:hAnsiTheme="majorHAnsi" w:cs="Calibri"/>
                <w:b/>
                <w:bCs/>
              </w:rPr>
            </w:pPr>
            <w:r w:rsidRPr="008D4276">
              <w:rPr>
                <w:rFonts w:asciiTheme="majorHAnsi" w:hAnsiTheme="majorHAnsi" w:cs="Calibri"/>
                <w:b/>
                <w:bCs/>
              </w:rPr>
              <w:t>T</w:t>
            </w:r>
            <w:r w:rsidR="00346827" w:rsidRPr="008D4276">
              <w:rPr>
                <w:rFonts w:asciiTheme="majorHAnsi" w:hAnsiTheme="majorHAnsi" w:cs="Calibri"/>
                <w:b/>
                <w:bCs/>
              </w:rPr>
              <w:t>OC</w:t>
            </w:r>
            <w:r w:rsidRPr="008D4276">
              <w:rPr>
                <w:rFonts w:asciiTheme="majorHAnsi" w:hAnsiTheme="majorHAnsi" w:cs="Calibri"/>
                <w:b/>
                <w:bCs/>
              </w:rPr>
              <w:t xml:space="preserve"> Incidence</w:t>
            </w:r>
          </w:p>
          <w:p w14:paraId="3863A6CD" w14:textId="3B67D1C4" w:rsidR="00DA5D00" w:rsidRPr="008D4276" w:rsidRDefault="00DA5D00" w:rsidP="00DA5D00">
            <w:pPr>
              <w:pStyle w:val="NoSpacing"/>
              <w:jc w:val="center"/>
              <w:rPr>
                <w:rFonts w:asciiTheme="majorHAnsi" w:hAnsiTheme="majorHAnsi" w:cs="Calibri"/>
                <w:b/>
                <w:bCs/>
              </w:rPr>
            </w:pPr>
            <w:r w:rsidRPr="008D4276">
              <w:rPr>
                <w:rFonts w:asciiTheme="majorHAnsi" w:hAnsiTheme="majorHAnsi" w:cs="Calibri"/>
                <w:b/>
                <w:bCs/>
              </w:rPr>
              <w:t>N=974</w:t>
            </w:r>
          </w:p>
          <w:p w14:paraId="6202DDFD" w14:textId="77777777" w:rsidR="00DA5D00" w:rsidRPr="008D4276" w:rsidRDefault="00DA5D00" w:rsidP="00DA5D00">
            <w:pPr>
              <w:pStyle w:val="NoSpacing"/>
              <w:jc w:val="center"/>
              <w:rPr>
                <w:rFonts w:asciiTheme="majorHAnsi" w:hAnsiTheme="majorHAnsi" w:cs="Calibri"/>
                <w:b/>
                <w:bCs/>
              </w:rPr>
            </w:pPr>
            <w:r w:rsidRPr="008D4276">
              <w:rPr>
                <w:rFonts w:asciiTheme="majorHAnsi" w:hAnsiTheme="majorHAnsi" w:cs="Calibri"/>
                <w:b/>
                <w:bCs/>
              </w:rPr>
              <w:t>n (%)</w:t>
            </w:r>
          </w:p>
        </w:tc>
        <w:tc>
          <w:tcPr>
            <w:tcW w:w="1230" w:type="pct"/>
            <w:vAlign w:val="center"/>
          </w:tcPr>
          <w:p w14:paraId="230B12BF" w14:textId="77777777" w:rsidR="00DA5D00" w:rsidRPr="008D4276" w:rsidRDefault="00DA5D00" w:rsidP="00DA5D00">
            <w:pPr>
              <w:pStyle w:val="NoSpacing"/>
              <w:jc w:val="center"/>
              <w:rPr>
                <w:rFonts w:asciiTheme="majorHAnsi" w:hAnsiTheme="majorHAnsi" w:cs="Calibri"/>
                <w:b/>
                <w:bCs/>
              </w:rPr>
            </w:pPr>
            <w:r w:rsidRPr="008D4276">
              <w:rPr>
                <w:rFonts w:asciiTheme="majorHAnsi" w:hAnsiTheme="majorHAnsi" w:cs="Calibri"/>
                <w:b/>
                <w:bCs/>
              </w:rPr>
              <w:t>Frequency</w:t>
            </w:r>
          </w:p>
        </w:tc>
      </w:tr>
      <w:tr w:rsidR="00DA5D00" w:rsidRPr="001922B7" w14:paraId="2BCBA38E" w14:textId="77777777" w:rsidTr="00DA5D00">
        <w:trPr>
          <w:trHeight w:val="700"/>
        </w:trPr>
        <w:tc>
          <w:tcPr>
            <w:tcW w:w="1284" w:type="pct"/>
            <w:vAlign w:val="center"/>
          </w:tcPr>
          <w:p w14:paraId="3B2C66E1"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Hepatobilliary disorders</w:t>
            </w:r>
          </w:p>
        </w:tc>
        <w:tc>
          <w:tcPr>
            <w:tcW w:w="1278" w:type="pct"/>
            <w:vAlign w:val="center"/>
          </w:tcPr>
          <w:p w14:paraId="31738BA6"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Hepatic transaminases increased</w:t>
            </w:r>
          </w:p>
        </w:tc>
        <w:tc>
          <w:tcPr>
            <w:tcW w:w="1208" w:type="pct"/>
            <w:vAlign w:val="center"/>
          </w:tcPr>
          <w:p w14:paraId="38C124D7"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96 (9.9)</w:t>
            </w:r>
          </w:p>
        </w:tc>
        <w:tc>
          <w:tcPr>
            <w:tcW w:w="1230" w:type="pct"/>
            <w:vAlign w:val="center"/>
          </w:tcPr>
          <w:p w14:paraId="64AF1529"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2C543A48" w14:textId="77777777" w:rsidTr="00DA5D00">
        <w:trPr>
          <w:trHeight w:val="565"/>
        </w:trPr>
        <w:tc>
          <w:tcPr>
            <w:tcW w:w="1284" w:type="pct"/>
            <w:vMerge w:val="restart"/>
            <w:vAlign w:val="center"/>
          </w:tcPr>
          <w:p w14:paraId="3E4E5A60"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Gastrointestinal disorders</w:t>
            </w:r>
          </w:p>
        </w:tc>
        <w:tc>
          <w:tcPr>
            <w:tcW w:w="1278" w:type="pct"/>
            <w:vAlign w:val="center"/>
          </w:tcPr>
          <w:p w14:paraId="5EEDDBE8"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Constipation</w:t>
            </w:r>
          </w:p>
        </w:tc>
        <w:tc>
          <w:tcPr>
            <w:tcW w:w="1208" w:type="pct"/>
            <w:vAlign w:val="center"/>
          </w:tcPr>
          <w:p w14:paraId="661A349C"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88 (9.0)</w:t>
            </w:r>
          </w:p>
        </w:tc>
        <w:tc>
          <w:tcPr>
            <w:tcW w:w="1230" w:type="pct"/>
            <w:vAlign w:val="center"/>
          </w:tcPr>
          <w:p w14:paraId="16614301"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26A1FE56" w14:textId="77777777" w:rsidTr="00DA5D00">
        <w:trPr>
          <w:trHeight w:val="276"/>
        </w:trPr>
        <w:tc>
          <w:tcPr>
            <w:tcW w:w="1284" w:type="pct"/>
            <w:vMerge/>
            <w:tcBorders>
              <w:top w:val="nil"/>
            </w:tcBorders>
            <w:vAlign w:val="center"/>
          </w:tcPr>
          <w:p w14:paraId="364CA97C" w14:textId="77777777" w:rsidR="00DA5D00" w:rsidRPr="008D4276" w:rsidRDefault="00DA5D00" w:rsidP="00DA5D00">
            <w:pPr>
              <w:pStyle w:val="NoSpacing"/>
              <w:jc w:val="center"/>
              <w:rPr>
                <w:rFonts w:asciiTheme="majorHAnsi" w:hAnsiTheme="majorHAnsi" w:cs="Calibri"/>
              </w:rPr>
            </w:pPr>
          </w:p>
        </w:tc>
        <w:tc>
          <w:tcPr>
            <w:tcW w:w="1278" w:type="pct"/>
            <w:vAlign w:val="center"/>
          </w:tcPr>
          <w:p w14:paraId="360EBEE8"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Diarrhoea</w:t>
            </w:r>
          </w:p>
        </w:tc>
        <w:tc>
          <w:tcPr>
            <w:tcW w:w="1208" w:type="pct"/>
            <w:vAlign w:val="center"/>
          </w:tcPr>
          <w:p w14:paraId="6EBEA158"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37 (3.8)</w:t>
            </w:r>
          </w:p>
        </w:tc>
        <w:tc>
          <w:tcPr>
            <w:tcW w:w="1230" w:type="pct"/>
            <w:vAlign w:val="center"/>
          </w:tcPr>
          <w:p w14:paraId="2240AFB9"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39DB79B3" w14:textId="77777777" w:rsidTr="00DA5D00">
        <w:trPr>
          <w:trHeight w:val="285"/>
        </w:trPr>
        <w:tc>
          <w:tcPr>
            <w:tcW w:w="1284" w:type="pct"/>
            <w:vMerge/>
            <w:tcBorders>
              <w:top w:val="nil"/>
            </w:tcBorders>
            <w:vAlign w:val="center"/>
          </w:tcPr>
          <w:p w14:paraId="2FA6F093" w14:textId="77777777" w:rsidR="00DA5D00" w:rsidRPr="008D4276" w:rsidRDefault="00DA5D00" w:rsidP="00DA5D00">
            <w:pPr>
              <w:pStyle w:val="NoSpacing"/>
              <w:jc w:val="center"/>
              <w:rPr>
                <w:rFonts w:asciiTheme="majorHAnsi" w:hAnsiTheme="majorHAnsi" w:cs="Calibri"/>
              </w:rPr>
            </w:pPr>
          </w:p>
        </w:tc>
        <w:tc>
          <w:tcPr>
            <w:tcW w:w="1278" w:type="pct"/>
            <w:vAlign w:val="center"/>
          </w:tcPr>
          <w:p w14:paraId="32680E3F"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Nausea</w:t>
            </w:r>
          </w:p>
        </w:tc>
        <w:tc>
          <w:tcPr>
            <w:tcW w:w="1208" w:type="pct"/>
            <w:vAlign w:val="center"/>
          </w:tcPr>
          <w:p w14:paraId="5CF74E5E"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33 (3.4)</w:t>
            </w:r>
          </w:p>
        </w:tc>
        <w:tc>
          <w:tcPr>
            <w:tcW w:w="1230" w:type="pct"/>
            <w:vAlign w:val="center"/>
          </w:tcPr>
          <w:p w14:paraId="168650EE"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22140481" w14:textId="77777777" w:rsidTr="00DA5D00">
        <w:trPr>
          <w:trHeight w:val="565"/>
        </w:trPr>
        <w:tc>
          <w:tcPr>
            <w:tcW w:w="1284" w:type="pct"/>
            <w:vAlign w:val="center"/>
          </w:tcPr>
          <w:p w14:paraId="33D8AD8E"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Infections and infestations</w:t>
            </w:r>
          </w:p>
        </w:tc>
        <w:tc>
          <w:tcPr>
            <w:tcW w:w="1278" w:type="pct"/>
            <w:vAlign w:val="center"/>
          </w:tcPr>
          <w:p w14:paraId="1A86FF26"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Urinary tract infection</w:t>
            </w:r>
          </w:p>
        </w:tc>
        <w:tc>
          <w:tcPr>
            <w:tcW w:w="1208" w:type="pct"/>
            <w:vAlign w:val="center"/>
          </w:tcPr>
          <w:p w14:paraId="47F7111F"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49 (5.0)</w:t>
            </w:r>
          </w:p>
        </w:tc>
        <w:tc>
          <w:tcPr>
            <w:tcW w:w="1230" w:type="pct"/>
            <w:vAlign w:val="center"/>
          </w:tcPr>
          <w:p w14:paraId="6C58B491"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25297364" w14:textId="77777777" w:rsidTr="00DA5D00">
        <w:trPr>
          <w:trHeight w:val="558"/>
        </w:trPr>
        <w:tc>
          <w:tcPr>
            <w:tcW w:w="1284" w:type="pct"/>
            <w:vAlign w:val="center"/>
          </w:tcPr>
          <w:p w14:paraId="74FD9D01"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Vascular disorders</w:t>
            </w:r>
          </w:p>
        </w:tc>
        <w:tc>
          <w:tcPr>
            <w:tcW w:w="1278" w:type="pct"/>
            <w:vAlign w:val="center"/>
          </w:tcPr>
          <w:p w14:paraId="407D2EE4"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Hypertension</w:t>
            </w:r>
          </w:p>
        </w:tc>
        <w:tc>
          <w:tcPr>
            <w:tcW w:w="1208" w:type="pct"/>
            <w:vAlign w:val="center"/>
          </w:tcPr>
          <w:p w14:paraId="1D7CC0AA"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42 (4.3)</w:t>
            </w:r>
          </w:p>
        </w:tc>
        <w:tc>
          <w:tcPr>
            <w:tcW w:w="1230" w:type="pct"/>
            <w:vAlign w:val="center"/>
          </w:tcPr>
          <w:p w14:paraId="55F7F972"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702C4C47" w14:textId="77777777" w:rsidTr="00DA5D00">
        <w:trPr>
          <w:trHeight w:val="565"/>
        </w:trPr>
        <w:tc>
          <w:tcPr>
            <w:tcW w:w="1284" w:type="pct"/>
            <w:vAlign w:val="center"/>
          </w:tcPr>
          <w:p w14:paraId="423C8929"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Metabolism and nutrition disorders</w:t>
            </w:r>
          </w:p>
        </w:tc>
        <w:tc>
          <w:tcPr>
            <w:tcW w:w="1278" w:type="pct"/>
            <w:vAlign w:val="center"/>
          </w:tcPr>
          <w:p w14:paraId="2766CED3"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Hypokalaemia</w:t>
            </w:r>
          </w:p>
        </w:tc>
        <w:tc>
          <w:tcPr>
            <w:tcW w:w="1208" w:type="pct"/>
            <w:vAlign w:val="center"/>
          </w:tcPr>
          <w:p w14:paraId="2E1941D4"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39 (4.0)</w:t>
            </w:r>
          </w:p>
        </w:tc>
        <w:tc>
          <w:tcPr>
            <w:tcW w:w="1230" w:type="pct"/>
            <w:vAlign w:val="center"/>
          </w:tcPr>
          <w:p w14:paraId="19FF3F4E"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4278F1B4" w14:textId="77777777" w:rsidTr="00DA5D00">
        <w:trPr>
          <w:trHeight w:val="381"/>
        </w:trPr>
        <w:tc>
          <w:tcPr>
            <w:tcW w:w="1284" w:type="pct"/>
            <w:vMerge w:val="restart"/>
            <w:vAlign w:val="center"/>
          </w:tcPr>
          <w:p w14:paraId="6E7741CB"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Psychiatric disorders</w:t>
            </w:r>
          </w:p>
        </w:tc>
        <w:tc>
          <w:tcPr>
            <w:tcW w:w="1278" w:type="pct"/>
            <w:vAlign w:val="center"/>
          </w:tcPr>
          <w:p w14:paraId="7023E847"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Anxiety</w:t>
            </w:r>
          </w:p>
        </w:tc>
        <w:tc>
          <w:tcPr>
            <w:tcW w:w="1208" w:type="pct"/>
            <w:vAlign w:val="center"/>
          </w:tcPr>
          <w:p w14:paraId="2C92DC69"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38 (3.9)</w:t>
            </w:r>
          </w:p>
        </w:tc>
        <w:tc>
          <w:tcPr>
            <w:tcW w:w="1230" w:type="pct"/>
            <w:vAlign w:val="center"/>
          </w:tcPr>
          <w:p w14:paraId="191E8249"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r w:rsidR="00DA5D00" w:rsidRPr="001922B7" w14:paraId="2DA97A79" w14:textId="77777777" w:rsidTr="00DA5D00">
        <w:trPr>
          <w:trHeight w:val="275"/>
        </w:trPr>
        <w:tc>
          <w:tcPr>
            <w:tcW w:w="1284" w:type="pct"/>
            <w:vMerge/>
            <w:tcBorders>
              <w:top w:val="nil"/>
            </w:tcBorders>
            <w:vAlign w:val="center"/>
          </w:tcPr>
          <w:p w14:paraId="34DD4F4C" w14:textId="77777777" w:rsidR="00DA5D00" w:rsidRPr="008D4276" w:rsidRDefault="00DA5D00" w:rsidP="00DA5D00">
            <w:pPr>
              <w:pStyle w:val="NoSpacing"/>
              <w:jc w:val="center"/>
              <w:rPr>
                <w:rFonts w:asciiTheme="majorHAnsi" w:hAnsiTheme="majorHAnsi" w:cs="Calibri"/>
              </w:rPr>
            </w:pPr>
          </w:p>
        </w:tc>
        <w:tc>
          <w:tcPr>
            <w:tcW w:w="1278" w:type="pct"/>
            <w:vAlign w:val="center"/>
          </w:tcPr>
          <w:p w14:paraId="2937E656"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Insomnia</w:t>
            </w:r>
          </w:p>
        </w:tc>
        <w:tc>
          <w:tcPr>
            <w:tcW w:w="1208" w:type="pct"/>
            <w:vAlign w:val="center"/>
          </w:tcPr>
          <w:p w14:paraId="608C2EE8"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36 (3.7)</w:t>
            </w:r>
          </w:p>
        </w:tc>
        <w:tc>
          <w:tcPr>
            <w:tcW w:w="1230" w:type="pct"/>
            <w:vAlign w:val="center"/>
          </w:tcPr>
          <w:p w14:paraId="7CF066ED" w14:textId="77777777" w:rsidR="00DA5D00" w:rsidRPr="008D4276" w:rsidRDefault="00DA5D00" w:rsidP="00DA5D00">
            <w:pPr>
              <w:pStyle w:val="NoSpacing"/>
              <w:jc w:val="center"/>
              <w:rPr>
                <w:rFonts w:asciiTheme="majorHAnsi" w:hAnsiTheme="majorHAnsi" w:cs="Calibri"/>
              </w:rPr>
            </w:pPr>
            <w:r w:rsidRPr="008D4276">
              <w:rPr>
                <w:rFonts w:asciiTheme="majorHAnsi" w:hAnsiTheme="majorHAnsi" w:cs="Calibri"/>
              </w:rPr>
              <w:t>Common</w:t>
            </w:r>
          </w:p>
        </w:tc>
      </w:tr>
    </w:tbl>
    <w:p w14:paraId="0FADD929" w14:textId="77777777" w:rsidR="00DA5D00" w:rsidRPr="008D4276" w:rsidRDefault="00DA5D00" w:rsidP="00DA5D00">
      <w:pPr>
        <w:pStyle w:val="NoSpacing"/>
        <w:rPr>
          <w:rFonts w:asciiTheme="majorHAnsi" w:hAnsiTheme="majorHAnsi" w:cs="Calibri"/>
        </w:rPr>
      </w:pPr>
      <w:r w:rsidRPr="008D4276">
        <w:rPr>
          <w:rFonts w:asciiTheme="majorHAnsi" w:hAnsiTheme="majorHAnsi" w:cs="Calibri"/>
          <w:vertAlign w:val="superscript"/>
        </w:rPr>
        <w:t>1</w:t>
      </w:r>
      <w:r w:rsidRPr="008D4276">
        <w:rPr>
          <w:rFonts w:asciiTheme="majorHAnsi" w:hAnsiTheme="majorHAnsi" w:cs="Calibri"/>
        </w:rPr>
        <w:t>Patients are counted once for each category regardless of the number of reactions</w:t>
      </w:r>
    </w:p>
    <w:p w14:paraId="20670ABC" w14:textId="1B70C44D" w:rsidR="00DA5D00" w:rsidRPr="008D4276" w:rsidRDefault="00DA5D00" w:rsidP="00DA5D00">
      <w:pPr>
        <w:pStyle w:val="NoSpacing"/>
        <w:rPr>
          <w:rFonts w:asciiTheme="majorHAnsi" w:hAnsiTheme="majorHAnsi" w:cs="Calibri"/>
        </w:rPr>
      </w:pPr>
      <w:r w:rsidRPr="008D4276">
        <w:rPr>
          <w:rFonts w:asciiTheme="majorHAnsi" w:hAnsiTheme="majorHAnsi" w:cs="Calibri"/>
          <w:vertAlign w:val="superscript"/>
        </w:rPr>
        <w:t>2</w:t>
      </w:r>
      <w:r w:rsidRPr="008D4276">
        <w:rPr>
          <w:rFonts w:asciiTheme="majorHAnsi" w:hAnsiTheme="majorHAnsi" w:cs="Calibri"/>
        </w:rPr>
        <w:t>Includes adjudicated reactions reported in studies EMPACTA, COVACTA and REMDACTA</w:t>
      </w:r>
    </w:p>
    <w:p w14:paraId="7E86CAFE" w14:textId="77777777" w:rsidR="005E036E" w:rsidRPr="008D4276" w:rsidRDefault="005E036E" w:rsidP="005E036E">
      <w:pPr>
        <w:rPr>
          <w:rFonts w:asciiTheme="majorHAnsi" w:hAnsiTheme="majorHAnsi" w:cstheme="minorHAnsi"/>
        </w:rPr>
      </w:pPr>
    </w:p>
    <w:p w14:paraId="7D302B35" w14:textId="77777777" w:rsidR="00DA5D00" w:rsidRPr="008D4276" w:rsidRDefault="00DA5D00" w:rsidP="004D6592">
      <w:pPr>
        <w:pStyle w:val="Heading4"/>
        <w:rPr>
          <w:rFonts w:asciiTheme="majorHAnsi" w:hAnsiTheme="majorHAnsi"/>
        </w:rPr>
      </w:pPr>
      <w:r w:rsidRPr="008D4276">
        <w:rPr>
          <w:rFonts w:asciiTheme="majorHAnsi" w:hAnsiTheme="majorHAnsi"/>
        </w:rPr>
        <w:t>Description of selected adverse drug reactions from clinical trials</w:t>
      </w:r>
    </w:p>
    <w:p w14:paraId="3BF68BD0"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Infections</w:t>
      </w:r>
    </w:p>
    <w:p w14:paraId="7C5E7244" w14:textId="6E5C2F01" w:rsidR="00DA5D00" w:rsidRPr="008D4276" w:rsidRDefault="00DA5D00" w:rsidP="004D6592">
      <w:pPr>
        <w:rPr>
          <w:rFonts w:asciiTheme="majorHAnsi" w:hAnsiTheme="majorHAnsi"/>
        </w:rPr>
      </w:pPr>
      <w:r w:rsidRPr="008D4276">
        <w:rPr>
          <w:rFonts w:asciiTheme="majorHAnsi" w:hAnsiTheme="majorHAnsi"/>
        </w:rPr>
        <w:t xml:space="preserve">In the pooled safety-evaluable population from the studies EMPACTA, COVACTA and REMDACTA, the rates of infection/serious infection events were balanced between COVID-19 patients receiving </w:t>
      </w:r>
      <w:r w:rsidR="002E2D9E" w:rsidRPr="008D4276">
        <w:rPr>
          <w:rFonts w:asciiTheme="majorHAnsi" w:hAnsiTheme="majorHAnsi"/>
        </w:rPr>
        <w:t>tocilizumab</w:t>
      </w:r>
      <w:r w:rsidRPr="008D4276">
        <w:rPr>
          <w:rFonts w:asciiTheme="majorHAnsi" w:hAnsiTheme="majorHAnsi"/>
        </w:rPr>
        <w:t xml:space="preserve"> (30.3%/18.6%, n=974) versus placebo (32.1%/22.8%, n=483).</w:t>
      </w:r>
    </w:p>
    <w:p w14:paraId="2CD69499" w14:textId="77777777" w:rsidR="004C310F" w:rsidRPr="004C310F" w:rsidRDefault="00DA5D00" w:rsidP="004C310F">
      <w:pPr>
        <w:rPr>
          <w:rFonts w:asciiTheme="majorHAnsi" w:hAnsiTheme="majorHAnsi"/>
        </w:rPr>
      </w:pPr>
      <w:r w:rsidRPr="008D4276">
        <w:rPr>
          <w:rFonts w:asciiTheme="majorHAnsi" w:hAnsiTheme="majorHAnsi"/>
        </w:rPr>
        <w:t xml:space="preserve">The safety profile observed in the subgroup of patients receiving baseline systemic corticosteroids (597 and 315 patients in the </w:t>
      </w:r>
      <w:r w:rsidR="002E2D9E" w:rsidRPr="008D4276">
        <w:rPr>
          <w:rFonts w:asciiTheme="majorHAnsi" w:hAnsiTheme="majorHAnsi"/>
        </w:rPr>
        <w:t>tocilizumab</w:t>
      </w:r>
      <w:r w:rsidRPr="008D4276">
        <w:rPr>
          <w:rFonts w:asciiTheme="majorHAnsi" w:hAnsiTheme="majorHAnsi"/>
        </w:rPr>
        <w:t xml:space="preserve"> and placebo arms, respectively) was consistent with the safety profile in the overall safety-evaluable population presented in </w:t>
      </w:r>
      <w:r w:rsidR="00E63BA6" w:rsidRPr="008D4276">
        <w:rPr>
          <w:rFonts w:asciiTheme="majorHAnsi" w:hAnsiTheme="majorHAnsi"/>
        </w:rPr>
        <w:fldChar w:fldCharType="begin"/>
      </w:r>
      <w:r w:rsidR="00E63BA6" w:rsidRPr="008D4276">
        <w:rPr>
          <w:rFonts w:asciiTheme="majorHAnsi" w:hAnsiTheme="majorHAnsi"/>
        </w:rPr>
        <w:instrText xml:space="preserve"> REF _Ref159341512 \h </w:instrText>
      </w:r>
      <w:r w:rsidR="00582401" w:rsidRPr="008D4276">
        <w:rPr>
          <w:rFonts w:asciiTheme="majorHAnsi" w:hAnsiTheme="majorHAnsi"/>
        </w:rPr>
        <w:instrText xml:space="preserve"> \* MERGEFORMAT </w:instrText>
      </w:r>
      <w:r w:rsidR="00E63BA6" w:rsidRPr="008D4276">
        <w:rPr>
          <w:rFonts w:asciiTheme="majorHAnsi" w:hAnsiTheme="majorHAnsi"/>
        </w:rPr>
      </w:r>
      <w:r w:rsidR="00E63BA6" w:rsidRPr="008D4276">
        <w:rPr>
          <w:rFonts w:asciiTheme="majorHAnsi" w:hAnsiTheme="majorHAnsi"/>
        </w:rPr>
        <w:fldChar w:fldCharType="separate"/>
      </w:r>
      <w:r w:rsidR="004C310F" w:rsidRPr="004C310F">
        <w:rPr>
          <w:rFonts w:asciiTheme="majorHAnsi" w:hAnsiTheme="majorHAnsi"/>
        </w:rPr>
        <w:br w:type="page"/>
      </w:r>
    </w:p>
    <w:p w14:paraId="123AED40" w14:textId="4FBB3E8E" w:rsidR="00DA5D00" w:rsidRPr="008D4276" w:rsidRDefault="004C310F" w:rsidP="004D6592">
      <w:pPr>
        <w:rPr>
          <w:rFonts w:asciiTheme="majorHAnsi" w:hAnsiTheme="majorHAnsi"/>
        </w:rPr>
      </w:pPr>
      <w:r w:rsidRPr="004C310F">
        <w:rPr>
          <w:rFonts w:asciiTheme="majorHAnsi" w:hAnsiTheme="majorHAnsi"/>
        </w:rPr>
        <w:t>Table</w:t>
      </w:r>
      <w:r w:rsidRPr="008D4276">
        <w:rPr>
          <w:rFonts w:asciiTheme="majorHAnsi" w:hAnsiTheme="majorHAnsi" w:cs="Calibri"/>
        </w:rPr>
        <w:t xml:space="preserve"> </w:t>
      </w:r>
      <w:r>
        <w:rPr>
          <w:rFonts w:asciiTheme="majorHAnsi" w:hAnsiTheme="majorHAnsi" w:cs="Calibri"/>
          <w:noProof/>
        </w:rPr>
        <w:t>3</w:t>
      </w:r>
      <w:r w:rsidR="00E63BA6" w:rsidRPr="008D4276">
        <w:rPr>
          <w:rFonts w:asciiTheme="majorHAnsi" w:hAnsiTheme="majorHAnsi"/>
        </w:rPr>
        <w:fldChar w:fldCharType="end"/>
      </w:r>
      <w:r w:rsidR="00DA5D00" w:rsidRPr="008D4276">
        <w:rPr>
          <w:rFonts w:asciiTheme="majorHAnsi" w:hAnsiTheme="majorHAnsi"/>
        </w:rPr>
        <w:t xml:space="preserve">. In this subgroup, infections and serious infections occurred in 27.8% and 18.1% of patients treated with </w:t>
      </w:r>
      <w:r w:rsidR="002E2D9E" w:rsidRPr="008D4276">
        <w:rPr>
          <w:rFonts w:asciiTheme="majorHAnsi" w:hAnsiTheme="majorHAnsi"/>
        </w:rPr>
        <w:t>tocilizumab</w:t>
      </w:r>
      <w:r w:rsidR="002E2D9E" w:rsidRPr="008D4276" w:rsidDel="002E2D9E">
        <w:rPr>
          <w:rFonts w:asciiTheme="majorHAnsi" w:hAnsiTheme="majorHAnsi"/>
        </w:rPr>
        <w:t xml:space="preserve"> </w:t>
      </w:r>
      <w:r w:rsidR="00DA5D00" w:rsidRPr="008D4276">
        <w:rPr>
          <w:rFonts w:asciiTheme="majorHAnsi" w:hAnsiTheme="majorHAnsi"/>
        </w:rPr>
        <w:t>and in 30.5% and 22.9% of patients treated with placebo, respectively.</w:t>
      </w:r>
    </w:p>
    <w:p w14:paraId="5A4D5540" w14:textId="51DF6729" w:rsidR="00DA5D00" w:rsidRPr="008D4276" w:rsidRDefault="00DA5D00" w:rsidP="00DA5D00">
      <w:pPr>
        <w:pStyle w:val="Caption"/>
        <w:rPr>
          <w:rFonts w:asciiTheme="majorHAnsi" w:hAnsiTheme="majorHAnsi" w:cs="Calibri"/>
        </w:rPr>
      </w:pPr>
      <w:r w:rsidRPr="008D4276">
        <w:rPr>
          <w:rFonts w:asciiTheme="majorHAnsi" w:hAnsiTheme="majorHAnsi" w:cs="Calibri"/>
        </w:rPr>
        <w:lastRenderedPageBreak/>
        <w:t xml:space="preserve">Figure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Figure \* ARABIC </w:instrText>
      </w:r>
      <w:r w:rsidR="0006243F" w:rsidRPr="008D4276">
        <w:rPr>
          <w:rFonts w:asciiTheme="majorHAnsi" w:hAnsiTheme="majorHAnsi" w:cs="Calibri"/>
        </w:rPr>
        <w:fldChar w:fldCharType="separate"/>
      </w:r>
      <w:r w:rsidR="004C310F">
        <w:rPr>
          <w:rFonts w:asciiTheme="majorHAnsi" w:hAnsiTheme="majorHAnsi" w:cs="Calibri"/>
          <w:noProof/>
        </w:rPr>
        <w:t>1</w:t>
      </w:r>
      <w:r w:rsidR="0006243F" w:rsidRPr="008D4276">
        <w:rPr>
          <w:rFonts w:asciiTheme="majorHAnsi" w:hAnsiTheme="majorHAnsi" w:cs="Calibri"/>
        </w:rPr>
        <w:fldChar w:fldCharType="end"/>
      </w:r>
      <w:r w:rsidRPr="008D4276">
        <w:rPr>
          <w:rFonts w:asciiTheme="majorHAnsi" w:hAnsiTheme="majorHAnsi" w:cs="Calibri"/>
        </w:rPr>
        <w:t>: Meta-Analysis Pooled Safety Population – Summary of adverse events of special interest.</w:t>
      </w:r>
      <w:r w:rsidRPr="008D4276">
        <w:rPr>
          <w:rFonts w:asciiTheme="majorHAnsi" w:hAnsiTheme="majorHAnsi" w:cs="Calibri"/>
          <w:noProof/>
        </w:rPr>
        <w:drawing>
          <wp:anchor distT="0" distB="0" distL="0" distR="0" simplePos="0" relativeHeight="251658240" behindDoc="1" locked="0" layoutInCell="1" allowOverlap="1" wp14:anchorId="3FADA670" wp14:editId="03D6EB36">
            <wp:simplePos x="0" y="0"/>
            <wp:positionH relativeFrom="page">
              <wp:posOffset>914400</wp:posOffset>
            </wp:positionH>
            <wp:positionV relativeFrom="paragraph">
              <wp:posOffset>320675</wp:posOffset>
            </wp:positionV>
            <wp:extent cx="5753210" cy="244030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753210" cy="2440304"/>
                    </a:xfrm>
                    <a:prstGeom prst="rect">
                      <a:avLst/>
                    </a:prstGeom>
                  </pic:spPr>
                </pic:pic>
              </a:graphicData>
            </a:graphic>
          </wp:anchor>
        </w:drawing>
      </w:r>
    </w:p>
    <w:p w14:paraId="34783FDC" w14:textId="77777777" w:rsidR="00DA5D00" w:rsidRPr="008D4276" w:rsidRDefault="00DA5D00" w:rsidP="005E036E">
      <w:pPr>
        <w:rPr>
          <w:rFonts w:asciiTheme="majorHAnsi" w:hAnsiTheme="majorHAnsi" w:cstheme="minorHAnsi"/>
        </w:rPr>
      </w:pPr>
    </w:p>
    <w:p w14:paraId="42B1FB08" w14:textId="77777777" w:rsidR="00DA5D00" w:rsidRPr="008D4276" w:rsidRDefault="00DA5D00" w:rsidP="00DA5D00">
      <w:pPr>
        <w:pStyle w:val="Heading3"/>
        <w:rPr>
          <w:rFonts w:cs="Calibri"/>
        </w:rPr>
      </w:pPr>
      <w:r w:rsidRPr="008D4276">
        <w:rPr>
          <w:rFonts w:cs="Calibri"/>
        </w:rPr>
        <w:t>Polyarticular Juvenile Idiopathic Arthritis</w:t>
      </w:r>
    </w:p>
    <w:p w14:paraId="40F830E2" w14:textId="522BF51B" w:rsidR="00DA5D00" w:rsidRPr="008D4276" w:rsidRDefault="00DA5D00" w:rsidP="004D6592">
      <w:pPr>
        <w:rPr>
          <w:rFonts w:asciiTheme="majorHAnsi" w:hAnsiTheme="majorHAnsi"/>
        </w:rPr>
      </w:pPr>
      <w:r w:rsidRPr="008D4276">
        <w:rPr>
          <w:rFonts w:asciiTheme="majorHAnsi" w:hAnsiTheme="majorHAnsi"/>
        </w:rPr>
        <w:t>The safety profile of</w:t>
      </w:r>
      <w:r w:rsidR="002E2D9E" w:rsidRPr="008D4276">
        <w:rPr>
          <w:rFonts w:asciiTheme="majorHAnsi" w:hAnsiTheme="majorHAnsi"/>
        </w:rPr>
        <w:t xml:space="preserve"> tocilizumab</w:t>
      </w:r>
      <w:r w:rsidRPr="008D4276">
        <w:rPr>
          <w:rFonts w:asciiTheme="majorHAnsi" w:hAnsiTheme="majorHAnsi"/>
        </w:rPr>
        <w:t xml:space="preserve"> was studied in 240 paediatric patients with pJIA. In the CHERISH study, 188 patients (2 to 17 years of age) were treated with IV </w:t>
      </w:r>
      <w:r w:rsidR="002E2D9E" w:rsidRPr="008D4276">
        <w:rPr>
          <w:rFonts w:asciiTheme="majorHAnsi" w:hAnsiTheme="majorHAnsi"/>
        </w:rPr>
        <w:t>tocilizumab</w:t>
      </w:r>
      <w:r w:rsidR="002E2D9E" w:rsidRPr="008D4276" w:rsidDel="002E2D9E">
        <w:rPr>
          <w:rFonts w:asciiTheme="majorHAnsi" w:hAnsiTheme="majorHAnsi"/>
        </w:rPr>
        <w:t xml:space="preserve"> </w:t>
      </w:r>
      <w:r w:rsidRPr="008D4276">
        <w:rPr>
          <w:rFonts w:asciiTheme="majorHAnsi" w:hAnsiTheme="majorHAnsi"/>
        </w:rPr>
        <w:t xml:space="preserve"> and in the JIGSAW study, 52 patients (1 to 17 years of age) were treated with SC</w:t>
      </w:r>
      <w:r w:rsidR="002E2D9E" w:rsidRPr="008D4276">
        <w:rPr>
          <w:rFonts w:asciiTheme="majorHAnsi" w:hAnsiTheme="majorHAnsi"/>
        </w:rPr>
        <w:t xml:space="preserve"> tocilizumab</w:t>
      </w:r>
      <w:r w:rsidRPr="008D4276">
        <w:rPr>
          <w:rFonts w:asciiTheme="majorHAnsi" w:hAnsiTheme="majorHAnsi"/>
        </w:rPr>
        <w:t>. The total patient exposure to</w:t>
      </w:r>
      <w:r w:rsidR="002E2D9E" w:rsidRPr="008D4276">
        <w:rPr>
          <w:rFonts w:asciiTheme="majorHAnsi" w:hAnsiTheme="majorHAnsi"/>
        </w:rPr>
        <w:t xml:space="preserve"> tocilizumab</w:t>
      </w:r>
      <w:r w:rsidR="002E2D9E" w:rsidRPr="008D4276" w:rsidDel="002E2D9E">
        <w:rPr>
          <w:rFonts w:asciiTheme="majorHAnsi" w:hAnsiTheme="majorHAnsi"/>
        </w:rPr>
        <w:t xml:space="preserve"> </w:t>
      </w:r>
      <w:r w:rsidRPr="008D4276">
        <w:rPr>
          <w:rFonts w:asciiTheme="majorHAnsi" w:hAnsiTheme="majorHAnsi"/>
        </w:rPr>
        <w:t xml:space="preserve">in the pJIA all exposure population was 184.4 patient years for IV </w:t>
      </w:r>
      <w:r w:rsidR="002E2D9E" w:rsidRPr="008D4276">
        <w:rPr>
          <w:rFonts w:asciiTheme="majorHAnsi" w:hAnsiTheme="majorHAnsi"/>
        </w:rPr>
        <w:t>tocilizumab</w:t>
      </w:r>
      <w:r w:rsidRPr="008D4276">
        <w:rPr>
          <w:rFonts w:asciiTheme="majorHAnsi" w:hAnsiTheme="majorHAnsi"/>
        </w:rPr>
        <w:t xml:space="preserve"> and 50.4 patient years for SC </w:t>
      </w:r>
      <w:r w:rsidR="002E2D9E" w:rsidRPr="008D4276">
        <w:rPr>
          <w:rFonts w:asciiTheme="majorHAnsi" w:hAnsiTheme="majorHAnsi"/>
        </w:rPr>
        <w:t>tocilizumab</w:t>
      </w:r>
      <w:r w:rsidRPr="008D4276">
        <w:rPr>
          <w:rFonts w:asciiTheme="majorHAnsi" w:hAnsiTheme="majorHAnsi"/>
        </w:rPr>
        <w:t xml:space="preserve">. In general, the safety profile observed in patients with pJIA was consistent with the known safety profile of </w:t>
      </w:r>
      <w:r w:rsidR="002E2D9E" w:rsidRPr="008D4276">
        <w:rPr>
          <w:rFonts w:asciiTheme="majorHAnsi" w:hAnsiTheme="majorHAnsi"/>
        </w:rPr>
        <w:t>tocilizumab</w:t>
      </w:r>
      <w:r w:rsidRPr="008D4276">
        <w:rPr>
          <w:rFonts w:asciiTheme="majorHAnsi" w:hAnsiTheme="majorHAnsi"/>
        </w:rPr>
        <w:t xml:space="preserve"> with the exception of injection site reactions (see </w:t>
      </w:r>
      <w:r w:rsidR="00E63BA6" w:rsidRPr="008D4276">
        <w:rPr>
          <w:rFonts w:asciiTheme="majorHAnsi" w:hAnsiTheme="majorHAnsi"/>
        </w:rPr>
        <w:fldChar w:fldCharType="begin"/>
      </w:r>
      <w:r w:rsidR="00E63BA6" w:rsidRPr="008D4276">
        <w:rPr>
          <w:rFonts w:asciiTheme="majorHAnsi" w:hAnsiTheme="majorHAnsi"/>
        </w:rPr>
        <w:instrText xml:space="preserve"> REF _Ref159341533 \h </w:instrText>
      </w:r>
      <w:r w:rsidR="00582401" w:rsidRPr="008D4276">
        <w:rPr>
          <w:rFonts w:asciiTheme="majorHAnsi" w:hAnsiTheme="majorHAnsi"/>
        </w:rPr>
        <w:instrText xml:space="preserve"> \* MERGEFORMAT </w:instrText>
      </w:r>
      <w:r w:rsidR="00E63BA6" w:rsidRPr="008D4276">
        <w:rPr>
          <w:rFonts w:asciiTheme="majorHAnsi" w:hAnsiTheme="majorHAnsi"/>
        </w:rPr>
      </w:r>
      <w:r w:rsidR="00E63BA6" w:rsidRPr="008D4276">
        <w:rPr>
          <w:rFonts w:asciiTheme="majorHAnsi" w:hAnsiTheme="majorHAnsi"/>
        </w:rPr>
        <w:fldChar w:fldCharType="separate"/>
      </w:r>
      <w:r w:rsidR="004C310F" w:rsidRPr="004C310F">
        <w:rPr>
          <w:rFonts w:asciiTheme="majorHAnsi" w:hAnsiTheme="majorHAnsi"/>
        </w:rPr>
        <w:t>Table 1</w:t>
      </w:r>
      <w:r w:rsidR="00E63BA6" w:rsidRPr="008D4276">
        <w:rPr>
          <w:rFonts w:asciiTheme="majorHAnsi" w:hAnsiTheme="majorHAnsi"/>
        </w:rPr>
        <w:fldChar w:fldCharType="end"/>
      </w:r>
      <w:r w:rsidRPr="008D4276">
        <w:rPr>
          <w:rFonts w:asciiTheme="majorHAnsi" w:hAnsiTheme="majorHAnsi"/>
        </w:rPr>
        <w:t xml:space="preserve">). A higher frequency of injection site reactions was experienced by pJIA patients following SC </w:t>
      </w:r>
      <w:r w:rsidR="002E2D9E" w:rsidRPr="008D4276">
        <w:rPr>
          <w:rFonts w:asciiTheme="majorHAnsi" w:hAnsiTheme="majorHAnsi"/>
        </w:rPr>
        <w:t>tocilizumab</w:t>
      </w:r>
      <w:r w:rsidR="002E2D9E" w:rsidRPr="008D4276" w:rsidDel="002E2D9E">
        <w:rPr>
          <w:rFonts w:asciiTheme="majorHAnsi" w:hAnsiTheme="majorHAnsi"/>
        </w:rPr>
        <w:t xml:space="preserve"> </w:t>
      </w:r>
      <w:r w:rsidRPr="008D4276">
        <w:rPr>
          <w:rFonts w:asciiTheme="majorHAnsi" w:hAnsiTheme="majorHAnsi"/>
        </w:rPr>
        <w:t>injections compared to adult RA patients (see 4.8 Adverse effects (Undesirable effects)).</w:t>
      </w:r>
    </w:p>
    <w:p w14:paraId="0C7812D0" w14:textId="77777777" w:rsidR="00DA5D00" w:rsidRPr="008D4276" w:rsidRDefault="00DA5D00" w:rsidP="004D6592">
      <w:pPr>
        <w:pStyle w:val="Heading4"/>
        <w:rPr>
          <w:rFonts w:asciiTheme="majorHAnsi" w:hAnsiTheme="majorHAnsi"/>
        </w:rPr>
      </w:pPr>
      <w:r w:rsidRPr="008D4276">
        <w:rPr>
          <w:rFonts w:asciiTheme="majorHAnsi" w:hAnsiTheme="majorHAnsi"/>
        </w:rPr>
        <w:t>Infections</w:t>
      </w:r>
    </w:p>
    <w:p w14:paraId="75767EB1" w14:textId="626A5DEC" w:rsidR="00DA5D00" w:rsidRPr="008D4276" w:rsidRDefault="00DA5D00" w:rsidP="004D6592">
      <w:pPr>
        <w:rPr>
          <w:rFonts w:asciiTheme="majorHAnsi" w:hAnsiTheme="majorHAnsi"/>
        </w:rPr>
      </w:pPr>
      <w:r w:rsidRPr="008D4276">
        <w:rPr>
          <w:rFonts w:asciiTheme="majorHAnsi" w:hAnsiTheme="majorHAnsi"/>
        </w:rPr>
        <w:t xml:space="preserve">Infections are the most commonly observed events in pJIA. The rate of infections in the pJIA IV </w:t>
      </w:r>
      <w:r w:rsidR="002E2D9E" w:rsidRPr="008D4276">
        <w:rPr>
          <w:rFonts w:asciiTheme="majorHAnsi" w:hAnsiTheme="majorHAnsi"/>
        </w:rPr>
        <w:t>tocilizumab</w:t>
      </w:r>
      <w:r w:rsidRPr="008D4276">
        <w:rPr>
          <w:rFonts w:asciiTheme="majorHAnsi" w:hAnsiTheme="majorHAnsi"/>
        </w:rPr>
        <w:t xml:space="preserve"> all exposure population was 163.7 per 100 pt years. The most common events observed were nasopharyngitis and upper respiratory tract infections. The rate of serious infections was 4.9 per 100 pt years. The rate of serious infections was numerically higher in patients weighing below 30</w:t>
      </w:r>
      <w:r w:rsidR="004D6592" w:rsidRPr="008D4276">
        <w:rPr>
          <w:rFonts w:asciiTheme="majorHAnsi" w:hAnsiTheme="majorHAnsi"/>
        </w:rPr>
        <w:t> </w:t>
      </w:r>
      <w:r w:rsidRPr="008D4276">
        <w:rPr>
          <w:rFonts w:asciiTheme="majorHAnsi" w:hAnsiTheme="majorHAnsi"/>
        </w:rPr>
        <w:t xml:space="preserve">kg treated with 10 mg/kg </w:t>
      </w:r>
      <w:r w:rsidR="002E2D9E" w:rsidRPr="008D4276">
        <w:rPr>
          <w:rFonts w:asciiTheme="majorHAnsi" w:hAnsiTheme="majorHAnsi"/>
        </w:rPr>
        <w:t>tocilizumab</w:t>
      </w:r>
      <w:r w:rsidRPr="008D4276">
        <w:rPr>
          <w:rFonts w:asciiTheme="majorHAnsi" w:hAnsiTheme="majorHAnsi"/>
        </w:rPr>
        <w:t xml:space="preserve"> (12.2 per 100 pt years) compared to patients weighing </w:t>
      </w:r>
      <w:r w:rsidRPr="008D4276">
        <w:rPr>
          <w:rFonts w:asciiTheme="majorHAnsi" w:hAnsiTheme="majorHAnsi" w:hint="eastAsia"/>
        </w:rPr>
        <w:t>≥</w:t>
      </w:r>
      <w:r w:rsidR="004D6592" w:rsidRPr="008D4276">
        <w:rPr>
          <w:rFonts w:asciiTheme="majorHAnsi" w:hAnsiTheme="majorHAnsi"/>
        </w:rPr>
        <w:t> </w:t>
      </w:r>
      <w:r w:rsidRPr="008D4276">
        <w:rPr>
          <w:rFonts w:asciiTheme="majorHAnsi" w:hAnsiTheme="majorHAnsi"/>
        </w:rPr>
        <w:t>30</w:t>
      </w:r>
      <w:r w:rsidR="004D6592" w:rsidRPr="008D4276">
        <w:rPr>
          <w:rFonts w:asciiTheme="majorHAnsi" w:hAnsiTheme="majorHAnsi"/>
        </w:rPr>
        <w:t> </w:t>
      </w:r>
      <w:r w:rsidRPr="008D4276">
        <w:rPr>
          <w:rFonts w:asciiTheme="majorHAnsi" w:hAnsiTheme="majorHAnsi"/>
        </w:rPr>
        <w:t xml:space="preserve">kg, treated with 8 mg/kg </w:t>
      </w:r>
      <w:r w:rsidR="002E2D9E" w:rsidRPr="008D4276">
        <w:rPr>
          <w:rFonts w:asciiTheme="majorHAnsi" w:hAnsiTheme="majorHAnsi"/>
        </w:rPr>
        <w:t>tocilizumab</w:t>
      </w:r>
      <w:r w:rsidRPr="008D4276">
        <w:rPr>
          <w:rFonts w:asciiTheme="majorHAnsi" w:hAnsiTheme="majorHAnsi"/>
        </w:rPr>
        <w:t xml:space="preserve"> (4.0 per 100 pt years). The incidence of infections leading to dose interruptions was also numerically higher in patients weighing below 30 kg treated with 10</w:t>
      </w:r>
      <w:r w:rsidR="004D6592" w:rsidRPr="008D4276">
        <w:rPr>
          <w:rFonts w:asciiTheme="majorHAnsi" w:hAnsiTheme="majorHAnsi"/>
        </w:rPr>
        <w:t> </w:t>
      </w:r>
      <w:r w:rsidRPr="008D4276">
        <w:rPr>
          <w:rFonts w:asciiTheme="majorHAnsi" w:hAnsiTheme="majorHAnsi"/>
        </w:rPr>
        <w:t xml:space="preserve">mg/kg </w:t>
      </w:r>
      <w:r w:rsidR="002E2D9E" w:rsidRPr="008D4276">
        <w:rPr>
          <w:rFonts w:asciiTheme="majorHAnsi" w:hAnsiTheme="majorHAnsi"/>
        </w:rPr>
        <w:t>tocilizumab</w:t>
      </w:r>
      <w:r w:rsidRPr="008D4276">
        <w:rPr>
          <w:rFonts w:asciiTheme="majorHAnsi" w:hAnsiTheme="majorHAnsi"/>
        </w:rPr>
        <w:t xml:space="preserve"> (21%) compared to patients weighing </w:t>
      </w:r>
      <w:r w:rsidRPr="008D4276">
        <w:rPr>
          <w:rFonts w:asciiTheme="majorHAnsi" w:hAnsiTheme="majorHAnsi" w:hint="eastAsia"/>
        </w:rPr>
        <w:t>≥</w:t>
      </w:r>
      <w:r w:rsidRPr="008D4276">
        <w:rPr>
          <w:rFonts w:asciiTheme="majorHAnsi" w:hAnsiTheme="majorHAnsi"/>
        </w:rPr>
        <w:t xml:space="preserve"> 30 kg, treated with 8 mg/kg </w:t>
      </w:r>
      <w:r w:rsidR="002E2D9E" w:rsidRPr="008D4276">
        <w:rPr>
          <w:rFonts w:asciiTheme="majorHAnsi" w:hAnsiTheme="majorHAnsi"/>
        </w:rPr>
        <w:t>tocilizumab</w:t>
      </w:r>
      <w:r w:rsidRPr="008D4276">
        <w:rPr>
          <w:rFonts w:asciiTheme="majorHAnsi" w:hAnsiTheme="majorHAnsi"/>
        </w:rPr>
        <w:t xml:space="preserve"> (8%). The rate of infection in pJIA patients treated with SC </w:t>
      </w:r>
      <w:r w:rsidR="002E2D9E" w:rsidRPr="008D4276">
        <w:rPr>
          <w:rFonts w:asciiTheme="majorHAnsi" w:hAnsiTheme="majorHAnsi"/>
        </w:rPr>
        <w:t>tocilizumab</w:t>
      </w:r>
      <w:r w:rsidRPr="008D4276">
        <w:rPr>
          <w:rFonts w:asciiTheme="majorHAnsi" w:hAnsiTheme="majorHAnsi"/>
        </w:rPr>
        <w:t xml:space="preserve"> was comparable with pJIA patients treated with IV </w:t>
      </w:r>
      <w:r w:rsidR="002E2D9E" w:rsidRPr="008D4276">
        <w:rPr>
          <w:rFonts w:asciiTheme="majorHAnsi" w:hAnsiTheme="majorHAnsi"/>
        </w:rPr>
        <w:t>tocilizumab</w:t>
      </w:r>
      <w:r w:rsidRPr="008D4276">
        <w:rPr>
          <w:rFonts w:asciiTheme="majorHAnsi" w:hAnsiTheme="majorHAnsi"/>
        </w:rPr>
        <w:t>.</w:t>
      </w:r>
    </w:p>
    <w:p w14:paraId="5DE730EE" w14:textId="77777777" w:rsidR="00DA5D00" w:rsidRPr="008D4276" w:rsidRDefault="00DA5D00" w:rsidP="004D6592">
      <w:pPr>
        <w:pStyle w:val="Heading4"/>
        <w:rPr>
          <w:rFonts w:asciiTheme="majorHAnsi" w:hAnsiTheme="majorHAnsi"/>
        </w:rPr>
      </w:pPr>
      <w:r w:rsidRPr="008D4276">
        <w:rPr>
          <w:rFonts w:asciiTheme="majorHAnsi" w:hAnsiTheme="majorHAnsi"/>
        </w:rPr>
        <w:t>Infusion Reactions</w:t>
      </w:r>
    </w:p>
    <w:p w14:paraId="094CF235" w14:textId="5389B2BD" w:rsidR="00DA5D00" w:rsidRPr="008D4276" w:rsidRDefault="00DA5D00" w:rsidP="004D6592">
      <w:pPr>
        <w:rPr>
          <w:rFonts w:asciiTheme="majorHAnsi" w:hAnsiTheme="majorHAnsi"/>
        </w:rPr>
      </w:pPr>
      <w:r w:rsidRPr="008D4276">
        <w:rPr>
          <w:rFonts w:asciiTheme="majorHAnsi" w:hAnsiTheme="majorHAnsi"/>
        </w:rPr>
        <w:t>In pJIA patients, infusion related reactions are defined as all events occurring during or within 24</w:t>
      </w:r>
      <w:r w:rsidR="004D6592" w:rsidRPr="008D4276">
        <w:rPr>
          <w:rFonts w:asciiTheme="majorHAnsi" w:hAnsiTheme="majorHAnsi"/>
        </w:rPr>
        <w:t> </w:t>
      </w:r>
      <w:r w:rsidRPr="008D4276">
        <w:rPr>
          <w:rFonts w:asciiTheme="majorHAnsi" w:hAnsiTheme="majorHAnsi"/>
        </w:rPr>
        <w:t>hours of an infusion with IV</w:t>
      </w:r>
      <w:r w:rsidR="00300985" w:rsidRPr="008D4276">
        <w:rPr>
          <w:rFonts w:asciiTheme="majorHAnsi" w:hAnsiTheme="majorHAnsi"/>
        </w:rPr>
        <w:t xml:space="preserve"> tocilizumab</w:t>
      </w:r>
      <w:r w:rsidRPr="008D4276">
        <w:rPr>
          <w:rFonts w:asciiTheme="majorHAnsi" w:hAnsiTheme="majorHAnsi"/>
        </w:rPr>
        <w:t xml:space="preserve">. In the </w:t>
      </w:r>
      <w:r w:rsidR="00300985" w:rsidRPr="008D4276">
        <w:rPr>
          <w:rFonts w:asciiTheme="majorHAnsi" w:hAnsiTheme="majorHAnsi"/>
        </w:rPr>
        <w:t>tocilizumab</w:t>
      </w:r>
      <w:r w:rsidRPr="008D4276">
        <w:rPr>
          <w:rFonts w:asciiTheme="majorHAnsi" w:hAnsiTheme="majorHAnsi"/>
        </w:rPr>
        <w:t xml:space="preserve"> all exposure population, 11 patients (5.9%) experienced infusion reactions during the infusion, and 38 patients (20.2%) experienced an event within 24 hours of an infusion. The most common events occurring during infusion were headache, nausea and hypotension and within 24 hours of infusion were </w:t>
      </w:r>
      <w:r w:rsidRPr="008D4276">
        <w:rPr>
          <w:rFonts w:asciiTheme="majorHAnsi" w:hAnsiTheme="majorHAnsi"/>
        </w:rPr>
        <w:lastRenderedPageBreak/>
        <w:t>dizziness and hypotension. In general, the ADRs observed during or within 24 hours of an infusion were similar in nature to those seen in RA and sJIA patients.</w:t>
      </w:r>
    </w:p>
    <w:p w14:paraId="39B81EBF" w14:textId="77777777" w:rsidR="00DA5D00" w:rsidRPr="008D4276" w:rsidRDefault="00DA5D00" w:rsidP="004D6592">
      <w:pPr>
        <w:rPr>
          <w:rFonts w:asciiTheme="majorHAnsi" w:hAnsiTheme="majorHAnsi"/>
        </w:rPr>
      </w:pPr>
      <w:r w:rsidRPr="008D4276">
        <w:rPr>
          <w:rFonts w:asciiTheme="majorHAnsi" w:hAnsiTheme="majorHAnsi"/>
        </w:rPr>
        <w:t xml:space="preserve">No clinically significant hypersensitivity reactions were reported. </w:t>
      </w:r>
    </w:p>
    <w:p w14:paraId="67F48343" w14:textId="1F5FCFEB" w:rsidR="00DA5D00" w:rsidRPr="008D4276" w:rsidRDefault="00DA5D00" w:rsidP="004D6592">
      <w:pPr>
        <w:pStyle w:val="Heading4"/>
        <w:rPr>
          <w:rFonts w:asciiTheme="majorHAnsi" w:hAnsiTheme="majorHAnsi"/>
        </w:rPr>
      </w:pPr>
      <w:r w:rsidRPr="008D4276">
        <w:rPr>
          <w:rFonts w:asciiTheme="majorHAnsi" w:hAnsiTheme="majorHAnsi"/>
        </w:rPr>
        <w:t>Injection Site Reactions</w:t>
      </w:r>
    </w:p>
    <w:p w14:paraId="2A5CA165" w14:textId="649ACBEF" w:rsidR="00DA5D00" w:rsidRPr="008D4276" w:rsidRDefault="00DA5D00" w:rsidP="004D6592">
      <w:pPr>
        <w:rPr>
          <w:rFonts w:asciiTheme="majorHAnsi" w:hAnsiTheme="majorHAnsi"/>
        </w:rPr>
      </w:pPr>
      <w:r w:rsidRPr="008D4276">
        <w:rPr>
          <w:rFonts w:asciiTheme="majorHAnsi" w:hAnsiTheme="majorHAnsi"/>
        </w:rPr>
        <w:t xml:space="preserve">A total of 28.8% (15/52) pJIA patients experienced injection site reactions to SC </w:t>
      </w:r>
      <w:r w:rsidR="00300985" w:rsidRPr="008D4276">
        <w:rPr>
          <w:rFonts w:asciiTheme="majorHAnsi" w:hAnsiTheme="majorHAnsi"/>
        </w:rPr>
        <w:t>tocilizumab</w:t>
      </w:r>
      <w:r w:rsidRPr="008D4276">
        <w:rPr>
          <w:rFonts w:asciiTheme="majorHAnsi" w:hAnsiTheme="majorHAnsi"/>
        </w:rPr>
        <w:t>. These injection site reactions occurred in 44% of patients greater than 30 kg compared to 14.8% of patients below 30 kg. The most common injection site reactions were injection site erythema, swelling, hematoma, pain and pruritus. All injection site reactions reported were non-serious Grade 1 events, and none of the injection site reactions required patient withdrawal from treatment or dose interruption.</w:t>
      </w:r>
    </w:p>
    <w:p w14:paraId="3EA8636D" w14:textId="77777777" w:rsidR="00DA5D00" w:rsidRPr="008D4276" w:rsidRDefault="00DA5D00" w:rsidP="004D6592">
      <w:pPr>
        <w:pStyle w:val="Heading4"/>
        <w:rPr>
          <w:rFonts w:asciiTheme="majorHAnsi" w:hAnsiTheme="majorHAnsi"/>
        </w:rPr>
      </w:pPr>
      <w:r w:rsidRPr="008D4276">
        <w:rPr>
          <w:rFonts w:asciiTheme="majorHAnsi" w:hAnsiTheme="majorHAnsi"/>
        </w:rPr>
        <w:t>Immunogenicity</w:t>
      </w:r>
    </w:p>
    <w:p w14:paraId="5CFB2E3A" w14:textId="707B24CA" w:rsidR="00DA5D00" w:rsidRPr="008D4276" w:rsidRDefault="00DA5D00" w:rsidP="004D6592">
      <w:pPr>
        <w:rPr>
          <w:rFonts w:asciiTheme="majorHAnsi" w:hAnsiTheme="majorHAnsi"/>
        </w:rPr>
      </w:pPr>
      <w:r w:rsidRPr="008D4276">
        <w:rPr>
          <w:rFonts w:asciiTheme="majorHAnsi" w:hAnsiTheme="majorHAnsi"/>
        </w:rPr>
        <w:t>Across the two studies in pJIA patients, only four patients developed neutralising anti-</w:t>
      </w:r>
      <w:r w:rsidR="00300985" w:rsidRPr="008D4276">
        <w:rPr>
          <w:rFonts w:asciiTheme="majorHAnsi" w:hAnsiTheme="majorHAnsi"/>
        </w:rPr>
        <w:t>tocilizumab</w:t>
      </w:r>
      <w:r w:rsidRPr="008D4276">
        <w:rPr>
          <w:rFonts w:asciiTheme="majorHAnsi" w:hAnsiTheme="majorHAnsi"/>
        </w:rPr>
        <w:t xml:space="preserve"> (Nab) antibodies. Of the four patients (0.5% [1/188] in the IV Study WA19977 and 5.8% [3/52] in the SC Study WA28117) that developed positive neutralising anti-</w:t>
      </w:r>
      <w:r w:rsidR="00585926" w:rsidRPr="008D4276">
        <w:rPr>
          <w:rFonts w:asciiTheme="majorHAnsi" w:hAnsiTheme="majorHAnsi"/>
        </w:rPr>
        <w:t>tocilizumab</w:t>
      </w:r>
      <w:r w:rsidR="00585926" w:rsidRPr="008D4276" w:rsidDel="00300985">
        <w:rPr>
          <w:rFonts w:asciiTheme="majorHAnsi" w:hAnsiTheme="majorHAnsi"/>
        </w:rPr>
        <w:t xml:space="preserve"> </w:t>
      </w:r>
      <w:r w:rsidRPr="008D4276">
        <w:rPr>
          <w:rFonts w:asciiTheme="majorHAnsi" w:hAnsiTheme="majorHAnsi"/>
        </w:rPr>
        <w:t xml:space="preserve"> antibodies, none developed a serious or clinically significant hypersensitivity reaction. Of these 4 patients, 2 subsequently withdrew from the study. No correlation between antibody development and clinical response or adverse events was observed.</w:t>
      </w:r>
    </w:p>
    <w:p w14:paraId="2B295AE9" w14:textId="77777777" w:rsidR="00DA5D00" w:rsidRPr="008D4276" w:rsidRDefault="00DA5D00" w:rsidP="00DA5D00">
      <w:pPr>
        <w:pStyle w:val="Heading3"/>
        <w:rPr>
          <w:rFonts w:cs="Calibri"/>
        </w:rPr>
      </w:pPr>
      <w:r w:rsidRPr="008D4276">
        <w:rPr>
          <w:rFonts w:cs="Calibri"/>
        </w:rPr>
        <w:t>Systemic Juvenile Idiopathic Arthritis</w:t>
      </w:r>
    </w:p>
    <w:p w14:paraId="6C916F70" w14:textId="20EA8F92" w:rsidR="00DA5D00" w:rsidRPr="008D4276" w:rsidRDefault="00DA5D00" w:rsidP="004D6592">
      <w:pPr>
        <w:rPr>
          <w:rFonts w:asciiTheme="majorHAnsi" w:hAnsiTheme="majorHAnsi"/>
        </w:rPr>
      </w:pPr>
      <w:r w:rsidRPr="008D4276">
        <w:rPr>
          <w:rFonts w:asciiTheme="majorHAnsi" w:hAnsiTheme="majorHAnsi"/>
        </w:rPr>
        <w:t xml:space="preserve">The safety profile of </w:t>
      </w:r>
      <w:r w:rsidR="00585926" w:rsidRPr="008D4276">
        <w:rPr>
          <w:rFonts w:asciiTheme="majorHAnsi" w:hAnsiTheme="majorHAnsi"/>
        </w:rPr>
        <w:t>tocilizumab</w:t>
      </w:r>
      <w:r w:rsidRPr="008D4276">
        <w:rPr>
          <w:rFonts w:asciiTheme="majorHAnsi" w:hAnsiTheme="majorHAnsi"/>
        </w:rPr>
        <w:t xml:space="preserve"> in sJIA was studied in 163 paediatric patients. In Study WA18221 (12-week trial and long term extension), 112 patients (2 to 17 years of age) were treated with IV </w:t>
      </w:r>
      <w:r w:rsidR="00585926" w:rsidRPr="008D4276">
        <w:rPr>
          <w:rFonts w:asciiTheme="majorHAnsi" w:hAnsiTheme="majorHAnsi"/>
        </w:rPr>
        <w:t>tocilizumab</w:t>
      </w:r>
      <w:r w:rsidRPr="008D4276">
        <w:rPr>
          <w:rFonts w:asciiTheme="majorHAnsi" w:hAnsiTheme="majorHAnsi"/>
        </w:rPr>
        <w:t xml:space="preserve"> and in Study WA28118 (52-week trial), 51 patients (1 to 17 years of age) were treated with SC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w:t>
      </w:r>
    </w:p>
    <w:p w14:paraId="226D10E1" w14:textId="77777777" w:rsidR="00DA5D00" w:rsidRPr="008D4276" w:rsidRDefault="00DA5D00" w:rsidP="004D6592">
      <w:pPr>
        <w:rPr>
          <w:rFonts w:asciiTheme="majorHAnsi" w:hAnsiTheme="majorHAnsi"/>
        </w:rPr>
      </w:pPr>
      <w:r w:rsidRPr="008D4276">
        <w:rPr>
          <w:rFonts w:asciiTheme="majorHAnsi" w:hAnsiTheme="majorHAnsi"/>
        </w:rPr>
        <w:t>In general, the ADRs in patients with sJIA were similar in type to those seen in RA and pJIA patients (see section 4.8 Adverse Effects (Undesirable Effects)).</w:t>
      </w:r>
    </w:p>
    <w:p w14:paraId="4D2D3E83" w14:textId="77777777" w:rsidR="00DA5D00" w:rsidRPr="008D4276" w:rsidRDefault="00DA5D00" w:rsidP="004D6592">
      <w:pPr>
        <w:pStyle w:val="Heading4"/>
        <w:rPr>
          <w:rFonts w:asciiTheme="majorHAnsi" w:hAnsiTheme="majorHAnsi"/>
        </w:rPr>
      </w:pPr>
      <w:bookmarkStart w:id="33" w:name="Infections"/>
      <w:bookmarkEnd w:id="33"/>
      <w:r w:rsidRPr="008D4276">
        <w:rPr>
          <w:rFonts w:asciiTheme="majorHAnsi" w:hAnsiTheme="majorHAnsi"/>
        </w:rPr>
        <w:t>Infections</w:t>
      </w:r>
    </w:p>
    <w:p w14:paraId="5BC3F8F6" w14:textId="61928F02" w:rsidR="00DA5D00" w:rsidRPr="008D4276" w:rsidRDefault="00DA5D00" w:rsidP="004D6592">
      <w:pPr>
        <w:rPr>
          <w:rFonts w:asciiTheme="majorHAnsi" w:hAnsiTheme="majorHAnsi"/>
        </w:rPr>
      </w:pPr>
      <w:r w:rsidRPr="008D4276">
        <w:rPr>
          <w:rFonts w:asciiTheme="majorHAnsi" w:hAnsiTheme="majorHAnsi"/>
        </w:rPr>
        <w:t xml:space="preserve">In the 12 week controlled trial (Study WA18221) the rate of all infections in the IV </w:t>
      </w:r>
      <w:r w:rsidR="00585926" w:rsidRPr="008D4276">
        <w:rPr>
          <w:rFonts w:asciiTheme="majorHAnsi" w:hAnsiTheme="majorHAnsi"/>
        </w:rPr>
        <w:t>tocilizumab</w:t>
      </w:r>
      <w:r w:rsidRPr="008D4276">
        <w:rPr>
          <w:rFonts w:asciiTheme="majorHAnsi" w:hAnsiTheme="majorHAnsi"/>
        </w:rPr>
        <w:t xml:space="preserve"> group was 344.7 per 100 patient years and 287.0 per 100 patient years in the placebo group. In the on-going open label extension study (Part II) the overall rate of infections remained similar at 306.6 per 100 patient years.</w:t>
      </w:r>
    </w:p>
    <w:p w14:paraId="0832D940" w14:textId="63845574" w:rsidR="00DA5D00" w:rsidRPr="008D4276" w:rsidRDefault="00DA5D00" w:rsidP="004D6592">
      <w:pPr>
        <w:rPr>
          <w:rFonts w:asciiTheme="majorHAnsi" w:hAnsiTheme="majorHAnsi"/>
        </w:rPr>
      </w:pPr>
      <w:r w:rsidRPr="008D4276">
        <w:rPr>
          <w:rFonts w:asciiTheme="majorHAnsi" w:hAnsiTheme="majorHAnsi"/>
        </w:rPr>
        <w:t xml:space="preserve">In the 12 week controlled trial (Study WA18221) the rate of serious infections in the IV </w:t>
      </w:r>
      <w:r w:rsidR="00585926" w:rsidRPr="008D4276">
        <w:rPr>
          <w:rFonts w:asciiTheme="majorHAnsi" w:hAnsiTheme="majorHAnsi"/>
        </w:rPr>
        <w:t>tocilizumab</w:t>
      </w:r>
      <w:r w:rsidRPr="008D4276">
        <w:rPr>
          <w:rFonts w:asciiTheme="majorHAnsi" w:hAnsiTheme="majorHAnsi"/>
        </w:rPr>
        <w:t xml:space="preserve"> group was 11.5 per 100 patient years. In the open label extension study the overall rate of serious infections remained stable at 11.3 per 100 patient years. Reported serious infections were similar to those seen in RA patients with the addition of varicella and otitis media. The rate of infection in sJIA patients treated with SC </w:t>
      </w:r>
      <w:r w:rsidR="00585926" w:rsidRPr="008D4276">
        <w:rPr>
          <w:rFonts w:asciiTheme="majorHAnsi" w:hAnsiTheme="majorHAnsi"/>
        </w:rPr>
        <w:t>tocilizumab</w:t>
      </w:r>
      <w:r w:rsidRPr="008D4276">
        <w:rPr>
          <w:rFonts w:asciiTheme="majorHAnsi" w:hAnsiTheme="majorHAnsi"/>
        </w:rPr>
        <w:t xml:space="preserve"> was comparable to sJIA patients treated with IV </w:t>
      </w:r>
      <w:r w:rsidR="00585926" w:rsidRPr="008D4276">
        <w:rPr>
          <w:rFonts w:asciiTheme="majorHAnsi" w:hAnsiTheme="majorHAnsi"/>
        </w:rPr>
        <w:t>tocilizumab</w:t>
      </w:r>
      <w:r w:rsidRPr="008D4276">
        <w:rPr>
          <w:rFonts w:asciiTheme="majorHAnsi" w:hAnsiTheme="majorHAnsi"/>
        </w:rPr>
        <w:t>.</w:t>
      </w:r>
    </w:p>
    <w:p w14:paraId="21C52499" w14:textId="35327CDA" w:rsidR="00DA5D00" w:rsidRPr="008D4276" w:rsidRDefault="00DA5D00" w:rsidP="004D6592">
      <w:pPr>
        <w:rPr>
          <w:rFonts w:asciiTheme="majorHAnsi" w:hAnsiTheme="majorHAnsi"/>
        </w:rPr>
      </w:pPr>
      <w:r w:rsidRPr="008D4276">
        <w:rPr>
          <w:rFonts w:asciiTheme="majorHAnsi" w:hAnsiTheme="majorHAnsi"/>
        </w:rPr>
        <w:t xml:space="preserve">In Australia, a case of fatal sepsis occurred in a 6-year old who had been treated with </w:t>
      </w:r>
      <w:r w:rsidR="00585926" w:rsidRPr="008D4276">
        <w:rPr>
          <w:rFonts w:asciiTheme="majorHAnsi" w:hAnsiTheme="majorHAnsi"/>
        </w:rPr>
        <w:t xml:space="preserve">tocilizumab </w:t>
      </w:r>
      <w:r w:rsidRPr="008D4276">
        <w:rPr>
          <w:rFonts w:asciiTheme="majorHAnsi" w:hAnsiTheme="majorHAnsi"/>
        </w:rPr>
        <w:t xml:space="preserve">for approximately 2 years for sJIA. Methotrexate was given concomitantly. The patient had symptoms of gastroenteritis on the day preceding his death, and the last dose of </w:t>
      </w:r>
      <w:r w:rsidR="00585926" w:rsidRPr="008D4276">
        <w:rPr>
          <w:rFonts w:asciiTheme="majorHAnsi" w:hAnsiTheme="majorHAnsi"/>
        </w:rPr>
        <w:t>tocilizumab</w:t>
      </w:r>
      <w:r w:rsidRPr="008D4276">
        <w:rPr>
          <w:rFonts w:asciiTheme="majorHAnsi" w:hAnsiTheme="majorHAnsi"/>
        </w:rPr>
        <w:t xml:space="preserve"> was administered 10</w:t>
      </w:r>
      <w:r w:rsidR="004D6592" w:rsidRPr="008D4276">
        <w:rPr>
          <w:rFonts w:asciiTheme="majorHAnsi" w:hAnsiTheme="majorHAnsi"/>
        </w:rPr>
        <w:t> </w:t>
      </w:r>
      <w:r w:rsidRPr="008D4276">
        <w:rPr>
          <w:rFonts w:asciiTheme="majorHAnsi" w:hAnsiTheme="majorHAnsi"/>
        </w:rPr>
        <w:t>days prior to the event. The death was assessed as related to septicemia.</w:t>
      </w:r>
    </w:p>
    <w:p w14:paraId="2319CBD7" w14:textId="77777777" w:rsidR="00DA5D00" w:rsidRPr="008D4276" w:rsidRDefault="00DA5D00" w:rsidP="004D6592">
      <w:pPr>
        <w:pStyle w:val="Heading4"/>
        <w:rPr>
          <w:rFonts w:asciiTheme="majorHAnsi" w:hAnsiTheme="majorHAnsi"/>
        </w:rPr>
      </w:pPr>
      <w:bookmarkStart w:id="34" w:name="Macrophage_Activation_Syndrome"/>
      <w:bookmarkEnd w:id="34"/>
      <w:r w:rsidRPr="008D4276">
        <w:rPr>
          <w:rFonts w:asciiTheme="majorHAnsi" w:hAnsiTheme="majorHAnsi"/>
        </w:rPr>
        <w:lastRenderedPageBreak/>
        <w:t>Macrophage Activation Syndrome</w:t>
      </w:r>
    </w:p>
    <w:p w14:paraId="2FADAACF" w14:textId="2EA8BFAC" w:rsidR="00DA5D00" w:rsidRPr="008D4276" w:rsidRDefault="00DA5D00" w:rsidP="004D6592">
      <w:pPr>
        <w:rPr>
          <w:rFonts w:asciiTheme="majorHAnsi" w:hAnsiTheme="majorHAnsi"/>
        </w:rPr>
      </w:pPr>
      <w:r w:rsidRPr="008D4276">
        <w:rPr>
          <w:rFonts w:asciiTheme="majorHAnsi" w:hAnsiTheme="majorHAnsi"/>
        </w:rPr>
        <w:t xml:space="preserve">In the 12 week controlled study (Study WA18221), no patient in any treatment group experienced macrophage activation syndrome (MAS) while on assigned treatment. Three per 112 (3%) developed MAS during open-label treatment with IV </w:t>
      </w:r>
      <w:r w:rsidR="00585926" w:rsidRPr="008D4276">
        <w:rPr>
          <w:rFonts w:asciiTheme="majorHAnsi" w:hAnsiTheme="majorHAnsi"/>
        </w:rPr>
        <w:t>tocilizumab</w:t>
      </w:r>
      <w:r w:rsidRPr="008D4276">
        <w:rPr>
          <w:rFonts w:asciiTheme="majorHAnsi" w:hAnsiTheme="majorHAnsi"/>
        </w:rPr>
        <w:t xml:space="preserve">. One patient in the placebo group escaped to IV </w:t>
      </w:r>
      <w:r w:rsidR="00585926" w:rsidRPr="008D4276">
        <w:rPr>
          <w:rFonts w:asciiTheme="majorHAnsi" w:hAnsiTheme="majorHAnsi"/>
        </w:rPr>
        <w:t>tocilizumab</w:t>
      </w:r>
      <w:r w:rsidRPr="008D4276">
        <w:rPr>
          <w:rFonts w:asciiTheme="majorHAnsi" w:hAnsiTheme="majorHAnsi"/>
        </w:rPr>
        <w:t xml:space="preserve"> 12 mg per kg at Week 2 due to severe disease activity, and ultimately developed MAS at Day 70. Two additional patients developed MAS during the long-term extension. All 3 patients had </w:t>
      </w:r>
      <w:r w:rsidR="00585926" w:rsidRPr="008D4276">
        <w:rPr>
          <w:rFonts w:asciiTheme="majorHAnsi" w:hAnsiTheme="majorHAnsi"/>
        </w:rPr>
        <w:t>tocilizumab</w:t>
      </w:r>
      <w:r w:rsidRPr="008D4276">
        <w:rPr>
          <w:rFonts w:asciiTheme="majorHAnsi" w:hAnsiTheme="majorHAnsi"/>
        </w:rPr>
        <w:t xml:space="preserve"> dose interrupted (2 patients) or discontinued (1 patient) for the MAS event, received treatment, and the MAS resolved without sequelae. Based on a limited number of cases, the incidence of MAS does not appear to be elevated in the </w:t>
      </w:r>
      <w:r w:rsidR="00585926" w:rsidRPr="008D4276">
        <w:rPr>
          <w:rFonts w:asciiTheme="majorHAnsi" w:hAnsiTheme="majorHAnsi"/>
        </w:rPr>
        <w:t>tocilizumab</w:t>
      </w:r>
      <w:r w:rsidRPr="008D4276">
        <w:rPr>
          <w:rFonts w:asciiTheme="majorHAnsi" w:hAnsiTheme="majorHAnsi"/>
        </w:rPr>
        <w:t xml:space="preserve"> sJIA clinical development experience, however no definitive conclusions can be made.</w:t>
      </w:r>
    </w:p>
    <w:p w14:paraId="347E876A" w14:textId="6993B927" w:rsidR="00DA5D00" w:rsidRPr="008D4276" w:rsidRDefault="00DA5D00" w:rsidP="004D6592">
      <w:pPr>
        <w:rPr>
          <w:rFonts w:asciiTheme="majorHAnsi" w:hAnsiTheme="majorHAnsi"/>
        </w:rPr>
      </w:pPr>
      <w:r w:rsidRPr="008D4276">
        <w:rPr>
          <w:rFonts w:asciiTheme="majorHAnsi" w:hAnsiTheme="majorHAnsi"/>
        </w:rPr>
        <w:t xml:space="preserve">A case of MAS with a fatal outcome was reported in a patient enrolled in a clinical study of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 xml:space="preserve">in sJIA. The patient had interrupted </w:t>
      </w:r>
      <w:r w:rsidR="00585926" w:rsidRPr="008D4276">
        <w:rPr>
          <w:rFonts w:asciiTheme="majorHAnsi" w:hAnsiTheme="majorHAnsi"/>
        </w:rPr>
        <w:t>tocilizumab</w:t>
      </w:r>
      <w:r w:rsidRPr="008D4276">
        <w:rPr>
          <w:rFonts w:asciiTheme="majorHAnsi" w:hAnsiTheme="majorHAnsi"/>
        </w:rPr>
        <w:t xml:space="preserve"> treatment 4 weeks prior to the onset of MAS because of a rotavirus infection. The patient also experienced a worsening of sJIA prior to the diagnosis of MAS.</w:t>
      </w:r>
    </w:p>
    <w:p w14:paraId="751DBA88" w14:textId="77777777" w:rsidR="00DA5D00" w:rsidRPr="008D4276" w:rsidRDefault="00DA5D00" w:rsidP="004D6592">
      <w:pPr>
        <w:pStyle w:val="Heading4"/>
        <w:rPr>
          <w:rFonts w:asciiTheme="majorHAnsi" w:hAnsiTheme="majorHAnsi"/>
        </w:rPr>
      </w:pPr>
      <w:bookmarkStart w:id="35" w:name="Infusion_Reactions"/>
      <w:bookmarkEnd w:id="35"/>
      <w:r w:rsidRPr="008D4276">
        <w:rPr>
          <w:rFonts w:asciiTheme="majorHAnsi" w:hAnsiTheme="majorHAnsi"/>
        </w:rPr>
        <w:t>Infusion Reactions</w:t>
      </w:r>
    </w:p>
    <w:p w14:paraId="1089E91F" w14:textId="37AED188" w:rsidR="00DA5D00" w:rsidRPr="008D4276" w:rsidRDefault="00DA5D00" w:rsidP="004D6592">
      <w:pPr>
        <w:rPr>
          <w:rFonts w:asciiTheme="majorHAnsi" w:hAnsiTheme="majorHAnsi"/>
        </w:rPr>
      </w:pPr>
      <w:r w:rsidRPr="008D4276">
        <w:rPr>
          <w:rFonts w:asciiTheme="majorHAnsi" w:hAnsiTheme="majorHAnsi"/>
        </w:rPr>
        <w:t>For sJIA patients, infusion related reactions are defined as all events occurring during or within 24</w:t>
      </w:r>
      <w:r w:rsidR="004D6592" w:rsidRPr="008D4276">
        <w:rPr>
          <w:rFonts w:asciiTheme="majorHAnsi" w:hAnsiTheme="majorHAnsi"/>
        </w:rPr>
        <w:t> </w:t>
      </w:r>
      <w:r w:rsidRPr="008D4276">
        <w:rPr>
          <w:rFonts w:asciiTheme="majorHAnsi" w:hAnsiTheme="majorHAnsi"/>
        </w:rPr>
        <w:t xml:space="preserve">hours of an infusion with IV </w:t>
      </w:r>
      <w:r w:rsidR="00585926" w:rsidRPr="008D4276">
        <w:rPr>
          <w:rFonts w:asciiTheme="majorHAnsi" w:hAnsiTheme="majorHAnsi"/>
        </w:rPr>
        <w:t>tocilizumab</w:t>
      </w:r>
      <w:r w:rsidRPr="008D4276">
        <w:rPr>
          <w:rFonts w:asciiTheme="majorHAnsi" w:hAnsiTheme="majorHAnsi"/>
        </w:rPr>
        <w:t xml:space="preserve">. In the 12 week controlled trial (Study WA18221), 4.0% of patients from the </w:t>
      </w:r>
      <w:r w:rsidR="00585926" w:rsidRPr="008D4276">
        <w:rPr>
          <w:rFonts w:asciiTheme="majorHAnsi" w:hAnsiTheme="majorHAnsi"/>
        </w:rPr>
        <w:t>tocilizumab</w:t>
      </w:r>
      <w:r w:rsidRPr="008D4276">
        <w:rPr>
          <w:rFonts w:asciiTheme="majorHAnsi" w:hAnsiTheme="majorHAnsi"/>
        </w:rPr>
        <w:t xml:space="preserve"> group experienced events occurring during infusion, one event (angioedema) was considered serious and life-threatening, and the patient was discontinued from study treatment.</w:t>
      </w:r>
    </w:p>
    <w:p w14:paraId="15C10B87" w14:textId="1A12A63D" w:rsidR="00DA5D00" w:rsidRPr="008D4276" w:rsidRDefault="00DA5D00" w:rsidP="004D6592">
      <w:pPr>
        <w:rPr>
          <w:rFonts w:asciiTheme="majorHAnsi" w:hAnsiTheme="majorHAnsi"/>
        </w:rPr>
      </w:pPr>
      <w:r w:rsidRPr="008D4276">
        <w:rPr>
          <w:rFonts w:asciiTheme="majorHAnsi" w:hAnsiTheme="majorHAnsi"/>
        </w:rPr>
        <w:t xml:space="preserve">In the 12 week controlled trial experience, 16% of patients in the IV </w:t>
      </w:r>
      <w:r w:rsidR="00920347" w:rsidRPr="008D4276">
        <w:rPr>
          <w:rFonts w:asciiTheme="majorHAnsi" w:hAnsiTheme="majorHAnsi"/>
        </w:rPr>
        <w:t>tocilizumab</w:t>
      </w:r>
      <w:r w:rsidRPr="008D4276">
        <w:rPr>
          <w:rFonts w:asciiTheme="majorHAnsi" w:hAnsiTheme="majorHAnsi"/>
        </w:rPr>
        <w:t xml:space="preserve"> group and 5.4% of patients in the placebo group experienced an event within 24 hours of infusion. In the </w:t>
      </w:r>
      <w:r w:rsidR="00920347" w:rsidRPr="008D4276">
        <w:rPr>
          <w:rFonts w:asciiTheme="majorHAnsi" w:hAnsiTheme="majorHAnsi"/>
        </w:rPr>
        <w:t>tocilizumab</w:t>
      </w:r>
      <w:r w:rsidRPr="008D4276">
        <w:rPr>
          <w:rFonts w:asciiTheme="majorHAnsi" w:hAnsiTheme="majorHAnsi"/>
        </w:rPr>
        <w:t xml:space="preserve"> group, the events included, but not limited to rash, urticaria, diarrhoea, epigastric discomfort, arthralgia and headache. One of these events (urticaria) was considered serious.</w:t>
      </w:r>
    </w:p>
    <w:p w14:paraId="29E3F58A" w14:textId="6E6D8557" w:rsidR="00DA5D00" w:rsidRPr="008D4276" w:rsidRDefault="00DA5D00" w:rsidP="004D6592">
      <w:pPr>
        <w:rPr>
          <w:rFonts w:asciiTheme="majorHAnsi" w:hAnsiTheme="majorHAnsi"/>
        </w:rPr>
      </w:pPr>
      <w:r w:rsidRPr="008D4276">
        <w:rPr>
          <w:rFonts w:asciiTheme="majorHAnsi" w:hAnsiTheme="majorHAnsi"/>
        </w:rPr>
        <w:t xml:space="preserve">Clinically significant hypersensitivity reactions associated with IV </w:t>
      </w:r>
      <w:r w:rsidR="00585926" w:rsidRPr="008D4276">
        <w:rPr>
          <w:rFonts w:asciiTheme="majorHAnsi" w:hAnsiTheme="majorHAnsi"/>
        </w:rPr>
        <w:t>tocilizumab</w:t>
      </w:r>
      <w:r w:rsidRPr="008D4276">
        <w:rPr>
          <w:rFonts w:asciiTheme="majorHAnsi" w:hAnsiTheme="majorHAnsi"/>
        </w:rPr>
        <w:t xml:space="preserve"> and requiring treatment discontinuation were reported in 1 out of 112 patients (&lt; 1%) treated with IV </w:t>
      </w:r>
      <w:r w:rsidR="00585926" w:rsidRPr="008D4276">
        <w:rPr>
          <w:rFonts w:asciiTheme="majorHAnsi" w:hAnsiTheme="majorHAnsi"/>
        </w:rPr>
        <w:t>tocilizumab</w:t>
      </w:r>
      <w:r w:rsidRPr="008D4276">
        <w:rPr>
          <w:rFonts w:asciiTheme="majorHAnsi" w:hAnsiTheme="majorHAnsi"/>
        </w:rPr>
        <w:t xml:space="preserve"> during the controlled and open-label parts of the clinical trial. In an open-label, single arm study over 12 weeks in paediatric sJIA patients (N=11) under 2 years of age, the safety and immunogenicity of </w:t>
      </w:r>
      <w:r w:rsidR="00585926" w:rsidRPr="008D4276">
        <w:rPr>
          <w:rFonts w:asciiTheme="majorHAnsi" w:hAnsiTheme="majorHAnsi"/>
        </w:rPr>
        <w:t>tocilizumab</w:t>
      </w:r>
      <w:r w:rsidRPr="008D4276">
        <w:rPr>
          <w:rFonts w:asciiTheme="majorHAnsi" w:hAnsiTheme="majorHAnsi"/>
        </w:rPr>
        <w:t xml:space="preserve"> was assessed descriptively. SAEs, AEs leading to discontinuation, and infectious AEs were reported by 27.3%, 36.4%, and 81.8% of patients. Six patients (54.5%) experienced hypersensitivity reactions, defined as all adverse events occurring during or within 24 hours after an infusion considered related to </w:t>
      </w:r>
      <w:r w:rsidR="00585926" w:rsidRPr="008D4276">
        <w:rPr>
          <w:rFonts w:asciiTheme="majorHAnsi" w:hAnsiTheme="majorHAnsi"/>
        </w:rPr>
        <w:t>tocilizumab</w:t>
      </w:r>
      <w:r w:rsidRPr="008D4276">
        <w:rPr>
          <w:rFonts w:asciiTheme="majorHAnsi" w:hAnsiTheme="majorHAnsi"/>
        </w:rPr>
        <w:t>. Three of these patients experienced serious hypersensitivity reactions and were withdrawn from the study. Three patients with hypersensitivity reactions (two with serious hypersensitivity reactions) developed treatment induced anti-</w:t>
      </w:r>
      <w:r w:rsidR="00585926" w:rsidRPr="008D4276">
        <w:rPr>
          <w:rFonts w:asciiTheme="majorHAnsi" w:hAnsiTheme="majorHAnsi"/>
        </w:rPr>
        <w:t>tocilizumab</w:t>
      </w:r>
      <w:r w:rsidRPr="008D4276">
        <w:rPr>
          <w:rFonts w:asciiTheme="majorHAnsi" w:hAnsiTheme="majorHAnsi"/>
        </w:rPr>
        <w:t xml:space="preserve"> antibodies after the event. There were no cases of MAS based on the protocol-specified criteria, but 2 cases of suspected MAS based on Ravelli criteria. Reports of anaphylaxis, anaphylactoid reactions, and hypersensitivity reactions in patients under 18 years of age have been reported in the post-marketing setting.</w:t>
      </w:r>
    </w:p>
    <w:p w14:paraId="294F6B27" w14:textId="77777777" w:rsidR="00DA5D00" w:rsidRPr="008D4276" w:rsidRDefault="00DA5D00" w:rsidP="004D6592">
      <w:pPr>
        <w:pStyle w:val="Heading4"/>
        <w:rPr>
          <w:rFonts w:asciiTheme="majorHAnsi" w:hAnsiTheme="majorHAnsi"/>
        </w:rPr>
      </w:pPr>
      <w:r w:rsidRPr="008D4276">
        <w:rPr>
          <w:rFonts w:asciiTheme="majorHAnsi" w:hAnsiTheme="majorHAnsi"/>
        </w:rPr>
        <w:t>Injection Site Reactions (ISRs)</w:t>
      </w:r>
    </w:p>
    <w:p w14:paraId="66CE7D99" w14:textId="7AA15E07" w:rsidR="00DA5D00" w:rsidRPr="008D4276" w:rsidRDefault="00DA5D00" w:rsidP="004D6592">
      <w:pPr>
        <w:rPr>
          <w:rFonts w:asciiTheme="majorHAnsi" w:hAnsiTheme="majorHAnsi"/>
        </w:rPr>
      </w:pPr>
      <w:r w:rsidRPr="008D4276">
        <w:rPr>
          <w:rFonts w:asciiTheme="majorHAnsi" w:hAnsiTheme="majorHAnsi"/>
        </w:rPr>
        <w:t xml:space="preserve">In the Study WA28118, a total of 41.2% (21/51) sJIA patients experienced ISRs to SC </w:t>
      </w:r>
      <w:r w:rsidR="00585926" w:rsidRPr="008D4276">
        <w:rPr>
          <w:rFonts w:asciiTheme="majorHAnsi" w:hAnsiTheme="majorHAnsi"/>
        </w:rPr>
        <w:t>tocilizumab</w:t>
      </w:r>
      <w:r w:rsidRPr="008D4276">
        <w:rPr>
          <w:rFonts w:asciiTheme="majorHAnsi" w:hAnsiTheme="majorHAnsi"/>
        </w:rPr>
        <w:t xml:space="preserve">. The most common ISRs were erythema, pruritus, pain, and swelling at the injection </w:t>
      </w:r>
      <w:r w:rsidRPr="008D4276">
        <w:rPr>
          <w:rFonts w:asciiTheme="majorHAnsi" w:hAnsiTheme="majorHAnsi"/>
        </w:rPr>
        <w:lastRenderedPageBreak/>
        <w:t>site. The majority of ISRs reported were Grade 1 events and all ISRs reported were non-serious and none of the ISRs required patient withdrawal from treatment or dose interruption.</w:t>
      </w:r>
    </w:p>
    <w:p w14:paraId="1AB54CE5" w14:textId="77777777" w:rsidR="00DA5D00" w:rsidRPr="008D4276" w:rsidRDefault="00DA5D00" w:rsidP="004D6592">
      <w:pPr>
        <w:pStyle w:val="Heading4"/>
        <w:rPr>
          <w:rFonts w:asciiTheme="majorHAnsi" w:hAnsiTheme="majorHAnsi"/>
        </w:rPr>
      </w:pPr>
      <w:bookmarkStart w:id="36" w:name="Immunogenicity"/>
      <w:bookmarkEnd w:id="36"/>
      <w:r w:rsidRPr="008D4276">
        <w:rPr>
          <w:rFonts w:asciiTheme="majorHAnsi" w:hAnsiTheme="majorHAnsi"/>
        </w:rPr>
        <w:t>Immunogenicity</w:t>
      </w:r>
    </w:p>
    <w:p w14:paraId="3853BFC3" w14:textId="64DBF1DB" w:rsidR="00DA5D00" w:rsidRPr="008D4276" w:rsidRDefault="00DA5D00" w:rsidP="004D6592">
      <w:pPr>
        <w:rPr>
          <w:rFonts w:asciiTheme="majorHAnsi" w:hAnsiTheme="majorHAnsi"/>
        </w:rPr>
      </w:pPr>
      <w:r w:rsidRPr="008D4276">
        <w:rPr>
          <w:rFonts w:asciiTheme="majorHAnsi" w:hAnsiTheme="majorHAnsi"/>
        </w:rPr>
        <w:t>In Study WA18221, all 112 patients were tested for anti-</w:t>
      </w:r>
      <w:r w:rsidR="00585926" w:rsidRPr="008D4276">
        <w:rPr>
          <w:rFonts w:asciiTheme="majorHAnsi" w:hAnsiTheme="majorHAnsi"/>
        </w:rPr>
        <w:t>tocilizumab</w:t>
      </w:r>
      <w:r w:rsidRPr="008D4276">
        <w:rPr>
          <w:rFonts w:asciiTheme="majorHAnsi" w:hAnsiTheme="majorHAnsi"/>
        </w:rPr>
        <w:t xml:space="preserve"> antibodies at baseline. Two patients developed positive anti-</w:t>
      </w:r>
      <w:r w:rsidR="00585926" w:rsidRPr="008D4276">
        <w:rPr>
          <w:rFonts w:asciiTheme="majorHAnsi" w:hAnsiTheme="majorHAnsi"/>
        </w:rPr>
        <w:t>tocilizumab</w:t>
      </w:r>
      <w:r w:rsidRPr="008D4276">
        <w:rPr>
          <w:rFonts w:asciiTheme="majorHAnsi" w:hAnsiTheme="majorHAnsi"/>
        </w:rPr>
        <w:t xml:space="preserve"> antibodies with one of these patients having a hypersensitivity reaction leading to withdrawal. In Study WA28118, 46 of the 51 (90.2%) patients tested for anti-</w:t>
      </w:r>
      <w:r w:rsidR="00585926" w:rsidRPr="008D4276">
        <w:rPr>
          <w:rFonts w:asciiTheme="majorHAnsi" w:hAnsiTheme="majorHAnsi"/>
        </w:rPr>
        <w:t>tocilizumab</w:t>
      </w:r>
      <w:r w:rsidRPr="008D4276">
        <w:rPr>
          <w:rFonts w:asciiTheme="majorHAnsi" w:hAnsiTheme="majorHAnsi"/>
        </w:rPr>
        <w:t xml:space="preserve"> antibodies at baseline had at least one post-baseline screening assay result. No patient developed positive anti-</w:t>
      </w:r>
      <w:r w:rsidR="00585926" w:rsidRPr="008D4276">
        <w:rPr>
          <w:rFonts w:asciiTheme="majorHAnsi" w:hAnsiTheme="majorHAnsi"/>
        </w:rPr>
        <w:t>tocilizumab</w:t>
      </w:r>
      <w:r w:rsidRPr="008D4276">
        <w:rPr>
          <w:rFonts w:asciiTheme="majorHAnsi" w:hAnsiTheme="majorHAnsi"/>
        </w:rPr>
        <w:t xml:space="preserve"> antibodies post baseline.</w:t>
      </w:r>
    </w:p>
    <w:p w14:paraId="7FF07C1E" w14:textId="77777777" w:rsidR="00DA5D00" w:rsidRPr="008D4276" w:rsidRDefault="00DA5D00" w:rsidP="00DA5D00">
      <w:pPr>
        <w:pStyle w:val="Heading3"/>
        <w:rPr>
          <w:rFonts w:cs="Calibri"/>
        </w:rPr>
      </w:pPr>
      <w:bookmarkStart w:id="37" w:name="Cytokine_Release_Syndrome"/>
      <w:bookmarkEnd w:id="37"/>
      <w:r w:rsidRPr="008D4276">
        <w:rPr>
          <w:rFonts w:cs="Calibri"/>
        </w:rPr>
        <w:t>Cytokine Release Syndrome</w:t>
      </w:r>
    </w:p>
    <w:p w14:paraId="47D69AC3" w14:textId="1CE4504C" w:rsidR="00DA5D00" w:rsidRPr="008D4276" w:rsidRDefault="00DA5D00" w:rsidP="004D6592">
      <w:pPr>
        <w:rPr>
          <w:rFonts w:asciiTheme="majorHAnsi" w:hAnsiTheme="majorHAnsi"/>
        </w:rPr>
      </w:pPr>
      <w:r w:rsidRPr="008D4276">
        <w:rPr>
          <w:rFonts w:asciiTheme="majorHAnsi" w:hAnsiTheme="majorHAnsi"/>
        </w:rPr>
        <w:t xml:space="preserve">The safety of </w:t>
      </w:r>
      <w:r w:rsidR="00585926" w:rsidRPr="008D4276">
        <w:rPr>
          <w:rFonts w:asciiTheme="majorHAnsi" w:hAnsiTheme="majorHAnsi"/>
        </w:rPr>
        <w:t>tocilizumab</w:t>
      </w:r>
      <w:r w:rsidRPr="008D4276">
        <w:rPr>
          <w:rFonts w:asciiTheme="majorHAnsi" w:hAnsiTheme="majorHAnsi"/>
        </w:rPr>
        <w:t xml:space="preserve"> in CRS has been evaluated in a retrospective analysis of data from clinical trials, where 51 patients were treated with intravenous </w:t>
      </w:r>
      <w:r w:rsidR="00585926" w:rsidRPr="008D4276">
        <w:rPr>
          <w:rFonts w:asciiTheme="majorHAnsi" w:hAnsiTheme="majorHAnsi"/>
        </w:rPr>
        <w:t>tocilizumab</w:t>
      </w:r>
      <w:r w:rsidRPr="008D4276">
        <w:rPr>
          <w:rFonts w:asciiTheme="majorHAnsi" w:hAnsiTheme="majorHAnsi"/>
        </w:rPr>
        <w:t xml:space="preserve"> 8 mg/kg (12 mg/kg for patients less than 30 kg) with or without additional high-dose corticosteroids for severe or life- threatening CAR T-cell-induced CRS. A median of 1 dose of </w:t>
      </w:r>
      <w:r w:rsidR="00585926" w:rsidRPr="008D4276">
        <w:rPr>
          <w:rFonts w:asciiTheme="majorHAnsi" w:hAnsiTheme="majorHAnsi"/>
        </w:rPr>
        <w:t>tocilizumab</w:t>
      </w:r>
      <w:r w:rsidRPr="008D4276">
        <w:rPr>
          <w:rFonts w:asciiTheme="majorHAnsi" w:hAnsiTheme="majorHAnsi"/>
        </w:rPr>
        <w:t xml:space="preserve"> (range, 1-4 doses) was administered</w:t>
      </w:r>
      <w:r w:rsidR="00585926" w:rsidRPr="008D4276">
        <w:rPr>
          <w:rFonts w:asciiTheme="majorHAnsi" w:hAnsiTheme="majorHAnsi"/>
        </w:rPr>
        <w:t>.</w:t>
      </w:r>
    </w:p>
    <w:p w14:paraId="5DE314D6" w14:textId="77777777" w:rsidR="00DA5D00" w:rsidRPr="008D4276" w:rsidRDefault="00DA5D00" w:rsidP="00DA5D00">
      <w:pPr>
        <w:pStyle w:val="Heading3"/>
        <w:rPr>
          <w:rFonts w:cs="Calibri"/>
        </w:rPr>
      </w:pPr>
      <w:bookmarkStart w:id="38" w:name="Laboratory_Abnormalities"/>
      <w:bookmarkEnd w:id="38"/>
      <w:r w:rsidRPr="008D4276">
        <w:rPr>
          <w:rFonts w:cs="Calibri"/>
        </w:rPr>
        <w:t xml:space="preserve">Laboratory Abnormalities </w:t>
      </w:r>
      <w:bookmarkStart w:id="39" w:name="Haematology_abnormalities"/>
      <w:bookmarkEnd w:id="39"/>
    </w:p>
    <w:p w14:paraId="6A9AF92D" w14:textId="77777777" w:rsidR="00DA5D00" w:rsidRPr="008D4276" w:rsidRDefault="00DA5D00" w:rsidP="004D6592">
      <w:pPr>
        <w:pStyle w:val="Heading4"/>
        <w:rPr>
          <w:rFonts w:asciiTheme="majorHAnsi" w:hAnsiTheme="majorHAnsi"/>
        </w:rPr>
      </w:pPr>
      <w:r w:rsidRPr="008D4276">
        <w:rPr>
          <w:rFonts w:asciiTheme="majorHAnsi" w:hAnsiTheme="majorHAnsi"/>
        </w:rPr>
        <w:t xml:space="preserve">Haematology abnormalities </w:t>
      </w:r>
    </w:p>
    <w:p w14:paraId="0EFBFB17" w14:textId="7415278B" w:rsidR="00DA5D00" w:rsidRPr="008D4276" w:rsidRDefault="00DA5D00" w:rsidP="00DA5D00">
      <w:pPr>
        <w:pStyle w:val="Heading5"/>
        <w:rPr>
          <w:rFonts w:asciiTheme="majorHAnsi" w:hAnsiTheme="majorHAnsi" w:cs="Calibri"/>
        </w:rPr>
      </w:pPr>
      <w:r w:rsidRPr="008D4276">
        <w:rPr>
          <w:rFonts w:asciiTheme="majorHAnsi" w:hAnsiTheme="majorHAnsi" w:cs="Calibri"/>
        </w:rPr>
        <w:t>Rheumatoid Arthritis</w:t>
      </w:r>
    </w:p>
    <w:p w14:paraId="73DC696F" w14:textId="77777777" w:rsidR="00DA5D00" w:rsidRPr="008D4276" w:rsidRDefault="00DA5D00" w:rsidP="00DA5D00">
      <w:pPr>
        <w:pStyle w:val="Heading6"/>
        <w:rPr>
          <w:rFonts w:asciiTheme="majorHAnsi" w:hAnsiTheme="majorHAnsi" w:cs="Calibri"/>
          <w:lang w:val="en-AU"/>
        </w:rPr>
      </w:pPr>
      <w:bookmarkStart w:id="40" w:name="Neutrophils_–_Intravenous_Administration"/>
      <w:bookmarkEnd w:id="40"/>
      <w:r w:rsidRPr="008D4276">
        <w:rPr>
          <w:rFonts w:asciiTheme="majorHAnsi" w:hAnsiTheme="majorHAnsi" w:cs="Calibri"/>
          <w:lang w:val="en-AU"/>
        </w:rPr>
        <w:t>Neutrophils – Intravenous Administration</w:t>
      </w:r>
    </w:p>
    <w:p w14:paraId="6203291E" w14:textId="77AC64B5" w:rsidR="00DA5D00" w:rsidRPr="008D4276" w:rsidRDefault="00DA5D00" w:rsidP="004D6592">
      <w:pPr>
        <w:rPr>
          <w:rFonts w:asciiTheme="majorHAnsi" w:hAnsiTheme="majorHAnsi"/>
        </w:rPr>
      </w:pPr>
      <w:r w:rsidRPr="008D4276">
        <w:rPr>
          <w:rFonts w:asciiTheme="majorHAnsi" w:hAnsiTheme="majorHAnsi"/>
        </w:rPr>
        <w:t>In the 6 month controlled trials decreases in neutrophil counts below 1 x 10</w:t>
      </w:r>
      <w:r w:rsidRPr="008D4276">
        <w:rPr>
          <w:rFonts w:asciiTheme="majorHAnsi" w:hAnsiTheme="majorHAnsi"/>
          <w:vertAlign w:val="superscript"/>
        </w:rPr>
        <w:t>9</w:t>
      </w:r>
      <w:r w:rsidRPr="008D4276">
        <w:rPr>
          <w:rFonts w:asciiTheme="majorHAnsi" w:hAnsiTheme="majorHAnsi"/>
        </w:rPr>
        <w:t xml:space="preserve">/L occurred in 3.4% of patients on </w:t>
      </w:r>
      <w:r w:rsidR="00585926" w:rsidRPr="008D4276">
        <w:rPr>
          <w:rFonts w:asciiTheme="majorHAnsi" w:hAnsiTheme="majorHAnsi"/>
        </w:rPr>
        <w:t>tocilizumab</w:t>
      </w:r>
      <w:r w:rsidRPr="008D4276">
        <w:rPr>
          <w:rFonts w:asciiTheme="majorHAnsi" w:hAnsiTheme="majorHAnsi"/>
        </w:rPr>
        <w:t xml:space="preserve"> 8 mg/kg + DMARD compared to &lt; 0.1% of patients on placebo + DMARD. Approximately half of the patients who developed an ANC &lt; 1 x 10</w:t>
      </w:r>
      <w:r w:rsidRPr="008D4276">
        <w:rPr>
          <w:rFonts w:asciiTheme="majorHAnsi" w:hAnsiTheme="majorHAnsi"/>
          <w:vertAlign w:val="superscript"/>
        </w:rPr>
        <w:t>9</w:t>
      </w:r>
      <w:r w:rsidRPr="008D4276">
        <w:rPr>
          <w:rFonts w:asciiTheme="majorHAnsi" w:hAnsiTheme="majorHAnsi"/>
        </w:rPr>
        <w:t>/L did so within 8 weeks after starting therapy. Decreases below 0.5 x 10</w:t>
      </w:r>
      <w:r w:rsidRPr="008D4276">
        <w:rPr>
          <w:rFonts w:asciiTheme="majorHAnsi" w:hAnsiTheme="majorHAnsi"/>
          <w:vertAlign w:val="superscript"/>
        </w:rPr>
        <w:t>9</w:t>
      </w:r>
      <w:r w:rsidRPr="008D4276">
        <w:rPr>
          <w:rFonts w:asciiTheme="majorHAnsi" w:hAnsiTheme="majorHAnsi"/>
        </w:rPr>
        <w:t xml:space="preserve">/L were reported in 0.3% patients receiving </w:t>
      </w:r>
      <w:r w:rsidR="00585926" w:rsidRPr="008D4276">
        <w:rPr>
          <w:rFonts w:asciiTheme="majorHAnsi" w:hAnsiTheme="majorHAnsi"/>
        </w:rPr>
        <w:t>tocilizumab</w:t>
      </w:r>
      <w:r w:rsidRPr="008D4276">
        <w:rPr>
          <w:rFonts w:asciiTheme="majorHAnsi" w:hAnsiTheme="majorHAnsi"/>
        </w:rPr>
        <w:t xml:space="preserve"> 8 mg/kg + DMARD (section 4.4 Special Warnings and Precautions).</w:t>
      </w:r>
    </w:p>
    <w:p w14:paraId="2E4D5365" w14:textId="77777777" w:rsidR="00DA5D00" w:rsidRPr="008D4276" w:rsidRDefault="00DA5D00" w:rsidP="004D6592">
      <w:pPr>
        <w:rPr>
          <w:rFonts w:asciiTheme="majorHAnsi" w:hAnsiTheme="majorHAnsi"/>
        </w:rPr>
      </w:pPr>
      <w:r w:rsidRPr="008D4276">
        <w:rPr>
          <w:rFonts w:asciiTheme="majorHAnsi" w:hAnsiTheme="majorHAnsi"/>
        </w:rPr>
        <w:t>There was no clear relationship between decreases in neutrophils below 1 x 10</w:t>
      </w:r>
      <w:r w:rsidRPr="008D4276">
        <w:rPr>
          <w:rFonts w:asciiTheme="majorHAnsi" w:hAnsiTheme="majorHAnsi"/>
          <w:vertAlign w:val="superscript"/>
        </w:rPr>
        <w:t>9</w:t>
      </w:r>
      <w:r w:rsidRPr="008D4276">
        <w:rPr>
          <w:rFonts w:asciiTheme="majorHAnsi" w:hAnsiTheme="majorHAnsi"/>
        </w:rPr>
        <w:t>/L and the occurrence of serious infections.</w:t>
      </w:r>
    </w:p>
    <w:p w14:paraId="678507F4" w14:textId="77777777" w:rsidR="00DA5D00" w:rsidRPr="008D4276" w:rsidRDefault="00DA5D00" w:rsidP="004D6592">
      <w:pPr>
        <w:rPr>
          <w:rFonts w:asciiTheme="majorHAnsi" w:hAnsiTheme="majorHAnsi"/>
        </w:rPr>
      </w:pPr>
      <w:r w:rsidRPr="008D4276">
        <w:rPr>
          <w:rFonts w:asciiTheme="majorHAnsi" w:hAnsiTheme="majorHAnsi"/>
        </w:rPr>
        <w:t xml:space="preserve">In the </w:t>
      </w:r>
      <w:r w:rsidRPr="008D4276">
        <w:rPr>
          <w:rFonts w:asciiTheme="majorHAnsi" w:hAnsiTheme="majorHAnsi"/>
          <w:i/>
        </w:rPr>
        <w:t xml:space="preserve">all control </w:t>
      </w:r>
      <w:r w:rsidRPr="008D4276">
        <w:rPr>
          <w:rFonts w:asciiTheme="majorHAnsi" w:hAnsiTheme="majorHAnsi"/>
        </w:rPr>
        <w:t xml:space="preserve">and </w:t>
      </w:r>
      <w:r w:rsidRPr="008D4276">
        <w:rPr>
          <w:rFonts w:asciiTheme="majorHAnsi" w:hAnsiTheme="majorHAnsi"/>
          <w:i/>
        </w:rPr>
        <w:t xml:space="preserve">all exposure </w:t>
      </w:r>
      <w:r w:rsidRPr="008D4276">
        <w:rPr>
          <w:rFonts w:asciiTheme="majorHAnsi" w:hAnsiTheme="majorHAnsi"/>
        </w:rPr>
        <w:t>population, the pattern and incidence of decreases in neutrophil counts remained consistent with what was seen in the 6 month controlled clinical trials.</w:t>
      </w:r>
    </w:p>
    <w:p w14:paraId="758F19AB" w14:textId="77777777" w:rsidR="00DA5D00" w:rsidRPr="008D4276" w:rsidRDefault="00DA5D00" w:rsidP="00DA5D00">
      <w:pPr>
        <w:pStyle w:val="Heading6"/>
        <w:rPr>
          <w:rFonts w:asciiTheme="majorHAnsi" w:hAnsiTheme="majorHAnsi" w:cs="Calibri"/>
          <w:lang w:val="en-AU"/>
        </w:rPr>
      </w:pPr>
      <w:bookmarkStart w:id="41" w:name="Neutrophils_-_Subcutaneous_Administratio"/>
      <w:bookmarkEnd w:id="41"/>
      <w:r w:rsidRPr="008D4276">
        <w:rPr>
          <w:rFonts w:asciiTheme="majorHAnsi" w:hAnsiTheme="majorHAnsi" w:cs="Calibri"/>
          <w:lang w:val="en-AU"/>
        </w:rPr>
        <w:t>Neutrophils - Subcutaneous Administration</w:t>
      </w:r>
    </w:p>
    <w:p w14:paraId="0DD8A2E5" w14:textId="46454779"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585926" w:rsidRPr="008D4276">
        <w:rPr>
          <w:rFonts w:asciiTheme="majorHAnsi" w:hAnsiTheme="majorHAnsi"/>
        </w:rPr>
        <w:t>tocilizumab</w:t>
      </w:r>
      <w:r w:rsidRPr="008D4276">
        <w:rPr>
          <w:rFonts w:asciiTheme="majorHAnsi" w:hAnsiTheme="majorHAnsi"/>
        </w:rPr>
        <w:t xml:space="preserve"> 6-month controlled period of SUMMACTA and BREVACTA, a decrease in neutrophil count below 1 × 10</w:t>
      </w:r>
      <w:r w:rsidRPr="008D4276">
        <w:rPr>
          <w:rFonts w:asciiTheme="majorHAnsi" w:hAnsiTheme="majorHAnsi"/>
          <w:vertAlign w:val="superscript"/>
        </w:rPr>
        <w:t>9</w:t>
      </w:r>
      <w:r w:rsidRPr="008D4276">
        <w:rPr>
          <w:rFonts w:asciiTheme="majorHAnsi" w:hAnsiTheme="majorHAnsi"/>
        </w:rPr>
        <w:t>/L occurred in 2.9% and 2.3% of patients on</w:t>
      </w:r>
      <w:r w:rsidR="00585926" w:rsidRPr="008D4276">
        <w:rPr>
          <w:rFonts w:asciiTheme="majorHAnsi" w:hAnsiTheme="majorHAnsi"/>
        </w:rPr>
        <w:t xml:space="preserve"> tocilizumab</w:t>
      </w:r>
      <w:r w:rsidRPr="008D4276">
        <w:rPr>
          <w:rFonts w:asciiTheme="majorHAnsi" w:hAnsiTheme="majorHAnsi"/>
        </w:rPr>
        <w:t xml:space="preserve"> 162 mg SC weekly and every other week, respectively.</w:t>
      </w:r>
    </w:p>
    <w:p w14:paraId="4AEDE2B7" w14:textId="77777777" w:rsidR="00DA5D00" w:rsidRPr="008D4276" w:rsidRDefault="00DA5D00" w:rsidP="004D6592">
      <w:pPr>
        <w:rPr>
          <w:rFonts w:asciiTheme="majorHAnsi" w:hAnsiTheme="majorHAnsi"/>
        </w:rPr>
      </w:pPr>
      <w:r w:rsidRPr="008D4276">
        <w:rPr>
          <w:rFonts w:asciiTheme="majorHAnsi" w:hAnsiTheme="majorHAnsi"/>
        </w:rPr>
        <w:t>There was no clear relationship between decreases in neutrophils below 1 x 10</w:t>
      </w:r>
      <w:r w:rsidRPr="008D4276">
        <w:rPr>
          <w:rFonts w:asciiTheme="majorHAnsi" w:hAnsiTheme="majorHAnsi"/>
          <w:vertAlign w:val="superscript"/>
        </w:rPr>
        <w:t>9</w:t>
      </w:r>
      <w:r w:rsidRPr="008D4276">
        <w:rPr>
          <w:rFonts w:asciiTheme="majorHAnsi" w:hAnsiTheme="majorHAnsi"/>
        </w:rPr>
        <w:t>/L and the occurrence of serious infections.</w:t>
      </w:r>
    </w:p>
    <w:p w14:paraId="231F50D0" w14:textId="77777777" w:rsidR="00DA5D00" w:rsidRPr="008D4276" w:rsidRDefault="00DA5D00" w:rsidP="00DA5D00">
      <w:pPr>
        <w:pStyle w:val="Heading6"/>
        <w:rPr>
          <w:rFonts w:asciiTheme="majorHAnsi" w:hAnsiTheme="majorHAnsi" w:cs="Calibri"/>
          <w:lang w:val="en-AU"/>
        </w:rPr>
      </w:pPr>
      <w:bookmarkStart w:id="42" w:name="Platelets_–_Intravenous_Administration"/>
      <w:bookmarkEnd w:id="42"/>
      <w:r w:rsidRPr="008D4276">
        <w:rPr>
          <w:rFonts w:asciiTheme="majorHAnsi" w:hAnsiTheme="majorHAnsi" w:cs="Calibri"/>
          <w:lang w:val="en-AU"/>
        </w:rPr>
        <w:t>Platelets – Intravenous Administration</w:t>
      </w:r>
    </w:p>
    <w:p w14:paraId="036BF63C" w14:textId="6AD3D21C" w:rsidR="00DA5D00" w:rsidRPr="008D4276" w:rsidRDefault="00DA5D00" w:rsidP="004D6592">
      <w:pPr>
        <w:rPr>
          <w:rFonts w:asciiTheme="majorHAnsi" w:hAnsiTheme="majorHAnsi"/>
        </w:rPr>
      </w:pPr>
      <w:r w:rsidRPr="008D4276">
        <w:rPr>
          <w:rFonts w:asciiTheme="majorHAnsi" w:hAnsiTheme="majorHAnsi"/>
        </w:rPr>
        <w:t>In the 6 month controlled trials, decreases in platelet counts below 100 x 10</w:t>
      </w:r>
      <w:r w:rsidRPr="008D4276">
        <w:rPr>
          <w:rFonts w:asciiTheme="majorHAnsi" w:hAnsiTheme="majorHAnsi"/>
          <w:vertAlign w:val="superscript"/>
        </w:rPr>
        <w:t>9</w:t>
      </w:r>
      <w:r w:rsidRPr="008D4276">
        <w:rPr>
          <w:rFonts w:asciiTheme="majorHAnsi" w:hAnsiTheme="majorHAnsi"/>
        </w:rPr>
        <w:t>/L occurred in 1.7% of patients on</w:t>
      </w:r>
      <w:r w:rsidR="00585926" w:rsidRPr="008D4276">
        <w:rPr>
          <w:rFonts w:asciiTheme="majorHAnsi" w:hAnsiTheme="majorHAnsi"/>
        </w:rPr>
        <w:t xml:space="preserve"> tocilizumab</w:t>
      </w:r>
      <w:r w:rsidRPr="008D4276">
        <w:rPr>
          <w:rFonts w:asciiTheme="majorHAnsi" w:hAnsiTheme="majorHAnsi"/>
        </w:rPr>
        <w:t xml:space="preserve"> 8 mg/kg + DMARDs compared to &lt; 1% on placebo + DMARDs. These decreases occurred without associated bleeding events. (see section 4.2 Dose and Method of Administration and section 4.4 Special Warnings and Precautions) In the </w:t>
      </w:r>
      <w:r w:rsidRPr="008D4276">
        <w:rPr>
          <w:rFonts w:asciiTheme="majorHAnsi" w:hAnsiTheme="majorHAnsi"/>
          <w:i/>
        </w:rPr>
        <w:t xml:space="preserve">all control </w:t>
      </w:r>
      <w:r w:rsidRPr="008D4276">
        <w:rPr>
          <w:rFonts w:asciiTheme="majorHAnsi" w:hAnsiTheme="majorHAnsi"/>
        </w:rPr>
        <w:t xml:space="preserve">and </w:t>
      </w:r>
      <w:r w:rsidRPr="008D4276">
        <w:rPr>
          <w:rFonts w:asciiTheme="majorHAnsi" w:hAnsiTheme="majorHAnsi"/>
          <w:i/>
        </w:rPr>
        <w:t>all exposure population</w:t>
      </w:r>
      <w:r w:rsidRPr="008D4276">
        <w:rPr>
          <w:rFonts w:asciiTheme="majorHAnsi" w:hAnsiTheme="majorHAnsi"/>
        </w:rPr>
        <w:t>, the pattern and incidence of decreases in platelet counts remained consistent with what was seen in the 6 month controlled clinical trials.</w:t>
      </w:r>
    </w:p>
    <w:p w14:paraId="5FD217E3" w14:textId="77777777" w:rsidR="00DA5D00" w:rsidRPr="008D4276" w:rsidRDefault="00DA5D00" w:rsidP="00DA5D00">
      <w:pPr>
        <w:pStyle w:val="Heading6"/>
        <w:rPr>
          <w:rFonts w:asciiTheme="majorHAnsi" w:hAnsiTheme="majorHAnsi" w:cs="Calibri"/>
          <w:lang w:val="en-AU"/>
        </w:rPr>
      </w:pPr>
      <w:bookmarkStart w:id="43" w:name="Platelets_-_Subcutaneous_Administration"/>
      <w:bookmarkEnd w:id="43"/>
      <w:r w:rsidRPr="008D4276">
        <w:rPr>
          <w:rFonts w:asciiTheme="majorHAnsi" w:hAnsiTheme="majorHAnsi" w:cs="Calibri"/>
          <w:lang w:val="en-AU"/>
        </w:rPr>
        <w:lastRenderedPageBreak/>
        <w:t>Platelets - Subcutaneous Administration</w:t>
      </w:r>
    </w:p>
    <w:p w14:paraId="19EB533B" w14:textId="5B305E40" w:rsidR="00DA5D00" w:rsidRPr="008D4276" w:rsidRDefault="00DA5D00" w:rsidP="004D6592">
      <w:pPr>
        <w:rPr>
          <w:rFonts w:asciiTheme="majorHAnsi" w:hAnsiTheme="majorHAnsi"/>
        </w:rPr>
      </w:pPr>
      <w:r w:rsidRPr="008D4276">
        <w:rPr>
          <w:rFonts w:asciiTheme="majorHAnsi" w:hAnsiTheme="majorHAnsi"/>
        </w:rPr>
        <w:t>During routine laboratory monitoring in the 6-month controlled period of SUMMACTA and BREVACTA, 1.6% and 1.4% of patients experienced a decrease in platelet count to &lt; 100 × 10</w:t>
      </w:r>
      <w:r w:rsidRPr="008D4276">
        <w:rPr>
          <w:rFonts w:asciiTheme="majorHAnsi" w:hAnsiTheme="majorHAnsi"/>
          <w:vertAlign w:val="superscript"/>
        </w:rPr>
        <w:t>9</w:t>
      </w:r>
      <w:r w:rsidRPr="008D4276">
        <w:rPr>
          <w:rFonts w:asciiTheme="majorHAnsi" w:hAnsiTheme="majorHAnsi"/>
        </w:rPr>
        <w:t xml:space="preserve">/L on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162 mg SC weekly and every other week, respectively.</w:t>
      </w:r>
    </w:p>
    <w:p w14:paraId="73E4CA42"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Giant Cell Arteritis Neutrophils</w:t>
      </w:r>
    </w:p>
    <w:p w14:paraId="2B303F49" w14:textId="3BC9AC13"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12-month double blind, placebo- controlled phase of Study X (GiACTA), a decrease in neutrophil count below 1 x 10</w:t>
      </w:r>
      <w:r w:rsidRPr="008D4276">
        <w:rPr>
          <w:rFonts w:asciiTheme="majorHAnsi" w:hAnsiTheme="majorHAnsi"/>
          <w:vertAlign w:val="superscript"/>
        </w:rPr>
        <w:t>9</w:t>
      </w:r>
      <w:r w:rsidRPr="008D4276">
        <w:rPr>
          <w:rFonts w:asciiTheme="majorHAnsi" w:hAnsiTheme="majorHAnsi"/>
        </w:rPr>
        <w:t xml:space="preserve">/L occurred in 4% of patients in the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weekly group. This was not observed in either of the placebo plus prednisone taper groups. There was no clear relationship between decreases in neutrophils below 1 x 10</w:t>
      </w:r>
      <w:r w:rsidRPr="008D4276">
        <w:rPr>
          <w:rFonts w:asciiTheme="majorHAnsi" w:hAnsiTheme="majorHAnsi"/>
          <w:vertAlign w:val="superscript"/>
        </w:rPr>
        <w:t>9</w:t>
      </w:r>
      <w:r w:rsidRPr="008D4276">
        <w:rPr>
          <w:rFonts w:asciiTheme="majorHAnsi" w:hAnsiTheme="majorHAnsi"/>
        </w:rPr>
        <w:t>/L and the occurrence of serious infections.</w:t>
      </w:r>
    </w:p>
    <w:p w14:paraId="74F8B05A" w14:textId="77777777" w:rsidR="00DA5D00" w:rsidRPr="008D4276" w:rsidRDefault="00DA5D00" w:rsidP="00DA5D00">
      <w:pPr>
        <w:pStyle w:val="Heading6"/>
        <w:rPr>
          <w:rFonts w:asciiTheme="majorHAnsi" w:hAnsiTheme="majorHAnsi" w:cs="Calibri"/>
          <w:lang w:val="en-AU"/>
        </w:rPr>
      </w:pPr>
      <w:r w:rsidRPr="008D4276">
        <w:rPr>
          <w:rFonts w:asciiTheme="majorHAnsi" w:hAnsiTheme="majorHAnsi" w:cs="Calibri"/>
          <w:lang w:val="en-AU"/>
        </w:rPr>
        <w:t>Platelets</w:t>
      </w:r>
    </w:p>
    <w:p w14:paraId="03926EED" w14:textId="6BAE96F0" w:rsidR="00DA5D00" w:rsidRPr="008D4276" w:rsidRDefault="00DA5D00" w:rsidP="004D6592">
      <w:pPr>
        <w:rPr>
          <w:rFonts w:asciiTheme="majorHAnsi" w:hAnsiTheme="majorHAnsi"/>
        </w:rPr>
      </w:pPr>
      <w:r w:rsidRPr="008D4276">
        <w:rPr>
          <w:rFonts w:asciiTheme="majorHAnsi" w:hAnsiTheme="majorHAnsi"/>
        </w:rPr>
        <w:t>During routine laboratory monitoring in the</w:t>
      </w:r>
      <w:r w:rsidR="00585926" w:rsidRPr="008D4276">
        <w:rPr>
          <w:rFonts w:asciiTheme="majorHAnsi" w:hAnsiTheme="majorHAnsi"/>
        </w:rPr>
        <w:t xml:space="preserve"> tocilizumab</w:t>
      </w:r>
      <w:r w:rsidRPr="008D4276">
        <w:rPr>
          <w:rFonts w:asciiTheme="majorHAnsi" w:hAnsiTheme="majorHAnsi"/>
        </w:rPr>
        <w:t xml:space="preserve"> 12-month double blind, placebo- controlled phase of Study X (GiACTA), one patient (1%, 1/100) in the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weekly group had a single transient occurrence of decreased platelet count below 100 x 10</w:t>
      </w:r>
      <w:r w:rsidRPr="008D4276">
        <w:rPr>
          <w:rFonts w:asciiTheme="majorHAnsi" w:hAnsiTheme="majorHAnsi"/>
          <w:vertAlign w:val="superscript"/>
        </w:rPr>
        <w:t>9</w:t>
      </w:r>
      <w:r w:rsidRPr="008D4276">
        <w:rPr>
          <w:rFonts w:asciiTheme="majorHAnsi" w:hAnsiTheme="majorHAnsi"/>
        </w:rPr>
        <w:t>/L without associated bleeding events. A decrease in platelet count below 100 x 10</w:t>
      </w:r>
      <w:r w:rsidRPr="008D4276">
        <w:rPr>
          <w:rFonts w:asciiTheme="majorHAnsi" w:hAnsiTheme="majorHAnsi"/>
          <w:vertAlign w:val="superscript"/>
        </w:rPr>
        <w:t>9</w:t>
      </w:r>
      <w:r w:rsidRPr="008D4276">
        <w:rPr>
          <w:rFonts w:asciiTheme="majorHAnsi" w:hAnsiTheme="majorHAnsi"/>
        </w:rPr>
        <w:t>/L was not observed in either of the placebo plus prednisone taper groups.</w:t>
      </w:r>
    </w:p>
    <w:p w14:paraId="23B621E3"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Polyarticular Juvenile Idiopathic Arthritis Neutrophils</w:t>
      </w:r>
    </w:p>
    <w:p w14:paraId="1D3EC640" w14:textId="23E160DD"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585926" w:rsidRPr="008D4276">
        <w:rPr>
          <w:rFonts w:asciiTheme="majorHAnsi" w:hAnsiTheme="majorHAnsi"/>
        </w:rPr>
        <w:t>tocilizumab</w:t>
      </w:r>
      <w:r w:rsidRPr="008D4276">
        <w:rPr>
          <w:rFonts w:asciiTheme="majorHAnsi" w:hAnsiTheme="majorHAnsi"/>
        </w:rPr>
        <w:t xml:space="preserve"> all exposure population, a decrease in neutrophil count below 1 × 10</w:t>
      </w:r>
      <w:r w:rsidRPr="008D4276">
        <w:rPr>
          <w:rFonts w:asciiTheme="majorHAnsi" w:hAnsiTheme="majorHAnsi"/>
          <w:vertAlign w:val="superscript"/>
        </w:rPr>
        <w:t>9</w:t>
      </w:r>
      <w:r w:rsidRPr="008D4276">
        <w:rPr>
          <w:rFonts w:asciiTheme="majorHAnsi" w:hAnsiTheme="majorHAnsi"/>
        </w:rPr>
        <w:t>/L occurred in 3.7% of patients. There was no clear relationship between decreases in neutrophils below 1 x 10</w:t>
      </w:r>
      <w:r w:rsidRPr="008D4276">
        <w:rPr>
          <w:rFonts w:asciiTheme="majorHAnsi" w:hAnsiTheme="majorHAnsi"/>
          <w:vertAlign w:val="superscript"/>
        </w:rPr>
        <w:t>9</w:t>
      </w:r>
      <w:r w:rsidRPr="008D4276">
        <w:rPr>
          <w:rFonts w:asciiTheme="majorHAnsi" w:hAnsiTheme="majorHAnsi"/>
        </w:rPr>
        <w:t>/L and the occurrence of serious infections.</w:t>
      </w:r>
    </w:p>
    <w:p w14:paraId="0C48555A" w14:textId="77777777" w:rsidR="00DA5D00" w:rsidRPr="008D4276" w:rsidRDefault="00DA5D00" w:rsidP="00DA5D00">
      <w:pPr>
        <w:pStyle w:val="Heading6"/>
        <w:rPr>
          <w:rFonts w:asciiTheme="majorHAnsi" w:hAnsiTheme="majorHAnsi" w:cs="Calibri"/>
          <w:lang w:val="en-AU"/>
        </w:rPr>
      </w:pPr>
      <w:r w:rsidRPr="008D4276">
        <w:rPr>
          <w:rFonts w:asciiTheme="majorHAnsi" w:hAnsiTheme="majorHAnsi" w:cs="Calibri"/>
          <w:lang w:val="en-AU"/>
        </w:rPr>
        <w:t>Platelets</w:t>
      </w:r>
    </w:p>
    <w:p w14:paraId="4DFF17D7" w14:textId="054F38E4"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585926" w:rsidRPr="008D4276">
        <w:rPr>
          <w:rFonts w:asciiTheme="majorHAnsi" w:hAnsiTheme="majorHAnsi"/>
        </w:rPr>
        <w:t>tocilizumab</w:t>
      </w:r>
      <w:r w:rsidRPr="008D4276">
        <w:rPr>
          <w:rFonts w:asciiTheme="majorHAnsi" w:hAnsiTheme="majorHAnsi"/>
        </w:rPr>
        <w:t xml:space="preserve"> all exposure population, a decrease in platelet count to </w:t>
      </w:r>
      <w:r w:rsidRPr="008D4276">
        <w:rPr>
          <w:rFonts w:asciiTheme="majorHAnsi" w:hAnsiTheme="majorHAnsi" w:hint="eastAsia"/>
        </w:rPr>
        <w:t>≤</w:t>
      </w:r>
      <w:r w:rsidRPr="008D4276">
        <w:rPr>
          <w:rFonts w:asciiTheme="majorHAnsi" w:hAnsiTheme="majorHAnsi"/>
        </w:rPr>
        <w:t xml:space="preserve"> 50 </w:t>
      </w:r>
      <w:r w:rsidRPr="008D4276">
        <w:rPr>
          <w:rFonts w:asciiTheme="majorHAnsi" w:hAnsiTheme="majorHAnsi" w:hint="eastAsia"/>
        </w:rPr>
        <w:t>×</w:t>
      </w:r>
      <w:r w:rsidRPr="008D4276">
        <w:rPr>
          <w:rFonts w:asciiTheme="majorHAnsi" w:hAnsiTheme="majorHAnsi"/>
        </w:rPr>
        <w:t xml:space="preserve"> 10</w:t>
      </w:r>
      <w:r w:rsidRPr="008D4276">
        <w:rPr>
          <w:rFonts w:asciiTheme="majorHAnsi" w:hAnsiTheme="majorHAnsi"/>
          <w:vertAlign w:val="superscript"/>
        </w:rPr>
        <w:t>3</w:t>
      </w:r>
      <w:r w:rsidRPr="008D4276">
        <w:rPr>
          <w:rFonts w:asciiTheme="majorHAnsi" w:hAnsiTheme="majorHAnsi"/>
        </w:rPr>
        <w:t xml:space="preserve">/μL occurred in 1% of patients treated with IV </w:t>
      </w:r>
      <w:r w:rsidR="00585926" w:rsidRPr="008D4276">
        <w:rPr>
          <w:rFonts w:asciiTheme="majorHAnsi" w:hAnsiTheme="majorHAnsi"/>
        </w:rPr>
        <w:t>tocilizumab</w:t>
      </w:r>
      <w:r w:rsidRPr="008D4276">
        <w:rPr>
          <w:rFonts w:asciiTheme="majorHAnsi" w:hAnsiTheme="majorHAnsi"/>
        </w:rPr>
        <w:t xml:space="preserve"> without associated bleeding events and in no patients treated with SC</w:t>
      </w:r>
      <w:r w:rsidR="00585926" w:rsidRPr="008D4276">
        <w:rPr>
          <w:rFonts w:asciiTheme="majorHAnsi" w:hAnsiTheme="majorHAnsi"/>
        </w:rPr>
        <w:t xml:space="preserve"> tocilizumab</w:t>
      </w:r>
      <w:r w:rsidRPr="008D4276">
        <w:rPr>
          <w:rFonts w:asciiTheme="majorHAnsi" w:hAnsiTheme="majorHAnsi"/>
        </w:rPr>
        <w:t>.</w:t>
      </w:r>
    </w:p>
    <w:p w14:paraId="4E426B25"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 xml:space="preserve">Systemic Juvenile Idiopathic Arthritis </w:t>
      </w:r>
      <w:bookmarkStart w:id="44" w:name="Neutrophils"/>
      <w:bookmarkEnd w:id="44"/>
      <w:r w:rsidRPr="008D4276">
        <w:rPr>
          <w:rFonts w:asciiTheme="majorHAnsi" w:hAnsiTheme="majorHAnsi" w:cs="Calibri"/>
        </w:rPr>
        <w:t>Neutrophils</w:t>
      </w:r>
    </w:p>
    <w:p w14:paraId="651554B0" w14:textId="5E732D75" w:rsidR="00DA5D00" w:rsidRPr="008D4276" w:rsidRDefault="00DA5D00" w:rsidP="004D6592">
      <w:pPr>
        <w:rPr>
          <w:rFonts w:asciiTheme="majorHAnsi" w:hAnsiTheme="majorHAnsi"/>
        </w:rPr>
      </w:pPr>
      <w:r w:rsidRPr="008D4276">
        <w:rPr>
          <w:rFonts w:asciiTheme="majorHAnsi" w:hAnsiTheme="majorHAnsi"/>
        </w:rPr>
        <w:t>During routine laboratory monitoring in the 12 week controlled trial (Study WA18221), a decrease in neutrophil counts below 1 × 10</w:t>
      </w:r>
      <w:r w:rsidRPr="008D4276">
        <w:rPr>
          <w:rFonts w:asciiTheme="majorHAnsi" w:hAnsiTheme="majorHAnsi"/>
          <w:vertAlign w:val="superscript"/>
        </w:rPr>
        <w:t>9</w:t>
      </w:r>
      <w:r w:rsidRPr="008D4276">
        <w:rPr>
          <w:rFonts w:asciiTheme="majorHAnsi" w:hAnsiTheme="majorHAnsi"/>
        </w:rPr>
        <w:t xml:space="preserve">/L occurred in 7% of patients in the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group, and in none in the placebo group. In the open-label extension study (WA18221) decreases in neutrophil counts below 1 x 10</w:t>
      </w:r>
      <w:r w:rsidRPr="008D4276">
        <w:rPr>
          <w:rFonts w:asciiTheme="majorHAnsi" w:hAnsiTheme="majorHAnsi"/>
          <w:vertAlign w:val="superscript"/>
        </w:rPr>
        <w:t>9</w:t>
      </w:r>
      <w:r w:rsidRPr="008D4276">
        <w:rPr>
          <w:rFonts w:asciiTheme="majorHAnsi" w:hAnsiTheme="majorHAnsi"/>
        </w:rPr>
        <w:t xml:space="preserve">/L occurred in 15% of patients in the IV </w:t>
      </w:r>
      <w:r w:rsidR="00585926" w:rsidRPr="008D4276">
        <w:rPr>
          <w:rFonts w:asciiTheme="majorHAnsi" w:hAnsiTheme="majorHAnsi"/>
        </w:rPr>
        <w:t>tocilizumab</w:t>
      </w:r>
      <w:r w:rsidRPr="008D4276">
        <w:rPr>
          <w:rFonts w:asciiTheme="majorHAnsi" w:hAnsiTheme="majorHAnsi"/>
        </w:rPr>
        <w:t xml:space="preserve"> group.</w:t>
      </w:r>
    </w:p>
    <w:p w14:paraId="16E4E777" w14:textId="77777777" w:rsidR="00DA5D00" w:rsidRPr="008D4276" w:rsidRDefault="00DA5D00" w:rsidP="004D6592">
      <w:pPr>
        <w:rPr>
          <w:rFonts w:asciiTheme="majorHAnsi" w:hAnsiTheme="majorHAnsi"/>
        </w:rPr>
      </w:pPr>
      <w:r w:rsidRPr="008D4276">
        <w:rPr>
          <w:rFonts w:asciiTheme="majorHAnsi" w:hAnsiTheme="majorHAnsi"/>
        </w:rPr>
        <w:t>There was no clear relationship between decreases in neutrophils below 1 x 10</w:t>
      </w:r>
      <w:r w:rsidRPr="008D4276">
        <w:rPr>
          <w:rFonts w:asciiTheme="majorHAnsi" w:hAnsiTheme="majorHAnsi"/>
          <w:vertAlign w:val="superscript"/>
        </w:rPr>
        <w:t>9</w:t>
      </w:r>
      <w:r w:rsidRPr="008D4276">
        <w:rPr>
          <w:rFonts w:asciiTheme="majorHAnsi" w:hAnsiTheme="majorHAnsi"/>
        </w:rPr>
        <w:t>/L and the occurrence of serious infections.</w:t>
      </w:r>
    </w:p>
    <w:p w14:paraId="4DC2434A" w14:textId="03A3C17E" w:rsidR="00DA5D00" w:rsidRPr="008D4276" w:rsidRDefault="00DA5D00" w:rsidP="004D6592">
      <w:pPr>
        <w:rPr>
          <w:rFonts w:asciiTheme="majorHAnsi" w:hAnsiTheme="majorHAnsi"/>
        </w:rPr>
      </w:pPr>
      <w:r w:rsidRPr="008D4276">
        <w:rPr>
          <w:rFonts w:asciiTheme="majorHAnsi" w:hAnsiTheme="majorHAnsi"/>
        </w:rPr>
        <w:t>In the 52-week open-label trial (Study WA28118), neutrophil count decreases below 1 × 10</w:t>
      </w:r>
      <w:r w:rsidRPr="008D4276">
        <w:rPr>
          <w:rFonts w:asciiTheme="majorHAnsi" w:hAnsiTheme="majorHAnsi"/>
          <w:vertAlign w:val="superscript"/>
        </w:rPr>
        <w:t>9</w:t>
      </w:r>
      <w:r w:rsidRPr="008D4276">
        <w:rPr>
          <w:rFonts w:asciiTheme="majorHAnsi" w:hAnsiTheme="majorHAnsi"/>
        </w:rPr>
        <w:t xml:space="preserve">/L occurred in 23.5% of patients treated with SC </w:t>
      </w:r>
      <w:r w:rsidR="00585926" w:rsidRPr="008D4276">
        <w:rPr>
          <w:rFonts w:asciiTheme="majorHAnsi" w:hAnsiTheme="majorHAnsi"/>
        </w:rPr>
        <w:t>tocilizumab</w:t>
      </w:r>
      <w:r w:rsidRPr="008D4276">
        <w:rPr>
          <w:rFonts w:asciiTheme="majorHAnsi" w:hAnsiTheme="majorHAnsi"/>
        </w:rPr>
        <w:t>.</w:t>
      </w:r>
    </w:p>
    <w:p w14:paraId="309C482C" w14:textId="77777777" w:rsidR="00DA5D00" w:rsidRPr="008D4276" w:rsidRDefault="00DA5D00" w:rsidP="00DA5D00">
      <w:pPr>
        <w:pStyle w:val="Heading6"/>
        <w:rPr>
          <w:rFonts w:asciiTheme="majorHAnsi" w:hAnsiTheme="majorHAnsi" w:cs="Calibri"/>
          <w:lang w:val="en-AU"/>
        </w:rPr>
      </w:pPr>
      <w:bookmarkStart w:id="45" w:name="Platelets"/>
      <w:bookmarkEnd w:id="45"/>
      <w:r w:rsidRPr="008D4276">
        <w:rPr>
          <w:rFonts w:asciiTheme="majorHAnsi" w:hAnsiTheme="majorHAnsi" w:cs="Calibri"/>
          <w:lang w:val="en-AU"/>
        </w:rPr>
        <w:t>Platelets</w:t>
      </w:r>
    </w:p>
    <w:p w14:paraId="7689951A" w14:textId="63E88800"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12 week controlled trial (Study WA18221), 3% of patients in the placebo group and 1% in the IV </w:t>
      </w:r>
      <w:r w:rsidR="00585926" w:rsidRPr="008D4276">
        <w:rPr>
          <w:rFonts w:asciiTheme="majorHAnsi" w:hAnsiTheme="majorHAnsi"/>
        </w:rPr>
        <w:t>tocilizumab</w:t>
      </w:r>
      <w:r w:rsidRPr="008D4276">
        <w:rPr>
          <w:rFonts w:asciiTheme="majorHAnsi" w:hAnsiTheme="majorHAnsi"/>
        </w:rPr>
        <w:t xml:space="preserve"> group had a decrease in platelet count to </w:t>
      </w:r>
      <w:r w:rsidRPr="008D4276">
        <w:rPr>
          <w:rFonts w:asciiTheme="majorHAnsi" w:hAnsiTheme="majorHAnsi" w:hint="eastAsia"/>
        </w:rPr>
        <w:t>≤</w:t>
      </w:r>
      <w:r w:rsidRPr="008D4276">
        <w:rPr>
          <w:rFonts w:asciiTheme="majorHAnsi" w:hAnsiTheme="majorHAnsi"/>
        </w:rPr>
        <w:t xml:space="preserve"> 100 </w:t>
      </w:r>
      <w:r w:rsidRPr="008D4276">
        <w:rPr>
          <w:rFonts w:asciiTheme="majorHAnsi" w:hAnsiTheme="majorHAnsi" w:hint="eastAsia"/>
        </w:rPr>
        <w:t>×</w:t>
      </w:r>
      <w:r w:rsidRPr="008D4276">
        <w:rPr>
          <w:rFonts w:asciiTheme="majorHAnsi" w:hAnsiTheme="majorHAnsi"/>
        </w:rPr>
        <w:t xml:space="preserve"> 10</w:t>
      </w:r>
      <w:r w:rsidRPr="008D4276">
        <w:rPr>
          <w:rFonts w:asciiTheme="majorHAnsi" w:hAnsiTheme="majorHAnsi"/>
          <w:vertAlign w:val="superscript"/>
        </w:rPr>
        <w:t>3</w:t>
      </w:r>
      <w:r w:rsidRPr="008D4276">
        <w:rPr>
          <w:rFonts w:asciiTheme="majorHAnsi" w:hAnsiTheme="majorHAnsi"/>
        </w:rPr>
        <w:t>/μL. In the open-label extension study (WA18221) decreases in platelet counts below 100 x 10</w:t>
      </w:r>
      <w:r w:rsidRPr="008D4276">
        <w:rPr>
          <w:rFonts w:asciiTheme="majorHAnsi" w:hAnsiTheme="majorHAnsi"/>
          <w:vertAlign w:val="superscript"/>
        </w:rPr>
        <w:t>3</w:t>
      </w:r>
      <w:r w:rsidRPr="008D4276">
        <w:rPr>
          <w:rFonts w:asciiTheme="majorHAnsi" w:hAnsiTheme="majorHAnsi"/>
        </w:rPr>
        <w:t xml:space="preserve">/μL occurred in 3% of patients in the IV </w:t>
      </w:r>
      <w:r w:rsidR="00585926" w:rsidRPr="008D4276">
        <w:rPr>
          <w:rFonts w:asciiTheme="majorHAnsi" w:hAnsiTheme="majorHAnsi"/>
        </w:rPr>
        <w:t>tocilizumab</w:t>
      </w:r>
      <w:r w:rsidRPr="008D4276">
        <w:rPr>
          <w:rFonts w:asciiTheme="majorHAnsi" w:hAnsiTheme="majorHAnsi"/>
        </w:rPr>
        <w:t xml:space="preserve"> group, without associated bleeding events.</w:t>
      </w:r>
    </w:p>
    <w:p w14:paraId="3E880B81" w14:textId="6AB654F2" w:rsidR="00DA5D00" w:rsidRPr="008D4276" w:rsidRDefault="00DA5D00" w:rsidP="004D6592">
      <w:pPr>
        <w:rPr>
          <w:rFonts w:asciiTheme="majorHAnsi" w:hAnsiTheme="majorHAnsi"/>
        </w:rPr>
      </w:pPr>
      <w:r w:rsidRPr="008D4276">
        <w:rPr>
          <w:rFonts w:asciiTheme="majorHAnsi" w:hAnsiTheme="majorHAnsi"/>
        </w:rPr>
        <w:lastRenderedPageBreak/>
        <w:t>In the 52-week open-label trial (Study WA28118), decreases in platelet counts below 100 × 10</w:t>
      </w:r>
      <w:r w:rsidRPr="008D4276">
        <w:rPr>
          <w:rFonts w:asciiTheme="majorHAnsi" w:hAnsiTheme="majorHAnsi"/>
          <w:vertAlign w:val="superscript"/>
        </w:rPr>
        <w:t>3</w:t>
      </w:r>
      <w:r w:rsidRPr="008D4276">
        <w:rPr>
          <w:rFonts w:asciiTheme="majorHAnsi" w:hAnsiTheme="majorHAnsi"/>
        </w:rPr>
        <w:t xml:space="preserve"> /μL occurred in 2% of patients treated with SC </w:t>
      </w:r>
      <w:r w:rsidR="00585926" w:rsidRPr="008D4276">
        <w:rPr>
          <w:rFonts w:asciiTheme="majorHAnsi" w:hAnsiTheme="majorHAnsi"/>
        </w:rPr>
        <w:t>tocilizumab</w:t>
      </w:r>
      <w:r w:rsidRPr="008D4276">
        <w:rPr>
          <w:rFonts w:asciiTheme="majorHAnsi" w:hAnsiTheme="majorHAnsi"/>
        </w:rPr>
        <w:t>.</w:t>
      </w:r>
    </w:p>
    <w:p w14:paraId="75B39CB7" w14:textId="77777777" w:rsidR="00DA5D00" w:rsidRPr="008D4276" w:rsidRDefault="00DA5D00" w:rsidP="004D6592">
      <w:pPr>
        <w:pStyle w:val="Heading4"/>
        <w:rPr>
          <w:rFonts w:asciiTheme="majorHAnsi" w:hAnsiTheme="majorHAnsi"/>
        </w:rPr>
      </w:pPr>
      <w:bookmarkStart w:id="46" w:name="Liver_enzyme_elevations"/>
      <w:bookmarkEnd w:id="46"/>
      <w:r w:rsidRPr="008D4276">
        <w:rPr>
          <w:rFonts w:asciiTheme="majorHAnsi" w:hAnsiTheme="majorHAnsi"/>
        </w:rPr>
        <w:t xml:space="preserve">Liver enzyme elevations </w:t>
      </w:r>
    </w:p>
    <w:p w14:paraId="79039472"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 xml:space="preserve">Rheumatoid Arthritis </w:t>
      </w:r>
    </w:p>
    <w:p w14:paraId="042E37D2" w14:textId="1E8BECAE" w:rsidR="00DA5D00" w:rsidRPr="008D4276" w:rsidRDefault="00DA5D00" w:rsidP="00DA5D00">
      <w:pPr>
        <w:pStyle w:val="Heading6"/>
        <w:rPr>
          <w:rFonts w:asciiTheme="majorHAnsi" w:hAnsiTheme="majorHAnsi" w:cs="Calibri"/>
          <w:lang w:val="en-AU"/>
        </w:rPr>
      </w:pPr>
      <w:r w:rsidRPr="008D4276">
        <w:rPr>
          <w:rFonts w:asciiTheme="majorHAnsi" w:hAnsiTheme="majorHAnsi" w:cs="Calibri"/>
          <w:lang w:val="en-AU"/>
        </w:rPr>
        <w:t>Intravenous Administration</w:t>
      </w:r>
    </w:p>
    <w:p w14:paraId="7C20329A" w14:textId="54E1E029" w:rsidR="00DA5D00" w:rsidRPr="008D4276" w:rsidRDefault="00DA5D00" w:rsidP="004D6592">
      <w:pPr>
        <w:rPr>
          <w:rFonts w:asciiTheme="majorHAnsi" w:hAnsiTheme="majorHAnsi"/>
        </w:rPr>
      </w:pPr>
      <w:r w:rsidRPr="008D4276">
        <w:rPr>
          <w:rFonts w:asciiTheme="majorHAnsi" w:hAnsiTheme="majorHAnsi"/>
        </w:rPr>
        <w:t xml:space="preserve">During the 6 month controlled trials transient elevations in ALT (alanine transaminase)/AST (aspartate transaminase) &gt; 3 x ULN (Upper Limit of Normal) were observed in 2.1% of patients on </w:t>
      </w:r>
      <w:r w:rsidR="00585926" w:rsidRPr="008D4276">
        <w:rPr>
          <w:rFonts w:asciiTheme="majorHAnsi" w:hAnsiTheme="majorHAnsi"/>
        </w:rPr>
        <w:t xml:space="preserve"> tocilizumab</w:t>
      </w:r>
      <w:r w:rsidRPr="008D4276">
        <w:rPr>
          <w:rFonts w:asciiTheme="majorHAnsi" w:hAnsiTheme="majorHAnsi"/>
        </w:rPr>
        <w:t xml:space="preserve"> 8 mg/kg compared to 4.9% of patients on MTX, and in 6.5% of patients who received </w:t>
      </w:r>
      <w:r w:rsidR="00585926" w:rsidRPr="008D4276">
        <w:rPr>
          <w:rFonts w:asciiTheme="majorHAnsi" w:hAnsiTheme="majorHAnsi"/>
        </w:rPr>
        <w:t>tocilizumab</w:t>
      </w:r>
      <w:r w:rsidRPr="008D4276">
        <w:rPr>
          <w:rFonts w:asciiTheme="majorHAnsi" w:hAnsiTheme="majorHAnsi"/>
        </w:rPr>
        <w:t xml:space="preserve"> 8 mg/kg + DMARD compared to 1.5% of patients on placebo + DMARD. The addition of potentially hepatotoxic drugs (for example MTX) to </w:t>
      </w:r>
      <w:r w:rsidR="00585926" w:rsidRPr="008D4276">
        <w:rPr>
          <w:rFonts w:asciiTheme="majorHAnsi" w:hAnsiTheme="majorHAnsi"/>
        </w:rPr>
        <w:t>tocilizumab</w:t>
      </w:r>
      <w:r w:rsidRPr="008D4276">
        <w:rPr>
          <w:rFonts w:asciiTheme="majorHAnsi" w:hAnsiTheme="majorHAnsi"/>
        </w:rPr>
        <w:t xml:space="preserve"> monotherapy resulted in increased frequency of these elevations. Elevations of ALT/AST &gt; 5x ULN were observed in 0.7% of </w:t>
      </w:r>
      <w:r w:rsidR="00585926" w:rsidRPr="008D4276">
        <w:rPr>
          <w:rFonts w:asciiTheme="majorHAnsi" w:hAnsiTheme="majorHAnsi"/>
        </w:rPr>
        <w:t>tocilizumab</w:t>
      </w:r>
      <w:r w:rsidRPr="008D4276">
        <w:rPr>
          <w:rFonts w:asciiTheme="majorHAnsi" w:hAnsiTheme="majorHAnsi"/>
        </w:rPr>
        <w:t xml:space="preserve"> monotherapy patients and 1.4% of </w:t>
      </w:r>
      <w:r w:rsidR="00585926" w:rsidRPr="008D4276">
        <w:rPr>
          <w:rFonts w:asciiTheme="majorHAnsi" w:hAnsiTheme="majorHAnsi"/>
        </w:rPr>
        <w:t>tocilizumab</w:t>
      </w:r>
      <w:r w:rsidRPr="008D4276">
        <w:rPr>
          <w:rFonts w:asciiTheme="majorHAnsi" w:hAnsiTheme="majorHAnsi"/>
        </w:rPr>
        <w:t xml:space="preserve"> + DMARD patients, the majority of whom were discontinued from </w:t>
      </w:r>
      <w:r w:rsidR="00585926" w:rsidRPr="008D4276">
        <w:rPr>
          <w:rFonts w:asciiTheme="majorHAnsi" w:hAnsiTheme="majorHAnsi"/>
        </w:rPr>
        <w:t>tocilizumab</w:t>
      </w:r>
      <w:r w:rsidRPr="008D4276">
        <w:rPr>
          <w:rFonts w:asciiTheme="majorHAnsi" w:hAnsiTheme="majorHAnsi"/>
        </w:rPr>
        <w:t xml:space="preserve"> treatment. During routine laboratory monitoring, the incidence of indirect bilirubin &gt; ULN is 6.2% in patients treated with 8 mg/kg </w:t>
      </w:r>
      <w:r w:rsidR="00585926" w:rsidRPr="008D4276">
        <w:rPr>
          <w:rFonts w:asciiTheme="majorHAnsi" w:hAnsiTheme="majorHAnsi"/>
        </w:rPr>
        <w:t>tocilizumab</w:t>
      </w:r>
      <w:r w:rsidRPr="008D4276">
        <w:rPr>
          <w:rFonts w:asciiTheme="majorHAnsi" w:hAnsiTheme="majorHAnsi"/>
        </w:rPr>
        <w:t xml:space="preserve"> + DMARD in the </w:t>
      </w:r>
      <w:r w:rsidRPr="008D4276">
        <w:rPr>
          <w:rFonts w:asciiTheme="majorHAnsi" w:hAnsiTheme="majorHAnsi"/>
          <w:i/>
        </w:rPr>
        <w:t xml:space="preserve">all control </w:t>
      </w:r>
      <w:r w:rsidRPr="008D4276">
        <w:rPr>
          <w:rFonts w:asciiTheme="majorHAnsi" w:hAnsiTheme="majorHAnsi"/>
        </w:rPr>
        <w:t>population.</w:t>
      </w:r>
    </w:p>
    <w:p w14:paraId="7A422A70" w14:textId="77777777" w:rsidR="00DA5D00" w:rsidRPr="008D4276" w:rsidRDefault="00DA5D00" w:rsidP="004D6592">
      <w:pPr>
        <w:rPr>
          <w:rFonts w:asciiTheme="majorHAnsi" w:hAnsiTheme="majorHAnsi"/>
        </w:rPr>
      </w:pPr>
      <w:r w:rsidRPr="008D4276">
        <w:rPr>
          <w:rFonts w:asciiTheme="majorHAnsi" w:hAnsiTheme="majorHAnsi"/>
        </w:rPr>
        <w:t>In the all control and all exposure population, the pattern and incidence of elevations in ALT/AST remained consistent with what was seen in the 6 month controlled clinical trials.</w:t>
      </w:r>
    </w:p>
    <w:p w14:paraId="57630B7D" w14:textId="116AB70D" w:rsidR="00DA5D00" w:rsidRPr="008D4276" w:rsidRDefault="00DA5D00" w:rsidP="004D6592">
      <w:pPr>
        <w:rPr>
          <w:rFonts w:asciiTheme="majorHAnsi" w:hAnsiTheme="majorHAnsi"/>
        </w:rPr>
      </w:pPr>
      <w:r w:rsidRPr="008D4276">
        <w:rPr>
          <w:rFonts w:asciiTheme="majorHAnsi" w:hAnsiTheme="majorHAnsi"/>
        </w:rPr>
        <w:t xml:space="preserve">In Study VIII (FUNCTION), MTX-naïve adult patients with moderate to severe, active early RA (mean disease duration </w:t>
      </w:r>
      <w:r w:rsidRPr="008D4276">
        <w:rPr>
          <w:rFonts w:asciiTheme="majorHAnsi" w:hAnsiTheme="majorHAnsi" w:hint="eastAsia"/>
        </w:rPr>
        <w:t>≤</w:t>
      </w:r>
      <w:r w:rsidRPr="008D4276">
        <w:rPr>
          <w:rFonts w:asciiTheme="majorHAnsi" w:hAnsiTheme="majorHAnsi"/>
        </w:rPr>
        <w:t xml:space="preserve"> 6 months) experienced more transient elevations in ALT &gt; 3 x ULN compared with the all control population. Transient elevations in ALT &gt; 3 to 5 x ULN were observed in 6.6% of patients on </w:t>
      </w:r>
      <w:r w:rsidR="00585926" w:rsidRPr="008D4276">
        <w:rPr>
          <w:rFonts w:asciiTheme="majorHAnsi" w:hAnsiTheme="majorHAnsi"/>
        </w:rPr>
        <w:t>tocilizumab</w:t>
      </w:r>
      <w:r w:rsidRPr="008D4276">
        <w:rPr>
          <w:rFonts w:asciiTheme="majorHAnsi" w:hAnsiTheme="majorHAnsi"/>
        </w:rPr>
        <w:t xml:space="preserve"> 4 mg/kg + MTX, 9.7% of patients on</w:t>
      </w:r>
      <w:r w:rsidR="00585926" w:rsidRPr="008D4276">
        <w:rPr>
          <w:rFonts w:asciiTheme="majorHAnsi" w:hAnsiTheme="majorHAnsi"/>
        </w:rPr>
        <w:t xml:space="preserve"> tocilizumab</w:t>
      </w:r>
      <w:r w:rsidRPr="008D4276">
        <w:rPr>
          <w:rFonts w:asciiTheme="majorHAnsi" w:hAnsiTheme="majorHAnsi"/>
        </w:rPr>
        <w:t xml:space="preserve"> 8mg/kg + MTX compared to 3.4% of patients on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8 mg/kg + placebo and 3.9% of patients on MTX + placebo.</w:t>
      </w:r>
    </w:p>
    <w:p w14:paraId="0DBC9D8B" w14:textId="195FE52E" w:rsidR="00DA5D00" w:rsidRPr="008D4276" w:rsidRDefault="00DA5D00" w:rsidP="004D6592">
      <w:pPr>
        <w:rPr>
          <w:rFonts w:asciiTheme="majorHAnsi" w:hAnsiTheme="majorHAnsi"/>
        </w:rPr>
      </w:pPr>
      <w:r w:rsidRPr="008D4276">
        <w:rPr>
          <w:rFonts w:asciiTheme="majorHAnsi" w:hAnsiTheme="majorHAnsi"/>
        </w:rPr>
        <w:t xml:space="preserve">In Study WA25204 (ENTRACTE), of the 1538 patients with moderate to severe RA (see Section 5.1 Clinical trials) and treated with </w:t>
      </w:r>
      <w:r w:rsidR="00585926" w:rsidRPr="008D4276">
        <w:rPr>
          <w:rFonts w:asciiTheme="majorHAnsi" w:hAnsiTheme="majorHAnsi"/>
        </w:rPr>
        <w:t>tocilizumab</w:t>
      </w:r>
      <w:r w:rsidRPr="008D4276">
        <w:rPr>
          <w:rFonts w:asciiTheme="majorHAnsi" w:hAnsiTheme="majorHAnsi"/>
        </w:rPr>
        <w:t xml:space="preserve">, elevations in ALT or AST &gt;3 x ULN occurred in 5.3% and 2.2% patients, respectively. One serious event of drug induced hepatitis with hyperbilirubinemia was reported in association with </w:t>
      </w:r>
      <w:r w:rsidR="00585926" w:rsidRPr="008D4276">
        <w:rPr>
          <w:rFonts w:asciiTheme="majorHAnsi" w:hAnsiTheme="majorHAnsi"/>
        </w:rPr>
        <w:t>tocilizumab</w:t>
      </w:r>
      <w:r w:rsidR="00585926" w:rsidRPr="008D4276" w:rsidDel="00585926">
        <w:rPr>
          <w:rFonts w:asciiTheme="majorHAnsi" w:hAnsiTheme="majorHAnsi"/>
        </w:rPr>
        <w:t xml:space="preserve"> </w:t>
      </w:r>
      <w:r w:rsidRPr="008D4276">
        <w:rPr>
          <w:rFonts w:asciiTheme="majorHAnsi" w:hAnsiTheme="majorHAnsi"/>
        </w:rPr>
        <w:t>treatment (see section 4.4 Special warnings and precautions for use).</w:t>
      </w:r>
    </w:p>
    <w:p w14:paraId="17F49CE3" w14:textId="77777777" w:rsidR="00DA5D00" w:rsidRPr="008D4276" w:rsidRDefault="00DA5D00" w:rsidP="00DA5D00">
      <w:pPr>
        <w:pStyle w:val="Heading6"/>
        <w:rPr>
          <w:rFonts w:asciiTheme="majorHAnsi" w:hAnsiTheme="majorHAnsi" w:cs="Calibri"/>
          <w:lang w:val="en-AU"/>
        </w:rPr>
      </w:pPr>
      <w:r w:rsidRPr="008D4276">
        <w:rPr>
          <w:rFonts w:asciiTheme="majorHAnsi" w:hAnsiTheme="majorHAnsi" w:cs="Calibri"/>
          <w:lang w:val="en-AU"/>
        </w:rPr>
        <w:t>Subcutaneous Administration</w:t>
      </w:r>
    </w:p>
    <w:p w14:paraId="1E337D92" w14:textId="0EE7C61E"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8C2A0F" w:rsidRPr="008D4276">
        <w:rPr>
          <w:rFonts w:asciiTheme="majorHAnsi" w:hAnsiTheme="majorHAnsi"/>
        </w:rPr>
        <w:t>tocilizumab</w:t>
      </w:r>
      <w:r w:rsidRPr="008D4276">
        <w:rPr>
          <w:rFonts w:asciiTheme="majorHAnsi" w:hAnsiTheme="majorHAnsi"/>
        </w:rPr>
        <w:t xml:space="preserve"> 6-month controlled period of SUMMACTA, elevation in ALT or AST </w:t>
      </w:r>
      <w:r w:rsidRPr="008D4276">
        <w:rPr>
          <w:rFonts w:asciiTheme="majorHAnsi" w:hAnsiTheme="majorHAnsi" w:hint="eastAsia"/>
        </w:rPr>
        <w:t>≥</w:t>
      </w:r>
      <w:r w:rsidRPr="008D4276">
        <w:rPr>
          <w:rFonts w:asciiTheme="majorHAnsi" w:hAnsiTheme="majorHAnsi"/>
        </w:rPr>
        <w:t xml:space="preserve"> 3 x ULN occurred in 6.5% and 1.4% of patients, respectively on the SC weekly dose. In the 6-month controlled period of BREVACTA, elevation in ALT or AST </w:t>
      </w:r>
      <w:r w:rsidRPr="008D4276">
        <w:rPr>
          <w:rFonts w:asciiTheme="majorHAnsi" w:hAnsiTheme="majorHAnsi" w:hint="eastAsia"/>
        </w:rPr>
        <w:t>≥</w:t>
      </w:r>
      <w:r w:rsidRPr="008D4276">
        <w:rPr>
          <w:rFonts w:asciiTheme="majorHAnsi" w:hAnsiTheme="majorHAnsi"/>
        </w:rPr>
        <w:t xml:space="preserve"> 3 x ULN occurred in 3.4% and 0.7% of patients, respectively on the SC every other week dose.</w:t>
      </w:r>
    </w:p>
    <w:p w14:paraId="3864F9FE"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Giant Cell Arteritis</w:t>
      </w:r>
    </w:p>
    <w:p w14:paraId="14D768B5" w14:textId="4138D139"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8C2A0F" w:rsidRPr="008D4276">
        <w:rPr>
          <w:rFonts w:asciiTheme="majorHAnsi" w:hAnsiTheme="majorHAnsi"/>
        </w:rPr>
        <w:t>tocilizumab</w:t>
      </w:r>
      <w:r w:rsidRPr="008D4276">
        <w:rPr>
          <w:rFonts w:asciiTheme="majorHAnsi" w:hAnsiTheme="majorHAnsi"/>
        </w:rPr>
        <w:t xml:space="preserve"> 12-month double blind, placebo- controlled phase of Study X (GiACTA), elevation in ALT </w:t>
      </w:r>
      <w:r w:rsidRPr="008D4276">
        <w:rPr>
          <w:rFonts w:asciiTheme="majorHAnsi" w:hAnsiTheme="majorHAnsi" w:hint="eastAsia"/>
        </w:rPr>
        <w:t>≥</w:t>
      </w:r>
      <w:r w:rsidRPr="008D4276">
        <w:rPr>
          <w:rFonts w:asciiTheme="majorHAnsi" w:hAnsiTheme="majorHAnsi"/>
        </w:rPr>
        <w:t xml:space="preserve"> 3 x ULN occurred in 3% of patients in the </w:t>
      </w:r>
      <w:r w:rsidR="008C2A0F" w:rsidRPr="008D4276">
        <w:rPr>
          <w:rFonts w:asciiTheme="majorHAnsi" w:hAnsiTheme="majorHAnsi"/>
        </w:rPr>
        <w:t>tocilizumab</w:t>
      </w:r>
      <w:r w:rsidRPr="008D4276">
        <w:rPr>
          <w:rFonts w:asciiTheme="majorHAnsi" w:hAnsiTheme="majorHAnsi"/>
        </w:rPr>
        <w:t xml:space="preserve"> weekly group compared to 2% in the placebo plus 52 week prednisone taper group and none in the placebo plus 26 weeks prednisone taper group. An elevation in AST &gt; 3 x </w:t>
      </w:r>
      <w:r w:rsidRPr="008D4276">
        <w:rPr>
          <w:rFonts w:asciiTheme="majorHAnsi" w:hAnsiTheme="majorHAnsi"/>
        </w:rPr>
        <w:lastRenderedPageBreak/>
        <w:t xml:space="preserve">ULN occurred in 1% of patients in the </w:t>
      </w:r>
      <w:r w:rsidR="008C2A0F" w:rsidRPr="008D4276">
        <w:rPr>
          <w:rFonts w:asciiTheme="majorHAnsi" w:hAnsiTheme="majorHAnsi"/>
        </w:rPr>
        <w:t>tocilizumab</w:t>
      </w:r>
      <w:r w:rsidRPr="008D4276">
        <w:rPr>
          <w:rFonts w:asciiTheme="majorHAnsi" w:hAnsiTheme="majorHAnsi"/>
        </w:rPr>
        <w:t xml:space="preserve"> weekly group, compared to no patients in either of the placebo plus prednisone taper groups.</w:t>
      </w:r>
    </w:p>
    <w:p w14:paraId="26D89CA8"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Polyarticular Juvenile Idiopathic Arthritis</w:t>
      </w:r>
    </w:p>
    <w:p w14:paraId="5EFE95A6" w14:textId="0389E79B"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8C2A0F" w:rsidRPr="008D4276">
        <w:rPr>
          <w:rFonts w:asciiTheme="majorHAnsi" w:hAnsiTheme="majorHAnsi"/>
        </w:rPr>
        <w:t>tocilizumab</w:t>
      </w:r>
      <w:r w:rsidRPr="008D4276">
        <w:rPr>
          <w:rFonts w:asciiTheme="majorHAnsi" w:hAnsiTheme="majorHAnsi"/>
        </w:rPr>
        <w:t xml:space="preserve"> all exposure population, elevation in ALT or AST </w:t>
      </w:r>
      <w:r w:rsidRPr="008D4276">
        <w:rPr>
          <w:rFonts w:asciiTheme="majorHAnsi" w:hAnsiTheme="majorHAnsi" w:hint="eastAsia"/>
        </w:rPr>
        <w:t>≥</w:t>
      </w:r>
      <w:r w:rsidRPr="008D4276">
        <w:rPr>
          <w:rFonts w:asciiTheme="majorHAnsi" w:hAnsiTheme="majorHAnsi"/>
        </w:rPr>
        <w:t xml:space="preserve"> 3 x ULN occurred in 3.7% and &lt;1% of patients treated with IV </w:t>
      </w:r>
      <w:r w:rsidR="008C2A0F" w:rsidRPr="008D4276">
        <w:rPr>
          <w:rFonts w:asciiTheme="majorHAnsi" w:hAnsiTheme="majorHAnsi"/>
        </w:rPr>
        <w:t>tocilizumab</w:t>
      </w:r>
      <w:r w:rsidRPr="008D4276">
        <w:rPr>
          <w:rFonts w:asciiTheme="majorHAnsi" w:hAnsiTheme="majorHAnsi"/>
        </w:rPr>
        <w:t xml:space="preserve"> and in 9.6% and 3.8% patients treated with SC </w:t>
      </w:r>
      <w:r w:rsidR="008C2A0F" w:rsidRPr="008D4276">
        <w:rPr>
          <w:rFonts w:asciiTheme="majorHAnsi" w:hAnsiTheme="majorHAnsi"/>
        </w:rPr>
        <w:t>tocilizumab</w:t>
      </w:r>
      <w:r w:rsidRPr="008D4276">
        <w:rPr>
          <w:rFonts w:asciiTheme="majorHAnsi" w:hAnsiTheme="majorHAnsi"/>
        </w:rPr>
        <w:t xml:space="preserve"> respectively.</w:t>
      </w:r>
    </w:p>
    <w:p w14:paraId="67BFD91E"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Systemic Juvenile Idiopathic Arthritis</w:t>
      </w:r>
    </w:p>
    <w:p w14:paraId="45F94F9B" w14:textId="5C86CC7F"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12 week controlled trial (Study WA18221), elevation in ALT or AST </w:t>
      </w:r>
      <w:r w:rsidRPr="008D4276">
        <w:rPr>
          <w:rFonts w:asciiTheme="majorHAnsi" w:hAnsiTheme="majorHAnsi" w:hint="eastAsia"/>
        </w:rPr>
        <w:t>≥</w:t>
      </w:r>
      <w:r w:rsidRPr="008D4276">
        <w:rPr>
          <w:rFonts w:asciiTheme="majorHAnsi" w:hAnsiTheme="majorHAnsi"/>
        </w:rPr>
        <w:t xml:space="preserve"> 3 x ULN occurred in 5% and 3% of patients, respectively, in the IV </w:t>
      </w:r>
      <w:r w:rsidR="008C2A0F" w:rsidRPr="008D4276">
        <w:rPr>
          <w:rFonts w:asciiTheme="majorHAnsi" w:hAnsiTheme="majorHAnsi"/>
        </w:rPr>
        <w:t>tocilizumab</w:t>
      </w:r>
      <w:r w:rsidRPr="008D4276">
        <w:rPr>
          <w:rFonts w:asciiTheme="majorHAnsi" w:hAnsiTheme="majorHAnsi"/>
        </w:rPr>
        <w:t xml:space="preserve"> group, and in 0% of placebo patients.</w:t>
      </w:r>
    </w:p>
    <w:p w14:paraId="086FC2E1" w14:textId="3A5FFDE7" w:rsidR="00DA5D00" w:rsidRPr="008D4276" w:rsidRDefault="00DA5D00" w:rsidP="004D6592">
      <w:pPr>
        <w:rPr>
          <w:rFonts w:asciiTheme="majorHAnsi" w:hAnsiTheme="majorHAnsi"/>
        </w:rPr>
      </w:pPr>
      <w:r w:rsidRPr="008D4276">
        <w:rPr>
          <w:rFonts w:asciiTheme="majorHAnsi" w:hAnsiTheme="majorHAnsi"/>
        </w:rPr>
        <w:t xml:space="preserve">In the open-label extension study (WA28118), elevation in ALT or AST </w:t>
      </w:r>
      <w:r w:rsidRPr="008D4276">
        <w:rPr>
          <w:rFonts w:asciiTheme="majorHAnsi" w:hAnsiTheme="majorHAnsi" w:hint="eastAsia"/>
        </w:rPr>
        <w:t>≥</w:t>
      </w:r>
      <w:r w:rsidRPr="008D4276">
        <w:rPr>
          <w:rFonts w:asciiTheme="majorHAnsi" w:hAnsiTheme="majorHAnsi"/>
        </w:rPr>
        <w:t xml:space="preserve"> 3 x ULN occurred in 12% and 4% of patients, respectively, in the IV </w:t>
      </w:r>
      <w:r w:rsidR="008C2A0F" w:rsidRPr="008D4276">
        <w:rPr>
          <w:rFonts w:asciiTheme="majorHAnsi" w:hAnsiTheme="majorHAnsi"/>
        </w:rPr>
        <w:t>tocilizumab</w:t>
      </w:r>
      <w:r w:rsidRPr="008D4276">
        <w:rPr>
          <w:rFonts w:asciiTheme="majorHAnsi" w:hAnsiTheme="majorHAnsi"/>
        </w:rPr>
        <w:t xml:space="preserve"> group.</w:t>
      </w:r>
    </w:p>
    <w:p w14:paraId="414B63F1" w14:textId="0F9C51A0" w:rsidR="00DA5D00" w:rsidRPr="008D4276" w:rsidRDefault="00DA5D00" w:rsidP="004D6592">
      <w:pPr>
        <w:rPr>
          <w:rFonts w:asciiTheme="majorHAnsi" w:hAnsiTheme="majorHAnsi"/>
        </w:rPr>
      </w:pPr>
      <w:r w:rsidRPr="008D4276">
        <w:rPr>
          <w:rFonts w:asciiTheme="majorHAnsi" w:hAnsiTheme="majorHAnsi"/>
        </w:rPr>
        <w:t xml:space="preserve">In the 52-week open-label trial (Study WA28118), elevation in ALT or AST </w:t>
      </w:r>
      <w:r w:rsidRPr="008D4276">
        <w:rPr>
          <w:rFonts w:asciiTheme="majorHAnsi" w:hAnsiTheme="majorHAnsi" w:hint="eastAsia"/>
        </w:rPr>
        <w:t>≥</w:t>
      </w:r>
      <w:r w:rsidRPr="008D4276">
        <w:rPr>
          <w:rFonts w:asciiTheme="majorHAnsi" w:hAnsiTheme="majorHAnsi"/>
        </w:rPr>
        <w:t xml:space="preserve"> 3 x ULN occurred in 9.8% and 4.0% patients treated with SC </w:t>
      </w:r>
      <w:r w:rsidR="008C2A0F" w:rsidRPr="008D4276">
        <w:rPr>
          <w:rFonts w:asciiTheme="majorHAnsi" w:hAnsiTheme="majorHAnsi"/>
        </w:rPr>
        <w:t>tocilizumab</w:t>
      </w:r>
      <w:r w:rsidRPr="008D4276">
        <w:rPr>
          <w:rFonts w:asciiTheme="majorHAnsi" w:hAnsiTheme="majorHAnsi"/>
        </w:rPr>
        <w:t>, respectively.</w:t>
      </w:r>
    </w:p>
    <w:p w14:paraId="0445F3CA" w14:textId="77777777" w:rsidR="00DA5D00" w:rsidRPr="008D4276" w:rsidRDefault="00DA5D00" w:rsidP="004D6592">
      <w:pPr>
        <w:pStyle w:val="Heading4"/>
        <w:rPr>
          <w:rFonts w:asciiTheme="majorHAnsi" w:hAnsiTheme="majorHAnsi"/>
        </w:rPr>
      </w:pPr>
      <w:bookmarkStart w:id="47" w:name="Elevations_in_lipid_parameters"/>
      <w:bookmarkEnd w:id="47"/>
      <w:r w:rsidRPr="008D4276">
        <w:rPr>
          <w:rFonts w:asciiTheme="majorHAnsi" w:hAnsiTheme="majorHAnsi"/>
        </w:rPr>
        <w:t>Elevations in lipid parameters</w:t>
      </w:r>
    </w:p>
    <w:p w14:paraId="57F55FEF"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 xml:space="preserve">Rheumatoid Arthritis </w:t>
      </w:r>
    </w:p>
    <w:p w14:paraId="0AA63AB1" w14:textId="6E15DE13" w:rsidR="00DA5D00" w:rsidRPr="008D4276" w:rsidRDefault="00DA5D00" w:rsidP="00DA5D00">
      <w:pPr>
        <w:pStyle w:val="Heading6"/>
        <w:rPr>
          <w:rFonts w:asciiTheme="majorHAnsi" w:hAnsiTheme="majorHAnsi" w:cs="Calibri"/>
          <w:lang w:val="en-AU"/>
        </w:rPr>
      </w:pPr>
      <w:r w:rsidRPr="008D4276">
        <w:rPr>
          <w:rFonts w:asciiTheme="majorHAnsi" w:hAnsiTheme="majorHAnsi" w:cs="Calibri"/>
          <w:lang w:val="en-AU"/>
        </w:rPr>
        <w:t>Intravenous Administration</w:t>
      </w:r>
    </w:p>
    <w:p w14:paraId="26265585" w14:textId="7AF41E45" w:rsidR="00DA5D00" w:rsidRPr="008D4276" w:rsidRDefault="00DA5D00" w:rsidP="004D6592">
      <w:pPr>
        <w:rPr>
          <w:rFonts w:asciiTheme="majorHAnsi" w:hAnsiTheme="majorHAnsi"/>
        </w:rPr>
      </w:pPr>
      <w:r w:rsidRPr="008D4276">
        <w:rPr>
          <w:rFonts w:asciiTheme="majorHAnsi" w:hAnsiTheme="majorHAnsi"/>
        </w:rPr>
        <w:t>During routine laboratory monitoring in the 6 month controlled clinical trials, increases of lipid parameters such as total cholesterol, triglycerides, LDL cholesterol, and/or HDL cholesterol have been reported commonly. Approximately 24% of patients receiving</w:t>
      </w:r>
      <w:r w:rsidR="008C2A0F" w:rsidRPr="008D4276">
        <w:rPr>
          <w:rFonts w:asciiTheme="majorHAnsi" w:hAnsiTheme="majorHAnsi"/>
        </w:rPr>
        <w:t xml:space="preserve"> tocilizumab</w:t>
      </w:r>
      <w:r w:rsidRPr="008D4276">
        <w:rPr>
          <w:rFonts w:asciiTheme="majorHAnsi" w:hAnsiTheme="majorHAnsi"/>
        </w:rPr>
        <w:t xml:space="preserve"> in clinical trials experienced sustained elevations in total cholesterol &gt; 6.2 mmol/L (240 mg/dL), with 15% experiencing a sustained increase in LDL to </w:t>
      </w:r>
      <w:r w:rsidRPr="008D4276">
        <w:rPr>
          <w:rFonts w:asciiTheme="majorHAnsi" w:hAnsiTheme="majorHAnsi" w:hint="eastAsia"/>
        </w:rPr>
        <w:t>≥</w:t>
      </w:r>
      <w:r w:rsidRPr="008D4276">
        <w:rPr>
          <w:rFonts w:asciiTheme="majorHAnsi" w:hAnsiTheme="majorHAnsi"/>
        </w:rPr>
        <w:t xml:space="preserve"> 4.1 mmol/L (160 mg/dL). Elevations in lipid parameters responded to treatment with lipid-lowering agents.</w:t>
      </w:r>
    </w:p>
    <w:p w14:paraId="27AB9227" w14:textId="77777777" w:rsidR="00DA5D00" w:rsidRPr="008D4276" w:rsidRDefault="00DA5D00" w:rsidP="004D6592">
      <w:pPr>
        <w:rPr>
          <w:rFonts w:asciiTheme="majorHAnsi" w:hAnsiTheme="majorHAnsi"/>
        </w:rPr>
      </w:pPr>
      <w:r w:rsidRPr="008D4276">
        <w:rPr>
          <w:rFonts w:asciiTheme="majorHAnsi" w:hAnsiTheme="majorHAnsi"/>
        </w:rPr>
        <w:t>In the all control and all exposure population, the pattern and incidence of elevations in lipid parameters remained consistent with what was seen in the 6 month controlled clinical trials.</w:t>
      </w:r>
    </w:p>
    <w:p w14:paraId="7C12BCE7" w14:textId="77777777" w:rsidR="00DA5D00" w:rsidRPr="008D4276" w:rsidRDefault="00DA5D00" w:rsidP="00DA5D00">
      <w:pPr>
        <w:pStyle w:val="Heading6"/>
        <w:rPr>
          <w:rFonts w:asciiTheme="majorHAnsi" w:hAnsiTheme="majorHAnsi" w:cs="Calibri"/>
          <w:lang w:val="en-AU"/>
        </w:rPr>
      </w:pPr>
      <w:r w:rsidRPr="008D4276">
        <w:rPr>
          <w:rFonts w:asciiTheme="majorHAnsi" w:hAnsiTheme="majorHAnsi" w:cs="Calibri"/>
          <w:lang w:val="en-AU"/>
        </w:rPr>
        <w:t>Subcutaneous Administration</w:t>
      </w:r>
    </w:p>
    <w:p w14:paraId="75E5E8D8" w14:textId="77777777"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6-month controlled periods of SUMMACTA and BREVACTA, 19% of patients on the SC weekly dose and 20% of patients dosed every other week experienced sustained elevations in total cholesterol above 6.2 mmol/L (240 mg/dL), with 9% and 10% experiencing a sustained increase in LDL to </w:t>
      </w:r>
      <w:r w:rsidRPr="008D4276">
        <w:rPr>
          <w:rFonts w:asciiTheme="majorHAnsi" w:hAnsiTheme="majorHAnsi" w:hint="eastAsia"/>
        </w:rPr>
        <w:t>≥</w:t>
      </w:r>
      <w:r w:rsidRPr="008D4276">
        <w:rPr>
          <w:rFonts w:asciiTheme="majorHAnsi" w:hAnsiTheme="majorHAnsi"/>
        </w:rPr>
        <w:t xml:space="preserve"> 4.1 mmol/L (160 mg/dL) on the SC weekly dose and every other week dose.</w:t>
      </w:r>
    </w:p>
    <w:p w14:paraId="10229B49" w14:textId="77777777" w:rsidR="00DA5D00" w:rsidRPr="008D4276" w:rsidRDefault="00DA5D00" w:rsidP="00DA5D00">
      <w:pPr>
        <w:pStyle w:val="Heading5"/>
        <w:rPr>
          <w:rFonts w:asciiTheme="majorHAnsi" w:hAnsiTheme="majorHAnsi" w:cs="Calibri"/>
        </w:rPr>
      </w:pPr>
      <w:bookmarkStart w:id="48" w:name="Giant_Cell_Arteritis"/>
      <w:bookmarkEnd w:id="48"/>
      <w:r w:rsidRPr="008D4276">
        <w:rPr>
          <w:rFonts w:asciiTheme="majorHAnsi" w:hAnsiTheme="majorHAnsi" w:cs="Calibri"/>
        </w:rPr>
        <w:t>Giant Cell Arteritis</w:t>
      </w:r>
    </w:p>
    <w:p w14:paraId="529E6669" w14:textId="0D816682"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w:t>
      </w:r>
      <w:r w:rsidR="008C2A0F" w:rsidRPr="008D4276">
        <w:rPr>
          <w:rFonts w:asciiTheme="majorHAnsi" w:hAnsiTheme="majorHAnsi"/>
        </w:rPr>
        <w:t>tocilizumab</w:t>
      </w:r>
      <w:r w:rsidRPr="008D4276">
        <w:rPr>
          <w:rFonts w:asciiTheme="majorHAnsi" w:hAnsiTheme="majorHAnsi"/>
        </w:rPr>
        <w:t xml:space="preserve"> 12-month double blind, placebo- controlled phase of Study X (GiACTA), 25% of patients experienced elevations in total cholesterol above 6.2 mmol/L (240 mg/dL), with 47% experiencing an increase in LDL to </w:t>
      </w:r>
      <w:r w:rsidRPr="008D4276">
        <w:rPr>
          <w:rFonts w:asciiTheme="majorHAnsi" w:hAnsiTheme="majorHAnsi" w:hint="eastAsia"/>
        </w:rPr>
        <w:t>≥</w:t>
      </w:r>
      <w:r w:rsidRPr="008D4276">
        <w:rPr>
          <w:rFonts w:asciiTheme="majorHAnsi" w:hAnsiTheme="majorHAnsi"/>
        </w:rPr>
        <w:t xml:space="preserve"> 4.1 mmol/L (160 mg/dL) in the </w:t>
      </w:r>
      <w:r w:rsidR="008C2A0F" w:rsidRPr="008D4276">
        <w:rPr>
          <w:rFonts w:asciiTheme="majorHAnsi" w:hAnsiTheme="majorHAnsi"/>
        </w:rPr>
        <w:t>tocilizumab</w:t>
      </w:r>
      <w:r w:rsidR="008C2A0F" w:rsidRPr="008D4276" w:rsidDel="008C2A0F">
        <w:rPr>
          <w:rFonts w:asciiTheme="majorHAnsi" w:hAnsiTheme="majorHAnsi"/>
        </w:rPr>
        <w:t xml:space="preserve"> </w:t>
      </w:r>
      <w:r w:rsidRPr="008D4276">
        <w:rPr>
          <w:rFonts w:asciiTheme="majorHAnsi" w:hAnsiTheme="majorHAnsi"/>
        </w:rPr>
        <w:t>weekly group.</w:t>
      </w:r>
    </w:p>
    <w:p w14:paraId="21CBA808"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lastRenderedPageBreak/>
        <w:t>Polyarticular Juvenile Idiopathic Arthritis</w:t>
      </w:r>
    </w:p>
    <w:p w14:paraId="1CFA053D" w14:textId="38464A6B"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IV </w:t>
      </w:r>
      <w:r w:rsidR="008C2A0F" w:rsidRPr="008D4276">
        <w:rPr>
          <w:rFonts w:asciiTheme="majorHAnsi" w:hAnsiTheme="majorHAnsi"/>
        </w:rPr>
        <w:t>tocilizumab</w:t>
      </w:r>
      <w:r w:rsidRPr="008D4276">
        <w:rPr>
          <w:rFonts w:asciiTheme="majorHAnsi" w:hAnsiTheme="majorHAnsi"/>
        </w:rPr>
        <w:t xml:space="preserve"> Study, 3.4 % and 10.4% of patients experienced a post-baseline elevation of their LDL-cholesterol value to </w:t>
      </w:r>
      <w:r w:rsidRPr="008D4276">
        <w:rPr>
          <w:rFonts w:asciiTheme="majorHAnsi" w:hAnsiTheme="majorHAnsi" w:hint="eastAsia"/>
        </w:rPr>
        <w:t>≥</w:t>
      </w:r>
      <w:r w:rsidRPr="008D4276">
        <w:rPr>
          <w:rFonts w:asciiTheme="majorHAnsi" w:hAnsiTheme="majorHAnsi"/>
        </w:rPr>
        <w:t xml:space="preserve"> 3.4 mmol/L (130 mg/dL) and total cholesterol value to </w:t>
      </w:r>
      <w:r w:rsidRPr="008D4276">
        <w:rPr>
          <w:rFonts w:asciiTheme="majorHAnsi" w:hAnsiTheme="majorHAnsi" w:hint="eastAsia"/>
        </w:rPr>
        <w:t>≥</w:t>
      </w:r>
      <w:r w:rsidRPr="008D4276">
        <w:rPr>
          <w:rFonts w:asciiTheme="majorHAnsi" w:hAnsiTheme="majorHAnsi"/>
        </w:rPr>
        <w:t xml:space="preserve"> 5.2 mmol/L (200 mg/dL) at any time during the study treatment, respectively. Of 185 patients assessed 19 patients experienced consecutive sustained elevation of their total cholesterol value </w:t>
      </w:r>
      <w:r w:rsidRPr="008D4276">
        <w:rPr>
          <w:rFonts w:asciiTheme="majorHAnsi" w:hAnsiTheme="majorHAnsi" w:hint="eastAsia"/>
        </w:rPr>
        <w:t>≥</w:t>
      </w:r>
      <w:r w:rsidRPr="008D4276">
        <w:rPr>
          <w:rFonts w:asciiTheme="majorHAnsi" w:hAnsiTheme="majorHAnsi"/>
        </w:rPr>
        <w:t xml:space="preserve"> 4.4 mmol/L (170 mg/dL) at any time during study treatment.</w:t>
      </w:r>
    </w:p>
    <w:p w14:paraId="3EA7AFD4" w14:textId="7BA1B665" w:rsidR="00DA5D00" w:rsidRPr="008D4276" w:rsidRDefault="00DA5D00" w:rsidP="004D6592">
      <w:pPr>
        <w:rPr>
          <w:rFonts w:asciiTheme="majorHAnsi" w:hAnsiTheme="majorHAnsi"/>
        </w:rPr>
      </w:pPr>
      <w:r w:rsidRPr="008D4276">
        <w:rPr>
          <w:rFonts w:asciiTheme="majorHAnsi" w:hAnsiTheme="majorHAnsi"/>
        </w:rPr>
        <w:t xml:space="preserve">In the SC </w:t>
      </w:r>
      <w:r w:rsidR="008C2A0F" w:rsidRPr="008D4276">
        <w:rPr>
          <w:rFonts w:asciiTheme="majorHAnsi" w:hAnsiTheme="majorHAnsi"/>
        </w:rPr>
        <w:t>tocilizumab</w:t>
      </w:r>
      <w:r w:rsidRPr="008D4276">
        <w:rPr>
          <w:rFonts w:asciiTheme="majorHAnsi" w:hAnsiTheme="majorHAnsi"/>
        </w:rPr>
        <w:t xml:space="preserve"> study, 14.3% and 12.8% of patients experienced a post-baseline elevation of their LDL-cholesterol value to </w:t>
      </w:r>
      <w:r w:rsidRPr="008D4276">
        <w:rPr>
          <w:rFonts w:asciiTheme="majorHAnsi" w:hAnsiTheme="majorHAnsi" w:hint="eastAsia"/>
        </w:rPr>
        <w:t>≥</w:t>
      </w:r>
      <w:r w:rsidRPr="008D4276">
        <w:rPr>
          <w:rFonts w:asciiTheme="majorHAnsi" w:hAnsiTheme="majorHAnsi"/>
        </w:rPr>
        <w:t xml:space="preserve"> 3.4 mmol/L (130 mg/dL) and total cholesterol value to </w:t>
      </w:r>
      <w:r w:rsidRPr="008D4276">
        <w:rPr>
          <w:rFonts w:asciiTheme="majorHAnsi" w:hAnsiTheme="majorHAnsi" w:hint="eastAsia"/>
        </w:rPr>
        <w:t>≥</w:t>
      </w:r>
      <w:r w:rsidRPr="008D4276">
        <w:rPr>
          <w:rFonts w:asciiTheme="majorHAnsi" w:hAnsiTheme="majorHAnsi"/>
        </w:rPr>
        <w:t>5.2 mmol/L (200</w:t>
      </w:r>
      <w:r w:rsidR="00EC5228" w:rsidRPr="008D4276">
        <w:rPr>
          <w:rFonts w:asciiTheme="majorHAnsi" w:hAnsiTheme="majorHAnsi"/>
        </w:rPr>
        <w:t> </w:t>
      </w:r>
      <w:r w:rsidRPr="008D4276">
        <w:rPr>
          <w:rFonts w:asciiTheme="majorHAnsi" w:hAnsiTheme="majorHAnsi"/>
        </w:rPr>
        <w:t>mg/dL) at any time during study treatment, respectively.</w:t>
      </w:r>
    </w:p>
    <w:p w14:paraId="42113A79" w14:textId="77777777" w:rsidR="00DA5D00" w:rsidRPr="008D4276" w:rsidRDefault="00DA5D00" w:rsidP="00DA5D00">
      <w:pPr>
        <w:pStyle w:val="Heading5"/>
        <w:rPr>
          <w:rFonts w:asciiTheme="majorHAnsi" w:hAnsiTheme="majorHAnsi" w:cs="Calibri"/>
        </w:rPr>
      </w:pPr>
      <w:r w:rsidRPr="008D4276">
        <w:rPr>
          <w:rFonts w:asciiTheme="majorHAnsi" w:hAnsiTheme="majorHAnsi" w:cs="Calibri"/>
        </w:rPr>
        <w:t>Systemic Juvenile Idiopathic Arthritis</w:t>
      </w:r>
    </w:p>
    <w:p w14:paraId="29FD015C" w14:textId="13644223" w:rsidR="00DA5D00" w:rsidRPr="008D4276" w:rsidRDefault="00DA5D00" w:rsidP="004D6592">
      <w:pPr>
        <w:rPr>
          <w:rFonts w:asciiTheme="majorHAnsi" w:hAnsiTheme="majorHAnsi"/>
        </w:rPr>
      </w:pPr>
      <w:r w:rsidRPr="008D4276">
        <w:rPr>
          <w:rFonts w:asciiTheme="majorHAnsi" w:hAnsiTheme="majorHAnsi"/>
        </w:rPr>
        <w:t xml:space="preserve">During routine laboratory monitoring in the 12 week controlled trial (Study WA18221), 13.4% and 33.3% of patients experienced a post-baseline elevation of their LDL-cholesterol value to </w:t>
      </w:r>
      <w:r w:rsidRPr="008D4276">
        <w:rPr>
          <w:rFonts w:asciiTheme="majorHAnsi" w:hAnsiTheme="majorHAnsi" w:hint="eastAsia"/>
        </w:rPr>
        <w:t>≥</w:t>
      </w:r>
      <w:r w:rsidRPr="008D4276">
        <w:rPr>
          <w:rFonts w:asciiTheme="majorHAnsi" w:hAnsiTheme="majorHAnsi"/>
        </w:rPr>
        <w:t xml:space="preserve"> 3.4 mmol/L (130 mg/dL) and total cholesterol value to </w:t>
      </w:r>
      <w:r w:rsidRPr="008D4276">
        <w:rPr>
          <w:rFonts w:asciiTheme="majorHAnsi" w:hAnsiTheme="majorHAnsi" w:hint="eastAsia"/>
        </w:rPr>
        <w:t>≥</w:t>
      </w:r>
      <w:r w:rsidRPr="008D4276">
        <w:rPr>
          <w:rFonts w:asciiTheme="majorHAnsi" w:hAnsiTheme="majorHAnsi"/>
        </w:rPr>
        <w:t xml:space="preserve"> 5.2 mmol/L (200 mg/dL), respectively.</w:t>
      </w:r>
    </w:p>
    <w:p w14:paraId="6A29F23F" w14:textId="77777777" w:rsidR="00DA5D00" w:rsidRPr="008D4276" w:rsidRDefault="00DA5D00" w:rsidP="004D6592">
      <w:pPr>
        <w:rPr>
          <w:rFonts w:asciiTheme="majorHAnsi" w:hAnsiTheme="majorHAnsi"/>
        </w:rPr>
      </w:pPr>
      <w:r w:rsidRPr="008D4276">
        <w:rPr>
          <w:rFonts w:asciiTheme="majorHAnsi" w:hAnsiTheme="majorHAnsi"/>
        </w:rPr>
        <w:t xml:space="preserve">In the open-label extension study (WA18221). 13.2% and 27.7% of patients experienced a post-baseline elevation of their LDL-cholesterol value to </w:t>
      </w:r>
      <w:r w:rsidRPr="008D4276">
        <w:rPr>
          <w:rFonts w:asciiTheme="majorHAnsi" w:hAnsiTheme="majorHAnsi" w:hint="eastAsia"/>
        </w:rPr>
        <w:t>≥</w:t>
      </w:r>
      <w:r w:rsidRPr="008D4276">
        <w:rPr>
          <w:rFonts w:asciiTheme="majorHAnsi" w:hAnsiTheme="majorHAnsi"/>
        </w:rPr>
        <w:t xml:space="preserve"> 3.4 mmol/L (130 mg/dL) and total cholesterol value to </w:t>
      </w:r>
      <w:r w:rsidRPr="008D4276">
        <w:rPr>
          <w:rFonts w:asciiTheme="majorHAnsi" w:hAnsiTheme="majorHAnsi" w:hint="eastAsia"/>
        </w:rPr>
        <w:t>≥</w:t>
      </w:r>
      <w:r w:rsidRPr="008D4276">
        <w:rPr>
          <w:rFonts w:asciiTheme="majorHAnsi" w:hAnsiTheme="majorHAnsi"/>
        </w:rPr>
        <w:t xml:space="preserve"> 5.2 mmol/L (200 mg/dL), respectively. Of 107 patients assessed 22 experienced consecutive sustained elevation of their total cholesterol value </w:t>
      </w:r>
      <w:r w:rsidRPr="008D4276">
        <w:rPr>
          <w:rFonts w:asciiTheme="majorHAnsi" w:hAnsiTheme="majorHAnsi" w:hint="eastAsia"/>
        </w:rPr>
        <w:t>≥</w:t>
      </w:r>
      <w:r w:rsidRPr="008D4276">
        <w:rPr>
          <w:rFonts w:asciiTheme="majorHAnsi" w:hAnsiTheme="majorHAnsi"/>
        </w:rPr>
        <w:t xml:space="preserve"> 4.4 mmol/L (170 mg/dL) at any time during study treatment.</w:t>
      </w:r>
    </w:p>
    <w:p w14:paraId="268DDEED" w14:textId="77777777" w:rsidR="00DA5D00" w:rsidRPr="008D4276" w:rsidRDefault="00DA5D00" w:rsidP="004D6592">
      <w:pPr>
        <w:rPr>
          <w:rFonts w:asciiTheme="majorHAnsi" w:hAnsiTheme="majorHAnsi"/>
        </w:rPr>
      </w:pPr>
      <w:r w:rsidRPr="008D4276">
        <w:rPr>
          <w:rFonts w:asciiTheme="majorHAnsi" w:hAnsiTheme="majorHAnsi"/>
        </w:rPr>
        <w:t xml:space="preserve">In the 52-week open-label trial (Study WA28118), 23.4% and 35.4% of patients experienced a post-baseline elevation of their LDL-cholesterol value to </w:t>
      </w:r>
      <w:r w:rsidRPr="008D4276">
        <w:rPr>
          <w:rFonts w:asciiTheme="majorHAnsi" w:hAnsiTheme="majorHAnsi" w:hint="eastAsia"/>
        </w:rPr>
        <w:t>≥</w:t>
      </w:r>
      <w:r w:rsidRPr="008D4276">
        <w:rPr>
          <w:rFonts w:asciiTheme="majorHAnsi" w:hAnsiTheme="majorHAnsi"/>
        </w:rPr>
        <w:t xml:space="preserve"> 3.4 mmol/L (130 mg/dL) and total cholesterol value to </w:t>
      </w:r>
      <w:r w:rsidRPr="008D4276">
        <w:rPr>
          <w:rFonts w:asciiTheme="majorHAnsi" w:hAnsiTheme="majorHAnsi" w:hint="eastAsia"/>
        </w:rPr>
        <w:t>≥</w:t>
      </w:r>
      <w:r w:rsidRPr="008D4276">
        <w:rPr>
          <w:rFonts w:asciiTheme="majorHAnsi" w:hAnsiTheme="majorHAnsi"/>
        </w:rPr>
        <w:t xml:space="preserve"> 5.2 mmol/L (200 mg/dL), respectively.</w:t>
      </w:r>
    </w:p>
    <w:p w14:paraId="2BADFEFE" w14:textId="77777777" w:rsidR="00DA5D00" w:rsidRPr="008D4276" w:rsidRDefault="00DA5D00" w:rsidP="004D6592">
      <w:pPr>
        <w:pStyle w:val="Heading4"/>
        <w:rPr>
          <w:rFonts w:asciiTheme="majorHAnsi" w:hAnsiTheme="majorHAnsi"/>
        </w:rPr>
      </w:pPr>
      <w:bookmarkStart w:id="49" w:name="Laboratory_abnormalities-COVID-19_(IV_ad"/>
      <w:bookmarkEnd w:id="49"/>
      <w:r w:rsidRPr="008D4276">
        <w:rPr>
          <w:rFonts w:asciiTheme="majorHAnsi" w:hAnsiTheme="majorHAnsi"/>
        </w:rPr>
        <w:t>Laboratory abnormalities-COVID-19 (IV administration)</w:t>
      </w:r>
    </w:p>
    <w:p w14:paraId="4D1C2865" w14:textId="61535CBB" w:rsidR="00DA5D00" w:rsidRPr="008D4276" w:rsidRDefault="00DA5D00" w:rsidP="004D6592">
      <w:pPr>
        <w:rPr>
          <w:rFonts w:asciiTheme="majorHAnsi" w:hAnsiTheme="majorHAnsi"/>
        </w:rPr>
      </w:pPr>
      <w:r w:rsidRPr="008D4276">
        <w:rPr>
          <w:rFonts w:asciiTheme="majorHAnsi" w:hAnsiTheme="majorHAnsi"/>
        </w:rPr>
        <w:t xml:space="preserve">The incidence of laboratory abnormalities was generally similar between patients with COVID-19 who received one or two doses of </w:t>
      </w:r>
      <w:r w:rsidR="008C2A0F" w:rsidRPr="008D4276">
        <w:rPr>
          <w:rFonts w:asciiTheme="majorHAnsi" w:hAnsiTheme="majorHAnsi"/>
        </w:rPr>
        <w:t>tocilizumab</w:t>
      </w:r>
      <w:r w:rsidRPr="008D4276">
        <w:rPr>
          <w:rFonts w:asciiTheme="majorHAnsi" w:hAnsiTheme="majorHAnsi"/>
        </w:rPr>
        <w:t xml:space="preserve"> compared with those who received placebo in studies EMPACTA, COVACTA and REMDACTA with few exceptions. Decreases in platelets and neutrophils and elevations of ALT and AST were more frequent among patients receiving </w:t>
      </w:r>
      <w:r w:rsidR="008C2A0F" w:rsidRPr="008D4276">
        <w:rPr>
          <w:rFonts w:asciiTheme="majorHAnsi" w:hAnsiTheme="majorHAnsi"/>
        </w:rPr>
        <w:t>tocilizumab</w:t>
      </w:r>
      <w:r w:rsidRPr="008D4276">
        <w:rPr>
          <w:rFonts w:asciiTheme="majorHAnsi" w:hAnsiTheme="majorHAnsi"/>
        </w:rPr>
        <w:t xml:space="preserve"> versus placebo.</w:t>
      </w:r>
    </w:p>
    <w:p w14:paraId="4C468787" w14:textId="77777777" w:rsidR="00DA5D00" w:rsidRPr="008D4276" w:rsidRDefault="00DA5D00" w:rsidP="00DA5D00">
      <w:pPr>
        <w:pStyle w:val="Heading3"/>
        <w:rPr>
          <w:rFonts w:cs="Calibri"/>
        </w:rPr>
      </w:pPr>
      <w:bookmarkStart w:id="50" w:name="Malignancies"/>
      <w:bookmarkEnd w:id="50"/>
      <w:r w:rsidRPr="008D4276">
        <w:rPr>
          <w:rFonts w:cs="Calibri"/>
        </w:rPr>
        <w:t>Malignancies</w:t>
      </w:r>
    </w:p>
    <w:p w14:paraId="48CA21E8" w14:textId="2390DBB3" w:rsidR="00DA5D00" w:rsidRPr="008D4276" w:rsidRDefault="00DA5D00" w:rsidP="004D6592">
      <w:pPr>
        <w:rPr>
          <w:rFonts w:asciiTheme="majorHAnsi" w:hAnsiTheme="majorHAnsi"/>
        </w:rPr>
      </w:pPr>
      <w:r w:rsidRPr="008D4276">
        <w:rPr>
          <w:rFonts w:asciiTheme="majorHAnsi" w:hAnsiTheme="majorHAnsi"/>
        </w:rPr>
        <w:t xml:space="preserve">The clinical data are insufficient to assess the potential incidence of malignancy following exposure to </w:t>
      </w:r>
      <w:r w:rsidR="008C2A0F" w:rsidRPr="008D4276">
        <w:rPr>
          <w:rFonts w:asciiTheme="majorHAnsi" w:hAnsiTheme="majorHAnsi"/>
        </w:rPr>
        <w:t>tocilizumab</w:t>
      </w:r>
      <w:r w:rsidRPr="008D4276">
        <w:rPr>
          <w:rFonts w:asciiTheme="majorHAnsi" w:hAnsiTheme="majorHAnsi"/>
        </w:rPr>
        <w:t xml:space="preserve">. Long-term safety evaluations are ongoing. Neoplasms Benign, Malignant, and Unspecified (including Cysts and Polyps): Melanoma and non-melanoma skin cancer (NMSC) have been reported in patients treated with </w:t>
      </w:r>
      <w:r w:rsidR="008C2A0F" w:rsidRPr="008D4276">
        <w:rPr>
          <w:rFonts w:asciiTheme="majorHAnsi" w:hAnsiTheme="majorHAnsi"/>
        </w:rPr>
        <w:t>tocilizumab</w:t>
      </w:r>
      <w:r w:rsidRPr="008D4276">
        <w:rPr>
          <w:rFonts w:asciiTheme="majorHAnsi" w:hAnsiTheme="majorHAnsi"/>
        </w:rPr>
        <w:t>.</w:t>
      </w:r>
    </w:p>
    <w:p w14:paraId="68969D26" w14:textId="489F1FB7" w:rsidR="008C2A0F" w:rsidRPr="008D4276" w:rsidRDefault="008C2A0F" w:rsidP="0037403A">
      <w:pPr>
        <w:pStyle w:val="Heading3"/>
        <w:rPr>
          <w:rFonts w:cs="Calibri"/>
        </w:rPr>
      </w:pPr>
      <w:r w:rsidRPr="008D4276">
        <w:rPr>
          <w:rFonts w:cs="Calibri"/>
        </w:rPr>
        <w:lastRenderedPageBreak/>
        <w:t>Comparability of ACTEMRA</w:t>
      </w:r>
      <w:r w:rsidRPr="008D4276">
        <w:rPr>
          <w:rFonts w:cs="Calibri"/>
          <w:vertAlign w:val="superscript"/>
        </w:rPr>
        <w:t>®</w:t>
      </w:r>
      <w:r w:rsidRPr="008D4276">
        <w:rPr>
          <w:rFonts w:cs="Calibri"/>
        </w:rPr>
        <w:t xml:space="preserve"> and AVTOZMA</w:t>
      </w:r>
      <w:r w:rsidRPr="008D4276">
        <w:rPr>
          <w:rFonts w:cs="Calibri"/>
          <w:vertAlign w:val="superscript"/>
        </w:rPr>
        <w:t>®</w:t>
      </w:r>
      <w:r w:rsidRPr="008D4276">
        <w:rPr>
          <w:rFonts w:cs="Calibri"/>
        </w:rPr>
        <w:t xml:space="preserve"> Adverse Events</w:t>
      </w:r>
    </w:p>
    <w:p w14:paraId="7322FFC4" w14:textId="329DB8EE" w:rsidR="00D14E8E" w:rsidRPr="008D4276" w:rsidRDefault="008C2A0F" w:rsidP="004D6592">
      <w:pPr>
        <w:rPr>
          <w:rFonts w:asciiTheme="majorHAnsi" w:hAnsiTheme="majorHAnsi"/>
        </w:rPr>
      </w:pPr>
      <w:r w:rsidRPr="008D4276">
        <w:rPr>
          <w:rFonts w:asciiTheme="majorHAnsi" w:hAnsiTheme="majorHAnsi"/>
        </w:rPr>
        <w:t xml:space="preserve">Overall, the safety experience in all CT-P47 studies was consistent with the known safety profile of tocilizumab. Two studies were conducted in healthy subjects and one in the target population of patients with moderate to severe active rheumatoid arthritis with treatment up to </w:t>
      </w:r>
      <w:r w:rsidR="009C7449">
        <w:rPr>
          <w:rFonts w:asciiTheme="majorHAnsi" w:hAnsiTheme="majorHAnsi" w:hint="eastAsia"/>
          <w:lang w:eastAsia="ko-KR"/>
        </w:rPr>
        <w:t>5</w:t>
      </w:r>
      <w:r w:rsidRPr="008D4276">
        <w:rPr>
          <w:rFonts w:asciiTheme="majorHAnsi" w:hAnsiTheme="majorHAnsi"/>
        </w:rPr>
        <w:t xml:space="preserve">2 weeks.  In all three studies  where CT-P47 and ACTEMRA were compared there were no notable differences between the treatment groups with regards to the proportion of subjects/patients with TEAEs, TESAEs, TEAEs leading to study drug discontinuation and AESIs. </w:t>
      </w:r>
    </w:p>
    <w:p w14:paraId="4E874071" w14:textId="7C37337E" w:rsidR="0018488B" w:rsidRPr="008D4276" w:rsidRDefault="0018488B" w:rsidP="0037403A">
      <w:pPr>
        <w:rPr>
          <w:rFonts w:asciiTheme="majorHAnsi" w:hAnsiTheme="majorHAnsi" w:cstheme="minorHAnsi"/>
          <w:iCs/>
        </w:rPr>
      </w:pPr>
      <w:r w:rsidRPr="008D4276">
        <w:rPr>
          <w:rFonts w:asciiTheme="majorHAnsi" w:hAnsiTheme="majorHAnsi" w:cstheme="minorHAnsi"/>
          <w:i/>
          <w:iCs/>
        </w:rPr>
        <w:t xml:space="preserve">CT-P47 3.1: Multiple-dose pivotal Phase 3 study in patients with Rheumatoid Arthritis </w:t>
      </w:r>
    </w:p>
    <w:p w14:paraId="35C00140" w14:textId="699CB20A" w:rsidR="0018488B" w:rsidRPr="00C827C7" w:rsidRDefault="0018488B" w:rsidP="004D6592">
      <w:pPr>
        <w:rPr>
          <w:rFonts w:ascii="Cambria" w:hAnsi="Cambria"/>
        </w:rPr>
      </w:pPr>
      <w:r w:rsidRPr="008D4276">
        <w:rPr>
          <w:rFonts w:asciiTheme="majorHAnsi" w:hAnsiTheme="majorHAnsi"/>
        </w:rPr>
        <w:t xml:space="preserve">The overall proportion of patients with at least 1 TEAE was comparable between the treatment groups, regardless of the study drug or switching treatment. The TEAEs occurring in at least 3% of subjects in any treatment group are presented by system organ class (SOC) and preferred term (PT) by treatment sequence in </w:t>
      </w:r>
      <w:r w:rsidRPr="008D4276">
        <w:rPr>
          <w:rFonts w:asciiTheme="majorHAnsi" w:hAnsiTheme="majorHAnsi"/>
        </w:rPr>
        <w:fldChar w:fldCharType="begin"/>
      </w:r>
      <w:r w:rsidRPr="008D4276">
        <w:rPr>
          <w:rFonts w:asciiTheme="majorHAnsi" w:hAnsiTheme="majorHAnsi"/>
        </w:rPr>
        <w:instrText xml:space="preserve"> REF _Ref153883311 \h </w:instrText>
      </w:r>
      <w:r w:rsidR="00361E46" w:rsidRPr="008D4276">
        <w:rPr>
          <w:rFonts w:asciiTheme="majorHAnsi" w:hAnsiTheme="majorHAnsi"/>
        </w:rPr>
        <w:instrText xml:space="preserve"> \* MERGEFORMAT </w:instrText>
      </w:r>
      <w:r w:rsidRPr="008D4276">
        <w:rPr>
          <w:rFonts w:asciiTheme="majorHAnsi" w:hAnsiTheme="majorHAnsi"/>
        </w:rPr>
      </w:r>
      <w:r w:rsidRPr="008D4276">
        <w:rPr>
          <w:rFonts w:asciiTheme="majorHAnsi" w:hAnsiTheme="majorHAnsi"/>
        </w:rPr>
        <w:fldChar w:fldCharType="separate"/>
      </w:r>
      <w:r w:rsidR="004C310F" w:rsidRPr="004C310F">
        <w:rPr>
          <w:rFonts w:asciiTheme="majorHAnsi" w:hAnsiTheme="majorHAnsi"/>
        </w:rPr>
        <w:t xml:space="preserve">Table </w:t>
      </w:r>
      <w:r w:rsidR="004C310F" w:rsidRPr="004C310F">
        <w:rPr>
          <w:rFonts w:asciiTheme="majorHAnsi" w:hAnsiTheme="majorHAnsi" w:hint="eastAsia"/>
          <w:lang w:eastAsia="ko-KR"/>
        </w:rPr>
        <w:t>4.</w:t>
      </w:r>
      <w:r w:rsidR="004C310F" w:rsidRPr="004C310F">
        <w:rPr>
          <w:rFonts w:asciiTheme="majorHAnsi" w:hAnsiTheme="majorHAnsi" w:hint="eastAsia"/>
        </w:rPr>
        <w:t xml:space="preserve"> </w:t>
      </w:r>
      <w:r w:rsidRPr="008D4276">
        <w:rPr>
          <w:rFonts w:asciiTheme="majorHAnsi" w:hAnsiTheme="majorHAnsi"/>
        </w:rPr>
        <w:fldChar w:fldCharType="end"/>
      </w:r>
      <w:r w:rsidRPr="008D4276">
        <w:rPr>
          <w:rFonts w:asciiTheme="majorHAnsi" w:hAnsiTheme="majorHAnsi"/>
        </w:rPr>
        <w:t>.</w:t>
      </w:r>
    </w:p>
    <w:p w14:paraId="7CE16045" w14:textId="6A604189" w:rsidR="00AD0947" w:rsidRPr="005C0005" w:rsidRDefault="006C7FDB" w:rsidP="008E0261">
      <w:pPr>
        <w:pStyle w:val="Caption"/>
        <w:rPr>
          <w:rFonts w:ascii="Cambria" w:hAnsi="Cambria"/>
        </w:rPr>
      </w:pPr>
      <w:bookmarkStart w:id="51" w:name="_Ref153883311"/>
      <w:r>
        <w:t xml:space="preserve">Table </w:t>
      </w:r>
      <w:r>
        <w:rPr>
          <w:rFonts w:hint="eastAsia"/>
          <w:lang w:eastAsia="ko-KR"/>
        </w:rPr>
        <w:t xml:space="preserve">4. </w:t>
      </w:r>
      <w:bookmarkEnd w:id="51"/>
      <w:r w:rsidR="00944253" w:rsidRPr="008E0261">
        <w:rPr>
          <w:rFonts w:ascii="Cambria" w:hAnsi="Cambria"/>
          <w:sz w:val="22"/>
          <w:szCs w:val="22"/>
        </w:rPr>
        <w:t xml:space="preserve">Summary of TEAEs (Reported for </w:t>
      </w:r>
      <w:r w:rsidR="00944253" w:rsidRPr="008E0261">
        <w:rPr>
          <w:rFonts w:ascii="Cambria" w:hAnsi="Cambria" w:hint="eastAsia"/>
          <w:sz w:val="22"/>
          <w:szCs w:val="22"/>
        </w:rPr>
        <w:t>≥</w:t>
      </w:r>
      <w:r w:rsidR="00944253" w:rsidRPr="008E0261">
        <w:rPr>
          <w:rFonts w:ascii="Cambria" w:hAnsi="Cambria"/>
          <w:sz w:val="22"/>
          <w:szCs w:val="22"/>
        </w:rPr>
        <w:t>3% of Patients by PT in Any Treatment Group) by SOC and PT in Study CT-P47 3.1 (Safety Set)</w:t>
      </w:r>
    </w:p>
    <w:tbl>
      <w:tblPr>
        <w:tblpPr w:leftFromText="142" w:rightFromText="142" w:vertAnchor="text" w:tblpY="1"/>
        <w:tblOverlap w:val="never"/>
        <w:tblW w:w="8895" w:type="dxa"/>
        <w:tblLayout w:type="fixed"/>
        <w:tblCellMar>
          <w:left w:w="0" w:type="dxa"/>
          <w:right w:w="0" w:type="dxa"/>
        </w:tblCellMar>
        <w:tblLook w:val="0000" w:firstRow="0" w:lastRow="0" w:firstColumn="0" w:lastColumn="0" w:noHBand="0" w:noVBand="0"/>
      </w:tblPr>
      <w:tblGrid>
        <w:gridCol w:w="2679"/>
        <w:gridCol w:w="1984"/>
        <w:gridCol w:w="1559"/>
        <w:gridCol w:w="1559"/>
        <w:gridCol w:w="1114"/>
      </w:tblGrid>
      <w:tr w:rsidR="00AD0947" w:rsidRPr="00944253" w14:paraId="254461F4" w14:textId="77777777" w:rsidTr="008E0261">
        <w:trPr>
          <w:trHeight w:val="800"/>
          <w:tblHeader/>
        </w:trPr>
        <w:tc>
          <w:tcPr>
            <w:tcW w:w="2679" w:type="dxa"/>
            <w:vMerge w:val="restart"/>
            <w:tcBorders>
              <w:top w:val="double" w:sz="4" w:space="0" w:color="auto"/>
              <w:left w:val="double" w:sz="4" w:space="0" w:color="auto"/>
              <w:bottom w:val="double" w:sz="4" w:space="0" w:color="auto"/>
              <w:right w:val="single" w:sz="4" w:space="0" w:color="auto"/>
            </w:tcBorders>
            <w:vAlign w:val="center"/>
          </w:tcPr>
          <w:p w14:paraId="642866BC" w14:textId="3A35DD94" w:rsidR="00AD0947" w:rsidRPr="00C827C7" w:rsidRDefault="00C32FB1" w:rsidP="008E0261">
            <w:pPr>
              <w:pStyle w:val="TableParagraph"/>
              <w:kinsoku w:val="0"/>
              <w:overflowPunct w:val="0"/>
              <w:spacing w:before="58"/>
              <w:ind w:right="1722"/>
              <w:rPr>
                <w:rFonts w:ascii="Cambria" w:hAnsi="Cambria"/>
                <w:spacing w:val="-5"/>
                <w:sz w:val="18"/>
                <w:szCs w:val="18"/>
              </w:rPr>
            </w:pPr>
            <w:r w:rsidRPr="00C32FB1">
              <w:rPr>
                <w:rFonts w:ascii="Cambria" w:hAnsi="Cambria"/>
                <w:b/>
                <w:bCs/>
                <w:spacing w:val="-5"/>
                <w:sz w:val="18"/>
                <w:szCs w:val="18"/>
              </w:rPr>
              <w:t>System Organ Class Preferred Term</w:t>
            </w:r>
          </w:p>
        </w:tc>
        <w:tc>
          <w:tcPr>
            <w:tcW w:w="6216" w:type="dxa"/>
            <w:gridSpan w:val="4"/>
            <w:tcBorders>
              <w:top w:val="double" w:sz="4" w:space="0" w:color="auto"/>
              <w:left w:val="single" w:sz="4" w:space="0" w:color="auto"/>
              <w:bottom w:val="single" w:sz="4" w:space="0" w:color="auto"/>
              <w:right w:val="double" w:sz="4" w:space="0" w:color="auto"/>
            </w:tcBorders>
            <w:vAlign w:val="center"/>
          </w:tcPr>
          <w:p w14:paraId="7CFA315B" w14:textId="77777777" w:rsidR="00AD0947" w:rsidRPr="00C827C7" w:rsidRDefault="00AD0947" w:rsidP="0037067F">
            <w:pPr>
              <w:pStyle w:val="TableParagraph"/>
              <w:kinsoku w:val="0"/>
              <w:overflowPunct w:val="0"/>
              <w:ind w:left="1447" w:right="1443" w:firstLine="1"/>
              <w:jc w:val="center"/>
              <w:rPr>
                <w:rFonts w:ascii="Cambria" w:hAnsi="Cambria"/>
                <w:b/>
                <w:sz w:val="18"/>
                <w:szCs w:val="18"/>
              </w:rPr>
            </w:pPr>
            <w:r w:rsidRPr="00C827C7">
              <w:rPr>
                <w:rFonts w:ascii="Cambria" w:hAnsi="Cambria"/>
                <w:b/>
                <w:sz w:val="18"/>
                <w:szCs w:val="18"/>
              </w:rPr>
              <w:t>Overall Period (up</w:t>
            </w:r>
            <w:r w:rsidRPr="00C827C7">
              <w:rPr>
                <w:rFonts w:ascii="Cambria" w:hAnsi="Cambria"/>
                <w:b/>
                <w:spacing w:val="-13"/>
                <w:sz w:val="18"/>
                <w:szCs w:val="18"/>
              </w:rPr>
              <w:t xml:space="preserve"> </w:t>
            </w:r>
            <w:r w:rsidRPr="00C827C7">
              <w:rPr>
                <w:rFonts w:ascii="Cambria" w:hAnsi="Cambria"/>
                <w:b/>
                <w:sz w:val="18"/>
                <w:szCs w:val="18"/>
              </w:rPr>
              <w:t>to</w:t>
            </w:r>
            <w:r w:rsidRPr="00C827C7">
              <w:rPr>
                <w:rFonts w:ascii="Cambria" w:hAnsi="Cambria"/>
                <w:b/>
                <w:spacing w:val="-12"/>
                <w:sz w:val="18"/>
                <w:szCs w:val="18"/>
              </w:rPr>
              <w:t xml:space="preserve"> </w:t>
            </w:r>
            <w:r w:rsidRPr="00C827C7">
              <w:rPr>
                <w:rFonts w:ascii="Cambria" w:hAnsi="Cambria"/>
                <w:b/>
                <w:sz w:val="18"/>
                <w:szCs w:val="18"/>
              </w:rPr>
              <w:t>Week</w:t>
            </w:r>
            <w:r w:rsidRPr="00C827C7">
              <w:rPr>
                <w:rFonts w:ascii="Cambria" w:hAnsi="Cambria"/>
                <w:b/>
                <w:spacing w:val="-11"/>
                <w:sz w:val="18"/>
                <w:szCs w:val="18"/>
              </w:rPr>
              <w:t xml:space="preserve"> </w:t>
            </w:r>
            <w:r w:rsidRPr="00C827C7">
              <w:rPr>
                <w:rFonts w:ascii="Cambria" w:hAnsi="Cambria"/>
                <w:b/>
                <w:spacing w:val="-11"/>
                <w:sz w:val="18"/>
                <w:szCs w:val="18"/>
                <w:lang w:eastAsia="ko-KR"/>
              </w:rPr>
              <w:t>52</w:t>
            </w:r>
            <w:r w:rsidRPr="00C827C7">
              <w:rPr>
                <w:rFonts w:ascii="Cambria" w:hAnsi="Cambria"/>
                <w:b/>
                <w:sz w:val="18"/>
                <w:szCs w:val="18"/>
              </w:rPr>
              <w:t>)</w:t>
            </w:r>
          </w:p>
        </w:tc>
      </w:tr>
      <w:tr w:rsidR="00AD0947" w:rsidRPr="00944253" w14:paraId="163E3AEC" w14:textId="77777777" w:rsidTr="008E0261">
        <w:trPr>
          <w:trHeight w:val="510"/>
          <w:tblHeader/>
        </w:trPr>
        <w:tc>
          <w:tcPr>
            <w:tcW w:w="2679" w:type="dxa"/>
            <w:vMerge/>
            <w:tcBorders>
              <w:top w:val="double" w:sz="4" w:space="0" w:color="auto"/>
              <w:left w:val="double" w:sz="4" w:space="0" w:color="auto"/>
              <w:bottom w:val="double" w:sz="4" w:space="0" w:color="auto"/>
              <w:right w:val="single" w:sz="4" w:space="0" w:color="auto"/>
            </w:tcBorders>
            <w:vAlign w:val="center"/>
          </w:tcPr>
          <w:p w14:paraId="4B6E84B6" w14:textId="77777777" w:rsidR="00AD0947" w:rsidRPr="00C827C7" w:rsidRDefault="00AD0947" w:rsidP="0037067F">
            <w:pPr>
              <w:pStyle w:val="BodyText"/>
              <w:kinsoku w:val="0"/>
              <w:overflowPunct w:val="0"/>
              <w:spacing w:after="1"/>
              <w:rPr>
                <w:rFonts w:ascii="Cambria" w:hAnsi="Cambria"/>
                <w:b/>
                <w:bCs/>
                <w:sz w:val="18"/>
                <w:szCs w:val="18"/>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596FD656" w14:textId="77777777" w:rsidR="00971F04" w:rsidRDefault="00AD0947" w:rsidP="0037067F">
            <w:pPr>
              <w:pStyle w:val="TableParagraph"/>
              <w:kinsoku w:val="0"/>
              <w:overflowPunct w:val="0"/>
              <w:ind w:left="148" w:right="151" w:firstLine="21"/>
              <w:jc w:val="center"/>
              <w:rPr>
                <w:rFonts w:ascii="Cambria" w:hAnsi="Cambria"/>
                <w:b/>
                <w:spacing w:val="-2"/>
                <w:sz w:val="18"/>
                <w:szCs w:val="18"/>
              </w:rPr>
            </w:pPr>
            <w:r w:rsidRPr="00C827C7">
              <w:rPr>
                <w:rFonts w:ascii="Cambria" w:hAnsi="Cambria"/>
                <w:b/>
                <w:spacing w:val="-2"/>
                <w:sz w:val="18"/>
                <w:szCs w:val="18"/>
              </w:rPr>
              <w:t>CT-P47</w:t>
            </w:r>
          </w:p>
          <w:p w14:paraId="69E6275C" w14:textId="09BF0308" w:rsidR="00AD0947" w:rsidRPr="00C827C7" w:rsidRDefault="00971F04" w:rsidP="00971F04">
            <w:pPr>
              <w:pStyle w:val="TableParagraph"/>
              <w:kinsoku w:val="0"/>
              <w:overflowPunct w:val="0"/>
              <w:ind w:right="151"/>
              <w:rPr>
                <w:rFonts w:ascii="Cambria" w:hAnsi="Cambria"/>
                <w:b/>
                <w:spacing w:val="-2"/>
                <w:sz w:val="18"/>
                <w:szCs w:val="18"/>
              </w:rPr>
            </w:pPr>
            <w:r>
              <w:rPr>
                <w:rFonts w:ascii="Cambria" w:hAnsi="Cambria"/>
                <w:b/>
                <w:spacing w:val="-2"/>
                <w:sz w:val="18"/>
                <w:szCs w:val="18"/>
              </w:rPr>
              <w:t>(AVTOZMA)</w:t>
            </w:r>
            <w:r w:rsidR="00AD0947" w:rsidRPr="00C827C7">
              <w:rPr>
                <w:rFonts w:ascii="Cambria" w:hAnsi="Cambria"/>
                <w:b/>
                <w:spacing w:val="-2"/>
                <w:sz w:val="18"/>
                <w:szCs w:val="18"/>
              </w:rPr>
              <w:t>(N=234)</w:t>
            </w:r>
          </w:p>
        </w:tc>
        <w:tc>
          <w:tcPr>
            <w:tcW w:w="4232" w:type="dxa"/>
            <w:gridSpan w:val="3"/>
            <w:tcBorders>
              <w:top w:val="single" w:sz="4" w:space="0" w:color="auto"/>
              <w:left w:val="single" w:sz="4" w:space="0" w:color="auto"/>
              <w:bottom w:val="single" w:sz="4" w:space="0" w:color="auto"/>
              <w:right w:val="double" w:sz="4" w:space="0" w:color="auto"/>
            </w:tcBorders>
            <w:vAlign w:val="center"/>
          </w:tcPr>
          <w:p w14:paraId="3D80EE2E" w14:textId="77777777" w:rsidR="00AD0947" w:rsidRPr="00C827C7" w:rsidRDefault="00AD0947" w:rsidP="0037067F">
            <w:pPr>
              <w:pStyle w:val="TableParagraph"/>
              <w:kinsoku w:val="0"/>
              <w:overflowPunct w:val="0"/>
              <w:jc w:val="center"/>
              <w:rPr>
                <w:rFonts w:ascii="Cambria" w:hAnsi="Cambria"/>
                <w:b/>
                <w:spacing w:val="-2"/>
                <w:sz w:val="18"/>
                <w:szCs w:val="18"/>
              </w:rPr>
            </w:pPr>
            <w:r w:rsidRPr="00C827C7">
              <w:rPr>
                <w:rFonts w:ascii="Cambria" w:hAnsi="Cambria"/>
                <w:b/>
                <w:spacing w:val="-2"/>
                <w:sz w:val="18"/>
                <w:szCs w:val="18"/>
              </w:rPr>
              <w:t>RoActemra</w:t>
            </w:r>
          </w:p>
        </w:tc>
      </w:tr>
      <w:tr w:rsidR="00AD0947" w:rsidRPr="00944253" w14:paraId="68A7FA1C" w14:textId="77777777" w:rsidTr="008E0261">
        <w:trPr>
          <w:trHeight w:val="633"/>
          <w:tblHeader/>
        </w:trPr>
        <w:tc>
          <w:tcPr>
            <w:tcW w:w="2679" w:type="dxa"/>
            <w:vMerge/>
            <w:tcBorders>
              <w:top w:val="double" w:sz="4" w:space="0" w:color="auto"/>
              <w:left w:val="double" w:sz="4" w:space="0" w:color="auto"/>
              <w:bottom w:val="double" w:sz="4" w:space="0" w:color="auto"/>
              <w:right w:val="single" w:sz="4" w:space="0" w:color="auto"/>
            </w:tcBorders>
            <w:vAlign w:val="center"/>
          </w:tcPr>
          <w:p w14:paraId="6C672BE6" w14:textId="77777777" w:rsidR="00AD0947" w:rsidRPr="00C827C7" w:rsidRDefault="00AD0947" w:rsidP="0037067F">
            <w:pPr>
              <w:pStyle w:val="BodyText"/>
              <w:kinsoku w:val="0"/>
              <w:overflowPunct w:val="0"/>
              <w:spacing w:before="3" w:after="1"/>
              <w:rPr>
                <w:rFonts w:ascii="Cambria" w:hAnsi="Cambria"/>
                <w:b/>
                <w:bCs/>
                <w:sz w:val="18"/>
                <w:szCs w:val="18"/>
              </w:rPr>
            </w:pPr>
          </w:p>
        </w:tc>
        <w:tc>
          <w:tcPr>
            <w:tcW w:w="1984" w:type="dxa"/>
            <w:vMerge/>
            <w:tcBorders>
              <w:top w:val="single" w:sz="4" w:space="0" w:color="auto"/>
              <w:left w:val="single" w:sz="4" w:space="0" w:color="auto"/>
              <w:bottom w:val="double" w:sz="4" w:space="0" w:color="auto"/>
              <w:right w:val="single" w:sz="4" w:space="0" w:color="auto"/>
            </w:tcBorders>
            <w:vAlign w:val="center"/>
          </w:tcPr>
          <w:p w14:paraId="4D0C1149" w14:textId="77777777" w:rsidR="00AD0947" w:rsidRPr="00C827C7" w:rsidRDefault="00AD0947" w:rsidP="0037067F">
            <w:pPr>
              <w:pStyle w:val="BodyText"/>
              <w:kinsoku w:val="0"/>
              <w:overflowPunct w:val="0"/>
              <w:spacing w:before="3" w:after="1"/>
              <w:jc w:val="center"/>
              <w:rPr>
                <w:rFonts w:ascii="Cambria" w:hAnsi="Cambria"/>
                <w:b/>
                <w:sz w:val="18"/>
                <w:szCs w:val="18"/>
              </w:rPr>
            </w:pPr>
          </w:p>
        </w:tc>
        <w:tc>
          <w:tcPr>
            <w:tcW w:w="1559" w:type="dxa"/>
            <w:tcBorders>
              <w:top w:val="single" w:sz="4" w:space="0" w:color="auto"/>
              <w:left w:val="single" w:sz="4" w:space="0" w:color="auto"/>
              <w:bottom w:val="double" w:sz="4" w:space="0" w:color="auto"/>
              <w:right w:val="single" w:sz="4" w:space="0" w:color="auto"/>
            </w:tcBorders>
            <w:vAlign w:val="center"/>
          </w:tcPr>
          <w:p w14:paraId="63000BBD" w14:textId="77777777" w:rsidR="00AD0947" w:rsidRPr="00C827C7" w:rsidRDefault="00AD0947" w:rsidP="0037067F">
            <w:pPr>
              <w:pStyle w:val="TableParagraph"/>
              <w:kinsoku w:val="0"/>
              <w:overflowPunct w:val="0"/>
              <w:ind w:left="174" w:right="175" w:firstLine="23"/>
              <w:jc w:val="center"/>
              <w:rPr>
                <w:rFonts w:ascii="Cambria" w:hAnsi="Cambria"/>
                <w:b/>
                <w:spacing w:val="-2"/>
                <w:sz w:val="18"/>
                <w:szCs w:val="18"/>
              </w:rPr>
            </w:pPr>
            <w:r w:rsidRPr="00C827C7">
              <w:rPr>
                <w:rFonts w:ascii="Cambria" w:hAnsi="Cambria"/>
                <w:b/>
                <w:spacing w:val="-2"/>
                <w:sz w:val="18"/>
                <w:szCs w:val="18"/>
              </w:rPr>
              <w:t>Overall (N=237)</w:t>
            </w:r>
          </w:p>
        </w:tc>
        <w:tc>
          <w:tcPr>
            <w:tcW w:w="1559" w:type="dxa"/>
            <w:tcBorders>
              <w:top w:val="single" w:sz="4" w:space="0" w:color="auto"/>
              <w:left w:val="single" w:sz="4" w:space="0" w:color="auto"/>
              <w:bottom w:val="double" w:sz="4" w:space="0" w:color="auto"/>
              <w:right w:val="single" w:sz="4" w:space="0" w:color="auto"/>
            </w:tcBorders>
            <w:vAlign w:val="center"/>
          </w:tcPr>
          <w:p w14:paraId="13CF32EC" w14:textId="77777777" w:rsidR="00AD0947" w:rsidRPr="00C827C7" w:rsidRDefault="00AD0947" w:rsidP="0037067F">
            <w:pPr>
              <w:pStyle w:val="TableParagraph"/>
              <w:kinsoku w:val="0"/>
              <w:overflowPunct w:val="0"/>
              <w:spacing w:before="50"/>
              <w:ind w:right="5"/>
              <w:jc w:val="center"/>
              <w:rPr>
                <w:rFonts w:ascii="Cambria" w:hAnsi="Cambria"/>
                <w:b/>
                <w:spacing w:val="-2"/>
                <w:w w:val="90"/>
                <w:sz w:val="18"/>
                <w:szCs w:val="18"/>
              </w:rPr>
            </w:pPr>
            <w:r w:rsidRPr="00C827C7">
              <w:rPr>
                <w:rFonts w:ascii="Cambria" w:hAnsi="Cambria"/>
                <w:b/>
                <w:spacing w:val="-2"/>
                <w:sz w:val="18"/>
                <w:szCs w:val="18"/>
              </w:rPr>
              <w:t xml:space="preserve">RoActemra </w:t>
            </w:r>
            <w:r w:rsidRPr="00C827C7">
              <w:rPr>
                <w:rFonts w:ascii="Cambria" w:hAnsi="Cambria"/>
                <w:b/>
                <w:spacing w:val="-2"/>
                <w:w w:val="90"/>
                <w:sz w:val="18"/>
                <w:szCs w:val="18"/>
              </w:rPr>
              <w:t xml:space="preserve">Maintenance </w:t>
            </w:r>
          </w:p>
          <w:p w14:paraId="0EE1325F" w14:textId="77777777" w:rsidR="00AD0947" w:rsidRPr="00C827C7" w:rsidRDefault="00AD0947" w:rsidP="0037067F">
            <w:pPr>
              <w:pStyle w:val="TableParagraph"/>
              <w:kinsoku w:val="0"/>
              <w:overflowPunct w:val="0"/>
              <w:spacing w:before="50"/>
              <w:ind w:right="5"/>
              <w:jc w:val="center"/>
              <w:rPr>
                <w:rFonts w:ascii="Cambria" w:hAnsi="Cambria"/>
                <w:b/>
                <w:spacing w:val="-2"/>
                <w:sz w:val="18"/>
                <w:szCs w:val="18"/>
              </w:rPr>
            </w:pPr>
            <w:r w:rsidRPr="00C827C7">
              <w:rPr>
                <w:rFonts w:ascii="Cambria" w:hAnsi="Cambria"/>
                <w:b/>
                <w:spacing w:val="-2"/>
                <w:sz w:val="18"/>
                <w:szCs w:val="18"/>
              </w:rPr>
              <w:t>(N=109)</w:t>
            </w:r>
          </w:p>
        </w:tc>
        <w:tc>
          <w:tcPr>
            <w:tcW w:w="1114" w:type="dxa"/>
            <w:tcBorders>
              <w:top w:val="single" w:sz="4" w:space="0" w:color="auto"/>
              <w:left w:val="single" w:sz="4" w:space="0" w:color="auto"/>
              <w:bottom w:val="double" w:sz="4" w:space="0" w:color="auto"/>
              <w:right w:val="double" w:sz="4" w:space="0" w:color="auto"/>
            </w:tcBorders>
            <w:vAlign w:val="center"/>
          </w:tcPr>
          <w:p w14:paraId="7056278C" w14:textId="77777777" w:rsidR="00AD0947" w:rsidRPr="00C827C7" w:rsidRDefault="00AD0947" w:rsidP="0037067F">
            <w:pPr>
              <w:pStyle w:val="TableParagraph"/>
              <w:kinsoku w:val="0"/>
              <w:overflowPunct w:val="0"/>
              <w:spacing w:before="50"/>
              <w:ind w:left="48" w:right="51"/>
              <w:jc w:val="center"/>
              <w:rPr>
                <w:rFonts w:ascii="Cambria" w:hAnsi="Cambria"/>
                <w:b/>
                <w:spacing w:val="-6"/>
                <w:sz w:val="18"/>
                <w:szCs w:val="18"/>
              </w:rPr>
            </w:pPr>
            <w:r w:rsidRPr="00C827C7">
              <w:rPr>
                <w:rFonts w:ascii="Cambria" w:hAnsi="Cambria"/>
                <w:b/>
                <w:spacing w:val="-2"/>
                <w:sz w:val="18"/>
                <w:szCs w:val="18"/>
              </w:rPr>
              <w:t xml:space="preserve">Switched </w:t>
            </w:r>
            <w:r w:rsidRPr="00C827C7">
              <w:rPr>
                <w:rFonts w:ascii="Cambria" w:hAnsi="Cambria"/>
                <w:b/>
                <w:spacing w:val="-6"/>
                <w:sz w:val="18"/>
                <w:szCs w:val="18"/>
              </w:rPr>
              <w:t>to</w:t>
            </w:r>
          </w:p>
          <w:p w14:paraId="3438192D" w14:textId="2FF32A42" w:rsidR="00AD0947" w:rsidRPr="00C827C7" w:rsidRDefault="00AD0947" w:rsidP="0037067F">
            <w:pPr>
              <w:pStyle w:val="TableParagraph"/>
              <w:kinsoku w:val="0"/>
              <w:overflowPunct w:val="0"/>
              <w:spacing w:before="1"/>
              <w:ind w:left="146" w:right="148" w:firstLine="2"/>
              <w:jc w:val="center"/>
              <w:rPr>
                <w:rFonts w:ascii="Cambria" w:hAnsi="Cambria"/>
                <w:b/>
                <w:spacing w:val="-2"/>
                <w:sz w:val="18"/>
                <w:szCs w:val="18"/>
              </w:rPr>
            </w:pPr>
            <w:r w:rsidRPr="00C827C7">
              <w:rPr>
                <w:rFonts w:ascii="Cambria" w:hAnsi="Cambria"/>
                <w:b/>
                <w:spacing w:val="-2"/>
                <w:sz w:val="18"/>
                <w:szCs w:val="18"/>
              </w:rPr>
              <w:t xml:space="preserve">CT-P47 </w:t>
            </w:r>
            <w:r w:rsidR="00971F04">
              <w:rPr>
                <w:rFonts w:ascii="Cambria" w:hAnsi="Cambria"/>
                <w:b/>
                <w:spacing w:val="-2"/>
                <w:sz w:val="18"/>
                <w:szCs w:val="18"/>
              </w:rPr>
              <w:t>(AVTOZMA)</w:t>
            </w:r>
          </w:p>
          <w:p w14:paraId="672A9BCD" w14:textId="77777777" w:rsidR="00AD0947" w:rsidRPr="00C827C7" w:rsidRDefault="00AD0947" w:rsidP="0037067F">
            <w:pPr>
              <w:pStyle w:val="TableParagraph"/>
              <w:kinsoku w:val="0"/>
              <w:overflowPunct w:val="0"/>
              <w:spacing w:before="1"/>
              <w:ind w:left="146" w:right="148" w:firstLine="2"/>
              <w:jc w:val="center"/>
              <w:rPr>
                <w:rFonts w:ascii="Cambria" w:hAnsi="Cambria"/>
                <w:b/>
                <w:spacing w:val="-4"/>
                <w:sz w:val="18"/>
                <w:szCs w:val="18"/>
              </w:rPr>
            </w:pPr>
            <w:r w:rsidRPr="00C827C7">
              <w:rPr>
                <w:rFonts w:ascii="Cambria" w:hAnsi="Cambria"/>
                <w:b/>
                <w:spacing w:val="-4"/>
                <w:sz w:val="18"/>
                <w:szCs w:val="18"/>
              </w:rPr>
              <w:t>(N=110)</w:t>
            </w:r>
          </w:p>
        </w:tc>
      </w:tr>
      <w:tr w:rsidR="00AD0947" w:rsidRPr="00944253" w14:paraId="3F220891" w14:textId="77777777" w:rsidTr="008E0261">
        <w:trPr>
          <w:trHeight w:val="53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E5CD0" w14:textId="77777777" w:rsidR="00AD0947" w:rsidRPr="00C827C7" w:rsidRDefault="00AD0947" w:rsidP="0037067F">
            <w:pPr>
              <w:pStyle w:val="TableParagraph"/>
              <w:kinsoku w:val="0"/>
              <w:overflowPunct w:val="0"/>
              <w:ind w:left="107" w:right="400"/>
              <w:rPr>
                <w:rFonts w:ascii="Cambria" w:hAnsi="Cambria"/>
                <w:b/>
                <w:bCs/>
                <w:sz w:val="18"/>
                <w:szCs w:val="18"/>
              </w:rPr>
            </w:pPr>
            <w:r w:rsidRPr="00C827C7">
              <w:rPr>
                <w:rFonts w:ascii="Cambria" w:hAnsi="Cambria"/>
                <w:b/>
                <w:bCs/>
                <w:sz w:val="18"/>
                <w:szCs w:val="18"/>
              </w:rPr>
              <w:t>Blood</w:t>
            </w:r>
            <w:r w:rsidRPr="00C827C7">
              <w:rPr>
                <w:rFonts w:ascii="Cambria" w:hAnsi="Cambria"/>
                <w:b/>
                <w:bCs/>
                <w:spacing w:val="-13"/>
                <w:sz w:val="18"/>
                <w:szCs w:val="18"/>
              </w:rPr>
              <w:t xml:space="preserve"> </w:t>
            </w:r>
            <w:r w:rsidRPr="00C827C7">
              <w:rPr>
                <w:rFonts w:ascii="Cambria" w:hAnsi="Cambria"/>
                <w:b/>
                <w:bCs/>
                <w:sz w:val="18"/>
                <w:szCs w:val="18"/>
              </w:rPr>
              <w:t>and</w:t>
            </w:r>
            <w:r w:rsidRPr="00C827C7">
              <w:rPr>
                <w:rFonts w:ascii="Cambria" w:hAnsi="Cambria"/>
                <w:b/>
                <w:bCs/>
                <w:spacing w:val="-12"/>
                <w:sz w:val="18"/>
                <w:szCs w:val="18"/>
              </w:rPr>
              <w:t xml:space="preserve"> </w:t>
            </w:r>
            <w:r w:rsidRPr="00C827C7">
              <w:rPr>
                <w:rFonts w:ascii="Cambria" w:hAnsi="Cambria"/>
                <w:b/>
                <w:bCs/>
                <w:sz w:val="18"/>
                <w:szCs w:val="18"/>
              </w:rPr>
              <w:t>lymphatic system 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B75AC" w14:textId="77777777" w:rsidR="00AD0947" w:rsidRPr="00C827C7" w:rsidRDefault="00AD0947" w:rsidP="0037067F">
            <w:pPr>
              <w:pStyle w:val="TableParagraph"/>
              <w:kinsoku w:val="0"/>
              <w:overflowPunct w:val="0"/>
              <w:ind w:left="5" w:right="6"/>
              <w:jc w:val="center"/>
              <w:rPr>
                <w:rFonts w:ascii="Cambria" w:hAnsi="Cambria"/>
                <w:b/>
                <w:bCs/>
                <w:spacing w:val="-2"/>
                <w:sz w:val="18"/>
                <w:szCs w:val="18"/>
                <w:lang w:eastAsia="ko-KR"/>
              </w:rPr>
            </w:pPr>
            <w:r w:rsidRPr="00C827C7">
              <w:rPr>
                <w:rFonts w:ascii="Cambria" w:hAnsi="Cambria"/>
                <w:b/>
                <w:bCs/>
                <w:spacing w:val="-2"/>
                <w:sz w:val="18"/>
                <w:szCs w:val="18"/>
                <w:lang w:eastAsia="ko-KR"/>
              </w:rPr>
              <w:t>45 (19.2)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E26B7" w14:textId="77777777" w:rsidR="00AD0947" w:rsidRPr="00C827C7" w:rsidRDefault="00AD0947" w:rsidP="0037067F">
            <w:pPr>
              <w:pStyle w:val="TableParagraph"/>
              <w:kinsoku w:val="0"/>
              <w:overflowPunct w:val="0"/>
              <w:ind w:left="4" w:right="5"/>
              <w:jc w:val="center"/>
              <w:rPr>
                <w:rFonts w:ascii="Cambria" w:hAnsi="Cambria"/>
                <w:b/>
                <w:bCs/>
                <w:spacing w:val="-2"/>
                <w:sz w:val="18"/>
                <w:szCs w:val="18"/>
                <w:lang w:eastAsia="ko-KR"/>
              </w:rPr>
            </w:pPr>
            <w:r w:rsidRPr="00C827C7">
              <w:rPr>
                <w:rFonts w:ascii="Cambria" w:hAnsi="Cambria"/>
                <w:b/>
                <w:bCs/>
                <w:spacing w:val="-2"/>
                <w:sz w:val="18"/>
                <w:szCs w:val="18"/>
                <w:lang w:eastAsia="ko-KR"/>
              </w:rPr>
              <w:t>51 (21.5)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03584" w14:textId="77777777" w:rsidR="00AD0947" w:rsidRPr="00C827C7" w:rsidRDefault="00AD0947" w:rsidP="0037067F">
            <w:pPr>
              <w:pStyle w:val="TableParagraph"/>
              <w:kinsoku w:val="0"/>
              <w:overflowPunct w:val="0"/>
              <w:ind w:left="2" w:right="5"/>
              <w:jc w:val="center"/>
              <w:rPr>
                <w:rFonts w:ascii="Cambria" w:hAnsi="Cambria"/>
                <w:b/>
                <w:bCs/>
                <w:spacing w:val="-2"/>
                <w:sz w:val="18"/>
                <w:szCs w:val="18"/>
                <w:lang w:eastAsia="ko-KR"/>
              </w:rPr>
            </w:pPr>
            <w:r w:rsidRPr="00C827C7">
              <w:rPr>
                <w:rFonts w:ascii="Cambria" w:hAnsi="Cambria"/>
                <w:b/>
                <w:bCs/>
                <w:spacing w:val="-2"/>
                <w:sz w:val="18"/>
                <w:szCs w:val="18"/>
                <w:lang w:eastAsia="ko-KR"/>
              </w:rPr>
              <w:t>20 (18.3)</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1C651" w14:textId="77777777" w:rsidR="00AD0947" w:rsidRPr="00C827C7" w:rsidRDefault="00AD0947" w:rsidP="0037067F">
            <w:pPr>
              <w:pStyle w:val="TableParagraph"/>
              <w:kinsoku w:val="0"/>
              <w:overflowPunct w:val="0"/>
              <w:ind w:left="3" w:right="10"/>
              <w:jc w:val="center"/>
              <w:rPr>
                <w:rFonts w:ascii="Cambria" w:hAnsi="Cambria"/>
                <w:b/>
                <w:bCs/>
                <w:spacing w:val="-2"/>
                <w:sz w:val="18"/>
                <w:szCs w:val="18"/>
                <w:lang w:eastAsia="ko-KR"/>
              </w:rPr>
            </w:pPr>
            <w:r w:rsidRPr="00C827C7">
              <w:rPr>
                <w:rFonts w:ascii="Cambria" w:hAnsi="Cambria"/>
                <w:b/>
                <w:bCs/>
                <w:spacing w:val="-2"/>
                <w:sz w:val="18"/>
                <w:szCs w:val="18"/>
                <w:lang w:eastAsia="ko-KR"/>
              </w:rPr>
              <w:t>28 (25.5)</w:t>
            </w:r>
          </w:p>
        </w:tc>
      </w:tr>
      <w:tr w:rsidR="00AD0947" w:rsidRPr="00944253" w14:paraId="1EF4DA6E"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F65D0"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Leukopenia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1ACD0" w14:textId="77777777" w:rsidR="00AD0947" w:rsidRPr="00C827C7" w:rsidRDefault="00AD0947" w:rsidP="0037067F">
            <w:pPr>
              <w:pStyle w:val="TableParagraph"/>
              <w:kinsoku w:val="0"/>
              <w:overflowPunct w:val="0"/>
              <w:ind w:left="5" w:right="6"/>
              <w:jc w:val="center"/>
              <w:rPr>
                <w:rFonts w:ascii="Cambria" w:hAnsi="Cambria"/>
                <w:spacing w:val="-2"/>
                <w:sz w:val="18"/>
                <w:szCs w:val="18"/>
                <w:lang w:eastAsia="ko-KR"/>
              </w:rPr>
            </w:pPr>
            <w:r w:rsidRPr="00C827C7">
              <w:rPr>
                <w:rFonts w:ascii="Cambria" w:hAnsi="Cambria"/>
                <w:spacing w:val="-2"/>
                <w:sz w:val="18"/>
                <w:szCs w:val="18"/>
                <w:lang w:eastAsia="ko-KR"/>
              </w:rPr>
              <w:t>28 (12.0)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F6FA4" w14:textId="77777777" w:rsidR="00AD0947" w:rsidRPr="00C827C7" w:rsidRDefault="00AD0947" w:rsidP="0037067F">
            <w:pPr>
              <w:pStyle w:val="TableParagraph"/>
              <w:kinsoku w:val="0"/>
              <w:overflowPunct w:val="0"/>
              <w:ind w:left="4" w:right="5"/>
              <w:jc w:val="center"/>
              <w:rPr>
                <w:rFonts w:ascii="Cambria" w:hAnsi="Cambria"/>
                <w:spacing w:val="-2"/>
                <w:sz w:val="18"/>
                <w:szCs w:val="18"/>
                <w:lang w:eastAsia="ko-KR"/>
              </w:rPr>
            </w:pPr>
            <w:r w:rsidRPr="00C827C7">
              <w:rPr>
                <w:rFonts w:ascii="Cambria" w:hAnsi="Cambria"/>
                <w:spacing w:val="-2"/>
                <w:sz w:val="18"/>
                <w:szCs w:val="18"/>
                <w:lang w:eastAsia="ko-KR"/>
              </w:rPr>
              <w:t>33 (13.9)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ADCBD" w14:textId="77777777" w:rsidR="00AD0947" w:rsidRPr="00C827C7" w:rsidRDefault="00AD0947" w:rsidP="0037067F">
            <w:pPr>
              <w:pStyle w:val="TableParagraph"/>
              <w:kinsoku w:val="0"/>
              <w:overflowPunct w:val="0"/>
              <w:ind w:left="3" w:right="5"/>
              <w:jc w:val="center"/>
              <w:rPr>
                <w:rFonts w:ascii="Cambria" w:hAnsi="Cambria"/>
                <w:spacing w:val="-2"/>
                <w:sz w:val="18"/>
                <w:szCs w:val="18"/>
                <w:lang w:eastAsia="ko-KR"/>
              </w:rPr>
            </w:pPr>
            <w:r w:rsidRPr="00C827C7">
              <w:rPr>
                <w:rFonts w:ascii="Cambria" w:hAnsi="Cambria"/>
                <w:spacing w:val="-2"/>
                <w:sz w:val="18"/>
                <w:szCs w:val="18"/>
                <w:lang w:eastAsia="ko-KR"/>
              </w:rPr>
              <w:t>13 (11.9)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329BB" w14:textId="77777777" w:rsidR="00AD0947" w:rsidRPr="00C827C7" w:rsidRDefault="00AD0947" w:rsidP="0037067F">
            <w:pPr>
              <w:pStyle w:val="TableParagraph"/>
              <w:kinsoku w:val="0"/>
              <w:overflowPunct w:val="0"/>
              <w:ind w:left="4" w:right="10"/>
              <w:jc w:val="center"/>
              <w:rPr>
                <w:rFonts w:ascii="Cambria" w:hAnsi="Cambria"/>
                <w:spacing w:val="-2"/>
                <w:sz w:val="18"/>
                <w:szCs w:val="18"/>
                <w:lang w:eastAsia="ko-KR"/>
              </w:rPr>
            </w:pPr>
            <w:r w:rsidRPr="00C827C7">
              <w:rPr>
                <w:rFonts w:ascii="Cambria" w:hAnsi="Cambria"/>
                <w:spacing w:val="-2"/>
                <w:sz w:val="18"/>
                <w:szCs w:val="18"/>
                <w:lang w:eastAsia="ko-KR"/>
              </w:rPr>
              <w:t>17 (15.5)</w:t>
            </w:r>
          </w:p>
        </w:tc>
      </w:tr>
      <w:tr w:rsidR="00AD0947" w:rsidRPr="00944253" w14:paraId="06E60C39" w14:textId="77777777" w:rsidTr="008E0261">
        <w:trPr>
          <w:trHeight w:val="311"/>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C6C3A" w14:textId="77777777" w:rsidR="00AD0947" w:rsidRPr="00C827C7" w:rsidRDefault="00AD0947" w:rsidP="0037067F">
            <w:pPr>
              <w:pStyle w:val="TableParagraph"/>
              <w:kinsoku w:val="0"/>
              <w:overflowPunct w:val="0"/>
              <w:ind w:left="347"/>
              <w:rPr>
                <w:rFonts w:ascii="Cambria" w:hAnsi="Cambria"/>
                <w:color w:val="000000" w:themeColor="text1"/>
                <w:spacing w:val="-2"/>
                <w:sz w:val="18"/>
                <w:szCs w:val="18"/>
              </w:rPr>
            </w:pPr>
            <w:r w:rsidRPr="00C827C7">
              <w:rPr>
                <w:rFonts w:ascii="Cambria" w:hAnsi="Cambria"/>
                <w:color w:val="000000" w:themeColor="text1"/>
                <w:spacing w:val="-2"/>
                <w:sz w:val="18"/>
                <w:szCs w:val="18"/>
              </w:rPr>
              <w:t>Lymphopenia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0C4BE" w14:textId="77777777" w:rsidR="00AD0947" w:rsidRPr="00C827C7" w:rsidRDefault="00AD0947" w:rsidP="0037067F">
            <w:pPr>
              <w:pStyle w:val="TableParagraph"/>
              <w:kinsoku w:val="0"/>
              <w:overflowPunct w:val="0"/>
              <w:ind w:left="5" w:right="6"/>
              <w:jc w:val="center"/>
              <w:rPr>
                <w:rFonts w:ascii="Cambria" w:hAnsi="Cambria"/>
                <w:spacing w:val="-2"/>
                <w:sz w:val="18"/>
                <w:szCs w:val="18"/>
                <w:lang w:eastAsia="ko-KR"/>
              </w:rPr>
            </w:pPr>
            <w:r w:rsidRPr="00C827C7">
              <w:rPr>
                <w:rFonts w:ascii="Cambria" w:hAnsi="Cambria"/>
                <w:spacing w:val="-2"/>
                <w:sz w:val="18"/>
                <w:szCs w:val="18"/>
                <w:lang w:eastAsia="ko-KR"/>
              </w:rPr>
              <w:t>12 (5.1)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84E11" w14:textId="77777777" w:rsidR="00AD0947" w:rsidRPr="00C827C7" w:rsidRDefault="00AD0947" w:rsidP="0037067F">
            <w:pPr>
              <w:pStyle w:val="TableParagraph"/>
              <w:kinsoku w:val="0"/>
              <w:overflowPunct w:val="0"/>
              <w:ind w:left="4" w:right="5"/>
              <w:jc w:val="center"/>
              <w:rPr>
                <w:rFonts w:ascii="Cambria" w:hAnsi="Cambria"/>
                <w:spacing w:val="-2"/>
                <w:sz w:val="18"/>
                <w:szCs w:val="18"/>
                <w:lang w:eastAsia="ko-KR"/>
              </w:rPr>
            </w:pPr>
            <w:r w:rsidRPr="00C827C7">
              <w:rPr>
                <w:rFonts w:ascii="Cambria" w:hAnsi="Cambria"/>
                <w:spacing w:val="-2"/>
                <w:sz w:val="18"/>
                <w:szCs w:val="18"/>
                <w:lang w:eastAsia="ko-KR"/>
              </w:rPr>
              <w:t>15 (6.3)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7BFFC" w14:textId="77777777" w:rsidR="00AD0947" w:rsidRPr="00C827C7" w:rsidRDefault="00AD0947" w:rsidP="0037067F">
            <w:pPr>
              <w:pStyle w:val="TableParagraph"/>
              <w:kinsoku w:val="0"/>
              <w:overflowPunct w:val="0"/>
              <w:ind w:left="2" w:right="5"/>
              <w:jc w:val="center"/>
              <w:rPr>
                <w:rFonts w:ascii="Cambria" w:hAnsi="Cambria"/>
                <w:spacing w:val="-2"/>
                <w:sz w:val="18"/>
                <w:szCs w:val="18"/>
                <w:lang w:eastAsia="ko-KR"/>
              </w:rPr>
            </w:pPr>
            <w:r w:rsidRPr="00C827C7">
              <w:rPr>
                <w:rFonts w:ascii="Cambria" w:hAnsi="Cambria"/>
                <w:spacing w:val="-2"/>
                <w:sz w:val="18"/>
                <w:szCs w:val="18"/>
                <w:lang w:eastAsia="ko-KR"/>
              </w:rPr>
              <w:t>8 (7.3)</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D1046" w14:textId="77777777" w:rsidR="00AD0947" w:rsidRPr="00C827C7" w:rsidRDefault="00AD0947" w:rsidP="0037067F">
            <w:pPr>
              <w:pStyle w:val="TableParagraph"/>
              <w:kinsoku w:val="0"/>
              <w:overflowPunct w:val="0"/>
              <w:ind w:left="3" w:right="10"/>
              <w:jc w:val="center"/>
              <w:rPr>
                <w:rFonts w:ascii="Cambria" w:hAnsi="Cambria"/>
                <w:spacing w:val="-2"/>
                <w:sz w:val="18"/>
                <w:szCs w:val="18"/>
                <w:lang w:eastAsia="ko-KR"/>
              </w:rPr>
            </w:pPr>
            <w:r w:rsidRPr="00C827C7">
              <w:rPr>
                <w:rFonts w:ascii="Cambria" w:hAnsi="Cambria"/>
                <w:spacing w:val="-2"/>
                <w:sz w:val="18"/>
                <w:szCs w:val="18"/>
                <w:lang w:eastAsia="ko-KR"/>
              </w:rPr>
              <w:t>4 (3.6)</w:t>
            </w:r>
          </w:p>
        </w:tc>
      </w:tr>
      <w:tr w:rsidR="00AD0947" w:rsidRPr="00944253" w14:paraId="2ACAF63A"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FA26D"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Neutropenia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70085" w14:textId="77777777" w:rsidR="00AD0947" w:rsidRPr="00C827C7" w:rsidRDefault="00AD0947" w:rsidP="0037067F">
            <w:pPr>
              <w:pStyle w:val="TableParagraph"/>
              <w:kinsoku w:val="0"/>
              <w:overflowPunct w:val="0"/>
              <w:ind w:left="5" w:right="6"/>
              <w:jc w:val="center"/>
              <w:rPr>
                <w:rFonts w:ascii="Cambria" w:hAnsi="Cambria"/>
                <w:spacing w:val="-2"/>
                <w:sz w:val="18"/>
                <w:szCs w:val="18"/>
                <w:lang w:eastAsia="ko-KR"/>
              </w:rPr>
            </w:pPr>
            <w:r w:rsidRPr="00C827C7">
              <w:rPr>
                <w:rFonts w:ascii="Cambria" w:hAnsi="Cambria"/>
                <w:spacing w:val="-2"/>
                <w:sz w:val="18"/>
                <w:szCs w:val="18"/>
                <w:lang w:eastAsia="ko-KR"/>
              </w:rPr>
              <w:t>26 (11.1)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BCEC0" w14:textId="77777777" w:rsidR="00AD0947" w:rsidRPr="00C827C7" w:rsidRDefault="00AD0947" w:rsidP="0037067F">
            <w:pPr>
              <w:pStyle w:val="TableParagraph"/>
              <w:kinsoku w:val="0"/>
              <w:overflowPunct w:val="0"/>
              <w:ind w:left="4" w:right="5"/>
              <w:jc w:val="center"/>
              <w:rPr>
                <w:rFonts w:ascii="Cambria" w:hAnsi="Cambria"/>
                <w:spacing w:val="-2"/>
                <w:sz w:val="18"/>
                <w:szCs w:val="18"/>
                <w:lang w:eastAsia="ko-KR"/>
              </w:rPr>
            </w:pPr>
            <w:r w:rsidRPr="00C827C7">
              <w:rPr>
                <w:rFonts w:ascii="Cambria" w:hAnsi="Cambria"/>
                <w:spacing w:val="-2"/>
                <w:sz w:val="18"/>
                <w:szCs w:val="18"/>
                <w:lang w:eastAsia="ko-KR"/>
              </w:rPr>
              <w:t>34 (14.3)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76CD4" w14:textId="77777777" w:rsidR="00AD0947" w:rsidRPr="00C827C7" w:rsidRDefault="00AD0947" w:rsidP="0037067F">
            <w:pPr>
              <w:pStyle w:val="TableParagraph"/>
              <w:kinsoku w:val="0"/>
              <w:overflowPunct w:val="0"/>
              <w:ind w:left="3" w:right="5"/>
              <w:jc w:val="center"/>
              <w:rPr>
                <w:rFonts w:ascii="Cambria" w:hAnsi="Cambria"/>
                <w:spacing w:val="-2"/>
                <w:sz w:val="18"/>
                <w:szCs w:val="18"/>
                <w:lang w:eastAsia="ko-KR"/>
              </w:rPr>
            </w:pPr>
            <w:r w:rsidRPr="00C827C7">
              <w:rPr>
                <w:rFonts w:ascii="Cambria" w:hAnsi="Cambria"/>
                <w:spacing w:val="-2"/>
                <w:sz w:val="18"/>
                <w:szCs w:val="18"/>
                <w:lang w:eastAsia="ko-KR"/>
              </w:rPr>
              <w:t>13 (11.9)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6A2A8" w14:textId="77777777" w:rsidR="00AD0947" w:rsidRPr="00C827C7" w:rsidRDefault="00AD0947" w:rsidP="0037067F">
            <w:pPr>
              <w:pStyle w:val="TableParagraph"/>
              <w:kinsoku w:val="0"/>
              <w:overflowPunct w:val="0"/>
              <w:ind w:left="4" w:right="10"/>
              <w:jc w:val="center"/>
              <w:rPr>
                <w:rFonts w:ascii="Cambria" w:hAnsi="Cambria"/>
                <w:spacing w:val="-2"/>
                <w:sz w:val="18"/>
                <w:szCs w:val="18"/>
                <w:lang w:eastAsia="ko-KR"/>
              </w:rPr>
            </w:pPr>
            <w:r w:rsidRPr="00C827C7">
              <w:rPr>
                <w:rFonts w:ascii="Cambria" w:hAnsi="Cambria"/>
                <w:spacing w:val="-2"/>
                <w:sz w:val="18"/>
                <w:szCs w:val="18"/>
                <w:lang w:eastAsia="ko-KR"/>
              </w:rPr>
              <w:t>19 (17.3)</w:t>
            </w:r>
          </w:p>
        </w:tc>
      </w:tr>
      <w:tr w:rsidR="00AD0947" w:rsidRPr="00944253" w14:paraId="3E4D1A0B"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4D7D3"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Thrombocytopenia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8A1CE" w14:textId="77777777" w:rsidR="00AD0947" w:rsidRPr="00C827C7" w:rsidRDefault="00AD0947" w:rsidP="0037067F">
            <w:pPr>
              <w:pStyle w:val="TableParagraph"/>
              <w:kinsoku w:val="0"/>
              <w:overflowPunct w:val="0"/>
              <w:ind w:left="4" w:right="6"/>
              <w:jc w:val="center"/>
              <w:rPr>
                <w:rFonts w:ascii="Cambria" w:hAnsi="Cambria"/>
                <w:spacing w:val="-2"/>
                <w:sz w:val="18"/>
                <w:szCs w:val="18"/>
                <w:lang w:eastAsia="ko-KR"/>
              </w:rPr>
            </w:pPr>
            <w:r w:rsidRPr="00C827C7">
              <w:rPr>
                <w:rFonts w:ascii="Cambria" w:hAnsi="Cambria"/>
                <w:spacing w:val="-2"/>
                <w:sz w:val="18"/>
                <w:szCs w:val="18"/>
                <w:lang w:eastAsia="ko-KR"/>
              </w:rPr>
              <w:t>11 (4.7)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421BF" w14:textId="77777777" w:rsidR="00AD0947" w:rsidRPr="00C827C7" w:rsidRDefault="00AD0947" w:rsidP="0037067F">
            <w:pPr>
              <w:pStyle w:val="TableParagraph"/>
              <w:kinsoku w:val="0"/>
              <w:overflowPunct w:val="0"/>
              <w:ind w:left="3" w:right="5"/>
              <w:jc w:val="center"/>
              <w:rPr>
                <w:rFonts w:ascii="Cambria" w:hAnsi="Cambria"/>
                <w:spacing w:val="-2"/>
                <w:sz w:val="18"/>
                <w:szCs w:val="18"/>
                <w:lang w:eastAsia="ko-KR"/>
              </w:rPr>
            </w:pPr>
            <w:r w:rsidRPr="00C827C7">
              <w:rPr>
                <w:rFonts w:ascii="Cambria" w:hAnsi="Cambria"/>
                <w:spacing w:val="-2"/>
                <w:sz w:val="18"/>
                <w:szCs w:val="18"/>
                <w:lang w:eastAsia="ko-KR"/>
              </w:rPr>
              <w:t>10 (4.2)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F61ED" w14:textId="77777777" w:rsidR="00AD0947" w:rsidRPr="00C827C7" w:rsidRDefault="00AD0947" w:rsidP="0037067F">
            <w:pPr>
              <w:pStyle w:val="TableParagraph"/>
              <w:kinsoku w:val="0"/>
              <w:overflowPunct w:val="0"/>
              <w:ind w:left="2" w:right="5"/>
              <w:jc w:val="center"/>
              <w:rPr>
                <w:rFonts w:ascii="Cambria" w:hAnsi="Cambria"/>
                <w:spacing w:val="-2"/>
                <w:sz w:val="18"/>
                <w:szCs w:val="18"/>
                <w:lang w:eastAsia="ko-KR"/>
              </w:rPr>
            </w:pPr>
            <w:r w:rsidRPr="00C827C7">
              <w:rPr>
                <w:rFonts w:ascii="Cambria" w:hAnsi="Cambria"/>
                <w:spacing w:val="-2"/>
                <w:sz w:val="18"/>
                <w:szCs w:val="18"/>
                <w:lang w:eastAsia="ko-KR"/>
              </w:rPr>
              <w:t>6 (5.5)</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C63CB" w14:textId="77777777" w:rsidR="00AD0947" w:rsidRPr="00C827C7" w:rsidRDefault="00AD0947" w:rsidP="0037067F">
            <w:pPr>
              <w:pStyle w:val="TableParagraph"/>
              <w:kinsoku w:val="0"/>
              <w:overflowPunct w:val="0"/>
              <w:ind w:left="3" w:right="10"/>
              <w:jc w:val="center"/>
              <w:rPr>
                <w:rFonts w:ascii="Cambria" w:hAnsi="Cambria"/>
                <w:spacing w:val="-2"/>
                <w:sz w:val="18"/>
                <w:szCs w:val="18"/>
                <w:lang w:eastAsia="ko-KR"/>
              </w:rPr>
            </w:pPr>
            <w:r w:rsidRPr="00C827C7">
              <w:rPr>
                <w:rFonts w:ascii="Cambria" w:hAnsi="Cambria"/>
                <w:spacing w:val="-2"/>
                <w:sz w:val="18"/>
                <w:szCs w:val="18"/>
                <w:lang w:eastAsia="ko-KR"/>
              </w:rPr>
              <w:t>4 (3.6)</w:t>
            </w:r>
          </w:p>
        </w:tc>
      </w:tr>
      <w:tr w:rsidR="00AD0947" w:rsidRPr="00944253" w14:paraId="602D8B6E" w14:textId="77777777" w:rsidTr="008E0261">
        <w:trPr>
          <w:trHeight w:val="311"/>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CF3C9" w14:textId="77777777" w:rsidR="00AD0947" w:rsidRPr="00C827C7" w:rsidRDefault="00AD0947" w:rsidP="0037067F">
            <w:pPr>
              <w:pStyle w:val="TableParagraph"/>
              <w:kinsoku w:val="0"/>
              <w:overflowPunct w:val="0"/>
              <w:ind w:left="107"/>
              <w:rPr>
                <w:rFonts w:ascii="Cambria" w:hAnsi="Cambria"/>
                <w:b/>
                <w:bCs/>
                <w:spacing w:val="-2"/>
                <w:sz w:val="18"/>
                <w:szCs w:val="18"/>
              </w:rPr>
            </w:pPr>
            <w:r w:rsidRPr="00C827C7">
              <w:rPr>
                <w:rFonts w:ascii="Cambria" w:hAnsi="Cambria"/>
                <w:b/>
                <w:bCs/>
                <w:sz w:val="18"/>
                <w:szCs w:val="18"/>
              </w:rPr>
              <w:t>Cardiac</w:t>
            </w:r>
            <w:r w:rsidRPr="00C827C7">
              <w:rPr>
                <w:rFonts w:ascii="Cambria" w:hAnsi="Cambria"/>
                <w:b/>
                <w:bCs/>
                <w:spacing w:val="-7"/>
                <w:sz w:val="18"/>
                <w:szCs w:val="18"/>
              </w:rPr>
              <w:t xml:space="preserve"> </w:t>
            </w:r>
            <w:r w:rsidRPr="00C827C7">
              <w:rPr>
                <w:rFonts w:ascii="Cambria" w:hAnsi="Cambria"/>
                <w:b/>
                <w:bCs/>
                <w:spacing w:val="-2"/>
                <w:sz w:val="18"/>
                <w:szCs w:val="18"/>
              </w:rPr>
              <w:t>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12D0D" w14:textId="77777777" w:rsidR="00AD0947" w:rsidRPr="00C827C7" w:rsidRDefault="00AD0947" w:rsidP="0037067F">
            <w:pPr>
              <w:pStyle w:val="TableParagraph"/>
              <w:kinsoku w:val="0"/>
              <w:overflowPunct w:val="0"/>
              <w:ind w:left="5" w:right="6"/>
              <w:jc w:val="center"/>
              <w:rPr>
                <w:rFonts w:ascii="Cambria" w:hAnsi="Cambria"/>
                <w:b/>
                <w:bCs/>
                <w:spacing w:val="-2"/>
                <w:sz w:val="18"/>
                <w:szCs w:val="18"/>
                <w:lang w:eastAsia="ko-KR"/>
              </w:rPr>
            </w:pPr>
            <w:r w:rsidRPr="00C827C7">
              <w:rPr>
                <w:rFonts w:ascii="Cambria" w:hAnsi="Cambria"/>
                <w:b/>
                <w:bCs/>
                <w:spacing w:val="-2"/>
                <w:sz w:val="18"/>
                <w:szCs w:val="18"/>
                <w:lang w:eastAsia="ko-KR"/>
              </w:rPr>
              <w:t>14 (6.0)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A2D0D" w14:textId="77777777" w:rsidR="00AD0947" w:rsidRPr="00C827C7" w:rsidRDefault="00AD0947" w:rsidP="0037067F">
            <w:pPr>
              <w:pStyle w:val="TableParagraph"/>
              <w:kinsoku w:val="0"/>
              <w:overflowPunct w:val="0"/>
              <w:ind w:left="4" w:right="5"/>
              <w:jc w:val="center"/>
              <w:rPr>
                <w:rFonts w:ascii="Cambria" w:hAnsi="Cambria"/>
                <w:b/>
                <w:bCs/>
                <w:spacing w:val="-2"/>
                <w:sz w:val="18"/>
                <w:szCs w:val="18"/>
                <w:lang w:eastAsia="ko-KR"/>
              </w:rPr>
            </w:pPr>
            <w:r w:rsidRPr="00C827C7">
              <w:rPr>
                <w:rFonts w:ascii="Cambria" w:hAnsi="Cambria"/>
                <w:b/>
                <w:bCs/>
                <w:spacing w:val="-2"/>
                <w:sz w:val="18"/>
                <w:szCs w:val="18"/>
                <w:lang w:eastAsia="ko-KR"/>
              </w:rPr>
              <w:t>12 (5.1)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F4A0E" w14:textId="77777777" w:rsidR="00AD0947" w:rsidRPr="00C827C7" w:rsidRDefault="00AD0947" w:rsidP="0037067F">
            <w:pPr>
              <w:pStyle w:val="TableParagraph"/>
              <w:kinsoku w:val="0"/>
              <w:overflowPunct w:val="0"/>
              <w:ind w:left="2" w:right="5"/>
              <w:jc w:val="center"/>
              <w:rPr>
                <w:rFonts w:ascii="Cambria" w:hAnsi="Cambria"/>
                <w:b/>
                <w:bCs/>
                <w:spacing w:val="-2"/>
                <w:sz w:val="18"/>
                <w:szCs w:val="18"/>
                <w:lang w:eastAsia="ko-KR"/>
              </w:rPr>
            </w:pPr>
            <w:r w:rsidRPr="00C827C7">
              <w:rPr>
                <w:rFonts w:ascii="Cambria" w:hAnsi="Cambria"/>
                <w:b/>
                <w:bCs/>
                <w:spacing w:val="-2"/>
                <w:sz w:val="18"/>
                <w:szCs w:val="18"/>
                <w:lang w:eastAsia="ko-KR"/>
              </w:rPr>
              <w:t>8 (7.3)</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8B828" w14:textId="77777777" w:rsidR="00AD0947" w:rsidRPr="00C827C7" w:rsidRDefault="00AD0947" w:rsidP="0037067F">
            <w:pPr>
              <w:pStyle w:val="TableParagraph"/>
              <w:kinsoku w:val="0"/>
              <w:overflowPunct w:val="0"/>
              <w:ind w:left="3" w:right="10"/>
              <w:jc w:val="center"/>
              <w:rPr>
                <w:rFonts w:ascii="Cambria" w:hAnsi="Cambria"/>
                <w:b/>
                <w:bCs/>
                <w:spacing w:val="-2"/>
                <w:sz w:val="18"/>
                <w:szCs w:val="18"/>
                <w:lang w:eastAsia="ko-KR"/>
              </w:rPr>
            </w:pPr>
            <w:r w:rsidRPr="00C827C7">
              <w:rPr>
                <w:rFonts w:ascii="Cambria" w:hAnsi="Cambria"/>
                <w:b/>
                <w:bCs/>
                <w:spacing w:val="-2"/>
                <w:sz w:val="18"/>
                <w:szCs w:val="18"/>
                <w:lang w:eastAsia="ko-KR"/>
              </w:rPr>
              <w:t>4 (3.6)</w:t>
            </w:r>
          </w:p>
        </w:tc>
      </w:tr>
      <w:tr w:rsidR="00AD0947" w:rsidRPr="00944253" w14:paraId="7DFB655F"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ADDF1"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z w:val="18"/>
                <w:szCs w:val="18"/>
              </w:rPr>
              <w:t>Atrial</w:t>
            </w:r>
            <w:r w:rsidRPr="00C827C7">
              <w:rPr>
                <w:rFonts w:ascii="Cambria" w:hAnsi="Cambria"/>
                <w:spacing w:val="-7"/>
                <w:sz w:val="18"/>
                <w:szCs w:val="18"/>
              </w:rPr>
              <w:t xml:space="preserve"> </w:t>
            </w:r>
            <w:r w:rsidRPr="00C827C7">
              <w:rPr>
                <w:rFonts w:ascii="Cambria" w:hAnsi="Cambria"/>
                <w:spacing w:val="-2"/>
                <w:sz w:val="18"/>
                <w:szCs w:val="18"/>
              </w:rPr>
              <w:t>fibrillation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13E5E" w14:textId="77777777" w:rsidR="00AD0947" w:rsidRPr="00C827C7" w:rsidRDefault="00AD0947" w:rsidP="0037067F">
            <w:pPr>
              <w:pStyle w:val="TableParagraph"/>
              <w:kinsoku w:val="0"/>
              <w:overflowPunct w:val="0"/>
              <w:ind w:right="6"/>
              <w:jc w:val="center"/>
              <w:rPr>
                <w:rFonts w:ascii="Cambria" w:hAnsi="Cambria"/>
                <w:spacing w:val="-10"/>
                <w:sz w:val="18"/>
                <w:szCs w:val="18"/>
                <w:lang w:eastAsia="ko-KR"/>
              </w:rPr>
            </w:pPr>
            <w:r w:rsidRPr="00C827C7">
              <w:rPr>
                <w:rFonts w:ascii="Cambria" w:hAnsi="Cambria"/>
                <w:spacing w:val="-10"/>
                <w:sz w:val="18"/>
                <w:szCs w:val="18"/>
                <w:lang w:eastAsia="ko-KR"/>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2717D" w14:textId="77777777" w:rsidR="00AD0947" w:rsidRPr="00C827C7" w:rsidRDefault="00AD0947" w:rsidP="0037067F">
            <w:pPr>
              <w:pStyle w:val="TableParagraph"/>
              <w:kinsoku w:val="0"/>
              <w:overflowPunct w:val="0"/>
              <w:ind w:left="3" w:right="5"/>
              <w:jc w:val="center"/>
              <w:rPr>
                <w:rFonts w:ascii="Cambria" w:hAnsi="Cambria"/>
                <w:spacing w:val="-2"/>
                <w:sz w:val="18"/>
                <w:szCs w:val="18"/>
                <w:lang w:eastAsia="ko-KR"/>
              </w:rPr>
            </w:pPr>
            <w:r w:rsidRPr="00C827C7">
              <w:rPr>
                <w:rFonts w:ascii="Cambria" w:hAnsi="Cambria"/>
                <w:spacing w:val="-2"/>
                <w:sz w:val="18"/>
                <w:szCs w:val="18"/>
                <w:lang w:eastAsia="ko-KR"/>
              </w:rPr>
              <w:t>5 (2.1)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8C457" w14:textId="77777777" w:rsidR="00AD0947" w:rsidRPr="00C827C7" w:rsidRDefault="00AD0947" w:rsidP="0037067F">
            <w:pPr>
              <w:pStyle w:val="TableParagraph"/>
              <w:kinsoku w:val="0"/>
              <w:overflowPunct w:val="0"/>
              <w:ind w:left="2" w:right="5"/>
              <w:jc w:val="center"/>
              <w:rPr>
                <w:rFonts w:ascii="Cambria" w:hAnsi="Cambria"/>
                <w:spacing w:val="-2"/>
                <w:sz w:val="18"/>
                <w:szCs w:val="18"/>
                <w:lang w:eastAsia="ko-KR"/>
              </w:rPr>
            </w:pPr>
            <w:r w:rsidRPr="00C827C7">
              <w:rPr>
                <w:rFonts w:ascii="Cambria" w:hAnsi="Cambria"/>
                <w:spacing w:val="-2"/>
                <w:sz w:val="18"/>
                <w:szCs w:val="18"/>
                <w:lang w:eastAsia="ko-KR"/>
              </w:rPr>
              <w:t>4 (3.7)</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12815" w14:textId="77777777" w:rsidR="00AD0947" w:rsidRPr="00C827C7" w:rsidRDefault="00AD0947" w:rsidP="0037067F">
            <w:pPr>
              <w:pStyle w:val="TableParagraph"/>
              <w:kinsoku w:val="0"/>
              <w:overflowPunct w:val="0"/>
              <w:ind w:left="2" w:right="10"/>
              <w:jc w:val="center"/>
              <w:rPr>
                <w:rFonts w:ascii="Cambria" w:hAnsi="Cambria"/>
                <w:spacing w:val="-2"/>
                <w:sz w:val="18"/>
                <w:szCs w:val="18"/>
                <w:lang w:eastAsia="ko-KR"/>
              </w:rPr>
            </w:pPr>
            <w:r w:rsidRPr="00C827C7">
              <w:rPr>
                <w:rFonts w:ascii="Cambria" w:hAnsi="Cambria"/>
                <w:spacing w:val="-2"/>
                <w:sz w:val="18"/>
                <w:szCs w:val="18"/>
                <w:lang w:eastAsia="ko-KR"/>
              </w:rPr>
              <w:t>1 (0.9)</w:t>
            </w:r>
          </w:p>
        </w:tc>
      </w:tr>
      <w:tr w:rsidR="00AD0947" w:rsidRPr="00944253" w14:paraId="1D8C140F"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CF31C" w14:textId="77777777" w:rsidR="00AD0947" w:rsidRPr="00C827C7" w:rsidRDefault="00AD0947" w:rsidP="0037067F">
            <w:pPr>
              <w:pStyle w:val="TableParagraph"/>
              <w:kinsoku w:val="0"/>
              <w:overflowPunct w:val="0"/>
              <w:ind w:left="107"/>
              <w:rPr>
                <w:rFonts w:ascii="Cambria" w:hAnsi="Cambria"/>
                <w:b/>
                <w:bCs/>
                <w:sz w:val="18"/>
                <w:szCs w:val="18"/>
                <w:lang w:eastAsia="ko-KR"/>
              </w:rPr>
            </w:pPr>
            <w:r w:rsidRPr="00C827C7">
              <w:rPr>
                <w:rFonts w:ascii="Cambria" w:hAnsi="Cambria"/>
                <w:b/>
                <w:sz w:val="18"/>
                <w:szCs w:val="18"/>
                <w:lang w:eastAsia="ko-KR"/>
              </w:rPr>
              <w:t>Gastrointestinal disorders</w:t>
            </w:r>
            <w:r w:rsidRPr="00C827C7">
              <w:rPr>
                <w:rFonts w:ascii="Cambria" w:hAnsi="Cambria"/>
                <w:b/>
                <w:bCs/>
                <w:sz w:val="18"/>
                <w:szCs w:val="18"/>
                <w:lang w:eastAsia="ko-KR"/>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74DEA" w14:textId="77777777" w:rsidR="00AD0947" w:rsidRPr="00C827C7" w:rsidRDefault="00AD0947" w:rsidP="0037067F">
            <w:pPr>
              <w:pStyle w:val="TableParagraph"/>
              <w:kinsoku w:val="0"/>
              <w:overflowPunct w:val="0"/>
              <w:ind w:left="4" w:right="6"/>
              <w:jc w:val="center"/>
              <w:rPr>
                <w:rFonts w:ascii="Cambria" w:hAnsi="Cambria"/>
                <w:b/>
                <w:bCs/>
                <w:spacing w:val="-2"/>
                <w:sz w:val="18"/>
                <w:szCs w:val="18"/>
                <w:lang w:eastAsia="ko-KR"/>
              </w:rPr>
            </w:pPr>
            <w:r w:rsidRPr="00C827C7">
              <w:rPr>
                <w:rFonts w:ascii="Cambria" w:hAnsi="Cambria"/>
                <w:b/>
                <w:bCs/>
                <w:spacing w:val="-2"/>
                <w:sz w:val="18"/>
                <w:szCs w:val="18"/>
                <w:lang w:eastAsia="ko-KR"/>
              </w:rPr>
              <w:t>39 (16.7)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4F48E" w14:textId="77777777" w:rsidR="00AD0947" w:rsidRPr="00C827C7" w:rsidRDefault="00AD0947" w:rsidP="0037067F">
            <w:pPr>
              <w:pStyle w:val="TableParagraph"/>
              <w:kinsoku w:val="0"/>
              <w:overflowPunct w:val="0"/>
              <w:ind w:left="3" w:right="5"/>
              <w:jc w:val="center"/>
              <w:rPr>
                <w:rFonts w:ascii="Cambria" w:hAnsi="Cambria"/>
                <w:b/>
                <w:bCs/>
                <w:spacing w:val="-2"/>
                <w:sz w:val="18"/>
                <w:szCs w:val="18"/>
                <w:lang w:eastAsia="ko-KR"/>
              </w:rPr>
            </w:pPr>
            <w:r w:rsidRPr="00C827C7">
              <w:rPr>
                <w:rFonts w:ascii="Cambria" w:hAnsi="Cambria"/>
                <w:b/>
                <w:bCs/>
                <w:spacing w:val="-2"/>
                <w:sz w:val="18"/>
                <w:szCs w:val="18"/>
                <w:lang w:eastAsia="ko-KR"/>
              </w:rPr>
              <w:t>25 (10.5)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6D0AA" w14:textId="77777777" w:rsidR="00AD0947" w:rsidRPr="00C827C7" w:rsidRDefault="00AD0947" w:rsidP="0037067F">
            <w:pPr>
              <w:pStyle w:val="TableParagraph"/>
              <w:kinsoku w:val="0"/>
              <w:overflowPunct w:val="0"/>
              <w:ind w:left="2" w:right="5"/>
              <w:jc w:val="center"/>
              <w:rPr>
                <w:rFonts w:ascii="Cambria" w:hAnsi="Cambria"/>
                <w:b/>
                <w:bCs/>
                <w:spacing w:val="-2"/>
                <w:sz w:val="18"/>
                <w:szCs w:val="18"/>
                <w:lang w:eastAsia="ko-KR"/>
              </w:rPr>
            </w:pPr>
            <w:r w:rsidRPr="00C827C7">
              <w:rPr>
                <w:rFonts w:ascii="Cambria" w:hAnsi="Cambria"/>
                <w:b/>
                <w:bCs/>
                <w:spacing w:val="-2"/>
                <w:sz w:val="18"/>
                <w:szCs w:val="18"/>
                <w:lang w:eastAsia="ko-KR"/>
              </w:rPr>
              <w:t>15 (13.8)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FE4E0" w14:textId="77777777" w:rsidR="00AD0947" w:rsidRPr="00C827C7" w:rsidRDefault="00AD0947" w:rsidP="0037067F">
            <w:pPr>
              <w:pStyle w:val="TableParagraph"/>
              <w:kinsoku w:val="0"/>
              <w:overflowPunct w:val="0"/>
              <w:ind w:left="3" w:right="10"/>
              <w:jc w:val="center"/>
              <w:rPr>
                <w:rFonts w:ascii="Cambria" w:hAnsi="Cambria"/>
                <w:b/>
                <w:bCs/>
                <w:spacing w:val="-2"/>
                <w:sz w:val="18"/>
                <w:szCs w:val="18"/>
                <w:lang w:eastAsia="ko-KR"/>
              </w:rPr>
            </w:pPr>
            <w:r w:rsidRPr="00C827C7">
              <w:rPr>
                <w:rFonts w:ascii="Cambria" w:hAnsi="Cambria"/>
                <w:b/>
                <w:bCs/>
                <w:spacing w:val="-2"/>
                <w:sz w:val="18"/>
                <w:szCs w:val="18"/>
                <w:lang w:eastAsia="ko-KR"/>
              </w:rPr>
              <w:t>9 (8.2)</w:t>
            </w:r>
          </w:p>
        </w:tc>
      </w:tr>
      <w:tr w:rsidR="00AD0947" w:rsidRPr="00944253" w14:paraId="3EC48BCD"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A3D25" w14:textId="77777777" w:rsidR="00AD0947" w:rsidRPr="00C827C7" w:rsidRDefault="00AD0947" w:rsidP="0037067F">
            <w:pPr>
              <w:pStyle w:val="TableParagraph"/>
              <w:kinsoku w:val="0"/>
              <w:overflowPunct w:val="0"/>
              <w:ind w:left="347"/>
              <w:rPr>
                <w:rFonts w:ascii="Cambria" w:hAnsi="Cambria"/>
                <w:b/>
                <w:sz w:val="18"/>
                <w:szCs w:val="18"/>
                <w:lang w:eastAsia="ko-KR"/>
              </w:rPr>
            </w:pPr>
            <w:r w:rsidRPr="00C827C7">
              <w:rPr>
                <w:rFonts w:ascii="Cambria" w:hAnsi="Cambria"/>
                <w:sz w:val="18"/>
                <w:szCs w:val="18"/>
                <w:lang w:eastAsia="ko-KR"/>
              </w:rPr>
              <w:t xml:space="preserve">Abdominal pain upper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88909" w14:textId="77777777" w:rsidR="00AD0947" w:rsidRPr="00C827C7" w:rsidRDefault="00AD0947" w:rsidP="0037067F">
            <w:pPr>
              <w:pStyle w:val="TableParagraph"/>
              <w:kinsoku w:val="0"/>
              <w:overflowPunct w:val="0"/>
              <w:ind w:left="4" w:right="6"/>
              <w:jc w:val="center"/>
              <w:rPr>
                <w:rFonts w:ascii="Cambria" w:hAnsi="Cambria"/>
                <w:spacing w:val="-2"/>
                <w:sz w:val="18"/>
                <w:szCs w:val="18"/>
                <w:lang w:eastAsia="ko-KR"/>
              </w:rPr>
            </w:pPr>
            <w:r w:rsidRPr="00C827C7">
              <w:rPr>
                <w:rFonts w:ascii="Cambria" w:hAnsi="Cambria"/>
                <w:spacing w:val="-2"/>
                <w:sz w:val="18"/>
                <w:szCs w:val="18"/>
                <w:lang w:eastAsia="ko-KR"/>
              </w:rPr>
              <w:t>7 (3.0)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DFAE2" w14:textId="77777777" w:rsidR="00AD0947" w:rsidRPr="00C827C7" w:rsidRDefault="00AD0947" w:rsidP="0037067F">
            <w:pPr>
              <w:pStyle w:val="TableParagraph"/>
              <w:kinsoku w:val="0"/>
              <w:overflowPunct w:val="0"/>
              <w:ind w:left="3" w:right="5"/>
              <w:jc w:val="center"/>
              <w:rPr>
                <w:rFonts w:ascii="Cambria" w:hAnsi="Cambria"/>
                <w:spacing w:val="-2"/>
                <w:sz w:val="18"/>
                <w:szCs w:val="18"/>
                <w:lang w:eastAsia="ko-KR"/>
              </w:rPr>
            </w:pPr>
            <w:r w:rsidRPr="00C827C7">
              <w:rPr>
                <w:rFonts w:ascii="Cambria" w:hAnsi="Cambria"/>
                <w:spacing w:val="-2"/>
                <w:sz w:val="18"/>
                <w:szCs w:val="18"/>
                <w:lang w:eastAsia="ko-KR"/>
              </w:rPr>
              <w:t>2 (0.8)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E770E" w14:textId="77777777" w:rsidR="00AD0947" w:rsidRPr="00C827C7" w:rsidRDefault="00AD0947" w:rsidP="0037067F">
            <w:pPr>
              <w:pStyle w:val="TableParagraph"/>
              <w:kinsoku w:val="0"/>
              <w:overflowPunct w:val="0"/>
              <w:ind w:left="2" w:right="5"/>
              <w:jc w:val="center"/>
              <w:rPr>
                <w:rFonts w:ascii="Cambria" w:hAnsi="Cambria"/>
                <w:spacing w:val="-2"/>
                <w:sz w:val="18"/>
                <w:szCs w:val="18"/>
                <w:lang w:eastAsia="ko-KR"/>
              </w:rPr>
            </w:pPr>
            <w:r w:rsidRPr="00C827C7">
              <w:rPr>
                <w:rFonts w:ascii="Cambria" w:hAnsi="Cambria"/>
                <w:spacing w:val="-2"/>
                <w:sz w:val="18"/>
                <w:szCs w:val="18"/>
                <w:lang w:eastAsia="ko-KR"/>
              </w:rPr>
              <w:t>1 (0.9)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A54D0" w14:textId="77777777" w:rsidR="00AD0947" w:rsidRPr="00C827C7" w:rsidRDefault="00AD0947" w:rsidP="0037067F">
            <w:pPr>
              <w:pStyle w:val="TableParagraph"/>
              <w:kinsoku w:val="0"/>
              <w:overflowPunct w:val="0"/>
              <w:ind w:left="3" w:right="10"/>
              <w:jc w:val="center"/>
              <w:rPr>
                <w:rFonts w:ascii="Cambria" w:hAnsi="Cambria"/>
                <w:spacing w:val="-2"/>
                <w:sz w:val="18"/>
                <w:szCs w:val="18"/>
                <w:lang w:eastAsia="ko-KR"/>
              </w:rPr>
            </w:pPr>
            <w:r w:rsidRPr="00C827C7">
              <w:rPr>
                <w:rFonts w:ascii="Cambria" w:hAnsi="Cambria"/>
                <w:spacing w:val="-2"/>
                <w:sz w:val="18"/>
                <w:szCs w:val="18"/>
                <w:lang w:eastAsia="ko-KR"/>
              </w:rPr>
              <w:t>1 (0.9)</w:t>
            </w:r>
          </w:p>
        </w:tc>
      </w:tr>
      <w:tr w:rsidR="00AD0947" w:rsidRPr="00944253" w14:paraId="55C3283F"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401F4" w14:textId="77777777" w:rsidR="00AD0947" w:rsidRPr="00C827C7" w:rsidRDefault="00AD0947" w:rsidP="0037067F">
            <w:pPr>
              <w:pStyle w:val="TableParagraph"/>
              <w:kinsoku w:val="0"/>
              <w:overflowPunct w:val="0"/>
              <w:ind w:left="347"/>
              <w:rPr>
                <w:rFonts w:ascii="Cambria" w:hAnsi="Cambria"/>
                <w:sz w:val="18"/>
                <w:szCs w:val="18"/>
                <w:lang w:eastAsia="ko-KR"/>
              </w:rPr>
            </w:pPr>
            <w:r w:rsidRPr="00C827C7">
              <w:rPr>
                <w:rFonts w:ascii="Cambria" w:hAnsi="Cambria"/>
                <w:sz w:val="18"/>
                <w:szCs w:val="18"/>
                <w:lang w:eastAsia="ko-KR"/>
              </w:rPr>
              <w:t>Diarrhea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BB640" w14:textId="77777777" w:rsidR="00AD0947" w:rsidRPr="00C827C7" w:rsidRDefault="00AD0947" w:rsidP="0037067F">
            <w:pPr>
              <w:pStyle w:val="TableParagraph"/>
              <w:kinsoku w:val="0"/>
              <w:overflowPunct w:val="0"/>
              <w:ind w:left="4" w:right="6"/>
              <w:jc w:val="center"/>
              <w:rPr>
                <w:rFonts w:ascii="Cambria" w:hAnsi="Cambria"/>
                <w:spacing w:val="-2"/>
                <w:sz w:val="18"/>
                <w:szCs w:val="18"/>
                <w:lang w:eastAsia="ko-KR"/>
              </w:rPr>
            </w:pPr>
            <w:r w:rsidRPr="00C827C7">
              <w:rPr>
                <w:rFonts w:ascii="Cambria" w:hAnsi="Cambria"/>
                <w:spacing w:val="-2"/>
                <w:sz w:val="18"/>
                <w:szCs w:val="18"/>
                <w:lang w:eastAsia="ko-KR"/>
              </w:rPr>
              <w:t>10 (4.3)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B691A" w14:textId="77777777" w:rsidR="00AD0947" w:rsidRPr="00C827C7" w:rsidRDefault="00AD0947" w:rsidP="0037067F">
            <w:pPr>
              <w:pStyle w:val="TableParagraph"/>
              <w:kinsoku w:val="0"/>
              <w:overflowPunct w:val="0"/>
              <w:ind w:left="3" w:right="5"/>
              <w:jc w:val="center"/>
              <w:rPr>
                <w:rFonts w:ascii="Cambria" w:hAnsi="Cambria"/>
                <w:spacing w:val="-2"/>
                <w:sz w:val="18"/>
                <w:szCs w:val="18"/>
                <w:lang w:eastAsia="ko-KR"/>
              </w:rPr>
            </w:pPr>
            <w:r w:rsidRPr="00C827C7">
              <w:rPr>
                <w:rFonts w:ascii="Cambria" w:hAnsi="Cambria"/>
                <w:spacing w:val="-2"/>
                <w:sz w:val="18"/>
                <w:szCs w:val="18"/>
                <w:lang w:eastAsia="ko-KR"/>
              </w:rPr>
              <w:t>6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BD898" w14:textId="77777777" w:rsidR="00AD0947" w:rsidRPr="00C827C7" w:rsidRDefault="00AD0947" w:rsidP="0037067F">
            <w:pPr>
              <w:pStyle w:val="TableParagraph"/>
              <w:kinsoku w:val="0"/>
              <w:overflowPunct w:val="0"/>
              <w:ind w:left="2" w:right="5"/>
              <w:jc w:val="center"/>
              <w:rPr>
                <w:rFonts w:ascii="Cambria" w:hAnsi="Cambria"/>
                <w:spacing w:val="-2"/>
                <w:sz w:val="18"/>
                <w:szCs w:val="18"/>
                <w:lang w:eastAsia="ko-KR"/>
              </w:rPr>
            </w:pPr>
            <w:r w:rsidRPr="00C827C7">
              <w:rPr>
                <w:rFonts w:ascii="Cambria" w:hAnsi="Cambria"/>
                <w:spacing w:val="-2"/>
                <w:sz w:val="18"/>
                <w:szCs w:val="18"/>
                <w:lang w:eastAsia="ko-KR"/>
              </w:rPr>
              <w:t xml:space="preserve">3 (2.8) </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12A5D" w14:textId="77777777" w:rsidR="00AD0947" w:rsidRPr="00C827C7" w:rsidRDefault="00AD0947" w:rsidP="0037067F">
            <w:pPr>
              <w:pStyle w:val="TableParagraph"/>
              <w:kinsoku w:val="0"/>
              <w:overflowPunct w:val="0"/>
              <w:ind w:left="3" w:right="10"/>
              <w:jc w:val="center"/>
              <w:rPr>
                <w:rFonts w:ascii="Cambria" w:hAnsi="Cambria"/>
                <w:spacing w:val="-2"/>
                <w:sz w:val="18"/>
                <w:szCs w:val="18"/>
                <w:lang w:eastAsia="ko-KR"/>
              </w:rPr>
            </w:pPr>
            <w:r w:rsidRPr="00C827C7">
              <w:rPr>
                <w:rFonts w:ascii="Cambria" w:hAnsi="Cambria"/>
                <w:spacing w:val="-2"/>
                <w:sz w:val="18"/>
                <w:szCs w:val="18"/>
                <w:lang w:eastAsia="ko-KR"/>
              </w:rPr>
              <w:t>3 (2.7)</w:t>
            </w:r>
          </w:p>
        </w:tc>
      </w:tr>
      <w:tr w:rsidR="00AD0947" w:rsidRPr="00944253" w14:paraId="3867E5E0"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BD965" w14:textId="77777777" w:rsidR="00AD0947" w:rsidRPr="00C827C7" w:rsidRDefault="00AD0947" w:rsidP="0037067F">
            <w:pPr>
              <w:pStyle w:val="TableParagraph"/>
              <w:kinsoku w:val="0"/>
              <w:overflowPunct w:val="0"/>
              <w:ind w:left="107"/>
              <w:rPr>
                <w:rFonts w:ascii="Cambria" w:hAnsi="Cambria"/>
                <w:b/>
                <w:bCs/>
                <w:spacing w:val="-2"/>
                <w:sz w:val="18"/>
                <w:szCs w:val="18"/>
              </w:rPr>
            </w:pPr>
            <w:r w:rsidRPr="00C827C7">
              <w:rPr>
                <w:rFonts w:ascii="Cambria" w:hAnsi="Cambria"/>
                <w:b/>
                <w:bCs/>
                <w:sz w:val="18"/>
                <w:szCs w:val="18"/>
              </w:rPr>
              <w:t>Hepatobiliary</w:t>
            </w:r>
            <w:r w:rsidRPr="00C827C7">
              <w:rPr>
                <w:rFonts w:ascii="Cambria" w:hAnsi="Cambria"/>
                <w:b/>
                <w:bCs/>
                <w:spacing w:val="-12"/>
                <w:sz w:val="18"/>
                <w:szCs w:val="18"/>
              </w:rPr>
              <w:t xml:space="preserve"> </w:t>
            </w:r>
            <w:r w:rsidRPr="00C827C7">
              <w:rPr>
                <w:rFonts w:ascii="Cambria" w:hAnsi="Cambria"/>
                <w:b/>
                <w:bCs/>
                <w:spacing w:val="-2"/>
                <w:sz w:val="18"/>
                <w:szCs w:val="18"/>
              </w:rPr>
              <w:t>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FCFBC" w14:textId="77777777" w:rsidR="00AD0947" w:rsidRPr="00C827C7" w:rsidRDefault="00AD0947" w:rsidP="0037067F">
            <w:pPr>
              <w:pStyle w:val="TableParagraph"/>
              <w:kinsoku w:val="0"/>
              <w:overflowPunct w:val="0"/>
              <w:ind w:left="4" w:right="6"/>
              <w:jc w:val="center"/>
              <w:rPr>
                <w:rFonts w:ascii="Cambria" w:hAnsi="Cambria"/>
                <w:b/>
                <w:bCs/>
                <w:spacing w:val="-2"/>
                <w:sz w:val="18"/>
                <w:szCs w:val="18"/>
                <w:lang w:eastAsia="ko-KR"/>
              </w:rPr>
            </w:pPr>
            <w:r w:rsidRPr="00C827C7">
              <w:rPr>
                <w:rFonts w:ascii="Cambria" w:hAnsi="Cambria"/>
                <w:b/>
                <w:bCs/>
                <w:spacing w:val="-2"/>
                <w:sz w:val="18"/>
                <w:szCs w:val="18"/>
                <w:lang w:eastAsia="ko-KR"/>
              </w:rPr>
              <w:t>19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1232E" w14:textId="77777777" w:rsidR="00AD0947" w:rsidRPr="00C827C7" w:rsidRDefault="00AD0947" w:rsidP="0037067F">
            <w:pPr>
              <w:pStyle w:val="TableParagraph"/>
              <w:kinsoku w:val="0"/>
              <w:overflowPunct w:val="0"/>
              <w:ind w:left="3" w:right="5"/>
              <w:jc w:val="center"/>
              <w:rPr>
                <w:rFonts w:ascii="Cambria" w:hAnsi="Cambria"/>
                <w:b/>
                <w:bCs/>
                <w:spacing w:val="-2"/>
                <w:sz w:val="18"/>
                <w:szCs w:val="18"/>
                <w:lang w:eastAsia="ko-KR"/>
              </w:rPr>
            </w:pPr>
            <w:r w:rsidRPr="00C827C7">
              <w:rPr>
                <w:rFonts w:ascii="Cambria" w:hAnsi="Cambria"/>
                <w:b/>
                <w:bCs/>
                <w:spacing w:val="-2"/>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F8B47" w14:textId="77777777" w:rsidR="00AD0947" w:rsidRPr="00C827C7" w:rsidRDefault="00AD0947" w:rsidP="0037067F">
            <w:pPr>
              <w:pStyle w:val="TableParagraph"/>
              <w:kinsoku w:val="0"/>
              <w:overflowPunct w:val="0"/>
              <w:ind w:left="2" w:right="5"/>
              <w:jc w:val="center"/>
              <w:rPr>
                <w:rFonts w:ascii="Cambria" w:hAnsi="Cambria"/>
                <w:b/>
                <w:bCs/>
                <w:spacing w:val="-2"/>
                <w:sz w:val="18"/>
                <w:szCs w:val="18"/>
                <w:lang w:eastAsia="ko-KR"/>
              </w:rPr>
            </w:pPr>
            <w:r w:rsidRPr="00C827C7">
              <w:rPr>
                <w:rFonts w:ascii="Cambria" w:hAnsi="Cambria"/>
                <w:b/>
                <w:bCs/>
                <w:spacing w:val="-2"/>
                <w:sz w:val="18"/>
                <w:szCs w:val="18"/>
                <w:lang w:eastAsia="ko-KR"/>
              </w:rPr>
              <w:t>4 (3.7)</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F0E65" w14:textId="77777777" w:rsidR="00AD0947" w:rsidRPr="00C827C7" w:rsidRDefault="00AD0947" w:rsidP="0037067F">
            <w:pPr>
              <w:pStyle w:val="TableParagraph"/>
              <w:kinsoku w:val="0"/>
              <w:overflowPunct w:val="0"/>
              <w:ind w:left="3" w:right="10"/>
              <w:jc w:val="center"/>
              <w:rPr>
                <w:rFonts w:ascii="Cambria" w:hAnsi="Cambria"/>
                <w:b/>
                <w:bCs/>
                <w:spacing w:val="-2"/>
                <w:sz w:val="18"/>
                <w:szCs w:val="18"/>
                <w:lang w:eastAsia="ko-KR"/>
              </w:rPr>
            </w:pPr>
            <w:r w:rsidRPr="00C827C7">
              <w:rPr>
                <w:rFonts w:ascii="Cambria" w:hAnsi="Cambria"/>
                <w:b/>
                <w:bCs/>
                <w:spacing w:val="-2"/>
                <w:sz w:val="18"/>
                <w:szCs w:val="18"/>
                <w:lang w:eastAsia="ko-KR"/>
              </w:rPr>
              <w:t>2 (1.8)</w:t>
            </w:r>
          </w:p>
        </w:tc>
      </w:tr>
      <w:tr w:rsidR="00AD0947" w:rsidRPr="00944253" w14:paraId="3163FB9F"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A8A29" w14:textId="77777777" w:rsidR="00AD0947" w:rsidRPr="00C827C7" w:rsidRDefault="00AD0947" w:rsidP="0037067F">
            <w:pPr>
              <w:pStyle w:val="TableParagraph"/>
              <w:kinsoku w:val="0"/>
              <w:overflowPunct w:val="0"/>
              <w:ind w:left="347"/>
              <w:rPr>
                <w:rFonts w:ascii="Cambria" w:hAnsi="Cambria"/>
                <w:b/>
                <w:bCs/>
                <w:sz w:val="18"/>
                <w:szCs w:val="18"/>
                <w:lang w:eastAsia="ko-KR"/>
              </w:rPr>
            </w:pPr>
            <w:r w:rsidRPr="00C827C7">
              <w:rPr>
                <w:rFonts w:ascii="Cambria" w:hAnsi="Cambria"/>
                <w:spacing w:val="-2"/>
                <w:sz w:val="18"/>
                <w:szCs w:val="18"/>
              </w:rPr>
              <w:t>Drug-induced liver injury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2FAD2"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D1F69"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1 (0.4)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ABFCE"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 (0.9)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D38AD"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0</w:t>
            </w:r>
          </w:p>
        </w:tc>
      </w:tr>
      <w:tr w:rsidR="00AD0947" w:rsidRPr="00944253" w14:paraId="0709BF27"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D422" w14:textId="77777777" w:rsidR="00AD0947" w:rsidRPr="00C827C7" w:rsidRDefault="00AD0947" w:rsidP="0037067F">
            <w:pPr>
              <w:pStyle w:val="TableParagraph"/>
              <w:kinsoku w:val="0"/>
              <w:overflowPunct w:val="0"/>
              <w:ind w:left="107"/>
              <w:rPr>
                <w:rFonts w:ascii="Cambria" w:hAnsi="Cambria"/>
                <w:b/>
                <w:bCs/>
                <w:sz w:val="18"/>
                <w:szCs w:val="18"/>
              </w:rPr>
            </w:pPr>
            <w:r w:rsidRPr="00C827C7">
              <w:rPr>
                <w:rFonts w:ascii="Cambria" w:hAnsi="Cambria"/>
                <w:b/>
                <w:bCs/>
                <w:sz w:val="18"/>
                <w:szCs w:val="18"/>
              </w:rPr>
              <w:t>Immune</w:t>
            </w:r>
            <w:r w:rsidRPr="00C827C7">
              <w:rPr>
                <w:rFonts w:ascii="Cambria" w:hAnsi="Cambria"/>
                <w:b/>
                <w:bCs/>
                <w:spacing w:val="-13"/>
                <w:sz w:val="18"/>
                <w:szCs w:val="18"/>
              </w:rPr>
              <w:t xml:space="preserve"> </w:t>
            </w:r>
            <w:r w:rsidRPr="00C827C7">
              <w:rPr>
                <w:rFonts w:ascii="Cambria" w:hAnsi="Cambria"/>
                <w:b/>
                <w:bCs/>
                <w:sz w:val="18"/>
                <w:szCs w:val="18"/>
              </w:rPr>
              <w:t xml:space="preserve">system </w:t>
            </w:r>
            <w:r w:rsidRPr="00C827C7">
              <w:rPr>
                <w:rFonts w:ascii="Cambria" w:hAnsi="Cambria"/>
                <w:b/>
                <w:bCs/>
                <w:spacing w:val="-2"/>
                <w:sz w:val="18"/>
                <w:szCs w:val="18"/>
              </w:rPr>
              <w:t>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F003B"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5 (2.1)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8B626"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073B2"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2 (1.8)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34DBA"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2 (1.8)</w:t>
            </w:r>
          </w:p>
        </w:tc>
      </w:tr>
      <w:tr w:rsidR="00AD0947" w:rsidRPr="00944253" w14:paraId="550F5EC2"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E1D5" w14:textId="77777777" w:rsidR="00AD0947" w:rsidRPr="00C827C7" w:rsidRDefault="00AD0947" w:rsidP="0037067F">
            <w:pPr>
              <w:pStyle w:val="TableParagraph"/>
              <w:kinsoku w:val="0"/>
              <w:overflowPunct w:val="0"/>
              <w:ind w:left="347"/>
              <w:rPr>
                <w:rFonts w:ascii="Cambria" w:hAnsi="Cambria"/>
                <w:b/>
                <w:bCs/>
                <w:sz w:val="18"/>
                <w:szCs w:val="18"/>
              </w:rPr>
            </w:pPr>
            <w:r w:rsidRPr="00C827C7">
              <w:rPr>
                <w:rFonts w:ascii="Cambria" w:hAnsi="Cambria"/>
                <w:spacing w:val="-2"/>
                <w:sz w:val="18"/>
                <w:szCs w:val="18"/>
              </w:rPr>
              <w:t>Hypersensitivity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277BA"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4 (1.7)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8021F"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8 (3.4)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63A27"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 (0.9)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1AA50"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2 (1.8)</w:t>
            </w:r>
          </w:p>
        </w:tc>
      </w:tr>
      <w:tr w:rsidR="00AD0947" w:rsidRPr="00944253" w14:paraId="7818504A"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30BF3" w14:textId="77777777" w:rsidR="00AD0947" w:rsidRPr="00C827C7" w:rsidRDefault="00AD0947" w:rsidP="0037067F">
            <w:pPr>
              <w:pStyle w:val="TableParagraph"/>
              <w:kinsoku w:val="0"/>
              <w:overflowPunct w:val="0"/>
              <w:ind w:left="107"/>
              <w:rPr>
                <w:rFonts w:ascii="Cambria" w:hAnsi="Cambria"/>
                <w:b/>
                <w:bCs/>
                <w:sz w:val="18"/>
                <w:szCs w:val="18"/>
              </w:rPr>
            </w:pPr>
            <w:r w:rsidRPr="00C827C7">
              <w:rPr>
                <w:rFonts w:ascii="Cambria" w:hAnsi="Cambria"/>
                <w:b/>
                <w:bCs/>
                <w:sz w:val="18"/>
                <w:szCs w:val="18"/>
              </w:rPr>
              <w:t>Infections</w:t>
            </w:r>
            <w:r w:rsidRPr="00C827C7">
              <w:rPr>
                <w:rFonts w:ascii="Cambria" w:hAnsi="Cambria"/>
                <w:b/>
                <w:bCs/>
                <w:spacing w:val="-13"/>
                <w:sz w:val="18"/>
                <w:szCs w:val="18"/>
              </w:rPr>
              <w:t xml:space="preserve"> </w:t>
            </w:r>
            <w:r w:rsidRPr="00C827C7">
              <w:rPr>
                <w:rFonts w:ascii="Cambria" w:hAnsi="Cambria"/>
                <w:b/>
                <w:bCs/>
                <w:sz w:val="18"/>
                <w:szCs w:val="18"/>
              </w:rPr>
              <w:t xml:space="preserve">and </w:t>
            </w:r>
            <w:r w:rsidRPr="00C827C7">
              <w:rPr>
                <w:rFonts w:ascii="Cambria" w:hAnsi="Cambria"/>
                <w:b/>
                <w:bCs/>
                <w:spacing w:val="-2"/>
                <w:sz w:val="18"/>
                <w:szCs w:val="18"/>
              </w:rPr>
              <w:t>infestations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358D"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131 (56.0)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95EFB"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117 (49.4)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D874B"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52 (47.7)</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C265C"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55 (50)</w:t>
            </w:r>
          </w:p>
        </w:tc>
      </w:tr>
      <w:tr w:rsidR="00AD0947" w:rsidRPr="00944253" w14:paraId="5C2FC658"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D21EA"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Bronchitis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AF1BC"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7 (3.0)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B06F"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11 (4.6)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564F9"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5 (4.6)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F6559"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5 (4.5)</w:t>
            </w:r>
          </w:p>
        </w:tc>
      </w:tr>
      <w:tr w:rsidR="00AD0947" w:rsidRPr="00944253" w14:paraId="004B0E40"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914F5"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Latent tuberculosis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5BF90"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 xml:space="preserve">16 (6.8)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2D8DF"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8 (3.4)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6A985"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3 (2.8)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22A3B"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5 (4.5)</w:t>
            </w:r>
          </w:p>
        </w:tc>
      </w:tr>
      <w:tr w:rsidR="00AD0947" w:rsidRPr="00944253" w14:paraId="529608C4"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E678B"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Nasopharyngitis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72579"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25 (10.7)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58359"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25 (10.5)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D8DA"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11 (10.1)</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81622"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13 (11.8)</w:t>
            </w:r>
          </w:p>
        </w:tc>
      </w:tr>
      <w:tr w:rsidR="00AD0947" w:rsidRPr="00944253" w14:paraId="17AA7FB2"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B2F0D" w14:textId="77777777" w:rsidR="00AD0947" w:rsidRPr="00C827C7" w:rsidRDefault="00AD0947" w:rsidP="0037067F">
            <w:pPr>
              <w:pStyle w:val="TableParagraph"/>
              <w:kinsoku w:val="0"/>
              <w:overflowPunct w:val="0"/>
              <w:ind w:left="347"/>
              <w:rPr>
                <w:rFonts w:ascii="Cambria" w:hAnsi="Cambria"/>
                <w:spacing w:val="-2"/>
                <w:sz w:val="18"/>
                <w:szCs w:val="18"/>
                <w:lang w:eastAsia="ko-KR"/>
              </w:rPr>
            </w:pPr>
            <w:r w:rsidRPr="00C827C7">
              <w:rPr>
                <w:rFonts w:ascii="Cambria" w:hAnsi="Cambria"/>
                <w:spacing w:val="-2"/>
                <w:sz w:val="18"/>
                <w:szCs w:val="18"/>
              </w:rPr>
              <w:lastRenderedPageBreak/>
              <w:t xml:space="preserve">Oral </w:t>
            </w:r>
            <w:r w:rsidRPr="00C827C7">
              <w:rPr>
                <w:rFonts w:ascii="Cambria" w:hAnsi="Cambria"/>
                <w:spacing w:val="-2"/>
                <w:sz w:val="18"/>
                <w:szCs w:val="18"/>
                <w:lang w:eastAsia="ko-KR"/>
              </w:rPr>
              <w:t>herpes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8FC7C"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5 (2.1)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AF711"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50EBC"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5 (4.6)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307AE"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4 (3.6)</w:t>
            </w:r>
          </w:p>
        </w:tc>
      </w:tr>
      <w:tr w:rsidR="00AD0947" w:rsidRPr="00944253" w14:paraId="72AFFC96"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18F35"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Pharyngitis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F98EF"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13 (5.6)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AB08A"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11 (4.6)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372F1"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5 (4.6)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D69C8"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6 (5.5)</w:t>
            </w:r>
          </w:p>
        </w:tc>
      </w:tr>
      <w:tr w:rsidR="00AD0947" w:rsidRPr="00944253" w14:paraId="5FD91CE3"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0C03" w14:textId="77777777" w:rsidR="00AD0947" w:rsidRPr="00C827C7" w:rsidRDefault="00AD0947" w:rsidP="0037067F">
            <w:pPr>
              <w:pStyle w:val="TableParagraph"/>
              <w:kinsoku w:val="0"/>
              <w:overflowPunct w:val="0"/>
              <w:ind w:left="347"/>
              <w:rPr>
                <w:rFonts w:ascii="Cambria" w:hAnsi="Cambria"/>
                <w:spacing w:val="-2"/>
                <w:sz w:val="18"/>
                <w:szCs w:val="18"/>
                <w:lang w:eastAsia="ko-KR"/>
              </w:rPr>
            </w:pPr>
            <w:r w:rsidRPr="00C827C7">
              <w:rPr>
                <w:rFonts w:ascii="Cambria" w:hAnsi="Cambria"/>
                <w:spacing w:val="-2"/>
                <w:sz w:val="18"/>
                <w:szCs w:val="18"/>
                <w:lang w:eastAsia="ko-KR"/>
              </w:rPr>
              <w:t>Sinusitis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BC34E"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10 (4.3)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0569C"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7 (3.0)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77F41"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3 (2.8)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9BF9E"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3 (2.7)</w:t>
            </w:r>
          </w:p>
        </w:tc>
      </w:tr>
      <w:tr w:rsidR="00AD0947" w:rsidRPr="00944253" w14:paraId="5F362385"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6207C"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Tonsillitis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8FDBA"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10 (4.3)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AA9C1"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2 (0.8)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F1B24"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 (0.9)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11F9A"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1 (0.9)</w:t>
            </w:r>
          </w:p>
        </w:tc>
      </w:tr>
      <w:tr w:rsidR="00AD0947" w:rsidRPr="00944253" w14:paraId="6AD54089"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9795"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Upper respiratory tract infection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D090B"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61 (26.1)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0C3A2"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52 (21.9)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E197B"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28 (25.7)</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478A5"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22 (20)</w:t>
            </w:r>
          </w:p>
        </w:tc>
      </w:tr>
      <w:tr w:rsidR="00AD0947" w:rsidRPr="00944253" w14:paraId="7DC34494"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9A582"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Urinary tract infection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F28B1"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6 (2.6)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8FE8A"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9F83B"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5 (4.6)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4D244"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4 (3.6)</w:t>
            </w:r>
          </w:p>
        </w:tc>
      </w:tr>
      <w:tr w:rsidR="00AD0947" w:rsidRPr="00944253" w14:paraId="772B3049"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AE5B7" w14:textId="77777777" w:rsidR="00AD0947" w:rsidRPr="00C827C7" w:rsidRDefault="00AD0947" w:rsidP="0037067F">
            <w:pPr>
              <w:pStyle w:val="TableParagraph"/>
              <w:kinsoku w:val="0"/>
              <w:overflowPunct w:val="0"/>
              <w:ind w:left="107"/>
              <w:rPr>
                <w:rFonts w:ascii="Cambria" w:hAnsi="Cambria"/>
                <w:b/>
                <w:spacing w:val="-2"/>
                <w:sz w:val="18"/>
                <w:szCs w:val="18"/>
                <w:lang w:eastAsia="ko-KR"/>
              </w:rPr>
            </w:pPr>
            <w:r w:rsidRPr="00C827C7">
              <w:rPr>
                <w:rFonts w:ascii="Cambria" w:hAnsi="Cambria"/>
                <w:b/>
                <w:spacing w:val="-2"/>
                <w:sz w:val="18"/>
                <w:szCs w:val="18"/>
                <w:lang w:eastAsia="ko-KR"/>
              </w:rPr>
              <w:t>Injury, poisoning and procedural complications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B7260"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19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F9EFF"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16 (6.8)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37979"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8 (7.3)</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7F2D2"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8 (7.3)</w:t>
            </w:r>
          </w:p>
        </w:tc>
      </w:tr>
      <w:tr w:rsidR="00AD0947" w:rsidRPr="00944253" w14:paraId="023D3612"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86418" w14:textId="77777777" w:rsidR="00AD0947" w:rsidRPr="00C827C7" w:rsidRDefault="00AD0947" w:rsidP="0037067F">
            <w:pPr>
              <w:pStyle w:val="TableParagraph"/>
              <w:kinsoku w:val="0"/>
              <w:overflowPunct w:val="0"/>
              <w:ind w:left="347"/>
              <w:rPr>
                <w:rFonts w:ascii="Cambria" w:hAnsi="Cambria"/>
                <w:b/>
                <w:spacing w:val="-2"/>
                <w:sz w:val="18"/>
                <w:szCs w:val="18"/>
                <w:lang w:eastAsia="ko-KR"/>
              </w:rPr>
            </w:pPr>
            <w:r w:rsidRPr="00C827C7">
              <w:rPr>
                <w:rFonts w:ascii="Cambria" w:hAnsi="Cambria"/>
                <w:spacing w:val="-2"/>
                <w:sz w:val="18"/>
                <w:szCs w:val="18"/>
                <w:lang w:eastAsia="ko-KR"/>
              </w:rPr>
              <w:t>Contusion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4C50F"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2 (0.9)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8B036"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6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CC056"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 xml:space="preserve">4 (3.7) </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B9058"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2 (1.8)</w:t>
            </w:r>
          </w:p>
        </w:tc>
      </w:tr>
      <w:tr w:rsidR="00AD0947" w:rsidRPr="00944253" w14:paraId="63225C57"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00991" w14:textId="77777777" w:rsidR="00AD0947" w:rsidRPr="00C827C7" w:rsidRDefault="00AD0947" w:rsidP="0037067F">
            <w:pPr>
              <w:pStyle w:val="TableParagraph"/>
              <w:kinsoku w:val="0"/>
              <w:overflowPunct w:val="0"/>
              <w:ind w:left="107"/>
              <w:rPr>
                <w:rFonts w:ascii="Cambria" w:hAnsi="Cambria"/>
                <w:b/>
                <w:bCs/>
                <w:sz w:val="18"/>
                <w:szCs w:val="18"/>
              </w:rPr>
            </w:pPr>
            <w:r w:rsidRPr="00C827C7">
              <w:rPr>
                <w:rFonts w:ascii="Cambria" w:hAnsi="Cambria"/>
                <w:b/>
                <w:bCs/>
                <w:spacing w:val="-2"/>
                <w:sz w:val="18"/>
                <w:szCs w:val="18"/>
              </w:rPr>
              <w:t>Investigations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BA10D"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94 (40.2)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E6913"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112 (47.3)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1F51C"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53 (48.6)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53300"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53 (48.2)</w:t>
            </w:r>
          </w:p>
        </w:tc>
      </w:tr>
      <w:tr w:rsidR="00AD0947" w:rsidRPr="00944253" w14:paraId="13B323FA"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D718A"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Alanine aminotransferase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97F3F"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51 (21.8)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34BA2"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64 (27.0)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96517"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29 (26.6)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7D1A9"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30 (27.3)</w:t>
            </w:r>
          </w:p>
        </w:tc>
      </w:tr>
      <w:tr w:rsidR="00AD0947" w:rsidRPr="00944253" w14:paraId="0F56EC30"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7F0A8"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Aspartate aminotransferase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837C5"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21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5922"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28 (11.8)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83BA7"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13 (11.9)</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54863"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13 (11.8)</w:t>
            </w:r>
          </w:p>
        </w:tc>
      </w:tr>
      <w:tr w:rsidR="00AD0947" w:rsidRPr="00944253" w14:paraId="0F1DE849"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FA869"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Blood creatine phosphokinase MB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C75C0"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14 (6.0)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E03AA"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16 (6.8)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F8472"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11 (10.1)</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8F4A3"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5 (4.5)</w:t>
            </w:r>
          </w:p>
        </w:tc>
      </w:tr>
      <w:tr w:rsidR="00AD0947" w:rsidRPr="00944253" w14:paraId="73287E11"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EE8C"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Blood creatine phosphokinase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022EA"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82B5E"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6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4B67A"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3 (2.8)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93BD1"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3 (2.7)</w:t>
            </w:r>
          </w:p>
        </w:tc>
      </w:tr>
      <w:tr w:rsidR="00AD0947" w:rsidRPr="00944253" w14:paraId="663F11CD"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93467" w14:textId="77777777" w:rsidR="00AD0947" w:rsidRPr="00C827C7" w:rsidRDefault="00AD0947" w:rsidP="0037067F">
            <w:pPr>
              <w:pStyle w:val="TableParagraph"/>
              <w:kinsoku w:val="0"/>
              <w:overflowPunct w:val="0"/>
              <w:ind w:left="347"/>
              <w:rPr>
                <w:rFonts w:ascii="Cambria" w:hAnsi="Cambria"/>
                <w:spacing w:val="-2"/>
                <w:sz w:val="18"/>
                <w:szCs w:val="18"/>
                <w:lang w:eastAsia="ko-KR"/>
              </w:rPr>
            </w:pPr>
            <w:r w:rsidRPr="00C827C7">
              <w:rPr>
                <w:rFonts w:ascii="Cambria" w:hAnsi="Cambria"/>
                <w:spacing w:val="-2"/>
                <w:sz w:val="18"/>
                <w:szCs w:val="18"/>
                <w:lang w:eastAsia="ko-KR"/>
              </w:rPr>
              <w:t>Gamma-glutamyltransferase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C58B8"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8 (3.4)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443B7"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6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69827"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5 (4.6)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7CD62"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1 (0.9)</w:t>
            </w:r>
          </w:p>
        </w:tc>
      </w:tr>
      <w:tr w:rsidR="00AD0947" w:rsidRPr="00944253" w14:paraId="288F75D7"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AC037"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Liver function test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CB02E"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6 (2.6)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FC961"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D3AAB"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5 (4.6)</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0A750"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4 (3.6)</w:t>
            </w:r>
          </w:p>
        </w:tc>
      </w:tr>
      <w:tr w:rsidR="00AD0947" w:rsidRPr="00944253" w14:paraId="64588EEF"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8816A"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Neutrophil count decreased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97DD9"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7 (3.0)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DCC78"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5 (2.1)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9DAE2"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3 (2.8)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EC7ED"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2 (1.8)</w:t>
            </w:r>
          </w:p>
        </w:tc>
      </w:tr>
      <w:tr w:rsidR="00AD0947" w:rsidRPr="00944253" w14:paraId="314E1216"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705DBD" w14:textId="77777777" w:rsidR="00AD0947" w:rsidRPr="00C827C7" w:rsidRDefault="00AD0947" w:rsidP="0037067F">
            <w:pPr>
              <w:pStyle w:val="TableParagraph"/>
              <w:kinsoku w:val="0"/>
              <w:overflowPunct w:val="0"/>
              <w:ind w:left="347"/>
              <w:rPr>
                <w:rFonts w:ascii="Cambria" w:hAnsi="Cambria"/>
                <w:b/>
                <w:bCs/>
                <w:spacing w:val="-2"/>
                <w:sz w:val="18"/>
                <w:szCs w:val="18"/>
              </w:rPr>
            </w:pPr>
            <w:r w:rsidRPr="00C827C7">
              <w:rPr>
                <w:rFonts w:ascii="Cambria" w:hAnsi="Cambria"/>
                <w:spacing w:val="-2"/>
                <w:sz w:val="18"/>
                <w:szCs w:val="18"/>
              </w:rPr>
              <w:t>Transaminases increased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8D940"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10 (4.3)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351EE"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14 (5.9)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ADD98"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3 (2.8)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3EAA9"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10 (9.1)</w:t>
            </w:r>
          </w:p>
        </w:tc>
      </w:tr>
      <w:tr w:rsidR="00AD0947" w:rsidRPr="00944253" w14:paraId="1D65A091"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8B4C8" w14:textId="77777777" w:rsidR="00AD0947" w:rsidRPr="00C827C7" w:rsidRDefault="00AD0947" w:rsidP="0037067F">
            <w:pPr>
              <w:pStyle w:val="TableParagraph"/>
              <w:kinsoku w:val="0"/>
              <w:overflowPunct w:val="0"/>
              <w:ind w:left="107"/>
              <w:rPr>
                <w:rFonts w:ascii="Cambria" w:hAnsi="Cambria"/>
                <w:b/>
                <w:bCs/>
                <w:spacing w:val="-2"/>
                <w:sz w:val="18"/>
                <w:szCs w:val="18"/>
              </w:rPr>
            </w:pPr>
            <w:r w:rsidRPr="00C827C7">
              <w:rPr>
                <w:rFonts w:ascii="Cambria" w:hAnsi="Cambria"/>
                <w:b/>
                <w:bCs/>
                <w:sz w:val="18"/>
                <w:szCs w:val="18"/>
              </w:rPr>
              <w:t>Metabolism and nutrition</w:t>
            </w:r>
            <w:r w:rsidRPr="00C827C7">
              <w:rPr>
                <w:rFonts w:ascii="Cambria" w:hAnsi="Cambria"/>
                <w:b/>
                <w:bCs/>
                <w:spacing w:val="-13"/>
                <w:sz w:val="18"/>
                <w:szCs w:val="18"/>
              </w:rPr>
              <w:t xml:space="preserve"> </w:t>
            </w:r>
            <w:r w:rsidRPr="00C827C7">
              <w:rPr>
                <w:rFonts w:ascii="Cambria" w:hAnsi="Cambria"/>
                <w:b/>
                <w:bCs/>
                <w:sz w:val="18"/>
                <w:szCs w:val="18"/>
              </w:rPr>
              <w:t>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C1558"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38 (16.2)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B810A"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32 (13.5)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210F8"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19 (17.4)</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1E25B"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11 (10)</w:t>
            </w:r>
          </w:p>
        </w:tc>
      </w:tr>
      <w:tr w:rsidR="00AD0947" w:rsidRPr="00944253" w14:paraId="484C78A2"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968B"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Hypercholesterolaemia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5315C"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20 (8.5)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34841"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21 (8.9)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79113"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12 (11.0)</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546DE"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9 (8.2)</w:t>
            </w:r>
          </w:p>
        </w:tc>
      </w:tr>
      <w:tr w:rsidR="00AD0947" w:rsidRPr="00944253" w14:paraId="1DE86786"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CAB5B"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Hyperlipidaemia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686FE"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59C4F"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5 (2.1)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A5AF8"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2 (1.8)</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08E85"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2 (1.8)</w:t>
            </w:r>
          </w:p>
        </w:tc>
      </w:tr>
      <w:tr w:rsidR="00AD0947" w:rsidRPr="00944253" w14:paraId="4E872DDD"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4609" w14:textId="77777777" w:rsidR="00AD0947" w:rsidRPr="00C827C7" w:rsidRDefault="00AD0947" w:rsidP="0037067F">
            <w:pPr>
              <w:pStyle w:val="TableParagraph"/>
              <w:kinsoku w:val="0"/>
              <w:overflowPunct w:val="0"/>
              <w:ind w:left="347"/>
              <w:rPr>
                <w:rFonts w:ascii="Cambria" w:hAnsi="Cambria"/>
                <w:spacing w:val="-2"/>
                <w:sz w:val="18"/>
                <w:szCs w:val="18"/>
              </w:rPr>
            </w:pPr>
            <w:r w:rsidRPr="00C827C7">
              <w:rPr>
                <w:rFonts w:ascii="Cambria" w:hAnsi="Cambria"/>
                <w:spacing w:val="-2"/>
                <w:sz w:val="18"/>
                <w:szCs w:val="18"/>
              </w:rPr>
              <w:t>Hyperuricaemia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3B69D"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2 (0.9)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17BE1"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4 (1.7)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A2E38"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4 (3.7)</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BFF20"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0</w:t>
            </w:r>
          </w:p>
        </w:tc>
      </w:tr>
      <w:tr w:rsidR="00AD0947" w:rsidRPr="00944253" w14:paraId="0DF6551D"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75CD0" w14:textId="77777777" w:rsidR="00AD0947" w:rsidRPr="00C827C7" w:rsidRDefault="00AD0947" w:rsidP="0037067F">
            <w:pPr>
              <w:pStyle w:val="TableParagraph"/>
              <w:kinsoku w:val="0"/>
              <w:overflowPunct w:val="0"/>
              <w:ind w:left="107"/>
              <w:rPr>
                <w:rFonts w:ascii="Cambria" w:hAnsi="Cambria"/>
                <w:spacing w:val="-2"/>
                <w:sz w:val="18"/>
                <w:szCs w:val="18"/>
              </w:rPr>
            </w:pPr>
            <w:r w:rsidRPr="00C827C7">
              <w:rPr>
                <w:rFonts w:ascii="Cambria" w:hAnsi="Cambria"/>
                <w:b/>
                <w:bCs/>
                <w:sz w:val="18"/>
                <w:szCs w:val="18"/>
              </w:rPr>
              <w:t>Nervous</w:t>
            </w:r>
            <w:r w:rsidRPr="00C827C7">
              <w:rPr>
                <w:rFonts w:ascii="Cambria" w:hAnsi="Cambria"/>
                <w:b/>
                <w:bCs/>
                <w:spacing w:val="-13"/>
                <w:sz w:val="18"/>
                <w:szCs w:val="18"/>
              </w:rPr>
              <w:t xml:space="preserve"> </w:t>
            </w:r>
            <w:r w:rsidRPr="00C827C7">
              <w:rPr>
                <w:rFonts w:ascii="Cambria" w:hAnsi="Cambria"/>
                <w:b/>
                <w:bCs/>
                <w:sz w:val="18"/>
                <w:szCs w:val="18"/>
              </w:rPr>
              <w:t xml:space="preserve">system </w:t>
            </w:r>
            <w:r w:rsidRPr="00C827C7">
              <w:rPr>
                <w:rFonts w:ascii="Cambria" w:hAnsi="Cambria"/>
                <w:b/>
                <w:bCs/>
                <w:spacing w:val="-2"/>
                <w:sz w:val="18"/>
                <w:szCs w:val="18"/>
              </w:rPr>
              <w:t>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0761F"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19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065F1"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17 (7.2)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3B0DB"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7 (6.4)</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4A762"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8 (7.3)</w:t>
            </w:r>
          </w:p>
        </w:tc>
      </w:tr>
      <w:tr w:rsidR="00AD0947" w:rsidRPr="00944253" w14:paraId="45EC7D88"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BEC69" w14:textId="77777777" w:rsidR="00AD0947" w:rsidRPr="00C827C7" w:rsidRDefault="00AD0947" w:rsidP="0037067F">
            <w:pPr>
              <w:pStyle w:val="TableParagraph"/>
              <w:kinsoku w:val="0"/>
              <w:overflowPunct w:val="0"/>
              <w:ind w:left="347"/>
              <w:rPr>
                <w:rFonts w:ascii="Cambria" w:hAnsi="Cambria"/>
                <w:b/>
                <w:bCs/>
                <w:sz w:val="18"/>
                <w:szCs w:val="18"/>
              </w:rPr>
            </w:pPr>
            <w:r w:rsidRPr="00C827C7">
              <w:rPr>
                <w:rFonts w:ascii="Cambria" w:hAnsi="Cambria"/>
                <w:spacing w:val="-2"/>
                <w:sz w:val="18"/>
                <w:szCs w:val="18"/>
              </w:rPr>
              <w:t>Headache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95ECC"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8 (3.4)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68C1C"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11 (4.6)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9B309"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4 (3.7)</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64832"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7 (6.4)</w:t>
            </w:r>
          </w:p>
        </w:tc>
      </w:tr>
      <w:tr w:rsidR="00AD0947" w:rsidRPr="00944253" w14:paraId="16C49340"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89C4E" w14:textId="77777777" w:rsidR="00AD0947" w:rsidRPr="00C827C7" w:rsidRDefault="00AD0947" w:rsidP="0037067F">
            <w:pPr>
              <w:pStyle w:val="TableParagraph"/>
              <w:kinsoku w:val="0"/>
              <w:overflowPunct w:val="0"/>
              <w:ind w:left="107"/>
              <w:rPr>
                <w:rFonts w:ascii="Cambria" w:hAnsi="Cambria"/>
                <w:b/>
                <w:sz w:val="18"/>
                <w:szCs w:val="18"/>
                <w:lang w:eastAsia="ko-KR"/>
              </w:rPr>
            </w:pPr>
            <w:r w:rsidRPr="00C827C7">
              <w:rPr>
                <w:rFonts w:ascii="Cambria" w:hAnsi="Cambria"/>
                <w:b/>
                <w:sz w:val="18"/>
                <w:szCs w:val="18"/>
                <w:lang w:eastAsia="ko-KR"/>
              </w:rPr>
              <w:t xml:space="preserve">Skin and subcutaneous tissue disorders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12445"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19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92CEE"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22 (9.3)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D7357"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9 (8.3)</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E9205"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11 (10)</w:t>
            </w:r>
          </w:p>
        </w:tc>
      </w:tr>
      <w:tr w:rsidR="00AD0947" w:rsidRPr="00944253" w14:paraId="33CD8BB8"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1B207" w14:textId="77777777" w:rsidR="00AD0947" w:rsidRPr="00C827C7" w:rsidRDefault="00AD0947" w:rsidP="0037067F">
            <w:pPr>
              <w:pStyle w:val="TableParagraph"/>
              <w:kinsoku w:val="0"/>
              <w:overflowPunct w:val="0"/>
              <w:ind w:left="347"/>
              <w:rPr>
                <w:rFonts w:ascii="Cambria" w:hAnsi="Cambria"/>
                <w:spacing w:val="-2"/>
                <w:sz w:val="18"/>
                <w:szCs w:val="18"/>
                <w:lang w:eastAsia="ko-KR"/>
              </w:rPr>
            </w:pPr>
            <w:r w:rsidRPr="00C827C7">
              <w:rPr>
                <w:rFonts w:ascii="Cambria" w:hAnsi="Cambria"/>
                <w:spacing w:val="-2"/>
                <w:sz w:val="18"/>
                <w:szCs w:val="18"/>
                <w:lang w:eastAsia="ko-KR"/>
              </w:rPr>
              <w:t>Rash</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77DB9" w14:textId="77777777" w:rsidR="00AD0947" w:rsidRPr="00C827C7" w:rsidRDefault="00AD0947" w:rsidP="0037067F">
            <w:pPr>
              <w:pStyle w:val="TableParagraph"/>
              <w:kinsoku w:val="0"/>
              <w:overflowPunct w:val="0"/>
              <w:ind w:left="4" w:right="6"/>
              <w:jc w:val="center"/>
              <w:rPr>
                <w:rFonts w:ascii="Cambria" w:hAnsi="Cambria"/>
                <w:sz w:val="18"/>
                <w:szCs w:val="18"/>
                <w:lang w:eastAsia="ko-KR"/>
              </w:rPr>
            </w:pPr>
            <w:r w:rsidRPr="00C827C7">
              <w:rPr>
                <w:rFonts w:ascii="Cambria" w:hAnsi="Cambria"/>
                <w:sz w:val="18"/>
                <w:szCs w:val="18"/>
                <w:lang w:eastAsia="ko-KR"/>
              </w:rPr>
              <w:t>9 (3.8)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F1179" w14:textId="77777777" w:rsidR="00AD0947" w:rsidRPr="00C827C7" w:rsidRDefault="00AD0947" w:rsidP="0037067F">
            <w:pPr>
              <w:pStyle w:val="TableParagraph"/>
              <w:kinsoku w:val="0"/>
              <w:overflowPunct w:val="0"/>
              <w:ind w:left="3" w:right="5"/>
              <w:jc w:val="center"/>
              <w:rPr>
                <w:rFonts w:ascii="Cambria" w:hAnsi="Cambria"/>
                <w:sz w:val="18"/>
                <w:szCs w:val="18"/>
                <w:lang w:eastAsia="ko-KR"/>
              </w:rPr>
            </w:pPr>
            <w:r w:rsidRPr="00C827C7">
              <w:rPr>
                <w:rFonts w:ascii="Cambria" w:hAnsi="Cambria"/>
                <w:sz w:val="18"/>
                <w:szCs w:val="18"/>
                <w:lang w:eastAsia="ko-KR"/>
              </w:rPr>
              <w:t>2 (0.8)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E451F" w14:textId="77777777" w:rsidR="00AD0947" w:rsidRPr="00C827C7" w:rsidRDefault="00AD0947" w:rsidP="0037067F">
            <w:pPr>
              <w:pStyle w:val="TableParagraph"/>
              <w:kinsoku w:val="0"/>
              <w:overflowPunct w:val="0"/>
              <w:ind w:left="2" w:right="5"/>
              <w:jc w:val="center"/>
              <w:rPr>
                <w:rFonts w:ascii="Cambria" w:hAnsi="Cambria"/>
                <w:sz w:val="18"/>
                <w:szCs w:val="18"/>
                <w:lang w:eastAsia="ko-KR"/>
              </w:rPr>
            </w:pPr>
            <w:r w:rsidRPr="00C827C7">
              <w:rPr>
                <w:rFonts w:ascii="Cambria" w:hAnsi="Cambria"/>
                <w:sz w:val="18"/>
                <w:szCs w:val="18"/>
                <w:lang w:eastAsia="ko-KR"/>
              </w:rPr>
              <w:t>0</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E7AE5" w14:textId="77777777" w:rsidR="00AD0947" w:rsidRPr="00C827C7" w:rsidRDefault="00AD0947" w:rsidP="0037067F">
            <w:pPr>
              <w:pStyle w:val="TableParagraph"/>
              <w:kinsoku w:val="0"/>
              <w:overflowPunct w:val="0"/>
              <w:ind w:left="3" w:right="10"/>
              <w:jc w:val="center"/>
              <w:rPr>
                <w:rFonts w:ascii="Cambria" w:hAnsi="Cambria"/>
                <w:sz w:val="18"/>
                <w:szCs w:val="18"/>
                <w:lang w:eastAsia="ko-KR"/>
              </w:rPr>
            </w:pPr>
            <w:r w:rsidRPr="00C827C7">
              <w:rPr>
                <w:rFonts w:ascii="Cambria" w:hAnsi="Cambria"/>
                <w:sz w:val="18"/>
                <w:szCs w:val="18"/>
                <w:lang w:eastAsia="ko-KR"/>
              </w:rPr>
              <w:t>1 (0.9)</w:t>
            </w:r>
          </w:p>
        </w:tc>
      </w:tr>
      <w:tr w:rsidR="00AD0947" w:rsidRPr="00944253" w14:paraId="44D22C81"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5D43A" w14:textId="77777777" w:rsidR="00AD0947" w:rsidRPr="00C827C7" w:rsidRDefault="00AD0947" w:rsidP="0037067F">
            <w:pPr>
              <w:pStyle w:val="TableParagraph"/>
              <w:kinsoku w:val="0"/>
              <w:overflowPunct w:val="0"/>
              <w:ind w:left="107"/>
              <w:rPr>
                <w:rFonts w:ascii="Cambria" w:hAnsi="Cambria"/>
                <w:spacing w:val="-2"/>
                <w:sz w:val="18"/>
                <w:szCs w:val="18"/>
              </w:rPr>
            </w:pPr>
            <w:r w:rsidRPr="00C827C7">
              <w:rPr>
                <w:rFonts w:ascii="Cambria" w:hAnsi="Cambria"/>
                <w:b/>
                <w:bCs/>
                <w:sz w:val="18"/>
                <w:szCs w:val="18"/>
              </w:rPr>
              <w:t>Vascular</w:t>
            </w:r>
            <w:r w:rsidRPr="00C827C7">
              <w:rPr>
                <w:rFonts w:ascii="Cambria" w:hAnsi="Cambria"/>
                <w:b/>
                <w:bCs/>
                <w:spacing w:val="-9"/>
                <w:sz w:val="18"/>
                <w:szCs w:val="18"/>
              </w:rPr>
              <w:t xml:space="preserve"> </w:t>
            </w:r>
            <w:r w:rsidRPr="00C827C7">
              <w:rPr>
                <w:rFonts w:ascii="Cambria" w:hAnsi="Cambria"/>
                <w:b/>
                <w:bCs/>
                <w:spacing w:val="-2"/>
                <w:sz w:val="18"/>
                <w:szCs w:val="18"/>
              </w:rPr>
              <w:t>disorders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BB2BA" w14:textId="77777777" w:rsidR="00AD0947" w:rsidRPr="00C827C7" w:rsidRDefault="00AD0947" w:rsidP="0037067F">
            <w:pPr>
              <w:pStyle w:val="TableParagraph"/>
              <w:kinsoku w:val="0"/>
              <w:overflowPunct w:val="0"/>
              <w:ind w:left="4" w:right="6"/>
              <w:jc w:val="center"/>
              <w:rPr>
                <w:rFonts w:ascii="Cambria" w:hAnsi="Cambria"/>
                <w:b/>
                <w:bCs/>
                <w:sz w:val="18"/>
                <w:szCs w:val="18"/>
                <w:lang w:eastAsia="ko-KR"/>
              </w:rPr>
            </w:pPr>
            <w:r w:rsidRPr="00C827C7">
              <w:rPr>
                <w:rFonts w:ascii="Cambria" w:hAnsi="Cambria"/>
                <w:b/>
                <w:bCs/>
                <w:sz w:val="18"/>
                <w:szCs w:val="18"/>
                <w:lang w:eastAsia="ko-KR"/>
              </w:rPr>
              <w:t>16 (6.8)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45493" w14:textId="77777777" w:rsidR="00AD0947" w:rsidRPr="00C827C7" w:rsidRDefault="00AD0947" w:rsidP="0037067F">
            <w:pPr>
              <w:pStyle w:val="TableParagraph"/>
              <w:kinsoku w:val="0"/>
              <w:overflowPunct w:val="0"/>
              <w:ind w:left="3" w:right="5"/>
              <w:jc w:val="center"/>
              <w:rPr>
                <w:rFonts w:ascii="Cambria" w:hAnsi="Cambria"/>
                <w:b/>
                <w:bCs/>
                <w:sz w:val="18"/>
                <w:szCs w:val="18"/>
                <w:lang w:eastAsia="ko-KR"/>
              </w:rPr>
            </w:pPr>
            <w:r w:rsidRPr="00C827C7">
              <w:rPr>
                <w:rFonts w:ascii="Cambria" w:hAnsi="Cambria"/>
                <w:b/>
                <w:bCs/>
                <w:sz w:val="18"/>
                <w:szCs w:val="18"/>
                <w:lang w:eastAsia="ko-KR"/>
              </w:rPr>
              <w:t>22 (9.3)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D5E6D" w14:textId="77777777" w:rsidR="00AD0947" w:rsidRPr="00C827C7" w:rsidRDefault="00AD0947" w:rsidP="0037067F">
            <w:pPr>
              <w:pStyle w:val="TableParagraph"/>
              <w:kinsoku w:val="0"/>
              <w:overflowPunct w:val="0"/>
              <w:ind w:left="2" w:right="5"/>
              <w:jc w:val="center"/>
              <w:rPr>
                <w:rFonts w:ascii="Cambria" w:hAnsi="Cambria"/>
                <w:b/>
                <w:bCs/>
                <w:sz w:val="18"/>
                <w:szCs w:val="18"/>
                <w:lang w:eastAsia="ko-KR"/>
              </w:rPr>
            </w:pPr>
            <w:r w:rsidRPr="00C827C7">
              <w:rPr>
                <w:rFonts w:ascii="Cambria" w:hAnsi="Cambria"/>
                <w:b/>
                <w:bCs/>
                <w:sz w:val="18"/>
                <w:szCs w:val="18"/>
                <w:lang w:eastAsia="ko-KR"/>
              </w:rPr>
              <w:t>12 (11.0)</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C38F7" w14:textId="77777777" w:rsidR="00AD0947" w:rsidRPr="00C827C7" w:rsidRDefault="00AD0947" w:rsidP="0037067F">
            <w:pPr>
              <w:pStyle w:val="TableParagraph"/>
              <w:kinsoku w:val="0"/>
              <w:overflowPunct w:val="0"/>
              <w:ind w:left="3" w:right="10"/>
              <w:jc w:val="center"/>
              <w:rPr>
                <w:rFonts w:ascii="Cambria" w:hAnsi="Cambria"/>
                <w:b/>
                <w:bCs/>
                <w:sz w:val="18"/>
                <w:szCs w:val="18"/>
                <w:lang w:eastAsia="ko-KR"/>
              </w:rPr>
            </w:pPr>
            <w:r w:rsidRPr="00C827C7">
              <w:rPr>
                <w:rFonts w:ascii="Cambria" w:hAnsi="Cambria"/>
                <w:b/>
                <w:bCs/>
                <w:sz w:val="18"/>
                <w:szCs w:val="18"/>
                <w:lang w:eastAsia="ko-KR"/>
              </w:rPr>
              <w:t>9 (8.2)</w:t>
            </w:r>
          </w:p>
        </w:tc>
      </w:tr>
      <w:tr w:rsidR="00AD0947" w:rsidRPr="00944253" w14:paraId="2FEC10E4" w14:textId="77777777" w:rsidTr="008E0261">
        <w:trPr>
          <w:trHeight w:val="309"/>
        </w:trPr>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2235C" w14:textId="77777777" w:rsidR="00AD0947" w:rsidRPr="00C827C7" w:rsidRDefault="00AD0947" w:rsidP="0037067F">
            <w:pPr>
              <w:pStyle w:val="TableParagraph"/>
              <w:kinsoku w:val="0"/>
              <w:overflowPunct w:val="0"/>
              <w:ind w:left="347"/>
              <w:rPr>
                <w:rFonts w:ascii="Cambria" w:hAnsi="Cambria"/>
                <w:b/>
                <w:bCs/>
                <w:sz w:val="18"/>
                <w:szCs w:val="18"/>
              </w:rPr>
            </w:pPr>
            <w:r w:rsidRPr="00C827C7">
              <w:rPr>
                <w:rFonts w:ascii="Cambria" w:hAnsi="Cambria"/>
                <w:spacing w:val="-2"/>
                <w:sz w:val="18"/>
                <w:szCs w:val="18"/>
                <w:lang w:eastAsia="ko-KR"/>
              </w:rPr>
              <w:t>Hypertension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359BD" w14:textId="77777777" w:rsidR="00AD0947" w:rsidRPr="00C827C7" w:rsidRDefault="00AD0947" w:rsidP="0037067F">
            <w:pPr>
              <w:pStyle w:val="TableParagraph"/>
              <w:kinsoku w:val="0"/>
              <w:overflowPunct w:val="0"/>
              <w:ind w:left="4" w:right="6"/>
              <w:jc w:val="center"/>
              <w:rPr>
                <w:rFonts w:ascii="Cambria" w:hAnsi="Cambria"/>
                <w:sz w:val="18"/>
                <w:szCs w:val="18"/>
              </w:rPr>
            </w:pPr>
            <w:r w:rsidRPr="00C827C7">
              <w:rPr>
                <w:rFonts w:ascii="Cambria" w:hAnsi="Cambria"/>
                <w:sz w:val="18"/>
                <w:szCs w:val="18"/>
                <w:lang w:eastAsia="ko-KR"/>
              </w:rPr>
              <w:t>10 (4.3)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66EEA" w14:textId="77777777" w:rsidR="00AD0947" w:rsidRPr="00C827C7" w:rsidRDefault="00AD0947" w:rsidP="0037067F">
            <w:pPr>
              <w:pStyle w:val="TableParagraph"/>
              <w:kinsoku w:val="0"/>
              <w:overflowPunct w:val="0"/>
              <w:ind w:left="3" w:right="5"/>
              <w:jc w:val="center"/>
              <w:rPr>
                <w:rFonts w:ascii="Cambria" w:hAnsi="Cambria"/>
                <w:sz w:val="18"/>
                <w:szCs w:val="18"/>
              </w:rPr>
            </w:pPr>
            <w:r w:rsidRPr="00C827C7">
              <w:rPr>
                <w:rFonts w:ascii="Cambria" w:hAnsi="Cambria"/>
                <w:sz w:val="18"/>
                <w:szCs w:val="18"/>
                <w:lang w:eastAsia="ko-KR"/>
              </w:rPr>
              <w:t>18 (7.6)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FD3E" w14:textId="77777777" w:rsidR="00AD0947" w:rsidRPr="00C827C7" w:rsidRDefault="00AD0947" w:rsidP="0037067F">
            <w:pPr>
              <w:pStyle w:val="TableParagraph"/>
              <w:kinsoku w:val="0"/>
              <w:overflowPunct w:val="0"/>
              <w:ind w:left="2" w:right="5"/>
              <w:jc w:val="center"/>
              <w:rPr>
                <w:rFonts w:ascii="Cambria" w:hAnsi="Cambria"/>
                <w:sz w:val="18"/>
                <w:szCs w:val="18"/>
              </w:rPr>
            </w:pPr>
            <w:r w:rsidRPr="00C827C7">
              <w:rPr>
                <w:rFonts w:ascii="Cambria" w:hAnsi="Cambria"/>
                <w:sz w:val="18"/>
                <w:szCs w:val="18"/>
                <w:lang w:eastAsia="ko-KR"/>
              </w:rPr>
              <w:t>11 (10.1)</w:t>
            </w: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5257E" w14:textId="77777777" w:rsidR="00AD0947" w:rsidRPr="00C827C7" w:rsidRDefault="00AD0947" w:rsidP="0037067F">
            <w:pPr>
              <w:pStyle w:val="TableParagraph"/>
              <w:kinsoku w:val="0"/>
              <w:overflowPunct w:val="0"/>
              <w:ind w:left="3" w:right="10"/>
              <w:jc w:val="center"/>
              <w:rPr>
                <w:rFonts w:ascii="Cambria" w:hAnsi="Cambria"/>
                <w:sz w:val="18"/>
                <w:szCs w:val="18"/>
              </w:rPr>
            </w:pPr>
            <w:r w:rsidRPr="00C827C7">
              <w:rPr>
                <w:rFonts w:ascii="Cambria" w:hAnsi="Cambria"/>
                <w:sz w:val="18"/>
                <w:szCs w:val="18"/>
                <w:lang w:eastAsia="ko-KR"/>
              </w:rPr>
              <w:t>7 (6.4)</w:t>
            </w:r>
          </w:p>
        </w:tc>
      </w:tr>
    </w:tbl>
    <w:p w14:paraId="4B917199" w14:textId="77777777" w:rsidR="00AD0947" w:rsidRPr="00C827C7" w:rsidRDefault="00AD0947" w:rsidP="00C827C7">
      <w:pPr>
        <w:pStyle w:val="BodyText"/>
        <w:kinsoku w:val="0"/>
        <w:overflowPunct w:val="0"/>
        <w:ind w:left="0" w:rightChars="24" w:right="53"/>
        <w:rPr>
          <w:rFonts w:ascii="Cambria" w:hAnsi="Cambria"/>
          <w:sz w:val="18"/>
          <w:szCs w:val="18"/>
        </w:rPr>
      </w:pPr>
      <w:r w:rsidRPr="00C827C7">
        <w:rPr>
          <w:rFonts w:ascii="Cambria" w:hAnsi="Cambria"/>
          <w:sz w:val="18"/>
          <w:szCs w:val="18"/>
        </w:rPr>
        <w:t>Note:</w:t>
      </w:r>
      <w:r w:rsidRPr="00C827C7">
        <w:rPr>
          <w:rFonts w:ascii="Cambria" w:hAnsi="Cambria"/>
          <w:spacing w:val="-5"/>
          <w:sz w:val="18"/>
          <w:szCs w:val="18"/>
        </w:rPr>
        <w:t xml:space="preserve"> </w:t>
      </w:r>
      <w:r w:rsidRPr="00C827C7">
        <w:rPr>
          <w:rFonts w:ascii="Cambria" w:hAnsi="Cambria"/>
          <w:sz w:val="18"/>
          <w:szCs w:val="18"/>
        </w:rPr>
        <w:t>For</w:t>
      </w:r>
      <w:r w:rsidRPr="00C827C7">
        <w:rPr>
          <w:rFonts w:ascii="Cambria" w:hAnsi="Cambria"/>
          <w:spacing w:val="-4"/>
          <w:sz w:val="18"/>
          <w:szCs w:val="18"/>
        </w:rPr>
        <w:t xml:space="preserve"> </w:t>
      </w:r>
      <w:r w:rsidRPr="00C827C7">
        <w:rPr>
          <w:rFonts w:ascii="Cambria" w:hAnsi="Cambria"/>
          <w:sz w:val="18"/>
          <w:szCs w:val="18"/>
        </w:rPr>
        <w:t>SOC,</w:t>
      </w:r>
      <w:r w:rsidRPr="00C827C7">
        <w:rPr>
          <w:rFonts w:ascii="Cambria" w:hAnsi="Cambria"/>
          <w:spacing w:val="-4"/>
          <w:sz w:val="18"/>
          <w:szCs w:val="18"/>
        </w:rPr>
        <w:t xml:space="preserve"> </w:t>
      </w:r>
      <w:bookmarkStart w:id="52" w:name="_Hlk165903488"/>
      <w:r w:rsidRPr="00C827C7">
        <w:rPr>
          <w:rFonts w:ascii="Cambria" w:hAnsi="Cambria"/>
          <w:sz w:val="18"/>
          <w:szCs w:val="18"/>
        </w:rPr>
        <w:t>the</w:t>
      </w:r>
      <w:r w:rsidRPr="00C827C7">
        <w:rPr>
          <w:rFonts w:ascii="Cambria" w:hAnsi="Cambria"/>
          <w:spacing w:val="-4"/>
          <w:sz w:val="18"/>
          <w:szCs w:val="18"/>
        </w:rPr>
        <w:t xml:space="preserve"> </w:t>
      </w:r>
      <w:r w:rsidRPr="00C827C7">
        <w:rPr>
          <w:rFonts w:ascii="Cambria" w:hAnsi="Cambria"/>
          <w:sz w:val="18"/>
          <w:szCs w:val="18"/>
        </w:rPr>
        <w:t>number</w:t>
      </w:r>
      <w:r w:rsidRPr="00C827C7">
        <w:rPr>
          <w:rFonts w:ascii="Cambria" w:hAnsi="Cambria"/>
          <w:spacing w:val="-6"/>
          <w:sz w:val="18"/>
          <w:szCs w:val="18"/>
        </w:rPr>
        <w:t xml:space="preserve"> </w:t>
      </w:r>
      <w:r w:rsidRPr="00C827C7">
        <w:rPr>
          <w:rFonts w:ascii="Cambria" w:hAnsi="Cambria"/>
          <w:sz w:val="18"/>
          <w:szCs w:val="18"/>
        </w:rPr>
        <w:t>and</w:t>
      </w:r>
      <w:r w:rsidRPr="00C827C7">
        <w:rPr>
          <w:rFonts w:ascii="Cambria" w:hAnsi="Cambria"/>
          <w:spacing w:val="-3"/>
          <w:sz w:val="18"/>
          <w:szCs w:val="18"/>
        </w:rPr>
        <w:t xml:space="preserve"> </w:t>
      </w:r>
      <w:r w:rsidRPr="00C827C7">
        <w:rPr>
          <w:rFonts w:ascii="Cambria" w:hAnsi="Cambria"/>
          <w:sz w:val="18"/>
          <w:szCs w:val="18"/>
        </w:rPr>
        <w:t>percentage</w:t>
      </w:r>
      <w:r w:rsidRPr="00C827C7">
        <w:rPr>
          <w:rFonts w:ascii="Cambria" w:hAnsi="Cambria"/>
          <w:spacing w:val="-4"/>
          <w:sz w:val="18"/>
          <w:szCs w:val="18"/>
        </w:rPr>
        <w:t xml:space="preserve"> </w:t>
      </w:r>
      <w:r w:rsidRPr="00C827C7">
        <w:rPr>
          <w:rFonts w:ascii="Cambria" w:hAnsi="Cambria"/>
          <w:sz w:val="18"/>
          <w:szCs w:val="18"/>
        </w:rPr>
        <w:t>of</w:t>
      </w:r>
      <w:r w:rsidRPr="00C827C7">
        <w:rPr>
          <w:rFonts w:ascii="Cambria" w:hAnsi="Cambria"/>
          <w:spacing w:val="-6"/>
          <w:sz w:val="18"/>
          <w:szCs w:val="18"/>
        </w:rPr>
        <w:t xml:space="preserve"> </w:t>
      </w:r>
      <w:r w:rsidRPr="00C827C7">
        <w:rPr>
          <w:rFonts w:ascii="Cambria" w:hAnsi="Cambria"/>
          <w:sz w:val="18"/>
          <w:szCs w:val="18"/>
        </w:rPr>
        <w:t>patients</w:t>
      </w:r>
      <w:r w:rsidRPr="00C827C7">
        <w:rPr>
          <w:rFonts w:ascii="Cambria" w:hAnsi="Cambria"/>
          <w:spacing w:val="-5"/>
          <w:sz w:val="18"/>
          <w:szCs w:val="18"/>
        </w:rPr>
        <w:t xml:space="preserve"> </w:t>
      </w:r>
      <w:r w:rsidRPr="00C827C7">
        <w:rPr>
          <w:rFonts w:ascii="Cambria" w:hAnsi="Cambria"/>
          <w:sz w:val="18"/>
          <w:szCs w:val="18"/>
        </w:rPr>
        <w:t>with</w:t>
      </w:r>
      <w:r w:rsidRPr="00C827C7">
        <w:rPr>
          <w:rFonts w:ascii="Cambria" w:hAnsi="Cambria"/>
          <w:spacing w:val="-3"/>
          <w:sz w:val="18"/>
          <w:szCs w:val="18"/>
        </w:rPr>
        <w:t xml:space="preserve"> </w:t>
      </w:r>
      <w:r w:rsidRPr="00C827C7">
        <w:rPr>
          <w:rFonts w:ascii="Cambria" w:hAnsi="Cambria"/>
          <w:sz w:val="18"/>
          <w:szCs w:val="18"/>
        </w:rPr>
        <w:t>at</w:t>
      </w:r>
      <w:r w:rsidRPr="00C827C7">
        <w:rPr>
          <w:rFonts w:ascii="Cambria" w:hAnsi="Cambria"/>
          <w:spacing w:val="-5"/>
          <w:sz w:val="18"/>
          <w:szCs w:val="18"/>
        </w:rPr>
        <w:t xml:space="preserve"> </w:t>
      </w:r>
      <w:r w:rsidRPr="00C827C7">
        <w:rPr>
          <w:rFonts w:ascii="Cambria" w:hAnsi="Cambria"/>
          <w:sz w:val="18"/>
          <w:szCs w:val="18"/>
        </w:rPr>
        <w:t>least</w:t>
      </w:r>
      <w:r w:rsidRPr="00C827C7">
        <w:rPr>
          <w:rFonts w:ascii="Cambria" w:hAnsi="Cambria"/>
          <w:spacing w:val="-5"/>
          <w:sz w:val="18"/>
          <w:szCs w:val="18"/>
        </w:rPr>
        <w:t xml:space="preserve"> </w:t>
      </w:r>
      <w:r w:rsidRPr="00C827C7">
        <w:rPr>
          <w:rFonts w:ascii="Cambria" w:hAnsi="Cambria"/>
          <w:sz w:val="18"/>
          <w:szCs w:val="18"/>
        </w:rPr>
        <w:t>1</w:t>
      </w:r>
      <w:r w:rsidRPr="00C827C7">
        <w:rPr>
          <w:rFonts w:ascii="Cambria" w:hAnsi="Cambria"/>
          <w:spacing w:val="-3"/>
          <w:sz w:val="18"/>
          <w:szCs w:val="18"/>
        </w:rPr>
        <w:t xml:space="preserve"> </w:t>
      </w:r>
      <w:r w:rsidRPr="00C827C7">
        <w:rPr>
          <w:rFonts w:ascii="Cambria" w:hAnsi="Cambria"/>
          <w:sz w:val="18"/>
          <w:szCs w:val="18"/>
        </w:rPr>
        <w:t>TEAE</w:t>
      </w:r>
      <w:r w:rsidRPr="00C827C7">
        <w:rPr>
          <w:rFonts w:ascii="Cambria" w:hAnsi="Cambria"/>
          <w:spacing w:val="-4"/>
          <w:sz w:val="18"/>
          <w:szCs w:val="18"/>
        </w:rPr>
        <w:t xml:space="preserve"> </w:t>
      </w:r>
      <w:r w:rsidRPr="00C827C7">
        <w:rPr>
          <w:rFonts w:ascii="Cambria" w:hAnsi="Cambria"/>
          <w:sz w:val="18"/>
          <w:szCs w:val="18"/>
        </w:rPr>
        <w:t>for</w:t>
      </w:r>
      <w:r w:rsidRPr="00C827C7">
        <w:rPr>
          <w:rFonts w:ascii="Cambria" w:hAnsi="Cambria"/>
          <w:spacing w:val="-4"/>
          <w:sz w:val="18"/>
          <w:szCs w:val="18"/>
        </w:rPr>
        <w:t xml:space="preserve"> </w:t>
      </w:r>
      <w:r w:rsidRPr="00C827C7">
        <w:rPr>
          <w:rFonts w:ascii="Cambria" w:hAnsi="Cambria"/>
          <w:sz w:val="18"/>
          <w:szCs w:val="18"/>
        </w:rPr>
        <w:t>each</w:t>
      </w:r>
      <w:r w:rsidRPr="00C827C7">
        <w:rPr>
          <w:rFonts w:ascii="Cambria" w:hAnsi="Cambria"/>
          <w:spacing w:val="-4"/>
          <w:sz w:val="18"/>
          <w:szCs w:val="18"/>
        </w:rPr>
        <w:t xml:space="preserve"> </w:t>
      </w:r>
      <w:r w:rsidRPr="00C827C7">
        <w:rPr>
          <w:rFonts w:ascii="Cambria" w:hAnsi="Cambria"/>
          <w:sz w:val="18"/>
          <w:szCs w:val="18"/>
        </w:rPr>
        <w:t>treatment</w:t>
      </w:r>
      <w:r w:rsidRPr="00C827C7">
        <w:rPr>
          <w:rFonts w:ascii="Cambria" w:hAnsi="Cambria"/>
          <w:spacing w:val="-5"/>
          <w:sz w:val="18"/>
          <w:szCs w:val="18"/>
        </w:rPr>
        <w:t xml:space="preserve"> </w:t>
      </w:r>
      <w:r w:rsidRPr="00C827C7">
        <w:rPr>
          <w:rFonts w:ascii="Cambria" w:hAnsi="Cambria"/>
          <w:sz w:val="18"/>
          <w:szCs w:val="18"/>
        </w:rPr>
        <w:t>period</w:t>
      </w:r>
      <w:r w:rsidRPr="00C827C7">
        <w:rPr>
          <w:rFonts w:ascii="Cambria" w:hAnsi="Cambria"/>
          <w:spacing w:val="-6"/>
          <w:sz w:val="18"/>
          <w:szCs w:val="18"/>
        </w:rPr>
        <w:t xml:space="preserve"> </w:t>
      </w:r>
      <w:r w:rsidRPr="00C827C7">
        <w:rPr>
          <w:rFonts w:ascii="Cambria" w:hAnsi="Cambria"/>
          <w:sz w:val="18"/>
          <w:szCs w:val="18"/>
        </w:rPr>
        <w:t>were</w:t>
      </w:r>
      <w:r w:rsidRPr="00C827C7">
        <w:rPr>
          <w:rFonts w:ascii="Cambria" w:hAnsi="Cambria"/>
          <w:spacing w:val="-4"/>
          <w:sz w:val="18"/>
          <w:szCs w:val="18"/>
        </w:rPr>
        <w:t xml:space="preserve"> </w:t>
      </w:r>
      <w:r w:rsidRPr="00C827C7">
        <w:rPr>
          <w:rFonts w:ascii="Cambria" w:hAnsi="Cambria"/>
          <w:sz w:val="18"/>
          <w:szCs w:val="18"/>
        </w:rPr>
        <w:t>summarized</w:t>
      </w:r>
      <w:r w:rsidRPr="00C827C7">
        <w:rPr>
          <w:rFonts w:ascii="Cambria" w:hAnsi="Cambria"/>
          <w:spacing w:val="-3"/>
          <w:sz w:val="18"/>
          <w:szCs w:val="18"/>
        </w:rPr>
        <w:t xml:space="preserve"> </w:t>
      </w:r>
      <w:r w:rsidRPr="00C827C7">
        <w:rPr>
          <w:rFonts w:ascii="Cambria" w:hAnsi="Cambria"/>
          <w:sz w:val="18"/>
          <w:szCs w:val="18"/>
        </w:rPr>
        <w:t>by</w:t>
      </w:r>
      <w:r w:rsidRPr="00C827C7">
        <w:rPr>
          <w:rFonts w:ascii="Cambria" w:hAnsi="Cambria"/>
          <w:spacing w:val="-3"/>
          <w:sz w:val="18"/>
          <w:szCs w:val="18"/>
        </w:rPr>
        <w:t xml:space="preserve"> </w:t>
      </w:r>
      <w:r w:rsidRPr="00C827C7">
        <w:rPr>
          <w:rFonts w:ascii="Cambria" w:hAnsi="Cambria"/>
          <w:spacing w:val="-3"/>
          <w:sz w:val="18"/>
          <w:szCs w:val="18"/>
          <w:lang w:eastAsia="ko-KR"/>
        </w:rPr>
        <w:t xml:space="preserve">SOC including only PT with over 3% of </w:t>
      </w:r>
      <w:r w:rsidRPr="00C827C7">
        <w:rPr>
          <w:rFonts w:ascii="Cambria" w:hAnsi="Cambria"/>
          <w:sz w:val="18"/>
          <w:szCs w:val="18"/>
          <w:lang w:eastAsia="ko-KR"/>
        </w:rPr>
        <w:t>patients</w:t>
      </w:r>
      <w:r w:rsidRPr="00C827C7">
        <w:rPr>
          <w:rFonts w:ascii="Cambria" w:hAnsi="Cambria"/>
          <w:sz w:val="18"/>
          <w:szCs w:val="18"/>
        </w:rPr>
        <w:t>.</w:t>
      </w:r>
      <w:bookmarkEnd w:id="52"/>
      <w:r w:rsidRPr="00C827C7">
        <w:rPr>
          <w:rFonts w:ascii="Cambria" w:hAnsi="Cambria"/>
          <w:spacing w:val="-4"/>
          <w:sz w:val="18"/>
          <w:szCs w:val="18"/>
        </w:rPr>
        <w:t xml:space="preserve"> </w:t>
      </w:r>
      <w:r w:rsidRPr="00C827C7">
        <w:rPr>
          <w:rFonts w:ascii="Cambria" w:hAnsi="Cambria"/>
          <w:sz w:val="18"/>
          <w:szCs w:val="18"/>
        </w:rPr>
        <w:t>For</w:t>
      </w:r>
      <w:r w:rsidRPr="00C827C7">
        <w:rPr>
          <w:rFonts w:ascii="Cambria" w:hAnsi="Cambria"/>
          <w:spacing w:val="-4"/>
          <w:sz w:val="18"/>
          <w:szCs w:val="18"/>
        </w:rPr>
        <w:t xml:space="preserve"> </w:t>
      </w:r>
      <w:r w:rsidRPr="00C827C7">
        <w:rPr>
          <w:rFonts w:ascii="Cambria" w:hAnsi="Cambria"/>
          <w:sz w:val="18"/>
          <w:szCs w:val="18"/>
        </w:rPr>
        <w:t>PT,</w:t>
      </w:r>
      <w:r w:rsidRPr="00C827C7">
        <w:rPr>
          <w:rFonts w:ascii="Cambria" w:hAnsi="Cambria"/>
          <w:spacing w:val="-4"/>
          <w:sz w:val="18"/>
          <w:szCs w:val="18"/>
        </w:rPr>
        <w:t xml:space="preserve"> </w:t>
      </w:r>
      <w:r w:rsidRPr="00C827C7">
        <w:rPr>
          <w:rFonts w:ascii="Cambria" w:hAnsi="Cambria"/>
          <w:sz w:val="18"/>
          <w:szCs w:val="18"/>
        </w:rPr>
        <w:t>only</w:t>
      </w:r>
      <w:r w:rsidRPr="00C827C7">
        <w:rPr>
          <w:rFonts w:ascii="Cambria" w:hAnsi="Cambria"/>
          <w:spacing w:val="-3"/>
          <w:sz w:val="18"/>
          <w:szCs w:val="18"/>
        </w:rPr>
        <w:t xml:space="preserve"> </w:t>
      </w:r>
      <w:r w:rsidRPr="00C827C7">
        <w:rPr>
          <w:rFonts w:ascii="Cambria" w:hAnsi="Cambria"/>
          <w:sz w:val="18"/>
          <w:szCs w:val="18"/>
        </w:rPr>
        <w:t>TEAEs</w:t>
      </w:r>
      <w:r w:rsidRPr="00C827C7">
        <w:rPr>
          <w:rFonts w:ascii="Cambria" w:hAnsi="Cambria"/>
          <w:spacing w:val="-5"/>
          <w:sz w:val="18"/>
          <w:szCs w:val="18"/>
        </w:rPr>
        <w:t xml:space="preserve"> </w:t>
      </w:r>
      <w:r w:rsidRPr="00C827C7">
        <w:rPr>
          <w:rFonts w:ascii="Cambria" w:hAnsi="Cambria"/>
          <w:sz w:val="18"/>
          <w:szCs w:val="18"/>
        </w:rPr>
        <w:t>reported for</w:t>
      </w:r>
      <w:r w:rsidRPr="00C827C7">
        <w:rPr>
          <w:rFonts w:ascii="Cambria" w:hAnsi="Cambria"/>
          <w:spacing w:val="-4"/>
          <w:sz w:val="18"/>
          <w:szCs w:val="18"/>
        </w:rPr>
        <w:t xml:space="preserve"> </w:t>
      </w:r>
      <w:r w:rsidRPr="00C827C7">
        <w:rPr>
          <w:rFonts w:ascii="Cambria" w:hAnsi="Cambria"/>
          <w:sz w:val="18"/>
          <w:szCs w:val="18"/>
        </w:rPr>
        <w:t>at</w:t>
      </w:r>
      <w:r w:rsidRPr="00C827C7">
        <w:rPr>
          <w:rFonts w:ascii="Cambria" w:hAnsi="Cambria"/>
          <w:spacing w:val="-7"/>
          <w:sz w:val="18"/>
          <w:szCs w:val="18"/>
        </w:rPr>
        <w:t xml:space="preserve"> </w:t>
      </w:r>
      <w:r w:rsidRPr="00C827C7">
        <w:rPr>
          <w:rFonts w:ascii="Cambria" w:hAnsi="Cambria"/>
          <w:sz w:val="18"/>
          <w:szCs w:val="18"/>
        </w:rPr>
        <w:t>least</w:t>
      </w:r>
      <w:r w:rsidRPr="00C827C7">
        <w:rPr>
          <w:rFonts w:ascii="Cambria" w:hAnsi="Cambria"/>
          <w:spacing w:val="-5"/>
          <w:sz w:val="18"/>
          <w:szCs w:val="18"/>
        </w:rPr>
        <w:t xml:space="preserve"> </w:t>
      </w:r>
      <w:r w:rsidRPr="00C827C7">
        <w:rPr>
          <w:rFonts w:ascii="Cambria" w:hAnsi="Cambria"/>
          <w:sz w:val="18"/>
          <w:szCs w:val="18"/>
        </w:rPr>
        <w:t>3%</w:t>
      </w:r>
      <w:r w:rsidRPr="00C827C7">
        <w:rPr>
          <w:rFonts w:ascii="Cambria" w:hAnsi="Cambria"/>
          <w:spacing w:val="-5"/>
          <w:sz w:val="18"/>
          <w:szCs w:val="18"/>
        </w:rPr>
        <w:t xml:space="preserve"> </w:t>
      </w:r>
      <w:r w:rsidRPr="00C827C7">
        <w:rPr>
          <w:rFonts w:ascii="Cambria" w:hAnsi="Cambria"/>
          <w:sz w:val="18"/>
          <w:szCs w:val="18"/>
        </w:rPr>
        <w:t>of</w:t>
      </w:r>
      <w:r w:rsidRPr="00C827C7">
        <w:rPr>
          <w:rFonts w:ascii="Cambria" w:hAnsi="Cambria"/>
          <w:spacing w:val="-6"/>
          <w:sz w:val="18"/>
          <w:szCs w:val="18"/>
        </w:rPr>
        <w:t xml:space="preserve"> </w:t>
      </w:r>
      <w:r w:rsidRPr="00C827C7">
        <w:rPr>
          <w:rFonts w:ascii="Cambria" w:hAnsi="Cambria"/>
          <w:sz w:val="18"/>
          <w:szCs w:val="18"/>
        </w:rPr>
        <w:t>patients</w:t>
      </w:r>
      <w:r w:rsidRPr="00C827C7">
        <w:rPr>
          <w:rFonts w:ascii="Cambria" w:hAnsi="Cambria"/>
          <w:spacing w:val="-8"/>
          <w:sz w:val="18"/>
          <w:szCs w:val="18"/>
        </w:rPr>
        <w:t xml:space="preserve"> </w:t>
      </w:r>
      <w:r w:rsidRPr="00C827C7">
        <w:rPr>
          <w:rFonts w:ascii="Cambria" w:hAnsi="Cambria"/>
          <w:sz w:val="18"/>
          <w:szCs w:val="18"/>
        </w:rPr>
        <w:t>by</w:t>
      </w:r>
      <w:r w:rsidRPr="00C827C7">
        <w:rPr>
          <w:rFonts w:ascii="Cambria" w:hAnsi="Cambria"/>
          <w:spacing w:val="-3"/>
          <w:sz w:val="18"/>
          <w:szCs w:val="18"/>
        </w:rPr>
        <w:t xml:space="preserve"> </w:t>
      </w:r>
      <w:r w:rsidRPr="00C827C7">
        <w:rPr>
          <w:rFonts w:ascii="Cambria" w:hAnsi="Cambria"/>
          <w:sz w:val="18"/>
          <w:szCs w:val="18"/>
        </w:rPr>
        <w:t>PT</w:t>
      </w:r>
      <w:r w:rsidRPr="00C827C7">
        <w:rPr>
          <w:rFonts w:ascii="Cambria" w:hAnsi="Cambria"/>
          <w:spacing w:val="-4"/>
          <w:sz w:val="18"/>
          <w:szCs w:val="18"/>
        </w:rPr>
        <w:t xml:space="preserve"> </w:t>
      </w:r>
      <w:r w:rsidRPr="00C827C7">
        <w:rPr>
          <w:rFonts w:ascii="Cambria" w:hAnsi="Cambria"/>
          <w:sz w:val="18"/>
          <w:szCs w:val="18"/>
        </w:rPr>
        <w:t>in</w:t>
      </w:r>
      <w:r w:rsidRPr="00C827C7">
        <w:rPr>
          <w:rFonts w:ascii="Cambria" w:hAnsi="Cambria"/>
          <w:spacing w:val="-3"/>
          <w:sz w:val="18"/>
          <w:szCs w:val="18"/>
        </w:rPr>
        <w:t xml:space="preserve"> </w:t>
      </w:r>
      <w:r w:rsidRPr="00C827C7">
        <w:rPr>
          <w:rFonts w:ascii="Cambria" w:hAnsi="Cambria"/>
          <w:sz w:val="18"/>
          <w:szCs w:val="18"/>
        </w:rPr>
        <w:t>any</w:t>
      </w:r>
      <w:r w:rsidRPr="00C827C7">
        <w:rPr>
          <w:rFonts w:ascii="Cambria" w:hAnsi="Cambria"/>
          <w:spacing w:val="-3"/>
          <w:sz w:val="18"/>
          <w:szCs w:val="18"/>
        </w:rPr>
        <w:t xml:space="preserve"> </w:t>
      </w:r>
      <w:r w:rsidRPr="00C827C7">
        <w:rPr>
          <w:rFonts w:ascii="Cambria" w:hAnsi="Cambria"/>
          <w:sz w:val="18"/>
          <w:szCs w:val="18"/>
        </w:rPr>
        <w:t>treatment</w:t>
      </w:r>
      <w:r w:rsidRPr="00C827C7">
        <w:rPr>
          <w:rFonts w:ascii="Cambria" w:hAnsi="Cambria"/>
          <w:spacing w:val="-7"/>
          <w:sz w:val="18"/>
          <w:szCs w:val="18"/>
        </w:rPr>
        <w:t xml:space="preserve"> </w:t>
      </w:r>
      <w:r w:rsidRPr="00C827C7">
        <w:rPr>
          <w:rFonts w:ascii="Cambria" w:hAnsi="Cambria"/>
          <w:sz w:val="18"/>
          <w:szCs w:val="18"/>
        </w:rPr>
        <w:t>group</w:t>
      </w:r>
      <w:r w:rsidRPr="00C827C7">
        <w:rPr>
          <w:rFonts w:ascii="Cambria" w:hAnsi="Cambria"/>
          <w:spacing w:val="-3"/>
          <w:sz w:val="18"/>
          <w:szCs w:val="18"/>
        </w:rPr>
        <w:t xml:space="preserve"> </w:t>
      </w:r>
      <w:r w:rsidRPr="00C827C7">
        <w:rPr>
          <w:rFonts w:ascii="Cambria" w:hAnsi="Cambria"/>
          <w:sz w:val="18"/>
          <w:szCs w:val="18"/>
        </w:rPr>
        <w:t>were</w:t>
      </w:r>
      <w:r w:rsidRPr="00C827C7">
        <w:rPr>
          <w:rFonts w:ascii="Cambria" w:hAnsi="Cambria"/>
          <w:spacing w:val="-7"/>
          <w:sz w:val="18"/>
          <w:szCs w:val="18"/>
        </w:rPr>
        <w:t xml:space="preserve"> </w:t>
      </w:r>
      <w:r w:rsidRPr="00C827C7">
        <w:rPr>
          <w:rFonts w:ascii="Cambria" w:hAnsi="Cambria"/>
          <w:sz w:val="18"/>
          <w:szCs w:val="18"/>
        </w:rPr>
        <w:t>included.</w:t>
      </w:r>
      <w:r w:rsidRPr="00C827C7">
        <w:rPr>
          <w:rFonts w:ascii="Cambria" w:hAnsi="Cambria"/>
          <w:spacing w:val="-4"/>
          <w:sz w:val="18"/>
          <w:szCs w:val="18"/>
        </w:rPr>
        <w:t xml:space="preserve"> </w:t>
      </w:r>
      <w:r w:rsidRPr="00C827C7">
        <w:rPr>
          <w:rFonts w:ascii="Cambria" w:hAnsi="Cambria"/>
          <w:sz w:val="18"/>
          <w:szCs w:val="18"/>
        </w:rPr>
        <w:t>At</w:t>
      </w:r>
      <w:r w:rsidRPr="00C827C7">
        <w:rPr>
          <w:rFonts w:ascii="Cambria" w:hAnsi="Cambria"/>
          <w:spacing w:val="-5"/>
          <w:sz w:val="18"/>
          <w:szCs w:val="18"/>
        </w:rPr>
        <w:t xml:space="preserve"> </w:t>
      </w:r>
      <w:r w:rsidRPr="00C827C7">
        <w:rPr>
          <w:rFonts w:ascii="Cambria" w:hAnsi="Cambria"/>
          <w:sz w:val="18"/>
          <w:szCs w:val="18"/>
        </w:rPr>
        <w:t>each</w:t>
      </w:r>
      <w:r w:rsidRPr="00C827C7">
        <w:rPr>
          <w:rFonts w:ascii="Cambria" w:hAnsi="Cambria"/>
          <w:spacing w:val="-3"/>
          <w:sz w:val="18"/>
          <w:szCs w:val="18"/>
        </w:rPr>
        <w:t xml:space="preserve"> </w:t>
      </w:r>
      <w:r w:rsidRPr="00C827C7">
        <w:rPr>
          <w:rFonts w:ascii="Cambria" w:hAnsi="Cambria"/>
          <w:sz w:val="18"/>
          <w:szCs w:val="18"/>
        </w:rPr>
        <w:t>level</w:t>
      </w:r>
      <w:r w:rsidRPr="00C827C7">
        <w:rPr>
          <w:rFonts w:ascii="Cambria" w:hAnsi="Cambria"/>
          <w:spacing w:val="-7"/>
          <w:sz w:val="18"/>
          <w:szCs w:val="18"/>
        </w:rPr>
        <w:t xml:space="preserve"> </w:t>
      </w:r>
      <w:r w:rsidRPr="00C827C7">
        <w:rPr>
          <w:rFonts w:ascii="Cambria" w:hAnsi="Cambria"/>
          <w:sz w:val="18"/>
          <w:szCs w:val="18"/>
        </w:rPr>
        <w:t>of</w:t>
      </w:r>
      <w:r w:rsidRPr="00C827C7">
        <w:rPr>
          <w:rFonts w:ascii="Cambria" w:hAnsi="Cambria"/>
          <w:spacing w:val="-6"/>
          <w:sz w:val="18"/>
          <w:szCs w:val="18"/>
        </w:rPr>
        <w:t xml:space="preserve"> </w:t>
      </w:r>
      <w:r w:rsidRPr="00C827C7">
        <w:rPr>
          <w:rFonts w:ascii="Cambria" w:hAnsi="Cambria"/>
          <w:sz w:val="18"/>
          <w:szCs w:val="18"/>
        </w:rPr>
        <w:t>summarization,</w:t>
      </w:r>
      <w:r w:rsidRPr="00C827C7">
        <w:rPr>
          <w:rFonts w:ascii="Cambria" w:hAnsi="Cambria"/>
          <w:spacing w:val="-6"/>
          <w:sz w:val="18"/>
          <w:szCs w:val="18"/>
        </w:rPr>
        <w:t xml:space="preserve"> </w:t>
      </w:r>
      <w:r w:rsidRPr="00C827C7">
        <w:rPr>
          <w:rFonts w:ascii="Cambria" w:hAnsi="Cambria"/>
          <w:sz w:val="18"/>
          <w:szCs w:val="18"/>
        </w:rPr>
        <w:t>patients</w:t>
      </w:r>
      <w:r w:rsidRPr="00C827C7">
        <w:rPr>
          <w:rFonts w:ascii="Cambria" w:hAnsi="Cambria"/>
          <w:spacing w:val="-5"/>
          <w:sz w:val="18"/>
          <w:szCs w:val="18"/>
        </w:rPr>
        <w:t xml:space="preserve"> </w:t>
      </w:r>
      <w:r w:rsidRPr="00C827C7">
        <w:rPr>
          <w:rFonts w:ascii="Cambria" w:hAnsi="Cambria"/>
          <w:sz w:val="18"/>
          <w:szCs w:val="18"/>
        </w:rPr>
        <w:t>were</w:t>
      </w:r>
      <w:r w:rsidRPr="00C827C7">
        <w:rPr>
          <w:rFonts w:ascii="Cambria" w:hAnsi="Cambria"/>
          <w:spacing w:val="-5"/>
          <w:sz w:val="18"/>
          <w:szCs w:val="18"/>
        </w:rPr>
        <w:t xml:space="preserve"> </w:t>
      </w:r>
      <w:r w:rsidRPr="00C827C7">
        <w:rPr>
          <w:rFonts w:ascii="Cambria" w:hAnsi="Cambria"/>
          <w:sz w:val="18"/>
          <w:szCs w:val="18"/>
        </w:rPr>
        <w:t>counted</w:t>
      </w:r>
      <w:r w:rsidRPr="00C827C7">
        <w:rPr>
          <w:rFonts w:ascii="Cambria" w:hAnsi="Cambria"/>
          <w:spacing w:val="-6"/>
          <w:sz w:val="18"/>
          <w:szCs w:val="18"/>
        </w:rPr>
        <w:t xml:space="preserve"> </w:t>
      </w:r>
      <w:r w:rsidRPr="00C827C7">
        <w:rPr>
          <w:rFonts w:ascii="Cambria" w:hAnsi="Cambria"/>
          <w:sz w:val="18"/>
          <w:szCs w:val="18"/>
        </w:rPr>
        <w:t>once</w:t>
      </w:r>
      <w:r w:rsidRPr="00C827C7">
        <w:rPr>
          <w:rFonts w:ascii="Cambria" w:hAnsi="Cambria"/>
          <w:spacing w:val="-7"/>
          <w:sz w:val="18"/>
          <w:szCs w:val="18"/>
        </w:rPr>
        <w:t xml:space="preserve"> </w:t>
      </w:r>
      <w:r w:rsidRPr="00C827C7">
        <w:rPr>
          <w:rFonts w:ascii="Cambria" w:hAnsi="Cambria"/>
          <w:sz w:val="18"/>
          <w:szCs w:val="18"/>
        </w:rPr>
        <w:t>if</w:t>
      </w:r>
      <w:r w:rsidRPr="00C827C7">
        <w:rPr>
          <w:rFonts w:ascii="Cambria" w:hAnsi="Cambria"/>
          <w:spacing w:val="-4"/>
          <w:sz w:val="18"/>
          <w:szCs w:val="18"/>
        </w:rPr>
        <w:t xml:space="preserve"> </w:t>
      </w:r>
      <w:r w:rsidRPr="00C827C7">
        <w:rPr>
          <w:rFonts w:ascii="Cambria" w:hAnsi="Cambria"/>
          <w:sz w:val="18"/>
          <w:szCs w:val="18"/>
        </w:rPr>
        <w:t>they</w:t>
      </w:r>
      <w:r w:rsidRPr="00C827C7">
        <w:rPr>
          <w:rFonts w:ascii="Cambria" w:hAnsi="Cambria"/>
          <w:spacing w:val="-3"/>
          <w:sz w:val="18"/>
          <w:szCs w:val="18"/>
        </w:rPr>
        <w:t xml:space="preserve"> </w:t>
      </w:r>
      <w:r w:rsidRPr="00C827C7">
        <w:rPr>
          <w:rFonts w:ascii="Cambria" w:hAnsi="Cambria"/>
          <w:sz w:val="18"/>
          <w:szCs w:val="18"/>
        </w:rPr>
        <w:t>reported</w:t>
      </w:r>
      <w:r w:rsidRPr="00C827C7">
        <w:rPr>
          <w:rFonts w:ascii="Cambria" w:hAnsi="Cambria"/>
          <w:spacing w:val="-3"/>
          <w:sz w:val="18"/>
          <w:szCs w:val="18"/>
        </w:rPr>
        <w:t xml:space="preserve"> </w:t>
      </w:r>
      <w:r w:rsidRPr="00C827C7">
        <w:rPr>
          <w:rFonts w:ascii="Cambria" w:hAnsi="Cambria"/>
          <w:sz w:val="18"/>
          <w:szCs w:val="18"/>
        </w:rPr>
        <w:t>one</w:t>
      </w:r>
      <w:r w:rsidRPr="00C827C7">
        <w:rPr>
          <w:rFonts w:ascii="Cambria" w:hAnsi="Cambria"/>
          <w:spacing w:val="-4"/>
          <w:sz w:val="18"/>
          <w:szCs w:val="18"/>
        </w:rPr>
        <w:t xml:space="preserve"> </w:t>
      </w:r>
      <w:r w:rsidRPr="00C827C7">
        <w:rPr>
          <w:rFonts w:ascii="Cambria" w:hAnsi="Cambria"/>
          <w:sz w:val="18"/>
          <w:szCs w:val="18"/>
        </w:rPr>
        <w:t>or</w:t>
      </w:r>
      <w:r w:rsidRPr="00C827C7">
        <w:rPr>
          <w:rFonts w:ascii="Cambria" w:hAnsi="Cambria"/>
          <w:spacing w:val="-6"/>
          <w:sz w:val="18"/>
          <w:szCs w:val="18"/>
        </w:rPr>
        <w:t xml:space="preserve"> </w:t>
      </w:r>
      <w:r w:rsidRPr="00C827C7">
        <w:rPr>
          <w:rFonts w:ascii="Cambria" w:hAnsi="Cambria"/>
          <w:sz w:val="18"/>
          <w:szCs w:val="18"/>
        </w:rPr>
        <w:t>more events. Only the most severe event was counted. The event was considered to be related if the relationship was defined as ‘Possible’, ‘Probable’, ‘Definite’.</w:t>
      </w:r>
    </w:p>
    <w:p w14:paraId="771CE8BE" w14:textId="77777777" w:rsidR="00AD0947" w:rsidRPr="00C827C7" w:rsidRDefault="00AD0947" w:rsidP="00C827C7">
      <w:pPr>
        <w:rPr>
          <w:lang w:eastAsia="ko-KR"/>
        </w:rPr>
      </w:pPr>
    </w:p>
    <w:p w14:paraId="28F29E79" w14:textId="31165EF2" w:rsidR="008C2A0F" w:rsidRPr="008D4276" w:rsidRDefault="008C2A0F" w:rsidP="008C2A0F">
      <w:pPr>
        <w:spacing w:after="200"/>
        <w:rPr>
          <w:rFonts w:asciiTheme="majorHAnsi" w:hAnsiTheme="majorHAnsi" w:cstheme="minorHAnsi"/>
        </w:rPr>
      </w:pPr>
      <w:r w:rsidRPr="008D4276">
        <w:rPr>
          <w:rFonts w:asciiTheme="majorHAnsi" w:hAnsiTheme="majorHAnsi" w:cstheme="minorHAnsi"/>
        </w:rPr>
        <w:t xml:space="preserve">The overall safety profile of CT-P47 AVTPen was comparable to that of CT-P47 PFS in Study CT-P47 1.3. Also, it was shown that administration of CT-P47 </w:t>
      </w:r>
      <w:r w:rsidR="005F3DBF" w:rsidRPr="008D4276">
        <w:rPr>
          <w:rFonts w:asciiTheme="majorHAnsi" w:hAnsiTheme="majorHAnsi" w:cstheme="minorHAnsi"/>
        </w:rPr>
        <w:t>AVTPen</w:t>
      </w:r>
      <w:r w:rsidR="00D61F08">
        <w:rPr>
          <w:rFonts w:asciiTheme="majorHAnsi" w:hAnsiTheme="majorHAnsi" w:cstheme="minorHAnsi" w:hint="eastAsia"/>
          <w:lang w:eastAsia="ko-KR"/>
        </w:rPr>
        <w:t xml:space="preserve"> </w:t>
      </w:r>
      <w:r w:rsidRPr="008D4276">
        <w:rPr>
          <w:rFonts w:asciiTheme="majorHAnsi" w:hAnsiTheme="majorHAnsi" w:cstheme="minorHAnsi"/>
        </w:rPr>
        <w:t xml:space="preserve">was safe and well tolerated in Study CT-P47 3.2.  </w:t>
      </w:r>
    </w:p>
    <w:p w14:paraId="65F7E792" w14:textId="75396673" w:rsidR="00D14E8E" w:rsidRPr="008D4276" w:rsidRDefault="008C2A0F" w:rsidP="00361E46">
      <w:pPr>
        <w:spacing w:after="200"/>
        <w:rPr>
          <w:rFonts w:asciiTheme="majorHAnsi" w:hAnsiTheme="majorHAnsi" w:cstheme="minorHAnsi"/>
        </w:rPr>
      </w:pPr>
      <w:r w:rsidRPr="008D4276">
        <w:rPr>
          <w:rFonts w:asciiTheme="majorHAnsi" w:hAnsiTheme="majorHAnsi" w:cstheme="minorHAnsi"/>
        </w:rPr>
        <w:t>There were no new safety signals or risks identified across the entire clinical program for CT-P47.</w:t>
      </w:r>
    </w:p>
    <w:p w14:paraId="0D838F49" w14:textId="77777777" w:rsidR="00DA5D00" w:rsidRPr="008D4276" w:rsidRDefault="00DA5D00" w:rsidP="00DA5D00">
      <w:pPr>
        <w:pStyle w:val="Heading3"/>
        <w:rPr>
          <w:rFonts w:cs="Calibri"/>
        </w:rPr>
      </w:pPr>
      <w:bookmarkStart w:id="53" w:name="Post-Marketing_Experience"/>
      <w:bookmarkEnd w:id="53"/>
      <w:r w:rsidRPr="008D4276">
        <w:rPr>
          <w:rFonts w:cs="Calibri"/>
        </w:rPr>
        <w:t>Post-Marketing Experience</w:t>
      </w:r>
    </w:p>
    <w:p w14:paraId="0B1C9A5F" w14:textId="5757FFDF" w:rsidR="00DA5D00" w:rsidRPr="008D4276" w:rsidRDefault="00DA5D00" w:rsidP="00DA5D00">
      <w:pPr>
        <w:rPr>
          <w:rFonts w:asciiTheme="majorHAnsi" w:hAnsiTheme="majorHAnsi" w:cstheme="minorHAnsi"/>
        </w:rPr>
      </w:pPr>
      <w:r w:rsidRPr="008D4276">
        <w:rPr>
          <w:rFonts w:asciiTheme="majorHAnsi" w:hAnsiTheme="majorHAnsi" w:cstheme="minorHAnsi"/>
        </w:rPr>
        <w:t xml:space="preserve">The following adverse drug reactions have been identified from clinical trials and/ or post marketing experience with </w:t>
      </w:r>
      <w:r w:rsidR="008C2A0F" w:rsidRPr="008D4276">
        <w:rPr>
          <w:rFonts w:asciiTheme="majorHAnsi" w:hAnsiTheme="majorHAnsi" w:cstheme="minorHAnsi"/>
        </w:rPr>
        <w:t>tocilizumab</w:t>
      </w:r>
      <w:r w:rsidRPr="008D4276">
        <w:rPr>
          <w:rFonts w:asciiTheme="majorHAnsi" w:hAnsiTheme="majorHAnsi" w:cstheme="minorHAnsi"/>
        </w:rPr>
        <w:t xml:space="preserve"> (</w:t>
      </w:r>
      <w:r w:rsidR="00DB20E4">
        <w:rPr>
          <w:rFonts w:asciiTheme="majorHAnsi" w:hAnsiTheme="majorHAnsi" w:cstheme="minorHAnsi"/>
        </w:rPr>
        <w:fldChar w:fldCharType="begin"/>
      </w:r>
      <w:r w:rsidR="00DB20E4">
        <w:rPr>
          <w:rFonts w:asciiTheme="majorHAnsi" w:hAnsiTheme="majorHAnsi" w:cstheme="minorHAnsi"/>
        </w:rPr>
        <w:instrText xml:space="preserve"> REF _Ref192602636 \h </w:instrText>
      </w:r>
      <w:r w:rsidR="00DB20E4">
        <w:rPr>
          <w:rFonts w:asciiTheme="majorHAnsi" w:hAnsiTheme="majorHAnsi" w:cstheme="minorHAnsi"/>
        </w:rPr>
      </w:r>
      <w:r w:rsidR="00DB20E4">
        <w:rPr>
          <w:rFonts w:asciiTheme="majorHAnsi" w:hAnsiTheme="majorHAnsi" w:cstheme="minorHAnsi"/>
        </w:rPr>
        <w:fldChar w:fldCharType="separate"/>
      </w:r>
      <w:r w:rsidR="004C310F" w:rsidRPr="008D4276">
        <w:rPr>
          <w:rFonts w:asciiTheme="majorHAnsi" w:hAnsiTheme="majorHAnsi" w:cs="Calibri"/>
        </w:rPr>
        <w:t xml:space="preserve">Table </w:t>
      </w:r>
      <w:r w:rsidR="004C310F">
        <w:rPr>
          <w:rFonts w:asciiTheme="majorHAnsi" w:hAnsiTheme="majorHAnsi" w:cs="Calibri"/>
          <w:noProof/>
        </w:rPr>
        <w:t>4</w:t>
      </w:r>
      <w:r w:rsidR="00DB20E4">
        <w:rPr>
          <w:rFonts w:asciiTheme="majorHAnsi" w:hAnsiTheme="majorHAnsi" w:cstheme="minorHAnsi"/>
        </w:rPr>
        <w:fldChar w:fldCharType="end"/>
      </w:r>
      <w:r w:rsidRPr="008D4276">
        <w:rPr>
          <w:rFonts w:asciiTheme="majorHAnsi" w:hAnsiTheme="majorHAnsi" w:cstheme="minorHAnsi"/>
        </w:rPr>
        <w:t>) based on spontaneous case reports, literature cases and cases from non-interventional study programs. Adverse drug reactions are listed according to system organ classes in MedDRA and the corresponding frequency category estimation for each adverse drug reaction is based on the following convention: very common (</w:t>
      </w:r>
      <w:r w:rsidRPr="008D4276">
        <w:rPr>
          <w:rFonts w:asciiTheme="majorHAnsi" w:hAnsiTheme="majorHAnsi" w:cstheme="minorHAnsi" w:hint="eastAsia"/>
        </w:rPr>
        <w:t>≥</w:t>
      </w:r>
      <w:r w:rsidRPr="008D4276">
        <w:rPr>
          <w:rFonts w:asciiTheme="majorHAnsi" w:hAnsiTheme="majorHAnsi" w:cstheme="minorHAnsi"/>
        </w:rPr>
        <w:t xml:space="preserve"> 1/10); common (</w:t>
      </w:r>
      <w:r w:rsidRPr="008D4276">
        <w:rPr>
          <w:rFonts w:asciiTheme="majorHAnsi" w:hAnsiTheme="majorHAnsi" w:cstheme="minorHAnsi" w:hint="eastAsia"/>
        </w:rPr>
        <w:t>≥</w:t>
      </w:r>
      <w:r w:rsidRPr="008D4276">
        <w:rPr>
          <w:rFonts w:asciiTheme="majorHAnsi" w:hAnsiTheme="majorHAnsi" w:cstheme="minorHAnsi"/>
        </w:rPr>
        <w:t xml:space="preserve"> 1/100 to &lt;</w:t>
      </w:r>
      <w:r w:rsidR="00EC5228" w:rsidRPr="008D4276">
        <w:rPr>
          <w:rFonts w:asciiTheme="majorHAnsi" w:hAnsiTheme="majorHAnsi" w:cstheme="minorHAnsi"/>
        </w:rPr>
        <w:t> </w:t>
      </w:r>
      <w:r w:rsidRPr="008D4276">
        <w:rPr>
          <w:rFonts w:asciiTheme="majorHAnsi" w:hAnsiTheme="majorHAnsi" w:cstheme="minorHAnsi"/>
        </w:rPr>
        <w:t>1/10); uncommon (</w:t>
      </w:r>
      <w:r w:rsidRPr="008D4276">
        <w:rPr>
          <w:rFonts w:asciiTheme="majorHAnsi" w:hAnsiTheme="majorHAnsi" w:cstheme="minorHAnsi" w:hint="eastAsia"/>
        </w:rPr>
        <w:t>≥</w:t>
      </w:r>
      <w:r w:rsidRPr="008D4276">
        <w:rPr>
          <w:rFonts w:asciiTheme="majorHAnsi" w:hAnsiTheme="majorHAnsi" w:cstheme="minorHAnsi"/>
        </w:rPr>
        <w:t xml:space="preserve"> 1/1,000 to &lt; 1/100); rare (</w:t>
      </w:r>
      <w:r w:rsidRPr="008D4276">
        <w:rPr>
          <w:rFonts w:asciiTheme="majorHAnsi" w:hAnsiTheme="majorHAnsi" w:cstheme="minorHAnsi" w:hint="eastAsia"/>
        </w:rPr>
        <w:t>≥</w:t>
      </w:r>
      <w:r w:rsidRPr="008D4276">
        <w:rPr>
          <w:rFonts w:asciiTheme="majorHAnsi" w:hAnsiTheme="majorHAnsi" w:cstheme="minorHAnsi"/>
        </w:rPr>
        <w:t xml:space="preserve"> 1/10,000 to &lt; 1/1,000); very rare (&lt; 1/10,000).</w:t>
      </w:r>
    </w:p>
    <w:p w14:paraId="71998E6E" w14:textId="090F3CC9" w:rsidR="00EC5228" w:rsidRPr="008D4276" w:rsidRDefault="00EC5228" w:rsidP="00EC5228">
      <w:pPr>
        <w:pStyle w:val="Caption"/>
        <w:rPr>
          <w:rFonts w:asciiTheme="majorHAnsi" w:hAnsiTheme="majorHAnsi" w:cs="Calibri"/>
        </w:rPr>
      </w:pPr>
      <w:bookmarkStart w:id="54" w:name="_Ref192602636"/>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4</w:t>
      </w:r>
      <w:r w:rsidR="0006243F" w:rsidRPr="008D4276">
        <w:rPr>
          <w:rFonts w:asciiTheme="majorHAnsi" w:hAnsiTheme="majorHAnsi" w:cs="Calibri"/>
        </w:rPr>
        <w:fldChar w:fldCharType="end"/>
      </w:r>
      <w:bookmarkEnd w:id="54"/>
      <w:r w:rsidRPr="008D4276">
        <w:rPr>
          <w:rFonts w:asciiTheme="majorHAnsi" w:hAnsiTheme="majorHAnsi" w:cs="Calibri"/>
        </w:rPr>
        <w:t xml:space="preserve"> Adverse drug reactions from post marketing experience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80"/>
        <w:gridCol w:w="4140"/>
      </w:tblGrid>
      <w:tr w:rsidR="00EC5228" w:rsidRPr="001922B7" w14:paraId="4FF3E1BE" w14:textId="77777777" w:rsidTr="00EC5228">
        <w:trPr>
          <w:trHeight w:val="254"/>
          <w:tblHeader/>
        </w:trPr>
        <w:tc>
          <w:tcPr>
            <w:tcW w:w="2705" w:type="pct"/>
          </w:tcPr>
          <w:p w14:paraId="7A506441" w14:textId="77777777" w:rsidR="00EC5228" w:rsidRPr="008D4276" w:rsidRDefault="00EC5228" w:rsidP="00EC5228">
            <w:pPr>
              <w:pStyle w:val="NoSpacing"/>
              <w:rPr>
                <w:rFonts w:asciiTheme="majorHAnsi" w:hAnsiTheme="majorHAnsi" w:cs="Calibri"/>
                <w:b/>
                <w:bCs/>
              </w:rPr>
            </w:pPr>
            <w:bookmarkStart w:id="55" w:name="_Hlk159336204"/>
            <w:r w:rsidRPr="008D4276">
              <w:rPr>
                <w:rFonts w:asciiTheme="majorHAnsi" w:hAnsiTheme="majorHAnsi" w:cs="Calibri"/>
                <w:b/>
                <w:bCs/>
              </w:rPr>
              <w:t>Adverse reaction (MedDRA)</w:t>
            </w:r>
          </w:p>
        </w:tc>
        <w:tc>
          <w:tcPr>
            <w:tcW w:w="2295" w:type="pct"/>
          </w:tcPr>
          <w:p w14:paraId="792307EC" w14:textId="77777777" w:rsidR="00EC5228" w:rsidRPr="008D4276" w:rsidRDefault="00EC5228" w:rsidP="00EC5228">
            <w:pPr>
              <w:pStyle w:val="NoSpacing"/>
              <w:rPr>
                <w:rFonts w:asciiTheme="majorHAnsi" w:hAnsiTheme="majorHAnsi" w:cs="Calibri"/>
                <w:b/>
                <w:bCs/>
              </w:rPr>
            </w:pPr>
            <w:r w:rsidRPr="008D4276">
              <w:rPr>
                <w:rFonts w:asciiTheme="majorHAnsi" w:hAnsiTheme="majorHAnsi" w:cs="Calibri"/>
                <w:b/>
                <w:bCs/>
              </w:rPr>
              <w:t>Frequency Category</w:t>
            </w:r>
          </w:p>
        </w:tc>
      </w:tr>
      <w:tr w:rsidR="00EC5228" w:rsidRPr="001922B7" w14:paraId="4FFACBAD" w14:textId="77777777" w:rsidTr="00EC5228">
        <w:trPr>
          <w:trHeight w:val="251"/>
        </w:trPr>
        <w:tc>
          <w:tcPr>
            <w:tcW w:w="5000" w:type="pct"/>
            <w:gridSpan w:val="2"/>
          </w:tcPr>
          <w:p w14:paraId="5A281D59" w14:textId="77777777" w:rsidR="00EC5228" w:rsidRPr="008D4276" w:rsidRDefault="00EC5228" w:rsidP="00EC5228">
            <w:pPr>
              <w:pStyle w:val="NoSpacing"/>
              <w:rPr>
                <w:rFonts w:asciiTheme="majorHAnsi" w:hAnsiTheme="majorHAnsi" w:cs="Calibri"/>
                <w:b/>
                <w:bCs/>
              </w:rPr>
            </w:pPr>
            <w:r w:rsidRPr="008D4276">
              <w:rPr>
                <w:rFonts w:asciiTheme="majorHAnsi" w:hAnsiTheme="majorHAnsi" w:cs="Calibri"/>
                <w:b/>
                <w:bCs/>
              </w:rPr>
              <w:t>Immune system disorders</w:t>
            </w:r>
          </w:p>
        </w:tc>
      </w:tr>
      <w:tr w:rsidR="00EC5228" w:rsidRPr="001922B7" w14:paraId="24A29B8B" w14:textId="77777777" w:rsidTr="00EC5228">
        <w:trPr>
          <w:trHeight w:val="254"/>
        </w:trPr>
        <w:tc>
          <w:tcPr>
            <w:tcW w:w="2705" w:type="pct"/>
          </w:tcPr>
          <w:p w14:paraId="63649EB6" w14:textId="77777777" w:rsidR="00EC5228" w:rsidRPr="008D4276" w:rsidRDefault="00EC5228" w:rsidP="00EC5228">
            <w:pPr>
              <w:pStyle w:val="NoSpacing"/>
              <w:rPr>
                <w:rFonts w:asciiTheme="majorHAnsi" w:hAnsiTheme="majorHAnsi" w:cs="Calibri"/>
              </w:rPr>
            </w:pPr>
            <w:r w:rsidRPr="008D4276">
              <w:rPr>
                <w:rFonts w:asciiTheme="majorHAnsi" w:hAnsiTheme="majorHAnsi" w:cs="Calibri"/>
              </w:rPr>
              <w:t>Anaphylaxis (fatal)</w:t>
            </w:r>
            <w:r w:rsidRPr="008D4276">
              <w:rPr>
                <w:rFonts w:asciiTheme="majorHAnsi" w:hAnsiTheme="majorHAnsi" w:cs="Calibri"/>
                <w:vertAlign w:val="superscript"/>
              </w:rPr>
              <w:t>1,</w:t>
            </w:r>
            <w:r w:rsidRPr="008D4276">
              <w:rPr>
                <w:rFonts w:asciiTheme="majorHAnsi" w:hAnsiTheme="majorHAnsi" w:cs="Calibri"/>
              </w:rPr>
              <w:t xml:space="preserve"> </w:t>
            </w:r>
            <w:r w:rsidRPr="008D4276">
              <w:rPr>
                <w:rFonts w:asciiTheme="majorHAnsi" w:hAnsiTheme="majorHAnsi" w:cs="Calibri"/>
                <w:vertAlign w:val="superscript"/>
              </w:rPr>
              <w:t>2</w:t>
            </w:r>
          </w:p>
        </w:tc>
        <w:tc>
          <w:tcPr>
            <w:tcW w:w="2295" w:type="pct"/>
          </w:tcPr>
          <w:p w14:paraId="2629976B" w14:textId="77777777" w:rsidR="00EC5228" w:rsidRPr="008D4276" w:rsidRDefault="00EC5228" w:rsidP="00EC5228">
            <w:pPr>
              <w:pStyle w:val="NoSpacing"/>
              <w:rPr>
                <w:rFonts w:asciiTheme="majorHAnsi" w:hAnsiTheme="majorHAnsi" w:cs="Calibri"/>
              </w:rPr>
            </w:pPr>
            <w:r w:rsidRPr="008D4276">
              <w:rPr>
                <w:rFonts w:asciiTheme="majorHAnsi" w:hAnsiTheme="majorHAnsi" w:cs="Calibri"/>
              </w:rPr>
              <w:t>Rare</w:t>
            </w:r>
          </w:p>
        </w:tc>
      </w:tr>
      <w:tr w:rsidR="00EC5228" w:rsidRPr="001922B7" w14:paraId="6B0840A1" w14:textId="77777777" w:rsidTr="00EC5228">
        <w:trPr>
          <w:trHeight w:val="251"/>
        </w:trPr>
        <w:tc>
          <w:tcPr>
            <w:tcW w:w="5000" w:type="pct"/>
            <w:gridSpan w:val="2"/>
          </w:tcPr>
          <w:p w14:paraId="0D35FBC4" w14:textId="77777777" w:rsidR="00EC5228" w:rsidRPr="008D4276" w:rsidRDefault="00EC5228" w:rsidP="00EC5228">
            <w:pPr>
              <w:pStyle w:val="NoSpacing"/>
              <w:rPr>
                <w:rFonts w:asciiTheme="majorHAnsi" w:hAnsiTheme="majorHAnsi" w:cs="Calibri"/>
                <w:b/>
                <w:bCs/>
              </w:rPr>
            </w:pPr>
            <w:r w:rsidRPr="008D4276">
              <w:rPr>
                <w:rFonts w:asciiTheme="majorHAnsi" w:hAnsiTheme="majorHAnsi" w:cs="Calibri"/>
                <w:b/>
                <w:bCs/>
              </w:rPr>
              <w:t>Skin and subcutaneous tissue disorders</w:t>
            </w:r>
          </w:p>
        </w:tc>
      </w:tr>
      <w:tr w:rsidR="00EC5228" w:rsidRPr="001922B7" w14:paraId="7CE41128" w14:textId="77777777" w:rsidTr="00EC5228">
        <w:trPr>
          <w:trHeight w:val="254"/>
        </w:trPr>
        <w:tc>
          <w:tcPr>
            <w:tcW w:w="2705" w:type="pct"/>
          </w:tcPr>
          <w:p w14:paraId="36A443B2" w14:textId="77777777" w:rsidR="00EC5228" w:rsidRPr="008D4276" w:rsidRDefault="00EC5228" w:rsidP="00EC5228">
            <w:pPr>
              <w:pStyle w:val="NoSpacing"/>
              <w:rPr>
                <w:rFonts w:asciiTheme="majorHAnsi" w:hAnsiTheme="majorHAnsi" w:cs="Calibri"/>
              </w:rPr>
            </w:pPr>
            <w:r w:rsidRPr="008D4276">
              <w:rPr>
                <w:rFonts w:asciiTheme="majorHAnsi" w:hAnsiTheme="majorHAnsi" w:cs="Calibri"/>
              </w:rPr>
              <w:t>Stevens-Johnson syndrome</w:t>
            </w:r>
            <w:r w:rsidRPr="008D4276">
              <w:rPr>
                <w:rFonts w:asciiTheme="majorHAnsi" w:hAnsiTheme="majorHAnsi" w:cs="Calibri"/>
                <w:vertAlign w:val="superscript"/>
              </w:rPr>
              <w:t>3</w:t>
            </w:r>
          </w:p>
        </w:tc>
        <w:tc>
          <w:tcPr>
            <w:tcW w:w="2295" w:type="pct"/>
          </w:tcPr>
          <w:p w14:paraId="56C5CA05" w14:textId="77777777" w:rsidR="00EC5228" w:rsidRPr="008D4276" w:rsidRDefault="00EC5228" w:rsidP="00EC5228">
            <w:pPr>
              <w:pStyle w:val="NoSpacing"/>
              <w:rPr>
                <w:rFonts w:asciiTheme="majorHAnsi" w:hAnsiTheme="majorHAnsi" w:cs="Calibri"/>
              </w:rPr>
            </w:pPr>
            <w:r w:rsidRPr="008D4276">
              <w:rPr>
                <w:rFonts w:asciiTheme="majorHAnsi" w:hAnsiTheme="majorHAnsi" w:cs="Calibri"/>
              </w:rPr>
              <w:t>Rare</w:t>
            </w:r>
          </w:p>
        </w:tc>
      </w:tr>
      <w:tr w:rsidR="00EC5228" w:rsidRPr="001922B7" w14:paraId="60E8E279" w14:textId="77777777" w:rsidTr="00EC5228">
        <w:trPr>
          <w:trHeight w:val="254"/>
        </w:trPr>
        <w:tc>
          <w:tcPr>
            <w:tcW w:w="5000" w:type="pct"/>
            <w:gridSpan w:val="2"/>
          </w:tcPr>
          <w:p w14:paraId="54732896" w14:textId="77777777" w:rsidR="00EC5228" w:rsidRPr="008D4276" w:rsidRDefault="00EC5228" w:rsidP="00EC5228">
            <w:pPr>
              <w:pStyle w:val="NoSpacing"/>
              <w:rPr>
                <w:rFonts w:asciiTheme="majorHAnsi" w:hAnsiTheme="majorHAnsi" w:cs="Calibri"/>
                <w:b/>
                <w:bCs/>
              </w:rPr>
            </w:pPr>
            <w:r w:rsidRPr="008D4276">
              <w:rPr>
                <w:rFonts w:asciiTheme="majorHAnsi" w:hAnsiTheme="majorHAnsi" w:cs="Calibri"/>
                <w:b/>
                <w:bCs/>
              </w:rPr>
              <w:t>Blood and lymphatic system disorders</w:t>
            </w:r>
          </w:p>
        </w:tc>
      </w:tr>
      <w:tr w:rsidR="00EC5228" w:rsidRPr="001922B7" w14:paraId="4B5CA1E3" w14:textId="77777777" w:rsidTr="00EC5228">
        <w:trPr>
          <w:trHeight w:val="251"/>
        </w:trPr>
        <w:tc>
          <w:tcPr>
            <w:tcW w:w="2705" w:type="pct"/>
          </w:tcPr>
          <w:p w14:paraId="61452FF2" w14:textId="77777777" w:rsidR="00EC5228" w:rsidRPr="008D4276" w:rsidRDefault="00EC5228" w:rsidP="00EC5228">
            <w:pPr>
              <w:pStyle w:val="NoSpacing"/>
              <w:rPr>
                <w:rFonts w:asciiTheme="majorHAnsi" w:hAnsiTheme="majorHAnsi" w:cs="Calibri"/>
              </w:rPr>
            </w:pPr>
            <w:r w:rsidRPr="008D4276">
              <w:rPr>
                <w:rFonts w:asciiTheme="majorHAnsi" w:hAnsiTheme="majorHAnsi" w:cs="Calibri"/>
              </w:rPr>
              <w:t>Hypofibrinogenemia</w:t>
            </w:r>
          </w:p>
        </w:tc>
        <w:tc>
          <w:tcPr>
            <w:tcW w:w="2295" w:type="pct"/>
          </w:tcPr>
          <w:p w14:paraId="364D37A6" w14:textId="77777777" w:rsidR="00EC5228" w:rsidRPr="008D4276" w:rsidRDefault="00EC5228" w:rsidP="00EC5228">
            <w:pPr>
              <w:pStyle w:val="NoSpacing"/>
              <w:rPr>
                <w:rFonts w:asciiTheme="majorHAnsi" w:hAnsiTheme="majorHAnsi" w:cs="Calibri"/>
              </w:rPr>
            </w:pPr>
            <w:r w:rsidRPr="008D4276">
              <w:rPr>
                <w:rFonts w:asciiTheme="majorHAnsi" w:hAnsiTheme="majorHAnsi" w:cs="Calibri"/>
              </w:rPr>
              <w:t>Common</w:t>
            </w:r>
          </w:p>
        </w:tc>
      </w:tr>
      <w:tr w:rsidR="00EC5228" w:rsidRPr="001922B7" w14:paraId="76642935" w14:textId="77777777" w:rsidTr="00EC5228">
        <w:trPr>
          <w:trHeight w:val="254"/>
        </w:trPr>
        <w:tc>
          <w:tcPr>
            <w:tcW w:w="2705" w:type="pct"/>
          </w:tcPr>
          <w:p w14:paraId="3BBB5F5A" w14:textId="77777777" w:rsidR="00EC5228" w:rsidRPr="008D4276" w:rsidRDefault="00EC5228" w:rsidP="00EC5228">
            <w:pPr>
              <w:pStyle w:val="NoSpacing"/>
              <w:rPr>
                <w:rFonts w:asciiTheme="majorHAnsi" w:hAnsiTheme="majorHAnsi" w:cs="Calibri"/>
                <w:b/>
                <w:bCs/>
              </w:rPr>
            </w:pPr>
            <w:r w:rsidRPr="008D4276">
              <w:rPr>
                <w:rFonts w:asciiTheme="majorHAnsi" w:hAnsiTheme="majorHAnsi" w:cs="Calibri"/>
                <w:b/>
                <w:bCs/>
              </w:rPr>
              <w:t>Hepatobiliary disorders</w:t>
            </w:r>
            <w:r w:rsidRPr="008D4276">
              <w:rPr>
                <w:rFonts w:asciiTheme="majorHAnsi" w:hAnsiTheme="majorHAnsi" w:cs="Calibri"/>
                <w:b/>
                <w:bCs/>
                <w:vertAlign w:val="superscript"/>
              </w:rPr>
              <w:t>4</w:t>
            </w:r>
          </w:p>
        </w:tc>
        <w:tc>
          <w:tcPr>
            <w:tcW w:w="2295" w:type="pct"/>
          </w:tcPr>
          <w:p w14:paraId="1E45CA07" w14:textId="77777777" w:rsidR="00EC5228" w:rsidRPr="008D4276" w:rsidRDefault="00EC5228" w:rsidP="00EC5228">
            <w:pPr>
              <w:pStyle w:val="NoSpacing"/>
              <w:rPr>
                <w:rFonts w:asciiTheme="majorHAnsi" w:hAnsiTheme="majorHAnsi" w:cs="Calibri"/>
                <w:b/>
                <w:bCs/>
              </w:rPr>
            </w:pPr>
          </w:p>
        </w:tc>
      </w:tr>
      <w:tr w:rsidR="00EC5228" w:rsidRPr="001922B7" w14:paraId="5F307F3F" w14:textId="77777777" w:rsidTr="00EC5228">
        <w:trPr>
          <w:trHeight w:val="254"/>
        </w:trPr>
        <w:tc>
          <w:tcPr>
            <w:tcW w:w="2705" w:type="pct"/>
          </w:tcPr>
          <w:p w14:paraId="61346098" w14:textId="142F42F5" w:rsidR="00EC5228" w:rsidRPr="008D4276" w:rsidRDefault="00EC5228" w:rsidP="00EC5228">
            <w:pPr>
              <w:pStyle w:val="NoSpacing"/>
              <w:rPr>
                <w:rFonts w:asciiTheme="majorHAnsi" w:hAnsiTheme="majorHAnsi" w:cs="Calibri"/>
              </w:rPr>
            </w:pPr>
            <w:r w:rsidRPr="008D4276">
              <w:rPr>
                <w:rFonts w:asciiTheme="majorHAnsi" w:hAnsiTheme="majorHAnsi" w:cs="Calibri"/>
              </w:rPr>
              <w:t>Drug-induced liver injury</w:t>
            </w:r>
          </w:p>
        </w:tc>
        <w:tc>
          <w:tcPr>
            <w:tcW w:w="2295" w:type="pct"/>
          </w:tcPr>
          <w:p w14:paraId="316A89AD" w14:textId="74285EB5" w:rsidR="00EC5228" w:rsidRPr="008D4276" w:rsidRDefault="00EC5228" w:rsidP="00EC5228">
            <w:pPr>
              <w:pStyle w:val="NoSpacing"/>
              <w:rPr>
                <w:rFonts w:asciiTheme="majorHAnsi" w:hAnsiTheme="majorHAnsi" w:cs="Calibri"/>
              </w:rPr>
            </w:pPr>
            <w:r w:rsidRPr="008D4276">
              <w:rPr>
                <w:rFonts w:asciiTheme="majorHAnsi" w:hAnsiTheme="majorHAnsi" w:cs="Calibri"/>
              </w:rPr>
              <w:t>Rare</w:t>
            </w:r>
          </w:p>
        </w:tc>
      </w:tr>
      <w:tr w:rsidR="00EC5228" w:rsidRPr="001922B7" w14:paraId="0662035E" w14:textId="77777777" w:rsidTr="00EC5228">
        <w:trPr>
          <w:trHeight w:val="254"/>
        </w:trPr>
        <w:tc>
          <w:tcPr>
            <w:tcW w:w="2705" w:type="pct"/>
          </w:tcPr>
          <w:p w14:paraId="60AD2D26" w14:textId="4BC63E50" w:rsidR="00EC5228" w:rsidRPr="008D4276" w:rsidRDefault="00EC5228" w:rsidP="00EC5228">
            <w:pPr>
              <w:pStyle w:val="NoSpacing"/>
              <w:rPr>
                <w:rFonts w:asciiTheme="majorHAnsi" w:hAnsiTheme="majorHAnsi" w:cs="Calibri"/>
              </w:rPr>
            </w:pPr>
            <w:r w:rsidRPr="008D4276">
              <w:rPr>
                <w:rFonts w:asciiTheme="majorHAnsi" w:hAnsiTheme="majorHAnsi" w:cs="Calibri"/>
              </w:rPr>
              <w:t>Hepatitis</w:t>
            </w:r>
          </w:p>
        </w:tc>
        <w:tc>
          <w:tcPr>
            <w:tcW w:w="2295" w:type="pct"/>
          </w:tcPr>
          <w:p w14:paraId="6EA9E278" w14:textId="0F5166F2" w:rsidR="00EC5228" w:rsidRPr="008D4276" w:rsidRDefault="00EC5228" w:rsidP="00EC5228">
            <w:pPr>
              <w:pStyle w:val="NoSpacing"/>
              <w:rPr>
                <w:rFonts w:asciiTheme="majorHAnsi" w:hAnsiTheme="majorHAnsi" w:cs="Calibri"/>
              </w:rPr>
            </w:pPr>
            <w:r w:rsidRPr="008D4276">
              <w:rPr>
                <w:rFonts w:asciiTheme="majorHAnsi" w:hAnsiTheme="majorHAnsi" w:cs="Calibri"/>
              </w:rPr>
              <w:t>Rare</w:t>
            </w:r>
          </w:p>
        </w:tc>
      </w:tr>
      <w:tr w:rsidR="00EC5228" w:rsidRPr="001922B7" w14:paraId="38D609BA" w14:textId="77777777" w:rsidTr="00EC5228">
        <w:trPr>
          <w:trHeight w:val="254"/>
        </w:trPr>
        <w:tc>
          <w:tcPr>
            <w:tcW w:w="2705" w:type="pct"/>
          </w:tcPr>
          <w:p w14:paraId="358DCD62" w14:textId="40E70A43" w:rsidR="00EC5228" w:rsidRPr="008D4276" w:rsidRDefault="00EC5228" w:rsidP="00EC5228">
            <w:pPr>
              <w:pStyle w:val="NoSpacing"/>
              <w:rPr>
                <w:rFonts w:asciiTheme="majorHAnsi" w:hAnsiTheme="majorHAnsi" w:cs="Calibri"/>
              </w:rPr>
            </w:pPr>
            <w:r w:rsidRPr="008D4276">
              <w:rPr>
                <w:rFonts w:asciiTheme="majorHAnsi" w:hAnsiTheme="majorHAnsi" w:cs="Calibri"/>
              </w:rPr>
              <w:t>Hepatic failure</w:t>
            </w:r>
          </w:p>
        </w:tc>
        <w:tc>
          <w:tcPr>
            <w:tcW w:w="2295" w:type="pct"/>
          </w:tcPr>
          <w:p w14:paraId="1C0CF9C0" w14:textId="7A817697" w:rsidR="00EC5228" w:rsidRPr="008D4276" w:rsidRDefault="00EC5228" w:rsidP="00EC5228">
            <w:pPr>
              <w:pStyle w:val="NoSpacing"/>
              <w:rPr>
                <w:rFonts w:asciiTheme="majorHAnsi" w:hAnsiTheme="majorHAnsi" w:cs="Calibri"/>
              </w:rPr>
            </w:pPr>
            <w:r w:rsidRPr="008D4276">
              <w:rPr>
                <w:rFonts w:asciiTheme="majorHAnsi" w:hAnsiTheme="majorHAnsi" w:cs="Calibri"/>
              </w:rPr>
              <w:t>Rare</w:t>
            </w:r>
          </w:p>
        </w:tc>
      </w:tr>
      <w:tr w:rsidR="00EC5228" w:rsidRPr="001922B7" w14:paraId="7B892BE5" w14:textId="77777777" w:rsidTr="00EC5228">
        <w:trPr>
          <w:trHeight w:val="254"/>
        </w:trPr>
        <w:tc>
          <w:tcPr>
            <w:tcW w:w="2705" w:type="pct"/>
          </w:tcPr>
          <w:p w14:paraId="1923030F" w14:textId="53AF7F48" w:rsidR="00EC5228" w:rsidRPr="008D4276" w:rsidRDefault="00EC5228" w:rsidP="00EC5228">
            <w:pPr>
              <w:pStyle w:val="NoSpacing"/>
              <w:rPr>
                <w:rFonts w:asciiTheme="majorHAnsi" w:hAnsiTheme="majorHAnsi" w:cs="Calibri"/>
              </w:rPr>
            </w:pPr>
            <w:r w:rsidRPr="008D4276">
              <w:rPr>
                <w:rFonts w:asciiTheme="majorHAnsi" w:hAnsiTheme="majorHAnsi" w:cs="Calibri"/>
              </w:rPr>
              <w:t>Jaundice</w:t>
            </w:r>
          </w:p>
        </w:tc>
        <w:tc>
          <w:tcPr>
            <w:tcW w:w="2295" w:type="pct"/>
          </w:tcPr>
          <w:p w14:paraId="6F39128A" w14:textId="0EB2D3E3" w:rsidR="00EC5228" w:rsidRPr="008D4276" w:rsidRDefault="00EC5228" w:rsidP="00EC5228">
            <w:pPr>
              <w:pStyle w:val="NoSpacing"/>
              <w:rPr>
                <w:rFonts w:asciiTheme="majorHAnsi" w:hAnsiTheme="majorHAnsi" w:cs="Calibri"/>
              </w:rPr>
            </w:pPr>
            <w:r w:rsidRPr="008D4276">
              <w:rPr>
                <w:rFonts w:asciiTheme="majorHAnsi" w:hAnsiTheme="majorHAnsi" w:cs="Calibri"/>
              </w:rPr>
              <w:t>Rare</w:t>
            </w:r>
          </w:p>
        </w:tc>
      </w:tr>
    </w:tbl>
    <w:bookmarkEnd w:id="55"/>
    <w:p w14:paraId="5AF858A5" w14:textId="77777777" w:rsidR="00EC5228" w:rsidRPr="008D4276" w:rsidRDefault="00EC5228" w:rsidP="00EC5228">
      <w:pPr>
        <w:pStyle w:val="NoSpacing"/>
        <w:rPr>
          <w:rFonts w:asciiTheme="majorHAnsi" w:hAnsiTheme="majorHAnsi" w:cstheme="minorHAnsi"/>
        </w:rPr>
      </w:pPr>
      <w:r w:rsidRPr="008D4276">
        <w:rPr>
          <w:rFonts w:asciiTheme="majorHAnsi" w:hAnsiTheme="majorHAnsi" w:cstheme="minorHAnsi"/>
          <w:vertAlign w:val="superscript"/>
        </w:rPr>
        <w:t>1</w:t>
      </w:r>
      <w:r w:rsidRPr="008D4276">
        <w:rPr>
          <w:rFonts w:asciiTheme="majorHAnsi" w:hAnsiTheme="majorHAnsi" w:cstheme="minorHAnsi"/>
        </w:rPr>
        <w:t xml:space="preserve"> See section </w:t>
      </w:r>
      <w:r w:rsidRPr="008D4276">
        <w:rPr>
          <w:rFonts w:asciiTheme="majorHAnsi" w:hAnsiTheme="majorHAnsi" w:cstheme="minorHAnsi"/>
          <w:i/>
          <w:iCs/>
        </w:rPr>
        <w:t>4.3 Contraindications</w:t>
      </w:r>
    </w:p>
    <w:p w14:paraId="046DAAE1" w14:textId="77777777" w:rsidR="00EC5228" w:rsidRPr="008D4276" w:rsidRDefault="00EC5228" w:rsidP="00EC5228">
      <w:pPr>
        <w:pStyle w:val="NoSpacing"/>
        <w:rPr>
          <w:rFonts w:asciiTheme="majorHAnsi" w:hAnsiTheme="majorHAnsi" w:cstheme="minorHAnsi"/>
        </w:rPr>
      </w:pPr>
      <w:r w:rsidRPr="008D4276">
        <w:rPr>
          <w:rFonts w:asciiTheme="majorHAnsi" w:hAnsiTheme="majorHAnsi" w:cstheme="minorHAnsi"/>
          <w:vertAlign w:val="superscript"/>
        </w:rPr>
        <w:t>2</w:t>
      </w:r>
      <w:r w:rsidRPr="008D4276">
        <w:rPr>
          <w:rFonts w:asciiTheme="majorHAnsi" w:hAnsiTheme="majorHAnsi" w:cstheme="minorHAnsi"/>
        </w:rPr>
        <w:t xml:space="preserve"> See section </w:t>
      </w:r>
      <w:r w:rsidRPr="008D4276">
        <w:rPr>
          <w:rFonts w:asciiTheme="majorHAnsi" w:hAnsiTheme="majorHAnsi" w:cstheme="minorHAnsi"/>
          <w:i/>
          <w:iCs/>
        </w:rPr>
        <w:t>4.4 Special warnings and precautions for use</w:t>
      </w:r>
    </w:p>
    <w:p w14:paraId="7E4133A8" w14:textId="592B9CC0" w:rsidR="00EC5228" w:rsidRPr="008D4276" w:rsidRDefault="00EC5228" w:rsidP="00EC5228">
      <w:pPr>
        <w:pStyle w:val="NoSpacing"/>
        <w:rPr>
          <w:rFonts w:asciiTheme="majorHAnsi" w:hAnsiTheme="majorHAnsi" w:cstheme="minorHAnsi"/>
        </w:rPr>
      </w:pPr>
      <w:r w:rsidRPr="008D4276">
        <w:rPr>
          <w:rFonts w:asciiTheme="majorHAnsi" w:hAnsiTheme="majorHAnsi" w:cstheme="minorHAnsi"/>
          <w:vertAlign w:val="superscript"/>
        </w:rPr>
        <w:t>3</w:t>
      </w:r>
      <w:r w:rsidRPr="008D4276">
        <w:rPr>
          <w:rFonts w:asciiTheme="majorHAnsi" w:hAnsiTheme="majorHAnsi" w:cstheme="minorHAnsi"/>
        </w:rPr>
        <w:t xml:space="preserve"> This adverse reaction was identified through post marketing surveillance but not observed in controlled clinical trials. The frequency category was estimated as the upper limit of the 95% confidence interval calculated on the basis of the total number of patients exposed to </w:t>
      </w:r>
      <w:r w:rsidR="006447CE" w:rsidRPr="008D4276">
        <w:rPr>
          <w:rFonts w:asciiTheme="majorHAnsi" w:hAnsiTheme="majorHAnsi" w:cstheme="minorHAnsi"/>
        </w:rPr>
        <w:t>tocilizumab</w:t>
      </w:r>
      <w:r w:rsidRPr="008D4276">
        <w:rPr>
          <w:rFonts w:asciiTheme="majorHAnsi" w:hAnsiTheme="majorHAnsi" w:cstheme="minorHAnsi"/>
        </w:rPr>
        <w:t xml:space="preserve"> in clinical trials.</w:t>
      </w:r>
    </w:p>
    <w:p w14:paraId="26679D88" w14:textId="77777777" w:rsidR="00EC5228" w:rsidRPr="008D4276" w:rsidRDefault="00EC5228" w:rsidP="00EC5228">
      <w:pPr>
        <w:spacing w:after="200"/>
        <w:rPr>
          <w:rFonts w:asciiTheme="majorHAnsi" w:hAnsiTheme="majorHAnsi" w:cstheme="minorHAnsi"/>
        </w:rPr>
      </w:pPr>
      <w:r w:rsidRPr="008D4276">
        <w:rPr>
          <w:rFonts w:asciiTheme="majorHAnsi" w:hAnsiTheme="majorHAnsi" w:cstheme="minorHAnsi"/>
          <w:vertAlign w:val="superscript"/>
        </w:rPr>
        <w:t>4</w:t>
      </w:r>
      <w:r w:rsidRPr="008D4276">
        <w:rPr>
          <w:rFonts w:asciiTheme="majorHAnsi" w:hAnsiTheme="majorHAnsi" w:cstheme="minorHAnsi"/>
        </w:rPr>
        <w:t xml:space="preserve"> Frequency categories calculated based on all-exposure data obtained from relevant completed clinical trials for all indications.</w:t>
      </w:r>
    </w:p>
    <w:p w14:paraId="3836F037" w14:textId="77777777" w:rsidR="00EC5228" w:rsidRPr="008D4276" w:rsidRDefault="00EC5228" w:rsidP="00EC5228">
      <w:pPr>
        <w:rPr>
          <w:rFonts w:asciiTheme="majorHAnsi" w:hAnsiTheme="majorHAnsi" w:cstheme="minorHAnsi"/>
        </w:rPr>
      </w:pPr>
      <w:r w:rsidRPr="008D4276">
        <w:rPr>
          <w:rFonts w:asciiTheme="majorHAnsi" w:hAnsiTheme="majorHAnsi" w:cstheme="minorHAnsi"/>
          <w:i/>
          <w:iCs/>
        </w:rPr>
        <w:t>Respiratory, thoracic and mediastinal disorders:</w:t>
      </w:r>
      <w:r w:rsidRPr="008D4276">
        <w:rPr>
          <w:rFonts w:asciiTheme="majorHAnsi" w:hAnsiTheme="majorHAnsi" w:cstheme="minorHAnsi"/>
        </w:rPr>
        <w:t xml:space="preserve"> There have been reports of interstitial lung disease (including pneumonitis and pulmonary fibrosis), some of which had fatal outcomes.</w:t>
      </w:r>
    </w:p>
    <w:p w14:paraId="54AEFF2D" w14:textId="77777777" w:rsidR="00EC5228" w:rsidRPr="008D4276" w:rsidRDefault="00EC5228" w:rsidP="00EC5228">
      <w:pPr>
        <w:rPr>
          <w:rFonts w:asciiTheme="majorHAnsi" w:hAnsiTheme="majorHAnsi" w:cstheme="minorHAnsi"/>
        </w:rPr>
      </w:pPr>
      <w:r w:rsidRPr="008D4276">
        <w:rPr>
          <w:rFonts w:asciiTheme="majorHAnsi" w:hAnsiTheme="majorHAnsi" w:cstheme="minorHAnsi"/>
          <w:i/>
          <w:iCs/>
        </w:rPr>
        <w:t>Blood and lymphatic system disorders:</w:t>
      </w:r>
      <w:r w:rsidRPr="008D4276">
        <w:rPr>
          <w:rFonts w:asciiTheme="majorHAnsi" w:hAnsiTheme="majorHAnsi" w:cstheme="minorHAnsi"/>
        </w:rPr>
        <w:t xml:space="preserve"> very rare reports of pancytopenia have occurred.</w:t>
      </w:r>
    </w:p>
    <w:p w14:paraId="7D838DF4" w14:textId="4D25F2AF" w:rsidR="00EC5228" w:rsidRPr="008D4276" w:rsidRDefault="00EC5228" w:rsidP="00EC5228">
      <w:pPr>
        <w:rPr>
          <w:rFonts w:asciiTheme="majorHAnsi" w:hAnsiTheme="majorHAnsi" w:cstheme="minorHAnsi"/>
        </w:rPr>
      </w:pPr>
      <w:r w:rsidRPr="008D4276">
        <w:rPr>
          <w:rFonts w:asciiTheme="majorHAnsi" w:hAnsiTheme="majorHAnsi" w:cstheme="minorHAnsi"/>
          <w:i/>
          <w:iCs/>
        </w:rPr>
        <w:t>Gastrointestinal disorder:</w:t>
      </w:r>
      <w:r w:rsidRPr="008D4276">
        <w:rPr>
          <w:rFonts w:asciiTheme="majorHAnsi" w:hAnsiTheme="majorHAnsi" w:cstheme="minorHAnsi"/>
        </w:rPr>
        <w:t xml:space="preserve"> pancreatitis</w:t>
      </w:r>
    </w:p>
    <w:p w14:paraId="1CB7E4C2" w14:textId="76EEFE38" w:rsidR="002B424E" w:rsidRPr="008D4276" w:rsidRDefault="002B424E" w:rsidP="002B424E">
      <w:pPr>
        <w:pStyle w:val="Heading3"/>
        <w:rPr>
          <w:rFonts w:cs="Calibri"/>
        </w:rPr>
      </w:pPr>
      <w:r w:rsidRPr="008D4276">
        <w:rPr>
          <w:rFonts w:cs="Calibri"/>
        </w:rPr>
        <w:t>Reporting suspected adverse effects</w:t>
      </w:r>
    </w:p>
    <w:p w14:paraId="55CF99E0" w14:textId="3A11F726" w:rsidR="00497C85" w:rsidRPr="008D4276" w:rsidRDefault="00497C85" w:rsidP="006B2156">
      <w:pPr>
        <w:rPr>
          <w:rFonts w:asciiTheme="majorHAnsi" w:hAnsiTheme="majorHAnsi" w:cstheme="minorHAnsi"/>
        </w:rPr>
      </w:pPr>
      <w:r w:rsidRPr="008D4276">
        <w:rPr>
          <w:rFonts w:asciiTheme="majorHAnsi" w:hAnsiTheme="majorHAnsi" w:cstheme="minorHAnsi"/>
        </w:rPr>
        <w:t xml:space="preserve">Reporting suspected adverse reactions after registration of the medicinal product is important. It allows continued monitoring of the benefit-risk balance of the medicinal product. Healthcare </w:t>
      </w:r>
      <w:r w:rsidRPr="008D4276">
        <w:rPr>
          <w:rFonts w:asciiTheme="majorHAnsi" w:hAnsiTheme="majorHAnsi" w:cstheme="minorHAnsi"/>
        </w:rPr>
        <w:lastRenderedPageBreak/>
        <w:t xml:space="preserve">professionals are asked to report any suspected adverse reactions at </w:t>
      </w:r>
      <w:hyperlink r:id="rId13" w:history="1">
        <w:r w:rsidRPr="008D4276">
          <w:rPr>
            <w:rFonts w:asciiTheme="majorHAnsi" w:hAnsiTheme="majorHAnsi" w:cstheme="minorHAnsi"/>
          </w:rPr>
          <w:t>www.tga.gov.au/reporting-problems</w:t>
        </w:r>
      </w:hyperlink>
      <w:r w:rsidRPr="008D4276">
        <w:rPr>
          <w:rFonts w:asciiTheme="majorHAnsi" w:hAnsiTheme="majorHAnsi" w:cstheme="minorHAnsi"/>
        </w:rPr>
        <w:t>.</w:t>
      </w:r>
      <w:r w:rsidR="006B2156" w:rsidRPr="008D4276">
        <w:rPr>
          <w:rFonts w:asciiTheme="majorHAnsi" w:hAnsiTheme="majorHAnsi" w:cstheme="minorHAnsi"/>
        </w:rPr>
        <w:t xml:space="preserve"> </w:t>
      </w:r>
    </w:p>
    <w:p w14:paraId="184F1772" w14:textId="77777777" w:rsidR="001A3992" w:rsidRPr="008D4276" w:rsidRDefault="001A3992" w:rsidP="001A3992">
      <w:pPr>
        <w:pStyle w:val="Heading2"/>
        <w:keepNext/>
        <w:keepLines/>
        <w:spacing w:before="0"/>
        <w:rPr>
          <w:rFonts w:cs="Calibri"/>
        </w:rPr>
      </w:pPr>
      <w:r w:rsidRPr="008D4276">
        <w:rPr>
          <w:rFonts w:cs="Calibri"/>
        </w:rPr>
        <w:t>Overdose</w:t>
      </w:r>
    </w:p>
    <w:p w14:paraId="0CEF0DA7" w14:textId="7929491D" w:rsidR="0089656D" w:rsidRPr="008D4276" w:rsidRDefault="0089656D" w:rsidP="004D6592">
      <w:pPr>
        <w:rPr>
          <w:rFonts w:asciiTheme="majorHAnsi" w:hAnsiTheme="majorHAnsi"/>
        </w:rPr>
      </w:pPr>
      <w:r w:rsidRPr="008D4276">
        <w:rPr>
          <w:rFonts w:asciiTheme="majorHAnsi" w:hAnsiTheme="majorHAnsi"/>
        </w:rPr>
        <w:t xml:space="preserve">There are limited data available on overdose with </w:t>
      </w:r>
      <w:r w:rsidR="008C2A0F" w:rsidRPr="008D4276">
        <w:rPr>
          <w:rFonts w:asciiTheme="majorHAnsi" w:hAnsiTheme="majorHAnsi"/>
        </w:rPr>
        <w:t>tocilizumab</w:t>
      </w:r>
      <w:r w:rsidRPr="008D4276">
        <w:rPr>
          <w:rFonts w:asciiTheme="majorHAnsi" w:hAnsiTheme="majorHAnsi"/>
        </w:rPr>
        <w:t>. One case of accidental overdose was reported in which a patient with multiple myeloma received a single dose of 40 mg/kg IV. No adverse drug reactions were observed. No serious adverse drug reactions were observed in healthy volunteers who received a single dose up to 28 mg/kg IV, although dose-limiting neutropenia was observed.</w:t>
      </w:r>
    </w:p>
    <w:p w14:paraId="76A34AA6" w14:textId="49EB87F9" w:rsidR="0089656D" w:rsidRPr="008D4276" w:rsidRDefault="0089656D" w:rsidP="004D6592">
      <w:pPr>
        <w:rPr>
          <w:rFonts w:asciiTheme="majorHAnsi" w:hAnsiTheme="majorHAnsi"/>
        </w:rPr>
      </w:pPr>
      <w:r w:rsidRPr="008D4276">
        <w:rPr>
          <w:rFonts w:asciiTheme="majorHAnsi" w:hAnsiTheme="majorHAnsi"/>
        </w:rPr>
        <w:t>Treatment of overdose should consist of general supportive measures.</w:t>
      </w:r>
    </w:p>
    <w:p w14:paraId="2D432790" w14:textId="6D447758" w:rsidR="00497C85" w:rsidRPr="008D4276" w:rsidRDefault="00497C85" w:rsidP="004D6592">
      <w:pPr>
        <w:rPr>
          <w:rFonts w:asciiTheme="majorHAnsi" w:hAnsiTheme="majorHAnsi"/>
        </w:rPr>
      </w:pPr>
      <w:r w:rsidRPr="008D4276">
        <w:rPr>
          <w:rFonts w:asciiTheme="majorHAnsi" w:hAnsiTheme="majorHAnsi"/>
        </w:rPr>
        <w:t>For information on the management of overdose, contact the Poisons Information Centre on 13 11 26 (Australia).</w:t>
      </w:r>
    </w:p>
    <w:p w14:paraId="04518D2B" w14:textId="77777777" w:rsidR="001A3992" w:rsidRPr="008D4276" w:rsidRDefault="001A3992" w:rsidP="001A3992">
      <w:pPr>
        <w:pStyle w:val="Heading1"/>
        <w:rPr>
          <w:rFonts w:cs="Calibri"/>
        </w:rPr>
      </w:pPr>
      <w:r w:rsidRPr="008D4276">
        <w:rPr>
          <w:rFonts w:cs="Calibri"/>
        </w:rPr>
        <w:t>Pharmacological properties</w:t>
      </w:r>
    </w:p>
    <w:p w14:paraId="47A15388" w14:textId="77777777" w:rsidR="001A3992" w:rsidRPr="008D4276" w:rsidRDefault="001A3992" w:rsidP="001A3992">
      <w:pPr>
        <w:pStyle w:val="Heading2"/>
        <w:spacing w:before="0"/>
        <w:rPr>
          <w:rFonts w:cs="Calibri"/>
        </w:rPr>
      </w:pPr>
      <w:r w:rsidRPr="008D4276">
        <w:rPr>
          <w:rFonts w:cs="Calibri"/>
        </w:rPr>
        <w:t xml:space="preserve">Pharmacodynamic properties </w:t>
      </w:r>
    </w:p>
    <w:p w14:paraId="5B02D5CD" w14:textId="79D040A5" w:rsidR="0089656D" w:rsidRPr="008D4276" w:rsidRDefault="0089656D" w:rsidP="0089656D">
      <w:pPr>
        <w:rPr>
          <w:rFonts w:asciiTheme="majorHAnsi" w:hAnsiTheme="majorHAnsi" w:cstheme="minorHAnsi"/>
        </w:rPr>
      </w:pPr>
      <w:r w:rsidRPr="008D4276">
        <w:rPr>
          <w:rFonts w:asciiTheme="majorHAnsi" w:hAnsiTheme="majorHAnsi" w:cstheme="minorHAnsi"/>
        </w:rPr>
        <w:t>Pharmacotherapeutic group: Immunosuppressants, Interleukin inhibitors, ATC code: L04AC07</w:t>
      </w:r>
    </w:p>
    <w:p w14:paraId="130E68FE" w14:textId="77777777" w:rsidR="001A3992" w:rsidRPr="008D4276" w:rsidRDefault="001A3992" w:rsidP="001A3992">
      <w:pPr>
        <w:pStyle w:val="Heading3"/>
        <w:spacing w:before="0" w:after="120"/>
        <w:rPr>
          <w:rFonts w:cs="Calibri"/>
        </w:rPr>
      </w:pPr>
      <w:r w:rsidRPr="008D4276">
        <w:rPr>
          <w:rFonts w:cs="Calibri"/>
        </w:rPr>
        <w:t>Mechanism of action</w:t>
      </w:r>
    </w:p>
    <w:p w14:paraId="0785FC9B" w14:textId="3FE6D5CC"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Tocilizumab is a recombinant humanised monoclonal antibody of the immunoglobulin (Ig) IgG1 subclass. Tocilizumab binds to both soluble and membrane-bound IL-6 receptors, and has been shown to inhibit sIL-6R and mIL-6R-mediated </w:t>
      </w:r>
      <w:r w:rsidR="004D6592" w:rsidRPr="008D4276">
        <w:rPr>
          <w:rFonts w:asciiTheme="majorHAnsi" w:hAnsiTheme="majorHAnsi" w:cstheme="minorHAnsi"/>
        </w:rPr>
        <w:t>signalling</w:t>
      </w:r>
      <w:r w:rsidRPr="008D4276">
        <w:rPr>
          <w:rFonts w:asciiTheme="majorHAnsi" w:hAnsiTheme="majorHAnsi" w:cstheme="minorHAnsi"/>
        </w:rPr>
        <w:t>. IL-6 is a multi-functional cytokine, produced by a variety of cell types involved in local paracrine function as well as regulation of systemic physiological and pathological processes such as induction of immunoglobulin secretion, T-cell activation, induction of hepatic acute phase proteins and stimulation of haematopoiesis. IL-6 has been implicated in the pathogenesis of inflammatory diseases, including rheumatoid arthritis (RA).</w:t>
      </w:r>
    </w:p>
    <w:p w14:paraId="6BBFBF75" w14:textId="25655185" w:rsidR="0089656D" w:rsidRPr="008D4276" w:rsidRDefault="0089656D" w:rsidP="0089656D">
      <w:pPr>
        <w:rPr>
          <w:rFonts w:asciiTheme="majorHAnsi" w:hAnsiTheme="majorHAnsi" w:cstheme="minorHAnsi"/>
        </w:rPr>
      </w:pPr>
      <w:r w:rsidRPr="008D4276">
        <w:rPr>
          <w:rFonts w:asciiTheme="majorHAnsi" w:hAnsiTheme="majorHAnsi" w:cstheme="minorHAnsi"/>
        </w:rPr>
        <w:t>The possibility exists for tocilizumab to affect host defences against infections and malignancies. The role of IL-6 receptor inhibition in the development of malignancies is not known.</w:t>
      </w:r>
    </w:p>
    <w:p w14:paraId="35069AFB" w14:textId="13142A2D" w:rsidR="0089656D" w:rsidRPr="008D4276" w:rsidRDefault="0089656D" w:rsidP="001A3992">
      <w:pPr>
        <w:pStyle w:val="Heading3"/>
        <w:spacing w:before="0" w:after="120"/>
        <w:rPr>
          <w:rFonts w:cs="Calibri"/>
        </w:rPr>
      </w:pPr>
      <w:r w:rsidRPr="008D4276">
        <w:rPr>
          <w:rFonts w:cs="Calibri"/>
        </w:rPr>
        <w:t>Pharmacodynamic effect</w:t>
      </w:r>
    </w:p>
    <w:p w14:paraId="65F67488" w14:textId="6BAB36BA"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clinical studies with </w:t>
      </w:r>
      <w:r w:rsidR="008C2A0F" w:rsidRPr="008D4276">
        <w:rPr>
          <w:rFonts w:asciiTheme="majorHAnsi" w:hAnsiTheme="majorHAnsi" w:cstheme="minorHAnsi"/>
        </w:rPr>
        <w:t>tocilizumab</w:t>
      </w:r>
      <w:r w:rsidRPr="008D4276">
        <w:rPr>
          <w:rFonts w:asciiTheme="majorHAnsi" w:hAnsiTheme="majorHAnsi" w:cstheme="minorHAnsi"/>
        </w:rPr>
        <w:t xml:space="preserve"> in RA, rapid decreases in C-reactive protein (CRP), erythrocyte sedimentation rate (ESR) and serum amyloid A and fibrinogen were observed. Rapid increases in haemoglobin levels (within the first 2 weeks) were also observed, through </w:t>
      </w:r>
      <w:r w:rsidR="007C49C8" w:rsidRPr="008D4276">
        <w:rPr>
          <w:rFonts w:asciiTheme="majorHAnsi" w:hAnsiTheme="majorHAnsi" w:cstheme="minorHAnsi"/>
        </w:rPr>
        <w:t>tocilizumab</w:t>
      </w:r>
      <w:r w:rsidRPr="008D4276">
        <w:rPr>
          <w:rFonts w:asciiTheme="majorHAnsi" w:hAnsiTheme="majorHAnsi" w:cstheme="minorHAnsi"/>
        </w:rPr>
        <w:t xml:space="preserve"> decreasing the IL-6 driven effects on hepcidin production to increase iron availability.</w:t>
      </w:r>
    </w:p>
    <w:p w14:paraId="3AE16C95"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In patients with giant cell arteritis (GCA), similar rapid decreases in CRP and ESR were observed along with slight increases in mean corpuscular haemoglobin concentration.</w:t>
      </w:r>
    </w:p>
    <w:p w14:paraId="750F6E89" w14:textId="41D9842A"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healthy subjects administered </w:t>
      </w:r>
      <w:r w:rsidR="007C49C8" w:rsidRPr="008D4276">
        <w:rPr>
          <w:rFonts w:asciiTheme="majorHAnsi" w:hAnsiTheme="majorHAnsi" w:cstheme="minorHAnsi"/>
        </w:rPr>
        <w:t>tocilizumab</w:t>
      </w:r>
      <w:r w:rsidRPr="008D4276">
        <w:rPr>
          <w:rFonts w:asciiTheme="majorHAnsi" w:hAnsiTheme="majorHAnsi" w:cstheme="minorHAnsi"/>
        </w:rPr>
        <w:t xml:space="preserve"> in doses from 2 to 28 mg/kg, absolute neutrophil counts (ANC) decreased to their lowest levels 3 to 5 days following administration. Thereafter, neutrophils recovered towards baseline in a dose dependent manner. Patients with RA and GCA demonstrated a similar pattern of absolute neutrophil counts following </w:t>
      </w:r>
      <w:r w:rsidR="007C49C8" w:rsidRPr="008D4276">
        <w:rPr>
          <w:rFonts w:asciiTheme="majorHAnsi" w:hAnsiTheme="majorHAnsi" w:cstheme="minorHAnsi"/>
        </w:rPr>
        <w:lastRenderedPageBreak/>
        <w:t>tocilizumab</w:t>
      </w:r>
      <w:r w:rsidRPr="008D4276">
        <w:rPr>
          <w:rFonts w:asciiTheme="majorHAnsi" w:hAnsiTheme="majorHAnsi" w:cstheme="minorHAnsi"/>
        </w:rPr>
        <w:t>administration (see section 4.4 Special warnings and precautions for use - Haematological Abnormalities).</w:t>
      </w:r>
    </w:p>
    <w:p w14:paraId="4EFA13FF" w14:textId="50B00C22"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COVID-19 patients with one dose of </w:t>
      </w:r>
      <w:r w:rsidR="007C49C8" w:rsidRPr="008D4276">
        <w:rPr>
          <w:rFonts w:asciiTheme="majorHAnsi" w:hAnsiTheme="majorHAnsi" w:cstheme="minorHAnsi"/>
        </w:rPr>
        <w:t>tocilizumab</w:t>
      </w:r>
      <w:r w:rsidRPr="008D4276">
        <w:rPr>
          <w:rFonts w:asciiTheme="majorHAnsi" w:hAnsiTheme="majorHAnsi" w:cstheme="minorHAnsi"/>
        </w:rPr>
        <w:t xml:space="preserve"> 8 mg/kg administered intravenously, decreases in the levels of CRP to within normal ranges were seen as early as Day 7.</w:t>
      </w:r>
    </w:p>
    <w:p w14:paraId="6329356F" w14:textId="0CCE5C21"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PK/PD relationship between </w:t>
      </w:r>
      <w:r w:rsidR="007C49C8" w:rsidRPr="008D4276">
        <w:rPr>
          <w:rFonts w:asciiTheme="majorHAnsi" w:hAnsiTheme="majorHAnsi" w:cstheme="minorHAnsi"/>
        </w:rPr>
        <w:t>tocilizumab</w:t>
      </w:r>
      <w:r w:rsidRPr="008D4276">
        <w:rPr>
          <w:rFonts w:asciiTheme="majorHAnsi" w:hAnsiTheme="majorHAnsi" w:cstheme="minorHAnsi"/>
        </w:rPr>
        <w:t>and the sIL-6R was characterized by a pop</w:t>
      </w:r>
      <w:r w:rsidR="00EB541C" w:rsidRPr="008D4276">
        <w:rPr>
          <w:rFonts w:asciiTheme="majorHAnsi" w:hAnsiTheme="majorHAnsi" w:cstheme="minorHAnsi"/>
          <w:lang w:eastAsia="ko-KR"/>
        </w:rPr>
        <w:t xml:space="preserve"> </w:t>
      </w:r>
      <w:r w:rsidRPr="008D4276">
        <w:rPr>
          <w:rFonts w:asciiTheme="majorHAnsi" w:hAnsiTheme="majorHAnsi" w:cstheme="minorHAnsi"/>
        </w:rPr>
        <w:t>PK-sIL- 6R analysis describing the duration of 90% saturation of sIL-6R in patients with COVID-19.</w:t>
      </w:r>
    </w:p>
    <w:p w14:paraId="2C2A9233" w14:textId="6720504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addition to the body weight effect on the linear clearance of intravenous </w:t>
      </w:r>
      <w:r w:rsidR="007C49C8" w:rsidRPr="008D4276">
        <w:rPr>
          <w:rFonts w:asciiTheme="majorHAnsi" w:hAnsiTheme="majorHAnsi" w:cstheme="minorHAnsi"/>
        </w:rPr>
        <w:t>tocilizumab</w:t>
      </w:r>
      <w:r w:rsidRPr="008D4276">
        <w:rPr>
          <w:rFonts w:asciiTheme="majorHAnsi" w:hAnsiTheme="majorHAnsi" w:cstheme="minorHAnsi"/>
        </w:rPr>
        <w:t xml:space="preserve">, population PK analysis identified disease severity as a significant covariate impacting both the pharmacokinetics of intravenous </w:t>
      </w:r>
      <w:r w:rsidR="007C49C8" w:rsidRPr="008D4276">
        <w:rPr>
          <w:rFonts w:asciiTheme="majorHAnsi" w:hAnsiTheme="majorHAnsi" w:cstheme="minorHAnsi"/>
        </w:rPr>
        <w:t>tocilizumab</w:t>
      </w:r>
      <w:r w:rsidRPr="008D4276">
        <w:rPr>
          <w:rFonts w:asciiTheme="majorHAnsi" w:hAnsiTheme="majorHAnsi" w:cstheme="minorHAnsi"/>
        </w:rPr>
        <w:t xml:space="preserve"> and the elimination rate of the T</w:t>
      </w:r>
      <w:r w:rsidR="0074537B" w:rsidRPr="008D4276">
        <w:rPr>
          <w:rFonts w:asciiTheme="majorHAnsi" w:hAnsiTheme="majorHAnsi" w:cstheme="minorHAnsi"/>
        </w:rPr>
        <w:t>O</w:t>
      </w:r>
      <w:r w:rsidRPr="008D4276">
        <w:rPr>
          <w:rFonts w:asciiTheme="majorHAnsi" w:hAnsiTheme="majorHAnsi" w:cstheme="minorHAnsi"/>
        </w:rPr>
        <w:t>C-sIL-6R complex.</w:t>
      </w:r>
    </w:p>
    <w:p w14:paraId="7837891D" w14:textId="6A60F0F7" w:rsidR="0089656D" w:rsidRPr="008D4276" w:rsidRDefault="0089656D" w:rsidP="0089656D">
      <w:pPr>
        <w:rPr>
          <w:rFonts w:asciiTheme="majorHAnsi" w:hAnsiTheme="majorHAnsi" w:cstheme="minorHAnsi"/>
        </w:rPr>
      </w:pPr>
      <w:r w:rsidRPr="008D4276">
        <w:rPr>
          <w:rFonts w:asciiTheme="majorHAnsi" w:hAnsiTheme="majorHAnsi" w:cstheme="minorHAnsi"/>
        </w:rPr>
        <w:t>A sIL-6R occupancy of at least 90 % was maintained over approximately 3 weeks in patients requiring supplemental oxygen ((i.e., patients in Category 3 of the 7-category ordinal scale), and at least 2 weeks in patients presenting with the most severe COVID-19 pneumonia (i.e., patients in Category 6 of the 7-category ordinal scale) following one dose of T</w:t>
      </w:r>
      <w:r w:rsidR="0074537B" w:rsidRPr="008D4276">
        <w:rPr>
          <w:rFonts w:asciiTheme="majorHAnsi" w:hAnsiTheme="majorHAnsi" w:cstheme="minorHAnsi"/>
        </w:rPr>
        <w:t>O</w:t>
      </w:r>
      <w:r w:rsidRPr="008D4276">
        <w:rPr>
          <w:rFonts w:asciiTheme="majorHAnsi" w:hAnsiTheme="majorHAnsi" w:cstheme="minorHAnsi"/>
        </w:rPr>
        <w:t>C IV 8 mg/kg. The duration of 90% sIL-6R saturation increased up to approximately 4 weeks following the administration of a second dose of T</w:t>
      </w:r>
      <w:r w:rsidR="0074537B" w:rsidRPr="008D4276">
        <w:rPr>
          <w:rFonts w:asciiTheme="majorHAnsi" w:hAnsiTheme="majorHAnsi" w:cstheme="minorHAnsi"/>
        </w:rPr>
        <w:t>O</w:t>
      </w:r>
      <w:r w:rsidRPr="008D4276">
        <w:rPr>
          <w:rFonts w:asciiTheme="majorHAnsi" w:hAnsiTheme="majorHAnsi" w:cstheme="minorHAnsi"/>
        </w:rPr>
        <w:t>C IV 8 mg/kg 24 hours apart for patients in Category 3, and up to approximately 3 weeks for patients in Category 6.</w:t>
      </w:r>
    </w:p>
    <w:p w14:paraId="07D3B796" w14:textId="240917C3"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For patients with BW </w:t>
      </w:r>
      <w:r w:rsidRPr="008D4276">
        <w:rPr>
          <w:rFonts w:asciiTheme="majorHAnsi" w:hAnsiTheme="majorHAnsi" w:cstheme="minorHAnsi" w:hint="eastAsia"/>
        </w:rPr>
        <w:t>≥</w:t>
      </w:r>
      <w:r w:rsidRPr="008D4276">
        <w:rPr>
          <w:rFonts w:asciiTheme="majorHAnsi" w:hAnsiTheme="majorHAnsi" w:cstheme="minorHAnsi"/>
        </w:rPr>
        <w:t xml:space="preserve"> 100 kg administered with one dose of 800 mg </w:t>
      </w:r>
      <w:r w:rsidR="007C49C8" w:rsidRPr="008D4276">
        <w:rPr>
          <w:rFonts w:asciiTheme="majorHAnsi" w:hAnsiTheme="majorHAnsi" w:cstheme="minorHAnsi"/>
        </w:rPr>
        <w:t xml:space="preserve">tocilizumab </w:t>
      </w:r>
      <w:r w:rsidRPr="008D4276">
        <w:rPr>
          <w:rFonts w:asciiTheme="majorHAnsi" w:hAnsiTheme="majorHAnsi" w:cstheme="minorHAnsi"/>
        </w:rPr>
        <w:t>IV, the duration of 90% sIL-6R occupancy was maintained for at least 2 weeks for patients with a BW up to 180 kg. Following the administration of a second dose of 800 mg 24 hours apart, the duration of 90 % sIL-6R occupancy increased up to approximately 4 weeks and 3 weeks for patients with a BW of 100 kg and 180 kg, respectively.</w:t>
      </w:r>
    </w:p>
    <w:p w14:paraId="2ADE90EC" w14:textId="3E6EA040" w:rsidR="001A3992" w:rsidRPr="008D4276" w:rsidRDefault="001A3992" w:rsidP="001A3992">
      <w:pPr>
        <w:pStyle w:val="Heading3"/>
        <w:spacing w:before="0" w:after="120"/>
        <w:rPr>
          <w:rFonts w:cs="Calibri"/>
        </w:rPr>
      </w:pPr>
      <w:r w:rsidRPr="008D4276">
        <w:rPr>
          <w:rFonts w:cs="Calibri"/>
        </w:rPr>
        <w:t>Clinical trials</w:t>
      </w:r>
    </w:p>
    <w:p w14:paraId="6B26C6FD" w14:textId="77777777" w:rsidR="0089656D" w:rsidRPr="008D4276" w:rsidRDefault="0089656D" w:rsidP="004D6592">
      <w:pPr>
        <w:pStyle w:val="Heading4"/>
        <w:rPr>
          <w:rFonts w:asciiTheme="majorHAnsi" w:hAnsiTheme="majorHAnsi"/>
        </w:rPr>
      </w:pPr>
      <w:r w:rsidRPr="008D4276">
        <w:rPr>
          <w:rFonts w:asciiTheme="majorHAnsi" w:hAnsiTheme="majorHAnsi"/>
        </w:rPr>
        <w:t>Rheumatoid Arthritis</w:t>
      </w:r>
    </w:p>
    <w:p w14:paraId="49ACBD5D" w14:textId="64D52B07" w:rsidR="0089656D" w:rsidRPr="008D4276" w:rsidRDefault="0089656D" w:rsidP="004D6592">
      <w:pPr>
        <w:rPr>
          <w:rFonts w:asciiTheme="majorHAnsi" w:hAnsiTheme="majorHAnsi"/>
        </w:rPr>
      </w:pPr>
      <w:r w:rsidRPr="008D4276">
        <w:rPr>
          <w:rFonts w:asciiTheme="majorHAnsi" w:hAnsiTheme="majorHAnsi"/>
        </w:rPr>
        <w:t xml:space="preserve">The efficacy of intravenous </w:t>
      </w:r>
      <w:r w:rsidR="007C49C8" w:rsidRPr="008D4276">
        <w:rPr>
          <w:rFonts w:asciiTheme="majorHAnsi" w:hAnsiTheme="majorHAnsi"/>
        </w:rPr>
        <w:t>tocilizumab</w:t>
      </w:r>
      <w:r w:rsidRPr="008D4276">
        <w:rPr>
          <w:rFonts w:asciiTheme="majorHAnsi" w:hAnsiTheme="majorHAnsi"/>
        </w:rPr>
        <w:t xml:space="preserve"> in alleviating the signs and symptoms of RA was assessed in five randomised, double-blind, multi-centre studies (Studies I – V). The efficacy of subcutaneous </w:t>
      </w:r>
      <w:r w:rsidR="007C49C8" w:rsidRPr="008D4276">
        <w:rPr>
          <w:rFonts w:asciiTheme="majorHAnsi" w:hAnsiTheme="majorHAnsi"/>
        </w:rPr>
        <w:t>tocilizumab</w:t>
      </w:r>
      <w:r w:rsidRPr="008D4276">
        <w:rPr>
          <w:rFonts w:asciiTheme="majorHAnsi" w:hAnsiTheme="majorHAnsi"/>
        </w:rPr>
        <w:t xml:space="preserve"> was assessed in two randomised, double-blind studies (Studies VI and VII). In addition, the efficacy of intravenous </w:t>
      </w:r>
      <w:r w:rsidR="007C49C8" w:rsidRPr="008D4276">
        <w:rPr>
          <w:rFonts w:asciiTheme="majorHAnsi" w:hAnsiTheme="majorHAnsi"/>
        </w:rPr>
        <w:t>tocilizumab</w:t>
      </w:r>
      <w:r w:rsidRPr="008D4276">
        <w:rPr>
          <w:rFonts w:asciiTheme="majorHAnsi" w:hAnsiTheme="majorHAnsi"/>
        </w:rPr>
        <w:t xml:space="preserve"> has been evaluated in patients with MTX-naïve, early RA (Study VIII) and as a monotherapy versus adalimumab monotherapy (Study IX).</w:t>
      </w:r>
    </w:p>
    <w:p w14:paraId="02E97088" w14:textId="77777777" w:rsidR="0089656D" w:rsidRPr="008D4276" w:rsidRDefault="0089656D" w:rsidP="004D6592">
      <w:pPr>
        <w:rPr>
          <w:rFonts w:asciiTheme="majorHAnsi" w:hAnsiTheme="majorHAnsi"/>
        </w:rPr>
      </w:pPr>
      <w:r w:rsidRPr="008D4276">
        <w:rPr>
          <w:rFonts w:asciiTheme="majorHAnsi" w:hAnsiTheme="majorHAnsi"/>
        </w:rPr>
        <w:t>Studies I-V required patients &gt; age 18 with active RA diagnosed according to American College of Rheumatology (ACR) criteria who had at least 8 tender and 6 swollen joints at baseline.</w:t>
      </w:r>
    </w:p>
    <w:p w14:paraId="508EB96B" w14:textId="60E08B13" w:rsidR="0089656D" w:rsidRPr="008D4276" w:rsidRDefault="007C49C8" w:rsidP="004D6592">
      <w:pPr>
        <w:rPr>
          <w:rFonts w:asciiTheme="majorHAnsi" w:hAnsiTheme="majorHAnsi"/>
        </w:rPr>
      </w:pPr>
      <w:r w:rsidRPr="008D4276">
        <w:rPr>
          <w:rFonts w:asciiTheme="majorHAnsi" w:hAnsiTheme="majorHAnsi"/>
        </w:rPr>
        <w:t>Tocilizumab</w:t>
      </w:r>
      <w:r w:rsidR="0089656D" w:rsidRPr="008D4276">
        <w:rPr>
          <w:rFonts w:asciiTheme="majorHAnsi" w:hAnsiTheme="majorHAnsi"/>
        </w:rPr>
        <w:t xml:space="preserve"> was administered intravenously every 4 weeks as monotherapy (Study I), in combination with methotrexate (MTX) (Studies II, III, V) or with other disease-modifying anti- rheumatic drugs (DMARDs) (Study IV).</w:t>
      </w:r>
    </w:p>
    <w:p w14:paraId="63D0CA0C" w14:textId="21444872" w:rsidR="0089656D" w:rsidRPr="008D4276" w:rsidRDefault="0089656D" w:rsidP="004D6592">
      <w:pPr>
        <w:rPr>
          <w:rFonts w:asciiTheme="majorHAnsi" w:hAnsiTheme="majorHAnsi"/>
        </w:rPr>
      </w:pPr>
      <w:r w:rsidRPr="008D4276">
        <w:rPr>
          <w:rFonts w:asciiTheme="majorHAnsi" w:hAnsiTheme="majorHAnsi"/>
        </w:rPr>
        <w:t xml:space="preserve">Study I (AMBITION) evaluated 673 patients who had not been treated with MTX within 6 months prior to randomisation, and who had not discontinued previous MTX treatment as a result of clinically important toxic effects or lack of response. The majority (67%) of patients were MTX naïve. Doses of 8 mg/kg of </w:t>
      </w:r>
      <w:r w:rsidR="007C49C8" w:rsidRPr="008D4276">
        <w:rPr>
          <w:rFonts w:asciiTheme="majorHAnsi" w:hAnsiTheme="majorHAnsi"/>
        </w:rPr>
        <w:t>tocilizumab</w:t>
      </w:r>
      <w:r w:rsidRPr="008D4276">
        <w:rPr>
          <w:rFonts w:asciiTheme="majorHAnsi" w:hAnsiTheme="majorHAnsi"/>
        </w:rPr>
        <w:t xml:space="preserve"> were given every 4 weeks as monotherapy. The comparator group was weekly MTX (dose titrated from 7.5 to a maximum of 20 mg weekly </w:t>
      </w:r>
      <w:r w:rsidRPr="008D4276">
        <w:rPr>
          <w:rFonts w:asciiTheme="majorHAnsi" w:hAnsiTheme="majorHAnsi"/>
        </w:rPr>
        <w:lastRenderedPageBreak/>
        <w:t>over an 8 week period). The primary endpoint was the proportion of patients who achieved an ACR20 response at week 24.</w:t>
      </w:r>
    </w:p>
    <w:p w14:paraId="5BAA3E2E" w14:textId="539C1082" w:rsidR="0089656D" w:rsidRPr="008D4276" w:rsidRDefault="0089656D" w:rsidP="004D6592">
      <w:pPr>
        <w:rPr>
          <w:rFonts w:asciiTheme="majorHAnsi" w:hAnsiTheme="majorHAnsi"/>
        </w:rPr>
      </w:pPr>
      <w:r w:rsidRPr="008D4276">
        <w:rPr>
          <w:rFonts w:asciiTheme="majorHAnsi" w:hAnsiTheme="majorHAnsi"/>
        </w:rPr>
        <w:t xml:space="preserve">Study II (LITHE), a 2 year study, evaluated 1196 patients who had an inadequate clinical response to MTX. Doses of 4 or 8 mg/kg of </w:t>
      </w:r>
      <w:r w:rsidR="007C49C8" w:rsidRPr="008D4276">
        <w:rPr>
          <w:rFonts w:asciiTheme="majorHAnsi" w:hAnsiTheme="majorHAnsi"/>
        </w:rPr>
        <w:t>tocilizumab</w:t>
      </w:r>
      <w:r w:rsidRPr="008D4276">
        <w:rPr>
          <w:rFonts w:asciiTheme="majorHAnsi" w:hAnsiTheme="majorHAnsi"/>
        </w:rPr>
        <w:t xml:space="preserve"> or placebo were given every 4 weeks as blinded therapy for 52 weeks, in combination with stable MTX (10–25 mg weekly). The primary endpoint at week 24 was the proportion of patients who achieved ACR20 response criteria. At week 52 the co-primary endpoints were prevention of joint damage and improvement in physical function.</w:t>
      </w:r>
    </w:p>
    <w:p w14:paraId="4EA150F7" w14:textId="253235ED" w:rsidR="0089656D" w:rsidRPr="008D4276" w:rsidRDefault="0089656D" w:rsidP="004D6592">
      <w:pPr>
        <w:rPr>
          <w:rFonts w:asciiTheme="majorHAnsi" w:hAnsiTheme="majorHAnsi"/>
        </w:rPr>
      </w:pPr>
      <w:r w:rsidRPr="008D4276">
        <w:rPr>
          <w:rFonts w:asciiTheme="majorHAnsi" w:hAnsiTheme="majorHAnsi"/>
        </w:rPr>
        <w:t>Study III (OPTION) evaluated 623 patients who had an inadequate clinical response to MTX. Doses of 4 or 8 mg/kg of</w:t>
      </w:r>
      <w:r w:rsidR="007C49C8" w:rsidRPr="008D4276">
        <w:rPr>
          <w:rFonts w:asciiTheme="majorHAnsi" w:hAnsiTheme="majorHAnsi"/>
        </w:rPr>
        <w:t xml:space="preserve"> tocilizumab</w:t>
      </w:r>
      <w:r w:rsidRPr="008D4276">
        <w:rPr>
          <w:rFonts w:asciiTheme="majorHAnsi" w:hAnsiTheme="majorHAnsi"/>
        </w:rPr>
        <w:t xml:space="preserve"> or placebo were given every 4 weeks, in combination with stable MTX (10 – 25 mg weekly). The primary endpoint was the proportion of patients who achieved an ACR20 response at week 24.</w:t>
      </w:r>
    </w:p>
    <w:p w14:paraId="68E25EE8" w14:textId="124B91C1" w:rsidR="0089656D" w:rsidRPr="008D4276" w:rsidRDefault="0089656D" w:rsidP="004D6592">
      <w:pPr>
        <w:rPr>
          <w:rFonts w:asciiTheme="majorHAnsi" w:hAnsiTheme="majorHAnsi"/>
        </w:rPr>
      </w:pPr>
      <w:r w:rsidRPr="008D4276">
        <w:rPr>
          <w:rFonts w:asciiTheme="majorHAnsi" w:hAnsiTheme="majorHAnsi"/>
        </w:rPr>
        <w:t xml:space="preserve">Study IV (TOWARD) evaluated 1220 patients who had an inadequate response to their existing rheumatologic therapy, including one or more DMARDs. Doses of 8 mg/kg </w:t>
      </w:r>
      <w:r w:rsidR="007C49C8" w:rsidRPr="008D4276">
        <w:rPr>
          <w:rFonts w:asciiTheme="majorHAnsi" w:hAnsiTheme="majorHAnsi"/>
        </w:rPr>
        <w:t>tocilizumab</w:t>
      </w:r>
      <w:r w:rsidRPr="008D4276">
        <w:rPr>
          <w:rFonts w:asciiTheme="majorHAnsi" w:hAnsiTheme="majorHAnsi"/>
        </w:rPr>
        <w:t xml:space="preserve"> or placebo were given every 4 weeks, in combination with the stable DMARD. The primary endpoint was the proportion of patients who achieved an ACR20 response at week 24.</w:t>
      </w:r>
    </w:p>
    <w:p w14:paraId="29FBF387" w14:textId="7823459E" w:rsidR="0089656D" w:rsidRPr="008D4276" w:rsidRDefault="0089656D" w:rsidP="004D6592">
      <w:pPr>
        <w:rPr>
          <w:rFonts w:asciiTheme="majorHAnsi" w:hAnsiTheme="majorHAnsi"/>
        </w:rPr>
      </w:pPr>
      <w:r w:rsidRPr="008D4276">
        <w:rPr>
          <w:rFonts w:asciiTheme="majorHAnsi" w:hAnsiTheme="majorHAnsi"/>
        </w:rPr>
        <w:t xml:space="preserve">Study V (RADIATE) evaluated 499 patients who had an inadequate clinical response or were intolerant to one or more anti-tumour necrosis factor (TNF) therapies. The anti-TNF agent was discontinued prior to randomisation. Doses of 4 or 8 mg/kg of </w:t>
      </w:r>
      <w:r w:rsidR="007C49C8" w:rsidRPr="008D4276">
        <w:rPr>
          <w:rFonts w:asciiTheme="majorHAnsi" w:hAnsiTheme="majorHAnsi"/>
        </w:rPr>
        <w:t>tocilizumab</w:t>
      </w:r>
      <w:r w:rsidRPr="008D4276">
        <w:rPr>
          <w:rFonts w:asciiTheme="majorHAnsi" w:hAnsiTheme="majorHAnsi"/>
        </w:rPr>
        <w:t xml:space="preserve"> or placebo were given every 4 weeks, in combination with stable MTX (10 – 25 mg weekly). The primary endpoint was the proportion of patients who achieved an ACR20 response at week 24.</w:t>
      </w:r>
    </w:p>
    <w:p w14:paraId="22C5FCE9" w14:textId="412BB2AD" w:rsidR="0089656D" w:rsidRPr="008D4276" w:rsidRDefault="0089656D" w:rsidP="004D6592">
      <w:pPr>
        <w:rPr>
          <w:rFonts w:asciiTheme="majorHAnsi" w:hAnsiTheme="majorHAnsi"/>
        </w:rPr>
      </w:pPr>
      <w:r w:rsidRPr="008D4276">
        <w:rPr>
          <w:rFonts w:asciiTheme="majorHAnsi" w:hAnsiTheme="majorHAnsi"/>
        </w:rPr>
        <w:t xml:space="preserve">The efficacy and safety of subcutaneously administered </w:t>
      </w:r>
      <w:r w:rsidR="007C49C8" w:rsidRPr="008D4276">
        <w:rPr>
          <w:rFonts w:asciiTheme="majorHAnsi" w:hAnsiTheme="majorHAnsi"/>
        </w:rPr>
        <w:t>tocilizumab</w:t>
      </w:r>
      <w:r w:rsidRPr="008D4276">
        <w:rPr>
          <w:rFonts w:asciiTheme="majorHAnsi" w:hAnsiTheme="majorHAnsi"/>
        </w:rPr>
        <w:t xml:space="preserve"> was assessed in two double-blind, controlled, multi-centre studies in patients with active RA.</w:t>
      </w:r>
    </w:p>
    <w:p w14:paraId="20842ACC" w14:textId="07568C47" w:rsidR="0089656D" w:rsidRPr="008D4276" w:rsidRDefault="0089656D" w:rsidP="004D6592">
      <w:pPr>
        <w:rPr>
          <w:rFonts w:asciiTheme="majorHAnsi" w:hAnsiTheme="majorHAnsi"/>
        </w:rPr>
      </w:pPr>
      <w:r w:rsidRPr="008D4276">
        <w:rPr>
          <w:rFonts w:asciiTheme="majorHAnsi" w:hAnsiTheme="majorHAnsi"/>
        </w:rPr>
        <w:t xml:space="preserve">Study VI (SUMMACTA) was a non-inferiority study that compared the efficacy and safety of subcutaneous </w:t>
      </w:r>
      <w:r w:rsidR="007C49C8" w:rsidRPr="008D4276">
        <w:rPr>
          <w:rFonts w:asciiTheme="majorHAnsi" w:hAnsiTheme="majorHAnsi"/>
        </w:rPr>
        <w:t>tocilizumab</w:t>
      </w:r>
      <w:r w:rsidRPr="008D4276">
        <w:rPr>
          <w:rFonts w:asciiTheme="majorHAnsi" w:hAnsiTheme="majorHAnsi"/>
        </w:rPr>
        <w:t xml:space="preserve"> 162 mg administered every week to intravenous </w:t>
      </w:r>
      <w:r w:rsidR="007C49C8" w:rsidRPr="008D4276">
        <w:rPr>
          <w:rFonts w:asciiTheme="majorHAnsi" w:hAnsiTheme="majorHAnsi"/>
        </w:rPr>
        <w:t>tocilizumab</w:t>
      </w:r>
      <w:r w:rsidRPr="008D4276">
        <w:rPr>
          <w:rFonts w:asciiTheme="majorHAnsi" w:hAnsiTheme="majorHAnsi"/>
        </w:rPr>
        <w:t xml:space="preserve"> 8 mg/kg every 4 weeks. In SUMMACTA, 1262 patients were randomised 1:1 to receive subcutaneous </w:t>
      </w:r>
      <w:r w:rsidR="007C49C8" w:rsidRPr="008D4276">
        <w:rPr>
          <w:rFonts w:asciiTheme="majorHAnsi" w:hAnsiTheme="majorHAnsi"/>
        </w:rPr>
        <w:t>tocilizumab</w:t>
      </w:r>
      <w:r w:rsidRPr="008D4276">
        <w:rPr>
          <w:rFonts w:asciiTheme="majorHAnsi" w:hAnsiTheme="majorHAnsi"/>
        </w:rPr>
        <w:t xml:space="preserve"> 162 mg every week or intravenous </w:t>
      </w:r>
      <w:r w:rsidR="007C49C8" w:rsidRPr="008D4276">
        <w:rPr>
          <w:rFonts w:asciiTheme="majorHAnsi" w:hAnsiTheme="majorHAnsi"/>
        </w:rPr>
        <w:t>tocilizumab</w:t>
      </w:r>
      <w:r w:rsidR="004D6592" w:rsidRPr="008D4276">
        <w:rPr>
          <w:rFonts w:asciiTheme="majorHAnsi" w:hAnsiTheme="majorHAnsi"/>
        </w:rPr>
        <w:t xml:space="preserve"> </w:t>
      </w:r>
      <w:r w:rsidRPr="008D4276">
        <w:rPr>
          <w:rFonts w:asciiTheme="majorHAnsi" w:hAnsiTheme="majorHAnsi"/>
        </w:rPr>
        <w:t>8 mg/kg every 4 weeks in combination with DMARD(s).</w:t>
      </w:r>
    </w:p>
    <w:p w14:paraId="594D3B3A" w14:textId="065E4925" w:rsidR="0089656D" w:rsidRPr="008D4276" w:rsidRDefault="0089656D" w:rsidP="004D6592">
      <w:pPr>
        <w:rPr>
          <w:rFonts w:asciiTheme="majorHAnsi" w:hAnsiTheme="majorHAnsi"/>
        </w:rPr>
      </w:pPr>
      <w:r w:rsidRPr="008D4276">
        <w:rPr>
          <w:rFonts w:asciiTheme="majorHAnsi" w:hAnsiTheme="majorHAnsi"/>
        </w:rPr>
        <w:t xml:space="preserve">Study VII (BREVACTA) was a placebo-controlled superiority study that evaluated the safety and efficacy of subcutaneous </w:t>
      </w:r>
      <w:r w:rsidR="007C49C8" w:rsidRPr="008D4276">
        <w:rPr>
          <w:rFonts w:asciiTheme="majorHAnsi" w:hAnsiTheme="majorHAnsi"/>
        </w:rPr>
        <w:t>tocilizumab</w:t>
      </w:r>
      <w:r w:rsidRPr="008D4276">
        <w:rPr>
          <w:rFonts w:asciiTheme="majorHAnsi" w:hAnsiTheme="majorHAnsi"/>
        </w:rPr>
        <w:t xml:space="preserve"> 162 mg administered every other week to placebo. In BREVACTA, 656 patients were randomised 2:1 to subcutaneous </w:t>
      </w:r>
      <w:r w:rsidR="007C49C8" w:rsidRPr="008D4276">
        <w:rPr>
          <w:rFonts w:asciiTheme="majorHAnsi" w:hAnsiTheme="majorHAnsi"/>
        </w:rPr>
        <w:t>tocilizumab</w:t>
      </w:r>
      <w:r w:rsidRPr="008D4276">
        <w:rPr>
          <w:rFonts w:asciiTheme="majorHAnsi" w:hAnsiTheme="majorHAnsi"/>
        </w:rPr>
        <w:t xml:space="preserve"> 162 mg every other week or placebo, in combination with DMARD(s).</w:t>
      </w:r>
    </w:p>
    <w:p w14:paraId="02E61809" w14:textId="77777777" w:rsidR="0089656D" w:rsidRPr="008D4276" w:rsidRDefault="0089656D" w:rsidP="004D6592">
      <w:pPr>
        <w:rPr>
          <w:rFonts w:asciiTheme="majorHAnsi" w:hAnsiTheme="majorHAnsi"/>
        </w:rPr>
      </w:pPr>
      <w:r w:rsidRPr="008D4276">
        <w:rPr>
          <w:rFonts w:asciiTheme="majorHAnsi" w:hAnsiTheme="majorHAnsi"/>
        </w:rPr>
        <w:t xml:space="preserve">The primary endpoint in both studies was the proportion of patients who achieved an ACR20 response at Week 24. Both SUMMACTA and BREVACTA required patients to be </w:t>
      </w:r>
      <w:r w:rsidRPr="008D4276">
        <w:rPr>
          <w:rFonts w:asciiTheme="majorHAnsi" w:hAnsiTheme="majorHAnsi" w:hint="eastAsia"/>
        </w:rPr>
        <w:t>≥</w:t>
      </w:r>
      <w:r w:rsidRPr="008D4276">
        <w:rPr>
          <w:rFonts w:asciiTheme="majorHAnsi" w:hAnsiTheme="majorHAnsi"/>
        </w:rPr>
        <w:t xml:space="preserve"> 18 years of age with moderate to severe active RA diagnosed according to ACR criteria. Patients had at least 4 tender and 4 swollen joints at baseline (SUMMACTA) or at least 8 tender and 6 swollen joints at baseline (BREVACTA), and an inadequate response to their existing DMARD therapy. Approximately 20% also had a history of inadequate response to at least one TNF inhibitor. All patients in both SC studies received background non-biological DMARD(s).</w:t>
      </w:r>
    </w:p>
    <w:p w14:paraId="6B99E8A1" w14:textId="555A799E" w:rsidR="0089656D" w:rsidRPr="008D4276" w:rsidRDefault="0089656D" w:rsidP="00B36DBA">
      <w:pPr>
        <w:rPr>
          <w:rFonts w:asciiTheme="majorHAnsi" w:hAnsiTheme="majorHAnsi"/>
        </w:rPr>
      </w:pPr>
      <w:r w:rsidRPr="008D4276">
        <w:rPr>
          <w:rFonts w:asciiTheme="majorHAnsi" w:hAnsiTheme="majorHAnsi"/>
        </w:rPr>
        <w:lastRenderedPageBreak/>
        <w:t xml:space="preserve">The percent of patients achieving ACR 20, 50 and 70 responses in Studies I to V are shown in </w:t>
      </w:r>
      <w:r w:rsidR="0028481E">
        <w:rPr>
          <w:rFonts w:asciiTheme="majorHAnsi" w:hAnsiTheme="majorHAnsi"/>
        </w:rPr>
        <w:fldChar w:fldCharType="begin"/>
      </w:r>
      <w:r w:rsidR="0028481E">
        <w:rPr>
          <w:rFonts w:asciiTheme="majorHAnsi" w:hAnsiTheme="majorHAnsi"/>
        </w:rPr>
        <w:instrText xml:space="preserve"> REF _Ref178871868 \h </w:instrText>
      </w:r>
      <w:r w:rsidR="0028481E">
        <w:rPr>
          <w:rFonts w:asciiTheme="majorHAnsi" w:hAnsiTheme="majorHAnsi"/>
        </w:rPr>
      </w:r>
      <w:r w:rsidR="0028481E">
        <w:rPr>
          <w:rFonts w:asciiTheme="majorHAnsi" w:hAnsiTheme="majorHAnsi"/>
        </w:rPr>
        <w:fldChar w:fldCharType="separate"/>
      </w:r>
      <w:r w:rsidR="004C310F" w:rsidRPr="008D4276">
        <w:rPr>
          <w:rFonts w:asciiTheme="majorHAnsi" w:hAnsiTheme="majorHAnsi" w:cs="Calibri"/>
        </w:rPr>
        <w:t xml:space="preserve">Table </w:t>
      </w:r>
      <w:r w:rsidR="004C310F">
        <w:rPr>
          <w:rFonts w:asciiTheme="majorHAnsi" w:hAnsiTheme="majorHAnsi" w:cs="Calibri"/>
          <w:noProof/>
        </w:rPr>
        <w:t>5</w:t>
      </w:r>
      <w:r w:rsidR="0028481E">
        <w:rPr>
          <w:rFonts w:asciiTheme="majorHAnsi" w:hAnsiTheme="majorHAnsi"/>
        </w:rPr>
        <w:fldChar w:fldCharType="end"/>
      </w:r>
      <w:r w:rsidRPr="008D4276">
        <w:rPr>
          <w:rFonts w:asciiTheme="majorHAnsi" w:hAnsiTheme="majorHAnsi"/>
        </w:rPr>
        <w:t>.</w:t>
      </w:r>
    </w:p>
    <w:p w14:paraId="3FC071F7" w14:textId="5150651E" w:rsidR="00712014" w:rsidRPr="008D4276" w:rsidRDefault="0089656D" w:rsidP="004D6592">
      <w:pPr>
        <w:pStyle w:val="Caption"/>
        <w:keepNext/>
        <w:rPr>
          <w:rFonts w:asciiTheme="majorHAnsi" w:hAnsiTheme="majorHAnsi" w:cs="Calibri"/>
        </w:rPr>
      </w:pPr>
      <w:bookmarkStart w:id="56" w:name="_Ref178871868"/>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5</w:t>
      </w:r>
      <w:r w:rsidR="0006243F" w:rsidRPr="008D4276">
        <w:rPr>
          <w:rFonts w:asciiTheme="majorHAnsi" w:hAnsiTheme="majorHAnsi" w:cs="Calibri"/>
        </w:rPr>
        <w:fldChar w:fldCharType="end"/>
      </w:r>
      <w:bookmarkEnd w:id="56"/>
      <w:r w:rsidRPr="008D4276">
        <w:rPr>
          <w:rFonts w:asciiTheme="majorHAnsi" w:hAnsiTheme="majorHAnsi" w:cs="Calibri"/>
        </w:rPr>
        <w:t xml:space="preserve"> ACR Responses in MTX/Placebo-Controlled Trials (Percent of Patients)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4"/>
        <w:gridCol w:w="803"/>
        <w:gridCol w:w="666"/>
        <w:gridCol w:w="844"/>
        <w:gridCol w:w="788"/>
        <w:gridCol w:w="819"/>
        <w:gridCol w:w="821"/>
        <w:gridCol w:w="873"/>
        <w:gridCol w:w="873"/>
        <w:gridCol w:w="819"/>
        <w:gridCol w:w="216"/>
        <w:gridCol w:w="594"/>
      </w:tblGrid>
      <w:tr w:rsidR="00712014" w:rsidRPr="001922B7" w14:paraId="6785E210" w14:textId="77777777" w:rsidTr="00712014">
        <w:trPr>
          <w:trHeight w:val="918"/>
        </w:trPr>
        <w:tc>
          <w:tcPr>
            <w:tcW w:w="501" w:type="pct"/>
          </w:tcPr>
          <w:p w14:paraId="66347364" w14:textId="77777777" w:rsidR="00712014" w:rsidRPr="008D4276" w:rsidRDefault="00712014" w:rsidP="00712014">
            <w:pPr>
              <w:pStyle w:val="NoSpacing"/>
              <w:rPr>
                <w:rFonts w:asciiTheme="majorHAnsi" w:hAnsiTheme="majorHAnsi" w:cs="Calibri"/>
                <w:sz w:val="18"/>
                <w:szCs w:val="18"/>
              </w:rPr>
            </w:pPr>
          </w:p>
        </w:tc>
        <w:tc>
          <w:tcPr>
            <w:tcW w:w="814" w:type="pct"/>
            <w:gridSpan w:val="2"/>
          </w:tcPr>
          <w:p w14:paraId="053BBBF7"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Study I MTX-Naïve</w:t>
            </w:r>
          </w:p>
        </w:tc>
        <w:tc>
          <w:tcPr>
            <w:tcW w:w="905" w:type="pct"/>
            <w:gridSpan w:val="2"/>
          </w:tcPr>
          <w:p w14:paraId="5FA6B723"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Study II Inadequate</w:t>
            </w:r>
          </w:p>
          <w:p w14:paraId="19CCB3B3"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Response to MTX</w:t>
            </w:r>
          </w:p>
        </w:tc>
        <w:tc>
          <w:tcPr>
            <w:tcW w:w="906" w:type="pct"/>
            <w:gridSpan w:val="2"/>
          </w:tcPr>
          <w:p w14:paraId="5D16A8C7"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Study III Inadequate</w:t>
            </w:r>
          </w:p>
          <w:p w14:paraId="4955B076"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Response to MTX</w:t>
            </w:r>
          </w:p>
        </w:tc>
        <w:tc>
          <w:tcPr>
            <w:tcW w:w="968" w:type="pct"/>
            <w:gridSpan w:val="2"/>
          </w:tcPr>
          <w:p w14:paraId="775F745B"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Study IV Inadequate</w:t>
            </w:r>
          </w:p>
          <w:p w14:paraId="23FFD0EE"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Response to DMARD</w:t>
            </w:r>
          </w:p>
        </w:tc>
        <w:tc>
          <w:tcPr>
            <w:tcW w:w="906" w:type="pct"/>
            <w:gridSpan w:val="3"/>
          </w:tcPr>
          <w:p w14:paraId="27FEF655"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Study V Inadequate</w:t>
            </w:r>
          </w:p>
          <w:p w14:paraId="7B3CD35F"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Response to anti-TNF Agent</w:t>
            </w:r>
          </w:p>
        </w:tc>
      </w:tr>
      <w:tr w:rsidR="00712014" w:rsidRPr="001922B7" w14:paraId="5CC1E5AB" w14:textId="77777777" w:rsidTr="00712014">
        <w:trPr>
          <w:trHeight w:val="1610"/>
        </w:trPr>
        <w:tc>
          <w:tcPr>
            <w:tcW w:w="501" w:type="pct"/>
          </w:tcPr>
          <w:p w14:paraId="163E7813" w14:textId="792C8A8B"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Response Rate</w:t>
            </w:r>
          </w:p>
        </w:tc>
        <w:tc>
          <w:tcPr>
            <w:tcW w:w="445" w:type="pct"/>
          </w:tcPr>
          <w:p w14:paraId="759138D5" w14:textId="060663D3" w:rsidR="00712014" w:rsidRPr="008D4276" w:rsidRDefault="00346827" w:rsidP="00712014">
            <w:pPr>
              <w:pStyle w:val="NoSpacing"/>
              <w:rPr>
                <w:rFonts w:asciiTheme="majorHAnsi" w:hAnsiTheme="majorHAnsi" w:cs="Calibri"/>
                <w:b/>
                <w:sz w:val="18"/>
                <w:szCs w:val="18"/>
              </w:rPr>
            </w:pPr>
            <w:r w:rsidRPr="008D4276">
              <w:rPr>
                <w:rFonts w:asciiTheme="majorHAnsi" w:hAnsiTheme="majorHAnsi" w:cs="Calibri"/>
                <w:b/>
                <w:sz w:val="18"/>
                <w:szCs w:val="18"/>
              </w:rPr>
              <w:t>TOC</w:t>
            </w:r>
          </w:p>
          <w:p w14:paraId="5F3E2B9A"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8 mg/k g</w:t>
            </w:r>
          </w:p>
          <w:p w14:paraId="6F1BA642" w14:textId="77777777" w:rsidR="00712014" w:rsidRPr="008D4276" w:rsidRDefault="00712014" w:rsidP="00712014">
            <w:pPr>
              <w:pStyle w:val="NoSpacing"/>
              <w:rPr>
                <w:rFonts w:asciiTheme="majorHAnsi" w:hAnsiTheme="majorHAnsi" w:cs="Calibri"/>
                <w:b/>
                <w:sz w:val="18"/>
                <w:szCs w:val="18"/>
              </w:rPr>
            </w:pPr>
          </w:p>
          <w:p w14:paraId="12C620B9" w14:textId="77777777" w:rsidR="00712014" w:rsidRPr="008D4276" w:rsidRDefault="00712014" w:rsidP="00712014">
            <w:pPr>
              <w:pStyle w:val="NoSpacing"/>
              <w:rPr>
                <w:rFonts w:asciiTheme="majorHAnsi" w:hAnsiTheme="majorHAnsi" w:cs="Calibri"/>
                <w:b/>
                <w:sz w:val="18"/>
                <w:szCs w:val="18"/>
              </w:rPr>
            </w:pPr>
          </w:p>
          <w:p w14:paraId="55E21EAA"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n=286</w:t>
            </w:r>
          </w:p>
        </w:tc>
        <w:tc>
          <w:tcPr>
            <w:tcW w:w="369" w:type="pct"/>
          </w:tcPr>
          <w:p w14:paraId="5EBF4835"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MT X</w:t>
            </w:r>
          </w:p>
          <w:p w14:paraId="6B41FB08" w14:textId="77777777" w:rsidR="00712014" w:rsidRPr="008D4276" w:rsidRDefault="00712014" w:rsidP="00712014">
            <w:pPr>
              <w:pStyle w:val="NoSpacing"/>
              <w:rPr>
                <w:rFonts w:asciiTheme="majorHAnsi" w:hAnsiTheme="majorHAnsi" w:cs="Calibri"/>
                <w:b/>
                <w:sz w:val="18"/>
                <w:szCs w:val="18"/>
              </w:rPr>
            </w:pPr>
          </w:p>
          <w:p w14:paraId="5D4863AE" w14:textId="77777777" w:rsidR="00712014" w:rsidRPr="008D4276" w:rsidRDefault="00712014" w:rsidP="00712014">
            <w:pPr>
              <w:pStyle w:val="NoSpacing"/>
              <w:rPr>
                <w:rFonts w:asciiTheme="majorHAnsi" w:hAnsiTheme="majorHAnsi" w:cs="Calibri"/>
                <w:b/>
                <w:sz w:val="18"/>
                <w:szCs w:val="18"/>
              </w:rPr>
            </w:pPr>
          </w:p>
          <w:p w14:paraId="3D24FB21"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n=28 4</w:t>
            </w:r>
          </w:p>
        </w:tc>
        <w:tc>
          <w:tcPr>
            <w:tcW w:w="468" w:type="pct"/>
          </w:tcPr>
          <w:p w14:paraId="27939A68" w14:textId="5C4A35FB" w:rsidR="00712014" w:rsidRPr="008D4276" w:rsidRDefault="00346827" w:rsidP="00712014">
            <w:pPr>
              <w:pStyle w:val="NoSpacing"/>
              <w:rPr>
                <w:rFonts w:asciiTheme="majorHAnsi" w:hAnsiTheme="majorHAnsi" w:cs="Calibri"/>
                <w:b/>
                <w:sz w:val="18"/>
                <w:szCs w:val="18"/>
              </w:rPr>
            </w:pPr>
            <w:r w:rsidRPr="008D4276">
              <w:rPr>
                <w:rFonts w:asciiTheme="majorHAnsi" w:hAnsiTheme="majorHAnsi" w:cs="Calibri"/>
                <w:b/>
                <w:sz w:val="18"/>
                <w:szCs w:val="18"/>
              </w:rPr>
              <w:t>TOC</w:t>
            </w:r>
            <w:r w:rsidR="007C49C8" w:rsidRPr="008D4276">
              <w:rPr>
                <w:rFonts w:asciiTheme="majorHAnsi" w:hAnsiTheme="majorHAnsi" w:cs="Calibri"/>
                <w:b/>
                <w:sz w:val="18"/>
                <w:szCs w:val="18"/>
              </w:rPr>
              <w:t xml:space="preserve"> </w:t>
            </w:r>
            <w:r w:rsidR="00712014" w:rsidRPr="008D4276">
              <w:rPr>
                <w:rFonts w:asciiTheme="majorHAnsi" w:hAnsiTheme="majorHAnsi" w:cs="Calibri"/>
                <w:b/>
                <w:sz w:val="18"/>
                <w:szCs w:val="18"/>
              </w:rPr>
              <w:t>8 mg/k g</w:t>
            </w:r>
          </w:p>
          <w:p w14:paraId="6497564E"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+MTX</w:t>
            </w:r>
          </w:p>
          <w:p w14:paraId="1CD6D5F7"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n=398</w:t>
            </w:r>
          </w:p>
        </w:tc>
        <w:tc>
          <w:tcPr>
            <w:tcW w:w="437" w:type="pct"/>
          </w:tcPr>
          <w:p w14:paraId="78DB2038" w14:textId="3BFE054B"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Placebo + MTX</w:t>
            </w:r>
          </w:p>
          <w:p w14:paraId="09700D17" w14:textId="77777777" w:rsidR="00712014" w:rsidRPr="008D4276" w:rsidRDefault="00712014" w:rsidP="00712014">
            <w:pPr>
              <w:pStyle w:val="NoSpacing"/>
              <w:rPr>
                <w:rFonts w:asciiTheme="majorHAnsi" w:hAnsiTheme="majorHAnsi" w:cs="Calibri"/>
                <w:b/>
                <w:sz w:val="18"/>
                <w:szCs w:val="18"/>
              </w:rPr>
            </w:pPr>
          </w:p>
          <w:p w14:paraId="2AB2F1DD" w14:textId="77777777" w:rsidR="00712014" w:rsidRPr="008D4276" w:rsidRDefault="00712014" w:rsidP="00712014">
            <w:pPr>
              <w:pStyle w:val="NoSpacing"/>
              <w:rPr>
                <w:rFonts w:asciiTheme="majorHAnsi" w:hAnsiTheme="majorHAnsi" w:cs="Calibri"/>
                <w:b/>
                <w:sz w:val="18"/>
                <w:szCs w:val="18"/>
              </w:rPr>
            </w:pPr>
          </w:p>
          <w:p w14:paraId="2DF58234"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n=393</w:t>
            </w:r>
          </w:p>
        </w:tc>
        <w:tc>
          <w:tcPr>
            <w:tcW w:w="454" w:type="pct"/>
          </w:tcPr>
          <w:p w14:paraId="3E90D357" w14:textId="2605BA0C" w:rsidR="00712014" w:rsidRPr="008D4276" w:rsidRDefault="00346827" w:rsidP="00712014">
            <w:pPr>
              <w:pStyle w:val="NoSpacing"/>
              <w:rPr>
                <w:rFonts w:asciiTheme="majorHAnsi" w:hAnsiTheme="majorHAnsi" w:cs="Calibri"/>
                <w:b/>
                <w:sz w:val="18"/>
                <w:szCs w:val="18"/>
              </w:rPr>
            </w:pPr>
            <w:r w:rsidRPr="008D4276">
              <w:rPr>
                <w:rFonts w:asciiTheme="majorHAnsi" w:hAnsiTheme="majorHAnsi" w:cs="Calibri"/>
                <w:b/>
                <w:sz w:val="18"/>
                <w:szCs w:val="18"/>
              </w:rPr>
              <w:t>TOC</w:t>
            </w:r>
          </w:p>
          <w:p w14:paraId="55089143"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8 mg/k g</w:t>
            </w:r>
          </w:p>
          <w:p w14:paraId="44B99D51"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+MTX</w:t>
            </w:r>
          </w:p>
          <w:p w14:paraId="1FD50E6F"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n=205</w:t>
            </w:r>
          </w:p>
        </w:tc>
        <w:tc>
          <w:tcPr>
            <w:tcW w:w="452" w:type="pct"/>
          </w:tcPr>
          <w:p w14:paraId="4B978247" w14:textId="66007E66"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Placebo + MTX</w:t>
            </w:r>
          </w:p>
          <w:p w14:paraId="0E6DC25A" w14:textId="77777777" w:rsidR="00712014" w:rsidRPr="008D4276" w:rsidRDefault="00712014" w:rsidP="00712014">
            <w:pPr>
              <w:pStyle w:val="NoSpacing"/>
              <w:rPr>
                <w:rFonts w:asciiTheme="majorHAnsi" w:hAnsiTheme="majorHAnsi" w:cs="Calibri"/>
                <w:b/>
                <w:sz w:val="18"/>
                <w:szCs w:val="18"/>
              </w:rPr>
            </w:pPr>
          </w:p>
          <w:p w14:paraId="23C5A108" w14:textId="77777777" w:rsidR="00712014" w:rsidRPr="008D4276" w:rsidRDefault="00712014" w:rsidP="00712014">
            <w:pPr>
              <w:pStyle w:val="NoSpacing"/>
              <w:rPr>
                <w:rFonts w:asciiTheme="majorHAnsi" w:hAnsiTheme="majorHAnsi" w:cs="Calibri"/>
                <w:b/>
                <w:sz w:val="18"/>
                <w:szCs w:val="18"/>
              </w:rPr>
            </w:pPr>
          </w:p>
          <w:p w14:paraId="6FBF7B6E"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n=204</w:t>
            </w:r>
          </w:p>
        </w:tc>
        <w:tc>
          <w:tcPr>
            <w:tcW w:w="484" w:type="pct"/>
          </w:tcPr>
          <w:p w14:paraId="1FEF2EC3" w14:textId="44BF2C5C" w:rsidR="00712014" w:rsidRPr="008D4276" w:rsidRDefault="00346827" w:rsidP="00712014">
            <w:pPr>
              <w:pStyle w:val="NoSpacing"/>
              <w:rPr>
                <w:rFonts w:asciiTheme="majorHAnsi" w:hAnsiTheme="majorHAnsi" w:cs="Calibri"/>
                <w:b/>
                <w:sz w:val="18"/>
                <w:szCs w:val="18"/>
              </w:rPr>
            </w:pPr>
            <w:r w:rsidRPr="008D4276">
              <w:rPr>
                <w:rFonts w:asciiTheme="majorHAnsi" w:hAnsiTheme="majorHAnsi" w:cs="Calibri"/>
                <w:b/>
                <w:sz w:val="18"/>
                <w:szCs w:val="18"/>
              </w:rPr>
              <w:t>TOC</w:t>
            </w:r>
            <w:r w:rsidR="00712014" w:rsidRPr="008D4276">
              <w:rPr>
                <w:rFonts w:asciiTheme="majorHAnsi" w:hAnsiTheme="majorHAnsi" w:cs="Calibri"/>
                <w:b/>
                <w:sz w:val="18"/>
                <w:szCs w:val="18"/>
              </w:rPr>
              <w:t xml:space="preserve"> 8</w:t>
            </w:r>
          </w:p>
          <w:p w14:paraId="35E1B5CC"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mg/kg</w:t>
            </w:r>
          </w:p>
          <w:p w14:paraId="2F082D79"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 DMAR</w:t>
            </w:r>
          </w:p>
          <w:p w14:paraId="67C5570B"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D n=803</w:t>
            </w:r>
          </w:p>
        </w:tc>
        <w:tc>
          <w:tcPr>
            <w:tcW w:w="484" w:type="pct"/>
          </w:tcPr>
          <w:p w14:paraId="18A923E7" w14:textId="16DE3769"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Placebo + DMAR D</w:t>
            </w:r>
          </w:p>
          <w:p w14:paraId="2BD325C4" w14:textId="77777777" w:rsidR="00712014" w:rsidRPr="008D4276" w:rsidRDefault="00712014" w:rsidP="00712014">
            <w:pPr>
              <w:pStyle w:val="NoSpacing"/>
              <w:rPr>
                <w:rFonts w:asciiTheme="majorHAnsi" w:hAnsiTheme="majorHAnsi" w:cs="Calibri"/>
                <w:b/>
                <w:sz w:val="18"/>
                <w:szCs w:val="18"/>
              </w:rPr>
            </w:pPr>
          </w:p>
          <w:p w14:paraId="5E5CA9AA"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n=413</w:t>
            </w:r>
          </w:p>
        </w:tc>
        <w:tc>
          <w:tcPr>
            <w:tcW w:w="454" w:type="pct"/>
          </w:tcPr>
          <w:p w14:paraId="43F51D0F" w14:textId="7515A2A1" w:rsidR="00712014" w:rsidRPr="008D4276" w:rsidRDefault="00346827" w:rsidP="00712014">
            <w:pPr>
              <w:pStyle w:val="NoSpacing"/>
              <w:rPr>
                <w:rFonts w:asciiTheme="majorHAnsi" w:hAnsiTheme="majorHAnsi" w:cs="Calibri"/>
                <w:b/>
                <w:sz w:val="18"/>
                <w:szCs w:val="18"/>
              </w:rPr>
            </w:pPr>
            <w:r w:rsidRPr="008D4276">
              <w:rPr>
                <w:rFonts w:asciiTheme="majorHAnsi" w:hAnsiTheme="majorHAnsi" w:cs="Calibri"/>
                <w:b/>
                <w:sz w:val="18"/>
                <w:szCs w:val="18"/>
              </w:rPr>
              <w:t>TOC</w:t>
            </w:r>
            <w:r w:rsidR="006B2156" w:rsidRPr="008D4276">
              <w:rPr>
                <w:rFonts w:asciiTheme="majorHAnsi" w:hAnsiTheme="majorHAnsi" w:cs="Calibri"/>
                <w:b/>
                <w:sz w:val="18"/>
                <w:szCs w:val="18"/>
              </w:rPr>
              <w:t xml:space="preserve"> </w:t>
            </w:r>
            <w:r w:rsidR="00712014" w:rsidRPr="008D4276">
              <w:rPr>
                <w:rFonts w:asciiTheme="majorHAnsi" w:hAnsiTheme="majorHAnsi" w:cs="Calibri"/>
                <w:b/>
                <w:sz w:val="18"/>
                <w:szCs w:val="18"/>
              </w:rPr>
              <w:t>8 mg/kg</w:t>
            </w:r>
          </w:p>
          <w:p w14:paraId="2D6894CD"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+MTX</w:t>
            </w:r>
          </w:p>
          <w:p w14:paraId="1B8782CD" w14:textId="77777777" w:rsidR="006B2156" w:rsidRPr="008D4276" w:rsidRDefault="006B2156" w:rsidP="00712014">
            <w:pPr>
              <w:pStyle w:val="NoSpacing"/>
              <w:rPr>
                <w:rFonts w:asciiTheme="majorHAnsi" w:hAnsiTheme="majorHAnsi" w:cs="Calibri"/>
                <w:b/>
                <w:sz w:val="18"/>
                <w:szCs w:val="18"/>
              </w:rPr>
            </w:pPr>
          </w:p>
          <w:p w14:paraId="202159D6"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n=170</w:t>
            </w:r>
          </w:p>
        </w:tc>
        <w:tc>
          <w:tcPr>
            <w:tcW w:w="452" w:type="pct"/>
            <w:gridSpan w:val="2"/>
          </w:tcPr>
          <w:p w14:paraId="3A8026A8" w14:textId="38B1C4F8"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Placebo + MTX</w:t>
            </w:r>
          </w:p>
          <w:p w14:paraId="6157D28C" w14:textId="77777777" w:rsidR="00712014" w:rsidRPr="008D4276" w:rsidRDefault="00712014" w:rsidP="00712014">
            <w:pPr>
              <w:pStyle w:val="NoSpacing"/>
              <w:rPr>
                <w:rFonts w:asciiTheme="majorHAnsi" w:hAnsiTheme="majorHAnsi" w:cs="Calibri"/>
                <w:b/>
                <w:sz w:val="18"/>
                <w:szCs w:val="18"/>
              </w:rPr>
            </w:pPr>
          </w:p>
          <w:p w14:paraId="013524B2" w14:textId="77777777" w:rsidR="00712014" w:rsidRPr="008D4276" w:rsidRDefault="00712014" w:rsidP="00712014">
            <w:pPr>
              <w:pStyle w:val="NoSpacing"/>
              <w:rPr>
                <w:rFonts w:asciiTheme="majorHAnsi" w:hAnsiTheme="majorHAnsi" w:cs="Calibri"/>
                <w:b/>
                <w:sz w:val="18"/>
                <w:szCs w:val="18"/>
              </w:rPr>
            </w:pPr>
          </w:p>
          <w:p w14:paraId="6ECD805A"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n=158</w:t>
            </w:r>
          </w:p>
        </w:tc>
      </w:tr>
      <w:tr w:rsidR="00712014" w:rsidRPr="001922B7" w14:paraId="07ED3D50" w14:textId="77777777" w:rsidTr="00712014">
        <w:trPr>
          <w:trHeight w:val="274"/>
        </w:trPr>
        <w:tc>
          <w:tcPr>
            <w:tcW w:w="5000" w:type="pct"/>
            <w:gridSpan w:val="12"/>
          </w:tcPr>
          <w:p w14:paraId="1594C8EF"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ACR 20</w:t>
            </w:r>
          </w:p>
        </w:tc>
      </w:tr>
      <w:tr w:rsidR="00712014" w:rsidRPr="001922B7" w14:paraId="6022E79C" w14:textId="77777777" w:rsidTr="0087069C">
        <w:trPr>
          <w:trHeight w:val="221"/>
        </w:trPr>
        <w:tc>
          <w:tcPr>
            <w:tcW w:w="501" w:type="pct"/>
          </w:tcPr>
          <w:p w14:paraId="3355DA4A"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445" w:type="pct"/>
          </w:tcPr>
          <w:p w14:paraId="548D5F22" w14:textId="102D3131"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70%***</w:t>
            </w:r>
          </w:p>
        </w:tc>
        <w:tc>
          <w:tcPr>
            <w:tcW w:w="369" w:type="pct"/>
          </w:tcPr>
          <w:p w14:paraId="4E876D66"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52%</w:t>
            </w:r>
          </w:p>
        </w:tc>
        <w:tc>
          <w:tcPr>
            <w:tcW w:w="468" w:type="pct"/>
          </w:tcPr>
          <w:p w14:paraId="17A8B8B8" w14:textId="19A9E924"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56%***</w:t>
            </w:r>
          </w:p>
        </w:tc>
        <w:tc>
          <w:tcPr>
            <w:tcW w:w="437" w:type="pct"/>
          </w:tcPr>
          <w:p w14:paraId="3EC33878"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27%</w:t>
            </w:r>
          </w:p>
        </w:tc>
        <w:tc>
          <w:tcPr>
            <w:tcW w:w="454" w:type="pct"/>
          </w:tcPr>
          <w:p w14:paraId="39964119" w14:textId="72CC10B5"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59%***</w:t>
            </w:r>
          </w:p>
        </w:tc>
        <w:tc>
          <w:tcPr>
            <w:tcW w:w="452" w:type="pct"/>
          </w:tcPr>
          <w:p w14:paraId="544C39F7"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26%</w:t>
            </w:r>
          </w:p>
        </w:tc>
        <w:tc>
          <w:tcPr>
            <w:tcW w:w="484" w:type="pct"/>
          </w:tcPr>
          <w:p w14:paraId="63687544" w14:textId="0C4FF73A"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61%***</w:t>
            </w:r>
          </w:p>
        </w:tc>
        <w:tc>
          <w:tcPr>
            <w:tcW w:w="484" w:type="pct"/>
          </w:tcPr>
          <w:p w14:paraId="39679429"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24%</w:t>
            </w:r>
          </w:p>
        </w:tc>
        <w:tc>
          <w:tcPr>
            <w:tcW w:w="574" w:type="pct"/>
            <w:gridSpan w:val="2"/>
          </w:tcPr>
          <w:p w14:paraId="55ABB64B"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50%***</w:t>
            </w:r>
          </w:p>
        </w:tc>
        <w:tc>
          <w:tcPr>
            <w:tcW w:w="332" w:type="pct"/>
          </w:tcPr>
          <w:p w14:paraId="5D1094A2" w14:textId="30C4D0EF"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10%</w:t>
            </w:r>
          </w:p>
        </w:tc>
      </w:tr>
      <w:tr w:rsidR="0087069C" w:rsidRPr="001922B7" w14:paraId="428310B6" w14:textId="77777777" w:rsidTr="0087069C">
        <w:trPr>
          <w:trHeight w:val="281"/>
        </w:trPr>
        <w:tc>
          <w:tcPr>
            <w:tcW w:w="501" w:type="pct"/>
          </w:tcPr>
          <w:p w14:paraId="361C46EE"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Week 52^</w:t>
            </w:r>
          </w:p>
        </w:tc>
        <w:tc>
          <w:tcPr>
            <w:tcW w:w="445" w:type="pct"/>
          </w:tcPr>
          <w:p w14:paraId="75D9EA94" w14:textId="77777777" w:rsidR="00712014" w:rsidRPr="008D4276" w:rsidRDefault="00712014" w:rsidP="00712014">
            <w:pPr>
              <w:pStyle w:val="NoSpacing"/>
              <w:rPr>
                <w:rFonts w:asciiTheme="majorHAnsi" w:hAnsiTheme="majorHAnsi" w:cs="Calibri"/>
                <w:sz w:val="18"/>
                <w:szCs w:val="18"/>
              </w:rPr>
            </w:pPr>
          </w:p>
        </w:tc>
        <w:tc>
          <w:tcPr>
            <w:tcW w:w="369" w:type="pct"/>
          </w:tcPr>
          <w:p w14:paraId="440932F7" w14:textId="77777777" w:rsidR="00712014" w:rsidRPr="008D4276" w:rsidRDefault="00712014" w:rsidP="00712014">
            <w:pPr>
              <w:pStyle w:val="NoSpacing"/>
              <w:rPr>
                <w:rFonts w:asciiTheme="majorHAnsi" w:hAnsiTheme="majorHAnsi" w:cs="Calibri"/>
                <w:sz w:val="18"/>
                <w:szCs w:val="18"/>
              </w:rPr>
            </w:pPr>
          </w:p>
        </w:tc>
        <w:tc>
          <w:tcPr>
            <w:tcW w:w="468" w:type="pct"/>
          </w:tcPr>
          <w:p w14:paraId="6680BA16" w14:textId="2661C772"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56%***</w:t>
            </w:r>
          </w:p>
        </w:tc>
        <w:tc>
          <w:tcPr>
            <w:tcW w:w="437" w:type="pct"/>
          </w:tcPr>
          <w:p w14:paraId="736FDD71"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25%</w:t>
            </w:r>
          </w:p>
        </w:tc>
        <w:tc>
          <w:tcPr>
            <w:tcW w:w="451" w:type="pct"/>
          </w:tcPr>
          <w:p w14:paraId="258F3722" w14:textId="77777777" w:rsidR="00712014" w:rsidRPr="008D4276" w:rsidRDefault="00712014" w:rsidP="00712014">
            <w:pPr>
              <w:pStyle w:val="NoSpacing"/>
              <w:rPr>
                <w:rFonts w:asciiTheme="majorHAnsi" w:hAnsiTheme="majorHAnsi" w:cs="Calibri"/>
                <w:sz w:val="18"/>
                <w:szCs w:val="18"/>
              </w:rPr>
            </w:pPr>
          </w:p>
        </w:tc>
        <w:tc>
          <w:tcPr>
            <w:tcW w:w="455" w:type="pct"/>
          </w:tcPr>
          <w:p w14:paraId="0242C93B" w14:textId="77777777" w:rsidR="00712014" w:rsidRPr="008D4276" w:rsidRDefault="00712014" w:rsidP="00712014">
            <w:pPr>
              <w:pStyle w:val="NoSpacing"/>
              <w:rPr>
                <w:rFonts w:asciiTheme="majorHAnsi" w:hAnsiTheme="majorHAnsi" w:cs="Calibri"/>
                <w:sz w:val="18"/>
                <w:szCs w:val="18"/>
              </w:rPr>
            </w:pPr>
          </w:p>
        </w:tc>
        <w:tc>
          <w:tcPr>
            <w:tcW w:w="484" w:type="pct"/>
          </w:tcPr>
          <w:p w14:paraId="572E808C" w14:textId="77777777" w:rsidR="00712014" w:rsidRPr="008D4276" w:rsidRDefault="00712014" w:rsidP="00712014">
            <w:pPr>
              <w:pStyle w:val="NoSpacing"/>
              <w:rPr>
                <w:rFonts w:asciiTheme="majorHAnsi" w:hAnsiTheme="majorHAnsi" w:cs="Calibri"/>
                <w:sz w:val="18"/>
                <w:szCs w:val="18"/>
              </w:rPr>
            </w:pPr>
          </w:p>
        </w:tc>
        <w:tc>
          <w:tcPr>
            <w:tcW w:w="484" w:type="pct"/>
          </w:tcPr>
          <w:p w14:paraId="2E0669D5" w14:textId="77777777" w:rsidR="00712014" w:rsidRPr="008D4276" w:rsidRDefault="00712014" w:rsidP="00712014">
            <w:pPr>
              <w:pStyle w:val="NoSpacing"/>
              <w:rPr>
                <w:rFonts w:asciiTheme="majorHAnsi" w:hAnsiTheme="majorHAnsi" w:cs="Calibri"/>
                <w:sz w:val="18"/>
                <w:szCs w:val="18"/>
              </w:rPr>
            </w:pPr>
          </w:p>
        </w:tc>
        <w:tc>
          <w:tcPr>
            <w:tcW w:w="574" w:type="pct"/>
            <w:gridSpan w:val="2"/>
          </w:tcPr>
          <w:p w14:paraId="4716DB3B" w14:textId="77777777" w:rsidR="00712014" w:rsidRPr="008D4276" w:rsidRDefault="00712014" w:rsidP="00712014">
            <w:pPr>
              <w:pStyle w:val="NoSpacing"/>
              <w:rPr>
                <w:rFonts w:asciiTheme="majorHAnsi" w:hAnsiTheme="majorHAnsi" w:cs="Calibri"/>
                <w:sz w:val="18"/>
                <w:szCs w:val="18"/>
              </w:rPr>
            </w:pPr>
          </w:p>
        </w:tc>
        <w:tc>
          <w:tcPr>
            <w:tcW w:w="332" w:type="pct"/>
          </w:tcPr>
          <w:p w14:paraId="52E551E1" w14:textId="77777777" w:rsidR="00712014" w:rsidRPr="008D4276" w:rsidRDefault="00712014" w:rsidP="00712014">
            <w:pPr>
              <w:pStyle w:val="NoSpacing"/>
              <w:rPr>
                <w:rFonts w:asciiTheme="majorHAnsi" w:hAnsiTheme="majorHAnsi" w:cs="Calibri"/>
                <w:sz w:val="18"/>
                <w:szCs w:val="18"/>
              </w:rPr>
            </w:pPr>
          </w:p>
        </w:tc>
      </w:tr>
      <w:tr w:rsidR="00712014" w:rsidRPr="001922B7" w14:paraId="579DCC9E" w14:textId="77777777" w:rsidTr="0087069C">
        <w:trPr>
          <w:trHeight w:val="271"/>
        </w:trPr>
        <w:tc>
          <w:tcPr>
            <w:tcW w:w="5000" w:type="pct"/>
            <w:gridSpan w:val="12"/>
          </w:tcPr>
          <w:p w14:paraId="3924E624"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ACR 50</w:t>
            </w:r>
          </w:p>
        </w:tc>
      </w:tr>
      <w:tr w:rsidR="0087069C" w:rsidRPr="001922B7" w14:paraId="1F1D5022" w14:textId="77777777" w:rsidTr="0087069C">
        <w:trPr>
          <w:trHeight w:val="147"/>
        </w:trPr>
        <w:tc>
          <w:tcPr>
            <w:tcW w:w="501" w:type="pct"/>
          </w:tcPr>
          <w:p w14:paraId="5BBFA58F"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445" w:type="pct"/>
          </w:tcPr>
          <w:p w14:paraId="30D99361" w14:textId="1FEF292E"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44%**</w:t>
            </w:r>
          </w:p>
        </w:tc>
        <w:tc>
          <w:tcPr>
            <w:tcW w:w="369" w:type="pct"/>
          </w:tcPr>
          <w:p w14:paraId="25F7CA14"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33%</w:t>
            </w:r>
          </w:p>
        </w:tc>
        <w:tc>
          <w:tcPr>
            <w:tcW w:w="468" w:type="pct"/>
          </w:tcPr>
          <w:p w14:paraId="3E7EFA94" w14:textId="48891216"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32%***</w:t>
            </w:r>
          </w:p>
        </w:tc>
        <w:tc>
          <w:tcPr>
            <w:tcW w:w="437" w:type="pct"/>
          </w:tcPr>
          <w:p w14:paraId="285FCDFE"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10%</w:t>
            </w:r>
          </w:p>
        </w:tc>
        <w:tc>
          <w:tcPr>
            <w:tcW w:w="451" w:type="pct"/>
          </w:tcPr>
          <w:p w14:paraId="7E6E5506"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44%***</w:t>
            </w:r>
          </w:p>
        </w:tc>
        <w:tc>
          <w:tcPr>
            <w:tcW w:w="455" w:type="pct"/>
          </w:tcPr>
          <w:p w14:paraId="219A045A" w14:textId="69B08D34"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11%</w:t>
            </w:r>
          </w:p>
        </w:tc>
        <w:tc>
          <w:tcPr>
            <w:tcW w:w="484" w:type="pct"/>
          </w:tcPr>
          <w:p w14:paraId="6AE28EC8" w14:textId="3525F5B5"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38%***</w:t>
            </w:r>
          </w:p>
        </w:tc>
        <w:tc>
          <w:tcPr>
            <w:tcW w:w="484" w:type="pct"/>
          </w:tcPr>
          <w:p w14:paraId="108C80DA"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9%</w:t>
            </w:r>
          </w:p>
        </w:tc>
        <w:tc>
          <w:tcPr>
            <w:tcW w:w="574" w:type="pct"/>
            <w:gridSpan w:val="2"/>
          </w:tcPr>
          <w:p w14:paraId="7937D7C6"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29%***</w:t>
            </w:r>
          </w:p>
        </w:tc>
        <w:tc>
          <w:tcPr>
            <w:tcW w:w="332" w:type="pct"/>
          </w:tcPr>
          <w:p w14:paraId="6E5DCA0D"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4%</w:t>
            </w:r>
          </w:p>
        </w:tc>
      </w:tr>
      <w:tr w:rsidR="0087069C" w:rsidRPr="001922B7" w14:paraId="68985FA5" w14:textId="77777777" w:rsidTr="0087069C">
        <w:trPr>
          <w:trHeight w:val="207"/>
        </w:trPr>
        <w:tc>
          <w:tcPr>
            <w:tcW w:w="501" w:type="pct"/>
          </w:tcPr>
          <w:p w14:paraId="57CA9AD3" w14:textId="7C1B90A5"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Week</w:t>
            </w:r>
            <w:r w:rsidR="0087069C" w:rsidRPr="008D4276">
              <w:rPr>
                <w:rFonts w:asciiTheme="majorHAnsi" w:hAnsiTheme="majorHAnsi" w:cs="Calibri"/>
                <w:sz w:val="18"/>
                <w:szCs w:val="18"/>
              </w:rPr>
              <w:t xml:space="preserve"> </w:t>
            </w:r>
            <w:r w:rsidRPr="008D4276">
              <w:rPr>
                <w:rFonts w:asciiTheme="majorHAnsi" w:hAnsiTheme="majorHAnsi" w:cs="Calibri"/>
                <w:sz w:val="18"/>
                <w:szCs w:val="18"/>
              </w:rPr>
              <w:t>52^</w:t>
            </w:r>
          </w:p>
        </w:tc>
        <w:tc>
          <w:tcPr>
            <w:tcW w:w="445" w:type="pct"/>
          </w:tcPr>
          <w:p w14:paraId="12A26925" w14:textId="77777777" w:rsidR="00712014" w:rsidRPr="008D4276" w:rsidRDefault="00712014" w:rsidP="00712014">
            <w:pPr>
              <w:pStyle w:val="NoSpacing"/>
              <w:rPr>
                <w:rFonts w:asciiTheme="majorHAnsi" w:hAnsiTheme="majorHAnsi" w:cs="Calibri"/>
                <w:sz w:val="18"/>
                <w:szCs w:val="18"/>
              </w:rPr>
            </w:pPr>
          </w:p>
        </w:tc>
        <w:tc>
          <w:tcPr>
            <w:tcW w:w="369" w:type="pct"/>
          </w:tcPr>
          <w:p w14:paraId="7BA877C5" w14:textId="77777777" w:rsidR="00712014" w:rsidRPr="008D4276" w:rsidRDefault="00712014" w:rsidP="00712014">
            <w:pPr>
              <w:pStyle w:val="NoSpacing"/>
              <w:rPr>
                <w:rFonts w:asciiTheme="majorHAnsi" w:hAnsiTheme="majorHAnsi" w:cs="Calibri"/>
                <w:sz w:val="18"/>
                <w:szCs w:val="18"/>
              </w:rPr>
            </w:pPr>
          </w:p>
        </w:tc>
        <w:tc>
          <w:tcPr>
            <w:tcW w:w="468" w:type="pct"/>
          </w:tcPr>
          <w:p w14:paraId="09081C7D" w14:textId="4D87B17B"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36%***</w:t>
            </w:r>
          </w:p>
        </w:tc>
        <w:tc>
          <w:tcPr>
            <w:tcW w:w="437" w:type="pct"/>
          </w:tcPr>
          <w:p w14:paraId="1739ACCC"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10%</w:t>
            </w:r>
          </w:p>
        </w:tc>
        <w:tc>
          <w:tcPr>
            <w:tcW w:w="451" w:type="pct"/>
          </w:tcPr>
          <w:p w14:paraId="1AA6C93B" w14:textId="77777777" w:rsidR="00712014" w:rsidRPr="008D4276" w:rsidRDefault="00712014" w:rsidP="00712014">
            <w:pPr>
              <w:pStyle w:val="NoSpacing"/>
              <w:rPr>
                <w:rFonts w:asciiTheme="majorHAnsi" w:hAnsiTheme="majorHAnsi" w:cs="Calibri"/>
                <w:sz w:val="18"/>
                <w:szCs w:val="18"/>
              </w:rPr>
            </w:pPr>
          </w:p>
        </w:tc>
        <w:tc>
          <w:tcPr>
            <w:tcW w:w="455" w:type="pct"/>
          </w:tcPr>
          <w:p w14:paraId="0B829BFA" w14:textId="77777777" w:rsidR="00712014" w:rsidRPr="008D4276" w:rsidRDefault="00712014" w:rsidP="00712014">
            <w:pPr>
              <w:pStyle w:val="NoSpacing"/>
              <w:rPr>
                <w:rFonts w:asciiTheme="majorHAnsi" w:hAnsiTheme="majorHAnsi" w:cs="Calibri"/>
                <w:sz w:val="18"/>
                <w:szCs w:val="18"/>
              </w:rPr>
            </w:pPr>
          </w:p>
        </w:tc>
        <w:tc>
          <w:tcPr>
            <w:tcW w:w="484" w:type="pct"/>
          </w:tcPr>
          <w:p w14:paraId="2CA67A7F" w14:textId="77777777" w:rsidR="00712014" w:rsidRPr="008D4276" w:rsidRDefault="00712014" w:rsidP="00712014">
            <w:pPr>
              <w:pStyle w:val="NoSpacing"/>
              <w:rPr>
                <w:rFonts w:asciiTheme="majorHAnsi" w:hAnsiTheme="majorHAnsi" w:cs="Calibri"/>
                <w:sz w:val="18"/>
                <w:szCs w:val="18"/>
              </w:rPr>
            </w:pPr>
          </w:p>
        </w:tc>
        <w:tc>
          <w:tcPr>
            <w:tcW w:w="484" w:type="pct"/>
          </w:tcPr>
          <w:p w14:paraId="09B62837" w14:textId="77777777" w:rsidR="00712014" w:rsidRPr="008D4276" w:rsidRDefault="00712014" w:rsidP="00712014">
            <w:pPr>
              <w:pStyle w:val="NoSpacing"/>
              <w:rPr>
                <w:rFonts w:asciiTheme="majorHAnsi" w:hAnsiTheme="majorHAnsi" w:cs="Calibri"/>
                <w:sz w:val="18"/>
                <w:szCs w:val="18"/>
              </w:rPr>
            </w:pPr>
          </w:p>
        </w:tc>
        <w:tc>
          <w:tcPr>
            <w:tcW w:w="574" w:type="pct"/>
            <w:gridSpan w:val="2"/>
          </w:tcPr>
          <w:p w14:paraId="2C3183CC" w14:textId="77777777" w:rsidR="00712014" w:rsidRPr="008D4276" w:rsidRDefault="00712014" w:rsidP="00712014">
            <w:pPr>
              <w:pStyle w:val="NoSpacing"/>
              <w:rPr>
                <w:rFonts w:asciiTheme="majorHAnsi" w:hAnsiTheme="majorHAnsi" w:cs="Calibri"/>
                <w:sz w:val="18"/>
                <w:szCs w:val="18"/>
              </w:rPr>
            </w:pPr>
          </w:p>
        </w:tc>
        <w:tc>
          <w:tcPr>
            <w:tcW w:w="332" w:type="pct"/>
          </w:tcPr>
          <w:p w14:paraId="0299FD55" w14:textId="77777777" w:rsidR="00712014" w:rsidRPr="008D4276" w:rsidRDefault="00712014" w:rsidP="00712014">
            <w:pPr>
              <w:pStyle w:val="NoSpacing"/>
              <w:rPr>
                <w:rFonts w:asciiTheme="majorHAnsi" w:hAnsiTheme="majorHAnsi" w:cs="Calibri"/>
                <w:sz w:val="18"/>
                <w:szCs w:val="18"/>
              </w:rPr>
            </w:pPr>
          </w:p>
        </w:tc>
      </w:tr>
      <w:tr w:rsidR="00712014" w:rsidRPr="001922B7" w14:paraId="106ABA25" w14:textId="77777777" w:rsidTr="00712014">
        <w:trPr>
          <w:trHeight w:val="254"/>
        </w:trPr>
        <w:tc>
          <w:tcPr>
            <w:tcW w:w="5000" w:type="pct"/>
            <w:gridSpan w:val="12"/>
          </w:tcPr>
          <w:p w14:paraId="389A3EDF" w14:textId="77777777" w:rsidR="00712014" w:rsidRPr="008D4276" w:rsidRDefault="00712014" w:rsidP="00712014">
            <w:pPr>
              <w:pStyle w:val="NoSpacing"/>
              <w:rPr>
                <w:rFonts w:asciiTheme="majorHAnsi" w:hAnsiTheme="majorHAnsi" w:cs="Calibri"/>
                <w:b/>
                <w:sz w:val="18"/>
                <w:szCs w:val="18"/>
              </w:rPr>
            </w:pPr>
            <w:r w:rsidRPr="008D4276">
              <w:rPr>
                <w:rFonts w:asciiTheme="majorHAnsi" w:hAnsiTheme="majorHAnsi" w:cs="Calibri"/>
                <w:b/>
                <w:sz w:val="18"/>
                <w:szCs w:val="18"/>
              </w:rPr>
              <w:t>ACR 70</w:t>
            </w:r>
          </w:p>
        </w:tc>
      </w:tr>
      <w:tr w:rsidR="0087069C" w:rsidRPr="001922B7" w14:paraId="48891510" w14:textId="77777777" w:rsidTr="0087069C">
        <w:trPr>
          <w:trHeight w:val="275"/>
        </w:trPr>
        <w:tc>
          <w:tcPr>
            <w:tcW w:w="501" w:type="pct"/>
          </w:tcPr>
          <w:p w14:paraId="6973DBB4"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445" w:type="pct"/>
          </w:tcPr>
          <w:p w14:paraId="20F1A4A5" w14:textId="444CDA9A"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28%**</w:t>
            </w:r>
          </w:p>
        </w:tc>
        <w:tc>
          <w:tcPr>
            <w:tcW w:w="369" w:type="pct"/>
          </w:tcPr>
          <w:p w14:paraId="71460563"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15%</w:t>
            </w:r>
          </w:p>
        </w:tc>
        <w:tc>
          <w:tcPr>
            <w:tcW w:w="468" w:type="pct"/>
          </w:tcPr>
          <w:p w14:paraId="6F40952A" w14:textId="536B2674"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13%***</w:t>
            </w:r>
          </w:p>
        </w:tc>
        <w:tc>
          <w:tcPr>
            <w:tcW w:w="437" w:type="pct"/>
          </w:tcPr>
          <w:p w14:paraId="1BA7554F"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w:t>
            </w:r>
          </w:p>
        </w:tc>
        <w:tc>
          <w:tcPr>
            <w:tcW w:w="451" w:type="pct"/>
          </w:tcPr>
          <w:p w14:paraId="7D8084A6"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22%***</w:t>
            </w:r>
          </w:p>
        </w:tc>
        <w:tc>
          <w:tcPr>
            <w:tcW w:w="455" w:type="pct"/>
          </w:tcPr>
          <w:p w14:paraId="466DC30C"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2%</w:t>
            </w:r>
          </w:p>
        </w:tc>
        <w:tc>
          <w:tcPr>
            <w:tcW w:w="484" w:type="pct"/>
          </w:tcPr>
          <w:p w14:paraId="70E1C029" w14:textId="50AF082E"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21%***</w:t>
            </w:r>
          </w:p>
        </w:tc>
        <w:tc>
          <w:tcPr>
            <w:tcW w:w="484" w:type="pct"/>
          </w:tcPr>
          <w:p w14:paraId="1F95C6D4"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3%</w:t>
            </w:r>
          </w:p>
        </w:tc>
        <w:tc>
          <w:tcPr>
            <w:tcW w:w="574" w:type="pct"/>
            <w:gridSpan w:val="2"/>
          </w:tcPr>
          <w:p w14:paraId="4FF97613"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12%**</w:t>
            </w:r>
          </w:p>
        </w:tc>
        <w:tc>
          <w:tcPr>
            <w:tcW w:w="332" w:type="pct"/>
          </w:tcPr>
          <w:p w14:paraId="3033A68C"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1%</w:t>
            </w:r>
          </w:p>
        </w:tc>
      </w:tr>
      <w:tr w:rsidR="0087069C" w:rsidRPr="001922B7" w14:paraId="1C19C838" w14:textId="77777777" w:rsidTr="0087069C">
        <w:trPr>
          <w:trHeight w:val="279"/>
        </w:trPr>
        <w:tc>
          <w:tcPr>
            <w:tcW w:w="501" w:type="pct"/>
          </w:tcPr>
          <w:p w14:paraId="4DF9D63C"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Week 52^</w:t>
            </w:r>
          </w:p>
        </w:tc>
        <w:tc>
          <w:tcPr>
            <w:tcW w:w="445" w:type="pct"/>
          </w:tcPr>
          <w:p w14:paraId="049CAA52" w14:textId="77777777" w:rsidR="00712014" w:rsidRPr="008D4276" w:rsidRDefault="00712014" w:rsidP="00712014">
            <w:pPr>
              <w:pStyle w:val="NoSpacing"/>
              <w:rPr>
                <w:rFonts w:asciiTheme="majorHAnsi" w:hAnsiTheme="majorHAnsi" w:cs="Calibri"/>
                <w:sz w:val="18"/>
                <w:szCs w:val="18"/>
              </w:rPr>
            </w:pPr>
          </w:p>
        </w:tc>
        <w:tc>
          <w:tcPr>
            <w:tcW w:w="369" w:type="pct"/>
          </w:tcPr>
          <w:p w14:paraId="093EBC32" w14:textId="77777777" w:rsidR="00712014" w:rsidRPr="008D4276" w:rsidRDefault="00712014" w:rsidP="00712014">
            <w:pPr>
              <w:pStyle w:val="NoSpacing"/>
              <w:rPr>
                <w:rFonts w:asciiTheme="majorHAnsi" w:hAnsiTheme="majorHAnsi" w:cs="Calibri"/>
                <w:sz w:val="18"/>
                <w:szCs w:val="18"/>
              </w:rPr>
            </w:pPr>
          </w:p>
        </w:tc>
        <w:tc>
          <w:tcPr>
            <w:tcW w:w="468" w:type="pct"/>
          </w:tcPr>
          <w:p w14:paraId="49C2F7BF" w14:textId="65D9B6F5"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20%***</w:t>
            </w:r>
          </w:p>
        </w:tc>
        <w:tc>
          <w:tcPr>
            <w:tcW w:w="437" w:type="pct"/>
          </w:tcPr>
          <w:p w14:paraId="57A73F9D"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4%</w:t>
            </w:r>
          </w:p>
        </w:tc>
        <w:tc>
          <w:tcPr>
            <w:tcW w:w="451" w:type="pct"/>
          </w:tcPr>
          <w:p w14:paraId="46405316" w14:textId="77777777" w:rsidR="00712014" w:rsidRPr="008D4276" w:rsidRDefault="00712014" w:rsidP="00712014">
            <w:pPr>
              <w:pStyle w:val="NoSpacing"/>
              <w:rPr>
                <w:rFonts w:asciiTheme="majorHAnsi" w:hAnsiTheme="majorHAnsi" w:cs="Calibri"/>
                <w:sz w:val="18"/>
                <w:szCs w:val="18"/>
              </w:rPr>
            </w:pPr>
          </w:p>
        </w:tc>
        <w:tc>
          <w:tcPr>
            <w:tcW w:w="455" w:type="pct"/>
          </w:tcPr>
          <w:p w14:paraId="2CC03FCC" w14:textId="77777777" w:rsidR="00712014" w:rsidRPr="008D4276" w:rsidRDefault="00712014" w:rsidP="00712014">
            <w:pPr>
              <w:pStyle w:val="NoSpacing"/>
              <w:rPr>
                <w:rFonts w:asciiTheme="majorHAnsi" w:hAnsiTheme="majorHAnsi" w:cs="Calibri"/>
                <w:sz w:val="18"/>
                <w:szCs w:val="18"/>
              </w:rPr>
            </w:pPr>
          </w:p>
        </w:tc>
        <w:tc>
          <w:tcPr>
            <w:tcW w:w="484" w:type="pct"/>
          </w:tcPr>
          <w:p w14:paraId="665C2F8D" w14:textId="77777777" w:rsidR="00712014" w:rsidRPr="008D4276" w:rsidRDefault="00712014" w:rsidP="00712014">
            <w:pPr>
              <w:pStyle w:val="NoSpacing"/>
              <w:rPr>
                <w:rFonts w:asciiTheme="majorHAnsi" w:hAnsiTheme="majorHAnsi" w:cs="Calibri"/>
                <w:sz w:val="18"/>
                <w:szCs w:val="18"/>
              </w:rPr>
            </w:pPr>
          </w:p>
        </w:tc>
        <w:tc>
          <w:tcPr>
            <w:tcW w:w="484" w:type="pct"/>
          </w:tcPr>
          <w:p w14:paraId="79992822" w14:textId="77777777" w:rsidR="00712014" w:rsidRPr="008D4276" w:rsidRDefault="00712014" w:rsidP="00712014">
            <w:pPr>
              <w:pStyle w:val="NoSpacing"/>
              <w:rPr>
                <w:rFonts w:asciiTheme="majorHAnsi" w:hAnsiTheme="majorHAnsi" w:cs="Calibri"/>
                <w:sz w:val="18"/>
                <w:szCs w:val="18"/>
              </w:rPr>
            </w:pPr>
          </w:p>
        </w:tc>
        <w:tc>
          <w:tcPr>
            <w:tcW w:w="574" w:type="pct"/>
            <w:gridSpan w:val="2"/>
          </w:tcPr>
          <w:p w14:paraId="03A5A07C" w14:textId="77777777" w:rsidR="00712014" w:rsidRPr="008D4276" w:rsidRDefault="00712014" w:rsidP="00712014">
            <w:pPr>
              <w:pStyle w:val="NoSpacing"/>
              <w:rPr>
                <w:rFonts w:asciiTheme="majorHAnsi" w:hAnsiTheme="majorHAnsi" w:cs="Calibri"/>
                <w:sz w:val="18"/>
                <w:szCs w:val="18"/>
              </w:rPr>
            </w:pPr>
          </w:p>
        </w:tc>
        <w:tc>
          <w:tcPr>
            <w:tcW w:w="332" w:type="pct"/>
          </w:tcPr>
          <w:p w14:paraId="040A598A" w14:textId="77777777" w:rsidR="00712014" w:rsidRPr="008D4276" w:rsidRDefault="00712014" w:rsidP="00712014">
            <w:pPr>
              <w:pStyle w:val="NoSpacing"/>
              <w:rPr>
                <w:rFonts w:asciiTheme="majorHAnsi" w:hAnsiTheme="majorHAnsi" w:cs="Calibri"/>
                <w:sz w:val="18"/>
                <w:szCs w:val="18"/>
              </w:rPr>
            </w:pPr>
          </w:p>
        </w:tc>
      </w:tr>
      <w:tr w:rsidR="0087069C" w:rsidRPr="001922B7" w14:paraId="29692B80" w14:textId="77777777" w:rsidTr="0087069C">
        <w:trPr>
          <w:trHeight w:val="410"/>
        </w:trPr>
        <w:tc>
          <w:tcPr>
            <w:tcW w:w="501" w:type="pct"/>
          </w:tcPr>
          <w:p w14:paraId="52F94C4C" w14:textId="47E82940" w:rsidR="00712014" w:rsidRPr="008D4276" w:rsidRDefault="00712014" w:rsidP="0087069C">
            <w:pPr>
              <w:pStyle w:val="NoSpacing"/>
              <w:rPr>
                <w:rFonts w:asciiTheme="majorHAnsi" w:hAnsiTheme="majorHAnsi" w:cs="Calibri"/>
                <w:sz w:val="18"/>
                <w:szCs w:val="18"/>
              </w:rPr>
            </w:pPr>
            <w:r w:rsidRPr="008D4276">
              <w:rPr>
                <w:rFonts w:asciiTheme="majorHAnsi" w:hAnsiTheme="majorHAnsi" w:cs="Calibri"/>
                <w:sz w:val="18"/>
                <w:szCs w:val="18"/>
              </w:rPr>
              <w:t>MCR† by</w:t>
            </w:r>
            <w:r w:rsidR="0087069C" w:rsidRPr="008D4276">
              <w:rPr>
                <w:rFonts w:asciiTheme="majorHAnsi" w:hAnsiTheme="majorHAnsi" w:cs="Calibri"/>
                <w:sz w:val="18"/>
                <w:szCs w:val="18"/>
              </w:rPr>
              <w:t xml:space="preserve"> </w:t>
            </w:r>
            <w:r w:rsidRPr="008D4276">
              <w:rPr>
                <w:rFonts w:asciiTheme="majorHAnsi" w:hAnsiTheme="majorHAnsi" w:cs="Calibri"/>
                <w:sz w:val="18"/>
                <w:szCs w:val="18"/>
              </w:rPr>
              <w:t>Week 52^</w:t>
            </w:r>
          </w:p>
        </w:tc>
        <w:tc>
          <w:tcPr>
            <w:tcW w:w="445" w:type="pct"/>
          </w:tcPr>
          <w:p w14:paraId="40F0DBC5" w14:textId="77777777" w:rsidR="00712014" w:rsidRPr="008D4276" w:rsidRDefault="00712014" w:rsidP="00712014">
            <w:pPr>
              <w:pStyle w:val="NoSpacing"/>
              <w:rPr>
                <w:rFonts w:asciiTheme="majorHAnsi" w:hAnsiTheme="majorHAnsi" w:cs="Calibri"/>
                <w:sz w:val="18"/>
                <w:szCs w:val="18"/>
              </w:rPr>
            </w:pPr>
          </w:p>
        </w:tc>
        <w:tc>
          <w:tcPr>
            <w:tcW w:w="369" w:type="pct"/>
          </w:tcPr>
          <w:p w14:paraId="732BFE70" w14:textId="77777777" w:rsidR="00712014" w:rsidRPr="008D4276" w:rsidRDefault="00712014" w:rsidP="00712014">
            <w:pPr>
              <w:pStyle w:val="NoSpacing"/>
              <w:rPr>
                <w:rFonts w:asciiTheme="majorHAnsi" w:hAnsiTheme="majorHAnsi" w:cs="Calibri"/>
                <w:sz w:val="18"/>
                <w:szCs w:val="18"/>
              </w:rPr>
            </w:pPr>
          </w:p>
        </w:tc>
        <w:tc>
          <w:tcPr>
            <w:tcW w:w="468" w:type="pct"/>
          </w:tcPr>
          <w:p w14:paraId="79CD01C6"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7%</w:t>
            </w:r>
          </w:p>
        </w:tc>
        <w:tc>
          <w:tcPr>
            <w:tcW w:w="437" w:type="pct"/>
          </w:tcPr>
          <w:p w14:paraId="48CA0922" w14:textId="77777777" w:rsidR="00712014" w:rsidRPr="008D4276" w:rsidRDefault="00712014" w:rsidP="00712014">
            <w:pPr>
              <w:pStyle w:val="NoSpacing"/>
              <w:rPr>
                <w:rFonts w:asciiTheme="majorHAnsi" w:hAnsiTheme="majorHAnsi" w:cs="Calibri"/>
                <w:sz w:val="18"/>
                <w:szCs w:val="18"/>
              </w:rPr>
            </w:pPr>
            <w:r w:rsidRPr="008D4276">
              <w:rPr>
                <w:rFonts w:asciiTheme="majorHAnsi" w:hAnsiTheme="majorHAnsi" w:cs="Calibri"/>
                <w:sz w:val="18"/>
                <w:szCs w:val="18"/>
              </w:rPr>
              <w:t>1%</w:t>
            </w:r>
          </w:p>
        </w:tc>
        <w:tc>
          <w:tcPr>
            <w:tcW w:w="451" w:type="pct"/>
          </w:tcPr>
          <w:p w14:paraId="09CD2F1A" w14:textId="77777777" w:rsidR="00712014" w:rsidRPr="008D4276" w:rsidRDefault="00712014" w:rsidP="00712014">
            <w:pPr>
              <w:pStyle w:val="NoSpacing"/>
              <w:rPr>
                <w:rFonts w:asciiTheme="majorHAnsi" w:hAnsiTheme="majorHAnsi" w:cs="Calibri"/>
                <w:sz w:val="18"/>
                <w:szCs w:val="18"/>
              </w:rPr>
            </w:pPr>
          </w:p>
        </w:tc>
        <w:tc>
          <w:tcPr>
            <w:tcW w:w="455" w:type="pct"/>
          </w:tcPr>
          <w:p w14:paraId="1F94B271" w14:textId="77777777" w:rsidR="00712014" w:rsidRPr="008D4276" w:rsidRDefault="00712014" w:rsidP="00712014">
            <w:pPr>
              <w:pStyle w:val="NoSpacing"/>
              <w:rPr>
                <w:rFonts w:asciiTheme="majorHAnsi" w:hAnsiTheme="majorHAnsi" w:cs="Calibri"/>
                <w:sz w:val="18"/>
                <w:szCs w:val="18"/>
              </w:rPr>
            </w:pPr>
          </w:p>
        </w:tc>
        <w:tc>
          <w:tcPr>
            <w:tcW w:w="484" w:type="pct"/>
          </w:tcPr>
          <w:p w14:paraId="268E6328" w14:textId="77777777" w:rsidR="00712014" w:rsidRPr="008D4276" w:rsidRDefault="00712014" w:rsidP="00712014">
            <w:pPr>
              <w:pStyle w:val="NoSpacing"/>
              <w:rPr>
                <w:rFonts w:asciiTheme="majorHAnsi" w:hAnsiTheme="majorHAnsi" w:cs="Calibri"/>
                <w:sz w:val="18"/>
                <w:szCs w:val="18"/>
              </w:rPr>
            </w:pPr>
          </w:p>
        </w:tc>
        <w:tc>
          <w:tcPr>
            <w:tcW w:w="484" w:type="pct"/>
          </w:tcPr>
          <w:p w14:paraId="3F7EC1A9" w14:textId="77777777" w:rsidR="00712014" w:rsidRPr="008D4276" w:rsidRDefault="00712014" w:rsidP="00712014">
            <w:pPr>
              <w:pStyle w:val="NoSpacing"/>
              <w:rPr>
                <w:rFonts w:asciiTheme="majorHAnsi" w:hAnsiTheme="majorHAnsi" w:cs="Calibri"/>
                <w:sz w:val="18"/>
                <w:szCs w:val="18"/>
              </w:rPr>
            </w:pPr>
          </w:p>
        </w:tc>
        <w:tc>
          <w:tcPr>
            <w:tcW w:w="574" w:type="pct"/>
            <w:gridSpan w:val="2"/>
          </w:tcPr>
          <w:p w14:paraId="7CD838D9" w14:textId="77777777" w:rsidR="00712014" w:rsidRPr="008D4276" w:rsidRDefault="00712014" w:rsidP="00712014">
            <w:pPr>
              <w:pStyle w:val="NoSpacing"/>
              <w:rPr>
                <w:rFonts w:asciiTheme="majorHAnsi" w:hAnsiTheme="majorHAnsi" w:cs="Calibri"/>
                <w:sz w:val="18"/>
                <w:szCs w:val="18"/>
              </w:rPr>
            </w:pPr>
          </w:p>
        </w:tc>
        <w:tc>
          <w:tcPr>
            <w:tcW w:w="332" w:type="pct"/>
          </w:tcPr>
          <w:p w14:paraId="0E09CF7A" w14:textId="77777777" w:rsidR="00712014" w:rsidRPr="008D4276" w:rsidRDefault="00712014" w:rsidP="00712014">
            <w:pPr>
              <w:pStyle w:val="NoSpacing"/>
              <w:rPr>
                <w:rFonts w:asciiTheme="majorHAnsi" w:hAnsiTheme="majorHAnsi" w:cs="Calibri"/>
                <w:sz w:val="18"/>
                <w:szCs w:val="18"/>
              </w:rPr>
            </w:pPr>
          </w:p>
        </w:tc>
      </w:tr>
    </w:tbl>
    <w:p w14:paraId="08D76F3E" w14:textId="3EC0ACA2" w:rsidR="00712014" w:rsidRPr="008D4276" w:rsidRDefault="00346827" w:rsidP="00712014">
      <w:pPr>
        <w:pStyle w:val="NoSpacing"/>
        <w:rPr>
          <w:rFonts w:asciiTheme="majorHAnsi" w:hAnsiTheme="majorHAnsi" w:cs="Calibri"/>
          <w:sz w:val="16"/>
          <w:szCs w:val="16"/>
        </w:rPr>
      </w:pPr>
      <w:r w:rsidRPr="008D4276">
        <w:rPr>
          <w:rFonts w:asciiTheme="majorHAnsi" w:hAnsiTheme="majorHAnsi" w:cs="Calibri"/>
          <w:b/>
          <w:sz w:val="18"/>
          <w:szCs w:val="18"/>
        </w:rPr>
        <w:t>TOC</w:t>
      </w:r>
      <w:r w:rsidR="00712014" w:rsidRPr="008D4276">
        <w:rPr>
          <w:rFonts w:asciiTheme="majorHAnsi" w:hAnsiTheme="majorHAnsi" w:cs="Calibri"/>
          <w:sz w:val="16"/>
          <w:szCs w:val="16"/>
        </w:rPr>
        <w:t xml:space="preserve"> = </w:t>
      </w:r>
      <w:r w:rsidR="007C49C8" w:rsidRPr="008D4276">
        <w:rPr>
          <w:rFonts w:asciiTheme="majorHAnsi" w:hAnsiTheme="majorHAnsi" w:cs="Calibri"/>
          <w:sz w:val="16"/>
          <w:szCs w:val="16"/>
        </w:rPr>
        <w:t>tocilizumab</w:t>
      </w:r>
    </w:p>
    <w:p w14:paraId="4BD341DD" w14:textId="00ABA8E8" w:rsidR="00712014" w:rsidRPr="008D4276" w:rsidRDefault="00712014" w:rsidP="00712014">
      <w:pPr>
        <w:pStyle w:val="NoSpacing"/>
        <w:rPr>
          <w:rFonts w:asciiTheme="majorHAnsi" w:hAnsiTheme="majorHAnsi" w:cs="Calibri"/>
          <w:sz w:val="16"/>
          <w:szCs w:val="16"/>
        </w:rPr>
      </w:pPr>
      <w:r w:rsidRPr="008D4276">
        <w:rPr>
          <w:rFonts w:asciiTheme="majorHAnsi" w:hAnsiTheme="majorHAnsi" w:cs="Calibri"/>
          <w:b/>
          <w:bCs/>
          <w:sz w:val="16"/>
          <w:szCs w:val="16"/>
        </w:rPr>
        <w:t>*</w:t>
      </w:r>
      <w:r w:rsidRPr="008D4276">
        <w:rPr>
          <w:rFonts w:asciiTheme="majorHAnsi" w:hAnsiTheme="majorHAnsi" w:cs="Calibri"/>
          <w:sz w:val="16"/>
          <w:szCs w:val="16"/>
        </w:rPr>
        <w:t xml:space="preserve">p &lt; 0.05, </w:t>
      </w:r>
      <w:r w:rsidR="007C49C8" w:rsidRPr="008D4276">
        <w:rPr>
          <w:rFonts w:asciiTheme="majorHAnsi" w:hAnsiTheme="majorHAnsi" w:cs="Calibri"/>
          <w:sz w:val="16"/>
          <w:szCs w:val="16"/>
        </w:rPr>
        <w:t>tocilizumab</w:t>
      </w:r>
      <w:r w:rsidRPr="008D4276">
        <w:rPr>
          <w:rFonts w:asciiTheme="majorHAnsi" w:hAnsiTheme="majorHAnsi" w:cs="Calibri"/>
          <w:sz w:val="16"/>
          <w:szCs w:val="16"/>
        </w:rPr>
        <w:t xml:space="preserve"> vs. placebo + MTX/DMARD</w:t>
      </w:r>
    </w:p>
    <w:p w14:paraId="029298CD" w14:textId="547B8EE4" w:rsidR="00712014" w:rsidRPr="008D4276" w:rsidRDefault="00712014" w:rsidP="00712014">
      <w:pPr>
        <w:pStyle w:val="NoSpacing"/>
        <w:rPr>
          <w:rFonts w:asciiTheme="majorHAnsi" w:hAnsiTheme="majorHAnsi" w:cs="Calibri"/>
          <w:sz w:val="16"/>
          <w:szCs w:val="16"/>
        </w:rPr>
      </w:pPr>
      <w:r w:rsidRPr="008D4276">
        <w:rPr>
          <w:rFonts w:asciiTheme="majorHAnsi" w:hAnsiTheme="majorHAnsi" w:cs="Calibri"/>
          <w:b/>
          <w:bCs/>
          <w:sz w:val="16"/>
          <w:szCs w:val="16"/>
        </w:rPr>
        <w:t>**</w:t>
      </w:r>
      <w:r w:rsidRPr="008D4276">
        <w:rPr>
          <w:rFonts w:asciiTheme="majorHAnsi" w:hAnsiTheme="majorHAnsi" w:cs="Calibri"/>
          <w:sz w:val="16"/>
          <w:szCs w:val="16"/>
        </w:rPr>
        <w:t xml:space="preserve"> p &lt; 0.01, </w:t>
      </w:r>
      <w:r w:rsidR="007C49C8" w:rsidRPr="008D4276">
        <w:rPr>
          <w:rFonts w:asciiTheme="majorHAnsi" w:hAnsiTheme="majorHAnsi" w:cs="Calibri"/>
          <w:sz w:val="16"/>
          <w:szCs w:val="16"/>
        </w:rPr>
        <w:t>tocilizumab</w:t>
      </w:r>
      <w:r w:rsidRPr="008D4276">
        <w:rPr>
          <w:rFonts w:asciiTheme="majorHAnsi" w:hAnsiTheme="majorHAnsi" w:cs="Calibri"/>
          <w:sz w:val="16"/>
          <w:szCs w:val="16"/>
        </w:rPr>
        <w:t xml:space="preserve"> vs. placebo + MTX/DMARD</w:t>
      </w:r>
    </w:p>
    <w:p w14:paraId="4CFC97F6" w14:textId="2325AD07" w:rsidR="00712014" w:rsidRPr="008D4276" w:rsidRDefault="00712014" w:rsidP="00712014">
      <w:pPr>
        <w:pStyle w:val="NoSpacing"/>
        <w:rPr>
          <w:rFonts w:asciiTheme="majorHAnsi" w:hAnsiTheme="majorHAnsi" w:cs="Calibri"/>
          <w:sz w:val="16"/>
          <w:szCs w:val="16"/>
        </w:rPr>
      </w:pPr>
      <w:r w:rsidRPr="008D4276">
        <w:rPr>
          <w:rFonts w:asciiTheme="majorHAnsi" w:hAnsiTheme="majorHAnsi" w:cs="Calibri"/>
          <w:b/>
          <w:bCs/>
          <w:sz w:val="16"/>
          <w:szCs w:val="16"/>
        </w:rPr>
        <w:t>***</w:t>
      </w:r>
      <w:r w:rsidRPr="008D4276">
        <w:rPr>
          <w:rFonts w:asciiTheme="majorHAnsi" w:hAnsiTheme="majorHAnsi" w:cs="Calibri"/>
          <w:sz w:val="16"/>
          <w:szCs w:val="16"/>
        </w:rPr>
        <w:t xml:space="preserve"> p &lt; 0.0001,</w:t>
      </w:r>
      <w:r w:rsidR="007C49C8" w:rsidRPr="008D4276">
        <w:rPr>
          <w:rFonts w:asciiTheme="majorHAnsi" w:hAnsiTheme="majorHAnsi" w:cs="Calibri"/>
          <w:sz w:val="16"/>
          <w:szCs w:val="16"/>
        </w:rPr>
        <w:t xml:space="preserve"> tocilizumab</w:t>
      </w:r>
      <w:r w:rsidRPr="008D4276">
        <w:rPr>
          <w:rFonts w:asciiTheme="majorHAnsi" w:hAnsiTheme="majorHAnsi" w:cs="Calibri"/>
          <w:sz w:val="16"/>
          <w:szCs w:val="16"/>
        </w:rPr>
        <w:t xml:space="preserve"> vs. placebo + MTX/DMARD</w:t>
      </w:r>
    </w:p>
    <w:p w14:paraId="115E87A6" w14:textId="77777777" w:rsidR="00712014" w:rsidRPr="008D4276" w:rsidRDefault="00712014" w:rsidP="00712014">
      <w:pPr>
        <w:pStyle w:val="NoSpacing"/>
        <w:rPr>
          <w:rFonts w:asciiTheme="majorHAnsi" w:hAnsiTheme="majorHAnsi" w:cs="Calibri"/>
          <w:sz w:val="16"/>
          <w:szCs w:val="16"/>
        </w:rPr>
      </w:pPr>
      <w:r w:rsidRPr="008D4276">
        <w:rPr>
          <w:rFonts w:asciiTheme="majorHAnsi" w:hAnsiTheme="majorHAnsi" w:cs="Calibri"/>
          <w:b/>
          <w:bCs/>
          <w:sz w:val="16"/>
          <w:szCs w:val="16"/>
        </w:rPr>
        <w:t>†</w:t>
      </w:r>
      <w:r w:rsidRPr="008D4276">
        <w:rPr>
          <w:rFonts w:asciiTheme="majorHAnsi" w:hAnsiTheme="majorHAnsi" w:cs="Calibri"/>
          <w:sz w:val="16"/>
          <w:szCs w:val="16"/>
        </w:rPr>
        <w:t xml:space="preserve"> MCR = major clinical response, defined as an ACR70 response maintained for any 24 consecutive weeks or more. Note: the comparison for MCR occurred after the break in the hierarchical ordered testing sequence, so no significance claims can be made. Secondary efficacy endpoints were tested in a fixed sequence approach in order to control for the rate of false positive conclusions.</w:t>
      </w:r>
    </w:p>
    <w:p w14:paraId="27224AE8" w14:textId="72869629" w:rsidR="00712014" w:rsidRPr="008D4276" w:rsidRDefault="00712014" w:rsidP="00712014">
      <w:pPr>
        <w:pStyle w:val="NoSpacing"/>
        <w:rPr>
          <w:rFonts w:asciiTheme="majorHAnsi" w:hAnsiTheme="majorHAnsi" w:cs="Calibri"/>
          <w:sz w:val="16"/>
          <w:szCs w:val="16"/>
        </w:rPr>
      </w:pPr>
      <w:r w:rsidRPr="008D4276">
        <w:rPr>
          <w:rFonts w:asciiTheme="majorHAnsi" w:hAnsiTheme="majorHAnsi" w:cs="Calibri"/>
          <w:b/>
          <w:bCs/>
          <w:sz w:val="16"/>
          <w:szCs w:val="16"/>
        </w:rPr>
        <w:t>^</w:t>
      </w:r>
      <w:r w:rsidRPr="008D4276">
        <w:rPr>
          <w:rFonts w:asciiTheme="majorHAnsi" w:hAnsiTheme="majorHAnsi" w:cs="Calibri"/>
          <w:sz w:val="16"/>
          <w:szCs w:val="16"/>
        </w:rPr>
        <w:t xml:space="preserve"> - based on a protocol-specified interim analysis</w:t>
      </w:r>
    </w:p>
    <w:p w14:paraId="2DA297E8" w14:textId="77777777" w:rsidR="00712014" w:rsidRPr="008D4276" w:rsidRDefault="00712014" w:rsidP="004D6592">
      <w:pPr>
        <w:rPr>
          <w:rFonts w:asciiTheme="majorHAnsi" w:hAnsiTheme="majorHAnsi"/>
        </w:rPr>
      </w:pPr>
    </w:p>
    <w:p w14:paraId="73FFE4A4" w14:textId="3E43C2AF" w:rsidR="0089656D" w:rsidRPr="008D4276" w:rsidRDefault="0089656D" w:rsidP="004D6592">
      <w:pPr>
        <w:rPr>
          <w:rFonts w:asciiTheme="majorHAnsi" w:hAnsiTheme="majorHAnsi" w:cstheme="minorHAnsi"/>
        </w:rPr>
      </w:pPr>
      <w:r w:rsidRPr="008D4276">
        <w:rPr>
          <w:rFonts w:asciiTheme="majorHAnsi" w:hAnsiTheme="majorHAnsi" w:cstheme="minorHAnsi"/>
        </w:rPr>
        <w:t xml:space="preserve">In studies I to V, 8 mg/kg </w:t>
      </w:r>
      <w:bookmarkStart w:id="57" w:name="_Hlk159401852"/>
      <w:r w:rsidR="007C49C8" w:rsidRPr="008D4276">
        <w:rPr>
          <w:rFonts w:asciiTheme="majorHAnsi" w:hAnsiTheme="majorHAnsi" w:cstheme="minorHAnsi"/>
        </w:rPr>
        <w:t>tocilizumab</w:t>
      </w:r>
      <w:bookmarkEnd w:id="57"/>
      <w:r w:rsidRPr="008D4276">
        <w:rPr>
          <w:rFonts w:asciiTheme="majorHAnsi" w:hAnsiTheme="majorHAnsi" w:cstheme="minorHAnsi"/>
        </w:rPr>
        <w:t>-treated patients had statistically significant higher ACR20, 50, 70 response rates at 6 months compared to placebo. The treatment effect was similar in patients independent of rheumatoid factor status, age, gender, race, number of prior treatments or disease status. Time to onset was rapid (as early as week 2) and the magnitude of response continued to improve with duration of treatment. Continued durable responses were seen for over 3 years in the ongoing open label extension studies of studies I -V.</w:t>
      </w:r>
    </w:p>
    <w:p w14:paraId="7162306F" w14:textId="7124DFE8" w:rsidR="0089656D" w:rsidRPr="008D4276" w:rsidRDefault="0089656D" w:rsidP="004D6592">
      <w:pPr>
        <w:rPr>
          <w:rFonts w:asciiTheme="majorHAnsi" w:hAnsiTheme="majorHAnsi" w:cstheme="minorHAnsi"/>
        </w:rPr>
      </w:pPr>
      <w:r w:rsidRPr="008D4276">
        <w:rPr>
          <w:rFonts w:asciiTheme="majorHAnsi" w:hAnsiTheme="majorHAnsi" w:cstheme="minorHAnsi"/>
        </w:rPr>
        <w:t xml:space="preserve">In the 8 mg/kg </w:t>
      </w:r>
      <w:r w:rsidR="007C49C8" w:rsidRPr="008D4276">
        <w:rPr>
          <w:rFonts w:asciiTheme="majorHAnsi" w:hAnsiTheme="majorHAnsi" w:cstheme="minorHAnsi"/>
        </w:rPr>
        <w:t>tocilizumab</w:t>
      </w:r>
      <w:r w:rsidRPr="008D4276">
        <w:rPr>
          <w:rFonts w:asciiTheme="majorHAnsi" w:hAnsiTheme="majorHAnsi" w:cstheme="minorHAnsi"/>
        </w:rPr>
        <w:t xml:space="preserve">-treated patients significant improvements were noted on all individual components of the ACR response: tender and swollen joint counts; pain assessment and CRP normalisation; disability index scores; patients and physician global assessment, compared to patients receiving placebo + MTX/DMARDS in all studies. </w:t>
      </w:r>
      <w:r w:rsidR="007C49C8" w:rsidRPr="008D4276">
        <w:rPr>
          <w:rFonts w:asciiTheme="majorHAnsi" w:hAnsiTheme="majorHAnsi" w:cstheme="minorHAnsi"/>
        </w:rPr>
        <w:t>Tocilizumab</w:t>
      </w:r>
      <w:r w:rsidRPr="008D4276">
        <w:rPr>
          <w:rFonts w:asciiTheme="majorHAnsi" w:hAnsiTheme="majorHAnsi" w:cstheme="minorHAnsi"/>
        </w:rPr>
        <w:t xml:space="preserve"> 8 mg/kg treated patients had a statistically significant greater reduction in disease activity score (DAS28) than patients treated with placebo + DMARD. The rate of remission (defined as DAS &lt; 2.6) for patients treated with </w:t>
      </w:r>
      <w:r w:rsidR="007C49C8" w:rsidRPr="008D4276">
        <w:rPr>
          <w:rFonts w:asciiTheme="majorHAnsi" w:hAnsiTheme="majorHAnsi" w:cstheme="minorHAnsi"/>
        </w:rPr>
        <w:t>tocilizumab</w:t>
      </w:r>
      <w:r w:rsidRPr="008D4276">
        <w:rPr>
          <w:rFonts w:asciiTheme="majorHAnsi" w:hAnsiTheme="majorHAnsi" w:cstheme="minorHAnsi"/>
        </w:rPr>
        <w:t xml:space="preserve"> ranged from 27.5% to 33.6%. </w:t>
      </w:r>
      <w:r w:rsidR="007C49C8" w:rsidRPr="008D4276">
        <w:rPr>
          <w:rFonts w:asciiTheme="majorHAnsi" w:hAnsiTheme="majorHAnsi" w:cstheme="minorHAnsi"/>
        </w:rPr>
        <w:t>Tocilizumab</w:t>
      </w:r>
      <w:r w:rsidRPr="008D4276">
        <w:rPr>
          <w:rFonts w:asciiTheme="majorHAnsi" w:hAnsiTheme="majorHAnsi" w:cstheme="minorHAnsi"/>
        </w:rPr>
        <w:t xml:space="preserve"> treated patients had a statistically significant greater rate of remission than patients treated with placebo + DMARD. A good to moderate EULAR response was achieved by significantly more </w:t>
      </w:r>
      <w:r w:rsidR="007C49C8" w:rsidRPr="008D4276">
        <w:rPr>
          <w:rFonts w:asciiTheme="majorHAnsi" w:hAnsiTheme="majorHAnsi" w:cstheme="minorHAnsi"/>
        </w:rPr>
        <w:t>tocilizumab</w:t>
      </w:r>
      <w:r w:rsidRPr="008D4276">
        <w:rPr>
          <w:rFonts w:asciiTheme="majorHAnsi" w:hAnsiTheme="majorHAnsi" w:cstheme="minorHAnsi"/>
        </w:rPr>
        <w:t xml:space="preserve"> treated patients compared to patients treated with placebo + DMARD (</w:t>
      </w:r>
      <w:r w:rsidR="00B36DBA" w:rsidRPr="008D4276">
        <w:rPr>
          <w:rFonts w:asciiTheme="majorHAnsi" w:hAnsiTheme="majorHAnsi"/>
        </w:rPr>
        <w:fldChar w:fldCharType="begin"/>
      </w:r>
      <w:r w:rsidR="00B36DBA" w:rsidRPr="008D4276">
        <w:rPr>
          <w:rFonts w:asciiTheme="majorHAnsi" w:hAnsiTheme="majorHAnsi"/>
        </w:rPr>
        <w:instrText xml:space="preserve"> REF _Ref178871908 \h  \* MERGEFORMAT </w:instrText>
      </w:r>
      <w:r w:rsidR="00B36DBA" w:rsidRPr="008D4276">
        <w:rPr>
          <w:rFonts w:asciiTheme="majorHAnsi" w:hAnsiTheme="majorHAnsi"/>
        </w:rPr>
      </w:r>
      <w:r w:rsidR="00B36DBA" w:rsidRPr="008D4276">
        <w:rPr>
          <w:rFonts w:asciiTheme="majorHAnsi" w:hAnsiTheme="majorHAnsi"/>
        </w:rPr>
        <w:fldChar w:fldCharType="separate"/>
      </w:r>
      <w:r w:rsidR="004C310F" w:rsidRPr="004C310F">
        <w:rPr>
          <w:rFonts w:asciiTheme="majorHAnsi" w:hAnsiTheme="majorHAnsi"/>
        </w:rPr>
        <w:t>Table 6</w:t>
      </w:r>
      <w:r w:rsidR="00B36DBA" w:rsidRPr="008D4276">
        <w:rPr>
          <w:rFonts w:asciiTheme="majorHAnsi" w:hAnsiTheme="majorHAnsi"/>
        </w:rPr>
        <w:fldChar w:fldCharType="end"/>
      </w:r>
      <w:r w:rsidRPr="008D4276">
        <w:rPr>
          <w:rFonts w:asciiTheme="majorHAnsi" w:hAnsiTheme="majorHAnsi" w:cstheme="minorHAnsi"/>
        </w:rPr>
        <w:t>).</w:t>
      </w:r>
    </w:p>
    <w:p w14:paraId="6F2D8BAF" w14:textId="14FB73AA" w:rsidR="0089656D" w:rsidRPr="008D4276" w:rsidRDefault="0089656D" w:rsidP="00B71E20">
      <w:pPr>
        <w:pStyle w:val="Caption"/>
        <w:rPr>
          <w:rFonts w:asciiTheme="majorHAnsi" w:hAnsiTheme="majorHAnsi" w:cs="Calibri"/>
        </w:rPr>
      </w:pPr>
      <w:bookmarkStart w:id="58" w:name="_Ref178871908"/>
      <w:r w:rsidRPr="008D4276">
        <w:rPr>
          <w:rFonts w:asciiTheme="majorHAnsi" w:hAnsiTheme="majorHAnsi" w:cs="Calibri"/>
        </w:rPr>
        <w:lastRenderedPageBreak/>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6</w:t>
      </w:r>
      <w:r w:rsidR="0006243F" w:rsidRPr="008D4276">
        <w:rPr>
          <w:rFonts w:asciiTheme="majorHAnsi" w:hAnsiTheme="majorHAnsi" w:cs="Calibri"/>
        </w:rPr>
        <w:fldChar w:fldCharType="end"/>
      </w:r>
      <w:bookmarkEnd w:id="58"/>
      <w:r w:rsidRPr="008D4276">
        <w:rPr>
          <w:rFonts w:asciiTheme="majorHAnsi" w:hAnsiTheme="majorHAnsi" w:cs="Calibri"/>
        </w:rPr>
        <w:t xml:space="preserve"> Cross-Study Comparison of DAS and EULAR Responses at Week 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0"/>
        <w:gridCol w:w="801"/>
        <w:gridCol w:w="732"/>
        <w:gridCol w:w="817"/>
        <w:gridCol w:w="785"/>
        <w:gridCol w:w="850"/>
        <w:gridCol w:w="785"/>
        <w:gridCol w:w="850"/>
        <w:gridCol w:w="70"/>
        <w:gridCol w:w="704"/>
        <w:gridCol w:w="105"/>
        <w:gridCol w:w="698"/>
        <w:gridCol w:w="943"/>
      </w:tblGrid>
      <w:tr w:rsidR="00B71E20" w:rsidRPr="001922B7" w14:paraId="1D38520F" w14:textId="77777777" w:rsidTr="00B71E20">
        <w:trPr>
          <w:trHeight w:val="919"/>
        </w:trPr>
        <w:tc>
          <w:tcPr>
            <w:tcW w:w="488" w:type="pct"/>
          </w:tcPr>
          <w:p w14:paraId="0F8FC30E" w14:textId="77777777" w:rsidR="00B71E20" w:rsidRPr="008D4276" w:rsidRDefault="00B71E20" w:rsidP="00B71E20">
            <w:pPr>
              <w:pStyle w:val="NoSpacing"/>
              <w:rPr>
                <w:rFonts w:asciiTheme="majorHAnsi" w:hAnsiTheme="majorHAnsi" w:cs="Calibri"/>
                <w:sz w:val="18"/>
                <w:szCs w:val="18"/>
              </w:rPr>
            </w:pPr>
          </w:p>
        </w:tc>
        <w:tc>
          <w:tcPr>
            <w:tcW w:w="850" w:type="pct"/>
            <w:gridSpan w:val="2"/>
          </w:tcPr>
          <w:p w14:paraId="193AB2B3"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Study I MTX Naïve</w:t>
            </w:r>
          </w:p>
        </w:tc>
        <w:tc>
          <w:tcPr>
            <w:tcW w:w="888" w:type="pct"/>
            <w:gridSpan w:val="2"/>
          </w:tcPr>
          <w:p w14:paraId="7BE642DB"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Study II Inadequate Response to MTX</w:t>
            </w:r>
          </w:p>
        </w:tc>
        <w:tc>
          <w:tcPr>
            <w:tcW w:w="906" w:type="pct"/>
            <w:gridSpan w:val="2"/>
          </w:tcPr>
          <w:p w14:paraId="4B9FD6DA"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Study III Inadequate Response to MTX</w:t>
            </w:r>
          </w:p>
        </w:tc>
        <w:tc>
          <w:tcPr>
            <w:tcW w:w="957" w:type="pct"/>
            <w:gridSpan w:val="4"/>
          </w:tcPr>
          <w:p w14:paraId="4E023672"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Study IV Inadequate Response to</w:t>
            </w:r>
          </w:p>
          <w:p w14:paraId="45EF97AB"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DMARD</w:t>
            </w:r>
          </w:p>
        </w:tc>
        <w:tc>
          <w:tcPr>
            <w:tcW w:w="912" w:type="pct"/>
            <w:gridSpan w:val="2"/>
          </w:tcPr>
          <w:p w14:paraId="139A5650"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Study V Inadequate Response to anti-</w:t>
            </w:r>
          </w:p>
          <w:p w14:paraId="22EDF0B7"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TNF Agent</w:t>
            </w:r>
          </w:p>
        </w:tc>
      </w:tr>
      <w:tr w:rsidR="00B71E20" w:rsidRPr="001922B7" w14:paraId="5C667795" w14:textId="77777777" w:rsidTr="00B71E20">
        <w:trPr>
          <w:trHeight w:val="1379"/>
        </w:trPr>
        <w:tc>
          <w:tcPr>
            <w:tcW w:w="488" w:type="pct"/>
          </w:tcPr>
          <w:p w14:paraId="14B0B80F" w14:textId="77777777" w:rsidR="00B71E20" w:rsidRPr="008D4276" w:rsidRDefault="00B71E20" w:rsidP="00B71E20">
            <w:pPr>
              <w:pStyle w:val="NoSpacing"/>
              <w:rPr>
                <w:rFonts w:asciiTheme="majorHAnsi" w:hAnsiTheme="majorHAnsi" w:cs="Calibri"/>
                <w:sz w:val="18"/>
                <w:szCs w:val="18"/>
              </w:rPr>
            </w:pPr>
          </w:p>
        </w:tc>
        <w:tc>
          <w:tcPr>
            <w:tcW w:w="444" w:type="pct"/>
          </w:tcPr>
          <w:p w14:paraId="5A91CA2D" w14:textId="714863FD" w:rsidR="00B71E20" w:rsidRPr="008D4276" w:rsidRDefault="00346827" w:rsidP="00B71E20">
            <w:pPr>
              <w:pStyle w:val="NoSpacing"/>
              <w:rPr>
                <w:rFonts w:asciiTheme="majorHAnsi" w:hAnsiTheme="majorHAnsi" w:cs="Calibri"/>
                <w:b/>
                <w:sz w:val="18"/>
                <w:szCs w:val="18"/>
              </w:rPr>
            </w:pPr>
            <w:r w:rsidRPr="008D4276">
              <w:rPr>
                <w:rFonts w:asciiTheme="majorHAnsi" w:hAnsiTheme="majorHAnsi" w:cs="Calibri"/>
                <w:b/>
                <w:sz w:val="18"/>
                <w:szCs w:val="18"/>
              </w:rPr>
              <w:t>TOC</w:t>
            </w:r>
          </w:p>
          <w:p w14:paraId="2605F911" w14:textId="77777777" w:rsidR="00B71E20" w:rsidRPr="008D4276" w:rsidRDefault="00B71E20" w:rsidP="00B71E20">
            <w:pPr>
              <w:pStyle w:val="NoSpacing"/>
              <w:rPr>
                <w:rFonts w:asciiTheme="majorHAnsi" w:hAnsiTheme="majorHAnsi" w:cs="Calibri"/>
                <w:b/>
                <w:sz w:val="18"/>
                <w:szCs w:val="18"/>
              </w:rPr>
            </w:pPr>
          </w:p>
          <w:p w14:paraId="4E30B70C"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8 mg/kg</w:t>
            </w:r>
          </w:p>
          <w:p w14:paraId="3DEB3834" w14:textId="77777777" w:rsidR="00B71E20" w:rsidRPr="008D4276" w:rsidRDefault="00B71E20" w:rsidP="00B71E20">
            <w:pPr>
              <w:pStyle w:val="NoSpacing"/>
              <w:rPr>
                <w:rFonts w:asciiTheme="majorHAnsi" w:hAnsiTheme="majorHAnsi" w:cs="Calibri"/>
                <w:b/>
                <w:sz w:val="18"/>
                <w:szCs w:val="18"/>
              </w:rPr>
            </w:pPr>
          </w:p>
          <w:p w14:paraId="03D7EB80"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n=286</w:t>
            </w:r>
          </w:p>
        </w:tc>
        <w:tc>
          <w:tcPr>
            <w:tcW w:w="406" w:type="pct"/>
          </w:tcPr>
          <w:p w14:paraId="0D72415B"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MTX</w:t>
            </w:r>
          </w:p>
          <w:p w14:paraId="7341E7D8" w14:textId="77777777" w:rsidR="00B71E20" w:rsidRPr="008D4276" w:rsidRDefault="00B71E20" w:rsidP="00B71E20">
            <w:pPr>
              <w:pStyle w:val="NoSpacing"/>
              <w:rPr>
                <w:rFonts w:asciiTheme="majorHAnsi" w:hAnsiTheme="majorHAnsi" w:cs="Calibri"/>
                <w:b/>
                <w:sz w:val="18"/>
                <w:szCs w:val="18"/>
              </w:rPr>
            </w:pPr>
          </w:p>
          <w:p w14:paraId="4268349E" w14:textId="77777777" w:rsidR="00B71E20" w:rsidRPr="008D4276" w:rsidRDefault="00B71E20" w:rsidP="00B71E20">
            <w:pPr>
              <w:pStyle w:val="NoSpacing"/>
              <w:rPr>
                <w:rFonts w:asciiTheme="majorHAnsi" w:hAnsiTheme="majorHAnsi" w:cs="Calibri"/>
                <w:b/>
                <w:sz w:val="18"/>
                <w:szCs w:val="18"/>
              </w:rPr>
            </w:pPr>
          </w:p>
          <w:p w14:paraId="32B761A6" w14:textId="77777777" w:rsidR="00B71E20" w:rsidRPr="008D4276" w:rsidRDefault="00B71E20" w:rsidP="00B71E20">
            <w:pPr>
              <w:pStyle w:val="NoSpacing"/>
              <w:rPr>
                <w:rFonts w:asciiTheme="majorHAnsi" w:hAnsiTheme="majorHAnsi" w:cs="Calibri"/>
                <w:b/>
                <w:sz w:val="18"/>
                <w:szCs w:val="18"/>
              </w:rPr>
            </w:pPr>
          </w:p>
          <w:p w14:paraId="4029E563"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n=284</w:t>
            </w:r>
          </w:p>
        </w:tc>
        <w:tc>
          <w:tcPr>
            <w:tcW w:w="453" w:type="pct"/>
          </w:tcPr>
          <w:p w14:paraId="2251D6C4" w14:textId="0130E6A9" w:rsidR="00B71E20" w:rsidRPr="008D4276" w:rsidRDefault="00346827" w:rsidP="00B71E20">
            <w:pPr>
              <w:pStyle w:val="NoSpacing"/>
              <w:rPr>
                <w:rFonts w:asciiTheme="majorHAnsi" w:hAnsiTheme="majorHAnsi" w:cs="Calibri"/>
                <w:b/>
                <w:sz w:val="18"/>
                <w:szCs w:val="18"/>
              </w:rPr>
            </w:pPr>
            <w:r w:rsidRPr="008D4276">
              <w:rPr>
                <w:rFonts w:asciiTheme="majorHAnsi" w:hAnsiTheme="majorHAnsi" w:cs="Calibri"/>
                <w:b/>
                <w:sz w:val="18"/>
                <w:szCs w:val="18"/>
              </w:rPr>
              <w:t>TOC</w:t>
            </w:r>
          </w:p>
          <w:p w14:paraId="38A8E1D7"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8 mg/k g</w:t>
            </w:r>
          </w:p>
          <w:p w14:paraId="41ECB744"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+MTX</w:t>
            </w:r>
          </w:p>
          <w:p w14:paraId="313F9474"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n=398</w:t>
            </w:r>
          </w:p>
        </w:tc>
        <w:tc>
          <w:tcPr>
            <w:tcW w:w="435" w:type="pct"/>
          </w:tcPr>
          <w:p w14:paraId="6F2EFD6E" w14:textId="4C0D9DB6"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Placebo + MTX</w:t>
            </w:r>
          </w:p>
          <w:p w14:paraId="78BD5640" w14:textId="77777777" w:rsidR="00B71E20" w:rsidRPr="008D4276" w:rsidRDefault="00B71E20" w:rsidP="00B71E20">
            <w:pPr>
              <w:pStyle w:val="NoSpacing"/>
              <w:rPr>
                <w:rFonts w:asciiTheme="majorHAnsi" w:hAnsiTheme="majorHAnsi" w:cs="Calibri"/>
                <w:b/>
                <w:sz w:val="18"/>
                <w:szCs w:val="18"/>
              </w:rPr>
            </w:pPr>
          </w:p>
          <w:p w14:paraId="12A2C7AB"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n=393</w:t>
            </w:r>
          </w:p>
        </w:tc>
        <w:tc>
          <w:tcPr>
            <w:tcW w:w="471" w:type="pct"/>
          </w:tcPr>
          <w:p w14:paraId="09D2ACB0" w14:textId="4168316D" w:rsidR="00B71E20" w:rsidRPr="008D4276" w:rsidRDefault="00346827" w:rsidP="00B71E20">
            <w:pPr>
              <w:pStyle w:val="NoSpacing"/>
              <w:rPr>
                <w:rFonts w:asciiTheme="majorHAnsi" w:hAnsiTheme="majorHAnsi" w:cs="Calibri"/>
                <w:b/>
                <w:sz w:val="18"/>
                <w:szCs w:val="18"/>
              </w:rPr>
            </w:pPr>
            <w:r w:rsidRPr="008D4276">
              <w:rPr>
                <w:rFonts w:asciiTheme="majorHAnsi" w:hAnsiTheme="majorHAnsi" w:cs="Calibri"/>
                <w:b/>
                <w:sz w:val="18"/>
                <w:szCs w:val="18"/>
              </w:rPr>
              <w:t>TOC</w:t>
            </w:r>
            <w:r w:rsidR="00B71E20" w:rsidRPr="008D4276">
              <w:rPr>
                <w:rFonts w:asciiTheme="majorHAnsi" w:hAnsiTheme="majorHAnsi" w:cs="Calibri"/>
                <w:b/>
                <w:sz w:val="18"/>
                <w:szCs w:val="18"/>
              </w:rPr>
              <w:t>T</w:t>
            </w:r>
          </w:p>
          <w:p w14:paraId="72378CF0"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8 mg/kg</w:t>
            </w:r>
          </w:p>
          <w:p w14:paraId="5826CB72"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+MTX</w:t>
            </w:r>
          </w:p>
          <w:p w14:paraId="6357C2C8" w14:textId="77777777" w:rsidR="00B71E20" w:rsidRPr="008D4276" w:rsidRDefault="00B71E20" w:rsidP="00B71E20">
            <w:pPr>
              <w:pStyle w:val="NoSpacing"/>
              <w:rPr>
                <w:rFonts w:asciiTheme="majorHAnsi" w:hAnsiTheme="majorHAnsi" w:cs="Calibri"/>
                <w:b/>
                <w:sz w:val="18"/>
                <w:szCs w:val="18"/>
              </w:rPr>
            </w:pPr>
          </w:p>
          <w:p w14:paraId="38D861DA"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n=205</w:t>
            </w:r>
          </w:p>
        </w:tc>
        <w:tc>
          <w:tcPr>
            <w:tcW w:w="435" w:type="pct"/>
          </w:tcPr>
          <w:p w14:paraId="602EB0F3" w14:textId="553CED86"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Placebo + MTX</w:t>
            </w:r>
          </w:p>
          <w:p w14:paraId="7A47426D" w14:textId="77777777" w:rsidR="00B71E20" w:rsidRPr="008D4276" w:rsidRDefault="00B71E20" w:rsidP="00B71E20">
            <w:pPr>
              <w:pStyle w:val="NoSpacing"/>
              <w:rPr>
                <w:rFonts w:asciiTheme="majorHAnsi" w:hAnsiTheme="majorHAnsi" w:cs="Calibri"/>
                <w:b/>
                <w:sz w:val="18"/>
                <w:szCs w:val="18"/>
              </w:rPr>
            </w:pPr>
          </w:p>
          <w:p w14:paraId="1ACC3BDF"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n=204</w:t>
            </w:r>
          </w:p>
        </w:tc>
        <w:tc>
          <w:tcPr>
            <w:tcW w:w="510" w:type="pct"/>
            <w:gridSpan w:val="2"/>
          </w:tcPr>
          <w:p w14:paraId="28219F9F" w14:textId="1D712019" w:rsidR="00B71E20" w:rsidRPr="008D4276" w:rsidRDefault="00346827" w:rsidP="00B71E20">
            <w:pPr>
              <w:pStyle w:val="NoSpacing"/>
              <w:rPr>
                <w:rFonts w:asciiTheme="majorHAnsi" w:hAnsiTheme="majorHAnsi" w:cs="Calibri"/>
                <w:b/>
                <w:sz w:val="18"/>
                <w:szCs w:val="18"/>
              </w:rPr>
            </w:pPr>
            <w:r w:rsidRPr="008D4276">
              <w:rPr>
                <w:rFonts w:asciiTheme="majorHAnsi" w:hAnsiTheme="majorHAnsi" w:cs="Calibri"/>
                <w:b/>
                <w:sz w:val="18"/>
                <w:szCs w:val="18"/>
              </w:rPr>
              <w:t>TOC</w:t>
            </w:r>
            <w:r w:rsidR="00B71E20" w:rsidRPr="008D4276">
              <w:rPr>
                <w:rFonts w:asciiTheme="majorHAnsi" w:hAnsiTheme="majorHAnsi" w:cs="Calibri"/>
                <w:b/>
                <w:sz w:val="18"/>
                <w:szCs w:val="18"/>
              </w:rPr>
              <w:t>T</w:t>
            </w:r>
          </w:p>
          <w:p w14:paraId="2CF566C9"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8 mg/kg</w:t>
            </w:r>
          </w:p>
          <w:p w14:paraId="5D75068F"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 DMARD</w:t>
            </w:r>
          </w:p>
          <w:p w14:paraId="6D89781C"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n=803</w:t>
            </w:r>
          </w:p>
        </w:tc>
        <w:tc>
          <w:tcPr>
            <w:tcW w:w="448" w:type="pct"/>
            <w:gridSpan w:val="2"/>
          </w:tcPr>
          <w:p w14:paraId="4DD1B40C"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Placebo</w:t>
            </w:r>
          </w:p>
          <w:p w14:paraId="00F4FD2A"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 DMAR D</w:t>
            </w:r>
          </w:p>
          <w:p w14:paraId="51A0EEB3"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n=413</w:t>
            </w:r>
          </w:p>
        </w:tc>
        <w:tc>
          <w:tcPr>
            <w:tcW w:w="387" w:type="pct"/>
          </w:tcPr>
          <w:p w14:paraId="25F23CF2" w14:textId="17E92092" w:rsidR="00B71E20" w:rsidRPr="008D4276" w:rsidRDefault="00346827" w:rsidP="00B71E20">
            <w:pPr>
              <w:pStyle w:val="NoSpacing"/>
              <w:rPr>
                <w:rFonts w:asciiTheme="majorHAnsi" w:hAnsiTheme="majorHAnsi" w:cs="Calibri"/>
                <w:b/>
                <w:sz w:val="18"/>
                <w:szCs w:val="18"/>
              </w:rPr>
            </w:pPr>
            <w:r w:rsidRPr="008D4276">
              <w:rPr>
                <w:rFonts w:asciiTheme="majorHAnsi" w:hAnsiTheme="majorHAnsi" w:cs="Calibri"/>
                <w:b/>
                <w:sz w:val="18"/>
                <w:szCs w:val="18"/>
              </w:rPr>
              <w:t>TOC</w:t>
            </w:r>
          </w:p>
          <w:p w14:paraId="5918CEC7"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8 mg/ kg</w:t>
            </w:r>
          </w:p>
          <w:p w14:paraId="27C19158"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+MT X</w:t>
            </w:r>
          </w:p>
          <w:p w14:paraId="47F1A9C5"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n=170</w:t>
            </w:r>
          </w:p>
        </w:tc>
        <w:tc>
          <w:tcPr>
            <w:tcW w:w="525" w:type="pct"/>
          </w:tcPr>
          <w:p w14:paraId="1D0ACB60"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Placebo</w:t>
            </w:r>
          </w:p>
          <w:p w14:paraId="4228EF6D"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+MTX</w:t>
            </w:r>
          </w:p>
          <w:p w14:paraId="3776025D" w14:textId="77777777" w:rsidR="00B71E20" w:rsidRPr="008D4276" w:rsidRDefault="00B71E20" w:rsidP="00B71E20">
            <w:pPr>
              <w:pStyle w:val="NoSpacing"/>
              <w:rPr>
                <w:rFonts w:asciiTheme="majorHAnsi" w:hAnsiTheme="majorHAnsi" w:cs="Calibri"/>
                <w:b/>
                <w:sz w:val="18"/>
                <w:szCs w:val="18"/>
              </w:rPr>
            </w:pPr>
          </w:p>
          <w:p w14:paraId="4545747D" w14:textId="77777777" w:rsidR="00B71E20" w:rsidRPr="008D4276" w:rsidRDefault="00B71E20" w:rsidP="00B71E20">
            <w:pPr>
              <w:pStyle w:val="NoSpacing"/>
              <w:rPr>
                <w:rFonts w:asciiTheme="majorHAnsi" w:hAnsiTheme="majorHAnsi" w:cs="Calibri"/>
                <w:b/>
                <w:sz w:val="18"/>
                <w:szCs w:val="18"/>
              </w:rPr>
            </w:pPr>
          </w:p>
          <w:p w14:paraId="1492BCEC"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n=158</w:t>
            </w:r>
          </w:p>
        </w:tc>
      </w:tr>
      <w:tr w:rsidR="00B71E20" w:rsidRPr="001922B7" w14:paraId="2F2033C9" w14:textId="77777777" w:rsidTr="00B71E20">
        <w:trPr>
          <w:trHeight w:val="229"/>
        </w:trPr>
        <w:tc>
          <w:tcPr>
            <w:tcW w:w="5000" w:type="pct"/>
            <w:gridSpan w:val="13"/>
          </w:tcPr>
          <w:p w14:paraId="620684C4"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Change in DAS28 [mean (Adjusted mean (SE))]</w:t>
            </w:r>
          </w:p>
        </w:tc>
      </w:tr>
      <w:tr w:rsidR="00B71E20" w:rsidRPr="001922B7" w14:paraId="1D5BDA59" w14:textId="77777777" w:rsidTr="00B71E20">
        <w:trPr>
          <w:trHeight w:val="690"/>
        </w:trPr>
        <w:tc>
          <w:tcPr>
            <w:tcW w:w="488" w:type="pct"/>
          </w:tcPr>
          <w:p w14:paraId="016F850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444" w:type="pct"/>
          </w:tcPr>
          <w:p w14:paraId="2E4F43AC"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-3.31</w:t>
            </w:r>
          </w:p>
          <w:p w14:paraId="31E3E711"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(0.12)</w:t>
            </w:r>
          </w:p>
        </w:tc>
        <w:tc>
          <w:tcPr>
            <w:tcW w:w="406" w:type="pct"/>
          </w:tcPr>
          <w:p w14:paraId="0F24446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-2.05</w:t>
            </w:r>
          </w:p>
          <w:p w14:paraId="7D607DE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(0.12)</w:t>
            </w:r>
          </w:p>
        </w:tc>
        <w:tc>
          <w:tcPr>
            <w:tcW w:w="453" w:type="pct"/>
          </w:tcPr>
          <w:p w14:paraId="0BBF26A1" w14:textId="53173FCC"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-3.11 (0.09)***</w:t>
            </w:r>
          </w:p>
        </w:tc>
        <w:tc>
          <w:tcPr>
            <w:tcW w:w="435" w:type="pct"/>
          </w:tcPr>
          <w:p w14:paraId="3F399D2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-1.45</w:t>
            </w:r>
          </w:p>
          <w:p w14:paraId="204F5AA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(0.11)</w:t>
            </w:r>
          </w:p>
        </w:tc>
        <w:tc>
          <w:tcPr>
            <w:tcW w:w="471" w:type="pct"/>
          </w:tcPr>
          <w:p w14:paraId="58575072" w14:textId="3DF756D1"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-3.43 (0.12)***</w:t>
            </w:r>
          </w:p>
        </w:tc>
        <w:tc>
          <w:tcPr>
            <w:tcW w:w="435" w:type="pct"/>
          </w:tcPr>
          <w:p w14:paraId="28B612BC"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-1.55</w:t>
            </w:r>
          </w:p>
          <w:p w14:paraId="6BF990A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(0.15)</w:t>
            </w:r>
          </w:p>
        </w:tc>
        <w:tc>
          <w:tcPr>
            <w:tcW w:w="471" w:type="pct"/>
          </w:tcPr>
          <w:p w14:paraId="193A74AB" w14:textId="54CA645E"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-3.17 (0.07)***</w:t>
            </w:r>
          </w:p>
        </w:tc>
        <w:tc>
          <w:tcPr>
            <w:tcW w:w="429" w:type="pct"/>
            <w:gridSpan w:val="2"/>
          </w:tcPr>
          <w:p w14:paraId="729A759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-1.16</w:t>
            </w:r>
          </w:p>
          <w:p w14:paraId="2A9D5DB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(0.09)</w:t>
            </w:r>
          </w:p>
        </w:tc>
        <w:tc>
          <w:tcPr>
            <w:tcW w:w="444" w:type="pct"/>
            <w:gridSpan w:val="2"/>
          </w:tcPr>
          <w:p w14:paraId="72223E0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-3.16</w:t>
            </w:r>
          </w:p>
          <w:p w14:paraId="297E34B0" w14:textId="73795F2F"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(0.14)***</w:t>
            </w:r>
          </w:p>
        </w:tc>
        <w:tc>
          <w:tcPr>
            <w:tcW w:w="525" w:type="pct"/>
          </w:tcPr>
          <w:p w14:paraId="69B80B1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-0.95</w:t>
            </w:r>
          </w:p>
          <w:p w14:paraId="548F6D2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(0.22)</w:t>
            </w:r>
          </w:p>
        </w:tc>
      </w:tr>
      <w:tr w:rsidR="00B71E20" w:rsidRPr="001922B7" w14:paraId="558E3448" w14:textId="77777777" w:rsidTr="00B71E20">
        <w:trPr>
          <w:trHeight w:val="230"/>
        </w:trPr>
        <w:tc>
          <w:tcPr>
            <w:tcW w:w="5000" w:type="pct"/>
            <w:gridSpan w:val="13"/>
          </w:tcPr>
          <w:p w14:paraId="67D445FF"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DAS &lt; 2.6 response (%)</w:t>
            </w:r>
          </w:p>
        </w:tc>
      </w:tr>
      <w:tr w:rsidR="00B71E20" w:rsidRPr="001922B7" w14:paraId="719739B5" w14:textId="77777777" w:rsidTr="00B71E20">
        <w:trPr>
          <w:trHeight w:val="461"/>
        </w:trPr>
        <w:tc>
          <w:tcPr>
            <w:tcW w:w="488" w:type="pct"/>
          </w:tcPr>
          <w:p w14:paraId="4B78968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444" w:type="pct"/>
          </w:tcPr>
          <w:p w14:paraId="6C33BA3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33.6%</w:t>
            </w:r>
          </w:p>
        </w:tc>
        <w:tc>
          <w:tcPr>
            <w:tcW w:w="406" w:type="pct"/>
          </w:tcPr>
          <w:p w14:paraId="177BD5E1"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12.1%</w:t>
            </w:r>
          </w:p>
        </w:tc>
        <w:tc>
          <w:tcPr>
            <w:tcW w:w="453" w:type="pct"/>
          </w:tcPr>
          <w:p w14:paraId="29B90457" w14:textId="3B276816"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hint="eastAsia"/>
                <w:i/>
                <w:sz w:val="18"/>
                <w:szCs w:val="18"/>
              </w:rPr>
              <w:t>≠</w:t>
            </w:r>
            <w:r w:rsidRPr="008D4276">
              <w:rPr>
                <w:rFonts w:asciiTheme="majorHAnsi" w:hAnsiTheme="majorHAnsi" w:cs="Calibri"/>
                <w:sz w:val="18"/>
                <w:szCs w:val="18"/>
              </w:rPr>
              <w:t>33.3%***</w:t>
            </w:r>
          </w:p>
        </w:tc>
        <w:tc>
          <w:tcPr>
            <w:tcW w:w="435" w:type="pct"/>
          </w:tcPr>
          <w:p w14:paraId="39E83DD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^3.8%</w:t>
            </w:r>
          </w:p>
        </w:tc>
        <w:tc>
          <w:tcPr>
            <w:tcW w:w="471" w:type="pct"/>
          </w:tcPr>
          <w:p w14:paraId="7BCCE8C6" w14:textId="6768D104"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27.5%***</w:t>
            </w:r>
          </w:p>
        </w:tc>
        <w:tc>
          <w:tcPr>
            <w:tcW w:w="435" w:type="pct"/>
          </w:tcPr>
          <w:p w14:paraId="7F0ADB7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0.8%</w:t>
            </w:r>
          </w:p>
        </w:tc>
        <w:tc>
          <w:tcPr>
            <w:tcW w:w="471" w:type="pct"/>
          </w:tcPr>
          <w:p w14:paraId="4290FF5B" w14:textId="0FD7DDE8"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30.2%***</w:t>
            </w:r>
          </w:p>
        </w:tc>
        <w:tc>
          <w:tcPr>
            <w:tcW w:w="429" w:type="pct"/>
            <w:gridSpan w:val="2"/>
          </w:tcPr>
          <w:p w14:paraId="4FA1313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3.4%</w:t>
            </w:r>
          </w:p>
        </w:tc>
        <w:tc>
          <w:tcPr>
            <w:tcW w:w="444" w:type="pct"/>
            <w:gridSpan w:val="2"/>
          </w:tcPr>
          <w:p w14:paraId="1C06F335" w14:textId="124583A4"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30.1%***</w:t>
            </w:r>
          </w:p>
        </w:tc>
        <w:tc>
          <w:tcPr>
            <w:tcW w:w="525" w:type="pct"/>
          </w:tcPr>
          <w:p w14:paraId="51ACE9E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1.6%</w:t>
            </w:r>
          </w:p>
        </w:tc>
      </w:tr>
      <w:tr w:rsidR="00B71E20" w:rsidRPr="001922B7" w14:paraId="46B16976" w14:textId="77777777" w:rsidTr="00B71E20">
        <w:trPr>
          <w:trHeight w:val="230"/>
        </w:trPr>
        <w:tc>
          <w:tcPr>
            <w:tcW w:w="5000" w:type="pct"/>
            <w:gridSpan w:val="13"/>
          </w:tcPr>
          <w:p w14:paraId="518DC452"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EULAR response (%)</w:t>
            </w:r>
          </w:p>
        </w:tc>
      </w:tr>
      <w:tr w:rsidR="00B71E20" w:rsidRPr="001922B7" w14:paraId="20E4295E" w14:textId="77777777" w:rsidTr="00B71E20">
        <w:trPr>
          <w:trHeight w:val="230"/>
        </w:trPr>
        <w:tc>
          <w:tcPr>
            <w:tcW w:w="488" w:type="pct"/>
          </w:tcPr>
          <w:p w14:paraId="1F27AE6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None</w:t>
            </w:r>
          </w:p>
        </w:tc>
        <w:tc>
          <w:tcPr>
            <w:tcW w:w="444" w:type="pct"/>
          </w:tcPr>
          <w:p w14:paraId="5059A94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18%</w:t>
            </w:r>
          </w:p>
        </w:tc>
        <w:tc>
          <w:tcPr>
            <w:tcW w:w="406" w:type="pct"/>
          </w:tcPr>
          <w:p w14:paraId="1ABF4A01"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35%</w:t>
            </w:r>
          </w:p>
        </w:tc>
        <w:tc>
          <w:tcPr>
            <w:tcW w:w="453" w:type="pct"/>
          </w:tcPr>
          <w:p w14:paraId="3786D9F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26%</w:t>
            </w:r>
          </w:p>
        </w:tc>
        <w:tc>
          <w:tcPr>
            <w:tcW w:w="435" w:type="pct"/>
          </w:tcPr>
          <w:p w14:paraId="4B6484C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65%</w:t>
            </w:r>
          </w:p>
        </w:tc>
        <w:tc>
          <w:tcPr>
            <w:tcW w:w="471" w:type="pct"/>
          </w:tcPr>
          <w:p w14:paraId="6A470BB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20%</w:t>
            </w:r>
          </w:p>
        </w:tc>
        <w:tc>
          <w:tcPr>
            <w:tcW w:w="435" w:type="pct"/>
          </w:tcPr>
          <w:p w14:paraId="4299D05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65%</w:t>
            </w:r>
          </w:p>
        </w:tc>
        <w:tc>
          <w:tcPr>
            <w:tcW w:w="471" w:type="pct"/>
          </w:tcPr>
          <w:p w14:paraId="21D95C9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20%</w:t>
            </w:r>
          </w:p>
        </w:tc>
        <w:tc>
          <w:tcPr>
            <w:tcW w:w="429" w:type="pct"/>
            <w:gridSpan w:val="2"/>
          </w:tcPr>
          <w:p w14:paraId="2AC0CF7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62%</w:t>
            </w:r>
          </w:p>
        </w:tc>
        <w:tc>
          <w:tcPr>
            <w:tcW w:w="444" w:type="pct"/>
            <w:gridSpan w:val="2"/>
          </w:tcPr>
          <w:p w14:paraId="41E2CE5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32%</w:t>
            </w:r>
          </w:p>
        </w:tc>
        <w:tc>
          <w:tcPr>
            <w:tcW w:w="525" w:type="pct"/>
          </w:tcPr>
          <w:p w14:paraId="35127A2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84%</w:t>
            </w:r>
          </w:p>
        </w:tc>
      </w:tr>
      <w:tr w:rsidR="00B71E20" w:rsidRPr="001922B7" w14:paraId="4BC12DC6" w14:textId="77777777" w:rsidTr="00B71E20">
        <w:trPr>
          <w:trHeight w:val="230"/>
        </w:trPr>
        <w:tc>
          <w:tcPr>
            <w:tcW w:w="488" w:type="pct"/>
          </w:tcPr>
          <w:p w14:paraId="6C13CBC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Moderate</w:t>
            </w:r>
          </w:p>
        </w:tc>
        <w:tc>
          <w:tcPr>
            <w:tcW w:w="444" w:type="pct"/>
          </w:tcPr>
          <w:p w14:paraId="4E7D2F7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42%</w:t>
            </w:r>
          </w:p>
        </w:tc>
        <w:tc>
          <w:tcPr>
            <w:tcW w:w="406" w:type="pct"/>
          </w:tcPr>
          <w:p w14:paraId="3393B00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48%</w:t>
            </w:r>
          </w:p>
        </w:tc>
        <w:tc>
          <w:tcPr>
            <w:tcW w:w="453" w:type="pct"/>
          </w:tcPr>
          <w:p w14:paraId="43D56379"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34%</w:t>
            </w:r>
          </w:p>
        </w:tc>
        <w:tc>
          <w:tcPr>
            <w:tcW w:w="435" w:type="pct"/>
          </w:tcPr>
          <w:p w14:paraId="6C55EBC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29%</w:t>
            </w:r>
          </w:p>
        </w:tc>
        <w:tc>
          <w:tcPr>
            <w:tcW w:w="471" w:type="pct"/>
          </w:tcPr>
          <w:p w14:paraId="374219F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41%</w:t>
            </w:r>
          </w:p>
        </w:tc>
        <w:tc>
          <w:tcPr>
            <w:tcW w:w="435" w:type="pct"/>
          </w:tcPr>
          <w:p w14:paraId="7DE9E95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32%</w:t>
            </w:r>
          </w:p>
        </w:tc>
        <w:tc>
          <w:tcPr>
            <w:tcW w:w="471" w:type="pct"/>
          </w:tcPr>
          <w:p w14:paraId="11A8E68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40%</w:t>
            </w:r>
          </w:p>
        </w:tc>
        <w:tc>
          <w:tcPr>
            <w:tcW w:w="429" w:type="pct"/>
            <w:gridSpan w:val="2"/>
          </w:tcPr>
          <w:p w14:paraId="17A086B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33%</w:t>
            </w:r>
          </w:p>
        </w:tc>
        <w:tc>
          <w:tcPr>
            <w:tcW w:w="444" w:type="pct"/>
            <w:gridSpan w:val="2"/>
          </w:tcPr>
          <w:p w14:paraId="045CBA6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31%</w:t>
            </w:r>
          </w:p>
        </w:tc>
        <w:tc>
          <w:tcPr>
            <w:tcW w:w="525" w:type="pct"/>
          </w:tcPr>
          <w:p w14:paraId="7467C36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15%</w:t>
            </w:r>
          </w:p>
        </w:tc>
      </w:tr>
      <w:tr w:rsidR="00B71E20" w:rsidRPr="001922B7" w14:paraId="0B1E0BA9" w14:textId="77777777" w:rsidTr="00B71E20">
        <w:trPr>
          <w:trHeight w:val="230"/>
        </w:trPr>
        <w:tc>
          <w:tcPr>
            <w:tcW w:w="488" w:type="pct"/>
          </w:tcPr>
          <w:p w14:paraId="4D05E47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Good†</w:t>
            </w:r>
          </w:p>
        </w:tc>
        <w:tc>
          <w:tcPr>
            <w:tcW w:w="444" w:type="pct"/>
          </w:tcPr>
          <w:p w14:paraId="761A736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40%</w:t>
            </w:r>
          </w:p>
        </w:tc>
        <w:tc>
          <w:tcPr>
            <w:tcW w:w="406" w:type="pct"/>
          </w:tcPr>
          <w:p w14:paraId="6FCA563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17%</w:t>
            </w:r>
          </w:p>
        </w:tc>
        <w:tc>
          <w:tcPr>
            <w:tcW w:w="453" w:type="pct"/>
          </w:tcPr>
          <w:p w14:paraId="405B4CE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41%***</w:t>
            </w:r>
          </w:p>
        </w:tc>
        <w:tc>
          <w:tcPr>
            <w:tcW w:w="435" w:type="pct"/>
          </w:tcPr>
          <w:p w14:paraId="09A3408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6%</w:t>
            </w:r>
          </w:p>
        </w:tc>
        <w:tc>
          <w:tcPr>
            <w:tcW w:w="471" w:type="pct"/>
          </w:tcPr>
          <w:p w14:paraId="56EF0409"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38%***</w:t>
            </w:r>
          </w:p>
        </w:tc>
        <w:tc>
          <w:tcPr>
            <w:tcW w:w="435" w:type="pct"/>
          </w:tcPr>
          <w:p w14:paraId="2A7A9F51"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w:t>
            </w:r>
          </w:p>
        </w:tc>
        <w:tc>
          <w:tcPr>
            <w:tcW w:w="471" w:type="pct"/>
          </w:tcPr>
          <w:p w14:paraId="3D3EBC4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40%***</w:t>
            </w:r>
          </w:p>
        </w:tc>
        <w:tc>
          <w:tcPr>
            <w:tcW w:w="429" w:type="pct"/>
            <w:gridSpan w:val="2"/>
          </w:tcPr>
          <w:p w14:paraId="2ACA693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w:t>
            </w:r>
          </w:p>
        </w:tc>
        <w:tc>
          <w:tcPr>
            <w:tcW w:w="444" w:type="pct"/>
            <w:gridSpan w:val="2"/>
          </w:tcPr>
          <w:p w14:paraId="3233CA0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37%***</w:t>
            </w:r>
          </w:p>
        </w:tc>
        <w:tc>
          <w:tcPr>
            <w:tcW w:w="525" w:type="pct"/>
          </w:tcPr>
          <w:p w14:paraId="07DB822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w:t>
            </w:r>
          </w:p>
        </w:tc>
      </w:tr>
    </w:tbl>
    <w:p w14:paraId="44AE011C" w14:textId="5FA80BB4"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T</w:t>
      </w:r>
      <w:r w:rsidR="00346827" w:rsidRPr="008D4276">
        <w:rPr>
          <w:rFonts w:asciiTheme="majorHAnsi" w:hAnsiTheme="majorHAnsi" w:cs="Calibri"/>
          <w:sz w:val="18"/>
          <w:szCs w:val="18"/>
        </w:rPr>
        <w:t>OC</w:t>
      </w:r>
      <w:r w:rsidRPr="008D4276">
        <w:rPr>
          <w:rFonts w:asciiTheme="majorHAnsi" w:hAnsiTheme="majorHAnsi" w:cs="Calibri"/>
          <w:sz w:val="18"/>
          <w:szCs w:val="18"/>
        </w:rPr>
        <w:t xml:space="preserve"> = </w:t>
      </w:r>
      <w:r w:rsidR="007C49C8" w:rsidRPr="008D4276">
        <w:rPr>
          <w:rFonts w:asciiTheme="majorHAnsi" w:hAnsiTheme="majorHAnsi" w:cs="Calibri"/>
          <w:sz w:val="18"/>
          <w:szCs w:val="18"/>
        </w:rPr>
        <w:t>tocilizumab</w:t>
      </w:r>
    </w:p>
    <w:p w14:paraId="626D787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The p value compares across all the EULAR categories</w:t>
      </w:r>
    </w:p>
    <w:p w14:paraId="1CB28F1F" w14:textId="4CD5E64F"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p &lt; 0.05, </w:t>
      </w:r>
      <w:r w:rsidR="007C49C8" w:rsidRPr="008D4276">
        <w:rPr>
          <w:rFonts w:asciiTheme="majorHAnsi" w:hAnsiTheme="majorHAnsi" w:cs="Calibri"/>
          <w:sz w:val="18"/>
          <w:szCs w:val="18"/>
        </w:rPr>
        <w:t>tocilizumab</w:t>
      </w:r>
      <w:r w:rsidRPr="008D4276">
        <w:rPr>
          <w:rFonts w:asciiTheme="majorHAnsi" w:hAnsiTheme="majorHAnsi" w:cs="Calibri"/>
          <w:sz w:val="18"/>
          <w:szCs w:val="18"/>
        </w:rPr>
        <w:t xml:space="preserve"> vs. placebo + MTX/DMARD</w:t>
      </w:r>
    </w:p>
    <w:p w14:paraId="09296CB6" w14:textId="44F15072"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 p &lt; 0.01, </w:t>
      </w:r>
      <w:r w:rsidR="007C49C8" w:rsidRPr="008D4276">
        <w:rPr>
          <w:rFonts w:asciiTheme="majorHAnsi" w:hAnsiTheme="majorHAnsi" w:cs="Calibri"/>
          <w:sz w:val="18"/>
          <w:szCs w:val="18"/>
        </w:rPr>
        <w:t>tocilizumab</w:t>
      </w:r>
      <w:r w:rsidRPr="008D4276">
        <w:rPr>
          <w:rFonts w:asciiTheme="majorHAnsi" w:hAnsiTheme="majorHAnsi" w:cs="Calibri"/>
          <w:sz w:val="18"/>
          <w:szCs w:val="18"/>
        </w:rPr>
        <w:t xml:space="preserve"> vs. placebo + MTX/DMARD</w:t>
      </w:r>
    </w:p>
    <w:p w14:paraId="153C2A6E" w14:textId="78A806E5"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 p &lt; 0.0001, </w:t>
      </w:r>
      <w:r w:rsidR="007C49C8" w:rsidRPr="008D4276">
        <w:rPr>
          <w:rFonts w:asciiTheme="majorHAnsi" w:hAnsiTheme="majorHAnsi" w:cs="Calibri"/>
          <w:sz w:val="18"/>
          <w:szCs w:val="18"/>
        </w:rPr>
        <w:t>tocilizumab</w:t>
      </w:r>
      <w:r w:rsidRPr="008D4276">
        <w:rPr>
          <w:rFonts w:asciiTheme="majorHAnsi" w:hAnsiTheme="majorHAnsi" w:cs="Calibri"/>
          <w:sz w:val="18"/>
          <w:szCs w:val="18"/>
        </w:rPr>
        <w:t xml:space="preserve"> vs. placebo + MTX/DMARD</w:t>
      </w:r>
    </w:p>
    <w:p w14:paraId="40348D29"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hint="eastAsia"/>
          <w:b/>
          <w:bCs/>
          <w:sz w:val="18"/>
          <w:szCs w:val="18"/>
        </w:rPr>
        <w:t>≠</w:t>
      </w:r>
      <w:r w:rsidRPr="008D4276">
        <w:rPr>
          <w:rFonts w:asciiTheme="majorHAnsi" w:hAnsiTheme="majorHAnsi" w:cs="Calibri"/>
          <w:sz w:val="18"/>
          <w:szCs w:val="18"/>
        </w:rPr>
        <w:t xml:space="preserve"> In study II, 47% of patients achieved a DAS28 &lt; 2.6 at 52 weeks compared to 33% of patients at week 24.</w:t>
      </w:r>
    </w:p>
    <w:p w14:paraId="5164E110" w14:textId="3B183782"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 In study II, 8% of patients achieved a DAS28 &lt; 2.6 at 52 weeks compared to 4% of patients at week 24.</w:t>
      </w:r>
    </w:p>
    <w:p w14:paraId="4C3E3902" w14:textId="77777777" w:rsidR="00B71E20" w:rsidRPr="008D4276" w:rsidRDefault="00B71E20" w:rsidP="004D6592">
      <w:pPr>
        <w:rPr>
          <w:rFonts w:asciiTheme="majorHAnsi" w:hAnsiTheme="majorHAnsi"/>
        </w:rPr>
      </w:pPr>
    </w:p>
    <w:p w14:paraId="5F68417D" w14:textId="6CA08114" w:rsidR="0089656D" w:rsidRPr="008D4276" w:rsidRDefault="0089656D" w:rsidP="004D6592">
      <w:pPr>
        <w:rPr>
          <w:rFonts w:asciiTheme="majorHAnsi" w:hAnsiTheme="majorHAnsi" w:cstheme="minorHAnsi"/>
        </w:rPr>
      </w:pPr>
      <w:r w:rsidRPr="008D4276">
        <w:rPr>
          <w:rFonts w:asciiTheme="majorHAnsi" w:hAnsiTheme="majorHAnsi" w:cstheme="minorHAnsi"/>
        </w:rPr>
        <w:t xml:space="preserve">The clinical response to 24 weeks of subcutaneous </w:t>
      </w:r>
      <w:r w:rsidR="001B6872" w:rsidRPr="008D4276">
        <w:rPr>
          <w:rFonts w:asciiTheme="majorHAnsi" w:hAnsiTheme="majorHAnsi" w:cstheme="minorHAnsi"/>
        </w:rPr>
        <w:t>tocilizumab</w:t>
      </w:r>
      <w:r w:rsidRPr="008D4276">
        <w:rPr>
          <w:rFonts w:asciiTheme="majorHAnsi" w:hAnsiTheme="majorHAnsi" w:cstheme="minorHAnsi"/>
        </w:rPr>
        <w:t xml:space="preserve"> therapy is shown in </w:t>
      </w:r>
      <w:r w:rsidR="00B71E20" w:rsidRPr="008D4276">
        <w:rPr>
          <w:rFonts w:asciiTheme="majorHAnsi" w:hAnsiTheme="majorHAnsi" w:cstheme="minorHAnsi"/>
        </w:rPr>
        <w:fldChar w:fldCharType="begin"/>
      </w:r>
      <w:r w:rsidR="00B71E20" w:rsidRPr="008D4276">
        <w:rPr>
          <w:rFonts w:asciiTheme="majorHAnsi" w:hAnsiTheme="majorHAnsi" w:cstheme="minorHAnsi"/>
        </w:rPr>
        <w:instrText xml:space="preserve"> REF _Ref159343050 \h </w:instrText>
      </w:r>
      <w:r w:rsidR="00582401" w:rsidRPr="008D4276">
        <w:rPr>
          <w:rFonts w:asciiTheme="majorHAnsi" w:hAnsiTheme="majorHAnsi" w:cstheme="minorHAnsi"/>
        </w:rPr>
        <w:instrText xml:space="preserve"> \* MERGEFORMAT </w:instrText>
      </w:r>
      <w:r w:rsidR="00B71E20" w:rsidRPr="008D4276">
        <w:rPr>
          <w:rFonts w:asciiTheme="majorHAnsi" w:hAnsiTheme="majorHAnsi" w:cstheme="minorHAnsi"/>
        </w:rPr>
      </w:r>
      <w:r w:rsidR="00B71E20" w:rsidRPr="008D4276">
        <w:rPr>
          <w:rFonts w:asciiTheme="majorHAnsi" w:hAnsiTheme="majorHAnsi" w:cstheme="minorHAnsi"/>
        </w:rPr>
        <w:fldChar w:fldCharType="separate"/>
      </w:r>
      <w:r w:rsidR="004C310F" w:rsidRPr="004C310F">
        <w:rPr>
          <w:rFonts w:asciiTheme="majorHAnsi" w:hAnsiTheme="majorHAnsi" w:cstheme="minorHAnsi"/>
        </w:rPr>
        <w:t xml:space="preserve">Table </w:t>
      </w:r>
      <w:r w:rsidR="004C310F">
        <w:rPr>
          <w:rFonts w:asciiTheme="majorHAnsi" w:hAnsiTheme="majorHAnsi" w:cs="Calibri"/>
          <w:noProof/>
        </w:rPr>
        <w:t>7</w:t>
      </w:r>
      <w:r w:rsidR="00B71E20" w:rsidRPr="008D4276">
        <w:rPr>
          <w:rFonts w:asciiTheme="majorHAnsi" w:hAnsiTheme="majorHAnsi" w:cstheme="minorHAnsi"/>
        </w:rPr>
        <w:fldChar w:fldCharType="end"/>
      </w:r>
      <w:r w:rsidR="00CA0CC5" w:rsidRPr="008D4276">
        <w:rPr>
          <w:rFonts w:asciiTheme="majorHAnsi" w:hAnsiTheme="majorHAnsi" w:cstheme="minorHAnsi"/>
          <w:lang w:eastAsia="ko-KR"/>
        </w:rPr>
        <w:t>9</w:t>
      </w:r>
      <w:r w:rsidRPr="008D4276">
        <w:rPr>
          <w:rFonts w:asciiTheme="majorHAnsi" w:hAnsiTheme="majorHAnsi" w:cstheme="minorHAnsi"/>
        </w:rPr>
        <w:t xml:space="preserve">. In SUMMACTA, the primary outcome measure was ACR20 at Week 24. The pre-specified non-inferiority margin was a treatment difference of 12%. The study demonstrated non-inferiority of </w:t>
      </w:r>
      <w:r w:rsidR="001B6872" w:rsidRPr="008D4276">
        <w:rPr>
          <w:rFonts w:asciiTheme="majorHAnsi" w:hAnsiTheme="majorHAnsi" w:cstheme="minorHAnsi"/>
        </w:rPr>
        <w:t>tocilizumab</w:t>
      </w:r>
      <w:r w:rsidRPr="008D4276">
        <w:rPr>
          <w:rFonts w:asciiTheme="majorHAnsi" w:hAnsiTheme="majorHAnsi" w:cstheme="minorHAnsi"/>
        </w:rPr>
        <w:t xml:space="preserve"> with respect to ACR20 at Week 24; ACR50, ACR70 and DAS28 responses are also shown in </w:t>
      </w:r>
      <w:r w:rsidR="00CF3343">
        <w:rPr>
          <w:rFonts w:asciiTheme="majorHAnsi" w:hAnsiTheme="majorHAnsi" w:cstheme="minorHAnsi"/>
        </w:rPr>
        <w:fldChar w:fldCharType="begin"/>
      </w:r>
      <w:r w:rsidR="00CF3343">
        <w:rPr>
          <w:rFonts w:asciiTheme="majorHAnsi" w:hAnsiTheme="majorHAnsi" w:cstheme="minorHAnsi"/>
        </w:rPr>
        <w:instrText xml:space="preserve"> REF _Ref178871908 \h </w:instrText>
      </w:r>
      <w:r w:rsidR="00CF3343">
        <w:rPr>
          <w:rFonts w:asciiTheme="majorHAnsi" w:hAnsiTheme="majorHAnsi" w:cstheme="minorHAnsi"/>
        </w:rPr>
      </w:r>
      <w:r w:rsidR="00CF3343">
        <w:rPr>
          <w:rFonts w:asciiTheme="majorHAnsi" w:hAnsiTheme="majorHAnsi" w:cstheme="minorHAnsi"/>
        </w:rPr>
        <w:fldChar w:fldCharType="separate"/>
      </w:r>
      <w:r w:rsidR="004C310F" w:rsidRPr="008D4276">
        <w:rPr>
          <w:rFonts w:asciiTheme="majorHAnsi" w:hAnsiTheme="majorHAnsi" w:cs="Calibri"/>
        </w:rPr>
        <w:t xml:space="preserve">Table </w:t>
      </w:r>
      <w:r w:rsidR="004C310F">
        <w:rPr>
          <w:rFonts w:asciiTheme="majorHAnsi" w:hAnsiTheme="majorHAnsi" w:cs="Calibri"/>
          <w:noProof/>
        </w:rPr>
        <w:t>6</w:t>
      </w:r>
      <w:r w:rsidR="00CF3343">
        <w:rPr>
          <w:rFonts w:asciiTheme="majorHAnsi" w:hAnsiTheme="majorHAnsi" w:cstheme="minorHAnsi"/>
        </w:rPr>
        <w:fldChar w:fldCharType="end"/>
      </w:r>
      <w:r w:rsidRPr="008D4276">
        <w:rPr>
          <w:rFonts w:asciiTheme="majorHAnsi" w:hAnsiTheme="majorHAnsi" w:cstheme="minorHAnsi"/>
        </w:rPr>
        <w:t xml:space="preserve">. The efficacy and safety of subcutaneous </w:t>
      </w:r>
      <w:r w:rsidR="001B6872" w:rsidRPr="008D4276">
        <w:rPr>
          <w:rFonts w:asciiTheme="majorHAnsi" w:hAnsiTheme="majorHAnsi" w:cstheme="minorHAnsi"/>
        </w:rPr>
        <w:t>tocilizumab</w:t>
      </w:r>
      <w:r w:rsidRPr="008D4276">
        <w:rPr>
          <w:rFonts w:asciiTheme="majorHAnsi" w:hAnsiTheme="majorHAnsi" w:cstheme="minorHAnsi"/>
        </w:rPr>
        <w:t xml:space="preserve"> used as a monotherapy is supported by SUMMACTA which demonstrates, in combination with DMARD(s), the non- inferiority of </w:t>
      </w:r>
      <w:r w:rsidR="001B6872" w:rsidRPr="008D4276">
        <w:rPr>
          <w:rFonts w:asciiTheme="majorHAnsi" w:hAnsiTheme="majorHAnsi" w:cstheme="minorHAnsi"/>
        </w:rPr>
        <w:t>tocilizumab</w:t>
      </w:r>
      <w:r w:rsidRPr="008D4276">
        <w:rPr>
          <w:rFonts w:asciiTheme="majorHAnsi" w:hAnsiTheme="majorHAnsi" w:cstheme="minorHAnsi"/>
        </w:rPr>
        <w:t xml:space="preserve"> 162 mg SC every week to 8 mg/kg IV every 4 weeks. However, the efficacy of subcutaneous </w:t>
      </w:r>
      <w:r w:rsidR="001B6872" w:rsidRPr="008D4276">
        <w:rPr>
          <w:rFonts w:asciiTheme="majorHAnsi" w:hAnsiTheme="majorHAnsi" w:cstheme="minorHAnsi"/>
        </w:rPr>
        <w:t>tocilizumab</w:t>
      </w:r>
      <w:r w:rsidRPr="008D4276">
        <w:rPr>
          <w:rFonts w:asciiTheme="majorHAnsi" w:hAnsiTheme="majorHAnsi" w:cstheme="minorHAnsi"/>
        </w:rPr>
        <w:t xml:space="preserve"> administered every week as a monotherapy was not directly established in this study.</w:t>
      </w:r>
    </w:p>
    <w:p w14:paraId="265240DF" w14:textId="09A465D3" w:rsidR="0089656D" w:rsidRPr="008D4276" w:rsidRDefault="0089656D" w:rsidP="00B71E20">
      <w:pPr>
        <w:pStyle w:val="Caption"/>
        <w:rPr>
          <w:rFonts w:asciiTheme="majorHAnsi" w:hAnsiTheme="majorHAnsi" w:cs="Calibri"/>
        </w:rPr>
      </w:pPr>
      <w:bookmarkStart w:id="59" w:name="_Ref159343050"/>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7</w:t>
      </w:r>
      <w:r w:rsidR="0006243F" w:rsidRPr="008D4276">
        <w:rPr>
          <w:rFonts w:asciiTheme="majorHAnsi" w:hAnsiTheme="majorHAnsi" w:cs="Calibri"/>
        </w:rPr>
        <w:fldChar w:fldCharType="end"/>
      </w:r>
      <w:bookmarkEnd w:id="59"/>
      <w:r w:rsidRPr="008D4276">
        <w:rPr>
          <w:rFonts w:asciiTheme="majorHAnsi" w:hAnsiTheme="majorHAnsi" w:cs="Calibri"/>
        </w:rPr>
        <w:t xml:space="preserve"> Clinical Response at Week 24 in Subcutaneous Trials (Percent of Patients)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685"/>
        <w:gridCol w:w="2020"/>
        <w:gridCol w:w="1544"/>
        <w:gridCol w:w="1546"/>
      </w:tblGrid>
      <w:tr w:rsidR="00B71E20" w:rsidRPr="001922B7" w14:paraId="3264C83D" w14:textId="77777777" w:rsidTr="00B71E20">
        <w:trPr>
          <w:trHeight w:val="275"/>
          <w:tblHeader/>
        </w:trPr>
        <w:tc>
          <w:tcPr>
            <w:tcW w:w="1233" w:type="pct"/>
            <w:vMerge w:val="restart"/>
          </w:tcPr>
          <w:p w14:paraId="53B29347" w14:textId="77777777" w:rsidR="00B71E20" w:rsidRPr="008D4276" w:rsidRDefault="00B71E20" w:rsidP="00B71E20">
            <w:pPr>
              <w:pStyle w:val="NoSpacing"/>
              <w:rPr>
                <w:rFonts w:asciiTheme="majorHAnsi" w:hAnsiTheme="majorHAnsi" w:cs="Calibri"/>
                <w:sz w:val="18"/>
                <w:szCs w:val="18"/>
              </w:rPr>
            </w:pPr>
          </w:p>
        </w:tc>
        <w:tc>
          <w:tcPr>
            <w:tcW w:w="2054" w:type="pct"/>
            <w:gridSpan w:val="2"/>
            <w:vAlign w:val="center"/>
          </w:tcPr>
          <w:p w14:paraId="04C8FE90"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Study VI (SUMMACTA)</w:t>
            </w:r>
            <w:r w:rsidRPr="008D4276">
              <w:rPr>
                <w:rFonts w:asciiTheme="majorHAnsi" w:hAnsiTheme="majorHAnsi" w:cs="Calibri"/>
                <w:b/>
                <w:sz w:val="18"/>
                <w:szCs w:val="18"/>
                <w:vertAlign w:val="superscript"/>
              </w:rPr>
              <w:t>a</w:t>
            </w:r>
          </w:p>
        </w:tc>
        <w:tc>
          <w:tcPr>
            <w:tcW w:w="1713" w:type="pct"/>
            <w:gridSpan w:val="2"/>
            <w:vAlign w:val="center"/>
          </w:tcPr>
          <w:p w14:paraId="2DDA7FC7"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Study VII (BREVACTA)</w:t>
            </w:r>
            <w:r w:rsidRPr="008D4276">
              <w:rPr>
                <w:rFonts w:asciiTheme="majorHAnsi" w:hAnsiTheme="majorHAnsi" w:cs="Calibri"/>
                <w:b/>
                <w:sz w:val="18"/>
                <w:szCs w:val="18"/>
                <w:vertAlign w:val="superscript"/>
              </w:rPr>
              <w:t>b</w:t>
            </w:r>
          </w:p>
        </w:tc>
      </w:tr>
      <w:tr w:rsidR="00B71E20" w:rsidRPr="001922B7" w14:paraId="326B17A6" w14:textId="77777777" w:rsidTr="00B71E20">
        <w:trPr>
          <w:trHeight w:val="506"/>
          <w:tblHeader/>
        </w:trPr>
        <w:tc>
          <w:tcPr>
            <w:tcW w:w="1233" w:type="pct"/>
            <w:vMerge/>
            <w:tcBorders>
              <w:top w:val="nil"/>
            </w:tcBorders>
          </w:tcPr>
          <w:p w14:paraId="5F62A8EB" w14:textId="77777777" w:rsidR="00B71E20" w:rsidRPr="008D4276" w:rsidRDefault="00B71E20" w:rsidP="00B71E20">
            <w:pPr>
              <w:pStyle w:val="NoSpacing"/>
              <w:rPr>
                <w:rFonts w:asciiTheme="majorHAnsi" w:hAnsiTheme="majorHAnsi" w:cs="Calibri"/>
                <w:sz w:val="18"/>
                <w:szCs w:val="18"/>
              </w:rPr>
            </w:pPr>
          </w:p>
        </w:tc>
        <w:tc>
          <w:tcPr>
            <w:tcW w:w="934" w:type="pct"/>
            <w:vAlign w:val="center"/>
          </w:tcPr>
          <w:p w14:paraId="176AB183" w14:textId="5FC3D4F9"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T</w:t>
            </w:r>
            <w:r w:rsidR="00346827" w:rsidRPr="008D4276">
              <w:rPr>
                <w:rFonts w:asciiTheme="majorHAnsi" w:hAnsiTheme="majorHAnsi" w:cs="Calibri"/>
                <w:b/>
                <w:sz w:val="18"/>
                <w:szCs w:val="18"/>
              </w:rPr>
              <w:t>OC</w:t>
            </w:r>
            <w:r w:rsidRPr="008D4276">
              <w:rPr>
                <w:rFonts w:asciiTheme="majorHAnsi" w:hAnsiTheme="majorHAnsi" w:cs="Calibri"/>
                <w:b/>
                <w:sz w:val="18"/>
                <w:szCs w:val="18"/>
              </w:rPr>
              <w:t xml:space="preserve"> SC 162 mg every week + DMARD(s)</w:t>
            </w:r>
          </w:p>
        </w:tc>
        <w:tc>
          <w:tcPr>
            <w:tcW w:w="1120" w:type="pct"/>
            <w:vAlign w:val="center"/>
          </w:tcPr>
          <w:p w14:paraId="792BD45A" w14:textId="76CE339D" w:rsidR="00B71E20" w:rsidRPr="008D4276" w:rsidRDefault="00346827"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TOC</w:t>
            </w:r>
            <w:r w:rsidR="00B71E20" w:rsidRPr="008D4276">
              <w:rPr>
                <w:rFonts w:asciiTheme="majorHAnsi" w:hAnsiTheme="majorHAnsi" w:cs="Calibri"/>
                <w:b/>
                <w:sz w:val="18"/>
                <w:szCs w:val="18"/>
              </w:rPr>
              <w:t xml:space="preserve"> IV 8 mg/kg every 4 weeks + DMARD(s)</w:t>
            </w:r>
          </w:p>
        </w:tc>
        <w:tc>
          <w:tcPr>
            <w:tcW w:w="856" w:type="pct"/>
            <w:vAlign w:val="center"/>
          </w:tcPr>
          <w:p w14:paraId="0195764E" w14:textId="5F9F0219"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 xml:space="preserve"> </w:t>
            </w:r>
            <w:r w:rsidR="00346827" w:rsidRPr="008D4276">
              <w:rPr>
                <w:rFonts w:asciiTheme="majorHAnsi" w:hAnsiTheme="majorHAnsi" w:cs="Calibri"/>
                <w:b/>
                <w:sz w:val="18"/>
                <w:szCs w:val="18"/>
              </w:rPr>
              <w:t>TOC</w:t>
            </w:r>
            <w:r w:rsidRPr="008D4276">
              <w:rPr>
                <w:rFonts w:asciiTheme="majorHAnsi" w:hAnsiTheme="majorHAnsi" w:cs="Calibri"/>
                <w:b/>
                <w:sz w:val="18"/>
                <w:szCs w:val="18"/>
              </w:rPr>
              <w:t>SC 162 mg every other week + DMARD(s)</w:t>
            </w:r>
          </w:p>
        </w:tc>
        <w:tc>
          <w:tcPr>
            <w:tcW w:w="857" w:type="pct"/>
            <w:vAlign w:val="center"/>
          </w:tcPr>
          <w:p w14:paraId="5DE8434F"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Placebo + DMARD(s)</w:t>
            </w:r>
          </w:p>
        </w:tc>
      </w:tr>
      <w:tr w:rsidR="00B71E20" w:rsidRPr="001922B7" w14:paraId="14A4429E" w14:textId="77777777" w:rsidTr="00B71E20">
        <w:trPr>
          <w:trHeight w:val="230"/>
          <w:tblHeader/>
        </w:trPr>
        <w:tc>
          <w:tcPr>
            <w:tcW w:w="1233" w:type="pct"/>
            <w:vMerge/>
            <w:tcBorders>
              <w:top w:val="nil"/>
            </w:tcBorders>
          </w:tcPr>
          <w:p w14:paraId="51771A76" w14:textId="77777777" w:rsidR="00B71E20" w:rsidRPr="008D4276" w:rsidRDefault="00B71E20" w:rsidP="00B71E20">
            <w:pPr>
              <w:pStyle w:val="NoSpacing"/>
              <w:rPr>
                <w:rFonts w:asciiTheme="majorHAnsi" w:hAnsiTheme="majorHAnsi" w:cs="Calibri"/>
                <w:sz w:val="18"/>
                <w:szCs w:val="18"/>
              </w:rPr>
            </w:pPr>
          </w:p>
        </w:tc>
        <w:tc>
          <w:tcPr>
            <w:tcW w:w="934" w:type="pct"/>
            <w:vAlign w:val="center"/>
          </w:tcPr>
          <w:p w14:paraId="613F14EE"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n=558</w:t>
            </w:r>
          </w:p>
        </w:tc>
        <w:tc>
          <w:tcPr>
            <w:tcW w:w="1120" w:type="pct"/>
            <w:vAlign w:val="center"/>
          </w:tcPr>
          <w:p w14:paraId="4C12D629"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n=537</w:t>
            </w:r>
          </w:p>
        </w:tc>
        <w:tc>
          <w:tcPr>
            <w:tcW w:w="856" w:type="pct"/>
            <w:vAlign w:val="center"/>
          </w:tcPr>
          <w:p w14:paraId="09AECBB9"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n=437</w:t>
            </w:r>
          </w:p>
        </w:tc>
        <w:tc>
          <w:tcPr>
            <w:tcW w:w="857" w:type="pct"/>
            <w:vAlign w:val="center"/>
          </w:tcPr>
          <w:p w14:paraId="11CA301B"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n=219</w:t>
            </w:r>
          </w:p>
        </w:tc>
      </w:tr>
      <w:tr w:rsidR="00B71E20" w:rsidRPr="001922B7" w14:paraId="191449FC" w14:textId="77777777" w:rsidTr="00B71E20">
        <w:trPr>
          <w:trHeight w:val="275"/>
        </w:trPr>
        <w:tc>
          <w:tcPr>
            <w:tcW w:w="5000" w:type="pct"/>
            <w:gridSpan w:val="5"/>
          </w:tcPr>
          <w:p w14:paraId="7C9C73D2"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ACR20</w:t>
            </w:r>
          </w:p>
        </w:tc>
      </w:tr>
      <w:tr w:rsidR="00B71E20" w:rsidRPr="001922B7" w14:paraId="0E98F416" w14:textId="77777777" w:rsidTr="00B71E20">
        <w:trPr>
          <w:trHeight w:val="230"/>
        </w:trPr>
        <w:tc>
          <w:tcPr>
            <w:tcW w:w="1233" w:type="pct"/>
          </w:tcPr>
          <w:p w14:paraId="3A67046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934" w:type="pct"/>
          </w:tcPr>
          <w:p w14:paraId="1D21355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69.4%</w:t>
            </w:r>
          </w:p>
        </w:tc>
        <w:tc>
          <w:tcPr>
            <w:tcW w:w="1120" w:type="pct"/>
          </w:tcPr>
          <w:p w14:paraId="1E092F5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73.4%</w:t>
            </w:r>
          </w:p>
        </w:tc>
        <w:tc>
          <w:tcPr>
            <w:tcW w:w="856" w:type="pct"/>
          </w:tcPr>
          <w:p w14:paraId="6169EE6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60.9%</w:t>
            </w:r>
          </w:p>
        </w:tc>
        <w:tc>
          <w:tcPr>
            <w:tcW w:w="857" w:type="pct"/>
          </w:tcPr>
          <w:p w14:paraId="37ECB2E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31.5%</w:t>
            </w:r>
          </w:p>
        </w:tc>
      </w:tr>
      <w:tr w:rsidR="00B71E20" w:rsidRPr="001922B7" w14:paraId="36F668DA" w14:textId="77777777" w:rsidTr="00B71E20">
        <w:trPr>
          <w:trHeight w:val="460"/>
        </w:trPr>
        <w:tc>
          <w:tcPr>
            <w:tcW w:w="1233" w:type="pct"/>
          </w:tcPr>
          <w:p w14:paraId="1CD8962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Weighted difference (95% CI)</w:t>
            </w:r>
          </w:p>
        </w:tc>
        <w:tc>
          <w:tcPr>
            <w:tcW w:w="2054" w:type="pct"/>
            <w:gridSpan w:val="2"/>
          </w:tcPr>
          <w:p w14:paraId="3C045B49"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-4.0 (-9.2, 1.2)</w:t>
            </w:r>
          </w:p>
        </w:tc>
        <w:tc>
          <w:tcPr>
            <w:tcW w:w="1713" w:type="pct"/>
            <w:gridSpan w:val="2"/>
          </w:tcPr>
          <w:p w14:paraId="0E2EDD8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30 (22.0, 37.0)</w:t>
            </w:r>
          </w:p>
        </w:tc>
      </w:tr>
      <w:tr w:rsidR="00B71E20" w:rsidRPr="001922B7" w14:paraId="666CE5C0" w14:textId="77777777" w:rsidTr="00B71E20">
        <w:trPr>
          <w:trHeight w:val="275"/>
        </w:trPr>
        <w:tc>
          <w:tcPr>
            <w:tcW w:w="5000" w:type="pct"/>
            <w:gridSpan w:val="5"/>
          </w:tcPr>
          <w:p w14:paraId="26214BFD"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ACR50</w:t>
            </w:r>
          </w:p>
        </w:tc>
      </w:tr>
      <w:tr w:rsidR="00B71E20" w:rsidRPr="001922B7" w14:paraId="22AE71A1" w14:textId="77777777" w:rsidTr="00B71E20">
        <w:trPr>
          <w:trHeight w:val="230"/>
        </w:trPr>
        <w:tc>
          <w:tcPr>
            <w:tcW w:w="1233" w:type="pct"/>
          </w:tcPr>
          <w:p w14:paraId="7AB6E37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934" w:type="pct"/>
          </w:tcPr>
          <w:p w14:paraId="554161F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47.0%</w:t>
            </w:r>
          </w:p>
        </w:tc>
        <w:tc>
          <w:tcPr>
            <w:tcW w:w="1120" w:type="pct"/>
          </w:tcPr>
          <w:p w14:paraId="48570B0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48.6%</w:t>
            </w:r>
          </w:p>
        </w:tc>
        <w:tc>
          <w:tcPr>
            <w:tcW w:w="856" w:type="pct"/>
          </w:tcPr>
          <w:p w14:paraId="4E4EF96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39.8%</w:t>
            </w:r>
          </w:p>
        </w:tc>
        <w:tc>
          <w:tcPr>
            <w:tcW w:w="857" w:type="pct"/>
          </w:tcPr>
          <w:p w14:paraId="46C22FB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12.3%</w:t>
            </w:r>
          </w:p>
        </w:tc>
      </w:tr>
      <w:tr w:rsidR="00B71E20" w:rsidRPr="001922B7" w14:paraId="0E75780F" w14:textId="77777777" w:rsidTr="00B71E20">
        <w:trPr>
          <w:trHeight w:val="220"/>
        </w:trPr>
        <w:tc>
          <w:tcPr>
            <w:tcW w:w="1233" w:type="pct"/>
          </w:tcPr>
          <w:p w14:paraId="1949ECA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lastRenderedPageBreak/>
              <w:t>Weighted difference (95% CI)</w:t>
            </w:r>
          </w:p>
        </w:tc>
        <w:tc>
          <w:tcPr>
            <w:tcW w:w="2054" w:type="pct"/>
            <w:gridSpan w:val="2"/>
          </w:tcPr>
          <w:p w14:paraId="4408A13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-1.8 (-7.5, 4.0)</w:t>
            </w:r>
          </w:p>
        </w:tc>
        <w:tc>
          <w:tcPr>
            <w:tcW w:w="1713" w:type="pct"/>
            <w:gridSpan w:val="2"/>
          </w:tcPr>
          <w:p w14:paraId="1A1E10C1"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28 (21.5, 34.4)</w:t>
            </w:r>
          </w:p>
        </w:tc>
      </w:tr>
      <w:tr w:rsidR="00B71E20" w:rsidRPr="001922B7" w14:paraId="5FCAC876" w14:textId="77777777" w:rsidTr="00B71E20">
        <w:trPr>
          <w:trHeight w:val="275"/>
        </w:trPr>
        <w:tc>
          <w:tcPr>
            <w:tcW w:w="3287" w:type="pct"/>
            <w:gridSpan w:val="3"/>
          </w:tcPr>
          <w:p w14:paraId="4B8B96EA"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ACR70</w:t>
            </w:r>
          </w:p>
        </w:tc>
        <w:tc>
          <w:tcPr>
            <w:tcW w:w="1713" w:type="pct"/>
            <w:gridSpan w:val="2"/>
          </w:tcPr>
          <w:p w14:paraId="45296314" w14:textId="77777777" w:rsidR="00B71E20" w:rsidRPr="008D4276" w:rsidRDefault="00B71E20" w:rsidP="00B71E20">
            <w:pPr>
              <w:pStyle w:val="NoSpacing"/>
              <w:rPr>
                <w:rFonts w:asciiTheme="majorHAnsi" w:hAnsiTheme="majorHAnsi" w:cs="Calibri"/>
                <w:sz w:val="18"/>
                <w:szCs w:val="18"/>
              </w:rPr>
            </w:pPr>
          </w:p>
        </w:tc>
      </w:tr>
      <w:tr w:rsidR="00B71E20" w:rsidRPr="001922B7" w14:paraId="06B23950" w14:textId="77777777" w:rsidTr="00B71E20">
        <w:trPr>
          <w:trHeight w:val="230"/>
        </w:trPr>
        <w:tc>
          <w:tcPr>
            <w:tcW w:w="1233" w:type="pct"/>
          </w:tcPr>
          <w:p w14:paraId="01793AA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934" w:type="pct"/>
          </w:tcPr>
          <w:p w14:paraId="22CCB03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24.0%</w:t>
            </w:r>
          </w:p>
        </w:tc>
        <w:tc>
          <w:tcPr>
            <w:tcW w:w="1120" w:type="pct"/>
          </w:tcPr>
          <w:p w14:paraId="21916F7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27.9%</w:t>
            </w:r>
          </w:p>
        </w:tc>
        <w:tc>
          <w:tcPr>
            <w:tcW w:w="856" w:type="pct"/>
          </w:tcPr>
          <w:p w14:paraId="636D4D9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19.7%</w:t>
            </w:r>
          </w:p>
        </w:tc>
        <w:tc>
          <w:tcPr>
            <w:tcW w:w="857" w:type="pct"/>
          </w:tcPr>
          <w:p w14:paraId="734705B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5.0%</w:t>
            </w:r>
          </w:p>
        </w:tc>
      </w:tr>
      <w:tr w:rsidR="00B71E20" w:rsidRPr="001922B7" w14:paraId="32955C20" w14:textId="77777777" w:rsidTr="00B71E20">
        <w:trPr>
          <w:trHeight w:val="173"/>
        </w:trPr>
        <w:tc>
          <w:tcPr>
            <w:tcW w:w="1233" w:type="pct"/>
          </w:tcPr>
          <w:p w14:paraId="7E4D55A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Weighted difference (95% CI)</w:t>
            </w:r>
          </w:p>
        </w:tc>
        <w:tc>
          <w:tcPr>
            <w:tcW w:w="2054" w:type="pct"/>
            <w:gridSpan w:val="2"/>
          </w:tcPr>
          <w:p w14:paraId="77DBCC3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-3.8 (-9.0, 1.3)</w:t>
            </w:r>
          </w:p>
        </w:tc>
        <w:tc>
          <w:tcPr>
            <w:tcW w:w="1713" w:type="pct"/>
            <w:gridSpan w:val="2"/>
          </w:tcPr>
          <w:p w14:paraId="4636778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15 (9.8, 19.9)</w:t>
            </w:r>
          </w:p>
        </w:tc>
      </w:tr>
      <w:tr w:rsidR="00B71E20" w:rsidRPr="001922B7" w14:paraId="2F8FEFE5" w14:textId="77777777" w:rsidTr="00B71E20">
        <w:trPr>
          <w:trHeight w:val="275"/>
        </w:trPr>
        <w:tc>
          <w:tcPr>
            <w:tcW w:w="5000" w:type="pct"/>
            <w:gridSpan w:val="5"/>
          </w:tcPr>
          <w:p w14:paraId="26FC13CA"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Change in DAS28 [adjusted mean]</w:t>
            </w:r>
          </w:p>
        </w:tc>
      </w:tr>
      <w:tr w:rsidR="00B71E20" w:rsidRPr="001922B7" w14:paraId="376745C9" w14:textId="77777777" w:rsidTr="00B71E20">
        <w:trPr>
          <w:trHeight w:val="230"/>
        </w:trPr>
        <w:tc>
          <w:tcPr>
            <w:tcW w:w="1233" w:type="pct"/>
          </w:tcPr>
          <w:p w14:paraId="3FF2F0E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934" w:type="pct"/>
          </w:tcPr>
          <w:p w14:paraId="6611413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-3.5</w:t>
            </w:r>
          </w:p>
        </w:tc>
        <w:tc>
          <w:tcPr>
            <w:tcW w:w="1120" w:type="pct"/>
          </w:tcPr>
          <w:p w14:paraId="3EFF864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-3.5</w:t>
            </w:r>
          </w:p>
        </w:tc>
        <w:tc>
          <w:tcPr>
            <w:tcW w:w="856" w:type="pct"/>
          </w:tcPr>
          <w:p w14:paraId="6BCF9E4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-3.1</w:t>
            </w:r>
          </w:p>
        </w:tc>
        <w:tc>
          <w:tcPr>
            <w:tcW w:w="857" w:type="pct"/>
          </w:tcPr>
          <w:p w14:paraId="16F7B1A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-1.7</w:t>
            </w:r>
          </w:p>
        </w:tc>
      </w:tr>
      <w:tr w:rsidR="00B71E20" w:rsidRPr="001922B7" w14:paraId="63B05762" w14:textId="77777777" w:rsidTr="00B71E20">
        <w:trPr>
          <w:trHeight w:val="460"/>
        </w:trPr>
        <w:tc>
          <w:tcPr>
            <w:tcW w:w="1233" w:type="pct"/>
          </w:tcPr>
          <w:p w14:paraId="0FECFC0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Adjusted mean difference (95% CI)</w:t>
            </w:r>
          </w:p>
        </w:tc>
        <w:tc>
          <w:tcPr>
            <w:tcW w:w="2054" w:type="pct"/>
            <w:gridSpan w:val="2"/>
          </w:tcPr>
          <w:p w14:paraId="118C468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 (-0.2, 0.1)</w:t>
            </w:r>
          </w:p>
        </w:tc>
        <w:tc>
          <w:tcPr>
            <w:tcW w:w="1713" w:type="pct"/>
            <w:gridSpan w:val="2"/>
          </w:tcPr>
          <w:p w14:paraId="4D7A30D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-1.4 (-1.7, -1.1)</w:t>
            </w:r>
          </w:p>
        </w:tc>
      </w:tr>
      <w:tr w:rsidR="00B71E20" w:rsidRPr="001922B7" w14:paraId="6CAD4BFC" w14:textId="77777777" w:rsidTr="00B71E20">
        <w:trPr>
          <w:trHeight w:val="275"/>
        </w:trPr>
        <w:tc>
          <w:tcPr>
            <w:tcW w:w="5000" w:type="pct"/>
            <w:gridSpan w:val="5"/>
          </w:tcPr>
          <w:p w14:paraId="7F153C0A"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DAS28 &lt; 2.6 response (%)</w:t>
            </w:r>
          </w:p>
        </w:tc>
      </w:tr>
      <w:tr w:rsidR="00B71E20" w:rsidRPr="001922B7" w14:paraId="49BBEABA" w14:textId="77777777" w:rsidTr="00B71E20">
        <w:trPr>
          <w:trHeight w:val="230"/>
        </w:trPr>
        <w:tc>
          <w:tcPr>
            <w:tcW w:w="1233" w:type="pct"/>
          </w:tcPr>
          <w:p w14:paraId="4F48E23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934" w:type="pct"/>
          </w:tcPr>
          <w:p w14:paraId="3A1BC9A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38.4%</w:t>
            </w:r>
          </w:p>
        </w:tc>
        <w:tc>
          <w:tcPr>
            <w:tcW w:w="1120" w:type="pct"/>
          </w:tcPr>
          <w:p w14:paraId="5712D0F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36.9%</w:t>
            </w:r>
          </w:p>
        </w:tc>
        <w:tc>
          <w:tcPr>
            <w:tcW w:w="856" w:type="pct"/>
          </w:tcPr>
          <w:p w14:paraId="07E6BB3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32.0%</w:t>
            </w:r>
          </w:p>
        </w:tc>
        <w:tc>
          <w:tcPr>
            <w:tcW w:w="857" w:type="pct"/>
          </w:tcPr>
          <w:p w14:paraId="39A9FF8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4.0%</w:t>
            </w:r>
          </w:p>
        </w:tc>
      </w:tr>
      <w:tr w:rsidR="00B71E20" w:rsidRPr="001922B7" w14:paraId="7A62EBE4" w14:textId="77777777" w:rsidTr="00B71E20">
        <w:trPr>
          <w:trHeight w:val="255"/>
        </w:trPr>
        <w:tc>
          <w:tcPr>
            <w:tcW w:w="1233" w:type="pct"/>
          </w:tcPr>
          <w:p w14:paraId="4928CCDE"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Weighted difference (95% CI)</w:t>
            </w:r>
          </w:p>
        </w:tc>
        <w:tc>
          <w:tcPr>
            <w:tcW w:w="2054" w:type="pct"/>
            <w:gridSpan w:val="2"/>
          </w:tcPr>
          <w:p w14:paraId="3D483EA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0.9 (-5.0, 6.8)</w:t>
            </w:r>
          </w:p>
        </w:tc>
        <w:tc>
          <w:tcPr>
            <w:tcW w:w="1713" w:type="pct"/>
            <w:gridSpan w:val="2"/>
          </w:tcPr>
          <w:p w14:paraId="179997D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28.6 (22.0, 35.2)</w:t>
            </w:r>
          </w:p>
        </w:tc>
      </w:tr>
    </w:tbl>
    <w:p w14:paraId="57DAC188" w14:textId="5F30A15A"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 xml:space="preserve"> </w:t>
      </w:r>
      <w:r w:rsidR="00346827" w:rsidRPr="008D4276">
        <w:rPr>
          <w:rFonts w:asciiTheme="majorHAnsi" w:hAnsiTheme="majorHAnsi" w:cs="Calibri"/>
          <w:b/>
          <w:sz w:val="18"/>
          <w:szCs w:val="18"/>
        </w:rPr>
        <w:t>TOC</w:t>
      </w:r>
      <w:r w:rsidRPr="008D4276">
        <w:rPr>
          <w:rFonts w:asciiTheme="majorHAnsi" w:hAnsiTheme="majorHAnsi" w:cs="Calibri"/>
          <w:sz w:val="18"/>
          <w:szCs w:val="18"/>
        </w:rPr>
        <w:t xml:space="preserve">= </w:t>
      </w:r>
      <w:r w:rsidR="001B6872" w:rsidRPr="008D4276">
        <w:rPr>
          <w:rFonts w:asciiTheme="majorHAnsi" w:hAnsiTheme="majorHAnsi" w:cs="Calibri"/>
          <w:sz w:val="18"/>
          <w:szCs w:val="18"/>
        </w:rPr>
        <w:t>tocilizumab</w:t>
      </w:r>
    </w:p>
    <w:p w14:paraId="7E3F65BB"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vertAlign w:val="superscript"/>
        </w:rPr>
        <w:t>a</w:t>
      </w:r>
      <w:r w:rsidRPr="008D4276">
        <w:rPr>
          <w:rFonts w:asciiTheme="majorHAnsi" w:hAnsiTheme="majorHAnsi" w:cs="Calibri"/>
          <w:sz w:val="18"/>
          <w:szCs w:val="18"/>
        </w:rPr>
        <w:t xml:space="preserve"> = per protocol population</w:t>
      </w:r>
    </w:p>
    <w:p w14:paraId="612EA34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vertAlign w:val="superscript"/>
        </w:rPr>
        <w:t>b</w:t>
      </w:r>
      <w:r w:rsidRPr="008D4276">
        <w:rPr>
          <w:rFonts w:asciiTheme="majorHAnsi" w:hAnsiTheme="majorHAnsi" w:cs="Calibri"/>
          <w:sz w:val="18"/>
          <w:szCs w:val="18"/>
        </w:rPr>
        <w:t xml:space="preserve"> = intent to treat population</w:t>
      </w:r>
    </w:p>
    <w:p w14:paraId="6EE267AD" w14:textId="77777777" w:rsidR="00B71E20" w:rsidRPr="008D4276" w:rsidRDefault="00B71E20" w:rsidP="004D6592">
      <w:pPr>
        <w:rPr>
          <w:rFonts w:asciiTheme="majorHAnsi" w:hAnsiTheme="majorHAnsi"/>
        </w:rPr>
      </w:pPr>
    </w:p>
    <w:p w14:paraId="01A1F0B7" w14:textId="12717002" w:rsidR="0089656D" w:rsidRPr="008D4276" w:rsidRDefault="0089656D" w:rsidP="004D6592">
      <w:pPr>
        <w:rPr>
          <w:rFonts w:asciiTheme="majorHAnsi" w:hAnsiTheme="majorHAnsi"/>
        </w:rPr>
      </w:pPr>
      <w:r w:rsidRPr="008D4276">
        <w:rPr>
          <w:rFonts w:asciiTheme="majorHAnsi" w:hAnsiTheme="majorHAnsi"/>
        </w:rPr>
        <w:t xml:space="preserve">In SUMMACTA, ACR 20, 50 and 70 response rates were comparable between the subcutaneous and intravenous </w:t>
      </w:r>
      <w:r w:rsidR="001B6872" w:rsidRPr="008D4276">
        <w:rPr>
          <w:rFonts w:asciiTheme="majorHAnsi" w:hAnsiTheme="majorHAnsi"/>
        </w:rPr>
        <w:t>tocilizumab</w:t>
      </w:r>
      <w:r w:rsidRPr="008D4276">
        <w:rPr>
          <w:rFonts w:asciiTheme="majorHAnsi" w:hAnsiTheme="majorHAnsi"/>
        </w:rPr>
        <w:t xml:space="preserve"> study arms across the three body weight categories (&lt; 60 kg, 60 </w:t>
      </w:r>
      <w:r w:rsidRPr="008D4276">
        <w:rPr>
          <w:rFonts w:asciiTheme="majorHAnsi" w:hAnsiTheme="majorHAnsi" w:hint="eastAsia"/>
        </w:rPr>
        <w:t>–</w:t>
      </w:r>
      <w:r w:rsidRPr="008D4276">
        <w:rPr>
          <w:rFonts w:asciiTheme="majorHAnsi" w:hAnsiTheme="majorHAnsi"/>
        </w:rPr>
        <w:t xml:space="preserve"> 100 kg, </w:t>
      </w:r>
      <w:r w:rsidRPr="008D4276">
        <w:rPr>
          <w:rFonts w:asciiTheme="majorHAnsi" w:hAnsiTheme="majorHAnsi" w:hint="eastAsia"/>
        </w:rPr>
        <w:t>≥</w:t>
      </w:r>
      <w:r w:rsidRPr="008D4276">
        <w:rPr>
          <w:rFonts w:asciiTheme="majorHAnsi" w:hAnsiTheme="majorHAnsi"/>
        </w:rPr>
        <w:t xml:space="preserve"> 100</w:t>
      </w:r>
      <w:r w:rsidR="00B71E20" w:rsidRPr="008D4276">
        <w:rPr>
          <w:rFonts w:asciiTheme="majorHAnsi" w:hAnsiTheme="majorHAnsi"/>
        </w:rPr>
        <w:t> </w:t>
      </w:r>
      <w:r w:rsidRPr="008D4276">
        <w:rPr>
          <w:rFonts w:asciiTheme="majorHAnsi" w:hAnsiTheme="majorHAnsi"/>
        </w:rPr>
        <w:t>kg). ACR 20, 50 and 70 response rates in the heaviest weight category (</w:t>
      </w:r>
      <w:r w:rsidRPr="008D4276">
        <w:rPr>
          <w:rFonts w:asciiTheme="majorHAnsi" w:hAnsiTheme="majorHAnsi" w:hint="eastAsia"/>
        </w:rPr>
        <w:t>≥</w:t>
      </w:r>
      <w:r w:rsidRPr="008D4276">
        <w:rPr>
          <w:rFonts w:asciiTheme="majorHAnsi" w:hAnsiTheme="majorHAnsi"/>
        </w:rPr>
        <w:t xml:space="preserve"> 100 kg) were lower compared to the other weight categories in the subcutaneous and intravenous </w:t>
      </w:r>
      <w:r w:rsidR="001B6872" w:rsidRPr="008D4276">
        <w:rPr>
          <w:rFonts w:asciiTheme="majorHAnsi" w:hAnsiTheme="majorHAnsi"/>
        </w:rPr>
        <w:t>tocilizumab</w:t>
      </w:r>
      <w:r w:rsidRPr="008D4276">
        <w:rPr>
          <w:rFonts w:asciiTheme="majorHAnsi" w:hAnsiTheme="majorHAnsi"/>
        </w:rPr>
        <w:t xml:space="preserve"> study arms. The same phenomenon of lower response rates in heavier patients (</w:t>
      </w:r>
      <w:r w:rsidRPr="008D4276">
        <w:rPr>
          <w:rFonts w:asciiTheme="majorHAnsi" w:hAnsiTheme="majorHAnsi" w:hint="eastAsia"/>
        </w:rPr>
        <w:t>≥</w:t>
      </w:r>
      <w:r w:rsidRPr="008D4276">
        <w:rPr>
          <w:rFonts w:asciiTheme="majorHAnsi" w:hAnsiTheme="majorHAnsi"/>
        </w:rPr>
        <w:t xml:space="preserve"> 100 kg) compared to other weight categories was seen in patients receiving the subcutaneous </w:t>
      </w:r>
      <w:r w:rsidR="001B6872" w:rsidRPr="008D4276">
        <w:rPr>
          <w:rFonts w:asciiTheme="majorHAnsi" w:hAnsiTheme="majorHAnsi"/>
        </w:rPr>
        <w:t>tocilizumab</w:t>
      </w:r>
      <w:r w:rsidR="006447CE" w:rsidRPr="008D4276">
        <w:rPr>
          <w:rFonts w:asciiTheme="majorHAnsi" w:hAnsiTheme="majorHAnsi"/>
        </w:rPr>
        <w:t xml:space="preserve"> </w:t>
      </w:r>
      <w:r w:rsidRPr="008D4276">
        <w:rPr>
          <w:rFonts w:asciiTheme="majorHAnsi" w:hAnsiTheme="majorHAnsi"/>
        </w:rPr>
        <w:t>every other week regimen in BREVACTA.</w:t>
      </w:r>
    </w:p>
    <w:p w14:paraId="3C9C42D8"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Major Clinical Response</w:t>
      </w:r>
    </w:p>
    <w:p w14:paraId="51BD324F" w14:textId="24E2A61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After 2 years of treatment with intravenous </w:t>
      </w:r>
      <w:r w:rsidR="001B6872" w:rsidRPr="008D4276">
        <w:rPr>
          <w:rFonts w:asciiTheme="majorHAnsi" w:hAnsiTheme="majorHAnsi" w:cstheme="minorHAnsi"/>
        </w:rPr>
        <w:t>tocilizumab</w:t>
      </w:r>
      <w:r w:rsidRPr="008D4276">
        <w:rPr>
          <w:rFonts w:asciiTheme="majorHAnsi" w:hAnsiTheme="majorHAnsi" w:cstheme="minorHAnsi"/>
        </w:rPr>
        <w:t xml:space="preserve"> + MTX, 14% of patients achieved a major clinical response (maintenance of an ACR70 response for 24 weeks or more).</w:t>
      </w:r>
    </w:p>
    <w:p w14:paraId="623FDDD5"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Radiographic response</w:t>
      </w:r>
    </w:p>
    <w:p w14:paraId="515F386A" w14:textId="2461F91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study II (LITHE), in patients with an inadequate response to MTX, inhibition of structural joint damage was assessed radiographically and expressed as change in modified Sharp score and its components, the erosion score and joint space narrowing (JSN) score. Missing week 52 radiographic data was imputed using linear extrapolation. This was performed for any patient who had a baseline assessment and at least one post-baseline radiographic assessment. The change from baseline was then calculated using the extrapolated score. Inhibition of structural joint damage was shown with significantly less radiographic progression in patients receiving </w:t>
      </w:r>
      <w:r w:rsidR="001B6872" w:rsidRPr="008D4276">
        <w:rPr>
          <w:rFonts w:asciiTheme="majorHAnsi" w:hAnsiTheme="majorHAnsi" w:cstheme="minorHAnsi"/>
        </w:rPr>
        <w:t>tocilizumab</w:t>
      </w:r>
      <w:r w:rsidRPr="008D4276">
        <w:rPr>
          <w:rFonts w:asciiTheme="majorHAnsi" w:hAnsiTheme="majorHAnsi" w:cstheme="minorHAnsi"/>
        </w:rPr>
        <w:t xml:space="preserve"> compared to control (</w:t>
      </w:r>
      <w:r w:rsidR="00C93264">
        <w:rPr>
          <w:rFonts w:asciiTheme="majorHAnsi" w:hAnsiTheme="majorHAnsi" w:cstheme="minorHAnsi"/>
        </w:rPr>
        <w:fldChar w:fldCharType="begin"/>
      </w:r>
      <w:r w:rsidR="00C93264">
        <w:rPr>
          <w:rFonts w:asciiTheme="majorHAnsi" w:hAnsiTheme="majorHAnsi" w:cstheme="minorHAnsi"/>
        </w:rPr>
        <w:instrText xml:space="preserve"> REF _Ref159343050 \h </w:instrText>
      </w:r>
      <w:r w:rsidR="00C93264">
        <w:rPr>
          <w:rFonts w:asciiTheme="majorHAnsi" w:hAnsiTheme="majorHAnsi" w:cstheme="minorHAnsi"/>
        </w:rPr>
      </w:r>
      <w:r w:rsidR="00C93264">
        <w:rPr>
          <w:rFonts w:asciiTheme="majorHAnsi" w:hAnsiTheme="majorHAnsi" w:cstheme="minorHAnsi"/>
        </w:rPr>
        <w:fldChar w:fldCharType="separate"/>
      </w:r>
      <w:r w:rsidR="004C310F" w:rsidRPr="008D4276">
        <w:rPr>
          <w:rFonts w:asciiTheme="majorHAnsi" w:hAnsiTheme="majorHAnsi" w:cs="Calibri"/>
        </w:rPr>
        <w:t xml:space="preserve">Table </w:t>
      </w:r>
      <w:r w:rsidR="004C310F">
        <w:rPr>
          <w:rFonts w:asciiTheme="majorHAnsi" w:hAnsiTheme="majorHAnsi" w:cs="Calibri"/>
          <w:noProof/>
        </w:rPr>
        <w:t>7</w:t>
      </w:r>
      <w:r w:rsidR="00C93264">
        <w:rPr>
          <w:rFonts w:asciiTheme="majorHAnsi" w:hAnsiTheme="majorHAnsi" w:cstheme="minorHAnsi"/>
        </w:rPr>
        <w:fldChar w:fldCharType="end"/>
      </w:r>
      <w:r w:rsidRPr="008D4276">
        <w:rPr>
          <w:rFonts w:asciiTheme="majorHAnsi" w:hAnsiTheme="majorHAnsi" w:cstheme="minorHAnsi"/>
        </w:rPr>
        <w:t>).</w:t>
      </w:r>
    </w:p>
    <w:p w14:paraId="0205CD1A" w14:textId="73F98269"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the open-label extension of study II further improvement in the inhibition of progression of structural damage in </w:t>
      </w:r>
      <w:r w:rsidR="001B6872" w:rsidRPr="008D4276">
        <w:rPr>
          <w:rFonts w:asciiTheme="majorHAnsi" w:hAnsiTheme="majorHAnsi" w:cstheme="minorHAnsi"/>
        </w:rPr>
        <w:t>tocilizumab</w:t>
      </w:r>
      <w:r w:rsidRPr="008D4276">
        <w:rPr>
          <w:rFonts w:asciiTheme="majorHAnsi" w:hAnsiTheme="majorHAnsi" w:cstheme="minorHAnsi"/>
        </w:rPr>
        <w:t xml:space="preserve"> + MTX-treated patients were observed in the second year of treatment. Study II did not investigate the effect of </w:t>
      </w:r>
      <w:r w:rsidR="001B6872" w:rsidRPr="008D4276">
        <w:rPr>
          <w:rFonts w:asciiTheme="majorHAnsi" w:hAnsiTheme="majorHAnsi" w:cstheme="minorHAnsi"/>
        </w:rPr>
        <w:t>tocilizumab</w:t>
      </w:r>
      <w:r w:rsidRPr="008D4276">
        <w:rPr>
          <w:rFonts w:asciiTheme="majorHAnsi" w:hAnsiTheme="majorHAnsi" w:cstheme="minorHAnsi"/>
        </w:rPr>
        <w:t xml:space="preserve"> monotherapy on radiographic endpoints.</w:t>
      </w:r>
    </w:p>
    <w:p w14:paraId="055A74DE" w14:textId="3D6ACABC" w:rsidR="0089656D" w:rsidRPr="008D4276" w:rsidRDefault="0089656D" w:rsidP="00B71E20">
      <w:pPr>
        <w:pStyle w:val="Caption"/>
        <w:rPr>
          <w:rFonts w:asciiTheme="majorHAnsi" w:hAnsiTheme="majorHAnsi" w:cs="Calibri"/>
        </w:rPr>
      </w:pPr>
      <w:bookmarkStart w:id="60" w:name="_Ref159343065"/>
      <w:r w:rsidRPr="008D4276">
        <w:rPr>
          <w:rFonts w:asciiTheme="majorHAnsi" w:hAnsiTheme="majorHAnsi" w:cs="Calibri"/>
        </w:rPr>
        <w:lastRenderedPageBreak/>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8</w:t>
      </w:r>
      <w:r w:rsidR="0006243F" w:rsidRPr="008D4276">
        <w:rPr>
          <w:rFonts w:asciiTheme="majorHAnsi" w:hAnsiTheme="majorHAnsi" w:cs="Calibri"/>
        </w:rPr>
        <w:fldChar w:fldCharType="end"/>
      </w:r>
      <w:bookmarkEnd w:id="60"/>
      <w:r w:rsidRPr="008D4276">
        <w:rPr>
          <w:rFonts w:asciiTheme="majorHAnsi" w:hAnsiTheme="majorHAnsi" w:cs="Calibri"/>
        </w:rPr>
        <w:t xml:space="preserve"> Radiographic mean changes at 52 and 104 weeks in study II (LITHE)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88"/>
        <w:gridCol w:w="1921"/>
        <w:gridCol w:w="3211"/>
      </w:tblGrid>
      <w:tr w:rsidR="00B71E20" w:rsidRPr="001922B7" w14:paraId="03156306" w14:textId="77777777" w:rsidTr="00B71E20">
        <w:trPr>
          <w:trHeight w:val="983"/>
        </w:trPr>
        <w:tc>
          <w:tcPr>
            <w:tcW w:w="2155" w:type="pct"/>
          </w:tcPr>
          <w:p w14:paraId="2739A688" w14:textId="77777777" w:rsidR="00B71E20" w:rsidRPr="008D4276" w:rsidRDefault="00B71E20" w:rsidP="00B71E20">
            <w:pPr>
              <w:pStyle w:val="NoSpacing"/>
              <w:rPr>
                <w:rFonts w:asciiTheme="majorHAnsi" w:hAnsiTheme="majorHAnsi" w:cs="Calibri"/>
                <w:sz w:val="18"/>
                <w:szCs w:val="18"/>
              </w:rPr>
            </w:pPr>
          </w:p>
        </w:tc>
        <w:tc>
          <w:tcPr>
            <w:tcW w:w="1065" w:type="pct"/>
          </w:tcPr>
          <w:p w14:paraId="1AB367F3" w14:textId="11479271" w:rsidR="00B71E20" w:rsidRPr="008D4276" w:rsidRDefault="00346827"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TOC</w:t>
            </w:r>
            <w:r w:rsidR="00B71E20" w:rsidRPr="008D4276">
              <w:rPr>
                <w:rFonts w:asciiTheme="majorHAnsi" w:hAnsiTheme="majorHAnsi" w:cs="Calibri"/>
                <w:b/>
                <w:sz w:val="18"/>
                <w:szCs w:val="18"/>
              </w:rPr>
              <w:t xml:space="preserve"> 8 mg/kg + MTX</w:t>
            </w:r>
          </w:p>
          <w:p w14:paraId="6FA794AA" w14:textId="77777777" w:rsidR="00B71E20" w:rsidRPr="008D4276" w:rsidRDefault="00B71E20" w:rsidP="00B71E20">
            <w:pPr>
              <w:pStyle w:val="NoSpacing"/>
              <w:jc w:val="center"/>
              <w:rPr>
                <w:rFonts w:asciiTheme="majorHAnsi" w:hAnsiTheme="majorHAnsi" w:cs="Calibri"/>
                <w:b/>
                <w:sz w:val="18"/>
                <w:szCs w:val="18"/>
              </w:rPr>
            </w:pPr>
          </w:p>
          <w:p w14:paraId="58432119" w14:textId="77777777" w:rsidR="00B71E20" w:rsidRPr="008D4276" w:rsidRDefault="00B71E20" w:rsidP="00B71E20">
            <w:pPr>
              <w:pStyle w:val="NoSpacing"/>
              <w:jc w:val="center"/>
              <w:rPr>
                <w:rFonts w:asciiTheme="majorHAnsi" w:hAnsiTheme="majorHAnsi" w:cs="Calibri"/>
                <w:b/>
                <w:sz w:val="18"/>
                <w:szCs w:val="18"/>
              </w:rPr>
            </w:pPr>
          </w:p>
          <w:p w14:paraId="0AFF313A"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n=398</w:t>
            </w:r>
          </w:p>
        </w:tc>
        <w:tc>
          <w:tcPr>
            <w:tcW w:w="1780" w:type="pct"/>
          </w:tcPr>
          <w:p w14:paraId="7B102E19"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Placebo + MTX</w:t>
            </w:r>
          </w:p>
          <w:p w14:paraId="36C55F7B" w14:textId="01C9B7B2"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 xml:space="preserve">(+ option of  </w:t>
            </w:r>
            <w:r w:rsidR="00346827" w:rsidRPr="008D4276">
              <w:rPr>
                <w:rFonts w:asciiTheme="majorHAnsi" w:hAnsiTheme="majorHAnsi" w:cs="Calibri"/>
                <w:b/>
                <w:sz w:val="18"/>
                <w:szCs w:val="18"/>
              </w:rPr>
              <w:t>TOC</w:t>
            </w:r>
            <w:r w:rsidR="003A34E6" w:rsidRPr="008D4276">
              <w:rPr>
                <w:rFonts w:asciiTheme="majorHAnsi" w:hAnsiTheme="majorHAnsi" w:cs="Calibri"/>
                <w:b/>
                <w:sz w:val="18"/>
                <w:szCs w:val="18"/>
                <w:lang w:eastAsia="ko-KR"/>
              </w:rPr>
              <w:t xml:space="preserve"> </w:t>
            </w:r>
            <w:r w:rsidRPr="008D4276">
              <w:rPr>
                <w:rFonts w:asciiTheme="majorHAnsi" w:hAnsiTheme="majorHAnsi" w:cs="Calibri"/>
                <w:b/>
                <w:sz w:val="18"/>
                <w:szCs w:val="18"/>
              </w:rPr>
              <w:t>from week 16)</w:t>
            </w:r>
          </w:p>
          <w:p w14:paraId="4CECC8D3" w14:textId="77777777" w:rsidR="00B71E20" w:rsidRPr="008D4276" w:rsidRDefault="00B71E20" w:rsidP="00B71E20">
            <w:pPr>
              <w:pStyle w:val="NoSpacing"/>
              <w:jc w:val="center"/>
              <w:rPr>
                <w:rFonts w:asciiTheme="majorHAnsi" w:hAnsiTheme="majorHAnsi" w:cs="Calibri"/>
                <w:b/>
                <w:sz w:val="18"/>
                <w:szCs w:val="18"/>
              </w:rPr>
            </w:pPr>
          </w:p>
          <w:p w14:paraId="32E12A02"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n=393</w:t>
            </w:r>
          </w:p>
        </w:tc>
      </w:tr>
      <w:tr w:rsidR="00B71E20" w:rsidRPr="001922B7" w14:paraId="4D753B11" w14:textId="77777777" w:rsidTr="00B71E20">
        <w:trPr>
          <w:trHeight w:val="275"/>
        </w:trPr>
        <w:tc>
          <w:tcPr>
            <w:tcW w:w="2155" w:type="pct"/>
          </w:tcPr>
          <w:p w14:paraId="66849DE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Changes from baseline to week 52</w:t>
            </w:r>
          </w:p>
        </w:tc>
        <w:tc>
          <w:tcPr>
            <w:tcW w:w="1065" w:type="pct"/>
          </w:tcPr>
          <w:p w14:paraId="08AB17D2" w14:textId="77777777" w:rsidR="00B71E20" w:rsidRPr="008D4276" w:rsidRDefault="00B71E20" w:rsidP="00B71E20">
            <w:pPr>
              <w:pStyle w:val="NoSpacing"/>
              <w:jc w:val="center"/>
              <w:rPr>
                <w:rFonts w:asciiTheme="majorHAnsi" w:hAnsiTheme="majorHAnsi" w:cs="Calibri"/>
                <w:sz w:val="18"/>
                <w:szCs w:val="18"/>
              </w:rPr>
            </w:pPr>
          </w:p>
        </w:tc>
        <w:tc>
          <w:tcPr>
            <w:tcW w:w="1780" w:type="pct"/>
          </w:tcPr>
          <w:p w14:paraId="26BD766F"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1FECAEDB" w14:textId="77777777" w:rsidTr="00B71E20">
        <w:trPr>
          <w:trHeight w:val="275"/>
        </w:trPr>
        <w:tc>
          <w:tcPr>
            <w:tcW w:w="2155" w:type="pct"/>
          </w:tcPr>
          <w:p w14:paraId="2567E49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n</w:t>
            </w:r>
          </w:p>
        </w:tc>
        <w:tc>
          <w:tcPr>
            <w:tcW w:w="1065" w:type="pct"/>
          </w:tcPr>
          <w:p w14:paraId="1DB9B13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353</w:t>
            </w:r>
          </w:p>
        </w:tc>
        <w:tc>
          <w:tcPr>
            <w:tcW w:w="1780" w:type="pct"/>
          </w:tcPr>
          <w:p w14:paraId="77D0CA4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294</w:t>
            </w:r>
          </w:p>
        </w:tc>
      </w:tr>
      <w:tr w:rsidR="00B71E20" w:rsidRPr="001922B7" w14:paraId="18ED62BE" w14:textId="77777777" w:rsidTr="00B71E20">
        <w:trPr>
          <w:trHeight w:val="275"/>
        </w:trPr>
        <w:tc>
          <w:tcPr>
            <w:tcW w:w="2155" w:type="pct"/>
          </w:tcPr>
          <w:p w14:paraId="55FCCFB7"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Total Sharp-Genant score</w:t>
            </w:r>
          </w:p>
        </w:tc>
        <w:tc>
          <w:tcPr>
            <w:tcW w:w="1065" w:type="pct"/>
          </w:tcPr>
          <w:p w14:paraId="5EB9763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0.25</w:t>
            </w:r>
          </w:p>
        </w:tc>
        <w:tc>
          <w:tcPr>
            <w:tcW w:w="1780" w:type="pct"/>
          </w:tcPr>
          <w:p w14:paraId="0BFA35C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1.17</w:t>
            </w:r>
          </w:p>
        </w:tc>
      </w:tr>
      <w:tr w:rsidR="00B71E20" w:rsidRPr="001922B7" w14:paraId="47C9BAEC" w14:textId="77777777" w:rsidTr="00B71E20">
        <w:trPr>
          <w:trHeight w:val="275"/>
        </w:trPr>
        <w:tc>
          <w:tcPr>
            <w:tcW w:w="2155" w:type="pct"/>
          </w:tcPr>
          <w:p w14:paraId="65F1D1E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Erosion score</w:t>
            </w:r>
          </w:p>
        </w:tc>
        <w:tc>
          <w:tcPr>
            <w:tcW w:w="1065" w:type="pct"/>
          </w:tcPr>
          <w:p w14:paraId="090DDA8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0.15</w:t>
            </w:r>
          </w:p>
        </w:tc>
        <w:tc>
          <w:tcPr>
            <w:tcW w:w="1780" w:type="pct"/>
          </w:tcPr>
          <w:p w14:paraId="7384C6C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0.76</w:t>
            </w:r>
          </w:p>
        </w:tc>
      </w:tr>
      <w:tr w:rsidR="00B71E20" w:rsidRPr="001922B7" w14:paraId="2455A238" w14:textId="77777777" w:rsidTr="00B71E20">
        <w:trPr>
          <w:trHeight w:val="276"/>
        </w:trPr>
        <w:tc>
          <w:tcPr>
            <w:tcW w:w="2155" w:type="pct"/>
          </w:tcPr>
          <w:p w14:paraId="2114BD4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JSN score</w:t>
            </w:r>
          </w:p>
        </w:tc>
        <w:tc>
          <w:tcPr>
            <w:tcW w:w="1065" w:type="pct"/>
          </w:tcPr>
          <w:p w14:paraId="33AE734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0.10</w:t>
            </w:r>
          </w:p>
        </w:tc>
        <w:tc>
          <w:tcPr>
            <w:tcW w:w="1780" w:type="pct"/>
          </w:tcPr>
          <w:p w14:paraId="4689823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0.41</w:t>
            </w:r>
          </w:p>
        </w:tc>
      </w:tr>
      <w:tr w:rsidR="00B71E20" w:rsidRPr="001922B7" w14:paraId="394E4C14" w14:textId="77777777" w:rsidTr="00B71E20">
        <w:trPr>
          <w:trHeight w:val="277"/>
        </w:trPr>
        <w:tc>
          <w:tcPr>
            <w:tcW w:w="2155" w:type="pct"/>
          </w:tcPr>
          <w:p w14:paraId="043D0C3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Change from week 52 to week 104</w:t>
            </w:r>
          </w:p>
        </w:tc>
        <w:tc>
          <w:tcPr>
            <w:tcW w:w="1065" w:type="pct"/>
          </w:tcPr>
          <w:p w14:paraId="3509A970" w14:textId="77777777" w:rsidR="00B71E20" w:rsidRPr="008D4276" w:rsidRDefault="00B71E20" w:rsidP="00B71E20">
            <w:pPr>
              <w:pStyle w:val="NoSpacing"/>
              <w:jc w:val="center"/>
              <w:rPr>
                <w:rFonts w:asciiTheme="majorHAnsi" w:hAnsiTheme="majorHAnsi" w:cs="Calibri"/>
                <w:sz w:val="18"/>
                <w:szCs w:val="18"/>
              </w:rPr>
            </w:pPr>
          </w:p>
        </w:tc>
        <w:tc>
          <w:tcPr>
            <w:tcW w:w="1780" w:type="pct"/>
          </w:tcPr>
          <w:p w14:paraId="4EB60E45"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421D9691" w14:textId="77777777" w:rsidTr="00B71E20">
        <w:trPr>
          <w:trHeight w:val="275"/>
        </w:trPr>
        <w:tc>
          <w:tcPr>
            <w:tcW w:w="2155" w:type="pct"/>
          </w:tcPr>
          <w:p w14:paraId="0BC95B0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n</w:t>
            </w:r>
          </w:p>
        </w:tc>
        <w:tc>
          <w:tcPr>
            <w:tcW w:w="1065" w:type="pct"/>
          </w:tcPr>
          <w:p w14:paraId="46B60B7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353</w:t>
            </w:r>
          </w:p>
        </w:tc>
        <w:tc>
          <w:tcPr>
            <w:tcW w:w="1780" w:type="pct"/>
          </w:tcPr>
          <w:p w14:paraId="50E37C1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294</w:t>
            </w:r>
          </w:p>
        </w:tc>
      </w:tr>
      <w:tr w:rsidR="00B71E20" w:rsidRPr="001922B7" w14:paraId="53CB0C61" w14:textId="77777777" w:rsidTr="00B71E20">
        <w:trPr>
          <w:trHeight w:val="275"/>
        </w:trPr>
        <w:tc>
          <w:tcPr>
            <w:tcW w:w="2155" w:type="pct"/>
          </w:tcPr>
          <w:p w14:paraId="0426025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Total Sharp-Genant score</w:t>
            </w:r>
          </w:p>
        </w:tc>
        <w:tc>
          <w:tcPr>
            <w:tcW w:w="1065" w:type="pct"/>
          </w:tcPr>
          <w:p w14:paraId="41343F8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0.12</w:t>
            </w:r>
          </w:p>
        </w:tc>
        <w:tc>
          <w:tcPr>
            <w:tcW w:w="1780" w:type="pct"/>
          </w:tcPr>
          <w:p w14:paraId="0C77322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0.79</w:t>
            </w:r>
          </w:p>
        </w:tc>
      </w:tr>
      <w:tr w:rsidR="00B71E20" w:rsidRPr="001922B7" w14:paraId="018C86D9" w14:textId="77777777" w:rsidTr="00B71E20">
        <w:trPr>
          <w:trHeight w:val="275"/>
        </w:trPr>
        <w:tc>
          <w:tcPr>
            <w:tcW w:w="2155" w:type="pct"/>
          </w:tcPr>
          <w:p w14:paraId="2FA6D0C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Erosion score</w:t>
            </w:r>
          </w:p>
        </w:tc>
        <w:tc>
          <w:tcPr>
            <w:tcW w:w="1065" w:type="pct"/>
          </w:tcPr>
          <w:p w14:paraId="2DA3956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0.07</w:t>
            </w:r>
          </w:p>
        </w:tc>
        <w:tc>
          <w:tcPr>
            <w:tcW w:w="1780" w:type="pct"/>
          </w:tcPr>
          <w:p w14:paraId="77A7F5C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0.48</w:t>
            </w:r>
          </w:p>
        </w:tc>
      </w:tr>
      <w:tr w:rsidR="00B71E20" w:rsidRPr="001922B7" w14:paraId="29C1AC0D" w14:textId="77777777" w:rsidTr="00B71E20">
        <w:trPr>
          <w:trHeight w:val="275"/>
        </w:trPr>
        <w:tc>
          <w:tcPr>
            <w:tcW w:w="2155" w:type="pct"/>
          </w:tcPr>
          <w:p w14:paraId="071DE51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JSN score</w:t>
            </w:r>
          </w:p>
        </w:tc>
        <w:tc>
          <w:tcPr>
            <w:tcW w:w="1065" w:type="pct"/>
          </w:tcPr>
          <w:p w14:paraId="20EB387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0.05</w:t>
            </w:r>
          </w:p>
        </w:tc>
        <w:tc>
          <w:tcPr>
            <w:tcW w:w="1780" w:type="pct"/>
          </w:tcPr>
          <w:p w14:paraId="7AE1212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0.31</w:t>
            </w:r>
          </w:p>
        </w:tc>
      </w:tr>
    </w:tbl>
    <w:p w14:paraId="5CE55389" w14:textId="2C414F95"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T</w:t>
      </w:r>
      <w:r w:rsidR="00346827" w:rsidRPr="008D4276">
        <w:rPr>
          <w:rFonts w:asciiTheme="majorHAnsi" w:hAnsiTheme="majorHAnsi" w:cs="Calibri"/>
          <w:sz w:val="18"/>
          <w:szCs w:val="18"/>
        </w:rPr>
        <w:t>OC</w:t>
      </w:r>
      <w:r w:rsidRPr="008D4276">
        <w:rPr>
          <w:rFonts w:asciiTheme="majorHAnsi" w:hAnsiTheme="majorHAnsi" w:cs="Calibri"/>
          <w:sz w:val="18"/>
          <w:szCs w:val="18"/>
        </w:rPr>
        <w:t xml:space="preserve"> = </w:t>
      </w:r>
      <w:r w:rsidR="001B6872" w:rsidRPr="008D4276">
        <w:rPr>
          <w:rFonts w:asciiTheme="majorHAnsi" w:hAnsiTheme="majorHAnsi" w:cs="Calibri"/>
          <w:sz w:val="18"/>
          <w:szCs w:val="18"/>
        </w:rPr>
        <w:t>tocilizumab</w:t>
      </w:r>
    </w:p>
    <w:p w14:paraId="64C2972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JSN = joint space narrowing</w:t>
      </w:r>
    </w:p>
    <w:p w14:paraId="182D414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The data presented consists of the evaluations of the baseline, week 24, week 52, week 80, week 104 and early withdrawal or escape therapy readings taken up to the week 104 visit.</w:t>
      </w:r>
    </w:p>
    <w:p w14:paraId="4D585E2C" w14:textId="77777777" w:rsidR="00B71E20" w:rsidRPr="008D4276" w:rsidRDefault="00B71E20" w:rsidP="00B71E20">
      <w:pPr>
        <w:rPr>
          <w:rFonts w:asciiTheme="majorHAnsi" w:hAnsiTheme="majorHAnsi" w:cstheme="minorHAnsi"/>
        </w:rPr>
      </w:pPr>
    </w:p>
    <w:p w14:paraId="6FBF0971" w14:textId="6096D773"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Following 1 year of treatment with </w:t>
      </w:r>
      <w:r w:rsidR="001B6872" w:rsidRPr="008D4276">
        <w:rPr>
          <w:rFonts w:asciiTheme="majorHAnsi" w:hAnsiTheme="majorHAnsi" w:cstheme="minorHAnsi"/>
        </w:rPr>
        <w:t>tocilizumab</w:t>
      </w:r>
      <w:r w:rsidRPr="008D4276">
        <w:rPr>
          <w:rFonts w:asciiTheme="majorHAnsi" w:hAnsiTheme="majorHAnsi" w:cstheme="minorHAnsi"/>
        </w:rPr>
        <w:t xml:space="preserve"> + MTX, 83% of patients had no progression of structural damage, as defined by a change in the Total Sharp Score of zero or less, compared with 67% of placebo + MTX-treated patients. This remained consistent following 2 years of treatment (83%). Ninety three percent (93%) of patients had no progression between week 52 and week 104.</w:t>
      </w:r>
    </w:p>
    <w:p w14:paraId="0EDA1B9B" w14:textId="0C7BBF7B"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Study VII (BREVACTA), inhibition of structural joint damage was assessed radiographically and expressed as a change from baseline in the van der Heijde modified mean total Sharp score (mTSS). At week 24, inhibition of structural damage was shown, with significantly less radiographic progression in patients receiving subcutaneous </w:t>
      </w:r>
      <w:r w:rsidR="000031EA" w:rsidRPr="008D4276">
        <w:rPr>
          <w:rFonts w:asciiTheme="majorHAnsi" w:hAnsiTheme="majorHAnsi" w:cstheme="minorHAnsi"/>
        </w:rPr>
        <w:t>tocilizumab</w:t>
      </w:r>
      <w:r w:rsidRPr="008D4276">
        <w:rPr>
          <w:rFonts w:asciiTheme="majorHAnsi" w:hAnsiTheme="majorHAnsi" w:cstheme="minorHAnsi"/>
        </w:rPr>
        <w:t xml:space="preserve"> compared with placebo; mean change from baseline in mTSS of 0.62 vs. 1.23 (p = 0.0149; van Elteren) with an adjusted mean difference of -0.60 (-1.1, -0.1). These results are consistent with those observed in patients treated with intravenous </w:t>
      </w:r>
      <w:r w:rsidR="000031EA" w:rsidRPr="008D4276">
        <w:rPr>
          <w:rFonts w:asciiTheme="majorHAnsi" w:hAnsiTheme="majorHAnsi" w:cstheme="minorHAnsi"/>
        </w:rPr>
        <w:t>tocilizumab</w:t>
      </w:r>
      <w:r w:rsidRPr="008D4276">
        <w:rPr>
          <w:rFonts w:asciiTheme="majorHAnsi" w:hAnsiTheme="majorHAnsi" w:cstheme="minorHAnsi"/>
        </w:rPr>
        <w:t>.</w:t>
      </w:r>
    </w:p>
    <w:p w14:paraId="6061BDFB" w14:textId="77777777" w:rsidR="0089656D" w:rsidRPr="008D4276" w:rsidRDefault="0089656D" w:rsidP="004D6592">
      <w:pPr>
        <w:pStyle w:val="Heading4"/>
        <w:rPr>
          <w:rFonts w:asciiTheme="majorHAnsi" w:hAnsiTheme="majorHAnsi"/>
        </w:rPr>
      </w:pPr>
      <w:r w:rsidRPr="008D4276">
        <w:rPr>
          <w:rFonts w:asciiTheme="majorHAnsi" w:hAnsiTheme="majorHAnsi"/>
        </w:rPr>
        <w:t>Quality of Life Outcomes</w:t>
      </w:r>
    </w:p>
    <w:p w14:paraId="20C23AA0" w14:textId="026D96B2"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Clinically significant improvements in disability index (HAQ-DI, Health Assessment Questionnaire Disability Index), fatigue (FACIT-F, Functional Assessment of Chronic Illness Therapy Fatigue) and improvement in both the physical (PCS, Physical Component Summary) and mental health (MCS, Mental Component Summary) domains of the SF-36 (Short Form 36) were observed in patients treated with 8 mg/kg </w:t>
      </w:r>
      <w:r w:rsidR="000031EA" w:rsidRPr="008D4276">
        <w:rPr>
          <w:rFonts w:asciiTheme="majorHAnsi" w:hAnsiTheme="majorHAnsi" w:cstheme="minorHAnsi"/>
        </w:rPr>
        <w:t>tocilizumab</w:t>
      </w:r>
      <w:r w:rsidRPr="008D4276">
        <w:rPr>
          <w:rFonts w:asciiTheme="majorHAnsi" w:hAnsiTheme="majorHAnsi" w:cstheme="minorHAnsi"/>
        </w:rPr>
        <w:t xml:space="preserve"> (monotherapy or combination with DMARDs) compared to patients treated with MTX/DMARDs.</w:t>
      </w:r>
    </w:p>
    <w:p w14:paraId="564FC9F1" w14:textId="413AE94E"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At week 24, the proportion of 8 mg/kg </w:t>
      </w:r>
      <w:r w:rsidR="000031EA" w:rsidRPr="008D4276">
        <w:rPr>
          <w:rFonts w:asciiTheme="majorHAnsi" w:hAnsiTheme="majorHAnsi" w:cstheme="minorHAnsi"/>
        </w:rPr>
        <w:t xml:space="preserve">tocilizumab </w:t>
      </w:r>
      <w:r w:rsidRPr="008D4276">
        <w:rPr>
          <w:rFonts w:asciiTheme="majorHAnsi" w:hAnsiTheme="majorHAnsi" w:cstheme="minorHAnsi"/>
        </w:rPr>
        <w:t>treated patients showing a clinically relevant improvement in HAQ-DI (defined as an individual total score decrease of &gt; 0.25), was significantly higher than among patients receiving placebo + MTX/DMARDs in all studies (Studies I to V). During the open-label period of study II the improvement in physical function has been maintained for up to 2 years.</w:t>
      </w:r>
    </w:p>
    <w:p w14:paraId="4E02F6C5" w14:textId="5068D8D0" w:rsidR="0089656D" w:rsidRPr="008D4276" w:rsidRDefault="0089656D" w:rsidP="0089656D">
      <w:pPr>
        <w:rPr>
          <w:rFonts w:asciiTheme="majorHAnsi" w:hAnsiTheme="majorHAnsi" w:cstheme="minorHAnsi"/>
        </w:rPr>
      </w:pPr>
      <w:r w:rsidRPr="008D4276">
        <w:rPr>
          <w:rFonts w:asciiTheme="majorHAnsi" w:hAnsiTheme="majorHAnsi" w:cstheme="minorHAnsi"/>
        </w:rPr>
        <w:lastRenderedPageBreak/>
        <w:t xml:space="preserve">At week 52, the mean change in HAQ-DI was -0.58 in the </w:t>
      </w:r>
      <w:r w:rsidR="000031EA" w:rsidRPr="008D4276">
        <w:rPr>
          <w:rFonts w:asciiTheme="majorHAnsi" w:hAnsiTheme="majorHAnsi" w:cstheme="minorHAnsi"/>
        </w:rPr>
        <w:t>tocilizumab</w:t>
      </w:r>
      <w:r w:rsidRPr="008D4276">
        <w:rPr>
          <w:rFonts w:asciiTheme="majorHAnsi" w:hAnsiTheme="majorHAnsi" w:cstheme="minorHAnsi"/>
        </w:rPr>
        <w:t xml:space="preserve"> 8 mg/kg + MTX group compared with -0.39 in the placebo + MTX group. The mean change in HAQ-DI was maintained at week 104 in the </w:t>
      </w:r>
      <w:r w:rsidR="000031EA" w:rsidRPr="008D4276">
        <w:rPr>
          <w:rFonts w:asciiTheme="majorHAnsi" w:hAnsiTheme="majorHAnsi" w:cstheme="minorHAnsi"/>
        </w:rPr>
        <w:t>tocilizumab</w:t>
      </w:r>
      <w:r w:rsidRPr="008D4276">
        <w:rPr>
          <w:rFonts w:asciiTheme="majorHAnsi" w:hAnsiTheme="majorHAnsi" w:cstheme="minorHAnsi"/>
        </w:rPr>
        <w:t xml:space="preserve"> 8 mg/kg + MTX group (-0.61). The percentage of </w:t>
      </w:r>
      <w:r w:rsidR="000031EA" w:rsidRPr="008D4276">
        <w:rPr>
          <w:rFonts w:asciiTheme="majorHAnsi" w:hAnsiTheme="majorHAnsi" w:cstheme="minorHAnsi"/>
        </w:rPr>
        <w:t>tocilizumab</w:t>
      </w:r>
      <w:r w:rsidRPr="008D4276">
        <w:rPr>
          <w:rFonts w:asciiTheme="majorHAnsi" w:hAnsiTheme="majorHAnsi" w:cstheme="minorHAnsi"/>
        </w:rPr>
        <w:t>-treated patients showing a clinically relevant improvement in HAQ-DI (</w:t>
      </w:r>
      <w:r w:rsidRPr="008D4276">
        <w:rPr>
          <w:rFonts w:asciiTheme="majorHAnsi" w:hAnsiTheme="majorHAnsi" w:cstheme="minorHAnsi" w:hint="eastAsia"/>
        </w:rPr>
        <w:t>≥</w:t>
      </w:r>
      <w:r w:rsidRPr="008D4276">
        <w:rPr>
          <w:rFonts w:asciiTheme="majorHAnsi" w:hAnsiTheme="majorHAnsi" w:cstheme="minorHAnsi"/>
        </w:rPr>
        <w:t xml:space="preserve"> 0.3 units) at weeks 52 &amp; 104 were 63% and 62%, respectively.</w:t>
      </w:r>
    </w:p>
    <w:p w14:paraId="62C1C3B3" w14:textId="7DF7085B"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Study VI (SUMMACTA), the mean decrease in HAQ-DI from baseline to week 24 was 0.6 for both subcutaneous </w:t>
      </w:r>
      <w:r w:rsidR="000031EA" w:rsidRPr="008D4276">
        <w:rPr>
          <w:rFonts w:asciiTheme="majorHAnsi" w:hAnsiTheme="majorHAnsi" w:cstheme="minorHAnsi"/>
        </w:rPr>
        <w:t>tocilizumab</w:t>
      </w:r>
      <w:r w:rsidRPr="008D4276">
        <w:rPr>
          <w:rFonts w:asciiTheme="majorHAnsi" w:hAnsiTheme="majorHAnsi" w:cstheme="minorHAnsi"/>
        </w:rPr>
        <w:t xml:space="preserve"> 162 mg weekly and intravenous </w:t>
      </w:r>
      <w:r w:rsidR="000031EA" w:rsidRPr="008D4276">
        <w:rPr>
          <w:rFonts w:asciiTheme="majorHAnsi" w:hAnsiTheme="majorHAnsi" w:cstheme="minorHAnsi"/>
        </w:rPr>
        <w:t>tocilizumab</w:t>
      </w:r>
      <w:r w:rsidRPr="008D4276">
        <w:rPr>
          <w:rFonts w:asciiTheme="majorHAnsi" w:hAnsiTheme="majorHAnsi" w:cstheme="minorHAnsi"/>
        </w:rPr>
        <w:t xml:space="preserve"> 8 mg/kg every 4 weeks. The proportion of patients achieving a clinically relevant improvement in HAQ-DI at week 24 (change from baseline of </w:t>
      </w:r>
      <w:r w:rsidRPr="008D4276">
        <w:rPr>
          <w:rFonts w:asciiTheme="majorHAnsi" w:hAnsiTheme="majorHAnsi" w:cstheme="minorHAnsi" w:hint="eastAsia"/>
        </w:rPr>
        <w:t>≥</w:t>
      </w:r>
      <w:r w:rsidRPr="008D4276">
        <w:rPr>
          <w:rFonts w:asciiTheme="majorHAnsi" w:hAnsiTheme="majorHAnsi" w:cstheme="minorHAnsi"/>
        </w:rPr>
        <w:t xml:space="preserve"> 0.3 units) was comparable in the subcutaneous</w:t>
      </w:r>
      <w:r w:rsidR="000031EA" w:rsidRPr="008D4276">
        <w:rPr>
          <w:rFonts w:asciiTheme="majorHAnsi" w:hAnsiTheme="majorHAnsi" w:cstheme="minorHAnsi"/>
        </w:rPr>
        <w:t xml:space="preserve"> tocilizumab </w:t>
      </w:r>
      <w:r w:rsidRPr="008D4276">
        <w:rPr>
          <w:rFonts w:asciiTheme="majorHAnsi" w:hAnsiTheme="majorHAnsi" w:cstheme="minorHAnsi"/>
        </w:rPr>
        <w:t xml:space="preserve">every week group (65.2%) versus the intravenous </w:t>
      </w:r>
      <w:r w:rsidR="000031EA" w:rsidRPr="008D4276">
        <w:rPr>
          <w:rFonts w:asciiTheme="majorHAnsi" w:hAnsiTheme="majorHAnsi" w:cstheme="minorHAnsi"/>
        </w:rPr>
        <w:t>tocilizumab</w:t>
      </w:r>
      <w:r w:rsidRPr="008D4276">
        <w:rPr>
          <w:rFonts w:asciiTheme="majorHAnsi" w:hAnsiTheme="majorHAnsi" w:cstheme="minorHAnsi"/>
        </w:rPr>
        <w:t xml:space="preserve"> 8 mg/kg group (67.4%), with a weighted difference in proportions of -2.3% (95% CI -8.1, 3.4). The SF-36 summary was split into mental and physical components. The mental component scores were similar between the groups, with a mean change from baseline at week 24 of 6.22 for the SC group and 6.54 for the IV group. The physical component scores were also similar between the groups, with mean change from baseline at week 24 of 9.49 for the SC group and 9.65 for the IV group. In Study VII (BREVACTA), the mean decrease in HAQ-DI from baseline to week 24 was 0.4 and 0.3, and the proportion of patients who achieved a clinically relevant improvement in HAQ-DI was 58% and 47%, for the subcutaneous </w:t>
      </w:r>
      <w:r w:rsidR="000031EA" w:rsidRPr="008D4276">
        <w:rPr>
          <w:rFonts w:asciiTheme="majorHAnsi" w:hAnsiTheme="majorHAnsi" w:cstheme="minorHAnsi"/>
        </w:rPr>
        <w:t>tocilizumab</w:t>
      </w:r>
      <w:r w:rsidRPr="008D4276">
        <w:rPr>
          <w:rFonts w:asciiTheme="majorHAnsi" w:hAnsiTheme="majorHAnsi" w:cstheme="minorHAnsi"/>
        </w:rPr>
        <w:t xml:space="preserve"> 162 mg every other week, and placebo treatment groups, respectively.</w:t>
      </w:r>
    </w:p>
    <w:p w14:paraId="3E7D8597" w14:textId="77777777" w:rsidR="0089656D" w:rsidRPr="008D4276" w:rsidRDefault="0089656D" w:rsidP="004D6592">
      <w:pPr>
        <w:pStyle w:val="Heading4"/>
        <w:rPr>
          <w:rFonts w:asciiTheme="majorHAnsi" w:hAnsiTheme="majorHAnsi"/>
        </w:rPr>
      </w:pPr>
      <w:r w:rsidRPr="008D4276">
        <w:rPr>
          <w:rFonts w:asciiTheme="majorHAnsi" w:hAnsiTheme="majorHAnsi"/>
        </w:rPr>
        <w:t>Laboratory Evaluations</w:t>
      </w:r>
    </w:p>
    <w:p w14:paraId="707ACA58" w14:textId="09088E7D"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Treatment with 8 mg/kg </w:t>
      </w:r>
      <w:r w:rsidR="000031EA" w:rsidRPr="008D4276">
        <w:rPr>
          <w:rFonts w:asciiTheme="majorHAnsi" w:hAnsiTheme="majorHAnsi" w:cstheme="minorHAnsi"/>
        </w:rPr>
        <w:t>tocilizumab</w:t>
      </w:r>
      <w:r w:rsidRPr="008D4276">
        <w:rPr>
          <w:rFonts w:asciiTheme="majorHAnsi" w:hAnsiTheme="majorHAnsi" w:cstheme="minorHAnsi"/>
        </w:rPr>
        <w:t xml:space="preserve"> in combination with DMARD/MTX or as monotherapy resulted in a statistically significant improvement in haemoglobin levels compared with placebo + MTX/DMARD (p &lt; 0.0001) at week 24. The greatest improvement was observed in patients with chronic anaemia associated with RA; mean haemoglobin levels increased by week 2 and remained within normal range through week 24.</w:t>
      </w:r>
    </w:p>
    <w:p w14:paraId="31B17FAA" w14:textId="7830E484"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 marked decrease in mean levels of acute phase reactants, CRP, ESR, and serum amyloid A occurred rapidly after </w:t>
      </w:r>
      <w:r w:rsidR="000031EA" w:rsidRPr="008D4276">
        <w:rPr>
          <w:rFonts w:asciiTheme="majorHAnsi" w:hAnsiTheme="majorHAnsi" w:cstheme="minorHAnsi"/>
        </w:rPr>
        <w:t>tocilizumab</w:t>
      </w:r>
      <w:r w:rsidRPr="008D4276">
        <w:rPr>
          <w:rFonts w:asciiTheme="majorHAnsi" w:hAnsiTheme="majorHAnsi" w:cstheme="minorHAnsi"/>
        </w:rPr>
        <w:t xml:space="preserve"> administration. Consistent with the effect on acute phase reactants, treatment with </w:t>
      </w:r>
      <w:r w:rsidR="000031EA" w:rsidRPr="008D4276">
        <w:rPr>
          <w:rFonts w:asciiTheme="majorHAnsi" w:hAnsiTheme="majorHAnsi" w:cstheme="minorHAnsi"/>
        </w:rPr>
        <w:t>tocilizumab</w:t>
      </w:r>
      <w:r w:rsidRPr="008D4276">
        <w:rPr>
          <w:rFonts w:asciiTheme="majorHAnsi" w:hAnsiTheme="majorHAnsi" w:cstheme="minorHAnsi"/>
        </w:rPr>
        <w:t xml:space="preserve"> was associated with reduction in platelet count within the normal range.</w:t>
      </w:r>
    </w:p>
    <w:p w14:paraId="017B739B" w14:textId="77777777" w:rsidR="0089656D" w:rsidRPr="008D4276" w:rsidRDefault="0089656D" w:rsidP="004D6592">
      <w:pPr>
        <w:pStyle w:val="Heading4"/>
        <w:rPr>
          <w:rFonts w:asciiTheme="majorHAnsi" w:hAnsiTheme="majorHAnsi"/>
        </w:rPr>
      </w:pPr>
      <w:r w:rsidRPr="008D4276">
        <w:rPr>
          <w:rFonts w:asciiTheme="majorHAnsi" w:hAnsiTheme="majorHAnsi"/>
        </w:rPr>
        <w:t>MTX naive, Early RA</w:t>
      </w:r>
    </w:p>
    <w:p w14:paraId="50EA0766" w14:textId="070FB478"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Study VIII (FUNCTION), a 2 year study with the planned primary analysis at week 52 evaluated 1162 MTX-naïve adult patients with moderate to severe, active early RA (mean disease duration </w:t>
      </w:r>
      <w:r w:rsidRPr="008D4276">
        <w:rPr>
          <w:rFonts w:asciiTheme="majorHAnsi" w:hAnsiTheme="majorHAnsi" w:cstheme="minorHAnsi" w:hint="eastAsia"/>
        </w:rPr>
        <w:t>≤</w:t>
      </w:r>
      <w:r w:rsidRPr="008D4276">
        <w:rPr>
          <w:rFonts w:asciiTheme="majorHAnsi" w:hAnsiTheme="majorHAnsi" w:cstheme="minorHAnsi"/>
        </w:rPr>
        <w:t xml:space="preserve"> 6 months) and one or more indicators of poor prognosis, such as elevated inflammatory markers (e.g. ESR and/or CRP), the presence of RF and/or anti-CCP, and/or the presence of bony erosions attributable to RA. This study evaluated the efficacy of intravenous </w:t>
      </w:r>
      <w:r w:rsidR="000031EA" w:rsidRPr="008D4276">
        <w:rPr>
          <w:rFonts w:asciiTheme="majorHAnsi" w:hAnsiTheme="majorHAnsi" w:cstheme="minorHAnsi"/>
        </w:rPr>
        <w:t>tocilizumab</w:t>
      </w:r>
      <w:r w:rsidRPr="008D4276">
        <w:rPr>
          <w:rFonts w:asciiTheme="majorHAnsi" w:hAnsiTheme="majorHAnsi" w:cstheme="minorHAnsi"/>
        </w:rPr>
        <w:t xml:space="preserve"> 4 or 8 mg/kg every 4 weeks in combination with MTX, </w:t>
      </w:r>
      <w:r w:rsidR="000031EA" w:rsidRPr="008D4276">
        <w:rPr>
          <w:rFonts w:asciiTheme="majorHAnsi" w:hAnsiTheme="majorHAnsi" w:cstheme="minorHAnsi"/>
        </w:rPr>
        <w:t>tocilizumab</w:t>
      </w:r>
      <w:r w:rsidRPr="008D4276">
        <w:rPr>
          <w:rFonts w:asciiTheme="majorHAnsi" w:hAnsiTheme="majorHAnsi" w:cstheme="minorHAnsi"/>
        </w:rPr>
        <w:t xml:space="preserve"> 8 mg/kg monotherapy and MTX monotherapy in reducing the signs and symptoms and rate of progression of joint damage for 104 weeks. The primary endpoint was the proportion of patients achieving DAS28 remission (DAS28 &lt; 2.6) at week 24. A significantly higher proportion of patients in the </w:t>
      </w:r>
      <w:r w:rsidR="000031EA" w:rsidRPr="008D4276">
        <w:rPr>
          <w:rFonts w:asciiTheme="majorHAnsi" w:hAnsiTheme="majorHAnsi" w:cstheme="minorHAnsi"/>
        </w:rPr>
        <w:t>tocilizumab</w:t>
      </w:r>
      <w:r w:rsidRPr="008D4276">
        <w:rPr>
          <w:rFonts w:asciiTheme="majorHAnsi" w:hAnsiTheme="majorHAnsi" w:cstheme="minorHAnsi"/>
        </w:rPr>
        <w:t xml:space="preserve"> 8 mg/kg + MTX and </w:t>
      </w:r>
      <w:r w:rsidR="000031EA" w:rsidRPr="008D4276">
        <w:rPr>
          <w:rFonts w:asciiTheme="majorHAnsi" w:hAnsiTheme="majorHAnsi" w:cstheme="minorHAnsi"/>
        </w:rPr>
        <w:t>tocilizumab</w:t>
      </w:r>
      <w:r w:rsidRPr="008D4276">
        <w:rPr>
          <w:rFonts w:asciiTheme="majorHAnsi" w:hAnsiTheme="majorHAnsi" w:cstheme="minorHAnsi"/>
        </w:rPr>
        <w:t xml:space="preserve"> monotherapy groups met the primary endpoint compared with MTX alone. The </w:t>
      </w:r>
      <w:r w:rsidR="000031EA" w:rsidRPr="008D4276">
        <w:rPr>
          <w:rFonts w:asciiTheme="majorHAnsi" w:hAnsiTheme="majorHAnsi" w:cstheme="minorHAnsi"/>
        </w:rPr>
        <w:t>tocilizumab</w:t>
      </w:r>
      <w:r w:rsidRPr="008D4276">
        <w:rPr>
          <w:rFonts w:asciiTheme="majorHAnsi" w:hAnsiTheme="majorHAnsi" w:cstheme="minorHAnsi"/>
        </w:rPr>
        <w:t xml:space="preserve"> 8 mg/kg + MTX group also showed statistically significant results </w:t>
      </w:r>
      <w:r w:rsidRPr="008D4276">
        <w:rPr>
          <w:rFonts w:asciiTheme="majorHAnsi" w:hAnsiTheme="majorHAnsi" w:cstheme="minorHAnsi"/>
        </w:rPr>
        <w:lastRenderedPageBreak/>
        <w:t xml:space="preserve">across the key secondary endpoints. Numerically greater responses compared with MTX alone were observed in the </w:t>
      </w:r>
      <w:r w:rsidR="000031EA" w:rsidRPr="008D4276">
        <w:rPr>
          <w:rFonts w:asciiTheme="majorHAnsi" w:hAnsiTheme="majorHAnsi" w:cstheme="minorHAnsi"/>
        </w:rPr>
        <w:t>tocilizumab</w:t>
      </w:r>
      <w:r w:rsidRPr="008D4276">
        <w:rPr>
          <w:rFonts w:asciiTheme="majorHAnsi" w:hAnsiTheme="majorHAnsi" w:cstheme="minorHAnsi"/>
        </w:rPr>
        <w:t xml:space="preserve"> 8 mg/kg monotherapy group in all secondary endpoints, including radiographic endpoints (although the differences between </w:t>
      </w:r>
      <w:r w:rsidR="000031EA" w:rsidRPr="008D4276">
        <w:rPr>
          <w:rFonts w:asciiTheme="majorHAnsi" w:hAnsiTheme="majorHAnsi" w:cstheme="minorHAnsi"/>
        </w:rPr>
        <w:t>tocilizumab</w:t>
      </w:r>
      <w:r w:rsidRPr="008D4276">
        <w:rPr>
          <w:rFonts w:asciiTheme="majorHAnsi" w:hAnsiTheme="majorHAnsi" w:cstheme="minorHAnsi"/>
        </w:rPr>
        <w:t xml:space="preserve"> 8 mg/kg monotherapy and MTX were not statistically significant). The results from study VIII are </w:t>
      </w:r>
      <w:r w:rsidRPr="008D4276">
        <w:rPr>
          <w:rFonts w:asciiTheme="majorHAnsi" w:hAnsiTheme="majorHAnsi"/>
        </w:rPr>
        <w:t xml:space="preserve">shown in </w:t>
      </w:r>
      <w:r w:rsidR="00B36DBA" w:rsidRPr="008D4276">
        <w:rPr>
          <w:rFonts w:asciiTheme="majorHAnsi" w:hAnsiTheme="majorHAnsi"/>
        </w:rPr>
        <w:fldChar w:fldCharType="begin"/>
      </w:r>
      <w:r w:rsidR="00B36DBA" w:rsidRPr="008D4276">
        <w:rPr>
          <w:rFonts w:asciiTheme="majorHAnsi" w:hAnsiTheme="majorHAnsi"/>
        </w:rPr>
        <w:instrText xml:space="preserve"> REF _Ref159343086 \h  \* MERGEFORMAT </w:instrText>
      </w:r>
      <w:r w:rsidR="00B36DBA" w:rsidRPr="008D4276">
        <w:rPr>
          <w:rFonts w:asciiTheme="majorHAnsi" w:hAnsiTheme="majorHAnsi"/>
        </w:rPr>
      </w:r>
      <w:r w:rsidR="00B36DBA" w:rsidRPr="008D4276">
        <w:rPr>
          <w:rFonts w:asciiTheme="majorHAnsi" w:hAnsiTheme="majorHAnsi"/>
        </w:rPr>
        <w:fldChar w:fldCharType="separate"/>
      </w:r>
      <w:r w:rsidR="004C310F" w:rsidRPr="004C310F">
        <w:rPr>
          <w:rFonts w:asciiTheme="majorHAnsi" w:hAnsiTheme="majorHAnsi"/>
        </w:rPr>
        <w:t>Table 9</w:t>
      </w:r>
      <w:r w:rsidR="00B36DBA" w:rsidRPr="008D4276">
        <w:rPr>
          <w:rFonts w:asciiTheme="majorHAnsi" w:hAnsiTheme="majorHAnsi"/>
        </w:rPr>
        <w:fldChar w:fldCharType="end"/>
      </w:r>
      <w:r w:rsidRPr="008D4276">
        <w:rPr>
          <w:rFonts w:asciiTheme="majorHAnsi" w:hAnsiTheme="majorHAnsi"/>
        </w:rPr>
        <w:t>.</w:t>
      </w:r>
    </w:p>
    <w:p w14:paraId="0228A0CF" w14:textId="7CAD0F6F" w:rsidR="0089656D" w:rsidRPr="008D4276" w:rsidRDefault="0089656D" w:rsidP="00B71E20">
      <w:pPr>
        <w:pStyle w:val="Caption"/>
        <w:rPr>
          <w:rFonts w:asciiTheme="majorHAnsi" w:hAnsiTheme="majorHAnsi" w:cs="Calibri"/>
        </w:rPr>
      </w:pPr>
      <w:bookmarkStart w:id="61" w:name="_Ref159343086"/>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9</w:t>
      </w:r>
      <w:r w:rsidR="0006243F" w:rsidRPr="008D4276">
        <w:rPr>
          <w:rFonts w:asciiTheme="majorHAnsi" w:hAnsiTheme="majorHAnsi" w:cs="Calibri"/>
        </w:rPr>
        <w:fldChar w:fldCharType="end"/>
      </w:r>
      <w:bookmarkEnd w:id="61"/>
      <w:r w:rsidRPr="008D4276">
        <w:rPr>
          <w:rFonts w:asciiTheme="majorHAnsi" w:hAnsiTheme="majorHAnsi" w:cs="Calibri"/>
        </w:rPr>
        <w:t xml:space="preserve"> Efficacy Results for Study VIII (FUNCTION) on MTX-naïve, early RA patients</w:t>
      </w:r>
    </w:p>
    <w:tbl>
      <w:tblPr>
        <w:tblW w:w="5000" w:type="pct"/>
        <w:tblCellMar>
          <w:left w:w="0" w:type="dxa"/>
          <w:right w:w="0" w:type="dxa"/>
        </w:tblCellMar>
        <w:tblLook w:val="01E0" w:firstRow="1" w:lastRow="1" w:firstColumn="1" w:lastColumn="1" w:noHBand="0" w:noVBand="0"/>
      </w:tblPr>
      <w:tblGrid>
        <w:gridCol w:w="1059"/>
        <w:gridCol w:w="1064"/>
        <w:gridCol w:w="1815"/>
        <w:gridCol w:w="633"/>
        <w:gridCol w:w="998"/>
        <w:gridCol w:w="1559"/>
        <w:gridCol w:w="1892"/>
      </w:tblGrid>
      <w:tr w:rsidR="00B71E20" w:rsidRPr="001922B7" w14:paraId="76E65B57" w14:textId="77777777" w:rsidTr="00B71E20">
        <w:trPr>
          <w:trHeight w:val="690"/>
        </w:trPr>
        <w:tc>
          <w:tcPr>
            <w:tcW w:w="3087" w:type="pct"/>
            <w:gridSpan w:val="5"/>
            <w:tcBorders>
              <w:top w:val="single" w:sz="4" w:space="0" w:color="000000"/>
              <w:left w:val="single" w:sz="4" w:space="0" w:color="000000"/>
              <w:bottom w:val="single" w:sz="4" w:space="0" w:color="000000"/>
            </w:tcBorders>
          </w:tcPr>
          <w:p w14:paraId="7118D933" w14:textId="05E307D1" w:rsidR="00B71E20" w:rsidRPr="008D4276" w:rsidRDefault="00B71E20" w:rsidP="00B71E20">
            <w:pPr>
              <w:pStyle w:val="NoSpacing"/>
              <w:jc w:val="right"/>
              <w:rPr>
                <w:rFonts w:asciiTheme="majorHAnsi" w:hAnsiTheme="majorHAnsi" w:cs="Calibri"/>
                <w:b/>
                <w:bCs/>
                <w:sz w:val="18"/>
                <w:szCs w:val="18"/>
              </w:rPr>
            </w:pPr>
            <w:r w:rsidRPr="008D4276">
              <w:rPr>
                <w:rFonts w:asciiTheme="majorHAnsi" w:hAnsiTheme="majorHAnsi" w:cs="Calibri"/>
                <w:b/>
                <w:bCs/>
                <w:sz w:val="18"/>
                <w:szCs w:val="18"/>
              </w:rPr>
              <w:t>T</w:t>
            </w:r>
            <w:r w:rsidR="00346827" w:rsidRPr="008D4276">
              <w:rPr>
                <w:rFonts w:asciiTheme="majorHAnsi" w:hAnsiTheme="majorHAnsi" w:cs="Calibri"/>
                <w:b/>
                <w:bCs/>
                <w:sz w:val="18"/>
                <w:szCs w:val="18"/>
              </w:rPr>
              <w:t>OC</w:t>
            </w:r>
            <w:r w:rsidRPr="008D4276">
              <w:rPr>
                <w:rFonts w:asciiTheme="majorHAnsi" w:hAnsiTheme="majorHAnsi" w:cs="Calibri"/>
                <w:b/>
                <w:bCs/>
                <w:sz w:val="18"/>
                <w:szCs w:val="18"/>
              </w:rPr>
              <w:t xml:space="preserve"> 8 mg/kg + </w:t>
            </w:r>
          </w:p>
          <w:p w14:paraId="30DEF77C" w14:textId="5D9325AA" w:rsidR="00B71E20" w:rsidRPr="008D4276" w:rsidRDefault="00B71E20" w:rsidP="00B71E20">
            <w:pPr>
              <w:pStyle w:val="NoSpacing"/>
              <w:jc w:val="right"/>
              <w:rPr>
                <w:rFonts w:asciiTheme="majorHAnsi" w:hAnsiTheme="majorHAnsi" w:cs="Calibri"/>
                <w:b/>
                <w:bCs/>
                <w:sz w:val="18"/>
                <w:szCs w:val="18"/>
              </w:rPr>
            </w:pPr>
            <w:r w:rsidRPr="008D4276">
              <w:rPr>
                <w:rFonts w:asciiTheme="majorHAnsi" w:hAnsiTheme="majorHAnsi" w:cs="Calibri"/>
                <w:b/>
                <w:bCs/>
                <w:sz w:val="18"/>
                <w:szCs w:val="18"/>
              </w:rPr>
              <w:t xml:space="preserve">MTX </w:t>
            </w:r>
          </w:p>
          <w:p w14:paraId="21226E3F" w14:textId="6EB85698" w:rsidR="00B71E20" w:rsidRPr="008D4276" w:rsidRDefault="00B71E20" w:rsidP="00B71E20">
            <w:pPr>
              <w:pStyle w:val="NoSpacing"/>
              <w:jc w:val="right"/>
              <w:rPr>
                <w:rFonts w:asciiTheme="majorHAnsi" w:hAnsiTheme="majorHAnsi" w:cs="Calibri"/>
                <w:b/>
                <w:bCs/>
                <w:sz w:val="18"/>
                <w:szCs w:val="18"/>
              </w:rPr>
            </w:pPr>
            <w:r w:rsidRPr="008D4276">
              <w:rPr>
                <w:rFonts w:asciiTheme="majorHAnsi" w:hAnsiTheme="majorHAnsi" w:cs="Calibri"/>
                <w:b/>
                <w:bCs/>
                <w:sz w:val="18"/>
                <w:szCs w:val="18"/>
              </w:rPr>
              <w:t>n=290</w:t>
            </w:r>
          </w:p>
        </w:tc>
        <w:tc>
          <w:tcPr>
            <w:tcW w:w="864" w:type="pct"/>
            <w:tcBorders>
              <w:top w:val="single" w:sz="4" w:space="0" w:color="000000"/>
              <w:bottom w:val="single" w:sz="4" w:space="0" w:color="000000"/>
            </w:tcBorders>
          </w:tcPr>
          <w:p w14:paraId="179CDAE3" w14:textId="71AF957E" w:rsidR="00B71E20" w:rsidRPr="008D4276" w:rsidRDefault="00B71E20" w:rsidP="00B71E20">
            <w:pPr>
              <w:pStyle w:val="NoSpacing"/>
              <w:jc w:val="center"/>
              <w:rPr>
                <w:rFonts w:asciiTheme="majorHAnsi" w:hAnsiTheme="majorHAnsi" w:cs="Calibri"/>
                <w:b/>
                <w:bCs/>
                <w:sz w:val="18"/>
                <w:szCs w:val="18"/>
              </w:rPr>
            </w:pPr>
            <w:r w:rsidRPr="008D4276">
              <w:rPr>
                <w:rFonts w:asciiTheme="majorHAnsi" w:hAnsiTheme="majorHAnsi" w:cs="Calibri"/>
                <w:b/>
                <w:bCs/>
                <w:sz w:val="18"/>
                <w:szCs w:val="18"/>
              </w:rPr>
              <w:t>T</w:t>
            </w:r>
            <w:r w:rsidR="00346827" w:rsidRPr="008D4276">
              <w:rPr>
                <w:rFonts w:asciiTheme="majorHAnsi" w:hAnsiTheme="majorHAnsi" w:cs="Calibri"/>
                <w:b/>
                <w:bCs/>
                <w:sz w:val="18"/>
                <w:szCs w:val="18"/>
              </w:rPr>
              <w:t>OC</w:t>
            </w:r>
            <w:r w:rsidRPr="008D4276">
              <w:rPr>
                <w:rFonts w:asciiTheme="majorHAnsi" w:hAnsiTheme="majorHAnsi" w:cs="Calibri"/>
                <w:b/>
                <w:bCs/>
                <w:sz w:val="18"/>
                <w:szCs w:val="18"/>
              </w:rPr>
              <w:t xml:space="preserve"> 8 mg/kg+ placebo</w:t>
            </w:r>
          </w:p>
          <w:p w14:paraId="407F2822" w14:textId="645E7AE0" w:rsidR="00B71E20" w:rsidRPr="008D4276" w:rsidRDefault="00B71E20" w:rsidP="00B71E20">
            <w:pPr>
              <w:pStyle w:val="NoSpacing"/>
              <w:jc w:val="center"/>
              <w:rPr>
                <w:rFonts w:asciiTheme="majorHAnsi" w:hAnsiTheme="majorHAnsi" w:cs="Calibri"/>
                <w:b/>
                <w:bCs/>
                <w:sz w:val="18"/>
                <w:szCs w:val="18"/>
              </w:rPr>
            </w:pPr>
            <w:r w:rsidRPr="008D4276">
              <w:rPr>
                <w:rFonts w:asciiTheme="majorHAnsi" w:hAnsiTheme="majorHAnsi" w:cs="Calibri"/>
                <w:b/>
                <w:bCs/>
                <w:sz w:val="18"/>
                <w:szCs w:val="18"/>
              </w:rPr>
              <w:t>n=292</w:t>
            </w:r>
          </w:p>
        </w:tc>
        <w:tc>
          <w:tcPr>
            <w:tcW w:w="1049" w:type="pct"/>
            <w:tcBorders>
              <w:top w:val="single" w:sz="4" w:space="0" w:color="000000"/>
              <w:bottom w:val="single" w:sz="4" w:space="0" w:color="000000"/>
              <w:right w:val="single" w:sz="4" w:space="0" w:color="000000"/>
            </w:tcBorders>
            <w:vAlign w:val="center"/>
          </w:tcPr>
          <w:p w14:paraId="6B8B84C2" w14:textId="551CF289" w:rsidR="00B71E20" w:rsidRPr="008D4276" w:rsidRDefault="00B71E20" w:rsidP="00B71E20">
            <w:pPr>
              <w:pStyle w:val="NoSpacing"/>
              <w:jc w:val="center"/>
              <w:rPr>
                <w:rFonts w:asciiTheme="majorHAnsi" w:hAnsiTheme="majorHAnsi" w:cs="Calibri"/>
                <w:b/>
                <w:bCs/>
                <w:sz w:val="18"/>
                <w:szCs w:val="18"/>
              </w:rPr>
            </w:pPr>
            <w:r w:rsidRPr="008D4276">
              <w:rPr>
                <w:rFonts w:asciiTheme="majorHAnsi" w:hAnsiTheme="majorHAnsi" w:cs="Calibri"/>
                <w:b/>
                <w:bCs/>
                <w:sz w:val="18"/>
                <w:szCs w:val="18"/>
              </w:rPr>
              <w:t>Placebo + MTX</w:t>
            </w:r>
          </w:p>
          <w:p w14:paraId="69337A43" w14:textId="77860570" w:rsidR="00B71E20" w:rsidRPr="008D4276" w:rsidRDefault="00B71E20" w:rsidP="00B71E20">
            <w:pPr>
              <w:pStyle w:val="NoSpacing"/>
              <w:jc w:val="center"/>
              <w:rPr>
                <w:rFonts w:asciiTheme="majorHAnsi" w:hAnsiTheme="majorHAnsi" w:cs="Calibri"/>
                <w:b/>
                <w:bCs/>
                <w:sz w:val="18"/>
                <w:szCs w:val="18"/>
              </w:rPr>
            </w:pPr>
            <w:r w:rsidRPr="008D4276">
              <w:rPr>
                <w:rFonts w:asciiTheme="majorHAnsi" w:hAnsiTheme="majorHAnsi" w:cs="Calibri"/>
                <w:b/>
                <w:bCs/>
                <w:sz w:val="18"/>
                <w:szCs w:val="18"/>
              </w:rPr>
              <w:t>n=287</w:t>
            </w:r>
          </w:p>
        </w:tc>
      </w:tr>
      <w:tr w:rsidR="00B71E20" w:rsidRPr="001922B7" w14:paraId="215436E9" w14:textId="77777777" w:rsidTr="00B71E20">
        <w:trPr>
          <w:trHeight w:val="230"/>
        </w:trPr>
        <w:tc>
          <w:tcPr>
            <w:tcW w:w="5000" w:type="pct"/>
            <w:gridSpan w:val="7"/>
            <w:tcBorders>
              <w:top w:val="single" w:sz="4" w:space="0" w:color="000000"/>
              <w:left w:val="single" w:sz="4" w:space="0" w:color="000000"/>
              <w:bottom w:val="single" w:sz="4" w:space="0" w:color="000000"/>
              <w:right w:val="single" w:sz="4" w:space="0" w:color="000000"/>
            </w:tcBorders>
          </w:tcPr>
          <w:p w14:paraId="7E4B143C" w14:textId="77777777" w:rsidR="00B71E20" w:rsidRPr="008D4276" w:rsidRDefault="00B71E20" w:rsidP="00B71E20">
            <w:pPr>
              <w:pStyle w:val="NoSpacing"/>
              <w:rPr>
                <w:rFonts w:asciiTheme="majorHAnsi" w:hAnsiTheme="majorHAnsi" w:cs="Calibri"/>
                <w:b/>
                <w:bCs/>
                <w:sz w:val="18"/>
                <w:szCs w:val="18"/>
              </w:rPr>
            </w:pPr>
            <w:r w:rsidRPr="008D4276">
              <w:rPr>
                <w:rFonts w:asciiTheme="majorHAnsi" w:hAnsiTheme="majorHAnsi" w:cs="Calibri"/>
                <w:b/>
                <w:bCs/>
                <w:sz w:val="18"/>
                <w:szCs w:val="18"/>
              </w:rPr>
              <w:t>Primary Endpoint</w:t>
            </w:r>
          </w:p>
        </w:tc>
      </w:tr>
      <w:tr w:rsidR="00B71E20" w:rsidRPr="001922B7" w14:paraId="4D14A64B" w14:textId="77777777" w:rsidTr="00B71E20">
        <w:trPr>
          <w:trHeight w:val="234"/>
        </w:trPr>
        <w:tc>
          <w:tcPr>
            <w:tcW w:w="2183" w:type="pct"/>
            <w:gridSpan w:val="3"/>
            <w:tcBorders>
              <w:top w:val="single" w:sz="4" w:space="0" w:color="000000"/>
              <w:left w:val="single" w:sz="4" w:space="0" w:color="000000"/>
            </w:tcBorders>
          </w:tcPr>
          <w:p w14:paraId="36CB5EE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DAS &lt; 2.6 response (%)</w:t>
            </w:r>
          </w:p>
        </w:tc>
        <w:tc>
          <w:tcPr>
            <w:tcW w:w="351" w:type="pct"/>
            <w:tcBorders>
              <w:top w:val="single" w:sz="4" w:space="0" w:color="000000"/>
            </w:tcBorders>
            <w:vAlign w:val="center"/>
          </w:tcPr>
          <w:p w14:paraId="330406ED" w14:textId="77777777" w:rsidR="00B71E20" w:rsidRPr="008D4276" w:rsidRDefault="00B71E20" w:rsidP="00B71E20">
            <w:pPr>
              <w:pStyle w:val="NoSpacing"/>
              <w:jc w:val="center"/>
              <w:rPr>
                <w:rFonts w:asciiTheme="majorHAnsi" w:hAnsiTheme="majorHAnsi" w:cs="Calibri"/>
                <w:sz w:val="18"/>
                <w:szCs w:val="18"/>
              </w:rPr>
            </w:pPr>
          </w:p>
        </w:tc>
        <w:tc>
          <w:tcPr>
            <w:tcW w:w="553" w:type="pct"/>
            <w:tcBorders>
              <w:top w:val="single" w:sz="4" w:space="0" w:color="000000"/>
            </w:tcBorders>
            <w:vAlign w:val="center"/>
          </w:tcPr>
          <w:p w14:paraId="3C8A917B" w14:textId="77777777" w:rsidR="00B71E20" w:rsidRPr="008D4276" w:rsidRDefault="00B71E20" w:rsidP="00B71E20">
            <w:pPr>
              <w:pStyle w:val="NoSpacing"/>
              <w:jc w:val="center"/>
              <w:rPr>
                <w:rFonts w:asciiTheme="majorHAnsi" w:hAnsiTheme="majorHAnsi" w:cs="Calibri"/>
                <w:sz w:val="18"/>
                <w:szCs w:val="18"/>
              </w:rPr>
            </w:pPr>
          </w:p>
        </w:tc>
        <w:tc>
          <w:tcPr>
            <w:tcW w:w="864" w:type="pct"/>
            <w:tcBorders>
              <w:top w:val="single" w:sz="4" w:space="0" w:color="000000"/>
            </w:tcBorders>
            <w:vAlign w:val="center"/>
          </w:tcPr>
          <w:p w14:paraId="2AFBFE4A" w14:textId="77777777" w:rsidR="00B71E20" w:rsidRPr="008D4276" w:rsidRDefault="00B71E20" w:rsidP="00B71E20">
            <w:pPr>
              <w:pStyle w:val="NoSpacing"/>
              <w:jc w:val="center"/>
              <w:rPr>
                <w:rFonts w:asciiTheme="majorHAnsi" w:hAnsiTheme="majorHAnsi" w:cs="Calibri"/>
                <w:sz w:val="18"/>
                <w:szCs w:val="18"/>
              </w:rPr>
            </w:pPr>
          </w:p>
        </w:tc>
        <w:tc>
          <w:tcPr>
            <w:tcW w:w="1049" w:type="pct"/>
            <w:tcBorders>
              <w:top w:val="single" w:sz="4" w:space="0" w:color="000000"/>
              <w:right w:val="single" w:sz="4" w:space="0" w:color="000000"/>
            </w:tcBorders>
            <w:vAlign w:val="center"/>
          </w:tcPr>
          <w:p w14:paraId="20573839"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2889B367" w14:textId="77777777" w:rsidTr="00B71E20">
        <w:trPr>
          <w:trHeight w:val="225"/>
        </w:trPr>
        <w:tc>
          <w:tcPr>
            <w:tcW w:w="2183" w:type="pct"/>
            <w:gridSpan w:val="3"/>
            <w:tcBorders>
              <w:left w:val="single" w:sz="4" w:space="0" w:color="000000"/>
              <w:bottom w:val="single" w:sz="4" w:space="0" w:color="000000"/>
            </w:tcBorders>
          </w:tcPr>
          <w:p w14:paraId="2C3C5EF1"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904" w:type="pct"/>
            <w:gridSpan w:val="2"/>
            <w:tcBorders>
              <w:bottom w:val="single" w:sz="4" w:space="0" w:color="000000"/>
            </w:tcBorders>
            <w:vAlign w:val="center"/>
          </w:tcPr>
          <w:p w14:paraId="2313194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44.8***</w:t>
            </w:r>
          </w:p>
        </w:tc>
        <w:tc>
          <w:tcPr>
            <w:tcW w:w="864" w:type="pct"/>
            <w:tcBorders>
              <w:bottom w:val="single" w:sz="4" w:space="0" w:color="000000"/>
            </w:tcBorders>
            <w:vAlign w:val="center"/>
          </w:tcPr>
          <w:p w14:paraId="2EBD3E1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38.7***</w:t>
            </w:r>
          </w:p>
        </w:tc>
        <w:tc>
          <w:tcPr>
            <w:tcW w:w="1049" w:type="pct"/>
            <w:tcBorders>
              <w:bottom w:val="single" w:sz="4" w:space="0" w:color="000000"/>
              <w:right w:val="single" w:sz="4" w:space="0" w:color="000000"/>
            </w:tcBorders>
            <w:vAlign w:val="center"/>
          </w:tcPr>
          <w:p w14:paraId="2D04B468"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15.0</w:t>
            </w:r>
          </w:p>
        </w:tc>
      </w:tr>
      <w:tr w:rsidR="00B71E20" w:rsidRPr="001922B7" w14:paraId="2FA33ABB" w14:textId="77777777" w:rsidTr="00B71E20">
        <w:trPr>
          <w:trHeight w:val="257"/>
        </w:trPr>
        <w:tc>
          <w:tcPr>
            <w:tcW w:w="5000" w:type="pct"/>
            <w:gridSpan w:val="7"/>
            <w:tcBorders>
              <w:top w:val="single" w:sz="4" w:space="0" w:color="000000"/>
              <w:left w:val="single" w:sz="4" w:space="0" w:color="000000"/>
              <w:bottom w:val="single" w:sz="4" w:space="0" w:color="000000"/>
              <w:right w:val="single" w:sz="4" w:space="0" w:color="000000"/>
            </w:tcBorders>
          </w:tcPr>
          <w:p w14:paraId="45B4440B" w14:textId="77777777" w:rsidR="00B71E20" w:rsidRPr="008D4276" w:rsidRDefault="00B71E20" w:rsidP="00B71E20">
            <w:pPr>
              <w:pStyle w:val="NoSpacing"/>
              <w:rPr>
                <w:rFonts w:asciiTheme="majorHAnsi" w:hAnsiTheme="majorHAnsi" w:cs="Calibri"/>
                <w:b/>
                <w:bCs/>
                <w:sz w:val="18"/>
                <w:szCs w:val="18"/>
              </w:rPr>
            </w:pPr>
            <w:r w:rsidRPr="008D4276">
              <w:rPr>
                <w:rFonts w:asciiTheme="majorHAnsi" w:hAnsiTheme="majorHAnsi" w:cs="Calibri"/>
                <w:b/>
                <w:bCs/>
                <w:sz w:val="18"/>
                <w:szCs w:val="18"/>
              </w:rPr>
              <w:t>Key Secondary Endpoints</w:t>
            </w:r>
          </w:p>
        </w:tc>
      </w:tr>
      <w:tr w:rsidR="00B71E20" w:rsidRPr="001922B7" w14:paraId="1E84065B" w14:textId="77777777" w:rsidTr="00B71E20">
        <w:trPr>
          <w:trHeight w:val="234"/>
        </w:trPr>
        <w:tc>
          <w:tcPr>
            <w:tcW w:w="2183" w:type="pct"/>
            <w:gridSpan w:val="3"/>
            <w:tcBorders>
              <w:top w:val="single" w:sz="4" w:space="0" w:color="000000"/>
              <w:left w:val="single" w:sz="4" w:space="0" w:color="000000"/>
            </w:tcBorders>
          </w:tcPr>
          <w:p w14:paraId="2410DE8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DAS &lt; 2.6 response (%)</w:t>
            </w:r>
          </w:p>
        </w:tc>
        <w:tc>
          <w:tcPr>
            <w:tcW w:w="351" w:type="pct"/>
            <w:tcBorders>
              <w:top w:val="single" w:sz="4" w:space="0" w:color="000000"/>
            </w:tcBorders>
          </w:tcPr>
          <w:p w14:paraId="36354BD7" w14:textId="77777777" w:rsidR="00B71E20" w:rsidRPr="008D4276" w:rsidRDefault="00B71E20" w:rsidP="00B71E20">
            <w:pPr>
              <w:pStyle w:val="NoSpacing"/>
              <w:rPr>
                <w:rFonts w:asciiTheme="majorHAnsi" w:hAnsiTheme="majorHAnsi" w:cs="Calibri"/>
                <w:sz w:val="18"/>
                <w:szCs w:val="18"/>
              </w:rPr>
            </w:pPr>
          </w:p>
        </w:tc>
        <w:tc>
          <w:tcPr>
            <w:tcW w:w="553" w:type="pct"/>
            <w:tcBorders>
              <w:top w:val="single" w:sz="4" w:space="0" w:color="000000"/>
            </w:tcBorders>
          </w:tcPr>
          <w:p w14:paraId="35AB416F" w14:textId="77777777" w:rsidR="00B71E20" w:rsidRPr="008D4276" w:rsidRDefault="00B71E20" w:rsidP="00B71E20">
            <w:pPr>
              <w:pStyle w:val="NoSpacing"/>
              <w:rPr>
                <w:rFonts w:asciiTheme="majorHAnsi" w:hAnsiTheme="majorHAnsi" w:cs="Calibri"/>
                <w:sz w:val="18"/>
                <w:szCs w:val="18"/>
              </w:rPr>
            </w:pPr>
          </w:p>
        </w:tc>
        <w:tc>
          <w:tcPr>
            <w:tcW w:w="864" w:type="pct"/>
            <w:tcBorders>
              <w:top w:val="single" w:sz="4" w:space="0" w:color="000000"/>
            </w:tcBorders>
          </w:tcPr>
          <w:p w14:paraId="05FA205C" w14:textId="77777777" w:rsidR="00B71E20" w:rsidRPr="008D4276" w:rsidRDefault="00B71E20" w:rsidP="00B71E20">
            <w:pPr>
              <w:pStyle w:val="NoSpacing"/>
              <w:rPr>
                <w:rFonts w:asciiTheme="majorHAnsi" w:hAnsiTheme="majorHAnsi" w:cs="Calibri"/>
                <w:sz w:val="18"/>
                <w:szCs w:val="18"/>
              </w:rPr>
            </w:pPr>
          </w:p>
        </w:tc>
        <w:tc>
          <w:tcPr>
            <w:tcW w:w="1049" w:type="pct"/>
            <w:tcBorders>
              <w:top w:val="single" w:sz="4" w:space="0" w:color="000000"/>
              <w:right w:val="single" w:sz="4" w:space="0" w:color="000000"/>
            </w:tcBorders>
          </w:tcPr>
          <w:p w14:paraId="67B82583" w14:textId="77777777" w:rsidR="00B71E20" w:rsidRPr="008D4276" w:rsidRDefault="00B71E20" w:rsidP="00B71E20">
            <w:pPr>
              <w:pStyle w:val="NoSpacing"/>
              <w:rPr>
                <w:rFonts w:asciiTheme="majorHAnsi" w:hAnsiTheme="majorHAnsi" w:cs="Calibri"/>
                <w:sz w:val="18"/>
                <w:szCs w:val="18"/>
              </w:rPr>
            </w:pPr>
          </w:p>
        </w:tc>
      </w:tr>
      <w:tr w:rsidR="00B71E20" w:rsidRPr="001922B7" w14:paraId="7A190C8A" w14:textId="77777777" w:rsidTr="00B71E20">
        <w:trPr>
          <w:trHeight w:val="225"/>
        </w:trPr>
        <w:tc>
          <w:tcPr>
            <w:tcW w:w="2183" w:type="pct"/>
            <w:gridSpan w:val="3"/>
            <w:tcBorders>
              <w:left w:val="single" w:sz="4" w:space="0" w:color="000000"/>
              <w:bottom w:val="single" w:sz="4" w:space="0" w:color="000000"/>
            </w:tcBorders>
          </w:tcPr>
          <w:p w14:paraId="49F49CE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52</w:t>
            </w:r>
          </w:p>
        </w:tc>
        <w:tc>
          <w:tcPr>
            <w:tcW w:w="904" w:type="pct"/>
            <w:gridSpan w:val="2"/>
            <w:tcBorders>
              <w:bottom w:val="single" w:sz="4" w:space="0" w:color="000000"/>
            </w:tcBorders>
            <w:vAlign w:val="center"/>
          </w:tcPr>
          <w:p w14:paraId="4833836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49.0***</w:t>
            </w:r>
          </w:p>
        </w:tc>
        <w:tc>
          <w:tcPr>
            <w:tcW w:w="864" w:type="pct"/>
            <w:tcBorders>
              <w:bottom w:val="single" w:sz="4" w:space="0" w:color="000000"/>
            </w:tcBorders>
            <w:vAlign w:val="center"/>
          </w:tcPr>
          <w:p w14:paraId="7B452FE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39.4</w:t>
            </w:r>
          </w:p>
        </w:tc>
        <w:tc>
          <w:tcPr>
            <w:tcW w:w="1049" w:type="pct"/>
            <w:tcBorders>
              <w:bottom w:val="single" w:sz="4" w:space="0" w:color="000000"/>
              <w:right w:val="single" w:sz="4" w:space="0" w:color="000000"/>
            </w:tcBorders>
            <w:vAlign w:val="center"/>
          </w:tcPr>
          <w:p w14:paraId="284BAC2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19.5</w:t>
            </w:r>
          </w:p>
        </w:tc>
      </w:tr>
      <w:tr w:rsidR="00B71E20" w:rsidRPr="001922B7" w14:paraId="2B58712E" w14:textId="77777777" w:rsidTr="00B71E20">
        <w:trPr>
          <w:trHeight w:val="234"/>
        </w:trPr>
        <w:tc>
          <w:tcPr>
            <w:tcW w:w="2183" w:type="pct"/>
            <w:gridSpan w:val="3"/>
            <w:tcBorders>
              <w:top w:val="single" w:sz="4" w:space="0" w:color="000000"/>
              <w:left w:val="single" w:sz="4" w:space="0" w:color="000000"/>
            </w:tcBorders>
          </w:tcPr>
          <w:p w14:paraId="2E03144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ACR (%)</w:t>
            </w:r>
          </w:p>
        </w:tc>
        <w:tc>
          <w:tcPr>
            <w:tcW w:w="351" w:type="pct"/>
            <w:tcBorders>
              <w:top w:val="single" w:sz="4" w:space="0" w:color="000000"/>
            </w:tcBorders>
          </w:tcPr>
          <w:p w14:paraId="472EA5B7" w14:textId="77777777" w:rsidR="00B71E20" w:rsidRPr="008D4276" w:rsidRDefault="00B71E20" w:rsidP="00B71E20">
            <w:pPr>
              <w:pStyle w:val="NoSpacing"/>
              <w:rPr>
                <w:rFonts w:asciiTheme="majorHAnsi" w:hAnsiTheme="majorHAnsi" w:cs="Calibri"/>
                <w:sz w:val="18"/>
                <w:szCs w:val="18"/>
              </w:rPr>
            </w:pPr>
          </w:p>
        </w:tc>
        <w:tc>
          <w:tcPr>
            <w:tcW w:w="553" w:type="pct"/>
            <w:tcBorders>
              <w:top w:val="single" w:sz="4" w:space="0" w:color="000000"/>
            </w:tcBorders>
          </w:tcPr>
          <w:p w14:paraId="63982BDB" w14:textId="77777777" w:rsidR="00B71E20" w:rsidRPr="008D4276" w:rsidRDefault="00B71E20" w:rsidP="00B71E20">
            <w:pPr>
              <w:pStyle w:val="NoSpacing"/>
              <w:rPr>
                <w:rFonts w:asciiTheme="majorHAnsi" w:hAnsiTheme="majorHAnsi" w:cs="Calibri"/>
                <w:sz w:val="18"/>
                <w:szCs w:val="18"/>
              </w:rPr>
            </w:pPr>
          </w:p>
        </w:tc>
        <w:tc>
          <w:tcPr>
            <w:tcW w:w="864" w:type="pct"/>
            <w:tcBorders>
              <w:top w:val="single" w:sz="4" w:space="0" w:color="000000"/>
            </w:tcBorders>
          </w:tcPr>
          <w:p w14:paraId="5FD74A3F" w14:textId="77777777" w:rsidR="00B71E20" w:rsidRPr="008D4276" w:rsidRDefault="00B71E20" w:rsidP="00B71E20">
            <w:pPr>
              <w:pStyle w:val="NoSpacing"/>
              <w:rPr>
                <w:rFonts w:asciiTheme="majorHAnsi" w:hAnsiTheme="majorHAnsi" w:cs="Calibri"/>
                <w:sz w:val="18"/>
                <w:szCs w:val="18"/>
              </w:rPr>
            </w:pPr>
          </w:p>
        </w:tc>
        <w:tc>
          <w:tcPr>
            <w:tcW w:w="1049" w:type="pct"/>
            <w:tcBorders>
              <w:top w:val="single" w:sz="4" w:space="0" w:color="000000"/>
              <w:right w:val="single" w:sz="4" w:space="0" w:color="000000"/>
            </w:tcBorders>
          </w:tcPr>
          <w:p w14:paraId="61483CFC" w14:textId="77777777" w:rsidR="00B71E20" w:rsidRPr="008D4276" w:rsidRDefault="00B71E20" w:rsidP="00B71E20">
            <w:pPr>
              <w:pStyle w:val="NoSpacing"/>
              <w:rPr>
                <w:rFonts w:asciiTheme="majorHAnsi" w:hAnsiTheme="majorHAnsi" w:cs="Calibri"/>
                <w:sz w:val="18"/>
                <w:szCs w:val="18"/>
              </w:rPr>
            </w:pPr>
          </w:p>
        </w:tc>
      </w:tr>
      <w:tr w:rsidR="00B71E20" w:rsidRPr="001922B7" w14:paraId="77CAE786" w14:textId="77777777" w:rsidTr="00B71E20">
        <w:trPr>
          <w:trHeight w:val="229"/>
        </w:trPr>
        <w:tc>
          <w:tcPr>
            <w:tcW w:w="587" w:type="pct"/>
            <w:tcBorders>
              <w:left w:val="single" w:sz="4" w:space="0" w:color="000000"/>
            </w:tcBorders>
          </w:tcPr>
          <w:p w14:paraId="7AFABF2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24</w:t>
            </w:r>
          </w:p>
        </w:tc>
        <w:tc>
          <w:tcPr>
            <w:tcW w:w="590" w:type="pct"/>
          </w:tcPr>
          <w:p w14:paraId="0085673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ACR20</w:t>
            </w:r>
          </w:p>
        </w:tc>
        <w:tc>
          <w:tcPr>
            <w:tcW w:w="1006" w:type="pct"/>
          </w:tcPr>
          <w:p w14:paraId="18D637B3" w14:textId="77777777" w:rsidR="00B71E20" w:rsidRPr="008D4276" w:rsidRDefault="00B71E20" w:rsidP="00B71E20">
            <w:pPr>
              <w:pStyle w:val="NoSpacing"/>
              <w:rPr>
                <w:rFonts w:asciiTheme="majorHAnsi" w:hAnsiTheme="majorHAnsi" w:cs="Calibri"/>
                <w:sz w:val="18"/>
                <w:szCs w:val="18"/>
              </w:rPr>
            </w:pPr>
          </w:p>
        </w:tc>
        <w:tc>
          <w:tcPr>
            <w:tcW w:w="351" w:type="pct"/>
            <w:vAlign w:val="center"/>
          </w:tcPr>
          <w:p w14:paraId="6D238BC4" w14:textId="77777777" w:rsidR="00B71E20" w:rsidRPr="008D4276" w:rsidRDefault="00B71E20" w:rsidP="00B71E20">
            <w:pPr>
              <w:pStyle w:val="NoSpacing"/>
              <w:jc w:val="center"/>
              <w:rPr>
                <w:rFonts w:asciiTheme="majorHAnsi" w:hAnsiTheme="majorHAnsi" w:cs="Calibri"/>
                <w:sz w:val="18"/>
                <w:szCs w:val="18"/>
              </w:rPr>
            </w:pPr>
          </w:p>
        </w:tc>
        <w:tc>
          <w:tcPr>
            <w:tcW w:w="553" w:type="pct"/>
            <w:vAlign w:val="center"/>
          </w:tcPr>
          <w:p w14:paraId="07B5DD5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74.5*</w:t>
            </w:r>
          </w:p>
        </w:tc>
        <w:tc>
          <w:tcPr>
            <w:tcW w:w="864" w:type="pct"/>
            <w:vAlign w:val="center"/>
          </w:tcPr>
          <w:p w14:paraId="66F85F7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70.2</w:t>
            </w:r>
          </w:p>
        </w:tc>
        <w:tc>
          <w:tcPr>
            <w:tcW w:w="1049" w:type="pct"/>
            <w:tcBorders>
              <w:right w:val="single" w:sz="4" w:space="0" w:color="000000"/>
            </w:tcBorders>
            <w:vAlign w:val="center"/>
          </w:tcPr>
          <w:p w14:paraId="617244E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65.2</w:t>
            </w:r>
          </w:p>
        </w:tc>
      </w:tr>
      <w:tr w:rsidR="00B71E20" w:rsidRPr="001922B7" w14:paraId="4F09F142" w14:textId="77777777" w:rsidTr="00B71E20">
        <w:trPr>
          <w:trHeight w:val="229"/>
        </w:trPr>
        <w:tc>
          <w:tcPr>
            <w:tcW w:w="2183" w:type="pct"/>
            <w:gridSpan w:val="3"/>
            <w:tcBorders>
              <w:left w:val="single" w:sz="4" w:space="0" w:color="000000"/>
            </w:tcBorders>
          </w:tcPr>
          <w:p w14:paraId="3E20FF0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ACR50</w:t>
            </w:r>
          </w:p>
        </w:tc>
        <w:tc>
          <w:tcPr>
            <w:tcW w:w="351" w:type="pct"/>
            <w:vAlign w:val="center"/>
          </w:tcPr>
          <w:p w14:paraId="12E5B433" w14:textId="77777777" w:rsidR="00B71E20" w:rsidRPr="008D4276" w:rsidRDefault="00B71E20" w:rsidP="00B71E20">
            <w:pPr>
              <w:pStyle w:val="NoSpacing"/>
              <w:jc w:val="center"/>
              <w:rPr>
                <w:rFonts w:asciiTheme="majorHAnsi" w:hAnsiTheme="majorHAnsi" w:cs="Calibri"/>
                <w:sz w:val="18"/>
                <w:szCs w:val="18"/>
              </w:rPr>
            </w:pPr>
          </w:p>
        </w:tc>
        <w:tc>
          <w:tcPr>
            <w:tcW w:w="553" w:type="pct"/>
            <w:vAlign w:val="center"/>
          </w:tcPr>
          <w:p w14:paraId="113EC28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56.9**</w:t>
            </w:r>
          </w:p>
        </w:tc>
        <w:tc>
          <w:tcPr>
            <w:tcW w:w="864" w:type="pct"/>
            <w:vAlign w:val="center"/>
          </w:tcPr>
          <w:p w14:paraId="2FB958C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47.6</w:t>
            </w:r>
          </w:p>
        </w:tc>
        <w:tc>
          <w:tcPr>
            <w:tcW w:w="1049" w:type="pct"/>
            <w:tcBorders>
              <w:right w:val="single" w:sz="4" w:space="0" w:color="000000"/>
            </w:tcBorders>
            <w:vAlign w:val="center"/>
          </w:tcPr>
          <w:p w14:paraId="748FE32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43.2</w:t>
            </w:r>
          </w:p>
        </w:tc>
      </w:tr>
      <w:tr w:rsidR="00B71E20" w:rsidRPr="001922B7" w14:paraId="1F44796F" w14:textId="77777777" w:rsidTr="00B71E20">
        <w:trPr>
          <w:trHeight w:val="230"/>
        </w:trPr>
        <w:tc>
          <w:tcPr>
            <w:tcW w:w="2183" w:type="pct"/>
            <w:gridSpan w:val="3"/>
            <w:tcBorders>
              <w:left w:val="single" w:sz="4" w:space="0" w:color="000000"/>
            </w:tcBorders>
          </w:tcPr>
          <w:p w14:paraId="4B7963B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ACR70</w:t>
            </w:r>
          </w:p>
        </w:tc>
        <w:tc>
          <w:tcPr>
            <w:tcW w:w="351" w:type="pct"/>
            <w:vAlign w:val="center"/>
          </w:tcPr>
          <w:p w14:paraId="0AF25AAA" w14:textId="77777777" w:rsidR="00B71E20" w:rsidRPr="008D4276" w:rsidRDefault="00B71E20" w:rsidP="00B71E20">
            <w:pPr>
              <w:pStyle w:val="NoSpacing"/>
              <w:jc w:val="center"/>
              <w:rPr>
                <w:rFonts w:asciiTheme="majorHAnsi" w:hAnsiTheme="majorHAnsi" w:cs="Calibri"/>
                <w:sz w:val="18"/>
                <w:szCs w:val="18"/>
              </w:rPr>
            </w:pPr>
          </w:p>
        </w:tc>
        <w:tc>
          <w:tcPr>
            <w:tcW w:w="553" w:type="pct"/>
            <w:vAlign w:val="center"/>
          </w:tcPr>
          <w:p w14:paraId="0E8CEBA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38.6**</w:t>
            </w:r>
          </w:p>
        </w:tc>
        <w:tc>
          <w:tcPr>
            <w:tcW w:w="864" w:type="pct"/>
            <w:vAlign w:val="center"/>
          </w:tcPr>
          <w:p w14:paraId="4F39FD0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30.1</w:t>
            </w:r>
          </w:p>
        </w:tc>
        <w:tc>
          <w:tcPr>
            <w:tcW w:w="1049" w:type="pct"/>
            <w:tcBorders>
              <w:right w:val="single" w:sz="4" w:space="0" w:color="000000"/>
            </w:tcBorders>
            <w:vAlign w:val="center"/>
          </w:tcPr>
          <w:p w14:paraId="7EABC8D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25.4</w:t>
            </w:r>
          </w:p>
        </w:tc>
      </w:tr>
      <w:tr w:rsidR="00B71E20" w:rsidRPr="001922B7" w14:paraId="6C695BF7" w14:textId="77777777" w:rsidTr="00B71E20">
        <w:trPr>
          <w:trHeight w:val="230"/>
        </w:trPr>
        <w:tc>
          <w:tcPr>
            <w:tcW w:w="587" w:type="pct"/>
            <w:tcBorders>
              <w:left w:val="single" w:sz="4" w:space="0" w:color="000000"/>
            </w:tcBorders>
          </w:tcPr>
          <w:p w14:paraId="20F35A1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52</w:t>
            </w:r>
          </w:p>
        </w:tc>
        <w:tc>
          <w:tcPr>
            <w:tcW w:w="590" w:type="pct"/>
          </w:tcPr>
          <w:p w14:paraId="32D3D1C3"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ACR20</w:t>
            </w:r>
          </w:p>
        </w:tc>
        <w:tc>
          <w:tcPr>
            <w:tcW w:w="1006" w:type="pct"/>
          </w:tcPr>
          <w:p w14:paraId="03230288" w14:textId="77777777" w:rsidR="00B71E20" w:rsidRPr="008D4276" w:rsidRDefault="00B71E20" w:rsidP="00B71E20">
            <w:pPr>
              <w:pStyle w:val="NoSpacing"/>
              <w:rPr>
                <w:rFonts w:asciiTheme="majorHAnsi" w:hAnsiTheme="majorHAnsi" w:cs="Calibri"/>
                <w:sz w:val="18"/>
                <w:szCs w:val="18"/>
              </w:rPr>
            </w:pPr>
          </w:p>
        </w:tc>
        <w:tc>
          <w:tcPr>
            <w:tcW w:w="351" w:type="pct"/>
            <w:vAlign w:val="center"/>
          </w:tcPr>
          <w:p w14:paraId="7124C2F7" w14:textId="77777777" w:rsidR="00B71E20" w:rsidRPr="008D4276" w:rsidRDefault="00B71E20" w:rsidP="00B71E20">
            <w:pPr>
              <w:pStyle w:val="NoSpacing"/>
              <w:jc w:val="center"/>
              <w:rPr>
                <w:rFonts w:asciiTheme="majorHAnsi" w:hAnsiTheme="majorHAnsi" w:cs="Calibri"/>
                <w:sz w:val="18"/>
                <w:szCs w:val="18"/>
              </w:rPr>
            </w:pPr>
          </w:p>
        </w:tc>
        <w:tc>
          <w:tcPr>
            <w:tcW w:w="553" w:type="pct"/>
            <w:vAlign w:val="center"/>
          </w:tcPr>
          <w:p w14:paraId="2A587A5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67.2*</w:t>
            </w:r>
          </w:p>
        </w:tc>
        <w:tc>
          <w:tcPr>
            <w:tcW w:w="864" w:type="pct"/>
            <w:vAlign w:val="center"/>
          </w:tcPr>
          <w:p w14:paraId="1F5A28B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63.0</w:t>
            </w:r>
          </w:p>
        </w:tc>
        <w:tc>
          <w:tcPr>
            <w:tcW w:w="1049" w:type="pct"/>
            <w:tcBorders>
              <w:right w:val="single" w:sz="4" w:space="0" w:color="000000"/>
            </w:tcBorders>
            <w:vAlign w:val="center"/>
          </w:tcPr>
          <w:p w14:paraId="60D87E1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57.1</w:t>
            </w:r>
          </w:p>
        </w:tc>
      </w:tr>
      <w:tr w:rsidR="00B71E20" w:rsidRPr="001922B7" w14:paraId="0511A63B" w14:textId="77777777" w:rsidTr="00B71E20">
        <w:trPr>
          <w:trHeight w:val="230"/>
        </w:trPr>
        <w:tc>
          <w:tcPr>
            <w:tcW w:w="2183" w:type="pct"/>
            <w:gridSpan w:val="3"/>
            <w:tcBorders>
              <w:left w:val="single" w:sz="4" w:space="0" w:color="000000"/>
            </w:tcBorders>
            <w:vAlign w:val="center"/>
          </w:tcPr>
          <w:p w14:paraId="20FA145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ACR50</w:t>
            </w:r>
          </w:p>
        </w:tc>
        <w:tc>
          <w:tcPr>
            <w:tcW w:w="351" w:type="pct"/>
            <w:vAlign w:val="center"/>
          </w:tcPr>
          <w:p w14:paraId="34EBCA31" w14:textId="77777777" w:rsidR="00B71E20" w:rsidRPr="008D4276" w:rsidRDefault="00B71E20" w:rsidP="00B71E20">
            <w:pPr>
              <w:pStyle w:val="NoSpacing"/>
              <w:jc w:val="center"/>
              <w:rPr>
                <w:rFonts w:asciiTheme="majorHAnsi" w:hAnsiTheme="majorHAnsi" w:cs="Calibri"/>
                <w:sz w:val="18"/>
                <w:szCs w:val="18"/>
              </w:rPr>
            </w:pPr>
          </w:p>
        </w:tc>
        <w:tc>
          <w:tcPr>
            <w:tcW w:w="553" w:type="pct"/>
            <w:vAlign w:val="center"/>
          </w:tcPr>
          <w:p w14:paraId="54B8793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55.9**</w:t>
            </w:r>
          </w:p>
        </w:tc>
        <w:tc>
          <w:tcPr>
            <w:tcW w:w="864" w:type="pct"/>
            <w:vAlign w:val="center"/>
          </w:tcPr>
          <w:p w14:paraId="440E19E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49.3</w:t>
            </w:r>
          </w:p>
        </w:tc>
        <w:tc>
          <w:tcPr>
            <w:tcW w:w="1049" w:type="pct"/>
            <w:tcBorders>
              <w:right w:val="single" w:sz="4" w:space="0" w:color="000000"/>
            </w:tcBorders>
            <w:vAlign w:val="center"/>
          </w:tcPr>
          <w:p w14:paraId="6C04893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40.8</w:t>
            </w:r>
          </w:p>
        </w:tc>
      </w:tr>
      <w:tr w:rsidR="00B71E20" w:rsidRPr="001922B7" w14:paraId="12FE2906" w14:textId="77777777" w:rsidTr="00B71E20">
        <w:trPr>
          <w:trHeight w:val="225"/>
        </w:trPr>
        <w:tc>
          <w:tcPr>
            <w:tcW w:w="2183" w:type="pct"/>
            <w:gridSpan w:val="3"/>
            <w:tcBorders>
              <w:left w:val="single" w:sz="4" w:space="0" w:color="000000"/>
              <w:bottom w:val="single" w:sz="4" w:space="0" w:color="000000"/>
            </w:tcBorders>
            <w:vAlign w:val="center"/>
          </w:tcPr>
          <w:p w14:paraId="1122DA6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ACR70</w:t>
            </w:r>
          </w:p>
        </w:tc>
        <w:tc>
          <w:tcPr>
            <w:tcW w:w="351" w:type="pct"/>
            <w:tcBorders>
              <w:bottom w:val="single" w:sz="4" w:space="0" w:color="000000"/>
            </w:tcBorders>
            <w:vAlign w:val="center"/>
          </w:tcPr>
          <w:p w14:paraId="0121B1BC" w14:textId="77777777" w:rsidR="00B71E20" w:rsidRPr="008D4276" w:rsidRDefault="00B71E20" w:rsidP="00B71E20">
            <w:pPr>
              <w:pStyle w:val="NoSpacing"/>
              <w:jc w:val="center"/>
              <w:rPr>
                <w:rFonts w:asciiTheme="majorHAnsi" w:hAnsiTheme="majorHAnsi" w:cs="Calibri"/>
                <w:sz w:val="18"/>
                <w:szCs w:val="18"/>
              </w:rPr>
            </w:pPr>
          </w:p>
        </w:tc>
        <w:tc>
          <w:tcPr>
            <w:tcW w:w="553" w:type="pct"/>
            <w:tcBorders>
              <w:bottom w:val="single" w:sz="4" w:space="0" w:color="000000"/>
            </w:tcBorders>
            <w:vAlign w:val="center"/>
          </w:tcPr>
          <w:p w14:paraId="04AC26A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43.1**</w:t>
            </w:r>
          </w:p>
        </w:tc>
        <w:tc>
          <w:tcPr>
            <w:tcW w:w="864" w:type="pct"/>
            <w:tcBorders>
              <w:bottom w:val="single" w:sz="4" w:space="0" w:color="000000"/>
            </w:tcBorders>
            <w:vAlign w:val="center"/>
          </w:tcPr>
          <w:p w14:paraId="5B52C43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36.0</w:t>
            </w:r>
          </w:p>
        </w:tc>
        <w:tc>
          <w:tcPr>
            <w:tcW w:w="1049" w:type="pct"/>
            <w:tcBorders>
              <w:bottom w:val="single" w:sz="4" w:space="0" w:color="000000"/>
              <w:right w:val="single" w:sz="4" w:space="0" w:color="000000"/>
            </w:tcBorders>
            <w:vAlign w:val="center"/>
          </w:tcPr>
          <w:p w14:paraId="113E02C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28.9</w:t>
            </w:r>
          </w:p>
        </w:tc>
      </w:tr>
      <w:tr w:rsidR="00B71E20" w:rsidRPr="001922B7" w14:paraId="19F8B530" w14:textId="77777777" w:rsidTr="00B71E20">
        <w:trPr>
          <w:trHeight w:val="234"/>
        </w:trPr>
        <w:tc>
          <w:tcPr>
            <w:tcW w:w="5000" w:type="pct"/>
            <w:gridSpan w:val="7"/>
            <w:tcBorders>
              <w:top w:val="single" w:sz="4" w:space="0" w:color="000000"/>
              <w:left w:val="single" w:sz="4" w:space="0" w:color="000000"/>
              <w:right w:val="single" w:sz="4" w:space="0" w:color="000000"/>
            </w:tcBorders>
          </w:tcPr>
          <w:p w14:paraId="3B7887A6"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HAQ-DI (adjusted mean change from baseline)</w:t>
            </w:r>
          </w:p>
        </w:tc>
      </w:tr>
      <w:tr w:rsidR="00B71E20" w:rsidRPr="001922B7" w14:paraId="4387E1DA" w14:textId="77777777" w:rsidTr="00B71E20">
        <w:trPr>
          <w:trHeight w:val="225"/>
        </w:trPr>
        <w:tc>
          <w:tcPr>
            <w:tcW w:w="2183" w:type="pct"/>
            <w:gridSpan w:val="3"/>
            <w:tcBorders>
              <w:left w:val="single" w:sz="4" w:space="0" w:color="000000"/>
              <w:bottom w:val="single" w:sz="4" w:space="0" w:color="000000"/>
            </w:tcBorders>
          </w:tcPr>
          <w:p w14:paraId="754BA9A8"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52</w:t>
            </w:r>
          </w:p>
        </w:tc>
        <w:tc>
          <w:tcPr>
            <w:tcW w:w="351" w:type="pct"/>
            <w:tcBorders>
              <w:bottom w:val="single" w:sz="4" w:space="0" w:color="000000"/>
            </w:tcBorders>
          </w:tcPr>
          <w:p w14:paraId="72B88D36" w14:textId="77777777" w:rsidR="00B71E20" w:rsidRPr="008D4276" w:rsidRDefault="00B71E20" w:rsidP="00B71E20">
            <w:pPr>
              <w:pStyle w:val="NoSpacing"/>
              <w:rPr>
                <w:rFonts w:asciiTheme="majorHAnsi" w:hAnsiTheme="majorHAnsi" w:cs="Calibri"/>
                <w:sz w:val="18"/>
                <w:szCs w:val="18"/>
              </w:rPr>
            </w:pPr>
          </w:p>
        </w:tc>
        <w:tc>
          <w:tcPr>
            <w:tcW w:w="553" w:type="pct"/>
            <w:tcBorders>
              <w:bottom w:val="single" w:sz="4" w:space="0" w:color="000000"/>
            </w:tcBorders>
            <w:vAlign w:val="center"/>
          </w:tcPr>
          <w:p w14:paraId="2D0E422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-0.81*</w:t>
            </w:r>
          </w:p>
        </w:tc>
        <w:tc>
          <w:tcPr>
            <w:tcW w:w="864" w:type="pct"/>
            <w:tcBorders>
              <w:bottom w:val="single" w:sz="4" w:space="0" w:color="000000"/>
            </w:tcBorders>
            <w:vAlign w:val="center"/>
          </w:tcPr>
          <w:p w14:paraId="170BF36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-0.67</w:t>
            </w:r>
          </w:p>
        </w:tc>
        <w:tc>
          <w:tcPr>
            <w:tcW w:w="1049" w:type="pct"/>
            <w:tcBorders>
              <w:bottom w:val="single" w:sz="4" w:space="0" w:color="000000"/>
              <w:right w:val="single" w:sz="4" w:space="0" w:color="000000"/>
            </w:tcBorders>
            <w:vAlign w:val="center"/>
          </w:tcPr>
          <w:p w14:paraId="4084D90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-0.64</w:t>
            </w:r>
          </w:p>
        </w:tc>
      </w:tr>
      <w:tr w:rsidR="00B71E20" w:rsidRPr="001922B7" w14:paraId="70089D1F" w14:textId="77777777" w:rsidTr="00B71E20">
        <w:trPr>
          <w:trHeight w:val="230"/>
        </w:trPr>
        <w:tc>
          <w:tcPr>
            <w:tcW w:w="5000" w:type="pct"/>
            <w:gridSpan w:val="7"/>
            <w:tcBorders>
              <w:top w:val="single" w:sz="4" w:space="0" w:color="000000"/>
              <w:left w:val="single" w:sz="4" w:space="0" w:color="000000"/>
              <w:bottom w:val="single" w:sz="4" w:space="0" w:color="000000"/>
              <w:right w:val="single" w:sz="4" w:space="0" w:color="000000"/>
            </w:tcBorders>
          </w:tcPr>
          <w:p w14:paraId="4EF03406" w14:textId="77777777" w:rsidR="00B71E20" w:rsidRPr="008D4276" w:rsidRDefault="00B71E20" w:rsidP="00B71E20">
            <w:pPr>
              <w:pStyle w:val="NoSpacing"/>
              <w:rPr>
                <w:rFonts w:asciiTheme="majorHAnsi" w:hAnsiTheme="majorHAnsi" w:cs="Calibri"/>
                <w:b/>
                <w:bCs/>
                <w:sz w:val="18"/>
                <w:szCs w:val="18"/>
              </w:rPr>
            </w:pPr>
            <w:r w:rsidRPr="008D4276">
              <w:rPr>
                <w:rFonts w:asciiTheme="majorHAnsi" w:hAnsiTheme="majorHAnsi" w:cs="Calibri"/>
                <w:b/>
                <w:bCs/>
                <w:sz w:val="18"/>
                <w:szCs w:val="18"/>
              </w:rPr>
              <w:t>Radiographic Endpoints (mean change from baseline)</w:t>
            </w:r>
          </w:p>
        </w:tc>
      </w:tr>
      <w:tr w:rsidR="00B71E20" w:rsidRPr="001922B7" w14:paraId="340A99A9" w14:textId="77777777" w:rsidTr="00B71E20">
        <w:trPr>
          <w:trHeight w:val="232"/>
        </w:trPr>
        <w:tc>
          <w:tcPr>
            <w:tcW w:w="587" w:type="pct"/>
            <w:tcBorders>
              <w:top w:val="single" w:sz="4" w:space="0" w:color="000000"/>
              <w:left w:val="single" w:sz="4" w:space="0" w:color="000000"/>
            </w:tcBorders>
          </w:tcPr>
          <w:p w14:paraId="1580B164"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Week 52</w:t>
            </w:r>
          </w:p>
        </w:tc>
        <w:tc>
          <w:tcPr>
            <w:tcW w:w="590" w:type="pct"/>
            <w:tcBorders>
              <w:top w:val="single" w:sz="4" w:space="0" w:color="000000"/>
            </w:tcBorders>
          </w:tcPr>
          <w:p w14:paraId="0521F803" w14:textId="77777777" w:rsidR="00B71E20" w:rsidRPr="008D4276" w:rsidRDefault="00B71E20" w:rsidP="00B71E20">
            <w:pPr>
              <w:pStyle w:val="NoSpacing"/>
              <w:rPr>
                <w:rFonts w:asciiTheme="majorHAnsi" w:hAnsiTheme="majorHAnsi" w:cs="Calibri"/>
                <w:sz w:val="18"/>
                <w:szCs w:val="18"/>
              </w:rPr>
            </w:pPr>
          </w:p>
        </w:tc>
        <w:tc>
          <w:tcPr>
            <w:tcW w:w="1006" w:type="pct"/>
            <w:tcBorders>
              <w:top w:val="single" w:sz="4" w:space="0" w:color="000000"/>
            </w:tcBorders>
          </w:tcPr>
          <w:p w14:paraId="033444C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mTSS</w:t>
            </w:r>
            <w:r w:rsidRPr="008D4276">
              <w:rPr>
                <w:rFonts w:asciiTheme="majorHAnsi" w:hAnsiTheme="majorHAnsi" w:cs="Calibri"/>
                <w:sz w:val="18"/>
                <w:szCs w:val="18"/>
                <w:vertAlign w:val="superscript"/>
              </w:rPr>
              <w:t>#</w:t>
            </w:r>
          </w:p>
        </w:tc>
        <w:tc>
          <w:tcPr>
            <w:tcW w:w="351" w:type="pct"/>
            <w:tcBorders>
              <w:top w:val="single" w:sz="4" w:space="0" w:color="000000"/>
            </w:tcBorders>
          </w:tcPr>
          <w:p w14:paraId="073FA79E" w14:textId="77777777" w:rsidR="00B71E20" w:rsidRPr="008D4276" w:rsidRDefault="00B71E20" w:rsidP="00B71E20">
            <w:pPr>
              <w:pStyle w:val="NoSpacing"/>
              <w:rPr>
                <w:rFonts w:asciiTheme="majorHAnsi" w:hAnsiTheme="majorHAnsi" w:cs="Calibri"/>
                <w:sz w:val="18"/>
                <w:szCs w:val="18"/>
              </w:rPr>
            </w:pPr>
          </w:p>
        </w:tc>
        <w:tc>
          <w:tcPr>
            <w:tcW w:w="553" w:type="pct"/>
            <w:tcBorders>
              <w:top w:val="single" w:sz="4" w:space="0" w:color="000000"/>
            </w:tcBorders>
            <w:vAlign w:val="center"/>
          </w:tcPr>
          <w:p w14:paraId="300E0EA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0.08***</w:t>
            </w:r>
          </w:p>
        </w:tc>
        <w:tc>
          <w:tcPr>
            <w:tcW w:w="864" w:type="pct"/>
            <w:tcBorders>
              <w:top w:val="single" w:sz="4" w:space="0" w:color="000000"/>
            </w:tcBorders>
            <w:vAlign w:val="center"/>
          </w:tcPr>
          <w:p w14:paraId="2654D44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0.26</w:t>
            </w:r>
          </w:p>
        </w:tc>
        <w:tc>
          <w:tcPr>
            <w:tcW w:w="1049" w:type="pct"/>
            <w:tcBorders>
              <w:top w:val="single" w:sz="4" w:space="0" w:color="000000"/>
              <w:right w:val="single" w:sz="4" w:space="0" w:color="000000"/>
            </w:tcBorders>
            <w:vAlign w:val="center"/>
          </w:tcPr>
          <w:p w14:paraId="1F5FAA0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1.14</w:t>
            </w:r>
          </w:p>
        </w:tc>
      </w:tr>
      <w:tr w:rsidR="00B71E20" w:rsidRPr="001922B7" w14:paraId="2100E48E" w14:textId="77777777" w:rsidTr="00B71E20">
        <w:trPr>
          <w:trHeight w:val="230"/>
        </w:trPr>
        <w:tc>
          <w:tcPr>
            <w:tcW w:w="2534" w:type="pct"/>
            <w:gridSpan w:val="4"/>
            <w:tcBorders>
              <w:left w:val="single" w:sz="4" w:space="0" w:color="000000"/>
            </w:tcBorders>
          </w:tcPr>
          <w:p w14:paraId="15B5B2B0" w14:textId="77777777" w:rsidR="00B71E20" w:rsidRPr="008D4276" w:rsidRDefault="00B71E20" w:rsidP="00B71E20">
            <w:pPr>
              <w:pStyle w:val="NoSpacing"/>
              <w:jc w:val="right"/>
              <w:rPr>
                <w:rFonts w:asciiTheme="majorHAnsi" w:hAnsiTheme="majorHAnsi" w:cs="Calibri"/>
                <w:sz w:val="18"/>
                <w:szCs w:val="18"/>
              </w:rPr>
            </w:pPr>
            <w:r w:rsidRPr="008D4276">
              <w:rPr>
                <w:rFonts w:asciiTheme="majorHAnsi" w:hAnsiTheme="majorHAnsi" w:cs="Calibri"/>
                <w:sz w:val="18"/>
                <w:szCs w:val="18"/>
              </w:rPr>
              <w:t>Erosion Score</w:t>
            </w:r>
          </w:p>
        </w:tc>
        <w:tc>
          <w:tcPr>
            <w:tcW w:w="553" w:type="pct"/>
            <w:vAlign w:val="center"/>
          </w:tcPr>
          <w:p w14:paraId="7694D44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0.05**</w:t>
            </w:r>
          </w:p>
        </w:tc>
        <w:tc>
          <w:tcPr>
            <w:tcW w:w="864" w:type="pct"/>
            <w:vAlign w:val="center"/>
          </w:tcPr>
          <w:p w14:paraId="46A185A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0.15</w:t>
            </w:r>
          </w:p>
        </w:tc>
        <w:tc>
          <w:tcPr>
            <w:tcW w:w="1049" w:type="pct"/>
            <w:tcBorders>
              <w:right w:val="single" w:sz="4" w:space="0" w:color="000000"/>
            </w:tcBorders>
            <w:vAlign w:val="center"/>
          </w:tcPr>
          <w:p w14:paraId="3D91E4B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0.63</w:t>
            </w:r>
          </w:p>
        </w:tc>
      </w:tr>
      <w:tr w:rsidR="00B71E20" w:rsidRPr="001922B7" w14:paraId="22981B23" w14:textId="77777777" w:rsidTr="00B71E20">
        <w:trPr>
          <w:trHeight w:val="226"/>
        </w:trPr>
        <w:tc>
          <w:tcPr>
            <w:tcW w:w="2183" w:type="pct"/>
            <w:gridSpan w:val="3"/>
            <w:tcBorders>
              <w:left w:val="single" w:sz="4" w:space="0" w:color="000000"/>
            </w:tcBorders>
          </w:tcPr>
          <w:p w14:paraId="3A4CD069" w14:textId="77777777" w:rsidR="00B71E20" w:rsidRPr="008D4276" w:rsidRDefault="00B71E20" w:rsidP="00B71E20">
            <w:pPr>
              <w:pStyle w:val="NoSpacing"/>
              <w:rPr>
                <w:rFonts w:asciiTheme="majorHAnsi" w:hAnsiTheme="majorHAnsi" w:cs="Calibri"/>
                <w:sz w:val="18"/>
                <w:szCs w:val="18"/>
              </w:rPr>
            </w:pPr>
          </w:p>
        </w:tc>
        <w:tc>
          <w:tcPr>
            <w:tcW w:w="351" w:type="pct"/>
          </w:tcPr>
          <w:p w14:paraId="2FE42828" w14:textId="77777777" w:rsidR="00B71E20" w:rsidRPr="008D4276" w:rsidRDefault="00B71E20" w:rsidP="00B71E20">
            <w:pPr>
              <w:pStyle w:val="NoSpacing"/>
              <w:jc w:val="right"/>
              <w:rPr>
                <w:rFonts w:asciiTheme="majorHAnsi" w:hAnsiTheme="majorHAnsi" w:cs="Calibri"/>
                <w:sz w:val="18"/>
                <w:szCs w:val="18"/>
              </w:rPr>
            </w:pPr>
            <w:r w:rsidRPr="008D4276">
              <w:rPr>
                <w:rFonts w:asciiTheme="majorHAnsi" w:hAnsiTheme="majorHAnsi" w:cs="Calibri"/>
                <w:sz w:val="18"/>
                <w:szCs w:val="18"/>
              </w:rPr>
              <w:t>JSN</w:t>
            </w:r>
          </w:p>
        </w:tc>
        <w:tc>
          <w:tcPr>
            <w:tcW w:w="553" w:type="pct"/>
            <w:vAlign w:val="center"/>
          </w:tcPr>
          <w:p w14:paraId="5EE5627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0.03</w:t>
            </w:r>
          </w:p>
        </w:tc>
        <w:tc>
          <w:tcPr>
            <w:tcW w:w="864" w:type="pct"/>
            <w:vAlign w:val="center"/>
          </w:tcPr>
          <w:p w14:paraId="20FF6A9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0.11</w:t>
            </w:r>
          </w:p>
        </w:tc>
        <w:tc>
          <w:tcPr>
            <w:tcW w:w="1049" w:type="pct"/>
            <w:tcBorders>
              <w:right w:val="single" w:sz="4" w:space="0" w:color="000000"/>
            </w:tcBorders>
            <w:vAlign w:val="center"/>
          </w:tcPr>
          <w:p w14:paraId="01A7EF68"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0.51</w:t>
            </w:r>
          </w:p>
        </w:tc>
      </w:tr>
      <w:tr w:rsidR="00B71E20" w:rsidRPr="001922B7" w14:paraId="6B812369" w14:textId="77777777" w:rsidTr="00B71E20">
        <w:trPr>
          <w:trHeight w:val="488"/>
        </w:trPr>
        <w:tc>
          <w:tcPr>
            <w:tcW w:w="2534" w:type="pct"/>
            <w:gridSpan w:val="4"/>
            <w:tcBorders>
              <w:left w:val="single" w:sz="4" w:space="0" w:color="000000"/>
              <w:bottom w:val="single" w:sz="4" w:space="0" w:color="000000"/>
            </w:tcBorders>
          </w:tcPr>
          <w:p w14:paraId="4055C397" w14:textId="77777777" w:rsidR="00B71E20" w:rsidRPr="008D4276" w:rsidRDefault="00B71E20" w:rsidP="00B71E20">
            <w:pPr>
              <w:pStyle w:val="NoSpacing"/>
              <w:jc w:val="right"/>
              <w:rPr>
                <w:rFonts w:asciiTheme="majorHAnsi" w:hAnsiTheme="majorHAnsi" w:cs="Calibri"/>
                <w:sz w:val="18"/>
                <w:szCs w:val="18"/>
              </w:rPr>
            </w:pPr>
            <w:r w:rsidRPr="008D4276">
              <w:rPr>
                <w:rFonts w:asciiTheme="majorHAnsi" w:hAnsiTheme="majorHAnsi" w:cs="Calibri"/>
                <w:sz w:val="18"/>
                <w:szCs w:val="18"/>
              </w:rPr>
              <w:t>Radiographic non-progression (%)</w:t>
            </w:r>
          </w:p>
          <w:p w14:paraId="353D4DD6" w14:textId="77777777" w:rsidR="00B71E20" w:rsidRPr="008D4276" w:rsidRDefault="00B71E20" w:rsidP="00B71E20">
            <w:pPr>
              <w:pStyle w:val="NoSpacing"/>
              <w:jc w:val="right"/>
              <w:rPr>
                <w:rFonts w:asciiTheme="majorHAnsi" w:hAnsiTheme="majorHAnsi" w:cs="Calibri"/>
                <w:sz w:val="18"/>
                <w:szCs w:val="18"/>
              </w:rPr>
            </w:pPr>
            <w:r w:rsidRPr="008D4276">
              <w:rPr>
                <w:rFonts w:asciiTheme="majorHAnsi" w:hAnsiTheme="majorHAnsi" w:cs="Calibri"/>
                <w:sz w:val="18"/>
                <w:szCs w:val="18"/>
              </w:rPr>
              <w:t>(change from baseline in mTSS</w:t>
            </w:r>
            <w:r w:rsidRPr="008D4276">
              <w:rPr>
                <w:rFonts w:asciiTheme="majorHAnsi" w:hAnsiTheme="majorHAnsi" w:cs="Calibri"/>
                <w:sz w:val="18"/>
                <w:szCs w:val="18"/>
                <w:vertAlign w:val="superscript"/>
              </w:rPr>
              <w:t>#</w:t>
            </w:r>
            <w:r w:rsidRPr="008D4276">
              <w:rPr>
                <w:rFonts w:asciiTheme="majorHAnsi" w:hAnsiTheme="majorHAnsi" w:cs="Calibri"/>
                <w:sz w:val="18"/>
                <w:szCs w:val="18"/>
              </w:rPr>
              <w:t xml:space="preserve"> of </w:t>
            </w:r>
            <w:r w:rsidRPr="008D4276">
              <w:rPr>
                <w:rFonts w:asciiTheme="majorHAnsi" w:hAnsiTheme="majorHAnsi" w:cs="Calibri" w:hint="eastAsia"/>
                <w:sz w:val="18"/>
                <w:szCs w:val="18"/>
              </w:rPr>
              <w:t>≤</w:t>
            </w:r>
            <w:r w:rsidRPr="008D4276">
              <w:rPr>
                <w:rFonts w:asciiTheme="majorHAnsi" w:hAnsiTheme="majorHAnsi" w:cs="Calibri"/>
                <w:sz w:val="18"/>
                <w:szCs w:val="18"/>
              </w:rPr>
              <w:t xml:space="preserve"> 0)</w:t>
            </w:r>
          </w:p>
        </w:tc>
        <w:tc>
          <w:tcPr>
            <w:tcW w:w="553" w:type="pct"/>
            <w:tcBorders>
              <w:bottom w:val="single" w:sz="4" w:space="0" w:color="000000"/>
            </w:tcBorders>
            <w:vAlign w:val="center"/>
          </w:tcPr>
          <w:p w14:paraId="0BDFE1F6"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sz w:val="18"/>
                <w:szCs w:val="18"/>
              </w:rPr>
              <w:t>83</w:t>
            </w:r>
            <w:r w:rsidRPr="008D4276">
              <w:rPr>
                <w:rFonts w:asciiTheme="majorHAnsi" w:hAnsiTheme="majorHAnsi" w:cs="Calibri"/>
                <w:b/>
                <w:sz w:val="18"/>
                <w:szCs w:val="18"/>
                <w:vertAlign w:val="superscript"/>
              </w:rPr>
              <w:t>‡</w:t>
            </w:r>
          </w:p>
        </w:tc>
        <w:tc>
          <w:tcPr>
            <w:tcW w:w="864" w:type="pct"/>
            <w:tcBorders>
              <w:bottom w:val="single" w:sz="4" w:space="0" w:color="000000"/>
            </w:tcBorders>
            <w:vAlign w:val="center"/>
          </w:tcPr>
          <w:p w14:paraId="26EC5E54"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sz w:val="18"/>
                <w:szCs w:val="18"/>
              </w:rPr>
              <w:t>82</w:t>
            </w:r>
            <w:r w:rsidRPr="008D4276">
              <w:rPr>
                <w:rFonts w:asciiTheme="majorHAnsi" w:hAnsiTheme="majorHAnsi" w:cs="Calibri"/>
                <w:b/>
                <w:sz w:val="18"/>
                <w:szCs w:val="18"/>
                <w:vertAlign w:val="superscript"/>
              </w:rPr>
              <w:t>‡</w:t>
            </w:r>
          </w:p>
        </w:tc>
        <w:tc>
          <w:tcPr>
            <w:tcW w:w="1049" w:type="pct"/>
            <w:tcBorders>
              <w:bottom w:val="single" w:sz="4" w:space="0" w:color="000000"/>
              <w:right w:val="single" w:sz="4" w:space="0" w:color="000000"/>
            </w:tcBorders>
            <w:vAlign w:val="center"/>
          </w:tcPr>
          <w:p w14:paraId="54EB8CB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73</w:t>
            </w:r>
          </w:p>
        </w:tc>
      </w:tr>
    </w:tbl>
    <w:p w14:paraId="5ADDF4E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 xml:space="preserve">All efficacy comparisons vs Placebo + MTX. ***p </w:t>
      </w:r>
      <w:r w:rsidRPr="008D4276">
        <w:rPr>
          <w:rFonts w:asciiTheme="majorHAnsi" w:hAnsiTheme="majorHAnsi" w:cs="Calibri" w:hint="eastAsia"/>
          <w:sz w:val="18"/>
          <w:szCs w:val="18"/>
        </w:rPr>
        <w:t>≤</w:t>
      </w:r>
      <w:r w:rsidRPr="008D4276">
        <w:rPr>
          <w:rFonts w:asciiTheme="majorHAnsi" w:hAnsiTheme="majorHAnsi" w:cs="Calibri"/>
          <w:sz w:val="18"/>
          <w:szCs w:val="18"/>
        </w:rPr>
        <w:t xml:space="preserve"> 0.0001; **p &lt; 0.001; *p &lt; 0.05;</w:t>
      </w:r>
    </w:p>
    <w:p w14:paraId="1009A0A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 mTSS = modified Total Sharp score</w:t>
      </w:r>
    </w:p>
    <w:p w14:paraId="4DD7345A" w14:textId="77777777" w:rsidR="00B71E20" w:rsidRPr="008D4276" w:rsidRDefault="00B71E20" w:rsidP="00B71E20">
      <w:pPr>
        <w:rPr>
          <w:rFonts w:asciiTheme="majorHAnsi" w:hAnsiTheme="majorHAnsi" w:cstheme="minorHAnsi"/>
        </w:rPr>
      </w:pPr>
    </w:p>
    <w:p w14:paraId="1AC72115" w14:textId="7807084B" w:rsidR="0089656D" w:rsidRPr="008D4276" w:rsidRDefault="000031EA" w:rsidP="004D6592">
      <w:pPr>
        <w:pStyle w:val="Heading4"/>
        <w:rPr>
          <w:rFonts w:asciiTheme="majorHAnsi" w:hAnsiTheme="majorHAnsi"/>
        </w:rPr>
      </w:pPr>
      <w:r w:rsidRPr="008D4276">
        <w:rPr>
          <w:rFonts w:asciiTheme="majorHAnsi" w:hAnsiTheme="majorHAnsi"/>
        </w:rPr>
        <w:t>Tocilizumab</w:t>
      </w:r>
      <w:r w:rsidR="0089656D" w:rsidRPr="008D4276">
        <w:rPr>
          <w:rFonts w:asciiTheme="majorHAnsi" w:hAnsiTheme="majorHAnsi"/>
        </w:rPr>
        <w:t xml:space="preserve"> versus adalimumab in monotherapy</w:t>
      </w:r>
    </w:p>
    <w:p w14:paraId="644CF08D" w14:textId="709B933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Study IX (ADACTA) evaluated 326 patients with RA who were intolerant of MTX or in whom continued treatment with MTX was considered inappropriate, which included patients considered to be MTX inadequate responders. Patients in the </w:t>
      </w:r>
      <w:r w:rsidR="000031EA" w:rsidRPr="008D4276">
        <w:rPr>
          <w:rFonts w:asciiTheme="majorHAnsi" w:hAnsiTheme="majorHAnsi" w:cstheme="minorHAnsi"/>
        </w:rPr>
        <w:t xml:space="preserve">tocilizumab </w:t>
      </w:r>
      <w:r w:rsidRPr="008D4276">
        <w:rPr>
          <w:rFonts w:asciiTheme="majorHAnsi" w:hAnsiTheme="majorHAnsi" w:cstheme="minorHAnsi"/>
        </w:rPr>
        <w:t xml:space="preserve">arm received an intravenous (IV) infusion of </w:t>
      </w:r>
      <w:r w:rsidR="000031EA" w:rsidRPr="008D4276">
        <w:rPr>
          <w:rFonts w:asciiTheme="majorHAnsi" w:hAnsiTheme="majorHAnsi" w:cstheme="minorHAnsi"/>
        </w:rPr>
        <w:t>tocilizumab</w:t>
      </w:r>
      <w:r w:rsidRPr="008D4276">
        <w:rPr>
          <w:rFonts w:asciiTheme="majorHAnsi" w:hAnsiTheme="majorHAnsi" w:cstheme="minorHAnsi"/>
        </w:rPr>
        <w:t xml:space="preserve"> (8 mg/kg) every 4 weeks (q4w) and a subcutaneous (SC) placebo injection every 2 weeks (q2w). Patients in the adalimumab arm received an adalimumab SC injection (40 mg) q2w plus an IV placebo infusion q4w.</w:t>
      </w:r>
    </w:p>
    <w:p w14:paraId="05952B17" w14:textId="5C1D8FF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 statistically significant superior treatment effect was seen in favour of </w:t>
      </w:r>
      <w:r w:rsidR="000031EA" w:rsidRPr="008D4276">
        <w:rPr>
          <w:rFonts w:asciiTheme="majorHAnsi" w:hAnsiTheme="majorHAnsi" w:cstheme="minorHAnsi"/>
        </w:rPr>
        <w:t>tocilizumab</w:t>
      </w:r>
      <w:r w:rsidRPr="008D4276">
        <w:rPr>
          <w:rFonts w:asciiTheme="majorHAnsi" w:hAnsiTheme="majorHAnsi" w:cstheme="minorHAnsi"/>
        </w:rPr>
        <w:t xml:space="preserve"> over adalimumab in control of disease activity from baseline to week 24 for the primary endpoint of change in DAS28 and for all secondary endpoints (</w:t>
      </w:r>
      <w:r w:rsidR="00B71E20" w:rsidRPr="008D4276">
        <w:rPr>
          <w:rFonts w:asciiTheme="majorHAnsi" w:hAnsiTheme="majorHAnsi" w:cstheme="minorHAnsi"/>
        </w:rPr>
        <w:fldChar w:fldCharType="begin"/>
      </w:r>
      <w:r w:rsidR="00B71E20" w:rsidRPr="008D4276">
        <w:rPr>
          <w:rFonts w:asciiTheme="majorHAnsi" w:hAnsiTheme="majorHAnsi" w:cstheme="minorHAnsi"/>
        </w:rPr>
        <w:instrText xml:space="preserve"> REF _Ref159343099 \h </w:instrText>
      </w:r>
      <w:r w:rsidR="00582401" w:rsidRPr="008D4276">
        <w:rPr>
          <w:rFonts w:asciiTheme="majorHAnsi" w:hAnsiTheme="majorHAnsi" w:cstheme="minorHAnsi"/>
        </w:rPr>
        <w:instrText xml:space="preserve"> \* MERGEFORMAT </w:instrText>
      </w:r>
      <w:r w:rsidR="00B71E20" w:rsidRPr="008D4276">
        <w:rPr>
          <w:rFonts w:asciiTheme="majorHAnsi" w:hAnsiTheme="majorHAnsi" w:cstheme="minorHAnsi"/>
        </w:rPr>
      </w:r>
      <w:r w:rsidR="00B71E20" w:rsidRPr="008D4276">
        <w:rPr>
          <w:rFonts w:asciiTheme="majorHAnsi" w:hAnsiTheme="majorHAnsi" w:cstheme="minorHAnsi"/>
        </w:rPr>
        <w:fldChar w:fldCharType="separate"/>
      </w:r>
      <w:r w:rsidR="004C310F" w:rsidRPr="004C310F">
        <w:rPr>
          <w:rFonts w:asciiTheme="majorHAnsi" w:hAnsiTheme="majorHAnsi" w:cstheme="minorHAnsi"/>
        </w:rPr>
        <w:t>Table 10</w:t>
      </w:r>
      <w:r w:rsidR="00B71E20" w:rsidRPr="008D4276">
        <w:rPr>
          <w:rFonts w:asciiTheme="majorHAnsi" w:hAnsiTheme="majorHAnsi" w:cstheme="minorHAnsi"/>
        </w:rPr>
        <w:fldChar w:fldCharType="end"/>
      </w:r>
      <w:r w:rsidRPr="008D4276">
        <w:rPr>
          <w:rFonts w:asciiTheme="majorHAnsi" w:hAnsiTheme="majorHAnsi" w:cstheme="minorHAnsi"/>
        </w:rPr>
        <w:t>).</w:t>
      </w:r>
    </w:p>
    <w:p w14:paraId="371E944D" w14:textId="74BD5127" w:rsidR="0089656D" w:rsidRPr="008D4276" w:rsidRDefault="0089656D" w:rsidP="00B71E20">
      <w:pPr>
        <w:pStyle w:val="Caption"/>
        <w:rPr>
          <w:rFonts w:asciiTheme="majorHAnsi" w:hAnsiTheme="majorHAnsi" w:cs="Calibri"/>
        </w:rPr>
      </w:pPr>
      <w:bookmarkStart w:id="62" w:name="_Ref159343099"/>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10</w:t>
      </w:r>
      <w:r w:rsidR="0006243F" w:rsidRPr="008D4276">
        <w:rPr>
          <w:rFonts w:asciiTheme="majorHAnsi" w:hAnsiTheme="majorHAnsi" w:cs="Calibri"/>
        </w:rPr>
        <w:fldChar w:fldCharType="end"/>
      </w:r>
      <w:bookmarkEnd w:id="62"/>
      <w:r w:rsidRPr="008D4276">
        <w:rPr>
          <w:rFonts w:asciiTheme="majorHAnsi" w:hAnsiTheme="majorHAnsi" w:cs="Calibri"/>
        </w:rPr>
        <w:t xml:space="preserve"> Efficacy Results for Study IX (ADACTA)</w:t>
      </w:r>
    </w:p>
    <w:tbl>
      <w:tblPr>
        <w:tblW w:w="5000" w:type="pct"/>
        <w:tblCellMar>
          <w:left w:w="0" w:type="dxa"/>
          <w:right w:w="0" w:type="dxa"/>
        </w:tblCellMar>
        <w:tblLook w:val="01E0" w:firstRow="1" w:lastRow="1" w:firstColumn="1" w:lastColumn="1" w:noHBand="0" w:noVBand="0"/>
      </w:tblPr>
      <w:tblGrid>
        <w:gridCol w:w="4341"/>
        <w:gridCol w:w="2049"/>
        <w:gridCol w:w="1661"/>
        <w:gridCol w:w="969"/>
      </w:tblGrid>
      <w:tr w:rsidR="00B71E20" w:rsidRPr="001922B7" w14:paraId="54531297" w14:textId="77777777" w:rsidTr="00B71E20">
        <w:trPr>
          <w:trHeight w:val="547"/>
        </w:trPr>
        <w:tc>
          <w:tcPr>
            <w:tcW w:w="2406" w:type="pct"/>
            <w:tcBorders>
              <w:top w:val="single" w:sz="4" w:space="0" w:color="000000"/>
              <w:left w:val="single" w:sz="4" w:space="0" w:color="000000"/>
              <w:bottom w:val="single" w:sz="4" w:space="0" w:color="000000"/>
            </w:tcBorders>
          </w:tcPr>
          <w:p w14:paraId="46F355C8" w14:textId="77777777" w:rsidR="00B71E20" w:rsidRPr="008D4276" w:rsidRDefault="00B71E20" w:rsidP="00B71E20">
            <w:pPr>
              <w:pStyle w:val="NoSpacing"/>
              <w:rPr>
                <w:rFonts w:asciiTheme="majorHAnsi" w:hAnsiTheme="majorHAnsi" w:cs="Calibri"/>
                <w:sz w:val="18"/>
                <w:szCs w:val="18"/>
              </w:rPr>
            </w:pPr>
          </w:p>
        </w:tc>
        <w:tc>
          <w:tcPr>
            <w:tcW w:w="1136" w:type="pct"/>
            <w:tcBorders>
              <w:top w:val="single" w:sz="4" w:space="0" w:color="000000"/>
              <w:bottom w:val="single" w:sz="4" w:space="0" w:color="000000"/>
            </w:tcBorders>
          </w:tcPr>
          <w:p w14:paraId="57EFE870"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 xml:space="preserve">ADA + Placebo (IV) </w:t>
            </w:r>
          </w:p>
          <w:p w14:paraId="18BD56ED" w14:textId="40996621"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n=162</w:t>
            </w:r>
          </w:p>
        </w:tc>
        <w:tc>
          <w:tcPr>
            <w:tcW w:w="921" w:type="pct"/>
            <w:tcBorders>
              <w:top w:val="single" w:sz="4" w:space="0" w:color="000000"/>
              <w:bottom w:val="single" w:sz="4" w:space="0" w:color="000000"/>
            </w:tcBorders>
          </w:tcPr>
          <w:p w14:paraId="32BC834A" w14:textId="5376BF62"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T</w:t>
            </w:r>
            <w:r w:rsidR="0051463A" w:rsidRPr="008D4276">
              <w:rPr>
                <w:rFonts w:asciiTheme="majorHAnsi" w:hAnsiTheme="majorHAnsi" w:cs="Calibri"/>
                <w:b/>
                <w:sz w:val="18"/>
                <w:szCs w:val="18"/>
              </w:rPr>
              <w:t>OC</w:t>
            </w:r>
            <w:r w:rsidRPr="008D4276">
              <w:rPr>
                <w:rFonts w:asciiTheme="majorHAnsi" w:hAnsiTheme="majorHAnsi" w:cs="Calibri"/>
                <w:b/>
                <w:sz w:val="18"/>
                <w:szCs w:val="18"/>
              </w:rPr>
              <w:t xml:space="preserve"> + Placebo (SC) n=163</w:t>
            </w:r>
          </w:p>
        </w:tc>
        <w:tc>
          <w:tcPr>
            <w:tcW w:w="537" w:type="pct"/>
            <w:tcBorders>
              <w:top w:val="single" w:sz="4" w:space="0" w:color="000000"/>
              <w:bottom w:val="single" w:sz="4" w:space="0" w:color="000000"/>
              <w:right w:val="single" w:sz="4" w:space="0" w:color="000000"/>
            </w:tcBorders>
          </w:tcPr>
          <w:p w14:paraId="050570C7" w14:textId="77777777" w:rsidR="00B71E20" w:rsidRPr="008D4276" w:rsidRDefault="00B71E20" w:rsidP="00B71E20">
            <w:pPr>
              <w:pStyle w:val="NoSpacing"/>
              <w:rPr>
                <w:rFonts w:asciiTheme="majorHAnsi" w:hAnsiTheme="majorHAnsi" w:cs="Calibri"/>
                <w:b/>
                <w:sz w:val="18"/>
                <w:szCs w:val="18"/>
              </w:rPr>
            </w:pPr>
          </w:p>
          <w:p w14:paraId="50AB3D14" w14:textId="43F58B26"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sz w:val="18"/>
                <w:szCs w:val="18"/>
              </w:rPr>
              <w:t>p-value</w:t>
            </w:r>
            <w:r w:rsidRPr="008D4276">
              <w:rPr>
                <w:rFonts w:asciiTheme="majorHAnsi" w:hAnsiTheme="majorHAnsi" w:cs="Calibri"/>
                <w:b/>
                <w:sz w:val="18"/>
                <w:szCs w:val="18"/>
                <w:vertAlign w:val="superscript"/>
              </w:rPr>
              <w:t>a</w:t>
            </w:r>
          </w:p>
        </w:tc>
      </w:tr>
      <w:tr w:rsidR="00B71E20" w:rsidRPr="001922B7" w14:paraId="31372305" w14:textId="77777777" w:rsidTr="00B71E20">
        <w:trPr>
          <w:trHeight w:val="273"/>
        </w:trPr>
        <w:tc>
          <w:tcPr>
            <w:tcW w:w="5000" w:type="pct"/>
            <w:gridSpan w:val="4"/>
            <w:tcBorders>
              <w:top w:val="single" w:sz="4" w:space="0" w:color="000000"/>
              <w:left w:val="single" w:sz="4" w:space="0" w:color="000000"/>
              <w:bottom w:val="single" w:sz="4" w:space="0" w:color="000000"/>
              <w:right w:val="single" w:sz="4" w:space="0" w:color="000000"/>
            </w:tcBorders>
          </w:tcPr>
          <w:p w14:paraId="11FCFB08"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Primary Endpoint - Mean Change from baseline at Week 24</w:t>
            </w:r>
          </w:p>
        </w:tc>
      </w:tr>
      <w:tr w:rsidR="00B71E20" w:rsidRPr="001922B7" w14:paraId="445E49B4" w14:textId="77777777" w:rsidTr="00B71E20">
        <w:trPr>
          <w:trHeight w:val="328"/>
        </w:trPr>
        <w:tc>
          <w:tcPr>
            <w:tcW w:w="2406" w:type="pct"/>
            <w:tcBorders>
              <w:top w:val="single" w:sz="4" w:space="0" w:color="000000"/>
              <w:left w:val="single" w:sz="4" w:space="0" w:color="000000"/>
            </w:tcBorders>
            <w:vAlign w:val="center"/>
          </w:tcPr>
          <w:p w14:paraId="2B474ABD"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lastRenderedPageBreak/>
              <w:t>DAS28 (adjusted mean)</w:t>
            </w:r>
          </w:p>
        </w:tc>
        <w:tc>
          <w:tcPr>
            <w:tcW w:w="1136" w:type="pct"/>
            <w:tcBorders>
              <w:top w:val="single" w:sz="4" w:space="0" w:color="000000"/>
            </w:tcBorders>
            <w:vAlign w:val="center"/>
          </w:tcPr>
          <w:p w14:paraId="690AF8E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-1.8</w:t>
            </w:r>
          </w:p>
        </w:tc>
        <w:tc>
          <w:tcPr>
            <w:tcW w:w="921" w:type="pct"/>
            <w:tcBorders>
              <w:top w:val="single" w:sz="4" w:space="0" w:color="000000"/>
            </w:tcBorders>
            <w:vAlign w:val="center"/>
          </w:tcPr>
          <w:p w14:paraId="64FC3B6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-3.3</w:t>
            </w:r>
          </w:p>
        </w:tc>
        <w:tc>
          <w:tcPr>
            <w:tcW w:w="537" w:type="pct"/>
            <w:tcBorders>
              <w:top w:val="single" w:sz="4" w:space="0" w:color="000000"/>
              <w:right w:val="single" w:sz="4" w:space="0" w:color="000000"/>
            </w:tcBorders>
            <w:vAlign w:val="center"/>
          </w:tcPr>
          <w:p w14:paraId="3B804EDD"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50C53115" w14:textId="77777777" w:rsidTr="00B71E20">
        <w:trPr>
          <w:trHeight w:val="233"/>
        </w:trPr>
        <w:tc>
          <w:tcPr>
            <w:tcW w:w="2406" w:type="pct"/>
            <w:tcBorders>
              <w:left w:val="single" w:sz="4" w:space="0" w:color="000000"/>
              <w:bottom w:val="single" w:sz="4" w:space="0" w:color="000000"/>
            </w:tcBorders>
            <w:vAlign w:val="center"/>
          </w:tcPr>
          <w:p w14:paraId="23331C74" w14:textId="3FE4B4B6"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Difference in adjusted mean (95%CI)</w:t>
            </w:r>
          </w:p>
        </w:tc>
        <w:tc>
          <w:tcPr>
            <w:tcW w:w="2057" w:type="pct"/>
            <w:gridSpan w:val="2"/>
            <w:tcBorders>
              <w:bottom w:val="single" w:sz="4" w:space="0" w:color="000000"/>
            </w:tcBorders>
            <w:vAlign w:val="center"/>
          </w:tcPr>
          <w:p w14:paraId="7AD7466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-1.5 (-1.8, -1.1)</w:t>
            </w:r>
          </w:p>
        </w:tc>
        <w:tc>
          <w:tcPr>
            <w:tcW w:w="537" w:type="pct"/>
            <w:tcBorders>
              <w:bottom w:val="single" w:sz="4" w:space="0" w:color="000000"/>
              <w:right w:val="single" w:sz="4" w:space="0" w:color="000000"/>
            </w:tcBorders>
            <w:vAlign w:val="center"/>
          </w:tcPr>
          <w:p w14:paraId="2FB513C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&lt;0.0001</w:t>
            </w:r>
          </w:p>
        </w:tc>
      </w:tr>
      <w:tr w:rsidR="00B71E20" w:rsidRPr="001922B7" w14:paraId="5CFA1E16" w14:textId="77777777" w:rsidTr="00B71E20">
        <w:trPr>
          <w:trHeight w:val="261"/>
        </w:trPr>
        <w:tc>
          <w:tcPr>
            <w:tcW w:w="5000" w:type="pct"/>
            <w:gridSpan w:val="4"/>
            <w:tcBorders>
              <w:top w:val="single" w:sz="4" w:space="0" w:color="000000"/>
              <w:left w:val="single" w:sz="4" w:space="0" w:color="000000"/>
              <w:bottom w:val="single" w:sz="4" w:space="0" w:color="000000"/>
              <w:right w:val="single" w:sz="4" w:space="0" w:color="000000"/>
            </w:tcBorders>
          </w:tcPr>
          <w:p w14:paraId="37F8C068"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 xml:space="preserve">Secondary Endpoints - Percentage of Responders at Week 24 </w:t>
            </w:r>
            <w:r w:rsidRPr="008D4276">
              <w:rPr>
                <w:rFonts w:asciiTheme="majorHAnsi" w:hAnsiTheme="majorHAnsi" w:cs="Calibri"/>
                <w:b/>
                <w:sz w:val="18"/>
                <w:szCs w:val="18"/>
                <w:vertAlign w:val="superscript"/>
              </w:rPr>
              <w:t>(b)</w:t>
            </w:r>
          </w:p>
        </w:tc>
      </w:tr>
      <w:tr w:rsidR="00B71E20" w:rsidRPr="001922B7" w14:paraId="3EFE1F65" w14:textId="77777777" w:rsidTr="00B71E20">
        <w:trPr>
          <w:trHeight w:val="257"/>
        </w:trPr>
        <w:tc>
          <w:tcPr>
            <w:tcW w:w="2406" w:type="pct"/>
            <w:tcBorders>
              <w:top w:val="single" w:sz="4" w:space="0" w:color="000000"/>
              <w:left w:val="single" w:sz="4" w:space="0" w:color="000000"/>
            </w:tcBorders>
            <w:vAlign w:val="center"/>
          </w:tcPr>
          <w:p w14:paraId="026116B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DAS28 &lt; 2.6, n (%)</w:t>
            </w:r>
          </w:p>
        </w:tc>
        <w:tc>
          <w:tcPr>
            <w:tcW w:w="1136" w:type="pct"/>
            <w:tcBorders>
              <w:top w:val="single" w:sz="4" w:space="0" w:color="000000"/>
            </w:tcBorders>
            <w:vAlign w:val="center"/>
          </w:tcPr>
          <w:p w14:paraId="61B0894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18 (10.5)</w:t>
            </w:r>
          </w:p>
        </w:tc>
        <w:tc>
          <w:tcPr>
            <w:tcW w:w="921" w:type="pct"/>
            <w:tcBorders>
              <w:top w:val="single" w:sz="4" w:space="0" w:color="000000"/>
            </w:tcBorders>
            <w:vAlign w:val="center"/>
          </w:tcPr>
          <w:p w14:paraId="4C90124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65 (39.9)</w:t>
            </w:r>
          </w:p>
        </w:tc>
        <w:tc>
          <w:tcPr>
            <w:tcW w:w="537" w:type="pct"/>
            <w:tcBorders>
              <w:top w:val="single" w:sz="4" w:space="0" w:color="000000"/>
              <w:right w:val="single" w:sz="4" w:space="0" w:color="000000"/>
            </w:tcBorders>
            <w:vAlign w:val="center"/>
          </w:tcPr>
          <w:p w14:paraId="4E19632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&lt;0.0001</w:t>
            </w:r>
          </w:p>
        </w:tc>
      </w:tr>
      <w:tr w:rsidR="00B71E20" w:rsidRPr="001922B7" w14:paraId="2ECFD41C" w14:textId="77777777" w:rsidTr="00B71E20">
        <w:trPr>
          <w:trHeight w:val="252"/>
        </w:trPr>
        <w:tc>
          <w:tcPr>
            <w:tcW w:w="2406" w:type="pct"/>
            <w:tcBorders>
              <w:left w:val="single" w:sz="4" w:space="0" w:color="000000"/>
            </w:tcBorders>
            <w:vAlign w:val="center"/>
          </w:tcPr>
          <w:p w14:paraId="3607371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 xml:space="preserve">DAS28 </w:t>
            </w:r>
            <w:r w:rsidRPr="008D4276">
              <w:rPr>
                <w:rFonts w:asciiTheme="majorHAnsi" w:hAnsiTheme="majorHAnsi" w:cs="Calibri" w:hint="eastAsia"/>
                <w:sz w:val="18"/>
                <w:szCs w:val="18"/>
              </w:rPr>
              <w:t>≤</w:t>
            </w:r>
            <w:r w:rsidRPr="008D4276">
              <w:rPr>
                <w:rFonts w:asciiTheme="majorHAnsi" w:hAnsiTheme="majorHAnsi" w:cs="Calibri"/>
                <w:sz w:val="18"/>
                <w:szCs w:val="18"/>
              </w:rPr>
              <w:t xml:space="preserve"> 3.2, n (%)</w:t>
            </w:r>
          </w:p>
        </w:tc>
        <w:tc>
          <w:tcPr>
            <w:tcW w:w="1136" w:type="pct"/>
            <w:vAlign w:val="center"/>
          </w:tcPr>
          <w:p w14:paraId="4DD844B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32 (19.8)</w:t>
            </w:r>
          </w:p>
        </w:tc>
        <w:tc>
          <w:tcPr>
            <w:tcW w:w="921" w:type="pct"/>
            <w:vAlign w:val="center"/>
          </w:tcPr>
          <w:p w14:paraId="7CD0190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84 (51.5)</w:t>
            </w:r>
          </w:p>
        </w:tc>
        <w:tc>
          <w:tcPr>
            <w:tcW w:w="537" w:type="pct"/>
            <w:tcBorders>
              <w:right w:val="single" w:sz="4" w:space="0" w:color="000000"/>
            </w:tcBorders>
            <w:vAlign w:val="center"/>
          </w:tcPr>
          <w:p w14:paraId="565C5258"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&lt;0.0001</w:t>
            </w:r>
          </w:p>
        </w:tc>
      </w:tr>
      <w:tr w:rsidR="00B71E20" w:rsidRPr="001922B7" w14:paraId="68E08528" w14:textId="77777777" w:rsidTr="00B71E20">
        <w:trPr>
          <w:trHeight w:val="253"/>
        </w:trPr>
        <w:tc>
          <w:tcPr>
            <w:tcW w:w="2406" w:type="pct"/>
            <w:tcBorders>
              <w:left w:val="single" w:sz="4" w:space="0" w:color="000000"/>
            </w:tcBorders>
            <w:vAlign w:val="center"/>
          </w:tcPr>
          <w:p w14:paraId="7608FD5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ACR20 response, n (%)</w:t>
            </w:r>
          </w:p>
        </w:tc>
        <w:tc>
          <w:tcPr>
            <w:tcW w:w="1136" w:type="pct"/>
            <w:vAlign w:val="center"/>
          </w:tcPr>
          <w:p w14:paraId="51EC54F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80 (49.4)</w:t>
            </w:r>
          </w:p>
        </w:tc>
        <w:tc>
          <w:tcPr>
            <w:tcW w:w="921" w:type="pct"/>
            <w:vAlign w:val="center"/>
          </w:tcPr>
          <w:p w14:paraId="7284578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106 (65.0)</w:t>
            </w:r>
          </w:p>
        </w:tc>
        <w:tc>
          <w:tcPr>
            <w:tcW w:w="537" w:type="pct"/>
            <w:tcBorders>
              <w:right w:val="single" w:sz="4" w:space="0" w:color="000000"/>
            </w:tcBorders>
            <w:vAlign w:val="center"/>
          </w:tcPr>
          <w:p w14:paraId="5A1EC10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0.0038</w:t>
            </w:r>
          </w:p>
        </w:tc>
      </w:tr>
      <w:tr w:rsidR="00B71E20" w:rsidRPr="001922B7" w14:paraId="79B3B8AF" w14:textId="77777777" w:rsidTr="00B71E20">
        <w:trPr>
          <w:trHeight w:val="253"/>
        </w:trPr>
        <w:tc>
          <w:tcPr>
            <w:tcW w:w="2406" w:type="pct"/>
            <w:tcBorders>
              <w:left w:val="single" w:sz="4" w:space="0" w:color="000000"/>
            </w:tcBorders>
            <w:vAlign w:val="center"/>
          </w:tcPr>
          <w:p w14:paraId="0861384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ACR50 response, n (%)</w:t>
            </w:r>
          </w:p>
        </w:tc>
        <w:tc>
          <w:tcPr>
            <w:tcW w:w="1136" w:type="pct"/>
            <w:vAlign w:val="center"/>
          </w:tcPr>
          <w:p w14:paraId="14B8F97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45 (27.8)</w:t>
            </w:r>
          </w:p>
        </w:tc>
        <w:tc>
          <w:tcPr>
            <w:tcW w:w="921" w:type="pct"/>
            <w:vAlign w:val="center"/>
          </w:tcPr>
          <w:p w14:paraId="17467BB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77 (47.2)</w:t>
            </w:r>
          </w:p>
        </w:tc>
        <w:tc>
          <w:tcPr>
            <w:tcW w:w="537" w:type="pct"/>
            <w:tcBorders>
              <w:right w:val="single" w:sz="4" w:space="0" w:color="000000"/>
            </w:tcBorders>
            <w:vAlign w:val="center"/>
          </w:tcPr>
          <w:p w14:paraId="06049AC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0.0002</w:t>
            </w:r>
          </w:p>
        </w:tc>
      </w:tr>
      <w:tr w:rsidR="00B71E20" w:rsidRPr="001922B7" w14:paraId="3CE39CC3" w14:textId="77777777" w:rsidTr="00B71E20">
        <w:trPr>
          <w:trHeight w:val="308"/>
        </w:trPr>
        <w:tc>
          <w:tcPr>
            <w:tcW w:w="2406" w:type="pct"/>
            <w:tcBorders>
              <w:left w:val="single" w:sz="4" w:space="0" w:color="000000"/>
              <w:bottom w:val="single" w:sz="4" w:space="0" w:color="000000"/>
            </w:tcBorders>
            <w:vAlign w:val="center"/>
          </w:tcPr>
          <w:p w14:paraId="7EC1085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ACR70 response, n (%)</w:t>
            </w:r>
          </w:p>
        </w:tc>
        <w:tc>
          <w:tcPr>
            <w:tcW w:w="1136" w:type="pct"/>
            <w:tcBorders>
              <w:bottom w:val="single" w:sz="4" w:space="0" w:color="000000"/>
            </w:tcBorders>
            <w:vAlign w:val="center"/>
          </w:tcPr>
          <w:p w14:paraId="4E69A15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29 (17.9)</w:t>
            </w:r>
          </w:p>
        </w:tc>
        <w:tc>
          <w:tcPr>
            <w:tcW w:w="921" w:type="pct"/>
            <w:tcBorders>
              <w:bottom w:val="single" w:sz="4" w:space="0" w:color="000000"/>
            </w:tcBorders>
            <w:vAlign w:val="center"/>
          </w:tcPr>
          <w:p w14:paraId="455F2ED8"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53 (32.5)</w:t>
            </w:r>
          </w:p>
        </w:tc>
        <w:tc>
          <w:tcPr>
            <w:tcW w:w="537" w:type="pct"/>
            <w:tcBorders>
              <w:bottom w:val="single" w:sz="4" w:space="0" w:color="000000"/>
              <w:right w:val="single" w:sz="4" w:space="0" w:color="000000"/>
            </w:tcBorders>
            <w:vAlign w:val="center"/>
          </w:tcPr>
          <w:p w14:paraId="6F94DCB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0.0023</w:t>
            </w:r>
          </w:p>
        </w:tc>
      </w:tr>
    </w:tbl>
    <w:p w14:paraId="2F843DB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vertAlign w:val="superscript"/>
        </w:rPr>
        <w:t>a</w:t>
      </w:r>
      <w:r w:rsidRPr="008D4276">
        <w:rPr>
          <w:rFonts w:asciiTheme="majorHAnsi" w:hAnsiTheme="majorHAnsi" w:cs="Calibri"/>
          <w:i/>
          <w:sz w:val="18"/>
          <w:szCs w:val="18"/>
        </w:rPr>
        <w:t xml:space="preserve">p </w:t>
      </w:r>
      <w:r w:rsidRPr="008D4276">
        <w:rPr>
          <w:rFonts w:asciiTheme="majorHAnsi" w:hAnsiTheme="majorHAnsi" w:cs="Calibri"/>
          <w:sz w:val="18"/>
          <w:szCs w:val="18"/>
        </w:rPr>
        <w:t>value is adjusted for region and duration of RA for all endpoints and additionally baseline value for all continuous endpoints.</w:t>
      </w:r>
    </w:p>
    <w:p w14:paraId="7F400E0F"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vertAlign w:val="superscript"/>
        </w:rPr>
        <w:t>b</w:t>
      </w:r>
      <w:r w:rsidRPr="008D4276">
        <w:rPr>
          <w:rFonts w:asciiTheme="majorHAnsi" w:hAnsiTheme="majorHAnsi" w:cs="Calibri"/>
          <w:sz w:val="18"/>
          <w:szCs w:val="18"/>
        </w:rPr>
        <w:t>Non-responder Imputation used for missing data. Multiplicity controlled using Bonferroni-Holm Procedure</w:t>
      </w:r>
    </w:p>
    <w:p w14:paraId="3D6D6B0F" w14:textId="77777777" w:rsidR="000031EA" w:rsidRPr="008D4276" w:rsidRDefault="000031EA" w:rsidP="00260708">
      <w:pPr>
        <w:rPr>
          <w:rFonts w:asciiTheme="majorHAnsi" w:hAnsiTheme="majorHAnsi" w:cstheme="minorHAnsi"/>
        </w:rPr>
      </w:pPr>
    </w:p>
    <w:p w14:paraId="4BE442DA" w14:textId="16AE728E" w:rsidR="0089656D" w:rsidRPr="008D4276" w:rsidRDefault="0089656D" w:rsidP="004D6592">
      <w:pPr>
        <w:pStyle w:val="Heading4"/>
        <w:rPr>
          <w:rFonts w:asciiTheme="majorHAnsi" w:hAnsiTheme="majorHAnsi"/>
        </w:rPr>
      </w:pPr>
      <w:r w:rsidRPr="008D4276">
        <w:rPr>
          <w:rFonts w:asciiTheme="majorHAnsi" w:hAnsiTheme="majorHAnsi"/>
        </w:rPr>
        <w:t>Cardiovascular Outcomes</w:t>
      </w:r>
    </w:p>
    <w:p w14:paraId="1849AB49" w14:textId="0D98F7D5" w:rsidR="0089656D" w:rsidRPr="008D4276" w:rsidRDefault="0089656D" w:rsidP="004D6592">
      <w:pPr>
        <w:rPr>
          <w:rFonts w:asciiTheme="majorHAnsi" w:hAnsiTheme="majorHAnsi"/>
        </w:rPr>
      </w:pPr>
      <w:r w:rsidRPr="008D4276">
        <w:rPr>
          <w:rFonts w:asciiTheme="majorHAnsi" w:hAnsiTheme="majorHAnsi"/>
        </w:rPr>
        <w:t xml:space="preserve">Study WA25204 was a randomised, open-label (sponsor-blinded), 2-arm parallel-group, multi-centre, non-inferiority, cardiovascular (CV) outcomes trial in patients with a diagnosis of moderate to severe RA. This CV safety study was designed to exclude a moderate increase in CV risk in patients treated with </w:t>
      </w:r>
      <w:r w:rsidR="000031EA" w:rsidRPr="008D4276">
        <w:rPr>
          <w:rFonts w:asciiTheme="majorHAnsi" w:hAnsiTheme="majorHAnsi"/>
        </w:rPr>
        <w:t>tocilizumab</w:t>
      </w:r>
      <w:r w:rsidRPr="008D4276">
        <w:rPr>
          <w:rFonts w:asciiTheme="majorHAnsi" w:hAnsiTheme="majorHAnsi"/>
        </w:rPr>
        <w:t xml:space="preserve"> compared with a TNF inhibitor standard of care (etanercept).</w:t>
      </w:r>
    </w:p>
    <w:p w14:paraId="5D3CCAA3" w14:textId="40686911" w:rsidR="0089656D" w:rsidRPr="008D4276" w:rsidRDefault="0089656D" w:rsidP="004D6592">
      <w:pPr>
        <w:rPr>
          <w:rFonts w:asciiTheme="majorHAnsi" w:hAnsiTheme="majorHAnsi"/>
        </w:rPr>
      </w:pPr>
      <w:r w:rsidRPr="008D4276">
        <w:rPr>
          <w:rFonts w:asciiTheme="majorHAnsi" w:hAnsiTheme="majorHAnsi"/>
        </w:rPr>
        <w:t xml:space="preserve">The study included 3,080 seropositive RA patients with active disease and an inadequate response to non-biologic disease-modifying anti-rheumatic drugs, who were aged </w:t>
      </w:r>
      <w:r w:rsidRPr="008D4276">
        <w:rPr>
          <w:rFonts w:asciiTheme="majorHAnsi" w:hAnsiTheme="majorHAnsi" w:hint="eastAsia"/>
        </w:rPr>
        <w:t>≥</w:t>
      </w:r>
      <w:r w:rsidRPr="008D4276">
        <w:rPr>
          <w:rFonts w:asciiTheme="majorHAnsi" w:hAnsiTheme="majorHAnsi"/>
        </w:rPr>
        <w:t xml:space="preserve"> 50 years with at least one additional CV risk factor beyond RA. Patients were randomised 1:1 to IV </w:t>
      </w:r>
      <w:r w:rsidR="000031EA" w:rsidRPr="008D4276">
        <w:rPr>
          <w:rFonts w:asciiTheme="majorHAnsi" w:hAnsiTheme="majorHAnsi"/>
        </w:rPr>
        <w:t>tocilizumab</w:t>
      </w:r>
      <w:r w:rsidRPr="008D4276">
        <w:rPr>
          <w:rFonts w:asciiTheme="majorHAnsi" w:hAnsiTheme="majorHAnsi"/>
        </w:rPr>
        <w:t xml:space="preserve"> 8 mg/kg every four weeks (q4w) or SC etanercept 50 mg every week (qw) and followed for an average of 3.2 years. The primary endpoint was the comparison of the time- to-first occurrence of any component of a composite of major adverse CV events (MACE; non- fatal myocardial infarction, non-fatal stroke, or CV death), with the final intent-to-treat analysis based on a total of 161 confirmed CV events reviewed by an independent and blinded adjudication committee.</w:t>
      </w:r>
    </w:p>
    <w:p w14:paraId="4DCF1AF0" w14:textId="3554C0A1" w:rsidR="0089656D" w:rsidRPr="008D4276" w:rsidRDefault="0089656D" w:rsidP="004D6592">
      <w:pPr>
        <w:rPr>
          <w:rFonts w:asciiTheme="majorHAnsi" w:hAnsiTheme="majorHAnsi"/>
        </w:rPr>
      </w:pPr>
      <w:r w:rsidRPr="008D4276">
        <w:rPr>
          <w:rFonts w:asciiTheme="majorHAnsi" w:hAnsiTheme="majorHAnsi"/>
        </w:rPr>
        <w:t xml:space="preserve">Non-inferiority of </w:t>
      </w:r>
      <w:r w:rsidR="000031EA" w:rsidRPr="008D4276">
        <w:rPr>
          <w:rFonts w:asciiTheme="majorHAnsi" w:hAnsiTheme="majorHAnsi"/>
        </w:rPr>
        <w:t>tocilizumab</w:t>
      </w:r>
      <w:r w:rsidRPr="008D4276">
        <w:rPr>
          <w:rFonts w:asciiTheme="majorHAnsi" w:hAnsiTheme="majorHAnsi"/>
        </w:rPr>
        <w:t xml:space="preserve"> to etanercept for cardiovascular risk was determined by excluding a &gt; 80% relative increase in the risk of MACE. The primary endpoint was met with a hazard ratio [HR] comparing </w:t>
      </w:r>
      <w:r w:rsidR="000031EA" w:rsidRPr="008D4276">
        <w:rPr>
          <w:rFonts w:asciiTheme="majorHAnsi" w:hAnsiTheme="majorHAnsi"/>
        </w:rPr>
        <w:t xml:space="preserve">tocilizumab </w:t>
      </w:r>
      <w:r w:rsidRPr="008D4276">
        <w:rPr>
          <w:rFonts w:asciiTheme="majorHAnsi" w:hAnsiTheme="majorHAnsi"/>
        </w:rPr>
        <w:t>to etanercept = 1.05; 95% CI = 0.77, 1.43.</w:t>
      </w:r>
    </w:p>
    <w:p w14:paraId="1D493744" w14:textId="77777777" w:rsidR="0089656D" w:rsidRPr="008D4276" w:rsidRDefault="0089656D" w:rsidP="004D6592">
      <w:pPr>
        <w:pStyle w:val="Heading4"/>
        <w:rPr>
          <w:rFonts w:asciiTheme="majorHAnsi" w:hAnsiTheme="majorHAnsi"/>
        </w:rPr>
      </w:pPr>
      <w:r w:rsidRPr="008D4276">
        <w:rPr>
          <w:rFonts w:asciiTheme="majorHAnsi" w:hAnsiTheme="majorHAnsi"/>
        </w:rPr>
        <w:t>Giant Cell Arteritis (GCA)</w:t>
      </w:r>
    </w:p>
    <w:p w14:paraId="1CD9F7E8" w14:textId="0F6EAE0B" w:rsidR="0089656D" w:rsidRPr="008D4276" w:rsidRDefault="0089656D" w:rsidP="004D6592">
      <w:pPr>
        <w:rPr>
          <w:rFonts w:asciiTheme="majorHAnsi" w:hAnsiTheme="majorHAnsi"/>
        </w:rPr>
      </w:pPr>
      <w:r w:rsidRPr="008D4276">
        <w:rPr>
          <w:rFonts w:asciiTheme="majorHAnsi" w:hAnsiTheme="majorHAnsi"/>
        </w:rPr>
        <w:t xml:space="preserve">Study X (GiACTA) was a randomised, multi-centre, double-blind, placebo-controlled Phase III superiority study conducted to assess the efficacy and safety of </w:t>
      </w:r>
      <w:r w:rsidR="000031EA" w:rsidRPr="008D4276">
        <w:rPr>
          <w:rFonts w:asciiTheme="majorHAnsi" w:hAnsiTheme="majorHAnsi"/>
        </w:rPr>
        <w:t>tocilizumab</w:t>
      </w:r>
      <w:r w:rsidRPr="008D4276">
        <w:rPr>
          <w:rFonts w:asciiTheme="majorHAnsi" w:hAnsiTheme="majorHAnsi"/>
        </w:rPr>
        <w:t xml:space="preserve"> in patients with GCA.</w:t>
      </w:r>
    </w:p>
    <w:p w14:paraId="71084EB4" w14:textId="2A799C35" w:rsidR="0089656D" w:rsidRPr="008D4276" w:rsidRDefault="0089656D" w:rsidP="004D6592">
      <w:pPr>
        <w:rPr>
          <w:rFonts w:asciiTheme="majorHAnsi" w:hAnsiTheme="majorHAnsi"/>
        </w:rPr>
      </w:pPr>
      <w:r w:rsidRPr="008D4276">
        <w:rPr>
          <w:rFonts w:asciiTheme="majorHAnsi" w:hAnsiTheme="majorHAnsi"/>
        </w:rPr>
        <w:t xml:space="preserve">Two hundred and fifty one (251) patients with new-onset or relapsing GCA were enrolled and assigned to one of four treatment arms. The study consisted of a 52-week blinded period (Part 1), followed by a 104-week open-label extension (Part 2). The purpose of Part 2 is to describe the long term safety and maintenance of efficacy after 52 weeks of </w:t>
      </w:r>
      <w:r w:rsidR="000031EA" w:rsidRPr="008D4276">
        <w:rPr>
          <w:rFonts w:asciiTheme="majorHAnsi" w:hAnsiTheme="majorHAnsi"/>
        </w:rPr>
        <w:t>tocilizumab</w:t>
      </w:r>
      <w:r w:rsidRPr="008D4276">
        <w:rPr>
          <w:rFonts w:asciiTheme="majorHAnsi" w:hAnsiTheme="majorHAnsi"/>
        </w:rPr>
        <w:t xml:space="preserve"> therapy, to explore the rate of relapse and the requirement for </w:t>
      </w:r>
      <w:r w:rsidR="000031EA" w:rsidRPr="008D4276">
        <w:rPr>
          <w:rFonts w:asciiTheme="majorHAnsi" w:hAnsiTheme="majorHAnsi"/>
        </w:rPr>
        <w:t>tocilizumab</w:t>
      </w:r>
      <w:r w:rsidRPr="008D4276">
        <w:rPr>
          <w:rFonts w:asciiTheme="majorHAnsi" w:hAnsiTheme="majorHAnsi"/>
        </w:rPr>
        <w:t xml:space="preserve"> therapy beyond 52 weeks, and to gain insight into the potential long-term steroid-sparing effect of</w:t>
      </w:r>
      <w:r w:rsidR="000031EA" w:rsidRPr="008D4276">
        <w:rPr>
          <w:rFonts w:asciiTheme="majorHAnsi" w:hAnsiTheme="majorHAnsi"/>
        </w:rPr>
        <w:t xml:space="preserve"> tocilizumab</w:t>
      </w:r>
      <w:r w:rsidRPr="008D4276">
        <w:rPr>
          <w:rFonts w:asciiTheme="majorHAnsi" w:hAnsiTheme="majorHAnsi"/>
        </w:rPr>
        <w:t>.</w:t>
      </w:r>
    </w:p>
    <w:p w14:paraId="66C03DE8" w14:textId="08B8FB53" w:rsidR="0089656D" w:rsidRPr="008D4276" w:rsidRDefault="0089656D" w:rsidP="004D6592">
      <w:pPr>
        <w:rPr>
          <w:rFonts w:asciiTheme="majorHAnsi" w:hAnsiTheme="majorHAnsi"/>
        </w:rPr>
      </w:pPr>
      <w:r w:rsidRPr="008D4276">
        <w:rPr>
          <w:rFonts w:asciiTheme="majorHAnsi" w:hAnsiTheme="majorHAnsi"/>
        </w:rPr>
        <w:t xml:space="preserve">Two subcutaneous (SC) doses of </w:t>
      </w:r>
      <w:r w:rsidR="000031EA" w:rsidRPr="008D4276">
        <w:rPr>
          <w:rFonts w:asciiTheme="majorHAnsi" w:hAnsiTheme="majorHAnsi"/>
        </w:rPr>
        <w:t>tocilizumab</w:t>
      </w:r>
      <w:r w:rsidRPr="008D4276">
        <w:rPr>
          <w:rFonts w:asciiTheme="majorHAnsi" w:hAnsiTheme="majorHAnsi"/>
        </w:rPr>
        <w:t xml:space="preserve"> (162 mg every week and 162 mg every other week) were compared to two different placebo control groups randomised 2:1:1:1. All patients received background glucocorticoid (prednisone) therapy. Each of the </w:t>
      </w:r>
      <w:r w:rsidR="000031EA" w:rsidRPr="008D4276">
        <w:rPr>
          <w:rFonts w:asciiTheme="majorHAnsi" w:hAnsiTheme="majorHAnsi"/>
        </w:rPr>
        <w:t>tocilizumab</w:t>
      </w:r>
      <w:r w:rsidRPr="008D4276">
        <w:rPr>
          <w:rFonts w:asciiTheme="majorHAnsi" w:hAnsiTheme="majorHAnsi"/>
        </w:rPr>
        <w:t xml:space="preserve">-treated </w:t>
      </w:r>
      <w:r w:rsidRPr="008D4276">
        <w:rPr>
          <w:rFonts w:asciiTheme="majorHAnsi" w:hAnsiTheme="majorHAnsi"/>
        </w:rPr>
        <w:lastRenderedPageBreak/>
        <w:t>groups and one of the placebo-treated groups followed a pre-specified prednisone-taper regimen over 26 weeks, while the second placebo-treated group followed a pre-specified prednisone-taper regimen over 52 weeks.</w:t>
      </w:r>
    </w:p>
    <w:p w14:paraId="7813EA7C" w14:textId="77777777" w:rsidR="0089656D" w:rsidRPr="008D4276" w:rsidRDefault="0089656D" w:rsidP="004D6592">
      <w:pPr>
        <w:rPr>
          <w:rFonts w:asciiTheme="majorHAnsi" w:hAnsiTheme="majorHAnsi"/>
        </w:rPr>
      </w:pPr>
      <w:r w:rsidRPr="008D4276">
        <w:rPr>
          <w:rFonts w:asciiTheme="majorHAnsi" w:hAnsiTheme="majorHAnsi"/>
        </w:rPr>
        <w:t xml:space="preserve">The study included adult patients with new-onset or relapsing active GCA, where active GCA was defined as the presence of clinical signs and symptoms of GCA (cranial or polymyalgia rheumatica) and ESR </w:t>
      </w:r>
      <w:r w:rsidRPr="008D4276">
        <w:rPr>
          <w:rFonts w:asciiTheme="majorHAnsi" w:hAnsiTheme="majorHAnsi" w:hint="eastAsia"/>
        </w:rPr>
        <w:t>≥</w:t>
      </w:r>
      <w:r w:rsidRPr="008D4276">
        <w:rPr>
          <w:rFonts w:asciiTheme="majorHAnsi" w:hAnsiTheme="majorHAnsi"/>
        </w:rPr>
        <w:t xml:space="preserve"> 30 mm/hour or CRP </w:t>
      </w:r>
      <w:r w:rsidRPr="008D4276">
        <w:rPr>
          <w:rFonts w:asciiTheme="majorHAnsi" w:hAnsiTheme="majorHAnsi" w:hint="eastAsia"/>
        </w:rPr>
        <w:t>≥</w:t>
      </w:r>
      <w:r w:rsidRPr="008D4276">
        <w:rPr>
          <w:rFonts w:asciiTheme="majorHAnsi" w:hAnsiTheme="majorHAnsi"/>
        </w:rPr>
        <w:t xml:space="preserve"> 1 mg/dL within 6 weeks prior to the baseline visit. New-onset disease was defined as GCA diagnosed within 6 weeks of baseline, and relapsing disease was defined as GCA diagnosed &gt; 6 weeks before baseline and previous treatment with </w:t>
      </w:r>
      <w:r w:rsidRPr="008D4276">
        <w:rPr>
          <w:rFonts w:asciiTheme="majorHAnsi" w:hAnsiTheme="majorHAnsi" w:hint="eastAsia"/>
        </w:rPr>
        <w:t>≥</w:t>
      </w:r>
      <w:r w:rsidRPr="008D4276">
        <w:rPr>
          <w:rFonts w:asciiTheme="majorHAnsi" w:hAnsiTheme="majorHAnsi"/>
        </w:rPr>
        <w:t xml:space="preserve"> 40 mg/day prednisone for </w:t>
      </w:r>
      <w:r w:rsidRPr="008D4276">
        <w:rPr>
          <w:rFonts w:asciiTheme="majorHAnsi" w:hAnsiTheme="majorHAnsi" w:hint="eastAsia"/>
        </w:rPr>
        <w:t>≥</w:t>
      </w:r>
      <w:r w:rsidRPr="008D4276">
        <w:rPr>
          <w:rFonts w:asciiTheme="majorHAnsi" w:hAnsiTheme="majorHAnsi"/>
        </w:rPr>
        <w:t xml:space="preserve"> 2 consecutive weeks. The majority of the enrolled population were Caucasian (96.8%) and a majority were female (74.9%). The mean age of patients was 69 years. Relapsing disease patients comprised 53% of the study population with 47% of patients presenting with new-onset disease. The most common clinical manifestations of GCA at diagnosis were headache and polymyalgia rheumatica (in 67% and 62% patients, respectively). Jaw claudication and scalp tenderness were reported in approximately one third of patients. Temporal artery tenderness was observed in 29%, decreased temporal artery pulsation in 12%, and ischemia-related vision loss in 10% of patients.</w:t>
      </w:r>
    </w:p>
    <w:p w14:paraId="2F1784E5" w14:textId="3BE9B040" w:rsidR="0089656D" w:rsidRPr="008D4276" w:rsidRDefault="0089656D" w:rsidP="004D6592">
      <w:pPr>
        <w:rPr>
          <w:rFonts w:asciiTheme="majorHAnsi" w:hAnsiTheme="majorHAnsi"/>
        </w:rPr>
      </w:pPr>
      <w:r w:rsidRPr="008D4276">
        <w:rPr>
          <w:rFonts w:asciiTheme="majorHAnsi" w:hAnsiTheme="majorHAnsi"/>
        </w:rPr>
        <w:t xml:space="preserve">The primary efficacy endpoint, assessed by the proportion of patients achieving steroid-free sustained remission at Week 52 on </w:t>
      </w:r>
      <w:r w:rsidR="000031EA" w:rsidRPr="008D4276">
        <w:rPr>
          <w:rFonts w:asciiTheme="majorHAnsi" w:hAnsiTheme="majorHAnsi"/>
        </w:rPr>
        <w:t>tocilizumab</w:t>
      </w:r>
      <w:r w:rsidRPr="008D4276">
        <w:rPr>
          <w:rFonts w:asciiTheme="majorHAnsi" w:hAnsiTheme="majorHAnsi"/>
        </w:rPr>
        <w:t xml:space="preserve"> plus 26 weeks prednisone taper compared with placebo plus 26 weeks prednisone taper, was met (</w:t>
      </w:r>
      <w:r w:rsidR="004D6592" w:rsidRPr="008D4276">
        <w:rPr>
          <w:rFonts w:asciiTheme="majorHAnsi" w:hAnsiTheme="majorHAnsi"/>
        </w:rPr>
        <w:fldChar w:fldCharType="begin"/>
      </w:r>
      <w:r w:rsidR="004D6592" w:rsidRPr="008D4276">
        <w:rPr>
          <w:rFonts w:asciiTheme="majorHAnsi" w:hAnsiTheme="majorHAnsi"/>
        </w:rPr>
        <w:instrText xml:space="preserve"> REF _Ref178871031 \h  \* MERGEFORMAT </w:instrText>
      </w:r>
      <w:r w:rsidR="004D6592" w:rsidRPr="008D4276">
        <w:rPr>
          <w:rFonts w:asciiTheme="majorHAnsi" w:hAnsiTheme="majorHAnsi"/>
        </w:rPr>
      </w:r>
      <w:r w:rsidR="004D6592" w:rsidRPr="008D4276">
        <w:rPr>
          <w:rFonts w:asciiTheme="majorHAnsi" w:hAnsiTheme="majorHAnsi"/>
        </w:rPr>
        <w:fldChar w:fldCharType="separate"/>
      </w:r>
      <w:r w:rsidR="004C310F" w:rsidRPr="004C310F">
        <w:rPr>
          <w:rFonts w:asciiTheme="majorHAnsi" w:hAnsiTheme="majorHAnsi"/>
        </w:rPr>
        <w:t>Table 11</w:t>
      </w:r>
      <w:r w:rsidR="004D6592" w:rsidRPr="008D4276">
        <w:rPr>
          <w:rFonts w:asciiTheme="majorHAnsi" w:hAnsiTheme="majorHAnsi"/>
        </w:rPr>
        <w:fldChar w:fldCharType="end"/>
      </w:r>
      <w:r w:rsidRPr="008D4276">
        <w:rPr>
          <w:rFonts w:asciiTheme="majorHAnsi" w:hAnsiTheme="majorHAnsi"/>
        </w:rPr>
        <w:t>).</w:t>
      </w:r>
    </w:p>
    <w:p w14:paraId="345203C2"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Secondary Endpoints</w:t>
      </w:r>
    </w:p>
    <w:p w14:paraId="4966F6A7" w14:textId="31CC99A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key secondary efficacy endpoint, also based on the proportion of patients achieving sustained remission at Week 52, comparing </w:t>
      </w:r>
      <w:r w:rsidR="000031EA" w:rsidRPr="008D4276">
        <w:rPr>
          <w:rFonts w:asciiTheme="majorHAnsi" w:hAnsiTheme="majorHAnsi" w:cstheme="minorHAnsi"/>
        </w:rPr>
        <w:t>tocilizumab</w:t>
      </w:r>
      <w:r w:rsidRPr="008D4276">
        <w:rPr>
          <w:rFonts w:asciiTheme="majorHAnsi" w:hAnsiTheme="majorHAnsi" w:cstheme="minorHAnsi"/>
        </w:rPr>
        <w:t xml:space="preserve"> plus 26 weeks prednisone taper with the longer placebo plus 52 weeks prednisone taper, was also met (</w:t>
      </w:r>
      <w:r w:rsidR="00B71E20" w:rsidRPr="008D4276">
        <w:rPr>
          <w:rFonts w:asciiTheme="majorHAnsi" w:hAnsiTheme="majorHAnsi" w:cstheme="minorHAnsi"/>
        </w:rPr>
        <w:fldChar w:fldCharType="begin"/>
      </w:r>
      <w:r w:rsidR="00B71E20" w:rsidRPr="008D4276">
        <w:rPr>
          <w:rFonts w:asciiTheme="majorHAnsi" w:hAnsiTheme="majorHAnsi" w:cstheme="minorHAnsi"/>
        </w:rPr>
        <w:instrText xml:space="preserve"> REF _Ref159343114 \h </w:instrText>
      </w:r>
      <w:r w:rsidR="00582401" w:rsidRPr="008D4276">
        <w:rPr>
          <w:rFonts w:asciiTheme="majorHAnsi" w:hAnsiTheme="majorHAnsi" w:cstheme="minorHAnsi"/>
        </w:rPr>
        <w:instrText xml:space="preserve"> \* MERGEFORMAT </w:instrText>
      </w:r>
      <w:r w:rsidR="00B71E20" w:rsidRPr="008D4276">
        <w:rPr>
          <w:rFonts w:asciiTheme="majorHAnsi" w:hAnsiTheme="majorHAnsi" w:cstheme="minorHAnsi"/>
        </w:rPr>
        <w:fldChar w:fldCharType="separate"/>
      </w:r>
      <w:r w:rsidR="004C310F">
        <w:rPr>
          <w:rFonts w:asciiTheme="majorHAnsi" w:hAnsiTheme="majorHAnsi" w:cstheme="minorHAnsi"/>
          <w:b/>
          <w:bCs/>
          <w:lang w:val="en-US"/>
        </w:rPr>
        <w:t>Error! Reference source not found.</w:t>
      </w:r>
      <w:r w:rsidR="00B71E20" w:rsidRPr="008D4276">
        <w:rPr>
          <w:rFonts w:asciiTheme="majorHAnsi" w:hAnsiTheme="majorHAnsi" w:cstheme="minorHAnsi"/>
        </w:rPr>
        <w:fldChar w:fldCharType="end"/>
      </w:r>
      <w:r w:rsidRPr="008D4276">
        <w:rPr>
          <w:rFonts w:asciiTheme="majorHAnsi" w:hAnsiTheme="majorHAnsi" w:cstheme="minorHAnsi"/>
        </w:rPr>
        <w:t xml:space="preserve">). A statistically significant superior treatment effect was seen in favour of </w:t>
      </w:r>
      <w:r w:rsidR="000031EA" w:rsidRPr="008D4276">
        <w:rPr>
          <w:rFonts w:asciiTheme="majorHAnsi" w:hAnsiTheme="majorHAnsi" w:cstheme="minorHAnsi"/>
        </w:rPr>
        <w:t>tocilizumab</w:t>
      </w:r>
      <w:r w:rsidRPr="008D4276">
        <w:rPr>
          <w:rFonts w:asciiTheme="majorHAnsi" w:hAnsiTheme="majorHAnsi" w:cstheme="minorHAnsi"/>
        </w:rPr>
        <w:t xml:space="preserve"> over placebo in achieving steroid-free sustained remission at Week 52 on </w:t>
      </w:r>
      <w:r w:rsidR="000031EA" w:rsidRPr="008D4276">
        <w:rPr>
          <w:rFonts w:asciiTheme="majorHAnsi" w:hAnsiTheme="majorHAnsi" w:cstheme="minorHAnsi"/>
        </w:rPr>
        <w:t>tocilizumab</w:t>
      </w:r>
      <w:r w:rsidRPr="008D4276">
        <w:rPr>
          <w:rFonts w:asciiTheme="majorHAnsi" w:hAnsiTheme="majorHAnsi" w:cstheme="minorHAnsi"/>
        </w:rPr>
        <w:t xml:space="preserve"> plus 26 weeks prednisone taper compared with placebo plus 26 weeks prednisone taper and with placebo plus 52 weeks prednisone taper. The percentage of patients achieving sustained remission at week 52 are </w:t>
      </w:r>
      <w:r w:rsidRPr="008D4276">
        <w:rPr>
          <w:rFonts w:asciiTheme="majorHAnsi" w:hAnsiTheme="majorHAnsi"/>
        </w:rPr>
        <w:t xml:space="preserve">shown in </w:t>
      </w:r>
      <w:r w:rsidR="004D6592" w:rsidRPr="008D4276">
        <w:rPr>
          <w:rFonts w:asciiTheme="majorHAnsi" w:hAnsiTheme="majorHAnsi"/>
        </w:rPr>
        <w:fldChar w:fldCharType="begin"/>
      </w:r>
      <w:r w:rsidR="004D6592" w:rsidRPr="008D4276">
        <w:rPr>
          <w:rFonts w:asciiTheme="majorHAnsi" w:hAnsiTheme="majorHAnsi"/>
        </w:rPr>
        <w:instrText xml:space="preserve"> REF _Ref178871031 \h  \* MERGEFORMAT </w:instrText>
      </w:r>
      <w:r w:rsidR="004D6592" w:rsidRPr="008D4276">
        <w:rPr>
          <w:rFonts w:asciiTheme="majorHAnsi" w:hAnsiTheme="majorHAnsi"/>
        </w:rPr>
      </w:r>
      <w:r w:rsidR="004D6592" w:rsidRPr="008D4276">
        <w:rPr>
          <w:rFonts w:asciiTheme="majorHAnsi" w:hAnsiTheme="majorHAnsi"/>
        </w:rPr>
        <w:fldChar w:fldCharType="separate"/>
      </w:r>
      <w:r w:rsidR="004C310F" w:rsidRPr="004C310F">
        <w:rPr>
          <w:rFonts w:asciiTheme="majorHAnsi" w:hAnsiTheme="majorHAnsi"/>
        </w:rPr>
        <w:t>Table 11</w:t>
      </w:r>
      <w:r w:rsidR="004D6592" w:rsidRPr="008D4276">
        <w:rPr>
          <w:rFonts w:asciiTheme="majorHAnsi" w:hAnsiTheme="majorHAnsi"/>
        </w:rPr>
        <w:fldChar w:fldCharType="end"/>
      </w:r>
      <w:r w:rsidRPr="008D4276">
        <w:rPr>
          <w:rFonts w:asciiTheme="majorHAnsi" w:hAnsiTheme="majorHAnsi"/>
        </w:rPr>
        <w:t>.</w:t>
      </w:r>
    </w:p>
    <w:p w14:paraId="0E1141F5" w14:textId="0E5C1191"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assessment of the time to first GCA flare showed a significantly lower risk of flare for the </w:t>
      </w:r>
      <w:r w:rsidR="000031EA" w:rsidRPr="008D4276">
        <w:rPr>
          <w:rFonts w:asciiTheme="majorHAnsi" w:hAnsiTheme="majorHAnsi" w:cstheme="minorHAnsi"/>
        </w:rPr>
        <w:t xml:space="preserve">tocilizumab </w:t>
      </w:r>
      <w:r w:rsidRPr="008D4276">
        <w:rPr>
          <w:rFonts w:asciiTheme="majorHAnsi" w:hAnsiTheme="majorHAnsi" w:cstheme="minorHAnsi"/>
        </w:rPr>
        <w:t xml:space="preserve">weekly group compared to placebo plus 26 weeks prednisone and placebo plus 52 weeks prednisone taper groups and for the </w:t>
      </w:r>
      <w:r w:rsidR="000031EA" w:rsidRPr="008D4276">
        <w:rPr>
          <w:rFonts w:asciiTheme="majorHAnsi" w:hAnsiTheme="majorHAnsi" w:cstheme="minorHAnsi"/>
        </w:rPr>
        <w:t>tocilizumab</w:t>
      </w:r>
      <w:r w:rsidRPr="008D4276">
        <w:rPr>
          <w:rFonts w:asciiTheme="majorHAnsi" w:hAnsiTheme="majorHAnsi" w:cstheme="minorHAnsi"/>
        </w:rPr>
        <w:t xml:space="preserve"> every other week group compared to placebo plus 26 weeks prednisone (when compared at a 0.01 significance level). </w:t>
      </w:r>
      <w:r w:rsidR="000031EA" w:rsidRPr="008D4276">
        <w:rPr>
          <w:rFonts w:asciiTheme="majorHAnsi" w:hAnsiTheme="majorHAnsi" w:cstheme="minorHAnsi"/>
        </w:rPr>
        <w:t>tocilizumab</w:t>
      </w:r>
      <w:r w:rsidRPr="008D4276">
        <w:rPr>
          <w:rFonts w:asciiTheme="majorHAnsi" w:hAnsiTheme="majorHAnsi" w:cstheme="minorHAnsi"/>
        </w:rPr>
        <w:t xml:space="preserve"> weekly dose also showed a clinically meaningful decrease in the risk for flare compared to placebo plus 26 weeks prednisone in patients who entered the trial with relapsing GCA as well as those with new-onset </w:t>
      </w:r>
      <w:r w:rsidRPr="008D4276">
        <w:rPr>
          <w:rFonts w:asciiTheme="majorHAnsi" w:hAnsiTheme="majorHAnsi"/>
        </w:rPr>
        <w:t>disease (</w:t>
      </w:r>
      <w:r w:rsidR="004D6592" w:rsidRPr="008D4276">
        <w:rPr>
          <w:rFonts w:asciiTheme="majorHAnsi" w:hAnsiTheme="majorHAnsi"/>
        </w:rPr>
        <w:fldChar w:fldCharType="begin"/>
      </w:r>
      <w:r w:rsidR="004D6592" w:rsidRPr="008D4276">
        <w:rPr>
          <w:rFonts w:asciiTheme="majorHAnsi" w:hAnsiTheme="majorHAnsi"/>
        </w:rPr>
        <w:instrText xml:space="preserve"> REF _Ref178871031 \h  \* MERGEFORMAT </w:instrText>
      </w:r>
      <w:r w:rsidR="004D6592" w:rsidRPr="008D4276">
        <w:rPr>
          <w:rFonts w:asciiTheme="majorHAnsi" w:hAnsiTheme="majorHAnsi"/>
        </w:rPr>
      </w:r>
      <w:r w:rsidR="004D6592" w:rsidRPr="008D4276">
        <w:rPr>
          <w:rFonts w:asciiTheme="majorHAnsi" w:hAnsiTheme="majorHAnsi"/>
        </w:rPr>
        <w:fldChar w:fldCharType="separate"/>
      </w:r>
      <w:r w:rsidR="004C310F" w:rsidRPr="004C310F">
        <w:rPr>
          <w:rFonts w:asciiTheme="majorHAnsi" w:hAnsiTheme="majorHAnsi"/>
        </w:rPr>
        <w:t>Table 11</w:t>
      </w:r>
      <w:r w:rsidR="004D6592" w:rsidRPr="008D4276">
        <w:rPr>
          <w:rFonts w:asciiTheme="majorHAnsi" w:hAnsiTheme="majorHAnsi"/>
        </w:rPr>
        <w:fldChar w:fldCharType="end"/>
      </w:r>
      <w:r w:rsidRPr="008D4276">
        <w:rPr>
          <w:rFonts w:asciiTheme="majorHAnsi" w:hAnsiTheme="majorHAnsi"/>
        </w:rPr>
        <w:t>).</w:t>
      </w:r>
    </w:p>
    <w:p w14:paraId="077E2B11" w14:textId="2DE713E2" w:rsidR="00B71E20" w:rsidRPr="008D4276" w:rsidRDefault="0089656D" w:rsidP="0089656D">
      <w:pPr>
        <w:rPr>
          <w:rFonts w:asciiTheme="majorHAnsi" w:hAnsiTheme="majorHAnsi" w:cstheme="minorHAnsi"/>
        </w:rPr>
      </w:pPr>
      <w:r w:rsidRPr="008D4276">
        <w:rPr>
          <w:rFonts w:asciiTheme="majorHAnsi" w:hAnsiTheme="majorHAnsi" w:cstheme="minorHAnsi"/>
        </w:rPr>
        <w:t xml:space="preserve">The median cumulative prednisone dose at Week 52 was significantly lower in the two </w:t>
      </w:r>
      <w:r w:rsidR="000031EA" w:rsidRPr="008D4276">
        <w:rPr>
          <w:rFonts w:asciiTheme="majorHAnsi" w:hAnsiTheme="majorHAnsi" w:cstheme="minorHAnsi"/>
        </w:rPr>
        <w:t>tocilizumab</w:t>
      </w:r>
      <w:r w:rsidRPr="008D4276">
        <w:rPr>
          <w:rFonts w:asciiTheme="majorHAnsi" w:hAnsiTheme="majorHAnsi" w:cstheme="minorHAnsi"/>
        </w:rPr>
        <w:t xml:space="preserve"> dose groups compared to the two placebo groups</w:t>
      </w:r>
      <w:r w:rsidRPr="008D4276">
        <w:rPr>
          <w:rFonts w:asciiTheme="majorHAnsi" w:hAnsiTheme="majorHAnsi"/>
        </w:rPr>
        <w:t xml:space="preserve"> (</w:t>
      </w:r>
      <w:r w:rsidR="004D6592" w:rsidRPr="008D4276">
        <w:rPr>
          <w:rFonts w:asciiTheme="majorHAnsi" w:hAnsiTheme="majorHAnsi"/>
        </w:rPr>
        <w:fldChar w:fldCharType="begin"/>
      </w:r>
      <w:r w:rsidR="004D6592" w:rsidRPr="008D4276">
        <w:rPr>
          <w:rFonts w:asciiTheme="majorHAnsi" w:hAnsiTheme="majorHAnsi"/>
        </w:rPr>
        <w:instrText xml:space="preserve"> REF _Ref178871031 \h  \* MERGEFORMAT </w:instrText>
      </w:r>
      <w:r w:rsidR="004D6592" w:rsidRPr="008D4276">
        <w:rPr>
          <w:rFonts w:asciiTheme="majorHAnsi" w:hAnsiTheme="majorHAnsi"/>
        </w:rPr>
      </w:r>
      <w:r w:rsidR="004D6592" w:rsidRPr="008D4276">
        <w:rPr>
          <w:rFonts w:asciiTheme="majorHAnsi" w:hAnsiTheme="majorHAnsi"/>
        </w:rPr>
        <w:fldChar w:fldCharType="separate"/>
      </w:r>
      <w:r w:rsidR="004C310F" w:rsidRPr="004C310F">
        <w:rPr>
          <w:rFonts w:asciiTheme="majorHAnsi" w:hAnsiTheme="majorHAnsi"/>
        </w:rPr>
        <w:t>Table 11</w:t>
      </w:r>
      <w:r w:rsidR="004D6592" w:rsidRPr="008D4276">
        <w:rPr>
          <w:rFonts w:asciiTheme="majorHAnsi" w:hAnsiTheme="majorHAnsi"/>
        </w:rPr>
        <w:fldChar w:fldCharType="end"/>
      </w:r>
      <w:r w:rsidRPr="008D4276">
        <w:rPr>
          <w:rFonts w:asciiTheme="majorHAnsi" w:hAnsiTheme="majorHAnsi" w:cstheme="minorHAnsi"/>
        </w:rPr>
        <w:t xml:space="preserve">). In a separate analysis of the patients who received escape prednisone to treat GCA flare during the first 52 weeks, the cumulative prednisone dose varied greatly. The median doses for escape patients in the </w:t>
      </w:r>
      <w:r w:rsidR="000031EA" w:rsidRPr="008D4276">
        <w:rPr>
          <w:rFonts w:asciiTheme="majorHAnsi" w:hAnsiTheme="majorHAnsi" w:cstheme="minorHAnsi"/>
        </w:rPr>
        <w:t>tocilizumab</w:t>
      </w:r>
      <w:r w:rsidRPr="008D4276">
        <w:rPr>
          <w:rFonts w:asciiTheme="majorHAnsi" w:hAnsiTheme="majorHAnsi" w:cstheme="minorHAnsi"/>
        </w:rPr>
        <w:t xml:space="preserve"> weekly and every other week groups were 3129.75 mg and 3847 mg, respectively – both considerably lower than in the placebo plus 26 weeks and the placebo plus 52 weeks </w:t>
      </w:r>
      <w:r w:rsidRPr="008D4276">
        <w:rPr>
          <w:rFonts w:asciiTheme="majorHAnsi" w:hAnsiTheme="majorHAnsi" w:cstheme="minorHAnsi"/>
        </w:rPr>
        <w:lastRenderedPageBreak/>
        <w:t>prednisone taper groups, 4023.5</w:t>
      </w:r>
      <w:r w:rsidR="004D6592" w:rsidRPr="008D4276">
        <w:rPr>
          <w:rFonts w:asciiTheme="majorHAnsi" w:hAnsiTheme="majorHAnsi" w:cstheme="minorHAnsi"/>
        </w:rPr>
        <w:t> </w:t>
      </w:r>
      <w:r w:rsidRPr="008D4276">
        <w:rPr>
          <w:rFonts w:asciiTheme="majorHAnsi" w:hAnsiTheme="majorHAnsi" w:cstheme="minorHAnsi"/>
        </w:rPr>
        <w:t xml:space="preserve">mg and 5389.5 mg respectively. A lower proportion of patients stopped the protocol defined prednisone taper and moved onto treatment with escape prednisone in the </w:t>
      </w:r>
      <w:r w:rsidR="000031EA" w:rsidRPr="008D4276">
        <w:rPr>
          <w:rFonts w:asciiTheme="majorHAnsi" w:hAnsiTheme="majorHAnsi" w:cstheme="minorHAnsi"/>
        </w:rPr>
        <w:t>tocilizumab</w:t>
      </w:r>
      <w:r w:rsidRPr="008D4276">
        <w:rPr>
          <w:rFonts w:asciiTheme="majorHAnsi" w:hAnsiTheme="majorHAnsi" w:cstheme="minorHAnsi"/>
        </w:rPr>
        <w:t xml:space="preserve"> weekly (23.0%) and </w:t>
      </w:r>
      <w:r w:rsidR="000031EA" w:rsidRPr="008D4276">
        <w:rPr>
          <w:rFonts w:asciiTheme="majorHAnsi" w:hAnsiTheme="majorHAnsi" w:cstheme="minorHAnsi"/>
        </w:rPr>
        <w:t xml:space="preserve">tocilizumab </w:t>
      </w:r>
      <w:r w:rsidRPr="008D4276">
        <w:rPr>
          <w:rFonts w:asciiTheme="majorHAnsi" w:hAnsiTheme="majorHAnsi" w:cstheme="minorHAnsi"/>
        </w:rPr>
        <w:t xml:space="preserve">every-other-week (32.7%) groups compared with patients in the placebo plus 52 weeks prednisone taper (54.9%) and placebo plus 26 weeks prednisone taper (74.0%) groups. Median prednisone starting dose for the escape patient population was 30.0 mg in each of the </w:t>
      </w:r>
      <w:r w:rsidR="000031EA" w:rsidRPr="008D4276">
        <w:rPr>
          <w:rFonts w:asciiTheme="majorHAnsi" w:hAnsiTheme="majorHAnsi" w:cstheme="minorHAnsi"/>
        </w:rPr>
        <w:t xml:space="preserve">tocilizumab </w:t>
      </w:r>
      <w:r w:rsidRPr="008D4276">
        <w:rPr>
          <w:rFonts w:asciiTheme="majorHAnsi" w:hAnsiTheme="majorHAnsi" w:cstheme="minorHAnsi"/>
        </w:rPr>
        <w:t xml:space="preserve">weekly, </w:t>
      </w:r>
      <w:r w:rsidR="000031EA" w:rsidRPr="008D4276">
        <w:rPr>
          <w:rFonts w:asciiTheme="majorHAnsi" w:hAnsiTheme="majorHAnsi" w:cstheme="minorHAnsi"/>
        </w:rPr>
        <w:t>tocilizumab</w:t>
      </w:r>
      <w:r w:rsidRPr="008D4276">
        <w:rPr>
          <w:rFonts w:asciiTheme="majorHAnsi" w:hAnsiTheme="majorHAnsi" w:cstheme="minorHAnsi"/>
        </w:rPr>
        <w:t xml:space="preserve"> every-other-week and placebo plus 26 weeks prednisone taper groups and 37.5 mg in the placebo plus 52 weeks prednisone taper group. There was no consistent pattern to the time of initiation of escape therapy.</w:t>
      </w:r>
    </w:p>
    <w:p w14:paraId="65B2D993" w14:textId="3D34E334" w:rsidR="0089656D" w:rsidRPr="008D4276" w:rsidRDefault="004D6592" w:rsidP="004D6592">
      <w:pPr>
        <w:pStyle w:val="Caption"/>
        <w:keepNext/>
        <w:rPr>
          <w:rFonts w:asciiTheme="majorHAnsi" w:hAnsiTheme="majorHAnsi" w:cs="Calibri"/>
        </w:rPr>
      </w:pPr>
      <w:bookmarkStart w:id="63" w:name="_Ref178871031"/>
      <w:r w:rsidRPr="008D4276">
        <w:rPr>
          <w:rFonts w:asciiTheme="majorHAnsi" w:hAnsiTheme="majorHAnsi" w:cs="Calibri"/>
        </w:rPr>
        <w:t xml:space="preserve">Table </w:t>
      </w:r>
      <w:r w:rsidRPr="008D4276">
        <w:rPr>
          <w:rFonts w:asciiTheme="majorHAnsi" w:hAnsiTheme="majorHAnsi" w:cs="Calibri"/>
        </w:rPr>
        <w:fldChar w:fldCharType="begin"/>
      </w:r>
      <w:r w:rsidRPr="008D4276">
        <w:rPr>
          <w:rFonts w:asciiTheme="majorHAnsi" w:hAnsiTheme="majorHAnsi" w:cs="Calibri"/>
        </w:rPr>
        <w:instrText xml:space="preserve"> SEQ Table \* ARABIC </w:instrText>
      </w:r>
      <w:r w:rsidRPr="008D4276">
        <w:rPr>
          <w:rFonts w:asciiTheme="majorHAnsi" w:hAnsiTheme="majorHAnsi" w:cs="Calibri"/>
        </w:rPr>
        <w:fldChar w:fldCharType="separate"/>
      </w:r>
      <w:r w:rsidR="004C310F">
        <w:rPr>
          <w:rFonts w:asciiTheme="majorHAnsi" w:hAnsiTheme="majorHAnsi" w:cs="Calibri"/>
          <w:noProof/>
        </w:rPr>
        <w:t>11</w:t>
      </w:r>
      <w:r w:rsidRPr="008D4276">
        <w:rPr>
          <w:rFonts w:asciiTheme="majorHAnsi" w:hAnsiTheme="majorHAnsi" w:cs="Calibri"/>
        </w:rPr>
        <w:fldChar w:fldCharType="end"/>
      </w:r>
      <w:bookmarkEnd w:id="63"/>
      <w:r w:rsidRPr="008D4276">
        <w:rPr>
          <w:rFonts w:asciiTheme="majorHAnsi" w:hAnsiTheme="majorHAnsi" w:cs="Calibri"/>
        </w:rPr>
        <w:t xml:space="preserve"> Efficacy Results from Study X (GiACTA)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8"/>
        <w:gridCol w:w="1560"/>
        <w:gridCol w:w="851"/>
        <w:gridCol w:w="1391"/>
        <w:gridCol w:w="959"/>
        <w:gridCol w:w="1124"/>
        <w:gridCol w:w="1297"/>
      </w:tblGrid>
      <w:tr w:rsidR="00B71E20" w:rsidRPr="001922B7" w14:paraId="013FEEC4" w14:textId="77777777" w:rsidTr="00B71E20">
        <w:trPr>
          <w:trHeight w:val="1178"/>
          <w:tblHeader/>
        </w:trPr>
        <w:tc>
          <w:tcPr>
            <w:tcW w:w="2356" w:type="pct"/>
            <w:gridSpan w:val="3"/>
            <w:vMerge w:val="restart"/>
          </w:tcPr>
          <w:p w14:paraId="3571EA64" w14:textId="77777777" w:rsidR="00B71E20" w:rsidRPr="008D4276" w:rsidRDefault="00B71E20" w:rsidP="00B71E20">
            <w:pPr>
              <w:pStyle w:val="NoSpacing"/>
              <w:rPr>
                <w:rFonts w:asciiTheme="majorHAnsi" w:hAnsiTheme="majorHAnsi" w:cs="Calibri"/>
                <w:sz w:val="18"/>
                <w:szCs w:val="18"/>
              </w:rPr>
            </w:pPr>
          </w:p>
        </w:tc>
        <w:tc>
          <w:tcPr>
            <w:tcW w:w="771" w:type="pct"/>
            <w:tcBorders>
              <w:bottom w:val="nil"/>
            </w:tcBorders>
          </w:tcPr>
          <w:p w14:paraId="700BAE71" w14:textId="78CF641B"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PBO + 26 weeks prednisone taper</w:t>
            </w:r>
          </w:p>
        </w:tc>
        <w:tc>
          <w:tcPr>
            <w:tcW w:w="531" w:type="pct"/>
            <w:tcBorders>
              <w:bottom w:val="nil"/>
            </w:tcBorders>
          </w:tcPr>
          <w:p w14:paraId="0B30173F"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PBO + 52</w:t>
            </w:r>
          </w:p>
          <w:p w14:paraId="2D32705B" w14:textId="418D0AC8"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weeks prednisone taper</w:t>
            </w:r>
          </w:p>
        </w:tc>
        <w:tc>
          <w:tcPr>
            <w:tcW w:w="623" w:type="pct"/>
            <w:tcBorders>
              <w:bottom w:val="nil"/>
            </w:tcBorders>
          </w:tcPr>
          <w:p w14:paraId="030D27F5" w14:textId="48B9ACEB"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T</w:t>
            </w:r>
            <w:r w:rsidR="0051463A" w:rsidRPr="008D4276">
              <w:rPr>
                <w:rFonts w:asciiTheme="majorHAnsi" w:hAnsiTheme="majorHAnsi" w:cs="Calibri"/>
                <w:b/>
                <w:sz w:val="18"/>
                <w:szCs w:val="18"/>
              </w:rPr>
              <w:t>OC</w:t>
            </w:r>
          </w:p>
          <w:p w14:paraId="04C54EAF" w14:textId="4CBEB9AC"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162mg SC QW + 26 weeks prednisone taper</w:t>
            </w:r>
          </w:p>
        </w:tc>
        <w:tc>
          <w:tcPr>
            <w:tcW w:w="719" w:type="pct"/>
            <w:tcBorders>
              <w:bottom w:val="nil"/>
            </w:tcBorders>
          </w:tcPr>
          <w:p w14:paraId="5BEF2A8B" w14:textId="162B929C"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T</w:t>
            </w:r>
            <w:r w:rsidR="0051463A" w:rsidRPr="008D4276">
              <w:rPr>
                <w:rFonts w:asciiTheme="majorHAnsi" w:hAnsiTheme="majorHAnsi" w:cs="Calibri"/>
                <w:b/>
                <w:sz w:val="18"/>
                <w:szCs w:val="18"/>
              </w:rPr>
              <w:t>OC</w:t>
            </w:r>
            <w:r w:rsidRPr="008D4276">
              <w:rPr>
                <w:rFonts w:asciiTheme="majorHAnsi" w:hAnsiTheme="majorHAnsi" w:cs="Calibri"/>
                <w:b/>
                <w:sz w:val="18"/>
                <w:szCs w:val="18"/>
              </w:rPr>
              <w:t xml:space="preserve"> 162 mg SC Q2W + 26 weeks prednisone taper</w:t>
            </w:r>
          </w:p>
        </w:tc>
      </w:tr>
      <w:tr w:rsidR="00B71E20" w:rsidRPr="001922B7" w14:paraId="69FD535C" w14:textId="77777777" w:rsidTr="00B71E20">
        <w:trPr>
          <w:trHeight w:val="273"/>
          <w:tblHeader/>
        </w:trPr>
        <w:tc>
          <w:tcPr>
            <w:tcW w:w="2356" w:type="pct"/>
            <w:gridSpan w:val="3"/>
            <w:vMerge/>
            <w:tcBorders>
              <w:top w:val="nil"/>
            </w:tcBorders>
          </w:tcPr>
          <w:p w14:paraId="0CB787A2" w14:textId="77777777" w:rsidR="00B71E20" w:rsidRPr="008D4276" w:rsidRDefault="00B71E20" w:rsidP="00B71E20">
            <w:pPr>
              <w:pStyle w:val="NoSpacing"/>
              <w:rPr>
                <w:rFonts w:asciiTheme="majorHAnsi" w:hAnsiTheme="majorHAnsi" w:cs="Calibri"/>
                <w:sz w:val="18"/>
                <w:szCs w:val="18"/>
              </w:rPr>
            </w:pPr>
          </w:p>
        </w:tc>
        <w:tc>
          <w:tcPr>
            <w:tcW w:w="771" w:type="pct"/>
            <w:tcBorders>
              <w:top w:val="nil"/>
            </w:tcBorders>
          </w:tcPr>
          <w:p w14:paraId="77DB0EB1"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n=50</w:t>
            </w:r>
          </w:p>
        </w:tc>
        <w:tc>
          <w:tcPr>
            <w:tcW w:w="531" w:type="pct"/>
            <w:tcBorders>
              <w:top w:val="nil"/>
            </w:tcBorders>
          </w:tcPr>
          <w:p w14:paraId="29CF9486"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n=51</w:t>
            </w:r>
          </w:p>
        </w:tc>
        <w:tc>
          <w:tcPr>
            <w:tcW w:w="623" w:type="pct"/>
            <w:tcBorders>
              <w:top w:val="nil"/>
            </w:tcBorders>
          </w:tcPr>
          <w:p w14:paraId="1B81B06C"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n=100</w:t>
            </w:r>
          </w:p>
        </w:tc>
        <w:tc>
          <w:tcPr>
            <w:tcW w:w="719" w:type="pct"/>
            <w:tcBorders>
              <w:top w:val="nil"/>
            </w:tcBorders>
          </w:tcPr>
          <w:p w14:paraId="5959ED9C" w14:textId="77777777" w:rsidR="00B71E20" w:rsidRPr="008D4276" w:rsidRDefault="00B71E20" w:rsidP="00B71E20">
            <w:pPr>
              <w:pStyle w:val="NoSpacing"/>
              <w:jc w:val="center"/>
              <w:rPr>
                <w:rFonts w:asciiTheme="majorHAnsi" w:hAnsiTheme="majorHAnsi" w:cs="Calibri"/>
                <w:b/>
                <w:sz w:val="18"/>
                <w:szCs w:val="18"/>
              </w:rPr>
            </w:pPr>
            <w:r w:rsidRPr="008D4276">
              <w:rPr>
                <w:rFonts w:asciiTheme="majorHAnsi" w:hAnsiTheme="majorHAnsi" w:cs="Calibri"/>
                <w:b/>
                <w:sz w:val="18"/>
                <w:szCs w:val="18"/>
              </w:rPr>
              <w:t>n=49</w:t>
            </w:r>
          </w:p>
        </w:tc>
      </w:tr>
      <w:tr w:rsidR="00B71E20" w:rsidRPr="001922B7" w14:paraId="49EA0086" w14:textId="77777777" w:rsidTr="0006243F">
        <w:trPr>
          <w:trHeight w:val="135"/>
        </w:trPr>
        <w:tc>
          <w:tcPr>
            <w:tcW w:w="1019" w:type="pct"/>
            <w:tcBorders>
              <w:bottom w:val="nil"/>
              <w:right w:val="nil"/>
            </w:tcBorders>
          </w:tcPr>
          <w:p w14:paraId="3673DA85"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Primary Endpoint</w:t>
            </w:r>
          </w:p>
        </w:tc>
        <w:tc>
          <w:tcPr>
            <w:tcW w:w="865" w:type="pct"/>
            <w:tcBorders>
              <w:left w:val="nil"/>
              <w:bottom w:val="nil"/>
              <w:right w:val="nil"/>
            </w:tcBorders>
          </w:tcPr>
          <w:p w14:paraId="159301F3" w14:textId="77777777" w:rsidR="00B71E20" w:rsidRPr="008D4276" w:rsidRDefault="00B71E20" w:rsidP="00B71E20">
            <w:pPr>
              <w:pStyle w:val="NoSpacing"/>
              <w:rPr>
                <w:rFonts w:asciiTheme="majorHAnsi" w:hAnsiTheme="majorHAnsi" w:cs="Calibri"/>
                <w:sz w:val="18"/>
                <w:szCs w:val="18"/>
              </w:rPr>
            </w:pPr>
          </w:p>
        </w:tc>
        <w:tc>
          <w:tcPr>
            <w:tcW w:w="472" w:type="pct"/>
            <w:tcBorders>
              <w:left w:val="nil"/>
              <w:bottom w:val="nil"/>
            </w:tcBorders>
          </w:tcPr>
          <w:p w14:paraId="43BE94C1" w14:textId="77777777" w:rsidR="00B71E20" w:rsidRPr="008D4276" w:rsidRDefault="00B71E20" w:rsidP="00B71E20">
            <w:pPr>
              <w:pStyle w:val="NoSpacing"/>
              <w:rPr>
                <w:rFonts w:asciiTheme="majorHAnsi" w:hAnsiTheme="majorHAnsi" w:cs="Calibri"/>
                <w:sz w:val="18"/>
                <w:szCs w:val="18"/>
              </w:rPr>
            </w:pPr>
          </w:p>
        </w:tc>
        <w:tc>
          <w:tcPr>
            <w:tcW w:w="771" w:type="pct"/>
            <w:vMerge w:val="restart"/>
          </w:tcPr>
          <w:p w14:paraId="5EDE25EB" w14:textId="6BCFCA81" w:rsidR="00B71E20" w:rsidRPr="008D4276" w:rsidRDefault="00B71E20" w:rsidP="00B71E20">
            <w:pPr>
              <w:pStyle w:val="NoSpacing"/>
              <w:rPr>
                <w:rFonts w:asciiTheme="majorHAnsi" w:hAnsiTheme="majorHAnsi" w:cs="Calibri"/>
                <w:sz w:val="18"/>
                <w:szCs w:val="18"/>
              </w:rPr>
            </w:pPr>
          </w:p>
        </w:tc>
        <w:tc>
          <w:tcPr>
            <w:tcW w:w="531" w:type="pct"/>
            <w:vMerge w:val="restart"/>
          </w:tcPr>
          <w:p w14:paraId="55CFB1D8" w14:textId="7559D108" w:rsidR="00B71E20" w:rsidRPr="008D4276" w:rsidRDefault="00B71E20" w:rsidP="00B71E20">
            <w:pPr>
              <w:pStyle w:val="NoSpacing"/>
              <w:rPr>
                <w:rFonts w:asciiTheme="majorHAnsi" w:hAnsiTheme="majorHAnsi" w:cs="Calibri"/>
                <w:sz w:val="18"/>
                <w:szCs w:val="18"/>
              </w:rPr>
            </w:pPr>
          </w:p>
        </w:tc>
        <w:tc>
          <w:tcPr>
            <w:tcW w:w="623" w:type="pct"/>
            <w:vMerge w:val="restart"/>
          </w:tcPr>
          <w:p w14:paraId="1529669C" w14:textId="283692A3" w:rsidR="00B71E20" w:rsidRPr="008D4276" w:rsidRDefault="00B71E20" w:rsidP="00B71E20">
            <w:pPr>
              <w:pStyle w:val="NoSpacing"/>
              <w:rPr>
                <w:rFonts w:asciiTheme="majorHAnsi" w:hAnsiTheme="majorHAnsi" w:cs="Calibri"/>
                <w:sz w:val="18"/>
                <w:szCs w:val="18"/>
              </w:rPr>
            </w:pPr>
          </w:p>
        </w:tc>
        <w:tc>
          <w:tcPr>
            <w:tcW w:w="719" w:type="pct"/>
            <w:vMerge w:val="restart"/>
          </w:tcPr>
          <w:p w14:paraId="2843BE58" w14:textId="27815501" w:rsidR="00B71E20" w:rsidRPr="008D4276" w:rsidRDefault="00B71E20" w:rsidP="00B71E20">
            <w:pPr>
              <w:pStyle w:val="NoSpacing"/>
              <w:rPr>
                <w:rFonts w:asciiTheme="majorHAnsi" w:hAnsiTheme="majorHAnsi" w:cs="Calibri"/>
                <w:sz w:val="18"/>
                <w:szCs w:val="18"/>
              </w:rPr>
            </w:pPr>
          </w:p>
        </w:tc>
      </w:tr>
      <w:tr w:rsidR="00B71E20" w:rsidRPr="001922B7" w14:paraId="2688A3F4" w14:textId="77777777" w:rsidTr="00B71E20">
        <w:trPr>
          <w:trHeight w:val="253"/>
        </w:trPr>
        <w:tc>
          <w:tcPr>
            <w:tcW w:w="2356" w:type="pct"/>
            <w:gridSpan w:val="3"/>
            <w:tcBorders>
              <w:top w:val="nil"/>
              <w:bottom w:val="nil"/>
            </w:tcBorders>
          </w:tcPr>
          <w:p w14:paraId="3122E441" w14:textId="20A418FB" w:rsidR="00B71E20" w:rsidRPr="008D4276" w:rsidRDefault="00B71E20" w:rsidP="00B71E20">
            <w:pPr>
              <w:pStyle w:val="NoSpacing"/>
              <w:rPr>
                <w:rFonts w:asciiTheme="majorHAnsi" w:hAnsiTheme="majorHAnsi" w:cs="Calibri"/>
                <w:i/>
                <w:sz w:val="18"/>
                <w:szCs w:val="18"/>
              </w:rPr>
            </w:pPr>
            <w:r w:rsidRPr="008D4276">
              <w:rPr>
                <w:rFonts w:asciiTheme="majorHAnsi" w:hAnsiTheme="majorHAnsi" w:cs="Calibri"/>
                <w:i/>
                <w:sz w:val="18"/>
                <w:szCs w:val="18"/>
              </w:rPr>
              <w:t>Sustained remission (</w:t>
            </w:r>
            <w:r w:rsidR="0051463A" w:rsidRPr="008D4276">
              <w:rPr>
                <w:rFonts w:asciiTheme="majorHAnsi" w:hAnsiTheme="majorHAnsi" w:cs="Calibri"/>
                <w:b/>
                <w:sz w:val="18"/>
                <w:szCs w:val="18"/>
              </w:rPr>
              <w:t xml:space="preserve">TOC </w:t>
            </w:r>
            <w:r w:rsidRPr="008D4276">
              <w:rPr>
                <w:rFonts w:asciiTheme="majorHAnsi" w:hAnsiTheme="majorHAnsi" w:cs="Calibri"/>
                <w:i/>
                <w:sz w:val="18"/>
                <w:szCs w:val="18"/>
              </w:rPr>
              <w:t>groups vs PBO+26)</w:t>
            </w:r>
          </w:p>
        </w:tc>
        <w:tc>
          <w:tcPr>
            <w:tcW w:w="771" w:type="pct"/>
            <w:vMerge/>
            <w:tcBorders>
              <w:bottom w:val="nil"/>
            </w:tcBorders>
          </w:tcPr>
          <w:p w14:paraId="229B67B5" w14:textId="5CB78E9C" w:rsidR="00B71E20" w:rsidRPr="008D4276" w:rsidRDefault="00B71E20" w:rsidP="00B71E20">
            <w:pPr>
              <w:pStyle w:val="NoSpacing"/>
              <w:jc w:val="center"/>
              <w:rPr>
                <w:rFonts w:asciiTheme="majorHAnsi" w:hAnsiTheme="majorHAnsi" w:cs="Calibri"/>
                <w:sz w:val="18"/>
                <w:szCs w:val="18"/>
              </w:rPr>
            </w:pPr>
          </w:p>
        </w:tc>
        <w:tc>
          <w:tcPr>
            <w:tcW w:w="531" w:type="pct"/>
            <w:vMerge/>
            <w:tcBorders>
              <w:bottom w:val="nil"/>
            </w:tcBorders>
          </w:tcPr>
          <w:p w14:paraId="3EE65947" w14:textId="77777777" w:rsidR="00B71E20" w:rsidRPr="008D4276" w:rsidRDefault="00B71E20" w:rsidP="00B71E20">
            <w:pPr>
              <w:pStyle w:val="NoSpacing"/>
              <w:jc w:val="center"/>
              <w:rPr>
                <w:rFonts w:asciiTheme="majorHAnsi" w:hAnsiTheme="majorHAnsi" w:cs="Calibri"/>
                <w:sz w:val="18"/>
                <w:szCs w:val="18"/>
              </w:rPr>
            </w:pPr>
          </w:p>
        </w:tc>
        <w:tc>
          <w:tcPr>
            <w:tcW w:w="623" w:type="pct"/>
            <w:vMerge/>
            <w:tcBorders>
              <w:bottom w:val="nil"/>
            </w:tcBorders>
          </w:tcPr>
          <w:p w14:paraId="25FBE06C" w14:textId="77777777" w:rsidR="00B71E20" w:rsidRPr="008D4276" w:rsidRDefault="00B71E20" w:rsidP="00B71E20">
            <w:pPr>
              <w:pStyle w:val="NoSpacing"/>
              <w:jc w:val="center"/>
              <w:rPr>
                <w:rFonts w:asciiTheme="majorHAnsi" w:hAnsiTheme="majorHAnsi" w:cs="Calibri"/>
                <w:sz w:val="18"/>
                <w:szCs w:val="18"/>
              </w:rPr>
            </w:pPr>
          </w:p>
        </w:tc>
        <w:tc>
          <w:tcPr>
            <w:tcW w:w="719" w:type="pct"/>
            <w:vMerge/>
            <w:tcBorders>
              <w:bottom w:val="nil"/>
            </w:tcBorders>
          </w:tcPr>
          <w:p w14:paraId="4ADD4ABA"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1D955541" w14:textId="77777777" w:rsidTr="00B71E20">
        <w:trPr>
          <w:trHeight w:val="201"/>
        </w:trPr>
        <w:tc>
          <w:tcPr>
            <w:tcW w:w="1884" w:type="pct"/>
            <w:gridSpan w:val="2"/>
            <w:tcBorders>
              <w:top w:val="nil"/>
              <w:right w:val="nil"/>
            </w:tcBorders>
          </w:tcPr>
          <w:p w14:paraId="63068E12"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Responders at Week 52, n (%)</w:t>
            </w:r>
          </w:p>
        </w:tc>
        <w:tc>
          <w:tcPr>
            <w:tcW w:w="472" w:type="pct"/>
            <w:tcBorders>
              <w:top w:val="nil"/>
              <w:left w:val="nil"/>
            </w:tcBorders>
          </w:tcPr>
          <w:p w14:paraId="0D853EDB" w14:textId="77777777" w:rsidR="00B71E20" w:rsidRPr="008D4276" w:rsidRDefault="00B71E20" w:rsidP="00B71E20">
            <w:pPr>
              <w:pStyle w:val="NoSpacing"/>
              <w:rPr>
                <w:rFonts w:asciiTheme="majorHAnsi" w:hAnsiTheme="majorHAnsi" w:cs="Calibri"/>
                <w:sz w:val="18"/>
                <w:szCs w:val="18"/>
              </w:rPr>
            </w:pPr>
          </w:p>
        </w:tc>
        <w:tc>
          <w:tcPr>
            <w:tcW w:w="771" w:type="pct"/>
            <w:tcBorders>
              <w:top w:val="nil"/>
            </w:tcBorders>
          </w:tcPr>
          <w:p w14:paraId="4BC903C4" w14:textId="1E599979"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7 (14%)</w:t>
            </w:r>
          </w:p>
        </w:tc>
        <w:tc>
          <w:tcPr>
            <w:tcW w:w="531" w:type="pct"/>
            <w:tcBorders>
              <w:top w:val="nil"/>
            </w:tcBorders>
          </w:tcPr>
          <w:p w14:paraId="79A2567C" w14:textId="447F35A6"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 (17.6%)</w:t>
            </w:r>
          </w:p>
        </w:tc>
        <w:tc>
          <w:tcPr>
            <w:tcW w:w="623" w:type="pct"/>
            <w:tcBorders>
              <w:top w:val="nil"/>
            </w:tcBorders>
          </w:tcPr>
          <w:p w14:paraId="63DCBC8B" w14:textId="56048C91"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56 (56%)</w:t>
            </w:r>
          </w:p>
        </w:tc>
        <w:tc>
          <w:tcPr>
            <w:tcW w:w="719" w:type="pct"/>
            <w:tcBorders>
              <w:top w:val="nil"/>
            </w:tcBorders>
          </w:tcPr>
          <w:p w14:paraId="263A171C" w14:textId="580BC28E"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26 (53.1%)</w:t>
            </w:r>
          </w:p>
        </w:tc>
      </w:tr>
      <w:tr w:rsidR="00B71E20" w:rsidRPr="001922B7" w14:paraId="6975A2EE" w14:textId="77777777" w:rsidTr="00B71E20">
        <w:trPr>
          <w:trHeight w:val="299"/>
        </w:trPr>
        <w:tc>
          <w:tcPr>
            <w:tcW w:w="2356" w:type="pct"/>
            <w:gridSpan w:val="3"/>
          </w:tcPr>
          <w:p w14:paraId="04F46E6A"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Unadjusted difference in proportions</w:t>
            </w:r>
          </w:p>
        </w:tc>
        <w:tc>
          <w:tcPr>
            <w:tcW w:w="771" w:type="pct"/>
          </w:tcPr>
          <w:p w14:paraId="303C9D2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Pr>
          <w:p w14:paraId="2065569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Pr>
          <w:p w14:paraId="6AB83AB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42%*</w:t>
            </w:r>
          </w:p>
        </w:tc>
        <w:tc>
          <w:tcPr>
            <w:tcW w:w="719" w:type="pct"/>
          </w:tcPr>
          <w:p w14:paraId="38B095F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39.06%*</w:t>
            </w:r>
          </w:p>
        </w:tc>
      </w:tr>
      <w:tr w:rsidR="00B71E20" w:rsidRPr="001922B7" w14:paraId="1AFF3B94" w14:textId="77777777" w:rsidTr="00B71E20">
        <w:trPr>
          <w:trHeight w:val="257"/>
        </w:trPr>
        <w:tc>
          <w:tcPr>
            <w:tcW w:w="2356" w:type="pct"/>
            <w:gridSpan w:val="3"/>
          </w:tcPr>
          <w:p w14:paraId="60F876E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(99.5% CI)</w:t>
            </w:r>
          </w:p>
        </w:tc>
        <w:tc>
          <w:tcPr>
            <w:tcW w:w="771" w:type="pct"/>
          </w:tcPr>
          <w:p w14:paraId="36F5573A" w14:textId="77777777" w:rsidR="00B71E20" w:rsidRPr="008D4276" w:rsidRDefault="00B71E20" w:rsidP="00B71E20">
            <w:pPr>
              <w:pStyle w:val="NoSpacing"/>
              <w:jc w:val="center"/>
              <w:rPr>
                <w:rFonts w:asciiTheme="majorHAnsi" w:hAnsiTheme="majorHAnsi" w:cs="Calibri"/>
                <w:sz w:val="18"/>
                <w:szCs w:val="18"/>
              </w:rPr>
            </w:pPr>
          </w:p>
        </w:tc>
        <w:tc>
          <w:tcPr>
            <w:tcW w:w="531" w:type="pct"/>
          </w:tcPr>
          <w:p w14:paraId="7D201C77" w14:textId="77777777" w:rsidR="00B71E20" w:rsidRPr="008D4276" w:rsidRDefault="00B71E20" w:rsidP="00B71E20">
            <w:pPr>
              <w:pStyle w:val="NoSpacing"/>
              <w:jc w:val="center"/>
              <w:rPr>
                <w:rFonts w:asciiTheme="majorHAnsi" w:hAnsiTheme="majorHAnsi" w:cs="Calibri"/>
                <w:sz w:val="18"/>
                <w:szCs w:val="18"/>
              </w:rPr>
            </w:pPr>
          </w:p>
        </w:tc>
        <w:tc>
          <w:tcPr>
            <w:tcW w:w="623" w:type="pct"/>
          </w:tcPr>
          <w:p w14:paraId="5F3E3797" w14:textId="536F4900"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(18.00, 66.00)</w:t>
            </w:r>
          </w:p>
        </w:tc>
        <w:tc>
          <w:tcPr>
            <w:tcW w:w="719" w:type="pct"/>
          </w:tcPr>
          <w:p w14:paraId="7D4A006C" w14:textId="78141E21"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(12.46, 65.66)</w:t>
            </w:r>
          </w:p>
        </w:tc>
      </w:tr>
      <w:tr w:rsidR="00B71E20" w:rsidRPr="001922B7" w14:paraId="7C573208" w14:textId="77777777" w:rsidTr="00B71E20">
        <w:trPr>
          <w:trHeight w:val="261"/>
        </w:trPr>
        <w:tc>
          <w:tcPr>
            <w:tcW w:w="1884" w:type="pct"/>
            <w:gridSpan w:val="2"/>
            <w:tcBorders>
              <w:bottom w:val="nil"/>
              <w:right w:val="nil"/>
            </w:tcBorders>
          </w:tcPr>
          <w:p w14:paraId="4B585DF8" w14:textId="07489958"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b/>
                <w:sz w:val="18"/>
                <w:szCs w:val="18"/>
              </w:rPr>
              <w:t>Key Secondary Endpoint</w:t>
            </w:r>
          </w:p>
        </w:tc>
        <w:tc>
          <w:tcPr>
            <w:tcW w:w="472" w:type="pct"/>
            <w:tcBorders>
              <w:left w:val="nil"/>
              <w:bottom w:val="nil"/>
            </w:tcBorders>
          </w:tcPr>
          <w:p w14:paraId="1819D387" w14:textId="77777777" w:rsidR="00B71E20" w:rsidRPr="008D4276" w:rsidRDefault="00B71E20" w:rsidP="00B71E20">
            <w:pPr>
              <w:pStyle w:val="NoSpacing"/>
              <w:rPr>
                <w:rFonts w:asciiTheme="majorHAnsi" w:hAnsiTheme="majorHAnsi" w:cs="Calibri"/>
                <w:sz w:val="18"/>
                <w:szCs w:val="18"/>
              </w:rPr>
            </w:pPr>
          </w:p>
        </w:tc>
        <w:tc>
          <w:tcPr>
            <w:tcW w:w="771" w:type="pct"/>
            <w:vMerge w:val="restart"/>
          </w:tcPr>
          <w:p w14:paraId="31D4B31E" w14:textId="77777777" w:rsidR="00B71E20" w:rsidRPr="008D4276" w:rsidRDefault="00B71E20" w:rsidP="00B71E20">
            <w:pPr>
              <w:pStyle w:val="NoSpacing"/>
              <w:jc w:val="center"/>
              <w:rPr>
                <w:rFonts w:asciiTheme="majorHAnsi" w:hAnsiTheme="majorHAnsi" w:cs="Calibri"/>
                <w:sz w:val="18"/>
                <w:szCs w:val="18"/>
              </w:rPr>
            </w:pPr>
          </w:p>
        </w:tc>
        <w:tc>
          <w:tcPr>
            <w:tcW w:w="531" w:type="pct"/>
            <w:vMerge w:val="restart"/>
          </w:tcPr>
          <w:p w14:paraId="47E84DE8" w14:textId="77777777" w:rsidR="00B71E20" w:rsidRPr="008D4276" w:rsidRDefault="00B71E20" w:rsidP="00B71E20">
            <w:pPr>
              <w:pStyle w:val="NoSpacing"/>
              <w:jc w:val="center"/>
              <w:rPr>
                <w:rFonts w:asciiTheme="majorHAnsi" w:hAnsiTheme="majorHAnsi" w:cs="Calibri"/>
                <w:sz w:val="18"/>
                <w:szCs w:val="18"/>
              </w:rPr>
            </w:pPr>
          </w:p>
        </w:tc>
        <w:tc>
          <w:tcPr>
            <w:tcW w:w="623" w:type="pct"/>
            <w:vMerge w:val="restart"/>
          </w:tcPr>
          <w:p w14:paraId="3601861D" w14:textId="77777777" w:rsidR="00B71E20" w:rsidRPr="008D4276" w:rsidRDefault="00B71E20" w:rsidP="00B71E20">
            <w:pPr>
              <w:pStyle w:val="NoSpacing"/>
              <w:jc w:val="center"/>
              <w:rPr>
                <w:rFonts w:asciiTheme="majorHAnsi" w:hAnsiTheme="majorHAnsi" w:cs="Calibri"/>
                <w:sz w:val="18"/>
                <w:szCs w:val="18"/>
              </w:rPr>
            </w:pPr>
          </w:p>
        </w:tc>
        <w:tc>
          <w:tcPr>
            <w:tcW w:w="719" w:type="pct"/>
            <w:vMerge w:val="restart"/>
          </w:tcPr>
          <w:p w14:paraId="7382CF4A"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04619000" w14:textId="77777777" w:rsidTr="00B71E20">
        <w:trPr>
          <w:trHeight w:val="273"/>
        </w:trPr>
        <w:tc>
          <w:tcPr>
            <w:tcW w:w="2356" w:type="pct"/>
            <w:gridSpan w:val="3"/>
            <w:tcBorders>
              <w:top w:val="nil"/>
            </w:tcBorders>
          </w:tcPr>
          <w:p w14:paraId="38274954" w14:textId="525F1266" w:rsidR="00B71E20" w:rsidRPr="008D4276" w:rsidRDefault="00B71E20" w:rsidP="00B71E20">
            <w:pPr>
              <w:pStyle w:val="NoSpacing"/>
              <w:rPr>
                <w:rFonts w:asciiTheme="majorHAnsi" w:hAnsiTheme="majorHAnsi" w:cs="Calibri"/>
                <w:i/>
                <w:sz w:val="18"/>
                <w:szCs w:val="18"/>
              </w:rPr>
            </w:pPr>
            <w:r w:rsidRPr="008D4276">
              <w:rPr>
                <w:rFonts w:asciiTheme="majorHAnsi" w:hAnsiTheme="majorHAnsi" w:cs="Calibri"/>
                <w:i/>
                <w:sz w:val="18"/>
                <w:szCs w:val="18"/>
              </w:rPr>
              <w:t>Sustained remission (T</w:t>
            </w:r>
            <w:r w:rsidR="0051463A" w:rsidRPr="008D4276">
              <w:rPr>
                <w:rFonts w:asciiTheme="majorHAnsi" w:hAnsiTheme="majorHAnsi" w:cs="Calibri"/>
                <w:i/>
                <w:sz w:val="18"/>
                <w:szCs w:val="18"/>
              </w:rPr>
              <w:t>OC</w:t>
            </w:r>
            <w:r w:rsidRPr="008D4276">
              <w:rPr>
                <w:rFonts w:asciiTheme="majorHAnsi" w:hAnsiTheme="majorHAnsi" w:cs="Calibri"/>
                <w:i/>
                <w:sz w:val="18"/>
                <w:szCs w:val="18"/>
              </w:rPr>
              <w:t xml:space="preserve"> groups vs PBO+52)</w:t>
            </w:r>
          </w:p>
        </w:tc>
        <w:tc>
          <w:tcPr>
            <w:tcW w:w="771" w:type="pct"/>
            <w:vMerge/>
            <w:tcBorders>
              <w:top w:val="nil"/>
            </w:tcBorders>
          </w:tcPr>
          <w:p w14:paraId="5634EF0F" w14:textId="77777777" w:rsidR="00B71E20" w:rsidRPr="008D4276" w:rsidRDefault="00B71E20" w:rsidP="00B71E20">
            <w:pPr>
              <w:pStyle w:val="NoSpacing"/>
              <w:jc w:val="center"/>
              <w:rPr>
                <w:rFonts w:asciiTheme="majorHAnsi" w:hAnsiTheme="majorHAnsi" w:cs="Calibri"/>
                <w:sz w:val="18"/>
                <w:szCs w:val="18"/>
              </w:rPr>
            </w:pPr>
          </w:p>
        </w:tc>
        <w:tc>
          <w:tcPr>
            <w:tcW w:w="531" w:type="pct"/>
            <w:vMerge/>
            <w:tcBorders>
              <w:top w:val="nil"/>
            </w:tcBorders>
          </w:tcPr>
          <w:p w14:paraId="47C40098" w14:textId="77777777" w:rsidR="00B71E20" w:rsidRPr="008D4276" w:rsidRDefault="00B71E20" w:rsidP="00B71E20">
            <w:pPr>
              <w:pStyle w:val="NoSpacing"/>
              <w:jc w:val="center"/>
              <w:rPr>
                <w:rFonts w:asciiTheme="majorHAnsi" w:hAnsiTheme="majorHAnsi" w:cs="Calibri"/>
                <w:sz w:val="18"/>
                <w:szCs w:val="18"/>
              </w:rPr>
            </w:pPr>
          </w:p>
        </w:tc>
        <w:tc>
          <w:tcPr>
            <w:tcW w:w="623" w:type="pct"/>
            <w:vMerge/>
            <w:tcBorders>
              <w:top w:val="nil"/>
            </w:tcBorders>
          </w:tcPr>
          <w:p w14:paraId="4557A182" w14:textId="77777777" w:rsidR="00B71E20" w:rsidRPr="008D4276" w:rsidRDefault="00B71E20" w:rsidP="00B71E20">
            <w:pPr>
              <w:pStyle w:val="NoSpacing"/>
              <w:jc w:val="center"/>
              <w:rPr>
                <w:rFonts w:asciiTheme="majorHAnsi" w:hAnsiTheme="majorHAnsi" w:cs="Calibri"/>
                <w:sz w:val="18"/>
                <w:szCs w:val="18"/>
              </w:rPr>
            </w:pPr>
          </w:p>
        </w:tc>
        <w:tc>
          <w:tcPr>
            <w:tcW w:w="719" w:type="pct"/>
            <w:vMerge/>
            <w:tcBorders>
              <w:top w:val="nil"/>
            </w:tcBorders>
          </w:tcPr>
          <w:p w14:paraId="4DDBCD58"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4091AD07" w14:textId="77777777" w:rsidTr="00B71E20">
        <w:trPr>
          <w:trHeight w:val="268"/>
        </w:trPr>
        <w:tc>
          <w:tcPr>
            <w:tcW w:w="1884" w:type="pct"/>
            <w:gridSpan w:val="2"/>
            <w:tcBorders>
              <w:bottom w:val="nil"/>
              <w:right w:val="nil"/>
            </w:tcBorders>
          </w:tcPr>
          <w:p w14:paraId="2DDDFA1C"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Responders at Week 52, n (%)</w:t>
            </w:r>
          </w:p>
        </w:tc>
        <w:tc>
          <w:tcPr>
            <w:tcW w:w="472" w:type="pct"/>
            <w:tcBorders>
              <w:left w:val="nil"/>
              <w:bottom w:val="nil"/>
            </w:tcBorders>
          </w:tcPr>
          <w:p w14:paraId="37D0E129" w14:textId="77777777" w:rsidR="00B71E20" w:rsidRPr="008D4276" w:rsidRDefault="00B71E20" w:rsidP="00B71E20">
            <w:pPr>
              <w:pStyle w:val="NoSpacing"/>
              <w:rPr>
                <w:rFonts w:asciiTheme="majorHAnsi" w:hAnsiTheme="majorHAnsi" w:cs="Calibri"/>
                <w:sz w:val="18"/>
                <w:szCs w:val="18"/>
              </w:rPr>
            </w:pPr>
          </w:p>
        </w:tc>
        <w:tc>
          <w:tcPr>
            <w:tcW w:w="771" w:type="pct"/>
            <w:tcBorders>
              <w:bottom w:val="nil"/>
            </w:tcBorders>
          </w:tcPr>
          <w:p w14:paraId="635AA55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7 (14%)</w:t>
            </w:r>
          </w:p>
        </w:tc>
        <w:tc>
          <w:tcPr>
            <w:tcW w:w="531" w:type="pct"/>
            <w:tcBorders>
              <w:bottom w:val="nil"/>
            </w:tcBorders>
          </w:tcPr>
          <w:p w14:paraId="45B2122D" w14:textId="2FECBB73"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 (17.6%)</w:t>
            </w:r>
          </w:p>
        </w:tc>
        <w:tc>
          <w:tcPr>
            <w:tcW w:w="623" w:type="pct"/>
            <w:tcBorders>
              <w:bottom w:val="nil"/>
            </w:tcBorders>
          </w:tcPr>
          <w:p w14:paraId="5B7019A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56 (56%)</w:t>
            </w:r>
          </w:p>
        </w:tc>
        <w:tc>
          <w:tcPr>
            <w:tcW w:w="719" w:type="pct"/>
            <w:tcBorders>
              <w:bottom w:val="nil"/>
            </w:tcBorders>
          </w:tcPr>
          <w:p w14:paraId="7694ABD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26 (53.1%)</w:t>
            </w:r>
          </w:p>
        </w:tc>
      </w:tr>
      <w:tr w:rsidR="00B71E20" w:rsidRPr="001922B7" w14:paraId="377217F1" w14:textId="77777777" w:rsidTr="00B71E20">
        <w:trPr>
          <w:trHeight w:val="265"/>
        </w:trPr>
        <w:tc>
          <w:tcPr>
            <w:tcW w:w="1884" w:type="pct"/>
            <w:gridSpan w:val="2"/>
            <w:tcBorders>
              <w:top w:val="nil"/>
              <w:bottom w:val="nil"/>
              <w:right w:val="nil"/>
            </w:tcBorders>
          </w:tcPr>
          <w:p w14:paraId="2FA7AF8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Unadjusted difference in proportions</w:t>
            </w:r>
          </w:p>
        </w:tc>
        <w:tc>
          <w:tcPr>
            <w:tcW w:w="472" w:type="pct"/>
            <w:tcBorders>
              <w:top w:val="nil"/>
              <w:left w:val="nil"/>
              <w:bottom w:val="nil"/>
            </w:tcBorders>
          </w:tcPr>
          <w:p w14:paraId="4F047FB1" w14:textId="77777777" w:rsidR="00B71E20" w:rsidRPr="008D4276" w:rsidRDefault="00B71E20" w:rsidP="00B71E20">
            <w:pPr>
              <w:pStyle w:val="NoSpacing"/>
              <w:rPr>
                <w:rFonts w:asciiTheme="majorHAnsi" w:hAnsiTheme="majorHAnsi" w:cs="Calibri"/>
                <w:sz w:val="18"/>
                <w:szCs w:val="18"/>
              </w:rPr>
            </w:pPr>
          </w:p>
        </w:tc>
        <w:tc>
          <w:tcPr>
            <w:tcW w:w="771" w:type="pct"/>
            <w:tcBorders>
              <w:top w:val="nil"/>
              <w:bottom w:val="nil"/>
            </w:tcBorders>
          </w:tcPr>
          <w:p w14:paraId="7AA379F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6C8C1D8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5655A17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38.35%*</w:t>
            </w:r>
          </w:p>
        </w:tc>
        <w:tc>
          <w:tcPr>
            <w:tcW w:w="719" w:type="pct"/>
            <w:tcBorders>
              <w:top w:val="nil"/>
              <w:bottom w:val="nil"/>
            </w:tcBorders>
          </w:tcPr>
          <w:p w14:paraId="2E20B2A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35.41%**</w:t>
            </w:r>
          </w:p>
        </w:tc>
      </w:tr>
      <w:tr w:rsidR="00B71E20" w:rsidRPr="001922B7" w14:paraId="6E656B94" w14:textId="77777777" w:rsidTr="00B71E20">
        <w:trPr>
          <w:trHeight w:val="315"/>
        </w:trPr>
        <w:tc>
          <w:tcPr>
            <w:tcW w:w="1019" w:type="pct"/>
            <w:tcBorders>
              <w:top w:val="nil"/>
              <w:right w:val="nil"/>
            </w:tcBorders>
          </w:tcPr>
          <w:p w14:paraId="2F0D54A4"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(99.5% CI)</w:t>
            </w:r>
          </w:p>
        </w:tc>
        <w:tc>
          <w:tcPr>
            <w:tcW w:w="865" w:type="pct"/>
            <w:tcBorders>
              <w:top w:val="nil"/>
              <w:left w:val="nil"/>
              <w:right w:val="nil"/>
            </w:tcBorders>
          </w:tcPr>
          <w:p w14:paraId="2D74D41F" w14:textId="77777777" w:rsidR="00B71E20" w:rsidRPr="008D4276" w:rsidRDefault="00B71E20" w:rsidP="00B71E20">
            <w:pPr>
              <w:pStyle w:val="NoSpacing"/>
              <w:rPr>
                <w:rFonts w:asciiTheme="majorHAnsi" w:hAnsiTheme="majorHAnsi" w:cs="Calibri"/>
                <w:sz w:val="18"/>
                <w:szCs w:val="18"/>
              </w:rPr>
            </w:pPr>
          </w:p>
        </w:tc>
        <w:tc>
          <w:tcPr>
            <w:tcW w:w="472" w:type="pct"/>
            <w:tcBorders>
              <w:top w:val="nil"/>
              <w:left w:val="nil"/>
            </w:tcBorders>
          </w:tcPr>
          <w:p w14:paraId="75FA7A1B" w14:textId="77777777" w:rsidR="00B71E20" w:rsidRPr="008D4276" w:rsidRDefault="00B71E20" w:rsidP="00B71E20">
            <w:pPr>
              <w:pStyle w:val="NoSpacing"/>
              <w:rPr>
                <w:rFonts w:asciiTheme="majorHAnsi" w:hAnsiTheme="majorHAnsi" w:cs="Calibri"/>
                <w:sz w:val="18"/>
                <w:szCs w:val="18"/>
              </w:rPr>
            </w:pPr>
          </w:p>
        </w:tc>
        <w:tc>
          <w:tcPr>
            <w:tcW w:w="771" w:type="pct"/>
            <w:tcBorders>
              <w:top w:val="nil"/>
            </w:tcBorders>
          </w:tcPr>
          <w:p w14:paraId="252B5DA3"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tcBorders>
          </w:tcPr>
          <w:p w14:paraId="0BB40B90"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tcBorders>
          </w:tcPr>
          <w:p w14:paraId="5E00AC6D" w14:textId="68600FF5"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(17.89 , 58.81)</w:t>
            </w:r>
          </w:p>
        </w:tc>
        <w:tc>
          <w:tcPr>
            <w:tcW w:w="719" w:type="pct"/>
            <w:tcBorders>
              <w:top w:val="nil"/>
            </w:tcBorders>
          </w:tcPr>
          <w:p w14:paraId="6BD891FC" w14:textId="6A68C078"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(10.41 ,60.41)</w:t>
            </w:r>
          </w:p>
        </w:tc>
      </w:tr>
      <w:tr w:rsidR="00B71E20" w:rsidRPr="001922B7" w14:paraId="5963D4C0" w14:textId="77777777" w:rsidTr="00B71E20">
        <w:trPr>
          <w:trHeight w:val="305"/>
        </w:trPr>
        <w:tc>
          <w:tcPr>
            <w:tcW w:w="1884" w:type="pct"/>
            <w:gridSpan w:val="2"/>
            <w:tcBorders>
              <w:bottom w:val="nil"/>
              <w:right w:val="nil"/>
            </w:tcBorders>
          </w:tcPr>
          <w:p w14:paraId="43DCF07F" w14:textId="77777777" w:rsidR="00B71E20" w:rsidRPr="008D4276" w:rsidRDefault="00B71E20" w:rsidP="00B71E20">
            <w:pPr>
              <w:pStyle w:val="NoSpacing"/>
              <w:rPr>
                <w:rFonts w:asciiTheme="majorHAnsi" w:hAnsiTheme="majorHAnsi" w:cs="Calibri"/>
                <w:b/>
                <w:sz w:val="18"/>
                <w:szCs w:val="18"/>
              </w:rPr>
            </w:pPr>
            <w:r w:rsidRPr="008D4276">
              <w:rPr>
                <w:rFonts w:asciiTheme="majorHAnsi" w:hAnsiTheme="majorHAnsi" w:cs="Calibri"/>
                <w:b/>
                <w:sz w:val="18"/>
                <w:szCs w:val="18"/>
              </w:rPr>
              <w:t>Other Secondary Endpoints</w:t>
            </w:r>
          </w:p>
        </w:tc>
        <w:tc>
          <w:tcPr>
            <w:tcW w:w="472" w:type="pct"/>
            <w:tcBorders>
              <w:left w:val="nil"/>
              <w:bottom w:val="nil"/>
            </w:tcBorders>
          </w:tcPr>
          <w:p w14:paraId="0E0308FD" w14:textId="77777777" w:rsidR="00B71E20" w:rsidRPr="008D4276" w:rsidRDefault="00B71E20" w:rsidP="00B71E20">
            <w:pPr>
              <w:pStyle w:val="NoSpacing"/>
              <w:rPr>
                <w:rFonts w:asciiTheme="majorHAnsi" w:hAnsiTheme="majorHAnsi" w:cs="Calibri"/>
                <w:sz w:val="18"/>
                <w:szCs w:val="18"/>
              </w:rPr>
            </w:pPr>
          </w:p>
        </w:tc>
        <w:tc>
          <w:tcPr>
            <w:tcW w:w="771" w:type="pct"/>
            <w:tcBorders>
              <w:bottom w:val="nil"/>
            </w:tcBorders>
          </w:tcPr>
          <w:p w14:paraId="257C8503"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bottom w:val="nil"/>
            </w:tcBorders>
          </w:tcPr>
          <w:p w14:paraId="35079949"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bottom w:val="nil"/>
            </w:tcBorders>
          </w:tcPr>
          <w:p w14:paraId="7F904D26" w14:textId="77777777" w:rsidR="00B71E20" w:rsidRPr="008D4276" w:rsidRDefault="00B71E20" w:rsidP="00B71E20">
            <w:pPr>
              <w:pStyle w:val="NoSpacing"/>
              <w:jc w:val="center"/>
              <w:rPr>
                <w:rFonts w:asciiTheme="majorHAnsi" w:hAnsiTheme="majorHAnsi" w:cs="Calibri"/>
                <w:sz w:val="18"/>
                <w:szCs w:val="18"/>
              </w:rPr>
            </w:pPr>
          </w:p>
        </w:tc>
        <w:tc>
          <w:tcPr>
            <w:tcW w:w="719" w:type="pct"/>
            <w:tcBorders>
              <w:bottom w:val="nil"/>
            </w:tcBorders>
          </w:tcPr>
          <w:p w14:paraId="5DEC9D85"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7030DEF8" w14:textId="77777777" w:rsidTr="00B71E20">
        <w:trPr>
          <w:trHeight w:val="282"/>
        </w:trPr>
        <w:tc>
          <w:tcPr>
            <w:tcW w:w="1019" w:type="pct"/>
            <w:tcBorders>
              <w:top w:val="nil"/>
              <w:bottom w:val="nil"/>
              <w:right w:val="nil"/>
            </w:tcBorders>
          </w:tcPr>
          <w:p w14:paraId="65E5B6FE" w14:textId="77777777" w:rsidR="00B71E20" w:rsidRPr="008D4276" w:rsidRDefault="00B71E20" w:rsidP="00B71E20">
            <w:pPr>
              <w:pStyle w:val="NoSpacing"/>
              <w:rPr>
                <w:rFonts w:asciiTheme="majorHAnsi" w:hAnsiTheme="majorHAnsi" w:cs="Calibri"/>
                <w:i/>
                <w:sz w:val="18"/>
                <w:szCs w:val="18"/>
              </w:rPr>
            </w:pPr>
            <w:r w:rsidRPr="008D4276">
              <w:rPr>
                <w:rFonts w:asciiTheme="majorHAnsi" w:hAnsiTheme="majorHAnsi" w:cs="Calibri"/>
                <w:i/>
                <w:sz w:val="18"/>
                <w:szCs w:val="18"/>
              </w:rPr>
              <w:t>Time to first GCA flare¹</w:t>
            </w:r>
          </w:p>
        </w:tc>
        <w:tc>
          <w:tcPr>
            <w:tcW w:w="865" w:type="pct"/>
            <w:tcBorders>
              <w:top w:val="nil"/>
              <w:left w:val="nil"/>
              <w:bottom w:val="nil"/>
              <w:right w:val="nil"/>
            </w:tcBorders>
          </w:tcPr>
          <w:p w14:paraId="38AA2808" w14:textId="77777777" w:rsidR="00B71E20" w:rsidRPr="008D4276" w:rsidRDefault="00B71E20" w:rsidP="00B71E20">
            <w:pPr>
              <w:pStyle w:val="NoSpacing"/>
              <w:rPr>
                <w:rFonts w:asciiTheme="majorHAnsi" w:hAnsiTheme="majorHAnsi" w:cs="Calibri"/>
                <w:sz w:val="18"/>
                <w:szCs w:val="18"/>
              </w:rPr>
            </w:pPr>
          </w:p>
        </w:tc>
        <w:tc>
          <w:tcPr>
            <w:tcW w:w="472" w:type="pct"/>
            <w:tcBorders>
              <w:top w:val="nil"/>
              <w:left w:val="nil"/>
              <w:bottom w:val="nil"/>
            </w:tcBorders>
          </w:tcPr>
          <w:p w14:paraId="72CE9B1D" w14:textId="77777777" w:rsidR="00B71E20" w:rsidRPr="008D4276" w:rsidRDefault="00B71E20" w:rsidP="00B71E20">
            <w:pPr>
              <w:pStyle w:val="NoSpacing"/>
              <w:rPr>
                <w:rFonts w:asciiTheme="majorHAnsi" w:hAnsiTheme="majorHAnsi" w:cs="Calibri"/>
                <w:sz w:val="18"/>
                <w:szCs w:val="18"/>
              </w:rPr>
            </w:pPr>
          </w:p>
        </w:tc>
        <w:tc>
          <w:tcPr>
            <w:tcW w:w="771" w:type="pct"/>
            <w:tcBorders>
              <w:top w:val="nil"/>
              <w:bottom w:val="nil"/>
            </w:tcBorders>
          </w:tcPr>
          <w:p w14:paraId="7B218A10"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50BA829F"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1E31DC84" w14:textId="77777777" w:rsidR="00B71E20" w:rsidRPr="008D4276" w:rsidRDefault="00B71E20" w:rsidP="00B71E20">
            <w:pPr>
              <w:pStyle w:val="NoSpacing"/>
              <w:jc w:val="center"/>
              <w:rPr>
                <w:rFonts w:asciiTheme="majorHAnsi" w:hAnsiTheme="majorHAnsi" w:cs="Calibri"/>
                <w:sz w:val="18"/>
                <w:szCs w:val="18"/>
              </w:rPr>
            </w:pPr>
          </w:p>
        </w:tc>
        <w:tc>
          <w:tcPr>
            <w:tcW w:w="719" w:type="pct"/>
            <w:tcBorders>
              <w:top w:val="nil"/>
              <w:bottom w:val="nil"/>
            </w:tcBorders>
          </w:tcPr>
          <w:p w14:paraId="79E563C1"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306442F4" w14:textId="77777777" w:rsidTr="00B71E20">
        <w:trPr>
          <w:trHeight w:val="243"/>
        </w:trPr>
        <w:tc>
          <w:tcPr>
            <w:tcW w:w="1019" w:type="pct"/>
            <w:tcBorders>
              <w:top w:val="nil"/>
              <w:bottom w:val="nil"/>
              <w:right w:val="nil"/>
            </w:tcBorders>
          </w:tcPr>
          <w:p w14:paraId="1DE6B3AD"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All patients</w:t>
            </w:r>
          </w:p>
        </w:tc>
        <w:tc>
          <w:tcPr>
            <w:tcW w:w="865" w:type="pct"/>
            <w:tcBorders>
              <w:top w:val="nil"/>
              <w:left w:val="nil"/>
              <w:bottom w:val="nil"/>
              <w:right w:val="nil"/>
            </w:tcBorders>
            <w:vAlign w:val="center"/>
          </w:tcPr>
          <w:p w14:paraId="3687B6C2" w14:textId="2451BC42" w:rsidR="00B71E20" w:rsidRPr="008D4276" w:rsidRDefault="0051463A" w:rsidP="00B71E20">
            <w:pPr>
              <w:pStyle w:val="NoSpacing"/>
              <w:jc w:val="center"/>
              <w:rPr>
                <w:rFonts w:asciiTheme="majorHAnsi" w:hAnsiTheme="majorHAnsi" w:cs="Calibri"/>
                <w:sz w:val="18"/>
                <w:szCs w:val="18"/>
              </w:rPr>
            </w:pPr>
            <w:r w:rsidRPr="008D4276">
              <w:rPr>
                <w:rFonts w:asciiTheme="majorHAnsi" w:hAnsiTheme="majorHAnsi" w:cs="Calibri"/>
                <w:b/>
                <w:sz w:val="18"/>
                <w:szCs w:val="18"/>
              </w:rPr>
              <w:t>TOC</w:t>
            </w:r>
            <w:r w:rsidR="00B71E20" w:rsidRPr="008D4276">
              <w:rPr>
                <w:rFonts w:asciiTheme="majorHAnsi" w:hAnsiTheme="majorHAnsi" w:cs="Calibri"/>
                <w:sz w:val="18"/>
                <w:szCs w:val="18"/>
              </w:rPr>
              <w:t xml:space="preserve"> vs. PBO+26</w:t>
            </w:r>
          </w:p>
        </w:tc>
        <w:tc>
          <w:tcPr>
            <w:tcW w:w="472" w:type="pct"/>
            <w:tcBorders>
              <w:top w:val="nil"/>
              <w:left w:val="nil"/>
              <w:bottom w:val="nil"/>
            </w:tcBorders>
            <w:vAlign w:val="center"/>
          </w:tcPr>
          <w:p w14:paraId="0F7B123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HR</w:t>
            </w:r>
          </w:p>
        </w:tc>
        <w:tc>
          <w:tcPr>
            <w:tcW w:w="771" w:type="pct"/>
            <w:tcBorders>
              <w:top w:val="nil"/>
              <w:bottom w:val="nil"/>
            </w:tcBorders>
          </w:tcPr>
          <w:p w14:paraId="7F75698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565DE1F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6AB39C9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0.23*</w:t>
            </w:r>
          </w:p>
        </w:tc>
        <w:tc>
          <w:tcPr>
            <w:tcW w:w="719" w:type="pct"/>
            <w:tcBorders>
              <w:top w:val="nil"/>
              <w:bottom w:val="nil"/>
            </w:tcBorders>
          </w:tcPr>
          <w:p w14:paraId="078C675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0.28**</w:t>
            </w:r>
          </w:p>
        </w:tc>
      </w:tr>
      <w:tr w:rsidR="00B71E20" w:rsidRPr="001922B7" w14:paraId="0FADB894" w14:textId="77777777" w:rsidTr="00B71E20">
        <w:trPr>
          <w:trHeight w:val="289"/>
        </w:trPr>
        <w:tc>
          <w:tcPr>
            <w:tcW w:w="1019" w:type="pct"/>
            <w:tcBorders>
              <w:top w:val="nil"/>
              <w:bottom w:val="nil"/>
              <w:right w:val="nil"/>
            </w:tcBorders>
          </w:tcPr>
          <w:p w14:paraId="11694AC8"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0F66A0B8" w14:textId="77777777" w:rsidR="00B71E20" w:rsidRPr="008D4276" w:rsidRDefault="00B71E20" w:rsidP="00B71E20">
            <w:pPr>
              <w:pStyle w:val="NoSpacing"/>
              <w:jc w:val="center"/>
              <w:rPr>
                <w:rFonts w:asciiTheme="majorHAnsi" w:hAnsiTheme="majorHAnsi" w:cs="Calibri"/>
                <w:sz w:val="18"/>
                <w:szCs w:val="18"/>
              </w:rPr>
            </w:pPr>
          </w:p>
        </w:tc>
        <w:tc>
          <w:tcPr>
            <w:tcW w:w="472" w:type="pct"/>
            <w:tcBorders>
              <w:top w:val="nil"/>
              <w:left w:val="nil"/>
              <w:bottom w:val="nil"/>
            </w:tcBorders>
            <w:vAlign w:val="center"/>
          </w:tcPr>
          <w:p w14:paraId="2DDDD474" w14:textId="264170C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(99% CI)</w:t>
            </w:r>
          </w:p>
        </w:tc>
        <w:tc>
          <w:tcPr>
            <w:tcW w:w="771" w:type="pct"/>
            <w:tcBorders>
              <w:top w:val="nil"/>
              <w:bottom w:val="nil"/>
            </w:tcBorders>
          </w:tcPr>
          <w:p w14:paraId="322C44A0"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675189D6"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2F630013" w14:textId="4C556D6F"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(0.11, 0.46)</w:t>
            </w:r>
          </w:p>
        </w:tc>
        <w:tc>
          <w:tcPr>
            <w:tcW w:w="719" w:type="pct"/>
            <w:tcBorders>
              <w:top w:val="nil"/>
              <w:bottom w:val="nil"/>
            </w:tcBorders>
          </w:tcPr>
          <w:p w14:paraId="0406B07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(0.12, 0.66)</w:t>
            </w:r>
          </w:p>
        </w:tc>
      </w:tr>
      <w:tr w:rsidR="00B71E20" w:rsidRPr="001922B7" w14:paraId="023EC991" w14:textId="77777777" w:rsidTr="00B71E20">
        <w:trPr>
          <w:trHeight w:val="137"/>
        </w:trPr>
        <w:tc>
          <w:tcPr>
            <w:tcW w:w="1019" w:type="pct"/>
            <w:tcBorders>
              <w:top w:val="nil"/>
              <w:bottom w:val="nil"/>
              <w:right w:val="nil"/>
            </w:tcBorders>
          </w:tcPr>
          <w:p w14:paraId="168EC156"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5B9D70BE" w14:textId="6EAFE459" w:rsidR="00B71E20" w:rsidRPr="008D4276" w:rsidRDefault="0051463A" w:rsidP="00B71E20">
            <w:pPr>
              <w:pStyle w:val="NoSpacing"/>
              <w:jc w:val="center"/>
              <w:rPr>
                <w:rFonts w:asciiTheme="majorHAnsi" w:hAnsiTheme="majorHAnsi" w:cs="Calibri"/>
                <w:sz w:val="18"/>
                <w:szCs w:val="18"/>
              </w:rPr>
            </w:pPr>
            <w:r w:rsidRPr="008D4276">
              <w:rPr>
                <w:rFonts w:asciiTheme="majorHAnsi" w:hAnsiTheme="majorHAnsi" w:cs="Calibri"/>
                <w:b/>
                <w:sz w:val="18"/>
                <w:szCs w:val="18"/>
              </w:rPr>
              <w:t>TOC</w:t>
            </w:r>
            <w:r w:rsidR="00B71E20" w:rsidRPr="008D4276">
              <w:rPr>
                <w:rFonts w:asciiTheme="majorHAnsi" w:hAnsiTheme="majorHAnsi" w:cs="Calibri"/>
                <w:sz w:val="18"/>
                <w:szCs w:val="18"/>
              </w:rPr>
              <w:t xml:space="preserve"> vs. PBO+52</w:t>
            </w:r>
          </w:p>
        </w:tc>
        <w:tc>
          <w:tcPr>
            <w:tcW w:w="472" w:type="pct"/>
            <w:tcBorders>
              <w:top w:val="nil"/>
              <w:left w:val="nil"/>
              <w:bottom w:val="nil"/>
            </w:tcBorders>
            <w:vAlign w:val="center"/>
          </w:tcPr>
          <w:p w14:paraId="41FB1FC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HR</w:t>
            </w:r>
          </w:p>
        </w:tc>
        <w:tc>
          <w:tcPr>
            <w:tcW w:w="771" w:type="pct"/>
            <w:tcBorders>
              <w:top w:val="nil"/>
              <w:bottom w:val="nil"/>
            </w:tcBorders>
          </w:tcPr>
          <w:p w14:paraId="59FF3809"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2F159F31"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6B88E02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0.39**</w:t>
            </w:r>
          </w:p>
        </w:tc>
        <w:tc>
          <w:tcPr>
            <w:tcW w:w="719" w:type="pct"/>
            <w:tcBorders>
              <w:top w:val="nil"/>
              <w:bottom w:val="nil"/>
            </w:tcBorders>
          </w:tcPr>
          <w:p w14:paraId="7D0D4C8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0.48</w:t>
            </w:r>
          </w:p>
        </w:tc>
      </w:tr>
      <w:tr w:rsidR="00B71E20" w:rsidRPr="001922B7" w14:paraId="300ED247" w14:textId="77777777" w:rsidTr="00B71E20">
        <w:trPr>
          <w:trHeight w:val="211"/>
        </w:trPr>
        <w:tc>
          <w:tcPr>
            <w:tcW w:w="1019" w:type="pct"/>
            <w:tcBorders>
              <w:top w:val="nil"/>
              <w:bottom w:val="nil"/>
              <w:right w:val="nil"/>
            </w:tcBorders>
          </w:tcPr>
          <w:p w14:paraId="3DC77B65"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28D5A29E" w14:textId="77777777" w:rsidR="00B71E20" w:rsidRPr="008D4276" w:rsidRDefault="00B71E20" w:rsidP="00B71E20">
            <w:pPr>
              <w:pStyle w:val="NoSpacing"/>
              <w:jc w:val="center"/>
              <w:rPr>
                <w:rFonts w:asciiTheme="majorHAnsi" w:hAnsiTheme="majorHAnsi" w:cs="Calibri"/>
                <w:sz w:val="18"/>
                <w:szCs w:val="18"/>
              </w:rPr>
            </w:pPr>
          </w:p>
        </w:tc>
        <w:tc>
          <w:tcPr>
            <w:tcW w:w="472" w:type="pct"/>
            <w:tcBorders>
              <w:top w:val="nil"/>
              <w:left w:val="nil"/>
              <w:bottom w:val="nil"/>
            </w:tcBorders>
            <w:vAlign w:val="center"/>
          </w:tcPr>
          <w:p w14:paraId="086AE1F8" w14:textId="37597F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(99% CI)</w:t>
            </w:r>
          </w:p>
        </w:tc>
        <w:tc>
          <w:tcPr>
            <w:tcW w:w="771" w:type="pct"/>
            <w:tcBorders>
              <w:top w:val="nil"/>
              <w:bottom w:val="nil"/>
            </w:tcBorders>
          </w:tcPr>
          <w:p w14:paraId="076B8991"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43892211"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5DB4326C" w14:textId="2B210263"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(0.18, 0.82)</w:t>
            </w:r>
          </w:p>
        </w:tc>
        <w:tc>
          <w:tcPr>
            <w:tcW w:w="719" w:type="pct"/>
            <w:tcBorders>
              <w:top w:val="nil"/>
              <w:bottom w:val="nil"/>
            </w:tcBorders>
          </w:tcPr>
          <w:p w14:paraId="64FF453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(0.20, 1.16)</w:t>
            </w:r>
          </w:p>
        </w:tc>
      </w:tr>
      <w:tr w:rsidR="00B71E20" w:rsidRPr="001922B7" w14:paraId="7D9F49FC" w14:textId="77777777" w:rsidTr="00B71E20">
        <w:trPr>
          <w:trHeight w:val="271"/>
        </w:trPr>
        <w:tc>
          <w:tcPr>
            <w:tcW w:w="1019" w:type="pct"/>
            <w:tcBorders>
              <w:top w:val="nil"/>
              <w:bottom w:val="nil"/>
              <w:right w:val="nil"/>
            </w:tcBorders>
          </w:tcPr>
          <w:p w14:paraId="43A5C755"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Relapsing patients</w:t>
            </w:r>
          </w:p>
        </w:tc>
        <w:tc>
          <w:tcPr>
            <w:tcW w:w="865" w:type="pct"/>
            <w:tcBorders>
              <w:top w:val="nil"/>
              <w:left w:val="nil"/>
              <w:bottom w:val="nil"/>
              <w:right w:val="nil"/>
            </w:tcBorders>
            <w:vAlign w:val="center"/>
          </w:tcPr>
          <w:p w14:paraId="3A253D82" w14:textId="6CD82942" w:rsidR="00B71E20" w:rsidRPr="008D4276" w:rsidRDefault="0051463A" w:rsidP="00B71E20">
            <w:pPr>
              <w:pStyle w:val="NoSpacing"/>
              <w:jc w:val="center"/>
              <w:rPr>
                <w:rFonts w:asciiTheme="majorHAnsi" w:hAnsiTheme="majorHAnsi" w:cs="Calibri"/>
                <w:sz w:val="18"/>
                <w:szCs w:val="18"/>
              </w:rPr>
            </w:pPr>
            <w:r w:rsidRPr="008D4276">
              <w:rPr>
                <w:rFonts w:asciiTheme="majorHAnsi" w:hAnsiTheme="majorHAnsi" w:cs="Calibri"/>
                <w:b/>
                <w:sz w:val="18"/>
                <w:szCs w:val="18"/>
              </w:rPr>
              <w:t>TOC</w:t>
            </w:r>
            <w:r w:rsidR="00B71E20" w:rsidRPr="008D4276">
              <w:rPr>
                <w:rFonts w:asciiTheme="majorHAnsi" w:hAnsiTheme="majorHAnsi" w:cs="Calibri"/>
                <w:sz w:val="18"/>
                <w:szCs w:val="18"/>
              </w:rPr>
              <w:t xml:space="preserve"> vs. PBO+26</w:t>
            </w:r>
          </w:p>
        </w:tc>
        <w:tc>
          <w:tcPr>
            <w:tcW w:w="472" w:type="pct"/>
            <w:tcBorders>
              <w:top w:val="nil"/>
              <w:left w:val="nil"/>
              <w:bottom w:val="nil"/>
            </w:tcBorders>
            <w:vAlign w:val="center"/>
          </w:tcPr>
          <w:p w14:paraId="41B570F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HR</w:t>
            </w:r>
          </w:p>
        </w:tc>
        <w:tc>
          <w:tcPr>
            <w:tcW w:w="771" w:type="pct"/>
            <w:tcBorders>
              <w:top w:val="nil"/>
              <w:bottom w:val="nil"/>
            </w:tcBorders>
          </w:tcPr>
          <w:p w14:paraId="68BB1A7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6CF3B25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5C0E2672"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0.23***</w:t>
            </w:r>
          </w:p>
        </w:tc>
        <w:tc>
          <w:tcPr>
            <w:tcW w:w="719" w:type="pct"/>
            <w:tcBorders>
              <w:top w:val="nil"/>
              <w:bottom w:val="nil"/>
            </w:tcBorders>
          </w:tcPr>
          <w:p w14:paraId="25E5D81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0.42</w:t>
            </w:r>
          </w:p>
        </w:tc>
      </w:tr>
      <w:tr w:rsidR="00B71E20" w:rsidRPr="001922B7" w14:paraId="6CF8C29E" w14:textId="77777777" w:rsidTr="00B71E20">
        <w:trPr>
          <w:trHeight w:val="133"/>
        </w:trPr>
        <w:tc>
          <w:tcPr>
            <w:tcW w:w="1019" w:type="pct"/>
            <w:tcBorders>
              <w:top w:val="nil"/>
              <w:bottom w:val="nil"/>
              <w:right w:val="nil"/>
            </w:tcBorders>
          </w:tcPr>
          <w:p w14:paraId="62E636C4"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34CFDE89" w14:textId="77777777" w:rsidR="00B71E20" w:rsidRPr="008D4276" w:rsidRDefault="00B71E20" w:rsidP="00B71E20">
            <w:pPr>
              <w:pStyle w:val="NoSpacing"/>
              <w:jc w:val="center"/>
              <w:rPr>
                <w:rFonts w:asciiTheme="majorHAnsi" w:hAnsiTheme="majorHAnsi" w:cs="Calibri"/>
                <w:sz w:val="18"/>
                <w:szCs w:val="18"/>
              </w:rPr>
            </w:pPr>
          </w:p>
        </w:tc>
        <w:tc>
          <w:tcPr>
            <w:tcW w:w="472" w:type="pct"/>
            <w:tcBorders>
              <w:top w:val="nil"/>
              <w:left w:val="nil"/>
              <w:bottom w:val="nil"/>
            </w:tcBorders>
            <w:vAlign w:val="center"/>
          </w:tcPr>
          <w:p w14:paraId="7A7DE093" w14:textId="4B3CB976"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(99% CI)</w:t>
            </w:r>
          </w:p>
        </w:tc>
        <w:tc>
          <w:tcPr>
            <w:tcW w:w="771" w:type="pct"/>
            <w:tcBorders>
              <w:top w:val="nil"/>
              <w:bottom w:val="nil"/>
            </w:tcBorders>
          </w:tcPr>
          <w:p w14:paraId="4A1D5B17"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633C6C93"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201E40D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(0.09,0.61)</w:t>
            </w:r>
          </w:p>
        </w:tc>
        <w:tc>
          <w:tcPr>
            <w:tcW w:w="719" w:type="pct"/>
            <w:tcBorders>
              <w:top w:val="nil"/>
              <w:bottom w:val="nil"/>
            </w:tcBorders>
          </w:tcPr>
          <w:p w14:paraId="43AA07C4"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(0.14, 1.28)</w:t>
            </w:r>
          </w:p>
        </w:tc>
      </w:tr>
      <w:tr w:rsidR="00B71E20" w:rsidRPr="001922B7" w14:paraId="217AD5AE" w14:textId="77777777" w:rsidTr="00B71E20">
        <w:trPr>
          <w:trHeight w:val="207"/>
        </w:trPr>
        <w:tc>
          <w:tcPr>
            <w:tcW w:w="1019" w:type="pct"/>
            <w:tcBorders>
              <w:top w:val="nil"/>
              <w:bottom w:val="nil"/>
              <w:right w:val="nil"/>
            </w:tcBorders>
          </w:tcPr>
          <w:p w14:paraId="1E4F0E21"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2A9B93D6" w14:textId="3BB3BDCA" w:rsidR="00B71E20" w:rsidRPr="008D4276" w:rsidRDefault="0051463A" w:rsidP="00B71E20">
            <w:pPr>
              <w:pStyle w:val="NoSpacing"/>
              <w:jc w:val="center"/>
              <w:rPr>
                <w:rFonts w:asciiTheme="majorHAnsi" w:hAnsiTheme="majorHAnsi" w:cs="Calibri"/>
                <w:sz w:val="18"/>
                <w:szCs w:val="18"/>
              </w:rPr>
            </w:pPr>
            <w:r w:rsidRPr="008D4276">
              <w:rPr>
                <w:rFonts w:asciiTheme="majorHAnsi" w:hAnsiTheme="majorHAnsi" w:cs="Calibri"/>
                <w:b/>
                <w:sz w:val="18"/>
                <w:szCs w:val="18"/>
              </w:rPr>
              <w:t>TOC</w:t>
            </w:r>
            <w:r w:rsidR="00B71E20" w:rsidRPr="008D4276">
              <w:rPr>
                <w:rFonts w:asciiTheme="majorHAnsi" w:hAnsiTheme="majorHAnsi" w:cs="Calibri"/>
                <w:sz w:val="18"/>
                <w:szCs w:val="18"/>
              </w:rPr>
              <w:t xml:space="preserve"> vs. PBO+52</w:t>
            </w:r>
          </w:p>
        </w:tc>
        <w:tc>
          <w:tcPr>
            <w:tcW w:w="472" w:type="pct"/>
            <w:tcBorders>
              <w:top w:val="nil"/>
              <w:left w:val="nil"/>
              <w:bottom w:val="nil"/>
            </w:tcBorders>
            <w:vAlign w:val="center"/>
          </w:tcPr>
          <w:p w14:paraId="2D83368F"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HR</w:t>
            </w:r>
          </w:p>
        </w:tc>
        <w:tc>
          <w:tcPr>
            <w:tcW w:w="771" w:type="pct"/>
            <w:tcBorders>
              <w:top w:val="nil"/>
              <w:bottom w:val="nil"/>
            </w:tcBorders>
          </w:tcPr>
          <w:p w14:paraId="1DD0E02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7134B1C0"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0D9414AE"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0.36</w:t>
            </w:r>
          </w:p>
        </w:tc>
        <w:tc>
          <w:tcPr>
            <w:tcW w:w="719" w:type="pct"/>
            <w:tcBorders>
              <w:top w:val="nil"/>
              <w:bottom w:val="nil"/>
            </w:tcBorders>
          </w:tcPr>
          <w:p w14:paraId="04EA097E"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0.67</w:t>
            </w:r>
          </w:p>
        </w:tc>
      </w:tr>
      <w:tr w:rsidR="00B71E20" w:rsidRPr="001922B7" w14:paraId="0AC35B1E" w14:textId="77777777" w:rsidTr="00B71E20">
        <w:trPr>
          <w:trHeight w:val="113"/>
        </w:trPr>
        <w:tc>
          <w:tcPr>
            <w:tcW w:w="1019" w:type="pct"/>
            <w:tcBorders>
              <w:top w:val="nil"/>
              <w:bottom w:val="nil"/>
              <w:right w:val="nil"/>
            </w:tcBorders>
          </w:tcPr>
          <w:p w14:paraId="006442D1"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2163EDCC" w14:textId="77777777" w:rsidR="00B71E20" w:rsidRPr="008D4276" w:rsidRDefault="00B71E20" w:rsidP="00B71E20">
            <w:pPr>
              <w:pStyle w:val="NoSpacing"/>
              <w:jc w:val="center"/>
              <w:rPr>
                <w:rFonts w:asciiTheme="majorHAnsi" w:hAnsiTheme="majorHAnsi" w:cs="Calibri"/>
                <w:sz w:val="18"/>
                <w:szCs w:val="18"/>
              </w:rPr>
            </w:pPr>
          </w:p>
        </w:tc>
        <w:tc>
          <w:tcPr>
            <w:tcW w:w="472" w:type="pct"/>
            <w:tcBorders>
              <w:top w:val="nil"/>
              <w:left w:val="nil"/>
              <w:bottom w:val="nil"/>
            </w:tcBorders>
            <w:vAlign w:val="center"/>
          </w:tcPr>
          <w:p w14:paraId="11A6627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(99% CI)</w:t>
            </w:r>
          </w:p>
        </w:tc>
        <w:tc>
          <w:tcPr>
            <w:tcW w:w="771" w:type="pct"/>
            <w:tcBorders>
              <w:top w:val="nil"/>
              <w:bottom w:val="nil"/>
            </w:tcBorders>
          </w:tcPr>
          <w:p w14:paraId="371CF9D4"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6DA8F821"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78DDC746" w14:textId="3F73D8DF"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(0.13, 1.00)</w:t>
            </w:r>
          </w:p>
        </w:tc>
        <w:tc>
          <w:tcPr>
            <w:tcW w:w="719" w:type="pct"/>
            <w:tcBorders>
              <w:top w:val="nil"/>
              <w:bottom w:val="nil"/>
            </w:tcBorders>
          </w:tcPr>
          <w:p w14:paraId="6F32CBDA"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(0.21,2.10)</w:t>
            </w:r>
          </w:p>
        </w:tc>
      </w:tr>
      <w:tr w:rsidR="00B71E20" w:rsidRPr="001922B7" w14:paraId="10CDCD4C" w14:textId="77777777" w:rsidTr="00B71E20">
        <w:trPr>
          <w:trHeight w:val="185"/>
        </w:trPr>
        <w:tc>
          <w:tcPr>
            <w:tcW w:w="1019" w:type="pct"/>
            <w:tcBorders>
              <w:top w:val="nil"/>
              <w:bottom w:val="nil"/>
              <w:right w:val="nil"/>
            </w:tcBorders>
          </w:tcPr>
          <w:p w14:paraId="038B3730" w14:textId="7777777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New-onset patients</w:t>
            </w:r>
          </w:p>
        </w:tc>
        <w:tc>
          <w:tcPr>
            <w:tcW w:w="865" w:type="pct"/>
            <w:tcBorders>
              <w:top w:val="nil"/>
              <w:left w:val="nil"/>
              <w:bottom w:val="nil"/>
              <w:right w:val="nil"/>
            </w:tcBorders>
            <w:vAlign w:val="center"/>
          </w:tcPr>
          <w:p w14:paraId="7EA6801D" w14:textId="7984CF1D" w:rsidR="00B71E20" w:rsidRPr="008D4276" w:rsidRDefault="0051463A" w:rsidP="00B71E20">
            <w:pPr>
              <w:pStyle w:val="NoSpacing"/>
              <w:jc w:val="center"/>
              <w:rPr>
                <w:rFonts w:asciiTheme="majorHAnsi" w:hAnsiTheme="majorHAnsi" w:cs="Calibri"/>
                <w:sz w:val="18"/>
                <w:szCs w:val="18"/>
              </w:rPr>
            </w:pPr>
            <w:r w:rsidRPr="008D4276">
              <w:rPr>
                <w:rFonts w:asciiTheme="majorHAnsi" w:hAnsiTheme="majorHAnsi" w:cs="Calibri"/>
                <w:b/>
                <w:sz w:val="18"/>
                <w:szCs w:val="18"/>
              </w:rPr>
              <w:t>TOC</w:t>
            </w:r>
            <w:r w:rsidR="00B71E20" w:rsidRPr="008D4276">
              <w:rPr>
                <w:rFonts w:asciiTheme="majorHAnsi" w:hAnsiTheme="majorHAnsi" w:cs="Calibri"/>
                <w:sz w:val="18"/>
                <w:szCs w:val="18"/>
              </w:rPr>
              <w:t xml:space="preserve"> vs. PBO+26</w:t>
            </w:r>
          </w:p>
        </w:tc>
        <w:tc>
          <w:tcPr>
            <w:tcW w:w="472" w:type="pct"/>
            <w:tcBorders>
              <w:top w:val="nil"/>
              <w:left w:val="nil"/>
              <w:bottom w:val="nil"/>
            </w:tcBorders>
            <w:vAlign w:val="center"/>
          </w:tcPr>
          <w:p w14:paraId="548DE6E6"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HR</w:t>
            </w:r>
          </w:p>
        </w:tc>
        <w:tc>
          <w:tcPr>
            <w:tcW w:w="771" w:type="pct"/>
            <w:tcBorders>
              <w:top w:val="nil"/>
              <w:bottom w:val="nil"/>
            </w:tcBorders>
          </w:tcPr>
          <w:p w14:paraId="62DFE3E3"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42366F9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3D64559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0.25***</w:t>
            </w:r>
          </w:p>
        </w:tc>
        <w:tc>
          <w:tcPr>
            <w:tcW w:w="719" w:type="pct"/>
            <w:tcBorders>
              <w:top w:val="nil"/>
              <w:bottom w:val="nil"/>
            </w:tcBorders>
          </w:tcPr>
          <w:p w14:paraId="4D354CBD"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0.20***</w:t>
            </w:r>
          </w:p>
        </w:tc>
      </w:tr>
      <w:tr w:rsidR="00B71E20" w:rsidRPr="001922B7" w14:paraId="60C501D2" w14:textId="77777777" w:rsidTr="00B71E20">
        <w:trPr>
          <w:trHeight w:val="279"/>
        </w:trPr>
        <w:tc>
          <w:tcPr>
            <w:tcW w:w="1019" w:type="pct"/>
            <w:tcBorders>
              <w:top w:val="nil"/>
              <w:bottom w:val="nil"/>
              <w:right w:val="nil"/>
            </w:tcBorders>
          </w:tcPr>
          <w:p w14:paraId="42499FE5"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1D87F261" w14:textId="77777777" w:rsidR="00B71E20" w:rsidRPr="008D4276" w:rsidRDefault="00B71E20" w:rsidP="00B71E20">
            <w:pPr>
              <w:pStyle w:val="NoSpacing"/>
              <w:jc w:val="center"/>
              <w:rPr>
                <w:rFonts w:asciiTheme="majorHAnsi" w:hAnsiTheme="majorHAnsi" w:cs="Calibri"/>
                <w:sz w:val="18"/>
                <w:szCs w:val="18"/>
              </w:rPr>
            </w:pPr>
          </w:p>
        </w:tc>
        <w:tc>
          <w:tcPr>
            <w:tcW w:w="472" w:type="pct"/>
            <w:tcBorders>
              <w:top w:val="nil"/>
              <w:left w:val="nil"/>
              <w:bottom w:val="nil"/>
            </w:tcBorders>
            <w:vAlign w:val="center"/>
          </w:tcPr>
          <w:p w14:paraId="1C3656D1" w14:textId="39F2E460"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(99% CI)</w:t>
            </w:r>
          </w:p>
        </w:tc>
        <w:tc>
          <w:tcPr>
            <w:tcW w:w="771" w:type="pct"/>
            <w:tcBorders>
              <w:top w:val="nil"/>
              <w:bottom w:val="nil"/>
            </w:tcBorders>
          </w:tcPr>
          <w:p w14:paraId="6BAD4D84"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7283A6A1"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6C5E2FEE" w14:textId="5A38C09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(0.09, 0.70)</w:t>
            </w:r>
          </w:p>
        </w:tc>
        <w:tc>
          <w:tcPr>
            <w:tcW w:w="719" w:type="pct"/>
            <w:tcBorders>
              <w:top w:val="nil"/>
              <w:bottom w:val="nil"/>
            </w:tcBorders>
          </w:tcPr>
          <w:p w14:paraId="7461A35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(0.05, 0.76)</w:t>
            </w:r>
          </w:p>
        </w:tc>
      </w:tr>
      <w:tr w:rsidR="00B71E20" w:rsidRPr="001922B7" w14:paraId="6115EA31" w14:textId="77777777" w:rsidTr="00B71E20">
        <w:trPr>
          <w:trHeight w:val="263"/>
        </w:trPr>
        <w:tc>
          <w:tcPr>
            <w:tcW w:w="1019" w:type="pct"/>
            <w:tcBorders>
              <w:top w:val="nil"/>
              <w:bottom w:val="nil"/>
              <w:right w:val="nil"/>
            </w:tcBorders>
          </w:tcPr>
          <w:p w14:paraId="00E3C9CF"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3DC1A89F" w14:textId="770A787A" w:rsidR="00B71E20" w:rsidRPr="008D4276" w:rsidRDefault="0051463A" w:rsidP="00B71E20">
            <w:pPr>
              <w:pStyle w:val="NoSpacing"/>
              <w:jc w:val="center"/>
              <w:rPr>
                <w:rFonts w:asciiTheme="majorHAnsi" w:hAnsiTheme="majorHAnsi" w:cs="Calibri"/>
                <w:sz w:val="18"/>
                <w:szCs w:val="18"/>
              </w:rPr>
            </w:pPr>
            <w:r w:rsidRPr="008D4276">
              <w:rPr>
                <w:rFonts w:asciiTheme="majorHAnsi" w:hAnsiTheme="majorHAnsi" w:cs="Calibri"/>
                <w:b/>
                <w:sz w:val="18"/>
                <w:szCs w:val="18"/>
              </w:rPr>
              <w:t>TOC</w:t>
            </w:r>
            <w:r w:rsidR="00B71E20" w:rsidRPr="008D4276">
              <w:rPr>
                <w:rFonts w:asciiTheme="majorHAnsi" w:hAnsiTheme="majorHAnsi" w:cs="Calibri"/>
                <w:sz w:val="18"/>
                <w:szCs w:val="18"/>
              </w:rPr>
              <w:t xml:space="preserve"> vs. PBO+52</w:t>
            </w:r>
          </w:p>
        </w:tc>
        <w:tc>
          <w:tcPr>
            <w:tcW w:w="472" w:type="pct"/>
            <w:tcBorders>
              <w:top w:val="nil"/>
              <w:left w:val="nil"/>
              <w:bottom w:val="nil"/>
            </w:tcBorders>
            <w:vAlign w:val="center"/>
          </w:tcPr>
          <w:p w14:paraId="496EABDC"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HR</w:t>
            </w:r>
          </w:p>
        </w:tc>
        <w:tc>
          <w:tcPr>
            <w:tcW w:w="771" w:type="pct"/>
            <w:tcBorders>
              <w:top w:val="nil"/>
              <w:bottom w:val="nil"/>
            </w:tcBorders>
          </w:tcPr>
          <w:p w14:paraId="35C402E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531" w:type="pct"/>
            <w:tcBorders>
              <w:top w:val="nil"/>
              <w:bottom w:val="nil"/>
            </w:tcBorders>
          </w:tcPr>
          <w:p w14:paraId="3BAFDB37"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N/A</w:t>
            </w:r>
          </w:p>
        </w:tc>
        <w:tc>
          <w:tcPr>
            <w:tcW w:w="623" w:type="pct"/>
            <w:tcBorders>
              <w:top w:val="nil"/>
              <w:bottom w:val="nil"/>
            </w:tcBorders>
          </w:tcPr>
          <w:p w14:paraId="6479A685"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0.44</w:t>
            </w:r>
          </w:p>
        </w:tc>
        <w:tc>
          <w:tcPr>
            <w:tcW w:w="719" w:type="pct"/>
            <w:tcBorders>
              <w:top w:val="nil"/>
              <w:bottom w:val="nil"/>
            </w:tcBorders>
          </w:tcPr>
          <w:p w14:paraId="29F6187B" w14:textId="7777777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0.35</w:t>
            </w:r>
          </w:p>
        </w:tc>
      </w:tr>
      <w:tr w:rsidR="00B71E20" w:rsidRPr="001922B7" w14:paraId="73E4F65D" w14:textId="77777777" w:rsidTr="00B71E20">
        <w:trPr>
          <w:trHeight w:val="453"/>
        </w:trPr>
        <w:tc>
          <w:tcPr>
            <w:tcW w:w="1019" w:type="pct"/>
            <w:tcBorders>
              <w:top w:val="nil"/>
              <w:bottom w:val="nil"/>
              <w:right w:val="nil"/>
            </w:tcBorders>
          </w:tcPr>
          <w:p w14:paraId="06C79861" w14:textId="77777777" w:rsidR="00B71E20" w:rsidRPr="008D4276" w:rsidRDefault="00B71E20" w:rsidP="00B71E20">
            <w:pPr>
              <w:pStyle w:val="NoSpacing"/>
              <w:rPr>
                <w:rFonts w:asciiTheme="majorHAnsi" w:hAnsiTheme="majorHAnsi" w:cs="Calibri"/>
                <w:sz w:val="18"/>
                <w:szCs w:val="18"/>
              </w:rPr>
            </w:pPr>
          </w:p>
        </w:tc>
        <w:tc>
          <w:tcPr>
            <w:tcW w:w="865" w:type="pct"/>
            <w:tcBorders>
              <w:top w:val="nil"/>
              <w:left w:val="nil"/>
              <w:bottom w:val="nil"/>
              <w:right w:val="nil"/>
            </w:tcBorders>
            <w:vAlign w:val="center"/>
          </w:tcPr>
          <w:p w14:paraId="322D807B" w14:textId="77777777" w:rsidR="00B71E20" w:rsidRPr="008D4276" w:rsidRDefault="00B71E20" w:rsidP="00B71E20">
            <w:pPr>
              <w:pStyle w:val="NoSpacing"/>
              <w:jc w:val="center"/>
              <w:rPr>
                <w:rFonts w:asciiTheme="majorHAnsi" w:hAnsiTheme="majorHAnsi" w:cs="Calibri"/>
                <w:sz w:val="18"/>
                <w:szCs w:val="18"/>
              </w:rPr>
            </w:pPr>
          </w:p>
        </w:tc>
        <w:tc>
          <w:tcPr>
            <w:tcW w:w="472" w:type="pct"/>
            <w:tcBorders>
              <w:top w:val="nil"/>
              <w:left w:val="nil"/>
              <w:bottom w:val="nil"/>
            </w:tcBorders>
            <w:vAlign w:val="center"/>
          </w:tcPr>
          <w:p w14:paraId="16A6ADDA" w14:textId="7AC7143F"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4"/>
                <w:sz w:val="18"/>
                <w:szCs w:val="18"/>
              </w:rPr>
              <w:t>(99% CI)</w:t>
            </w:r>
          </w:p>
        </w:tc>
        <w:tc>
          <w:tcPr>
            <w:tcW w:w="771" w:type="pct"/>
            <w:tcBorders>
              <w:top w:val="nil"/>
              <w:bottom w:val="nil"/>
            </w:tcBorders>
          </w:tcPr>
          <w:p w14:paraId="13683C65"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20E1AB03"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0C6A4E09" w14:textId="4477309C" w:rsidR="00B71E20" w:rsidRPr="008D4276" w:rsidRDefault="00B71E20" w:rsidP="00B71E20">
            <w:pPr>
              <w:pStyle w:val="TableParagraph"/>
              <w:spacing w:before="12"/>
              <w:ind w:left="308"/>
              <w:rPr>
                <w:rFonts w:asciiTheme="majorHAnsi" w:hAnsiTheme="majorHAnsi" w:cs="Calibri"/>
                <w:sz w:val="18"/>
                <w:szCs w:val="18"/>
                <w:lang w:val="en-AU"/>
              </w:rPr>
            </w:pPr>
            <w:r w:rsidRPr="008D4276">
              <w:rPr>
                <w:rFonts w:asciiTheme="majorHAnsi" w:hAnsiTheme="majorHAnsi" w:cs="Calibri"/>
                <w:spacing w:val="-2"/>
                <w:sz w:val="18"/>
                <w:szCs w:val="18"/>
                <w:lang w:val="en-AU"/>
              </w:rPr>
              <w:t>(0.14, 1.32)</w:t>
            </w:r>
          </w:p>
        </w:tc>
        <w:tc>
          <w:tcPr>
            <w:tcW w:w="719" w:type="pct"/>
            <w:tcBorders>
              <w:top w:val="nil"/>
              <w:bottom w:val="nil"/>
            </w:tcBorders>
          </w:tcPr>
          <w:p w14:paraId="65406EBB" w14:textId="1C43CC64"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(0.09,</w:t>
            </w:r>
            <w:r w:rsidRPr="008D4276">
              <w:rPr>
                <w:rFonts w:asciiTheme="majorHAnsi" w:hAnsiTheme="majorHAnsi" w:cs="Calibri"/>
                <w:spacing w:val="-5"/>
                <w:sz w:val="18"/>
                <w:szCs w:val="18"/>
              </w:rPr>
              <w:t xml:space="preserve"> </w:t>
            </w:r>
            <w:r w:rsidRPr="008D4276">
              <w:rPr>
                <w:rFonts w:asciiTheme="majorHAnsi" w:hAnsiTheme="majorHAnsi" w:cs="Calibri"/>
                <w:spacing w:val="-2"/>
                <w:sz w:val="18"/>
                <w:szCs w:val="18"/>
              </w:rPr>
              <w:t>1.42)</w:t>
            </w:r>
          </w:p>
        </w:tc>
      </w:tr>
      <w:tr w:rsidR="00B71E20" w:rsidRPr="001922B7" w14:paraId="54A9D5E7" w14:textId="77777777" w:rsidTr="00B71E20">
        <w:trPr>
          <w:trHeight w:val="259"/>
        </w:trPr>
        <w:tc>
          <w:tcPr>
            <w:tcW w:w="2356" w:type="pct"/>
            <w:gridSpan w:val="3"/>
            <w:tcBorders>
              <w:top w:val="nil"/>
              <w:bottom w:val="nil"/>
            </w:tcBorders>
          </w:tcPr>
          <w:p w14:paraId="047A784C" w14:textId="2106D304"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i/>
                <w:sz w:val="18"/>
                <w:szCs w:val="18"/>
              </w:rPr>
              <w:t>Cumulative</w:t>
            </w:r>
            <w:r w:rsidRPr="008D4276">
              <w:rPr>
                <w:rFonts w:asciiTheme="majorHAnsi" w:hAnsiTheme="majorHAnsi" w:cs="Calibri"/>
                <w:i/>
                <w:spacing w:val="-9"/>
                <w:sz w:val="18"/>
                <w:szCs w:val="18"/>
              </w:rPr>
              <w:t xml:space="preserve"> </w:t>
            </w:r>
            <w:r w:rsidRPr="008D4276">
              <w:rPr>
                <w:rFonts w:asciiTheme="majorHAnsi" w:hAnsiTheme="majorHAnsi" w:cs="Calibri"/>
                <w:i/>
                <w:sz w:val="18"/>
                <w:szCs w:val="18"/>
              </w:rPr>
              <w:t>glucocorticoid</w:t>
            </w:r>
            <w:r w:rsidRPr="008D4276">
              <w:rPr>
                <w:rFonts w:asciiTheme="majorHAnsi" w:hAnsiTheme="majorHAnsi" w:cs="Calibri"/>
                <w:i/>
                <w:spacing w:val="-8"/>
                <w:sz w:val="18"/>
                <w:szCs w:val="18"/>
              </w:rPr>
              <w:t xml:space="preserve"> </w:t>
            </w:r>
            <w:r w:rsidRPr="008D4276">
              <w:rPr>
                <w:rFonts w:asciiTheme="majorHAnsi" w:hAnsiTheme="majorHAnsi" w:cs="Calibri"/>
                <w:i/>
                <w:sz w:val="18"/>
                <w:szCs w:val="18"/>
              </w:rPr>
              <w:t>dose</w:t>
            </w:r>
            <w:r w:rsidRPr="008D4276">
              <w:rPr>
                <w:rFonts w:asciiTheme="majorHAnsi" w:hAnsiTheme="majorHAnsi" w:cs="Calibri"/>
                <w:i/>
                <w:spacing w:val="-8"/>
                <w:sz w:val="18"/>
                <w:szCs w:val="18"/>
              </w:rPr>
              <w:t xml:space="preserve"> </w:t>
            </w:r>
            <w:r w:rsidRPr="008D4276">
              <w:rPr>
                <w:rFonts w:asciiTheme="majorHAnsi" w:hAnsiTheme="majorHAnsi" w:cs="Calibri"/>
                <w:i/>
                <w:spacing w:val="-4"/>
                <w:sz w:val="18"/>
                <w:szCs w:val="18"/>
              </w:rPr>
              <w:t>(mg)</w:t>
            </w:r>
          </w:p>
        </w:tc>
        <w:tc>
          <w:tcPr>
            <w:tcW w:w="771" w:type="pct"/>
            <w:tcBorders>
              <w:top w:val="nil"/>
              <w:bottom w:val="nil"/>
            </w:tcBorders>
          </w:tcPr>
          <w:p w14:paraId="6965B9F3"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7E9B7DE9"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2E3A3D4B" w14:textId="77777777" w:rsidR="00B71E20" w:rsidRPr="008D4276" w:rsidRDefault="00B71E20" w:rsidP="00B71E20">
            <w:pPr>
              <w:pStyle w:val="NoSpacing"/>
              <w:jc w:val="center"/>
              <w:rPr>
                <w:rFonts w:asciiTheme="majorHAnsi" w:hAnsiTheme="majorHAnsi" w:cs="Calibri"/>
                <w:sz w:val="18"/>
                <w:szCs w:val="18"/>
              </w:rPr>
            </w:pPr>
          </w:p>
        </w:tc>
        <w:tc>
          <w:tcPr>
            <w:tcW w:w="719" w:type="pct"/>
            <w:tcBorders>
              <w:top w:val="nil"/>
              <w:bottom w:val="nil"/>
            </w:tcBorders>
          </w:tcPr>
          <w:p w14:paraId="0B4E4496"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4A9B4362" w14:textId="77777777" w:rsidTr="00B71E20">
        <w:trPr>
          <w:trHeight w:val="223"/>
        </w:trPr>
        <w:tc>
          <w:tcPr>
            <w:tcW w:w="2356" w:type="pct"/>
            <w:gridSpan w:val="3"/>
            <w:tcBorders>
              <w:top w:val="nil"/>
              <w:bottom w:val="nil"/>
            </w:tcBorders>
            <w:vAlign w:val="center"/>
          </w:tcPr>
          <w:p w14:paraId="7CF4B028" w14:textId="67BCE4B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Median</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at</w:t>
            </w:r>
            <w:r w:rsidRPr="008D4276">
              <w:rPr>
                <w:rFonts w:asciiTheme="majorHAnsi" w:hAnsiTheme="majorHAnsi" w:cs="Calibri"/>
                <w:spacing w:val="-4"/>
                <w:sz w:val="18"/>
                <w:szCs w:val="18"/>
              </w:rPr>
              <w:t xml:space="preserve"> </w:t>
            </w:r>
            <w:r w:rsidRPr="008D4276">
              <w:rPr>
                <w:rFonts w:asciiTheme="majorHAnsi" w:hAnsiTheme="majorHAnsi" w:cs="Calibri"/>
                <w:sz w:val="18"/>
                <w:szCs w:val="18"/>
              </w:rPr>
              <w:t>Week</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52</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w:t>
            </w:r>
            <w:r w:rsidR="0051463A" w:rsidRPr="008D4276">
              <w:rPr>
                <w:rFonts w:asciiTheme="majorHAnsi" w:hAnsiTheme="majorHAnsi" w:cs="Calibri"/>
                <w:b/>
                <w:sz w:val="18"/>
                <w:szCs w:val="18"/>
              </w:rPr>
              <w:t>TOC</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groups</w:t>
            </w:r>
            <w:r w:rsidRPr="008D4276">
              <w:rPr>
                <w:rFonts w:asciiTheme="majorHAnsi" w:hAnsiTheme="majorHAnsi" w:cs="Calibri"/>
                <w:spacing w:val="-5"/>
                <w:sz w:val="18"/>
                <w:szCs w:val="18"/>
              </w:rPr>
              <w:t xml:space="preserve"> </w:t>
            </w:r>
            <w:r w:rsidRPr="008D4276">
              <w:rPr>
                <w:rFonts w:asciiTheme="majorHAnsi" w:hAnsiTheme="majorHAnsi" w:cs="Calibri"/>
                <w:sz w:val="18"/>
                <w:szCs w:val="18"/>
              </w:rPr>
              <w:t>vs</w:t>
            </w:r>
            <w:r w:rsidRPr="008D4276">
              <w:rPr>
                <w:rFonts w:asciiTheme="majorHAnsi" w:hAnsiTheme="majorHAnsi" w:cs="Calibri"/>
                <w:spacing w:val="-5"/>
                <w:sz w:val="18"/>
                <w:szCs w:val="18"/>
              </w:rPr>
              <w:t xml:space="preserve"> </w:t>
            </w:r>
            <w:r w:rsidRPr="008D4276">
              <w:rPr>
                <w:rFonts w:asciiTheme="majorHAnsi" w:hAnsiTheme="majorHAnsi" w:cs="Calibri"/>
                <w:spacing w:val="-2"/>
                <w:sz w:val="18"/>
                <w:szCs w:val="18"/>
              </w:rPr>
              <w:t>PBO+26</w:t>
            </w:r>
            <w:r w:rsidRPr="008D4276">
              <w:rPr>
                <w:rFonts w:asciiTheme="majorHAnsi" w:hAnsiTheme="majorHAnsi" w:cs="Calibri"/>
                <w:spacing w:val="-2"/>
                <w:sz w:val="18"/>
                <w:szCs w:val="18"/>
                <w:vertAlign w:val="superscript"/>
              </w:rPr>
              <w:t>2</w:t>
            </w:r>
            <w:r w:rsidRPr="008D4276">
              <w:rPr>
                <w:rFonts w:asciiTheme="majorHAnsi" w:hAnsiTheme="majorHAnsi" w:cs="Calibri"/>
                <w:spacing w:val="-2"/>
                <w:sz w:val="18"/>
                <w:szCs w:val="18"/>
              </w:rPr>
              <w:t>)</w:t>
            </w:r>
          </w:p>
        </w:tc>
        <w:tc>
          <w:tcPr>
            <w:tcW w:w="771" w:type="pct"/>
            <w:tcBorders>
              <w:top w:val="nil"/>
              <w:bottom w:val="nil"/>
            </w:tcBorders>
          </w:tcPr>
          <w:p w14:paraId="5216F913" w14:textId="52778932"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4"/>
                <w:sz w:val="18"/>
                <w:szCs w:val="18"/>
              </w:rPr>
              <w:t>3296</w:t>
            </w:r>
          </w:p>
        </w:tc>
        <w:tc>
          <w:tcPr>
            <w:tcW w:w="531" w:type="pct"/>
            <w:tcBorders>
              <w:top w:val="nil"/>
              <w:bottom w:val="nil"/>
            </w:tcBorders>
          </w:tcPr>
          <w:p w14:paraId="565E2232" w14:textId="4ED717C2"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5"/>
                <w:sz w:val="18"/>
                <w:szCs w:val="18"/>
              </w:rPr>
              <w:t>N/A</w:t>
            </w:r>
          </w:p>
        </w:tc>
        <w:tc>
          <w:tcPr>
            <w:tcW w:w="623" w:type="pct"/>
            <w:tcBorders>
              <w:top w:val="nil"/>
              <w:bottom w:val="nil"/>
            </w:tcBorders>
          </w:tcPr>
          <w:p w14:paraId="7452BF43" w14:textId="2CB74A17"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2"/>
                <w:sz w:val="18"/>
                <w:szCs w:val="18"/>
              </w:rPr>
              <w:t>1862.00*</w:t>
            </w:r>
          </w:p>
        </w:tc>
        <w:tc>
          <w:tcPr>
            <w:tcW w:w="719" w:type="pct"/>
            <w:tcBorders>
              <w:top w:val="nil"/>
              <w:bottom w:val="nil"/>
            </w:tcBorders>
          </w:tcPr>
          <w:p w14:paraId="25806B25" w14:textId="0EA21B51"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2"/>
                <w:sz w:val="18"/>
                <w:szCs w:val="18"/>
              </w:rPr>
              <w:t>1862.00**</w:t>
            </w:r>
          </w:p>
        </w:tc>
      </w:tr>
      <w:tr w:rsidR="00B71E20" w:rsidRPr="001922B7" w14:paraId="7439EEA6" w14:textId="77777777" w:rsidTr="00B71E20">
        <w:trPr>
          <w:trHeight w:val="201"/>
        </w:trPr>
        <w:tc>
          <w:tcPr>
            <w:tcW w:w="2356" w:type="pct"/>
            <w:gridSpan w:val="3"/>
            <w:tcBorders>
              <w:top w:val="nil"/>
              <w:bottom w:val="single" w:sz="4" w:space="0" w:color="auto"/>
            </w:tcBorders>
            <w:vAlign w:val="center"/>
          </w:tcPr>
          <w:p w14:paraId="2E5811B4" w14:textId="549F3F2F"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Median</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at</w:t>
            </w:r>
            <w:r w:rsidRPr="008D4276">
              <w:rPr>
                <w:rFonts w:asciiTheme="majorHAnsi" w:hAnsiTheme="majorHAnsi" w:cs="Calibri"/>
                <w:spacing w:val="-4"/>
                <w:sz w:val="18"/>
                <w:szCs w:val="18"/>
              </w:rPr>
              <w:t xml:space="preserve"> </w:t>
            </w:r>
            <w:r w:rsidRPr="008D4276">
              <w:rPr>
                <w:rFonts w:asciiTheme="majorHAnsi" w:hAnsiTheme="majorHAnsi" w:cs="Calibri"/>
                <w:sz w:val="18"/>
                <w:szCs w:val="18"/>
              </w:rPr>
              <w:t>Week</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52</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w:t>
            </w:r>
            <w:r w:rsidR="0051463A" w:rsidRPr="008D4276">
              <w:rPr>
                <w:rFonts w:asciiTheme="majorHAnsi" w:hAnsiTheme="majorHAnsi" w:cs="Calibri"/>
                <w:b/>
                <w:sz w:val="18"/>
                <w:szCs w:val="18"/>
              </w:rPr>
              <w:t>TOC</w:t>
            </w:r>
            <w:r w:rsidRPr="008D4276">
              <w:rPr>
                <w:rFonts w:asciiTheme="majorHAnsi" w:hAnsiTheme="majorHAnsi" w:cs="Calibri"/>
                <w:spacing w:val="-3"/>
                <w:sz w:val="18"/>
                <w:szCs w:val="18"/>
              </w:rPr>
              <w:t xml:space="preserve"> </w:t>
            </w:r>
            <w:r w:rsidRPr="008D4276">
              <w:rPr>
                <w:rFonts w:asciiTheme="majorHAnsi" w:hAnsiTheme="majorHAnsi" w:cs="Calibri"/>
                <w:sz w:val="18"/>
                <w:szCs w:val="18"/>
              </w:rPr>
              <w:t>groups</w:t>
            </w:r>
            <w:r w:rsidRPr="008D4276">
              <w:rPr>
                <w:rFonts w:asciiTheme="majorHAnsi" w:hAnsiTheme="majorHAnsi" w:cs="Calibri"/>
                <w:spacing w:val="-5"/>
                <w:sz w:val="18"/>
                <w:szCs w:val="18"/>
              </w:rPr>
              <w:t xml:space="preserve"> </w:t>
            </w:r>
            <w:r w:rsidRPr="008D4276">
              <w:rPr>
                <w:rFonts w:asciiTheme="majorHAnsi" w:hAnsiTheme="majorHAnsi" w:cs="Calibri"/>
                <w:sz w:val="18"/>
                <w:szCs w:val="18"/>
              </w:rPr>
              <w:t>vs</w:t>
            </w:r>
            <w:r w:rsidRPr="008D4276">
              <w:rPr>
                <w:rFonts w:asciiTheme="majorHAnsi" w:hAnsiTheme="majorHAnsi" w:cs="Calibri"/>
                <w:spacing w:val="-5"/>
                <w:sz w:val="18"/>
                <w:szCs w:val="18"/>
              </w:rPr>
              <w:t xml:space="preserve"> </w:t>
            </w:r>
            <w:r w:rsidRPr="008D4276">
              <w:rPr>
                <w:rFonts w:asciiTheme="majorHAnsi" w:hAnsiTheme="majorHAnsi" w:cs="Calibri"/>
                <w:spacing w:val="-2"/>
                <w:sz w:val="18"/>
                <w:szCs w:val="18"/>
              </w:rPr>
              <w:t>PBO+52</w:t>
            </w:r>
            <w:r w:rsidRPr="008D4276">
              <w:rPr>
                <w:rFonts w:asciiTheme="majorHAnsi" w:hAnsiTheme="majorHAnsi" w:cs="Calibri"/>
                <w:spacing w:val="-2"/>
                <w:sz w:val="18"/>
                <w:szCs w:val="18"/>
                <w:vertAlign w:val="superscript"/>
              </w:rPr>
              <w:t>2</w:t>
            </w:r>
            <w:r w:rsidRPr="008D4276">
              <w:rPr>
                <w:rFonts w:asciiTheme="majorHAnsi" w:hAnsiTheme="majorHAnsi" w:cs="Calibri"/>
                <w:spacing w:val="-2"/>
                <w:sz w:val="18"/>
                <w:szCs w:val="18"/>
              </w:rPr>
              <w:t>)</w:t>
            </w:r>
          </w:p>
        </w:tc>
        <w:tc>
          <w:tcPr>
            <w:tcW w:w="771" w:type="pct"/>
            <w:tcBorders>
              <w:top w:val="nil"/>
              <w:bottom w:val="single" w:sz="4" w:space="0" w:color="auto"/>
            </w:tcBorders>
          </w:tcPr>
          <w:p w14:paraId="03ABF19F" w14:textId="73437FAF"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5"/>
                <w:sz w:val="18"/>
                <w:szCs w:val="18"/>
              </w:rPr>
              <w:t>N/A</w:t>
            </w:r>
          </w:p>
        </w:tc>
        <w:tc>
          <w:tcPr>
            <w:tcW w:w="531" w:type="pct"/>
            <w:tcBorders>
              <w:top w:val="nil"/>
              <w:bottom w:val="single" w:sz="4" w:space="0" w:color="auto"/>
            </w:tcBorders>
          </w:tcPr>
          <w:p w14:paraId="76612252" w14:textId="7F863F8D"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2"/>
                <w:sz w:val="18"/>
                <w:szCs w:val="18"/>
              </w:rPr>
              <w:t>3817.5</w:t>
            </w:r>
          </w:p>
        </w:tc>
        <w:tc>
          <w:tcPr>
            <w:tcW w:w="623" w:type="pct"/>
            <w:tcBorders>
              <w:top w:val="nil"/>
              <w:bottom w:val="single" w:sz="4" w:space="0" w:color="auto"/>
            </w:tcBorders>
          </w:tcPr>
          <w:p w14:paraId="076EA186" w14:textId="5C41027A"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2"/>
                <w:sz w:val="18"/>
                <w:szCs w:val="18"/>
              </w:rPr>
              <w:t>1862.00*</w:t>
            </w:r>
          </w:p>
        </w:tc>
        <w:tc>
          <w:tcPr>
            <w:tcW w:w="719" w:type="pct"/>
            <w:tcBorders>
              <w:top w:val="nil"/>
              <w:bottom w:val="single" w:sz="4" w:space="0" w:color="auto"/>
            </w:tcBorders>
          </w:tcPr>
          <w:p w14:paraId="3A373D5D" w14:textId="4508DEB5"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2"/>
                <w:sz w:val="18"/>
                <w:szCs w:val="18"/>
              </w:rPr>
              <w:t>1862.00*</w:t>
            </w:r>
          </w:p>
        </w:tc>
      </w:tr>
      <w:tr w:rsidR="00B71E20" w:rsidRPr="001922B7" w14:paraId="30B34184" w14:textId="77777777" w:rsidTr="00B71E20">
        <w:trPr>
          <w:trHeight w:val="203"/>
        </w:trPr>
        <w:tc>
          <w:tcPr>
            <w:tcW w:w="2356" w:type="pct"/>
            <w:gridSpan w:val="3"/>
            <w:tcBorders>
              <w:top w:val="single" w:sz="4" w:space="0" w:color="auto"/>
              <w:bottom w:val="nil"/>
            </w:tcBorders>
          </w:tcPr>
          <w:p w14:paraId="2FD284F9" w14:textId="7F7188C7" w:rsidR="00B71E20" w:rsidRPr="008D4276" w:rsidRDefault="00B71E20" w:rsidP="00B71E20">
            <w:pPr>
              <w:pStyle w:val="NoSpacing"/>
              <w:rPr>
                <w:rFonts w:asciiTheme="majorHAnsi" w:hAnsiTheme="majorHAnsi" w:cs="Calibri"/>
                <w:b/>
                <w:bCs/>
                <w:sz w:val="18"/>
                <w:szCs w:val="18"/>
              </w:rPr>
            </w:pPr>
            <w:r w:rsidRPr="008D4276">
              <w:rPr>
                <w:rFonts w:asciiTheme="majorHAnsi" w:hAnsiTheme="majorHAnsi" w:cs="Calibri"/>
                <w:b/>
                <w:bCs/>
                <w:sz w:val="18"/>
                <w:szCs w:val="18"/>
              </w:rPr>
              <w:t>Exploratory</w:t>
            </w:r>
            <w:r w:rsidRPr="008D4276">
              <w:rPr>
                <w:rFonts w:asciiTheme="majorHAnsi" w:hAnsiTheme="majorHAnsi" w:cs="Calibri"/>
                <w:b/>
                <w:bCs/>
                <w:spacing w:val="-8"/>
                <w:sz w:val="18"/>
                <w:szCs w:val="18"/>
              </w:rPr>
              <w:t xml:space="preserve"> </w:t>
            </w:r>
            <w:r w:rsidRPr="008D4276">
              <w:rPr>
                <w:rFonts w:asciiTheme="majorHAnsi" w:hAnsiTheme="majorHAnsi" w:cs="Calibri"/>
                <w:b/>
                <w:bCs/>
                <w:spacing w:val="-2"/>
                <w:sz w:val="18"/>
                <w:szCs w:val="18"/>
              </w:rPr>
              <w:t>Endpoints</w:t>
            </w:r>
          </w:p>
        </w:tc>
        <w:tc>
          <w:tcPr>
            <w:tcW w:w="771" w:type="pct"/>
            <w:tcBorders>
              <w:top w:val="single" w:sz="4" w:space="0" w:color="auto"/>
              <w:bottom w:val="nil"/>
            </w:tcBorders>
          </w:tcPr>
          <w:p w14:paraId="3A4422B8"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single" w:sz="4" w:space="0" w:color="auto"/>
              <w:bottom w:val="nil"/>
            </w:tcBorders>
          </w:tcPr>
          <w:p w14:paraId="62F4B3A6"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single" w:sz="4" w:space="0" w:color="auto"/>
              <w:bottom w:val="nil"/>
            </w:tcBorders>
          </w:tcPr>
          <w:p w14:paraId="609CDA18" w14:textId="77777777" w:rsidR="00B71E20" w:rsidRPr="008D4276" w:rsidRDefault="00B71E20" w:rsidP="00B71E20">
            <w:pPr>
              <w:pStyle w:val="NoSpacing"/>
              <w:jc w:val="center"/>
              <w:rPr>
                <w:rFonts w:asciiTheme="majorHAnsi" w:hAnsiTheme="majorHAnsi" w:cs="Calibri"/>
                <w:sz w:val="18"/>
                <w:szCs w:val="18"/>
              </w:rPr>
            </w:pPr>
          </w:p>
        </w:tc>
        <w:tc>
          <w:tcPr>
            <w:tcW w:w="719" w:type="pct"/>
            <w:tcBorders>
              <w:top w:val="single" w:sz="4" w:space="0" w:color="auto"/>
              <w:bottom w:val="nil"/>
            </w:tcBorders>
          </w:tcPr>
          <w:p w14:paraId="7C67AF0B"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3443B375" w14:textId="77777777" w:rsidTr="00B71E20">
        <w:trPr>
          <w:trHeight w:val="319"/>
        </w:trPr>
        <w:tc>
          <w:tcPr>
            <w:tcW w:w="2356" w:type="pct"/>
            <w:gridSpan w:val="3"/>
            <w:tcBorders>
              <w:top w:val="nil"/>
              <w:bottom w:val="nil"/>
            </w:tcBorders>
          </w:tcPr>
          <w:p w14:paraId="0B052083" w14:textId="41993F37"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i/>
                <w:sz w:val="18"/>
                <w:szCs w:val="18"/>
              </w:rPr>
              <w:t>Annualized</w:t>
            </w:r>
            <w:r w:rsidRPr="008D4276">
              <w:rPr>
                <w:rFonts w:asciiTheme="majorHAnsi" w:hAnsiTheme="majorHAnsi" w:cs="Calibri"/>
                <w:i/>
                <w:spacing w:val="-5"/>
                <w:sz w:val="18"/>
                <w:szCs w:val="18"/>
              </w:rPr>
              <w:t xml:space="preserve"> </w:t>
            </w:r>
            <w:r w:rsidRPr="008D4276">
              <w:rPr>
                <w:rFonts w:asciiTheme="majorHAnsi" w:hAnsiTheme="majorHAnsi" w:cs="Calibri"/>
                <w:i/>
                <w:sz w:val="18"/>
                <w:szCs w:val="18"/>
              </w:rPr>
              <w:t>relapse</w:t>
            </w:r>
            <w:r w:rsidRPr="008D4276">
              <w:rPr>
                <w:rFonts w:asciiTheme="majorHAnsi" w:hAnsiTheme="majorHAnsi" w:cs="Calibri"/>
                <w:i/>
                <w:spacing w:val="-5"/>
                <w:sz w:val="18"/>
                <w:szCs w:val="18"/>
              </w:rPr>
              <w:t xml:space="preserve"> </w:t>
            </w:r>
            <w:r w:rsidRPr="008D4276">
              <w:rPr>
                <w:rFonts w:asciiTheme="majorHAnsi" w:hAnsiTheme="majorHAnsi" w:cs="Calibri"/>
                <w:i/>
                <w:sz w:val="18"/>
                <w:szCs w:val="18"/>
              </w:rPr>
              <w:t>rate,</w:t>
            </w:r>
            <w:r w:rsidRPr="008D4276">
              <w:rPr>
                <w:rFonts w:asciiTheme="majorHAnsi" w:hAnsiTheme="majorHAnsi" w:cs="Calibri"/>
                <w:i/>
                <w:spacing w:val="-5"/>
                <w:sz w:val="18"/>
                <w:szCs w:val="18"/>
              </w:rPr>
              <w:t xml:space="preserve"> </w:t>
            </w:r>
            <w:r w:rsidRPr="008D4276">
              <w:rPr>
                <w:rFonts w:asciiTheme="majorHAnsi" w:hAnsiTheme="majorHAnsi" w:cs="Calibri"/>
                <w:i/>
                <w:sz w:val="18"/>
                <w:szCs w:val="18"/>
              </w:rPr>
              <w:t>Week</w:t>
            </w:r>
            <w:r w:rsidRPr="008D4276">
              <w:rPr>
                <w:rFonts w:asciiTheme="majorHAnsi" w:hAnsiTheme="majorHAnsi" w:cs="Calibri"/>
                <w:i/>
                <w:spacing w:val="-6"/>
                <w:sz w:val="18"/>
                <w:szCs w:val="18"/>
              </w:rPr>
              <w:t xml:space="preserve"> </w:t>
            </w:r>
            <w:r w:rsidRPr="008D4276">
              <w:rPr>
                <w:rFonts w:asciiTheme="majorHAnsi" w:hAnsiTheme="majorHAnsi" w:cs="Calibri"/>
                <w:i/>
                <w:spacing w:val="-5"/>
                <w:sz w:val="18"/>
                <w:szCs w:val="18"/>
              </w:rPr>
              <w:t>52</w:t>
            </w:r>
            <w:r w:rsidRPr="008D4276">
              <w:rPr>
                <w:rFonts w:asciiTheme="majorHAnsi" w:hAnsiTheme="majorHAnsi" w:cs="Calibri"/>
                <w:i/>
                <w:spacing w:val="-5"/>
                <w:sz w:val="18"/>
                <w:szCs w:val="18"/>
                <w:vertAlign w:val="superscript"/>
              </w:rPr>
              <w:t>§</w:t>
            </w:r>
          </w:p>
        </w:tc>
        <w:tc>
          <w:tcPr>
            <w:tcW w:w="771" w:type="pct"/>
            <w:tcBorders>
              <w:top w:val="nil"/>
              <w:bottom w:val="nil"/>
            </w:tcBorders>
          </w:tcPr>
          <w:p w14:paraId="5EBD07B9" w14:textId="77777777" w:rsidR="00B71E20" w:rsidRPr="008D4276" w:rsidRDefault="00B71E20" w:rsidP="00B71E20">
            <w:pPr>
              <w:pStyle w:val="NoSpacing"/>
              <w:jc w:val="center"/>
              <w:rPr>
                <w:rFonts w:asciiTheme="majorHAnsi" w:hAnsiTheme="majorHAnsi" w:cs="Calibri"/>
                <w:sz w:val="18"/>
                <w:szCs w:val="18"/>
              </w:rPr>
            </w:pPr>
          </w:p>
        </w:tc>
        <w:tc>
          <w:tcPr>
            <w:tcW w:w="531" w:type="pct"/>
            <w:tcBorders>
              <w:top w:val="nil"/>
              <w:bottom w:val="nil"/>
            </w:tcBorders>
          </w:tcPr>
          <w:p w14:paraId="14DE1EA6" w14:textId="77777777" w:rsidR="00B71E20" w:rsidRPr="008D4276" w:rsidRDefault="00B71E20" w:rsidP="00B71E20">
            <w:pPr>
              <w:pStyle w:val="NoSpacing"/>
              <w:jc w:val="center"/>
              <w:rPr>
                <w:rFonts w:asciiTheme="majorHAnsi" w:hAnsiTheme="majorHAnsi" w:cs="Calibri"/>
                <w:sz w:val="18"/>
                <w:szCs w:val="18"/>
              </w:rPr>
            </w:pPr>
          </w:p>
        </w:tc>
        <w:tc>
          <w:tcPr>
            <w:tcW w:w="623" w:type="pct"/>
            <w:tcBorders>
              <w:top w:val="nil"/>
              <w:bottom w:val="nil"/>
            </w:tcBorders>
          </w:tcPr>
          <w:p w14:paraId="284A8300" w14:textId="77777777" w:rsidR="00B71E20" w:rsidRPr="008D4276" w:rsidRDefault="00B71E20" w:rsidP="00B71E20">
            <w:pPr>
              <w:pStyle w:val="NoSpacing"/>
              <w:jc w:val="center"/>
              <w:rPr>
                <w:rFonts w:asciiTheme="majorHAnsi" w:hAnsiTheme="majorHAnsi" w:cs="Calibri"/>
                <w:sz w:val="18"/>
                <w:szCs w:val="18"/>
              </w:rPr>
            </w:pPr>
          </w:p>
        </w:tc>
        <w:tc>
          <w:tcPr>
            <w:tcW w:w="719" w:type="pct"/>
            <w:tcBorders>
              <w:top w:val="nil"/>
              <w:bottom w:val="nil"/>
            </w:tcBorders>
          </w:tcPr>
          <w:p w14:paraId="4D904F6C" w14:textId="77777777" w:rsidR="00B71E20" w:rsidRPr="008D4276" w:rsidRDefault="00B71E20" w:rsidP="00B71E20">
            <w:pPr>
              <w:pStyle w:val="NoSpacing"/>
              <w:jc w:val="center"/>
              <w:rPr>
                <w:rFonts w:asciiTheme="majorHAnsi" w:hAnsiTheme="majorHAnsi" w:cs="Calibri"/>
                <w:sz w:val="18"/>
                <w:szCs w:val="18"/>
              </w:rPr>
            </w:pPr>
          </w:p>
        </w:tc>
      </w:tr>
      <w:tr w:rsidR="00B71E20" w:rsidRPr="001922B7" w14:paraId="0124C539" w14:textId="77777777" w:rsidTr="00B71E20">
        <w:trPr>
          <w:trHeight w:val="453"/>
        </w:trPr>
        <w:tc>
          <w:tcPr>
            <w:tcW w:w="2356" w:type="pct"/>
            <w:gridSpan w:val="3"/>
            <w:tcBorders>
              <w:top w:val="nil"/>
              <w:bottom w:val="single" w:sz="4" w:space="0" w:color="auto"/>
            </w:tcBorders>
            <w:vAlign w:val="center"/>
          </w:tcPr>
          <w:p w14:paraId="2C93ED30" w14:textId="49036F73" w:rsidR="00B71E20" w:rsidRPr="008D4276" w:rsidRDefault="00B71E20" w:rsidP="00B71E20">
            <w:pPr>
              <w:pStyle w:val="NoSpacing"/>
              <w:rPr>
                <w:rFonts w:asciiTheme="majorHAnsi" w:hAnsiTheme="majorHAnsi" w:cs="Calibri"/>
                <w:sz w:val="18"/>
                <w:szCs w:val="18"/>
              </w:rPr>
            </w:pPr>
            <w:r w:rsidRPr="008D4276">
              <w:rPr>
                <w:rFonts w:asciiTheme="majorHAnsi" w:hAnsiTheme="majorHAnsi" w:cs="Calibri"/>
                <w:sz w:val="18"/>
                <w:szCs w:val="18"/>
              </w:rPr>
              <w:t>Mean</w:t>
            </w:r>
            <w:r w:rsidRPr="008D4276">
              <w:rPr>
                <w:rFonts w:asciiTheme="majorHAnsi" w:hAnsiTheme="majorHAnsi" w:cs="Calibri"/>
                <w:spacing w:val="-4"/>
                <w:sz w:val="18"/>
                <w:szCs w:val="18"/>
              </w:rPr>
              <w:t xml:space="preserve"> (SD)</w:t>
            </w:r>
          </w:p>
        </w:tc>
        <w:tc>
          <w:tcPr>
            <w:tcW w:w="771" w:type="pct"/>
            <w:tcBorders>
              <w:top w:val="nil"/>
              <w:bottom w:val="single" w:sz="4" w:space="0" w:color="auto"/>
            </w:tcBorders>
            <w:vAlign w:val="center"/>
          </w:tcPr>
          <w:p w14:paraId="41FF05EE" w14:textId="44F074B4"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4"/>
                <w:sz w:val="18"/>
                <w:szCs w:val="18"/>
              </w:rPr>
              <w:t xml:space="preserve">1.74 </w:t>
            </w:r>
            <w:r w:rsidRPr="008D4276">
              <w:rPr>
                <w:rFonts w:asciiTheme="majorHAnsi" w:hAnsiTheme="majorHAnsi" w:cs="Calibri"/>
                <w:spacing w:val="-2"/>
                <w:sz w:val="18"/>
                <w:szCs w:val="18"/>
              </w:rPr>
              <w:t>(2.18)</w:t>
            </w:r>
          </w:p>
        </w:tc>
        <w:tc>
          <w:tcPr>
            <w:tcW w:w="531" w:type="pct"/>
            <w:tcBorders>
              <w:top w:val="nil"/>
              <w:bottom w:val="single" w:sz="4" w:space="0" w:color="auto"/>
            </w:tcBorders>
            <w:vAlign w:val="center"/>
          </w:tcPr>
          <w:p w14:paraId="6F935DD7" w14:textId="1390ACA5"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5"/>
                <w:sz w:val="18"/>
                <w:szCs w:val="18"/>
              </w:rPr>
              <w:t xml:space="preserve">1.3 </w:t>
            </w:r>
            <w:r w:rsidRPr="008D4276">
              <w:rPr>
                <w:rFonts w:asciiTheme="majorHAnsi" w:hAnsiTheme="majorHAnsi" w:cs="Calibri"/>
                <w:spacing w:val="-2"/>
                <w:sz w:val="18"/>
                <w:szCs w:val="18"/>
              </w:rPr>
              <w:t>(1.84)</w:t>
            </w:r>
          </w:p>
        </w:tc>
        <w:tc>
          <w:tcPr>
            <w:tcW w:w="623" w:type="pct"/>
            <w:tcBorders>
              <w:top w:val="nil"/>
              <w:bottom w:val="single" w:sz="4" w:space="0" w:color="auto"/>
            </w:tcBorders>
            <w:vAlign w:val="center"/>
          </w:tcPr>
          <w:p w14:paraId="0383EDE8" w14:textId="05E97A60"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pacing w:val="-4"/>
                <w:sz w:val="18"/>
                <w:szCs w:val="18"/>
              </w:rPr>
              <w:t xml:space="preserve">0.41 </w:t>
            </w:r>
            <w:r w:rsidRPr="008D4276">
              <w:rPr>
                <w:rFonts w:asciiTheme="majorHAnsi" w:hAnsiTheme="majorHAnsi" w:cs="Calibri"/>
                <w:spacing w:val="-2"/>
                <w:sz w:val="18"/>
                <w:szCs w:val="18"/>
              </w:rPr>
              <w:t>(0.78)</w:t>
            </w:r>
          </w:p>
        </w:tc>
        <w:tc>
          <w:tcPr>
            <w:tcW w:w="719" w:type="pct"/>
            <w:tcBorders>
              <w:top w:val="nil"/>
              <w:bottom w:val="single" w:sz="4" w:space="0" w:color="auto"/>
            </w:tcBorders>
            <w:vAlign w:val="center"/>
          </w:tcPr>
          <w:p w14:paraId="774A86DD" w14:textId="0A765F92" w:rsidR="00B71E20" w:rsidRPr="008D4276" w:rsidRDefault="00B71E20" w:rsidP="00B71E20">
            <w:pPr>
              <w:pStyle w:val="NoSpacing"/>
              <w:jc w:val="center"/>
              <w:rPr>
                <w:rFonts w:asciiTheme="majorHAnsi" w:hAnsiTheme="majorHAnsi" w:cs="Calibri"/>
                <w:sz w:val="18"/>
                <w:szCs w:val="18"/>
              </w:rPr>
            </w:pPr>
            <w:r w:rsidRPr="008D4276">
              <w:rPr>
                <w:rFonts w:asciiTheme="majorHAnsi" w:hAnsiTheme="majorHAnsi" w:cs="Calibri"/>
                <w:sz w:val="18"/>
                <w:szCs w:val="18"/>
              </w:rPr>
              <w:t>0.67</w:t>
            </w:r>
            <w:r w:rsidRPr="008D4276">
              <w:rPr>
                <w:rFonts w:asciiTheme="majorHAnsi" w:hAnsiTheme="majorHAnsi" w:cs="Calibri"/>
                <w:spacing w:val="-3"/>
                <w:sz w:val="18"/>
                <w:szCs w:val="18"/>
              </w:rPr>
              <w:t xml:space="preserve"> </w:t>
            </w:r>
            <w:r w:rsidRPr="008D4276">
              <w:rPr>
                <w:rFonts w:asciiTheme="majorHAnsi" w:hAnsiTheme="majorHAnsi" w:cs="Calibri"/>
                <w:spacing w:val="-2"/>
                <w:sz w:val="18"/>
                <w:szCs w:val="18"/>
              </w:rPr>
              <w:t>(1.1)</w:t>
            </w:r>
          </w:p>
        </w:tc>
      </w:tr>
    </w:tbl>
    <w:p w14:paraId="0095B871" w14:textId="77777777" w:rsidR="00B71E20" w:rsidRPr="008D4276" w:rsidRDefault="00B71E20" w:rsidP="00965311">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 p&lt;0.0001</w:t>
      </w:r>
    </w:p>
    <w:p w14:paraId="0AD18099" w14:textId="77777777" w:rsidR="00B71E20" w:rsidRPr="008D4276" w:rsidRDefault="00B71E20" w:rsidP="00965311">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 p&lt;0.005 (threshold for significance for primary and key secondary tests of superiority)</w:t>
      </w:r>
    </w:p>
    <w:p w14:paraId="223F343E" w14:textId="77777777" w:rsidR="00B71E20" w:rsidRPr="008D4276" w:rsidRDefault="00B71E20" w:rsidP="00965311">
      <w:pPr>
        <w:pStyle w:val="NoSpacing"/>
        <w:rPr>
          <w:rFonts w:asciiTheme="majorHAnsi" w:hAnsiTheme="majorHAnsi" w:cs="Calibri"/>
          <w:sz w:val="18"/>
          <w:szCs w:val="18"/>
        </w:rPr>
      </w:pPr>
      <w:r w:rsidRPr="008D4276">
        <w:rPr>
          <w:rFonts w:asciiTheme="majorHAnsi" w:hAnsiTheme="majorHAnsi" w:cs="Calibri"/>
          <w:b/>
          <w:bCs/>
          <w:sz w:val="18"/>
          <w:szCs w:val="18"/>
        </w:rPr>
        <w:lastRenderedPageBreak/>
        <w:t>***</w:t>
      </w:r>
      <w:r w:rsidRPr="008D4276">
        <w:rPr>
          <w:rFonts w:asciiTheme="majorHAnsi" w:hAnsiTheme="majorHAnsi" w:cs="Calibri"/>
          <w:sz w:val="18"/>
          <w:szCs w:val="18"/>
        </w:rPr>
        <w:t>Descriptive p value &lt;0.005</w:t>
      </w:r>
    </w:p>
    <w:p w14:paraId="6DC3F883" w14:textId="4610F703" w:rsidR="00B71E20" w:rsidRPr="008D4276" w:rsidRDefault="00965311" w:rsidP="00965311">
      <w:pPr>
        <w:pStyle w:val="NoSpacing"/>
        <w:rPr>
          <w:rFonts w:asciiTheme="majorHAnsi" w:hAnsiTheme="majorHAnsi" w:cs="Calibri"/>
          <w:sz w:val="18"/>
          <w:szCs w:val="18"/>
        </w:rPr>
      </w:pPr>
      <w:r w:rsidRPr="008D4276">
        <w:rPr>
          <w:rFonts w:asciiTheme="majorHAnsi" w:hAnsiTheme="majorHAnsi" w:cs="Calibri"/>
          <w:b/>
          <w:bCs/>
          <w:sz w:val="18"/>
          <w:szCs w:val="18"/>
          <w:vertAlign w:val="superscript"/>
        </w:rPr>
        <w:t>1</w:t>
      </w:r>
      <w:r w:rsidR="00B71E20" w:rsidRPr="008D4276">
        <w:rPr>
          <w:rFonts w:asciiTheme="majorHAnsi" w:hAnsiTheme="majorHAnsi" w:cs="Calibri"/>
          <w:sz w:val="18"/>
          <w:szCs w:val="18"/>
        </w:rPr>
        <w:t xml:space="preserve"> analysis of the time (in days) between clinical remission and first disease flare</w:t>
      </w:r>
    </w:p>
    <w:p w14:paraId="1221B4D0" w14:textId="4FD94C01" w:rsidR="00B71E20" w:rsidRPr="008D4276" w:rsidRDefault="00965311" w:rsidP="00965311">
      <w:pPr>
        <w:pStyle w:val="NoSpacing"/>
        <w:rPr>
          <w:rFonts w:asciiTheme="majorHAnsi" w:hAnsiTheme="majorHAnsi" w:cs="Calibri"/>
          <w:sz w:val="18"/>
          <w:szCs w:val="18"/>
        </w:rPr>
      </w:pPr>
      <w:r w:rsidRPr="008D4276">
        <w:rPr>
          <w:rFonts w:asciiTheme="majorHAnsi" w:hAnsiTheme="majorHAnsi" w:cs="Calibri"/>
          <w:b/>
          <w:bCs/>
          <w:sz w:val="18"/>
          <w:szCs w:val="18"/>
          <w:vertAlign w:val="superscript"/>
        </w:rPr>
        <w:t>2</w:t>
      </w:r>
      <w:r w:rsidRPr="008D4276">
        <w:rPr>
          <w:rFonts w:asciiTheme="majorHAnsi" w:hAnsiTheme="majorHAnsi" w:cs="Calibri"/>
          <w:b/>
          <w:bCs/>
          <w:sz w:val="18"/>
          <w:szCs w:val="18"/>
        </w:rPr>
        <w:t xml:space="preserve"> </w:t>
      </w:r>
      <w:r w:rsidR="00B71E20" w:rsidRPr="008D4276">
        <w:rPr>
          <w:rFonts w:asciiTheme="majorHAnsi" w:hAnsiTheme="majorHAnsi" w:cs="Calibri"/>
          <w:sz w:val="18"/>
          <w:szCs w:val="18"/>
        </w:rPr>
        <w:t>p-values are determined using a Van Elteren analysis for non-parametric data</w:t>
      </w:r>
    </w:p>
    <w:p w14:paraId="32224B22" w14:textId="77777777" w:rsidR="00B71E20" w:rsidRPr="008D4276" w:rsidRDefault="00B71E20" w:rsidP="00965311">
      <w:pPr>
        <w:pStyle w:val="NoSpacing"/>
        <w:rPr>
          <w:rFonts w:asciiTheme="majorHAnsi" w:hAnsiTheme="majorHAnsi" w:cs="Calibri"/>
          <w:sz w:val="18"/>
          <w:szCs w:val="18"/>
        </w:rPr>
      </w:pPr>
      <w:r w:rsidRPr="008D4276">
        <w:rPr>
          <w:rFonts w:asciiTheme="majorHAnsi" w:hAnsiTheme="majorHAnsi" w:cs="Calibri"/>
          <w:b/>
          <w:bCs/>
          <w:sz w:val="18"/>
          <w:szCs w:val="18"/>
        </w:rPr>
        <w:t>§</w:t>
      </w:r>
      <w:r w:rsidRPr="008D4276">
        <w:rPr>
          <w:rFonts w:asciiTheme="majorHAnsi" w:hAnsiTheme="majorHAnsi" w:cs="Calibri"/>
          <w:sz w:val="18"/>
          <w:szCs w:val="18"/>
        </w:rPr>
        <w:t xml:space="preserve"> statistical analyses has not been performed</w:t>
      </w:r>
    </w:p>
    <w:p w14:paraId="276B2A20" w14:textId="69B04376" w:rsidR="00B71E20" w:rsidRPr="008D4276" w:rsidRDefault="00B71E20" w:rsidP="00965311">
      <w:pPr>
        <w:pStyle w:val="NoSpacing"/>
        <w:rPr>
          <w:rFonts w:asciiTheme="majorHAnsi" w:hAnsiTheme="majorHAnsi" w:cs="Calibri"/>
          <w:sz w:val="18"/>
          <w:szCs w:val="18"/>
        </w:rPr>
      </w:pPr>
      <w:r w:rsidRPr="008D4276">
        <w:rPr>
          <w:rFonts w:asciiTheme="majorHAnsi" w:hAnsiTheme="majorHAnsi" w:cs="Calibri"/>
          <w:sz w:val="18"/>
          <w:szCs w:val="18"/>
        </w:rPr>
        <w:t xml:space="preserve">N/A= Not applicable, HR = hazard ratio, CI = confidence interval, </w:t>
      </w:r>
      <w:r w:rsidR="0051463A" w:rsidRPr="008D4276">
        <w:rPr>
          <w:rFonts w:asciiTheme="majorHAnsi" w:hAnsiTheme="majorHAnsi" w:cs="Calibri"/>
          <w:b/>
          <w:sz w:val="18"/>
          <w:szCs w:val="18"/>
        </w:rPr>
        <w:t>TOC</w:t>
      </w:r>
      <w:r w:rsidRPr="008D4276">
        <w:rPr>
          <w:rFonts w:asciiTheme="majorHAnsi" w:hAnsiTheme="majorHAnsi" w:cs="Calibri"/>
          <w:sz w:val="18"/>
          <w:szCs w:val="18"/>
        </w:rPr>
        <w:t xml:space="preserve"> = </w:t>
      </w:r>
      <w:r w:rsidR="000031EA" w:rsidRPr="008D4276">
        <w:rPr>
          <w:rFonts w:asciiTheme="majorHAnsi" w:hAnsiTheme="majorHAnsi" w:cs="Calibri"/>
          <w:sz w:val="18"/>
          <w:szCs w:val="18"/>
        </w:rPr>
        <w:t>Tocilizumab</w:t>
      </w:r>
      <w:r w:rsidRPr="008D4276">
        <w:rPr>
          <w:rFonts w:asciiTheme="majorHAnsi" w:hAnsiTheme="majorHAnsi" w:cs="Calibri"/>
          <w:sz w:val="18"/>
          <w:szCs w:val="18"/>
        </w:rPr>
        <w:t>, PBO = placebo, QW = every week dose, Q2W = every other week dose</w:t>
      </w:r>
    </w:p>
    <w:p w14:paraId="256526F7" w14:textId="77777777" w:rsidR="00965311" w:rsidRPr="008D4276" w:rsidRDefault="00965311" w:rsidP="00965311">
      <w:pPr>
        <w:pStyle w:val="NoSpacing"/>
        <w:rPr>
          <w:rFonts w:asciiTheme="majorHAnsi" w:hAnsiTheme="majorHAnsi" w:cs="Calibri"/>
        </w:rPr>
      </w:pPr>
    </w:p>
    <w:p w14:paraId="106B3FE1" w14:textId="77777777" w:rsidR="0089656D" w:rsidRPr="008D4276" w:rsidRDefault="0089656D" w:rsidP="004D6592">
      <w:pPr>
        <w:pStyle w:val="Heading4"/>
        <w:rPr>
          <w:rFonts w:asciiTheme="majorHAnsi" w:hAnsiTheme="majorHAnsi"/>
        </w:rPr>
      </w:pPr>
      <w:r w:rsidRPr="008D4276">
        <w:rPr>
          <w:rFonts w:asciiTheme="majorHAnsi" w:hAnsiTheme="majorHAnsi"/>
        </w:rPr>
        <w:t>Quality of Life Outcomes</w:t>
      </w:r>
    </w:p>
    <w:p w14:paraId="7D7E65D0" w14:textId="54868AC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Study X, the SF-36 results were separated into the physical and mental component summary scores (PCS and MCS, respectively). The PCS mean change from baseline to week 52 was higher (showing more improvement) in the </w:t>
      </w:r>
      <w:r w:rsidR="000031EA" w:rsidRPr="008D4276">
        <w:rPr>
          <w:rFonts w:asciiTheme="majorHAnsi" w:hAnsiTheme="majorHAnsi" w:cstheme="minorHAnsi"/>
        </w:rPr>
        <w:t>tocilizumab</w:t>
      </w:r>
      <w:r w:rsidRPr="008D4276">
        <w:rPr>
          <w:rFonts w:asciiTheme="majorHAnsi" w:hAnsiTheme="majorHAnsi" w:cstheme="minorHAnsi"/>
        </w:rPr>
        <w:t xml:space="preserve"> weekly and every other week dose groups [4.10, 2.76, respectively] than in the two placebo groups [placebo plus 26 weeks; -0.28, placebo plus 52 weeks; -1.49], although only the comparison between </w:t>
      </w:r>
      <w:r w:rsidR="000031EA" w:rsidRPr="008D4276">
        <w:rPr>
          <w:rFonts w:asciiTheme="majorHAnsi" w:hAnsiTheme="majorHAnsi" w:cstheme="minorHAnsi"/>
        </w:rPr>
        <w:t>tocilizumab</w:t>
      </w:r>
      <w:r w:rsidRPr="008D4276">
        <w:rPr>
          <w:rFonts w:asciiTheme="majorHAnsi" w:hAnsiTheme="majorHAnsi" w:cstheme="minorHAnsi"/>
        </w:rPr>
        <w:t xml:space="preserve"> weekly plus 26 weeks prednisone taper group and placebo plus 52 weeks prednisone taper group (5.59, 99% CI: 0.86 10.32) showed a statistically significant difference (p = 0.0024). For MCS, the mean change from baseline to week 52 for both </w:t>
      </w:r>
      <w:r w:rsidR="000031EA" w:rsidRPr="008D4276">
        <w:rPr>
          <w:rFonts w:asciiTheme="majorHAnsi" w:hAnsiTheme="majorHAnsi" w:cstheme="minorHAnsi"/>
        </w:rPr>
        <w:t>tocilizumab</w:t>
      </w:r>
      <w:r w:rsidRPr="008D4276">
        <w:rPr>
          <w:rFonts w:asciiTheme="majorHAnsi" w:hAnsiTheme="majorHAnsi" w:cstheme="minorHAnsi"/>
        </w:rPr>
        <w:t xml:space="preserve"> weekly and every other week dose groups [7.28, 6.12, respectively] were higher than the placebo plus 52 weeks prednisone taper group [2.84] (although the differences were not statistically significant [p = 0.0252 for weekly, p = 0.1468 for every other week]) and similar to the placebo plus 26 weeks prednisone taper group [6.67].</w:t>
      </w:r>
    </w:p>
    <w:p w14:paraId="7514DCE9" w14:textId="77DDD1AA"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Patient’s Global Assessment of disease activity was assessed on a 0 - 100mm Visual Analogue Scale (VAS). The mean change in Patient’s global VAS from baseline at week 52 was lower (showing greater improvement) in the </w:t>
      </w:r>
      <w:r w:rsidR="00905E8A" w:rsidRPr="008D4276">
        <w:rPr>
          <w:rFonts w:asciiTheme="majorHAnsi" w:hAnsiTheme="majorHAnsi" w:cstheme="minorHAnsi"/>
        </w:rPr>
        <w:t>tocilizumab</w:t>
      </w:r>
      <w:r w:rsidRPr="008D4276">
        <w:rPr>
          <w:rFonts w:asciiTheme="majorHAnsi" w:hAnsiTheme="majorHAnsi" w:cstheme="minorHAnsi"/>
        </w:rPr>
        <w:t xml:space="preserve"> weekly and every other week dose groups [-19.0, -25.3, respectively] than in both placebo groups [placebo plus 26 weeks; -3.4, placebo plus 52 weeks; -7.2], although only the </w:t>
      </w:r>
      <w:r w:rsidR="00905E8A" w:rsidRPr="008D4276">
        <w:rPr>
          <w:rFonts w:asciiTheme="majorHAnsi" w:hAnsiTheme="majorHAnsi" w:cstheme="minorHAnsi"/>
        </w:rPr>
        <w:t>tocilizumab</w:t>
      </w:r>
      <w:r w:rsidRPr="008D4276">
        <w:rPr>
          <w:rFonts w:asciiTheme="majorHAnsi" w:hAnsiTheme="majorHAnsi" w:cstheme="minorHAnsi"/>
        </w:rPr>
        <w:t xml:space="preserve"> every other week plus 26 weeks prednisone taper group showed a statistically significance difference compared to placebo [placebo plus 26 weeks taper p = 0.0059, and placebo plus 52 week taper p = 0.0081].</w:t>
      </w:r>
    </w:p>
    <w:p w14:paraId="3C6BDCB1" w14:textId="7DF698C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FACIT-Fatigue change from baseline to Week 52 scores were calculated for all groups. The mean [SD] change scores were as follows: </w:t>
      </w:r>
      <w:r w:rsidR="00905E8A" w:rsidRPr="008D4276">
        <w:rPr>
          <w:rFonts w:asciiTheme="majorHAnsi" w:hAnsiTheme="majorHAnsi" w:cstheme="minorHAnsi"/>
        </w:rPr>
        <w:t>tocilizumab</w:t>
      </w:r>
      <w:r w:rsidRPr="008D4276">
        <w:rPr>
          <w:rFonts w:asciiTheme="majorHAnsi" w:hAnsiTheme="majorHAnsi" w:cstheme="minorHAnsi"/>
        </w:rPr>
        <w:t xml:space="preserve"> weekly 5.61 [10.115], </w:t>
      </w:r>
      <w:r w:rsidR="00905E8A" w:rsidRPr="008D4276">
        <w:rPr>
          <w:rFonts w:asciiTheme="majorHAnsi" w:hAnsiTheme="majorHAnsi" w:cstheme="minorHAnsi"/>
        </w:rPr>
        <w:t>tocilizumab</w:t>
      </w:r>
      <w:r w:rsidRPr="008D4276">
        <w:rPr>
          <w:rFonts w:asciiTheme="majorHAnsi" w:hAnsiTheme="majorHAnsi" w:cstheme="minorHAnsi"/>
        </w:rPr>
        <w:t xml:space="preserve"> every other week 1.81 [8.836], PBO plus 26 weeks 0.26 [10.702], and PBO plus 52 weeks -1.63 [6.753].</w:t>
      </w:r>
    </w:p>
    <w:p w14:paraId="10FE4A7F" w14:textId="22FCC540"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Change in EQ5D scores from baseline to week 52 were </w:t>
      </w:r>
      <w:r w:rsidR="00905E8A" w:rsidRPr="008D4276">
        <w:rPr>
          <w:rFonts w:asciiTheme="majorHAnsi" w:hAnsiTheme="majorHAnsi" w:cstheme="minorHAnsi"/>
        </w:rPr>
        <w:t>tocilizumab</w:t>
      </w:r>
      <w:r w:rsidRPr="008D4276">
        <w:rPr>
          <w:rFonts w:asciiTheme="majorHAnsi" w:hAnsiTheme="majorHAnsi" w:cstheme="minorHAnsi"/>
        </w:rPr>
        <w:t xml:space="preserve"> weekly 0.10 [0.198], </w:t>
      </w:r>
      <w:r w:rsidR="00905E8A" w:rsidRPr="008D4276">
        <w:rPr>
          <w:rFonts w:asciiTheme="majorHAnsi" w:hAnsiTheme="majorHAnsi" w:cstheme="minorHAnsi"/>
        </w:rPr>
        <w:t>tocilizumab</w:t>
      </w:r>
      <w:r w:rsidRPr="008D4276">
        <w:rPr>
          <w:rFonts w:asciiTheme="majorHAnsi" w:hAnsiTheme="majorHAnsi" w:cstheme="minorHAnsi"/>
        </w:rPr>
        <w:t xml:space="preserve"> every other week 0.05 [0.215], placebo 0.07 [0.293], and placebo plus 52 weeks -0.02 [0.159].</w:t>
      </w:r>
    </w:p>
    <w:p w14:paraId="067C9599"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Higher scores signal improvement in both FACIT-Fatigue and EQ5D.</w:t>
      </w:r>
    </w:p>
    <w:p w14:paraId="7483CF8B" w14:textId="77777777" w:rsidR="0089656D" w:rsidRPr="008D4276" w:rsidRDefault="0089656D" w:rsidP="004D6592">
      <w:pPr>
        <w:pStyle w:val="Heading4"/>
        <w:rPr>
          <w:rFonts w:asciiTheme="majorHAnsi" w:hAnsiTheme="majorHAnsi"/>
        </w:rPr>
      </w:pPr>
      <w:r w:rsidRPr="008D4276">
        <w:rPr>
          <w:rFonts w:asciiTheme="majorHAnsi" w:hAnsiTheme="majorHAnsi"/>
        </w:rPr>
        <w:t>COVID-19</w:t>
      </w:r>
    </w:p>
    <w:p w14:paraId="7FBDF3D7"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RECOVERY</w:t>
      </w:r>
    </w:p>
    <w:p w14:paraId="3540721F"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RECOVERY is a randomised evaluation of COVID-19 therapy. This study is a collaborative group study in hospitalised adults diagnosed with COVID-19.</w:t>
      </w:r>
    </w:p>
    <w:p w14:paraId="7A00E803" w14:textId="5627DA8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RECOVERY was a large, randomised, controlled, open-label, multi-centre platform study conducted in the United Kingdom to evaluate the efficacy and safety of potential treatments in hospitalised adult patients with severe COVID-19. All eligible patients received usual care and underwent an initial (main) randomisation. Eligible patients for the trial had clinically suspected or laboratory-confirmed SARS-CoV-2 infection and no medical contraindications to any of the treatments. Patients with clinical evidence of progressive COVID-19 (defined as </w:t>
      </w:r>
      <w:r w:rsidRPr="008D4276">
        <w:rPr>
          <w:rFonts w:asciiTheme="majorHAnsi" w:hAnsiTheme="majorHAnsi" w:cstheme="minorHAnsi"/>
        </w:rPr>
        <w:lastRenderedPageBreak/>
        <w:t xml:space="preserve">oxygen saturation &lt; 92% on room air or receiving oxygen therapy, and CRP </w:t>
      </w:r>
      <w:r w:rsidRPr="008D4276">
        <w:rPr>
          <w:rFonts w:asciiTheme="majorHAnsi" w:hAnsiTheme="majorHAnsi" w:cstheme="minorHAnsi" w:hint="eastAsia"/>
        </w:rPr>
        <w:t>≥</w:t>
      </w:r>
      <w:r w:rsidRPr="008D4276">
        <w:rPr>
          <w:rFonts w:asciiTheme="majorHAnsi" w:hAnsiTheme="majorHAnsi" w:cstheme="minorHAnsi"/>
        </w:rPr>
        <w:t xml:space="preserve"> 75 mg/L) qualified for a second randomisation to receive either intravenous </w:t>
      </w:r>
      <w:r w:rsidR="00905E8A" w:rsidRPr="008D4276">
        <w:rPr>
          <w:rFonts w:asciiTheme="majorHAnsi" w:hAnsiTheme="majorHAnsi" w:cstheme="minorHAnsi"/>
        </w:rPr>
        <w:t>tocilizumab</w:t>
      </w:r>
      <w:r w:rsidRPr="008D4276">
        <w:rPr>
          <w:rFonts w:asciiTheme="majorHAnsi" w:hAnsiTheme="majorHAnsi" w:cstheme="minorHAnsi"/>
        </w:rPr>
        <w:t xml:space="preserve"> or usual care alone.</w:t>
      </w:r>
    </w:p>
    <w:p w14:paraId="0FD1B65A" w14:textId="51F74250"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Efficacy analyses were performed in the intent-to-treat (ITT) population comprising 4116 patients who were randomised with 2022 patients in the </w:t>
      </w:r>
      <w:r w:rsidR="00905E8A" w:rsidRPr="008D4276">
        <w:rPr>
          <w:rFonts w:asciiTheme="majorHAnsi" w:hAnsiTheme="majorHAnsi" w:cstheme="minorHAnsi"/>
        </w:rPr>
        <w:t>tocilizumab</w:t>
      </w:r>
      <w:r w:rsidRPr="008D4276">
        <w:rPr>
          <w:rFonts w:asciiTheme="majorHAnsi" w:hAnsiTheme="majorHAnsi" w:cstheme="minorHAnsi"/>
        </w:rPr>
        <w:t xml:space="preserve"> + usual care arm and 2094 patients in the usual care alone arm. The baseline demographic and disease characteristics of the ITT population were well balanced across treatment arms. The mean age of participants was 63.6 years (standard deviation [SD] 13.6 years). The majority of patients were male (67%) and White (76%).</w:t>
      </w:r>
      <w:r w:rsidR="009B08E8" w:rsidRPr="008D4276">
        <w:rPr>
          <w:rFonts w:asciiTheme="majorHAnsi" w:hAnsiTheme="majorHAnsi" w:cstheme="minorHAnsi"/>
          <w:lang w:eastAsia="ko-KR"/>
        </w:rPr>
        <w:t xml:space="preserve"> </w:t>
      </w:r>
      <w:r w:rsidRPr="008D4276">
        <w:rPr>
          <w:rFonts w:asciiTheme="majorHAnsi" w:hAnsiTheme="majorHAnsi" w:cstheme="minorHAnsi"/>
        </w:rPr>
        <w:t>The median (range) level of CRP was 143 mg/L (75-982). At baseline, 0.2% (N=9) of patients were not on supplemental oxygen, 45% of patients required low flow oxygen, 41% of patients required non-invasive ventilation or high-flow oxygen and 14% of patients required invasive mechanical ventilation; 82% of patients were receiving systemic corticosteroids. The most common comorbidities were diabetes (28.4%), heart disease (22.6%) and chronic lung disease (23.3%).</w:t>
      </w:r>
    </w:p>
    <w:p w14:paraId="7B4D4686" w14:textId="4626D2FD"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primary outcome was time to death through Day 28. The hazard ratio comparing the </w:t>
      </w:r>
      <w:r w:rsidR="00905E8A" w:rsidRPr="008D4276">
        <w:rPr>
          <w:rFonts w:asciiTheme="majorHAnsi" w:hAnsiTheme="majorHAnsi" w:cstheme="minorHAnsi"/>
        </w:rPr>
        <w:t>tocilizumab</w:t>
      </w:r>
      <w:r w:rsidRPr="008D4276">
        <w:rPr>
          <w:rFonts w:asciiTheme="majorHAnsi" w:hAnsiTheme="majorHAnsi" w:cstheme="minorHAnsi"/>
        </w:rPr>
        <w:t xml:space="preserve"> </w:t>
      </w:r>
      <w:r w:rsidR="00905E8A" w:rsidRPr="008D4276">
        <w:rPr>
          <w:rFonts w:asciiTheme="majorHAnsi" w:hAnsiTheme="majorHAnsi" w:cstheme="minorHAnsi"/>
        </w:rPr>
        <w:t>+</w:t>
      </w:r>
      <w:r w:rsidRPr="008D4276">
        <w:rPr>
          <w:rFonts w:asciiTheme="majorHAnsi" w:hAnsiTheme="majorHAnsi" w:cstheme="minorHAnsi"/>
        </w:rPr>
        <w:t xml:space="preserve"> usual care arm to the usual care alone arm was 0.85 (95% CI: 0.76 to 0.94), a statistically significant result (p</w:t>
      </w:r>
      <w:r w:rsidR="00905E8A" w:rsidRPr="008D4276">
        <w:rPr>
          <w:rFonts w:asciiTheme="majorHAnsi" w:hAnsiTheme="majorHAnsi" w:cstheme="minorHAnsi"/>
        </w:rPr>
        <w:t>=</w:t>
      </w:r>
      <w:r w:rsidRPr="008D4276">
        <w:rPr>
          <w:rFonts w:asciiTheme="majorHAnsi" w:hAnsiTheme="majorHAnsi" w:cstheme="minorHAnsi"/>
        </w:rPr>
        <w:t xml:space="preserve">0.0028). The probabilities of dying by Day 28 were estimated to be 30.7% and 34.9% in the </w:t>
      </w:r>
      <w:r w:rsidR="00905E8A" w:rsidRPr="008D4276">
        <w:rPr>
          <w:rFonts w:asciiTheme="majorHAnsi" w:hAnsiTheme="majorHAnsi" w:cstheme="minorHAnsi"/>
        </w:rPr>
        <w:t xml:space="preserve">tocilizumab </w:t>
      </w:r>
      <w:r w:rsidRPr="008D4276">
        <w:rPr>
          <w:rFonts w:asciiTheme="majorHAnsi" w:hAnsiTheme="majorHAnsi" w:cstheme="minorHAnsi"/>
        </w:rPr>
        <w:t>and usual care arms, respectively. The risk difference was estimated to be -4.1% (95% CI: -7.0% to -1.3%), consistent with the primary analysis. Based on this mortality reduction, 25 treated patients are needed to save one life. The hazard ratio among the pre-specified subgroup of patients receiving systemic corticosteroids at baseline was 0.79 (95% CI: 0.70 to 0.89), and for the pre-specified subgroup not receiving systemic corticosteroids at baseline was 1.16 (95% CI: 0.91 to 1.48). Within the subgroup of patients receiving systemic corticosteroids, 17 treated patients are needed to save one life.</w:t>
      </w:r>
    </w:p>
    <w:p w14:paraId="5E978CD9" w14:textId="5A7911A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median time to hospital discharge was 19 days in the </w:t>
      </w:r>
      <w:r w:rsidR="00905E8A" w:rsidRPr="008D4276">
        <w:rPr>
          <w:rFonts w:asciiTheme="majorHAnsi" w:hAnsiTheme="majorHAnsi" w:cstheme="minorHAnsi"/>
        </w:rPr>
        <w:t>tocilizumab</w:t>
      </w:r>
      <w:r w:rsidRPr="008D4276">
        <w:rPr>
          <w:rFonts w:asciiTheme="majorHAnsi" w:hAnsiTheme="majorHAnsi" w:cstheme="minorHAnsi"/>
        </w:rPr>
        <w:t xml:space="preserve"> + usual care arm and &gt; 28 days in the usual care arm (hazard ratio [95% CI] = 1.22 [1.12 to 1.33]).</w:t>
      </w:r>
    </w:p>
    <w:p w14:paraId="6F2AF5CC" w14:textId="71A6C9B2" w:rsidR="0089656D" w:rsidRPr="008D4276" w:rsidRDefault="0089656D" w:rsidP="0089656D">
      <w:pPr>
        <w:rPr>
          <w:rFonts w:asciiTheme="majorHAnsi" w:hAnsiTheme="majorHAnsi" w:cstheme="minorHAnsi"/>
        </w:rPr>
      </w:pPr>
      <w:r w:rsidRPr="008D4276">
        <w:rPr>
          <w:rFonts w:asciiTheme="majorHAnsi" w:hAnsiTheme="majorHAnsi" w:cstheme="minorHAnsi"/>
        </w:rPr>
        <w:t>Among patients not requiring invasive mechanical ventilation at baseline, the proportion of patients who required mechanical ventilation or died by Day 28 was 35% (619/1754) in the</w:t>
      </w:r>
      <w:r w:rsidR="00905E8A" w:rsidRPr="008D4276">
        <w:rPr>
          <w:rFonts w:asciiTheme="majorHAnsi" w:hAnsiTheme="majorHAnsi" w:cstheme="minorHAnsi"/>
        </w:rPr>
        <w:t xml:space="preserve"> tocilizumab</w:t>
      </w:r>
      <w:r w:rsidRPr="008D4276">
        <w:rPr>
          <w:rFonts w:asciiTheme="majorHAnsi" w:hAnsiTheme="majorHAnsi" w:cstheme="minorHAnsi"/>
        </w:rPr>
        <w:t xml:space="preserve"> + usual care arm and 42% (754/1800) in the usual care alone arm (risk ratio [95% CI] = 0.84, [0.77 to 0.92] p &lt; 0.0001).</w:t>
      </w:r>
    </w:p>
    <w:p w14:paraId="1717DE72" w14:textId="3E1B1827" w:rsidR="0089656D" w:rsidRPr="008D4276" w:rsidRDefault="0089656D" w:rsidP="0089656D">
      <w:pPr>
        <w:pStyle w:val="Caption"/>
        <w:rPr>
          <w:rFonts w:asciiTheme="majorHAnsi" w:hAnsiTheme="majorHAnsi" w:cs="Calibri"/>
        </w:rPr>
      </w:pPr>
      <w:r w:rsidRPr="008D4276">
        <w:rPr>
          <w:rFonts w:asciiTheme="majorHAnsi" w:hAnsiTheme="majorHAnsi" w:cs="Calibri"/>
        </w:rPr>
        <w:t xml:space="preserve">Figure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Figure \* ARABIC </w:instrText>
      </w:r>
      <w:r w:rsidR="0006243F" w:rsidRPr="008D4276">
        <w:rPr>
          <w:rFonts w:asciiTheme="majorHAnsi" w:hAnsiTheme="majorHAnsi" w:cs="Calibri"/>
        </w:rPr>
        <w:fldChar w:fldCharType="separate"/>
      </w:r>
      <w:r w:rsidR="004C310F">
        <w:rPr>
          <w:rFonts w:asciiTheme="majorHAnsi" w:hAnsiTheme="majorHAnsi" w:cs="Calibri"/>
          <w:noProof/>
        </w:rPr>
        <w:t>2</w:t>
      </w:r>
      <w:r w:rsidR="0006243F" w:rsidRPr="008D4276">
        <w:rPr>
          <w:rFonts w:asciiTheme="majorHAnsi" w:hAnsiTheme="majorHAnsi" w:cs="Calibri"/>
        </w:rPr>
        <w:fldChar w:fldCharType="end"/>
      </w:r>
      <w:r w:rsidRPr="008D4276">
        <w:rPr>
          <w:rFonts w:asciiTheme="majorHAnsi" w:hAnsiTheme="majorHAnsi" w:cs="Calibri"/>
        </w:rPr>
        <w:t xml:space="preserve"> RECOVERY trial – Effect of allocation to tocilizumab on 28-day mortality by baseline characteristics</w:t>
      </w:r>
    </w:p>
    <w:p w14:paraId="04036D0D" w14:textId="1CF023B8" w:rsidR="0089656D" w:rsidRPr="008D4276" w:rsidRDefault="0089656D" w:rsidP="0089656D">
      <w:pPr>
        <w:rPr>
          <w:rFonts w:asciiTheme="majorHAnsi" w:hAnsiTheme="majorHAnsi" w:cstheme="minorHAnsi"/>
        </w:rPr>
      </w:pPr>
      <w:r w:rsidRPr="008D4276">
        <w:rPr>
          <w:rFonts w:asciiTheme="majorHAnsi" w:hAnsiTheme="majorHAnsi" w:cstheme="minorHAnsi"/>
          <w:noProof/>
          <w:sz w:val="20"/>
        </w:rPr>
        <w:lastRenderedPageBreak/>
        <w:drawing>
          <wp:inline distT="0" distB="0" distL="0" distR="0" wp14:anchorId="43970E7B" wp14:editId="1513525A">
            <wp:extent cx="5722364" cy="380742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722364" cy="3807428"/>
                    </a:xfrm>
                    <a:prstGeom prst="rect">
                      <a:avLst/>
                    </a:prstGeom>
                  </pic:spPr>
                </pic:pic>
              </a:graphicData>
            </a:graphic>
          </wp:inline>
        </w:drawing>
      </w:r>
    </w:p>
    <w:p w14:paraId="3C9D6B0E"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Study ML42528 (EMPACTA)</w:t>
      </w:r>
    </w:p>
    <w:p w14:paraId="7E20D272" w14:textId="225F6782"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Study ML42528 was a global Phase III, randomised, double-blind, placebo-controlled, multi- centre study to assess the efficacy and safety of intravenous </w:t>
      </w:r>
      <w:r w:rsidR="00905E8A" w:rsidRPr="008D4276">
        <w:rPr>
          <w:rFonts w:asciiTheme="majorHAnsi" w:hAnsiTheme="majorHAnsi" w:cstheme="minorHAnsi"/>
        </w:rPr>
        <w:t>tocilizumab</w:t>
      </w:r>
      <w:r w:rsidRPr="008D4276">
        <w:rPr>
          <w:rFonts w:asciiTheme="majorHAnsi" w:hAnsiTheme="majorHAnsi" w:cstheme="minorHAnsi"/>
        </w:rPr>
        <w:t xml:space="preserve"> in combination with standard of care (SoC), in hospitalised, non-ventilated adult patients with COVID-19 pneumonia. Eligible patients were at least 18 years of age, had confirmed SARS-CoV-2 infection by a positive reverse transcriptase polymerase chain reaction (RT-PCR) result, had pneumonia confirmed by radiography, and had SpO2 &lt; 94% on ambient air. Standard of care may have included antiviral treatment, low dose systemic corticosteroids, and supportive care. Patients were randomised at a 2:1 ratio to receive one infusion of either 8 mg/kg </w:t>
      </w:r>
      <w:r w:rsidR="00905E8A" w:rsidRPr="008D4276">
        <w:rPr>
          <w:rFonts w:asciiTheme="majorHAnsi" w:hAnsiTheme="majorHAnsi" w:cstheme="minorHAnsi"/>
        </w:rPr>
        <w:t>tocilizumab</w:t>
      </w:r>
      <w:r w:rsidRPr="008D4276">
        <w:rPr>
          <w:rFonts w:asciiTheme="majorHAnsi" w:hAnsiTheme="majorHAnsi" w:cstheme="minorHAnsi"/>
        </w:rPr>
        <w:t xml:space="preserve"> with a maximum dose of 800 mg, or placebo. If the clinical signs or symptoms worsened or did not improve, one additional infusion of blinded treatment of </w:t>
      </w:r>
      <w:r w:rsidR="00905E8A" w:rsidRPr="008D4276">
        <w:rPr>
          <w:rFonts w:asciiTheme="majorHAnsi" w:hAnsiTheme="majorHAnsi" w:cstheme="minorHAnsi"/>
        </w:rPr>
        <w:t>tocilizumab</w:t>
      </w:r>
      <w:r w:rsidRPr="008D4276">
        <w:rPr>
          <w:rFonts w:asciiTheme="majorHAnsi" w:hAnsiTheme="majorHAnsi" w:cstheme="minorHAnsi"/>
        </w:rPr>
        <w:t xml:space="preserve"> or placebo could be given, 8–24 hours after the initial infusion.</w:t>
      </w:r>
    </w:p>
    <w:p w14:paraId="4C3661DD" w14:textId="4112B0C8"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Of the 389 patients who were randomised, efficacy analyses were performed in the modified intent-to-treat (mITT) population comprised of patients who received any amount of study medication (249 in the </w:t>
      </w:r>
      <w:r w:rsidR="00905E8A" w:rsidRPr="008D4276">
        <w:rPr>
          <w:rFonts w:asciiTheme="majorHAnsi" w:hAnsiTheme="majorHAnsi" w:cstheme="minorHAnsi"/>
        </w:rPr>
        <w:t>tocilizumab</w:t>
      </w:r>
      <w:r w:rsidRPr="008D4276">
        <w:rPr>
          <w:rFonts w:asciiTheme="majorHAnsi" w:hAnsiTheme="majorHAnsi" w:cstheme="minorHAnsi"/>
        </w:rPr>
        <w:t xml:space="preserve"> arm; 128 in the placebo arm). The baseline demographic and disease characteristics were overall balanced across treatment arms. In the mITT population (n=377) at randomisation, median age was 57 years (range 20-95); 59.2% of patients were male, 56% were of Hispanic or Latino ethnicity, 52.8% were White, 20.4% were American Indian/Alaska Native, 15.1% were Black/African American and 1.6% were Asian. At baseline, 35 (9.3%) patients were not on supplemental oxygen, 242 (64.2%) patients required low flow oxygen and 100 (26.5%) patients required high-flow oxygen. The median time from symptom onset was 8.0 days. At baseline, across treatment arms, 72.7% of patients received systemic corticosteroids and 47.7% received remdesivir. The median (range) levels of CRP and </w:t>
      </w:r>
      <w:r w:rsidRPr="008D4276">
        <w:rPr>
          <w:rFonts w:asciiTheme="majorHAnsi" w:hAnsiTheme="majorHAnsi" w:cstheme="minorHAnsi"/>
        </w:rPr>
        <w:lastRenderedPageBreak/>
        <w:t>ferritin were, respectively, 136.10 mg/L (2.5-3776.0), and 1.4 pmol/mL (0.03-122.3). The most common comorbidities were hypertension (48.3%), diabetes (40.6%), hyperlipidemia (27.6%) and obesity (24.4%).</w:t>
      </w:r>
    </w:p>
    <w:p w14:paraId="5D553E44" w14:textId="06EC8588"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primary efficacy endpoint was the cumulative proportion of patients who required mechanical ventilation or died by Day 28. For patients who received </w:t>
      </w:r>
      <w:r w:rsidR="00905E8A" w:rsidRPr="008D4276">
        <w:rPr>
          <w:rFonts w:asciiTheme="majorHAnsi" w:hAnsiTheme="majorHAnsi" w:cstheme="minorHAnsi"/>
        </w:rPr>
        <w:t>tocilizumab</w:t>
      </w:r>
      <w:r w:rsidRPr="008D4276">
        <w:rPr>
          <w:rFonts w:asciiTheme="majorHAnsi" w:hAnsiTheme="majorHAnsi" w:cstheme="minorHAnsi"/>
        </w:rPr>
        <w:t xml:space="preserve">, there was a statistically significant improvement in the time to progression to mechanical ventilation or death compared to patients who received placebo (log-rank p value = 0.0360; HR [95% CI] = 0.56 [0.33 to 0.97]). The cumulative proportion of patients requiring mechanical ventilation or who died by Day 28 estimated by Kaplan-Meier method was 12.0% (95% CI, 8.52% to 16.86%) in the </w:t>
      </w:r>
      <w:r w:rsidR="00905E8A" w:rsidRPr="008D4276">
        <w:rPr>
          <w:rFonts w:asciiTheme="majorHAnsi" w:hAnsiTheme="majorHAnsi" w:cstheme="minorHAnsi"/>
        </w:rPr>
        <w:t>tocilizumab</w:t>
      </w:r>
      <w:r w:rsidRPr="008D4276">
        <w:rPr>
          <w:rFonts w:asciiTheme="majorHAnsi" w:hAnsiTheme="majorHAnsi" w:cstheme="minorHAnsi"/>
        </w:rPr>
        <w:t xml:space="preserve"> arm and 19.3% (95% CI, 13.34% to 27.36%) in the placebo arm.</w:t>
      </w:r>
    </w:p>
    <w:p w14:paraId="2A428E85" w14:textId="3ACB5A92"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median time to hospital discharge or “ready for discharge” to Day 28 was 6.0 days in the </w:t>
      </w:r>
      <w:r w:rsidR="00905E8A" w:rsidRPr="008D4276">
        <w:rPr>
          <w:rFonts w:asciiTheme="majorHAnsi" w:hAnsiTheme="majorHAnsi" w:cstheme="minorHAnsi"/>
        </w:rPr>
        <w:t>tocilizumab</w:t>
      </w:r>
      <w:r w:rsidRPr="008D4276">
        <w:rPr>
          <w:rFonts w:asciiTheme="majorHAnsi" w:hAnsiTheme="majorHAnsi" w:cstheme="minorHAnsi"/>
        </w:rPr>
        <w:t xml:space="preserve"> arm and 7.5 days in the placebo arm (HR=1.16 [95% CI, 0.91 to 1.48]).</w:t>
      </w:r>
    </w:p>
    <w:p w14:paraId="566259A9" w14:textId="6AC1617C"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Mortality at Day 28 was 10.4% in the </w:t>
      </w:r>
      <w:r w:rsidR="00905E8A" w:rsidRPr="008D4276">
        <w:rPr>
          <w:rFonts w:asciiTheme="majorHAnsi" w:hAnsiTheme="majorHAnsi" w:cstheme="minorHAnsi"/>
        </w:rPr>
        <w:t>tocilizumab</w:t>
      </w:r>
      <w:r w:rsidRPr="008D4276">
        <w:rPr>
          <w:rFonts w:asciiTheme="majorHAnsi" w:hAnsiTheme="majorHAnsi" w:cstheme="minorHAnsi"/>
        </w:rPr>
        <w:t xml:space="preserve"> arm versus 8.6% in the placebo arm (weighted difference (</w:t>
      </w:r>
      <w:r w:rsidR="00905E8A" w:rsidRPr="008D4276">
        <w:rPr>
          <w:rFonts w:asciiTheme="majorHAnsi" w:hAnsiTheme="majorHAnsi" w:cstheme="minorHAnsi"/>
        </w:rPr>
        <w:t>tocilizumab</w:t>
      </w:r>
      <w:r w:rsidRPr="008D4276">
        <w:rPr>
          <w:rFonts w:asciiTheme="majorHAnsi" w:hAnsiTheme="majorHAnsi" w:cstheme="minorHAnsi"/>
        </w:rPr>
        <w:t xml:space="preserve"> arm - placebo arm): 2.0% [95% CI, -5.2% to 7.8%]). Mortality at Day 60 (post-hoc analysis) was 11.2% in the </w:t>
      </w:r>
      <w:r w:rsidR="00905E8A" w:rsidRPr="008D4276">
        <w:rPr>
          <w:rFonts w:asciiTheme="majorHAnsi" w:hAnsiTheme="majorHAnsi" w:cstheme="minorHAnsi"/>
        </w:rPr>
        <w:t>tocilizumab</w:t>
      </w:r>
      <w:r w:rsidRPr="008D4276">
        <w:rPr>
          <w:rFonts w:asciiTheme="majorHAnsi" w:hAnsiTheme="majorHAnsi" w:cstheme="minorHAnsi"/>
        </w:rPr>
        <w:t xml:space="preserve"> arm versus 10.9% in the placebo arm (weighted difference (</w:t>
      </w:r>
      <w:r w:rsidR="00905E8A" w:rsidRPr="008D4276">
        <w:rPr>
          <w:rFonts w:asciiTheme="majorHAnsi" w:hAnsiTheme="majorHAnsi" w:cstheme="minorHAnsi"/>
        </w:rPr>
        <w:t>tocilizumab</w:t>
      </w:r>
      <w:r w:rsidRPr="008D4276">
        <w:rPr>
          <w:rFonts w:asciiTheme="majorHAnsi" w:hAnsiTheme="majorHAnsi" w:cstheme="minorHAnsi"/>
        </w:rPr>
        <w:t xml:space="preserve"> arm - placebo arm): 0.5% [95% CI, -6.9% to 6.8%]).</w:t>
      </w:r>
    </w:p>
    <w:p w14:paraId="16167DF7"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Study WA42380 (COVACTA)</w:t>
      </w:r>
    </w:p>
    <w:p w14:paraId="77EB30D6" w14:textId="5143BFDA"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Study WA42380 was a global Phase III, randomised, double-blind, placebo-controlled, multi-centre study to assess the efficacy and safety of intravenous </w:t>
      </w:r>
      <w:r w:rsidR="00905E8A" w:rsidRPr="008D4276">
        <w:rPr>
          <w:rFonts w:asciiTheme="majorHAnsi" w:hAnsiTheme="majorHAnsi" w:cstheme="minorHAnsi"/>
        </w:rPr>
        <w:t>tocilizumab</w:t>
      </w:r>
      <w:r w:rsidRPr="008D4276">
        <w:rPr>
          <w:rFonts w:asciiTheme="majorHAnsi" w:hAnsiTheme="majorHAnsi" w:cstheme="minorHAnsi"/>
        </w:rPr>
        <w:t>, in combination with standard of care (SoC), in adult patients hospitalised with severe COVID-19 pneumonia. Eligible patients were at least 18 years of age, had confirmed SARS-CoV-2 infection by a positive RT-PCR result, had pneumonia confirmed by radiography, and had oxygen saturation of 93% or lower on ambient air or a ratio of arterial oxygen partial pressure to fractional inspired oxygen of 300 mm Hg or less. SOC may have included antiviral treatment, low-dose corticosteroids, convalescent plasma and other supportive therapies. Patients were randomised at a 2:1 ratio to receive one infusion of either 8</w:t>
      </w:r>
      <w:r w:rsidR="00B36DBA" w:rsidRPr="008D4276">
        <w:rPr>
          <w:rFonts w:asciiTheme="majorHAnsi" w:hAnsiTheme="majorHAnsi" w:cstheme="minorHAnsi"/>
        </w:rPr>
        <w:t> </w:t>
      </w:r>
      <w:r w:rsidRPr="008D4276">
        <w:rPr>
          <w:rFonts w:asciiTheme="majorHAnsi" w:hAnsiTheme="majorHAnsi" w:cstheme="minorHAnsi"/>
        </w:rPr>
        <w:t xml:space="preserve">mg/kg </w:t>
      </w:r>
      <w:r w:rsidR="00905E8A" w:rsidRPr="008D4276">
        <w:rPr>
          <w:rFonts w:asciiTheme="majorHAnsi" w:hAnsiTheme="majorHAnsi" w:cstheme="minorHAnsi"/>
        </w:rPr>
        <w:t>tocilizumab</w:t>
      </w:r>
      <w:r w:rsidRPr="008D4276">
        <w:rPr>
          <w:rFonts w:asciiTheme="majorHAnsi" w:hAnsiTheme="majorHAnsi" w:cstheme="minorHAnsi"/>
        </w:rPr>
        <w:t xml:space="preserve">, with a maximum dose of 800 mg, or placebo. If clinical signs or symptoms worsened or did not improve, one additional infusion of blinded treatment of </w:t>
      </w:r>
      <w:r w:rsidR="00905E8A" w:rsidRPr="008D4276">
        <w:rPr>
          <w:rFonts w:asciiTheme="majorHAnsi" w:hAnsiTheme="majorHAnsi" w:cstheme="minorHAnsi"/>
        </w:rPr>
        <w:t>tocilizumab</w:t>
      </w:r>
      <w:r w:rsidRPr="008D4276">
        <w:rPr>
          <w:rFonts w:asciiTheme="majorHAnsi" w:hAnsiTheme="majorHAnsi" w:cstheme="minorHAnsi"/>
        </w:rPr>
        <w:t xml:space="preserve"> or placebo could be given, 8–24 hours after the initial infusion.</w:t>
      </w:r>
    </w:p>
    <w:p w14:paraId="1603CB43" w14:textId="2F23F88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Of the 452 patients who were randomised, efficacy analyses were performed in the modified intent-to-treat (mITT) population comprised of patients who received any amount of study medication (294 in the </w:t>
      </w:r>
      <w:r w:rsidR="00905E8A" w:rsidRPr="008D4276">
        <w:rPr>
          <w:rFonts w:asciiTheme="majorHAnsi" w:hAnsiTheme="majorHAnsi" w:cstheme="minorHAnsi"/>
        </w:rPr>
        <w:t>tocilizumab</w:t>
      </w:r>
      <w:r w:rsidRPr="008D4276">
        <w:rPr>
          <w:rFonts w:asciiTheme="majorHAnsi" w:hAnsiTheme="majorHAnsi" w:cstheme="minorHAnsi"/>
        </w:rPr>
        <w:t xml:space="preserve"> arm; 144 in the placebo arm). The baseline demographic and disease characteristics were overall balanced across treatment arms. For the overall mITT population (n=438) at randomisation, median age was 62 years (range 22-96 with 44.3% of patients aged 65 or older); 69.9% of patients were male, 32.2% were of Hispanic or Latino ethnicity, 57.5% were White, 15.1% were Black/African American and 8.7% were Asian. At baseline, 3.4% of patients were not on supplemental oxygen, 27.9% were on low flow oxygen, 30.4% were on non-invasive ventilation or high flow oxygen, and 38.4% were on invasive mechanical ventilation. The median time from symptom onset was 11.0 days. At baseline, across treatment arms, 22.4% patients received systemic corticosteroids and 5.7% received remdesivir. The median (range) levels of IL-6, CRP and ferritin were, respectively, 85.8 ng/L (3.1-4020), 155.15 mg/L (1.1-499.6), and 2.20 pmol/mL (0.0-75.3). The most common </w:t>
      </w:r>
      <w:r w:rsidRPr="008D4276">
        <w:rPr>
          <w:rFonts w:asciiTheme="majorHAnsi" w:hAnsiTheme="majorHAnsi" w:cstheme="minorHAnsi"/>
        </w:rPr>
        <w:lastRenderedPageBreak/>
        <w:t>comorbidities were hypertension (62.1%), diabetes (38.1%), cardiovascular impairment (28.1%) and obesity (20.5%).</w:t>
      </w:r>
    </w:p>
    <w:p w14:paraId="6558CA2A"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The primary efficacy endpoint was clinical status on Day 28 assessed on a 7-category ordinal scale consisting of the following categories:</w:t>
      </w:r>
    </w:p>
    <w:p w14:paraId="1A508BE5" w14:textId="552687CC"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 xml:space="preserve">Discharged (or “ready for discharge” as evidenced by normal body temperature and respiratory rate, and stable oxygen saturation on ambient air or </w:t>
      </w:r>
      <w:r w:rsidRPr="008D4276">
        <w:rPr>
          <w:rFonts w:asciiTheme="majorHAnsi" w:hAnsiTheme="majorHAnsi" w:cstheme="minorHAnsi" w:hint="eastAsia"/>
        </w:rPr>
        <w:t>≤</w:t>
      </w:r>
      <w:r w:rsidRPr="008D4276">
        <w:rPr>
          <w:rFonts w:asciiTheme="majorHAnsi" w:hAnsiTheme="majorHAnsi" w:cstheme="minorHAnsi"/>
        </w:rPr>
        <w:t xml:space="preserve"> 2L supplemental oxygen);</w:t>
      </w:r>
    </w:p>
    <w:p w14:paraId="1F13937B" w14:textId="4A5003BE"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Non–ICU hospital ward (or “ready for hospital ward”), not requiring supplemental oxygen;</w:t>
      </w:r>
    </w:p>
    <w:p w14:paraId="4D0D8D81" w14:textId="1ED7AAAB"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Non–ICU hospital ward (or “ready for hospital ward”), requiring supplemental oxygen;</w:t>
      </w:r>
    </w:p>
    <w:p w14:paraId="1BFA7411" w14:textId="4E28403F"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ICU or non–ICU hospital ward, requiring non-invasive ventilation or high-flow oxygen;</w:t>
      </w:r>
    </w:p>
    <w:p w14:paraId="724380B9" w14:textId="40780C31"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ICU, requiring intubation and mechanical ventilation;</w:t>
      </w:r>
    </w:p>
    <w:p w14:paraId="22AE1D2A" w14:textId="672626E1"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ICU, requiring extracorporeal membrane oxygenation or mechanical ventilation and additional organ support (e.g., vasopressors, renal replacement therapy);</w:t>
      </w:r>
    </w:p>
    <w:p w14:paraId="3E691186" w14:textId="071289B9" w:rsidR="0089656D" w:rsidRPr="008D4276" w:rsidRDefault="0089656D" w:rsidP="0089656D">
      <w:pPr>
        <w:pStyle w:val="ListParagraph"/>
        <w:numPr>
          <w:ilvl w:val="0"/>
          <w:numId w:val="22"/>
        </w:numPr>
        <w:rPr>
          <w:rFonts w:asciiTheme="majorHAnsi" w:hAnsiTheme="majorHAnsi" w:cstheme="minorHAnsi"/>
        </w:rPr>
      </w:pPr>
      <w:r w:rsidRPr="008D4276">
        <w:rPr>
          <w:rFonts w:asciiTheme="majorHAnsi" w:hAnsiTheme="majorHAnsi" w:cstheme="minorHAnsi"/>
        </w:rPr>
        <w:t>Death</w:t>
      </w:r>
    </w:p>
    <w:p w14:paraId="1B111925" w14:textId="6B8E60E2"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There was no statistically significant difference observed in the distribution of clinical status on the 7-category ordinal scale at Day 28 when comparing the </w:t>
      </w:r>
      <w:r w:rsidR="00905E8A" w:rsidRPr="008D4276">
        <w:rPr>
          <w:rFonts w:asciiTheme="majorHAnsi" w:hAnsiTheme="majorHAnsi" w:cstheme="minorHAnsi"/>
        </w:rPr>
        <w:t>tocilizumab</w:t>
      </w:r>
      <w:r w:rsidRPr="008D4276">
        <w:rPr>
          <w:rFonts w:asciiTheme="majorHAnsi" w:hAnsiTheme="majorHAnsi" w:cstheme="minorHAnsi"/>
        </w:rPr>
        <w:t xml:space="preserve"> arm to the placebo arm. The median clinical status category at Day 28 was 1.0 in the </w:t>
      </w:r>
      <w:r w:rsidR="00905E8A" w:rsidRPr="008D4276">
        <w:rPr>
          <w:rFonts w:asciiTheme="majorHAnsi" w:hAnsiTheme="majorHAnsi" w:cstheme="minorHAnsi"/>
        </w:rPr>
        <w:t>tocilizumab</w:t>
      </w:r>
      <w:r w:rsidRPr="008D4276">
        <w:rPr>
          <w:rFonts w:asciiTheme="majorHAnsi" w:hAnsiTheme="majorHAnsi" w:cstheme="minorHAnsi"/>
        </w:rPr>
        <w:t xml:space="preserve"> arm and 2.0 in the placebo arm (odds ratio (OR) 1.19 [95% CI: 0.81, 1.76]).</w:t>
      </w:r>
    </w:p>
    <w:p w14:paraId="79FE71A9" w14:textId="5027B862"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median time to hospital discharge or “ready for discharge” to Day 28 was 20 days in the </w:t>
      </w:r>
      <w:r w:rsidR="00905E8A" w:rsidRPr="008D4276">
        <w:rPr>
          <w:rFonts w:asciiTheme="majorHAnsi" w:hAnsiTheme="majorHAnsi" w:cstheme="minorHAnsi"/>
        </w:rPr>
        <w:t>tocilizumab</w:t>
      </w:r>
      <w:r w:rsidRPr="008D4276">
        <w:rPr>
          <w:rFonts w:asciiTheme="majorHAnsi" w:hAnsiTheme="majorHAnsi" w:cstheme="minorHAnsi"/>
        </w:rPr>
        <w:t xml:space="preserve"> arm and 28 days in the placebo arm (HR=1.35 [95% CI, 1.02 to 1.79]).</w:t>
      </w:r>
    </w:p>
    <w:p w14:paraId="315B5CB4" w14:textId="4375983A"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Mortality at Day 28 was 19.7% in the </w:t>
      </w:r>
      <w:r w:rsidR="00905E8A" w:rsidRPr="008D4276">
        <w:rPr>
          <w:rFonts w:asciiTheme="majorHAnsi" w:hAnsiTheme="majorHAnsi" w:cstheme="minorHAnsi"/>
        </w:rPr>
        <w:t>tocilizumab</w:t>
      </w:r>
      <w:r w:rsidRPr="008D4276">
        <w:rPr>
          <w:rFonts w:asciiTheme="majorHAnsi" w:hAnsiTheme="majorHAnsi" w:cstheme="minorHAnsi"/>
        </w:rPr>
        <w:t xml:space="preserve"> arm versus 19.4% in the placebo arm (weighted difference (</w:t>
      </w:r>
      <w:r w:rsidR="00905E8A" w:rsidRPr="008D4276">
        <w:rPr>
          <w:rFonts w:asciiTheme="majorHAnsi" w:hAnsiTheme="majorHAnsi" w:cstheme="minorHAnsi"/>
        </w:rPr>
        <w:t>tocilizumab</w:t>
      </w:r>
      <w:r w:rsidRPr="008D4276">
        <w:rPr>
          <w:rFonts w:asciiTheme="majorHAnsi" w:hAnsiTheme="majorHAnsi" w:cstheme="minorHAnsi"/>
        </w:rPr>
        <w:t xml:space="preserve"> arm - placebo arm) Day 28: 0.3% [95% CI, -7.6 to 8.2]. Mortality at Day 60 was 24.5% in the </w:t>
      </w:r>
      <w:r w:rsidR="00905E8A" w:rsidRPr="008D4276">
        <w:rPr>
          <w:rFonts w:asciiTheme="majorHAnsi" w:hAnsiTheme="majorHAnsi" w:cstheme="minorHAnsi"/>
        </w:rPr>
        <w:t>tocilizumab</w:t>
      </w:r>
      <w:r w:rsidRPr="008D4276">
        <w:rPr>
          <w:rFonts w:asciiTheme="majorHAnsi" w:hAnsiTheme="majorHAnsi" w:cstheme="minorHAnsi"/>
        </w:rPr>
        <w:t xml:space="preserve"> arm versus 25.0% in the placebo arm (weighted difference (</w:t>
      </w:r>
      <w:r w:rsidR="00905E8A" w:rsidRPr="008D4276">
        <w:rPr>
          <w:rFonts w:asciiTheme="majorHAnsi" w:hAnsiTheme="majorHAnsi" w:cstheme="minorHAnsi"/>
        </w:rPr>
        <w:t>tocilizumab</w:t>
      </w:r>
      <w:r w:rsidRPr="008D4276">
        <w:rPr>
          <w:rFonts w:asciiTheme="majorHAnsi" w:hAnsiTheme="majorHAnsi" w:cstheme="minorHAnsi"/>
        </w:rPr>
        <w:t xml:space="preserve"> arm - placebo arm): -0.5% [95% CI, -9.1 to 8.0]).</w:t>
      </w:r>
    </w:p>
    <w:p w14:paraId="1900260E"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Study WA42511 (REMDACTA)</w:t>
      </w:r>
    </w:p>
    <w:p w14:paraId="3D4EC5F0" w14:textId="1E0BEB6C"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Study WA42511 was a global, Phase III, randomised, double-blind, placebo-controlled, multi- centre study conducted to assess the efficacy and safety of intravenous </w:t>
      </w:r>
      <w:r w:rsidR="00905E8A" w:rsidRPr="008D4276">
        <w:rPr>
          <w:rFonts w:asciiTheme="majorHAnsi" w:hAnsiTheme="majorHAnsi" w:cstheme="minorHAnsi"/>
        </w:rPr>
        <w:t>tocilizumab</w:t>
      </w:r>
      <w:r w:rsidRPr="008D4276">
        <w:rPr>
          <w:rFonts w:asciiTheme="majorHAnsi" w:hAnsiTheme="majorHAnsi" w:cstheme="minorHAnsi"/>
        </w:rPr>
        <w:t xml:space="preserve"> in combination with remdesivir (RDV) compared with matching placebo in combination with RDV in hospitalised adult patients with severe COVID-19 pneumonia. Eligible patients were at least 12 years of age with confirmed SARS-CoV-2 infection, including a positive polymerase chain reaction (PCR) and pneumonia confirmed by radiography, and required supplemental oxygen &gt; 6 L/min to maintain SpO2 &gt;93%. Patients were randomised at a 2:1 ratio to receive blinded treatment of either </w:t>
      </w:r>
      <w:r w:rsidR="00905E8A" w:rsidRPr="008D4276">
        <w:rPr>
          <w:rFonts w:asciiTheme="majorHAnsi" w:hAnsiTheme="majorHAnsi" w:cstheme="minorHAnsi"/>
        </w:rPr>
        <w:t>tocilizumab</w:t>
      </w:r>
      <w:r w:rsidRPr="008D4276">
        <w:rPr>
          <w:rFonts w:asciiTheme="majorHAnsi" w:hAnsiTheme="majorHAnsi" w:cstheme="minorHAnsi"/>
        </w:rPr>
        <w:t xml:space="preserve">+ RDV or a matching placebo + RDV. Study treatment was given in combination with standard of care per local guidance (e.g corticosteroids, supportive care). Patients assigned to the </w:t>
      </w:r>
      <w:r w:rsidR="00920347" w:rsidRPr="008D4276">
        <w:rPr>
          <w:rFonts w:asciiTheme="majorHAnsi" w:hAnsiTheme="majorHAnsi" w:cstheme="minorHAnsi"/>
        </w:rPr>
        <w:t>tocilizumab</w:t>
      </w:r>
      <w:r w:rsidRPr="008D4276">
        <w:rPr>
          <w:rFonts w:asciiTheme="majorHAnsi" w:hAnsiTheme="majorHAnsi" w:cstheme="minorHAnsi"/>
        </w:rPr>
        <w:t xml:space="preserve"> + RDV arm received one infusion of </w:t>
      </w:r>
      <w:r w:rsidR="00905E8A" w:rsidRPr="008D4276">
        <w:rPr>
          <w:rFonts w:asciiTheme="majorHAnsi" w:hAnsiTheme="majorHAnsi" w:cstheme="minorHAnsi"/>
        </w:rPr>
        <w:t>tocilizumab</w:t>
      </w:r>
      <w:r w:rsidRPr="008D4276">
        <w:rPr>
          <w:rFonts w:asciiTheme="majorHAnsi" w:hAnsiTheme="majorHAnsi" w:cstheme="minorHAnsi"/>
        </w:rPr>
        <w:t xml:space="preserve"> 8 mg/kg, with a maximum dose of 800</w:t>
      </w:r>
      <w:r w:rsidR="004D6592" w:rsidRPr="008D4276">
        <w:rPr>
          <w:rFonts w:asciiTheme="majorHAnsi" w:hAnsiTheme="majorHAnsi" w:cstheme="minorHAnsi"/>
        </w:rPr>
        <w:t> </w:t>
      </w:r>
      <w:r w:rsidRPr="008D4276">
        <w:rPr>
          <w:rFonts w:asciiTheme="majorHAnsi" w:hAnsiTheme="majorHAnsi" w:cstheme="minorHAnsi"/>
        </w:rPr>
        <w:t xml:space="preserve">mg, and patients assigned to the placebo + RDV arm received one infusion of placebo. For both arms, if the clinical signs or symptoms worsened or did not improve one additional infusion of blinded treatment of </w:t>
      </w:r>
      <w:r w:rsidR="00905E8A" w:rsidRPr="008D4276">
        <w:rPr>
          <w:rFonts w:asciiTheme="majorHAnsi" w:hAnsiTheme="majorHAnsi" w:cstheme="minorHAnsi"/>
        </w:rPr>
        <w:t>tocilizumab</w:t>
      </w:r>
      <w:r w:rsidRPr="008D4276">
        <w:rPr>
          <w:rFonts w:asciiTheme="majorHAnsi" w:hAnsiTheme="majorHAnsi" w:cstheme="minorHAnsi"/>
        </w:rPr>
        <w:t xml:space="preserve"> or placebo could be given, 8– 24 hours after the initial infusion.</w:t>
      </w:r>
    </w:p>
    <w:p w14:paraId="120C4BA0" w14:textId="77C1CCA3" w:rsidR="0089656D" w:rsidRPr="008D4276" w:rsidRDefault="0089656D" w:rsidP="0089656D">
      <w:pPr>
        <w:rPr>
          <w:rFonts w:asciiTheme="majorHAnsi" w:hAnsiTheme="majorHAnsi" w:cstheme="minorHAnsi"/>
        </w:rPr>
      </w:pPr>
      <w:r w:rsidRPr="008D4276">
        <w:rPr>
          <w:rFonts w:asciiTheme="majorHAnsi" w:hAnsiTheme="majorHAnsi" w:cstheme="minorHAnsi"/>
        </w:rPr>
        <w:lastRenderedPageBreak/>
        <w:t xml:space="preserve">Of the 649 patients who were randomised, efficacy analyses were performed in the modified intent-to-treat (mITT) population comprised of all patients who received any amount of </w:t>
      </w:r>
      <w:r w:rsidR="00905E8A" w:rsidRPr="008D4276">
        <w:rPr>
          <w:rFonts w:asciiTheme="majorHAnsi" w:hAnsiTheme="majorHAnsi" w:cstheme="minorHAnsi"/>
        </w:rPr>
        <w:t>tocilizumab</w:t>
      </w:r>
      <w:r w:rsidRPr="008D4276">
        <w:rPr>
          <w:rFonts w:asciiTheme="majorHAnsi" w:hAnsiTheme="majorHAnsi" w:cstheme="minorHAnsi"/>
        </w:rPr>
        <w:t xml:space="preserve"> / placebo (430 in the </w:t>
      </w:r>
      <w:r w:rsidR="00905E8A" w:rsidRPr="008D4276">
        <w:rPr>
          <w:rFonts w:asciiTheme="majorHAnsi" w:hAnsiTheme="majorHAnsi" w:cstheme="minorHAnsi"/>
        </w:rPr>
        <w:t>tocilizumab</w:t>
      </w:r>
      <w:r w:rsidRPr="008D4276">
        <w:rPr>
          <w:rFonts w:asciiTheme="majorHAnsi" w:hAnsiTheme="majorHAnsi" w:cstheme="minorHAnsi"/>
        </w:rPr>
        <w:t xml:space="preserve"> + RDV arm; 210 in the placebo + RDV arm). The baseline demographic and disease characteristics were overall balanced across treatment arms. For the overall mITT population (n=640) at randomisation, median age was 60 years (range 20-93 years with 38.3% of patients aged 65 or older); 63.3% of patients were male, 51.6% were Hispanic or Latino, 67% were White, 10.9% were Black/African American and 3.4% were Asian. At baseline, 6.6% were on low flow oxygen, 79.8% were on non-invasive ventilation or high flow oxygen and 13.6% were on invasive mechanical ventilation. The median time from symptom onset was 8 days. At baseline, the majority of patients received corticosteroids (84.2% across treatment arms). The median (range) levels of CRP and ferritin were 98.20 mg/L (1.3 - 418.3) and 2.13 pmol/mL (0.1-30.8), respectively. The most common comorbidities were hypertension (61.7%), diabetes (39.5%) and obesity (27%).</w:t>
      </w:r>
    </w:p>
    <w:p w14:paraId="7CBDFEE1"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The primary efficacy endpoint was time from randomisation to hospital discharge or “ready for discharge” up to Day 28. There was no statistically significant difference observed between treatment arms with respect to time to hospital discharge or “ready for discharge” through Day 28 (HR 0.965 [95% CI: 0.78 to 1.19]) or time to mechanical ventilation or death through Day 28 (HR 0.980 [95% CI: 0.72 to 1.34]).</w:t>
      </w:r>
    </w:p>
    <w:p w14:paraId="1FE80210" w14:textId="018FE99B"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Mortality at Day 28 was 18.1% in the </w:t>
      </w:r>
      <w:r w:rsidR="00905E8A" w:rsidRPr="008D4276">
        <w:rPr>
          <w:rFonts w:asciiTheme="majorHAnsi" w:hAnsiTheme="majorHAnsi" w:cstheme="minorHAnsi"/>
        </w:rPr>
        <w:t>tocilizumab</w:t>
      </w:r>
      <w:r w:rsidRPr="008D4276">
        <w:rPr>
          <w:rFonts w:asciiTheme="majorHAnsi" w:hAnsiTheme="majorHAnsi" w:cstheme="minorHAnsi"/>
        </w:rPr>
        <w:t xml:space="preserve"> arm versus 19.5% in the placebo arm (weighted difference (</w:t>
      </w:r>
      <w:r w:rsidR="00905E8A" w:rsidRPr="008D4276">
        <w:rPr>
          <w:rFonts w:asciiTheme="majorHAnsi" w:hAnsiTheme="majorHAnsi" w:cstheme="minorHAnsi"/>
        </w:rPr>
        <w:t>tocilizumab</w:t>
      </w:r>
      <w:r w:rsidRPr="008D4276">
        <w:rPr>
          <w:rFonts w:asciiTheme="majorHAnsi" w:hAnsiTheme="majorHAnsi" w:cstheme="minorHAnsi"/>
        </w:rPr>
        <w:t xml:space="preserve"> arm - placebo arm): -1.3% [95% CI, -7.8% to 5.2%]). Mortality at Day 60 was 22.6% in the </w:t>
      </w:r>
      <w:r w:rsidR="00905E8A" w:rsidRPr="008D4276">
        <w:rPr>
          <w:rFonts w:asciiTheme="majorHAnsi" w:hAnsiTheme="majorHAnsi" w:cstheme="minorHAnsi"/>
        </w:rPr>
        <w:t>tocilizumab</w:t>
      </w:r>
      <w:r w:rsidRPr="008D4276">
        <w:rPr>
          <w:rFonts w:asciiTheme="majorHAnsi" w:hAnsiTheme="majorHAnsi" w:cstheme="minorHAnsi"/>
        </w:rPr>
        <w:t xml:space="preserve"> arm versus 25.7% in the placebo arm (weighted difference (</w:t>
      </w:r>
      <w:r w:rsidR="00905E8A" w:rsidRPr="008D4276">
        <w:rPr>
          <w:rFonts w:asciiTheme="majorHAnsi" w:hAnsiTheme="majorHAnsi" w:cstheme="minorHAnsi"/>
        </w:rPr>
        <w:t>tocilizumab</w:t>
      </w:r>
      <w:r w:rsidRPr="008D4276">
        <w:rPr>
          <w:rFonts w:asciiTheme="majorHAnsi" w:hAnsiTheme="majorHAnsi" w:cstheme="minorHAnsi"/>
        </w:rPr>
        <w:t xml:space="preserve"> arm - placebo arm): -3.0% [95% CI, -10.1% to 4%]).</w:t>
      </w:r>
    </w:p>
    <w:p w14:paraId="22A3F143"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Meta-analysis of RECOVERY, EMPACTA (Study ML42528), COVACTA (Study WA42380) and REMDACTA (Study WA42511) by Baseline Systemic Corticosteroid Treatment.</w:t>
      </w:r>
    </w:p>
    <w:p w14:paraId="1686BBF1" w14:textId="4CFB40A6" w:rsidR="0089656D" w:rsidRPr="008D4276" w:rsidRDefault="0089656D" w:rsidP="0089656D">
      <w:pPr>
        <w:rPr>
          <w:rFonts w:asciiTheme="majorHAnsi" w:hAnsiTheme="majorHAnsi" w:cstheme="minorHAnsi"/>
        </w:rPr>
      </w:pPr>
      <w:r w:rsidRPr="008D4276">
        <w:rPr>
          <w:rFonts w:asciiTheme="majorHAnsi" w:hAnsiTheme="majorHAnsi" w:cstheme="minorHAnsi"/>
        </w:rPr>
        <w:t>A study-level meta-analysis was conducted on the 3 Roche trials and the RECOVERY study. For each study, the hazard ratio (HR) for time to death up to Day 28 was estimated in the subgroup of patients receiving baseline systemic corticosteroids (</w:t>
      </w:r>
      <w:r w:rsidR="00905E8A" w:rsidRPr="008D4276">
        <w:rPr>
          <w:rFonts w:asciiTheme="majorHAnsi" w:hAnsiTheme="majorHAnsi" w:cstheme="minorHAnsi"/>
        </w:rPr>
        <w:t>tocilizumab</w:t>
      </w:r>
      <w:r w:rsidRPr="008D4276">
        <w:rPr>
          <w:rFonts w:asciiTheme="majorHAnsi" w:hAnsiTheme="majorHAnsi" w:cstheme="minorHAnsi"/>
        </w:rPr>
        <w:t xml:space="preserve">: 597 and placebo: 313 from Roche trials, </w:t>
      </w:r>
      <w:r w:rsidR="00905E8A" w:rsidRPr="008D4276">
        <w:rPr>
          <w:rFonts w:asciiTheme="majorHAnsi" w:hAnsiTheme="majorHAnsi" w:cstheme="minorHAnsi"/>
        </w:rPr>
        <w:t>tocilizumab</w:t>
      </w:r>
      <w:r w:rsidRPr="008D4276">
        <w:rPr>
          <w:rFonts w:asciiTheme="majorHAnsi" w:hAnsiTheme="majorHAnsi" w:cstheme="minorHAnsi"/>
        </w:rPr>
        <w:t xml:space="preserve">: 1664 and standard of care 1721 from RECOVERY). The combined HR showed that </w:t>
      </w:r>
      <w:r w:rsidR="00905E8A" w:rsidRPr="008D4276">
        <w:rPr>
          <w:rFonts w:asciiTheme="majorHAnsi" w:hAnsiTheme="majorHAnsi" w:cstheme="minorHAnsi"/>
        </w:rPr>
        <w:t>tocilizumab</w:t>
      </w:r>
      <w:r w:rsidRPr="008D4276">
        <w:rPr>
          <w:rFonts w:asciiTheme="majorHAnsi" w:hAnsiTheme="majorHAnsi" w:cstheme="minorHAnsi"/>
        </w:rPr>
        <w:t xml:space="preserve"> treatment (n=2261) resulted in a 19% relative reduction in the risk of death up to Day 28 (HR=0.81; 95% CI: 0.72, 0.90; p=0.0002) compared to SoC (n=2034).</w:t>
      </w:r>
    </w:p>
    <w:p w14:paraId="75EFE602" w14:textId="48D194AE" w:rsidR="0089656D" w:rsidRPr="008D4276" w:rsidRDefault="0089656D" w:rsidP="004D6592">
      <w:pPr>
        <w:pStyle w:val="Caption"/>
        <w:keepNext/>
        <w:rPr>
          <w:rFonts w:asciiTheme="majorHAnsi" w:hAnsiTheme="majorHAnsi" w:cs="Calibri"/>
        </w:rPr>
      </w:pPr>
      <w:r w:rsidRPr="008D4276">
        <w:rPr>
          <w:rFonts w:asciiTheme="majorHAnsi" w:hAnsiTheme="majorHAnsi" w:cs="Calibri"/>
        </w:rPr>
        <w:lastRenderedPageBreak/>
        <w:t xml:space="preserve">Figure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Figure \* ARABIC </w:instrText>
      </w:r>
      <w:r w:rsidR="0006243F" w:rsidRPr="008D4276">
        <w:rPr>
          <w:rFonts w:asciiTheme="majorHAnsi" w:hAnsiTheme="majorHAnsi" w:cs="Calibri"/>
        </w:rPr>
        <w:fldChar w:fldCharType="separate"/>
      </w:r>
      <w:r w:rsidR="004C310F">
        <w:rPr>
          <w:rFonts w:asciiTheme="majorHAnsi" w:hAnsiTheme="majorHAnsi" w:cs="Calibri"/>
          <w:noProof/>
        </w:rPr>
        <w:t>3</w:t>
      </w:r>
      <w:r w:rsidR="0006243F" w:rsidRPr="008D4276">
        <w:rPr>
          <w:rFonts w:asciiTheme="majorHAnsi" w:hAnsiTheme="majorHAnsi" w:cs="Calibri"/>
        </w:rPr>
        <w:fldChar w:fldCharType="end"/>
      </w:r>
      <w:r w:rsidRPr="008D4276">
        <w:rPr>
          <w:rFonts w:asciiTheme="majorHAnsi" w:hAnsiTheme="majorHAnsi" w:cs="Calibri"/>
        </w:rPr>
        <w:t xml:space="preserve"> Meta analysis of Time to Death up to Day 28 for Baseline Corticosteroid Use Subpopulation</w:t>
      </w:r>
    </w:p>
    <w:p w14:paraId="68F50F36" w14:textId="67B281CD" w:rsidR="0089656D" w:rsidRPr="008D4276" w:rsidRDefault="0089656D" w:rsidP="0089656D">
      <w:pPr>
        <w:rPr>
          <w:rFonts w:asciiTheme="majorHAnsi" w:hAnsiTheme="majorHAnsi" w:cstheme="minorHAnsi"/>
        </w:rPr>
      </w:pPr>
      <w:r w:rsidRPr="008D4276">
        <w:rPr>
          <w:rFonts w:asciiTheme="majorHAnsi" w:hAnsiTheme="majorHAnsi" w:cstheme="minorHAnsi"/>
          <w:noProof/>
        </w:rPr>
        <w:drawing>
          <wp:inline distT="0" distB="0" distL="0" distR="0" wp14:anchorId="653E4C74" wp14:editId="4C3B8698">
            <wp:extent cx="5139690" cy="26885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9690" cy="2688590"/>
                    </a:xfrm>
                    <a:prstGeom prst="rect">
                      <a:avLst/>
                    </a:prstGeom>
                    <a:noFill/>
                  </pic:spPr>
                </pic:pic>
              </a:graphicData>
            </a:graphic>
          </wp:inline>
        </w:drawing>
      </w:r>
    </w:p>
    <w:p w14:paraId="6905134E" w14:textId="77777777" w:rsidR="0089656D" w:rsidRPr="008D4276" w:rsidRDefault="0089656D" w:rsidP="0089656D">
      <w:pPr>
        <w:rPr>
          <w:rFonts w:asciiTheme="majorHAnsi" w:hAnsiTheme="majorHAnsi" w:cstheme="minorHAnsi"/>
        </w:rPr>
      </w:pPr>
    </w:p>
    <w:p w14:paraId="042DBDCE" w14:textId="77777777" w:rsidR="0089656D" w:rsidRPr="008D4276" w:rsidRDefault="0089656D" w:rsidP="004D6592">
      <w:pPr>
        <w:pStyle w:val="Heading4"/>
        <w:rPr>
          <w:rFonts w:asciiTheme="majorHAnsi" w:hAnsiTheme="majorHAnsi"/>
        </w:rPr>
      </w:pPr>
      <w:r w:rsidRPr="008D4276">
        <w:rPr>
          <w:rFonts w:asciiTheme="majorHAnsi" w:hAnsiTheme="majorHAnsi"/>
        </w:rPr>
        <w:t>Polyarticular Juvenile Idiopathic Arthritis</w:t>
      </w:r>
    </w:p>
    <w:p w14:paraId="69D734DE"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Intravenous administration</w:t>
      </w:r>
    </w:p>
    <w:p w14:paraId="001408DC" w14:textId="5DEC08A4"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efficacy of intravenous </w:t>
      </w:r>
      <w:r w:rsidR="00905E8A" w:rsidRPr="008D4276">
        <w:rPr>
          <w:rFonts w:asciiTheme="majorHAnsi" w:hAnsiTheme="majorHAnsi" w:cstheme="minorHAnsi"/>
        </w:rPr>
        <w:t>tocilizumab</w:t>
      </w:r>
      <w:r w:rsidRPr="008D4276">
        <w:rPr>
          <w:rFonts w:asciiTheme="majorHAnsi" w:hAnsiTheme="majorHAnsi" w:cstheme="minorHAnsi"/>
        </w:rPr>
        <w:t xml:space="preserve"> was assessed in a three-part study including an open-label extension in children with moderately to severely active pJIA, who had an inadequate response to methotrexate (MTX) or inability to tolerate MTX (Study XI, CHERISH). Patients had at least 6 months of active disease (mean disease duration of 4.2 ± 3.7 years), with at least 5 joints with active arthritis (swollen or limitation of movement accompanied by pain and/or tenderness) and/or at least 3 active joints having limitation of motion (mean, 20 ± 14 active joints). The patients treated had subtypes of JIA that at disease onset included Rheumatoid Factor Positive or Negative Polyarticular JIA, or Extended Oligoarticular JIA. Treatment with a stable dose of MTX was permitted but was not required during the study. Concurrent use of DMARDs other than MTX, or other biologics (e.g. TNF antagonists or T cell costimulation modulator) were not permitted in the study. Ten patients who participated in the study were less than 4 years of age.</w:t>
      </w:r>
    </w:p>
    <w:p w14:paraId="1BA49C18" w14:textId="52F95BE8"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Part I consisted of a 16 week active </w:t>
      </w:r>
      <w:r w:rsidR="00905E8A" w:rsidRPr="008D4276">
        <w:rPr>
          <w:rFonts w:asciiTheme="majorHAnsi" w:hAnsiTheme="majorHAnsi" w:cstheme="minorHAnsi"/>
        </w:rPr>
        <w:t>tocilizumab</w:t>
      </w:r>
      <w:r w:rsidRPr="008D4276">
        <w:rPr>
          <w:rFonts w:asciiTheme="majorHAnsi" w:hAnsiTheme="majorHAnsi" w:cstheme="minorHAnsi"/>
        </w:rPr>
        <w:t xml:space="preserve"> treatment lead in period (n=188) followed by Part II, a 24 week randomised, double-blind, placebo-controlled withdrawal period (ITT n=163), followed by Part III, a 64 week open-label period. Eligible patients </w:t>
      </w:r>
      <w:r w:rsidRPr="008D4276">
        <w:rPr>
          <w:rFonts w:asciiTheme="majorHAnsi" w:hAnsiTheme="majorHAnsi" w:cstheme="minorHAnsi" w:hint="eastAsia"/>
        </w:rPr>
        <w:t>≥</w:t>
      </w:r>
      <w:r w:rsidRPr="008D4276">
        <w:rPr>
          <w:rFonts w:asciiTheme="majorHAnsi" w:hAnsiTheme="majorHAnsi" w:cstheme="minorHAnsi"/>
        </w:rPr>
        <w:t xml:space="preserve"> 30 kg received </w:t>
      </w:r>
      <w:r w:rsidR="00905E8A" w:rsidRPr="008D4276">
        <w:rPr>
          <w:rFonts w:asciiTheme="majorHAnsi" w:hAnsiTheme="majorHAnsi" w:cstheme="minorHAnsi"/>
        </w:rPr>
        <w:t>tocilizumab</w:t>
      </w:r>
      <w:r w:rsidRPr="008D4276">
        <w:rPr>
          <w:rFonts w:asciiTheme="majorHAnsi" w:hAnsiTheme="majorHAnsi" w:cstheme="minorHAnsi"/>
        </w:rPr>
        <w:t xml:space="preserve"> at 8 mg/kg for 4 doses. Patients &lt; 30 kg were randomised 1:1 to receive either </w:t>
      </w:r>
      <w:r w:rsidR="00905E8A" w:rsidRPr="008D4276">
        <w:rPr>
          <w:rFonts w:asciiTheme="majorHAnsi" w:hAnsiTheme="majorHAnsi" w:cstheme="minorHAnsi"/>
        </w:rPr>
        <w:t>tocilizumab</w:t>
      </w:r>
      <w:r w:rsidRPr="008D4276">
        <w:rPr>
          <w:rFonts w:asciiTheme="majorHAnsi" w:hAnsiTheme="majorHAnsi" w:cstheme="minorHAnsi"/>
        </w:rPr>
        <w:t xml:space="preserve"> 8 mg/kg or 10 mg/kg IV every 4 weeks for 4 doses. Patients who completed Part I of the study and achieved at least a JIA ACR30 response at week 16 compared to baseline entered the blinded withdrawal period (Part II) of the study. In Part II, patients were randomised to </w:t>
      </w:r>
      <w:r w:rsidR="00905E8A" w:rsidRPr="008D4276">
        <w:rPr>
          <w:rFonts w:asciiTheme="majorHAnsi" w:hAnsiTheme="majorHAnsi" w:cstheme="minorHAnsi"/>
        </w:rPr>
        <w:t>tocilizumab</w:t>
      </w:r>
      <w:r w:rsidRPr="008D4276">
        <w:rPr>
          <w:rFonts w:asciiTheme="majorHAnsi" w:hAnsiTheme="majorHAnsi" w:cstheme="minorHAnsi"/>
        </w:rPr>
        <w:t xml:space="preserve"> (same dose received in Part I) or placebo in a 1:1 ratio, stratified by concurrent MTX use and concurrent corticosteroid use. Each patient continued in Part II of the study until Week 40 or until the patient satisfied JIA ACR30 flare criteria (relative to Week 16) and qualified for escape.</w:t>
      </w:r>
    </w:p>
    <w:p w14:paraId="1504F2BB" w14:textId="4347BECE" w:rsidR="0089656D" w:rsidRPr="008D4276" w:rsidRDefault="0089656D" w:rsidP="0089656D">
      <w:pPr>
        <w:rPr>
          <w:rFonts w:asciiTheme="majorHAnsi" w:hAnsiTheme="majorHAnsi" w:cstheme="minorHAnsi"/>
        </w:rPr>
      </w:pPr>
      <w:r w:rsidRPr="008D4276">
        <w:rPr>
          <w:rFonts w:asciiTheme="majorHAnsi" w:hAnsiTheme="majorHAnsi" w:cstheme="minorHAnsi"/>
        </w:rPr>
        <w:lastRenderedPageBreak/>
        <w:t xml:space="preserve">The primary endpoint was the proportion of patients with a JIA ACR30 flare at week 40 relative to week 16. JIA ACR 30 flare was defined as 3 or more of the 6 core outcome variables worsening by at least 30% with no more than 1 of the remaining variables improving by more than 30% relative to Week 16. Forty eight percent (48.1%, 39/81) of the patients treated with placebo flared compared with 25.6% (21/82) of </w:t>
      </w:r>
      <w:r w:rsidR="00905E8A" w:rsidRPr="008D4276">
        <w:rPr>
          <w:rFonts w:asciiTheme="majorHAnsi" w:hAnsiTheme="majorHAnsi" w:cstheme="minorHAnsi"/>
        </w:rPr>
        <w:t>tocilizumab</w:t>
      </w:r>
      <w:r w:rsidRPr="008D4276">
        <w:rPr>
          <w:rFonts w:asciiTheme="majorHAnsi" w:hAnsiTheme="majorHAnsi" w:cstheme="minorHAnsi"/>
        </w:rPr>
        <w:t>-treated patients. These proportions were statistically significantly different (p=0.0024).</w:t>
      </w:r>
    </w:p>
    <w:p w14:paraId="79E09EE9"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At the conclusion of Part I, JIA ACR 30/50/70/90 responses were 89.4%, 83.0%, 62.2%, and 26.1%, respectively.</w:t>
      </w:r>
    </w:p>
    <w:p w14:paraId="7AEC60F4" w14:textId="393D4C94" w:rsidR="0089656D" w:rsidRPr="008D4276" w:rsidRDefault="0089656D" w:rsidP="0089656D">
      <w:pPr>
        <w:rPr>
          <w:rFonts w:asciiTheme="majorHAnsi" w:hAnsiTheme="majorHAnsi" w:cstheme="minorHAnsi"/>
        </w:rPr>
      </w:pPr>
      <w:r w:rsidRPr="008D4276">
        <w:rPr>
          <w:rFonts w:asciiTheme="majorHAnsi" w:hAnsiTheme="majorHAnsi" w:cstheme="minorHAnsi"/>
        </w:rPr>
        <w:t>During the withdrawal phase (Part II), the percentages of patients achieving JIA ACR 30, 50, and 70 responses at Week 40 relative to baseline are shown in the table below.</w:t>
      </w:r>
    </w:p>
    <w:p w14:paraId="07E9200B" w14:textId="33530B1B" w:rsidR="0089656D" w:rsidRPr="008D4276" w:rsidRDefault="0089656D" w:rsidP="00965311">
      <w:pPr>
        <w:pStyle w:val="Caption"/>
        <w:rPr>
          <w:rFonts w:asciiTheme="majorHAnsi" w:hAnsiTheme="majorHAnsi" w:cs="Calibri"/>
        </w:rPr>
      </w:pPr>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12</w:t>
      </w:r>
      <w:r w:rsidR="0006243F" w:rsidRPr="008D4276">
        <w:rPr>
          <w:rFonts w:asciiTheme="majorHAnsi" w:hAnsiTheme="majorHAnsi" w:cs="Calibri"/>
        </w:rPr>
        <w:fldChar w:fldCharType="end"/>
      </w:r>
      <w:r w:rsidRPr="008D4276">
        <w:rPr>
          <w:rFonts w:asciiTheme="majorHAnsi" w:hAnsiTheme="majorHAnsi" w:cs="Calibri"/>
        </w:rPr>
        <w:t xml:space="preserve"> JIA ACR response rates at week 40 relative to baseline (percentages of patients)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14"/>
        <w:gridCol w:w="2610"/>
        <w:gridCol w:w="2396"/>
      </w:tblGrid>
      <w:tr w:rsidR="00965311" w:rsidRPr="001922B7" w14:paraId="7AAAA915" w14:textId="77777777" w:rsidTr="00965311">
        <w:trPr>
          <w:trHeight w:val="506"/>
        </w:trPr>
        <w:tc>
          <w:tcPr>
            <w:tcW w:w="2225" w:type="pct"/>
          </w:tcPr>
          <w:p w14:paraId="0456D82F" w14:textId="77777777" w:rsidR="00965311" w:rsidRPr="008D4276" w:rsidRDefault="00965311" w:rsidP="00965311">
            <w:pPr>
              <w:pStyle w:val="NoSpacing"/>
              <w:rPr>
                <w:rFonts w:asciiTheme="majorHAnsi" w:hAnsiTheme="majorHAnsi" w:cs="Calibri"/>
                <w:sz w:val="20"/>
                <w:szCs w:val="20"/>
              </w:rPr>
            </w:pPr>
            <w:r w:rsidRPr="008D4276">
              <w:rPr>
                <w:rFonts w:asciiTheme="majorHAnsi" w:hAnsiTheme="majorHAnsi" w:cs="Calibri"/>
                <w:sz w:val="20"/>
                <w:szCs w:val="20"/>
              </w:rPr>
              <w:t>Response Rate</w:t>
            </w:r>
          </w:p>
        </w:tc>
        <w:tc>
          <w:tcPr>
            <w:tcW w:w="1447" w:type="pct"/>
            <w:vAlign w:val="center"/>
          </w:tcPr>
          <w:p w14:paraId="2EB17B55" w14:textId="54BAC50F" w:rsidR="00965311" w:rsidRPr="008D4276" w:rsidRDefault="00905E8A" w:rsidP="00965311">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Tocilizumab</w:t>
            </w:r>
            <w:r w:rsidR="00965311" w:rsidRPr="008D4276">
              <w:rPr>
                <w:rFonts w:asciiTheme="majorHAnsi" w:hAnsiTheme="majorHAnsi" w:cs="Calibri"/>
                <w:b/>
                <w:bCs/>
                <w:sz w:val="20"/>
                <w:szCs w:val="20"/>
              </w:rPr>
              <w:t xml:space="preserve"> </w:t>
            </w:r>
          </w:p>
          <w:p w14:paraId="12B0428B" w14:textId="3A24BE9E" w:rsidR="00965311" w:rsidRPr="008D4276" w:rsidRDefault="00965311" w:rsidP="00965311">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n=82</w:t>
            </w:r>
          </w:p>
        </w:tc>
        <w:tc>
          <w:tcPr>
            <w:tcW w:w="1328" w:type="pct"/>
            <w:vAlign w:val="center"/>
          </w:tcPr>
          <w:p w14:paraId="32489EE7" w14:textId="77777777" w:rsidR="00965311" w:rsidRPr="008D4276" w:rsidRDefault="00965311" w:rsidP="00965311">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 xml:space="preserve">Placebo </w:t>
            </w:r>
          </w:p>
          <w:p w14:paraId="0EF57C35" w14:textId="69D52DBD" w:rsidR="00965311" w:rsidRPr="008D4276" w:rsidRDefault="00965311" w:rsidP="00965311">
            <w:pPr>
              <w:pStyle w:val="NoSpacing"/>
              <w:jc w:val="center"/>
              <w:rPr>
                <w:rFonts w:asciiTheme="majorHAnsi" w:hAnsiTheme="majorHAnsi" w:cs="Calibri"/>
                <w:b/>
                <w:bCs/>
                <w:sz w:val="20"/>
                <w:szCs w:val="20"/>
              </w:rPr>
            </w:pPr>
            <w:r w:rsidRPr="008D4276">
              <w:rPr>
                <w:rFonts w:asciiTheme="majorHAnsi" w:hAnsiTheme="majorHAnsi" w:cs="Calibri"/>
                <w:b/>
                <w:bCs/>
                <w:sz w:val="20"/>
                <w:szCs w:val="20"/>
              </w:rPr>
              <w:t>n=81</w:t>
            </w:r>
          </w:p>
        </w:tc>
      </w:tr>
      <w:tr w:rsidR="00965311" w:rsidRPr="001922B7" w14:paraId="4B94131D" w14:textId="77777777" w:rsidTr="00965311">
        <w:trPr>
          <w:trHeight w:val="251"/>
        </w:trPr>
        <w:tc>
          <w:tcPr>
            <w:tcW w:w="2225" w:type="pct"/>
          </w:tcPr>
          <w:p w14:paraId="002594CD" w14:textId="77777777" w:rsidR="00965311" w:rsidRPr="008D4276" w:rsidRDefault="00965311" w:rsidP="00965311">
            <w:pPr>
              <w:pStyle w:val="NoSpacing"/>
              <w:rPr>
                <w:rFonts w:asciiTheme="majorHAnsi" w:hAnsiTheme="majorHAnsi" w:cs="Calibri"/>
                <w:sz w:val="20"/>
                <w:szCs w:val="20"/>
              </w:rPr>
            </w:pPr>
            <w:r w:rsidRPr="008D4276">
              <w:rPr>
                <w:rFonts w:asciiTheme="majorHAnsi" w:hAnsiTheme="majorHAnsi" w:cs="Calibri"/>
                <w:sz w:val="20"/>
                <w:szCs w:val="20"/>
              </w:rPr>
              <w:t>JIA ACR 30</w:t>
            </w:r>
          </w:p>
        </w:tc>
        <w:tc>
          <w:tcPr>
            <w:tcW w:w="1447" w:type="pct"/>
            <w:vAlign w:val="center"/>
          </w:tcPr>
          <w:p w14:paraId="3CCA2DDA"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74.4%</w:t>
            </w:r>
            <w:r w:rsidRPr="008D4276">
              <w:rPr>
                <w:rFonts w:asciiTheme="majorHAnsi" w:hAnsiTheme="majorHAnsi" w:cs="Calibri"/>
                <w:sz w:val="20"/>
                <w:szCs w:val="20"/>
                <w:vertAlign w:val="superscript"/>
              </w:rPr>
              <w:t>†</w:t>
            </w:r>
          </w:p>
        </w:tc>
        <w:tc>
          <w:tcPr>
            <w:tcW w:w="1328" w:type="pct"/>
            <w:vAlign w:val="center"/>
          </w:tcPr>
          <w:p w14:paraId="334DD293"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54.3%</w:t>
            </w:r>
            <w:r w:rsidRPr="008D4276">
              <w:rPr>
                <w:rFonts w:asciiTheme="majorHAnsi" w:hAnsiTheme="majorHAnsi" w:cs="Calibri"/>
                <w:sz w:val="20"/>
                <w:szCs w:val="20"/>
                <w:vertAlign w:val="superscript"/>
              </w:rPr>
              <w:t>†</w:t>
            </w:r>
          </w:p>
        </w:tc>
      </w:tr>
      <w:tr w:rsidR="00965311" w:rsidRPr="001922B7" w14:paraId="7222A97F" w14:textId="77777777" w:rsidTr="00965311">
        <w:trPr>
          <w:trHeight w:val="251"/>
        </w:trPr>
        <w:tc>
          <w:tcPr>
            <w:tcW w:w="2225" w:type="pct"/>
          </w:tcPr>
          <w:p w14:paraId="0AAE24D7" w14:textId="77777777" w:rsidR="00965311" w:rsidRPr="008D4276" w:rsidRDefault="00965311" w:rsidP="00965311">
            <w:pPr>
              <w:pStyle w:val="NoSpacing"/>
              <w:rPr>
                <w:rFonts w:asciiTheme="majorHAnsi" w:hAnsiTheme="majorHAnsi" w:cs="Calibri"/>
                <w:sz w:val="20"/>
                <w:szCs w:val="20"/>
              </w:rPr>
            </w:pPr>
            <w:r w:rsidRPr="008D4276">
              <w:rPr>
                <w:rFonts w:asciiTheme="majorHAnsi" w:hAnsiTheme="majorHAnsi" w:cs="Calibri"/>
                <w:sz w:val="20"/>
                <w:szCs w:val="20"/>
              </w:rPr>
              <w:t>JIA ACR 50</w:t>
            </w:r>
          </w:p>
        </w:tc>
        <w:tc>
          <w:tcPr>
            <w:tcW w:w="1447" w:type="pct"/>
            <w:vAlign w:val="center"/>
          </w:tcPr>
          <w:p w14:paraId="55C815C2"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73.2%</w:t>
            </w:r>
            <w:r w:rsidRPr="008D4276">
              <w:rPr>
                <w:rFonts w:asciiTheme="majorHAnsi" w:hAnsiTheme="majorHAnsi" w:cs="Calibri"/>
                <w:sz w:val="20"/>
                <w:szCs w:val="20"/>
                <w:vertAlign w:val="superscript"/>
              </w:rPr>
              <w:t>†</w:t>
            </w:r>
          </w:p>
        </w:tc>
        <w:tc>
          <w:tcPr>
            <w:tcW w:w="1328" w:type="pct"/>
            <w:vAlign w:val="center"/>
          </w:tcPr>
          <w:p w14:paraId="77F7A284"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51.9%</w:t>
            </w:r>
            <w:r w:rsidRPr="008D4276">
              <w:rPr>
                <w:rFonts w:asciiTheme="majorHAnsi" w:hAnsiTheme="majorHAnsi" w:cs="Calibri"/>
                <w:sz w:val="20"/>
                <w:szCs w:val="20"/>
                <w:vertAlign w:val="superscript"/>
              </w:rPr>
              <w:t>†</w:t>
            </w:r>
          </w:p>
        </w:tc>
      </w:tr>
      <w:tr w:rsidR="00965311" w:rsidRPr="001922B7" w14:paraId="51FDF59C" w14:textId="77777777" w:rsidTr="00965311">
        <w:trPr>
          <w:trHeight w:val="254"/>
        </w:trPr>
        <w:tc>
          <w:tcPr>
            <w:tcW w:w="2225" w:type="pct"/>
          </w:tcPr>
          <w:p w14:paraId="36CD5D9B" w14:textId="77777777" w:rsidR="00965311" w:rsidRPr="008D4276" w:rsidRDefault="00965311" w:rsidP="00965311">
            <w:pPr>
              <w:pStyle w:val="NoSpacing"/>
              <w:rPr>
                <w:rFonts w:asciiTheme="majorHAnsi" w:hAnsiTheme="majorHAnsi" w:cs="Calibri"/>
                <w:sz w:val="20"/>
                <w:szCs w:val="20"/>
              </w:rPr>
            </w:pPr>
            <w:r w:rsidRPr="008D4276">
              <w:rPr>
                <w:rFonts w:asciiTheme="majorHAnsi" w:hAnsiTheme="majorHAnsi" w:cs="Calibri"/>
                <w:sz w:val="20"/>
                <w:szCs w:val="20"/>
              </w:rPr>
              <w:t>JIA ACR 70</w:t>
            </w:r>
          </w:p>
        </w:tc>
        <w:tc>
          <w:tcPr>
            <w:tcW w:w="1447" w:type="pct"/>
            <w:vAlign w:val="center"/>
          </w:tcPr>
          <w:p w14:paraId="7F8CCF82"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64.6%</w:t>
            </w:r>
            <w:r w:rsidRPr="008D4276">
              <w:rPr>
                <w:rFonts w:asciiTheme="majorHAnsi" w:hAnsiTheme="majorHAnsi" w:cs="Calibri"/>
                <w:sz w:val="20"/>
                <w:szCs w:val="20"/>
                <w:vertAlign w:val="superscript"/>
              </w:rPr>
              <w:t>†</w:t>
            </w:r>
          </w:p>
        </w:tc>
        <w:tc>
          <w:tcPr>
            <w:tcW w:w="1328" w:type="pct"/>
            <w:vAlign w:val="center"/>
          </w:tcPr>
          <w:p w14:paraId="5801A403"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42.0%</w:t>
            </w:r>
            <w:r w:rsidRPr="008D4276">
              <w:rPr>
                <w:rFonts w:asciiTheme="majorHAnsi" w:hAnsiTheme="majorHAnsi" w:cs="Calibri"/>
                <w:sz w:val="20"/>
                <w:szCs w:val="20"/>
                <w:vertAlign w:val="superscript"/>
              </w:rPr>
              <w:t>†</w:t>
            </w:r>
          </w:p>
        </w:tc>
      </w:tr>
    </w:tbl>
    <w:p w14:paraId="2471BB99" w14:textId="1C26A918" w:rsidR="00965311" w:rsidRPr="008D4276" w:rsidRDefault="00965311" w:rsidP="00965311">
      <w:pPr>
        <w:rPr>
          <w:rFonts w:asciiTheme="majorHAnsi" w:hAnsiTheme="majorHAnsi" w:cstheme="minorHAnsi"/>
          <w:sz w:val="18"/>
          <w:szCs w:val="18"/>
        </w:rPr>
      </w:pPr>
      <w:r w:rsidRPr="008D4276">
        <w:rPr>
          <w:rFonts w:asciiTheme="majorHAnsi" w:hAnsiTheme="majorHAnsi" w:cstheme="minorHAnsi"/>
          <w:sz w:val="18"/>
          <w:szCs w:val="18"/>
        </w:rPr>
        <w:t xml:space="preserve">† p&lt;0.001, </w:t>
      </w:r>
      <w:r w:rsidR="00905E8A" w:rsidRPr="008D4276">
        <w:rPr>
          <w:rFonts w:asciiTheme="majorHAnsi" w:hAnsiTheme="majorHAnsi" w:cstheme="minorHAnsi"/>
          <w:sz w:val="18"/>
          <w:szCs w:val="18"/>
        </w:rPr>
        <w:t>tocilizumab</w:t>
      </w:r>
      <w:r w:rsidRPr="008D4276">
        <w:rPr>
          <w:rFonts w:asciiTheme="majorHAnsi" w:hAnsiTheme="majorHAnsi" w:cstheme="minorHAnsi"/>
          <w:sz w:val="18"/>
          <w:szCs w:val="18"/>
        </w:rPr>
        <w:t xml:space="preserve"> vs. placebo</w:t>
      </w:r>
    </w:p>
    <w:p w14:paraId="4623A6E0" w14:textId="186095ED"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 difference in the incidence of JIA ACR30 flare during Week 16 to 40 was observed between those patients who were and were not taking concurrent MTX, and those patients who had previously been exposed to a biologic DMARD or not. Irrespective of concurrent MTX or previous biologic </w:t>
      </w:r>
      <w:r w:rsidRPr="008D4276">
        <w:rPr>
          <w:rFonts w:asciiTheme="majorHAnsi" w:hAnsiTheme="majorHAnsi"/>
        </w:rPr>
        <w:t xml:space="preserve">DMARD use JIA ACR30 flare was lower for patients receiving </w:t>
      </w:r>
      <w:r w:rsidR="00905E8A" w:rsidRPr="008D4276">
        <w:rPr>
          <w:rFonts w:asciiTheme="majorHAnsi" w:hAnsiTheme="majorHAnsi"/>
        </w:rPr>
        <w:t>tocilizumab</w:t>
      </w:r>
      <w:r w:rsidRPr="008D4276">
        <w:rPr>
          <w:rFonts w:asciiTheme="majorHAnsi" w:hAnsiTheme="majorHAnsi"/>
        </w:rPr>
        <w:t xml:space="preserve"> compared to placebo (</w:t>
      </w:r>
      <w:r w:rsidR="00B36DBA" w:rsidRPr="008D4276">
        <w:rPr>
          <w:rFonts w:asciiTheme="majorHAnsi" w:hAnsiTheme="majorHAnsi"/>
        </w:rPr>
        <w:fldChar w:fldCharType="begin"/>
      </w:r>
      <w:r w:rsidR="00B36DBA" w:rsidRPr="008D4276">
        <w:rPr>
          <w:rFonts w:asciiTheme="majorHAnsi" w:hAnsiTheme="majorHAnsi"/>
        </w:rPr>
        <w:instrText xml:space="preserve"> REF _Ref178871360 \h  \* MERGEFORMAT </w:instrText>
      </w:r>
      <w:r w:rsidR="00B36DBA" w:rsidRPr="008D4276">
        <w:rPr>
          <w:rFonts w:asciiTheme="majorHAnsi" w:hAnsiTheme="majorHAnsi"/>
        </w:rPr>
      </w:r>
      <w:r w:rsidR="00B36DBA" w:rsidRPr="008D4276">
        <w:rPr>
          <w:rFonts w:asciiTheme="majorHAnsi" w:hAnsiTheme="majorHAnsi"/>
        </w:rPr>
        <w:fldChar w:fldCharType="separate"/>
      </w:r>
      <w:r w:rsidR="004C310F" w:rsidRPr="004C310F">
        <w:rPr>
          <w:rFonts w:asciiTheme="majorHAnsi" w:hAnsiTheme="majorHAnsi"/>
        </w:rPr>
        <w:t>Table 13</w:t>
      </w:r>
      <w:r w:rsidR="00B36DBA" w:rsidRPr="008D4276">
        <w:rPr>
          <w:rFonts w:asciiTheme="majorHAnsi" w:hAnsiTheme="majorHAnsi"/>
        </w:rPr>
        <w:fldChar w:fldCharType="end"/>
      </w:r>
      <w:r w:rsidRPr="008D4276">
        <w:rPr>
          <w:rFonts w:asciiTheme="majorHAnsi" w:hAnsiTheme="majorHAnsi"/>
        </w:rPr>
        <w:t>).</w:t>
      </w:r>
    </w:p>
    <w:p w14:paraId="2DA44ADB" w14:textId="2AF9818E" w:rsidR="0089656D" w:rsidRPr="008D4276" w:rsidRDefault="0089656D" w:rsidP="00965311">
      <w:pPr>
        <w:pStyle w:val="Caption"/>
        <w:rPr>
          <w:rFonts w:asciiTheme="majorHAnsi" w:hAnsiTheme="majorHAnsi" w:cs="Calibri"/>
        </w:rPr>
      </w:pPr>
      <w:bookmarkStart w:id="64" w:name="_Ref178871360"/>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13</w:t>
      </w:r>
      <w:r w:rsidR="0006243F" w:rsidRPr="008D4276">
        <w:rPr>
          <w:rFonts w:asciiTheme="majorHAnsi" w:hAnsiTheme="majorHAnsi" w:cs="Calibri"/>
        </w:rPr>
        <w:fldChar w:fldCharType="end"/>
      </w:r>
      <w:bookmarkEnd w:id="64"/>
      <w:r w:rsidRPr="008D4276">
        <w:rPr>
          <w:rFonts w:asciiTheme="majorHAnsi" w:hAnsiTheme="majorHAnsi" w:cs="Calibri"/>
        </w:rPr>
        <w:t xml:space="preserve"> Proportion of patients with a JIA ACR30 Flare at Week 40 by background MTX use at baseline or prior biologic DMARD use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1"/>
        <w:gridCol w:w="1735"/>
        <w:gridCol w:w="1582"/>
        <w:gridCol w:w="1735"/>
        <w:gridCol w:w="1607"/>
      </w:tblGrid>
      <w:tr w:rsidR="00965311" w:rsidRPr="001922B7" w14:paraId="61D0EA7F" w14:textId="77777777" w:rsidTr="00965311">
        <w:trPr>
          <w:trHeight w:val="254"/>
        </w:trPr>
        <w:tc>
          <w:tcPr>
            <w:tcW w:w="1308" w:type="pct"/>
          </w:tcPr>
          <w:p w14:paraId="041E0830" w14:textId="77777777" w:rsidR="00965311" w:rsidRPr="008D4276" w:rsidRDefault="00965311" w:rsidP="00965311">
            <w:pPr>
              <w:pStyle w:val="NoSpacing"/>
              <w:rPr>
                <w:rFonts w:asciiTheme="majorHAnsi" w:hAnsiTheme="majorHAnsi" w:cs="Calibri"/>
                <w:sz w:val="20"/>
                <w:szCs w:val="20"/>
              </w:rPr>
            </w:pPr>
          </w:p>
        </w:tc>
        <w:tc>
          <w:tcPr>
            <w:tcW w:w="1839" w:type="pct"/>
            <w:gridSpan w:val="2"/>
            <w:vAlign w:val="center"/>
          </w:tcPr>
          <w:p w14:paraId="0F2CBF48"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Placebo</w:t>
            </w:r>
          </w:p>
        </w:tc>
        <w:tc>
          <w:tcPr>
            <w:tcW w:w="1853" w:type="pct"/>
            <w:gridSpan w:val="2"/>
            <w:vAlign w:val="center"/>
          </w:tcPr>
          <w:p w14:paraId="42B2D638" w14:textId="3C408CEE" w:rsidR="00965311" w:rsidRPr="008D4276" w:rsidRDefault="00905E8A"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tocilizumab</w:t>
            </w:r>
          </w:p>
        </w:tc>
      </w:tr>
      <w:tr w:rsidR="00965311" w:rsidRPr="001922B7" w14:paraId="076BB48A" w14:textId="77777777" w:rsidTr="00965311">
        <w:trPr>
          <w:trHeight w:val="251"/>
        </w:trPr>
        <w:tc>
          <w:tcPr>
            <w:tcW w:w="1308" w:type="pct"/>
          </w:tcPr>
          <w:p w14:paraId="26C10745" w14:textId="77777777" w:rsidR="00965311" w:rsidRPr="008D4276" w:rsidRDefault="00965311" w:rsidP="00965311">
            <w:pPr>
              <w:pStyle w:val="NoSpacing"/>
              <w:rPr>
                <w:rFonts w:asciiTheme="majorHAnsi" w:hAnsiTheme="majorHAnsi" w:cs="Calibri"/>
                <w:b/>
                <w:sz w:val="20"/>
                <w:szCs w:val="20"/>
              </w:rPr>
            </w:pPr>
            <w:r w:rsidRPr="008D4276">
              <w:rPr>
                <w:rFonts w:asciiTheme="majorHAnsi" w:hAnsiTheme="majorHAnsi" w:cs="Calibri"/>
                <w:b/>
                <w:sz w:val="20"/>
                <w:szCs w:val="20"/>
              </w:rPr>
              <w:t>MTX Use</w:t>
            </w:r>
          </w:p>
        </w:tc>
        <w:tc>
          <w:tcPr>
            <w:tcW w:w="962" w:type="pct"/>
            <w:vAlign w:val="center"/>
          </w:tcPr>
          <w:p w14:paraId="5640A294"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Yes (n=64)</w:t>
            </w:r>
          </w:p>
        </w:tc>
        <w:tc>
          <w:tcPr>
            <w:tcW w:w="877" w:type="pct"/>
            <w:vAlign w:val="center"/>
          </w:tcPr>
          <w:p w14:paraId="08A9F0AB"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No (n=17)</w:t>
            </w:r>
          </w:p>
        </w:tc>
        <w:tc>
          <w:tcPr>
            <w:tcW w:w="962" w:type="pct"/>
            <w:vAlign w:val="center"/>
          </w:tcPr>
          <w:p w14:paraId="7A828EFC"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Yes (n=67)</w:t>
            </w:r>
          </w:p>
        </w:tc>
        <w:tc>
          <w:tcPr>
            <w:tcW w:w="890" w:type="pct"/>
            <w:vAlign w:val="center"/>
          </w:tcPr>
          <w:p w14:paraId="7DB44298"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No (n=15)</w:t>
            </w:r>
          </w:p>
        </w:tc>
      </w:tr>
      <w:tr w:rsidR="00965311" w:rsidRPr="001922B7" w14:paraId="1611D423" w14:textId="77777777" w:rsidTr="00965311">
        <w:trPr>
          <w:trHeight w:val="253"/>
        </w:trPr>
        <w:tc>
          <w:tcPr>
            <w:tcW w:w="1308" w:type="pct"/>
          </w:tcPr>
          <w:p w14:paraId="49F9B43A" w14:textId="77777777" w:rsidR="00965311" w:rsidRPr="008D4276" w:rsidRDefault="00965311" w:rsidP="00965311">
            <w:pPr>
              <w:pStyle w:val="NoSpacing"/>
              <w:rPr>
                <w:rFonts w:asciiTheme="majorHAnsi" w:hAnsiTheme="majorHAnsi" w:cs="Calibri"/>
                <w:sz w:val="20"/>
                <w:szCs w:val="20"/>
              </w:rPr>
            </w:pPr>
            <w:r w:rsidRPr="008D4276">
              <w:rPr>
                <w:rFonts w:asciiTheme="majorHAnsi" w:hAnsiTheme="majorHAnsi" w:cs="Calibri"/>
                <w:sz w:val="20"/>
                <w:szCs w:val="20"/>
              </w:rPr>
              <w:t>JIA ACR30 Flare</w:t>
            </w:r>
          </w:p>
        </w:tc>
        <w:tc>
          <w:tcPr>
            <w:tcW w:w="962" w:type="pct"/>
            <w:vAlign w:val="center"/>
          </w:tcPr>
          <w:p w14:paraId="0B83E15A"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25 (39.1%)</w:t>
            </w:r>
          </w:p>
        </w:tc>
        <w:tc>
          <w:tcPr>
            <w:tcW w:w="877" w:type="pct"/>
            <w:vAlign w:val="center"/>
          </w:tcPr>
          <w:p w14:paraId="5D68E9B9"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14 (82.4%)</w:t>
            </w:r>
          </w:p>
        </w:tc>
        <w:tc>
          <w:tcPr>
            <w:tcW w:w="962" w:type="pct"/>
            <w:vAlign w:val="center"/>
          </w:tcPr>
          <w:p w14:paraId="1CDB489C"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13 (19.4%)</w:t>
            </w:r>
          </w:p>
        </w:tc>
        <w:tc>
          <w:tcPr>
            <w:tcW w:w="890" w:type="pct"/>
            <w:vAlign w:val="center"/>
          </w:tcPr>
          <w:p w14:paraId="237D3974"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8 (53.3%)</w:t>
            </w:r>
          </w:p>
        </w:tc>
      </w:tr>
      <w:tr w:rsidR="00965311" w:rsidRPr="001922B7" w14:paraId="0391854C" w14:textId="77777777" w:rsidTr="00965311">
        <w:trPr>
          <w:trHeight w:val="251"/>
        </w:trPr>
        <w:tc>
          <w:tcPr>
            <w:tcW w:w="1308" w:type="pct"/>
          </w:tcPr>
          <w:p w14:paraId="4503F0A5" w14:textId="77777777" w:rsidR="00965311" w:rsidRPr="008D4276" w:rsidRDefault="00965311" w:rsidP="00965311">
            <w:pPr>
              <w:pStyle w:val="NoSpacing"/>
              <w:rPr>
                <w:rFonts w:asciiTheme="majorHAnsi" w:hAnsiTheme="majorHAnsi" w:cs="Calibri"/>
                <w:b/>
                <w:sz w:val="20"/>
                <w:szCs w:val="20"/>
              </w:rPr>
            </w:pPr>
            <w:r w:rsidRPr="008D4276">
              <w:rPr>
                <w:rFonts w:asciiTheme="majorHAnsi" w:hAnsiTheme="majorHAnsi" w:cs="Calibri"/>
                <w:b/>
                <w:sz w:val="20"/>
                <w:szCs w:val="20"/>
              </w:rPr>
              <w:t>Prior Biologic Use</w:t>
            </w:r>
          </w:p>
        </w:tc>
        <w:tc>
          <w:tcPr>
            <w:tcW w:w="962" w:type="pct"/>
            <w:vAlign w:val="center"/>
          </w:tcPr>
          <w:p w14:paraId="4333D10B"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Yes (n=23)</w:t>
            </w:r>
          </w:p>
        </w:tc>
        <w:tc>
          <w:tcPr>
            <w:tcW w:w="877" w:type="pct"/>
            <w:vAlign w:val="center"/>
          </w:tcPr>
          <w:p w14:paraId="35E76A70"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No (n=58)</w:t>
            </w:r>
          </w:p>
        </w:tc>
        <w:tc>
          <w:tcPr>
            <w:tcW w:w="962" w:type="pct"/>
            <w:vAlign w:val="center"/>
          </w:tcPr>
          <w:p w14:paraId="09EB238E"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Yes (n=27)</w:t>
            </w:r>
          </w:p>
        </w:tc>
        <w:tc>
          <w:tcPr>
            <w:tcW w:w="890" w:type="pct"/>
            <w:vAlign w:val="center"/>
          </w:tcPr>
          <w:p w14:paraId="1CBFC266" w14:textId="77777777" w:rsidR="00965311" w:rsidRPr="008D4276" w:rsidRDefault="00965311" w:rsidP="00965311">
            <w:pPr>
              <w:pStyle w:val="NoSpacing"/>
              <w:jc w:val="center"/>
              <w:rPr>
                <w:rFonts w:asciiTheme="majorHAnsi" w:hAnsiTheme="majorHAnsi" w:cs="Calibri"/>
                <w:b/>
                <w:sz w:val="20"/>
                <w:szCs w:val="20"/>
              </w:rPr>
            </w:pPr>
            <w:r w:rsidRPr="008D4276">
              <w:rPr>
                <w:rFonts w:asciiTheme="majorHAnsi" w:hAnsiTheme="majorHAnsi" w:cs="Calibri"/>
                <w:b/>
                <w:sz w:val="20"/>
                <w:szCs w:val="20"/>
              </w:rPr>
              <w:t>No (n=55)</w:t>
            </w:r>
          </w:p>
        </w:tc>
      </w:tr>
      <w:tr w:rsidR="00965311" w:rsidRPr="001922B7" w14:paraId="25981729" w14:textId="77777777" w:rsidTr="00965311">
        <w:trPr>
          <w:trHeight w:val="253"/>
        </w:trPr>
        <w:tc>
          <w:tcPr>
            <w:tcW w:w="1308" w:type="pct"/>
          </w:tcPr>
          <w:p w14:paraId="00B3579B" w14:textId="77777777" w:rsidR="00965311" w:rsidRPr="008D4276" w:rsidRDefault="00965311" w:rsidP="00965311">
            <w:pPr>
              <w:pStyle w:val="NoSpacing"/>
              <w:rPr>
                <w:rFonts w:asciiTheme="majorHAnsi" w:hAnsiTheme="majorHAnsi" w:cs="Calibri"/>
                <w:sz w:val="20"/>
                <w:szCs w:val="20"/>
              </w:rPr>
            </w:pPr>
            <w:r w:rsidRPr="008D4276">
              <w:rPr>
                <w:rFonts w:asciiTheme="majorHAnsi" w:hAnsiTheme="majorHAnsi" w:cs="Calibri"/>
                <w:sz w:val="20"/>
                <w:szCs w:val="20"/>
              </w:rPr>
              <w:t>JIA ACR30 Flare</w:t>
            </w:r>
          </w:p>
        </w:tc>
        <w:tc>
          <w:tcPr>
            <w:tcW w:w="962" w:type="pct"/>
            <w:vAlign w:val="center"/>
          </w:tcPr>
          <w:p w14:paraId="7B34821D"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18 (78.3)</w:t>
            </w:r>
          </w:p>
        </w:tc>
        <w:tc>
          <w:tcPr>
            <w:tcW w:w="877" w:type="pct"/>
            <w:vAlign w:val="center"/>
          </w:tcPr>
          <w:p w14:paraId="28708434"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21 (36.2)</w:t>
            </w:r>
          </w:p>
        </w:tc>
        <w:tc>
          <w:tcPr>
            <w:tcW w:w="962" w:type="pct"/>
            <w:vAlign w:val="center"/>
          </w:tcPr>
          <w:p w14:paraId="7F8C9308"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12 (44.4)</w:t>
            </w:r>
          </w:p>
        </w:tc>
        <w:tc>
          <w:tcPr>
            <w:tcW w:w="890" w:type="pct"/>
            <w:vAlign w:val="center"/>
          </w:tcPr>
          <w:p w14:paraId="4EF1996F" w14:textId="77777777" w:rsidR="00965311" w:rsidRPr="008D4276" w:rsidRDefault="00965311" w:rsidP="00965311">
            <w:pPr>
              <w:pStyle w:val="NoSpacing"/>
              <w:jc w:val="center"/>
              <w:rPr>
                <w:rFonts w:asciiTheme="majorHAnsi" w:hAnsiTheme="majorHAnsi" w:cs="Calibri"/>
                <w:sz w:val="20"/>
                <w:szCs w:val="20"/>
              </w:rPr>
            </w:pPr>
            <w:r w:rsidRPr="008D4276">
              <w:rPr>
                <w:rFonts w:asciiTheme="majorHAnsi" w:hAnsiTheme="majorHAnsi" w:cs="Calibri"/>
                <w:sz w:val="20"/>
                <w:szCs w:val="20"/>
              </w:rPr>
              <w:t>9 (16.4)</w:t>
            </w:r>
          </w:p>
        </w:tc>
      </w:tr>
    </w:tbl>
    <w:p w14:paraId="50EB1EF0" w14:textId="77777777" w:rsidR="00965311" w:rsidRPr="008D4276" w:rsidRDefault="00965311" w:rsidP="00965311">
      <w:pPr>
        <w:rPr>
          <w:rFonts w:asciiTheme="majorHAnsi" w:hAnsiTheme="majorHAnsi" w:cstheme="minorHAnsi"/>
        </w:rPr>
      </w:pPr>
    </w:p>
    <w:p w14:paraId="21F4586D" w14:textId="556EA98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Part III maintenance of efficacy through Week 104 was demonstrated for each of the JIA responses rates and were similar between the continuous </w:t>
      </w:r>
      <w:r w:rsidR="00905E8A" w:rsidRPr="008D4276">
        <w:rPr>
          <w:rFonts w:asciiTheme="majorHAnsi" w:hAnsiTheme="majorHAnsi" w:cstheme="minorHAnsi"/>
        </w:rPr>
        <w:t>tocilizumab</w:t>
      </w:r>
      <w:r w:rsidRPr="008D4276">
        <w:rPr>
          <w:rFonts w:asciiTheme="majorHAnsi" w:hAnsiTheme="majorHAnsi" w:cstheme="minorHAnsi"/>
        </w:rPr>
        <w:t xml:space="preserve">-treated subgroup and the placebo-treated patients in Part II who re-commenced </w:t>
      </w:r>
      <w:r w:rsidR="00905E8A" w:rsidRPr="008D4276">
        <w:rPr>
          <w:rFonts w:asciiTheme="majorHAnsi" w:hAnsiTheme="majorHAnsi" w:cstheme="minorHAnsi"/>
        </w:rPr>
        <w:t>tocilizumab</w:t>
      </w:r>
      <w:r w:rsidRPr="008D4276">
        <w:rPr>
          <w:rFonts w:asciiTheme="majorHAnsi" w:hAnsiTheme="majorHAnsi" w:cstheme="minorHAnsi"/>
        </w:rPr>
        <w:t>. For the continuous</w:t>
      </w:r>
      <w:r w:rsidR="00905E8A" w:rsidRPr="008D4276">
        <w:rPr>
          <w:rFonts w:asciiTheme="majorHAnsi" w:hAnsiTheme="majorHAnsi" w:cstheme="minorHAnsi"/>
        </w:rPr>
        <w:t xml:space="preserve"> tocilizumab</w:t>
      </w:r>
      <w:r w:rsidRPr="008D4276">
        <w:rPr>
          <w:rFonts w:asciiTheme="majorHAnsi" w:hAnsiTheme="majorHAnsi" w:cstheme="minorHAnsi"/>
        </w:rPr>
        <w:t xml:space="preserve"> group the JIA ACR 30/50/70/90 response rates at Week 104 were 95.1%, 90.2%, 86.6% and 70.7%, respectively. For placebo-treated patients in Part II who re-commenced </w:t>
      </w:r>
      <w:r w:rsidR="00905E8A" w:rsidRPr="008D4276">
        <w:rPr>
          <w:rFonts w:asciiTheme="majorHAnsi" w:hAnsiTheme="majorHAnsi" w:cstheme="minorHAnsi"/>
        </w:rPr>
        <w:t>tocilizumab</w:t>
      </w:r>
      <w:r w:rsidRPr="008D4276">
        <w:rPr>
          <w:rFonts w:asciiTheme="majorHAnsi" w:hAnsiTheme="majorHAnsi" w:cstheme="minorHAnsi"/>
        </w:rPr>
        <w:t xml:space="preserve"> JIA ACR 30/50/70/90 response rates at Week 104 were 95.1%, 95.1%, 91.4%, and 66.7%, respectively. Improvement in JIA ACR core components observed at Week 40 was maintained.</w:t>
      </w:r>
    </w:p>
    <w:p w14:paraId="35F11FF2"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Subcutaneous Administration</w:t>
      </w:r>
    </w:p>
    <w:p w14:paraId="7E63524A"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A 52-week, open-label, multi-centre, PK-PD and safety study (Study XI, JIGSAW) was conducted in paediatric patients with pJIA, aged 1 to 17 years old.</w:t>
      </w:r>
    </w:p>
    <w:p w14:paraId="42332C96" w14:textId="6004719E" w:rsidR="0089656D" w:rsidRPr="008D4276" w:rsidRDefault="0089656D" w:rsidP="0089656D">
      <w:pPr>
        <w:rPr>
          <w:rFonts w:asciiTheme="majorHAnsi" w:hAnsiTheme="majorHAnsi" w:cstheme="minorHAnsi"/>
        </w:rPr>
      </w:pPr>
      <w:r w:rsidRPr="008D4276">
        <w:rPr>
          <w:rFonts w:asciiTheme="majorHAnsi" w:hAnsiTheme="majorHAnsi" w:cstheme="minorHAnsi"/>
        </w:rPr>
        <w:lastRenderedPageBreak/>
        <w:t xml:space="preserve">Eligible patients received </w:t>
      </w:r>
      <w:r w:rsidR="00905E8A" w:rsidRPr="008D4276">
        <w:rPr>
          <w:rFonts w:asciiTheme="majorHAnsi" w:hAnsiTheme="majorHAnsi" w:cstheme="minorHAnsi"/>
        </w:rPr>
        <w:t>tocilizumab</w:t>
      </w:r>
      <w:r w:rsidRPr="008D4276">
        <w:rPr>
          <w:rFonts w:asciiTheme="majorHAnsi" w:hAnsiTheme="majorHAnsi" w:cstheme="minorHAnsi"/>
        </w:rPr>
        <w:t xml:space="preserve"> dosed according to body weight, with patients weighing </w:t>
      </w:r>
      <w:r w:rsidR="00E96AC8" w:rsidRPr="008D4276">
        <w:rPr>
          <w:rFonts w:asciiTheme="majorHAnsi" w:hAnsiTheme="majorHAnsi" w:cstheme="minorHAnsi" w:hint="eastAsia"/>
        </w:rPr>
        <w:t>≥</w:t>
      </w:r>
      <w:r w:rsidRPr="008D4276">
        <w:rPr>
          <w:rFonts w:asciiTheme="majorHAnsi" w:hAnsiTheme="majorHAnsi" w:cstheme="minorHAnsi"/>
        </w:rPr>
        <w:t xml:space="preserve">30 kg (n </w:t>
      </w:r>
      <w:r w:rsidR="00E96AC8" w:rsidRPr="008D4276">
        <w:rPr>
          <w:rFonts w:asciiTheme="majorHAnsi" w:hAnsiTheme="majorHAnsi" w:cstheme="minorHAnsi"/>
        </w:rPr>
        <w:t>=</w:t>
      </w:r>
      <w:r w:rsidRPr="008D4276">
        <w:rPr>
          <w:rFonts w:asciiTheme="majorHAnsi" w:hAnsiTheme="majorHAnsi" w:cstheme="minorHAnsi"/>
        </w:rPr>
        <w:t xml:space="preserve"> 25) dosed with 162 mg of </w:t>
      </w:r>
      <w:r w:rsidR="00E96AC8" w:rsidRPr="008D4276">
        <w:rPr>
          <w:rFonts w:asciiTheme="majorHAnsi" w:hAnsiTheme="majorHAnsi" w:cstheme="minorHAnsi"/>
        </w:rPr>
        <w:t>tocilizumab</w:t>
      </w:r>
      <w:r w:rsidRPr="008D4276">
        <w:rPr>
          <w:rFonts w:asciiTheme="majorHAnsi" w:hAnsiTheme="majorHAnsi" w:cstheme="minorHAnsi"/>
        </w:rPr>
        <w:t xml:space="preserve"> every 2 weeks (Q2W) and patients weighing below 30 kg (n </w:t>
      </w:r>
      <w:r w:rsidR="00E96AC8" w:rsidRPr="008D4276">
        <w:rPr>
          <w:rFonts w:asciiTheme="majorHAnsi" w:hAnsiTheme="majorHAnsi" w:cstheme="minorHAnsi"/>
        </w:rPr>
        <w:t>=</w:t>
      </w:r>
      <w:r w:rsidRPr="008D4276">
        <w:rPr>
          <w:rFonts w:asciiTheme="majorHAnsi" w:hAnsiTheme="majorHAnsi" w:cstheme="minorHAnsi"/>
        </w:rPr>
        <w:t xml:space="preserve"> 27) dosed with 162 mg of </w:t>
      </w:r>
      <w:r w:rsidR="00E96AC8" w:rsidRPr="008D4276">
        <w:rPr>
          <w:rFonts w:asciiTheme="majorHAnsi" w:hAnsiTheme="majorHAnsi" w:cstheme="minorHAnsi"/>
        </w:rPr>
        <w:t>tocilizumab</w:t>
      </w:r>
      <w:r w:rsidRPr="008D4276">
        <w:rPr>
          <w:rFonts w:asciiTheme="majorHAnsi" w:hAnsiTheme="majorHAnsi" w:cstheme="minorHAnsi"/>
        </w:rPr>
        <w:t xml:space="preserve"> every 3 weeks (Q3W) for 52 weeks. Of these 52 patients, 37 (71%) were naive to </w:t>
      </w:r>
      <w:r w:rsidR="00E96AC8" w:rsidRPr="008D4276">
        <w:rPr>
          <w:rFonts w:asciiTheme="majorHAnsi" w:hAnsiTheme="majorHAnsi" w:cstheme="minorHAnsi"/>
        </w:rPr>
        <w:t>tocilizumab</w:t>
      </w:r>
      <w:r w:rsidRPr="008D4276">
        <w:rPr>
          <w:rFonts w:asciiTheme="majorHAnsi" w:hAnsiTheme="majorHAnsi" w:cstheme="minorHAnsi"/>
        </w:rPr>
        <w:t xml:space="preserve"> and 15 (29%) had been receiving IV </w:t>
      </w:r>
      <w:r w:rsidR="00E96AC8" w:rsidRPr="008D4276">
        <w:rPr>
          <w:rFonts w:asciiTheme="majorHAnsi" w:hAnsiTheme="majorHAnsi" w:cstheme="minorHAnsi"/>
        </w:rPr>
        <w:t>tocilizumab</w:t>
      </w:r>
      <w:r w:rsidRPr="008D4276">
        <w:rPr>
          <w:rFonts w:asciiTheme="majorHAnsi" w:hAnsiTheme="majorHAnsi" w:cstheme="minorHAnsi"/>
        </w:rPr>
        <w:t xml:space="preserve"> and switched to SC </w:t>
      </w:r>
      <w:r w:rsidR="00E96AC8" w:rsidRPr="008D4276">
        <w:rPr>
          <w:rFonts w:asciiTheme="majorHAnsi" w:hAnsiTheme="majorHAnsi" w:cstheme="minorHAnsi"/>
        </w:rPr>
        <w:t>tocilizumab</w:t>
      </w:r>
      <w:r w:rsidRPr="008D4276">
        <w:rPr>
          <w:rFonts w:asciiTheme="majorHAnsi" w:hAnsiTheme="majorHAnsi" w:cstheme="minorHAnsi"/>
        </w:rPr>
        <w:t xml:space="preserve"> at baseline.</w:t>
      </w:r>
    </w:p>
    <w:p w14:paraId="4042501B" w14:textId="5DF57254"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SC </w:t>
      </w:r>
      <w:r w:rsidR="00E96AC8" w:rsidRPr="008D4276">
        <w:rPr>
          <w:rFonts w:asciiTheme="majorHAnsi" w:hAnsiTheme="majorHAnsi" w:cstheme="minorHAnsi"/>
        </w:rPr>
        <w:t>tocilizumab</w:t>
      </w:r>
      <w:r w:rsidRPr="008D4276">
        <w:rPr>
          <w:rFonts w:asciiTheme="majorHAnsi" w:hAnsiTheme="majorHAnsi" w:cstheme="minorHAnsi"/>
        </w:rPr>
        <w:t xml:space="preserve"> regimens of 162 mg Q3W for patients weighing below 30 kg and of 162 mg Q2W for patients weighing </w:t>
      </w:r>
      <w:r w:rsidRPr="008D4276">
        <w:rPr>
          <w:rFonts w:asciiTheme="majorHAnsi" w:hAnsiTheme="majorHAnsi" w:cstheme="minorHAnsi" w:hint="eastAsia"/>
        </w:rPr>
        <w:t>≥</w:t>
      </w:r>
      <w:r w:rsidRPr="008D4276">
        <w:rPr>
          <w:rFonts w:asciiTheme="majorHAnsi" w:hAnsiTheme="majorHAnsi" w:cstheme="minorHAnsi"/>
        </w:rPr>
        <w:t xml:space="preserve"> 30 kg, respectively provided PK exposure and PD responses to support efficacy and safety outcomes similar to those achieved with the approved IV </w:t>
      </w:r>
      <w:r w:rsidR="00E96AC8" w:rsidRPr="008D4276">
        <w:rPr>
          <w:rFonts w:asciiTheme="majorHAnsi" w:hAnsiTheme="majorHAnsi" w:cstheme="minorHAnsi"/>
        </w:rPr>
        <w:t>tocilizumab</w:t>
      </w:r>
      <w:r w:rsidRPr="008D4276">
        <w:rPr>
          <w:rFonts w:asciiTheme="majorHAnsi" w:hAnsiTheme="majorHAnsi" w:cstheme="minorHAnsi"/>
        </w:rPr>
        <w:t xml:space="preserve"> regimens for pJIA.</w:t>
      </w:r>
    </w:p>
    <w:p w14:paraId="4B07FEF0" w14:textId="2F39AAE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Exploratory efficacy results showed that SC </w:t>
      </w:r>
      <w:r w:rsidR="00E96AC8" w:rsidRPr="008D4276">
        <w:rPr>
          <w:rFonts w:asciiTheme="majorHAnsi" w:hAnsiTheme="majorHAnsi" w:cstheme="minorHAnsi"/>
        </w:rPr>
        <w:t>tocilizumab</w:t>
      </w:r>
      <w:r w:rsidRPr="008D4276">
        <w:rPr>
          <w:rFonts w:asciiTheme="majorHAnsi" w:hAnsiTheme="majorHAnsi" w:cstheme="minorHAnsi"/>
        </w:rPr>
        <w:t xml:space="preserve"> improved median Juvenile Arthritis Disease Activity Score (JADAS)-71 for </w:t>
      </w:r>
      <w:r w:rsidR="00E96AC8" w:rsidRPr="008D4276">
        <w:rPr>
          <w:rFonts w:asciiTheme="majorHAnsi" w:hAnsiTheme="majorHAnsi" w:cstheme="minorHAnsi"/>
        </w:rPr>
        <w:t>tocilizumab</w:t>
      </w:r>
      <w:r w:rsidRPr="008D4276">
        <w:rPr>
          <w:rFonts w:asciiTheme="majorHAnsi" w:hAnsiTheme="majorHAnsi" w:cstheme="minorHAnsi"/>
        </w:rPr>
        <w:t xml:space="preserve"> naïve patients and maintained the median JADAS-71 for patients who switched from IV to SC </w:t>
      </w:r>
      <w:r w:rsidR="00E96AC8" w:rsidRPr="008D4276">
        <w:rPr>
          <w:rFonts w:asciiTheme="majorHAnsi" w:hAnsiTheme="majorHAnsi" w:cstheme="minorHAnsi"/>
        </w:rPr>
        <w:t>tocilizumab</w:t>
      </w:r>
      <w:r w:rsidRPr="008D4276">
        <w:rPr>
          <w:rFonts w:asciiTheme="majorHAnsi" w:hAnsiTheme="majorHAnsi" w:cstheme="minorHAnsi"/>
        </w:rPr>
        <w:t xml:space="preserve"> treatment over the entire course of the study for patients in both body weight groups (below 30 kg and </w:t>
      </w:r>
      <w:r w:rsidR="00E96AC8" w:rsidRPr="008D4276">
        <w:rPr>
          <w:rFonts w:asciiTheme="majorHAnsi" w:hAnsiTheme="majorHAnsi" w:cstheme="minorHAnsi" w:hint="eastAsia"/>
        </w:rPr>
        <w:t>≥</w:t>
      </w:r>
      <w:r w:rsidRPr="008D4276">
        <w:rPr>
          <w:rFonts w:asciiTheme="majorHAnsi" w:hAnsiTheme="majorHAnsi" w:cstheme="minorHAnsi"/>
        </w:rPr>
        <w:t xml:space="preserve"> 30 kg).</w:t>
      </w:r>
    </w:p>
    <w:p w14:paraId="0CCC22F2" w14:textId="77777777" w:rsidR="0089656D" w:rsidRPr="008D4276" w:rsidRDefault="0089656D" w:rsidP="004D6592">
      <w:pPr>
        <w:pStyle w:val="Heading4"/>
        <w:rPr>
          <w:rFonts w:asciiTheme="majorHAnsi" w:hAnsiTheme="majorHAnsi"/>
        </w:rPr>
      </w:pPr>
      <w:r w:rsidRPr="008D4276">
        <w:rPr>
          <w:rFonts w:asciiTheme="majorHAnsi" w:hAnsiTheme="majorHAnsi"/>
        </w:rPr>
        <w:t>Systemic Juvenile Idiopathic Arthritis</w:t>
      </w:r>
    </w:p>
    <w:p w14:paraId="0E6544A8"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Intravenous administration</w:t>
      </w:r>
    </w:p>
    <w:p w14:paraId="5E0790FC" w14:textId="29DB56F4"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efficacy of intravenous </w:t>
      </w:r>
      <w:r w:rsidR="00E96AC8" w:rsidRPr="008D4276">
        <w:rPr>
          <w:rFonts w:asciiTheme="majorHAnsi" w:hAnsiTheme="majorHAnsi" w:cstheme="minorHAnsi"/>
        </w:rPr>
        <w:t>tocilizumab</w:t>
      </w:r>
      <w:r w:rsidRPr="008D4276">
        <w:rPr>
          <w:rFonts w:asciiTheme="majorHAnsi" w:hAnsiTheme="majorHAnsi" w:cstheme="minorHAnsi"/>
        </w:rPr>
        <w:t xml:space="preserve"> for the treatment of active sJIA was assessed in a 12-week randomised, double blind, placebo-controlled, parallel group, 2-arm study (Study XII, TENDER). Patients (treated with or without MTX) were randomised (</w:t>
      </w:r>
      <w:r w:rsidR="00E96AC8" w:rsidRPr="008D4276">
        <w:rPr>
          <w:rFonts w:asciiTheme="majorHAnsi" w:hAnsiTheme="majorHAnsi" w:cstheme="minorHAnsi"/>
        </w:rPr>
        <w:t>tocilizumab</w:t>
      </w:r>
      <w:r w:rsidRPr="008D4276">
        <w:rPr>
          <w:rFonts w:asciiTheme="majorHAnsi" w:hAnsiTheme="majorHAnsi" w:cstheme="minorHAnsi"/>
        </w:rPr>
        <w:t xml:space="preserve">: placebo = 2:1) to one of two treatment groups. 75 patients received </w:t>
      </w:r>
      <w:r w:rsidR="00E96AC8" w:rsidRPr="008D4276">
        <w:rPr>
          <w:rFonts w:asciiTheme="majorHAnsi" w:hAnsiTheme="majorHAnsi" w:cstheme="minorHAnsi"/>
        </w:rPr>
        <w:t>tocilizumab</w:t>
      </w:r>
      <w:r w:rsidRPr="008D4276">
        <w:rPr>
          <w:rFonts w:asciiTheme="majorHAnsi" w:hAnsiTheme="majorHAnsi" w:cstheme="minorHAnsi"/>
        </w:rPr>
        <w:t xml:space="preserve"> infusions every two weeks either 8 mg/kg for patients </w:t>
      </w:r>
      <w:r w:rsidRPr="008D4276">
        <w:rPr>
          <w:rFonts w:asciiTheme="majorHAnsi" w:hAnsiTheme="majorHAnsi" w:cstheme="minorHAnsi" w:hint="eastAsia"/>
        </w:rPr>
        <w:t>≥</w:t>
      </w:r>
      <w:r w:rsidRPr="008D4276">
        <w:rPr>
          <w:rFonts w:asciiTheme="majorHAnsi" w:hAnsiTheme="majorHAnsi" w:cstheme="minorHAnsi"/>
        </w:rPr>
        <w:t xml:space="preserve"> 30kg or 12 mg/kg for patients &lt; 30 kg and 37 patients were assigned to receiving placebo infusions every two weeks. Corticosteroid tapering could occur from week 6 for patients who achieved a JIA ACR70 response. After 12 weeks or at the time of escape, due to disease worsening, patients were treated in the open-label extension phase at weight appropriate dosing.</w:t>
      </w:r>
    </w:p>
    <w:p w14:paraId="6351F6FA" w14:textId="088203CD"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demographic characteristics at baseline were similar between the placebo and </w:t>
      </w:r>
      <w:r w:rsidR="00E96AC8" w:rsidRPr="008D4276">
        <w:rPr>
          <w:rFonts w:asciiTheme="majorHAnsi" w:hAnsiTheme="majorHAnsi" w:cstheme="minorHAnsi"/>
        </w:rPr>
        <w:t>tocilizumab</w:t>
      </w:r>
      <w:r w:rsidRPr="008D4276">
        <w:rPr>
          <w:rFonts w:asciiTheme="majorHAnsi" w:hAnsiTheme="majorHAnsi" w:cstheme="minorHAnsi"/>
        </w:rPr>
        <w:t xml:space="preserve"> groups. Patients were evenly split between male and female, with a median age of 9 and 10 for the placebo and </w:t>
      </w:r>
      <w:r w:rsidR="00E96AC8" w:rsidRPr="008D4276">
        <w:rPr>
          <w:rFonts w:asciiTheme="majorHAnsi" w:hAnsiTheme="majorHAnsi" w:cstheme="minorHAnsi"/>
        </w:rPr>
        <w:t>tocilizumab</w:t>
      </w:r>
      <w:r w:rsidRPr="008D4276">
        <w:rPr>
          <w:rFonts w:asciiTheme="majorHAnsi" w:hAnsiTheme="majorHAnsi" w:cstheme="minorHAnsi"/>
        </w:rPr>
        <w:t xml:space="preserve"> groups, respectively. 27 patients in the study were aged between 2-5 years, 48 patients between 6-12 years and 37 patients between 13-18 years. Baseline disease characteristics studied included fever and rash status, previous use of DMARDs, previous use of biologics, CRP, and articular and extra-articular damage. All were similar between the placebo and </w:t>
      </w:r>
      <w:r w:rsidR="00E96AC8" w:rsidRPr="008D4276">
        <w:rPr>
          <w:rFonts w:asciiTheme="majorHAnsi" w:hAnsiTheme="majorHAnsi" w:cstheme="minorHAnsi"/>
        </w:rPr>
        <w:t>tocilizumab</w:t>
      </w:r>
      <w:r w:rsidRPr="008D4276">
        <w:rPr>
          <w:rFonts w:asciiTheme="majorHAnsi" w:hAnsiTheme="majorHAnsi" w:cstheme="minorHAnsi"/>
        </w:rPr>
        <w:t xml:space="preserve"> groups except for a higher proportion of patients with rash in the placebo group (48.6%) compared with the </w:t>
      </w:r>
      <w:r w:rsidR="00E96AC8" w:rsidRPr="008D4276">
        <w:rPr>
          <w:rFonts w:asciiTheme="majorHAnsi" w:hAnsiTheme="majorHAnsi" w:cstheme="minorHAnsi"/>
        </w:rPr>
        <w:t>tocilizumab</w:t>
      </w:r>
      <w:r w:rsidRPr="008D4276">
        <w:rPr>
          <w:rFonts w:asciiTheme="majorHAnsi" w:hAnsiTheme="majorHAnsi" w:cstheme="minorHAnsi"/>
        </w:rPr>
        <w:t xml:space="preserve"> group (29.3%). In addition, baseline CRP was lower in the placebo group in comparison with the </w:t>
      </w:r>
      <w:r w:rsidR="00E96AC8" w:rsidRPr="008D4276">
        <w:rPr>
          <w:rFonts w:asciiTheme="majorHAnsi" w:hAnsiTheme="majorHAnsi" w:cstheme="minorHAnsi"/>
        </w:rPr>
        <w:t>tocilizumab</w:t>
      </w:r>
      <w:r w:rsidRPr="008D4276">
        <w:rPr>
          <w:rFonts w:asciiTheme="majorHAnsi" w:hAnsiTheme="majorHAnsi" w:cstheme="minorHAnsi"/>
        </w:rPr>
        <w:t xml:space="preserve"> group.</w:t>
      </w:r>
    </w:p>
    <w:p w14:paraId="5A7CB015" w14:textId="7ED88D83"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primary endpoint was the proportion of patients with at least 30% improvement in JIA ACR core set (JIA ACR30 response) at Week 12 and absence of fever (no temperature recording </w:t>
      </w:r>
      <w:r w:rsidRPr="008D4276">
        <w:rPr>
          <w:rFonts w:asciiTheme="majorHAnsi" w:hAnsiTheme="majorHAnsi" w:cstheme="minorHAnsi" w:hint="eastAsia"/>
        </w:rPr>
        <w:t>≥</w:t>
      </w:r>
      <w:r w:rsidRPr="008D4276">
        <w:rPr>
          <w:rFonts w:asciiTheme="majorHAnsi" w:hAnsiTheme="majorHAnsi" w:cstheme="minorHAnsi"/>
        </w:rPr>
        <w:t xml:space="preserve"> 37.5</w:t>
      </w:r>
      <w:r w:rsidRPr="008D4276">
        <w:rPr>
          <w:rFonts w:asciiTheme="majorHAnsi" w:hAnsiTheme="majorHAnsi" w:cstheme="minorHAnsi" w:hint="eastAsia"/>
        </w:rPr>
        <w:t>°</w:t>
      </w:r>
      <w:r w:rsidRPr="008D4276">
        <w:rPr>
          <w:rFonts w:asciiTheme="majorHAnsi" w:hAnsiTheme="majorHAnsi" w:cstheme="minorHAnsi"/>
        </w:rPr>
        <w:t xml:space="preserve">C in the preceding 7 days). Eighty five percent (64/75) of the patients treated with </w:t>
      </w:r>
      <w:r w:rsidR="00E96AC8" w:rsidRPr="008D4276">
        <w:rPr>
          <w:rFonts w:asciiTheme="majorHAnsi" w:hAnsiTheme="majorHAnsi" w:cstheme="minorHAnsi"/>
        </w:rPr>
        <w:t>tocilizumab</w:t>
      </w:r>
      <w:r w:rsidRPr="008D4276">
        <w:rPr>
          <w:rFonts w:asciiTheme="majorHAnsi" w:hAnsiTheme="majorHAnsi" w:cstheme="minorHAnsi"/>
        </w:rPr>
        <w:t xml:space="preserve"> and 24.3% (9/37) of placebo patients achieved this endpoint. These proportions were highly significantly different (p&lt;0.0001).</w:t>
      </w:r>
    </w:p>
    <w:p w14:paraId="16E3A8AE" w14:textId="7C7BF89B" w:rsidR="0089656D" w:rsidRPr="008D4276" w:rsidRDefault="0089656D" w:rsidP="0089656D">
      <w:pPr>
        <w:rPr>
          <w:rFonts w:asciiTheme="majorHAnsi" w:hAnsiTheme="majorHAnsi" w:cstheme="minorHAnsi"/>
        </w:rPr>
      </w:pPr>
      <w:r w:rsidRPr="008D4276">
        <w:rPr>
          <w:rFonts w:asciiTheme="majorHAnsi" w:hAnsiTheme="majorHAnsi" w:cstheme="minorHAnsi"/>
        </w:rPr>
        <w:lastRenderedPageBreak/>
        <w:t>The percent of patients achieving JIA ACR 30, 50, 70 and 90 responses are shown in the table below.</w:t>
      </w:r>
    </w:p>
    <w:p w14:paraId="540E8999" w14:textId="6CB74C77" w:rsidR="0089656D" w:rsidRPr="008D4276" w:rsidRDefault="0089656D" w:rsidP="0089656D">
      <w:pPr>
        <w:pStyle w:val="Caption"/>
        <w:rPr>
          <w:rFonts w:asciiTheme="majorHAnsi" w:hAnsiTheme="majorHAnsi" w:cs="Calibri"/>
        </w:rPr>
      </w:pPr>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14</w:t>
      </w:r>
      <w:r w:rsidR="0006243F" w:rsidRPr="008D4276">
        <w:rPr>
          <w:rFonts w:asciiTheme="majorHAnsi" w:hAnsiTheme="majorHAnsi" w:cs="Calibri"/>
        </w:rPr>
        <w:fldChar w:fldCharType="end"/>
      </w:r>
      <w:r w:rsidRPr="008D4276">
        <w:rPr>
          <w:rFonts w:asciiTheme="majorHAnsi" w:hAnsiTheme="majorHAnsi" w:cs="Calibri"/>
        </w:rPr>
        <w:t xml:space="preserve"> JIA ACR response rates at week 12 (percent of patients)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5"/>
        <w:gridCol w:w="2955"/>
        <w:gridCol w:w="2780"/>
      </w:tblGrid>
      <w:tr w:rsidR="0089656D" w:rsidRPr="001922B7" w14:paraId="788DF4E3" w14:textId="77777777" w:rsidTr="0089656D">
        <w:trPr>
          <w:trHeight w:val="505"/>
        </w:trPr>
        <w:tc>
          <w:tcPr>
            <w:tcW w:w="1821" w:type="pct"/>
          </w:tcPr>
          <w:p w14:paraId="6A1FE0B1" w14:textId="77777777" w:rsidR="0089656D" w:rsidRPr="008D4276" w:rsidRDefault="0089656D" w:rsidP="0089656D">
            <w:pPr>
              <w:pStyle w:val="NoSpacing"/>
              <w:rPr>
                <w:rFonts w:asciiTheme="majorHAnsi" w:hAnsiTheme="majorHAnsi" w:cs="Calibri"/>
                <w:b/>
                <w:bCs/>
              </w:rPr>
            </w:pPr>
            <w:r w:rsidRPr="008D4276">
              <w:rPr>
                <w:rFonts w:asciiTheme="majorHAnsi" w:hAnsiTheme="majorHAnsi" w:cs="Calibri"/>
                <w:b/>
                <w:bCs/>
              </w:rPr>
              <w:t>Response Rate</w:t>
            </w:r>
          </w:p>
        </w:tc>
        <w:tc>
          <w:tcPr>
            <w:tcW w:w="1638" w:type="pct"/>
            <w:vAlign w:val="center"/>
          </w:tcPr>
          <w:p w14:paraId="0AD4F16F" w14:textId="00840528" w:rsidR="00586B40" w:rsidRPr="008D4276" w:rsidRDefault="00E96AC8" w:rsidP="0089656D">
            <w:pPr>
              <w:pStyle w:val="NoSpacing"/>
              <w:jc w:val="center"/>
              <w:rPr>
                <w:rFonts w:asciiTheme="majorHAnsi" w:hAnsiTheme="majorHAnsi" w:cs="Calibri"/>
                <w:b/>
                <w:bCs/>
              </w:rPr>
            </w:pPr>
            <w:r w:rsidRPr="008D4276">
              <w:rPr>
                <w:rFonts w:asciiTheme="majorHAnsi" w:hAnsiTheme="majorHAnsi" w:cs="Calibri"/>
                <w:b/>
                <w:bCs/>
              </w:rPr>
              <w:t>Tocilizumab</w:t>
            </w:r>
          </w:p>
          <w:p w14:paraId="63FBDFD5" w14:textId="685637C5" w:rsidR="0089656D" w:rsidRPr="008D4276" w:rsidRDefault="0089656D" w:rsidP="0089656D">
            <w:pPr>
              <w:pStyle w:val="NoSpacing"/>
              <w:jc w:val="center"/>
              <w:rPr>
                <w:rFonts w:asciiTheme="majorHAnsi" w:hAnsiTheme="majorHAnsi" w:cs="Calibri"/>
                <w:b/>
                <w:bCs/>
              </w:rPr>
            </w:pPr>
            <w:r w:rsidRPr="008D4276">
              <w:rPr>
                <w:rFonts w:asciiTheme="majorHAnsi" w:hAnsiTheme="majorHAnsi" w:cs="Calibri"/>
                <w:b/>
                <w:bCs/>
              </w:rPr>
              <w:t>n=75</w:t>
            </w:r>
          </w:p>
        </w:tc>
        <w:tc>
          <w:tcPr>
            <w:tcW w:w="1541" w:type="pct"/>
            <w:vAlign w:val="center"/>
          </w:tcPr>
          <w:p w14:paraId="4A16D0D4" w14:textId="77777777" w:rsidR="0089656D" w:rsidRPr="008D4276" w:rsidRDefault="0089656D" w:rsidP="0089656D">
            <w:pPr>
              <w:pStyle w:val="NoSpacing"/>
              <w:jc w:val="center"/>
              <w:rPr>
                <w:rFonts w:asciiTheme="majorHAnsi" w:hAnsiTheme="majorHAnsi" w:cs="Calibri"/>
                <w:b/>
                <w:bCs/>
              </w:rPr>
            </w:pPr>
            <w:r w:rsidRPr="008D4276">
              <w:rPr>
                <w:rFonts w:asciiTheme="majorHAnsi" w:hAnsiTheme="majorHAnsi" w:cs="Calibri"/>
                <w:b/>
                <w:bCs/>
              </w:rPr>
              <w:t>Placebo</w:t>
            </w:r>
          </w:p>
          <w:p w14:paraId="50C6E00B" w14:textId="1F718602" w:rsidR="0089656D" w:rsidRPr="008D4276" w:rsidRDefault="0089656D" w:rsidP="0089656D">
            <w:pPr>
              <w:pStyle w:val="NoSpacing"/>
              <w:jc w:val="center"/>
              <w:rPr>
                <w:rFonts w:asciiTheme="majorHAnsi" w:hAnsiTheme="majorHAnsi" w:cs="Calibri"/>
                <w:b/>
                <w:bCs/>
              </w:rPr>
            </w:pPr>
            <w:r w:rsidRPr="008D4276">
              <w:rPr>
                <w:rFonts w:asciiTheme="majorHAnsi" w:hAnsiTheme="majorHAnsi" w:cs="Calibri"/>
                <w:b/>
                <w:bCs/>
              </w:rPr>
              <w:t>n=37</w:t>
            </w:r>
          </w:p>
        </w:tc>
      </w:tr>
      <w:tr w:rsidR="0089656D" w:rsidRPr="001922B7" w14:paraId="4BCCD6EF" w14:textId="77777777" w:rsidTr="0089656D">
        <w:trPr>
          <w:trHeight w:val="251"/>
        </w:trPr>
        <w:tc>
          <w:tcPr>
            <w:tcW w:w="1821" w:type="pct"/>
          </w:tcPr>
          <w:p w14:paraId="78F8A212"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ACR 30</w:t>
            </w:r>
          </w:p>
        </w:tc>
        <w:tc>
          <w:tcPr>
            <w:tcW w:w="1638" w:type="pct"/>
            <w:vAlign w:val="center"/>
          </w:tcPr>
          <w:p w14:paraId="756E853F"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90.7%*</w:t>
            </w:r>
          </w:p>
        </w:tc>
        <w:tc>
          <w:tcPr>
            <w:tcW w:w="1541" w:type="pct"/>
            <w:vAlign w:val="center"/>
          </w:tcPr>
          <w:p w14:paraId="2BFAB3B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24.3%</w:t>
            </w:r>
          </w:p>
        </w:tc>
      </w:tr>
      <w:tr w:rsidR="0089656D" w:rsidRPr="001922B7" w14:paraId="379B31A1" w14:textId="77777777" w:rsidTr="0089656D">
        <w:trPr>
          <w:trHeight w:val="253"/>
        </w:trPr>
        <w:tc>
          <w:tcPr>
            <w:tcW w:w="1821" w:type="pct"/>
          </w:tcPr>
          <w:p w14:paraId="0C5E60CD"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ACR 50</w:t>
            </w:r>
          </w:p>
        </w:tc>
        <w:tc>
          <w:tcPr>
            <w:tcW w:w="1638" w:type="pct"/>
            <w:vAlign w:val="center"/>
          </w:tcPr>
          <w:p w14:paraId="1BB44103"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85.3%*</w:t>
            </w:r>
          </w:p>
        </w:tc>
        <w:tc>
          <w:tcPr>
            <w:tcW w:w="1541" w:type="pct"/>
            <w:vAlign w:val="center"/>
          </w:tcPr>
          <w:p w14:paraId="6D2ECDD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10.8%</w:t>
            </w:r>
          </w:p>
        </w:tc>
      </w:tr>
      <w:tr w:rsidR="0089656D" w:rsidRPr="001922B7" w14:paraId="48D99CA1" w14:textId="77777777" w:rsidTr="0089656D">
        <w:trPr>
          <w:trHeight w:val="254"/>
        </w:trPr>
        <w:tc>
          <w:tcPr>
            <w:tcW w:w="1821" w:type="pct"/>
          </w:tcPr>
          <w:p w14:paraId="57CBD1D1"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ACR 70</w:t>
            </w:r>
          </w:p>
        </w:tc>
        <w:tc>
          <w:tcPr>
            <w:tcW w:w="1638" w:type="pct"/>
            <w:vAlign w:val="center"/>
          </w:tcPr>
          <w:p w14:paraId="413D211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70.7%*</w:t>
            </w:r>
          </w:p>
        </w:tc>
        <w:tc>
          <w:tcPr>
            <w:tcW w:w="1541" w:type="pct"/>
            <w:vAlign w:val="center"/>
          </w:tcPr>
          <w:p w14:paraId="612AFA8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8.1%</w:t>
            </w:r>
          </w:p>
        </w:tc>
      </w:tr>
      <w:tr w:rsidR="0089656D" w:rsidRPr="001922B7" w14:paraId="1ABD0489" w14:textId="77777777" w:rsidTr="0089656D">
        <w:trPr>
          <w:trHeight w:val="103"/>
        </w:trPr>
        <w:tc>
          <w:tcPr>
            <w:tcW w:w="1821" w:type="pct"/>
          </w:tcPr>
          <w:p w14:paraId="5F5A9DEF"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ACR 90</w:t>
            </w:r>
          </w:p>
        </w:tc>
        <w:tc>
          <w:tcPr>
            <w:tcW w:w="1638" w:type="pct"/>
            <w:vAlign w:val="center"/>
          </w:tcPr>
          <w:p w14:paraId="3269C4AC"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37.3%*</w:t>
            </w:r>
          </w:p>
        </w:tc>
        <w:tc>
          <w:tcPr>
            <w:tcW w:w="1541" w:type="pct"/>
            <w:vAlign w:val="center"/>
          </w:tcPr>
          <w:p w14:paraId="1EAAD513"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5.4%</w:t>
            </w:r>
          </w:p>
        </w:tc>
      </w:tr>
    </w:tbl>
    <w:p w14:paraId="26C0F8A8" w14:textId="63C68DB8"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 p&lt;0.0001, </w:t>
      </w:r>
      <w:r w:rsidR="00E96AC8" w:rsidRPr="008D4276">
        <w:rPr>
          <w:rFonts w:asciiTheme="majorHAnsi" w:hAnsiTheme="majorHAnsi" w:cstheme="minorHAnsi"/>
        </w:rPr>
        <w:t>tocilizumab</w:t>
      </w:r>
      <w:r w:rsidRPr="008D4276">
        <w:rPr>
          <w:rFonts w:asciiTheme="majorHAnsi" w:hAnsiTheme="majorHAnsi" w:cstheme="minorHAnsi"/>
        </w:rPr>
        <w:t xml:space="preserve"> vs. placebo</w:t>
      </w:r>
    </w:p>
    <w:p w14:paraId="7D2E1CF5" w14:textId="77777777" w:rsidR="0089656D" w:rsidRPr="008D4276" w:rsidRDefault="0089656D" w:rsidP="0089656D">
      <w:pPr>
        <w:rPr>
          <w:rFonts w:asciiTheme="majorHAnsi" w:hAnsiTheme="majorHAnsi" w:cstheme="minorHAnsi"/>
        </w:rPr>
      </w:pPr>
      <w:r w:rsidRPr="008D4276">
        <w:rPr>
          <w:rFonts w:asciiTheme="majorHAnsi" w:hAnsiTheme="majorHAnsi" w:cstheme="minorHAnsi"/>
        </w:rPr>
        <w:t>Secondary endpoints of the study included the proportion of patients with fever due to sJIA at baseline who were free of fever at week 12, corticosteroid tapering, quality of life improvements as measured by CHAQ-DI and changes in laboratory parameters.</w:t>
      </w:r>
    </w:p>
    <w:p w14:paraId="6D19CF1F"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Systemic Features</w:t>
      </w:r>
    </w:p>
    <w:p w14:paraId="122BDCAA" w14:textId="1D3D154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In those patients treated with </w:t>
      </w:r>
      <w:r w:rsidR="00E96AC8" w:rsidRPr="008D4276">
        <w:rPr>
          <w:rFonts w:asciiTheme="majorHAnsi" w:hAnsiTheme="majorHAnsi" w:cstheme="minorHAnsi"/>
        </w:rPr>
        <w:t>tocilizumab</w:t>
      </w:r>
      <w:r w:rsidRPr="008D4276">
        <w:rPr>
          <w:rFonts w:asciiTheme="majorHAnsi" w:hAnsiTheme="majorHAnsi" w:cstheme="minorHAnsi"/>
        </w:rPr>
        <w:t xml:space="preserve">, 85% who had fever due to sJIA at baseline were free of fever (no temperature recording </w:t>
      </w:r>
      <w:r w:rsidRPr="008D4276">
        <w:rPr>
          <w:rFonts w:asciiTheme="majorHAnsi" w:hAnsiTheme="majorHAnsi" w:cstheme="minorHAnsi" w:hint="eastAsia"/>
        </w:rPr>
        <w:t>≥</w:t>
      </w:r>
      <w:r w:rsidRPr="008D4276">
        <w:rPr>
          <w:rFonts w:asciiTheme="majorHAnsi" w:hAnsiTheme="majorHAnsi" w:cstheme="minorHAnsi"/>
        </w:rPr>
        <w:t xml:space="preserve"> 37.5</w:t>
      </w:r>
      <w:r w:rsidRPr="008D4276">
        <w:rPr>
          <w:rFonts w:asciiTheme="majorHAnsi" w:hAnsiTheme="majorHAnsi" w:cstheme="minorHAnsi" w:hint="eastAsia"/>
        </w:rPr>
        <w:t>°</w:t>
      </w:r>
      <w:r w:rsidRPr="008D4276">
        <w:rPr>
          <w:rFonts w:asciiTheme="majorHAnsi" w:hAnsiTheme="majorHAnsi" w:cstheme="minorHAnsi"/>
        </w:rPr>
        <w:t xml:space="preserve">C in the preceding 14 days) at week 12 versus only 21% of placebo patients (p &lt; 0.0001), and 64% of </w:t>
      </w:r>
      <w:r w:rsidR="00E96AC8" w:rsidRPr="008D4276">
        <w:rPr>
          <w:rFonts w:asciiTheme="majorHAnsi" w:hAnsiTheme="majorHAnsi" w:cstheme="minorHAnsi"/>
        </w:rPr>
        <w:t>tocilizumab</w:t>
      </w:r>
      <w:r w:rsidRPr="008D4276">
        <w:rPr>
          <w:rFonts w:asciiTheme="majorHAnsi" w:hAnsiTheme="majorHAnsi" w:cstheme="minorHAnsi"/>
        </w:rPr>
        <w:t>-treated patients with rash characteristic of sJIA at baseline were free of rash at week 12 versus 11% of placebo patients (p=0.0008).</w:t>
      </w:r>
    </w:p>
    <w:p w14:paraId="37BD17BC" w14:textId="2148A85F"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There was a highly statistically significant reduction in pain for </w:t>
      </w:r>
      <w:r w:rsidR="00E96AC8" w:rsidRPr="008D4276">
        <w:rPr>
          <w:rFonts w:asciiTheme="majorHAnsi" w:hAnsiTheme="majorHAnsi" w:cstheme="minorHAnsi"/>
        </w:rPr>
        <w:t>tocilizumab</w:t>
      </w:r>
      <w:r w:rsidRPr="008D4276">
        <w:rPr>
          <w:rFonts w:asciiTheme="majorHAnsi" w:hAnsiTheme="majorHAnsi" w:cstheme="minorHAnsi"/>
        </w:rPr>
        <w:t xml:space="preserve">-treated patients at week 12 in comparison to placebo patients. The adjusted mean change in the pain VAS after 12 weeks of </w:t>
      </w:r>
      <w:r w:rsidR="00E96AC8" w:rsidRPr="008D4276">
        <w:rPr>
          <w:rFonts w:asciiTheme="majorHAnsi" w:hAnsiTheme="majorHAnsi" w:cstheme="minorHAnsi"/>
        </w:rPr>
        <w:t>tocilizumab</w:t>
      </w:r>
      <w:r w:rsidRPr="008D4276">
        <w:rPr>
          <w:rFonts w:asciiTheme="majorHAnsi" w:hAnsiTheme="majorHAnsi" w:cstheme="minorHAnsi"/>
        </w:rPr>
        <w:t xml:space="preserve"> treatment was a reduction of 41 points on a scale of 0 -100 compared to a reduction of 1 for placebo patients (p &lt; 0.0001).</w:t>
      </w:r>
    </w:p>
    <w:p w14:paraId="6C44670E"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Corticosteroid Tapering</w:t>
      </w:r>
    </w:p>
    <w:p w14:paraId="1732632C" w14:textId="51861F55"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Of the 31 placebo and 70 </w:t>
      </w:r>
      <w:r w:rsidR="00E96AC8" w:rsidRPr="008D4276">
        <w:rPr>
          <w:rFonts w:asciiTheme="majorHAnsi" w:hAnsiTheme="majorHAnsi" w:cstheme="minorHAnsi"/>
        </w:rPr>
        <w:t>tocilizumab</w:t>
      </w:r>
      <w:r w:rsidRPr="008D4276">
        <w:rPr>
          <w:rFonts w:asciiTheme="majorHAnsi" w:hAnsiTheme="majorHAnsi" w:cstheme="minorHAnsi"/>
        </w:rPr>
        <w:t xml:space="preserve"> patients receiving oral corticosteroids at baseline, 8 placebo and 48 </w:t>
      </w:r>
      <w:r w:rsidR="00E96AC8" w:rsidRPr="008D4276">
        <w:rPr>
          <w:rFonts w:asciiTheme="majorHAnsi" w:hAnsiTheme="majorHAnsi" w:cstheme="minorHAnsi"/>
        </w:rPr>
        <w:t>tocilizumab</w:t>
      </w:r>
      <w:r w:rsidRPr="008D4276">
        <w:rPr>
          <w:rFonts w:asciiTheme="majorHAnsi" w:hAnsiTheme="majorHAnsi" w:cstheme="minorHAnsi"/>
        </w:rPr>
        <w:t xml:space="preserve"> patients achieved a JIA ACR70 response at week 6 or 8 enabling corticosteroid dose reduction. Seventeen (24%) </w:t>
      </w:r>
      <w:r w:rsidR="00E96AC8" w:rsidRPr="008D4276">
        <w:rPr>
          <w:rFonts w:asciiTheme="majorHAnsi" w:hAnsiTheme="majorHAnsi" w:cstheme="minorHAnsi"/>
        </w:rPr>
        <w:t>tocilizumab</w:t>
      </w:r>
      <w:r w:rsidRPr="008D4276">
        <w:rPr>
          <w:rFonts w:asciiTheme="majorHAnsi" w:hAnsiTheme="majorHAnsi" w:cstheme="minorHAnsi"/>
        </w:rPr>
        <w:t xml:space="preserve"> patients versus 1 (3%) placebo patient were able to reduce the dose of corticosteroid by at least 20% without experiencing a subsequent JIA ACR30 flare or occurrence of systemic symptoms to week 12 (p=0.028).</w:t>
      </w:r>
    </w:p>
    <w:p w14:paraId="031355CC"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Quality of Life</w:t>
      </w:r>
    </w:p>
    <w:p w14:paraId="17CF192D" w14:textId="216CED4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At week 12, the proportion of </w:t>
      </w:r>
      <w:r w:rsidR="00E96AC8" w:rsidRPr="008D4276">
        <w:rPr>
          <w:rFonts w:asciiTheme="majorHAnsi" w:hAnsiTheme="majorHAnsi" w:cstheme="minorHAnsi"/>
        </w:rPr>
        <w:t>tocilizumab</w:t>
      </w:r>
      <w:r w:rsidRPr="008D4276">
        <w:rPr>
          <w:rFonts w:asciiTheme="majorHAnsi" w:hAnsiTheme="majorHAnsi" w:cstheme="minorHAnsi"/>
        </w:rPr>
        <w:t xml:space="preserve">-treated patients showing a minimally clinically important improvement in CHAQ-DI (defined as an individual total score decrease of </w:t>
      </w:r>
      <w:r w:rsidRPr="008D4276">
        <w:rPr>
          <w:rFonts w:asciiTheme="majorHAnsi" w:hAnsiTheme="majorHAnsi" w:cstheme="minorHAnsi" w:hint="eastAsia"/>
        </w:rPr>
        <w:t>≥</w:t>
      </w:r>
      <w:r w:rsidRPr="008D4276">
        <w:rPr>
          <w:rFonts w:asciiTheme="majorHAnsi" w:hAnsiTheme="majorHAnsi" w:cstheme="minorHAnsi"/>
        </w:rPr>
        <w:t xml:space="preserve"> 0.13) was significantly higher than in patients receiving placebo, 77% versus 19% (p &lt; 0.0001).</w:t>
      </w:r>
    </w:p>
    <w:p w14:paraId="7F059150"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Laboratory Parameters</w:t>
      </w:r>
    </w:p>
    <w:p w14:paraId="13A4A339" w14:textId="671A4BCE"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Fifty out of 75 (67%) patients treated with </w:t>
      </w:r>
      <w:r w:rsidR="00E96AC8" w:rsidRPr="008D4276">
        <w:rPr>
          <w:rFonts w:asciiTheme="majorHAnsi" w:hAnsiTheme="majorHAnsi" w:cstheme="minorHAnsi"/>
        </w:rPr>
        <w:t>tocilizumab</w:t>
      </w:r>
      <w:r w:rsidRPr="008D4276">
        <w:rPr>
          <w:rFonts w:asciiTheme="majorHAnsi" w:hAnsiTheme="majorHAnsi" w:cstheme="minorHAnsi"/>
        </w:rPr>
        <w:t xml:space="preserve"> had a haemoglobin &lt; LLN at baseline. Forty (80%) of these patients with decreased haemoglobin had an increase in their haemoglobin to within the normal range at week 12, in comparison to only 2 out of 29 (7%) of placebo patients with haemoglobin &lt; LLN at baseline (p &lt; 0.0001). Forty-four (88%) </w:t>
      </w:r>
      <w:r w:rsidR="00E96AC8" w:rsidRPr="008D4276">
        <w:rPr>
          <w:rFonts w:asciiTheme="majorHAnsi" w:hAnsiTheme="majorHAnsi" w:cstheme="minorHAnsi"/>
        </w:rPr>
        <w:t>tocilizumab</w:t>
      </w:r>
      <w:r w:rsidRPr="008D4276">
        <w:rPr>
          <w:rFonts w:asciiTheme="majorHAnsi" w:hAnsiTheme="majorHAnsi" w:cstheme="minorHAnsi"/>
        </w:rPr>
        <w:t xml:space="preserve"> patients with decreased haemoglobin at baseline had an increase in their haemoglobin by </w:t>
      </w:r>
      <w:r w:rsidRPr="008D4276">
        <w:rPr>
          <w:rFonts w:asciiTheme="majorHAnsi" w:hAnsiTheme="majorHAnsi" w:cstheme="minorHAnsi" w:hint="eastAsia"/>
        </w:rPr>
        <w:t>≥</w:t>
      </w:r>
      <w:r w:rsidRPr="008D4276">
        <w:rPr>
          <w:rFonts w:asciiTheme="majorHAnsi" w:hAnsiTheme="majorHAnsi" w:cstheme="minorHAnsi"/>
        </w:rPr>
        <w:t xml:space="preserve"> 10 g/L at week 6 versus 1 (3%) placebo patient (p &lt; 0.0001).</w:t>
      </w:r>
    </w:p>
    <w:p w14:paraId="2E16909C" w14:textId="76DB0143" w:rsidR="0089656D" w:rsidRPr="008D4276" w:rsidRDefault="0089656D" w:rsidP="0089656D">
      <w:pPr>
        <w:rPr>
          <w:rFonts w:asciiTheme="majorHAnsi" w:hAnsiTheme="majorHAnsi" w:cstheme="minorHAnsi"/>
        </w:rPr>
      </w:pPr>
      <w:r w:rsidRPr="008D4276">
        <w:rPr>
          <w:rFonts w:asciiTheme="majorHAnsi" w:hAnsiTheme="majorHAnsi" w:cstheme="minorHAnsi"/>
        </w:rPr>
        <w:lastRenderedPageBreak/>
        <w:t xml:space="preserve">The proportion of </w:t>
      </w:r>
      <w:r w:rsidR="00E96AC8" w:rsidRPr="008D4276">
        <w:rPr>
          <w:rFonts w:asciiTheme="majorHAnsi" w:hAnsiTheme="majorHAnsi" w:cstheme="minorHAnsi"/>
        </w:rPr>
        <w:t>tocilizumab</w:t>
      </w:r>
      <w:r w:rsidRPr="008D4276">
        <w:rPr>
          <w:rFonts w:asciiTheme="majorHAnsi" w:hAnsiTheme="majorHAnsi" w:cstheme="minorHAnsi"/>
        </w:rPr>
        <w:t>-treated patients with thrombocytosis at baseline who had a normal platelet count at week 12 was significantly higher than in the placebo patients, 90% versus 4%, (p &lt; 0.0001).</w:t>
      </w:r>
    </w:p>
    <w:p w14:paraId="32B66E6A" w14:textId="4ACC68F7"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 marked decrease in mean levels of acute phase reactants, CRP, ESR, and serum amyloid A occurred rapidly after </w:t>
      </w:r>
      <w:r w:rsidR="00E96AC8" w:rsidRPr="008D4276">
        <w:rPr>
          <w:rFonts w:asciiTheme="majorHAnsi" w:hAnsiTheme="majorHAnsi" w:cstheme="minorHAnsi"/>
        </w:rPr>
        <w:t>tocilizumab</w:t>
      </w:r>
      <w:r w:rsidRPr="008D4276">
        <w:rPr>
          <w:rFonts w:asciiTheme="majorHAnsi" w:hAnsiTheme="majorHAnsi" w:cstheme="minorHAnsi"/>
        </w:rPr>
        <w:t xml:space="preserve"> administration.</w:t>
      </w:r>
    </w:p>
    <w:p w14:paraId="1BB6A5C3" w14:textId="77777777" w:rsidR="0089656D" w:rsidRPr="008D4276" w:rsidRDefault="0089656D" w:rsidP="0089656D">
      <w:pPr>
        <w:pStyle w:val="Heading5"/>
        <w:rPr>
          <w:rFonts w:asciiTheme="majorHAnsi" w:hAnsiTheme="majorHAnsi" w:cs="Calibri"/>
        </w:rPr>
      </w:pPr>
      <w:r w:rsidRPr="008D4276">
        <w:rPr>
          <w:rFonts w:asciiTheme="majorHAnsi" w:hAnsiTheme="majorHAnsi" w:cs="Calibri"/>
        </w:rPr>
        <w:t>Subcutaneous administration</w:t>
      </w:r>
    </w:p>
    <w:p w14:paraId="4901E7BB" w14:textId="1EE3AEDD"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A 52-week, open-label, multi-centre, PK/PD and safety study (WA28118) was conducted in paediatric patients with sJIA, aged 1 to 17 years, to determine the appropriate SC dose of </w:t>
      </w:r>
      <w:r w:rsidR="00E96AC8" w:rsidRPr="008D4276">
        <w:rPr>
          <w:rFonts w:asciiTheme="majorHAnsi" w:hAnsiTheme="majorHAnsi" w:cstheme="minorHAnsi"/>
        </w:rPr>
        <w:t>tocilizumab</w:t>
      </w:r>
      <w:r w:rsidRPr="008D4276">
        <w:rPr>
          <w:rFonts w:asciiTheme="majorHAnsi" w:hAnsiTheme="majorHAnsi" w:cstheme="minorHAnsi"/>
        </w:rPr>
        <w:t xml:space="preserve"> that achieved comparable PK/PD and safety profiles to the IV regimen.</w:t>
      </w:r>
    </w:p>
    <w:p w14:paraId="6923CC1E" w14:textId="217BE6A9"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Eligible patients received </w:t>
      </w:r>
      <w:r w:rsidR="00E96AC8" w:rsidRPr="008D4276">
        <w:rPr>
          <w:rFonts w:asciiTheme="majorHAnsi" w:hAnsiTheme="majorHAnsi" w:cstheme="minorHAnsi"/>
        </w:rPr>
        <w:t>tocilizumab</w:t>
      </w:r>
      <w:r w:rsidRPr="008D4276">
        <w:rPr>
          <w:rFonts w:asciiTheme="majorHAnsi" w:hAnsiTheme="majorHAnsi" w:cstheme="minorHAnsi"/>
        </w:rPr>
        <w:t xml:space="preserve"> dosed according to body weight (BW), with patients weighing </w:t>
      </w:r>
      <w:r w:rsidRPr="008D4276">
        <w:rPr>
          <w:rFonts w:asciiTheme="majorHAnsi" w:hAnsiTheme="majorHAnsi" w:cstheme="minorHAnsi" w:hint="eastAsia"/>
        </w:rPr>
        <w:t>≥</w:t>
      </w:r>
      <w:r w:rsidRPr="008D4276">
        <w:rPr>
          <w:rFonts w:asciiTheme="majorHAnsi" w:hAnsiTheme="majorHAnsi" w:cstheme="minorHAnsi"/>
        </w:rPr>
        <w:t xml:space="preserve"> 30 kg (n=26) dosed with 162 mg of </w:t>
      </w:r>
      <w:r w:rsidR="00E96AC8" w:rsidRPr="008D4276">
        <w:rPr>
          <w:rFonts w:asciiTheme="majorHAnsi" w:hAnsiTheme="majorHAnsi" w:cstheme="minorHAnsi"/>
        </w:rPr>
        <w:t xml:space="preserve">tocilizumab </w:t>
      </w:r>
      <w:r w:rsidRPr="008D4276">
        <w:rPr>
          <w:rFonts w:asciiTheme="majorHAnsi" w:hAnsiTheme="majorHAnsi" w:cstheme="minorHAnsi"/>
        </w:rPr>
        <w:t xml:space="preserve">every week (QW) and patients weighing below 30 kg (n = 25) dosed with 162 mg of </w:t>
      </w:r>
      <w:r w:rsidR="00E96AC8" w:rsidRPr="008D4276">
        <w:rPr>
          <w:rFonts w:asciiTheme="majorHAnsi" w:hAnsiTheme="majorHAnsi" w:cstheme="minorHAnsi"/>
        </w:rPr>
        <w:t>tocilizumab</w:t>
      </w:r>
      <w:r w:rsidRPr="008D4276">
        <w:rPr>
          <w:rFonts w:asciiTheme="majorHAnsi" w:hAnsiTheme="majorHAnsi" w:cstheme="minorHAnsi"/>
        </w:rPr>
        <w:t xml:space="preserve"> every 10 days (Q10D; n=8) or every 2 weeks (Q2W; n=17) for 52 weeks. Of these 51 patients, 26 (51%) were naive to </w:t>
      </w:r>
      <w:r w:rsidR="00E96AC8" w:rsidRPr="008D4276">
        <w:rPr>
          <w:rFonts w:asciiTheme="majorHAnsi" w:hAnsiTheme="majorHAnsi" w:cstheme="minorHAnsi"/>
        </w:rPr>
        <w:t>tocilizumab</w:t>
      </w:r>
      <w:r w:rsidRPr="008D4276">
        <w:rPr>
          <w:rFonts w:asciiTheme="majorHAnsi" w:hAnsiTheme="majorHAnsi" w:cstheme="minorHAnsi"/>
        </w:rPr>
        <w:t xml:space="preserve"> and 25 (49%) had been receiving IV </w:t>
      </w:r>
      <w:r w:rsidR="00E96AC8" w:rsidRPr="008D4276">
        <w:rPr>
          <w:rFonts w:asciiTheme="majorHAnsi" w:hAnsiTheme="majorHAnsi" w:cstheme="minorHAnsi"/>
        </w:rPr>
        <w:t>tocilizumab</w:t>
      </w:r>
      <w:r w:rsidRPr="008D4276">
        <w:rPr>
          <w:rFonts w:asciiTheme="majorHAnsi" w:hAnsiTheme="majorHAnsi" w:cstheme="minorHAnsi"/>
        </w:rPr>
        <w:t xml:space="preserve"> and switched to SC </w:t>
      </w:r>
      <w:r w:rsidR="00E96AC8" w:rsidRPr="008D4276">
        <w:rPr>
          <w:rFonts w:asciiTheme="majorHAnsi" w:hAnsiTheme="majorHAnsi" w:cstheme="minorHAnsi"/>
        </w:rPr>
        <w:t>tocilizumab</w:t>
      </w:r>
      <w:r w:rsidRPr="008D4276">
        <w:rPr>
          <w:rFonts w:asciiTheme="majorHAnsi" w:hAnsiTheme="majorHAnsi" w:cstheme="minorHAnsi"/>
        </w:rPr>
        <w:t xml:space="preserve"> at baseline.</w:t>
      </w:r>
    </w:p>
    <w:p w14:paraId="1D5A9D47" w14:textId="18D1E7EB"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Exploratory efficacy results showed that SC </w:t>
      </w:r>
      <w:r w:rsidR="00E96AC8" w:rsidRPr="008D4276">
        <w:rPr>
          <w:rFonts w:asciiTheme="majorHAnsi" w:hAnsiTheme="majorHAnsi" w:cstheme="minorHAnsi"/>
        </w:rPr>
        <w:t>tocilizumab</w:t>
      </w:r>
      <w:r w:rsidRPr="008D4276">
        <w:rPr>
          <w:rFonts w:asciiTheme="majorHAnsi" w:hAnsiTheme="majorHAnsi" w:cstheme="minorHAnsi"/>
        </w:rPr>
        <w:t xml:space="preserve"> improved all exploratory efficacy parameters including Juvenile Arthritis Disease Activity Score (JADAS)-71, for </w:t>
      </w:r>
      <w:r w:rsidR="00E96AC8" w:rsidRPr="008D4276">
        <w:rPr>
          <w:rFonts w:asciiTheme="majorHAnsi" w:hAnsiTheme="majorHAnsi" w:cstheme="minorHAnsi"/>
        </w:rPr>
        <w:t>tocilizumab</w:t>
      </w:r>
      <w:r w:rsidRPr="008D4276">
        <w:rPr>
          <w:rFonts w:asciiTheme="majorHAnsi" w:hAnsiTheme="majorHAnsi" w:cstheme="minorHAnsi"/>
        </w:rPr>
        <w:t xml:space="preserve"> naïve patients and maintained all exploratory efficacy parameters for patients who switched from IV to SC </w:t>
      </w:r>
      <w:r w:rsidR="00E96AC8" w:rsidRPr="008D4276">
        <w:rPr>
          <w:rFonts w:asciiTheme="majorHAnsi" w:hAnsiTheme="majorHAnsi" w:cstheme="minorHAnsi"/>
        </w:rPr>
        <w:t>tocilizumab</w:t>
      </w:r>
      <w:r w:rsidRPr="008D4276">
        <w:rPr>
          <w:rFonts w:asciiTheme="majorHAnsi" w:hAnsiTheme="majorHAnsi" w:cstheme="minorHAnsi"/>
        </w:rPr>
        <w:t xml:space="preserve"> treatment over the entire course of the study for patients in both body weight groups (below 30 kg and </w:t>
      </w:r>
      <w:r w:rsidRPr="008D4276">
        <w:rPr>
          <w:rFonts w:asciiTheme="majorHAnsi" w:hAnsiTheme="majorHAnsi" w:cstheme="minorHAnsi" w:hint="eastAsia"/>
        </w:rPr>
        <w:t>≥</w:t>
      </w:r>
      <w:r w:rsidRPr="008D4276">
        <w:rPr>
          <w:rFonts w:asciiTheme="majorHAnsi" w:hAnsiTheme="majorHAnsi" w:cstheme="minorHAnsi"/>
        </w:rPr>
        <w:t xml:space="preserve"> 30 kg).</w:t>
      </w:r>
    </w:p>
    <w:p w14:paraId="3850625E" w14:textId="77777777" w:rsidR="0089656D" w:rsidRPr="008D4276" w:rsidRDefault="0089656D" w:rsidP="004D6592">
      <w:pPr>
        <w:pStyle w:val="Heading4"/>
        <w:rPr>
          <w:rFonts w:asciiTheme="majorHAnsi" w:hAnsiTheme="majorHAnsi"/>
        </w:rPr>
      </w:pPr>
      <w:r w:rsidRPr="008D4276">
        <w:rPr>
          <w:rFonts w:asciiTheme="majorHAnsi" w:hAnsiTheme="majorHAnsi"/>
        </w:rPr>
        <w:t>Cytokine Release Syndrome (CRS)</w:t>
      </w:r>
    </w:p>
    <w:p w14:paraId="7EDA851D" w14:textId="682E9A88" w:rsidR="0089656D" w:rsidRPr="008D4276" w:rsidRDefault="0089656D" w:rsidP="0089656D">
      <w:pPr>
        <w:rPr>
          <w:rFonts w:asciiTheme="majorHAnsi" w:hAnsiTheme="majorHAnsi" w:cstheme="minorHAnsi"/>
        </w:rPr>
      </w:pPr>
      <w:r w:rsidRPr="008D4276">
        <w:rPr>
          <w:rFonts w:asciiTheme="majorHAnsi" w:hAnsiTheme="majorHAnsi" w:cstheme="minorHAnsi"/>
        </w:rPr>
        <w:t>The efficacy of</w:t>
      </w:r>
      <w:r w:rsidR="00E96AC8" w:rsidRPr="008D4276">
        <w:rPr>
          <w:rFonts w:asciiTheme="majorHAnsi" w:hAnsiTheme="majorHAnsi" w:cstheme="minorHAnsi"/>
        </w:rPr>
        <w:t xml:space="preserve"> tocilizumab</w:t>
      </w:r>
      <w:r w:rsidRPr="008D4276">
        <w:rPr>
          <w:rFonts w:asciiTheme="majorHAnsi" w:hAnsiTheme="majorHAnsi" w:cstheme="minorHAnsi"/>
        </w:rPr>
        <w:t xml:space="preserve"> for the treatment of CRS was assessed in a retrospective analysis of data from clinical trials of CAR T-cell therapies (tisagenlecleucel and axicabtagene ciloleucel) for haematological malignancies. Evaluable patients had been treated with </w:t>
      </w:r>
      <w:r w:rsidR="00E96AC8" w:rsidRPr="008D4276">
        <w:rPr>
          <w:rFonts w:asciiTheme="majorHAnsi" w:hAnsiTheme="majorHAnsi" w:cstheme="minorHAnsi"/>
        </w:rPr>
        <w:t>tocilizumab</w:t>
      </w:r>
      <w:r w:rsidRPr="008D4276">
        <w:rPr>
          <w:rFonts w:asciiTheme="majorHAnsi" w:hAnsiTheme="majorHAnsi" w:cstheme="minorHAnsi"/>
        </w:rPr>
        <w:t xml:space="preserve"> 8 mg/kg (12</w:t>
      </w:r>
      <w:r w:rsidR="004D6592" w:rsidRPr="008D4276">
        <w:rPr>
          <w:rFonts w:asciiTheme="majorHAnsi" w:hAnsiTheme="majorHAnsi" w:cstheme="minorHAnsi"/>
        </w:rPr>
        <w:t> </w:t>
      </w:r>
      <w:r w:rsidRPr="008D4276">
        <w:rPr>
          <w:rFonts w:asciiTheme="majorHAnsi" w:hAnsiTheme="majorHAnsi" w:cstheme="minorHAnsi"/>
        </w:rPr>
        <w:t>mg/kg for patients &lt; 30 kg) with or without additional high-dose corticosteroids for severe or life-threatening CRS; only the first episode of CRS was included in the analysis.</w:t>
      </w:r>
    </w:p>
    <w:p w14:paraId="63A881F6" w14:textId="4657D5F1"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efficacy population for the tisagenlecleucel cohort included 28 males and 23 females (total 51 patients) of median age 17 years (range, 3–68 years). The median time from start of CRS to first dose of </w:t>
      </w:r>
      <w:r w:rsidR="00E96AC8" w:rsidRPr="008D4276">
        <w:rPr>
          <w:rFonts w:asciiTheme="majorHAnsi" w:hAnsiTheme="majorHAnsi" w:cstheme="minorHAnsi"/>
        </w:rPr>
        <w:t>tocilizumab</w:t>
      </w:r>
      <w:r w:rsidRPr="008D4276">
        <w:rPr>
          <w:rFonts w:asciiTheme="majorHAnsi" w:hAnsiTheme="majorHAnsi" w:cstheme="minorHAnsi"/>
        </w:rPr>
        <w:t xml:space="preserve"> was 3 days (range, 0–18 days). Resolution of CRS was defined as lack of fever and off vasopressors for at least 24 hours. Patients were considered responders if CRS resolved within 14 days of the first dose of </w:t>
      </w:r>
      <w:r w:rsidR="00E96AC8" w:rsidRPr="008D4276">
        <w:rPr>
          <w:rFonts w:asciiTheme="majorHAnsi" w:hAnsiTheme="majorHAnsi" w:cstheme="minorHAnsi"/>
        </w:rPr>
        <w:t>tocilizumab</w:t>
      </w:r>
      <w:r w:rsidRPr="008D4276">
        <w:rPr>
          <w:rFonts w:asciiTheme="majorHAnsi" w:hAnsiTheme="majorHAnsi" w:cstheme="minorHAnsi"/>
        </w:rPr>
        <w:t xml:space="preserve">, if no more than 2 doses of </w:t>
      </w:r>
      <w:r w:rsidR="00E96AC8" w:rsidRPr="008D4276">
        <w:rPr>
          <w:rFonts w:asciiTheme="majorHAnsi" w:hAnsiTheme="majorHAnsi" w:cstheme="minorHAnsi"/>
        </w:rPr>
        <w:t>tocilizumab</w:t>
      </w:r>
      <w:r w:rsidRPr="008D4276">
        <w:rPr>
          <w:rFonts w:asciiTheme="majorHAnsi" w:hAnsiTheme="majorHAnsi" w:cstheme="minorHAnsi"/>
        </w:rPr>
        <w:t xml:space="preserve"> were needed, and no drugs other than </w:t>
      </w:r>
      <w:r w:rsidR="00E96AC8" w:rsidRPr="008D4276">
        <w:rPr>
          <w:rFonts w:asciiTheme="majorHAnsi" w:hAnsiTheme="majorHAnsi" w:cstheme="minorHAnsi"/>
        </w:rPr>
        <w:t>tocilizumab</w:t>
      </w:r>
      <w:r w:rsidRPr="008D4276">
        <w:rPr>
          <w:rFonts w:asciiTheme="majorHAnsi" w:hAnsiTheme="majorHAnsi" w:cstheme="minorHAnsi"/>
        </w:rPr>
        <w:t xml:space="preserve"> and corticosteroids were used for treatment. Thirty- nine patients (76.5%; 95% CI: 62.5%–87.2%) achieved a response. In an independent cohort of 15 patients (range: 9–75 years old) with axicabtagene ciloleucel-induced CRS, 53% responded.</w:t>
      </w:r>
    </w:p>
    <w:p w14:paraId="30C42738" w14:textId="77777777" w:rsidR="00656083" w:rsidRPr="008D4276" w:rsidRDefault="00656083" w:rsidP="00656083">
      <w:pPr>
        <w:pStyle w:val="Heading3"/>
        <w:rPr>
          <w:rFonts w:cs="Calibri"/>
        </w:rPr>
      </w:pPr>
      <w:bookmarkStart w:id="65" w:name="_Hlk160018376"/>
      <w:r w:rsidRPr="008D4276">
        <w:rPr>
          <w:rFonts w:cs="Calibri"/>
        </w:rPr>
        <w:t>Comparability of ACTEMRA</w:t>
      </w:r>
      <w:r w:rsidRPr="008D4276">
        <w:rPr>
          <w:rFonts w:cs="Calibri"/>
          <w:vertAlign w:val="superscript"/>
        </w:rPr>
        <w:t>®</w:t>
      </w:r>
      <w:r w:rsidRPr="008D4276">
        <w:rPr>
          <w:rFonts w:cs="Calibri"/>
        </w:rPr>
        <w:t xml:space="preserve"> and AVTOZMA</w:t>
      </w:r>
      <w:r w:rsidRPr="008D4276">
        <w:rPr>
          <w:rFonts w:cs="Calibri"/>
          <w:vertAlign w:val="superscript"/>
        </w:rPr>
        <w:t>®</w:t>
      </w:r>
      <w:r w:rsidRPr="008D4276">
        <w:rPr>
          <w:rFonts w:cs="Calibri"/>
        </w:rPr>
        <w:t xml:space="preserve"> </w:t>
      </w:r>
    </w:p>
    <w:bookmarkEnd w:id="65"/>
    <w:p w14:paraId="70216044" w14:textId="76BE6DC7" w:rsidR="00656083" w:rsidRPr="008D4276" w:rsidRDefault="00656083" w:rsidP="00656083">
      <w:pPr>
        <w:rPr>
          <w:rFonts w:asciiTheme="majorHAnsi" w:hAnsiTheme="majorHAnsi" w:cstheme="minorHAnsi"/>
        </w:rPr>
      </w:pPr>
      <w:r w:rsidRPr="008D4276">
        <w:rPr>
          <w:rFonts w:asciiTheme="majorHAnsi" w:hAnsiTheme="majorHAnsi" w:cstheme="minorHAnsi"/>
        </w:rPr>
        <w:t xml:space="preserve">The clinical comparability between AVTOZMA and ACTEMRA was demonstrated in a double-blind, </w:t>
      </w:r>
      <w:r w:rsidR="0089499C" w:rsidRPr="008D4276">
        <w:rPr>
          <w:rFonts w:asciiTheme="majorHAnsi" w:hAnsiTheme="majorHAnsi" w:cstheme="minorHAnsi"/>
        </w:rPr>
        <w:t>randomised</w:t>
      </w:r>
      <w:r w:rsidRPr="008D4276">
        <w:rPr>
          <w:rFonts w:asciiTheme="majorHAnsi" w:hAnsiTheme="majorHAnsi" w:cstheme="minorHAnsi"/>
        </w:rPr>
        <w:t xml:space="preserve">, active-controlled, two-arm, parallel group phase 3 study in 471 participants who had moderate to severe RA. </w:t>
      </w:r>
    </w:p>
    <w:p w14:paraId="4B76F123" w14:textId="77777777" w:rsidR="00656083" w:rsidRPr="008D4276" w:rsidRDefault="00656083" w:rsidP="00656083">
      <w:pPr>
        <w:rPr>
          <w:rFonts w:asciiTheme="majorHAnsi" w:hAnsiTheme="majorHAnsi" w:cstheme="minorHAnsi"/>
        </w:rPr>
      </w:pPr>
      <w:r w:rsidRPr="008D4276">
        <w:rPr>
          <w:rFonts w:asciiTheme="majorHAnsi" w:hAnsiTheme="majorHAnsi" w:cstheme="minorHAnsi"/>
        </w:rPr>
        <w:lastRenderedPageBreak/>
        <w:t xml:space="preserve">The study population consisted of patients with moderate to severe RA aged 18 to 75 years of age. The </w:t>
      </w:r>
      <w:r w:rsidRPr="008D4276">
        <w:rPr>
          <w:rFonts w:asciiTheme="majorHAnsi" w:hAnsiTheme="majorHAnsi" w:cstheme="minorHAnsi"/>
          <w:sz w:val="23"/>
          <w:szCs w:val="23"/>
        </w:rPr>
        <w:t>diagnosis of RA was according to the 2010 ACR/EULAR classification criteria for at least 24 weeks prior to the first administration of the study drug.</w:t>
      </w:r>
      <w:r w:rsidRPr="008D4276">
        <w:rPr>
          <w:rFonts w:asciiTheme="majorHAnsi" w:hAnsiTheme="majorHAnsi" w:cstheme="minorHAnsi"/>
        </w:rPr>
        <w:t xml:space="preserve"> </w:t>
      </w:r>
    </w:p>
    <w:p w14:paraId="2D0D9CDD" w14:textId="421E2DF9" w:rsidR="00656083" w:rsidRPr="008D4276" w:rsidRDefault="00656083" w:rsidP="00656083">
      <w:pPr>
        <w:rPr>
          <w:rFonts w:asciiTheme="majorHAnsi" w:hAnsiTheme="majorHAnsi" w:cstheme="minorHAnsi"/>
        </w:rPr>
      </w:pPr>
      <w:r w:rsidRPr="008D4276">
        <w:rPr>
          <w:rFonts w:asciiTheme="majorHAnsi" w:hAnsiTheme="majorHAnsi" w:cstheme="minorHAnsi"/>
        </w:rPr>
        <w:t>The results of the primary efficacy endpoint, mean change from baseline</w:t>
      </w:r>
      <w:r w:rsidR="0089499C" w:rsidRPr="008D4276">
        <w:rPr>
          <w:rFonts w:asciiTheme="majorHAnsi" w:hAnsiTheme="majorHAnsi" w:cstheme="minorHAnsi"/>
        </w:rPr>
        <w:t xml:space="preserve"> </w:t>
      </w:r>
      <w:r w:rsidR="00B86EEA" w:rsidRPr="008D4276">
        <w:rPr>
          <w:rFonts w:asciiTheme="majorHAnsi" w:hAnsiTheme="majorHAnsi" w:cstheme="minorHAnsi"/>
          <w:lang w:eastAsia="ko-KR"/>
        </w:rPr>
        <w:t>of</w:t>
      </w:r>
      <w:r w:rsidRPr="008D4276">
        <w:rPr>
          <w:rFonts w:asciiTheme="majorHAnsi" w:hAnsiTheme="majorHAnsi" w:cstheme="minorHAnsi"/>
        </w:rPr>
        <w:t xml:space="preserve"> DAS 28 (ESR) at Week 12 between the treatment groups is presented in </w:t>
      </w:r>
      <w:r w:rsidR="008C3C8E">
        <w:rPr>
          <w:rFonts w:asciiTheme="majorHAnsi" w:hAnsiTheme="majorHAnsi" w:cstheme="minorHAnsi"/>
        </w:rPr>
        <w:fldChar w:fldCharType="begin"/>
      </w:r>
      <w:r w:rsidR="008C3C8E">
        <w:rPr>
          <w:rFonts w:asciiTheme="majorHAnsi" w:hAnsiTheme="majorHAnsi" w:cstheme="minorHAnsi"/>
        </w:rPr>
        <w:instrText xml:space="preserve"> REF _Ref153288578 \h </w:instrText>
      </w:r>
      <w:r w:rsidR="008C3C8E">
        <w:rPr>
          <w:rFonts w:asciiTheme="majorHAnsi" w:hAnsiTheme="majorHAnsi" w:cstheme="minorHAnsi"/>
        </w:rPr>
      </w:r>
      <w:r w:rsidR="008C3C8E">
        <w:rPr>
          <w:rFonts w:asciiTheme="majorHAnsi" w:hAnsiTheme="majorHAnsi" w:cstheme="minorHAnsi"/>
        </w:rPr>
        <w:fldChar w:fldCharType="separate"/>
      </w:r>
      <w:r w:rsidR="004C310F" w:rsidRPr="008D4276">
        <w:rPr>
          <w:rFonts w:asciiTheme="majorHAnsi" w:hAnsiTheme="majorHAnsi" w:cs="Calibri"/>
        </w:rPr>
        <w:t xml:space="preserve">Table </w:t>
      </w:r>
      <w:r w:rsidR="004C310F">
        <w:rPr>
          <w:rFonts w:asciiTheme="majorHAnsi" w:hAnsiTheme="majorHAnsi" w:cs="Calibri"/>
          <w:noProof/>
        </w:rPr>
        <w:t>15</w:t>
      </w:r>
      <w:r w:rsidR="008C3C8E">
        <w:rPr>
          <w:rFonts w:asciiTheme="majorHAnsi" w:hAnsiTheme="majorHAnsi" w:cstheme="minorHAnsi"/>
        </w:rPr>
        <w:fldChar w:fldCharType="end"/>
      </w:r>
      <w:r w:rsidRPr="008D4276">
        <w:rPr>
          <w:rFonts w:asciiTheme="majorHAnsi" w:hAnsiTheme="majorHAnsi" w:cstheme="minorHAnsi"/>
        </w:rPr>
        <w:t>below. The 95%</w:t>
      </w:r>
      <w:r w:rsidR="00F77FBF" w:rsidRPr="008D4276">
        <w:rPr>
          <w:rFonts w:asciiTheme="majorHAnsi" w:hAnsiTheme="majorHAnsi" w:cstheme="minorHAnsi"/>
          <w:lang w:eastAsia="ko-KR"/>
        </w:rPr>
        <w:t xml:space="preserve"> CI</w:t>
      </w:r>
      <w:r w:rsidRPr="008D4276">
        <w:rPr>
          <w:rFonts w:asciiTheme="majorHAnsi" w:hAnsiTheme="majorHAnsi" w:cstheme="minorHAnsi"/>
        </w:rPr>
        <w:t xml:space="preserve"> for the estimate of treatment difference in change from baseline of DAS (ESR) at Week 12 were entirely within the equivalence margin of -0.6 to 0.6 in both ITT and PP Sets: 95% CI: [-0.26, 0.24] in the ITT Set and 95% CI: [-0.20, 0.29] in PPS. Overall, the results demonstrate similarity between AVTOZMA and ACTEMRA in patients with moderate to severe RA.</w:t>
      </w:r>
    </w:p>
    <w:p w14:paraId="7E479942" w14:textId="77D830AB" w:rsidR="00656083" w:rsidRPr="008D4276" w:rsidRDefault="00656083" w:rsidP="00656083">
      <w:pPr>
        <w:pStyle w:val="Caption"/>
        <w:rPr>
          <w:rFonts w:asciiTheme="majorHAnsi" w:hAnsiTheme="majorHAnsi" w:cs="Calibri"/>
        </w:rPr>
      </w:pPr>
      <w:bookmarkStart w:id="66" w:name="_Ref153288578"/>
      <w:r w:rsidRPr="008D4276">
        <w:rPr>
          <w:rFonts w:asciiTheme="majorHAnsi" w:hAnsiTheme="majorHAnsi" w:cs="Calibri"/>
        </w:rPr>
        <w:t xml:space="preserve">Table </w:t>
      </w:r>
      <w:r w:rsidRPr="008D4276">
        <w:rPr>
          <w:rFonts w:asciiTheme="majorHAnsi" w:hAnsiTheme="majorHAnsi" w:cs="Calibri"/>
        </w:rPr>
        <w:fldChar w:fldCharType="begin"/>
      </w:r>
      <w:r w:rsidRPr="008D4276">
        <w:rPr>
          <w:rFonts w:asciiTheme="majorHAnsi" w:hAnsiTheme="majorHAnsi" w:cs="Calibri"/>
        </w:rPr>
        <w:instrText xml:space="preserve"> SEQ Table \* ARABIC </w:instrText>
      </w:r>
      <w:r w:rsidRPr="008D4276">
        <w:rPr>
          <w:rFonts w:asciiTheme="majorHAnsi" w:hAnsiTheme="majorHAnsi" w:cs="Calibri"/>
        </w:rPr>
        <w:fldChar w:fldCharType="separate"/>
      </w:r>
      <w:r w:rsidR="004C310F">
        <w:rPr>
          <w:rFonts w:asciiTheme="majorHAnsi" w:hAnsiTheme="majorHAnsi" w:cs="Calibri"/>
          <w:noProof/>
        </w:rPr>
        <w:t>15</w:t>
      </w:r>
      <w:r w:rsidRPr="008D4276">
        <w:rPr>
          <w:rFonts w:asciiTheme="majorHAnsi" w:hAnsiTheme="majorHAnsi" w:cs="Calibri"/>
        </w:rPr>
        <w:fldChar w:fldCharType="end"/>
      </w:r>
      <w:bookmarkEnd w:id="66"/>
      <w:r w:rsidRPr="008D4276">
        <w:rPr>
          <w:rFonts w:asciiTheme="majorHAnsi" w:hAnsiTheme="majorHAnsi" w:cs="Calibri"/>
        </w:rPr>
        <w:t xml:space="preserve"> Statistical Analysis of Mean Change from Baseline in DAS 28 (ESR) at Week 12 (ANCOVA) in Study CT-P47 3.1: ITT Set and PPS</w:t>
      </w:r>
    </w:p>
    <w:tbl>
      <w:tblPr>
        <w:tblStyle w:val="TableGrid"/>
        <w:tblW w:w="0" w:type="auto"/>
        <w:tblLook w:val="04A0" w:firstRow="1" w:lastRow="0" w:firstColumn="1" w:lastColumn="0" w:noHBand="0" w:noVBand="1"/>
      </w:tblPr>
      <w:tblGrid>
        <w:gridCol w:w="2263"/>
        <w:gridCol w:w="1688"/>
        <w:gridCol w:w="1688"/>
        <w:gridCol w:w="1688"/>
        <w:gridCol w:w="1689"/>
      </w:tblGrid>
      <w:tr w:rsidR="00656083" w:rsidRPr="001922B7" w14:paraId="4AAC1058" w14:textId="77777777" w:rsidTr="00370272">
        <w:trPr>
          <w:trHeight w:val="340"/>
        </w:trPr>
        <w:tc>
          <w:tcPr>
            <w:tcW w:w="2263" w:type="dxa"/>
            <w:vAlign w:val="center"/>
          </w:tcPr>
          <w:p w14:paraId="1BCF640D" w14:textId="77777777" w:rsidR="00656083" w:rsidRPr="008D4276" w:rsidRDefault="00656083" w:rsidP="00370272">
            <w:pPr>
              <w:jc w:val="center"/>
              <w:rPr>
                <w:rFonts w:asciiTheme="majorHAnsi" w:hAnsiTheme="majorHAnsi" w:cstheme="minorHAnsi"/>
                <w:b/>
                <w:bCs/>
                <w:sz w:val="20"/>
                <w:szCs w:val="20"/>
              </w:rPr>
            </w:pPr>
            <w:r w:rsidRPr="008D4276">
              <w:rPr>
                <w:rFonts w:asciiTheme="majorHAnsi" w:hAnsiTheme="majorHAnsi" w:cstheme="minorHAnsi"/>
                <w:b/>
                <w:bCs/>
                <w:sz w:val="20"/>
                <w:szCs w:val="20"/>
              </w:rPr>
              <w:t>Treatment Group</w:t>
            </w:r>
          </w:p>
        </w:tc>
        <w:tc>
          <w:tcPr>
            <w:tcW w:w="1688" w:type="dxa"/>
            <w:vAlign w:val="center"/>
          </w:tcPr>
          <w:p w14:paraId="7E3E0FED" w14:textId="77777777" w:rsidR="00656083" w:rsidRPr="008D4276" w:rsidRDefault="00656083" w:rsidP="00370272">
            <w:pPr>
              <w:jc w:val="center"/>
              <w:rPr>
                <w:rFonts w:asciiTheme="majorHAnsi" w:hAnsiTheme="majorHAnsi" w:cstheme="minorHAnsi"/>
                <w:b/>
                <w:bCs/>
                <w:sz w:val="20"/>
                <w:szCs w:val="20"/>
              </w:rPr>
            </w:pPr>
            <w:r w:rsidRPr="008D4276">
              <w:rPr>
                <w:rFonts w:asciiTheme="majorHAnsi" w:hAnsiTheme="majorHAnsi" w:cstheme="minorHAnsi"/>
                <w:b/>
                <w:bCs/>
                <w:sz w:val="20"/>
                <w:szCs w:val="20"/>
              </w:rPr>
              <w:t>n</w:t>
            </w:r>
          </w:p>
        </w:tc>
        <w:tc>
          <w:tcPr>
            <w:tcW w:w="1688" w:type="dxa"/>
            <w:vAlign w:val="center"/>
          </w:tcPr>
          <w:p w14:paraId="2DF5E2B2" w14:textId="77777777" w:rsidR="00656083" w:rsidRPr="008D4276" w:rsidRDefault="00656083" w:rsidP="00370272">
            <w:pPr>
              <w:jc w:val="center"/>
              <w:rPr>
                <w:rFonts w:asciiTheme="majorHAnsi" w:hAnsiTheme="majorHAnsi" w:cstheme="minorHAnsi"/>
                <w:b/>
                <w:bCs/>
                <w:sz w:val="20"/>
                <w:szCs w:val="20"/>
              </w:rPr>
            </w:pPr>
            <w:r w:rsidRPr="008D4276">
              <w:rPr>
                <w:rFonts w:asciiTheme="majorHAnsi" w:hAnsiTheme="majorHAnsi" w:cstheme="minorHAnsi"/>
                <w:b/>
                <w:bCs/>
                <w:sz w:val="20"/>
                <w:szCs w:val="20"/>
              </w:rPr>
              <w:t>LS Mean (SE)</w:t>
            </w:r>
          </w:p>
        </w:tc>
        <w:tc>
          <w:tcPr>
            <w:tcW w:w="1688" w:type="dxa"/>
            <w:vAlign w:val="center"/>
          </w:tcPr>
          <w:p w14:paraId="4D069A35" w14:textId="77777777" w:rsidR="00656083" w:rsidRPr="008D4276" w:rsidRDefault="00656083" w:rsidP="00370272">
            <w:pPr>
              <w:jc w:val="center"/>
              <w:rPr>
                <w:rFonts w:asciiTheme="majorHAnsi" w:hAnsiTheme="majorHAnsi" w:cstheme="minorHAnsi"/>
                <w:b/>
                <w:bCs/>
                <w:sz w:val="20"/>
                <w:szCs w:val="20"/>
              </w:rPr>
            </w:pPr>
            <w:r w:rsidRPr="008D4276">
              <w:rPr>
                <w:rFonts w:asciiTheme="majorHAnsi" w:hAnsiTheme="majorHAnsi" w:cstheme="minorHAnsi"/>
                <w:b/>
                <w:bCs/>
                <w:sz w:val="20"/>
                <w:szCs w:val="20"/>
              </w:rPr>
              <w:t>Estimate of Treatment Difference</w:t>
            </w:r>
          </w:p>
        </w:tc>
        <w:tc>
          <w:tcPr>
            <w:tcW w:w="1689" w:type="dxa"/>
            <w:vAlign w:val="center"/>
          </w:tcPr>
          <w:p w14:paraId="1156D167" w14:textId="77777777" w:rsidR="00656083" w:rsidRPr="008D4276" w:rsidRDefault="00656083" w:rsidP="00370272">
            <w:pPr>
              <w:jc w:val="center"/>
              <w:rPr>
                <w:rFonts w:asciiTheme="majorHAnsi" w:hAnsiTheme="majorHAnsi" w:cstheme="minorHAnsi"/>
                <w:b/>
                <w:bCs/>
                <w:sz w:val="20"/>
                <w:szCs w:val="20"/>
              </w:rPr>
            </w:pPr>
            <w:r w:rsidRPr="008D4276">
              <w:rPr>
                <w:rFonts w:asciiTheme="majorHAnsi" w:hAnsiTheme="majorHAnsi" w:cstheme="minorHAnsi"/>
                <w:b/>
                <w:bCs/>
                <w:sz w:val="20"/>
                <w:szCs w:val="20"/>
              </w:rPr>
              <w:t>95% CI of Treatment Difference</w:t>
            </w:r>
          </w:p>
        </w:tc>
      </w:tr>
      <w:tr w:rsidR="00656083" w:rsidRPr="001922B7" w14:paraId="692A9404" w14:textId="77777777" w:rsidTr="00370272">
        <w:trPr>
          <w:trHeight w:val="20"/>
        </w:trPr>
        <w:tc>
          <w:tcPr>
            <w:tcW w:w="9016" w:type="dxa"/>
            <w:gridSpan w:val="5"/>
            <w:vAlign w:val="center"/>
          </w:tcPr>
          <w:p w14:paraId="45FBD516" w14:textId="77777777" w:rsidR="00656083" w:rsidRPr="008D4276" w:rsidRDefault="00656083" w:rsidP="00370272">
            <w:pPr>
              <w:rPr>
                <w:rFonts w:asciiTheme="majorHAnsi" w:hAnsiTheme="majorHAnsi" w:cstheme="minorHAnsi"/>
                <w:b/>
                <w:bCs/>
                <w:sz w:val="20"/>
                <w:szCs w:val="20"/>
              </w:rPr>
            </w:pPr>
            <w:r w:rsidRPr="008D4276">
              <w:rPr>
                <w:rFonts w:asciiTheme="majorHAnsi" w:hAnsiTheme="majorHAnsi" w:cstheme="minorHAnsi"/>
                <w:b/>
                <w:bCs/>
                <w:sz w:val="20"/>
                <w:szCs w:val="20"/>
              </w:rPr>
              <w:t>ITT SET</w:t>
            </w:r>
          </w:p>
        </w:tc>
      </w:tr>
      <w:tr w:rsidR="00656083" w:rsidRPr="001922B7" w14:paraId="65773E19" w14:textId="77777777" w:rsidTr="00370272">
        <w:trPr>
          <w:trHeight w:val="20"/>
        </w:trPr>
        <w:tc>
          <w:tcPr>
            <w:tcW w:w="2263" w:type="dxa"/>
          </w:tcPr>
          <w:p w14:paraId="217D544B" w14:textId="77777777" w:rsidR="00656083" w:rsidRPr="008D4276" w:rsidRDefault="00656083" w:rsidP="00370272">
            <w:pPr>
              <w:rPr>
                <w:rFonts w:asciiTheme="majorHAnsi" w:hAnsiTheme="majorHAnsi" w:cstheme="minorHAnsi"/>
                <w:sz w:val="20"/>
                <w:szCs w:val="20"/>
              </w:rPr>
            </w:pPr>
            <w:r w:rsidRPr="008D4276">
              <w:rPr>
                <w:rFonts w:asciiTheme="majorHAnsi" w:hAnsiTheme="majorHAnsi" w:cstheme="minorHAnsi"/>
                <w:sz w:val="20"/>
                <w:szCs w:val="20"/>
              </w:rPr>
              <w:t>CT-P47 (AVTOZMA)</w:t>
            </w:r>
          </w:p>
        </w:tc>
        <w:tc>
          <w:tcPr>
            <w:tcW w:w="1688" w:type="dxa"/>
          </w:tcPr>
          <w:p w14:paraId="601777DE"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221</w:t>
            </w:r>
          </w:p>
        </w:tc>
        <w:tc>
          <w:tcPr>
            <w:tcW w:w="1688" w:type="dxa"/>
          </w:tcPr>
          <w:p w14:paraId="7F5E6972"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-3.01 (0.121)</w:t>
            </w:r>
          </w:p>
        </w:tc>
        <w:tc>
          <w:tcPr>
            <w:tcW w:w="1688" w:type="dxa"/>
            <w:vMerge w:val="restart"/>
          </w:tcPr>
          <w:p w14:paraId="64002689"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-0.01</w:t>
            </w:r>
          </w:p>
        </w:tc>
        <w:tc>
          <w:tcPr>
            <w:tcW w:w="1689" w:type="dxa"/>
            <w:vMerge w:val="restart"/>
          </w:tcPr>
          <w:p w14:paraId="74D333CD"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(-0.26, 0.24)</w:t>
            </w:r>
          </w:p>
        </w:tc>
      </w:tr>
      <w:tr w:rsidR="00656083" w:rsidRPr="001922B7" w14:paraId="612E92C8" w14:textId="77777777" w:rsidTr="00370272">
        <w:trPr>
          <w:trHeight w:val="20"/>
        </w:trPr>
        <w:tc>
          <w:tcPr>
            <w:tcW w:w="2263" w:type="dxa"/>
          </w:tcPr>
          <w:p w14:paraId="2A964463" w14:textId="77777777" w:rsidR="00656083" w:rsidRPr="008D4276" w:rsidRDefault="00656083" w:rsidP="00370272">
            <w:pPr>
              <w:rPr>
                <w:rFonts w:asciiTheme="majorHAnsi" w:hAnsiTheme="majorHAnsi" w:cstheme="minorHAnsi"/>
                <w:sz w:val="20"/>
                <w:szCs w:val="20"/>
              </w:rPr>
            </w:pPr>
            <w:r w:rsidRPr="008D4276">
              <w:rPr>
                <w:rFonts w:asciiTheme="majorHAnsi" w:hAnsiTheme="majorHAnsi" w:cstheme="minorHAnsi"/>
                <w:sz w:val="20"/>
                <w:szCs w:val="20"/>
              </w:rPr>
              <w:t>ACTEMRA</w:t>
            </w:r>
          </w:p>
        </w:tc>
        <w:tc>
          <w:tcPr>
            <w:tcW w:w="1688" w:type="dxa"/>
          </w:tcPr>
          <w:p w14:paraId="61CA54BE"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225</w:t>
            </w:r>
          </w:p>
        </w:tc>
        <w:tc>
          <w:tcPr>
            <w:tcW w:w="1688" w:type="dxa"/>
          </w:tcPr>
          <w:p w14:paraId="2A21E181"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-3.00 (0.120)</w:t>
            </w:r>
          </w:p>
        </w:tc>
        <w:tc>
          <w:tcPr>
            <w:tcW w:w="1688" w:type="dxa"/>
            <w:vMerge/>
          </w:tcPr>
          <w:p w14:paraId="70D4DB97" w14:textId="77777777" w:rsidR="00656083" w:rsidRPr="008D4276" w:rsidRDefault="00656083" w:rsidP="00370272">
            <w:pPr>
              <w:jc w:val="center"/>
              <w:rPr>
                <w:rFonts w:asciiTheme="majorHAnsi" w:hAnsiTheme="majorHAnsi" w:cs="Calibri"/>
                <w:sz w:val="20"/>
                <w:szCs w:val="20"/>
              </w:rPr>
            </w:pPr>
          </w:p>
        </w:tc>
        <w:tc>
          <w:tcPr>
            <w:tcW w:w="1689" w:type="dxa"/>
            <w:vMerge/>
          </w:tcPr>
          <w:p w14:paraId="30F925DE" w14:textId="77777777" w:rsidR="00656083" w:rsidRPr="008D4276" w:rsidRDefault="00656083" w:rsidP="00370272">
            <w:pPr>
              <w:jc w:val="center"/>
              <w:rPr>
                <w:rFonts w:asciiTheme="majorHAnsi" w:hAnsiTheme="majorHAnsi" w:cs="Calibri"/>
                <w:sz w:val="20"/>
                <w:szCs w:val="20"/>
              </w:rPr>
            </w:pPr>
          </w:p>
        </w:tc>
      </w:tr>
      <w:tr w:rsidR="00656083" w:rsidRPr="001922B7" w14:paraId="76AFB234" w14:textId="77777777" w:rsidTr="00370272">
        <w:trPr>
          <w:trHeight w:val="20"/>
        </w:trPr>
        <w:tc>
          <w:tcPr>
            <w:tcW w:w="9016" w:type="dxa"/>
            <w:gridSpan w:val="5"/>
            <w:vAlign w:val="center"/>
          </w:tcPr>
          <w:p w14:paraId="52C1FA64" w14:textId="77777777" w:rsidR="00656083" w:rsidRPr="008D4276" w:rsidRDefault="00656083" w:rsidP="00370272">
            <w:pPr>
              <w:rPr>
                <w:rFonts w:asciiTheme="majorHAnsi" w:hAnsiTheme="majorHAnsi" w:cstheme="minorHAnsi"/>
                <w:b/>
                <w:bCs/>
                <w:sz w:val="20"/>
                <w:szCs w:val="20"/>
              </w:rPr>
            </w:pPr>
            <w:r w:rsidRPr="008D4276">
              <w:rPr>
                <w:rFonts w:asciiTheme="majorHAnsi" w:hAnsiTheme="majorHAnsi" w:cstheme="minorHAnsi"/>
                <w:b/>
                <w:bCs/>
                <w:sz w:val="20"/>
                <w:szCs w:val="20"/>
              </w:rPr>
              <w:t>PPS</w:t>
            </w:r>
          </w:p>
        </w:tc>
      </w:tr>
      <w:tr w:rsidR="00656083" w:rsidRPr="001922B7" w14:paraId="0AD0F925" w14:textId="77777777" w:rsidTr="00370272">
        <w:trPr>
          <w:trHeight w:val="20"/>
        </w:trPr>
        <w:tc>
          <w:tcPr>
            <w:tcW w:w="2263" w:type="dxa"/>
          </w:tcPr>
          <w:p w14:paraId="4D5479F6" w14:textId="77777777" w:rsidR="00656083" w:rsidRPr="008D4276" w:rsidRDefault="00656083" w:rsidP="00370272">
            <w:pPr>
              <w:rPr>
                <w:rFonts w:asciiTheme="majorHAnsi" w:hAnsiTheme="majorHAnsi" w:cstheme="minorHAnsi"/>
                <w:sz w:val="20"/>
                <w:szCs w:val="20"/>
              </w:rPr>
            </w:pPr>
            <w:r w:rsidRPr="008D4276">
              <w:rPr>
                <w:rFonts w:asciiTheme="majorHAnsi" w:hAnsiTheme="majorHAnsi" w:cstheme="minorHAnsi"/>
                <w:sz w:val="20"/>
                <w:szCs w:val="20"/>
              </w:rPr>
              <w:t>CT-P47 (AVTOZMA)</w:t>
            </w:r>
          </w:p>
        </w:tc>
        <w:tc>
          <w:tcPr>
            <w:tcW w:w="1688" w:type="dxa"/>
          </w:tcPr>
          <w:p w14:paraId="3CD7C2FC"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213</w:t>
            </w:r>
          </w:p>
        </w:tc>
        <w:tc>
          <w:tcPr>
            <w:tcW w:w="1688" w:type="dxa"/>
          </w:tcPr>
          <w:p w14:paraId="3C60179C"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-3.05 (0.121)</w:t>
            </w:r>
          </w:p>
        </w:tc>
        <w:tc>
          <w:tcPr>
            <w:tcW w:w="1688" w:type="dxa"/>
            <w:vMerge w:val="restart"/>
          </w:tcPr>
          <w:p w14:paraId="4D76A240"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0.04</w:t>
            </w:r>
          </w:p>
        </w:tc>
        <w:tc>
          <w:tcPr>
            <w:tcW w:w="1689" w:type="dxa"/>
            <w:vMerge w:val="restart"/>
          </w:tcPr>
          <w:p w14:paraId="5B3B3E46"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(-0.20, 0.29)</w:t>
            </w:r>
          </w:p>
        </w:tc>
      </w:tr>
      <w:tr w:rsidR="00656083" w:rsidRPr="001922B7" w14:paraId="3900ED71" w14:textId="77777777" w:rsidTr="00370272">
        <w:trPr>
          <w:trHeight w:val="20"/>
        </w:trPr>
        <w:tc>
          <w:tcPr>
            <w:tcW w:w="2263" w:type="dxa"/>
          </w:tcPr>
          <w:p w14:paraId="0DF2C1A2" w14:textId="77777777" w:rsidR="00656083" w:rsidRPr="008D4276" w:rsidRDefault="00656083" w:rsidP="00370272">
            <w:pPr>
              <w:rPr>
                <w:rFonts w:asciiTheme="majorHAnsi" w:hAnsiTheme="majorHAnsi" w:cstheme="minorHAnsi"/>
                <w:sz w:val="20"/>
                <w:szCs w:val="20"/>
              </w:rPr>
            </w:pPr>
            <w:r w:rsidRPr="008D4276">
              <w:rPr>
                <w:rFonts w:asciiTheme="majorHAnsi" w:hAnsiTheme="majorHAnsi" w:cstheme="minorHAnsi"/>
                <w:sz w:val="20"/>
                <w:szCs w:val="20"/>
              </w:rPr>
              <w:t>ACTEMRA</w:t>
            </w:r>
          </w:p>
        </w:tc>
        <w:tc>
          <w:tcPr>
            <w:tcW w:w="1688" w:type="dxa"/>
          </w:tcPr>
          <w:p w14:paraId="34FB1861" w14:textId="77777777"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207</w:t>
            </w:r>
          </w:p>
        </w:tc>
        <w:tc>
          <w:tcPr>
            <w:tcW w:w="1688" w:type="dxa"/>
          </w:tcPr>
          <w:p w14:paraId="1FE30161" w14:textId="4D3C917D" w:rsidR="00656083" w:rsidRPr="008D4276" w:rsidRDefault="00656083" w:rsidP="00370272">
            <w:pPr>
              <w:jc w:val="center"/>
              <w:rPr>
                <w:rFonts w:asciiTheme="majorHAnsi" w:hAnsiTheme="majorHAnsi" w:cstheme="minorHAnsi"/>
                <w:sz w:val="20"/>
                <w:szCs w:val="20"/>
              </w:rPr>
            </w:pPr>
            <w:r w:rsidRPr="008D4276">
              <w:rPr>
                <w:rFonts w:asciiTheme="majorHAnsi" w:hAnsiTheme="majorHAnsi" w:cstheme="minorHAnsi"/>
                <w:sz w:val="20"/>
                <w:szCs w:val="20"/>
              </w:rPr>
              <w:t>-3.0</w:t>
            </w:r>
            <w:r w:rsidR="00966007" w:rsidRPr="008D4276">
              <w:rPr>
                <w:rFonts w:asciiTheme="majorHAnsi" w:hAnsiTheme="majorHAnsi" w:cstheme="minorHAnsi"/>
                <w:sz w:val="20"/>
                <w:szCs w:val="20"/>
                <w:lang w:eastAsia="ko-KR"/>
              </w:rPr>
              <w:t>9</w:t>
            </w:r>
            <w:r w:rsidRPr="008D4276">
              <w:rPr>
                <w:rFonts w:asciiTheme="majorHAnsi" w:hAnsiTheme="majorHAnsi" w:cstheme="minorHAnsi"/>
                <w:sz w:val="20"/>
                <w:szCs w:val="20"/>
              </w:rPr>
              <w:t xml:space="preserve"> (0.119)</w:t>
            </w:r>
          </w:p>
        </w:tc>
        <w:tc>
          <w:tcPr>
            <w:tcW w:w="1688" w:type="dxa"/>
            <w:vMerge/>
          </w:tcPr>
          <w:p w14:paraId="62B8AC4B" w14:textId="77777777" w:rsidR="00656083" w:rsidRPr="008D4276" w:rsidRDefault="00656083" w:rsidP="00370272">
            <w:pPr>
              <w:jc w:val="center"/>
              <w:rPr>
                <w:rFonts w:asciiTheme="majorHAnsi" w:hAnsiTheme="majorHAnsi" w:cs="Calibri"/>
                <w:sz w:val="20"/>
                <w:szCs w:val="20"/>
              </w:rPr>
            </w:pPr>
          </w:p>
        </w:tc>
        <w:tc>
          <w:tcPr>
            <w:tcW w:w="1689" w:type="dxa"/>
            <w:vMerge/>
          </w:tcPr>
          <w:p w14:paraId="61B6B314" w14:textId="77777777" w:rsidR="00656083" w:rsidRPr="008D4276" w:rsidRDefault="00656083" w:rsidP="00370272">
            <w:pPr>
              <w:jc w:val="center"/>
              <w:rPr>
                <w:rFonts w:asciiTheme="majorHAnsi" w:hAnsiTheme="majorHAnsi" w:cs="Calibri"/>
                <w:sz w:val="20"/>
                <w:szCs w:val="20"/>
              </w:rPr>
            </w:pPr>
          </w:p>
        </w:tc>
      </w:tr>
    </w:tbl>
    <w:p w14:paraId="73A1E675" w14:textId="77777777" w:rsidR="00656083" w:rsidRPr="008D4276" w:rsidRDefault="00656083" w:rsidP="00656083">
      <w:pPr>
        <w:rPr>
          <w:rFonts w:asciiTheme="majorHAnsi" w:hAnsiTheme="majorHAnsi" w:cstheme="minorHAnsi"/>
          <w:sz w:val="18"/>
          <w:szCs w:val="18"/>
        </w:rPr>
      </w:pPr>
      <w:r w:rsidRPr="008D4276">
        <w:rPr>
          <w:rFonts w:asciiTheme="majorHAnsi" w:hAnsiTheme="majorHAnsi" w:cstheme="minorHAnsi"/>
          <w:sz w:val="18"/>
          <w:szCs w:val="18"/>
        </w:rPr>
        <w:t>Abbreviations: ANCOVA, Analysis of covariate; CI, confidence interval; DAS, disease activity score; ESR, erythrocyte sedimentation rate; ITT, intent-to-treat; LS, least squares; PPS, per-protocol set; RA, rheumatoid arthritis; SE, standard error.</w:t>
      </w:r>
    </w:p>
    <w:p w14:paraId="2513119D" w14:textId="26A10193" w:rsidR="00656083" w:rsidRPr="008D4276" w:rsidRDefault="00656083" w:rsidP="00656083">
      <w:pPr>
        <w:rPr>
          <w:rFonts w:asciiTheme="majorHAnsi" w:hAnsiTheme="majorHAnsi" w:cstheme="minorHAnsi"/>
        </w:rPr>
      </w:pPr>
      <w:r w:rsidRPr="008D4276">
        <w:rPr>
          <w:rFonts w:asciiTheme="majorHAnsi" w:hAnsiTheme="majorHAnsi" w:cstheme="minorHAnsi"/>
        </w:rPr>
        <w:t>Secondary efficacy endpoints included ACR20, ACR50 and ACR70, individual components of the ACR, hybrid ACR response, DAS 28 (CRP/ESR), individual components of DAS</w:t>
      </w:r>
      <w:r w:rsidR="007C5005" w:rsidRPr="008D4276">
        <w:rPr>
          <w:rFonts w:asciiTheme="majorHAnsi" w:hAnsiTheme="majorHAnsi" w:cstheme="minorHAnsi"/>
          <w:lang w:eastAsia="ko-KR"/>
        </w:rPr>
        <w:t xml:space="preserve"> </w:t>
      </w:r>
      <w:r w:rsidRPr="008D4276">
        <w:rPr>
          <w:rFonts w:asciiTheme="majorHAnsi" w:hAnsiTheme="majorHAnsi" w:cstheme="minorHAnsi"/>
        </w:rPr>
        <w:t>28, European League against Rheumatism (EULAR) response</w:t>
      </w:r>
      <w:r w:rsidR="007C5005" w:rsidRPr="008D4276">
        <w:rPr>
          <w:rFonts w:asciiTheme="majorHAnsi" w:hAnsiTheme="majorHAnsi" w:cstheme="minorHAnsi"/>
          <w:lang w:eastAsia="ko-KR"/>
        </w:rPr>
        <w:t xml:space="preserve"> criteria (ESR/CRP)</w:t>
      </w:r>
      <w:r w:rsidRPr="008D4276">
        <w:rPr>
          <w:rFonts w:asciiTheme="majorHAnsi" w:hAnsiTheme="majorHAnsi" w:cstheme="minorHAnsi"/>
        </w:rPr>
        <w:t>, simplified disease activity index (SDAI), clinical disease activity index (CDAI), ACR/EULAR remission (Boolean-based definition), Health-Related Quality of Life (SF-36), and joint damage progression in Study CT-P47 3.1.  The results were generally similar among the treatment groups throughout the study which supports the primary efficacy endpoint and the comparability of ACTEMRA and AVTOZMA.</w:t>
      </w:r>
    </w:p>
    <w:p w14:paraId="376A6D80" w14:textId="77777777" w:rsidR="001A3992" w:rsidRPr="008D4276" w:rsidRDefault="001A3992" w:rsidP="001A3992">
      <w:pPr>
        <w:pStyle w:val="Heading2"/>
        <w:keepNext/>
        <w:spacing w:before="0"/>
        <w:rPr>
          <w:rFonts w:cs="Calibri"/>
        </w:rPr>
      </w:pPr>
      <w:r w:rsidRPr="008D4276">
        <w:rPr>
          <w:rFonts w:cs="Calibri"/>
        </w:rPr>
        <w:t xml:space="preserve">Pharmacokinetic properties </w:t>
      </w:r>
    </w:p>
    <w:p w14:paraId="41883844" w14:textId="2127EB52" w:rsidR="0089656D" w:rsidRPr="008D4276" w:rsidRDefault="0089656D" w:rsidP="001A3992">
      <w:pPr>
        <w:pStyle w:val="Heading3"/>
        <w:spacing w:before="0" w:after="120"/>
        <w:rPr>
          <w:rFonts w:cs="Calibri"/>
        </w:rPr>
      </w:pPr>
      <w:r w:rsidRPr="008D4276">
        <w:rPr>
          <w:rFonts w:cs="Calibri"/>
        </w:rPr>
        <w:t>Rheumatoid Arthritis</w:t>
      </w:r>
    </w:p>
    <w:p w14:paraId="02F35BD0" w14:textId="2F64A282" w:rsidR="0089656D" w:rsidRPr="008D4276" w:rsidRDefault="0089656D" w:rsidP="004D6592">
      <w:pPr>
        <w:pStyle w:val="Heading4"/>
        <w:rPr>
          <w:rFonts w:asciiTheme="majorHAnsi" w:hAnsiTheme="majorHAnsi"/>
        </w:rPr>
      </w:pPr>
      <w:r w:rsidRPr="008D4276">
        <w:rPr>
          <w:rFonts w:asciiTheme="majorHAnsi" w:hAnsiTheme="majorHAnsi"/>
        </w:rPr>
        <w:t>Intravenous Administration</w:t>
      </w:r>
    </w:p>
    <w:p w14:paraId="76451EF3" w14:textId="3FD80179"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pharmacokinetics of </w:t>
      </w:r>
      <w:r w:rsidR="00E96AC8" w:rsidRPr="008D4276">
        <w:rPr>
          <w:rFonts w:asciiTheme="majorHAnsi" w:hAnsiTheme="majorHAnsi" w:cstheme="minorHAnsi"/>
        </w:rPr>
        <w:t xml:space="preserve">tocilizumab </w:t>
      </w:r>
      <w:r w:rsidRPr="008D4276">
        <w:rPr>
          <w:rFonts w:asciiTheme="majorHAnsi" w:hAnsiTheme="majorHAnsi" w:cstheme="minorHAnsi"/>
        </w:rPr>
        <w:t>were determined using a population pharmacokinetic analysis on a database composed of 1793 RA patients treated with a one hour infusion of 4 and 8 mg/kg every 4 weeks for 24 weeks.</w:t>
      </w:r>
    </w:p>
    <w:p w14:paraId="54C1391A" w14:textId="5CBD654F"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pharmacokinetic parameters of </w:t>
      </w:r>
      <w:r w:rsidR="00E96AC8" w:rsidRPr="008D4276">
        <w:rPr>
          <w:rFonts w:asciiTheme="majorHAnsi" w:hAnsiTheme="majorHAnsi" w:cstheme="minorHAnsi"/>
        </w:rPr>
        <w:t>tocilizumab</w:t>
      </w:r>
      <w:r w:rsidR="00E96AC8" w:rsidRPr="008D4276" w:rsidDel="00E96AC8">
        <w:rPr>
          <w:rFonts w:asciiTheme="majorHAnsi" w:hAnsiTheme="majorHAnsi" w:cstheme="minorHAnsi"/>
        </w:rPr>
        <w:t xml:space="preserve"> </w:t>
      </w:r>
      <w:r w:rsidRPr="008D4276">
        <w:rPr>
          <w:rFonts w:asciiTheme="majorHAnsi" w:hAnsiTheme="majorHAnsi" w:cstheme="minorHAnsi"/>
        </w:rPr>
        <w:t>did not change with time. A more than dose- proportional increase in area under the curve (AUC) and trough concentration (C</w:t>
      </w:r>
      <w:r w:rsidRPr="008D4276">
        <w:rPr>
          <w:rFonts w:asciiTheme="majorHAnsi" w:hAnsiTheme="majorHAnsi" w:cstheme="minorHAnsi"/>
          <w:vertAlign w:val="subscript"/>
        </w:rPr>
        <w:t>min</w:t>
      </w:r>
      <w:r w:rsidRPr="008D4276">
        <w:rPr>
          <w:rFonts w:asciiTheme="majorHAnsi" w:hAnsiTheme="majorHAnsi" w:cstheme="minorHAnsi"/>
        </w:rPr>
        <w:t>) was observed for doses of 4 and 8 mg/kg every 4 weeks. Maximum concentration (C</w:t>
      </w:r>
      <w:r w:rsidRPr="008D4276">
        <w:rPr>
          <w:rFonts w:asciiTheme="majorHAnsi" w:hAnsiTheme="majorHAnsi" w:cstheme="minorHAnsi"/>
          <w:vertAlign w:val="subscript"/>
        </w:rPr>
        <w:t>max</w:t>
      </w:r>
      <w:r w:rsidRPr="008D4276">
        <w:rPr>
          <w:rFonts w:asciiTheme="majorHAnsi" w:hAnsiTheme="majorHAnsi" w:cstheme="minorHAnsi"/>
        </w:rPr>
        <w:t xml:space="preserve">) increased </w:t>
      </w:r>
      <w:r w:rsidRPr="008D4276">
        <w:rPr>
          <w:rFonts w:asciiTheme="majorHAnsi" w:hAnsiTheme="majorHAnsi" w:cstheme="minorHAnsi"/>
        </w:rPr>
        <w:lastRenderedPageBreak/>
        <w:t>dose-proportionally. At steady-state, predicted AUC and C</w:t>
      </w:r>
      <w:r w:rsidR="00E1727C" w:rsidRPr="008D4276">
        <w:rPr>
          <w:rFonts w:asciiTheme="majorHAnsi" w:hAnsiTheme="majorHAnsi" w:cstheme="minorHAnsi"/>
          <w:vertAlign w:val="subscript"/>
        </w:rPr>
        <w:t>min</w:t>
      </w:r>
      <w:r w:rsidRPr="008D4276">
        <w:rPr>
          <w:rFonts w:asciiTheme="majorHAnsi" w:hAnsiTheme="majorHAnsi" w:cstheme="minorHAnsi"/>
        </w:rPr>
        <w:t xml:space="preserve"> were 2.7 and 6.5 fold higher at 8 mg/kg as compared to 4 mg/kg, respectively.</w:t>
      </w:r>
    </w:p>
    <w:p w14:paraId="13B878C8" w14:textId="273A9F64"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following parameters are valid for a dose of 8 mg/kg </w:t>
      </w:r>
      <w:r w:rsidR="00E96AC8" w:rsidRPr="008D4276">
        <w:rPr>
          <w:rFonts w:asciiTheme="majorHAnsi" w:hAnsiTheme="majorHAnsi" w:cstheme="minorHAnsi"/>
        </w:rPr>
        <w:t>tocilizumab</w:t>
      </w:r>
      <w:r w:rsidRPr="008D4276">
        <w:rPr>
          <w:rFonts w:asciiTheme="majorHAnsi" w:hAnsiTheme="majorHAnsi" w:cstheme="minorHAnsi"/>
        </w:rPr>
        <w:t xml:space="preserve"> given every 4 weeks. Predicted mean (</w:t>
      </w:r>
      <w:r w:rsidR="00E96AC8" w:rsidRPr="008D4276">
        <w:rPr>
          <w:rFonts w:asciiTheme="majorHAnsi" w:hAnsiTheme="majorHAnsi" w:cstheme="minorHAnsi"/>
        </w:rPr>
        <w:t>±</w:t>
      </w:r>
      <w:r w:rsidRPr="008D4276">
        <w:rPr>
          <w:rFonts w:asciiTheme="majorHAnsi" w:hAnsiTheme="majorHAnsi" w:cstheme="minorHAnsi"/>
        </w:rPr>
        <w:t xml:space="preserve"> SD) steady-state AUC, C</w:t>
      </w:r>
      <w:r w:rsidR="00E1727C" w:rsidRPr="008D4276">
        <w:rPr>
          <w:rFonts w:asciiTheme="majorHAnsi" w:hAnsiTheme="majorHAnsi" w:cstheme="minorHAnsi"/>
          <w:vertAlign w:val="subscript"/>
        </w:rPr>
        <w:t xml:space="preserve">min </w:t>
      </w:r>
      <w:r w:rsidRPr="008D4276">
        <w:rPr>
          <w:rFonts w:asciiTheme="majorHAnsi" w:hAnsiTheme="majorHAnsi" w:cstheme="minorHAnsi"/>
        </w:rPr>
        <w:t>and C</w:t>
      </w:r>
      <w:r w:rsidRPr="008D4276">
        <w:rPr>
          <w:rFonts w:asciiTheme="majorHAnsi" w:hAnsiTheme="majorHAnsi" w:cstheme="minorHAnsi"/>
          <w:vertAlign w:val="subscript"/>
        </w:rPr>
        <w:t>max</w:t>
      </w:r>
      <w:r w:rsidRPr="008D4276">
        <w:rPr>
          <w:rFonts w:asciiTheme="majorHAnsi" w:hAnsiTheme="majorHAnsi" w:cstheme="minorHAnsi"/>
        </w:rPr>
        <w:t xml:space="preserve"> of </w:t>
      </w:r>
      <w:r w:rsidR="00E96AC8" w:rsidRPr="008D4276">
        <w:rPr>
          <w:rFonts w:asciiTheme="majorHAnsi" w:hAnsiTheme="majorHAnsi" w:cstheme="minorHAnsi"/>
        </w:rPr>
        <w:t>tocilizumab</w:t>
      </w:r>
      <w:r w:rsidRPr="008D4276">
        <w:rPr>
          <w:rFonts w:asciiTheme="majorHAnsi" w:hAnsiTheme="majorHAnsi" w:cstheme="minorHAnsi"/>
        </w:rPr>
        <w:t xml:space="preserve"> were 35000 </w:t>
      </w:r>
      <w:r w:rsidR="00E96AC8" w:rsidRPr="008D4276">
        <w:rPr>
          <w:rFonts w:asciiTheme="majorHAnsi" w:hAnsiTheme="majorHAnsi" w:cstheme="minorHAnsi"/>
        </w:rPr>
        <w:t>±</w:t>
      </w:r>
      <w:r w:rsidRPr="008D4276">
        <w:rPr>
          <w:rFonts w:asciiTheme="majorHAnsi" w:hAnsiTheme="majorHAnsi" w:cstheme="minorHAnsi"/>
        </w:rPr>
        <w:t xml:space="preserve"> 15500 h·µg/mL, 9.74 </w:t>
      </w:r>
      <w:r w:rsidR="00E96AC8" w:rsidRPr="008D4276">
        <w:rPr>
          <w:rFonts w:asciiTheme="majorHAnsi" w:hAnsiTheme="majorHAnsi" w:cstheme="minorHAnsi"/>
        </w:rPr>
        <w:t>±</w:t>
      </w:r>
      <w:r w:rsidRPr="008D4276">
        <w:rPr>
          <w:rFonts w:asciiTheme="majorHAnsi" w:hAnsiTheme="majorHAnsi" w:cstheme="minorHAnsi"/>
        </w:rPr>
        <w:t xml:space="preserve"> 10.5</w:t>
      </w:r>
      <w:r w:rsidR="004D6592" w:rsidRPr="008D4276">
        <w:rPr>
          <w:rFonts w:asciiTheme="majorHAnsi" w:hAnsiTheme="majorHAnsi" w:cstheme="minorHAnsi"/>
        </w:rPr>
        <w:t> </w:t>
      </w:r>
      <w:r w:rsidR="00E96AC8" w:rsidRPr="008D4276">
        <w:rPr>
          <w:rFonts w:asciiTheme="majorHAnsi" w:hAnsiTheme="majorHAnsi" w:cstheme="minorHAnsi"/>
        </w:rPr>
        <w:t>µ</w:t>
      </w:r>
      <w:r w:rsidRPr="008D4276">
        <w:rPr>
          <w:rFonts w:asciiTheme="majorHAnsi" w:hAnsiTheme="majorHAnsi" w:cstheme="minorHAnsi"/>
        </w:rPr>
        <w:t xml:space="preserve">g/mL, and 183 </w:t>
      </w:r>
      <w:r w:rsidR="00E96AC8" w:rsidRPr="008D4276">
        <w:rPr>
          <w:rFonts w:asciiTheme="majorHAnsi" w:hAnsiTheme="majorHAnsi" w:cstheme="minorHAnsi"/>
        </w:rPr>
        <w:t>±</w:t>
      </w:r>
      <w:r w:rsidRPr="008D4276">
        <w:rPr>
          <w:rFonts w:asciiTheme="majorHAnsi" w:hAnsiTheme="majorHAnsi" w:cstheme="minorHAnsi"/>
        </w:rPr>
        <w:t xml:space="preserve"> 85.6 µg/mL, respectively. The accumulation ratios for AUC and C</w:t>
      </w:r>
      <w:r w:rsidRPr="008D4276">
        <w:rPr>
          <w:rFonts w:asciiTheme="majorHAnsi" w:hAnsiTheme="majorHAnsi" w:cstheme="minorHAnsi"/>
          <w:vertAlign w:val="subscript"/>
        </w:rPr>
        <w:t>max</w:t>
      </w:r>
      <w:r w:rsidRPr="008D4276">
        <w:rPr>
          <w:rFonts w:asciiTheme="majorHAnsi" w:hAnsiTheme="majorHAnsi" w:cstheme="minorHAnsi"/>
        </w:rPr>
        <w:t xml:space="preserve"> were small; 1.22 and 1.06, respectively. The accumulation ratio was higher for C</w:t>
      </w:r>
      <w:r w:rsidR="00E1727C" w:rsidRPr="008D4276">
        <w:rPr>
          <w:rFonts w:asciiTheme="majorHAnsi" w:hAnsiTheme="majorHAnsi" w:cstheme="minorHAnsi"/>
          <w:vertAlign w:val="subscript"/>
        </w:rPr>
        <w:t>min</w:t>
      </w:r>
      <w:r w:rsidRPr="008D4276">
        <w:rPr>
          <w:rFonts w:asciiTheme="majorHAnsi" w:hAnsiTheme="majorHAnsi" w:cstheme="minorHAnsi"/>
        </w:rPr>
        <w:t xml:space="preserve"> (2.35), which was expected based on the nonlinear clearance contribution at lower concentrations. Steady-state was reached following the first administration and after 8 and 20 weeks for C</w:t>
      </w:r>
      <w:r w:rsidR="00E1727C" w:rsidRPr="008D4276">
        <w:rPr>
          <w:rFonts w:asciiTheme="majorHAnsi" w:hAnsiTheme="majorHAnsi" w:cstheme="minorHAnsi"/>
          <w:vertAlign w:val="subscript"/>
        </w:rPr>
        <w:t>max</w:t>
      </w:r>
      <w:r w:rsidRPr="008D4276">
        <w:rPr>
          <w:rFonts w:asciiTheme="majorHAnsi" w:hAnsiTheme="majorHAnsi" w:cstheme="minorHAnsi"/>
        </w:rPr>
        <w:t>, AUC, and C</w:t>
      </w:r>
      <w:r w:rsidR="00E1727C" w:rsidRPr="008D4276">
        <w:rPr>
          <w:rFonts w:asciiTheme="majorHAnsi" w:hAnsiTheme="majorHAnsi" w:cstheme="minorHAnsi"/>
          <w:vertAlign w:val="subscript"/>
        </w:rPr>
        <w:t>min</w:t>
      </w:r>
      <w:r w:rsidRPr="008D4276">
        <w:rPr>
          <w:rFonts w:asciiTheme="majorHAnsi" w:hAnsiTheme="majorHAnsi" w:cstheme="minorHAnsi"/>
        </w:rPr>
        <w:t xml:space="preserve">, respectively. </w:t>
      </w:r>
      <w:r w:rsidR="00E96AC8" w:rsidRPr="008D4276">
        <w:rPr>
          <w:rFonts w:asciiTheme="majorHAnsi" w:hAnsiTheme="majorHAnsi" w:cstheme="minorHAnsi"/>
        </w:rPr>
        <w:t>tocilizumab</w:t>
      </w:r>
      <w:r w:rsidRPr="008D4276">
        <w:rPr>
          <w:rFonts w:asciiTheme="majorHAnsi" w:hAnsiTheme="majorHAnsi" w:cstheme="minorHAnsi"/>
        </w:rPr>
        <w:t xml:space="preserve"> AUC, C</w:t>
      </w:r>
      <w:r w:rsidR="00E1727C" w:rsidRPr="008D4276">
        <w:rPr>
          <w:rFonts w:asciiTheme="majorHAnsi" w:hAnsiTheme="majorHAnsi" w:cstheme="minorHAnsi"/>
          <w:vertAlign w:val="subscript"/>
        </w:rPr>
        <w:t>min</w:t>
      </w:r>
      <w:r w:rsidRPr="008D4276">
        <w:rPr>
          <w:rFonts w:asciiTheme="majorHAnsi" w:hAnsiTheme="majorHAnsi" w:cstheme="minorHAnsi"/>
        </w:rPr>
        <w:t xml:space="preserve"> 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increased with increase of body weight. At body weight </w:t>
      </w:r>
      <w:r w:rsidRPr="008D4276">
        <w:rPr>
          <w:rFonts w:asciiTheme="majorHAnsi" w:hAnsiTheme="majorHAnsi" w:cstheme="minorHAnsi" w:hint="eastAsia"/>
        </w:rPr>
        <w:t>≥</w:t>
      </w:r>
      <w:r w:rsidRPr="008D4276">
        <w:rPr>
          <w:rFonts w:asciiTheme="majorHAnsi" w:hAnsiTheme="majorHAnsi" w:cstheme="minorHAnsi"/>
        </w:rPr>
        <w:t xml:space="preserve"> 100 kg, the predicted mean (</w:t>
      </w:r>
      <w:r w:rsidRPr="008D4276">
        <w:rPr>
          <w:rFonts w:asciiTheme="majorHAnsi" w:hAnsiTheme="majorHAnsi" w:cstheme="minorHAnsi" w:hint="eastAsia"/>
        </w:rPr>
        <w:t>±</w:t>
      </w:r>
      <w:r w:rsidRPr="008D4276">
        <w:rPr>
          <w:rFonts w:asciiTheme="majorHAnsi" w:hAnsiTheme="majorHAnsi" w:cstheme="minorHAnsi"/>
        </w:rPr>
        <w:t xml:space="preserve"> SD) steady-state AUC, C</w:t>
      </w:r>
      <w:r w:rsidR="00E1727C" w:rsidRPr="008D4276">
        <w:rPr>
          <w:rFonts w:asciiTheme="majorHAnsi" w:hAnsiTheme="majorHAnsi" w:cstheme="minorHAnsi"/>
          <w:vertAlign w:val="subscript"/>
        </w:rPr>
        <w:t xml:space="preserve">min </w:t>
      </w:r>
      <w:r w:rsidRPr="008D4276">
        <w:rPr>
          <w:rFonts w:asciiTheme="majorHAnsi" w:hAnsiTheme="majorHAnsi" w:cstheme="minorHAnsi"/>
        </w:rPr>
        <w:t>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of </w:t>
      </w:r>
      <w:r w:rsidR="00E96AC8" w:rsidRPr="008D4276">
        <w:rPr>
          <w:rFonts w:asciiTheme="majorHAnsi" w:hAnsiTheme="majorHAnsi" w:cstheme="minorHAnsi"/>
        </w:rPr>
        <w:t>tocilizumab</w:t>
      </w:r>
      <w:r w:rsidRPr="008D4276">
        <w:rPr>
          <w:rFonts w:asciiTheme="majorHAnsi" w:hAnsiTheme="majorHAnsi" w:cstheme="minorHAnsi"/>
        </w:rPr>
        <w:t xml:space="preserve"> were 55500 ± 14100 h·µg/mL, 19.0 ± 12.0 </w:t>
      </w:r>
      <w:r w:rsidR="00E1727C" w:rsidRPr="008D4276">
        <w:rPr>
          <w:rFonts w:asciiTheme="majorHAnsi" w:hAnsiTheme="majorHAnsi" w:cstheme="minorHAnsi"/>
        </w:rPr>
        <w:t>µ</w:t>
      </w:r>
      <w:r w:rsidRPr="008D4276">
        <w:rPr>
          <w:rFonts w:asciiTheme="majorHAnsi" w:hAnsiTheme="majorHAnsi" w:cstheme="minorHAnsi"/>
        </w:rPr>
        <w:t xml:space="preserve">g/mL, and 269 ± 57 </w:t>
      </w:r>
      <w:r w:rsidR="00E1727C" w:rsidRPr="008D4276">
        <w:rPr>
          <w:rFonts w:asciiTheme="majorHAnsi" w:hAnsiTheme="majorHAnsi" w:cstheme="minorHAnsi"/>
        </w:rPr>
        <w:t>µ</w:t>
      </w:r>
      <w:r w:rsidRPr="008D4276">
        <w:rPr>
          <w:rFonts w:asciiTheme="majorHAnsi" w:hAnsiTheme="majorHAnsi" w:cstheme="minorHAnsi"/>
        </w:rPr>
        <w:t xml:space="preserve">g/mL, respectively, which are higher than mean exposure values for the patient population. Therefore, </w:t>
      </w:r>
      <w:r w:rsidR="00E96AC8" w:rsidRPr="008D4276">
        <w:rPr>
          <w:rFonts w:asciiTheme="majorHAnsi" w:hAnsiTheme="majorHAnsi" w:cstheme="minorHAnsi"/>
        </w:rPr>
        <w:t>tocilizumab</w:t>
      </w:r>
      <w:r w:rsidRPr="008D4276">
        <w:rPr>
          <w:rFonts w:asciiTheme="majorHAnsi" w:hAnsiTheme="majorHAnsi" w:cstheme="minorHAnsi"/>
        </w:rPr>
        <w:t xml:space="preserve"> doses exceeding 800 mg per infusion are not recommended in patients </w:t>
      </w:r>
      <w:r w:rsidRPr="008D4276">
        <w:rPr>
          <w:rFonts w:asciiTheme="majorHAnsi" w:hAnsiTheme="majorHAnsi" w:cstheme="minorHAnsi" w:hint="eastAsia"/>
        </w:rPr>
        <w:t>≥</w:t>
      </w:r>
      <w:r w:rsidRPr="008D4276">
        <w:rPr>
          <w:rFonts w:asciiTheme="majorHAnsi" w:hAnsiTheme="majorHAnsi" w:cstheme="minorHAnsi"/>
        </w:rPr>
        <w:t xml:space="preserve"> 100 kg (see section 4.2 Dose and Method of Administration).</w:t>
      </w:r>
    </w:p>
    <w:p w14:paraId="26FE5E6F" w14:textId="49A8EBF3"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following parameters are valid for a dose of 4 mg/kg </w:t>
      </w:r>
      <w:r w:rsidR="00E1727C" w:rsidRPr="008D4276">
        <w:rPr>
          <w:rFonts w:asciiTheme="majorHAnsi" w:hAnsiTheme="majorHAnsi" w:cstheme="minorHAnsi"/>
        </w:rPr>
        <w:t>tocilizumab</w:t>
      </w:r>
      <w:r w:rsidRPr="008D4276">
        <w:rPr>
          <w:rFonts w:asciiTheme="majorHAnsi" w:hAnsiTheme="majorHAnsi" w:cstheme="minorHAnsi"/>
        </w:rPr>
        <w:t xml:space="preserve"> given every 4 weeks. Predicted mean (± SD) steady-state AUC, C</w:t>
      </w:r>
      <w:r w:rsidR="00E1727C" w:rsidRPr="008D4276">
        <w:rPr>
          <w:rFonts w:asciiTheme="majorHAnsi" w:hAnsiTheme="majorHAnsi" w:cstheme="minorHAnsi"/>
          <w:vertAlign w:val="subscript"/>
        </w:rPr>
        <w:t>min</w:t>
      </w:r>
      <w:r w:rsidRPr="008D4276">
        <w:rPr>
          <w:rFonts w:asciiTheme="majorHAnsi" w:hAnsiTheme="majorHAnsi" w:cstheme="minorHAnsi"/>
        </w:rPr>
        <w:t xml:space="preserve"> 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of </w:t>
      </w:r>
      <w:r w:rsidR="00E1727C" w:rsidRPr="008D4276">
        <w:rPr>
          <w:rFonts w:asciiTheme="majorHAnsi" w:hAnsiTheme="majorHAnsi" w:cstheme="minorHAnsi"/>
        </w:rPr>
        <w:t>tocilizumab</w:t>
      </w:r>
      <w:r w:rsidRPr="008D4276">
        <w:rPr>
          <w:rFonts w:asciiTheme="majorHAnsi" w:hAnsiTheme="majorHAnsi" w:cstheme="minorHAnsi"/>
        </w:rPr>
        <w:t xml:space="preserve"> were 13000 ± 5800•µg•h/mL, 1.49 ± 2.13</w:t>
      </w:r>
      <w:r w:rsidR="004D6592" w:rsidRPr="008D4276">
        <w:rPr>
          <w:rFonts w:asciiTheme="majorHAnsi" w:hAnsiTheme="majorHAnsi" w:cstheme="minorHAnsi"/>
        </w:rPr>
        <w:t> </w:t>
      </w:r>
      <w:r w:rsidR="00E1727C" w:rsidRPr="008D4276">
        <w:rPr>
          <w:rFonts w:asciiTheme="majorHAnsi" w:hAnsiTheme="majorHAnsi" w:cstheme="minorHAnsi"/>
        </w:rPr>
        <w:t>µ</w:t>
      </w:r>
      <w:r w:rsidRPr="008D4276">
        <w:rPr>
          <w:rFonts w:asciiTheme="majorHAnsi" w:hAnsiTheme="majorHAnsi" w:cstheme="minorHAnsi"/>
        </w:rPr>
        <w:t>g/mL, and 88.3 ± 41.4 µg/mL, respectively. The accumulation ratios for AUC 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were small; 1.11 and 1.02, respectively. The accumulation ratio was higher for C</w:t>
      </w:r>
      <w:r w:rsidR="00E1727C" w:rsidRPr="008D4276">
        <w:rPr>
          <w:rFonts w:asciiTheme="majorHAnsi" w:hAnsiTheme="majorHAnsi" w:cstheme="minorHAnsi"/>
          <w:vertAlign w:val="subscript"/>
        </w:rPr>
        <w:t>min</w:t>
      </w:r>
      <w:r w:rsidRPr="008D4276">
        <w:rPr>
          <w:rFonts w:asciiTheme="majorHAnsi" w:hAnsiTheme="majorHAnsi" w:cstheme="minorHAnsi"/>
        </w:rPr>
        <w:t xml:space="preserve"> (1.96). Steady-state was reached following the first administration for both C</w:t>
      </w:r>
      <w:r w:rsidRPr="008D4276">
        <w:rPr>
          <w:rFonts w:asciiTheme="majorHAnsi" w:hAnsiTheme="majorHAnsi" w:cstheme="minorHAnsi"/>
          <w:vertAlign w:val="subscript"/>
        </w:rPr>
        <w:t>max</w:t>
      </w:r>
      <w:r w:rsidRPr="008D4276">
        <w:rPr>
          <w:rFonts w:asciiTheme="majorHAnsi" w:hAnsiTheme="majorHAnsi" w:cstheme="minorHAnsi"/>
        </w:rPr>
        <w:t xml:space="preserve"> and AUC and from 16 weeks for C</w:t>
      </w:r>
      <w:r w:rsidR="00E1727C" w:rsidRPr="008D4276">
        <w:rPr>
          <w:rFonts w:asciiTheme="majorHAnsi" w:hAnsiTheme="majorHAnsi" w:cstheme="minorHAnsi"/>
          <w:vertAlign w:val="subscript"/>
        </w:rPr>
        <w:t>min</w:t>
      </w:r>
      <w:r w:rsidRPr="008D4276">
        <w:rPr>
          <w:rFonts w:asciiTheme="majorHAnsi" w:hAnsiTheme="majorHAnsi" w:cstheme="minorHAnsi"/>
        </w:rPr>
        <w:t>.</w:t>
      </w:r>
    </w:p>
    <w:p w14:paraId="18C3C9A0" w14:textId="2C697329" w:rsidR="0089656D" w:rsidRPr="008D4276" w:rsidRDefault="0089656D" w:rsidP="004D6592">
      <w:pPr>
        <w:pStyle w:val="Heading4"/>
        <w:rPr>
          <w:rFonts w:asciiTheme="majorHAnsi" w:hAnsiTheme="majorHAnsi"/>
        </w:rPr>
      </w:pPr>
      <w:r w:rsidRPr="008D4276">
        <w:rPr>
          <w:rFonts w:asciiTheme="majorHAnsi" w:hAnsiTheme="majorHAnsi"/>
        </w:rPr>
        <w:t xml:space="preserve">Subcutaneous Administration </w:t>
      </w:r>
    </w:p>
    <w:p w14:paraId="144E1E3D" w14:textId="7070AF41"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pharmacokinetics of </w:t>
      </w:r>
      <w:r w:rsidR="00E1727C" w:rsidRPr="008D4276">
        <w:rPr>
          <w:rFonts w:asciiTheme="majorHAnsi" w:hAnsiTheme="majorHAnsi" w:cstheme="minorHAnsi"/>
        </w:rPr>
        <w:t>tocilizumab</w:t>
      </w:r>
      <w:r w:rsidRPr="008D4276">
        <w:rPr>
          <w:rFonts w:asciiTheme="majorHAnsi" w:hAnsiTheme="majorHAnsi" w:cstheme="minorHAnsi"/>
        </w:rPr>
        <w:t xml:space="preserve"> were determined using a population pharmacokinetic analysis on a database composed of 1759 RA patients treated with 162 mg SC every week, 162 mg SC every other week, and 8 mg/kg every 4 weeks for 24 weeks.</w:t>
      </w:r>
    </w:p>
    <w:p w14:paraId="13EAB971" w14:textId="58A2C7B7"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pharmacokinetic parameters of </w:t>
      </w:r>
      <w:r w:rsidR="00E1727C" w:rsidRPr="008D4276">
        <w:rPr>
          <w:rFonts w:asciiTheme="majorHAnsi" w:hAnsiTheme="majorHAnsi" w:cstheme="minorHAnsi"/>
        </w:rPr>
        <w:t>tocilizumab</w:t>
      </w:r>
      <w:r w:rsidRPr="008D4276">
        <w:rPr>
          <w:rFonts w:asciiTheme="majorHAnsi" w:hAnsiTheme="majorHAnsi" w:cstheme="minorHAnsi"/>
        </w:rPr>
        <w:t xml:space="preserve"> did not change with time. For the 162 mg SC every week dose, the predicted mean (± SD) steady-state AUC1week, C</w:t>
      </w:r>
      <w:r w:rsidRPr="008D4276">
        <w:rPr>
          <w:rFonts w:asciiTheme="majorHAnsi" w:hAnsiTheme="majorHAnsi" w:cstheme="minorHAnsi"/>
          <w:vertAlign w:val="subscript"/>
        </w:rPr>
        <w:t>min</w:t>
      </w:r>
      <w:r w:rsidRPr="008D4276">
        <w:rPr>
          <w:rFonts w:asciiTheme="majorHAnsi" w:hAnsiTheme="majorHAnsi" w:cstheme="minorHAnsi"/>
        </w:rPr>
        <w:t xml:space="preserve"> and C</w:t>
      </w:r>
      <w:r w:rsidR="00E1727C" w:rsidRPr="008D4276">
        <w:rPr>
          <w:rFonts w:asciiTheme="majorHAnsi" w:hAnsiTheme="majorHAnsi" w:cstheme="minorHAnsi"/>
          <w:vertAlign w:val="subscript"/>
        </w:rPr>
        <w:t xml:space="preserve">max </w:t>
      </w:r>
      <w:r w:rsidRPr="008D4276">
        <w:rPr>
          <w:rFonts w:asciiTheme="majorHAnsi" w:hAnsiTheme="majorHAnsi" w:cstheme="minorHAnsi"/>
        </w:rPr>
        <w:t xml:space="preserve">of </w:t>
      </w:r>
      <w:r w:rsidR="00E1727C" w:rsidRPr="008D4276">
        <w:rPr>
          <w:rFonts w:asciiTheme="majorHAnsi" w:hAnsiTheme="majorHAnsi" w:cstheme="minorHAnsi"/>
        </w:rPr>
        <w:t>tocilizumab</w:t>
      </w:r>
      <w:r w:rsidRPr="008D4276">
        <w:rPr>
          <w:rFonts w:asciiTheme="majorHAnsi" w:hAnsiTheme="majorHAnsi" w:cstheme="minorHAnsi"/>
        </w:rPr>
        <w:t xml:space="preserve"> were 8200 ± 3600 mcg•h/mL, 44.6 ± 20.6 mcg/mL, and 50.9 ± 21.8 mcg/mL, respectively. The accumulation ratios for AUC, C</w:t>
      </w:r>
      <w:r w:rsidR="00E1727C" w:rsidRPr="008D4276">
        <w:rPr>
          <w:rFonts w:asciiTheme="majorHAnsi" w:hAnsiTheme="majorHAnsi" w:cstheme="minorHAnsi"/>
          <w:vertAlign w:val="subscript"/>
        </w:rPr>
        <w:t>min</w:t>
      </w:r>
      <w:r w:rsidRPr="008D4276">
        <w:rPr>
          <w:rFonts w:asciiTheme="majorHAnsi" w:hAnsiTheme="majorHAnsi" w:cstheme="minorHAnsi"/>
        </w:rPr>
        <w:t>, 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were 6.83, 6.37, and 5.47, respectively. Steady state was reached after 12 weeks for AUC, C</w:t>
      </w:r>
      <w:r w:rsidR="00E1727C" w:rsidRPr="008D4276">
        <w:rPr>
          <w:rFonts w:asciiTheme="majorHAnsi" w:hAnsiTheme="majorHAnsi" w:cstheme="minorHAnsi"/>
          <w:vertAlign w:val="subscript"/>
        </w:rPr>
        <w:t>min</w:t>
      </w:r>
      <w:r w:rsidRPr="008D4276">
        <w:rPr>
          <w:rFonts w:asciiTheme="majorHAnsi" w:hAnsiTheme="majorHAnsi" w:cstheme="minorHAnsi"/>
        </w:rPr>
        <w:t>, and C</w:t>
      </w:r>
      <w:r w:rsidR="00E1727C" w:rsidRPr="008D4276">
        <w:rPr>
          <w:rFonts w:asciiTheme="majorHAnsi" w:hAnsiTheme="majorHAnsi" w:cstheme="minorHAnsi"/>
          <w:vertAlign w:val="subscript"/>
        </w:rPr>
        <w:t>max</w:t>
      </w:r>
      <w:r w:rsidRPr="008D4276">
        <w:rPr>
          <w:rFonts w:asciiTheme="majorHAnsi" w:hAnsiTheme="majorHAnsi" w:cstheme="minorHAnsi"/>
        </w:rPr>
        <w:t>.</w:t>
      </w:r>
    </w:p>
    <w:p w14:paraId="2ED8EF21" w14:textId="77D49C08"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For the 162 mg SC every other week dose, the predicted mean (± SD) steady-state AUC2week, C</w:t>
      </w:r>
      <w:r w:rsidR="00E1727C" w:rsidRPr="008D4276">
        <w:rPr>
          <w:rFonts w:asciiTheme="majorHAnsi" w:hAnsiTheme="majorHAnsi" w:cstheme="minorHAnsi"/>
          <w:vertAlign w:val="subscript"/>
        </w:rPr>
        <w:t>min</w:t>
      </w:r>
      <w:r w:rsidRPr="008D4276">
        <w:rPr>
          <w:rFonts w:asciiTheme="majorHAnsi" w:hAnsiTheme="majorHAnsi" w:cstheme="minorHAnsi"/>
        </w:rPr>
        <w:t>, 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of </w:t>
      </w:r>
      <w:r w:rsidR="00E1727C" w:rsidRPr="008D4276">
        <w:rPr>
          <w:rFonts w:asciiTheme="majorHAnsi" w:hAnsiTheme="majorHAnsi" w:cstheme="minorHAnsi"/>
        </w:rPr>
        <w:t>tocilizumab</w:t>
      </w:r>
      <w:r w:rsidRPr="008D4276">
        <w:rPr>
          <w:rFonts w:asciiTheme="majorHAnsi" w:hAnsiTheme="majorHAnsi" w:cstheme="minorHAnsi"/>
        </w:rPr>
        <w:t xml:space="preserve"> were 3200 ± 2700 mcg•h/mL, 5.6 ± 7.0 mcg/mL, and 12.3 ± 8.7 mcg/mL, respectively. The accumulation ratios for AUC, C</w:t>
      </w:r>
      <w:r w:rsidR="00E1727C" w:rsidRPr="008D4276">
        <w:rPr>
          <w:rFonts w:asciiTheme="majorHAnsi" w:hAnsiTheme="majorHAnsi" w:cstheme="minorHAnsi"/>
          <w:vertAlign w:val="subscript"/>
        </w:rPr>
        <w:t>min</w:t>
      </w:r>
      <w:r w:rsidRPr="008D4276">
        <w:rPr>
          <w:rFonts w:asciiTheme="majorHAnsi" w:hAnsiTheme="majorHAnsi" w:cstheme="minorHAnsi"/>
        </w:rPr>
        <w:t>, and C</w:t>
      </w:r>
      <w:r w:rsidR="00E1727C" w:rsidRPr="008D4276">
        <w:rPr>
          <w:rFonts w:asciiTheme="majorHAnsi" w:hAnsiTheme="majorHAnsi" w:cstheme="minorHAnsi"/>
          <w:vertAlign w:val="subscript"/>
        </w:rPr>
        <w:t>max</w:t>
      </w:r>
      <w:r w:rsidRPr="008D4276">
        <w:rPr>
          <w:rFonts w:asciiTheme="majorHAnsi" w:hAnsiTheme="majorHAnsi" w:cstheme="minorHAnsi"/>
        </w:rPr>
        <w:t xml:space="preserve"> were 2.67, 5.6, and 2.12, respectively. Steady state was reached after 12 weeks for AUC and C</w:t>
      </w:r>
      <w:r w:rsidR="00E1727C" w:rsidRPr="008D4276">
        <w:rPr>
          <w:rFonts w:asciiTheme="majorHAnsi" w:hAnsiTheme="majorHAnsi" w:cstheme="minorHAnsi"/>
          <w:vertAlign w:val="subscript"/>
        </w:rPr>
        <w:t>min</w:t>
      </w:r>
      <w:r w:rsidRPr="008D4276">
        <w:rPr>
          <w:rFonts w:asciiTheme="majorHAnsi" w:hAnsiTheme="majorHAnsi" w:cstheme="minorHAnsi"/>
        </w:rPr>
        <w:t>, and after 10 weeks for C</w:t>
      </w:r>
      <w:r w:rsidRPr="008D4276">
        <w:rPr>
          <w:rFonts w:asciiTheme="majorHAnsi" w:hAnsiTheme="majorHAnsi" w:cstheme="minorHAnsi"/>
          <w:vertAlign w:val="subscript"/>
        </w:rPr>
        <w:t>max</w:t>
      </w:r>
      <w:r w:rsidRPr="008D4276">
        <w:rPr>
          <w:rFonts w:asciiTheme="majorHAnsi" w:hAnsiTheme="majorHAnsi" w:cstheme="minorHAnsi"/>
        </w:rPr>
        <w:t>.</w:t>
      </w:r>
    </w:p>
    <w:p w14:paraId="07D3B58F" w14:textId="77777777" w:rsidR="0089656D" w:rsidRPr="008D4276" w:rsidRDefault="0089656D" w:rsidP="0089656D">
      <w:pPr>
        <w:pStyle w:val="Heading3"/>
        <w:rPr>
          <w:rFonts w:cs="Calibri"/>
        </w:rPr>
      </w:pPr>
      <w:r w:rsidRPr="008D4276">
        <w:rPr>
          <w:rFonts w:cs="Calibri"/>
        </w:rPr>
        <w:t>Giant Cell Arteritis (GCA)</w:t>
      </w:r>
    </w:p>
    <w:p w14:paraId="5FE8F335" w14:textId="3272D5F8"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The pharmacokinetics of </w:t>
      </w:r>
      <w:r w:rsidR="00E1727C" w:rsidRPr="008D4276">
        <w:rPr>
          <w:rFonts w:asciiTheme="majorHAnsi" w:hAnsiTheme="majorHAnsi" w:cstheme="minorHAnsi"/>
        </w:rPr>
        <w:t>tocilizumab</w:t>
      </w:r>
      <w:r w:rsidRPr="008D4276">
        <w:rPr>
          <w:rFonts w:asciiTheme="majorHAnsi" w:hAnsiTheme="majorHAnsi" w:cstheme="minorHAnsi"/>
        </w:rPr>
        <w:t xml:space="preserve"> in GCA patients were determined using a population pharmacokinetic model from an analysis dataset composed of 149 GCA patients treated with 162 mg SC every week or with 162 mg SC every other week. The developed model had the same structure as the population PK model developed earlier based on data from RA patients.</w:t>
      </w:r>
    </w:p>
    <w:p w14:paraId="18F7F775" w14:textId="2BE56F3C" w:rsidR="0089656D" w:rsidRPr="008D4276" w:rsidRDefault="0089656D" w:rsidP="0089656D">
      <w:pPr>
        <w:pStyle w:val="Caption"/>
        <w:rPr>
          <w:rFonts w:asciiTheme="majorHAnsi" w:hAnsiTheme="majorHAnsi" w:cs="Calibri"/>
        </w:rPr>
      </w:pPr>
      <w:r w:rsidRPr="008D4276">
        <w:rPr>
          <w:rFonts w:asciiTheme="majorHAnsi" w:hAnsiTheme="majorHAnsi" w:cs="Calibri"/>
        </w:rPr>
        <w:lastRenderedPageBreak/>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16</w:t>
      </w:r>
      <w:r w:rsidR="0006243F" w:rsidRPr="008D4276">
        <w:rPr>
          <w:rFonts w:asciiTheme="majorHAnsi" w:hAnsiTheme="majorHAnsi" w:cs="Calibri"/>
        </w:rPr>
        <w:fldChar w:fldCharType="end"/>
      </w:r>
      <w:r w:rsidRPr="008D4276">
        <w:rPr>
          <w:rFonts w:asciiTheme="majorHAnsi" w:hAnsiTheme="majorHAnsi" w:cs="Calibri"/>
        </w:rPr>
        <w:t xml:space="preserve"> Predicted mean ± SD PK parameters at steady-state after SC dosing in GCA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71"/>
        <w:gridCol w:w="2190"/>
        <w:gridCol w:w="2859"/>
      </w:tblGrid>
      <w:tr w:rsidR="0089656D" w:rsidRPr="001922B7" w14:paraId="47736989" w14:textId="77777777" w:rsidTr="0089656D">
        <w:trPr>
          <w:trHeight w:val="479"/>
        </w:trPr>
        <w:tc>
          <w:tcPr>
            <w:tcW w:w="2201" w:type="pct"/>
          </w:tcPr>
          <w:p w14:paraId="0156FDDB" w14:textId="77777777" w:rsidR="0089656D" w:rsidRPr="008D4276" w:rsidRDefault="0089656D" w:rsidP="0089656D">
            <w:pPr>
              <w:pStyle w:val="NoSpacing"/>
              <w:rPr>
                <w:rFonts w:asciiTheme="majorHAnsi" w:hAnsiTheme="majorHAnsi" w:cs="Calibri"/>
              </w:rPr>
            </w:pPr>
          </w:p>
        </w:tc>
        <w:tc>
          <w:tcPr>
            <w:tcW w:w="2799" w:type="pct"/>
            <w:gridSpan w:val="2"/>
          </w:tcPr>
          <w:p w14:paraId="01557B9A"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SC</w:t>
            </w:r>
          </w:p>
        </w:tc>
      </w:tr>
      <w:tr w:rsidR="0089656D" w:rsidRPr="001922B7" w14:paraId="4CA10D0A" w14:textId="77777777" w:rsidTr="0089656D">
        <w:trPr>
          <w:trHeight w:val="453"/>
        </w:trPr>
        <w:tc>
          <w:tcPr>
            <w:tcW w:w="2201" w:type="pct"/>
          </w:tcPr>
          <w:p w14:paraId="31A480A7" w14:textId="20B5A84D" w:rsidR="0089656D" w:rsidRPr="008D4276" w:rsidRDefault="00E1727C" w:rsidP="0089656D">
            <w:pPr>
              <w:pStyle w:val="NoSpacing"/>
              <w:rPr>
                <w:rFonts w:asciiTheme="majorHAnsi" w:hAnsiTheme="majorHAnsi" w:cs="Calibri"/>
                <w:b/>
              </w:rPr>
            </w:pPr>
            <w:r w:rsidRPr="008D4276">
              <w:rPr>
                <w:rFonts w:asciiTheme="majorHAnsi" w:hAnsiTheme="majorHAnsi" w:cs="Calibri"/>
                <w:b/>
              </w:rPr>
              <w:t>Tocilizumab</w:t>
            </w:r>
            <w:r w:rsidR="0089656D" w:rsidRPr="008D4276">
              <w:rPr>
                <w:rFonts w:asciiTheme="majorHAnsi" w:hAnsiTheme="majorHAnsi" w:cs="Calibri"/>
                <w:b/>
              </w:rPr>
              <w:t xml:space="preserve"> PK Parameter</w:t>
            </w:r>
          </w:p>
        </w:tc>
        <w:tc>
          <w:tcPr>
            <w:tcW w:w="1214" w:type="pct"/>
          </w:tcPr>
          <w:p w14:paraId="0EE843AA"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162 mg Q2W</w:t>
            </w:r>
          </w:p>
        </w:tc>
        <w:tc>
          <w:tcPr>
            <w:tcW w:w="1585" w:type="pct"/>
          </w:tcPr>
          <w:p w14:paraId="7F787EAF"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162 mg QW</w:t>
            </w:r>
          </w:p>
        </w:tc>
      </w:tr>
      <w:tr w:rsidR="0089656D" w:rsidRPr="001922B7" w14:paraId="1043197A" w14:textId="77777777" w:rsidTr="0089656D">
        <w:trPr>
          <w:trHeight w:val="398"/>
        </w:trPr>
        <w:tc>
          <w:tcPr>
            <w:tcW w:w="2201" w:type="pct"/>
          </w:tcPr>
          <w:p w14:paraId="597E1013"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max</w:t>
            </w:r>
            <w:r w:rsidRPr="008D4276">
              <w:rPr>
                <w:rFonts w:asciiTheme="majorHAnsi" w:hAnsiTheme="majorHAnsi" w:cs="Calibri"/>
              </w:rPr>
              <w:t xml:space="preserve"> (mcg/mL)</w:t>
            </w:r>
          </w:p>
        </w:tc>
        <w:tc>
          <w:tcPr>
            <w:tcW w:w="1214" w:type="pct"/>
          </w:tcPr>
          <w:p w14:paraId="543B81C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19.3 ± 12.8</w:t>
            </w:r>
          </w:p>
        </w:tc>
        <w:tc>
          <w:tcPr>
            <w:tcW w:w="1585" w:type="pct"/>
          </w:tcPr>
          <w:p w14:paraId="09EE2661"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73 ± 30.4</w:t>
            </w:r>
          </w:p>
        </w:tc>
      </w:tr>
      <w:tr w:rsidR="0089656D" w:rsidRPr="001922B7" w14:paraId="548B2A88" w14:textId="77777777" w:rsidTr="0089656D">
        <w:trPr>
          <w:trHeight w:val="400"/>
        </w:trPr>
        <w:tc>
          <w:tcPr>
            <w:tcW w:w="2201" w:type="pct"/>
          </w:tcPr>
          <w:p w14:paraId="793526AC"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trough</w:t>
            </w:r>
            <w:r w:rsidRPr="008D4276">
              <w:rPr>
                <w:rFonts w:asciiTheme="majorHAnsi" w:hAnsiTheme="majorHAnsi" w:cs="Calibri"/>
              </w:rPr>
              <w:t xml:space="preserve"> (mcg/mL)</w:t>
            </w:r>
          </w:p>
        </w:tc>
        <w:tc>
          <w:tcPr>
            <w:tcW w:w="1214" w:type="pct"/>
          </w:tcPr>
          <w:p w14:paraId="07198E06"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11.1 ± 10.3</w:t>
            </w:r>
          </w:p>
        </w:tc>
        <w:tc>
          <w:tcPr>
            <w:tcW w:w="1585" w:type="pct"/>
          </w:tcPr>
          <w:p w14:paraId="7A6A214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68.1± 29.5</w:t>
            </w:r>
          </w:p>
        </w:tc>
      </w:tr>
      <w:tr w:rsidR="0089656D" w:rsidRPr="001922B7" w14:paraId="72C5A5A5" w14:textId="77777777" w:rsidTr="0089656D">
        <w:trPr>
          <w:trHeight w:val="401"/>
        </w:trPr>
        <w:tc>
          <w:tcPr>
            <w:tcW w:w="2201" w:type="pct"/>
          </w:tcPr>
          <w:p w14:paraId="79EB94EB"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mean</w:t>
            </w:r>
            <w:r w:rsidRPr="008D4276">
              <w:rPr>
                <w:rFonts w:asciiTheme="majorHAnsi" w:hAnsiTheme="majorHAnsi" w:cs="Calibri"/>
              </w:rPr>
              <w:t xml:space="preserve"> (mcg/mL)</w:t>
            </w:r>
          </w:p>
        </w:tc>
        <w:tc>
          <w:tcPr>
            <w:tcW w:w="1214" w:type="pct"/>
          </w:tcPr>
          <w:p w14:paraId="5DBD02B1"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16.2 ± 11.8</w:t>
            </w:r>
          </w:p>
        </w:tc>
        <w:tc>
          <w:tcPr>
            <w:tcW w:w="1585" w:type="pct"/>
          </w:tcPr>
          <w:p w14:paraId="371D1BF0"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71.3 ± 30.1</w:t>
            </w:r>
          </w:p>
        </w:tc>
      </w:tr>
      <w:tr w:rsidR="0089656D" w:rsidRPr="001922B7" w14:paraId="62D447FA" w14:textId="77777777" w:rsidTr="0089656D">
        <w:trPr>
          <w:trHeight w:val="400"/>
        </w:trPr>
        <w:tc>
          <w:tcPr>
            <w:tcW w:w="2201" w:type="pct"/>
          </w:tcPr>
          <w:p w14:paraId="23709484"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Accumulation C</w:t>
            </w:r>
            <w:r w:rsidRPr="008D4276">
              <w:rPr>
                <w:rFonts w:asciiTheme="majorHAnsi" w:hAnsiTheme="majorHAnsi" w:cs="Calibri"/>
                <w:vertAlign w:val="subscript"/>
              </w:rPr>
              <w:t>max</w:t>
            </w:r>
          </w:p>
        </w:tc>
        <w:tc>
          <w:tcPr>
            <w:tcW w:w="1214" w:type="pct"/>
          </w:tcPr>
          <w:p w14:paraId="30FE633F"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2.26</w:t>
            </w:r>
          </w:p>
        </w:tc>
        <w:tc>
          <w:tcPr>
            <w:tcW w:w="1585" w:type="pct"/>
          </w:tcPr>
          <w:p w14:paraId="2A3232D1"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8.88</w:t>
            </w:r>
          </w:p>
        </w:tc>
      </w:tr>
      <w:tr w:rsidR="0089656D" w:rsidRPr="001922B7" w14:paraId="751563D1" w14:textId="77777777" w:rsidTr="0089656D">
        <w:trPr>
          <w:trHeight w:val="400"/>
        </w:trPr>
        <w:tc>
          <w:tcPr>
            <w:tcW w:w="2201" w:type="pct"/>
          </w:tcPr>
          <w:p w14:paraId="04DA29AD"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 xml:space="preserve">Accumulation </w:t>
            </w:r>
            <w:r w:rsidRPr="008D4276">
              <w:rPr>
                <w:rFonts w:asciiTheme="majorHAnsi" w:hAnsiTheme="majorHAnsi" w:cs="Calibri"/>
                <w:vertAlign w:val="subscript"/>
              </w:rPr>
              <w:t>Ctrough</w:t>
            </w:r>
          </w:p>
        </w:tc>
        <w:tc>
          <w:tcPr>
            <w:tcW w:w="1214" w:type="pct"/>
          </w:tcPr>
          <w:p w14:paraId="407D7BE2"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5.61</w:t>
            </w:r>
          </w:p>
        </w:tc>
        <w:tc>
          <w:tcPr>
            <w:tcW w:w="1585" w:type="pct"/>
          </w:tcPr>
          <w:p w14:paraId="2906631F"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9.59</w:t>
            </w:r>
          </w:p>
        </w:tc>
      </w:tr>
      <w:tr w:rsidR="0089656D" w:rsidRPr="001922B7" w14:paraId="24DDBDAC" w14:textId="77777777" w:rsidTr="0089656D">
        <w:trPr>
          <w:trHeight w:val="400"/>
        </w:trPr>
        <w:tc>
          <w:tcPr>
            <w:tcW w:w="2201" w:type="pct"/>
          </w:tcPr>
          <w:p w14:paraId="50A334AC"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Accumulation C</w:t>
            </w:r>
            <w:r w:rsidRPr="008D4276">
              <w:rPr>
                <w:rFonts w:asciiTheme="majorHAnsi" w:hAnsiTheme="majorHAnsi" w:cs="Calibri"/>
                <w:vertAlign w:val="subscript"/>
              </w:rPr>
              <w:t>mean</w:t>
            </w:r>
            <w:r w:rsidRPr="008D4276">
              <w:rPr>
                <w:rFonts w:asciiTheme="majorHAnsi" w:hAnsiTheme="majorHAnsi" w:cs="Calibri"/>
              </w:rPr>
              <w:t xml:space="preserve"> or AUC</w:t>
            </w:r>
            <w:r w:rsidRPr="008D4276">
              <w:rPr>
                <w:rFonts w:asciiTheme="majorHAnsi" w:hAnsiTheme="majorHAnsi" w:cs="Calibri"/>
                <w:vertAlign w:val="subscript"/>
              </w:rPr>
              <w:t>τ</w:t>
            </w:r>
          </w:p>
        </w:tc>
        <w:tc>
          <w:tcPr>
            <w:tcW w:w="1214" w:type="pct"/>
          </w:tcPr>
          <w:p w14:paraId="20288C1E"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2.81</w:t>
            </w:r>
          </w:p>
        </w:tc>
        <w:tc>
          <w:tcPr>
            <w:tcW w:w="1585" w:type="pct"/>
          </w:tcPr>
          <w:p w14:paraId="4E942860"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10.91</w:t>
            </w:r>
          </w:p>
        </w:tc>
      </w:tr>
    </w:tbl>
    <w:p w14:paraId="65686372" w14:textId="347A06B6" w:rsidR="0089656D" w:rsidRPr="008D4276" w:rsidRDefault="0089656D" w:rsidP="00E1727C">
      <w:pPr>
        <w:rPr>
          <w:rFonts w:asciiTheme="majorHAnsi" w:hAnsiTheme="majorHAnsi" w:cstheme="minorHAnsi"/>
        </w:rPr>
      </w:pPr>
      <w:r w:rsidRPr="008D4276">
        <w:rPr>
          <w:rFonts w:asciiTheme="majorHAnsi" w:hAnsiTheme="majorHAnsi" w:cstheme="minorHAnsi"/>
        </w:rPr>
        <w:t xml:space="preserve">The steady-state profile following the </w:t>
      </w:r>
      <w:r w:rsidR="00E1727C" w:rsidRPr="008D4276">
        <w:rPr>
          <w:rFonts w:asciiTheme="majorHAnsi" w:hAnsiTheme="majorHAnsi" w:cstheme="minorHAnsi"/>
        </w:rPr>
        <w:t>tocilizumab</w:t>
      </w:r>
      <w:r w:rsidRPr="008D4276">
        <w:rPr>
          <w:rFonts w:asciiTheme="majorHAnsi" w:hAnsiTheme="majorHAnsi" w:cstheme="minorHAnsi"/>
        </w:rPr>
        <w:t xml:space="preserve"> weekly dose was almost flat, with very little fluctuations between trough and peak values, while there were substantial fluctuations for the </w:t>
      </w:r>
      <w:r w:rsidR="00E1727C" w:rsidRPr="008D4276">
        <w:rPr>
          <w:rFonts w:asciiTheme="majorHAnsi" w:hAnsiTheme="majorHAnsi" w:cstheme="minorHAnsi"/>
        </w:rPr>
        <w:t xml:space="preserve">tocilizumab </w:t>
      </w:r>
      <w:r w:rsidRPr="008D4276">
        <w:rPr>
          <w:rFonts w:asciiTheme="majorHAnsi" w:hAnsiTheme="majorHAnsi" w:cstheme="minorHAnsi"/>
        </w:rPr>
        <w:t>every other week dose. Approximately 90% of the steady-state (AUC</w:t>
      </w:r>
      <w:r w:rsidRPr="008D4276">
        <w:rPr>
          <w:rFonts w:asciiTheme="majorHAnsi" w:hAnsiTheme="majorHAnsi" w:cstheme="minorHAnsi"/>
          <w:vertAlign w:val="subscript"/>
        </w:rPr>
        <w:t>τ)</w:t>
      </w:r>
      <w:r w:rsidRPr="008D4276">
        <w:rPr>
          <w:rFonts w:asciiTheme="majorHAnsi" w:hAnsiTheme="majorHAnsi" w:cstheme="minorHAnsi"/>
        </w:rPr>
        <w:t xml:space="preserve"> was reached by Week 14 in the every other week and Week 17 in the weekly dose groups.</w:t>
      </w:r>
    </w:p>
    <w:p w14:paraId="3BFD2129" w14:textId="06D0BE8B" w:rsidR="0089656D" w:rsidRPr="008D4276" w:rsidRDefault="0089656D" w:rsidP="0089656D">
      <w:pPr>
        <w:pStyle w:val="Heading3"/>
        <w:rPr>
          <w:rFonts w:cs="Calibri"/>
        </w:rPr>
      </w:pPr>
      <w:r w:rsidRPr="008D4276">
        <w:rPr>
          <w:rFonts w:cs="Calibri"/>
        </w:rPr>
        <w:t>COVID-19</w:t>
      </w:r>
    </w:p>
    <w:p w14:paraId="2816E0D2" w14:textId="4860421E" w:rsidR="0089656D" w:rsidRPr="008D4276" w:rsidRDefault="0089656D" w:rsidP="0089656D">
      <w:pPr>
        <w:rPr>
          <w:rFonts w:asciiTheme="majorHAnsi" w:hAnsiTheme="majorHAnsi" w:cstheme="minorHAnsi"/>
        </w:rPr>
      </w:pPr>
      <w:r w:rsidRPr="008D4276">
        <w:rPr>
          <w:rFonts w:asciiTheme="majorHAnsi" w:hAnsiTheme="majorHAnsi" w:cstheme="minorHAnsi"/>
        </w:rPr>
        <w:t xml:space="preserve">The pharmacokinetics of </w:t>
      </w:r>
      <w:r w:rsidR="00E1727C" w:rsidRPr="008D4276">
        <w:rPr>
          <w:rFonts w:asciiTheme="majorHAnsi" w:hAnsiTheme="majorHAnsi" w:cstheme="minorHAnsi"/>
        </w:rPr>
        <w:t>tocilizumab</w:t>
      </w:r>
      <w:r w:rsidRPr="008D4276">
        <w:rPr>
          <w:rFonts w:asciiTheme="majorHAnsi" w:hAnsiTheme="majorHAnsi" w:cstheme="minorHAnsi"/>
        </w:rPr>
        <w:t xml:space="preserve"> in COVID-19 adult patients was characterised in Study WA42380 (COVACTA) and Study CA42481 (MARIPOSA) by a population pharmacokinetic analysis which included 380 adult patients who were treated with one or two 8mg/kg IV infusions administered at least 8 hours apart.</w:t>
      </w:r>
    </w:p>
    <w:p w14:paraId="19DB8115" w14:textId="392C1FD3" w:rsidR="0089656D" w:rsidRPr="008D4276" w:rsidRDefault="0089656D" w:rsidP="0089656D">
      <w:pPr>
        <w:pStyle w:val="Caption"/>
        <w:rPr>
          <w:rFonts w:asciiTheme="majorHAnsi" w:hAnsiTheme="majorHAnsi" w:cs="Calibri"/>
        </w:rPr>
      </w:pPr>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17</w:t>
      </w:r>
      <w:r w:rsidR="0006243F" w:rsidRPr="008D4276">
        <w:rPr>
          <w:rFonts w:asciiTheme="majorHAnsi" w:hAnsiTheme="majorHAnsi" w:cs="Calibri"/>
        </w:rPr>
        <w:fldChar w:fldCharType="end"/>
      </w:r>
      <w:r w:rsidRPr="008D4276">
        <w:rPr>
          <w:rFonts w:asciiTheme="majorHAnsi" w:hAnsiTheme="majorHAnsi" w:cs="Calibri"/>
        </w:rPr>
        <w:t xml:space="preserve"> Predicted mean ± (SD) PK parameters after 8 mg/kg IV dosing in COVID-19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91"/>
        <w:gridCol w:w="2439"/>
        <w:gridCol w:w="2390"/>
      </w:tblGrid>
      <w:tr w:rsidR="0089656D" w:rsidRPr="001922B7" w14:paraId="327E7F63" w14:textId="77777777" w:rsidTr="0089656D">
        <w:trPr>
          <w:trHeight w:val="275"/>
        </w:trPr>
        <w:tc>
          <w:tcPr>
            <w:tcW w:w="2323" w:type="pct"/>
            <w:vAlign w:val="center"/>
          </w:tcPr>
          <w:p w14:paraId="7541811E" w14:textId="77777777" w:rsidR="0089656D" w:rsidRPr="008D4276" w:rsidRDefault="0089656D" w:rsidP="0089656D">
            <w:pPr>
              <w:pStyle w:val="NoSpacing"/>
              <w:rPr>
                <w:rFonts w:asciiTheme="majorHAnsi" w:hAnsiTheme="majorHAnsi" w:cs="Calibri"/>
              </w:rPr>
            </w:pPr>
          </w:p>
        </w:tc>
        <w:tc>
          <w:tcPr>
            <w:tcW w:w="2677" w:type="pct"/>
            <w:gridSpan w:val="2"/>
            <w:vAlign w:val="center"/>
          </w:tcPr>
          <w:p w14:paraId="6D034BC4"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8 mg/kg</w:t>
            </w:r>
          </w:p>
        </w:tc>
      </w:tr>
      <w:tr w:rsidR="0089656D" w:rsidRPr="001922B7" w14:paraId="579F7F0B" w14:textId="77777777" w:rsidTr="0089656D">
        <w:trPr>
          <w:trHeight w:val="453"/>
        </w:trPr>
        <w:tc>
          <w:tcPr>
            <w:tcW w:w="2323" w:type="pct"/>
            <w:vAlign w:val="center"/>
          </w:tcPr>
          <w:p w14:paraId="39E9C312" w14:textId="30CBA959"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T</w:t>
            </w:r>
            <w:r w:rsidR="00F25761" w:rsidRPr="008D4276">
              <w:rPr>
                <w:rFonts w:asciiTheme="majorHAnsi" w:hAnsiTheme="majorHAnsi" w:cs="Calibri"/>
                <w:b/>
              </w:rPr>
              <w:t>O</w:t>
            </w:r>
            <w:r w:rsidRPr="008D4276">
              <w:rPr>
                <w:rFonts w:asciiTheme="majorHAnsi" w:hAnsiTheme="majorHAnsi" w:cs="Calibri"/>
                <w:b/>
              </w:rPr>
              <w:t>C PK Parameter</w:t>
            </w:r>
          </w:p>
        </w:tc>
        <w:tc>
          <w:tcPr>
            <w:tcW w:w="1352" w:type="pct"/>
            <w:vAlign w:val="center"/>
          </w:tcPr>
          <w:p w14:paraId="57ED55AA"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One dose</w:t>
            </w:r>
          </w:p>
        </w:tc>
        <w:tc>
          <w:tcPr>
            <w:tcW w:w="1325" w:type="pct"/>
            <w:vAlign w:val="center"/>
          </w:tcPr>
          <w:p w14:paraId="46FC4994"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Two doses</w:t>
            </w:r>
          </w:p>
        </w:tc>
      </w:tr>
      <w:tr w:rsidR="0089656D" w:rsidRPr="001922B7" w14:paraId="14503075" w14:textId="77777777" w:rsidTr="0089656D">
        <w:trPr>
          <w:trHeight w:val="275"/>
        </w:trPr>
        <w:tc>
          <w:tcPr>
            <w:tcW w:w="2323" w:type="pct"/>
            <w:vAlign w:val="center"/>
          </w:tcPr>
          <w:p w14:paraId="1CD99F6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max</w:t>
            </w:r>
            <w:r w:rsidRPr="008D4276">
              <w:rPr>
                <w:rFonts w:asciiTheme="majorHAnsi" w:hAnsiTheme="majorHAnsi" w:cs="Calibri"/>
              </w:rPr>
              <w:t xml:space="preserve"> (mcg/mL)</w:t>
            </w:r>
          </w:p>
        </w:tc>
        <w:tc>
          <w:tcPr>
            <w:tcW w:w="1352" w:type="pct"/>
            <w:vAlign w:val="center"/>
          </w:tcPr>
          <w:p w14:paraId="63C4835C"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154 (34.9)</w:t>
            </w:r>
          </w:p>
        </w:tc>
        <w:tc>
          <w:tcPr>
            <w:tcW w:w="1325" w:type="pct"/>
            <w:vAlign w:val="center"/>
          </w:tcPr>
          <w:p w14:paraId="04F05DEE"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296 (64.7)</w:t>
            </w:r>
          </w:p>
        </w:tc>
      </w:tr>
      <w:tr w:rsidR="0089656D" w:rsidRPr="001922B7" w14:paraId="15398080" w14:textId="77777777" w:rsidTr="0089656D">
        <w:trPr>
          <w:trHeight w:val="275"/>
        </w:trPr>
        <w:tc>
          <w:tcPr>
            <w:tcW w:w="2323" w:type="pct"/>
            <w:vAlign w:val="center"/>
          </w:tcPr>
          <w:p w14:paraId="635FA66F"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day28</w:t>
            </w:r>
            <w:r w:rsidRPr="008D4276">
              <w:rPr>
                <w:rFonts w:asciiTheme="majorHAnsi" w:hAnsiTheme="majorHAnsi" w:cs="Calibri"/>
              </w:rPr>
              <w:t xml:space="preserve"> (mcg/mL)</w:t>
            </w:r>
          </w:p>
        </w:tc>
        <w:tc>
          <w:tcPr>
            <w:tcW w:w="1352" w:type="pct"/>
            <w:vAlign w:val="center"/>
          </w:tcPr>
          <w:p w14:paraId="6780D76C"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0.934 (1.93)</w:t>
            </w:r>
          </w:p>
        </w:tc>
        <w:tc>
          <w:tcPr>
            <w:tcW w:w="1325" w:type="pct"/>
            <w:vAlign w:val="center"/>
          </w:tcPr>
          <w:p w14:paraId="54D5480A"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8.94 (8.5)</w:t>
            </w:r>
          </w:p>
        </w:tc>
      </w:tr>
    </w:tbl>
    <w:p w14:paraId="593C06A5" w14:textId="420C1CC4" w:rsidR="0089656D" w:rsidRPr="008D4276" w:rsidRDefault="0089656D" w:rsidP="0089656D">
      <w:pPr>
        <w:spacing w:after="200"/>
        <w:rPr>
          <w:rFonts w:asciiTheme="majorHAnsi" w:hAnsiTheme="majorHAnsi" w:cstheme="minorHAnsi"/>
        </w:rPr>
      </w:pPr>
      <w:r w:rsidRPr="008D4276">
        <w:rPr>
          <w:rFonts w:asciiTheme="majorHAnsi" w:hAnsiTheme="majorHAnsi" w:cstheme="minorHAnsi"/>
        </w:rPr>
        <w:t xml:space="preserve">Population PK analysis identified body weight and disease severity as significant covariates impacting pharmacokinetics of intravenous </w:t>
      </w:r>
      <w:r w:rsidR="00E1727C" w:rsidRPr="008D4276">
        <w:rPr>
          <w:rFonts w:asciiTheme="majorHAnsi" w:hAnsiTheme="majorHAnsi" w:cstheme="minorHAnsi"/>
        </w:rPr>
        <w:t>tocilizumab</w:t>
      </w:r>
      <w:r w:rsidRPr="008D4276">
        <w:rPr>
          <w:rFonts w:asciiTheme="majorHAnsi" w:hAnsiTheme="majorHAnsi" w:cstheme="minorHAnsi"/>
        </w:rPr>
        <w:t xml:space="preserve">. With a dosing regimen of 8 mg/kg </w:t>
      </w:r>
      <w:r w:rsidR="00E1727C" w:rsidRPr="008D4276">
        <w:rPr>
          <w:rFonts w:asciiTheme="majorHAnsi" w:hAnsiTheme="majorHAnsi" w:cstheme="minorHAnsi"/>
        </w:rPr>
        <w:t>tocilizumab</w:t>
      </w:r>
      <w:r w:rsidRPr="008D4276">
        <w:rPr>
          <w:rFonts w:asciiTheme="majorHAnsi" w:hAnsiTheme="majorHAnsi" w:cstheme="minorHAnsi"/>
        </w:rPr>
        <w:t xml:space="preserve"> with a maximum dose of 800 mg </w:t>
      </w:r>
      <w:r w:rsidR="00E1727C" w:rsidRPr="008D4276">
        <w:rPr>
          <w:rFonts w:asciiTheme="majorHAnsi" w:hAnsiTheme="majorHAnsi" w:cstheme="minorHAnsi"/>
        </w:rPr>
        <w:t>tocilizumab</w:t>
      </w:r>
      <w:r w:rsidRPr="008D4276">
        <w:rPr>
          <w:rFonts w:asciiTheme="majorHAnsi" w:hAnsiTheme="majorHAnsi" w:cstheme="minorHAnsi"/>
        </w:rPr>
        <w:t>, within a specified Ordinal Scale (OS) category, compared to patients with a mean body weight of 80 kg, exposure was 20% lower in patients weighing less than 60 kg. Exposure in patients weighing more than 100 kg was in the same range as exposure in patients with a mean body weight of 80 kg. For an 80 kg patient, exposure decreased as disease severity increased; for each category increase on the OS, exposure decreased consistently by 13%.</w:t>
      </w:r>
    </w:p>
    <w:p w14:paraId="6ED7C29A" w14:textId="77777777" w:rsidR="0089656D" w:rsidRPr="008D4276" w:rsidRDefault="0089656D" w:rsidP="0089656D">
      <w:pPr>
        <w:pStyle w:val="Heading3"/>
        <w:rPr>
          <w:rFonts w:cs="Calibri"/>
        </w:rPr>
      </w:pPr>
      <w:bookmarkStart w:id="67" w:name="Polyarticular_Juvenile_Idiopathic_Arthri"/>
      <w:bookmarkEnd w:id="67"/>
      <w:r w:rsidRPr="008D4276">
        <w:rPr>
          <w:rFonts w:cs="Calibri"/>
        </w:rPr>
        <w:t>Polyarticular Juvenile Idiopathic Arthritis</w:t>
      </w:r>
    </w:p>
    <w:p w14:paraId="665185E7" w14:textId="65B873A7" w:rsidR="0089656D" w:rsidRPr="008D4276" w:rsidRDefault="0089656D" w:rsidP="00B06420">
      <w:pPr>
        <w:rPr>
          <w:rFonts w:asciiTheme="majorHAnsi" w:hAnsiTheme="majorHAnsi" w:cstheme="minorHAnsi"/>
        </w:rPr>
      </w:pPr>
      <w:r w:rsidRPr="008D4276">
        <w:rPr>
          <w:rFonts w:asciiTheme="majorHAnsi" w:hAnsiTheme="majorHAnsi" w:cstheme="minorHAnsi"/>
        </w:rPr>
        <w:t xml:space="preserve">The pharmacokinetics of </w:t>
      </w:r>
      <w:r w:rsidR="00E1727C" w:rsidRPr="008D4276">
        <w:rPr>
          <w:rFonts w:asciiTheme="majorHAnsi" w:hAnsiTheme="majorHAnsi" w:cstheme="minorHAnsi"/>
        </w:rPr>
        <w:t>tocilizumab</w:t>
      </w:r>
      <w:r w:rsidRPr="008D4276">
        <w:rPr>
          <w:rFonts w:asciiTheme="majorHAnsi" w:hAnsiTheme="majorHAnsi" w:cstheme="minorHAnsi"/>
        </w:rPr>
        <w:t xml:space="preserve"> in polyarticular juvenile idiopathic arthritis (pJIA) patients were characterised using a population pharmacokinetic analysis which included 237 patients who were treated with 8 mg/kg IV every 4 weeks (patients weighing </w:t>
      </w:r>
      <w:r w:rsidRPr="008D4276">
        <w:rPr>
          <w:rFonts w:asciiTheme="majorHAnsi" w:hAnsiTheme="majorHAnsi" w:cstheme="minorHAnsi" w:hint="eastAsia"/>
        </w:rPr>
        <w:t>≥</w:t>
      </w:r>
      <w:r w:rsidRPr="008D4276">
        <w:rPr>
          <w:rFonts w:asciiTheme="majorHAnsi" w:hAnsiTheme="majorHAnsi" w:cstheme="minorHAnsi"/>
        </w:rPr>
        <w:t xml:space="preserve"> 30 kg), 10 mg/kg IV every 4 weeks (patients weighing below 30 kg), 162 mg SC every 2 weeks (patients weighing </w:t>
      </w:r>
      <w:r w:rsidRPr="008D4276">
        <w:rPr>
          <w:rFonts w:asciiTheme="majorHAnsi" w:hAnsiTheme="majorHAnsi" w:cstheme="minorHAnsi" w:hint="eastAsia"/>
        </w:rPr>
        <w:t>≥</w:t>
      </w:r>
      <w:r w:rsidRPr="008D4276">
        <w:rPr>
          <w:rFonts w:asciiTheme="majorHAnsi" w:hAnsiTheme="majorHAnsi" w:cstheme="minorHAnsi"/>
        </w:rPr>
        <w:t xml:space="preserve"> 30 kg), or 162 mg SC every 3 weeks (patients weighing below 30 kg).</w:t>
      </w:r>
    </w:p>
    <w:p w14:paraId="1E794028" w14:textId="4A5A874F" w:rsidR="0089656D" w:rsidRPr="008D4276" w:rsidRDefault="0089656D" w:rsidP="0089656D">
      <w:pPr>
        <w:pStyle w:val="Caption"/>
        <w:rPr>
          <w:rFonts w:asciiTheme="majorHAnsi" w:hAnsiTheme="majorHAnsi" w:cs="Calibri"/>
        </w:rPr>
      </w:pPr>
      <w:r w:rsidRPr="008D4276">
        <w:rPr>
          <w:rFonts w:asciiTheme="majorHAnsi" w:hAnsiTheme="majorHAnsi" w:cs="Calibri"/>
        </w:rPr>
        <w:lastRenderedPageBreak/>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18</w:t>
      </w:r>
      <w:r w:rsidR="0006243F" w:rsidRPr="008D4276">
        <w:rPr>
          <w:rFonts w:asciiTheme="majorHAnsi" w:hAnsiTheme="majorHAnsi" w:cs="Calibri"/>
        </w:rPr>
        <w:fldChar w:fldCharType="end"/>
      </w:r>
      <w:r w:rsidRPr="008D4276">
        <w:rPr>
          <w:rFonts w:asciiTheme="majorHAnsi" w:hAnsiTheme="majorHAnsi" w:cs="Calibri"/>
        </w:rPr>
        <w:t xml:space="preserve"> Predicted mean ± SD PK parameters at steady-state after IV or SC dosing in pJIA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5"/>
        <w:gridCol w:w="1476"/>
        <w:gridCol w:w="1477"/>
        <w:gridCol w:w="1476"/>
        <w:gridCol w:w="1476"/>
      </w:tblGrid>
      <w:tr w:rsidR="0089656D" w:rsidRPr="001922B7" w14:paraId="73C5FDD9" w14:textId="77777777" w:rsidTr="0089656D">
        <w:trPr>
          <w:trHeight w:val="343"/>
        </w:trPr>
        <w:tc>
          <w:tcPr>
            <w:tcW w:w="1727" w:type="pct"/>
          </w:tcPr>
          <w:p w14:paraId="0BF149CA" w14:textId="77777777" w:rsidR="0089656D" w:rsidRPr="008D4276" w:rsidRDefault="0089656D" w:rsidP="0089656D">
            <w:pPr>
              <w:pStyle w:val="NoSpacing"/>
              <w:rPr>
                <w:rFonts w:asciiTheme="majorHAnsi" w:hAnsiTheme="majorHAnsi" w:cs="Calibri"/>
              </w:rPr>
            </w:pPr>
          </w:p>
        </w:tc>
        <w:tc>
          <w:tcPr>
            <w:tcW w:w="1637" w:type="pct"/>
            <w:gridSpan w:val="2"/>
            <w:vAlign w:val="center"/>
          </w:tcPr>
          <w:p w14:paraId="42A870AC"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IV</w:t>
            </w:r>
          </w:p>
        </w:tc>
        <w:tc>
          <w:tcPr>
            <w:tcW w:w="1636" w:type="pct"/>
            <w:gridSpan w:val="2"/>
            <w:vAlign w:val="center"/>
          </w:tcPr>
          <w:p w14:paraId="52F7495B"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SC</w:t>
            </w:r>
          </w:p>
        </w:tc>
      </w:tr>
      <w:tr w:rsidR="0089656D" w:rsidRPr="001922B7" w14:paraId="6762E49D" w14:textId="77777777" w:rsidTr="0089656D">
        <w:trPr>
          <w:trHeight w:val="801"/>
        </w:trPr>
        <w:tc>
          <w:tcPr>
            <w:tcW w:w="1727" w:type="pct"/>
          </w:tcPr>
          <w:p w14:paraId="0DA86D37" w14:textId="30E9E45B" w:rsidR="0089656D" w:rsidRPr="008D4276" w:rsidRDefault="0089656D" w:rsidP="0089656D">
            <w:pPr>
              <w:pStyle w:val="NoSpacing"/>
              <w:rPr>
                <w:rFonts w:asciiTheme="majorHAnsi" w:hAnsiTheme="majorHAnsi" w:cs="Calibri"/>
                <w:b/>
              </w:rPr>
            </w:pPr>
            <w:r w:rsidRPr="008D4276">
              <w:rPr>
                <w:rFonts w:asciiTheme="majorHAnsi" w:hAnsiTheme="majorHAnsi" w:cs="Calibri"/>
                <w:b/>
              </w:rPr>
              <w:t>T</w:t>
            </w:r>
            <w:r w:rsidR="00F25761" w:rsidRPr="008D4276">
              <w:rPr>
                <w:rFonts w:asciiTheme="majorHAnsi" w:hAnsiTheme="majorHAnsi" w:cs="Calibri"/>
                <w:b/>
              </w:rPr>
              <w:t>O</w:t>
            </w:r>
            <w:r w:rsidRPr="008D4276">
              <w:rPr>
                <w:rFonts w:asciiTheme="majorHAnsi" w:hAnsiTheme="majorHAnsi" w:cs="Calibri"/>
                <w:b/>
              </w:rPr>
              <w:t>C</w:t>
            </w:r>
            <w:r w:rsidRPr="008D4276">
              <w:rPr>
                <w:rFonts w:asciiTheme="majorHAnsi" w:hAnsiTheme="majorHAnsi" w:cs="Calibri"/>
                <w:b/>
              </w:rPr>
              <w:tab/>
              <w:t>PK</w:t>
            </w:r>
          </w:p>
          <w:p w14:paraId="1172825E" w14:textId="77777777" w:rsidR="0089656D" w:rsidRPr="008D4276" w:rsidRDefault="0089656D" w:rsidP="0089656D">
            <w:pPr>
              <w:pStyle w:val="NoSpacing"/>
              <w:rPr>
                <w:rFonts w:asciiTheme="majorHAnsi" w:hAnsiTheme="majorHAnsi" w:cs="Calibri"/>
                <w:b/>
              </w:rPr>
            </w:pPr>
            <w:r w:rsidRPr="008D4276">
              <w:rPr>
                <w:rFonts w:asciiTheme="majorHAnsi" w:hAnsiTheme="majorHAnsi" w:cs="Calibri"/>
                <w:b/>
              </w:rPr>
              <w:t>Parameter</w:t>
            </w:r>
          </w:p>
        </w:tc>
        <w:tc>
          <w:tcPr>
            <w:tcW w:w="818" w:type="pct"/>
            <w:vAlign w:val="center"/>
          </w:tcPr>
          <w:p w14:paraId="71000A24"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8 mg/kg q4w</w:t>
            </w:r>
          </w:p>
          <w:p w14:paraId="2991F78C"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hint="eastAsia"/>
                <w:b/>
              </w:rPr>
              <w:t>≥</w:t>
            </w:r>
            <w:r w:rsidRPr="008D4276">
              <w:rPr>
                <w:rFonts w:asciiTheme="majorHAnsi" w:hAnsiTheme="majorHAnsi" w:cs="Calibri"/>
                <w:b/>
              </w:rPr>
              <w:t xml:space="preserve"> 30 kg</w:t>
            </w:r>
          </w:p>
        </w:tc>
        <w:tc>
          <w:tcPr>
            <w:tcW w:w="819" w:type="pct"/>
            <w:vAlign w:val="center"/>
          </w:tcPr>
          <w:p w14:paraId="5FD2820F"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10 mg/kg q4w</w:t>
            </w:r>
          </w:p>
          <w:p w14:paraId="29D46F3D"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below 30 kg</w:t>
            </w:r>
          </w:p>
        </w:tc>
        <w:tc>
          <w:tcPr>
            <w:tcW w:w="818" w:type="pct"/>
            <w:vAlign w:val="center"/>
          </w:tcPr>
          <w:p w14:paraId="55BC3F51"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162 mg q2w</w:t>
            </w:r>
          </w:p>
          <w:p w14:paraId="31D5DD32"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hint="eastAsia"/>
                <w:b/>
              </w:rPr>
              <w:t>≥</w:t>
            </w:r>
            <w:r w:rsidRPr="008D4276">
              <w:rPr>
                <w:rFonts w:asciiTheme="majorHAnsi" w:hAnsiTheme="majorHAnsi" w:cs="Calibri"/>
                <w:b/>
              </w:rPr>
              <w:t xml:space="preserve"> 30 kg</w:t>
            </w:r>
          </w:p>
        </w:tc>
        <w:tc>
          <w:tcPr>
            <w:tcW w:w="818" w:type="pct"/>
            <w:vAlign w:val="center"/>
          </w:tcPr>
          <w:p w14:paraId="749387AD"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162 mg q3w</w:t>
            </w:r>
          </w:p>
          <w:p w14:paraId="5AC8E0BF"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below 30 kg</w:t>
            </w:r>
          </w:p>
        </w:tc>
      </w:tr>
      <w:tr w:rsidR="0089656D" w:rsidRPr="001922B7" w14:paraId="3C6D768A" w14:textId="77777777" w:rsidTr="0089656D">
        <w:trPr>
          <w:trHeight w:val="305"/>
        </w:trPr>
        <w:tc>
          <w:tcPr>
            <w:tcW w:w="1727" w:type="pct"/>
          </w:tcPr>
          <w:p w14:paraId="57E94415"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max</w:t>
            </w:r>
            <w:r w:rsidRPr="008D4276">
              <w:rPr>
                <w:rFonts w:asciiTheme="majorHAnsi" w:hAnsiTheme="majorHAnsi" w:cs="Calibri"/>
              </w:rPr>
              <w:t xml:space="preserve"> (µg/mL)</w:t>
            </w:r>
          </w:p>
        </w:tc>
        <w:tc>
          <w:tcPr>
            <w:tcW w:w="818" w:type="pct"/>
            <w:vAlign w:val="center"/>
          </w:tcPr>
          <w:p w14:paraId="2AE5CCCC"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183 ± 42.3</w:t>
            </w:r>
          </w:p>
        </w:tc>
        <w:tc>
          <w:tcPr>
            <w:tcW w:w="819" w:type="pct"/>
            <w:vAlign w:val="center"/>
          </w:tcPr>
          <w:p w14:paraId="4CEE688E" w14:textId="17EA46B6"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 xml:space="preserve">168 </w:t>
            </w:r>
            <w:r w:rsidR="004D6592" w:rsidRPr="008D4276">
              <w:rPr>
                <w:rFonts w:asciiTheme="majorHAnsi" w:hAnsiTheme="majorHAnsi" w:cs="Calibri"/>
              </w:rPr>
              <w:t>±</w:t>
            </w:r>
            <w:r w:rsidRPr="008D4276">
              <w:rPr>
                <w:rFonts w:asciiTheme="majorHAnsi" w:hAnsiTheme="majorHAnsi" w:cs="Calibri"/>
              </w:rPr>
              <w:t xml:space="preserve"> 24.8</w:t>
            </w:r>
          </w:p>
        </w:tc>
        <w:tc>
          <w:tcPr>
            <w:tcW w:w="818" w:type="pct"/>
            <w:vAlign w:val="center"/>
          </w:tcPr>
          <w:p w14:paraId="712DDD22"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29.4 ± 13.5</w:t>
            </w:r>
          </w:p>
        </w:tc>
        <w:tc>
          <w:tcPr>
            <w:tcW w:w="818" w:type="pct"/>
            <w:vAlign w:val="center"/>
          </w:tcPr>
          <w:p w14:paraId="0789617C"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75.5 ± 24.1</w:t>
            </w:r>
          </w:p>
        </w:tc>
      </w:tr>
      <w:tr w:rsidR="0089656D" w:rsidRPr="001922B7" w14:paraId="0D69D372" w14:textId="77777777" w:rsidTr="0089656D">
        <w:trPr>
          <w:trHeight w:val="311"/>
        </w:trPr>
        <w:tc>
          <w:tcPr>
            <w:tcW w:w="1727" w:type="pct"/>
          </w:tcPr>
          <w:p w14:paraId="4E695137"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trough</w:t>
            </w:r>
            <w:r w:rsidRPr="008D4276">
              <w:rPr>
                <w:rFonts w:asciiTheme="majorHAnsi" w:hAnsiTheme="majorHAnsi" w:cs="Calibri"/>
              </w:rPr>
              <w:t xml:space="preserve"> (µg/mL)</w:t>
            </w:r>
          </w:p>
        </w:tc>
        <w:tc>
          <w:tcPr>
            <w:tcW w:w="818" w:type="pct"/>
            <w:vAlign w:val="center"/>
          </w:tcPr>
          <w:p w14:paraId="395D96F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6.55 ± 7.93</w:t>
            </w:r>
          </w:p>
        </w:tc>
        <w:tc>
          <w:tcPr>
            <w:tcW w:w="819" w:type="pct"/>
            <w:vAlign w:val="center"/>
          </w:tcPr>
          <w:p w14:paraId="5674DEAA" w14:textId="11A76AD1"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 xml:space="preserve">1.47 </w:t>
            </w:r>
            <w:r w:rsidR="004D6592" w:rsidRPr="008D4276">
              <w:rPr>
                <w:rFonts w:asciiTheme="majorHAnsi" w:hAnsiTheme="majorHAnsi" w:cs="Calibri"/>
              </w:rPr>
              <w:t>±</w:t>
            </w:r>
            <w:r w:rsidRPr="008D4276">
              <w:rPr>
                <w:rFonts w:asciiTheme="majorHAnsi" w:hAnsiTheme="majorHAnsi" w:cs="Calibri"/>
              </w:rPr>
              <w:t xml:space="preserve"> 2.44</w:t>
            </w:r>
          </w:p>
        </w:tc>
        <w:tc>
          <w:tcPr>
            <w:tcW w:w="818" w:type="pct"/>
            <w:vAlign w:val="center"/>
          </w:tcPr>
          <w:p w14:paraId="5C8EF94C"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11.8 ± 7.08</w:t>
            </w:r>
          </w:p>
        </w:tc>
        <w:tc>
          <w:tcPr>
            <w:tcW w:w="818" w:type="pct"/>
            <w:vAlign w:val="center"/>
          </w:tcPr>
          <w:p w14:paraId="73FEB4C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18.4 ± 12.9</w:t>
            </w:r>
          </w:p>
        </w:tc>
      </w:tr>
      <w:tr w:rsidR="0089656D" w:rsidRPr="001922B7" w14:paraId="68F8EB40" w14:textId="77777777" w:rsidTr="0089656D">
        <w:trPr>
          <w:trHeight w:val="316"/>
        </w:trPr>
        <w:tc>
          <w:tcPr>
            <w:tcW w:w="1727" w:type="pct"/>
          </w:tcPr>
          <w:p w14:paraId="2FE162DB"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mean</w:t>
            </w:r>
            <w:r w:rsidRPr="008D4276">
              <w:rPr>
                <w:rFonts w:asciiTheme="majorHAnsi" w:hAnsiTheme="majorHAnsi" w:cs="Calibri"/>
              </w:rPr>
              <w:t xml:space="preserve"> (µg/mL)</w:t>
            </w:r>
          </w:p>
        </w:tc>
        <w:tc>
          <w:tcPr>
            <w:tcW w:w="818" w:type="pct"/>
            <w:vAlign w:val="center"/>
          </w:tcPr>
          <w:p w14:paraId="749A2600"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42.2 ± 13.4</w:t>
            </w:r>
          </w:p>
        </w:tc>
        <w:tc>
          <w:tcPr>
            <w:tcW w:w="819" w:type="pct"/>
            <w:vAlign w:val="center"/>
          </w:tcPr>
          <w:p w14:paraId="58B0C1EA" w14:textId="5EB99E54"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 xml:space="preserve">31.6 </w:t>
            </w:r>
            <w:r w:rsidR="004D6592" w:rsidRPr="008D4276">
              <w:rPr>
                <w:rFonts w:asciiTheme="majorHAnsi" w:hAnsiTheme="majorHAnsi" w:cs="Calibri"/>
              </w:rPr>
              <w:t>±</w:t>
            </w:r>
            <w:r w:rsidRPr="008D4276">
              <w:rPr>
                <w:rFonts w:asciiTheme="majorHAnsi" w:hAnsiTheme="majorHAnsi" w:cs="Calibri"/>
              </w:rPr>
              <w:t xml:space="preserve"> 7.84</w:t>
            </w:r>
          </w:p>
        </w:tc>
        <w:tc>
          <w:tcPr>
            <w:tcW w:w="818" w:type="pct"/>
            <w:vAlign w:val="center"/>
          </w:tcPr>
          <w:p w14:paraId="100C07DA"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21.7 ± 10.4</w:t>
            </w:r>
          </w:p>
        </w:tc>
        <w:tc>
          <w:tcPr>
            <w:tcW w:w="818" w:type="pct"/>
            <w:vAlign w:val="center"/>
          </w:tcPr>
          <w:p w14:paraId="3895E181"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45.5 ± 19.8</w:t>
            </w:r>
          </w:p>
        </w:tc>
      </w:tr>
      <w:tr w:rsidR="0089656D" w:rsidRPr="001922B7" w14:paraId="2DAEABC5" w14:textId="77777777" w:rsidTr="0089656D">
        <w:trPr>
          <w:trHeight w:val="309"/>
        </w:trPr>
        <w:tc>
          <w:tcPr>
            <w:tcW w:w="1727" w:type="pct"/>
          </w:tcPr>
          <w:p w14:paraId="3065EAD7"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Accumulation C</w:t>
            </w:r>
            <w:r w:rsidRPr="008D4276">
              <w:rPr>
                <w:rFonts w:asciiTheme="majorHAnsi" w:hAnsiTheme="majorHAnsi" w:cs="Calibri"/>
                <w:vertAlign w:val="subscript"/>
              </w:rPr>
              <w:t>max</w:t>
            </w:r>
          </w:p>
        </w:tc>
        <w:tc>
          <w:tcPr>
            <w:tcW w:w="818" w:type="pct"/>
            <w:vAlign w:val="center"/>
          </w:tcPr>
          <w:p w14:paraId="50EF05DB"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1.04</w:t>
            </w:r>
          </w:p>
        </w:tc>
        <w:tc>
          <w:tcPr>
            <w:tcW w:w="819" w:type="pct"/>
            <w:vAlign w:val="center"/>
          </w:tcPr>
          <w:p w14:paraId="7CC094E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1.01</w:t>
            </w:r>
          </w:p>
        </w:tc>
        <w:tc>
          <w:tcPr>
            <w:tcW w:w="818" w:type="pct"/>
            <w:vAlign w:val="center"/>
          </w:tcPr>
          <w:p w14:paraId="031D1C71"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1.72</w:t>
            </w:r>
          </w:p>
        </w:tc>
        <w:tc>
          <w:tcPr>
            <w:tcW w:w="818" w:type="pct"/>
            <w:vAlign w:val="center"/>
          </w:tcPr>
          <w:p w14:paraId="0ED8C949"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1.32</w:t>
            </w:r>
          </w:p>
        </w:tc>
      </w:tr>
      <w:tr w:rsidR="0089656D" w:rsidRPr="001922B7" w14:paraId="284DBB24" w14:textId="77777777" w:rsidTr="0089656D">
        <w:trPr>
          <w:trHeight w:val="187"/>
        </w:trPr>
        <w:tc>
          <w:tcPr>
            <w:tcW w:w="1727" w:type="pct"/>
          </w:tcPr>
          <w:p w14:paraId="21008287"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Accumulation C</w:t>
            </w:r>
            <w:r w:rsidRPr="008D4276">
              <w:rPr>
                <w:rFonts w:asciiTheme="majorHAnsi" w:hAnsiTheme="majorHAnsi" w:cs="Calibri"/>
                <w:vertAlign w:val="subscript"/>
              </w:rPr>
              <w:t>trough</w:t>
            </w:r>
          </w:p>
        </w:tc>
        <w:tc>
          <w:tcPr>
            <w:tcW w:w="818" w:type="pct"/>
            <w:vAlign w:val="center"/>
          </w:tcPr>
          <w:p w14:paraId="2B9C4657"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2.22</w:t>
            </w:r>
          </w:p>
        </w:tc>
        <w:tc>
          <w:tcPr>
            <w:tcW w:w="819" w:type="pct"/>
            <w:vAlign w:val="center"/>
          </w:tcPr>
          <w:p w14:paraId="2543548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1.43</w:t>
            </w:r>
          </w:p>
        </w:tc>
        <w:tc>
          <w:tcPr>
            <w:tcW w:w="818" w:type="pct"/>
            <w:vAlign w:val="center"/>
          </w:tcPr>
          <w:p w14:paraId="230E2EC9"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3.58</w:t>
            </w:r>
          </w:p>
        </w:tc>
        <w:tc>
          <w:tcPr>
            <w:tcW w:w="818" w:type="pct"/>
            <w:vAlign w:val="center"/>
          </w:tcPr>
          <w:p w14:paraId="72259EE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2.08</w:t>
            </w:r>
          </w:p>
        </w:tc>
      </w:tr>
      <w:tr w:rsidR="0089656D" w:rsidRPr="001922B7" w14:paraId="5658CBBD" w14:textId="77777777" w:rsidTr="0089656D">
        <w:trPr>
          <w:trHeight w:val="339"/>
        </w:trPr>
        <w:tc>
          <w:tcPr>
            <w:tcW w:w="1727" w:type="pct"/>
          </w:tcPr>
          <w:p w14:paraId="491128F9"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Accumulation C</w:t>
            </w:r>
            <w:r w:rsidRPr="008D4276">
              <w:rPr>
                <w:rFonts w:asciiTheme="majorHAnsi" w:hAnsiTheme="majorHAnsi" w:cs="Calibri"/>
                <w:vertAlign w:val="subscript"/>
              </w:rPr>
              <w:t>mean</w:t>
            </w:r>
            <w:r w:rsidRPr="008D4276">
              <w:rPr>
                <w:rFonts w:asciiTheme="majorHAnsi" w:hAnsiTheme="majorHAnsi" w:cs="Calibri"/>
              </w:rPr>
              <w:t xml:space="preserve"> or AUC</w:t>
            </w:r>
            <w:r w:rsidRPr="008D4276">
              <w:rPr>
                <w:rFonts w:asciiTheme="majorHAnsi" w:hAnsiTheme="majorHAnsi" w:cs="Calibri"/>
                <w:vertAlign w:val="subscript"/>
              </w:rPr>
              <w:t>τ</w:t>
            </w:r>
            <w:r w:rsidRPr="008D4276">
              <w:rPr>
                <w:rFonts w:asciiTheme="majorHAnsi" w:hAnsiTheme="majorHAnsi" w:cs="Calibri"/>
              </w:rPr>
              <w:t xml:space="preserve"> *</w:t>
            </w:r>
          </w:p>
        </w:tc>
        <w:tc>
          <w:tcPr>
            <w:tcW w:w="818" w:type="pct"/>
            <w:vAlign w:val="center"/>
          </w:tcPr>
          <w:p w14:paraId="325DAA94"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1.16</w:t>
            </w:r>
          </w:p>
        </w:tc>
        <w:tc>
          <w:tcPr>
            <w:tcW w:w="819" w:type="pct"/>
            <w:vAlign w:val="center"/>
          </w:tcPr>
          <w:p w14:paraId="4E65CC9A"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1.05</w:t>
            </w:r>
          </w:p>
        </w:tc>
        <w:tc>
          <w:tcPr>
            <w:tcW w:w="818" w:type="pct"/>
            <w:vAlign w:val="center"/>
          </w:tcPr>
          <w:p w14:paraId="32670BCF"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2.04</w:t>
            </w:r>
          </w:p>
        </w:tc>
        <w:tc>
          <w:tcPr>
            <w:tcW w:w="818" w:type="pct"/>
            <w:vAlign w:val="center"/>
          </w:tcPr>
          <w:p w14:paraId="363CD233"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1.46</w:t>
            </w:r>
          </w:p>
        </w:tc>
      </w:tr>
    </w:tbl>
    <w:p w14:paraId="746C92B1" w14:textId="6C00ED1E" w:rsidR="0089656D" w:rsidRPr="008D4276" w:rsidRDefault="0089656D" w:rsidP="0089656D">
      <w:pPr>
        <w:tabs>
          <w:tab w:val="left" w:pos="1728"/>
        </w:tabs>
        <w:rPr>
          <w:rFonts w:asciiTheme="majorHAnsi" w:hAnsiTheme="majorHAnsi" w:cstheme="minorHAnsi"/>
          <w:sz w:val="20"/>
          <w:szCs w:val="20"/>
        </w:rPr>
      </w:pPr>
      <w:r w:rsidRPr="008D4276">
        <w:rPr>
          <w:rFonts w:asciiTheme="majorHAnsi" w:hAnsiTheme="majorHAnsi" w:cstheme="minorHAnsi"/>
          <w:sz w:val="20"/>
          <w:szCs w:val="20"/>
        </w:rPr>
        <w:t>*τ = 4 weeks for IV regimens, 2 week or 3 week for the two SC regimens, respectively</w:t>
      </w:r>
    </w:p>
    <w:p w14:paraId="7D2B0C9D" w14:textId="77777777" w:rsidR="0089656D" w:rsidRPr="008D4276" w:rsidRDefault="0089656D" w:rsidP="00B06420">
      <w:pPr>
        <w:rPr>
          <w:rFonts w:asciiTheme="majorHAnsi" w:hAnsiTheme="majorHAnsi" w:cstheme="minorHAnsi"/>
        </w:rPr>
      </w:pPr>
      <w:r w:rsidRPr="008D4276">
        <w:rPr>
          <w:rFonts w:asciiTheme="majorHAnsi" w:hAnsiTheme="majorHAnsi" w:cstheme="minorHAnsi"/>
        </w:rPr>
        <w:t xml:space="preserve">After IV dosing, approximately 90% of the steady-state was reached by Week 12 for the 10 mg/kg (body weight &lt; 30 kg), and by Week 16 for the 8 mg/kg (body weight </w:t>
      </w:r>
      <w:r w:rsidRPr="008D4276">
        <w:rPr>
          <w:rFonts w:asciiTheme="majorHAnsi" w:hAnsiTheme="majorHAnsi" w:cstheme="minorHAnsi" w:hint="eastAsia"/>
        </w:rPr>
        <w:t>≥</w:t>
      </w:r>
      <w:r w:rsidRPr="008D4276">
        <w:rPr>
          <w:rFonts w:asciiTheme="majorHAnsi" w:hAnsiTheme="majorHAnsi" w:cstheme="minorHAnsi"/>
        </w:rPr>
        <w:t xml:space="preserve"> 30 kg) dose. After SC dosing, approximately 90% of the steady-state was reached by Week 12 for both the 162 mg SC q2w and q3w regimens.</w:t>
      </w:r>
    </w:p>
    <w:p w14:paraId="778FDE24" w14:textId="77777777" w:rsidR="0089656D" w:rsidRPr="008D4276" w:rsidRDefault="0089656D" w:rsidP="00B06420">
      <w:pPr>
        <w:rPr>
          <w:rFonts w:asciiTheme="majorHAnsi" w:hAnsiTheme="majorHAnsi" w:cstheme="minorHAnsi"/>
        </w:rPr>
      </w:pPr>
      <w:r w:rsidRPr="008D4276">
        <w:rPr>
          <w:rFonts w:asciiTheme="majorHAnsi" w:hAnsiTheme="majorHAnsi" w:cstheme="minorHAnsi"/>
        </w:rPr>
        <w:t>Caution is advised with interpretation of the model-derived PK results as the model under predicted Ctrough.ss after SC dosing in the body weight &lt;30 kg group by greater than 30%.</w:t>
      </w:r>
    </w:p>
    <w:p w14:paraId="6549F5B3" w14:textId="77777777" w:rsidR="0089656D" w:rsidRPr="008D4276" w:rsidRDefault="0089656D" w:rsidP="0089656D">
      <w:pPr>
        <w:pStyle w:val="Heading3"/>
        <w:rPr>
          <w:rFonts w:cs="Calibri"/>
        </w:rPr>
      </w:pPr>
      <w:bookmarkStart w:id="68" w:name="Systemic_Juvenile_Idiopathic_Arthritis"/>
      <w:bookmarkEnd w:id="68"/>
      <w:r w:rsidRPr="008D4276">
        <w:rPr>
          <w:rFonts w:cs="Calibri"/>
        </w:rPr>
        <w:t>Systemic Juvenile Idiopathic Arthritis</w:t>
      </w:r>
    </w:p>
    <w:p w14:paraId="6163C026" w14:textId="077A7A4B" w:rsidR="0089656D" w:rsidRPr="008D4276" w:rsidRDefault="0089656D" w:rsidP="004D6592">
      <w:pPr>
        <w:rPr>
          <w:rFonts w:asciiTheme="majorHAnsi" w:hAnsiTheme="majorHAnsi"/>
        </w:rPr>
      </w:pPr>
      <w:r w:rsidRPr="008D4276">
        <w:rPr>
          <w:rFonts w:asciiTheme="majorHAnsi" w:hAnsiTheme="majorHAnsi"/>
        </w:rPr>
        <w:t xml:space="preserve">The pharmacokinetics of </w:t>
      </w:r>
      <w:r w:rsidR="00E1727C" w:rsidRPr="008D4276">
        <w:rPr>
          <w:rFonts w:asciiTheme="majorHAnsi" w:hAnsiTheme="majorHAnsi"/>
        </w:rPr>
        <w:t>tocilizumab</w:t>
      </w:r>
      <w:r w:rsidRPr="008D4276">
        <w:rPr>
          <w:rFonts w:asciiTheme="majorHAnsi" w:hAnsiTheme="majorHAnsi"/>
        </w:rPr>
        <w:t xml:space="preserve"> in sJIA patients was characterised by a population pharmacokinetic analysis which included 140 patients who were treated with 8 mg/kg IV every 2 weeks (patients weighing </w:t>
      </w:r>
      <w:r w:rsidRPr="008D4276">
        <w:rPr>
          <w:rFonts w:asciiTheme="majorHAnsi" w:hAnsiTheme="majorHAnsi" w:hint="eastAsia"/>
        </w:rPr>
        <w:t>≥</w:t>
      </w:r>
      <w:r w:rsidRPr="008D4276">
        <w:rPr>
          <w:rFonts w:asciiTheme="majorHAnsi" w:hAnsiTheme="majorHAnsi"/>
        </w:rPr>
        <w:t xml:space="preserve"> 30 kg), 12 mg/kg IV every 2 weeks (patients weighing below 30 kg), 162</w:t>
      </w:r>
      <w:r w:rsidR="004D6592" w:rsidRPr="008D4276">
        <w:rPr>
          <w:rFonts w:asciiTheme="majorHAnsi" w:hAnsiTheme="majorHAnsi"/>
        </w:rPr>
        <w:t> </w:t>
      </w:r>
      <w:r w:rsidRPr="008D4276">
        <w:rPr>
          <w:rFonts w:asciiTheme="majorHAnsi" w:hAnsiTheme="majorHAnsi"/>
        </w:rPr>
        <w:t xml:space="preserve">mg SC every week (patients weighing </w:t>
      </w:r>
      <w:r w:rsidRPr="008D4276">
        <w:rPr>
          <w:rFonts w:asciiTheme="majorHAnsi" w:hAnsiTheme="majorHAnsi" w:hint="eastAsia"/>
        </w:rPr>
        <w:t>≥</w:t>
      </w:r>
      <w:r w:rsidRPr="008D4276">
        <w:rPr>
          <w:rFonts w:asciiTheme="majorHAnsi" w:hAnsiTheme="majorHAnsi"/>
        </w:rPr>
        <w:t xml:space="preserve"> 30 kg), 162 mg SC every 10 days or every 2 weeks (patients weighing below 30 kg). Limited data are available regarding exposures following subcutaneous administration of </w:t>
      </w:r>
      <w:r w:rsidR="00E1727C" w:rsidRPr="008D4276">
        <w:rPr>
          <w:rFonts w:asciiTheme="majorHAnsi" w:hAnsiTheme="majorHAnsi"/>
        </w:rPr>
        <w:t>tocilizumab</w:t>
      </w:r>
      <w:r w:rsidRPr="008D4276">
        <w:rPr>
          <w:rFonts w:asciiTheme="majorHAnsi" w:hAnsiTheme="majorHAnsi"/>
        </w:rPr>
        <w:t xml:space="preserve"> in sJIA patients below 2 years of age and in sJIA patients who weigh less than 10 kg. Three patients aged 1-2 were included in Study WA28118.</w:t>
      </w:r>
    </w:p>
    <w:p w14:paraId="0E33E381" w14:textId="00B236AA" w:rsidR="0089656D" w:rsidRPr="008D4276" w:rsidRDefault="0089656D" w:rsidP="004D6592">
      <w:pPr>
        <w:rPr>
          <w:rFonts w:asciiTheme="majorHAnsi" w:hAnsiTheme="majorHAnsi"/>
        </w:rPr>
      </w:pPr>
      <w:r w:rsidRPr="008D4276">
        <w:rPr>
          <w:rFonts w:asciiTheme="majorHAnsi" w:hAnsiTheme="majorHAnsi"/>
        </w:rPr>
        <w:t>Patients with sJIA must have a minimum body weight of 10 kg when receiving</w:t>
      </w:r>
      <w:r w:rsidR="00E1727C" w:rsidRPr="008D4276">
        <w:rPr>
          <w:rFonts w:asciiTheme="majorHAnsi" w:hAnsiTheme="majorHAnsi"/>
        </w:rPr>
        <w:t xml:space="preserve"> tocilizumab</w:t>
      </w:r>
      <w:r w:rsidRPr="008D4276">
        <w:rPr>
          <w:rFonts w:asciiTheme="majorHAnsi" w:hAnsiTheme="majorHAnsi"/>
        </w:rPr>
        <w:t xml:space="preserve"> subcutaneously (see section 4.2 Dose and Method of Administration).</w:t>
      </w:r>
    </w:p>
    <w:p w14:paraId="52D74A5E" w14:textId="142F3BD3" w:rsidR="0089656D" w:rsidRPr="008D4276" w:rsidRDefault="0089656D" w:rsidP="0089656D">
      <w:pPr>
        <w:pStyle w:val="Caption"/>
        <w:rPr>
          <w:rFonts w:asciiTheme="majorHAnsi" w:hAnsiTheme="majorHAnsi" w:cs="Calibri"/>
        </w:rPr>
      </w:pPr>
      <w:r w:rsidRPr="008D4276">
        <w:rPr>
          <w:rFonts w:asciiTheme="majorHAnsi" w:hAnsiTheme="majorHAnsi" w:cs="Calibri"/>
        </w:rPr>
        <w:t xml:space="preserve">Table </w:t>
      </w:r>
      <w:r w:rsidR="0006243F" w:rsidRPr="008D4276">
        <w:rPr>
          <w:rFonts w:asciiTheme="majorHAnsi" w:hAnsiTheme="majorHAnsi" w:cs="Calibri"/>
        </w:rPr>
        <w:fldChar w:fldCharType="begin"/>
      </w:r>
      <w:r w:rsidR="0006243F" w:rsidRPr="008D4276">
        <w:rPr>
          <w:rFonts w:asciiTheme="majorHAnsi" w:hAnsiTheme="majorHAnsi" w:cs="Calibri"/>
        </w:rPr>
        <w:instrText xml:space="preserve"> SEQ Table \* ARABIC </w:instrText>
      </w:r>
      <w:r w:rsidR="0006243F" w:rsidRPr="008D4276">
        <w:rPr>
          <w:rFonts w:asciiTheme="majorHAnsi" w:hAnsiTheme="majorHAnsi" w:cs="Calibri"/>
        </w:rPr>
        <w:fldChar w:fldCharType="separate"/>
      </w:r>
      <w:r w:rsidR="004C310F">
        <w:rPr>
          <w:rFonts w:asciiTheme="majorHAnsi" w:hAnsiTheme="majorHAnsi" w:cs="Calibri"/>
          <w:noProof/>
        </w:rPr>
        <w:t>19</w:t>
      </w:r>
      <w:r w:rsidR="0006243F" w:rsidRPr="008D4276">
        <w:rPr>
          <w:rFonts w:asciiTheme="majorHAnsi" w:hAnsiTheme="majorHAnsi" w:cs="Calibri"/>
        </w:rPr>
        <w:fldChar w:fldCharType="end"/>
      </w:r>
      <w:r w:rsidRPr="008D4276">
        <w:rPr>
          <w:rFonts w:asciiTheme="majorHAnsi" w:hAnsiTheme="majorHAnsi" w:cs="Calibri"/>
        </w:rPr>
        <w:t xml:space="preserve"> Predicted mean </w:t>
      </w:r>
      <w:r w:rsidR="00E1727C" w:rsidRPr="008D4276">
        <w:rPr>
          <w:rFonts w:asciiTheme="majorHAnsi" w:hAnsiTheme="majorHAnsi" w:cs="Calibri"/>
        </w:rPr>
        <w:t>±</w:t>
      </w:r>
      <w:r w:rsidRPr="008D4276">
        <w:rPr>
          <w:rFonts w:asciiTheme="majorHAnsi" w:hAnsiTheme="majorHAnsi" w:cs="Calibri"/>
        </w:rPr>
        <w:t xml:space="preserve"> SD PK parameters at steady-state after IV or SC dosing in sJIA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99"/>
        <w:gridCol w:w="1559"/>
        <w:gridCol w:w="1788"/>
        <w:gridCol w:w="1786"/>
        <w:gridCol w:w="1788"/>
      </w:tblGrid>
      <w:tr w:rsidR="0089656D" w:rsidRPr="001922B7" w14:paraId="7F729AB8" w14:textId="77777777" w:rsidTr="0089656D">
        <w:trPr>
          <w:trHeight w:val="230"/>
        </w:trPr>
        <w:tc>
          <w:tcPr>
            <w:tcW w:w="1164" w:type="pct"/>
          </w:tcPr>
          <w:p w14:paraId="05E4A45D" w14:textId="77777777" w:rsidR="0089656D" w:rsidRPr="008D4276" w:rsidRDefault="0089656D" w:rsidP="0089656D">
            <w:pPr>
              <w:pStyle w:val="NoSpacing"/>
              <w:rPr>
                <w:rFonts w:asciiTheme="majorHAnsi" w:hAnsiTheme="majorHAnsi" w:cs="Calibri"/>
              </w:rPr>
            </w:pPr>
          </w:p>
        </w:tc>
        <w:tc>
          <w:tcPr>
            <w:tcW w:w="1855" w:type="pct"/>
            <w:gridSpan w:val="2"/>
            <w:vAlign w:val="center"/>
          </w:tcPr>
          <w:p w14:paraId="2F822A13"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IV</w:t>
            </w:r>
          </w:p>
        </w:tc>
        <w:tc>
          <w:tcPr>
            <w:tcW w:w="1981" w:type="pct"/>
            <w:gridSpan w:val="2"/>
            <w:vAlign w:val="center"/>
          </w:tcPr>
          <w:p w14:paraId="2F94EDC6"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SC</w:t>
            </w:r>
          </w:p>
        </w:tc>
      </w:tr>
      <w:tr w:rsidR="0089656D" w:rsidRPr="001922B7" w14:paraId="427EA24E" w14:textId="77777777" w:rsidTr="0089656D">
        <w:trPr>
          <w:trHeight w:val="460"/>
        </w:trPr>
        <w:tc>
          <w:tcPr>
            <w:tcW w:w="1164" w:type="pct"/>
          </w:tcPr>
          <w:p w14:paraId="6AA68438" w14:textId="29EBB46C" w:rsidR="0089656D" w:rsidRPr="008D4276" w:rsidRDefault="00E1727C" w:rsidP="00E1727C">
            <w:pPr>
              <w:pStyle w:val="NoSpacing"/>
              <w:ind w:right="115"/>
              <w:rPr>
                <w:rFonts w:asciiTheme="majorHAnsi" w:hAnsiTheme="majorHAnsi" w:cs="Calibri"/>
                <w:b/>
              </w:rPr>
            </w:pPr>
            <w:bookmarkStart w:id="69" w:name="_Hlk159405933"/>
            <w:r w:rsidRPr="008D4276">
              <w:rPr>
                <w:rFonts w:asciiTheme="majorHAnsi" w:hAnsiTheme="majorHAnsi" w:cs="Calibri"/>
                <w:b/>
              </w:rPr>
              <w:t>Tocilizumab</w:t>
            </w:r>
            <w:bookmarkEnd w:id="69"/>
            <w:r w:rsidR="0089656D" w:rsidRPr="008D4276">
              <w:rPr>
                <w:rFonts w:asciiTheme="majorHAnsi" w:hAnsiTheme="majorHAnsi" w:cs="Calibri"/>
                <w:b/>
              </w:rPr>
              <w:t xml:space="preserve"> PK Parameter</w:t>
            </w:r>
          </w:p>
        </w:tc>
        <w:tc>
          <w:tcPr>
            <w:tcW w:w="864" w:type="pct"/>
            <w:vAlign w:val="center"/>
          </w:tcPr>
          <w:p w14:paraId="112B5075"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8 mg/kg Q2W</w:t>
            </w:r>
          </w:p>
          <w:p w14:paraId="45BA5280"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hint="eastAsia"/>
                <w:b/>
              </w:rPr>
              <w:t>≥</w:t>
            </w:r>
            <w:r w:rsidRPr="008D4276">
              <w:rPr>
                <w:rFonts w:asciiTheme="majorHAnsi" w:hAnsiTheme="majorHAnsi" w:cs="Calibri"/>
                <w:b/>
              </w:rPr>
              <w:t xml:space="preserve"> 30 kg</w:t>
            </w:r>
          </w:p>
        </w:tc>
        <w:tc>
          <w:tcPr>
            <w:tcW w:w="991" w:type="pct"/>
            <w:vAlign w:val="center"/>
          </w:tcPr>
          <w:p w14:paraId="17FBC29B"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12 mg/kg Q2W</w:t>
            </w:r>
          </w:p>
          <w:p w14:paraId="30658070"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below 30 kg</w:t>
            </w:r>
          </w:p>
        </w:tc>
        <w:tc>
          <w:tcPr>
            <w:tcW w:w="990" w:type="pct"/>
            <w:vAlign w:val="center"/>
          </w:tcPr>
          <w:p w14:paraId="40FD1125"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162 mg QW</w:t>
            </w:r>
          </w:p>
          <w:p w14:paraId="478784B8"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hint="eastAsia"/>
                <w:b/>
              </w:rPr>
              <w:t>≥</w:t>
            </w:r>
            <w:r w:rsidRPr="008D4276">
              <w:rPr>
                <w:rFonts w:asciiTheme="majorHAnsi" w:hAnsiTheme="majorHAnsi" w:cs="Calibri"/>
                <w:b/>
              </w:rPr>
              <w:t xml:space="preserve"> 30 kg</w:t>
            </w:r>
          </w:p>
        </w:tc>
        <w:tc>
          <w:tcPr>
            <w:tcW w:w="991" w:type="pct"/>
            <w:vAlign w:val="center"/>
          </w:tcPr>
          <w:p w14:paraId="34FB5D3D"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162 mg Q2W</w:t>
            </w:r>
          </w:p>
          <w:p w14:paraId="2A34B132" w14:textId="77777777" w:rsidR="0089656D" w:rsidRPr="008D4276" w:rsidRDefault="0089656D" w:rsidP="0089656D">
            <w:pPr>
              <w:pStyle w:val="NoSpacing"/>
              <w:jc w:val="center"/>
              <w:rPr>
                <w:rFonts w:asciiTheme="majorHAnsi" w:hAnsiTheme="majorHAnsi" w:cs="Calibri"/>
                <w:b/>
              </w:rPr>
            </w:pPr>
            <w:r w:rsidRPr="008D4276">
              <w:rPr>
                <w:rFonts w:asciiTheme="majorHAnsi" w:hAnsiTheme="majorHAnsi" w:cs="Calibri"/>
                <w:b/>
              </w:rPr>
              <w:t>below 30 kg</w:t>
            </w:r>
          </w:p>
        </w:tc>
      </w:tr>
      <w:tr w:rsidR="0089656D" w:rsidRPr="001922B7" w14:paraId="46DBEFC8" w14:textId="77777777" w:rsidTr="0089656D">
        <w:trPr>
          <w:trHeight w:val="275"/>
        </w:trPr>
        <w:tc>
          <w:tcPr>
            <w:tcW w:w="1164" w:type="pct"/>
          </w:tcPr>
          <w:p w14:paraId="0F256DB2"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max</w:t>
            </w:r>
            <w:r w:rsidRPr="008D4276">
              <w:rPr>
                <w:rFonts w:asciiTheme="majorHAnsi" w:hAnsiTheme="majorHAnsi" w:cs="Calibri"/>
              </w:rPr>
              <w:t xml:space="preserve"> (µg/mL)</w:t>
            </w:r>
          </w:p>
        </w:tc>
        <w:tc>
          <w:tcPr>
            <w:tcW w:w="864" w:type="pct"/>
            <w:vAlign w:val="center"/>
          </w:tcPr>
          <w:p w14:paraId="29EDF399"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256 ± 60.8</w:t>
            </w:r>
          </w:p>
        </w:tc>
        <w:tc>
          <w:tcPr>
            <w:tcW w:w="991" w:type="pct"/>
            <w:vAlign w:val="center"/>
          </w:tcPr>
          <w:p w14:paraId="28A6F552" w14:textId="4E170832"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 xml:space="preserve">274 </w:t>
            </w:r>
            <w:r w:rsidR="00E1727C" w:rsidRPr="008D4276">
              <w:rPr>
                <w:rFonts w:asciiTheme="majorHAnsi" w:hAnsiTheme="majorHAnsi" w:cs="Calibri"/>
              </w:rPr>
              <w:t xml:space="preserve">± </w:t>
            </w:r>
            <w:r w:rsidRPr="008D4276">
              <w:rPr>
                <w:rFonts w:asciiTheme="majorHAnsi" w:hAnsiTheme="majorHAnsi" w:cs="Calibri"/>
              </w:rPr>
              <w:t xml:space="preserve"> 63.8</w:t>
            </w:r>
          </w:p>
        </w:tc>
        <w:tc>
          <w:tcPr>
            <w:tcW w:w="990" w:type="pct"/>
            <w:vAlign w:val="center"/>
          </w:tcPr>
          <w:p w14:paraId="281E223B"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99.8 ± 46.2</w:t>
            </w:r>
          </w:p>
        </w:tc>
        <w:tc>
          <w:tcPr>
            <w:tcW w:w="991" w:type="pct"/>
            <w:vAlign w:val="center"/>
          </w:tcPr>
          <w:p w14:paraId="27140A4D"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134 ± 58.6</w:t>
            </w:r>
          </w:p>
        </w:tc>
      </w:tr>
      <w:tr w:rsidR="0089656D" w:rsidRPr="001922B7" w14:paraId="4A903C5A" w14:textId="77777777" w:rsidTr="0089656D">
        <w:trPr>
          <w:trHeight w:val="278"/>
        </w:trPr>
        <w:tc>
          <w:tcPr>
            <w:tcW w:w="1164" w:type="pct"/>
          </w:tcPr>
          <w:p w14:paraId="7E8AB441"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trough</w:t>
            </w:r>
            <w:r w:rsidRPr="008D4276">
              <w:rPr>
                <w:rFonts w:asciiTheme="majorHAnsi" w:hAnsiTheme="majorHAnsi" w:cs="Calibri"/>
              </w:rPr>
              <w:t xml:space="preserve"> (µg/mL)</w:t>
            </w:r>
          </w:p>
        </w:tc>
        <w:tc>
          <w:tcPr>
            <w:tcW w:w="864" w:type="pct"/>
            <w:vAlign w:val="center"/>
          </w:tcPr>
          <w:p w14:paraId="2A32115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69.7 ± 29.1</w:t>
            </w:r>
          </w:p>
        </w:tc>
        <w:tc>
          <w:tcPr>
            <w:tcW w:w="991" w:type="pct"/>
            <w:vAlign w:val="center"/>
          </w:tcPr>
          <w:p w14:paraId="5DCFBD1F" w14:textId="3AAFE796"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 xml:space="preserve">68.4 </w:t>
            </w:r>
            <w:r w:rsidR="00E1727C" w:rsidRPr="008D4276">
              <w:rPr>
                <w:rFonts w:asciiTheme="majorHAnsi" w:hAnsiTheme="majorHAnsi" w:cs="Calibri"/>
              </w:rPr>
              <w:t xml:space="preserve">± </w:t>
            </w:r>
            <w:r w:rsidRPr="008D4276">
              <w:rPr>
                <w:rFonts w:asciiTheme="majorHAnsi" w:hAnsiTheme="majorHAnsi" w:cs="Calibri"/>
              </w:rPr>
              <w:t xml:space="preserve"> 30.0</w:t>
            </w:r>
          </w:p>
        </w:tc>
        <w:tc>
          <w:tcPr>
            <w:tcW w:w="990" w:type="pct"/>
            <w:vAlign w:val="center"/>
          </w:tcPr>
          <w:p w14:paraId="059746E6"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79.2 ± 35.6</w:t>
            </w:r>
          </w:p>
        </w:tc>
        <w:tc>
          <w:tcPr>
            <w:tcW w:w="991" w:type="pct"/>
            <w:vAlign w:val="center"/>
          </w:tcPr>
          <w:p w14:paraId="1787A9F8"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65.9 ± 31.3</w:t>
            </w:r>
          </w:p>
        </w:tc>
      </w:tr>
      <w:tr w:rsidR="0089656D" w:rsidRPr="001922B7" w14:paraId="301FDBAF" w14:textId="77777777" w:rsidTr="0089656D">
        <w:trPr>
          <w:trHeight w:val="323"/>
        </w:trPr>
        <w:tc>
          <w:tcPr>
            <w:tcW w:w="1164" w:type="pct"/>
          </w:tcPr>
          <w:p w14:paraId="1A681773"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rPr>
              <w:t>C</w:t>
            </w:r>
            <w:r w:rsidRPr="008D4276">
              <w:rPr>
                <w:rFonts w:asciiTheme="majorHAnsi" w:hAnsiTheme="majorHAnsi" w:cs="Calibri"/>
                <w:vertAlign w:val="subscript"/>
              </w:rPr>
              <w:t>mean</w:t>
            </w:r>
            <w:r w:rsidRPr="008D4276">
              <w:rPr>
                <w:rFonts w:asciiTheme="majorHAnsi" w:hAnsiTheme="majorHAnsi" w:cs="Calibri"/>
              </w:rPr>
              <w:t xml:space="preserve"> (µg/mL)</w:t>
            </w:r>
          </w:p>
        </w:tc>
        <w:tc>
          <w:tcPr>
            <w:tcW w:w="864" w:type="pct"/>
            <w:vAlign w:val="center"/>
          </w:tcPr>
          <w:p w14:paraId="2658469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119 ± 36.0</w:t>
            </w:r>
          </w:p>
        </w:tc>
        <w:tc>
          <w:tcPr>
            <w:tcW w:w="991" w:type="pct"/>
            <w:vAlign w:val="center"/>
          </w:tcPr>
          <w:p w14:paraId="239897A0" w14:textId="6AC978A0"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 xml:space="preserve">123 </w:t>
            </w:r>
            <w:r w:rsidR="00E1727C" w:rsidRPr="008D4276">
              <w:rPr>
                <w:rFonts w:asciiTheme="majorHAnsi" w:hAnsiTheme="majorHAnsi" w:cs="Calibri"/>
              </w:rPr>
              <w:t xml:space="preserve">± </w:t>
            </w:r>
            <w:r w:rsidRPr="008D4276">
              <w:rPr>
                <w:rFonts w:asciiTheme="majorHAnsi" w:hAnsiTheme="majorHAnsi" w:cs="Calibri"/>
              </w:rPr>
              <w:t xml:space="preserve"> 36.0</w:t>
            </w:r>
          </w:p>
        </w:tc>
        <w:tc>
          <w:tcPr>
            <w:tcW w:w="990" w:type="pct"/>
            <w:vAlign w:val="center"/>
          </w:tcPr>
          <w:p w14:paraId="2FFD9245"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91.3 ± 40.4</w:t>
            </w:r>
          </w:p>
        </w:tc>
        <w:tc>
          <w:tcPr>
            <w:tcW w:w="991" w:type="pct"/>
            <w:vAlign w:val="center"/>
          </w:tcPr>
          <w:p w14:paraId="2DE11CEF" w14:textId="77777777" w:rsidR="0089656D" w:rsidRPr="008D4276" w:rsidRDefault="0089656D" w:rsidP="0089656D">
            <w:pPr>
              <w:pStyle w:val="NoSpacing"/>
              <w:jc w:val="center"/>
              <w:rPr>
                <w:rFonts w:asciiTheme="majorHAnsi" w:hAnsiTheme="majorHAnsi" w:cs="Calibri"/>
              </w:rPr>
            </w:pPr>
            <w:r w:rsidRPr="008D4276">
              <w:rPr>
                <w:rFonts w:asciiTheme="majorHAnsi" w:hAnsiTheme="majorHAnsi" w:cs="Calibri"/>
              </w:rPr>
              <w:t>101 ± 43.2</w:t>
            </w:r>
          </w:p>
        </w:tc>
      </w:tr>
      <w:tr w:rsidR="0089656D" w:rsidRPr="001922B7" w14:paraId="4BEA1090" w14:textId="77777777" w:rsidTr="0089656D">
        <w:trPr>
          <w:trHeight w:val="323"/>
        </w:trPr>
        <w:tc>
          <w:tcPr>
            <w:tcW w:w="1164" w:type="pct"/>
          </w:tcPr>
          <w:p w14:paraId="2ACFB9AB"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spacing w:val="-2"/>
              </w:rPr>
              <w:t>Accumulation</w:t>
            </w:r>
          </w:p>
          <w:p w14:paraId="3510B069" w14:textId="7E12AFC8" w:rsidR="0089656D" w:rsidRPr="008D4276" w:rsidRDefault="0089656D" w:rsidP="0089656D">
            <w:pPr>
              <w:pStyle w:val="NoSpacing"/>
              <w:rPr>
                <w:rFonts w:asciiTheme="majorHAnsi" w:hAnsiTheme="majorHAnsi" w:cs="Calibri"/>
              </w:rPr>
            </w:pPr>
            <w:r w:rsidRPr="008D4276">
              <w:rPr>
                <w:rFonts w:asciiTheme="majorHAnsi" w:hAnsiTheme="majorHAnsi" w:cs="Calibri"/>
                <w:spacing w:val="-4"/>
                <w:position w:val="2"/>
              </w:rPr>
              <w:t>C</w:t>
            </w:r>
            <w:r w:rsidRPr="008D4276">
              <w:rPr>
                <w:rFonts w:asciiTheme="majorHAnsi" w:hAnsiTheme="majorHAnsi" w:cs="Calibri"/>
                <w:spacing w:val="-4"/>
                <w:vertAlign w:val="subscript"/>
              </w:rPr>
              <w:t>max</w:t>
            </w:r>
          </w:p>
        </w:tc>
        <w:tc>
          <w:tcPr>
            <w:tcW w:w="864" w:type="pct"/>
            <w:vAlign w:val="center"/>
          </w:tcPr>
          <w:p w14:paraId="5C4C6DDB" w14:textId="2DEE839E"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1.42</w:t>
            </w:r>
          </w:p>
        </w:tc>
        <w:tc>
          <w:tcPr>
            <w:tcW w:w="991" w:type="pct"/>
            <w:vAlign w:val="center"/>
          </w:tcPr>
          <w:p w14:paraId="7B1F4FDC" w14:textId="323C16E5"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1.37</w:t>
            </w:r>
          </w:p>
        </w:tc>
        <w:tc>
          <w:tcPr>
            <w:tcW w:w="990" w:type="pct"/>
            <w:vAlign w:val="center"/>
          </w:tcPr>
          <w:p w14:paraId="7B479AF0" w14:textId="46472882"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3.66</w:t>
            </w:r>
          </w:p>
        </w:tc>
        <w:tc>
          <w:tcPr>
            <w:tcW w:w="991" w:type="pct"/>
            <w:vAlign w:val="center"/>
          </w:tcPr>
          <w:p w14:paraId="050FD84F" w14:textId="32E9CA7C"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1.88</w:t>
            </w:r>
          </w:p>
        </w:tc>
      </w:tr>
      <w:tr w:rsidR="0089656D" w:rsidRPr="001922B7" w14:paraId="0A3A18B3" w14:textId="77777777" w:rsidTr="0089656D">
        <w:trPr>
          <w:trHeight w:val="323"/>
        </w:trPr>
        <w:tc>
          <w:tcPr>
            <w:tcW w:w="1164" w:type="pct"/>
          </w:tcPr>
          <w:p w14:paraId="4E09C6EB"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spacing w:val="-2"/>
              </w:rPr>
              <w:t>Accumulation</w:t>
            </w:r>
          </w:p>
          <w:p w14:paraId="26D57D9D" w14:textId="68211756" w:rsidR="0089656D" w:rsidRPr="008D4276" w:rsidRDefault="0089656D" w:rsidP="0089656D">
            <w:pPr>
              <w:pStyle w:val="NoSpacing"/>
              <w:rPr>
                <w:rFonts w:asciiTheme="majorHAnsi" w:hAnsiTheme="majorHAnsi" w:cs="Calibri"/>
              </w:rPr>
            </w:pPr>
            <w:r w:rsidRPr="008D4276">
              <w:rPr>
                <w:rFonts w:asciiTheme="majorHAnsi" w:hAnsiTheme="majorHAnsi" w:cs="Calibri"/>
                <w:spacing w:val="-2"/>
                <w:position w:val="2"/>
              </w:rPr>
              <w:t>C</w:t>
            </w:r>
            <w:r w:rsidRPr="008D4276">
              <w:rPr>
                <w:rFonts w:asciiTheme="majorHAnsi" w:hAnsiTheme="majorHAnsi" w:cs="Calibri"/>
                <w:spacing w:val="-2"/>
                <w:vertAlign w:val="subscript"/>
              </w:rPr>
              <w:t>trough</w:t>
            </w:r>
          </w:p>
        </w:tc>
        <w:tc>
          <w:tcPr>
            <w:tcW w:w="864" w:type="pct"/>
            <w:vAlign w:val="center"/>
          </w:tcPr>
          <w:p w14:paraId="6740B0EC" w14:textId="588922A5"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3.20</w:t>
            </w:r>
          </w:p>
        </w:tc>
        <w:tc>
          <w:tcPr>
            <w:tcW w:w="991" w:type="pct"/>
            <w:vAlign w:val="center"/>
          </w:tcPr>
          <w:p w14:paraId="37D0331D" w14:textId="2002FD11"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3.41</w:t>
            </w:r>
          </w:p>
        </w:tc>
        <w:tc>
          <w:tcPr>
            <w:tcW w:w="990" w:type="pct"/>
            <w:vAlign w:val="center"/>
          </w:tcPr>
          <w:p w14:paraId="4945B028" w14:textId="2DB348F2"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4.39</w:t>
            </w:r>
          </w:p>
        </w:tc>
        <w:tc>
          <w:tcPr>
            <w:tcW w:w="991" w:type="pct"/>
            <w:vAlign w:val="center"/>
          </w:tcPr>
          <w:p w14:paraId="1183D975" w14:textId="52024899"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3.21</w:t>
            </w:r>
          </w:p>
        </w:tc>
      </w:tr>
      <w:tr w:rsidR="0089656D" w:rsidRPr="001922B7" w14:paraId="527195D4" w14:textId="77777777" w:rsidTr="00E1727C">
        <w:trPr>
          <w:trHeight w:val="70"/>
        </w:trPr>
        <w:tc>
          <w:tcPr>
            <w:tcW w:w="1164" w:type="pct"/>
          </w:tcPr>
          <w:p w14:paraId="3CA809DF" w14:textId="77777777" w:rsidR="0089656D" w:rsidRPr="008D4276" w:rsidRDefault="0089656D" w:rsidP="0089656D">
            <w:pPr>
              <w:pStyle w:val="NoSpacing"/>
              <w:rPr>
                <w:rFonts w:asciiTheme="majorHAnsi" w:hAnsiTheme="majorHAnsi" w:cs="Calibri"/>
              </w:rPr>
            </w:pPr>
            <w:r w:rsidRPr="008D4276">
              <w:rPr>
                <w:rFonts w:asciiTheme="majorHAnsi" w:hAnsiTheme="majorHAnsi" w:cs="Calibri"/>
                <w:spacing w:val="-2"/>
              </w:rPr>
              <w:t>Accumulation</w:t>
            </w:r>
          </w:p>
          <w:p w14:paraId="78A6EC08" w14:textId="158F8642" w:rsidR="0089656D" w:rsidRPr="008D4276" w:rsidRDefault="0089656D" w:rsidP="0089656D">
            <w:pPr>
              <w:pStyle w:val="NoSpacing"/>
              <w:rPr>
                <w:rFonts w:asciiTheme="majorHAnsi" w:hAnsiTheme="majorHAnsi" w:cs="Calibri"/>
              </w:rPr>
            </w:pPr>
            <w:r w:rsidRPr="008D4276">
              <w:rPr>
                <w:rFonts w:asciiTheme="majorHAnsi" w:hAnsiTheme="majorHAnsi" w:cs="Calibri"/>
                <w:position w:val="2"/>
              </w:rPr>
              <w:lastRenderedPageBreak/>
              <w:t>C</w:t>
            </w:r>
            <w:r w:rsidRPr="008D4276">
              <w:rPr>
                <w:rFonts w:asciiTheme="majorHAnsi" w:hAnsiTheme="majorHAnsi" w:cs="Calibri"/>
                <w:vertAlign w:val="subscript"/>
              </w:rPr>
              <w:t>mean</w:t>
            </w:r>
            <w:r w:rsidRPr="008D4276">
              <w:rPr>
                <w:rFonts w:asciiTheme="majorHAnsi" w:hAnsiTheme="majorHAnsi" w:cs="Calibri"/>
                <w:spacing w:val="17"/>
                <w:vertAlign w:val="subscript"/>
              </w:rPr>
              <w:t xml:space="preserve"> </w:t>
            </w:r>
            <w:r w:rsidRPr="008D4276">
              <w:rPr>
                <w:rFonts w:asciiTheme="majorHAnsi" w:hAnsiTheme="majorHAnsi" w:cs="Calibri"/>
                <w:position w:val="2"/>
              </w:rPr>
              <w:t>or</w:t>
            </w:r>
            <w:r w:rsidRPr="008D4276">
              <w:rPr>
                <w:rFonts w:asciiTheme="majorHAnsi" w:hAnsiTheme="majorHAnsi" w:cs="Calibri"/>
                <w:spacing w:val="-1"/>
                <w:position w:val="2"/>
              </w:rPr>
              <w:t xml:space="preserve"> </w:t>
            </w:r>
            <w:r w:rsidRPr="008D4276">
              <w:rPr>
                <w:rFonts w:asciiTheme="majorHAnsi" w:hAnsiTheme="majorHAnsi" w:cs="Calibri"/>
                <w:position w:val="2"/>
              </w:rPr>
              <w:t>AUC</w:t>
            </w:r>
            <w:r w:rsidRPr="008D4276">
              <w:rPr>
                <w:rFonts w:asciiTheme="majorHAnsi" w:hAnsiTheme="majorHAnsi" w:cs="Calibri"/>
                <w:vertAlign w:val="subscript"/>
              </w:rPr>
              <w:t>τ</w:t>
            </w:r>
            <w:r w:rsidRPr="008D4276">
              <w:rPr>
                <w:rFonts w:asciiTheme="majorHAnsi" w:hAnsiTheme="majorHAnsi" w:cs="Calibri"/>
                <w:spacing w:val="19"/>
              </w:rPr>
              <w:t xml:space="preserve"> </w:t>
            </w:r>
            <w:r w:rsidRPr="008D4276">
              <w:rPr>
                <w:rFonts w:asciiTheme="majorHAnsi" w:hAnsiTheme="majorHAnsi" w:cs="Calibri"/>
                <w:spacing w:val="-10"/>
                <w:position w:val="2"/>
              </w:rPr>
              <w:t>*</w:t>
            </w:r>
          </w:p>
        </w:tc>
        <w:tc>
          <w:tcPr>
            <w:tcW w:w="864" w:type="pct"/>
            <w:vAlign w:val="center"/>
          </w:tcPr>
          <w:p w14:paraId="36B9F255" w14:textId="3E1E4813"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lastRenderedPageBreak/>
              <w:t>2.01</w:t>
            </w:r>
          </w:p>
        </w:tc>
        <w:tc>
          <w:tcPr>
            <w:tcW w:w="991" w:type="pct"/>
            <w:vAlign w:val="center"/>
          </w:tcPr>
          <w:p w14:paraId="1692716F" w14:textId="2ABFE04A"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1.95</w:t>
            </w:r>
          </w:p>
        </w:tc>
        <w:tc>
          <w:tcPr>
            <w:tcW w:w="990" w:type="pct"/>
            <w:vAlign w:val="center"/>
          </w:tcPr>
          <w:p w14:paraId="0B167EE7" w14:textId="1E0C3321"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4.28</w:t>
            </w:r>
          </w:p>
        </w:tc>
        <w:tc>
          <w:tcPr>
            <w:tcW w:w="991" w:type="pct"/>
            <w:vAlign w:val="center"/>
          </w:tcPr>
          <w:p w14:paraId="790F13A5" w14:textId="55122DF6" w:rsidR="0089656D" w:rsidRPr="008D4276" w:rsidRDefault="0089656D" w:rsidP="0089656D">
            <w:pPr>
              <w:pStyle w:val="NoSpacing"/>
              <w:jc w:val="center"/>
              <w:rPr>
                <w:rFonts w:asciiTheme="majorHAnsi" w:hAnsiTheme="majorHAnsi" w:cs="Calibri"/>
              </w:rPr>
            </w:pPr>
            <w:r w:rsidRPr="008D4276">
              <w:rPr>
                <w:rFonts w:asciiTheme="majorHAnsi" w:hAnsiTheme="majorHAnsi" w:cs="Calibri"/>
                <w:spacing w:val="-4"/>
              </w:rPr>
              <w:t>2.27</w:t>
            </w:r>
          </w:p>
        </w:tc>
      </w:tr>
    </w:tbl>
    <w:p w14:paraId="29E9F752" w14:textId="2C9239E3" w:rsidR="0089656D" w:rsidRPr="008D4276" w:rsidRDefault="0089656D" w:rsidP="0089656D">
      <w:pPr>
        <w:rPr>
          <w:rFonts w:asciiTheme="majorHAnsi" w:hAnsiTheme="majorHAnsi" w:cstheme="minorHAnsi"/>
          <w:sz w:val="20"/>
          <w:szCs w:val="20"/>
        </w:rPr>
      </w:pPr>
      <w:r w:rsidRPr="008D4276">
        <w:rPr>
          <w:rFonts w:asciiTheme="majorHAnsi" w:hAnsiTheme="majorHAnsi" w:cstheme="minorHAnsi"/>
          <w:sz w:val="20"/>
          <w:szCs w:val="20"/>
        </w:rPr>
        <w:t>*τ = 2 weeks for IV regimens, 1 week or 2 week for the two SC regimens, respectively</w:t>
      </w:r>
    </w:p>
    <w:p w14:paraId="634C3D62" w14:textId="160BC2D3" w:rsidR="00AC76E8" w:rsidRPr="008D4276" w:rsidRDefault="0089656D" w:rsidP="00F36DD0">
      <w:pPr>
        <w:tabs>
          <w:tab w:val="left" w:pos="1728"/>
        </w:tabs>
        <w:spacing w:after="200"/>
        <w:rPr>
          <w:rFonts w:asciiTheme="majorHAnsi" w:hAnsiTheme="majorHAnsi" w:cstheme="minorHAnsi"/>
        </w:rPr>
      </w:pPr>
      <w:r w:rsidRPr="008D4276">
        <w:rPr>
          <w:rFonts w:asciiTheme="majorHAnsi" w:hAnsiTheme="majorHAnsi" w:cstheme="minorHAnsi"/>
        </w:rPr>
        <w:t>After IV dosing, approximately 90% of the steady-state was reached by Week 8 for both the 12 mg/kg and 8 mg/kg Q2W regimens. After SC dosing, approximately 90% of the steady- state was reached by Week 12 for both the 162 mg QW and Q2W regimens.</w:t>
      </w:r>
    </w:p>
    <w:p w14:paraId="7D0018E1" w14:textId="77777777" w:rsidR="0089656D" w:rsidRPr="008D4276" w:rsidRDefault="0089656D" w:rsidP="0089656D">
      <w:pPr>
        <w:pStyle w:val="Heading3"/>
        <w:rPr>
          <w:rFonts w:cs="Calibri"/>
        </w:rPr>
      </w:pPr>
      <w:bookmarkStart w:id="70" w:name="Absorption"/>
      <w:bookmarkEnd w:id="70"/>
      <w:r w:rsidRPr="008D4276">
        <w:rPr>
          <w:rFonts w:cs="Calibri"/>
        </w:rPr>
        <w:t>Absorption</w:t>
      </w:r>
    </w:p>
    <w:p w14:paraId="07C7660E" w14:textId="77777777"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Following SC dosing in RA and GCA patients, the absorption half-life was around 4 days. The bioavailability for the SC formulation was 80%.</w:t>
      </w:r>
    </w:p>
    <w:p w14:paraId="0C93A467" w14:textId="796CDD37"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In GCA patients, the median values of T</w:t>
      </w:r>
      <w:r w:rsidRPr="008E0261">
        <w:rPr>
          <w:rFonts w:asciiTheme="majorHAnsi" w:hAnsiTheme="majorHAnsi" w:cstheme="minorHAnsi"/>
          <w:vertAlign w:val="subscript"/>
        </w:rPr>
        <w:t xml:space="preserve">max </w:t>
      </w:r>
      <w:r w:rsidRPr="008D4276">
        <w:rPr>
          <w:rFonts w:asciiTheme="majorHAnsi" w:hAnsiTheme="majorHAnsi" w:cstheme="minorHAnsi"/>
        </w:rPr>
        <w:t xml:space="preserve">were 3 days after the </w:t>
      </w:r>
      <w:bookmarkStart w:id="71" w:name="_Hlk159406101"/>
      <w:r w:rsidR="00F36DD0" w:rsidRPr="008D4276">
        <w:rPr>
          <w:rFonts w:asciiTheme="majorHAnsi" w:hAnsiTheme="majorHAnsi" w:cstheme="minorHAnsi"/>
        </w:rPr>
        <w:t>tocilizumab</w:t>
      </w:r>
      <w:bookmarkEnd w:id="71"/>
      <w:r w:rsidRPr="008D4276">
        <w:rPr>
          <w:rFonts w:asciiTheme="majorHAnsi" w:hAnsiTheme="majorHAnsi" w:cstheme="minorHAnsi"/>
        </w:rPr>
        <w:t xml:space="preserve"> weekly dose and</w:t>
      </w:r>
      <w:r w:rsidR="00E63BA6" w:rsidRPr="008D4276">
        <w:rPr>
          <w:rFonts w:asciiTheme="majorHAnsi" w:hAnsiTheme="majorHAnsi" w:cstheme="minorHAnsi"/>
        </w:rPr>
        <w:t xml:space="preserve"> </w:t>
      </w:r>
      <w:r w:rsidRPr="008D4276">
        <w:rPr>
          <w:rFonts w:asciiTheme="majorHAnsi" w:hAnsiTheme="majorHAnsi" w:cstheme="minorHAnsi"/>
        </w:rPr>
        <w:t xml:space="preserve">4.5 days after the </w:t>
      </w:r>
      <w:r w:rsidR="00F36DD0" w:rsidRPr="008D4276">
        <w:rPr>
          <w:rFonts w:asciiTheme="majorHAnsi" w:hAnsiTheme="majorHAnsi" w:cstheme="minorHAnsi"/>
        </w:rPr>
        <w:t>tocilizumab</w:t>
      </w:r>
      <w:r w:rsidRPr="008D4276">
        <w:rPr>
          <w:rFonts w:asciiTheme="majorHAnsi" w:hAnsiTheme="majorHAnsi" w:cstheme="minorHAnsi"/>
        </w:rPr>
        <w:t xml:space="preserve"> every other week dose.</w:t>
      </w:r>
    </w:p>
    <w:p w14:paraId="1716C26F" w14:textId="77777777"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Following SC dosing in pJIA patients, the absorption half-life was around 2 days, and the bioavailability for the SC formulation in pJIA patients was 96%.</w:t>
      </w:r>
    </w:p>
    <w:p w14:paraId="5F2DECF2" w14:textId="77777777"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Following SC dosing in sJIA patients, the absorption half-life was around 2 days, and the bioavailability for the SC formulation in sJIA patients was 95%.</w:t>
      </w:r>
    </w:p>
    <w:p w14:paraId="7FE7EAD5" w14:textId="77777777" w:rsidR="0089656D" w:rsidRPr="008D4276" w:rsidRDefault="0089656D" w:rsidP="00E63BA6">
      <w:pPr>
        <w:pStyle w:val="Heading3"/>
        <w:rPr>
          <w:rFonts w:cs="Calibri"/>
        </w:rPr>
      </w:pPr>
      <w:bookmarkStart w:id="72" w:name="Distribution"/>
      <w:bookmarkEnd w:id="72"/>
      <w:r w:rsidRPr="008D4276">
        <w:rPr>
          <w:rFonts w:cs="Calibri"/>
        </w:rPr>
        <w:t>Distribution</w:t>
      </w:r>
    </w:p>
    <w:p w14:paraId="7F28F54C" w14:textId="606F70C7" w:rsidR="0089656D" w:rsidRPr="008D4276" w:rsidRDefault="0089656D" w:rsidP="00B06420">
      <w:pPr>
        <w:rPr>
          <w:rFonts w:asciiTheme="majorHAnsi" w:hAnsiTheme="majorHAnsi" w:cstheme="minorHAnsi"/>
        </w:rPr>
      </w:pPr>
      <w:r w:rsidRPr="008D4276">
        <w:rPr>
          <w:rFonts w:asciiTheme="majorHAnsi" w:hAnsiTheme="majorHAnsi" w:cstheme="minorHAnsi"/>
        </w:rPr>
        <w:t xml:space="preserve">Following IV dosing, </w:t>
      </w:r>
      <w:r w:rsidR="00F36DD0" w:rsidRPr="008D4276">
        <w:rPr>
          <w:rFonts w:asciiTheme="majorHAnsi" w:hAnsiTheme="majorHAnsi" w:cstheme="minorHAnsi"/>
        </w:rPr>
        <w:t>tocilizumab</w:t>
      </w:r>
      <w:r w:rsidRPr="008D4276">
        <w:rPr>
          <w:rFonts w:asciiTheme="majorHAnsi" w:hAnsiTheme="majorHAnsi" w:cstheme="minorHAnsi"/>
        </w:rPr>
        <w:t xml:space="preserve"> undergoes biphasic elimination from the circulation. In RA patients the central volume of distribution was 3.5 L and the peripheral volume of distribution was 2.9 L, resulting in a volume of distribution at steady state of 6.4 L.</w:t>
      </w:r>
    </w:p>
    <w:p w14:paraId="615751A1" w14:textId="77777777" w:rsidR="0089656D" w:rsidRPr="008D4276" w:rsidRDefault="0089656D" w:rsidP="00B06420">
      <w:pPr>
        <w:rPr>
          <w:rFonts w:asciiTheme="majorHAnsi" w:hAnsiTheme="majorHAnsi" w:cstheme="minorHAnsi"/>
        </w:rPr>
      </w:pPr>
      <w:r w:rsidRPr="008D4276">
        <w:rPr>
          <w:rFonts w:asciiTheme="majorHAnsi" w:hAnsiTheme="majorHAnsi" w:cstheme="minorHAnsi"/>
        </w:rPr>
        <w:t>In GCA patients, the central volume of distribution was 4.09 L, the peripheral volume of distribution was 3.37 L resulting in a volume of distribution at steady state of 7.46 L.</w:t>
      </w:r>
    </w:p>
    <w:p w14:paraId="6DE3726A" w14:textId="77777777" w:rsidR="0089656D" w:rsidRPr="008D4276" w:rsidRDefault="0089656D" w:rsidP="00B06420">
      <w:pPr>
        <w:rPr>
          <w:rFonts w:asciiTheme="majorHAnsi" w:hAnsiTheme="majorHAnsi" w:cstheme="minorHAnsi"/>
        </w:rPr>
      </w:pPr>
      <w:r w:rsidRPr="008D4276">
        <w:rPr>
          <w:rFonts w:asciiTheme="majorHAnsi" w:hAnsiTheme="majorHAnsi" w:cstheme="minorHAnsi"/>
        </w:rPr>
        <w:t>In paediatric patients with pJIA, the central volume of distribution was 1.98 L, the peripheral volume of distribution was 2.1 L, resulting in a volume of distribution at steady state of 4.08 L.</w:t>
      </w:r>
    </w:p>
    <w:p w14:paraId="49A9400C" w14:textId="77777777" w:rsidR="0089656D" w:rsidRPr="008D4276" w:rsidRDefault="0089656D" w:rsidP="00B06420">
      <w:pPr>
        <w:rPr>
          <w:rFonts w:asciiTheme="majorHAnsi" w:hAnsiTheme="majorHAnsi" w:cstheme="minorHAnsi"/>
        </w:rPr>
      </w:pPr>
      <w:r w:rsidRPr="008D4276">
        <w:rPr>
          <w:rFonts w:asciiTheme="majorHAnsi" w:hAnsiTheme="majorHAnsi" w:cstheme="minorHAnsi"/>
        </w:rPr>
        <w:t>In paediatric patients with sJIA, the central volume of distribution was 1.87 L and the peripheral volume of distribution was 2.14 L resulting in a volume of distribution at steady state of 4.01 L.</w:t>
      </w:r>
    </w:p>
    <w:p w14:paraId="7D0AE9CB" w14:textId="77777777" w:rsidR="0089656D" w:rsidRPr="008D4276" w:rsidRDefault="0089656D" w:rsidP="00B06420">
      <w:pPr>
        <w:rPr>
          <w:rFonts w:asciiTheme="majorHAnsi" w:hAnsiTheme="majorHAnsi" w:cstheme="minorHAnsi"/>
        </w:rPr>
      </w:pPr>
      <w:r w:rsidRPr="008D4276">
        <w:rPr>
          <w:rFonts w:asciiTheme="majorHAnsi" w:hAnsiTheme="majorHAnsi" w:cstheme="minorHAnsi"/>
        </w:rPr>
        <w:t>In adult patients with COVID-19, the central volume of distribution was 4.52 L, the peripheral volume of distribution was 4.23 L resulting in a volume of distribution of 8.75 L.</w:t>
      </w:r>
    </w:p>
    <w:p w14:paraId="26B7FDFE" w14:textId="77777777" w:rsidR="0089656D" w:rsidRPr="008D4276" w:rsidRDefault="0089656D" w:rsidP="00E63BA6">
      <w:pPr>
        <w:pStyle w:val="Heading3"/>
        <w:rPr>
          <w:rFonts w:cs="Calibri"/>
        </w:rPr>
      </w:pPr>
      <w:bookmarkStart w:id="73" w:name="Metabolism"/>
      <w:bookmarkEnd w:id="73"/>
      <w:r w:rsidRPr="008D4276">
        <w:rPr>
          <w:rFonts w:cs="Calibri"/>
        </w:rPr>
        <w:t>Metabolism</w:t>
      </w:r>
    </w:p>
    <w:p w14:paraId="7B97CCD1" w14:textId="77777777" w:rsidR="0089656D" w:rsidRPr="008D4276" w:rsidRDefault="0089656D" w:rsidP="00B36DBA">
      <w:pPr>
        <w:rPr>
          <w:rFonts w:asciiTheme="majorHAnsi" w:hAnsiTheme="majorHAnsi"/>
        </w:rPr>
      </w:pPr>
      <w:r w:rsidRPr="008D4276">
        <w:rPr>
          <w:rFonts w:asciiTheme="majorHAnsi" w:hAnsiTheme="majorHAnsi"/>
        </w:rPr>
        <w:t>Not applicable.</w:t>
      </w:r>
    </w:p>
    <w:p w14:paraId="09995C13" w14:textId="77777777" w:rsidR="0089656D" w:rsidRPr="008D4276" w:rsidRDefault="0089656D" w:rsidP="00E63BA6">
      <w:pPr>
        <w:pStyle w:val="Heading3"/>
        <w:rPr>
          <w:rFonts w:cs="Calibri"/>
        </w:rPr>
      </w:pPr>
      <w:bookmarkStart w:id="74" w:name="Excretion"/>
      <w:bookmarkEnd w:id="74"/>
      <w:r w:rsidRPr="008D4276">
        <w:rPr>
          <w:rFonts w:cs="Calibri"/>
        </w:rPr>
        <w:t>Excretion</w:t>
      </w:r>
    </w:p>
    <w:p w14:paraId="5B6DF8FA" w14:textId="4D647A7D"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 xml:space="preserve">The total clearance of </w:t>
      </w:r>
      <w:r w:rsidR="00F36DD0" w:rsidRPr="008D4276">
        <w:rPr>
          <w:rFonts w:asciiTheme="majorHAnsi" w:hAnsiTheme="majorHAnsi" w:cstheme="minorHAnsi"/>
        </w:rPr>
        <w:t>tocilizumab</w:t>
      </w:r>
      <w:r w:rsidRPr="008D4276">
        <w:rPr>
          <w:rFonts w:asciiTheme="majorHAnsi" w:hAnsiTheme="majorHAnsi" w:cstheme="minorHAnsi"/>
        </w:rPr>
        <w:t xml:space="preserve"> was concentration-dependent and is the sum of the linear clearance and the nonlinear clearance. The linear clearance was estimated as a parameter in the population pharmacokinetic analysis and was 12.5 mL/h in RA patients, 6.7 mL/h in GCA patients, 5.8</w:t>
      </w:r>
      <w:r w:rsidR="004D6592" w:rsidRPr="008D4276">
        <w:rPr>
          <w:rFonts w:asciiTheme="majorHAnsi" w:hAnsiTheme="majorHAnsi" w:cstheme="minorHAnsi"/>
        </w:rPr>
        <w:t> </w:t>
      </w:r>
      <w:r w:rsidRPr="008D4276">
        <w:rPr>
          <w:rFonts w:asciiTheme="majorHAnsi" w:hAnsiTheme="majorHAnsi" w:cstheme="minorHAnsi"/>
        </w:rPr>
        <w:t xml:space="preserve">mL/h in paediatric patients with pJIA and 5.7 mL/h in paediatric patients with sJIA. The concentration-dependent nonlinear clearance plays a major role at low </w:t>
      </w:r>
      <w:r w:rsidR="00F36DD0" w:rsidRPr="008D4276">
        <w:rPr>
          <w:rFonts w:asciiTheme="majorHAnsi" w:hAnsiTheme="majorHAnsi" w:cstheme="minorHAnsi"/>
        </w:rPr>
        <w:t>tocilizumab</w:t>
      </w:r>
      <w:r w:rsidRPr="008D4276">
        <w:rPr>
          <w:rFonts w:asciiTheme="majorHAnsi" w:hAnsiTheme="majorHAnsi" w:cstheme="minorHAnsi"/>
        </w:rPr>
        <w:t xml:space="preserve"> concentrations. Once the nonlinear clearance pathway is saturated, at higher </w:t>
      </w:r>
      <w:r w:rsidR="00F36DD0" w:rsidRPr="008D4276">
        <w:rPr>
          <w:rFonts w:asciiTheme="majorHAnsi" w:hAnsiTheme="majorHAnsi" w:cstheme="minorHAnsi"/>
        </w:rPr>
        <w:t>tocilizumab</w:t>
      </w:r>
      <w:r w:rsidRPr="008D4276">
        <w:rPr>
          <w:rFonts w:asciiTheme="majorHAnsi" w:hAnsiTheme="majorHAnsi" w:cstheme="minorHAnsi"/>
        </w:rPr>
        <w:t xml:space="preserve"> concentrations, clearance is mainly determined by the linear clearance. Due to dependence of total clearance on </w:t>
      </w:r>
      <w:r w:rsidR="00F36DD0" w:rsidRPr="008D4276">
        <w:rPr>
          <w:rFonts w:asciiTheme="majorHAnsi" w:hAnsiTheme="majorHAnsi" w:cstheme="minorHAnsi"/>
        </w:rPr>
        <w:t>tocilizumab</w:t>
      </w:r>
      <w:r w:rsidRPr="008D4276">
        <w:rPr>
          <w:rFonts w:asciiTheme="majorHAnsi" w:hAnsiTheme="majorHAnsi" w:cstheme="minorHAnsi"/>
        </w:rPr>
        <w:t xml:space="preserve"> serum concentrations,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 xml:space="preserve">of </w:t>
      </w:r>
      <w:r w:rsidR="00F36DD0" w:rsidRPr="008D4276">
        <w:rPr>
          <w:rFonts w:asciiTheme="majorHAnsi" w:hAnsiTheme="majorHAnsi" w:cstheme="minorHAnsi"/>
        </w:rPr>
        <w:t>tocilizumab</w:t>
      </w:r>
      <w:r w:rsidRPr="008D4276">
        <w:rPr>
          <w:rFonts w:asciiTheme="majorHAnsi" w:hAnsiTheme="majorHAnsi" w:cstheme="minorHAnsi"/>
        </w:rPr>
        <w:t xml:space="preserve"> is also concentration- dependent and can only be calculated at a given serum concentration level.</w:t>
      </w:r>
    </w:p>
    <w:p w14:paraId="24F571E1" w14:textId="22BBFDA8"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lastRenderedPageBreak/>
        <w:t xml:space="preserve">In RA patients, for intravenous administration, the concentration-dependent apparent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 xml:space="preserve">is up to 11 days for 4 mg/kg and 13 days for 8 mg/kg every 4 weeks in patients with RA at steady- state. For subcutaneous administration, the concentration-dependent apparent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 xml:space="preserve">is up to 13 days for 162 mg every week and 5 days for 162 mg every other week in patients with RA at steady-state. At high serum concentrations, when total clearance of </w:t>
      </w:r>
      <w:r w:rsidR="00F36DD0" w:rsidRPr="008D4276">
        <w:rPr>
          <w:rFonts w:asciiTheme="majorHAnsi" w:hAnsiTheme="majorHAnsi" w:cstheme="minorHAnsi"/>
        </w:rPr>
        <w:t>tocilizumab</w:t>
      </w:r>
      <w:r w:rsidRPr="008D4276">
        <w:rPr>
          <w:rFonts w:asciiTheme="majorHAnsi" w:hAnsiTheme="majorHAnsi" w:cstheme="minorHAnsi"/>
        </w:rPr>
        <w:t xml:space="preserve"> is dominated by linear clearance, a terminal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of approximately 21.5 days was derived from the population parameter estimates.</w:t>
      </w:r>
    </w:p>
    <w:p w14:paraId="771E7D28" w14:textId="6A150B6E"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 xml:space="preserve">In GCA patients, at steady state, the effective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 xml:space="preserve">of </w:t>
      </w:r>
      <w:r w:rsidR="00F36DD0" w:rsidRPr="008D4276">
        <w:rPr>
          <w:rFonts w:asciiTheme="majorHAnsi" w:hAnsiTheme="majorHAnsi" w:cstheme="minorHAnsi"/>
        </w:rPr>
        <w:t>tocilizumab</w:t>
      </w:r>
      <w:r w:rsidRPr="008D4276">
        <w:rPr>
          <w:rFonts w:asciiTheme="majorHAnsi" w:hAnsiTheme="majorHAnsi" w:cstheme="minorHAnsi"/>
        </w:rPr>
        <w:t xml:space="preserve"> varied between 18.3 and 18.9 days for 162 mg weekly regimen, and between 4.2 and 7.9 days for 162 mg every other week regimen. At high serum concentrations, when total clearance of </w:t>
      </w:r>
      <w:r w:rsidR="00F36DD0" w:rsidRPr="008D4276">
        <w:rPr>
          <w:rFonts w:asciiTheme="majorHAnsi" w:hAnsiTheme="majorHAnsi" w:cstheme="minorHAnsi"/>
        </w:rPr>
        <w:t>tocilizumab</w:t>
      </w:r>
      <w:r w:rsidRPr="008D4276">
        <w:rPr>
          <w:rFonts w:asciiTheme="majorHAnsi" w:hAnsiTheme="majorHAnsi" w:cstheme="minorHAnsi"/>
        </w:rPr>
        <w:t xml:space="preserve"> is dominated by linear clearance, an effective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of approximately 32 days was derived from the population parameter estimates.</w:t>
      </w:r>
    </w:p>
    <w:p w14:paraId="67B45F1D" w14:textId="44646C7A" w:rsidR="0089656D" w:rsidRPr="008D4276" w:rsidRDefault="0089656D" w:rsidP="0089656D">
      <w:pPr>
        <w:tabs>
          <w:tab w:val="left" w:pos="1728"/>
        </w:tabs>
        <w:spacing w:after="200"/>
        <w:rPr>
          <w:rFonts w:asciiTheme="majorHAnsi" w:hAnsiTheme="majorHAnsi" w:cstheme="minorHAnsi"/>
        </w:rPr>
      </w:pPr>
      <w:r w:rsidRPr="008D4276">
        <w:rPr>
          <w:rFonts w:asciiTheme="majorHAnsi" w:hAnsiTheme="majorHAnsi" w:cstheme="minorHAnsi"/>
        </w:rPr>
        <w:t xml:space="preserve">In adult patients with COVID-19, serum concentrations were below the limit of quantification after 35 days on average following one infusion of </w:t>
      </w:r>
      <w:r w:rsidR="00F36DD0" w:rsidRPr="008D4276">
        <w:rPr>
          <w:rFonts w:asciiTheme="majorHAnsi" w:hAnsiTheme="majorHAnsi" w:cstheme="minorHAnsi"/>
        </w:rPr>
        <w:t>tocilizumab</w:t>
      </w:r>
      <w:r w:rsidRPr="008D4276">
        <w:rPr>
          <w:rFonts w:asciiTheme="majorHAnsi" w:hAnsiTheme="majorHAnsi" w:cstheme="minorHAnsi"/>
        </w:rPr>
        <w:t xml:space="preserve"> IV 8 mg/kg. The average linear clearance in the population pharmacokinetic analysis was estimated to be 17.6 mL/h in patients with baseline ordinal scale category 3 (OS 3, patients requiring supplemental oxygen), 22.5 mL/h in patients with baseline OS 4 (patients requiring high-flow oxygen or non-invasive ventilation), 29</w:t>
      </w:r>
      <w:r w:rsidR="00B06420" w:rsidRPr="008D4276">
        <w:rPr>
          <w:rFonts w:asciiTheme="majorHAnsi" w:hAnsiTheme="majorHAnsi" w:cstheme="minorHAnsi"/>
        </w:rPr>
        <w:t> </w:t>
      </w:r>
      <w:r w:rsidRPr="008D4276">
        <w:rPr>
          <w:rFonts w:asciiTheme="majorHAnsi" w:hAnsiTheme="majorHAnsi" w:cstheme="minorHAnsi"/>
        </w:rPr>
        <w:t>mL/h in patients with baseline OS 5 (patients requiring mechanical ventilation), and 35.4 mL/h in patients with baseline OS 6 (patients requiring extracorporeal membrane oxygenation (ECMO) or mechanical ventilation and additional organ support).</w:t>
      </w:r>
    </w:p>
    <w:p w14:paraId="0DB1D7D8" w14:textId="00143049" w:rsidR="0089656D" w:rsidRPr="008D4276" w:rsidRDefault="0089656D" w:rsidP="00B06420">
      <w:pPr>
        <w:rPr>
          <w:rFonts w:asciiTheme="majorHAnsi" w:hAnsiTheme="majorHAnsi" w:cstheme="minorHAnsi"/>
        </w:rPr>
      </w:pPr>
      <w:r w:rsidRPr="008D4276">
        <w:rPr>
          <w:rFonts w:asciiTheme="majorHAnsi" w:hAnsiTheme="majorHAnsi" w:cstheme="minorHAnsi"/>
        </w:rPr>
        <w:t xml:space="preserve">In children with pJIA, the effective </w:t>
      </w:r>
      <w:r w:rsidR="00B06420" w:rsidRPr="008D4276">
        <w:rPr>
          <w:rFonts w:asciiTheme="majorHAnsi" w:hAnsiTheme="majorHAnsi" w:cstheme="minorHAnsi"/>
        </w:rPr>
        <w:t>t</w:t>
      </w:r>
      <w:r w:rsidR="00B06420" w:rsidRPr="008D4276">
        <w:rPr>
          <w:rFonts w:asciiTheme="majorHAnsi" w:hAnsiTheme="majorHAnsi" w:cstheme="minorHAnsi"/>
          <w:vertAlign w:val="subscript"/>
        </w:rPr>
        <w:t>1/2</w:t>
      </w:r>
      <w:r w:rsidR="00B06420" w:rsidRPr="008D4276">
        <w:rPr>
          <w:rFonts w:asciiTheme="majorHAnsi" w:hAnsiTheme="majorHAnsi" w:cstheme="minorHAnsi"/>
        </w:rPr>
        <w:t xml:space="preserve"> </w:t>
      </w:r>
      <w:r w:rsidRPr="008D4276">
        <w:rPr>
          <w:rFonts w:asciiTheme="majorHAnsi" w:hAnsiTheme="majorHAnsi" w:cstheme="minorHAnsi"/>
        </w:rPr>
        <w:t xml:space="preserve">of </w:t>
      </w:r>
      <w:r w:rsidR="00F36DD0" w:rsidRPr="008D4276">
        <w:rPr>
          <w:rFonts w:asciiTheme="majorHAnsi" w:hAnsiTheme="majorHAnsi" w:cstheme="minorHAnsi"/>
        </w:rPr>
        <w:t>tocilizumab</w:t>
      </w:r>
      <w:r w:rsidRPr="008D4276">
        <w:rPr>
          <w:rFonts w:asciiTheme="majorHAnsi" w:hAnsiTheme="majorHAnsi" w:cstheme="minorHAnsi"/>
        </w:rPr>
        <w:t xml:space="preserve"> in children with pJIA is up to 17 days for the two body weight categories (8 mg/kg for body weight </w:t>
      </w:r>
      <w:r w:rsidRPr="008D4276">
        <w:rPr>
          <w:rFonts w:asciiTheme="majorHAnsi" w:hAnsiTheme="majorHAnsi" w:cstheme="minorHAnsi" w:hint="eastAsia"/>
        </w:rPr>
        <w:t>≥</w:t>
      </w:r>
      <w:r w:rsidRPr="008D4276">
        <w:rPr>
          <w:rFonts w:asciiTheme="majorHAnsi" w:hAnsiTheme="majorHAnsi" w:cstheme="minorHAnsi"/>
        </w:rPr>
        <w:t xml:space="preserve"> 30 kg or 10 mg/kg for body weight &lt;</w:t>
      </w:r>
      <w:r w:rsidR="00B06420" w:rsidRPr="008D4276">
        <w:rPr>
          <w:rFonts w:asciiTheme="majorHAnsi" w:hAnsiTheme="majorHAnsi" w:cstheme="minorHAnsi"/>
        </w:rPr>
        <w:t> </w:t>
      </w:r>
      <w:r w:rsidRPr="008D4276">
        <w:rPr>
          <w:rFonts w:asciiTheme="majorHAnsi" w:hAnsiTheme="majorHAnsi" w:cstheme="minorHAnsi"/>
        </w:rPr>
        <w:t>30</w:t>
      </w:r>
      <w:r w:rsidR="00B06420" w:rsidRPr="008D4276">
        <w:rPr>
          <w:rFonts w:asciiTheme="majorHAnsi" w:hAnsiTheme="majorHAnsi" w:cstheme="minorHAnsi"/>
        </w:rPr>
        <w:t> </w:t>
      </w:r>
      <w:r w:rsidRPr="008D4276">
        <w:rPr>
          <w:rFonts w:asciiTheme="majorHAnsi" w:hAnsiTheme="majorHAnsi" w:cstheme="minorHAnsi"/>
        </w:rPr>
        <w:t xml:space="preserve">kg) during a dosing interval at steady state. After subcutaneous administration, the estimated effective t1/2 of </w:t>
      </w:r>
      <w:r w:rsidR="00F36DD0" w:rsidRPr="008D4276">
        <w:rPr>
          <w:rFonts w:asciiTheme="majorHAnsi" w:hAnsiTheme="majorHAnsi" w:cstheme="minorHAnsi"/>
        </w:rPr>
        <w:t>tocilizumab</w:t>
      </w:r>
      <w:r w:rsidRPr="008D4276">
        <w:rPr>
          <w:rFonts w:asciiTheme="majorHAnsi" w:hAnsiTheme="majorHAnsi" w:cstheme="minorHAnsi"/>
        </w:rPr>
        <w:t xml:space="preserve"> in pJIA patients is up to 10 days for the two body weight categories (Q2W regimen for body weight </w:t>
      </w:r>
      <w:r w:rsidRPr="008D4276">
        <w:rPr>
          <w:rFonts w:asciiTheme="majorHAnsi" w:hAnsiTheme="majorHAnsi" w:cstheme="minorHAnsi" w:hint="eastAsia"/>
        </w:rPr>
        <w:t>≥</w:t>
      </w:r>
      <w:r w:rsidRPr="008D4276">
        <w:rPr>
          <w:rFonts w:asciiTheme="majorHAnsi" w:hAnsiTheme="majorHAnsi" w:cstheme="minorHAnsi"/>
        </w:rPr>
        <w:t xml:space="preserve"> 30 kg or Q3W regimen for body weight below 30 kg) during a dosing interval at steady state.</w:t>
      </w:r>
    </w:p>
    <w:p w14:paraId="7AB23A0E" w14:textId="3B05DDAA" w:rsidR="0089656D" w:rsidRPr="008D4276" w:rsidRDefault="0089656D" w:rsidP="00B06420">
      <w:pPr>
        <w:rPr>
          <w:rFonts w:asciiTheme="majorHAnsi" w:hAnsiTheme="majorHAnsi" w:cstheme="minorHAnsi"/>
        </w:rPr>
      </w:pPr>
      <w:r w:rsidRPr="008D4276">
        <w:rPr>
          <w:rFonts w:asciiTheme="majorHAnsi" w:hAnsiTheme="majorHAnsi" w:cstheme="minorHAnsi"/>
        </w:rPr>
        <w:t xml:space="preserve">In children with sJIA, the effective </w:t>
      </w:r>
      <w:bookmarkStart w:id="75" w:name="_Hlk178862563"/>
      <w:r w:rsidRPr="008D4276">
        <w:rPr>
          <w:rFonts w:asciiTheme="majorHAnsi" w:hAnsiTheme="majorHAnsi" w:cstheme="minorHAnsi"/>
        </w:rPr>
        <w:t>t</w:t>
      </w:r>
      <w:r w:rsidRPr="008D4276">
        <w:rPr>
          <w:rFonts w:asciiTheme="majorHAnsi" w:hAnsiTheme="majorHAnsi" w:cstheme="minorHAnsi"/>
          <w:vertAlign w:val="subscript"/>
        </w:rPr>
        <w:t>1/2</w:t>
      </w:r>
      <w:r w:rsidRPr="008D4276">
        <w:rPr>
          <w:rFonts w:asciiTheme="majorHAnsi" w:hAnsiTheme="majorHAnsi" w:cstheme="minorHAnsi"/>
        </w:rPr>
        <w:t xml:space="preserve"> </w:t>
      </w:r>
      <w:bookmarkEnd w:id="75"/>
      <w:r w:rsidRPr="008D4276">
        <w:rPr>
          <w:rFonts w:asciiTheme="majorHAnsi" w:hAnsiTheme="majorHAnsi" w:cstheme="minorHAnsi"/>
        </w:rPr>
        <w:t xml:space="preserve">of IV </w:t>
      </w:r>
      <w:r w:rsidR="00F36DD0" w:rsidRPr="008D4276">
        <w:rPr>
          <w:rFonts w:asciiTheme="majorHAnsi" w:hAnsiTheme="majorHAnsi" w:cstheme="minorHAnsi"/>
        </w:rPr>
        <w:t>tocilizumab</w:t>
      </w:r>
      <w:r w:rsidRPr="008D4276">
        <w:rPr>
          <w:rFonts w:asciiTheme="majorHAnsi" w:hAnsiTheme="majorHAnsi" w:cstheme="minorHAnsi"/>
        </w:rPr>
        <w:t xml:space="preserve"> is up to 16 days for both the 12 mg/kg and 8</w:t>
      </w:r>
      <w:r w:rsidR="004D6592" w:rsidRPr="008D4276">
        <w:rPr>
          <w:rFonts w:asciiTheme="majorHAnsi" w:hAnsiTheme="majorHAnsi" w:cstheme="minorHAnsi"/>
        </w:rPr>
        <w:t> </w:t>
      </w:r>
      <w:r w:rsidRPr="008D4276">
        <w:rPr>
          <w:rFonts w:asciiTheme="majorHAnsi" w:hAnsiTheme="majorHAnsi" w:cstheme="minorHAnsi"/>
        </w:rPr>
        <w:t>mg/kg Q2W regimens during a dosing interval at steady-state. Following subcutaneous administration, the effective t</w:t>
      </w:r>
      <w:r w:rsidRPr="008D4276">
        <w:rPr>
          <w:rFonts w:asciiTheme="majorHAnsi" w:hAnsiTheme="majorHAnsi" w:cstheme="minorHAnsi"/>
          <w:vertAlign w:val="subscript"/>
        </w:rPr>
        <w:t>1/2</w:t>
      </w:r>
      <w:r w:rsidRPr="008D4276">
        <w:rPr>
          <w:rFonts w:asciiTheme="majorHAnsi" w:hAnsiTheme="majorHAnsi" w:cstheme="minorHAnsi"/>
        </w:rPr>
        <w:t xml:space="preserve"> of </w:t>
      </w:r>
      <w:r w:rsidR="00F36DD0" w:rsidRPr="008D4276">
        <w:rPr>
          <w:rFonts w:asciiTheme="majorHAnsi" w:hAnsiTheme="majorHAnsi" w:cstheme="minorHAnsi"/>
        </w:rPr>
        <w:t>tocilizumab</w:t>
      </w:r>
      <w:r w:rsidRPr="008D4276">
        <w:rPr>
          <w:rFonts w:asciiTheme="majorHAnsi" w:hAnsiTheme="majorHAnsi" w:cstheme="minorHAnsi"/>
        </w:rPr>
        <w:t xml:space="preserve"> in sJIA patients is up to 14 days for both the 162</w:t>
      </w:r>
      <w:r w:rsidR="00B06420" w:rsidRPr="008D4276">
        <w:rPr>
          <w:rFonts w:asciiTheme="majorHAnsi" w:hAnsiTheme="majorHAnsi" w:cstheme="minorHAnsi"/>
        </w:rPr>
        <w:t> </w:t>
      </w:r>
      <w:r w:rsidRPr="008D4276">
        <w:rPr>
          <w:rFonts w:asciiTheme="majorHAnsi" w:hAnsiTheme="majorHAnsi" w:cstheme="minorHAnsi"/>
        </w:rPr>
        <w:t>mg QW and Q2W regimens during a dosing interval at steady state.</w:t>
      </w:r>
    </w:p>
    <w:p w14:paraId="226A1AF5" w14:textId="77777777" w:rsidR="0089656D" w:rsidRPr="008D4276" w:rsidRDefault="0089656D" w:rsidP="00E63BA6">
      <w:pPr>
        <w:pStyle w:val="Heading3"/>
        <w:rPr>
          <w:rFonts w:cs="Calibri"/>
        </w:rPr>
      </w:pPr>
      <w:bookmarkStart w:id="76" w:name="Pharmacokinetics_in_Special_Populations"/>
      <w:bookmarkEnd w:id="76"/>
      <w:r w:rsidRPr="008D4276">
        <w:rPr>
          <w:rFonts w:cs="Calibri"/>
        </w:rPr>
        <w:t>Pharmacokinetics in Special Populations</w:t>
      </w:r>
    </w:p>
    <w:p w14:paraId="5B98E3D2" w14:textId="77777777" w:rsidR="0089656D" w:rsidRPr="008D4276" w:rsidRDefault="0089656D" w:rsidP="004D6592">
      <w:pPr>
        <w:pStyle w:val="Heading4"/>
        <w:rPr>
          <w:rFonts w:asciiTheme="majorHAnsi" w:hAnsiTheme="majorHAnsi"/>
        </w:rPr>
      </w:pPr>
      <w:bookmarkStart w:id="77" w:name="Hepatic_Impairment"/>
      <w:bookmarkEnd w:id="77"/>
      <w:r w:rsidRPr="008D4276">
        <w:rPr>
          <w:rFonts w:asciiTheme="majorHAnsi" w:hAnsiTheme="majorHAnsi"/>
        </w:rPr>
        <w:t>Hepatic Impairment</w:t>
      </w:r>
    </w:p>
    <w:p w14:paraId="1368DFAF" w14:textId="6B15A6DC" w:rsidR="0089656D" w:rsidRPr="008D4276" w:rsidRDefault="0089656D" w:rsidP="00B36DBA">
      <w:pPr>
        <w:rPr>
          <w:rFonts w:asciiTheme="majorHAnsi" w:hAnsiTheme="majorHAnsi"/>
          <w:i/>
        </w:rPr>
      </w:pPr>
      <w:r w:rsidRPr="008D4276">
        <w:rPr>
          <w:rFonts w:asciiTheme="majorHAnsi" w:hAnsiTheme="majorHAnsi"/>
        </w:rPr>
        <w:t xml:space="preserve">No formal study of the effect of hepatic impairment on the pharmacokinetics of </w:t>
      </w:r>
      <w:r w:rsidR="00F36DD0" w:rsidRPr="008D4276">
        <w:rPr>
          <w:rFonts w:asciiTheme="majorHAnsi" w:hAnsiTheme="majorHAnsi"/>
        </w:rPr>
        <w:t>tocilizumab</w:t>
      </w:r>
      <w:r w:rsidRPr="008D4276">
        <w:rPr>
          <w:rFonts w:asciiTheme="majorHAnsi" w:hAnsiTheme="majorHAnsi"/>
        </w:rPr>
        <w:t xml:space="preserve"> was conducted</w:t>
      </w:r>
      <w:r w:rsidRPr="008D4276">
        <w:rPr>
          <w:rFonts w:asciiTheme="majorHAnsi" w:hAnsiTheme="majorHAnsi"/>
          <w:i/>
        </w:rPr>
        <w:t>.</w:t>
      </w:r>
    </w:p>
    <w:p w14:paraId="395A01BC" w14:textId="77777777" w:rsidR="0089656D" w:rsidRPr="008D4276" w:rsidRDefault="0089656D" w:rsidP="004D6592">
      <w:pPr>
        <w:pStyle w:val="Heading4"/>
        <w:rPr>
          <w:rFonts w:asciiTheme="majorHAnsi" w:hAnsiTheme="majorHAnsi"/>
        </w:rPr>
      </w:pPr>
      <w:bookmarkStart w:id="78" w:name="Renal_Impairment"/>
      <w:bookmarkEnd w:id="78"/>
      <w:r w:rsidRPr="008D4276">
        <w:rPr>
          <w:rFonts w:asciiTheme="majorHAnsi" w:hAnsiTheme="majorHAnsi"/>
        </w:rPr>
        <w:t>Renal Impairment</w:t>
      </w:r>
    </w:p>
    <w:p w14:paraId="4D0155E0" w14:textId="51E59E3D" w:rsidR="0089656D" w:rsidRPr="008D4276" w:rsidRDefault="0089656D" w:rsidP="00B36DBA">
      <w:pPr>
        <w:rPr>
          <w:rFonts w:asciiTheme="majorHAnsi" w:hAnsiTheme="majorHAnsi"/>
        </w:rPr>
      </w:pPr>
      <w:r w:rsidRPr="008D4276">
        <w:rPr>
          <w:rFonts w:asciiTheme="majorHAnsi" w:hAnsiTheme="majorHAnsi"/>
        </w:rPr>
        <w:t xml:space="preserve">No formal study of the effect of renal impairment on the pharmacokinetics of </w:t>
      </w:r>
      <w:r w:rsidR="00F36DD0" w:rsidRPr="008D4276">
        <w:rPr>
          <w:rFonts w:asciiTheme="majorHAnsi" w:hAnsiTheme="majorHAnsi"/>
        </w:rPr>
        <w:t>tocilizumab</w:t>
      </w:r>
      <w:r w:rsidRPr="008D4276">
        <w:rPr>
          <w:rFonts w:asciiTheme="majorHAnsi" w:hAnsiTheme="majorHAnsi"/>
        </w:rPr>
        <w:t xml:space="preserve"> was conducted. Most of the patients in the RA and GCA studies in the population pharmacokinetic analysis had normal renal function or mild renal impairment. Mild renal impairment (estimated creatinine clearance based on Cockcroft-Gault formula) did not impact the pharmacokinetics of </w:t>
      </w:r>
      <w:r w:rsidR="00F36DD0" w:rsidRPr="008D4276">
        <w:rPr>
          <w:rFonts w:asciiTheme="majorHAnsi" w:hAnsiTheme="majorHAnsi"/>
        </w:rPr>
        <w:t>tocilizumab</w:t>
      </w:r>
      <w:r w:rsidRPr="008D4276">
        <w:rPr>
          <w:rFonts w:asciiTheme="majorHAnsi" w:hAnsiTheme="majorHAnsi"/>
        </w:rPr>
        <w:t xml:space="preserve">. </w:t>
      </w:r>
      <w:r w:rsidR="00F36DD0" w:rsidRPr="008D4276">
        <w:rPr>
          <w:rFonts w:asciiTheme="majorHAnsi" w:hAnsiTheme="majorHAnsi"/>
        </w:rPr>
        <w:t>Tocilizumab</w:t>
      </w:r>
      <w:r w:rsidRPr="008D4276">
        <w:rPr>
          <w:rFonts w:asciiTheme="majorHAnsi" w:hAnsiTheme="majorHAnsi"/>
        </w:rPr>
        <w:t xml:space="preserve"> has not been studied in patients with moderate to severe renal </w:t>
      </w:r>
      <w:r w:rsidRPr="008D4276">
        <w:rPr>
          <w:rFonts w:asciiTheme="majorHAnsi" w:hAnsiTheme="majorHAnsi"/>
        </w:rPr>
        <w:lastRenderedPageBreak/>
        <w:t>impairment. (see section 5.1 Pharmacodynamic Properties, Clinical Trials and section 4.2 Dose and Method of Administration).</w:t>
      </w:r>
    </w:p>
    <w:p w14:paraId="47483E47" w14:textId="70F4620C" w:rsidR="0089656D" w:rsidRPr="008D4276" w:rsidRDefault="0089656D" w:rsidP="00B36DBA">
      <w:pPr>
        <w:rPr>
          <w:rFonts w:asciiTheme="majorHAnsi" w:hAnsiTheme="majorHAnsi"/>
        </w:rPr>
      </w:pPr>
      <w:r w:rsidRPr="008D4276">
        <w:rPr>
          <w:rFonts w:asciiTheme="majorHAnsi" w:hAnsiTheme="majorHAnsi"/>
        </w:rPr>
        <w:t xml:space="preserve">Approximately one-third of the patients in the Study X (GiACTA) had moderate renal impairment at baseline (estimated creatinine clearance of 30-59 mL/min). No impact on </w:t>
      </w:r>
      <w:r w:rsidR="00F36DD0" w:rsidRPr="008D4276">
        <w:rPr>
          <w:rFonts w:asciiTheme="majorHAnsi" w:hAnsiTheme="majorHAnsi"/>
        </w:rPr>
        <w:t>tocilizumab</w:t>
      </w:r>
      <w:r w:rsidRPr="008D4276">
        <w:rPr>
          <w:rFonts w:asciiTheme="majorHAnsi" w:hAnsiTheme="majorHAnsi"/>
        </w:rPr>
        <w:t xml:space="preserve"> exposure was noted in these patients.</w:t>
      </w:r>
    </w:p>
    <w:p w14:paraId="1FF75BE0" w14:textId="77777777" w:rsidR="00E63BA6" w:rsidRPr="008D4276" w:rsidRDefault="0089656D" w:rsidP="00B36DBA">
      <w:pPr>
        <w:rPr>
          <w:rFonts w:asciiTheme="majorHAnsi" w:hAnsiTheme="majorHAnsi"/>
        </w:rPr>
      </w:pPr>
      <w:r w:rsidRPr="008D4276">
        <w:rPr>
          <w:rFonts w:asciiTheme="majorHAnsi" w:hAnsiTheme="majorHAnsi"/>
        </w:rPr>
        <w:t>No dose adjustment is required in patients with mild or moderate renal impairment.</w:t>
      </w:r>
    </w:p>
    <w:p w14:paraId="398A03B5" w14:textId="6F8C5ECA" w:rsidR="0089656D" w:rsidRPr="008D4276" w:rsidRDefault="0089656D" w:rsidP="004D6592">
      <w:pPr>
        <w:pStyle w:val="Heading4"/>
        <w:rPr>
          <w:rFonts w:asciiTheme="majorHAnsi" w:hAnsiTheme="majorHAnsi"/>
        </w:rPr>
      </w:pPr>
      <w:bookmarkStart w:id="79" w:name="Other_special_populations"/>
      <w:bookmarkEnd w:id="79"/>
      <w:r w:rsidRPr="008D4276">
        <w:rPr>
          <w:rFonts w:asciiTheme="majorHAnsi" w:hAnsiTheme="majorHAnsi"/>
        </w:rPr>
        <w:t>Other special populations</w:t>
      </w:r>
    </w:p>
    <w:p w14:paraId="7EBD0F64" w14:textId="6A626908" w:rsidR="0089656D" w:rsidRPr="008D4276" w:rsidRDefault="0089656D" w:rsidP="00B36DBA">
      <w:pPr>
        <w:rPr>
          <w:rFonts w:asciiTheme="majorHAnsi" w:hAnsiTheme="majorHAnsi"/>
        </w:rPr>
      </w:pPr>
      <w:r w:rsidRPr="008D4276">
        <w:rPr>
          <w:rFonts w:asciiTheme="majorHAnsi" w:hAnsiTheme="majorHAnsi"/>
        </w:rPr>
        <w:t xml:space="preserve">Population pharmacokinetics in adult RA, GCA and COVID-19 patients showed that age, sex and race did not affect the pharmacokinetics of </w:t>
      </w:r>
      <w:r w:rsidR="00F36DD0" w:rsidRPr="008D4276">
        <w:rPr>
          <w:rFonts w:asciiTheme="majorHAnsi" w:hAnsiTheme="majorHAnsi"/>
        </w:rPr>
        <w:t>tocilizumab</w:t>
      </w:r>
      <w:r w:rsidRPr="008D4276">
        <w:rPr>
          <w:rFonts w:asciiTheme="majorHAnsi" w:hAnsiTheme="majorHAnsi"/>
        </w:rPr>
        <w:t>. No dose adjustment is necessary for these demographic factors.</w:t>
      </w:r>
    </w:p>
    <w:p w14:paraId="44C9E0DE" w14:textId="62EA8F73" w:rsidR="00B325DB" w:rsidRPr="0002092D" w:rsidRDefault="000D168C" w:rsidP="00B325DB">
      <w:pPr>
        <w:pStyle w:val="Heading3"/>
      </w:pPr>
      <w:r w:rsidRPr="0002092D">
        <w:t xml:space="preserve">Pharmacokinetic </w:t>
      </w:r>
      <w:r w:rsidR="00B325DB" w:rsidRPr="0002092D">
        <w:t>Comparability of ACTERMA</w:t>
      </w:r>
      <w:r w:rsidR="00B325DB" w:rsidRPr="0002092D">
        <w:rPr>
          <w:vertAlign w:val="superscript"/>
        </w:rPr>
        <w:t>®</w:t>
      </w:r>
      <w:r w:rsidR="00B325DB" w:rsidRPr="0002092D">
        <w:t xml:space="preserve"> and AV</w:t>
      </w:r>
      <w:r w:rsidR="001A1D1C" w:rsidRPr="0002092D">
        <w:t>T</w:t>
      </w:r>
      <w:r w:rsidR="00B325DB" w:rsidRPr="0002092D">
        <w:t>OZMA</w:t>
      </w:r>
      <w:r w:rsidR="00B325DB" w:rsidRPr="0002092D">
        <w:rPr>
          <w:vertAlign w:val="superscript"/>
        </w:rPr>
        <w:t>®</w:t>
      </w:r>
      <w:r w:rsidR="00B325DB" w:rsidRPr="0002092D">
        <w:t xml:space="preserve"> </w:t>
      </w:r>
    </w:p>
    <w:p w14:paraId="35AD189A" w14:textId="7FC0131A" w:rsidR="00FA2337" w:rsidRPr="008D4276" w:rsidRDefault="00B325DB" w:rsidP="00161B2A">
      <w:pPr>
        <w:rPr>
          <w:rFonts w:asciiTheme="majorHAnsi" w:hAnsiTheme="majorHAnsi" w:cstheme="minorHAnsi"/>
          <w:color w:val="000000"/>
        </w:rPr>
      </w:pPr>
      <w:r w:rsidRPr="008D4276">
        <w:rPr>
          <w:rFonts w:asciiTheme="majorHAnsi" w:hAnsiTheme="majorHAnsi" w:cstheme="minorHAnsi"/>
        </w:rPr>
        <w:t xml:space="preserve">The Pharmacokinetic comparability between AVTOZMA and ACTEMRA was demonstrated </w:t>
      </w:r>
      <w:r w:rsidR="007B77EC" w:rsidRPr="008D4276">
        <w:rPr>
          <w:rFonts w:asciiTheme="majorHAnsi" w:hAnsiTheme="majorHAnsi" w:cstheme="minorHAnsi"/>
        </w:rPr>
        <w:t>in clinical</w:t>
      </w:r>
      <w:r w:rsidR="000D168C" w:rsidRPr="008D4276">
        <w:rPr>
          <w:rFonts w:asciiTheme="majorHAnsi" w:hAnsiTheme="majorHAnsi" w:cstheme="minorHAnsi"/>
        </w:rPr>
        <w:t xml:space="preserve"> </w:t>
      </w:r>
      <w:r w:rsidR="00F557A0" w:rsidRPr="008D4276">
        <w:rPr>
          <w:rFonts w:asciiTheme="majorHAnsi" w:hAnsiTheme="majorHAnsi" w:cstheme="minorHAnsi"/>
        </w:rPr>
        <w:t xml:space="preserve">Phase 1 </w:t>
      </w:r>
      <w:r w:rsidRPr="008D4276">
        <w:rPr>
          <w:rFonts w:asciiTheme="majorHAnsi" w:hAnsiTheme="majorHAnsi" w:cstheme="minorHAnsi"/>
        </w:rPr>
        <w:t xml:space="preserve">studies </w:t>
      </w:r>
      <w:r w:rsidRPr="008D4276">
        <w:rPr>
          <w:rFonts w:asciiTheme="majorHAnsi" w:hAnsiTheme="majorHAnsi" w:cstheme="minorHAnsi"/>
          <w:color w:val="000000"/>
        </w:rPr>
        <w:t>CT-P47 1.1</w:t>
      </w:r>
      <w:r w:rsidR="00FB3518" w:rsidRPr="008D4276">
        <w:rPr>
          <w:rFonts w:asciiTheme="majorHAnsi" w:hAnsiTheme="majorHAnsi" w:cstheme="minorHAnsi"/>
          <w:color w:val="000000"/>
        </w:rPr>
        <w:t xml:space="preserve"> </w:t>
      </w:r>
      <w:r w:rsidR="00FB3518">
        <w:rPr>
          <w:rFonts w:asciiTheme="majorHAnsi" w:hAnsiTheme="majorHAnsi" w:cstheme="minorHAnsi" w:hint="eastAsia"/>
          <w:color w:val="000000"/>
          <w:lang w:eastAsia="ko-KR"/>
        </w:rPr>
        <w:t>(</w:t>
      </w:r>
      <w:r w:rsidR="00F6246C">
        <w:rPr>
          <w:rFonts w:asciiTheme="majorHAnsi" w:hAnsiTheme="majorHAnsi" w:cstheme="minorHAnsi" w:hint="eastAsia"/>
          <w:color w:val="000000"/>
          <w:lang w:eastAsia="ko-KR"/>
        </w:rPr>
        <w:t xml:space="preserve">administered by </w:t>
      </w:r>
      <w:r w:rsidR="00FB3518">
        <w:rPr>
          <w:rFonts w:asciiTheme="majorHAnsi" w:hAnsiTheme="majorHAnsi" w:cstheme="minorHAnsi" w:hint="eastAsia"/>
          <w:color w:val="000000"/>
          <w:lang w:eastAsia="ko-KR"/>
        </w:rPr>
        <w:t>SC Injection formulation</w:t>
      </w:r>
      <w:r w:rsidR="008814A1">
        <w:rPr>
          <w:rFonts w:asciiTheme="majorHAnsi" w:hAnsiTheme="majorHAnsi" w:cstheme="minorHAnsi" w:hint="eastAsia"/>
          <w:color w:val="000000"/>
          <w:lang w:eastAsia="ko-KR"/>
        </w:rPr>
        <w:t xml:space="preserve"> in healthy subjects</w:t>
      </w:r>
      <w:r w:rsidR="00FB3518">
        <w:rPr>
          <w:rFonts w:asciiTheme="majorHAnsi" w:hAnsiTheme="majorHAnsi" w:cstheme="minorHAnsi" w:hint="eastAsia"/>
          <w:color w:val="000000"/>
          <w:lang w:eastAsia="ko-KR"/>
        </w:rPr>
        <w:t>)</w:t>
      </w:r>
      <w:r w:rsidRPr="008D4276">
        <w:rPr>
          <w:rFonts w:asciiTheme="majorHAnsi" w:hAnsiTheme="majorHAnsi" w:cstheme="minorHAnsi"/>
          <w:color w:val="000000"/>
        </w:rPr>
        <w:t>, CT</w:t>
      </w:r>
      <w:r w:rsidR="005F3DBF">
        <w:rPr>
          <w:rFonts w:asciiTheme="majorHAnsi" w:hAnsiTheme="majorHAnsi" w:cstheme="minorHAnsi" w:hint="eastAsia"/>
          <w:color w:val="000000"/>
          <w:lang w:eastAsia="ko-KR"/>
        </w:rPr>
        <w:t>-</w:t>
      </w:r>
      <w:r w:rsidRPr="008D4276">
        <w:rPr>
          <w:rFonts w:asciiTheme="majorHAnsi" w:hAnsiTheme="majorHAnsi" w:cstheme="minorHAnsi"/>
          <w:color w:val="000000"/>
        </w:rPr>
        <w:t>P47 1.2</w:t>
      </w:r>
      <w:r w:rsidR="000D168C" w:rsidRPr="008D4276">
        <w:rPr>
          <w:rFonts w:asciiTheme="majorHAnsi" w:hAnsiTheme="majorHAnsi" w:cstheme="minorHAnsi"/>
          <w:color w:val="000000"/>
        </w:rPr>
        <w:t xml:space="preserve"> </w:t>
      </w:r>
      <w:r w:rsidR="00FA2337" w:rsidRPr="008D4276">
        <w:rPr>
          <w:rFonts w:asciiTheme="majorHAnsi" w:hAnsiTheme="majorHAnsi" w:cstheme="minorHAnsi"/>
        </w:rPr>
        <w:t>(</w:t>
      </w:r>
      <w:r w:rsidR="00F6246C">
        <w:rPr>
          <w:rFonts w:asciiTheme="majorHAnsi" w:hAnsiTheme="majorHAnsi" w:cstheme="minorHAnsi" w:hint="eastAsia"/>
          <w:color w:val="000000"/>
          <w:lang w:eastAsia="ko-KR"/>
        </w:rPr>
        <w:t>administered by</w:t>
      </w:r>
      <w:r w:rsidR="00FB3518">
        <w:rPr>
          <w:rFonts w:asciiTheme="majorHAnsi" w:hAnsiTheme="majorHAnsi" w:cstheme="minorHAnsi" w:hint="eastAsia"/>
          <w:color w:val="000000"/>
          <w:lang w:eastAsia="ko-KR"/>
        </w:rPr>
        <w:t xml:space="preserve"> IV infusion formulation</w:t>
      </w:r>
      <w:r w:rsidR="00FB3518" w:rsidRPr="008D4276">
        <w:rPr>
          <w:rFonts w:asciiTheme="majorHAnsi" w:hAnsiTheme="majorHAnsi" w:cstheme="minorHAnsi"/>
          <w:color w:val="000000"/>
        </w:rPr>
        <w:t>,</w:t>
      </w:r>
      <w:r w:rsidR="00252122">
        <w:rPr>
          <w:rFonts w:asciiTheme="majorHAnsi" w:hAnsiTheme="majorHAnsi" w:cstheme="minorHAnsi" w:hint="eastAsia"/>
          <w:color w:val="000000"/>
          <w:lang w:eastAsia="ko-KR"/>
        </w:rPr>
        <w:t xml:space="preserve"> </w:t>
      </w:r>
      <w:r w:rsidR="00FA2337" w:rsidRPr="008D4276">
        <w:rPr>
          <w:rFonts w:asciiTheme="majorHAnsi" w:hAnsiTheme="majorHAnsi" w:cstheme="minorHAnsi"/>
        </w:rPr>
        <w:t xml:space="preserve">in healthy subjects) </w:t>
      </w:r>
      <w:r w:rsidR="008C50E3" w:rsidRPr="008D4276">
        <w:rPr>
          <w:rStyle w:val="cf01"/>
          <w:rFonts w:asciiTheme="majorHAnsi" w:hAnsiTheme="majorHAnsi" w:cstheme="minorHAnsi" w:hint="default"/>
          <w:sz w:val="22"/>
          <w:szCs w:val="22"/>
        </w:rPr>
        <w:t>The serum concentration of tocilizumab was evaluated in the phase 3 study CT-P47 3.1 (</w:t>
      </w:r>
      <w:r w:rsidR="00C05C7A">
        <w:rPr>
          <w:rStyle w:val="cf01"/>
          <w:rFonts w:asciiTheme="majorHAnsi" w:hAnsiTheme="majorHAnsi" w:cstheme="minorHAnsi" w:hint="default"/>
          <w:sz w:val="22"/>
          <w:szCs w:val="22"/>
          <w:lang w:eastAsia="ko-KR"/>
        </w:rPr>
        <w:t xml:space="preserve">administered by IV </w:t>
      </w:r>
      <w:r w:rsidR="00F97BA0">
        <w:rPr>
          <w:rStyle w:val="cf01"/>
          <w:rFonts w:asciiTheme="majorHAnsi" w:hAnsiTheme="majorHAnsi" w:cstheme="minorHAnsi" w:hint="default"/>
          <w:sz w:val="22"/>
          <w:szCs w:val="22"/>
          <w:lang w:eastAsia="ko-KR"/>
        </w:rPr>
        <w:t xml:space="preserve">infusion </w:t>
      </w:r>
      <w:r w:rsidR="00C05C7A">
        <w:rPr>
          <w:rStyle w:val="cf01"/>
          <w:rFonts w:asciiTheme="majorHAnsi" w:hAnsiTheme="majorHAnsi" w:cstheme="minorHAnsi" w:hint="default"/>
          <w:sz w:val="22"/>
          <w:szCs w:val="22"/>
          <w:lang w:eastAsia="ko-KR"/>
        </w:rPr>
        <w:t>formulation i</w:t>
      </w:r>
      <w:r w:rsidR="008C50E3" w:rsidRPr="008D4276">
        <w:rPr>
          <w:rStyle w:val="cf01"/>
          <w:rFonts w:asciiTheme="majorHAnsi" w:hAnsiTheme="majorHAnsi" w:cstheme="minorHAnsi" w:hint="default"/>
          <w:sz w:val="22"/>
          <w:szCs w:val="22"/>
        </w:rPr>
        <w:t>n patients with moderate to severe RA).</w:t>
      </w:r>
    </w:p>
    <w:p w14:paraId="7EF081B1" w14:textId="6940D167" w:rsidR="00B325DB" w:rsidRPr="008D4276" w:rsidRDefault="00B325DB" w:rsidP="00161B2A">
      <w:pPr>
        <w:rPr>
          <w:rFonts w:asciiTheme="majorHAnsi" w:hAnsiTheme="majorHAnsi" w:cstheme="minorHAnsi"/>
          <w:color w:val="000000"/>
        </w:rPr>
      </w:pPr>
      <w:r w:rsidRPr="008D4276">
        <w:rPr>
          <w:rFonts w:asciiTheme="majorHAnsi" w:hAnsiTheme="majorHAnsi" w:cstheme="minorHAnsi"/>
          <w:color w:val="000000"/>
        </w:rPr>
        <w:t>In Studies CT-P47 1.1</w:t>
      </w:r>
      <w:r w:rsidR="00EB1E77">
        <w:rPr>
          <w:rFonts w:asciiTheme="majorHAnsi" w:hAnsiTheme="majorHAnsi" w:cstheme="minorHAnsi" w:hint="eastAsia"/>
          <w:color w:val="000000"/>
          <w:lang w:eastAsia="ko-KR"/>
        </w:rPr>
        <w:t xml:space="preserve"> </w:t>
      </w:r>
      <w:r w:rsidRPr="008D4276">
        <w:rPr>
          <w:rFonts w:asciiTheme="majorHAnsi" w:hAnsiTheme="majorHAnsi" w:cstheme="minorHAnsi"/>
          <w:color w:val="000000"/>
        </w:rPr>
        <w:t xml:space="preserve">and 1.2 the PK similarity of </w:t>
      </w:r>
      <w:r w:rsidR="000D168C" w:rsidRPr="008D4276">
        <w:rPr>
          <w:rFonts w:asciiTheme="majorHAnsi" w:hAnsiTheme="majorHAnsi" w:cstheme="minorHAnsi"/>
          <w:color w:val="000000"/>
        </w:rPr>
        <w:t xml:space="preserve">AVTOZMA </w:t>
      </w:r>
      <w:r w:rsidRPr="008D4276">
        <w:rPr>
          <w:rFonts w:asciiTheme="majorHAnsi" w:hAnsiTheme="majorHAnsi" w:cstheme="minorHAnsi"/>
          <w:color w:val="000000"/>
        </w:rPr>
        <w:t>with the reference products has been established with the 90% CIs of ratio of geometric LS means for the primary PK parameters (AUC</w:t>
      </w:r>
      <w:r w:rsidRPr="008D4276">
        <w:rPr>
          <w:rFonts w:asciiTheme="majorHAnsi" w:hAnsiTheme="majorHAnsi" w:cstheme="minorHAnsi"/>
          <w:color w:val="000000"/>
          <w:vertAlign w:val="subscript"/>
        </w:rPr>
        <w:t>0-inf</w:t>
      </w:r>
      <w:r w:rsidRPr="008D4276">
        <w:rPr>
          <w:rFonts w:asciiTheme="majorHAnsi" w:hAnsiTheme="majorHAnsi" w:cstheme="minorHAnsi"/>
          <w:color w:val="000000"/>
        </w:rPr>
        <w:t>, AUC</w:t>
      </w:r>
      <w:r w:rsidRPr="008D4276">
        <w:rPr>
          <w:rFonts w:asciiTheme="majorHAnsi" w:hAnsiTheme="majorHAnsi" w:cstheme="minorHAnsi"/>
          <w:color w:val="000000"/>
          <w:vertAlign w:val="subscript"/>
        </w:rPr>
        <w:t>0-last</w:t>
      </w:r>
      <w:r w:rsidRPr="008D4276">
        <w:rPr>
          <w:rFonts w:asciiTheme="majorHAnsi" w:hAnsiTheme="majorHAnsi" w:cstheme="minorHAnsi"/>
          <w:color w:val="000000"/>
        </w:rPr>
        <w:t>, and C</w:t>
      </w:r>
      <w:r w:rsidRPr="008D4276">
        <w:rPr>
          <w:rFonts w:asciiTheme="majorHAnsi" w:hAnsiTheme="majorHAnsi" w:cstheme="minorHAnsi"/>
          <w:color w:val="000000"/>
          <w:vertAlign w:val="subscript"/>
        </w:rPr>
        <w:t>max</w:t>
      </w:r>
      <w:r w:rsidRPr="008D4276">
        <w:rPr>
          <w:rFonts w:asciiTheme="majorHAnsi" w:hAnsiTheme="majorHAnsi" w:cstheme="minorHAnsi"/>
          <w:color w:val="000000"/>
        </w:rPr>
        <w:t xml:space="preserve">) all contained within the equivalence margin of 80% to 125%, and the secondary PK parameters were similar among the treatment groups. </w:t>
      </w:r>
    </w:p>
    <w:p w14:paraId="67C4CD20" w14:textId="109544AE" w:rsidR="00B325DB" w:rsidRPr="008D4276" w:rsidRDefault="00DE7130" w:rsidP="00161B2A">
      <w:pPr>
        <w:rPr>
          <w:rFonts w:asciiTheme="majorHAnsi" w:hAnsiTheme="majorHAnsi" w:cstheme="minorHAnsi"/>
        </w:rPr>
      </w:pPr>
      <w:r w:rsidRPr="008D4276">
        <w:rPr>
          <w:rFonts w:asciiTheme="majorHAnsi" w:hAnsiTheme="majorHAnsi" w:cstheme="minorHAnsi"/>
          <w:color w:val="000000"/>
        </w:rPr>
        <w:t>Further i</w:t>
      </w:r>
      <w:r w:rsidR="00B325DB" w:rsidRPr="008D4276">
        <w:rPr>
          <w:rFonts w:asciiTheme="majorHAnsi" w:hAnsiTheme="majorHAnsi" w:cstheme="minorHAnsi"/>
          <w:color w:val="000000"/>
        </w:rPr>
        <w:t xml:space="preserve">n Study CT-P47 3.1 in RA patients, serum concentrations were comparable between the treatment groups during Treatment Period. This PK result further adds to the totality of evidence to support demonstration of </w:t>
      </w:r>
      <w:r w:rsidR="000D168C" w:rsidRPr="008D4276">
        <w:rPr>
          <w:rFonts w:asciiTheme="majorHAnsi" w:hAnsiTheme="majorHAnsi" w:cstheme="minorHAnsi"/>
          <w:color w:val="000000"/>
        </w:rPr>
        <w:t>biosimilarity</w:t>
      </w:r>
      <w:r w:rsidR="00B325DB" w:rsidRPr="008D4276">
        <w:rPr>
          <w:rFonts w:asciiTheme="majorHAnsi" w:hAnsiTheme="majorHAnsi" w:cstheme="minorHAnsi"/>
          <w:color w:val="000000"/>
        </w:rPr>
        <w:t xml:space="preserve"> of </w:t>
      </w:r>
      <w:r w:rsidR="001A1D1C" w:rsidRPr="008D4276">
        <w:rPr>
          <w:rFonts w:asciiTheme="majorHAnsi" w:hAnsiTheme="majorHAnsi" w:cstheme="minorHAnsi"/>
          <w:color w:val="000000"/>
        </w:rPr>
        <w:t>ACTERMA</w:t>
      </w:r>
      <w:r w:rsidR="00E96F6D" w:rsidRPr="008D4276">
        <w:rPr>
          <w:rFonts w:asciiTheme="majorHAnsi" w:hAnsiTheme="majorHAnsi" w:cstheme="minorHAnsi"/>
          <w:color w:val="000000"/>
          <w:vertAlign w:val="superscript"/>
          <w:lang w:eastAsia="ko-KR"/>
        </w:rPr>
        <w:t>®</w:t>
      </w:r>
      <w:r w:rsidR="001A1D1C" w:rsidRPr="008D4276">
        <w:rPr>
          <w:rFonts w:asciiTheme="majorHAnsi" w:hAnsiTheme="majorHAnsi" w:cstheme="minorHAnsi"/>
          <w:color w:val="000000"/>
        </w:rPr>
        <w:t xml:space="preserve"> and AVTOZMA</w:t>
      </w:r>
      <w:r w:rsidR="00E96F6D" w:rsidRPr="008D4276">
        <w:rPr>
          <w:rFonts w:asciiTheme="majorHAnsi" w:hAnsiTheme="majorHAnsi" w:cstheme="minorHAnsi"/>
          <w:color w:val="000000"/>
          <w:vertAlign w:val="superscript"/>
          <w:lang w:eastAsia="ko-KR"/>
        </w:rPr>
        <w:t>®</w:t>
      </w:r>
      <w:r w:rsidR="00E96F6D">
        <w:rPr>
          <w:rFonts w:asciiTheme="majorHAnsi" w:hAnsiTheme="majorHAnsi" w:cstheme="minorHAnsi" w:hint="eastAsia"/>
          <w:color w:val="000000"/>
          <w:lang w:eastAsia="ko-KR"/>
        </w:rPr>
        <w:t>.</w:t>
      </w:r>
    </w:p>
    <w:p w14:paraId="41FC9ED4" w14:textId="4E7FA625" w:rsidR="00B325DB" w:rsidRPr="008D4276" w:rsidRDefault="00B325DB" w:rsidP="00161B2A">
      <w:pPr>
        <w:rPr>
          <w:rFonts w:asciiTheme="majorHAnsi" w:hAnsiTheme="majorHAnsi" w:cstheme="minorHAnsi"/>
          <w:color w:val="000000"/>
        </w:rPr>
      </w:pPr>
      <w:r w:rsidRPr="008D4276">
        <w:rPr>
          <w:rFonts w:asciiTheme="majorHAnsi" w:hAnsiTheme="majorHAnsi" w:cstheme="minorHAnsi"/>
          <w:color w:val="000000"/>
        </w:rPr>
        <w:t xml:space="preserve">Overall, the clinical data from Studies CT-P47 1.1, CT-P47 1.2 and CT-P47 3.1 are considered sufficient to show that there is no clinically meaningful PK difference between </w:t>
      </w:r>
      <w:r w:rsidR="000D168C" w:rsidRPr="008D4276">
        <w:rPr>
          <w:rFonts w:asciiTheme="majorHAnsi" w:hAnsiTheme="majorHAnsi" w:cstheme="minorHAnsi"/>
          <w:color w:val="000000"/>
        </w:rPr>
        <w:t>AVTOZMA and ACTERMA</w:t>
      </w:r>
      <w:r w:rsidRPr="008D4276">
        <w:rPr>
          <w:rFonts w:asciiTheme="majorHAnsi" w:hAnsiTheme="majorHAnsi" w:cstheme="minorHAnsi"/>
          <w:color w:val="000000"/>
        </w:rPr>
        <w:t xml:space="preserve"> in both IV and SC </w:t>
      </w:r>
      <w:r w:rsidR="00D8315C" w:rsidRPr="008D4276">
        <w:rPr>
          <w:rFonts w:asciiTheme="majorHAnsi" w:hAnsiTheme="majorHAnsi" w:cstheme="minorHAnsi"/>
          <w:color w:val="000000"/>
        </w:rPr>
        <w:t>formulations.</w:t>
      </w:r>
      <w:r w:rsidRPr="008D4276">
        <w:rPr>
          <w:rFonts w:asciiTheme="majorHAnsi" w:hAnsiTheme="majorHAnsi" w:cstheme="minorHAnsi"/>
          <w:color w:val="000000"/>
        </w:rPr>
        <w:t xml:space="preserve"> </w:t>
      </w:r>
    </w:p>
    <w:p w14:paraId="747278A6" w14:textId="77777777" w:rsidR="001A3992" w:rsidRPr="008D4276" w:rsidRDefault="001A3992" w:rsidP="001A3992">
      <w:pPr>
        <w:pStyle w:val="Heading2"/>
        <w:spacing w:before="0"/>
        <w:rPr>
          <w:rFonts w:cs="Calibri"/>
        </w:rPr>
      </w:pPr>
      <w:r w:rsidRPr="008D4276">
        <w:rPr>
          <w:rFonts w:cs="Calibri"/>
        </w:rPr>
        <w:t>Preclinical safety data</w:t>
      </w:r>
    </w:p>
    <w:p w14:paraId="668B7FD9" w14:textId="77777777" w:rsidR="001A3992" w:rsidRPr="008D4276" w:rsidRDefault="001A3992" w:rsidP="001A3992">
      <w:pPr>
        <w:pStyle w:val="Heading3"/>
        <w:spacing w:before="0" w:after="120"/>
        <w:rPr>
          <w:rFonts w:cs="Calibri"/>
        </w:rPr>
      </w:pPr>
      <w:r w:rsidRPr="008D4276">
        <w:rPr>
          <w:rFonts w:cs="Calibri"/>
        </w:rPr>
        <w:t>Genotoxicity</w:t>
      </w:r>
    </w:p>
    <w:p w14:paraId="6E71CD76" w14:textId="4978851A" w:rsidR="00E63BA6" w:rsidRPr="008D4276" w:rsidRDefault="00E63BA6" w:rsidP="00B36DBA">
      <w:pPr>
        <w:rPr>
          <w:rFonts w:asciiTheme="majorHAnsi" w:hAnsiTheme="majorHAnsi"/>
        </w:rPr>
      </w:pPr>
      <w:r w:rsidRPr="008D4276">
        <w:rPr>
          <w:rFonts w:asciiTheme="majorHAnsi" w:hAnsiTheme="majorHAnsi"/>
        </w:rPr>
        <w:t xml:space="preserve">Standard genotoxicity studies with </w:t>
      </w:r>
      <w:r w:rsidR="00F322ED" w:rsidRPr="008D4276">
        <w:rPr>
          <w:rFonts w:asciiTheme="majorHAnsi" w:hAnsiTheme="majorHAnsi"/>
        </w:rPr>
        <w:t>tocilizumab</w:t>
      </w:r>
      <w:r w:rsidRPr="008D4276">
        <w:rPr>
          <w:rFonts w:asciiTheme="majorHAnsi" w:hAnsiTheme="majorHAnsi"/>
        </w:rPr>
        <w:t xml:space="preserve"> in both prokaryotic and eukaryotic cells were negative.</w:t>
      </w:r>
    </w:p>
    <w:p w14:paraId="10B4984D" w14:textId="77777777" w:rsidR="001A3992" w:rsidRPr="008D4276" w:rsidRDefault="001A3992" w:rsidP="001A3992">
      <w:pPr>
        <w:pStyle w:val="Heading3"/>
        <w:spacing w:before="0" w:after="120"/>
        <w:rPr>
          <w:rFonts w:cs="Calibri"/>
        </w:rPr>
      </w:pPr>
      <w:r w:rsidRPr="008D4276">
        <w:rPr>
          <w:rFonts w:cs="Calibri"/>
        </w:rPr>
        <w:t>Carcinogenicity</w:t>
      </w:r>
    </w:p>
    <w:p w14:paraId="2E1E0495" w14:textId="2F9711A2" w:rsidR="00E63BA6" w:rsidRPr="008D4276" w:rsidRDefault="00E63BA6" w:rsidP="00B36DBA">
      <w:pPr>
        <w:rPr>
          <w:rFonts w:asciiTheme="majorHAnsi" w:hAnsiTheme="majorHAnsi"/>
        </w:rPr>
      </w:pPr>
      <w:r w:rsidRPr="008D4276">
        <w:rPr>
          <w:rFonts w:asciiTheme="majorHAnsi" w:hAnsiTheme="majorHAnsi"/>
        </w:rPr>
        <w:t xml:space="preserve">A carcinogenicity study of </w:t>
      </w:r>
      <w:r w:rsidR="00F322ED" w:rsidRPr="008D4276">
        <w:rPr>
          <w:rFonts w:asciiTheme="majorHAnsi" w:hAnsiTheme="majorHAnsi"/>
        </w:rPr>
        <w:t>tocilizumab</w:t>
      </w:r>
      <w:r w:rsidRPr="008D4276">
        <w:rPr>
          <w:rFonts w:asciiTheme="majorHAnsi" w:hAnsiTheme="majorHAnsi"/>
        </w:rPr>
        <w:t xml:space="preserve"> has not been conducted. Proliferating lesions were not observed in a chronic cynomolgus monkey 6-month toxicity study.</w:t>
      </w:r>
    </w:p>
    <w:p w14:paraId="7B438E19" w14:textId="77777777" w:rsidR="001A3992" w:rsidRPr="008D4276" w:rsidRDefault="001A3992" w:rsidP="001A3992">
      <w:pPr>
        <w:pStyle w:val="Heading1"/>
        <w:rPr>
          <w:rFonts w:cs="Calibri"/>
        </w:rPr>
      </w:pPr>
      <w:r w:rsidRPr="008D4276">
        <w:rPr>
          <w:rFonts w:cs="Calibri"/>
        </w:rPr>
        <w:t>Pharmaceutical particulars</w:t>
      </w:r>
    </w:p>
    <w:p w14:paraId="69AF43E6" w14:textId="77777777" w:rsidR="001A3992" w:rsidRPr="008D4276" w:rsidRDefault="001A3992" w:rsidP="00161B2A">
      <w:pPr>
        <w:pStyle w:val="Heading2"/>
        <w:keepNext/>
        <w:spacing w:before="0"/>
        <w:rPr>
          <w:rFonts w:cs="Calibri"/>
        </w:rPr>
      </w:pPr>
      <w:r w:rsidRPr="008D4276">
        <w:rPr>
          <w:rFonts w:cs="Calibri"/>
        </w:rPr>
        <w:t xml:space="preserve">List of excipients </w:t>
      </w:r>
    </w:p>
    <w:p w14:paraId="4F665B17" w14:textId="2FCCE61A" w:rsidR="00E63BA6" w:rsidRPr="008D4276" w:rsidRDefault="00E63BA6" w:rsidP="00E63BA6">
      <w:pPr>
        <w:pStyle w:val="Heading3"/>
        <w:rPr>
          <w:rFonts w:cs="Calibri"/>
          <w:spacing w:val="-2"/>
        </w:rPr>
      </w:pPr>
      <w:r w:rsidRPr="008D4276">
        <w:rPr>
          <w:rFonts w:cs="Calibri"/>
        </w:rPr>
        <w:t>Concentrated</w:t>
      </w:r>
      <w:r w:rsidRPr="008D4276">
        <w:rPr>
          <w:rFonts w:cs="Calibri"/>
          <w:spacing w:val="-2"/>
        </w:rPr>
        <w:t xml:space="preserve"> </w:t>
      </w:r>
      <w:r w:rsidRPr="008D4276">
        <w:rPr>
          <w:rFonts w:cs="Calibri"/>
        </w:rPr>
        <w:t>solution</w:t>
      </w:r>
      <w:r w:rsidRPr="008D4276">
        <w:rPr>
          <w:rFonts w:cs="Calibri"/>
          <w:spacing w:val="-2"/>
        </w:rPr>
        <w:t xml:space="preserve"> </w:t>
      </w:r>
      <w:r w:rsidRPr="008D4276">
        <w:rPr>
          <w:rFonts w:cs="Calibri"/>
        </w:rPr>
        <w:t>for</w:t>
      </w:r>
      <w:r w:rsidRPr="008D4276">
        <w:rPr>
          <w:rFonts w:cs="Calibri"/>
          <w:spacing w:val="-3"/>
        </w:rPr>
        <w:t xml:space="preserve"> </w:t>
      </w:r>
      <w:r w:rsidRPr="008D4276">
        <w:rPr>
          <w:rFonts w:cs="Calibri"/>
        </w:rPr>
        <w:t>intravenous</w:t>
      </w:r>
      <w:r w:rsidRPr="008D4276">
        <w:rPr>
          <w:rFonts w:cs="Calibri"/>
          <w:spacing w:val="-1"/>
        </w:rPr>
        <w:t xml:space="preserve"> </w:t>
      </w:r>
      <w:r w:rsidRPr="008D4276">
        <w:rPr>
          <w:rFonts w:cs="Calibri"/>
          <w:spacing w:val="-2"/>
        </w:rPr>
        <w:t>infusion</w:t>
      </w:r>
    </w:p>
    <w:p w14:paraId="61A254B0" w14:textId="21F55ABA" w:rsidR="00E63BA6" w:rsidRPr="008D4276" w:rsidRDefault="00586A54" w:rsidP="004D6592">
      <w:pPr>
        <w:rPr>
          <w:rFonts w:asciiTheme="majorHAnsi" w:hAnsiTheme="majorHAnsi" w:cstheme="minorHAnsi"/>
        </w:rPr>
      </w:pPr>
      <w:r w:rsidRPr="008D4276">
        <w:rPr>
          <w:rFonts w:asciiTheme="majorHAnsi" w:hAnsiTheme="majorHAnsi"/>
        </w:rPr>
        <w:t>Histidine</w:t>
      </w:r>
      <w:r w:rsidR="004D6592" w:rsidRPr="008D4276">
        <w:rPr>
          <w:rFonts w:asciiTheme="majorHAnsi" w:hAnsiTheme="majorHAnsi"/>
        </w:rPr>
        <w:br/>
      </w:r>
      <w:r w:rsidR="00B06420" w:rsidRPr="008D4276">
        <w:rPr>
          <w:rFonts w:asciiTheme="majorHAnsi" w:hAnsiTheme="majorHAnsi"/>
        </w:rPr>
        <w:t xml:space="preserve">Histidine hydrochloride monohydrate </w:t>
      </w:r>
      <w:r w:rsidR="004D6592" w:rsidRPr="008D4276">
        <w:rPr>
          <w:rFonts w:asciiTheme="majorHAnsi" w:hAnsiTheme="majorHAnsi"/>
        </w:rPr>
        <w:br/>
      </w:r>
      <w:r w:rsidRPr="008D4276">
        <w:rPr>
          <w:rFonts w:asciiTheme="majorHAnsi" w:hAnsiTheme="majorHAnsi"/>
        </w:rPr>
        <w:lastRenderedPageBreak/>
        <w:t>Methionine</w:t>
      </w:r>
      <w:r w:rsidR="004D6592" w:rsidRPr="008D4276">
        <w:rPr>
          <w:rFonts w:asciiTheme="majorHAnsi" w:hAnsiTheme="majorHAnsi"/>
        </w:rPr>
        <w:br/>
      </w:r>
      <w:r w:rsidRPr="008D4276">
        <w:rPr>
          <w:rFonts w:asciiTheme="majorHAnsi" w:hAnsiTheme="majorHAnsi"/>
        </w:rPr>
        <w:t>Threonine</w:t>
      </w:r>
      <w:r w:rsidR="004D6592" w:rsidRPr="008D4276">
        <w:rPr>
          <w:rFonts w:asciiTheme="majorHAnsi" w:hAnsiTheme="majorHAnsi"/>
        </w:rPr>
        <w:br/>
      </w:r>
      <w:r w:rsidRPr="008D4276">
        <w:rPr>
          <w:rFonts w:asciiTheme="majorHAnsi" w:hAnsiTheme="majorHAnsi"/>
        </w:rPr>
        <w:t>Polysorbate 80</w:t>
      </w:r>
      <w:r w:rsidRPr="008D4276" w:rsidDel="002957EE">
        <w:rPr>
          <w:rFonts w:asciiTheme="majorHAnsi" w:hAnsiTheme="majorHAnsi"/>
        </w:rPr>
        <w:t xml:space="preserve"> </w:t>
      </w:r>
      <w:r w:rsidR="004D6592" w:rsidRPr="008D4276">
        <w:rPr>
          <w:rFonts w:asciiTheme="majorHAnsi" w:hAnsiTheme="majorHAnsi"/>
        </w:rPr>
        <w:br/>
      </w:r>
      <w:r w:rsidRPr="008D4276">
        <w:rPr>
          <w:rFonts w:asciiTheme="majorHAnsi" w:hAnsiTheme="majorHAnsi" w:cstheme="minorHAnsi"/>
        </w:rPr>
        <w:t>Water for Injection</w:t>
      </w:r>
      <w:r w:rsidR="004F516B" w:rsidRPr="008D4276">
        <w:rPr>
          <w:rFonts w:asciiTheme="majorHAnsi" w:hAnsiTheme="majorHAnsi" w:cstheme="minorHAnsi"/>
        </w:rPr>
        <w:t>s</w:t>
      </w:r>
    </w:p>
    <w:p w14:paraId="737C0DC8" w14:textId="77777777" w:rsidR="00E63BA6" w:rsidRPr="008D4276" w:rsidRDefault="00E63BA6" w:rsidP="00E63BA6">
      <w:pPr>
        <w:pStyle w:val="Heading3"/>
        <w:rPr>
          <w:rFonts w:cs="Calibri"/>
        </w:rPr>
      </w:pPr>
      <w:r w:rsidRPr="008D4276">
        <w:rPr>
          <w:rFonts w:cs="Calibri"/>
        </w:rPr>
        <w:t>Solution</w:t>
      </w:r>
      <w:r w:rsidRPr="008D4276">
        <w:rPr>
          <w:rFonts w:cs="Calibri"/>
          <w:spacing w:val="-2"/>
        </w:rPr>
        <w:t xml:space="preserve"> </w:t>
      </w:r>
      <w:r w:rsidRPr="008D4276">
        <w:rPr>
          <w:rFonts w:cs="Calibri"/>
        </w:rPr>
        <w:t>for</w:t>
      </w:r>
      <w:r w:rsidRPr="008D4276">
        <w:rPr>
          <w:rFonts w:cs="Calibri"/>
          <w:spacing w:val="-3"/>
        </w:rPr>
        <w:t xml:space="preserve"> </w:t>
      </w:r>
      <w:r w:rsidRPr="008D4276">
        <w:rPr>
          <w:rFonts w:cs="Calibri"/>
        </w:rPr>
        <w:t>subcutaneous</w:t>
      </w:r>
      <w:r w:rsidRPr="008D4276">
        <w:rPr>
          <w:rFonts w:cs="Calibri"/>
          <w:spacing w:val="-1"/>
        </w:rPr>
        <w:t xml:space="preserve"> </w:t>
      </w:r>
      <w:r w:rsidRPr="008D4276">
        <w:rPr>
          <w:rFonts w:cs="Calibri"/>
          <w:spacing w:val="-2"/>
        </w:rPr>
        <w:t>injection</w:t>
      </w:r>
    </w:p>
    <w:p w14:paraId="596B51DE" w14:textId="726BA6C0" w:rsidR="00C637A4" w:rsidRPr="008D4276" w:rsidRDefault="00C637A4" w:rsidP="004D6592">
      <w:pPr>
        <w:rPr>
          <w:rFonts w:asciiTheme="majorHAnsi" w:hAnsiTheme="majorHAnsi"/>
        </w:rPr>
      </w:pPr>
      <w:r w:rsidRPr="008D4276">
        <w:rPr>
          <w:rFonts w:asciiTheme="majorHAnsi" w:hAnsiTheme="majorHAnsi"/>
        </w:rPr>
        <w:t>Histidine</w:t>
      </w:r>
      <w:r w:rsidR="004D6592" w:rsidRPr="008D4276">
        <w:rPr>
          <w:rFonts w:asciiTheme="majorHAnsi" w:hAnsiTheme="majorHAnsi"/>
        </w:rPr>
        <w:br/>
      </w:r>
      <w:r w:rsidR="00B06420" w:rsidRPr="008D4276">
        <w:rPr>
          <w:rFonts w:asciiTheme="majorHAnsi" w:hAnsiTheme="majorHAnsi"/>
        </w:rPr>
        <w:t xml:space="preserve">Histidine hydrochloride monohydrate </w:t>
      </w:r>
      <w:r w:rsidR="004D6592" w:rsidRPr="008D4276">
        <w:rPr>
          <w:rFonts w:asciiTheme="majorHAnsi" w:hAnsiTheme="majorHAnsi"/>
        </w:rPr>
        <w:br/>
      </w:r>
      <w:r w:rsidRPr="008D4276">
        <w:rPr>
          <w:rFonts w:asciiTheme="majorHAnsi" w:hAnsiTheme="majorHAnsi"/>
        </w:rPr>
        <w:t>Threonine</w:t>
      </w:r>
      <w:r w:rsidRPr="008D4276" w:rsidDel="00AC487B">
        <w:rPr>
          <w:rFonts w:asciiTheme="majorHAnsi" w:hAnsiTheme="majorHAnsi"/>
        </w:rPr>
        <w:t xml:space="preserve"> </w:t>
      </w:r>
      <w:r w:rsidR="004D6592" w:rsidRPr="008D4276">
        <w:rPr>
          <w:rFonts w:asciiTheme="majorHAnsi" w:hAnsiTheme="majorHAnsi"/>
        </w:rPr>
        <w:br/>
      </w:r>
      <w:r w:rsidRPr="008D4276">
        <w:rPr>
          <w:rFonts w:asciiTheme="majorHAnsi" w:hAnsiTheme="majorHAnsi"/>
        </w:rPr>
        <w:t>Methionine</w:t>
      </w:r>
      <w:r w:rsidRPr="008D4276">
        <w:rPr>
          <w:rFonts w:asciiTheme="majorHAnsi" w:hAnsiTheme="majorHAnsi"/>
          <w:spacing w:val="27"/>
        </w:rPr>
        <w:t xml:space="preserve"> </w:t>
      </w:r>
      <w:r w:rsidR="004D6592" w:rsidRPr="008D4276">
        <w:rPr>
          <w:rFonts w:asciiTheme="majorHAnsi" w:hAnsiTheme="majorHAnsi"/>
          <w:spacing w:val="27"/>
        </w:rPr>
        <w:br/>
      </w:r>
      <w:r w:rsidRPr="008D4276">
        <w:rPr>
          <w:rFonts w:asciiTheme="majorHAnsi" w:hAnsiTheme="majorHAnsi"/>
        </w:rPr>
        <w:t xml:space="preserve">Polysorbate </w:t>
      </w:r>
      <w:r w:rsidRPr="008D4276">
        <w:rPr>
          <w:rFonts w:asciiTheme="majorHAnsi" w:hAnsiTheme="majorHAnsi"/>
          <w:spacing w:val="-2"/>
        </w:rPr>
        <w:t>80</w:t>
      </w:r>
      <w:r w:rsidRPr="008D4276">
        <w:rPr>
          <w:rFonts w:asciiTheme="majorHAnsi" w:hAnsiTheme="majorHAnsi"/>
          <w:spacing w:val="28"/>
        </w:rPr>
        <w:t xml:space="preserve"> </w:t>
      </w:r>
      <w:r w:rsidR="004D6592" w:rsidRPr="008D4276">
        <w:rPr>
          <w:rFonts w:asciiTheme="majorHAnsi" w:hAnsiTheme="majorHAnsi"/>
          <w:spacing w:val="28"/>
        </w:rPr>
        <w:br/>
      </w:r>
      <w:r w:rsidRPr="008D4276">
        <w:rPr>
          <w:rFonts w:asciiTheme="majorHAnsi" w:hAnsiTheme="majorHAnsi"/>
        </w:rPr>
        <w:t>Water</w:t>
      </w:r>
      <w:r w:rsidRPr="008D4276">
        <w:rPr>
          <w:rFonts w:asciiTheme="majorHAnsi" w:hAnsiTheme="majorHAnsi"/>
          <w:spacing w:val="-2"/>
        </w:rPr>
        <w:t xml:space="preserve"> </w:t>
      </w:r>
      <w:r w:rsidRPr="008D4276">
        <w:rPr>
          <w:rFonts w:asciiTheme="majorHAnsi" w:hAnsiTheme="majorHAnsi"/>
        </w:rPr>
        <w:t>for</w:t>
      </w:r>
      <w:r w:rsidRPr="008D4276">
        <w:rPr>
          <w:rFonts w:asciiTheme="majorHAnsi" w:hAnsiTheme="majorHAnsi"/>
          <w:spacing w:val="-2"/>
        </w:rPr>
        <w:t xml:space="preserve"> </w:t>
      </w:r>
      <w:r w:rsidRPr="008D4276">
        <w:rPr>
          <w:rFonts w:asciiTheme="majorHAnsi" w:hAnsiTheme="majorHAnsi"/>
        </w:rPr>
        <w:t>injections</w:t>
      </w:r>
    </w:p>
    <w:p w14:paraId="611F516D" w14:textId="77777777" w:rsidR="001A3992" w:rsidRPr="008D4276" w:rsidRDefault="001A3992" w:rsidP="008E0261">
      <w:pPr>
        <w:pStyle w:val="Heading2"/>
      </w:pPr>
      <w:r w:rsidRPr="008D4276">
        <w:t xml:space="preserve">Incompatibilities </w:t>
      </w:r>
    </w:p>
    <w:p w14:paraId="0983A8E1" w14:textId="45927643" w:rsidR="00497C85" w:rsidRPr="008D4276" w:rsidRDefault="00497C85" w:rsidP="00497C85">
      <w:pPr>
        <w:rPr>
          <w:rFonts w:asciiTheme="majorHAnsi" w:hAnsiTheme="majorHAnsi" w:cstheme="minorHAnsi"/>
        </w:rPr>
      </w:pPr>
      <w:r w:rsidRPr="008D4276">
        <w:rPr>
          <w:rFonts w:asciiTheme="majorHAnsi" w:hAnsiTheme="majorHAnsi" w:cstheme="minorHAnsi"/>
        </w:rPr>
        <w:t>Incompatibilities were either not assessed or not identified as part of the registration of this medicine.</w:t>
      </w:r>
    </w:p>
    <w:p w14:paraId="1AF270E5" w14:textId="1A7ECE70" w:rsidR="001A3992" w:rsidRPr="008B2AD9" w:rsidRDefault="001A3992" w:rsidP="008E0261">
      <w:pPr>
        <w:pStyle w:val="Heading2"/>
        <w:numPr>
          <w:ilvl w:val="1"/>
          <w:numId w:val="91"/>
        </w:numPr>
        <w:spacing w:before="0"/>
        <w:rPr>
          <w:rFonts w:cs="Calibri"/>
        </w:rPr>
      </w:pPr>
      <w:r w:rsidRPr="008B2AD9">
        <w:rPr>
          <w:rFonts w:cs="Calibri"/>
        </w:rPr>
        <w:t xml:space="preserve">Shelf life </w:t>
      </w:r>
    </w:p>
    <w:p w14:paraId="61E1BAA9" w14:textId="7F2778CF" w:rsidR="00497C85" w:rsidRPr="008D4276" w:rsidRDefault="00497C85" w:rsidP="00497C85">
      <w:pPr>
        <w:rPr>
          <w:rFonts w:asciiTheme="majorHAnsi" w:hAnsiTheme="majorHAnsi" w:cstheme="minorHAnsi"/>
        </w:rPr>
      </w:pPr>
      <w:r w:rsidRPr="008D4276">
        <w:rPr>
          <w:rFonts w:asciiTheme="majorHAnsi" w:hAnsiTheme="majorHAnsi" w:cstheme="minorHAnsi"/>
        </w:rPr>
        <w:t xml:space="preserve">In Australia, information on the shelf life can be found on the public summary of the Australian Register of Therapeutic Goods (ARTG). The expiry date can be found on the packaging. </w:t>
      </w:r>
    </w:p>
    <w:p w14:paraId="051122B9" w14:textId="58F82325" w:rsidR="00E63BA6" w:rsidRPr="008D4276" w:rsidRDefault="00E63BA6" w:rsidP="00497C85">
      <w:pPr>
        <w:rPr>
          <w:rFonts w:asciiTheme="majorHAnsi" w:hAnsiTheme="majorHAnsi" w:cstheme="minorHAnsi"/>
        </w:rPr>
      </w:pPr>
      <w:r w:rsidRPr="008D4276">
        <w:rPr>
          <w:rFonts w:asciiTheme="majorHAnsi" w:hAnsiTheme="majorHAnsi" w:cstheme="minorHAnsi"/>
        </w:rPr>
        <w:t>The medicine should not be used after the expiry date (EXP) shown on the vial or vial carton or the pre-filled syringe or the pre-filled pen and the carton.</w:t>
      </w:r>
    </w:p>
    <w:p w14:paraId="2BC2CB73" w14:textId="77777777" w:rsidR="001A3992" w:rsidRPr="008D4276" w:rsidRDefault="001A3992" w:rsidP="001A3992">
      <w:pPr>
        <w:pStyle w:val="Heading2"/>
        <w:keepNext/>
        <w:keepLines/>
        <w:spacing w:before="0"/>
        <w:rPr>
          <w:rFonts w:cs="Calibri"/>
        </w:rPr>
      </w:pPr>
      <w:r w:rsidRPr="008D4276">
        <w:rPr>
          <w:rFonts w:cs="Calibri"/>
        </w:rPr>
        <w:t xml:space="preserve">Special precautions for storage </w:t>
      </w:r>
    </w:p>
    <w:p w14:paraId="28B10C58" w14:textId="65647C33" w:rsidR="00560CEF" w:rsidRPr="008D4276" w:rsidRDefault="00E63BA6" w:rsidP="00560CEF">
      <w:pPr>
        <w:pStyle w:val="Heading3"/>
        <w:rPr>
          <w:rFonts w:cs="Calibri"/>
        </w:rPr>
      </w:pPr>
      <w:r w:rsidRPr="008D4276">
        <w:rPr>
          <w:rFonts w:cs="Calibri"/>
        </w:rPr>
        <w:t>Concentrated solution for intravenous infusion</w:t>
      </w:r>
    </w:p>
    <w:p w14:paraId="795FE5E9" w14:textId="7FD8451F" w:rsidR="00560CEF" w:rsidRPr="008D4276" w:rsidRDefault="0053149A" w:rsidP="00161B2A">
      <w:pPr>
        <w:rPr>
          <w:rFonts w:asciiTheme="majorHAnsi" w:hAnsiTheme="majorHAnsi" w:cstheme="minorHAnsi"/>
        </w:rPr>
      </w:pPr>
      <w:r w:rsidRPr="008D4276">
        <w:rPr>
          <w:rFonts w:asciiTheme="majorHAnsi" w:hAnsiTheme="majorHAnsi" w:cstheme="minorHAnsi"/>
        </w:rPr>
        <w:t>Store vial</w:t>
      </w:r>
      <w:r w:rsidR="00560CEF" w:rsidRPr="008D4276">
        <w:rPr>
          <w:rFonts w:asciiTheme="majorHAnsi" w:hAnsiTheme="majorHAnsi" w:cstheme="minorHAnsi"/>
        </w:rPr>
        <w:t xml:space="preserve"> at 2°C to 8°C </w:t>
      </w:r>
      <w:r w:rsidR="004F516B" w:rsidRPr="008D4276">
        <w:rPr>
          <w:rFonts w:asciiTheme="majorHAnsi" w:hAnsiTheme="majorHAnsi" w:cstheme="minorHAnsi"/>
        </w:rPr>
        <w:t>(Refrigerate</w:t>
      </w:r>
      <w:r w:rsidR="004D6592" w:rsidRPr="008D4276">
        <w:rPr>
          <w:rFonts w:asciiTheme="majorHAnsi" w:hAnsiTheme="majorHAnsi" w:cstheme="minorHAnsi"/>
        </w:rPr>
        <w:t xml:space="preserve">. </w:t>
      </w:r>
      <w:r w:rsidR="00560CEF" w:rsidRPr="008D4276">
        <w:rPr>
          <w:rFonts w:asciiTheme="majorHAnsi" w:hAnsiTheme="majorHAnsi" w:cstheme="minorHAnsi"/>
        </w:rPr>
        <w:t>Do not freeze)</w:t>
      </w:r>
      <w:r w:rsidR="00AF7491" w:rsidRPr="008D4276">
        <w:rPr>
          <w:rFonts w:asciiTheme="majorHAnsi" w:hAnsiTheme="majorHAnsi" w:cstheme="minorHAnsi"/>
        </w:rPr>
        <w:t xml:space="preserve">. </w:t>
      </w:r>
      <w:r w:rsidR="00560CEF" w:rsidRPr="008D4276">
        <w:rPr>
          <w:rFonts w:asciiTheme="majorHAnsi" w:hAnsiTheme="majorHAnsi" w:cstheme="minorHAnsi"/>
        </w:rPr>
        <w:t xml:space="preserve">Keep the container in the outer carton in order to protect from light. </w:t>
      </w:r>
    </w:p>
    <w:p w14:paraId="2DE40694" w14:textId="3382CC65" w:rsidR="00560CEF" w:rsidRPr="008D4276" w:rsidRDefault="00560CEF" w:rsidP="00BF5613">
      <w:pPr>
        <w:rPr>
          <w:rFonts w:asciiTheme="majorHAnsi" w:hAnsiTheme="majorHAnsi" w:cstheme="minorHAnsi"/>
        </w:rPr>
      </w:pPr>
      <w:r w:rsidRPr="008D4276">
        <w:rPr>
          <w:rFonts w:asciiTheme="majorHAnsi" w:hAnsiTheme="majorHAnsi" w:cstheme="minorHAnsi"/>
          <w:i/>
          <w:iCs/>
        </w:rPr>
        <w:t>Diluted product</w:t>
      </w:r>
      <w:r w:rsidRPr="008D4276">
        <w:rPr>
          <w:rFonts w:asciiTheme="majorHAnsi" w:hAnsiTheme="majorHAnsi" w:cstheme="minorHAnsi"/>
        </w:rPr>
        <w:t xml:space="preserve">: After dilution, the prepared solution for infusion is physically and chemically stable in sodium chloride 9 mg/mL (0.9%) and 4.5 mg/mL (0.45%) solution for injection. </w:t>
      </w:r>
      <w:r w:rsidR="00BF5613" w:rsidRPr="00BF5613">
        <w:rPr>
          <w:rFonts w:asciiTheme="majorHAnsi" w:hAnsiTheme="majorHAnsi" w:cstheme="minorHAnsi"/>
        </w:rPr>
        <w:t xml:space="preserve"> To reduce microbiological hazard, the product should be used as soon as practicable after preparation. If storage is </w:t>
      </w:r>
      <w:r w:rsidR="004E461D" w:rsidRPr="00BF5613">
        <w:rPr>
          <w:rFonts w:asciiTheme="majorHAnsi" w:hAnsiTheme="majorHAnsi" w:cstheme="minorHAnsi"/>
        </w:rPr>
        <w:t>necessary,</w:t>
      </w:r>
      <w:r w:rsidR="00BF5613">
        <w:rPr>
          <w:rFonts w:asciiTheme="majorHAnsi" w:hAnsiTheme="majorHAnsi" w:cstheme="minorHAnsi"/>
        </w:rPr>
        <w:t xml:space="preserve"> it can be stored for 96 hours in a </w:t>
      </w:r>
      <w:r w:rsidR="00BF5613" w:rsidRPr="00266D6D">
        <w:rPr>
          <w:rFonts w:asciiTheme="majorHAnsi" w:hAnsiTheme="majorHAnsi" w:cstheme="minorHAnsi"/>
        </w:rPr>
        <w:t>refrigerator at 2°C-8°C</w:t>
      </w:r>
      <w:r w:rsidR="00BF5613">
        <w:rPr>
          <w:rFonts w:asciiTheme="majorHAnsi" w:hAnsiTheme="majorHAnsi" w:cstheme="minorHAnsi"/>
        </w:rPr>
        <w:t xml:space="preserve"> or for 6 hours at room temperature.   </w:t>
      </w:r>
    </w:p>
    <w:p w14:paraId="7BAAC45A" w14:textId="004C1427" w:rsidR="00560CEF" w:rsidRPr="0002092D" w:rsidRDefault="00560CEF" w:rsidP="00161B2A">
      <w:pPr>
        <w:pStyle w:val="Heading3"/>
      </w:pPr>
      <w:r w:rsidRPr="0002092D">
        <w:t>Solution for subcutaneous injection</w:t>
      </w:r>
    </w:p>
    <w:p w14:paraId="613B9FD0" w14:textId="78B49D18" w:rsidR="00560CEF" w:rsidRPr="008D4276" w:rsidRDefault="00560CEF" w:rsidP="00161B2A">
      <w:pPr>
        <w:rPr>
          <w:rFonts w:asciiTheme="majorHAnsi" w:hAnsiTheme="majorHAnsi" w:cstheme="minorHAnsi"/>
        </w:rPr>
      </w:pPr>
      <w:r w:rsidRPr="008D4276">
        <w:rPr>
          <w:rFonts w:asciiTheme="majorHAnsi" w:hAnsiTheme="majorHAnsi" w:cstheme="minorHAnsi"/>
        </w:rPr>
        <w:t xml:space="preserve">Store at 2°C to 8°C. (Refrigerate. Do not freeze.) </w:t>
      </w:r>
    </w:p>
    <w:p w14:paraId="0232D043" w14:textId="21A6DFB2" w:rsidR="00560CEF" w:rsidRPr="008D4276" w:rsidRDefault="00560CEF" w:rsidP="00161B2A">
      <w:pPr>
        <w:rPr>
          <w:rFonts w:asciiTheme="majorHAnsi" w:hAnsiTheme="majorHAnsi" w:cstheme="minorHAnsi"/>
        </w:rPr>
      </w:pPr>
      <w:r w:rsidRPr="008D4276">
        <w:rPr>
          <w:rFonts w:asciiTheme="majorHAnsi" w:hAnsiTheme="majorHAnsi" w:cstheme="minorHAnsi"/>
        </w:rPr>
        <w:t>Once removed from the refrigerator, the pre-filled syringe and the pre-filled pen can be stored up to 3 weeks at or below 30°C.</w:t>
      </w:r>
    </w:p>
    <w:p w14:paraId="104A62B7" w14:textId="77777777" w:rsidR="00F37488" w:rsidRPr="008D4276" w:rsidRDefault="00F37488" w:rsidP="00161B2A">
      <w:pPr>
        <w:rPr>
          <w:rFonts w:asciiTheme="majorHAnsi" w:hAnsiTheme="majorHAnsi" w:cstheme="minorHAnsi"/>
          <w:u w:val="single"/>
        </w:rPr>
      </w:pPr>
      <w:r w:rsidRPr="008D4276">
        <w:rPr>
          <w:rFonts w:asciiTheme="majorHAnsi" w:hAnsiTheme="majorHAnsi" w:cstheme="minorHAnsi"/>
          <w:u w:val="single"/>
        </w:rPr>
        <w:t xml:space="preserve">Prefilled syringe </w:t>
      </w:r>
    </w:p>
    <w:p w14:paraId="3FC9818E" w14:textId="7A8E53CF" w:rsidR="00F37488" w:rsidRPr="008D4276" w:rsidRDefault="00F37488" w:rsidP="00161B2A">
      <w:pPr>
        <w:rPr>
          <w:rFonts w:asciiTheme="majorHAnsi" w:hAnsiTheme="majorHAnsi" w:cstheme="minorHAnsi"/>
        </w:rPr>
      </w:pPr>
      <w:r w:rsidRPr="008D4276">
        <w:rPr>
          <w:rFonts w:asciiTheme="majorHAnsi" w:hAnsiTheme="majorHAnsi" w:cstheme="minorHAnsi"/>
        </w:rPr>
        <w:t xml:space="preserve">Once removed from the refrigerator, the pre-filled </w:t>
      </w:r>
      <w:r w:rsidR="00E15732" w:rsidRPr="008D4276">
        <w:rPr>
          <w:rFonts w:asciiTheme="majorHAnsi" w:hAnsiTheme="majorHAnsi" w:cstheme="minorHAnsi"/>
        </w:rPr>
        <w:t>syringe</w:t>
      </w:r>
      <w:r w:rsidRPr="008D4276">
        <w:rPr>
          <w:rFonts w:asciiTheme="majorHAnsi" w:hAnsiTheme="majorHAnsi" w:cstheme="minorHAnsi"/>
        </w:rPr>
        <w:t xml:space="preserve"> can be stored up to 3 weeks at or below 30°C. If not used within the </w:t>
      </w:r>
      <w:r w:rsidR="00B611CE">
        <w:rPr>
          <w:rFonts w:asciiTheme="majorHAnsi" w:hAnsiTheme="majorHAnsi" w:cstheme="minorHAnsi"/>
          <w:lang w:eastAsia="ko-KR"/>
        </w:rPr>
        <w:t>3</w:t>
      </w:r>
      <w:r w:rsidRPr="008D4276">
        <w:rPr>
          <w:rFonts w:asciiTheme="majorHAnsi" w:hAnsiTheme="majorHAnsi" w:cstheme="minorHAnsi"/>
        </w:rPr>
        <w:t xml:space="preserve"> weeks, Avtozma should be discarded.</w:t>
      </w:r>
    </w:p>
    <w:p w14:paraId="307C0685" w14:textId="77777777" w:rsidR="00F37488" w:rsidRPr="008D4276" w:rsidRDefault="00F37488" w:rsidP="00161B2A">
      <w:pPr>
        <w:keepNext/>
        <w:rPr>
          <w:rFonts w:asciiTheme="majorHAnsi" w:hAnsiTheme="majorHAnsi" w:cstheme="minorHAnsi"/>
          <w:u w:val="single"/>
        </w:rPr>
      </w:pPr>
      <w:r w:rsidRPr="008D4276">
        <w:rPr>
          <w:rFonts w:asciiTheme="majorHAnsi" w:hAnsiTheme="majorHAnsi" w:cstheme="minorHAnsi"/>
          <w:u w:val="single"/>
        </w:rPr>
        <w:t xml:space="preserve">Prefilled Pen </w:t>
      </w:r>
    </w:p>
    <w:p w14:paraId="2112DF4E" w14:textId="4793C074" w:rsidR="00F37488" w:rsidRPr="008D4276" w:rsidRDefault="00F37488" w:rsidP="00161B2A">
      <w:pPr>
        <w:rPr>
          <w:rFonts w:asciiTheme="majorHAnsi" w:hAnsiTheme="majorHAnsi" w:cstheme="minorHAnsi"/>
        </w:rPr>
      </w:pPr>
      <w:r w:rsidRPr="008D4276">
        <w:rPr>
          <w:rFonts w:asciiTheme="majorHAnsi" w:hAnsiTheme="majorHAnsi" w:cstheme="minorHAnsi"/>
        </w:rPr>
        <w:t>Once removed from the refrigerator, the pre-filled pen can be stored up to 3 weeks at or below 30°C. If not used within the 3 weeks, Avtozma should be discarded.</w:t>
      </w:r>
    </w:p>
    <w:p w14:paraId="4208C48C" w14:textId="17C6B35E" w:rsidR="00560CEF" w:rsidRPr="008D4276" w:rsidRDefault="00560CEF" w:rsidP="00161B2A">
      <w:pPr>
        <w:rPr>
          <w:rFonts w:asciiTheme="majorHAnsi" w:hAnsiTheme="majorHAnsi" w:cstheme="minorHAnsi"/>
        </w:rPr>
      </w:pPr>
      <w:r w:rsidRPr="008D4276">
        <w:rPr>
          <w:rFonts w:asciiTheme="majorHAnsi" w:hAnsiTheme="majorHAnsi" w:cstheme="minorHAnsi"/>
        </w:rPr>
        <w:lastRenderedPageBreak/>
        <w:t>Keep the pre-filled syringe or the pre-filled pen in the outer carton in order to protect from light and moisture.</w:t>
      </w:r>
    </w:p>
    <w:p w14:paraId="555C583C" w14:textId="2DAAD676" w:rsidR="00560CEF" w:rsidRPr="008D4276" w:rsidRDefault="00560CEF" w:rsidP="00161B2A">
      <w:pPr>
        <w:rPr>
          <w:rFonts w:asciiTheme="majorHAnsi" w:hAnsiTheme="majorHAnsi" w:cstheme="minorHAnsi"/>
        </w:rPr>
      </w:pPr>
      <w:r w:rsidRPr="008D4276">
        <w:rPr>
          <w:rFonts w:asciiTheme="majorHAnsi" w:hAnsiTheme="majorHAnsi" w:cstheme="minorHAnsi"/>
        </w:rPr>
        <w:t>Avtozma does not contain any antimicrobial agent. Product is for single use in one patient only. Discard any residue.</w:t>
      </w:r>
    </w:p>
    <w:p w14:paraId="6B03BD63" w14:textId="77777777" w:rsidR="001A3992" w:rsidRPr="008D4276" w:rsidRDefault="001A3992" w:rsidP="001A3992">
      <w:pPr>
        <w:pStyle w:val="Heading2"/>
        <w:spacing w:before="0"/>
        <w:rPr>
          <w:rFonts w:cs="Calibri"/>
        </w:rPr>
      </w:pPr>
      <w:r w:rsidRPr="008D4276">
        <w:rPr>
          <w:rFonts w:cs="Calibri"/>
        </w:rPr>
        <w:t xml:space="preserve">Nature and contents of container </w:t>
      </w:r>
    </w:p>
    <w:p w14:paraId="7AFEC2F2" w14:textId="77777777" w:rsidR="00E63BA6" w:rsidRPr="0002092D" w:rsidRDefault="00E63BA6" w:rsidP="00161B2A">
      <w:pPr>
        <w:pStyle w:val="Heading3"/>
      </w:pPr>
      <w:r w:rsidRPr="0002092D">
        <w:t>Concentrated solution for intravenous infusion</w:t>
      </w:r>
    </w:p>
    <w:p w14:paraId="1A89B7AD" w14:textId="0DF231A8" w:rsidR="00E63BA6" w:rsidRPr="008D4276" w:rsidRDefault="00A077D8" w:rsidP="00E63BA6">
      <w:pPr>
        <w:rPr>
          <w:rFonts w:asciiTheme="majorHAnsi" w:hAnsiTheme="majorHAnsi" w:cstheme="minorHAnsi"/>
        </w:rPr>
      </w:pPr>
      <w:r w:rsidRPr="008D4276">
        <w:rPr>
          <w:rFonts w:asciiTheme="majorHAnsi" w:hAnsiTheme="majorHAnsi" w:cstheme="minorHAnsi"/>
        </w:rPr>
        <w:t>AVTOZMA</w:t>
      </w:r>
      <w:r w:rsidR="00020127" w:rsidRPr="008D4276">
        <w:rPr>
          <w:rFonts w:asciiTheme="majorHAnsi" w:hAnsiTheme="majorHAnsi" w:cstheme="minorHAnsi"/>
          <w:vertAlign w:val="superscript"/>
          <w:lang w:eastAsia="ko-KR"/>
        </w:rPr>
        <w:t>®</w:t>
      </w:r>
      <w:r w:rsidR="00E63BA6" w:rsidRPr="008D4276">
        <w:rPr>
          <w:rFonts w:asciiTheme="majorHAnsi" w:hAnsiTheme="majorHAnsi" w:cstheme="minorHAnsi"/>
        </w:rPr>
        <w:t xml:space="preserve"> is supplied in preservative-free, non-pyrogenic single-use, clear glass vials.</w:t>
      </w:r>
    </w:p>
    <w:p w14:paraId="43871B23" w14:textId="1F67A3C5" w:rsidR="00A077D8" w:rsidRPr="008D4276" w:rsidRDefault="00E63BA6" w:rsidP="004D6592">
      <w:pPr>
        <w:pStyle w:val="ListParagraph"/>
        <w:numPr>
          <w:ilvl w:val="0"/>
          <w:numId w:val="80"/>
        </w:numPr>
        <w:rPr>
          <w:rFonts w:asciiTheme="majorHAnsi" w:hAnsiTheme="majorHAnsi" w:cstheme="minorHAnsi"/>
        </w:rPr>
      </w:pPr>
      <w:r w:rsidRPr="008D4276">
        <w:rPr>
          <w:rFonts w:asciiTheme="majorHAnsi" w:hAnsiTheme="majorHAnsi" w:cstheme="minorHAnsi"/>
        </w:rPr>
        <w:t xml:space="preserve">Single use vial containing 80 mg of </w:t>
      </w:r>
      <w:r w:rsidR="00A077D8" w:rsidRPr="008D4276">
        <w:rPr>
          <w:rFonts w:asciiTheme="majorHAnsi" w:hAnsiTheme="majorHAnsi" w:cstheme="minorHAnsi"/>
        </w:rPr>
        <w:t>AVTOZMA</w:t>
      </w:r>
      <w:r w:rsidRPr="008D4276">
        <w:rPr>
          <w:rFonts w:asciiTheme="majorHAnsi" w:hAnsiTheme="majorHAnsi" w:cstheme="minorHAnsi"/>
        </w:rPr>
        <w:t xml:space="preserve"> in 4 mL (20 mg/mL). Packs of 1 and 4 vials. </w:t>
      </w:r>
    </w:p>
    <w:p w14:paraId="305821C5" w14:textId="660276B5" w:rsidR="00E63BA6" w:rsidRPr="008D4276" w:rsidRDefault="00E63BA6" w:rsidP="004D6592">
      <w:pPr>
        <w:pStyle w:val="ListParagraph"/>
        <w:numPr>
          <w:ilvl w:val="0"/>
          <w:numId w:val="80"/>
        </w:numPr>
        <w:rPr>
          <w:rFonts w:asciiTheme="majorHAnsi" w:hAnsiTheme="majorHAnsi" w:cstheme="minorHAnsi"/>
        </w:rPr>
      </w:pPr>
      <w:r w:rsidRPr="008D4276">
        <w:rPr>
          <w:rFonts w:asciiTheme="majorHAnsi" w:hAnsiTheme="majorHAnsi" w:cstheme="minorHAnsi"/>
        </w:rPr>
        <w:t xml:space="preserve">Single use vial containing 200 mg of </w:t>
      </w:r>
      <w:r w:rsidR="00A077D8" w:rsidRPr="008D4276">
        <w:rPr>
          <w:rFonts w:asciiTheme="majorHAnsi" w:hAnsiTheme="majorHAnsi" w:cstheme="minorHAnsi"/>
        </w:rPr>
        <w:t>AVTOZMA</w:t>
      </w:r>
      <w:r w:rsidRPr="008D4276">
        <w:rPr>
          <w:rFonts w:asciiTheme="majorHAnsi" w:hAnsiTheme="majorHAnsi" w:cstheme="minorHAnsi"/>
        </w:rPr>
        <w:t xml:space="preserve"> in 10 mL (20 mg/mL). Packs of 1 and 4 vials.</w:t>
      </w:r>
    </w:p>
    <w:p w14:paraId="401445B4" w14:textId="0790FC29" w:rsidR="00E63BA6" w:rsidRPr="008D4276" w:rsidRDefault="00E63BA6" w:rsidP="004D6592">
      <w:pPr>
        <w:pStyle w:val="ListParagraph"/>
        <w:numPr>
          <w:ilvl w:val="0"/>
          <w:numId w:val="80"/>
        </w:numPr>
        <w:rPr>
          <w:rFonts w:asciiTheme="majorHAnsi" w:hAnsiTheme="majorHAnsi" w:cstheme="minorHAnsi"/>
        </w:rPr>
      </w:pPr>
      <w:r w:rsidRPr="008D4276">
        <w:rPr>
          <w:rFonts w:asciiTheme="majorHAnsi" w:hAnsiTheme="majorHAnsi" w:cstheme="minorHAnsi"/>
        </w:rPr>
        <w:t xml:space="preserve">Single use vial containing 400 mg of </w:t>
      </w:r>
      <w:r w:rsidR="00A077D8" w:rsidRPr="008D4276">
        <w:rPr>
          <w:rFonts w:asciiTheme="majorHAnsi" w:hAnsiTheme="majorHAnsi" w:cstheme="minorHAnsi"/>
        </w:rPr>
        <w:t>AVTOZMA</w:t>
      </w:r>
      <w:r w:rsidRPr="008D4276">
        <w:rPr>
          <w:rFonts w:asciiTheme="majorHAnsi" w:hAnsiTheme="majorHAnsi" w:cstheme="minorHAnsi"/>
        </w:rPr>
        <w:t xml:space="preserve"> in 20 mL (20 mg/mL). Packs of 1 and 4 vials.</w:t>
      </w:r>
    </w:p>
    <w:p w14:paraId="64C2DAA3" w14:textId="77777777" w:rsidR="00E63BA6" w:rsidRPr="008D4276" w:rsidRDefault="00E63BA6" w:rsidP="00E63BA6">
      <w:pPr>
        <w:pStyle w:val="Heading3"/>
        <w:rPr>
          <w:rFonts w:cs="Calibri"/>
        </w:rPr>
      </w:pPr>
      <w:r w:rsidRPr="008D4276">
        <w:rPr>
          <w:rFonts w:cs="Calibri"/>
        </w:rPr>
        <w:t>Solution for subcutaneous injection</w:t>
      </w:r>
    </w:p>
    <w:p w14:paraId="1D7F6DC6" w14:textId="653B6759" w:rsidR="000C3F00" w:rsidRPr="008D4276" w:rsidRDefault="00A077D8" w:rsidP="004D6592">
      <w:pPr>
        <w:rPr>
          <w:rFonts w:asciiTheme="majorHAnsi" w:hAnsiTheme="majorHAnsi"/>
          <w:lang w:eastAsia="ko-KR"/>
        </w:rPr>
      </w:pPr>
      <w:r w:rsidRPr="008D4276">
        <w:rPr>
          <w:rFonts w:asciiTheme="majorHAnsi" w:hAnsiTheme="majorHAnsi"/>
        </w:rPr>
        <w:t>AVTOZMA</w:t>
      </w:r>
      <w:r w:rsidR="00020127" w:rsidRPr="008D4276">
        <w:rPr>
          <w:rFonts w:asciiTheme="majorHAnsi" w:hAnsiTheme="majorHAnsi"/>
          <w:vertAlign w:val="superscript"/>
          <w:lang w:eastAsia="ko-KR"/>
        </w:rPr>
        <w:t>®</w:t>
      </w:r>
      <w:r w:rsidR="00E63BA6" w:rsidRPr="008D4276">
        <w:rPr>
          <w:rFonts w:asciiTheme="majorHAnsi" w:hAnsiTheme="majorHAnsi"/>
        </w:rPr>
        <w:t xml:space="preserve"> is supplied as a preservative-free, non-pyrogenic solution presented in a ready-to-use, single-use pre-filled syringe </w:t>
      </w:r>
      <w:r w:rsidR="002B442D" w:rsidRPr="008D4276">
        <w:rPr>
          <w:rFonts w:asciiTheme="majorHAnsi" w:hAnsiTheme="majorHAnsi"/>
        </w:rPr>
        <w:t xml:space="preserve">with needle </w:t>
      </w:r>
      <w:r w:rsidR="004F516B" w:rsidRPr="008D4276">
        <w:rPr>
          <w:rFonts w:asciiTheme="majorHAnsi" w:hAnsiTheme="majorHAnsi"/>
        </w:rPr>
        <w:t xml:space="preserve">guard </w:t>
      </w:r>
      <w:r w:rsidR="00E63BA6" w:rsidRPr="008D4276">
        <w:rPr>
          <w:rFonts w:asciiTheme="majorHAnsi" w:hAnsiTheme="majorHAnsi"/>
        </w:rPr>
        <w:t>and pre-filled pen (A</w:t>
      </w:r>
      <w:r w:rsidRPr="008D4276">
        <w:rPr>
          <w:rFonts w:asciiTheme="majorHAnsi" w:hAnsiTheme="majorHAnsi"/>
        </w:rPr>
        <w:t>V</w:t>
      </w:r>
      <w:r w:rsidR="00E63BA6" w:rsidRPr="008D4276">
        <w:rPr>
          <w:rFonts w:asciiTheme="majorHAnsi" w:hAnsiTheme="majorHAnsi"/>
        </w:rPr>
        <w:t xml:space="preserve">TPen) </w:t>
      </w:r>
    </w:p>
    <w:p w14:paraId="3CA310E8" w14:textId="5F033302" w:rsidR="000C3F00" w:rsidRPr="008D4276" w:rsidRDefault="000C3F00" w:rsidP="004D6592">
      <w:pPr>
        <w:rPr>
          <w:rFonts w:asciiTheme="majorHAnsi" w:hAnsiTheme="majorHAnsi"/>
          <w:spacing w:val="-1"/>
        </w:rPr>
      </w:pPr>
      <w:r w:rsidRPr="008D4276">
        <w:rPr>
          <w:rFonts w:asciiTheme="majorHAnsi" w:hAnsiTheme="majorHAnsi"/>
          <w:spacing w:val="-1"/>
        </w:rPr>
        <w:t>The Avtozma pre-filled syringe</w:t>
      </w:r>
      <w:r w:rsidR="000D384E" w:rsidRPr="008D4276">
        <w:rPr>
          <w:rFonts w:asciiTheme="majorHAnsi" w:hAnsiTheme="majorHAnsi"/>
          <w:spacing w:val="-1"/>
          <w:lang w:eastAsia="ko-KR"/>
        </w:rPr>
        <w:t xml:space="preserve"> with needle guard</w:t>
      </w:r>
      <w:r w:rsidRPr="008D4276">
        <w:rPr>
          <w:rFonts w:asciiTheme="majorHAnsi" w:hAnsiTheme="majorHAnsi"/>
          <w:spacing w:val="-1"/>
        </w:rPr>
        <w:t xml:space="preserve"> for patient use is available in packs containing:</w:t>
      </w:r>
    </w:p>
    <w:p w14:paraId="56CC752A" w14:textId="77777777" w:rsidR="000C3F00" w:rsidRPr="008D4276" w:rsidRDefault="000C3F00" w:rsidP="004D6592">
      <w:pPr>
        <w:pStyle w:val="ListParagraph"/>
        <w:numPr>
          <w:ilvl w:val="0"/>
          <w:numId w:val="78"/>
        </w:numPr>
        <w:rPr>
          <w:rFonts w:asciiTheme="majorHAnsi" w:hAnsiTheme="majorHAnsi"/>
        </w:rPr>
      </w:pPr>
      <w:r w:rsidRPr="008D4276">
        <w:rPr>
          <w:rFonts w:asciiTheme="majorHAnsi" w:hAnsiTheme="majorHAnsi"/>
        </w:rPr>
        <w:t>1 pre-filled syringe</w:t>
      </w:r>
    </w:p>
    <w:p w14:paraId="7CB7A0C6" w14:textId="77777777" w:rsidR="000C3F00" w:rsidRPr="008D4276" w:rsidRDefault="000C3F00" w:rsidP="004D6592">
      <w:pPr>
        <w:pStyle w:val="ListParagraph"/>
        <w:numPr>
          <w:ilvl w:val="0"/>
          <w:numId w:val="78"/>
        </w:numPr>
        <w:rPr>
          <w:rFonts w:asciiTheme="majorHAnsi" w:hAnsiTheme="majorHAnsi"/>
        </w:rPr>
      </w:pPr>
      <w:r w:rsidRPr="008D4276">
        <w:rPr>
          <w:rFonts w:asciiTheme="majorHAnsi" w:hAnsiTheme="majorHAnsi"/>
        </w:rPr>
        <w:t>4 pre-filled syringes</w:t>
      </w:r>
    </w:p>
    <w:p w14:paraId="2B9FC7F0" w14:textId="77777777" w:rsidR="000C3F00" w:rsidRPr="008D4276" w:rsidRDefault="000C3F00" w:rsidP="004D6592">
      <w:pPr>
        <w:pStyle w:val="ListParagraph"/>
        <w:numPr>
          <w:ilvl w:val="0"/>
          <w:numId w:val="78"/>
        </w:numPr>
        <w:rPr>
          <w:rFonts w:asciiTheme="majorHAnsi" w:hAnsiTheme="majorHAnsi"/>
        </w:rPr>
      </w:pPr>
      <w:r w:rsidRPr="008D4276">
        <w:rPr>
          <w:rFonts w:asciiTheme="majorHAnsi" w:hAnsiTheme="majorHAnsi"/>
        </w:rPr>
        <w:t>12 (3 packs of 4) pre-filled syringes (Multipacks)</w:t>
      </w:r>
    </w:p>
    <w:p w14:paraId="3C9C7389" w14:textId="0230BAD0" w:rsidR="000524CC" w:rsidRPr="008D4276" w:rsidRDefault="00651305" w:rsidP="004D6592">
      <w:pPr>
        <w:rPr>
          <w:rFonts w:asciiTheme="majorHAnsi" w:hAnsiTheme="majorHAnsi"/>
        </w:rPr>
      </w:pPr>
      <w:r w:rsidRPr="008D4276">
        <w:rPr>
          <w:rFonts w:asciiTheme="majorHAnsi" w:hAnsiTheme="majorHAnsi"/>
        </w:rPr>
        <w:t>Single-use pre-filled</w:t>
      </w:r>
      <w:r w:rsidRPr="008D4276">
        <w:rPr>
          <w:rFonts w:asciiTheme="majorHAnsi" w:hAnsiTheme="majorHAnsi"/>
          <w:lang w:eastAsia="ko-KR"/>
        </w:rPr>
        <w:t xml:space="preserve"> syringe </w:t>
      </w:r>
      <w:r w:rsidRPr="008D4276">
        <w:rPr>
          <w:rFonts w:asciiTheme="majorHAnsi" w:hAnsiTheme="majorHAnsi"/>
        </w:rPr>
        <w:t xml:space="preserve">with needle safety device. Each </w:t>
      </w:r>
      <w:r w:rsidR="001E4C7A" w:rsidRPr="008D4276">
        <w:rPr>
          <w:rFonts w:asciiTheme="majorHAnsi" w:hAnsiTheme="majorHAnsi"/>
          <w:lang w:eastAsia="ko-KR"/>
        </w:rPr>
        <w:t>syringe with needle guard</w:t>
      </w:r>
      <w:r w:rsidRPr="008D4276">
        <w:rPr>
          <w:rFonts w:asciiTheme="majorHAnsi" w:hAnsiTheme="majorHAnsi"/>
        </w:rPr>
        <w:t xml:space="preserve"> contains 162</w:t>
      </w:r>
      <w:r w:rsidR="004D6592" w:rsidRPr="008D4276">
        <w:rPr>
          <w:rFonts w:asciiTheme="majorHAnsi" w:hAnsiTheme="majorHAnsi"/>
        </w:rPr>
        <w:t> </w:t>
      </w:r>
      <w:r w:rsidRPr="008D4276">
        <w:rPr>
          <w:rFonts w:asciiTheme="majorHAnsi" w:hAnsiTheme="majorHAnsi"/>
        </w:rPr>
        <w:t>mg of AVTOZMA</w:t>
      </w:r>
      <w:r w:rsidRPr="008D4276" w:rsidDel="00A077D8">
        <w:rPr>
          <w:rFonts w:asciiTheme="majorHAnsi" w:hAnsiTheme="majorHAnsi"/>
        </w:rPr>
        <w:t xml:space="preserve"> </w:t>
      </w:r>
      <w:r w:rsidRPr="008D4276">
        <w:rPr>
          <w:rFonts w:asciiTheme="majorHAnsi" w:hAnsiTheme="majorHAnsi"/>
        </w:rPr>
        <w:t xml:space="preserve">a in 0.9 mL. Available in packs of 1 ,4 and 12  </w:t>
      </w:r>
      <w:r w:rsidRPr="008D4276">
        <w:rPr>
          <w:rFonts w:asciiTheme="majorHAnsi" w:hAnsiTheme="majorHAnsi"/>
          <w:lang w:eastAsia="ko-KR"/>
        </w:rPr>
        <w:t>syringe</w:t>
      </w:r>
      <w:r w:rsidRPr="008D4276">
        <w:rPr>
          <w:rFonts w:asciiTheme="majorHAnsi" w:hAnsiTheme="majorHAnsi"/>
        </w:rPr>
        <w:t>s.</w:t>
      </w:r>
    </w:p>
    <w:p w14:paraId="54DF8DD3" w14:textId="1F0BB93F" w:rsidR="000524CC" w:rsidRPr="008D4276" w:rsidRDefault="000524CC" w:rsidP="004D6592">
      <w:pPr>
        <w:rPr>
          <w:rFonts w:asciiTheme="majorHAnsi" w:hAnsiTheme="majorHAnsi"/>
          <w:spacing w:val="-1"/>
        </w:rPr>
      </w:pPr>
      <w:r w:rsidRPr="008D4276">
        <w:rPr>
          <w:rFonts w:asciiTheme="majorHAnsi" w:hAnsiTheme="majorHAnsi"/>
          <w:spacing w:val="-1"/>
        </w:rPr>
        <w:t xml:space="preserve">The Avtozma pre-filled </w:t>
      </w:r>
      <w:r w:rsidRPr="008D4276">
        <w:rPr>
          <w:rFonts w:asciiTheme="majorHAnsi" w:hAnsiTheme="majorHAnsi"/>
          <w:spacing w:val="-1"/>
          <w:lang w:eastAsia="ko-KR"/>
        </w:rPr>
        <w:t xml:space="preserve">pen </w:t>
      </w:r>
      <w:r w:rsidRPr="008D4276">
        <w:rPr>
          <w:rFonts w:asciiTheme="majorHAnsi" w:hAnsiTheme="majorHAnsi"/>
          <w:spacing w:val="-1"/>
        </w:rPr>
        <w:t>for patient use is available in packs containing:</w:t>
      </w:r>
    </w:p>
    <w:p w14:paraId="1F50C93F" w14:textId="4B674A17" w:rsidR="000524CC" w:rsidRPr="008D4276" w:rsidRDefault="000524CC" w:rsidP="004D6592">
      <w:pPr>
        <w:pStyle w:val="ListParagraph"/>
        <w:numPr>
          <w:ilvl w:val="0"/>
          <w:numId w:val="79"/>
        </w:numPr>
        <w:rPr>
          <w:rFonts w:asciiTheme="majorHAnsi" w:hAnsiTheme="majorHAnsi"/>
        </w:rPr>
      </w:pPr>
      <w:r w:rsidRPr="008D4276">
        <w:rPr>
          <w:rFonts w:asciiTheme="majorHAnsi" w:hAnsiTheme="majorHAnsi"/>
        </w:rPr>
        <w:t xml:space="preserve">1 pre-filled </w:t>
      </w:r>
      <w:r w:rsidRPr="008D4276">
        <w:rPr>
          <w:rFonts w:asciiTheme="majorHAnsi" w:hAnsiTheme="majorHAnsi"/>
          <w:lang w:eastAsia="ko-KR"/>
        </w:rPr>
        <w:t>pen</w:t>
      </w:r>
    </w:p>
    <w:p w14:paraId="79453772" w14:textId="17EB5902" w:rsidR="000524CC" w:rsidRPr="008D4276" w:rsidRDefault="000524CC" w:rsidP="004D6592">
      <w:pPr>
        <w:pStyle w:val="ListParagraph"/>
        <w:numPr>
          <w:ilvl w:val="0"/>
          <w:numId w:val="79"/>
        </w:numPr>
        <w:rPr>
          <w:rFonts w:asciiTheme="majorHAnsi" w:hAnsiTheme="majorHAnsi"/>
        </w:rPr>
      </w:pPr>
      <w:r w:rsidRPr="008D4276">
        <w:rPr>
          <w:rFonts w:asciiTheme="majorHAnsi" w:hAnsiTheme="majorHAnsi"/>
        </w:rPr>
        <w:t xml:space="preserve">4 pre-filled </w:t>
      </w:r>
      <w:r w:rsidRPr="008D4276">
        <w:rPr>
          <w:rFonts w:asciiTheme="majorHAnsi" w:hAnsiTheme="majorHAnsi"/>
          <w:lang w:eastAsia="ko-KR"/>
        </w:rPr>
        <w:t>pen</w:t>
      </w:r>
      <w:r w:rsidR="00F24AB2" w:rsidRPr="008D4276">
        <w:rPr>
          <w:rFonts w:asciiTheme="majorHAnsi" w:hAnsiTheme="majorHAnsi"/>
          <w:lang w:eastAsia="ko-KR"/>
        </w:rPr>
        <w:t>s</w:t>
      </w:r>
    </w:p>
    <w:p w14:paraId="409D6B71" w14:textId="4903F4A8" w:rsidR="000524CC" w:rsidRPr="008D4276" w:rsidRDefault="000524CC" w:rsidP="004D6592">
      <w:pPr>
        <w:pStyle w:val="ListParagraph"/>
        <w:numPr>
          <w:ilvl w:val="0"/>
          <w:numId w:val="79"/>
        </w:numPr>
        <w:rPr>
          <w:rFonts w:asciiTheme="majorHAnsi" w:hAnsiTheme="majorHAnsi"/>
        </w:rPr>
      </w:pPr>
      <w:r w:rsidRPr="008D4276">
        <w:rPr>
          <w:rFonts w:asciiTheme="majorHAnsi" w:hAnsiTheme="majorHAnsi"/>
        </w:rPr>
        <w:t xml:space="preserve">12 (3 packs of 4) pre-filled </w:t>
      </w:r>
      <w:r w:rsidR="00F24AB2" w:rsidRPr="008D4276">
        <w:rPr>
          <w:rFonts w:asciiTheme="majorHAnsi" w:hAnsiTheme="majorHAnsi"/>
          <w:lang w:eastAsia="ko-KR"/>
        </w:rPr>
        <w:t>pen</w:t>
      </w:r>
      <w:r w:rsidR="00582761" w:rsidRPr="008D4276">
        <w:rPr>
          <w:rFonts w:asciiTheme="majorHAnsi" w:hAnsiTheme="majorHAnsi"/>
          <w:lang w:eastAsia="ko-KR"/>
        </w:rPr>
        <w:t>s</w:t>
      </w:r>
      <w:r w:rsidRPr="008D4276">
        <w:rPr>
          <w:rFonts w:asciiTheme="majorHAnsi" w:hAnsiTheme="majorHAnsi"/>
        </w:rPr>
        <w:t xml:space="preserve"> (Multipacks)</w:t>
      </w:r>
    </w:p>
    <w:p w14:paraId="4AC2AECC" w14:textId="427AEAC1" w:rsidR="00E63BA6" w:rsidRPr="008D4276" w:rsidRDefault="00E63BA6" w:rsidP="00E63BA6">
      <w:pPr>
        <w:rPr>
          <w:rFonts w:asciiTheme="majorHAnsi" w:hAnsiTheme="majorHAnsi" w:cstheme="minorHAnsi"/>
        </w:rPr>
      </w:pPr>
      <w:r w:rsidRPr="008D4276">
        <w:rPr>
          <w:rFonts w:asciiTheme="majorHAnsi" w:hAnsiTheme="majorHAnsi" w:cstheme="minorHAnsi"/>
        </w:rPr>
        <w:t>Single-use pre-filled pen (A</w:t>
      </w:r>
      <w:r w:rsidR="00A077D8" w:rsidRPr="008D4276">
        <w:rPr>
          <w:rFonts w:asciiTheme="majorHAnsi" w:hAnsiTheme="majorHAnsi" w:cstheme="minorHAnsi"/>
        </w:rPr>
        <w:t>V</w:t>
      </w:r>
      <w:r w:rsidRPr="008D4276">
        <w:rPr>
          <w:rFonts w:asciiTheme="majorHAnsi" w:hAnsiTheme="majorHAnsi" w:cstheme="minorHAnsi"/>
        </w:rPr>
        <w:t>TPen)</w:t>
      </w:r>
      <w:r w:rsidR="00A2022C" w:rsidRPr="008D4276">
        <w:rPr>
          <w:rFonts w:asciiTheme="majorHAnsi" w:hAnsiTheme="majorHAnsi" w:cstheme="minorHAnsi"/>
          <w:lang w:eastAsia="ko-KR"/>
        </w:rPr>
        <w:t>, e</w:t>
      </w:r>
      <w:r w:rsidRPr="008D4276">
        <w:rPr>
          <w:rFonts w:asciiTheme="majorHAnsi" w:hAnsiTheme="majorHAnsi" w:cstheme="minorHAnsi"/>
        </w:rPr>
        <w:t xml:space="preserve">ach pen contains 162 mg of </w:t>
      </w:r>
      <w:r w:rsidR="00A077D8" w:rsidRPr="008D4276">
        <w:rPr>
          <w:rFonts w:asciiTheme="majorHAnsi" w:hAnsiTheme="majorHAnsi" w:cstheme="minorHAnsi"/>
        </w:rPr>
        <w:t>AVTOZMA</w:t>
      </w:r>
      <w:r w:rsidR="00A077D8" w:rsidRPr="008D4276" w:rsidDel="00A077D8">
        <w:rPr>
          <w:rFonts w:asciiTheme="majorHAnsi" w:hAnsiTheme="majorHAnsi" w:cstheme="minorHAnsi"/>
        </w:rPr>
        <w:t xml:space="preserve"> </w:t>
      </w:r>
      <w:r w:rsidRPr="008D4276">
        <w:rPr>
          <w:rFonts w:asciiTheme="majorHAnsi" w:hAnsiTheme="majorHAnsi" w:cstheme="minorHAnsi"/>
        </w:rPr>
        <w:t xml:space="preserve">a in 0.9 mL Available in packs of 1 </w:t>
      </w:r>
      <w:r w:rsidR="0037403A" w:rsidRPr="008D4276">
        <w:rPr>
          <w:rFonts w:asciiTheme="majorHAnsi" w:hAnsiTheme="majorHAnsi" w:cstheme="minorHAnsi"/>
        </w:rPr>
        <w:t>,</w:t>
      </w:r>
      <w:r w:rsidRPr="008D4276">
        <w:rPr>
          <w:rFonts w:asciiTheme="majorHAnsi" w:hAnsiTheme="majorHAnsi" w:cstheme="minorHAnsi"/>
        </w:rPr>
        <w:t>4</w:t>
      </w:r>
      <w:r w:rsidR="0037403A" w:rsidRPr="008D4276">
        <w:rPr>
          <w:rFonts w:asciiTheme="majorHAnsi" w:hAnsiTheme="majorHAnsi" w:cstheme="minorHAnsi"/>
        </w:rPr>
        <w:t xml:space="preserve"> and 12 </w:t>
      </w:r>
      <w:r w:rsidRPr="008D4276">
        <w:rPr>
          <w:rFonts w:asciiTheme="majorHAnsi" w:hAnsiTheme="majorHAnsi" w:cstheme="minorHAnsi"/>
        </w:rPr>
        <w:t>pens.</w:t>
      </w:r>
    </w:p>
    <w:p w14:paraId="1576F577" w14:textId="1F06A689" w:rsidR="00651305" w:rsidRPr="008D4276" w:rsidRDefault="000B41A9" w:rsidP="004D6592">
      <w:pPr>
        <w:rPr>
          <w:rFonts w:asciiTheme="majorHAnsi" w:hAnsiTheme="majorHAnsi"/>
          <w:lang w:eastAsia="ko-KR"/>
        </w:rPr>
      </w:pPr>
      <w:r w:rsidRPr="008D4276">
        <w:rPr>
          <w:rFonts w:asciiTheme="majorHAnsi" w:hAnsiTheme="majorHAnsi"/>
        </w:rPr>
        <w:t>Component of a multipack</w:t>
      </w:r>
      <w:r w:rsidR="008F46EC" w:rsidRPr="008D4276">
        <w:rPr>
          <w:rFonts w:asciiTheme="majorHAnsi" w:hAnsiTheme="majorHAnsi"/>
        </w:rPr>
        <w:t xml:space="preserve"> can</w:t>
      </w:r>
      <w:r w:rsidR="006870F8" w:rsidRPr="008D4276">
        <w:rPr>
          <w:rFonts w:asciiTheme="majorHAnsi" w:hAnsiTheme="majorHAnsi"/>
          <w:lang w:eastAsia="ko-KR"/>
        </w:rPr>
        <w:t>not</w:t>
      </w:r>
      <w:r w:rsidR="008F46EC" w:rsidRPr="008D4276">
        <w:rPr>
          <w:rFonts w:asciiTheme="majorHAnsi" w:hAnsiTheme="majorHAnsi"/>
        </w:rPr>
        <w:t xml:space="preserve"> be sold separately. 162 mg/0.9 mL</w:t>
      </w:r>
      <w:r w:rsidR="004D6592" w:rsidRPr="008D4276">
        <w:rPr>
          <w:rFonts w:asciiTheme="majorHAnsi" w:hAnsiTheme="majorHAnsi"/>
        </w:rPr>
        <w:t xml:space="preserve">. </w:t>
      </w:r>
    </w:p>
    <w:p w14:paraId="09BC6FB6" w14:textId="3D2B9F3A" w:rsidR="000524CC" w:rsidRPr="008D4276" w:rsidRDefault="00A077D8" w:rsidP="004D6592">
      <w:pPr>
        <w:rPr>
          <w:rFonts w:asciiTheme="majorHAnsi" w:hAnsiTheme="majorHAnsi" w:cstheme="minorHAnsi"/>
          <w:lang w:eastAsia="ko-KR"/>
        </w:rPr>
      </w:pPr>
      <w:r w:rsidRPr="008D4276">
        <w:rPr>
          <w:rFonts w:asciiTheme="majorHAnsi" w:hAnsiTheme="majorHAnsi" w:cstheme="minorHAnsi"/>
        </w:rPr>
        <w:t xml:space="preserve">Some pack sizes </w:t>
      </w:r>
      <w:r w:rsidR="00560CEF" w:rsidRPr="008D4276">
        <w:rPr>
          <w:rFonts w:asciiTheme="majorHAnsi" w:hAnsiTheme="majorHAnsi" w:cstheme="minorHAnsi"/>
        </w:rPr>
        <w:t xml:space="preserve">may </w:t>
      </w:r>
      <w:r w:rsidRPr="008D4276">
        <w:rPr>
          <w:rFonts w:asciiTheme="majorHAnsi" w:hAnsiTheme="majorHAnsi" w:cstheme="minorHAnsi"/>
        </w:rPr>
        <w:t>not</w:t>
      </w:r>
      <w:r w:rsidRPr="008D4276">
        <w:rPr>
          <w:rFonts w:asciiTheme="majorHAnsi" w:hAnsiTheme="majorHAnsi" w:cstheme="minorHAnsi"/>
          <w:spacing w:val="2"/>
        </w:rPr>
        <w:t xml:space="preserve"> </w:t>
      </w:r>
      <w:r w:rsidR="00560CEF" w:rsidRPr="008D4276">
        <w:rPr>
          <w:rFonts w:asciiTheme="majorHAnsi" w:hAnsiTheme="majorHAnsi" w:cstheme="minorHAnsi"/>
          <w:spacing w:val="2"/>
        </w:rPr>
        <w:t xml:space="preserve">be </w:t>
      </w:r>
      <w:r w:rsidRPr="008D4276">
        <w:rPr>
          <w:rFonts w:asciiTheme="majorHAnsi" w:hAnsiTheme="majorHAnsi" w:cstheme="minorHAnsi"/>
        </w:rPr>
        <w:t>marketed.</w:t>
      </w:r>
    </w:p>
    <w:p w14:paraId="09856B2A" w14:textId="77777777" w:rsidR="001A3992" w:rsidRPr="008D4276" w:rsidRDefault="001A3992" w:rsidP="001A3992">
      <w:pPr>
        <w:pStyle w:val="Heading2"/>
        <w:spacing w:before="0"/>
        <w:rPr>
          <w:rFonts w:cs="Calibri"/>
        </w:rPr>
      </w:pPr>
      <w:r w:rsidRPr="008D4276">
        <w:rPr>
          <w:rFonts w:cs="Calibri"/>
        </w:rPr>
        <w:t xml:space="preserve">Special precautions for disposal </w:t>
      </w:r>
    </w:p>
    <w:p w14:paraId="42466A30" w14:textId="77777777" w:rsidR="00E63BA6" w:rsidRPr="008D4276" w:rsidRDefault="00E63BA6" w:rsidP="00E63BA6">
      <w:pPr>
        <w:rPr>
          <w:rFonts w:asciiTheme="majorHAnsi" w:hAnsiTheme="majorHAnsi" w:cstheme="minorHAnsi"/>
        </w:rPr>
      </w:pPr>
      <w:r w:rsidRPr="008D4276">
        <w:rPr>
          <w:rFonts w:asciiTheme="majorHAnsi" w:hAnsiTheme="majorHAnsi" w:cstheme="minorHAnsi"/>
        </w:rPr>
        <w:t>The release of medicines into the environment should be minimised. Medicines should not be disposed of via wastewater and disposal through household waste should be avoided. Unused or expired medicine should be returned to a pharmacy for disposal.</w:t>
      </w:r>
    </w:p>
    <w:p w14:paraId="22647993" w14:textId="77777777" w:rsidR="00E63BA6" w:rsidRPr="008D4276" w:rsidRDefault="00E63BA6" w:rsidP="00E63BA6">
      <w:pPr>
        <w:rPr>
          <w:rFonts w:asciiTheme="majorHAnsi" w:hAnsiTheme="majorHAnsi" w:cstheme="minorHAnsi"/>
          <w:u w:val="single"/>
        </w:rPr>
      </w:pPr>
      <w:r w:rsidRPr="008D4276">
        <w:rPr>
          <w:rFonts w:asciiTheme="majorHAnsi" w:hAnsiTheme="majorHAnsi" w:cstheme="minorHAnsi"/>
          <w:u w:val="single"/>
        </w:rPr>
        <w:t>Disposal of syringes/pens /sharps</w:t>
      </w:r>
    </w:p>
    <w:p w14:paraId="0398B07B" w14:textId="0AACBFF6" w:rsidR="00E63BA6" w:rsidRPr="008D4276" w:rsidRDefault="00E63BA6" w:rsidP="00E63BA6">
      <w:pPr>
        <w:rPr>
          <w:rFonts w:asciiTheme="majorHAnsi" w:hAnsiTheme="majorHAnsi" w:cstheme="minorHAnsi"/>
        </w:rPr>
      </w:pPr>
      <w:r w:rsidRPr="008D4276">
        <w:rPr>
          <w:rFonts w:asciiTheme="majorHAnsi" w:hAnsiTheme="majorHAnsi" w:cstheme="minorHAnsi"/>
        </w:rPr>
        <w:t>The following points should be strictly adhered to regarding the use and disposal of the pre-filled syringe</w:t>
      </w:r>
      <w:r w:rsidR="00E57402" w:rsidRPr="008D4276">
        <w:rPr>
          <w:rFonts w:asciiTheme="majorHAnsi" w:hAnsiTheme="majorHAnsi" w:cstheme="minorHAnsi"/>
          <w:lang w:eastAsia="ko-KR"/>
        </w:rPr>
        <w:t xml:space="preserve"> with needle guard</w:t>
      </w:r>
      <w:r w:rsidRPr="008D4276">
        <w:rPr>
          <w:rFonts w:asciiTheme="majorHAnsi" w:hAnsiTheme="majorHAnsi" w:cstheme="minorHAnsi"/>
        </w:rPr>
        <w:t xml:space="preserve"> and pre-filled pen:</w:t>
      </w:r>
    </w:p>
    <w:p w14:paraId="13B71B61" w14:textId="65374193" w:rsidR="00E63BA6" w:rsidRPr="008D4276" w:rsidRDefault="00E63BA6" w:rsidP="00B36DBA">
      <w:pPr>
        <w:pStyle w:val="ListParagraph"/>
        <w:numPr>
          <w:ilvl w:val="0"/>
          <w:numId w:val="83"/>
        </w:numPr>
        <w:rPr>
          <w:rFonts w:asciiTheme="majorHAnsi" w:hAnsiTheme="majorHAnsi"/>
        </w:rPr>
      </w:pPr>
      <w:r w:rsidRPr="008D4276">
        <w:rPr>
          <w:rFonts w:asciiTheme="majorHAnsi" w:hAnsiTheme="majorHAnsi"/>
        </w:rPr>
        <w:lastRenderedPageBreak/>
        <w:t>Syringes and pens should never be reused.</w:t>
      </w:r>
    </w:p>
    <w:p w14:paraId="72A210A8" w14:textId="67307A90" w:rsidR="00E63BA6" w:rsidRPr="008D4276" w:rsidRDefault="00E63BA6" w:rsidP="00B36DBA">
      <w:pPr>
        <w:pStyle w:val="ListParagraph"/>
        <w:numPr>
          <w:ilvl w:val="0"/>
          <w:numId w:val="83"/>
        </w:numPr>
        <w:rPr>
          <w:rFonts w:asciiTheme="majorHAnsi" w:hAnsiTheme="majorHAnsi"/>
        </w:rPr>
      </w:pPr>
      <w:r w:rsidRPr="008D4276">
        <w:rPr>
          <w:rFonts w:asciiTheme="majorHAnsi" w:hAnsiTheme="majorHAnsi"/>
        </w:rPr>
        <w:t>Place all used syringes and pens into a sharps container (puncture-proof disposable container).</w:t>
      </w:r>
    </w:p>
    <w:p w14:paraId="4E65F49E" w14:textId="6BC79EC6" w:rsidR="00E63BA6" w:rsidRPr="008D4276" w:rsidRDefault="00E63BA6" w:rsidP="00B36DBA">
      <w:pPr>
        <w:pStyle w:val="ListParagraph"/>
        <w:numPr>
          <w:ilvl w:val="0"/>
          <w:numId w:val="83"/>
        </w:numPr>
        <w:rPr>
          <w:rFonts w:asciiTheme="majorHAnsi" w:hAnsiTheme="majorHAnsi"/>
        </w:rPr>
      </w:pPr>
      <w:r w:rsidRPr="008D4276">
        <w:rPr>
          <w:rFonts w:asciiTheme="majorHAnsi" w:hAnsiTheme="majorHAnsi"/>
        </w:rPr>
        <w:t>Keep this container out of the reach of children.</w:t>
      </w:r>
    </w:p>
    <w:p w14:paraId="38662758" w14:textId="2BFAC809" w:rsidR="00E63BA6" w:rsidRPr="008D4276" w:rsidRDefault="00E63BA6" w:rsidP="00B36DBA">
      <w:pPr>
        <w:pStyle w:val="ListParagraph"/>
        <w:numPr>
          <w:ilvl w:val="0"/>
          <w:numId w:val="83"/>
        </w:numPr>
        <w:rPr>
          <w:rFonts w:asciiTheme="majorHAnsi" w:hAnsiTheme="majorHAnsi"/>
        </w:rPr>
      </w:pPr>
      <w:r w:rsidRPr="008D4276">
        <w:rPr>
          <w:rFonts w:asciiTheme="majorHAnsi" w:hAnsiTheme="majorHAnsi"/>
        </w:rPr>
        <w:t>Placing used sharps containers in the household waste should be avoided.</w:t>
      </w:r>
    </w:p>
    <w:p w14:paraId="42001B8F" w14:textId="6D1058BC" w:rsidR="00E63BA6" w:rsidRPr="008D4276" w:rsidRDefault="00E63BA6" w:rsidP="00B36DBA">
      <w:pPr>
        <w:pStyle w:val="ListParagraph"/>
        <w:numPr>
          <w:ilvl w:val="0"/>
          <w:numId w:val="83"/>
        </w:numPr>
        <w:rPr>
          <w:rFonts w:asciiTheme="majorHAnsi" w:hAnsiTheme="majorHAnsi"/>
        </w:rPr>
      </w:pPr>
      <w:r w:rsidRPr="008D4276">
        <w:rPr>
          <w:rFonts w:asciiTheme="majorHAnsi" w:hAnsiTheme="majorHAnsi"/>
        </w:rPr>
        <w:t>Dispose of the full container according to local requirements or as instructed by your healthcare provider.</w:t>
      </w:r>
    </w:p>
    <w:p w14:paraId="132CB3D5" w14:textId="3AF0F571" w:rsidR="002B424E" w:rsidRPr="008D4276" w:rsidRDefault="00E63BA6" w:rsidP="00B36DBA">
      <w:pPr>
        <w:pStyle w:val="ListParagraph"/>
        <w:numPr>
          <w:ilvl w:val="0"/>
          <w:numId w:val="83"/>
        </w:numPr>
        <w:rPr>
          <w:rFonts w:asciiTheme="majorHAnsi" w:hAnsiTheme="majorHAnsi"/>
        </w:rPr>
      </w:pPr>
      <w:r w:rsidRPr="008D4276">
        <w:rPr>
          <w:rFonts w:asciiTheme="majorHAnsi" w:hAnsiTheme="majorHAnsi"/>
        </w:rPr>
        <w:t>For home use, patients should procure a puncture resistant container for the disposal of used syringes and pens.</w:t>
      </w:r>
    </w:p>
    <w:p w14:paraId="34FBA94D" w14:textId="77777777" w:rsidR="001A3992" w:rsidRPr="008D4276" w:rsidRDefault="001A3992" w:rsidP="001A3992">
      <w:pPr>
        <w:pStyle w:val="Heading2"/>
        <w:spacing w:before="0"/>
        <w:rPr>
          <w:rFonts w:cs="Calibri"/>
        </w:rPr>
      </w:pPr>
      <w:r w:rsidRPr="008D4276">
        <w:rPr>
          <w:rFonts w:cs="Calibri"/>
        </w:rPr>
        <w:t>Physicochemical properties</w:t>
      </w:r>
    </w:p>
    <w:p w14:paraId="359ACE48" w14:textId="77777777" w:rsidR="001A3992" w:rsidRPr="008D4276" w:rsidRDefault="001A3992" w:rsidP="001A3992">
      <w:pPr>
        <w:pStyle w:val="Heading3"/>
        <w:spacing w:before="0" w:after="120"/>
        <w:rPr>
          <w:rFonts w:cs="Calibri"/>
        </w:rPr>
      </w:pPr>
      <w:r w:rsidRPr="008D4276">
        <w:rPr>
          <w:rFonts w:cs="Calibri"/>
        </w:rPr>
        <w:t>Chemical structure</w:t>
      </w:r>
    </w:p>
    <w:p w14:paraId="7D79FC23" w14:textId="2343B95E" w:rsidR="00E63BA6" w:rsidRPr="008D4276" w:rsidRDefault="00E63BA6" w:rsidP="00E63BA6">
      <w:pPr>
        <w:rPr>
          <w:rFonts w:asciiTheme="majorHAnsi" w:hAnsiTheme="majorHAnsi" w:cstheme="minorHAnsi"/>
        </w:rPr>
      </w:pPr>
      <w:r w:rsidRPr="008D4276">
        <w:rPr>
          <w:rFonts w:asciiTheme="majorHAnsi" w:hAnsiTheme="majorHAnsi" w:cstheme="minorHAnsi"/>
          <w:noProof/>
        </w:rPr>
        <mc:AlternateContent>
          <mc:Choice Requires="wpg">
            <w:drawing>
              <wp:anchor distT="0" distB="0" distL="0" distR="0" simplePos="0" relativeHeight="251658241" behindDoc="1" locked="0" layoutInCell="1" allowOverlap="1" wp14:anchorId="782AFEFF" wp14:editId="24857127">
                <wp:simplePos x="0" y="0"/>
                <wp:positionH relativeFrom="page">
                  <wp:posOffset>914400</wp:posOffset>
                </wp:positionH>
                <wp:positionV relativeFrom="paragraph">
                  <wp:posOffset>325755</wp:posOffset>
                </wp:positionV>
                <wp:extent cx="1252220" cy="101917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2220" cy="1019175"/>
                          <a:chOff x="0" y="0"/>
                          <a:chExt cx="1252220" cy="1019175"/>
                        </a:xfrm>
                      </wpg:grpSpPr>
                      <wps:wsp>
                        <wps:cNvPr id="10" name="Graphic 10"/>
                        <wps:cNvSpPr/>
                        <wps:spPr>
                          <a:xfrm>
                            <a:off x="429742" y="674052"/>
                            <a:ext cx="38735" cy="79375"/>
                          </a:xfrm>
                          <a:custGeom>
                            <a:avLst/>
                            <a:gdLst/>
                            <a:ahLst/>
                            <a:cxnLst/>
                            <a:rect l="l" t="t" r="r" b="b"/>
                            <a:pathLst>
                              <a:path w="38735" h="79375">
                                <a:moveTo>
                                  <a:pt x="38226" y="79374"/>
                                </a:move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1" name="Graphic 11"/>
                        <wps:cNvSpPr/>
                        <wps:spPr>
                          <a:xfrm>
                            <a:off x="426440" y="254698"/>
                            <a:ext cx="230504" cy="383540"/>
                          </a:xfrm>
                          <a:custGeom>
                            <a:avLst/>
                            <a:gdLst/>
                            <a:ahLst/>
                            <a:cxnLst/>
                            <a:rect l="l" t="t" r="r" b="b"/>
                            <a:pathLst>
                              <a:path w="230504" h="383540">
                                <a:moveTo>
                                  <a:pt x="0" y="61341"/>
                                </a:moveTo>
                                <a:lnTo>
                                  <a:pt x="33019" y="0"/>
                                </a:lnTo>
                              </a:path>
                              <a:path w="230504" h="383540">
                                <a:moveTo>
                                  <a:pt x="72771" y="383159"/>
                                </a:moveTo>
                                <a:lnTo>
                                  <a:pt x="230378" y="311658"/>
                                </a:lnTo>
                              </a:path>
                            </a:pathLst>
                          </a:custGeom>
                          <a:ln w="28575">
                            <a:solidFill>
                              <a:srgbClr val="000000"/>
                            </a:solidFill>
                            <a:prstDash val="solid"/>
                          </a:ln>
                        </wps:spPr>
                        <wps:bodyPr wrap="square" lIns="0" tIns="0" rIns="0" bIns="0" rtlCol="0">
                          <a:prstTxWarp prst="textNoShape">
                            <a:avLst/>
                          </a:prstTxWarp>
                          <a:noAutofit/>
                        </wps:bodyPr>
                      </wps:wsp>
                      <wps:wsp>
                        <wps:cNvPr id="12" name="Graphic 12"/>
                        <wps:cNvSpPr/>
                        <wps:spPr>
                          <a:xfrm>
                            <a:off x="488289" y="375348"/>
                            <a:ext cx="173990" cy="77470"/>
                          </a:xfrm>
                          <a:custGeom>
                            <a:avLst/>
                            <a:gdLst/>
                            <a:ahLst/>
                            <a:cxnLst/>
                            <a:rect l="l" t="t" r="r" b="b"/>
                            <a:pathLst>
                              <a:path w="173990" h="77470">
                                <a:moveTo>
                                  <a:pt x="0" y="0"/>
                                </a:moveTo>
                                <a:lnTo>
                                  <a:pt x="173609" y="77470"/>
                                </a:lnTo>
                              </a:path>
                            </a:pathLst>
                          </a:custGeom>
                          <a:ln w="28575">
                            <a:solidFill>
                              <a:srgbClr val="000000"/>
                            </a:solidFill>
                            <a:prstDash val="solid"/>
                          </a:ln>
                        </wps:spPr>
                        <wps:bodyPr wrap="square" lIns="0" tIns="0" rIns="0" bIns="0" rtlCol="0">
                          <a:prstTxWarp prst="textNoShape">
                            <a:avLst/>
                          </a:prstTxWarp>
                          <a:noAutofit/>
                        </wps:bodyPr>
                      </wps:wsp>
                      <wps:wsp>
                        <wps:cNvPr id="13" name="Graphic 13"/>
                        <wps:cNvSpPr/>
                        <wps:spPr>
                          <a:xfrm>
                            <a:off x="571220" y="410527"/>
                            <a:ext cx="37465" cy="196215"/>
                          </a:xfrm>
                          <a:custGeom>
                            <a:avLst/>
                            <a:gdLst/>
                            <a:ahLst/>
                            <a:cxnLst/>
                            <a:rect l="l" t="t" r="r" b="b"/>
                            <a:pathLst>
                              <a:path w="37465" h="196215">
                                <a:moveTo>
                                  <a:pt x="37337" y="176021"/>
                                </a:moveTo>
                                <a:lnTo>
                                  <a:pt x="37337" y="18033"/>
                                </a:lnTo>
                              </a:path>
                              <a:path w="37465" h="196215">
                                <a:moveTo>
                                  <a:pt x="0" y="196087"/>
                                </a:moveTo>
                                <a:lnTo>
                                  <a:pt x="0" y="0"/>
                                </a:lnTo>
                              </a:path>
                            </a:pathLst>
                          </a:custGeom>
                          <a:ln w="28575">
                            <a:solidFill>
                              <a:srgbClr val="000000"/>
                            </a:solidFill>
                            <a:prstDash val="solid"/>
                          </a:ln>
                        </wps:spPr>
                        <wps:bodyPr wrap="square" lIns="0" tIns="0" rIns="0" bIns="0" rtlCol="0">
                          <a:prstTxWarp prst="textNoShape">
                            <a:avLst/>
                          </a:prstTxWarp>
                          <a:noAutofit/>
                        </wps:bodyPr>
                      </wps:wsp>
                      <wps:wsp>
                        <wps:cNvPr id="14" name="Graphic 14"/>
                        <wps:cNvSpPr/>
                        <wps:spPr>
                          <a:xfrm>
                            <a:off x="628878" y="534164"/>
                            <a:ext cx="618490" cy="68580"/>
                          </a:xfrm>
                          <a:custGeom>
                            <a:avLst/>
                            <a:gdLst/>
                            <a:ahLst/>
                            <a:cxnLst/>
                            <a:rect l="l" t="t" r="r" b="b"/>
                            <a:pathLst>
                              <a:path w="618490" h="68580">
                                <a:moveTo>
                                  <a:pt x="0" y="68386"/>
                                </a:moveTo>
                                <a:lnTo>
                                  <a:pt x="618477" y="68386"/>
                                </a:lnTo>
                                <a:lnTo>
                                  <a:pt x="618477" y="0"/>
                                </a:lnTo>
                                <a:lnTo>
                                  <a:pt x="0" y="0"/>
                                </a:lnTo>
                                <a:lnTo>
                                  <a:pt x="0" y="68386"/>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628878" y="409557"/>
                            <a:ext cx="618490" cy="66675"/>
                          </a:xfrm>
                          <a:custGeom>
                            <a:avLst/>
                            <a:gdLst/>
                            <a:ahLst/>
                            <a:cxnLst/>
                            <a:rect l="l" t="t" r="r" b="b"/>
                            <a:pathLst>
                              <a:path w="618490" h="66675">
                                <a:moveTo>
                                  <a:pt x="0" y="66375"/>
                                </a:moveTo>
                                <a:lnTo>
                                  <a:pt x="618477" y="66375"/>
                                </a:lnTo>
                                <a:lnTo>
                                  <a:pt x="618477" y="0"/>
                                </a:lnTo>
                                <a:lnTo>
                                  <a:pt x="0" y="0"/>
                                </a:lnTo>
                                <a:lnTo>
                                  <a:pt x="0" y="66375"/>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13677" y="603821"/>
                            <a:ext cx="515620" cy="293370"/>
                          </a:xfrm>
                          <a:custGeom>
                            <a:avLst/>
                            <a:gdLst/>
                            <a:ahLst/>
                            <a:cxnLst/>
                            <a:rect l="l" t="t" r="r" b="b"/>
                            <a:pathLst>
                              <a:path w="515620" h="293370">
                                <a:moveTo>
                                  <a:pt x="25742" y="293243"/>
                                </a:moveTo>
                                <a:lnTo>
                                  <a:pt x="0" y="240792"/>
                                </a:lnTo>
                                <a:lnTo>
                                  <a:pt x="489597" y="0"/>
                                </a:lnTo>
                                <a:lnTo>
                                  <a:pt x="515378" y="52324"/>
                                </a:lnTo>
                                <a:lnTo>
                                  <a:pt x="25742" y="293243"/>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55816" y="710501"/>
                            <a:ext cx="516255" cy="294640"/>
                          </a:xfrm>
                          <a:custGeom>
                            <a:avLst/>
                            <a:gdLst/>
                            <a:ahLst/>
                            <a:cxnLst/>
                            <a:rect l="l" t="t" r="r" b="b"/>
                            <a:pathLst>
                              <a:path w="516255" h="294640">
                                <a:moveTo>
                                  <a:pt x="26187" y="294131"/>
                                </a:moveTo>
                                <a:lnTo>
                                  <a:pt x="0" y="240791"/>
                                </a:lnTo>
                                <a:lnTo>
                                  <a:pt x="489623" y="0"/>
                                </a:lnTo>
                                <a:lnTo>
                                  <a:pt x="515785" y="53212"/>
                                </a:lnTo>
                                <a:lnTo>
                                  <a:pt x="26187" y="294131"/>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4762" y="14414"/>
                            <a:ext cx="564515" cy="389890"/>
                          </a:xfrm>
                          <a:custGeom>
                            <a:avLst/>
                            <a:gdLst/>
                            <a:ahLst/>
                            <a:cxnLst/>
                            <a:rect l="l" t="t" r="r" b="b"/>
                            <a:pathLst>
                              <a:path w="564515" h="389890">
                                <a:moveTo>
                                  <a:pt x="73901" y="0"/>
                                </a:moveTo>
                                <a:lnTo>
                                  <a:pt x="47713" y="53213"/>
                                </a:lnTo>
                                <a:lnTo>
                                  <a:pt x="538010" y="294386"/>
                                </a:lnTo>
                                <a:lnTo>
                                  <a:pt x="564299" y="241173"/>
                                </a:lnTo>
                                <a:lnTo>
                                  <a:pt x="73901" y="0"/>
                                </a:lnTo>
                                <a:close/>
                              </a:path>
                              <a:path w="564515" h="389890">
                                <a:moveTo>
                                  <a:pt x="26631" y="94742"/>
                                </a:moveTo>
                                <a:lnTo>
                                  <a:pt x="0" y="148844"/>
                                </a:lnTo>
                                <a:lnTo>
                                  <a:pt x="489623" y="389763"/>
                                </a:lnTo>
                                <a:lnTo>
                                  <a:pt x="516293" y="335534"/>
                                </a:lnTo>
                                <a:lnTo>
                                  <a:pt x="26631" y="9474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6" cstate="print"/>
                          <a:stretch>
                            <a:fillRect/>
                          </a:stretch>
                        </pic:blipFill>
                        <pic:spPr>
                          <a:xfrm>
                            <a:off x="24917" y="0"/>
                            <a:ext cx="137020" cy="198500"/>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29159" y="813561"/>
                            <a:ext cx="138709" cy="205612"/>
                          </a:xfrm>
                          <a:prstGeom prst="rect">
                            <a:avLst/>
                          </a:prstGeom>
                        </pic:spPr>
                      </pic:pic>
                    </wpg:wgp>
                  </a:graphicData>
                </a:graphic>
              </wp:anchor>
            </w:drawing>
          </mc:Choice>
          <mc:Fallback>
            <w:pict>
              <v:group w14:anchorId="5D3A7DFE" id="Group 9" o:spid="_x0000_s1026" style="position:absolute;margin-left:1in;margin-top:25.65pt;width:98.6pt;height:80.25pt;z-index:-251658239;mso-wrap-distance-left:0;mso-wrap-distance-right:0;mso-position-horizontal-relative:page" coordsize="12522,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">
                <v:shape id="Graphic 10" o:spid="_x0000_s1027" style="position:absolute;left:4297;top:6740;width:387;height:794;visibility:visible;mso-wrap-style:square;v-text-anchor:top" coordsize="3873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" path="m38226,79374l,e" filled="f" strokeweight="2.25pt">
                  <v:path arrowok="t"/>
                </v:shape>
                <v:shape id="Graphic 11" o:spid="_x0000_s1028" style="position:absolute;left:4264;top:2546;width:2305;height:3836;visibility:visible;mso-wrap-style:square;v-text-anchor:top" coordsize="230504,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" path="m,61341l33019,em72771,383159l230378,311658e" filled="f" strokeweight="2.25pt">
                  <v:path arrowok="t"/>
                </v:shape>
                <v:shape id="Graphic 12" o:spid="_x0000_s1029" style="position:absolute;left:4882;top:3753;width:1740;height:775;visibility:visible;mso-wrap-style:square;v-text-anchor:top" coordsize="17399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" path="m,l173609,77470e" filled="f" strokeweight="2.25pt">
                  <v:path arrowok="t"/>
                </v:shape>
                <v:shape id="Graphic 13" o:spid="_x0000_s1030" style="position:absolute;left:5712;top:4105;width:374;height:1962;visibility:visible;mso-wrap-style:square;v-text-anchor:top" coordsize="3746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" path="m37337,176021r,-157988em,196087l,e" filled="f" strokeweight="2.25pt">
                  <v:path arrowok="t"/>
                </v:shape>
                <v:shape id="Graphic 14" o:spid="_x0000_s1031" style="position:absolute;left:6288;top:5341;width:6185;height:686;visibility:visible;mso-wrap-style:square;v-text-anchor:top" coordsize="61849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" path="m,68386r618477,l618477,,,,,68386xe" filled="f">
                  <v:path arrowok="t"/>
                </v:shape>
                <v:shape id="Graphic 15" o:spid="_x0000_s1032" style="position:absolute;left:6288;top:4095;width:6185;height:667;visibility:visible;mso-wrap-style:square;v-text-anchor:top" coordsize="61849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" path="m,66375r618477,l618477,,,,,66375xe" filled="f">
                  <v:path arrowok="t"/>
                </v:shape>
                <v:shape id="Graphic 16" o:spid="_x0000_s1033" style="position:absolute;left:136;top:6038;width:5156;height:2933;visibility:visible;mso-wrap-style:square;v-text-anchor:top" coordsize="51562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" path="m25742,293243l,240792,489597,r25781,52324l25742,293243xe" filled="f">
                  <v:path arrowok="t"/>
                </v:shape>
                <v:shape id="Graphic 17" o:spid="_x0000_s1034" style="position:absolute;left:558;top:7105;width:5162;height:2946;visibility:visible;mso-wrap-style:square;v-text-anchor:top" coordsize="51625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" path="m26187,294131l,240791,489623,r26162,53212l26187,294131e" filled="f">
                  <v:path arrowok="t"/>
                </v:shape>
                <v:shape id="Graphic 18" o:spid="_x0000_s1035" style="position:absolute;left:47;top:144;width:5645;height:3899;visibility:visible;mso-wrap-style:square;v-text-anchor:top" coordsize="564515,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" path="m73901,l47713,53213,538010,294386r26289,-53213l73901,xem26631,94742l,148844,489623,389763r26670,-54229l26631,94742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6" type="#_x0000_t75" style="position:absolute;left:249;width:1370;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">
                  <v:imagedata r:id="rId21" o:title=""/>
                </v:shape>
                <v:shape id="Image 20" o:spid="_x0000_s1037" type="#_x0000_t75" style="position:absolute;left:291;top:8135;width:1387;height:2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">
                  <v:imagedata r:id="rId22" o:title=""/>
                </v:shape>
                <w10:wrap type="topAndBottom" anchorx="page"/>
              </v:group>
            </w:pict>
          </mc:Fallback>
        </mc:AlternateContent>
      </w:r>
    </w:p>
    <w:p w14:paraId="3B09DD40" w14:textId="77777777" w:rsidR="00E63BA6" w:rsidRPr="008D4276" w:rsidRDefault="00E63BA6" w:rsidP="00B36DBA">
      <w:pPr>
        <w:rPr>
          <w:rFonts w:asciiTheme="majorHAnsi" w:hAnsiTheme="majorHAnsi"/>
        </w:rPr>
      </w:pPr>
    </w:p>
    <w:p w14:paraId="21B3DCEB" w14:textId="6820EDF0" w:rsidR="00E63BA6" w:rsidRPr="008D4276" w:rsidRDefault="00A077D8" w:rsidP="00B36DBA">
      <w:pPr>
        <w:rPr>
          <w:rFonts w:asciiTheme="majorHAnsi" w:hAnsiTheme="majorHAnsi"/>
        </w:rPr>
      </w:pPr>
      <w:r w:rsidRPr="008D4276">
        <w:rPr>
          <w:rFonts w:asciiTheme="majorHAnsi" w:hAnsiTheme="majorHAnsi"/>
        </w:rPr>
        <w:t>Tocilizumab</w:t>
      </w:r>
      <w:r w:rsidR="00E63BA6" w:rsidRPr="008D4276">
        <w:rPr>
          <w:rFonts w:asciiTheme="majorHAnsi" w:hAnsiTheme="majorHAnsi"/>
        </w:rPr>
        <w:t xml:space="preserve"> is a recombinant humanised monoclonal antibody of the immunoglobulin (Ig) IgG1 subclass which binds to human interleukin 6 (IL-6) receptors. It is composed of two heterodimers, each of which consists of a heavy and a light polypeptide chain. The light chain contains of 214 amino acids and the heavy chain 448 amino acids. The four polypeptide chains are linked intra- and inter-molecularly by disulfide bonds. </w:t>
      </w:r>
      <w:r w:rsidRPr="008D4276">
        <w:rPr>
          <w:rFonts w:asciiTheme="majorHAnsi" w:hAnsiTheme="majorHAnsi"/>
        </w:rPr>
        <w:t>Tocilizumab</w:t>
      </w:r>
      <w:r w:rsidR="00E63BA6" w:rsidRPr="008D4276">
        <w:rPr>
          <w:rFonts w:asciiTheme="majorHAnsi" w:hAnsiTheme="majorHAnsi"/>
        </w:rPr>
        <w:t xml:space="preserve"> has a molecular weight of approximately 148,000 Daltons. </w:t>
      </w:r>
      <w:r w:rsidRPr="008D4276">
        <w:rPr>
          <w:rFonts w:asciiTheme="majorHAnsi" w:hAnsiTheme="majorHAnsi"/>
        </w:rPr>
        <w:t>Tocilizumab</w:t>
      </w:r>
      <w:r w:rsidR="00E63BA6" w:rsidRPr="008D4276">
        <w:rPr>
          <w:rFonts w:asciiTheme="majorHAnsi" w:hAnsiTheme="majorHAnsi"/>
        </w:rPr>
        <w:t xml:space="preserve"> binds to both soluble and membrane-bound IL-6 receptors (sIL-6R and mIL-6R).</w:t>
      </w:r>
    </w:p>
    <w:p w14:paraId="0EE87BCC" w14:textId="77777777" w:rsidR="001A3992" w:rsidRPr="008D4276" w:rsidRDefault="001A3992" w:rsidP="001A3992">
      <w:pPr>
        <w:pStyle w:val="Heading3"/>
        <w:spacing w:before="0" w:after="120"/>
        <w:rPr>
          <w:rFonts w:cs="Calibri"/>
        </w:rPr>
      </w:pPr>
      <w:r w:rsidRPr="008D4276">
        <w:rPr>
          <w:rFonts w:cs="Calibri"/>
        </w:rPr>
        <w:t>CAS number</w:t>
      </w:r>
    </w:p>
    <w:p w14:paraId="4A27DC28" w14:textId="30E8F379" w:rsidR="00E63BA6" w:rsidRPr="008D4276" w:rsidRDefault="00E63BA6" w:rsidP="00E63BA6">
      <w:pPr>
        <w:rPr>
          <w:rFonts w:asciiTheme="majorHAnsi" w:hAnsiTheme="majorHAnsi" w:cstheme="minorHAnsi"/>
        </w:rPr>
      </w:pPr>
      <w:r w:rsidRPr="008D4276">
        <w:rPr>
          <w:rFonts w:asciiTheme="majorHAnsi" w:hAnsiTheme="majorHAnsi" w:cstheme="minorHAnsi"/>
        </w:rPr>
        <w:t>375823-41-9</w:t>
      </w:r>
    </w:p>
    <w:p w14:paraId="07E1FA35" w14:textId="77777777" w:rsidR="001A3992" w:rsidRPr="008D4276" w:rsidRDefault="001A3992" w:rsidP="001A3992">
      <w:pPr>
        <w:pStyle w:val="Heading1"/>
        <w:rPr>
          <w:rFonts w:cs="Calibri"/>
        </w:rPr>
      </w:pPr>
      <w:r w:rsidRPr="008D4276">
        <w:rPr>
          <w:rFonts w:cs="Calibri"/>
        </w:rPr>
        <w:t>Medicine schedule (Poisons Standard)</w:t>
      </w:r>
    </w:p>
    <w:p w14:paraId="78695A0F" w14:textId="6857AED4" w:rsidR="00E63BA6" w:rsidRPr="008D4276" w:rsidRDefault="00E63BA6" w:rsidP="00E63BA6">
      <w:pPr>
        <w:rPr>
          <w:rFonts w:asciiTheme="majorHAnsi" w:hAnsiTheme="majorHAnsi" w:cstheme="minorHAnsi"/>
        </w:rPr>
      </w:pPr>
      <w:r w:rsidRPr="008D4276">
        <w:rPr>
          <w:rFonts w:asciiTheme="majorHAnsi" w:hAnsiTheme="majorHAnsi" w:cstheme="minorHAnsi"/>
        </w:rPr>
        <w:t>Prescription Only Medicine (S4)</w:t>
      </w:r>
    </w:p>
    <w:p w14:paraId="03488678" w14:textId="77777777" w:rsidR="001A3992" w:rsidRPr="008D4276" w:rsidRDefault="001A3992" w:rsidP="001A3992">
      <w:pPr>
        <w:pStyle w:val="Heading1"/>
        <w:rPr>
          <w:rFonts w:cs="Calibri"/>
        </w:rPr>
      </w:pPr>
      <w:r w:rsidRPr="008D4276">
        <w:rPr>
          <w:rFonts w:cs="Calibri"/>
        </w:rPr>
        <w:t>Sponsor</w:t>
      </w:r>
    </w:p>
    <w:p w14:paraId="6737D121" w14:textId="77777777" w:rsidR="00A077D8" w:rsidRPr="008D4276" w:rsidRDefault="00A077D8" w:rsidP="00B36DBA">
      <w:pPr>
        <w:keepNext/>
        <w:rPr>
          <w:rFonts w:asciiTheme="majorHAnsi" w:hAnsiTheme="majorHAnsi" w:cstheme="minorHAnsi"/>
          <w:spacing w:val="-1"/>
        </w:rPr>
      </w:pPr>
      <w:r w:rsidRPr="008D4276">
        <w:rPr>
          <w:rFonts w:asciiTheme="majorHAnsi" w:hAnsiTheme="majorHAnsi" w:cstheme="minorHAnsi"/>
          <w:spacing w:val="-1"/>
        </w:rPr>
        <w:t>Celltrion Healthcare Australia Pty Ltd</w:t>
      </w:r>
    </w:p>
    <w:p w14:paraId="3D88749A" w14:textId="52550A18" w:rsidR="00E8110B" w:rsidRPr="008D4276" w:rsidRDefault="00A077D8" w:rsidP="00FE7F1B">
      <w:pPr>
        <w:spacing w:after="0"/>
        <w:rPr>
          <w:rFonts w:asciiTheme="majorHAnsi" w:hAnsiTheme="majorHAnsi" w:cstheme="minorHAnsi"/>
          <w:spacing w:val="-1"/>
          <w:lang w:eastAsia="ko-KR"/>
        </w:rPr>
      </w:pPr>
      <w:r w:rsidRPr="008D4276">
        <w:rPr>
          <w:rFonts w:asciiTheme="majorHAnsi" w:hAnsiTheme="majorHAnsi" w:cstheme="minorHAnsi"/>
        </w:rPr>
        <w:t>Suite 1303 / Level 13, 31 Market Street</w:t>
      </w:r>
      <w:r w:rsidR="008E4D12" w:rsidRPr="008D4276">
        <w:rPr>
          <w:rFonts w:asciiTheme="majorHAnsi" w:hAnsiTheme="majorHAnsi" w:cstheme="minorHAnsi"/>
          <w:lang w:eastAsia="ko-KR"/>
        </w:rPr>
        <w:t xml:space="preserve"> </w:t>
      </w:r>
    </w:p>
    <w:p w14:paraId="230ADFD0" w14:textId="77777777" w:rsidR="00A077D8" w:rsidRPr="008D4276" w:rsidRDefault="00A077D8" w:rsidP="00FE7F1B">
      <w:pPr>
        <w:spacing w:after="0"/>
        <w:rPr>
          <w:rFonts w:asciiTheme="majorHAnsi" w:hAnsiTheme="majorHAnsi" w:cstheme="minorHAnsi"/>
          <w:spacing w:val="25"/>
        </w:rPr>
      </w:pPr>
      <w:r w:rsidRPr="008D4276">
        <w:rPr>
          <w:rFonts w:asciiTheme="majorHAnsi" w:hAnsiTheme="majorHAnsi" w:cstheme="minorHAnsi"/>
          <w:spacing w:val="-1"/>
        </w:rPr>
        <w:t>Sydney</w:t>
      </w:r>
      <w:r w:rsidRPr="008D4276">
        <w:rPr>
          <w:rFonts w:asciiTheme="majorHAnsi" w:hAnsiTheme="majorHAnsi" w:cstheme="minorHAnsi"/>
        </w:rPr>
        <w:t xml:space="preserve"> NSW 2000</w:t>
      </w:r>
      <w:r w:rsidRPr="008D4276">
        <w:rPr>
          <w:rFonts w:asciiTheme="majorHAnsi" w:hAnsiTheme="majorHAnsi" w:cstheme="minorHAnsi"/>
          <w:spacing w:val="25"/>
        </w:rPr>
        <w:t xml:space="preserve"> </w:t>
      </w:r>
    </w:p>
    <w:p w14:paraId="3A5EBD34" w14:textId="6F01619E" w:rsidR="00A077D8" w:rsidRPr="008D4276" w:rsidRDefault="00A077D8" w:rsidP="002B7876">
      <w:pPr>
        <w:spacing w:after="0"/>
        <w:rPr>
          <w:rFonts w:asciiTheme="majorHAnsi" w:hAnsiTheme="majorHAnsi" w:cstheme="minorHAnsi"/>
          <w:spacing w:val="-1"/>
        </w:rPr>
      </w:pPr>
      <w:r w:rsidRPr="008D4276">
        <w:rPr>
          <w:rFonts w:asciiTheme="majorHAnsi" w:hAnsiTheme="majorHAnsi" w:cstheme="minorHAnsi"/>
          <w:spacing w:val="-1"/>
        </w:rPr>
        <w:t>AUSTRALIA</w:t>
      </w:r>
    </w:p>
    <w:p w14:paraId="4EBF1DF7" w14:textId="77777777" w:rsidR="002B7876" w:rsidRPr="008D4276" w:rsidRDefault="002B7876" w:rsidP="00FE7F1B">
      <w:pPr>
        <w:spacing w:after="0"/>
        <w:rPr>
          <w:rFonts w:asciiTheme="majorHAnsi" w:hAnsiTheme="majorHAnsi" w:cstheme="minorHAnsi"/>
          <w:spacing w:val="-1"/>
        </w:rPr>
      </w:pPr>
    </w:p>
    <w:p w14:paraId="19492C00" w14:textId="47398093" w:rsidR="00E63BA6" w:rsidRPr="008D4276" w:rsidRDefault="00E63BA6" w:rsidP="00E63BA6">
      <w:pPr>
        <w:rPr>
          <w:rFonts w:asciiTheme="majorHAnsi" w:hAnsiTheme="majorHAnsi" w:cstheme="minorHAnsi"/>
        </w:rPr>
      </w:pPr>
      <w:r w:rsidRPr="008D4276">
        <w:rPr>
          <w:rFonts w:asciiTheme="majorHAnsi" w:hAnsiTheme="majorHAnsi" w:cstheme="minorHAnsi"/>
        </w:rPr>
        <w:t xml:space="preserve">Medical enquiries: </w:t>
      </w:r>
      <w:r w:rsidR="00A077D8" w:rsidRPr="008D4276">
        <w:rPr>
          <w:rFonts w:asciiTheme="majorHAnsi" w:hAnsiTheme="majorHAnsi" w:cstheme="minorHAnsi"/>
        </w:rPr>
        <w:t>1800 325 228</w:t>
      </w:r>
    </w:p>
    <w:p w14:paraId="105B5A73" w14:textId="09BBF1FE" w:rsidR="001A3992" w:rsidRPr="008D4276" w:rsidRDefault="001A3992" w:rsidP="001A3992">
      <w:pPr>
        <w:pStyle w:val="Heading1"/>
        <w:rPr>
          <w:rFonts w:cs="Calibri"/>
        </w:rPr>
      </w:pPr>
      <w:r w:rsidRPr="008D4276">
        <w:rPr>
          <w:rFonts w:cs="Calibri"/>
        </w:rPr>
        <w:lastRenderedPageBreak/>
        <w:t xml:space="preserve">Date of first approval </w:t>
      </w:r>
    </w:p>
    <w:p w14:paraId="5A8AD7DF" w14:textId="762F6CC0" w:rsidR="00842869" w:rsidRPr="008D4276" w:rsidRDefault="00161B2A" w:rsidP="00FE7F1B">
      <w:pPr>
        <w:rPr>
          <w:rFonts w:asciiTheme="majorHAnsi" w:hAnsiTheme="majorHAnsi" w:cstheme="minorHAnsi"/>
        </w:rPr>
      </w:pPr>
      <w:r w:rsidRPr="008D4276">
        <w:rPr>
          <w:rFonts w:asciiTheme="majorHAnsi" w:hAnsiTheme="majorHAnsi" w:cstheme="minorHAnsi"/>
        </w:rPr>
        <w:t>DD/MM/YYYY</w:t>
      </w:r>
    </w:p>
    <w:p w14:paraId="1BA9B1BE" w14:textId="77777777" w:rsidR="001A3992" w:rsidRPr="0002092D" w:rsidRDefault="001A3992" w:rsidP="004D6592">
      <w:pPr>
        <w:pStyle w:val="Heading1"/>
      </w:pPr>
      <w:r w:rsidRPr="0002092D">
        <w:t xml:space="preserve">Date of revision </w:t>
      </w:r>
    </w:p>
    <w:p w14:paraId="581486D6" w14:textId="77777777" w:rsidR="001A3992" w:rsidRPr="008D4276" w:rsidRDefault="001A3992" w:rsidP="001A3992">
      <w:pPr>
        <w:pStyle w:val="Heading2"/>
        <w:numPr>
          <w:ilvl w:val="0"/>
          <w:numId w:val="0"/>
        </w:numPr>
        <w:spacing w:before="0"/>
        <w:rPr>
          <w:rFonts w:cs="Calibri"/>
        </w:rPr>
      </w:pPr>
      <w:r w:rsidRPr="008D4276">
        <w:rPr>
          <w:rFonts w:cs="Calibri"/>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1922B7" w14:paraId="7D0F5F30" w14:textId="77777777" w:rsidTr="00E63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26859E27" w14:textId="77777777" w:rsidR="00ED0937" w:rsidRPr="008D4276" w:rsidRDefault="00ED0937" w:rsidP="0006243F">
            <w:pPr>
              <w:rPr>
                <w:rFonts w:cstheme="minorHAnsi"/>
                <w:sz w:val="20"/>
              </w:rPr>
            </w:pPr>
            <w:r w:rsidRPr="001922B7">
              <w:rPr>
                <w:rFonts w:cstheme="minorHAnsi"/>
                <w:sz w:val="20"/>
              </w:rPr>
              <w:t>Section Changed</w:t>
            </w:r>
          </w:p>
        </w:tc>
        <w:tc>
          <w:tcPr>
            <w:tcW w:w="7635" w:type="dxa"/>
            <w:shd w:val="clear" w:color="auto" w:fill="F2F2F2" w:themeFill="background1" w:themeFillShade="F2"/>
            <w:vAlign w:val="center"/>
          </w:tcPr>
          <w:p w14:paraId="6F1112E9" w14:textId="77777777" w:rsidR="00ED0937" w:rsidRPr="008D4276" w:rsidRDefault="00ED0937" w:rsidP="0006243F">
            <w:pPr>
              <w:cnfStyle w:val="100000000000" w:firstRow="1" w:lastRow="0" w:firstColumn="0" w:lastColumn="0" w:oddVBand="0" w:evenVBand="0" w:oddHBand="0" w:evenHBand="0" w:firstRowFirstColumn="0" w:firstRowLastColumn="0" w:lastRowFirstColumn="0" w:lastRowLastColumn="0"/>
              <w:rPr>
                <w:rFonts w:cstheme="minorHAnsi"/>
                <w:sz w:val="20"/>
              </w:rPr>
            </w:pPr>
            <w:r w:rsidRPr="001922B7">
              <w:rPr>
                <w:rFonts w:cstheme="minorHAnsi"/>
                <w:sz w:val="20"/>
              </w:rPr>
              <w:t>Summary of new information</w:t>
            </w:r>
          </w:p>
        </w:tc>
      </w:tr>
      <w:tr w:rsidR="00E63BA6" w:rsidRPr="001922B7" w14:paraId="790834E3" w14:textId="77777777" w:rsidTr="00E63BA6">
        <w:tc>
          <w:tcPr>
            <w:cnfStyle w:val="001000000000" w:firstRow="0" w:lastRow="0" w:firstColumn="1" w:lastColumn="0" w:oddVBand="0" w:evenVBand="0" w:oddHBand="0" w:evenHBand="0" w:firstRowFirstColumn="0" w:firstRowLastColumn="0" w:lastRowFirstColumn="0" w:lastRowLastColumn="0"/>
            <w:tcW w:w="1371" w:type="dxa"/>
          </w:tcPr>
          <w:p w14:paraId="51C3C007" w14:textId="548F9D71" w:rsidR="00E63BA6" w:rsidRPr="008D4276" w:rsidRDefault="00E63BA6" w:rsidP="00E63BA6">
            <w:pPr>
              <w:rPr>
                <w:rFonts w:cstheme="minorHAnsi"/>
              </w:rPr>
            </w:pPr>
          </w:p>
        </w:tc>
        <w:tc>
          <w:tcPr>
            <w:tcW w:w="7635" w:type="dxa"/>
          </w:tcPr>
          <w:p w14:paraId="5DAAB5AA" w14:textId="2497D50B" w:rsidR="00E63BA6" w:rsidRPr="008D4276" w:rsidRDefault="00E63BA6" w:rsidP="00E63BA6">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rPr>
            </w:pPr>
          </w:p>
        </w:tc>
      </w:tr>
    </w:tbl>
    <w:p w14:paraId="79E090FB" w14:textId="77777777" w:rsidR="00FA47F2" w:rsidRPr="00284566" w:rsidRDefault="00FA47F2" w:rsidP="008D4276">
      <w:pPr>
        <w:rPr>
          <w:rFonts w:cstheme="minorHAnsi"/>
        </w:rPr>
      </w:pPr>
    </w:p>
    <w:sectPr w:rsidR="00FA47F2" w:rsidRPr="00284566" w:rsidSect="004D6592">
      <w:headerReference w:type="even" r:id="rId23"/>
      <w:headerReference w:type="default" r:id="rId24"/>
      <w:footerReference w:type="even" r:id="rId25"/>
      <w:footerReference w:type="default" r:id="rId26"/>
      <w:headerReference w:type="first" r:id="rId27"/>
      <w:footerReference w:type="first" r:id="rId28"/>
      <w:pgSz w:w="11910" w:h="1685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FA88" w14:textId="77777777" w:rsidR="00192811" w:rsidRDefault="00192811" w:rsidP="001A3992">
      <w:pPr>
        <w:spacing w:after="0" w:line="240" w:lineRule="auto"/>
      </w:pPr>
      <w:r>
        <w:separator/>
      </w:r>
    </w:p>
  </w:endnote>
  <w:endnote w:type="continuationSeparator" w:id="0">
    <w:p w14:paraId="04D6D211" w14:textId="77777777" w:rsidR="00192811" w:rsidRDefault="00192811" w:rsidP="001A3992">
      <w:pPr>
        <w:spacing w:after="0" w:line="240" w:lineRule="auto"/>
      </w:pPr>
      <w:r>
        <w:continuationSeparator/>
      </w:r>
    </w:p>
  </w:endnote>
  <w:endnote w:type="continuationNotice" w:id="1">
    <w:p w14:paraId="44E7328D" w14:textId="77777777" w:rsidR="00192811" w:rsidRDefault="00192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4CBC" w14:textId="6ABDAD06" w:rsidR="00CA6CCF" w:rsidRDefault="00CA6CCF">
    <w:pPr>
      <w:pStyle w:val="Footer"/>
    </w:pPr>
  </w:p>
  <w:p w14:paraId="12DE610E" w14:textId="77777777" w:rsidR="009F5C8C" w:rsidRDefault="009F5C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11"/>
    </w:tblGrid>
    <w:tr w:rsidR="00965311" w:rsidRPr="00BF0549" w14:paraId="43C6E550" w14:textId="77777777" w:rsidTr="004D6592">
      <w:trPr>
        <w:trHeight w:val="170"/>
      </w:trPr>
      <w:tc>
        <w:tcPr>
          <w:tcW w:w="1666" w:type="pct"/>
        </w:tcPr>
        <w:p w14:paraId="410172CC" w14:textId="2F26A954" w:rsidR="00965311" w:rsidRPr="008D4276" w:rsidRDefault="00161B2A">
          <w:pPr>
            <w:pStyle w:val="Footer"/>
            <w:rPr>
              <w:rFonts w:asciiTheme="majorHAnsi" w:hAnsiTheme="majorHAnsi" w:cstheme="minorHAnsi"/>
              <w:sz w:val="20"/>
              <w:szCs w:val="20"/>
              <w:lang w:eastAsia="ko-KR"/>
            </w:rPr>
          </w:pPr>
          <w:r w:rsidRPr="008D4276">
            <w:rPr>
              <w:rFonts w:asciiTheme="majorHAnsi" w:hAnsiTheme="majorHAnsi" w:cstheme="minorHAnsi"/>
              <w:sz w:val="20"/>
              <w:szCs w:val="20"/>
            </w:rPr>
            <w:t>AVTOZMA_PI_v0.</w:t>
          </w:r>
          <w:r w:rsidR="008936EA">
            <w:rPr>
              <w:rFonts w:asciiTheme="majorHAnsi" w:hAnsiTheme="majorHAnsi" w:cstheme="minorHAnsi"/>
              <w:sz w:val="20"/>
              <w:szCs w:val="20"/>
              <w:lang w:eastAsia="ko-KR"/>
            </w:rPr>
            <w:t>6</w:t>
          </w:r>
          <w:r w:rsidRPr="008D4276">
            <w:rPr>
              <w:rFonts w:asciiTheme="majorHAnsi" w:hAnsiTheme="majorHAnsi" w:cstheme="minorHAnsi"/>
              <w:sz w:val="20"/>
              <w:szCs w:val="20"/>
            </w:rPr>
            <w:t>_</w:t>
          </w:r>
          <w:r w:rsidR="008936EA">
            <w:rPr>
              <w:rFonts w:asciiTheme="majorHAnsi" w:hAnsiTheme="majorHAnsi" w:cstheme="minorHAnsi"/>
              <w:sz w:val="20"/>
              <w:szCs w:val="20"/>
              <w:lang w:eastAsia="ko-KR"/>
            </w:rPr>
            <w:t>27March</w:t>
          </w:r>
          <w:r w:rsidR="00032BA8">
            <w:rPr>
              <w:rFonts w:asciiTheme="majorHAnsi" w:hAnsiTheme="majorHAnsi" w:cstheme="minorHAnsi" w:hint="eastAsia"/>
              <w:sz w:val="20"/>
              <w:szCs w:val="20"/>
              <w:lang w:eastAsia="ko-KR"/>
            </w:rPr>
            <w:t>25</w:t>
          </w:r>
        </w:p>
      </w:tc>
      <w:tc>
        <w:tcPr>
          <w:tcW w:w="1666" w:type="pct"/>
        </w:tcPr>
        <w:p w14:paraId="6F9DC889" w14:textId="77777777" w:rsidR="00965311" w:rsidRPr="008D4276" w:rsidRDefault="00965311">
          <w:pPr>
            <w:pStyle w:val="Footer"/>
            <w:rPr>
              <w:rFonts w:asciiTheme="majorHAnsi" w:hAnsiTheme="majorHAnsi" w:cstheme="minorHAnsi"/>
              <w:sz w:val="20"/>
              <w:szCs w:val="20"/>
            </w:rPr>
          </w:pPr>
        </w:p>
      </w:tc>
      <w:tc>
        <w:tcPr>
          <w:tcW w:w="1667" w:type="pct"/>
        </w:tcPr>
        <w:p w14:paraId="1323141A" w14:textId="745823F3" w:rsidR="00965311" w:rsidRPr="008D4276" w:rsidRDefault="00965311" w:rsidP="00965311">
          <w:pPr>
            <w:pStyle w:val="Footer"/>
            <w:jc w:val="right"/>
            <w:rPr>
              <w:rFonts w:asciiTheme="majorHAnsi" w:hAnsiTheme="majorHAnsi" w:cstheme="minorHAnsi"/>
              <w:sz w:val="20"/>
              <w:szCs w:val="20"/>
            </w:rPr>
          </w:pPr>
          <w:r w:rsidRPr="008D4276">
            <w:rPr>
              <w:rFonts w:asciiTheme="majorHAnsi" w:hAnsiTheme="majorHAnsi" w:cstheme="minorHAnsi"/>
              <w:sz w:val="20"/>
              <w:szCs w:val="20"/>
            </w:rPr>
            <w:t xml:space="preserve">Page </w:t>
          </w:r>
          <w:r w:rsidRPr="008D4276">
            <w:rPr>
              <w:rFonts w:asciiTheme="majorHAnsi" w:hAnsiTheme="majorHAnsi" w:cstheme="minorHAnsi"/>
              <w:b/>
              <w:bCs/>
              <w:sz w:val="20"/>
              <w:szCs w:val="20"/>
            </w:rPr>
            <w:fldChar w:fldCharType="begin"/>
          </w:r>
          <w:r w:rsidRPr="008D4276">
            <w:rPr>
              <w:rFonts w:asciiTheme="majorHAnsi" w:hAnsiTheme="majorHAnsi" w:cstheme="minorHAnsi"/>
              <w:b/>
              <w:bCs/>
              <w:sz w:val="20"/>
              <w:szCs w:val="20"/>
            </w:rPr>
            <w:instrText xml:space="preserve"> PAGE  \* Arabic  \* MERGEFORMAT </w:instrText>
          </w:r>
          <w:r w:rsidRPr="008D4276">
            <w:rPr>
              <w:rFonts w:asciiTheme="majorHAnsi" w:hAnsiTheme="majorHAnsi" w:cstheme="minorHAnsi"/>
              <w:b/>
              <w:bCs/>
              <w:sz w:val="20"/>
              <w:szCs w:val="20"/>
            </w:rPr>
            <w:fldChar w:fldCharType="separate"/>
          </w:r>
          <w:r w:rsidRPr="008D4276">
            <w:rPr>
              <w:rFonts w:asciiTheme="majorHAnsi" w:hAnsiTheme="majorHAnsi" w:cstheme="minorHAnsi"/>
              <w:b/>
              <w:bCs/>
              <w:noProof/>
              <w:sz w:val="20"/>
              <w:szCs w:val="20"/>
            </w:rPr>
            <w:t>1</w:t>
          </w:r>
          <w:r w:rsidRPr="008D4276">
            <w:rPr>
              <w:rFonts w:asciiTheme="majorHAnsi" w:hAnsiTheme="majorHAnsi" w:cstheme="minorHAnsi"/>
              <w:b/>
              <w:bCs/>
              <w:sz w:val="20"/>
              <w:szCs w:val="20"/>
            </w:rPr>
            <w:fldChar w:fldCharType="end"/>
          </w:r>
          <w:r w:rsidRPr="008D4276">
            <w:rPr>
              <w:rFonts w:asciiTheme="majorHAnsi" w:hAnsiTheme="majorHAnsi" w:cstheme="minorHAnsi"/>
              <w:sz w:val="20"/>
              <w:szCs w:val="20"/>
            </w:rPr>
            <w:t xml:space="preserve"> of </w:t>
          </w:r>
          <w:r w:rsidRPr="008D4276">
            <w:rPr>
              <w:rFonts w:asciiTheme="majorHAnsi" w:hAnsiTheme="majorHAnsi" w:cstheme="minorHAnsi"/>
              <w:b/>
              <w:bCs/>
              <w:sz w:val="20"/>
              <w:szCs w:val="20"/>
            </w:rPr>
            <w:fldChar w:fldCharType="begin"/>
          </w:r>
          <w:r w:rsidRPr="008D4276">
            <w:rPr>
              <w:rFonts w:asciiTheme="majorHAnsi" w:hAnsiTheme="majorHAnsi" w:cstheme="minorHAnsi"/>
              <w:b/>
              <w:bCs/>
              <w:sz w:val="20"/>
              <w:szCs w:val="20"/>
            </w:rPr>
            <w:instrText xml:space="preserve"> NUMPAGES  \* Arabic  \* MERGEFORMAT </w:instrText>
          </w:r>
          <w:r w:rsidRPr="008D4276">
            <w:rPr>
              <w:rFonts w:asciiTheme="majorHAnsi" w:hAnsiTheme="majorHAnsi" w:cstheme="minorHAnsi"/>
              <w:b/>
              <w:bCs/>
              <w:sz w:val="20"/>
              <w:szCs w:val="20"/>
            </w:rPr>
            <w:fldChar w:fldCharType="separate"/>
          </w:r>
          <w:r w:rsidRPr="008D4276">
            <w:rPr>
              <w:rFonts w:asciiTheme="majorHAnsi" w:hAnsiTheme="majorHAnsi" w:cstheme="minorHAnsi"/>
              <w:b/>
              <w:bCs/>
              <w:noProof/>
              <w:sz w:val="20"/>
              <w:szCs w:val="20"/>
            </w:rPr>
            <w:t>2</w:t>
          </w:r>
          <w:r w:rsidRPr="008D4276">
            <w:rPr>
              <w:rFonts w:asciiTheme="majorHAnsi" w:hAnsiTheme="majorHAnsi" w:cstheme="minorHAnsi"/>
              <w:b/>
              <w:bCs/>
              <w:sz w:val="20"/>
              <w:szCs w:val="20"/>
            </w:rPr>
            <w:fldChar w:fldCharType="end"/>
          </w:r>
        </w:p>
      </w:tc>
    </w:tr>
  </w:tbl>
  <w:p w14:paraId="31373B44" w14:textId="77777777" w:rsidR="00965311" w:rsidRPr="008E0261" w:rsidRDefault="00965311">
    <w:pPr>
      <w:pStyle w:val="Footer"/>
      <w:rPr>
        <w:rFonts w:asciiTheme="majorHAnsi" w:hAnsiTheme="majorHAnsi" w:cstheme="minorHAns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1A79" w14:textId="77777777" w:rsidR="008936EA" w:rsidRDefault="0089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4D38" w14:textId="77777777" w:rsidR="00192811" w:rsidRDefault="00192811" w:rsidP="001A3992">
      <w:pPr>
        <w:spacing w:after="0" w:line="240" w:lineRule="auto"/>
      </w:pPr>
      <w:r>
        <w:separator/>
      </w:r>
    </w:p>
  </w:footnote>
  <w:footnote w:type="continuationSeparator" w:id="0">
    <w:p w14:paraId="4809595B" w14:textId="77777777" w:rsidR="00192811" w:rsidRDefault="00192811" w:rsidP="001A3992">
      <w:pPr>
        <w:spacing w:after="0" w:line="240" w:lineRule="auto"/>
      </w:pPr>
      <w:r>
        <w:continuationSeparator/>
      </w:r>
    </w:p>
  </w:footnote>
  <w:footnote w:type="continuationNotice" w:id="1">
    <w:p w14:paraId="3DC9A72B" w14:textId="77777777" w:rsidR="00192811" w:rsidRDefault="00192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342E" w14:textId="09A3BBCA" w:rsidR="00CA6CCF" w:rsidRDefault="00CA6CCF">
    <w:pPr>
      <w:pStyle w:val="Header"/>
    </w:pPr>
  </w:p>
  <w:p w14:paraId="1B89311C" w14:textId="77777777" w:rsidR="009F5C8C" w:rsidRDefault="009F5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shd w:val="clear" w:color="auto" w:fill="E4F2E0"/>
      <w:tblLook w:val="04A0" w:firstRow="1" w:lastRow="0" w:firstColumn="1" w:lastColumn="0" w:noHBand="0" w:noVBand="1"/>
    </w:tblPr>
    <w:tblGrid>
      <w:gridCol w:w="9020"/>
    </w:tblGrid>
    <w:tr w:rsidR="00C9760B" w:rsidRPr="000B2145" w14:paraId="17321261" w14:textId="77777777" w:rsidTr="00C9760B">
      <w:trPr>
        <w:trHeight w:val="1012"/>
        <w:jc w:val="center"/>
      </w:trPr>
      <w:tc>
        <w:tcPr>
          <w:tcW w:w="9039" w:type="dxa"/>
          <w:shd w:val="clear" w:color="auto" w:fill="E4F2E0"/>
        </w:tcPr>
        <w:p w14:paraId="3F700FF6" w14:textId="77777777" w:rsidR="00C9760B" w:rsidRPr="00A92F8D" w:rsidRDefault="00C9760B" w:rsidP="00C9760B">
          <w:pPr>
            <w:pStyle w:val="Footer"/>
            <w:rPr>
              <w:b/>
              <w:sz w:val="18"/>
              <w:szCs w:val="18"/>
            </w:rPr>
          </w:pPr>
          <w:bookmarkStart w:id="80" w:name="_Hlk80611440"/>
          <w:r w:rsidRPr="00A92F8D">
            <w:rPr>
              <w:b/>
              <w:sz w:val="18"/>
              <w:szCs w:val="18"/>
            </w:rPr>
            <w:t>AusPAR - AVTOZMA - tocilizumab - PM-2024-00865-1-3 - Celltrion Healthcare Australia Pty Ltd - Type A</w:t>
          </w:r>
        </w:p>
        <w:p w14:paraId="4921226A" w14:textId="77777777" w:rsidR="00C9760B" w:rsidRPr="000E4791" w:rsidRDefault="00C9760B" w:rsidP="00C9760B">
          <w:pPr>
            <w:pStyle w:val="Footer"/>
            <w:rPr>
              <w:b/>
              <w:sz w:val="18"/>
              <w:szCs w:val="18"/>
            </w:rPr>
          </w:pPr>
          <w:r w:rsidRPr="00A92F8D">
            <w:rPr>
              <w:b/>
              <w:sz w:val="18"/>
              <w:szCs w:val="18"/>
            </w:rPr>
            <w:t>Date of Finalisation: 14 August 2025</w:t>
          </w:r>
          <w:r w:rsidRPr="000E4791">
            <w:rPr>
              <w:b/>
            </w:rPr>
            <w:t>.</w:t>
          </w:r>
          <w:r w:rsidRPr="000E4791">
            <w:rPr>
              <w:b/>
              <w:sz w:val="18"/>
              <w:szCs w:val="18"/>
            </w:rPr>
            <w:t xml:space="preserve"> </w:t>
          </w:r>
          <w:r w:rsidRPr="00B1711F">
            <w:rPr>
              <w:b/>
              <w:sz w:val="18"/>
              <w:szCs w:val="18"/>
            </w:rPr>
            <w:t xml:space="preserve">This is the Product Information that was approved with the submission described in this AusPAR. It may have been superseded. For the most recent PI, please refer to the TGA website at &lt; </w:t>
          </w:r>
          <w:hyperlink r:id="rId1" w:history="1">
            <w:r w:rsidRPr="00B1711F">
              <w:rPr>
                <w:rStyle w:val="Hyperlink"/>
                <w:b/>
                <w:sz w:val="18"/>
                <w:szCs w:val="18"/>
              </w:rPr>
              <w:t>https://www.tga.gov.au/products/australian-register-therapeutic-goods-artg/product-information-pi</w:t>
            </w:r>
          </w:hyperlink>
          <w:r w:rsidRPr="00B1711F">
            <w:rPr>
              <w:b/>
              <w:sz w:val="18"/>
              <w:szCs w:val="18"/>
            </w:rPr>
            <w:t>&gt;</w:t>
          </w:r>
        </w:p>
      </w:tc>
    </w:tr>
    <w:bookmarkEnd w:id="80"/>
  </w:tbl>
  <w:p w14:paraId="08BCFD26" w14:textId="77777777" w:rsidR="008936EA" w:rsidRPr="00C9760B" w:rsidRDefault="008936EA" w:rsidP="00C97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217A" w14:textId="77777777" w:rsidR="008936EA" w:rsidRDefault="0089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3F201E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048E6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6E974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402"/>
    <w:multiLevelType w:val="multilevel"/>
    <w:tmpl w:val="FFFFFFFF"/>
    <w:lvl w:ilvl="0">
      <w:start w:val="1"/>
      <w:numFmt w:val="decimal"/>
      <w:lvlText w:val="%1."/>
      <w:lvlJc w:val="left"/>
      <w:pPr>
        <w:ind w:left="460" w:hanging="360"/>
      </w:pPr>
      <w:rPr>
        <w:rFonts w:ascii="Times New Roman" w:hAnsi="Times New Roman" w:cs="Times New Roman"/>
        <w:b/>
        <w:bCs/>
        <w:sz w:val="24"/>
        <w:szCs w:val="24"/>
      </w:rPr>
    </w:lvl>
    <w:lvl w:ilvl="1">
      <w:start w:val="1"/>
      <w:numFmt w:val="decimal"/>
      <w:lvlText w:val="%1.%2"/>
      <w:lvlJc w:val="left"/>
      <w:pPr>
        <w:ind w:left="100" w:hanging="788"/>
      </w:pPr>
      <w:rPr>
        <w:rFonts w:ascii="Times New Roman" w:hAnsi="Times New Roman" w:cs="Times New Roman"/>
        <w:b/>
        <w:bCs/>
        <w:sz w:val="24"/>
        <w:szCs w:val="24"/>
      </w:rPr>
    </w:lvl>
    <w:lvl w:ilvl="2">
      <w:numFmt w:val="bullet"/>
      <w:lvlText w:val="•"/>
      <w:lvlJc w:val="left"/>
      <w:pPr>
        <w:ind w:left="1436" w:hanging="788"/>
      </w:pPr>
    </w:lvl>
    <w:lvl w:ilvl="3">
      <w:numFmt w:val="bullet"/>
      <w:lvlText w:val="•"/>
      <w:lvlJc w:val="left"/>
      <w:pPr>
        <w:ind w:left="2412" w:hanging="788"/>
      </w:pPr>
    </w:lvl>
    <w:lvl w:ilvl="4">
      <w:numFmt w:val="bullet"/>
      <w:lvlText w:val="•"/>
      <w:lvlJc w:val="left"/>
      <w:pPr>
        <w:ind w:left="3389" w:hanging="788"/>
      </w:pPr>
    </w:lvl>
    <w:lvl w:ilvl="5">
      <w:numFmt w:val="bullet"/>
      <w:lvlText w:val="•"/>
      <w:lvlJc w:val="left"/>
      <w:pPr>
        <w:ind w:left="4365" w:hanging="788"/>
      </w:pPr>
    </w:lvl>
    <w:lvl w:ilvl="6">
      <w:numFmt w:val="bullet"/>
      <w:lvlText w:val="•"/>
      <w:lvlJc w:val="left"/>
      <w:pPr>
        <w:ind w:left="5341" w:hanging="788"/>
      </w:pPr>
    </w:lvl>
    <w:lvl w:ilvl="7">
      <w:numFmt w:val="bullet"/>
      <w:lvlText w:val="•"/>
      <w:lvlJc w:val="left"/>
      <w:pPr>
        <w:ind w:left="6317" w:hanging="788"/>
      </w:pPr>
    </w:lvl>
    <w:lvl w:ilvl="8">
      <w:numFmt w:val="bullet"/>
      <w:lvlText w:val="•"/>
      <w:lvlJc w:val="left"/>
      <w:pPr>
        <w:ind w:left="7293" w:hanging="788"/>
      </w:pPr>
    </w:lvl>
  </w:abstractNum>
  <w:abstractNum w:abstractNumId="4" w15:restartNumberingAfterBreak="0">
    <w:nsid w:val="00000403"/>
    <w:multiLevelType w:val="multilevel"/>
    <w:tmpl w:val="FFFFFFFF"/>
    <w:lvl w:ilvl="0">
      <w:start w:val="4"/>
      <w:numFmt w:val="decimal"/>
      <w:lvlText w:val="%1"/>
      <w:lvlJc w:val="left"/>
      <w:pPr>
        <w:ind w:left="100" w:hanging="370"/>
      </w:pPr>
      <w:rPr>
        <w:rFonts w:cs="Times New Roman"/>
      </w:rPr>
    </w:lvl>
    <w:lvl w:ilvl="1">
      <w:start w:val="2"/>
      <w:numFmt w:val="decimal"/>
      <w:lvlText w:val="%1.%2"/>
      <w:lvlJc w:val="left"/>
      <w:pPr>
        <w:ind w:left="100" w:hanging="370"/>
      </w:pPr>
      <w:rPr>
        <w:rFonts w:ascii="Times New Roman" w:hAnsi="Times New Roman" w:cs="Times New Roman"/>
        <w:b w:val="0"/>
        <w:bCs w:val="0"/>
        <w:sz w:val="24"/>
        <w:szCs w:val="24"/>
      </w:rPr>
    </w:lvl>
    <w:lvl w:ilvl="2">
      <w:numFmt w:val="bullet"/>
      <w:lvlText w:val=""/>
      <w:lvlJc w:val="left"/>
      <w:pPr>
        <w:ind w:left="820" w:hanging="360"/>
      </w:pPr>
      <w:rPr>
        <w:rFonts w:ascii="Symbol" w:hAnsi="Symbol"/>
        <w:b w:val="0"/>
        <w:sz w:val="24"/>
      </w:rPr>
    </w:lvl>
    <w:lvl w:ilvl="3">
      <w:numFmt w:val="bullet"/>
      <w:lvlText w:val="•"/>
      <w:lvlJc w:val="left"/>
      <w:pPr>
        <w:ind w:left="2692" w:hanging="360"/>
      </w:pPr>
    </w:lvl>
    <w:lvl w:ilvl="4">
      <w:numFmt w:val="bullet"/>
      <w:lvlText w:val="•"/>
      <w:lvlJc w:val="left"/>
      <w:pPr>
        <w:ind w:left="3629" w:hanging="360"/>
      </w:pPr>
    </w:lvl>
    <w:lvl w:ilvl="5">
      <w:numFmt w:val="bullet"/>
      <w:lvlText w:val="•"/>
      <w:lvlJc w:val="left"/>
      <w:pPr>
        <w:ind w:left="4565" w:hanging="360"/>
      </w:pPr>
    </w:lvl>
    <w:lvl w:ilvl="6">
      <w:numFmt w:val="bullet"/>
      <w:lvlText w:val="•"/>
      <w:lvlJc w:val="left"/>
      <w:pPr>
        <w:ind w:left="5501" w:hanging="360"/>
      </w:pPr>
    </w:lvl>
    <w:lvl w:ilvl="7">
      <w:numFmt w:val="bullet"/>
      <w:lvlText w:val="•"/>
      <w:lvlJc w:val="left"/>
      <w:pPr>
        <w:ind w:left="6437" w:hanging="360"/>
      </w:pPr>
    </w:lvl>
    <w:lvl w:ilvl="8">
      <w:numFmt w:val="bullet"/>
      <w:lvlText w:val="•"/>
      <w:lvlJc w:val="left"/>
      <w:pPr>
        <w:ind w:left="7373" w:hanging="360"/>
      </w:pPr>
    </w:lvl>
  </w:abstractNum>
  <w:abstractNum w:abstractNumId="5" w15:restartNumberingAfterBreak="0">
    <w:nsid w:val="00000404"/>
    <w:multiLevelType w:val="multilevel"/>
    <w:tmpl w:val="FFFFFFFF"/>
    <w:lvl w:ilvl="0">
      <w:start w:val="4"/>
      <w:numFmt w:val="decimal"/>
      <w:lvlText w:val="%1"/>
      <w:lvlJc w:val="left"/>
      <w:pPr>
        <w:ind w:left="100" w:hanging="370"/>
      </w:pPr>
      <w:rPr>
        <w:rFonts w:cs="Times New Roman"/>
      </w:rPr>
    </w:lvl>
    <w:lvl w:ilvl="1">
      <w:start w:val="2"/>
      <w:numFmt w:val="decimal"/>
      <w:lvlText w:val="%1.%2"/>
      <w:lvlJc w:val="left"/>
      <w:pPr>
        <w:ind w:left="100" w:hanging="370"/>
      </w:pPr>
      <w:rPr>
        <w:rFonts w:ascii="Times New Roman" w:hAnsi="Times New Roman" w:cs="Times New Roman"/>
        <w:b w:val="0"/>
        <w:bCs w:val="0"/>
        <w:sz w:val="24"/>
        <w:szCs w:val="24"/>
      </w:rPr>
    </w:lvl>
    <w:lvl w:ilvl="2">
      <w:numFmt w:val="bullet"/>
      <w:lvlText w:val=""/>
      <w:lvlJc w:val="left"/>
      <w:pPr>
        <w:ind w:left="820" w:hanging="360"/>
      </w:pPr>
      <w:rPr>
        <w:rFonts w:ascii="Symbol" w:hAnsi="Symbol"/>
        <w:b w:val="0"/>
        <w:sz w:val="24"/>
      </w:rPr>
    </w:lvl>
    <w:lvl w:ilvl="3">
      <w:numFmt w:val="bullet"/>
      <w:lvlText w:val="•"/>
      <w:lvlJc w:val="left"/>
      <w:pPr>
        <w:ind w:left="2692" w:hanging="360"/>
      </w:pPr>
    </w:lvl>
    <w:lvl w:ilvl="4">
      <w:numFmt w:val="bullet"/>
      <w:lvlText w:val="•"/>
      <w:lvlJc w:val="left"/>
      <w:pPr>
        <w:ind w:left="3629" w:hanging="360"/>
      </w:pPr>
    </w:lvl>
    <w:lvl w:ilvl="5">
      <w:numFmt w:val="bullet"/>
      <w:lvlText w:val="•"/>
      <w:lvlJc w:val="left"/>
      <w:pPr>
        <w:ind w:left="4565" w:hanging="360"/>
      </w:pPr>
    </w:lvl>
    <w:lvl w:ilvl="6">
      <w:numFmt w:val="bullet"/>
      <w:lvlText w:val="•"/>
      <w:lvlJc w:val="left"/>
      <w:pPr>
        <w:ind w:left="5501" w:hanging="360"/>
      </w:pPr>
    </w:lvl>
    <w:lvl w:ilvl="7">
      <w:numFmt w:val="bullet"/>
      <w:lvlText w:val="•"/>
      <w:lvlJc w:val="left"/>
      <w:pPr>
        <w:ind w:left="6437" w:hanging="360"/>
      </w:pPr>
    </w:lvl>
    <w:lvl w:ilvl="8">
      <w:numFmt w:val="bullet"/>
      <w:lvlText w:val="•"/>
      <w:lvlJc w:val="left"/>
      <w:pPr>
        <w:ind w:left="7373" w:hanging="360"/>
      </w:pPr>
    </w:lvl>
  </w:abstractNum>
  <w:abstractNum w:abstractNumId="6" w15:restartNumberingAfterBreak="0">
    <w:nsid w:val="00000405"/>
    <w:multiLevelType w:val="multilevel"/>
    <w:tmpl w:val="FFFFFFFF"/>
    <w:lvl w:ilvl="0">
      <w:start w:val="4"/>
      <w:numFmt w:val="decimal"/>
      <w:lvlText w:val="%1"/>
      <w:lvlJc w:val="left"/>
      <w:pPr>
        <w:ind w:left="820" w:hanging="720"/>
      </w:pPr>
      <w:rPr>
        <w:rFonts w:cs="Times New Roman"/>
      </w:rPr>
    </w:lvl>
    <w:lvl w:ilvl="1">
      <w:start w:val="3"/>
      <w:numFmt w:val="decimal"/>
      <w:lvlText w:val="%1.%2"/>
      <w:lvlJc w:val="left"/>
      <w:pPr>
        <w:ind w:left="820" w:hanging="720"/>
      </w:pPr>
      <w:rPr>
        <w:rFonts w:ascii="Times New Roman" w:hAnsi="Times New Roman" w:cs="Times New Roman"/>
        <w:b/>
        <w:bCs/>
        <w:sz w:val="24"/>
        <w:szCs w:val="24"/>
      </w:rPr>
    </w:lvl>
    <w:lvl w:ilvl="2">
      <w:numFmt w:val="bullet"/>
      <w:lvlText w:val="•"/>
      <w:lvlJc w:val="left"/>
      <w:pPr>
        <w:ind w:left="2505" w:hanging="720"/>
      </w:pPr>
    </w:lvl>
    <w:lvl w:ilvl="3">
      <w:numFmt w:val="bullet"/>
      <w:lvlText w:val="•"/>
      <w:lvlJc w:val="left"/>
      <w:pPr>
        <w:ind w:left="3348"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6" w:hanging="720"/>
      </w:pPr>
    </w:lvl>
    <w:lvl w:ilvl="7">
      <w:numFmt w:val="bullet"/>
      <w:lvlText w:val="•"/>
      <w:lvlJc w:val="left"/>
      <w:pPr>
        <w:ind w:left="6718" w:hanging="720"/>
      </w:pPr>
    </w:lvl>
    <w:lvl w:ilvl="8">
      <w:numFmt w:val="bullet"/>
      <w:lvlText w:val="•"/>
      <w:lvlJc w:val="left"/>
      <w:pPr>
        <w:ind w:left="7561" w:hanging="720"/>
      </w:pPr>
    </w:lvl>
  </w:abstractNum>
  <w:abstractNum w:abstractNumId="7" w15:restartNumberingAfterBreak="0">
    <w:nsid w:val="00000406"/>
    <w:multiLevelType w:val="multilevel"/>
    <w:tmpl w:val="FFFFFFFF"/>
    <w:lvl w:ilvl="0">
      <w:numFmt w:val="bullet"/>
      <w:lvlText w:val=""/>
      <w:lvlJc w:val="left"/>
      <w:pPr>
        <w:ind w:left="460" w:hanging="360"/>
      </w:pPr>
      <w:rPr>
        <w:rFonts w:ascii="Symbol" w:hAnsi="Symbol"/>
        <w:b w:val="0"/>
        <w:sz w:val="24"/>
      </w:rPr>
    </w:lvl>
    <w:lvl w:ilvl="1">
      <w:numFmt w:val="bullet"/>
      <w:lvlText w:val="•"/>
      <w:lvlJc w:val="left"/>
      <w:pPr>
        <w:ind w:left="1339" w:hanging="360"/>
      </w:pPr>
    </w:lvl>
    <w:lvl w:ilvl="2">
      <w:numFmt w:val="bullet"/>
      <w:lvlText w:val="•"/>
      <w:lvlJc w:val="left"/>
      <w:pPr>
        <w:ind w:left="2217" w:hanging="360"/>
      </w:pPr>
    </w:lvl>
    <w:lvl w:ilvl="3">
      <w:numFmt w:val="bullet"/>
      <w:lvlText w:val="•"/>
      <w:lvlJc w:val="left"/>
      <w:pPr>
        <w:ind w:left="3096" w:hanging="360"/>
      </w:pPr>
    </w:lvl>
    <w:lvl w:ilvl="4">
      <w:numFmt w:val="bullet"/>
      <w:lvlText w:val="•"/>
      <w:lvlJc w:val="left"/>
      <w:pPr>
        <w:ind w:left="3974" w:hanging="360"/>
      </w:pPr>
    </w:lvl>
    <w:lvl w:ilvl="5">
      <w:numFmt w:val="bullet"/>
      <w:lvlText w:val="•"/>
      <w:lvlJc w:val="left"/>
      <w:pPr>
        <w:ind w:left="4853" w:hanging="360"/>
      </w:pPr>
    </w:lvl>
    <w:lvl w:ilvl="6">
      <w:numFmt w:val="bullet"/>
      <w:lvlText w:val="•"/>
      <w:lvlJc w:val="left"/>
      <w:pPr>
        <w:ind w:left="5732" w:hanging="360"/>
      </w:pPr>
    </w:lvl>
    <w:lvl w:ilvl="7">
      <w:numFmt w:val="bullet"/>
      <w:lvlText w:val="•"/>
      <w:lvlJc w:val="left"/>
      <w:pPr>
        <w:ind w:left="6610" w:hanging="360"/>
      </w:pPr>
    </w:lvl>
    <w:lvl w:ilvl="8">
      <w:numFmt w:val="bullet"/>
      <w:lvlText w:val="•"/>
      <w:lvlJc w:val="left"/>
      <w:pPr>
        <w:ind w:left="7489" w:hanging="360"/>
      </w:pPr>
    </w:lvl>
  </w:abstractNum>
  <w:abstractNum w:abstractNumId="8" w15:restartNumberingAfterBreak="0">
    <w:nsid w:val="00000407"/>
    <w:multiLevelType w:val="multilevel"/>
    <w:tmpl w:val="FFFFFFFF"/>
    <w:lvl w:ilvl="0">
      <w:start w:val="4"/>
      <w:numFmt w:val="decimal"/>
      <w:lvlText w:val="%1"/>
      <w:lvlJc w:val="left"/>
      <w:pPr>
        <w:ind w:left="887" w:hanging="788"/>
      </w:pPr>
      <w:rPr>
        <w:rFonts w:cs="Times New Roman"/>
      </w:rPr>
    </w:lvl>
    <w:lvl w:ilvl="1">
      <w:start w:val="5"/>
      <w:numFmt w:val="decimal"/>
      <w:lvlText w:val="%1.%2"/>
      <w:lvlJc w:val="left"/>
      <w:pPr>
        <w:ind w:left="887" w:hanging="788"/>
      </w:pPr>
      <w:rPr>
        <w:rFonts w:ascii="Times New Roman" w:hAnsi="Times New Roman" w:cs="Times New Roman"/>
        <w:b/>
        <w:bCs/>
        <w:sz w:val="24"/>
        <w:szCs w:val="24"/>
      </w:rPr>
    </w:lvl>
    <w:lvl w:ilvl="2">
      <w:numFmt w:val="bullet"/>
      <w:lvlText w:val="•"/>
      <w:lvlJc w:val="left"/>
      <w:pPr>
        <w:ind w:left="2559" w:hanging="788"/>
      </w:pPr>
    </w:lvl>
    <w:lvl w:ilvl="3">
      <w:numFmt w:val="bullet"/>
      <w:lvlText w:val="•"/>
      <w:lvlJc w:val="left"/>
      <w:pPr>
        <w:ind w:left="3395" w:hanging="788"/>
      </w:pPr>
    </w:lvl>
    <w:lvl w:ilvl="4">
      <w:numFmt w:val="bullet"/>
      <w:lvlText w:val="•"/>
      <w:lvlJc w:val="left"/>
      <w:pPr>
        <w:ind w:left="4231" w:hanging="788"/>
      </w:pPr>
    </w:lvl>
    <w:lvl w:ilvl="5">
      <w:numFmt w:val="bullet"/>
      <w:lvlText w:val="•"/>
      <w:lvlJc w:val="left"/>
      <w:pPr>
        <w:ind w:left="5067" w:hanging="788"/>
      </w:pPr>
    </w:lvl>
    <w:lvl w:ilvl="6">
      <w:numFmt w:val="bullet"/>
      <w:lvlText w:val="•"/>
      <w:lvlJc w:val="left"/>
      <w:pPr>
        <w:ind w:left="5902" w:hanging="788"/>
      </w:pPr>
    </w:lvl>
    <w:lvl w:ilvl="7">
      <w:numFmt w:val="bullet"/>
      <w:lvlText w:val="•"/>
      <w:lvlJc w:val="left"/>
      <w:pPr>
        <w:ind w:left="6738" w:hanging="788"/>
      </w:pPr>
    </w:lvl>
    <w:lvl w:ilvl="8">
      <w:numFmt w:val="bullet"/>
      <w:lvlText w:val="•"/>
      <w:lvlJc w:val="left"/>
      <w:pPr>
        <w:ind w:left="7574" w:hanging="788"/>
      </w:pPr>
    </w:lvl>
  </w:abstractNum>
  <w:abstractNum w:abstractNumId="9" w15:restartNumberingAfterBreak="0">
    <w:nsid w:val="00000408"/>
    <w:multiLevelType w:val="multilevel"/>
    <w:tmpl w:val="FFFFFFFF"/>
    <w:lvl w:ilvl="0">
      <w:start w:val="1"/>
      <w:numFmt w:val="decimal"/>
      <w:lvlText w:val="%1."/>
      <w:lvlJc w:val="left"/>
      <w:pPr>
        <w:ind w:left="100" w:hanging="303"/>
      </w:pPr>
      <w:rPr>
        <w:rFonts w:ascii="Times New Roman" w:hAnsi="Times New Roman" w:cs="Times New Roman"/>
        <w:b w:val="0"/>
        <w:bCs w:val="0"/>
        <w:sz w:val="24"/>
        <w:szCs w:val="24"/>
      </w:rPr>
    </w:lvl>
    <w:lvl w:ilvl="1">
      <w:numFmt w:val="bullet"/>
      <w:lvlText w:val="•"/>
      <w:lvlJc w:val="left"/>
      <w:pPr>
        <w:ind w:left="1015" w:hanging="303"/>
      </w:pPr>
    </w:lvl>
    <w:lvl w:ilvl="2">
      <w:numFmt w:val="bullet"/>
      <w:lvlText w:val="•"/>
      <w:lvlJc w:val="left"/>
      <w:pPr>
        <w:ind w:left="1929" w:hanging="303"/>
      </w:pPr>
    </w:lvl>
    <w:lvl w:ilvl="3">
      <w:numFmt w:val="bullet"/>
      <w:lvlText w:val="•"/>
      <w:lvlJc w:val="left"/>
      <w:pPr>
        <w:ind w:left="2844" w:hanging="303"/>
      </w:pPr>
    </w:lvl>
    <w:lvl w:ilvl="4">
      <w:numFmt w:val="bullet"/>
      <w:lvlText w:val="•"/>
      <w:lvlJc w:val="left"/>
      <w:pPr>
        <w:ind w:left="3758" w:hanging="303"/>
      </w:pPr>
    </w:lvl>
    <w:lvl w:ilvl="5">
      <w:numFmt w:val="bullet"/>
      <w:lvlText w:val="•"/>
      <w:lvlJc w:val="left"/>
      <w:pPr>
        <w:ind w:left="4673" w:hanging="303"/>
      </w:pPr>
    </w:lvl>
    <w:lvl w:ilvl="6">
      <w:numFmt w:val="bullet"/>
      <w:lvlText w:val="•"/>
      <w:lvlJc w:val="left"/>
      <w:pPr>
        <w:ind w:left="5588" w:hanging="303"/>
      </w:pPr>
    </w:lvl>
    <w:lvl w:ilvl="7">
      <w:numFmt w:val="bullet"/>
      <w:lvlText w:val="•"/>
      <w:lvlJc w:val="left"/>
      <w:pPr>
        <w:ind w:left="6502" w:hanging="303"/>
      </w:pPr>
    </w:lvl>
    <w:lvl w:ilvl="8">
      <w:numFmt w:val="bullet"/>
      <w:lvlText w:val="•"/>
      <w:lvlJc w:val="left"/>
      <w:pPr>
        <w:ind w:left="7417" w:hanging="303"/>
      </w:pPr>
    </w:lvl>
  </w:abstractNum>
  <w:abstractNum w:abstractNumId="10" w15:restartNumberingAfterBreak="0">
    <w:nsid w:val="00000409"/>
    <w:multiLevelType w:val="multilevel"/>
    <w:tmpl w:val="936AD12E"/>
    <w:lvl w:ilvl="0">
      <w:start w:val="6"/>
      <w:numFmt w:val="decimal"/>
      <w:lvlText w:val="%1."/>
      <w:lvlJc w:val="left"/>
      <w:pPr>
        <w:ind w:left="480" w:hanging="360"/>
      </w:pPr>
      <w:rPr>
        <w:rFonts w:ascii="Cambria" w:hAnsi="Cambria" w:cs="Times New Roman" w:hint="default"/>
        <w:b/>
        <w:bCs/>
        <w:sz w:val="28"/>
        <w:szCs w:val="28"/>
      </w:rPr>
    </w:lvl>
    <w:lvl w:ilvl="1">
      <w:start w:val="1"/>
      <w:numFmt w:val="decimal"/>
      <w:lvlText w:val="%1.%2"/>
      <w:lvlJc w:val="left"/>
      <w:pPr>
        <w:ind w:left="100" w:hanging="788"/>
      </w:pPr>
      <w:rPr>
        <w:rFonts w:ascii="Times New Roman" w:hAnsi="Times New Roman" w:cs="Times New Roman"/>
        <w:b/>
        <w:bCs/>
        <w:sz w:val="24"/>
        <w:szCs w:val="24"/>
      </w:rPr>
    </w:lvl>
    <w:lvl w:ilvl="2">
      <w:numFmt w:val="bullet"/>
      <w:lvlText w:val=""/>
      <w:lvlJc w:val="left"/>
      <w:pPr>
        <w:ind w:left="813" w:hanging="356"/>
      </w:pPr>
      <w:rPr>
        <w:rFonts w:ascii="Symbol" w:hAnsi="Symbol"/>
        <w:b w:val="0"/>
        <w:sz w:val="24"/>
      </w:rPr>
    </w:lvl>
    <w:lvl w:ilvl="3">
      <w:numFmt w:val="bullet"/>
      <w:lvlText w:val="•"/>
      <w:lvlJc w:val="left"/>
      <w:pPr>
        <w:ind w:left="1867" w:hanging="356"/>
      </w:pPr>
    </w:lvl>
    <w:lvl w:ilvl="4">
      <w:numFmt w:val="bullet"/>
      <w:lvlText w:val="•"/>
      <w:lvlJc w:val="left"/>
      <w:pPr>
        <w:ind w:left="2921" w:hanging="356"/>
      </w:pPr>
    </w:lvl>
    <w:lvl w:ilvl="5">
      <w:numFmt w:val="bullet"/>
      <w:lvlText w:val="•"/>
      <w:lvlJc w:val="left"/>
      <w:pPr>
        <w:ind w:left="3975" w:hanging="356"/>
      </w:pPr>
    </w:lvl>
    <w:lvl w:ilvl="6">
      <w:numFmt w:val="bullet"/>
      <w:lvlText w:val="•"/>
      <w:lvlJc w:val="left"/>
      <w:pPr>
        <w:ind w:left="5029" w:hanging="356"/>
      </w:pPr>
    </w:lvl>
    <w:lvl w:ilvl="7">
      <w:numFmt w:val="bullet"/>
      <w:lvlText w:val="•"/>
      <w:lvlJc w:val="left"/>
      <w:pPr>
        <w:ind w:left="6083" w:hanging="356"/>
      </w:pPr>
    </w:lvl>
    <w:lvl w:ilvl="8">
      <w:numFmt w:val="bullet"/>
      <w:lvlText w:val="•"/>
      <w:lvlJc w:val="left"/>
      <w:pPr>
        <w:ind w:left="7138" w:hanging="356"/>
      </w:pPr>
    </w:lvl>
  </w:abstractNum>
  <w:abstractNum w:abstractNumId="1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D83C0D"/>
    <w:multiLevelType w:val="hybridMultilevel"/>
    <w:tmpl w:val="FF40D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2C3A99"/>
    <w:multiLevelType w:val="hybridMultilevel"/>
    <w:tmpl w:val="8990E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5CC123A"/>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15" w15:restartNumberingAfterBreak="0">
    <w:nsid w:val="06D714CE"/>
    <w:multiLevelType w:val="multilevel"/>
    <w:tmpl w:val="FFFFFFFF"/>
    <w:lvl w:ilvl="0">
      <w:start w:val="4"/>
      <w:numFmt w:val="decimal"/>
      <w:lvlText w:val="%1"/>
      <w:lvlJc w:val="left"/>
      <w:pPr>
        <w:ind w:left="360" w:hanging="360"/>
      </w:pPr>
      <w:rPr>
        <w:rFonts w:cs="Times New Roman" w:hint="default"/>
        <w:b/>
      </w:rPr>
    </w:lvl>
    <w:lvl w:ilvl="1">
      <w:start w:val="1"/>
      <w:numFmt w:val="decimal"/>
      <w:lvlText w:val="%1.%2"/>
      <w:lvlJc w:val="left"/>
      <w:pPr>
        <w:ind w:left="460" w:hanging="360"/>
      </w:pPr>
      <w:rPr>
        <w:rFonts w:cs="Times New Roman" w:hint="default"/>
        <w:b/>
      </w:rPr>
    </w:lvl>
    <w:lvl w:ilvl="2">
      <w:start w:val="1"/>
      <w:numFmt w:val="decimal"/>
      <w:lvlText w:val="%1.%2.%3"/>
      <w:lvlJc w:val="left"/>
      <w:pPr>
        <w:ind w:left="920" w:hanging="720"/>
      </w:pPr>
      <w:rPr>
        <w:rFonts w:cs="Times New Roman" w:hint="default"/>
        <w:b/>
      </w:rPr>
    </w:lvl>
    <w:lvl w:ilvl="3">
      <w:start w:val="1"/>
      <w:numFmt w:val="decimal"/>
      <w:lvlText w:val="%1.%2.%3.%4"/>
      <w:lvlJc w:val="left"/>
      <w:pPr>
        <w:ind w:left="1020" w:hanging="720"/>
      </w:pPr>
      <w:rPr>
        <w:rFonts w:cs="Times New Roman" w:hint="default"/>
        <w:b/>
      </w:rPr>
    </w:lvl>
    <w:lvl w:ilvl="4">
      <w:start w:val="1"/>
      <w:numFmt w:val="decimal"/>
      <w:lvlText w:val="%1.%2.%3.%4.%5"/>
      <w:lvlJc w:val="left"/>
      <w:pPr>
        <w:ind w:left="1480" w:hanging="1080"/>
      </w:pPr>
      <w:rPr>
        <w:rFonts w:cs="Times New Roman" w:hint="default"/>
        <w:b/>
      </w:rPr>
    </w:lvl>
    <w:lvl w:ilvl="5">
      <w:start w:val="1"/>
      <w:numFmt w:val="decimal"/>
      <w:lvlText w:val="%1.%2.%3.%4.%5.%6"/>
      <w:lvlJc w:val="left"/>
      <w:pPr>
        <w:ind w:left="1580" w:hanging="1080"/>
      </w:pPr>
      <w:rPr>
        <w:rFonts w:cs="Times New Roman" w:hint="default"/>
        <w:b/>
      </w:rPr>
    </w:lvl>
    <w:lvl w:ilvl="6">
      <w:start w:val="1"/>
      <w:numFmt w:val="decimal"/>
      <w:lvlText w:val="%1.%2.%3.%4.%5.%6.%7"/>
      <w:lvlJc w:val="left"/>
      <w:pPr>
        <w:ind w:left="2040" w:hanging="1440"/>
      </w:pPr>
      <w:rPr>
        <w:rFonts w:cs="Times New Roman" w:hint="default"/>
        <w:b/>
      </w:rPr>
    </w:lvl>
    <w:lvl w:ilvl="7">
      <w:start w:val="1"/>
      <w:numFmt w:val="decimal"/>
      <w:lvlText w:val="%1.%2.%3.%4.%5.%6.%7.%8"/>
      <w:lvlJc w:val="left"/>
      <w:pPr>
        <w:ind w:left="2140" w:hanging="1440"/>
      </w:pPr>
      <w:rPr>
        <w:rFonts w:cs="Times New Roman" w:hint="default"/>
        <w:b/>
      </w:rPr>
    </w:lvl>
    <w:lvl w:ilvl="8">
      <w:start w:val="1"/>
      <w:numFmt w:val="decimal"/>
      <w:lvlText w:val="%1.%2.%3.%4.%5.%6.%7.%8.%9"/>
      <w:lvlJc w:val="left"/>
      <w:pPr>
        <w:ind w:left="2600" w:hanging="1800"/>
      </w:pPr>
      <w:rPr>
        <w:rFonts w:cs="Times New Roman" w:hint="default"/>
        <w:b/>
      </w:rPr>
    </w:lvl>
  </w:abstractNum>
  <w:abstractNum w:abstractNumId="16" w15:restartNumberingAfterBreak="0">
    <w:nsid w:val="06F35468"/>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17" w15:restartNumberingAfterBreak="0">
    <w:nsid w:val="07D35C92"/>
    <w:multiLevelType w:val="hybridMultilevel"/>
    <w:tmpl w:val="3E00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BBC4F4F"/>
    <w:multiLevelType w:val="hybridMultilevel"/>
    <w:tmpl w:val="A74EE378"/>
    <w:lvl w:ilvl="0" w:tplc="118A620C">
      <w:start w:val="1"/>
      <w:numFmt w:val="decimal"/>
      <w:lvlText w:val="%1."/>
      <w:lvlJc w:val="left"/>
      <w:pPr>
        <w:ind w:left="6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012C36BA">
      <w:numFmt w:val="bullet"/>
      <w:lvlText w:val="•"/>
      <w:lvlJc w:val="left"/>
      <w:pPr>
        <w:ind w:left="1628" w:hanging="303"/>
      </w:pPr>
      <w:rPr>
        <w:rFonts w:hint="default"/>
        <w:lang w:val="en-US" w:eastAsia="en-US" w:bidi="ar-SA"/>
      </w:rPr>
    </w:lvl>
    <w:lvl w:ilvl="2" w:tplc="E7180478">
      <w:numFmt w:val="bullet"/>
      <w:lvlText w:val="•"/>
      <w:lvlJc w:val="left"/>
      <w:pPr>
        <w:ind w:left="2597" w:hanging="303"/>
      </w:pPr>
      <w:rPr>
        <w:rFonts w:hint="default"/>
        <w:lang w:val="en-US" w:eastAsia="en-US" w:bidi="ar-SA"/>
      </w:rPr>
    </w:lvl>
    <w:lvl w:ilvl="3" w:tplc="C0B8F6D6">
      <w:numFmt w:val="bullet"/>
      <w:lvlText w:val="•"/>
      <w:lvlJc w:val="left"/>
      <w:pPr>
        <w:ind w:left="3565" w:hanging="303"/>
      </w:pPr>
      <w:rPr>
        <w:rFonts w:hint="default"/>
        <w:lang w:val="en-US" w:eastAsia="en-US" w:bidi="ar-SA"/>
      </w:rPr>
    </w:lvl>
    <w:lvl w:ilvl="4" w:tplc="395C0D72">
      <w:numFmt w:val="bullet"/>
      <w:lvlText w:val="•"/>
      <w:lvlJc w:val="left"/>
      <w:pPr>
        <w:ind w:left="4534" w:hanging="303"/>
      </w:pPr>
      <w:rPr>
        <w:rFonts w:hint="default"/>
        <w:lang w:val="en-US" w:eastAsia="en-US" w:bidi="ar-SA"/>
      </w:rPr>
    </w:lvl>
    <w:lvl w:ilvl="5" w:tplc="3D9603D0">
      <w:numFmt w:val="bullet"/>
      <w:lvlText w:val="•"/>
      <w:lvlJc w:val="left"/>
      <w:pPr>
        <w:ind w:left="5503" w:hanging="303"/>
      </w:pPr>
      <w:rPr>
        <w:rFonts w:hint="default"/>
        <w:lang w:val="en-US" w:eastAsia="en-US" w:bidi="ar-SA"/>
      </w:rPr>
    </w:lvl>
    <w:lvl w:ilvl="6" w:tplc="96C20C2C">
      <w:numFmt w:val="bullet"/>
      <w:lvlText w:val="•"/>
      <w:lvlJc w:val="left"/>
      <w:pPr>
        <w:ind w:left="6471" w:hanging="303"/>
      </w:pPr>
      <w:rPr>
        <w:rFonts w:hint="default"/>
        <w:lang w:val="en-US" w:eastAsia="en-US" w:bidi="ar-SA"/>
      </w:rPr>
    </w:lvl>
    <w:lvl w:ilvl="7" w:tplc="47E0D4EE">
      <w:numFmt w:val="bullet"/>
      <w:lvlText w:val="•"/>
      <w:lvlJc w:val="left"/>
      <w:pPr>
        <w:ind w:left="7440" w:hanging="303"/>
      </w:pPr>
      <w:rPr>
        <w:rFonts w:hint="default"/>
        <w:lang w:val="en-US" w:eastAsia="en-US" w:bidi="ar-SA"/>
      </w:rPr>
    </w:lvl>
    <w:lvl w:ilvl="8" w:tplc="3C9CBE22">
      <w:numFmt w:val="bullet"/>
      <w:lvlText w:val="•"/>
      <w:lvlJc w:val="left"/>
      <w:pPr>
        <w:ind w:left="8409" w:hanging="303"/>
      </w:pPr>
      <w:rPr>
        <w:rFonts w:hint="default"/>
        <w:lang w:val="en-US" w:eastAsia="en-US" w:bidi="ar-SA"/>
      </w:rPr>
    </w:lvl>
  </w:abstractNum>
  <w:abstractNum w:abstractNumId="20" w15:restartNumberingAfterBreak="0">
    <w:nsid w:val="0FF966E9"/>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21" w15:restartNumberingAfterBreak="0">
    <w:nsid w:val="11227D26"/>
    <w:multiLevelType w:val="hybridMultilevel"/>
    <w:tmpl w:val="C2B88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9E7C4D"/>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23" w15:restartNumberingAfterBreak="0">
    <w:nsid w:val="14DD26B6"/>
    <w:multiLevelType w:val="multilevel"/>
    <w:tmpl w:val="631EDE12"/>
    <w:lvl w:ilvl="0">
      <w:start w:val="1"/>
      <w:numFmt w:val="decimal"/>
      <w:lvlText w:val="%1."/>
      <w:lvlJc w:val="left"/>
      <w:pPr>
        <w:ind w:left="10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47" w:hanging="78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553" w:hanging="360"/>
      </w:pPr>
      <w:rPr>
        <w:rFonts w:hint="default"/>
        <w:lang w:val="en-US" w:eastAsia="en-US" w:bidi="ar-SA"/>
      </w:rPr>
    </w:lvl>
    <w:lvl w:ilvl="4">
      <w:numFmt w:val="bullet"/>
      <w:lvlText w:val="•"/>
      <w:lvlJc w:val="left"/>
      <w:pPr>
        <w:ind w:left="3666" w:hanging="360"/>
      </w:pPr>
      <w:rPr>
        <w:rFonts w:hint="default"/>
        <w:lang w:val="en-US" w:eastAsia="en-US" w:bidi="ar-SA"/>
      </w:rPr>
    </w:lvl>
    <w:lvl w:ilvl="5">
      <w:numFmt w:val="bullet"/>
      <w:lvlText w:val="•"/>
      <w:lvlJc w:val="left"/>
      <w:pPr>
        <w:ind w:left="4779" w:hanging="360"/>
      </w:pPr>
      <w:rPr>
        <w:rFonts w:hint="default"/>
        <w:lang w:val="en-US" w:eastAsia="en-US" w:bidi="ar-SA"/>
      </w:rPr>
    </w:lvl>
    <w:lvl w:ilvl="6">
      <w:numFmt w:val="bullet"/>
      <w:lvlText w:val="•"/>
      <w:lvlJc w:val="left"/>
      <w:pPr>
        <w:ind w:left="5893" w:hanging="360"/>
      </w:pPr>
      <w:rPr>
        <w:rFonts w:hint="default"/>
        <w:lang w:val="en-US" w:eastAsia="en-US" w:bidi="ar-SA"/>
      </w:rPr>
    </w:lvl>
    <w:lvl w:ilvl="7">
      <w:numFmt w:val="bullet"/>
      <w:lvlText w:val="•"/>
      <w:lvlJc w:val="left"/>
      <w:pPr>
        <w:ind w:left="7006" w:hanging="360"/>
      </w:pPr>
      <w:rPr>
        <w:rFonts w:hint="default"/>
        <w:lang w:val="en-US" w:eastAsia="en-US" w:bidi="ar-SA"/>
      </w:rPr>
    </w:lvl>
    <w:lvl w:ilvl="8">
      <w:numFmt w:val="bullet"/>
      <w:lvlText w:val="•"/>
      <w:lvlJc w:val="left"/>
      <w:pPr>
        <w:ind w:left="8119" w:hanging="360"/>
      </w:pPr>
      <w:rPr>
        <w:rFonts w:hint="default"/>
        <w:lang w:val="en-US" w:eastAsia="en-US" w:bidi="ar-SA"/>
      </w:rPr>
    </w:lvl>
  </w:abstractNum>
  <w:abstractNum w:abstractNumId="24" w15:restartNumberingAfterBreak="0">
    <w:nsid w:val="15522FDB"/>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25" w15:restartNumberingAfterBreak="0">
    <w:nsid w:val="19004780"/>
    <w:multiLevelType w:val="hybridMultilevel"/>
    <w:tmpl w:val="FFFFFFFF"/>
    <w:lvl w:ilvl="0" w:tplc="C17A062A">
      <w:start w:val="1"/>
      <w:numFmt w:val="decimal"/>
      <w:lvlText w:val="%1."/>
      <w:lvlJc w:val="left"/>
      <w:pPr>
        <w:ind w:left="118" w:hanging="562"/>
      </w:pPr>
      <w:rPr>
        <w:rFonts w:ascii="Times New Roman" w:eastAsia="Times New Roman" w:hAnsi="Times New Roman" w:cs="Times New Roman" w:hint="default"/>
        <w:b/>
        <w:bCs/>
        <w:sz w:val="22"/>
        <w:szCs w:val="22"/>
      </w:rPr>
    </w:lvl>
    <w:lvl w:ilvl="1" w:tplc="DE54FB54">
      <w:start w:val="1"/>
      <w:numFmt w:val="bullet"/>
      <w:lvlText w:val="•"/>
      <w:lvlJc w:val="left"/>
      <w:pPr>
        <w:ind w:left="1033" w:hanging="562"/>
      </w:pPr>
      <w:rPr>
        <w:rFonts w:hint="default"/>
      </w:rPr>
    </w:lvl>
    <w:lvl w:ilvl="2" w:tplc="93664D6E">
      <w:start w:val="1"/>
      <w:numFmt w:val="bullet"/>
      <w:lvlText w:val="•"/>
      <w:lvlJc w:val="left"/>
      <w:pPr>
        <w:ind w:left="1948" w:hanging="562"/>
      </w:pPr>
      <w:rPr>
        <w:rFonts w:hint="default"/>
      </w:rPr>
    </w:lvl>
    <w:lvl w:ilvl="3" w:tplc="0382FD58">
      <w:start w:val="1"/>
      <w:numFmt w:val="bullet"/>
      <w:lvlText w:val="•"/>
      <w:lvlJc w:val="left"/>
      <w:pPr>
        <w:ind w:left="2863" w:hanging="562"/>
      </w:pPr>
      <w:rPr>
        <w:rFonts w:hint="default"/>
      </w:rPr>
    </w:lvl>
    <w:lvl w:ilvl="4" w:tplc="9FCA86CE">
      <w:start w:val="1"/>
      <w:numFmt w:val="bullet"/>
      <w:lvlText w:val="•"/>
      <w:lvlJc w:val="left"/>
      <w:pPr>
        <w:ind w:left="3777" w:hanging="562"/>
      </w:pPr>
      <w:rPr>
        <w:rFonts w:hint="default"/>
      </w:rPr>
    </w:lvl>
    <w:lvl w:ilvl="5" w:tplc="3384AE9C">
      <w:start w:val="1"/>
      <w:numFmt w:val="bullet"/>
      <w:lvlText w:val="•"/>
      <w:lvlJc w:val="left"/>
      <w:pPr>
        <w:ind w:left="4692" w:hanging="562"/>
      </w:pPr>
      <w:rPr>
        <w:rFonts w:hint="default"/>
      </w:rPr>
    </w:lvl>
    <w:lvl w:ilvl="6" w:tplc="034842CC">
      <w:start w:val="1"/>
      <w:numFmt w:val="bullet"/>
      <w:lvlText w:val="•"/>
      <w:lvlJc w:val="left"/>
      <w:pPr>
        <w:ind w:left="5607" w:hanging="562"/>
      </w:pPr>
      <w:rPr>
        <w:rFonts w:hint="default"/>
      </w:rPr>
    </w:lvl>
    <w:lvl w:ilvl="7" w:tplc="FAE60EC8">
      <w:start w:val="1"/>
      <w:numFmt w:val="bullet"/>
      <w:lvlText w:val="•"/>
      <w:lvlJc w:val="left"/>
      <w:pPr>
        <w:ind w:left="6522" w:hanging="562"/>
      </w:pPr>
      <w:rPr>
        <w:rFonts w:hint="default"/>
      </w:rPr>
    </w:lvl>
    <w:lvl w:ilvl="8" w:tplc="7D9C329C">
      <w:start w:val="1"/>
      <w:numFmt w:val="bullet"/>
      <w:lvlText w:val="•"/>
      <w:lvlJc w:val="left"/>
      <w:pPr>
        <w:ind w:left="7436" w:hanging="562"/>
      </w:pPr>
      <w:rPr>
        <w:rFonts w:hint="default"/>
      </w:rPr>
    </w:lvl>
  </w:abstractNum>
  <w:abstractNum w:abstractNumId="26" w15:restartNumberingAfterBreak="0">
    <w:nsid w:val="1DC124FE"/>
    <w:multiLevelType w:val="hybridMultilevel"/>
    <w:tmpl w:val="D7940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DE55F8"/>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28" w15:restartNumberingAfterBreak="0">
    <w:nsid w:val="1FC16231"/>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29" w15:restartNumberingAfterBreak="0">
    <w:nsid w:val="20034E67"/>
    <w:multiLevelType w:val="hybridMultilevel"/>
    <w:tmpl w:val="10BC4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2166AE"/>
    <w:multiLevelType w:val="hybridMultilevel"/>
    <w:tmpl w:val="DE145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3D96753"/>
    <w:multiLevelType w:val="hybridMultilevel"/>
    <w:tmpl w:val="FFFFFFFF"/>
    <w:lvl w:ilvl="0" w:tplc="FFFFFFFF">
      <w:start w:val="1"/>
      <w:numFmt w:val="decimal"/>
      <w:lvlText w:val="%1."/>
      <w:lvlJc w:val="left"/>
      <w:pPr>
        <w:ind w:left="471" w:hanging="360"/>
      </w:pPr>
      <w:rPr>
        <w:rFonts w:ascii="Times New Roman" w:hAnsi="Times New Roman" w:cs="Times New Roman" w:hint="default"/>
        <w:b/>
        <w:bCs w:val="0"/>
      </w:rPr>
    </w:lvl>
    <w:lvl w:ilvl="1" w:tplc="FFFFFFFF" w:tentative="1">
      <w:start w:val="1"/>
      <w:numFmt w:val="upperLetter"/>
      <w:lvlText w:val="%2."/>
      <w:lvlJc w:val="left"/>
      <w:pPr>
        <w:ind w:left="911" w:hanging="400"/>
      </w:pPr>
      <w:rPr>
        <w:rFonts w:cs="Times New Roman"/>
      </w:rPr>
    </w:lvl>
    <w:lvl w:ilvl="2" w:tplc="FFFFFFFF" w:tentative="1">
      <w:start w:val="1"/>
      <w:numFmt w:val="lowerRoman"/>
      <w:lvlText w:val="%3."/>
      <w:lvlJc w:val="right"/>
      <w:pPr>
        <w:ind w:left="1311" w:hanging="400"/>
      </w:pPr>
      <w:rPr>
        <w:rFonts w:cs="Times New Roman"/>
      </w:rPr>
    </w:lvl>
    <w:lvl w:ilvl="3" w:tplc="FFFFFFFF" w:tentative="1">
      <w:start w:val="1"/>
      <w:numFmt w:val="decimal"/>
      <w:lvlText w:val="%4."/>
      <w:lvlJc w:val="left"/>
      <w:pPr>
        <w:ind w:left="1711" w:hanging="400"/>
      </w:pPr>
      <w:rPr>
        <w:rFonts w:cs="Times New Roman"/>
      </w:rPr>
    </w:lvl>
    <w:lvl w:ilvl="4" w:tplc="FFFFFFFF" w:tentative="1">
      <w:start w:val="1"/>
      <w:numFmt w:val="upperLetter"/>
      <w:lvlText w:val="%5."/>
      <w:lvlJc w:val="left"/>
      <w:pPr>
        <w:ind w:left="2111" w:hanging="400"/>
      </w:pPr>
      <w:rPr>
        <w:rFonts w:cs="Times New Roman"/>
      </w:rPr>
    </w:lvl>
    <w:lvl w:ilvl="5" w:tplc="FFFFFFFF" w:tentative="1">
      <w:start w:val="1"/>
      <w:numFmt w:val="lowerRoman"/>
      <w:lvlText w:val="%6."/>
      <w:lvlJc w:val="right"/>
      <w:pPr>
        <w:ind w:left="2511" w:hanging="400"/>
      </w:pPr>
      <w:rPr>
        <w:rFonts w:cs="Times New Roman"/>
      </w:rPr>
    </w:lvl>
    <w:lvl w:ilvl="6" w:tplc="FFFFFFFF" w:tentative="1">
      <w:start w:val="1"/>
      <w:numFmt w:val="decimal"/>
      <w:lvlText w:val="%7."/>
      <w:lvlJc w:val="left"/>
      <w:pPr>
        <w:ind w:left="2911" w:hanging="400"/>
      </w:pPr>
      <w:rPr>
        <w:rFonts w:cs="Times New Roman"/>
      </w:rPr>
    </w:lvl>
    <w:lvl w:ilvl="7" w:tplc="FFFFFFFF" w:tentative="1">
      <w:start w:val="1"/>
      <w:numFmt w:val="upperLetter"/>
      <w:lvlText w:val="%8."/>
      <w:lvlJc w:val="left"/>
      <w:pPr>
        <w:ind w:left="3311" w:hanging="400"/>
      </w:pPr>
      <w:rPr>
        <w:rFonts w:cs="Times New Roman"/>
      </w:rPr>
    </w:lvl>
    <w:lvl w:ilvl="8" w:tplc="FFFFFFFF" w:tentative="1">
      <w:start w:val="1"/>
      <w:numFmt w:val="lowerRoman"/>
      <w:lvlText w:val="%9."/>
      <w:lvlJc w:val="right"/>
      <w:pPr>
        <w:ind w:left="3711" w:hanging="400"/>
      </w:pPr>
      <w:rPr>
        <w:rFonts w:cs="Times New Roman"/>
      </w:rPr>
    </w:lvl>
  </w:abstractNum>
  <w:abstractNum w:abstractNumId="3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81F72F3"/>
    <w:multiLevelType w:val="hybridMultilevel"/>
    <w:tmpl w:val="FFFFFFFF"/>
    <w:lvl w:ilvl="0" w:tplc="BAE6AFF0">
      <w:start w:val="1"/>
      <w:numFmt w:val="decimal"/>
      <w:lvlText w:val="%1."/>
      <w:lvlJc w:val="left"/>
      <w:pPr>
        <w:ind w:left="471" w:hanging="360"/>
      </w:pPr>
      <w:rPr>
        <w:rFonts w:ascii="Times New Roman" w:hAnsi="Times New Roman" w:cs="Times New Roman" w:hint="default"/>
        <w:b/>
        <w:bCs w:val="0"/>
      </w:rPr>
    </w:lvl>
    <w:lvl w:ilvl="1" w:tplc="04090019" w:tentative="1">
      <w:start w:val="1"/>
      <w:numFmt w:val="upperLetter"/>
      <w:lvlText w:val="%2."/>
      <w:lvlJc w:val="left"/>
      <w:pPr>
        <w:ind w:left="911" w:hanging="400"/>
      </w:pPr>
      <w:rPr>
        <w:rFonts w:cs="Times New Roman"/>
      </w:rPr>
    </w:lvl>
    <w:lvl w:ilvl="2" w:tplc="0409001B" w:tentative="1">
      <w:start w:val="1"/>
      <w:numFmt w:val="lowerRoman"/>
      <w:lvlText w:val="%3."/>
      <w:lvlJc w:val="right"/>
      <w:pPr>
        <w:ind w:left="1311" w:hanging="400"/>
      </w:pPr>
      <w:rPr>
        <w:rFonts w:cs="Times New Roman"/>
      </w:rPr>
    </w:lvl>
    <w:lvl w:ilvl="3" w:tplc="0409000F" w:tentative="1">
      <w:start w:val="1"/>
      <w:numFmt w:val="decimal"/>
      <w:lvlText w:val="%4."/>
      <w:lvlJc w:val="left"/>
      <w:pPr>
        <w:ind w:left="1711" w:hanging="400"/>
      </w:pPr>
      <w:rPr>
        <w:rFonts w:cs="Times New Roman"/>
      </w:rPr>
    </w:lvl>
    <w:lvl w:ilvl="4" w:tplc="04090019" w:tentative="1">
      <w:start w:val="1"/>
      <w:numFmt w:val="upperLetter"/>
      <w:lvlText w:val="%5."/>
      <w:lvlJc w:val="left"/>
      <w:pPr>
        <w:ind w:left="2111" w:hanging="400"/>
      </w:pPr>
      <w:rPr>
        <w:rFonts w:cs="Times New Roman"/>
      </w:rPr>
    </w:lvl>
    <w:lvl w:ilvl="5" w:tplc="0409001B" w:tentative="1">
      <w:start w:val="1"/>
      <w:numFmt w:val="lowerRoman"/>
      <w:lvlText w:val="%6."/>
      <w:lvlJc w:val="right"/>
      <w:pPr>
        <w:ind w:left="2511" w:hanging="400"/>
      </w:pPr>
      <w:rPr>
        <w:rFonts w:cs="Times New Roman"/>
      </w:rPr>
    </w:lvl>
    <w:lvl w:ilvl="6" w:tplc="0409000F" w:tentative="1">
      <w:start w:val="1"/>
      <w:numFmt w:val="decimal"/>
      <w:lvlText w:val="%7."/>
      <w:lvlJc w:val="left"/>
      <w:pPr>
        <w:ind w:left="2911" w:hanging="400"/>
      </w:pPr>
      <w:rPr>
        <w:rFonts w:cs="Times New Roman"/>
      </w:rPr>
    </w:lvl>
    <w:lvl w:ilvl="7" w:tplc="04090019" w:tentative="1">
      <w:start w:val="1"/>
      <w:numFmt w:val="upperLetter"/>
      <w:lvlText w:val="%8."/>
      <w:lvlJc w:val="left"/>
      <w:pPr>
        <w:ind w:left="3311" w:hanging="400"/>
      </w:pPr>
      <w:rPr>
        <w:rFonts w:cs="Times New Roman"/>
      </w:rPr>
    </w:lvl>
    <w:lvl w:ilvl="8" w:tplc="0409001B" w:tentative="1">
      <w:start w:val="1"/>
      <w:numFmt w:val="lowerRoman"/>
      <w:lvlText w:val="%9."/>
      <w:lvlJc w:val="right"/>
      <w:pPr>
        <w:ind w:left="3711" w:hanging="400"/>
      </w:pPr>
      <w:rPr>
        <w:rFonts w:cs="Times New Roman"/>
      </w:rPr>
    </w:lvl>
  </w:abstractNum>
  <w:abstractNum w:abstractNumId="34" w15:restartNumberingAfterBreak="0">
    <w:nsid w:val="29403616"/>
    <w:multiLevelType w:val="multilevel"/>
    <w:tmpl w:val="FFFFFFFF"/>
    <w:lvl w:ilvl="0">
      <w:start w:val="14"/>
      <w:numFmt w:val="upperLetter"/>
      <w:lvlText w:val="%1"/>
      <w:lvlJc w:val="left"/>
      <w:pPr>
        <w:ind w:left="711" w:hanging="485"/>
      </w:pPr>
      <w:rPr>
        <w:rFonts w:cs="Times New Roman" w:hint="default"/>
      </w:rPr>
    </w:lvl>
    <w:lvl w:ilvl="1">
      <w:start w:val="5"/>
      <w:numFmt w:val="upperRoman"/>
      <w:lvlText w:val="%1.%2."/>
      <w:lvlJc w:val="left"/>
      <w:pPr>
        <w:ind w:left="711" w:hanging="485"/>
      </w:pPr>
      <w:rPr>
        <w:rFonts w:ascii="Times New Roman" w:eastAsia="Times New Roman" w:hAnsi="Times New Roman" w:cs="Times New Roman" w:hint="default"/>
        <w:spacing w:val="-1"/>
        <w:sz w:val="22"/>
        <w:szCs w:val="22"/>
      </w:rPr>
    </w:lvl>
    <w:lvl w:ilvl="2">
      <w:start w:val="1"/>
      <w:numFmt w:val="bullet"/>
      <w:lvlText w:val=""/>
      <w:lvlJc w:val="left"/>
      <w:pPr>
        <w:ind w:left="830" w:hanging="356"/>
      </w:pPr>
      <w:rPr>
        <w:rFonts w:ascii="Symbol" w:eastAsia="Times New Roman" w:hAnsi="Symbol" w:hint="default"/>
        <w:sz w:val="22"/>
      </w:rPr>
    </w:lvl>
    <w:lvl w:ilvl="3">
      <w:start w:val="1"/>
      <w:numFmt w:val="bullet"/>
      <w:lvlText w:val=""/>
      <w:lvlJc w:val="left"/>
      <w:pPr>
        <w:ind w:left="1196" w:hanging="358"/>
      </w:pPr>
      <w:rPr>
        <w:rFonts w:ascii="Symbol" w:eastAsia="Times New Roman" w:hAnsi="Symbol" w:hint="default"/>
        <w:sz w:val="22"/>
      </w:rPr>
    </w:lvl>
    <w:lvl w:ilvl="4">
      <w:start w:val="1"/>
      <w:numFmt w:val="bullet"/>
      <w:lvlText w:val="•"/>
      <w:lvlJc w:val="left"/>
      <w:pPr>
        <w:ind w:left="1417" w:hanging="358"/>
      </w:pPr>
      <w:rPr>
        <w:rFonts w:hint="default"/>
      </w:rPr>
    </w:lvl>
    <w:lvl w:ilvl="5">
      <w:start w:val="1"/>
      <w:numFmt w:val="bullet"/>
      <w:lvlText w:val="•"/>
      <w:lvlJc w:val="left"/>
      <w:pPr>
        <w:ind w:left="1639" w:hanging="358"/>
      </w:pPr>
      <w:rPr>
        <w:rFonts w:hint="default"/>
      </w:rPr>
    </w:lvl>
    <w:lvl w:ilvl="6">
      <w:start w:val="1"/>
      <w:numFmt w:val="bullet"/>
      <w:lvlText w:val="•"/>
      <w:lvlJc w:val="left"/>
      <w:pPr>
        <w:ind w:left="1860" w:hanging="358"/>
      </w:pPr>
      <w:rPr>
        <w:rFonts w:hint="default"/>
      </w:rPr>
    </w:lvl>
    <w:lvl w:ilvl="7">
      <w:start w:val="1"/>
      <w:numFmt w:val="bullet"/>
      <w:lvlText w:val="•"/>
      <w:lvlJc w:val="left"/>
      <w:pPr>
        <w:ind w:left="2082" w:hanging="358"/>
      </w:pPr>
      <w:rPr>
        <w:rFonts w:hint="default"/>
      </w:rPr>
    </w:lvl>
    <w:lvl w:ilvl="8">
      <w:start w:val="1"/>
      <w:numFmt w:val="bullet"/>
      <w:lvlText w:val="•"/>
      <w:lvlJc w:val="left"/>
      <w:pPr>
        <w:ind w:left="2303" w:hanging="358"/>
      </w:pPr>
      <w:rPr>
        <w:rFonts w:hint="default"/>
      </w:rPr>
    </w:lvl>
  </w:abstractNum>
  <w:abstractNum w:abstractNumId="35" w15:restartNumberingAfterBreak="0">
    <w:nsid w:val="2EB87E7C"/>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36" w15:restartNumberingAfterBreak="0">
    <w:nsid w:val="2ED83F68"/>
    <w:multiLevelType w:val="multilevel"/>
    <w:tmpl w:val="C5DC1B40"/>
    <w:lvl w:ilvl="0">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7" w:hanging="78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720" w:hanging="360"/>
      </w:pPr>
      <w:rPr>
        <w:rFonts w:ascii="Symbol" w:hAnsi="Symbol" w:hint="default"/>
      </w:rPr>
    </w:lvl>
    <w:lvl w:ilvl="3">
      <w:numFmt w:val="bullet"/>
      <w:lvlText w:val="•"/>
      <w:lvlJc w:val="left"/>
      <w:pPr>
        <w:ind w:left="1893" w:hanging="360"/>
      </w:pPr>
      <w:rPr>
        <w:rFonts w:hint="default"/>
        <w:lang w:val="en-US" w:eastAsia="en-US" w:bidi="ar-SA"/>
      </w:rPr>
    </w:lvl>
    <w:lvl w:ilvl="4">
      <w:numFmt w:val="bullet"/>
      <w:lvlText w:val="•"/>
      <w:lvlJc w:val="left"/>
      <w:pPr>
        <w:ind w:left="3006" w:hanging="360"/>
      </w:pPr>
      <w:rPr>
        <w:rFonts w:hint="default"/>
        <w:lang w:val="en-US" w:eastAsia="en-US" w:bidi="ar-SA"/>
      </w:rPr>
    </w:lvl>
    <w:lvl w:ilvl="5">
      <w:numFmt w:val="bullet"/>
      <w:lvlText w:val="•"/>
      <w:lvlJc w:val="left"/>
      <w:pPr>
        <w:ind w:left="4119"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46" w:hanging="360"/>
      </w:pPr>
      <w:rPr>
        <w:rFonts w:hint="default"/>
        <w:lang w:val="en-US" w:eastAsia="en-US" w:bidi="ar-SA"/>
      </w:rPr>
    </w:lvl>
    <w:lvl w:ilvl="8">
      <w:numFmt w:val="bullet"/>
      <w:lvlText w:val="•"/>
      <w:lvlJc w:val="left"/>
      <w:pPr>
        <w:ind w:left="7459" w:hanging="360"/>
      </w:pPr>
      <w:rPr>
        <w:rFonts w:hint="default"/>
        <w:lang w:val="en-US" w:eastAsia="en-US" w:bidi="ar-SA"/>
      </w:rPr>
    </w:lvl>
  </w:abstractNum>
  <w:abstractNum w:abstractNumId="37" w15:restartNumberingAfterBreak="0">
    <w:nsid w:val="326E5A9B"/>
    <w:multiLevelType w:val="hybridMultilevel"/>
    <w:tmpl w:val="FFFFFFFF"/>
    <w:lvl w:ilvl="0" w:tplc="1E3A0BD8">
      <w:start w:val="1"/>
      <w:numFmt w:val="bullet"/>
      <w:lvlText w:val=""/>
      <w:lvlJc w:val="left"/>
      <w:pPr>
        <w:ind w:left="476" w:hanging="562"/>
      </w:pPr>
      <w:rPr>
        <w:rFonts w:ascii="Symbol" w:eastAsia="Times New Roman" w:hAnsi="Symbol" w:hint="default"/>
        <w:sz w:val="22"/>
      </w:rPr>
    </w:lvl>
    <w:lvl w:ilvl="1" w:tplc="9CDAE144">
      <w:start w:val="1"/>
      <w:numFmt w:val="bullet"/>
      <w:lvlText w:val=""/>
      <w:lvlJc w:val="left"/>
      <w:pPr>
        <w:ind w:left="663" w:hanging="207"/>
      </w:pPr>
      <w:rPr>
        <w:rFonts w:ascii="Symbol" w:eastAsia="Times New Roman" w:hAnsi="Symbol" w:hint="default"/>
        <w:b/>
        <w:sz w:val="22"/>
      </w:rPr>
    </w:lvl>
    <w:lvl w:ilvl="2" w:tplc="6FDCE328">
      <w:start w:val="1"/>
      <w:numFmt w:val="bullet"/>
      <w:lvlText w:val=""/>
      <w:lvlJc w:val="left"/>
      <w:pPr>
        <w:ind w:left="1551" w:hanging="356"/>
      </w:pPr>
      <w:rPr>
        <w:rFonts w:ascii="Symbol" w:eastAsia="Times New Roman" w:hAnsi="Symbol" w:hint="default"/>
        <w:sz w:val="22"/>
      </w:rPr>
    </w:lvl>
    <w:lvl w:ilvl="3" w:tplc="1284DA3A">
      <w:start w:val="1"/>
      <w:numFmt w:val="bullet"/>
      <w:lvlText w:val="•"/>
      <w:lvlJc w:val="left"/>
      <w:pPr>
        <w:ind w:left="832" w:hanging="356"/>
      </w:pPr>
      <w:rPr>
        <w:rFonts w:hint="default"/>
      </w:rPr>
    </w:lvl>
    <w:lvl w:ilvl="4" w:tplc="A000A780">
      <w:start w:val="1"/>
      <w:numFmt w:val="bullet"/>
      <w:lvlText w:val="•"/>
      <w:lvlJc w:val="left"/>
      <w:pPr>
        <w:ind w:left="1537" w:hanging="356"/>
      </w:pPr>
      <w:rPr>
        <w:rFonts w:hint="default"/>
      </w:rPr>
    </w:lvl>
    <w:lvl w:ilvl="5" w:tplc="43C89C4C">
      <w:start w:val="1"/>
      <w:numFmt w:val="bullet"/>
      <w:lvlText w:val="•"/>
      <w:lvlJc w:val="left"/>
      <w:pPr>
        <w:ind w:left="1551" w:hanging="356"/>
      </w:pPr>
      <w:rPr>
        <w:rFonts w:hint="default"/>
      </w:rPr>
    </w:lvl>
    <w:lvl w:ilvl="6" w:tplc="83B2EAAE">
      <w:start w:val="1"/>
      <w:numFmt w:val="bullet"/>
      <w:lvlText w:val="•"/>
      <w:lvlJc w:val="left"/>
      <w:pPr>
        <w:ind w:left="1551" w:hanging="356"/>
      </w:pPr>
      <w:rPr>
        <w:rFonts w:hint="default"/>
      </w:rPr>
    </w:lvl>
    <w:lvl w:ilvl="7" w:tplc="B6C890A4">
      <w:start w:val="1"/>
      <w:numFmt w:val="bullet"/>
      <w:lvlText w:val="•"/>
      <w:lvlJc w:val="left"/>
      <w:pPr>
        <w:ind w:left="1552" w:hanging="356"/>
      </w:pPr>
      <w:rPr>
        <w:rFonts w:hint="default"/>
      </w:rPr>
    </w:lvl>
    <w:lvl w:ilvl="8" w:tplc="8698F738">
      <w:start w:val="1"/>
      <w:numFmt w:val="bullet"/>
      <w:lvlText w:val="•"/>
      <w:lvlJc w:val="left"/>
      <w:pPr>
        <w:ind w:left="4110" w:hanging="356"/>
      </w:pPr>
      <w:rPr>
        <w:rFonts w:hint="default"/>
      </w:rPr>
    </w:lvl>
  </w:abstractNum>
  <w:abstractNum w:abstractNumId="38" w15:restartNumberingAfterBreak="0">
    <w:nsid w:val="334356C0"/>
    <w:multiLevelType w:val="hybridMultilevel"/>
    <w:tmpl w:val="8CB80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6735A2"/>
    <w:multiLevelType w:val="multilevel"/>
    <w:tmpl w:val="C7C8FC82"/>
    <w:lvl w:ilvl="0">
      <w:start w:val="1"/>
      <w:numFmt w:val="bullet"/>
      <w:lvlText w:val=""/>
      <w:lvlJc w:val="left"/>
      <w:pPr>
        <w:ind w:left="720" w:hanging="360"/>
      </w:pPr>
      <w:rPr>
        <w:rFonts w:ascii="Symbol" w:hAnsi="Symbol" w:hint="default"/>
        <w:b/>
        <w:bCs/>
        <w:i w:val="0"/>
        <w:iCs w:val="0"/>
        <w:spacing w:val="0"/>
        <w:w w:val="100"/>
        <w:sz w:val="24"/>
        <w:szCs w:val="24"/>
        <w:lang w:val="en-US" w:eastAsia="en-US" w:bidi="ar-SA"/>
      </w:rPr>
    </w:lvl>
    <w:lvl w:ilvl="1">
      <w:start w:val="1"/>
      <w:numFmt w:val="decimal"/>
      <w:lvlText w:val="%1.%2"/>
      <w:lvlJc w:val="left"/>
      <w:pPr>
        <w:ind w:left="1147" w:hanging="78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253" w:hanging="360"/>
      </w:pPr>
      <w:rPr>
        <w:rFonts w:hint="default"/>
        <w:lang w:val="en-US" w:eastAsia="en-US" w:bidi="ar-SA"/>
      </w:rPr>
    </w:lvl>
    <w:lvl w:ilvl="4">
      <w:numFmt w:val="bullet"/>
      <w:lvlText w:val="•"/>
      <w:lvlJc w:val="left"/>
      <w:pPr>
        <w:ind w:left="3366" w:hanging="360"/>
      </w:pPr>
      <w:rPr>
        <w:rFonts w:hint="default"/>
        <w:lang w:val="en-US" w:eastAsia="en-US" w:bidi="ar-SA"/>
      </w:rPr>
    </w:lvl>
    <w:lvl w:ilvl="5">
      <w:numFmt w:val="bullet"/>
      <w:lvlText w:val="•"/>
      <w:lvlJc w:val="left"/>
      <w:pPr>
        <w:ind w:left="4479" w:hanging="360"/>
      </w:pPr>
      <w:rPr>
        <w:rFonts w:hint="default"/>
        <w:lang w:val="en-US" w:eastAsia="en-US" w:bidi="ar-SA"/>
      </w:rPr>
    </w:lvl>
    <w:lvl w:ilvl="6">
      <w:numFmt w:val="bullet"/>
      <w:lvlText w:val="•"/>
      <w:lvlJc w:val="left"/>
      <w:pPr>
        <w:ind w:left="5593" w:hanging="360"/>
      </w:pPr>
      <w:rPr>
        <w:rFonts w:hint="default"/>
        <w:lang w:val="en-US" w:eastAsia="en-US" w:bidi="ar-SA"/>
      </w:rPr>
    </w:lvl>
    <w:lvl w:ilvl="7">
      <w:numFmt w:val="bullet"/>
      <w:lvlText w:val="•"/>
      <w:lvlJc w:val="left"/>
      <w:pPr>
        <w:ind w:left="6706" w:hanging="360"/>
      </w:pPr>
      <w:rPr>
        <w:rFonts w:hint="default"/>
        <w:lang w:val="en-US" w:eastAsia="en-US" w:bidi="ar-SA"/>
      </w:rPr>
    </w:lvl>
    <w:lvl w:ilvl="8">
      <w:numFmt w:val="bullet"/>
      <w:lvlText w:val="•"/>
      <w:lvlJc w:val="left"/>
      <w:pPr>
        <w:ind w:left="7819" w:hanging="360"/>
      </w:pPr>
      <w:rPr>
        <w:rFonts w:hint="default"/>
        <w:lang w:val="en-US" w:eastAsia="en-US" w:bidi="ar-SA"/>
      </w:rPr>
    </w:lvl>
  </w:abstractNum>
  <w:abstractNum w:abstractNumId="40" w15:restartNumberingAfterBreak="0">
    <w:nsid w:val="34653D49"/>
    <w:multiLevelType w:val="hybridMultilevel"/>
    <w:tmpl w:val="FFFFFFFF"/>
    <w:lvl w:ilvl="0" w:tplc="0650A428">
      <w:start w:val="1"/>
      <w:numFmt w:val="bullet"/>
      <w:lvlText w:val="•"/>
      <w:lvlJc w:val="left"/>
      <w:pPr>
        <w:ind w:left="911" w:hanging="400"/>
      </w:pPr>
      <w:rPr>
        <w:rFonts w:ascii="Times New Roman" w:eastAsia="Times New Roman" w:hAnsi="Times New Roman" w:hint="default"/>
        <w:sz w:val="22"/>
      </w:rPr>
    </w:lvl>
    <w:lvl w:ilvl="1" w:tplc="043E36C2" w:tentative="1">
      <w:start w:val="1"/>
      <w:numFmt w:val="bullet"/>
      <w:lvlText w:val=""/>
      <w:lvlJc w:val="left"/>
      <w:pPr>
        <w:ind w:left="1311" w:hanging="400"/>
      </w:pPr>
      <w:rPr>
        <w:rFonts w:ascii="Wingdings" w:hAnsi="Wingdings" w:hint="default"/>
      </w:rPr>
    </w:lvl>
    <w:lvl w:ilvl="2" w:tplc="0C9C1F6A" w:tentative="1">
      <w:start w:val="1"/>
      <w:numFmt w:val="bullet"/>
      <w:lvlText w:val=""/>
      <w:lvlJc w:val="left"/>
      <w:pPr>
        <w:ind w:left="1711" w:hanging="400"/>
      </w:pPr>
      <w:rPr>
        <w:rFonts w:ascii="Wingdings" w:hAnsi="Wingdings" w:hint="default"/>
      </w:rPr>
    </w:lvl>
    <w:lvl w:ilvl="3" w:tplc="AC68A48E" w:tentative="1">
      <w:start w:val="1"/>
      <w:numFmt w:val="bullet"/>
      <w:lvlText w:val=""/>
      <w:lvlJc w:val="left"/>
      <w:pPr>
        <w:ind w:left="2111" w:hanging="400"/>
      </w:pPr>
      <w:rPr>
        <w:rFonts w:ascii="Wingdings" w:hAnsi="Wingdings" w:hint="default"/>
      </w:rPr>
    </w:lvl>
    <w:lvl w:ilvl="4" w:tplc="444811B8" w:tentative="1">
      <w:start w:val="1"/>
      <w:numFmt w:val="bullet"/>
      <w:lvlText w:val=""/>
      <w:lvlJc w:val="left"/>
      <w:pPr>
        <w:ind w:left="2511" w:hanging="400"/>
      </w:pPr>
      <w:rPr>
        <w:rFonts w:ascii="Wingdings" w:hAnsi="Wingdings" w:hint="default"/>
      </w:rPr>
    </w:lvl>
    <w:lvl w:ilvl="5" w:tplc="FCD2B724" w:tentative="1">
      <w:start w:val="1"/>
      <w:numFmt w:val="bullet"/>
      <w:lvlText w:val=""/>
      <w:lvlJc w:val="left"/>
      <w:pPr>
        <w:ind w:left="2911" w:hanging="400"/>
      </w:pPr>
      <w:rPr>
        <w:rFonts w:ascii="Wingdings" w:hAnsi="Wingdings" w:hint="default"/>
      </w:rPr>
    </w:lvl>
    <w:lvl w:ilvl="6" w:tplc="53FC4946" w:tentative="1">
      <w:start w:val="1"/>
      <w:numFmt w:val="bullet"/>
      <w:lvlText w:val=""/>
      <w:lvlJc w:val="left"/>
      <w:pPr>
        <w:ind w:left="3311" w:hanging="400"/>
      </w:pPr>
      <w:rPr>
        <w:rFonts w:ascii="Wingdings" w:hAnsi="Wingdings" w:hint="default"/>
      </w:rPr>
    </w:lvl>
    <w:lvl w:ilvl="7" w:tplc="79BCAB6E" w:tentative="1">
      <w:start w:val="1"/>
      <w:numFmt w:val="bullet"/>
      <w:lvlText w:val=""/>
      <w:lvlJc w:val="left"/>
      <w:pPr>
        <w:ind w:left="3711" w:hanging="400"/>
      </w:pPr>
      <w:rPr>
        <w:rFonts w:ascii="Wingdings" w:hAnsi="Wingdings" w:hint="default"/>
      </w:rPr>
    </w:lvl>
    <w:lvl w:ilvl="8" w:tplc="0FA20506" w:tentative="1">
      <w:start w:val="1"/>
      <w:numFmt w:val="bullet"/>
      <w:lvlText w:val=""/>
      <w:lvlJc w:val="left"/>
      <w:pPr>
        <w:ind w:left="4111" w:hanging="400"/>
      </w:pPr>
      <w:rPr>
        <w:rFonts w:ascii="Wingdings" w:hAnsi="Wingdings" w:hint="default"/>
      </w:rPr>
    </w:lvl>
  </w:abstractNum>
  <w:abstractNum w:abstractNumId="41" w15:restartNumberingAfterBreak="0">
    <w:nsid w:val="35C33797"/>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42" w15:restartNumberingAfterBreak="0">
    <w:nsid w:val="38DC1746"/>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tentative="1">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43" w15:restartNumberingAfterBreak="0">
    <w:nsid w:val="3A0508C6"/>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44" w15:restartNumberingAfterBreak="0">
    <w:nsid w:val="3A981045"/>
    <w:multiLevelType w:val="hybridMultilevel"/>
    <w:tmpl w:val="C1069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D553273"/>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tentative="1">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46" w15:restartNumberingAfterBreak="0">
    <w:nsid w:val="4040124D"/>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47" w15:restartNumberingAfterBreak="0">
    <w:nsid w:val="404C6361"/>
    <w:multiLevelType w:val="hybridMultilevel"/>
    <w:tmpl w:val="B5BA4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1C200DB"/>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49" w15:restartNumberingAfterBreak="0">
    <w:nsid w:val="424E7524"/>
    <w:multiLevelType w:val="hybridMultilevel"/>
    <w:tmpl w:val="70586060"/>
    <w:lvl w:ilvl="0" w:tplc="1284DA3A">
      <w:start w:val="1"/>
      <w:numFmt w:val="bullet"/>
      <w:lvlText w:val="•"/>
      <w:lvlJc w:val="left"/>
      <w:pPr>
        <w:ind w:left="880" w:hanging="440"/>
      </w:pPr>
      <w:rPr>
        <w:rFont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0" w15:restartNumberingAfterBreak="0">
    <w:nsid w:val="483C7584"/>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51" w15:restartNumberingAfterBreak="0">
    <w:nsid w:val="49881D0A"/>
    <w:multiLevelType w:val="hybridMultilevel"/>
    <w:tmpl w:val="FFFFFFFF"/>
    <w:lvl w:ilvl="0" w:tplc="FFFFFFFF">
      <w:start w:val="1"/>
      <w:numFmt w:val="lowerLetter"/>
      <w:lvlText w:val="%1."/>
      <w:lvlJc w:val="left"/>
      <w:pPr>
        <w:ind w:left="831" w:hanging="360"/>
      </w:pPr>
      <w:rPr>
        <w:rFonts w:ascii="Times New Roman" w:hAnsi="Times New Roman" w:cs="Times New Roman" w:hint="default"/>
        <w:b/>
      </w:rPr>
    </w:lvl>
    <w:lvl w:ilvl="1" w:tplc="FFFFFFFF">
      <w:start w:val="1"/>
      <w:numFmt w:val="upperLetter"/>
      <w:lvlText w:val="%2."/>
      <w:lvlJc w:val="left"/>
      <w:pPr>
        <w:ind w:left="1680" w:hanging="440"/>
      </w:pPr>
      <w:rPr>
        <w:rFonts w:cs="Times New Roman"/>
      </w:rPr>
    </w:lvl>
    <w:lvl w:ilvl="2" w:tplc="FFFFFFFF" w:tentative="1">
      <w:start w:val="1"/>
      <w:numFmt w:val="lowerRoman"/>
      <w:lvlText w:val="%3."/>
      <w:lvlJc w:val="right"/>
      <w:pPr>
        <w:ind w:left="2120" w:hanging="440"/>
      </w:pPr>
      <w:rPr>
        <w:rFonts w:cs="Times New Roman"/>
      </w:rPr>
    </w:lvl>
    <w:lvl w:ilvl="3" w:tplc="FFFFFFFF" w:tentative="1">
      <w:start w:val="1"/>
      <w:numFmt w:val="decimal"/>
      <w:lvlText w:val="%4."/>
      <w:lvlJc w:val="left"/>
      <w:pPr>
        <w:ind w:left="2560" w:hanging="440"/>
      </w:pPr>
      <w:rPr>
        <w:rFonts w:cs="Times New Roman"/>
      </w:rPr>
    </w:lvl>
    <w:lvl w:ilvl="4" w:tplc="FFFFFFFF" w:tentative="1">
      <w:start w:val="1"/>
      <w:numFmt w:val="upperLetter"/>
      <w:lvlText w:val="%5."/>
      <w:lvlJc w:val="left"/>
      <w:pPr>
        <w:ind w:left="3000" w:hanging="440"/>
      </w:pPr>
      <w:rPr>
        <w:rFonts w:cs="Times New Roman"/>
      </w:rPr>
    </w:lvl>
    <w:lvl w:ilvl="5" w:tplc="FFFFFFFF" w:tentative="1">
      <w:start w:val="1"/>
      <w:numFmt w:val="lowerRoman"/>
      <w:lvlText w:val="%6."/>
      <w:lvlJc w:val="right"/>
      <w:pPr>
        <w:ind w:left="3440" w:hanging="440"/>
      </w:pPr>
      <w:rPr>
        <w:rFonts w:cs="Times New Roman"/>
      </w:rPr>
    </w:lvl>
    <w:lvl w:ilvl="6" w:tplc="FFFFFFFF" w:tentative="1">
      <w:start w:val="1"/>
      <w:numFmt w:val="decimal"/>
      <w:lvlText w:val="%7."/>
      <w:lvlJc w:val="left"/>
      <w:pPr>
        <w:ind w:left="3880" w:hanging="440"/>
      </w:pPr>
      <w:rPr>
        <w:rFonts w:cs="Times New Roman"/>
      </w:rPr>
    </w:lvl>
    <w:lvl w:ilvl="7" w:tplc="FFFFFFFF" w:tentative="1">
      <w:start w:val="1"/>
      <w:numFmt w:val="upperLetter"/>
      <w:lvlText w:val="%8."/>
      <w:lvlJc w:val="left"/>
      <w:pPr>
        <w:ind w:left="4320" w:hanging="440"/>
      </w:pPr>
      <w:rPr>
        <w:rFonts w:cs="Times New Roman"/>
      </w:rPr>
    </w:lvl>
    <w:lvl w:ilvl="8" w:tplc="FFFFFFFF" w:tentative="1">
      <w:start w:val="1"/>
      <w:numFmt w:val="lowerRoman"/>
      <w:lvlText w:val="%9."/>
      <w:lvlJc w:val="right"/>
      <w:pPr>
        <w:ind w:left="4760" w:hanging="440"/>
      </w:pPr>
      <w:rPr>
        <w:rFonts w:cs="Times New Roman"/>
      </w:rPr>
    </w:lvl>
  </w:abstractNum>
  <w:abstractNum w:abstractNumId="52" w15:restartNumberingAfterBreak="0">
    <w:nsid w:val="4A4F7DAD"/>
    <w:multiLevelType w:val="hybridMultilevel"/>
    <w:tmpl w:val="2D6E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C551859"/>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tentative="1">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54" w15:restartNumberingAfterBreak="0">
    <w:nsid w:val="4CC0175C"/>
    <w:multiLevelType w:val="hybridMultilevel"/>
    <w:tmpl w:val="FFFFFFFF"/>
    <w:lvl w:ilvl="0" w:tplc="4CA0F288">
      <w:start w:val="1"/>
      <w:numFmt w:val="bullet"/>
      <w:lvlText w:val=""/>
      <w:lvlJc w:val="left"/>
      <w:pPr>
        <w:ind w:left="1260" w:hanging="360"/>
      </w:pPr>
      <w:rPr>
        <w:rFonts w:ascii="Symbol" w:hAnsi="Symbol" w:hint="default"/>
      </w:rPr>
    </w:lvl>
    <w:lvl w:ilvl="1" w:tplc="02A272A4" w:tentative="1">
      <w:start w:val="1"/>
      <w:numFmt w:val="bullet"/>
      <w:lvlText w:val="o"/>
      <w:lvlJc w:val="left"/>
      <w:pPr>
        <w:ind w:left="2072" w:hanging="360"/>
      </w:pPr>
      <w:rPr>
        <w:rFonts w:ascii="Courier New" w:hAnsi="Courier New" w:hint="default"/>
      </w:rPr>
    </w:lvl>
    <w:lvl w:ilvl="2" w:tplc="6EBC9FC0" w:tentative="1">
      <w:start w:val="1"/>
      <w:numFmt w:val="bullet"/>
      <w:lvlText w:val=""/>
      <w:lvlJc w:val="left"/>
      <w:pPr>
        <w:ind w:left="2792" w:hanging="360"/>
      </w:pPr>
      <w:rPr>
        <w:rFonts w:ascii="Wingdings" w:hAnsi="Wingdings" w:hint="default"/>
      </w:rPr>
    </w:lvl>
    <w:lvl w:ilvl="3" w:tplc="157487D4" w:tentative="1">
      <w:start w:val="1"/>
      <w:numFmt w:val="bullet"/>
      <w:lvlText w:val=""/>
      <w:lvlJc w:val="left"/>
      <w:pPr>
        <w:ind w:left="3512" w:hanging="360"/>
      </w:pPr>
      <w:rPr>
        <w:rFonts w:ascii="Symbol" w:hAnsi="Symbol" w:hint="default"/>
      </w:rPr>
    </w:lvl>
    <w:lvl w:ilvl="4" w:tplc="612C29FA" w:tentative="1">
      <w:start w:val="1"/>
      <w:numFmt w:val="bullet"/>
      <w:lvlText w:val="o"/>
      <w:lvlJc w:val="left"/>
      <w:pPr>
        <w:ind w:left="4232" w:hanging="360"/>
      </w:pPr>
      <w:rPr>
        <w:rFonts w:ascii="Courier New" w:hAnsi="Courier New" w:hint="default"/>
      </w:rPr>
    </w:lvl>
    <w:lvl w:ilvl="5" w:tplc="A0B00824" w:tentative="1">
      <w:start w:val="1"/>
      <w:numFmt w:val="bullet"/>
      <w:lvlText w:val=""/>
      <w:lvlJc w:val="left"/>
      <w:pPr>
        <w:ind w:left="4952" w:hanging="360"/>
      </w:pPr>
      <w:rPr>
        <w:rFonts w:ascii="Wingdings" w:hAnsi="Wingdings" w:hint="default"/>
      </w:rPr>
    </w:lvl>
    <w:lvl w:ilvl="6" w:tplc="8D848558" w:tentative="1">
      <w:start w:val="1"/>
      <w:numFmt w:val="bullet"/>
      <w:lvlText w:val=""/>
      <w:lvlJc w:val="left"/>
      <w:pPr>
        <w:ind w:left="5672" w:hanging="360"/>
      </w:pPr>
      <w:rPr>
        <w:rFonts w:ascii="Symbol" w:hAnsi="Symbol" w:hint="default"/>
      </w:rPr>
    </w:lvl>
    <w:lvl w:ilvl="7" w:tplc="E5DA7124" w:tentative="1">
      <w:start w:val="1"/>
      <w:numFmt w:val="bullet"/>
      <w:lvlText w:val="o"/>
      <w:lvlJc w:val="left"/>
      <w:pPr>
        <w:ind w:left="6392" w:hanging="360"/>
      </w:pPr>
      <w:rPr>
        <w:rFonts w:ascii="Courier New" w:hAnsi="Courier New" w:hint="default"/>
      </w:rPr>
    </w:lvl>
    <w:lvl w:ilvl="8" w:tplc="05B8C438" w:tentative="1">
      <w:start w:val="1"/>
      <w:numFmt w:val="bullet"/>
      <w:lvlText w:val=""/>
      <w:lvlJc w:val="left"/>
      <w:pPr>
        <w:ind w:left="7112" w:hanging="360"/>
      </w:pPr>
      <w:rPr>
        <w:rFonts w:ascii="Wingdings" w:hAnsi="Wingdings" w:hint="default"/>
      </w:rPr>
    </w:lvl>
  </w:abstractNum>
  <w:abstractNum w:abstractNumId="55" w15:restartNumberingAfterBreak="0">
    <w:nsid w:val="4CEE0BD7"/>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56" w15:restartNumberingAfterBreak="0">
    <w:nsid w:val="4DD65AA1"/>
    <w:multiLevelType w:val="hybridMultilevel"/>
    <w:tmpl w:val="5C0CD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E090470"/>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58" w15:restartNumberingAfterBreak="0">
    <w:nsid w:val="4E1C5780"/>
    <w:multiLevelType w:val="multilevel"/>
    <w:tmpl w:val="FFFFFFFF"/>
    <w:lvl w:ilvl="0">
      <w:start w:val="4"/>
      <w:numFmt w:val="decimal"/>
      <w:lvlText w:val="%1"/>
      <w:lvlJc w:val="left"/>
      <w:pPr>
        <w:ind w:left="360" w:hanging="360"/>
      </w:pPr>
      <w:rPr>
        <w:rFonts w:cs="Times New Roman" w:hint="default"/>
        <w:b/>
      </w:rPr>
    </w:lvl>
    <w:lvl w:ilvl="1">
      <w:start w:val="1"/>
      <w:numFmt w:val="decimal"/>
      <w:lvlText w:val="%1.%2"/>
      <w:lvlJc w:val="left"/>
      <w:pPr>
        <w:ind w:left="460" w:hanging="360"/>
      </w:pPr>
      <w:rPr>
        <w:rFonts w:cs="Times New Roman" w:hint="default"/>
        <w:b/>
      </w:rPr>
    </w:lvl>
    <w:lvl w:ilvl="2">
      <w:start w:val="1"/>
      <w:numFmt w:val="decimal"/>
      <w:lvlText w:val="%1.%2.%3"/>
      <w:lvlJc w:val="left"/>
      <w:pPr>
        <w:ind w:left="920" w:hanging="720"/>
      </w:pPr>
      <w:rPr>
        <w:rFonts w:cs="Times New Roman" w:hint="default"/>
        <w:b/>
      </w:rPr>
    </w:lvl>
    <w:lvl w:ilvl="3">
      <w:start w:val="1"/>
      <w:numFmt w:val="decimal"/>
      <w:lvlText w:val="%1.%2.%3.%4"/>
      <w:lvlJc w:val="left"/>
      <w:pPr>
        <w:ind w:left="1020" w:hanging="720"/>
      </w:pPr>
      <w:rPr>
        <w:rFonts w:cs="Times New Roman" w:hint="default"/>
        <w:b/>
      </w:rPr>
    </w:lvl>
    <w:lvl w:ilvl="4">
      <w:start w:val="1"/>
      <w:numFmt w:val="decimal"/>
      <w:lvlText w:val="%1.%2.%3.%4.%5"/>
      <w:lvlJc w:val="left"/>
      <w:pPr>
        <w:ind w:left="1480" w:hanging="1080"/>
      </w:pPr>
      <w:rPr>
        <w:rFonts w:cs="Times New Roman" w:hint="default"/>
        <w:b/>
      </w:rPr>
    </w:lvl>
    <w:lvl w:ilvl="5">
      <w:start w:val="1"/>
      <w:numFmt w:val="decimal"/>
      <w:lvlText w:val="%1.%2.%3.%4.%5.%6"/>
      <w:lvlJc w:val="left"/>
      <w:pPr>
        <w:ind w:left="1580" w:hanging="1080"/>
      </w:pPr>
      <w:rPr>
        <w:rFonts w:cs="Times New Roman" w:hint="default"/>
        <w:b/>
      </w:rPr>
    </w:lvl>
    <w:lvl w:ilvl="6">
      <w:start w:val="1"/>
      <w:numFmt w:val="decimal"/>
      <w:lvlText w:val="%1.%2.%3.%4.%5.%6.%7"/>
      <w:lvlJc w:val="left"/>
      <w:pPr>
        <w:ind w:left="2040" w:hanging="1440"/>
      </w:pPr>
      <w:rPr>
        <w:rFonts w:cs="Times New Roman" w:hint="default"/>
        <w:b/>
      </w:rPr>
    </w:lvl>
    <w:lvl w:ilvl="7">
      <w:start w:val="1"/>
      <w:numFmt w:val="decimal"/>
      <w:lvlText w:val="%1.%2.%3.%4.%5.%6.%7.%8"/>
      <w:lvlJc w:val="left"/>
      <w:pPr>
        <w:ind w:left="2140" w:hanging="1440"/>
      </w:pPr>
      <w:rPr>
        <w:rFonts w:cs="Times New Roman" w:hint="default"/>
        <w:b/>
      </w:rPr>
    </w:lvl>
    <w:lvl w:ilvl="8">
      <w:start w:val="1"/>
      <w:numFmt w:val="decimal"/>
      <w:lvlText w:val="%1.%2.%3.%4.%5.%6.%7.%8.%9"/>
      <w:lvlJc w:val="left"/>
      <w:pPr>
        <w:ind w:left="2600" w:hanging="1800"/>
      </w:pPr>
      <w:rPr>
        <w:rFonts w:cs="Times New Roman" w:hint="default"/>
        <w:b/>
      </w:rPr>
    </w:lvl>
  </w:abstractNum>
  <w:abstractNum w:abstractNumId="59" w15:restartNumberingAfterBreak="0">
    <w:nsid w:val="4FF51D60"/>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60" w15:restartNumberingAfterBreak="0">
    <w:nsid w:val="51DF0FD4"/>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61" w15:restartNumberingAfterBreak="0">
    <w:nsid w:val="55C11BF0"/>
    <w:multiLevelType w:val="hybridMultilevel"/>
    <w:tmpl w:val="1A28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75D60D2"/>
    <w:multiLevelType w:val="hybridMultilevel"/>
    <w:tmpl w:val="44E4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F3F4D74"/>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65" w15:restartNumberingAfterBreak="0">
    <w:nsid w:val="5F812F93"/>
    <w:multiLevelType w:val="hybridMultilevel"/>
    <w:tmpl w:val="FFFFFFFF"/>
    <w:lvl w:ilvl="0" w:tplc="FFFFFFFF">
      <w:start w:val="1"/>
      <w:numFmt w:val="lowerLetter"/>
      <w:lvlText w:val="%1."/>
      <w:lvlJc w:val="left"/>
      <w:pPr>
        <w:ind w:left="831" w:hanging="360"/>
      </w:pPr>
      <w:rPr>
        <w:rFonts w:ascii="Times New Roman" w:hAnsi="Times New Roman" w:cs="Times New Roman" w:hint="default"/>
        <w:b/>
      </w:rPr>
    </w:lvl>
    <w:lvl w:ilvl="1" w:tplc="FFFFFFFF">
      <w:start w:val="1"/>
      <w:numFmt w:val="upperLetter"/>
      <w:lvlText w:val="%2."/>
      <w:lvlJc w:val="left"/>
      <w:pPr>
        <w:ind w:left="1680" w:hanging="440"/>
      </w:pPr>
      <w:rPr>
        <w:rFonts w:cs="Times New Roman"/>
      </w:rPr>
    </w:lvl>
    <w:lvl w:ilvl="2" w:tplc="FFFFFFFF" w:tentative="1">
      <w:start w:val="1"/>
      <w:numFmt w:val="lowerRoman"/>
      <w:lvlText w:val="%3."/>
      <w:lvlJc w:val="right"/>
      <w:pPr>
        <w:ind w:left="2120" w:hanging="440"/>
      </w:pPr>
      <w:rPr>
        <w:rFonts w:cs="Times New Roman"/>
      </w:rPr>
    </w:lvl>
    <w:lvl w:ilvl="3" w:tplc="FFFFFFFF" w:tentative="1">
      <w:start w:val="1"/>
      <w:numFmt w:val="decimal"/>
      <w:lvlText w:val="%4."/>
      <w:lvlJc w:val="left"/>
      <w:pPr>
        <w:ind w:left="2560" w:hanging="440"/>
      </w:pPr>
      <w:rPr>
        <w:rFonts w:cs="Times New Roman"/>
      </w:rPr>
    </w:lvl>
    <w:lvl w:ilvl="4" w:tplc="FFFFFFFF" w:tentative="1">
      <w:start w:val="1"/>
      <w:numFmt w:val="upperLetter"/>
      <w:lvlText w:val="%5."/>
      <w:lvlJc w:val="left"/>
      <w:pPr>
        <w:ind w:left="3000" w:hanging="440"/>
      </w:pPr>
      <w:rPr>
        <w:rFonts w:cs="Times New Roman"/>
      </w:rPr>
    </w:lvl>
    <w:lvl w:ilvl="5" w:tplc="FFFFFFFF" w:tentative="1">
      <w:start w:val="1"/>
      <w:numFmt w:val="lowerRoman"/>
      <w:lvlText w:val="%6."/>
      <w:lvlJc w:val="right"/>
      <w:pPr>
        <w:ind w:left="3440" w:hanging="440"/>
      </w:pPr>
      <w:rPr>
        <w:rFonts w:cs="Times New Roman"/>
      </w:rPr>
    </w:lvl>
    <w:lvl w:ilvl="6" w:tplc="FFFFFFFF" w:tentative="1">
      <w:start w:val="1"/>
      <w:numFmt w:val="decimal"/>
      <w:lvlText w:val="%7."/>
      <w:lvlJc w:val="left"/>
      <w:pPr>
        <w:ind w:left="3880" w:hanging="440"/>
      </w:pPr>
      <w:rPr>
        <w:rFonts w:cs="Times New Roman"/>
      </w:rPr>
    </w:lvl>
    <w:lvl w:ilvl="7" w:tplc="FFFFFFFF" w:tentative="1">
      <w:start w:val="1"/>
      <w:numFmt w:val="upperLetter"/>
      <w:lvlText w:val="%8."/>
      <w:lvlJc w:val="left"/>
      <w:pPr>
        <w:ind w:left="4320" w:hanging="440"/>
      </w:pPr>
      <w:rPr>
        <w:rFonts w:cs="Times New Roman"/>
      </w:rPr>
    </w:lvl>
    <w:lvl w:ilvl="8" w:tplc="FFFFFFFF" w:tentative="1">
      <w:start w:val="1"/>
      <w:numFmt w:val="lowerRoman"/>
      <w:lvlText w:val="%9."/>
      <w:lvlJc w:val="right"/>
      <w:pPr>
        <w:ind w:left="4760" w:hanging="440"/>
      </w:pPr>
      <w:rPr>
        <w:rFonts w:cs="Times New Roman"/>
      </w:rPr>
    </w:lvl>
  </w:abstractNum>
  <w:abstractNum w:abstractNumId="66" w15:restartNumberingAfterBreak="0">
    <w:nsid w:val="61F00A2D"/>
    <w:multiLevelType w:val="hybridMultilevel"/>
    <w:tmpl w:val="05B8B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4514BF4"/>
    <w:multiLevelType w:val="hybridMultilevel"/>
    <w:tmpl w:val="FFFFFFFF"/>
    <w:lvl w:ilvl="0" w:tplc="689486F6">
      <w:start w:val="1"/>
      <w:numFmt w:val="lowerLetter"/>
      <w:lvlText w:val="%1."/>
      <w:lvlJc w:val="left"/>
      <w:pPr>
        <w:ind w:left="927" w:hanging="360"/>
      </w:pPr>
      <w:rPr>
        <w:rFonts w:ascii="Times New Roman" w:hAnsi="Times New Roman" w:cs="Times New Roman" w:hint="default"/>
        <w:b/>
      </w:rPr>
    </w:lvl>
    <w:lvl w:ilvl="1" w:tplc="04090019" w:tentative="1">
      <w:start w:val="1"/>
      <w:numFmt w:val="upperLetter"/>
      <w:lvlText w:val="%2."/>
      <w:lvlJc w:val="left"/>
      <w:pPr>
        <w:ind w:left="1776" w:hanging="440"/>
      </w:pPr>
      <w:rPr>
        <w:rFonts w:cs="Times New Roman"/>
      </w:rPr>
    </w:lvl>
    <w:lvl w:ilvl="2" w:tplc="0409001B" w:tentative="1">
      <w:start w:val="1"/>
      <w:numFmt w:val="lowerRoman"/>
      <w:lvlText w:val="%3."/>
      <w:lvlJc w:val="right"/>
      <w:pPr>
        <w:ind w:left="2216" w:hanging="440"/>
      </w:pPr>
      <w:rPr>
        <w:rFonts w:cs="Times New Roman"/>
      </w:rPr>
    </w:lvl>
    <w:lvl w:ilvl="3" w:tplc="0409000F" w:tentative="1">
      <w:start w:val="1"/>
      <w:numFmt w:val="decimal"/>
      <w:lvlText w:val="%4."/>
      <w:lvlJc w:val="left"/>
      <w:pPr>
        <w:ind w:left="2656" w:hanging="440"/>
      </w:pPr>
      <w:rPr>
        <w:rFonts w:cs="Times New Roman"/>
      </w:rPr>
    </w:lvl>
    <w:lvl w:ilvl="4" w:tplc="04090019" w:tentative="1">
      <w:start w:val="1"/>
      <w:numFmt w:val="upperLetter"/>
      <w:lvlText w:val="%5."/>
      <w:lvlJc w:val="left"/>
      <w:pPr>
        <w:ind w:left="3096" w:hanging="440"/>
      </w:pPr>
      <w:rPr>
        <w:rFonts w:cs="Times New Roman"/>
      </w:rPr>
    </w:lvl>
    <w:lvl w:ilvl="5" w:tplc="0409001B" w:tentative="1">
      <w:start w:val="1"/>
      <w:numFmt w:val="lowerRoman"/>
      <w:lvlText w:val="%6."/>
      <w:lvlJc w:val="right"/>
      <w:pPr>
        <w:ind w:left="3536" w:hanging="440"/>
      </w:pPr>
      <w:rPr>
        <w:rFonts w:cs="Times New Roman"/>
      </w:rPr>
    </w:lvl>
    <w:lvl w:ilvl="6" w:tplc="0409000F" w:tentative="1">
      <w:start w:val="1"/>
      <w:numFmt w:val="decimal"/>
      <w:lvlText w:val="%7."/>
      <w:lvlJc w:val="left"/>
      <w:pPr>
        <w:ind w:left="3976" w:hanging="440"/>
      </w:pPr>
      <w:rPr>
        <w:rFonts w:cs="Times New Roman"/>
      </w:rPr>
    </w:lvl>
    <w:lvl w:ilvl="7" w:tplc="04090019" w:tentative="1">
      <w:start w:val="1"/>
      <w:numFmt w:val="upperLetter"/>
      <w:lvlText w:val="%8."/>
      <w:lvlJc w:val="left"/>
      <w:pPr>
        <w:ind w:left="4416" w:hanging="440"/>
      </w:pPr>
      <w:rPr>
        <w:rFonts w:cs="Times New Roman"/>
      </w:rPr>
    </w:lvl>
    <w:lvl w:ilvl="8" w:tplc="0409001B" w:tentative="1">
      <w:start w:val="1"/>
      <w:numFmt w:val="lowerRoman"/>
      <w:lvlText w:val="%9."/>
      <w:lvlJc w:val="right"/>
      <w:pPr>
        <w:ind w:left="4856" w:hanging="440"/>
      </w:pPr>
      <w:rPr>
        <w:rFonts w:cs="Times New Roman"/>
      </w:rPr>
    </w:lvl>
  </w:abstractNum>
  <w:abstractNum w:abstractNumId="68" w15:restartNumberingAfterBreak="0">
    <w:nsid w:val="64764B74"/>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69" w15:restartNumberingAfterBreak="0">
    <w:nsid w:val="653904CF"/>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tentative="1">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7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8486FCB"/>
    <w:multiLevelType w:val="hybridMultilevel"/>
    <w:tmpl w:val="FF4A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A230A7A"/>
    <w:multiLevelType w:val="hybridMultilevel"/>
    <w:tmpl w:val="1AEC3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C791E89"/>
    <w:multiLevelType w:val="hybridMultilevel"/>
    <w:tmpl w:val="341C8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D1A5239"/>
    <w:multiLevelType w:val="hybridMultilevel"/>
    <w:tmpl w:val="12D6F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F5D1278"/>
    <w:multiLevelType w:val="hybridMultilevel"/>
    <w:tmpl w:val="92403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8" w15:restartNumberingAfterBreak="0">
    <w:nsid w:val="70C03939"/>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79" w15:restartNumberingAfterBreak="0">
    <w:nsid w:val="710464D6"/>
    <w:multiLevelType w:val="hybridMultilevel"/>
    <w:tmpl w:val="FFFFFFFF"/>
    <w:lvl w:ilvl="0" w:tplc="B5BA469A">
      <w:start w:val="1"/>
      <w:numFmt w:val="decimal"/>
      <w:lvlText w:val="%1."/>
      <w:lvlJc w:val="left"/>
      <w:pPr>
        <w:ind w:left="360" w:hanging="360"/>
      </w:pPr>
      <w:rPr>
        <w:rFonts w:cs="Times New Roman" w:hint="default"/>
        <w:b/>
        <w:bCs w:val="0"/>
      </w:rPr>
    </w:lvl>
    <w:lvl w:ilvl="1" w:tplc="04090019">
      <w:start w:val="1"/>
      <w:numFmt w:val="upperLetter"/>
      <w:lvlText w:val="%2."/>
      <w:lvlJc w:val="left"/>
      <w:pPr>
        <w:ind w:left="1320" w:hanging="440"/>
      </w:pPr>
      <w:rPr>
        <w:rFonts w:cs="Times New Roman"/>
      </w:rPr>
    </w:lvl>
    <w:lvl w:ilvl="2" w:tplc="0409001B" w:tentative="1">
      <w:start w:val="1"/>
      <w:numFmt w:val="lowerRoman"/>
      <w:lvlText w:val="%3."/>
      <w:lvlJc w:val="right"/>
      <w:pPr>
        <w:ind w:left="1760" w:hanging="440"/>
      </w:pPr>
      <w:rPr>
        <w:rFonts w:cs="Times New Roman"/>
      </w:rPr>
    </w:lvl>
    <w:lvl w:ilvl="3" w:tplc="0409000F" w:tentative="1">
      <w:start w:val="1"/>
      <w:numFmt w:val="decimal"/>
      <w:lvlText w:val="%4."/>
      <w:lvlJc w:val="left"/>
      <w:pPr>
        <w:ind w:left="2200" w:hanging="440"/>
      </w:pPr>
      <w:rPr>
        <w:rFonts w:cs="Times New Roman"/>
      </w:rPr>
    </w:lvl>
    <w:lvl w:ilvl="4" w:tplc="04090019" w:tentative="1">
      <w:start w:val="1"/>
      <w:numFmt w:val="upperLetter"/>
      <w:lvlText w:val="%5."/>
      <w:lvlJc w:val="left"/>
      <w:pPr>
        <w:ind w:left="2640" w:hanging="440"/>
      </w:pPr>
      <w:rPr>
        <w:rFonts w:cs="Times New Roman"/>
      </w:rPr>
    </w:lvl>
    <w:lvl w:ilvl="5" w:tplc="0409001B" w:tentative="1">
      <w:start w:val="1"/>
      <w:numFmt w:val="lowerRoman"/>
      <w:lvlText w:val="%6."/>
      <w:lvlJc w:val="right"/>
      <w:pPr>
        <w:ind w:left="3080" w:hanging="440"/>
      </w:pPr>
      <w:rPr>
        <w:rFonts w:cs="Times New Roman"/>
      </w:rPr>
    </w:lvl>
    <w:lvl w:ilvl="6" w:tplc="0409000F" w:tentative="1">
      <w:start w:val="1"/>
      <w:numFmt w:val="decimal"/>
      <w:lvlText w:val="%7."/>
      <w:lvlJc w:val="left"/>
      <w:pPr>
        <w:ind w:left="3520" w:hanging="440"/>
      </w:pPr>
      <w:rPr>
        <w:rFonts w:cs="Times New Roman"/>
      </w:rPr>
    </w:lvl>
    <w:lvl w:ilvl="7" w:tplc="04090019" w:tentative="1">
      <w:start w:val="1"/>
      <w:numFmt w:val="upperLetter"/>
      <w:lvlText w:val="%8."/>
      <w:lvlJc w:val="left"/>
      <w:pPr>
        <w:ind w:left="3960" w:hanging="440"/>
      </w:pPr>
      <w:rPr>
        <w:rFonts w:cs="Times New Roman"/>
      </w:rPr>
    </w:lvl>
    <w:lvl w:ilvl="8" w:tplc="0409001B" w:tentative="1">
      <w:start w:val="1"/>
      <w:numFmt w:val="lowerRoman"/>
      <w:lvlText w:val="%9."/>
      <w:lvlJc w:val="right"/>
      <w:pPr>
        <w:ind w:left="4400" w:hanging="440"/>
      </w:pPr>
      <w:rPr>
        <w:rFonts w:cs="Times New Roman"/>
      </w:rPr>
    </w:lvl>
  </w:abstractNum>
  <w:abstractNum w:abstractNumId="8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3902B62"/>
    <w:multiLevelType w:val="hybridMultilevel"/>
    <w:tmpl w:val="EE56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40820E1"/>
    <w:multiLevelType w:val="hybridMultilevel"/>
    <w:tmpl w:val="FFFFFFFF"/>
    <w:lvl w:ilvl="0" w:tplc="DFE84B9A">
      <w:start w:val="1"/>
      <w:numFmt w:val="bullet"/>
      <w:lvlText w:val="-"/>
      <w:lvlJc w:val="left"/>
      <w:pPr>
        <w:ind w:left="4613" w:hanging="360"/>
      </w:pPr>
      <w:rPr>
        <w:rFonts w:ascii="Times New Roman" w:eastAsia="Malgun Gothic" w:hAnsi="Times New Roman" w:hint="default"/>
        <w:b/>
      </w:rPr>
    </w:lvl>
    <w:lvl w:ilvl="1" w:tplc="04090003" w:tentative="1">
      <w:start w:val="1"/>
      <w:numFmt w:val="bullet"/>
      <w:lvlText w:val=""/>
      <w:lvlJc w:val="left"/>
      <w:pPr>
        <w:ind w:left="5133" w:hanging="440"/>
      </w:pPr>
      <w:rPr>
        <w:rFonts w:ascii="Wingdings" w:hAnsi="Wingdings" w:hint="default"/>
      </w:rPr>
    </w:lvl>
    <w:lvl w:ilvl="2" w:tplc="04090005" w:tentative="1">
      <w:start w:val="1"/>
      <w:numFmt w:val="bullet"/>
      <w:lvlText w:val=""/>
      <w:lvlJc w:val="left"/>
      <w:pPr>
        <w:ind w:left="5573" w:hanging="440"/>
      </w:pPr>
      <w:rPr>
        <w:rFonts w:ascii="Wingdings" w:hAnsi="Wingdings" w:hint="default"/>
      </w:rPr>
    </w:lvl>
    <w:lvl w:ilvl="3" w:tplc="04090001" w:tentative="1">
      <w:start w:val="1"/>
      <w:numFmt w:val="bullet"/>
      <w:lvlText w:val=""/>
      <w:lvlJc w:val="left"/>
      <w:pPr>
        <w:ind w:left="6013" w:hanging="440"/>
      </w:pPr>
      <w:rPr>
        <w:rFonts w:ascii="Wingdings" w:hAnsi="Wingdings" w:hint="default"/>
      </w:rPr>
    </w:lvl>
    <w:lvl w:ilvl="4" w:tplc="04090003" w:tentative="1">
      <w:start w:val="1"/>
      <w:numFmt w:val="bullet"/>
      <w:lvlText w:val=""/>
      <w:lvlJc w:val="left"/>
      <w:pPr>
        <w:ind w:left="6453" w:hanging="440"/>
      </w:pPr>
      <w:rPr>
        <w:rFonts w:ascii="Wingdings" w:hAnsi="Wingdings" w:hint="default"/>
      </w:rPr>
    </w:lvl>
    <w:lvl w:ilvl="5" w:tplc="04090005" w:tentative="1">
      <w:start w:val="1"/>
      <w:numFmt w:val="bullet"/>
      <w:lvlText w:val=""/>
      <w:lvlJc w:val="left"/>
      <w:pPr>
        <w:ind w:left="6893" w:hanging="440"/>
      </w:pPr>
      <w:rPr>
        <w:rFonts w:ascii="Wingdings" w:hAnsi="Wingdings" w:hint="default"/>
      </w:rPr>
    </w:lvl>
    <w:lvl w:ilvl="6" w:tplc="04090001" w:tentative="1">
      <w:start w:val="1"/>
      <w:numFmt w:val="bullet"/>
      <w:lvlText w:val=""/>
      <w:lvlJc w:val="left"/>
      <w:pPr>
        <w:ind w:left="7333" w:hanging="440"/>
      </w:pPr>
      <w:rPr>
        <w:rFonts w:ascii="Wingdings" w:hAnsi="Wingdings" w:hint="default"/>
      </w:rPr>
    </w:lvl>
    <w:lvl w:ilvl="7" w:tplc="04090003" w:tentative="1">
      <w:start w:val="1"/>
      <w:numFmt w:val="bullet"/>
      <w:lvlText w:val=""/>
      <w:lvlJc w:val="left"/>
      <w:pPr>
        <w:ind w:left="7773" w:hanging="440"/>
      </w:pPr>
      <w:rPr>
        <w:rFonts w:ascii="Wingdings" w:hAnsi="Wingdings" w:hint="default"/>
      </w:rPr>
    </w:lvl>
    <w:lvl w:ilvl="8" w:tplc="04090005" w:tentative="1">
      <w:start w:val="1"/>
      <w:numFmt w:val="bullet"/>
      <w:lvlText w:val=""/>
      <w:lvlJc w:val="left"/>
      <w:pPr>
        <w:ind w:left="8213" w:hanging="440"/>
      </w:pPr>
      <w:rPr>
        <w:rFonts w:ascii="Wingdings" w:hAnsi="Wingdings" w:hint="default"/>
      </w:rPr>
    </w:lvl>
  </w:abstractNum>
  <w:abstractNum w:abstractNumId="84" w15:restartNumberingAfterBreak="0">
    <w:nsid w:val="74B92B02"/>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tentative="1">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85" w15:restartNumberingAfterBreak="0">
    <w:nsid w:val="75D07CFC"/>
    <w:multiLevelType w:val="multilevel"/>
    <w:tmpl w:val="FFFFFFFF"/>
    <w:lvl w:ilvl="0">
      <w:start w:val="4"/>
      <w:numFmt w:val="decimal"/>
      <w:lvlText w:val="%1"/>
      <w:lvlJc w:val="left"/>
      <w:pPr>
        <w:ind w:left="360" w:hanging="360"/>
      </w:pPr>
      <w:rPr>
        <w:rFonts w:cs="Times New Roman" w:hint="default"/>
        <w:b/>
      </w:rPr>
    </w:lvl>
    <w:lvl w:ilvl="1">
      <w:start w:val="1"/>
      <w:numFmt w:val="decimal"/>
      <w:lvlText w:val="%1.%2"/>
      <w:lvlJc w:val="left"/>
      <w:pPr>
        <w:ind w:left="460" w:hanging="360"/>
      </w:pPr>
      <w:rPr>
        <w:rFonts w:cs="Times New Roman" w:hint="default"/>
        <w:b/>
      </w:rPr>
    </w:lvl>
    <w:lvl w:ilvl="2">
      <w:start w:val="1"/>
      <w:numFmt w:val="decimal"/>
      <w:lvlText w:val="%1.%2.%3"/>
      <w:lvlJc w:val="left"/>
      <w:pPr>
        <w:ind w:left="920" w:hanging="720"/>
      </w:pPr>
      <w:rPr>
        <w:rFonts w:cs="Times New Roman" w:hint="default"/>
        <w:b/>
      </w:rPr>
    </w:lvl>
    <w:lvl w:ilvl="3">
      <w:start w:val="1"/>
      <w:numFmt w:val="decimal"/>
      <w:lvlText w:val="%1.%2.%3.%4"/>
      <w:lvlJc w:val="left"/>
      <w:pPr>
        <w:ind w:left="1020" w:hanging="720"/>
      </w:pPr>
      <w:rPr>
        <w:rFonts w:cs="Times New Roman" w:hint="default"/>
        <w:b/>
      </w:rPr>
    </w:lvl>
    <w:lvl w:ilvl="4">
      <w:start w:val="1"/>
      <w:numFmt w:val="decimal"/>
      <w:lvlText w:val="%1.%2.%3.%4.%5"/>
      <w:lvlJc w:val="left"/>
      <w:pPr>
        <w:ind w:left="1480" w:hanging="1080"/>
      </w:pPr>
      <w:rPr>
        <w:rFonts w:cs="Times New Roman" w:hint="default"/>
        <w:b/>
      </w:rPr>
    </w:lvl>
    <w:lvl w:ilvl="5">
      <w:start w:val="1"/>
      <w:numFmt w:val="decimal"/>
      <w:lvlText w:val="%1.%2.%3.%4.%5.%6"/>
      <w:lvlJc w:val="left"/>
      <w:pPr>
        <w:ind w:left="1580" w:hanging="1080"/>
      </w:pPr>
      <w:rPr>
        <w:rFonts w:cs="Times New Roman" w:hint="default"/>
        <w:b/>
      </w:rPr>
    </w:lvl>
    <w:lvl w:ilvl="6">
      <w:start w:val="1"/>
      <w:numFmt w:val="decimal"/>
      <w:lvlText w:val="%1.%2.%3.%4.%5.%6.%7"/>
      <w:lvlJc w:val="left"/>
      <w:pPr>
        <w:ind w:left="2040" w:hanging="1440"/>
      </w:pPr>
      <w:rPr>
        <w:rFonts w:cs="Times New Roman" w:hint="default"/>
        <w:b/>
      </w:rPr>
    </w:lvl>
    <w:lvl w:ilvl="7">
      <w:start w:val="1"/>
      <w:numFmt w:val="decimal"/>
      <w:lvlText w:val="%1.%2.%3.%4.%5.%6.%7.%8"/>
      <w:lvlJc w:val="left"/>
      <w:pPr>
        <w:ind w:left="2140" w:hanging="1440"/>
      </w:pPr>
      <w:rPr>
        <w:rFonts w:cs="Times New Roman" w:hint="default"/>
        <w:b/>
      </w:rPr>
    </w:lvl>
    <w:lvl w:ilvl="8">
      <w:start w:val="1"/>
      <w:numFmt w:val="decimal"/>
      <w:lvlText w:val="%1.%2.%3.%4.%5.%6.%7.%8.%9"/>
      <w:lvlJc w:val="left"/>
      <w:pPr>
        <w:ind w:left="2600" w:hanging="1800"/>
      </w:pPr>
      <w:rPr>
        <w:rFonts w:cs="Times New Roman" w:hint="default"/>
        <w:b/>
      </w:rPr>
    </w:lvl>
  </w:abstractNum>
  <w:abstractNum w:abstractNumId="86" w15:restartNumberingAfterBreak="0">
    <w:nsid w:val="78D30273"/>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87" w15:restartNumberingAfterBreak="0">
    <w:nsid w:val="7929762E"/>
    <w:multiLevelType w:val="hybridMultilevel"/>
    <w:tmpl w:val="3C2CC7E8"/>
    <w:lvl w:ilvl="0" w:tplc="9B1CEEA4">
      <w:numFmt w:val="bullet"/>
      <w:lvlText w:val="*"/>
      <w:lvlJc w:val="left"/>
      <w:pPr>
        <w:ind w:left="809" w:hanging="149"/>
      </w:pPr>
      <w:rPr>
        <w:rFonts w:ascii="Times New Roman" w:eastAsia="Times New Roman" w:hAnsi="Times New Roman" w:cs="Times New Roman" w:hint="default"/>
        <w:b w:val="0"/>
        <w:bCs w:val="0"/>
        <w:i w:val="0"/>
        <w:iCs w:val="0"/>
        <w:spacing w:val="0"/>
        <w:w w:val="99"/>
        <w:sz w:val="20"/>
        <w:szCs w:val="20"/>
        <w:lang w:val="en-US" w:eastAsia="en-US" w:bidi="ar-SA"/>
      </w:rPr>
    </w:lvl>
    <w:lvl w:ilvl="1" w:tplc="BDECA7C8">
      <w:numFmt w:val="bullet"/>
      <w:lvlText w:val="•"/>
      <w:lvlJc w:val="left"/>
      <w:pPr>
        <w:ind w:left="1754" w:hanging="149"/>
      </w:pPr>
      <w:rPr>
        <w:rFonts w:hint="default"/>
        <w:lang w:val="en-US" w:eastAsia="en-US" w:bidi="ar-SA"/>
      </w:rPr>
    </w:lvl>
    <w:lvl w:ilvl="2" w:tplc="37A2B93E">
      <w:numFmt w:val="bullet"/>
      <w:lvlText w:val="•"/>
      <w:lvlJc w:val="left"/>
      <w:pPr>
        <w:ind w:left="2709" w:hanging="149"/>
      </w:pPr>
      <w:rPr>
        <w:rFonts w:hint="default"/>
        <w:lang w:val="en-US" w:eastAsia="en-US" w:bidi="ar-SA"/>
      </w:rPr>
    </w:lvl>
    <w:lvl w:ilvl="3" w:tplc="38C2DBA6">
      <w:numFmt w:val="bullet"/>
      <w:lvlText w:val="•"/>
      <w:lvlJc w:val="left"/>
      <w:pPr>
        <w:ind w:left="3663" w:hanging="149"/>
      </w:pPr>
      <w:rPr>
        <w:rFonts w:hint="default"/>
        <w:lang w:val="en-US" w:eastAsia="en-US" w:bidi="ar-SA"/>
      </w:rPr>
    </w:lvl>
    <w:lvl w:ilvl="4" w:tplc="0B421E88">
      <w:numFmt w:val="bullet"/>
      <w:lvlText w:val="•"/>
      <w:lvlJc w:val="left"/>
      <w:pPr>
        <w:ind w:left="4618" w:hanging="149"/>
      </w:pPr>
      <w:rPr>
        <w:rFonts w:hint="default"/>
        <w:lang w:val="en-US" w:eastAsia="en-US" w:bidi="ar-SA"/>
      </w:rPr>
    </w:lvl>
    <w:lvl w:ilvl="5" w:tplc="95A8C368">
      <w:numFmt w:val="bullet"/>
      <w:lvlText w:val="•"/>
      <w:lvlJc w:val="left"/>
      <w:pPr>
        <w:ind w:left="5573" w:hanging="149"/>
      </w:pPr>
      <w:rPr>
        <w:rFonts w:hint="default"/>
        <w:lang w:val="en-US" w:eastAsia="en-US" w:bidi="ar-SA"/>
      </w:rPr>
    </w:lvl>
    <w:lvl w:ilvl="6" w:tplc="03C4ED4E">
      <w:numFmt w:val="bullet"/>
      <w:lvlText w:val="•"/>
      <w:lvlJc w:val="left"/>
      <w:pPr>
        <w:ind w:left="6527" w:hanging="149"/>
      </w:pPr>
      <w:rPr>
        <w:rFonts w:hint="default"/>
        <w:lang w:val="en-US" w:eastAsia="en-US" w:bidi="ar-SA"/>
      </w:rPr>
    </w:lvl>
    <w:lvl w:ilvl="7" w:tplc="48E8567A">
      <w:numFmt w:val="bullet"/>
      <w:lvlText w:val="•"/>
      <w:lvlJc w:val="left"/>
      <w:pPr>
        <w:ind w:left="7482" w:hanging="149"/>
      </w:pPr>
      <w:rPr>
        <w:rFonts w:hint="default"/>
        <w:lang w:val="en-US" w:eastAsia="en-US" w:bidi="ar-SA"/>
      </w:rPr>
    </w:lvl>
    <w:lvl w:ilvl="8" w:tplc="012C4832">
      <w:numFmt w:val="bullet"/>
      <w:lvlText w:val="•"/>
      <w:lvlJc w:val="left"/>
      <w:pPr>
        <w:ind w:left="8437" w:hanging="149"/>
      </w:pPr>
      <w:rPr>
        <w:rFonts w:hint="default"/>
        <w:lang w:val="en-US" w:eastAsia="en-US" w:bidi="ar-SA"/>
      </w:rPr>
    </w:lvl>
  </w:abstractNum>
  <w:abstractNum w:abstractNumId="88" w15:restartNumberingAfterBreak="0">
    <w:nsid w:val="7DB729B1"/>
    <w:multiLevelType w:val="hybridMultilevel"/>
    <w:tmpl w:val="FFFFFFFF"/>
    <w:lvl w:ilvl="0" w:tplc="FFFFFFFF">
      <w:start w:val="1"/>
      <w:numFmt w:val="lowerLetter"/>
      <w:lvlText w:val="%1."/>
      <w:lvlJc w:val="left"/>
      <w:pPr>
        <w:ind w:left="927" w:hanging="360"/>
      </w:pPr>
      <w:rPr>
        <w:rFonts w:ascii="Times New Roman" w:hAnsi="Times New Roman" w:cs="Times New Roman" w:hint="default"/>
        <w:b/>
      </w:rPr>
    </w:lvl>
    <w:lvl w:ilvl="1" w:tplc="FFFFFFFF">
      <w:start w:val="1"/>
      <w:numFmt w:val="upperLetter"/>
      <w:lvlText w:val="%2."/>
      <w:lvlJc w:val="left"/>
      <w:pPr>
        <w:ind w:left="1776" w:hanging="440"/>
      </w:pPr>
      <w:rPr>
        <w:rFonts w:cs="Times New Roman"/>
      </w:rPr>
    </w:lvl>
    <w:lvl w:ilvl="2" w:tplc="FFFFFFFF" w:tentative="1">
      <w:start w:val="1"/>
      <w:numFmt w:val="lowerRoman"/>
      <w:lvlText w:val="%3."/>
      <w:lvlJc w:val="right"/>
      <w:pPr>
        <w:ind w:left="2216" w:hanging="440"/>
      </w:pPr>
      <w:rPr>
        <w:rFonts w:cs="Times New Roman"/>
      </w:rPr>
    </w:lvl>
    <w:lvl w:ilvl="3" w:tplc="FFFFFFFF" w:tentative="1">
      <w:start w:val="1"/>
      <w:numFmt w:val="decimal"/>
      <w:lvlText w:val="%4."/>
      <w:lvlJc w:val="left"/>
      <w:pPr>
        <w:ind w:left="2656" w:hanging="440"/>
      </w:pPr>
      <w:rPr>
        <w:rFonts w:cs="Times New Roman"/>
      </w:rPr>
    </w:lvl>
    <w:lvl w:ilvl="4" w:tplc="FFFFFFFF" w:tentative="1">
      <w:start w:val="1"/>
      <w:numFmt w:val="upperLetter"/>
      <w:lvlText w:val="%5."/>
      <w:lvlJc w:val="left"/>
      <w:pPr>
        <w:ind w:left="3096" w:hanging="440"/>
      </w:pPr>
      <w:rPr>
        <w:rFonts w:cs="Times New Roman"/>
      </w:rPr>
    </w:lvl>
    <w:lvl w:ilvl="5" w:tplc="FFFFFFFF" w:tentative="1">
      <w:start w:val="1"/>
      <w:numFmt w:val="lowerRoman"/>
      <w:lvlText w:val="%6."/>
      <w:lvlJc w:val="right"/>
      <w:pPr>
        <w:ind w:left="3536" w:hanging="440"/>
      </w:pPr>
      <w:rPr>
        <w:rFonts w:cs="Times New Roman"/>
      </w:rPr>
    </w:lvl>
    <w:lvl w:ilvl="6" w:tplc="FFFFFFFF" w:tentative="1">
      <w:start w:val="1"/>
      <w:numFmt w:val="decimal"/>
      <w:lvlText w:val="%7."/>
      <w:lvlJc w:val="left"/>
      <w:pPr>
        <w:ind w:left="3976" w:hanging="440"/>
      </w:pPr>
      <w:rPr>
        <w:rFonts w:cs="Times New Roman"/>
      </w:rPr>
    </w:lvl>
    <w:lvl w:ilvl="7" w:tplc="FFFFFFFF" w:tentative="1">
      <w:start w:val="1"/>
      <w:numFmt w:val="upperLetter"/>
      <w:lvlText w:val="%8."/>
      <w:lvlJc w:val="left"/>
      <w:pPr>
        <w:ind w:left="4416" w:hanging="440"/>
      </w:pPr>
      <w:rPr>
        <w:rFonts w:cs="Times New Roman"/>
      </w:rPr>
    </w:lvl>
    <w:lvl w:ilvl="8" w:tplc="FFFFFFFF" w:tentative="1">
      <w:start w:val="1"/>
      <w:numFmt w:val="lowerRoman"/>
      <w:lvlText w:val="%9."/>
      <w:lvlJc w:val="right"/>
      <w:pPr>
        <w:ind w:left="4856" w:hanging="440"/>
      </w:pPr>
      <w:rPr>
        <w:rFonts w:cs="Times New Roman"/>
      </w:rPr>
    </w:lvl>
  </w:abstractNum>
  <w:abstractNum w:abstractNumId="8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1393351">
    <w:abstractNumId w:val="77"/>
  </w:num>
  <w:num w:numId="2" w16cid:durableId="1744134830">
    <w:abstractNumId w:val="18"/>
  </w:num>
  <w:num w:numId="3" w16cid:durableId="1670866769">
    <w:abstractNumId w:val="11"/>
  </w:num>
  <w:num w:numId="4" w16cid:durableId="275797036">
    <w:abstractNumId w:val="62"/>
  </w:num>
  <w:num w:numId="5" w16cid:durableId="2085636698">
    <w:abstractNumId w:val="89"/>
  </w:num>
  <w:num w:numId="6" w16cid:durableId="699740242">
    <w:abstractNumId w:val="80"/>
  </w:num>
  <w:num w:numId="7" w16cid:durableId="1082531719">
    <w:abstractNumId w:val="71"/>
  </w:num>
  <w:num w:numId="8" w16cid:durableId="1064445706">
    <w:abstractNumId w:val="81"/>
  </w:num>
  <w:num w:numId="9" w16cid:durableId="863592963">
    <w:abstractNumId w:val="32"/>
  </w:num>
  <w:num w:numId="10" w16cid:durableId="1859998162">
    <w:abstractNumId w:val="70"/>
  </w:num>
  <w:num w:numId="11" w16cid:durableId="491258972">
    <w:abstractNumId w:val="23"/>
  </w:num>
  <w:num w:numId="12" w16cid:durableId="826285243">
    <w:abstractNumId w:val="72"/>
  </w:num>
  <w:num w:numId="13" w16cid:durableId="1017191998">
    <w:abstractNumId w:val="36"/>
  </w:num>
  <w:num w:numId="14" w16cid:durableId="2006472290">
    <w:abstractNumId w:val="47"/>
  </w:num>
  <w:num w:numId="15" w16cid:durableId="57291150">
    <w:abstractNumId w:val="66"/>
  </w:num>
  <w:num w:numId="16" w16cid:durableId="1022895682">
    <w:abstractNumId w:val="39"/>
  </w:num>
  <w:num w:numId="17" w16cid:durableId="618295192">
    <w:abstractNumId w:val="76"/>
  </w:num>
  <w:num w:numId="18" w16cid:durableId="950553314">
    <w:abstractNumId w:val="17"/>
  </w:num>
  <w:num w:numId="19" w16cid:durableId="1274165348">
    <w:abstractNumId w:val="26"/>
  </w:num>
  <w:num w:numId="20" w16cid:durableId="1697735315">
    <w:abstractNumId w:val="19"/>
  </w:num>
  <w:num w:numId="21" w16cid:durableId="790704433">
    <w:abstractNumId w:val="87"/>
  </w:num>
  <w:num w:numId="22" w16cid:durableId="152532970">
    <w:abstractNumId w:val="30"/>
  </w:num>
  <w:num w:numId="23" w16cid:durableId="1737046629">
    <w:abstractNumId w:val="73"/>
  </w:num>
  <w:num w:numId="24" w16cid:durableId="86729337">
    <w:abstractNumId w:val="21"/>
  </w:num>
  <w:num w:numId="25" w16cid:durableId="2137409821">
    <w:abstractNumId w:val="38"/>
  </w:num>
  <w:num w:numId="26" w16cid:durableId="2039355557">
    <w:abstractNumId w:val="29"/>
  </w:num>
  <w:num w:numId="27" w16cid:durableId="1989900752">
    <w:abstractNumId w:val="10"/>
  </w:num>
  <w:num w:numId="28" w16cid:durableId="2036149314">
    <w:abstractNumId w:val="9"/>
  </w:num>
  <w:num w:numId="29" w16cid:durableId="290210402">
    <w:abstractNumId w:val="8"/>
  </w:num>
  <w:num w:numId="30" w16cid:durableId="1918323400">
    <w:abstractNumId w:val="7"/>
  </w:num>
  <w:num w:numId="31" w16cid:durableId="417136678">
    <w:abstractNumId w:val="6"/>
  </w:num>
  <w:num w:numId="32" w16cid:durableId="1925531230">
    <w:abstractNumId w:val="5"/>
  </w:num>
  <w:num w:numId="33" w16cid:durableId="1272515924">
    <w:abstractNumId w:val="4"/>
  </w:num>
  <w:num w:numId="34" w16cid:durableId="217546455">
    <w:abstractNumId w:val="3"/>
  </w:num>
  <w:num w:numId="35" w16cid:durableId="1429428542">
    <w:abstractNumId w:val="79"/>
  </w:num>
  <w:num w:numId="36" w16cid:durableId="1490905450">
    <w:abstractNumId w:val="58"/>
  </w:num>
  <w:num w:numId="37" w16cid:durableId="1124928409">
    <w:abstractNumId w:val="15"/>
  </w:num>
  <w:num w:numId="38" w16cid:durableId="715004082">
    <w:abstractNumId w:val="85"/>
  </w:num>
  <w:num w:numId="39" w16cid:durableId="370304154">
    <w:abstractNumId w:val="34"/>
  </w:num>
  <w:num w:numId="40" w16cid:durableId="688218272">
    <w:abstractNumId w:val="25"/>
  </w:num>
  <w:num w:numId="41" w16cid:durableId="735787486">
    <w:abstractNumId w:val="40"/>
  </w:num>
  <w:num w:numId="42" w16cid:durableId="942031571">
    <w:abstractNumId w:val="54"/>
  </w:num>
  <w:num w:numId="43" w16cid:durableId="1821144854">
    <w:abstractNumId w:val="33"/>
  </w:num>
  <w:num w:numId="44" w16cid:durableId="1620987602">
    <w:abstractNumId w:val="67"/>
  </w:num>
  <w:num w:numId="45" w16cid:durableId="371345962">
    <w:abstractNumId w:val="42"/>
  </w:num>
  <w:num w:numId="46" w16cid:durableId="1622036167">
    <w:abstractNumId w:val="69"/>
  </w:num>
  <w:num w:numId="47" w16cid:durableId="1837957722">
    <w:abstractNumId w:val="64"/>
  </w:num>
  <w:num w:numId="48" w16cid:durableId="1905791870">
    <w:abstractNumId w:val="78"/>
  </w:num>
  <w:num w:numId="49" w16cid:durableId="1799178243">
    <w:abstractNumId w:val="14"/>
  </w:num>
  <w:num w:numId="50" w16cid:durableId="1740402922">
    <w:abstractNumId w:val="88"/>
  </w:num>
  <w:num w:numId="51" w16cid:durableId="401828589">
    <w:abstractNumId w:val="83"/>
  </w:num>
  <w:num w:numId="52" w16cid:durableId="1152134670">
    <w:abstractNumId w:val="48"/>
  </w:num>
  <w:num w:numId="53" w16cid:durableId="394665431">
    <w:abstractNumId w:val="68"/>
  </w:num>
  <w:num w:numId="54" w16cid:durableId="66929249">
    <w:abstractNumId w:val="27"/>
  </w:num>
  <w:num w:numId="55" w16cid:durableId="1335180857">
    <w:abstractNumId w:val="28"/>
  </w:num>
  <w:num w:numId="56" w16cid:durableId="1468546247">
    <w:abstractNumId w:val="43"/>
  </w:num>
  <w:num w:numId="57" w16cid:durableId="1801993704">
    <w:abstractNumId w:val="86"/>
  </w:num>
  <w:num w:numId="58" w16cid:durableId="660353067">
    <w:abstractNumId w:val="57"/>
  </w:num>
  <w:num w:numId="59" w16cid:durableId="466122282">
    <w:abstractNumId w:val="24"/>
  </w:num>
  <w:num w:numId="60" w16cid:durableId="228155059">
    <w:abstractNumId w:val="37"/>
  </w:num>
  <w:num w:numId="61" w16cid:durableId="936137548">
    <w:abstractNumId w:val="31"/>
  </w:num>
  <w:num w:numId="62" w16cid:durableId="1304919796">
    <w:abstractNumId w:val="53"/>
  </w:num>
  <w:num w:numId="63" w16cid:durableId="505632383">
    <w:abstractNumId w:val="45"/>
  </w:num>
  <w:num w:numId="64" w16cid:durableId="506558359">
    <w:abstractNumId w:val="84"/>
  </w:num>
  <w:num w:numId="65" w16cid:durableId="803734337">
    <w:abstractNumId w:val="35"/>
  </w:num>
  <w:num w:numId="66" w16cid:durableId="371272814">
    <w:abstractNumId w:val="50"/>
  </w:num>
  <w:num w:numId="67" w16cid:durableId="872157732">
    <w:abstractNumId w:val="51"/>
  </w:num>
  <w:num w:numId="68" w16cid:durableId="480315732">
    <w:abstractNumId w:val="65"/>
  </w:num>
  <w:num w:numId="69" w16cid:durableId="182087812">
    <w:abstractNumId w:val="59"/>
  </w:num>
  <w:num w:numId="70" w16cid:durableId="1378774710">
    <w:abstractNumId w:val="41"/>
  </w:num>
  <w:num w:numId="71" w16cid:durableId="395125217">
    <w:abstractNumId w:val="20"/>
  </w:num>
  <w:num w:numId="72" w16cid:durableId="1760709025">
    <w:abstractNumId w:val="55"/>
  </w:num>
  <w:num w:numId="73" w16cid:durableId="1577278613">
    <w:abstractNumId w:val="60"/>
  </w:num>
  <w:num w:numId="74" w16cid:durableId="47460623">
    <w:abstractNumId w:val="16"/>
  </w:num>
  <w:num w:numId="75" w16cid:durableId="1532062988">
    <w:abstractNumId w:val="46"/>
  </w:num>
  <w:num w:numId="76" w16cid:durableId="862402019">
    <w:abstractNumId w:val="22"/>
  </w:num>
  <w:num w:numId="77" w16cid:durableId="477310730">
    <w:abstractNumId w:val="49"/>
  </w:num>
  <w:num w:numId="78" w16cid:durableId="122424446">
    <w:abstractNumId w:val="75"/>
  </w:num>
  <w:num w:numId="79" w16cid:durableId="1855263470">
    <w:abstractNumId w:val="61"/>
  </w:num>
  <w:num w:numId="80" w16cid:durableId="1419985239">
    <w:abstractNumId w:val="63"/>
  </w:num>
  <w:num w:numId="81" w16cid:durableId="575675809">
    <w:abstractNumId w:val="74"/>
  </w:num>
  <w:num w:numId="82" w16cid:durableId="1658651653">
    <w:abstractNumId w:val="82"/>
  </w:num>
  <w:num w:numId="83" w16cid:durableId="871961559">
    <w:abstractNumId w:val="52"/>
  </w:num>
  <w:num w:numId="84" w16cid:durableId="1712607438">
    <w:abstractNumId w:val="44"/>
  </w:num>
  <w:num w:numId="85" w16cid:durableId="1634408395">
    <w:abstractNumId w:val="13"/>
  </w:num>
  <w:num w:numId="86" w16cid:durableId="891699049">
    <w:abstractNumId w:val="56"/>
  </w:num>
  <w:num w:numId="87" w16cid:durableId="1634825784">
    <w:abstractNumId w:val="12"/>
  </w:num>
  <w:num w:numId="88" w16cid:durableId="1236163280">
    <w:abstractNumId w:val="77"/>
  </w:num>
  <w:num w:numId="89" w16cid:durableId="732046340">
    <w:abstractNumId w:val="77"/>
  </w:num>
  <w:num w:numId="90" w16cid:durableId="1229263865">
    <w:abstractNumId w:val="77"/>
  </w:num>
  <w:num w:numId="91" w16cid:durableId="61292820">
    <w:abstractNumId w:val="77"/>
    <w:lvlOverride w:ilvl="0">
      <w:startOverride w:val="6"/>
    </w:lvlOverride>
    <w:lvlOverride w:ilvl="1">
      <w:startOverride w:val="3"/>
    </w:lvlOverride>
  </w:num>
  <w:num w:numId="92" w16cid:durableId="1989094798">
    <w:abstractNumId w:val="77"/>
  </w:num>
  <w:num w:numId="93" w16cid:durableId="41175854">
    <w:abstractNumId w:val="2"/>
  </w:num>
  <w:num w:numId="94" w16cid:durableId="306667596">
    <w:abstractNumId w:val="1"/>
  </w:num>
  <w:num w:numId="95" w16cid:durableId="1063483390">
    <w:abstractNumId w:val="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E"/>
    <w:rsid w:val="000031EA"/>
    <w:rsid w:val="00015D8C"/>
    <w:rsid w:val="00020127"/>
    <w:rsid w:val="0002092D"/>
    <w:rsid w:val="00022909"/>
    <w:rsid w:val="00022F3B"/>
    <w:rsid w:val="000243EA"/>
    <w:rsid w:val="00032BA8"/>
    <w:rsid w:val="00033A76"/>
    <w:rsid w:val="00033CF3"/>
    <w:rsid w:val="000350E2"/>
    <w:rsid w:val="00040287"/>
    <w:rsid w:val="000414BF"/>
    <w:rsid w:val="0004563E"/>
    <w:rsid w:val="000524CC"/>
    <w:rsid w:val="00056223"/>
    <w:rsid w:val="0005753E"/>
    <w:rsid w:val="0006243F"/>
    <w:rsid w:val="00062C54"/>
    <w:rsid w:val="000662E9"/>
    <w:rsid w:val="00071622"/>
    <w:rsid w:val="00094421"/>
    <w:rsid w:val="000944C2"/>
    <w:rsid w:val="000A01A5"/>
    <w:rsid w:val="000B2C48"/>
    <w:rsid w:val="000B41A9"/>
    <w:rsid w:val="000B5DF6"/>
    <w:rsid w:val="000B73CD"/>
    <w:rsid w:val="000C0FAF"/>
    <w:rsid w:val="000C3F00"/>
    <w:rsid w:val="000D168C"/>
    <w:rsid w:val="000D384E"/>
    <w:rsid w:val="000D7A27"/>
    <w:rsid w:val="000E4D31"/>
    <w:rsid w:val="000F7037"/>
    <w:rsid w:val="000F7A7E"/>
    <w:rsid w:val="0011494C"/>
    <w:rsid w:val="0012148F"/>
    <w:rsid w:val="001345B0"/>
    <w:rsid w:val="00134B1F"/>
    <w:rsid w:val="00134E55"/>
    <w:rsid w:val="0014045D"/>
    <w:rsid w:val="001462AC"/>
    <w:rsid w:val="001472BA"/>
    <w:rsid w:val="001477E7"/>
    <w:rsid w:val="00161B2A"/>
    <w:rsid w:val="00163ACA"/>
    <w:rsid w:val="00164D81"/>
    <w:rsid w:val="00165270"/>
    <w:rsid w:val="00174F14"/>
    <w:rsid w:val="001815EB"/>
    <w:rsid w:val="0018165C"/>
    <w:rsid w:val="001839D1"/>
    <w:rsid w:val="0018488B"/>
    <w:rsid w:val="00185497"/>
    <w:rsid w:val="00186C2C"/>
    <w:rsid w:val="001901C1"/>
    <w:rsid w:val="00190A2D"/>
    <w:rsid w:val="00190DC9"/>
    <w:rsid w:val="001922B7"/>
    <w:rsid w:val="00192811"/>
    <w:rsid w:val="0019664A"/>
    <w:rsid w:val="001A18A9"/>
    <w:rsid w:val="001A1D1C"/>
    <w:rsid w:val="001A2DE8"/>
    <w:rsid w:val="001A3992"/>
    <w:rsid w:val="001B1AE2"/>
    <w:rsid w:val="001B6872"/>
    <w:rsid w:val="001B6C57"/>
    <w:rsid w:val="001B7B8C"/>
    <w:rsid w:val="001C354D"/>
    <w:rsid w:val="001C3CF3"/>
    <w:rsid w:val="001C7958"/>
    <w:rsid w:val="001D3283"/>
    <w:rsid w:val="001D409D"/>
    <w:rsid w:val="001E0074"/>
    <w:rsid w:val="001E17F6"/>
    <w:rsid w:val="001E4C7A"/>
    <w:rsid w:val="001F5E9E"/>
    <w:rsid w:val="00200233"/>
    <w:rsid w:val="00202009"/>
    <w:rsid w:val="00203A70"/>
    <w:rsid w:val="002050AF"/>
    <w:rsid w:val="00210436"/>
    <w:rsid w:val="00210470"/>
    <w:rsid w:val="002153DA"/>
    <w:rsid w:val="00227EB4"/>
    <w:rsid w:val="00242BA1"/>
    <w:rsid w:val="00251B04"/>
    <w:rsid w:val="00252122"/>
    <w:rsid w:val="00253AA5"/>
    <w:rsid w:val="00260708"/>
    <w:rsid w:val="0027137C"/>
    <w:rsid w:val="00274A09"/>
    <w:rsid w:val="00284566"/>
    <w:rsid w:val="0028481E"/>
    <w:rsid w:val="002A008B"/>
    <w:rsid w:val="002A2A26"/>
    <w:rsid w:val="002A5FC9"/>
    <w:rsid w:val="002B424E"/>
    <w:rsid w:val="002B442D"/>
    <w:rsid w:val="002B7876"/>
    <w:rsid w:val="002E0422"/>
    <w:rsid w:val="002E277D"/>
    <w:rsid w:val="002E2D9E"/>
    <w:rsid w:val="003000C4"/>
    <w:rsid w:val="00300985"/>
    <w:rsid w:val="00300E66"/>
    <w:rsid w:val="00301D05"/>
    <w:rsid w:val="00305D60"/>
    <w:rsid w:val="0032342D"/>
    <w:rsid w:val="00325EA3"/>
    <w:rsid w:val="003278AB"/>
    <w:rsid w:val="00337D33"/>
    <w:rsid w:val="00346827"/>
    <w:rsid w:val="00351036"/>
    <w:rsid w:val="00352152"/>
    <w:rsid w:val="0035664D"/>
    <w:rsid w:val="00361E46"/>
    <w:rsid w:val="00371B5E"/>
    <w:rsid w:val="0037234D"/>
    <w:rsid w:val="0037403A"/>
    <w:rsid w:val="00377F24"/>
    <w:rsid w:val="0038726E"/>
    <w:rsid w:val="00395C98"/>
    <w:rsid w:val="00395E63"/>
    <w:rsid w:val="00396770"/>
    <w:rsid w:val="003A1910"/>
    <w:rsid w:val="003A34E6"/>
    <w:rsid w:val="003B112B"/>
    <w:rsid w:val="003B4224"/>
    <w:rsid w:val="003D2AF9"/>
    <w:rsid w:val="003E25C3"/>
    <w:rsid w:val="004032BD"/>
    <w:rsid w:val="00406388"/>
    <w:rsid w:val="00407BE8"/>
    <w:rsid w:val="004124F4"/>
    <w:rsid w:val="00412C95"/>
    <w:rsid w:val="004142DF"/>
    <w:rsid w:val="004157D2"/>
    <w:rsid w:val="004165E1"/>
    <w:rsid w:val="00421383"/>
    <w:rsid w:val="004318AC"/>
    <w:rsid w:val="00431ACD"/>
    <w:rsid w:val="00436C68"/>
    <w:rsid w:val="004477C2"/>
    <w:rsid w:val="004605F8"/>
    <w:rsid w:val="00466F9E"/>
    <w:rsid w:val="00481FB0"/>
    <w:rsid w:val="00484605"/>
    <w:rsid w:val="00487D7B"/>
    <w:rsid w:val="00493419"/>
    <w:rsid w:val="00497C85"/>
    <w:rsid w:val="00497EA4"/>
    <w:rsid w:val="004A6BD2"/>
    <w:rsid w:val="004B6B24"/>
    <w:rsid w:val="004C07AA"/>
    <w:rsid w:val="004C310F"/>
    <w:rsid w:val="004C6C02"/>
    <w:rsid w:val="004D538D"/>
    <w:rsid w:val="004D57CC"/>
    <w:rsid w:val="004D6592"/>
    <w:rsid w:val="004D6E64"/>
    <w:rsid w:val="004E009A"/>
    <w:rsid w:val="004E0E23"/>
    <w:rsid w:val="004E461D"/>
    <w:rsid w:val="004E7231"/>
    <w:rsid w:val="004F516B"/>
    <w:rsid w:val="00505D4C"/>
    <w:rsid w:val="00511B55"/>
    <w:rsid w:val="00512BA0"/>
    <w:rsid w:val="005144B7"/>
    <w:rsid w:val="0051463A"/>
    <w:rsid w:val="00523E8B"/>
    <w:rsid w:val="0052475F"/>
    <w:rsid w:val="00524CB1"/>
    <w:rsid w:val="00525E3D"/>
    <w:rsid w:val="0053149A"/>
    <w:rsid w:val="0053620D"/>
    <w:rsid w:val="0054290A"/>
    <w:rsid w:val="00560CEF"/>
    <w:rsid w:val="005629D8"/>
    <w:rsid w:val="00573689"/>
    <w:rsid w:val="00577ED7"/>
    <w:rsid w:val="00582401"/>
    <w:rsid w:val="00582761"/>
    <w:rsid w:val="00585926"/>
    <w:rsid w:val="00586A54"/>
    <w:rsid w:val="00586B40"/>
    <w:rsid w:val="00586C84"/>
    <w:rsid w:val="00594630"/>
    <w:rsid w:val="00595C77"/>
    <w:rsid w:val="005B229F"/>
    <w:rsid w:val="005C0005"/>
    <w:rsid w:val="005C7317"/>
    <w:rsid w:val="005D1EFF"/>
    <w:rsid w:val="005E036E"/>
    <w:rsid w:val="005E73B5"/>
    <w:rsid w:val="005F3DBF"/>
    <w:rsid w:val="005F49AC"/>
    <w:rsid w:val="005F5A43"/>
    <w:rsid w:val="005F662E"/>
    <w:rsid w:val="00612345"/>
    <w:rsid w:val="0061356D"/>
    <w:rsid w:val="00631356"/>
    <w:rsid w:val="00633553"/>
    <w:rsid w:val="0063650C"/>
    <w:rsid w:val="00637B6A"/>
    <w:rsid w:val="006444EC"/>
    <w:rsid w:val="006447CE"/>
    <w:rsid w:val="00645E6B"/>
    <w:rsid w:val="00647E1C"/>
    <w:rsid w:val="00650EE7"/>
    <w:rsid w:val="00651305"/>
    <w:rsid w:val="006523B0"/>
    <w:rsid w:val="00653A4C"/>
    <w:rsid w:val="00655AA0"/>
    <w:rsid w:val="00656083"/>
    <w:rsid w:val="0066580C"/>
    <w:rsid w:val="0066778B"/>
    <w:rsid w:val="00670318"/>
    <w:rsid w:val="006743CA"/>
    <w:rsid w:val="00677840"/>
    <w:rsid w:val="006818B8"/>
    <w:rsid w:val="006829D0"/>
    <w:rsid w:val="00682E50"/>
    <w:rsid w:val="00685A82"/>
    <w:rsid w:val="006870F8"/>
    <w:rsid w:val="006965E4"/>
    <w:rsid w:val="00697234"/>
    <w:rsid w:val="006A4F99"/>
    <w:rsid w:val="006A62A8"/>
    <w:rsid w:val="006B2156"/>
    <w:rsid w:val="006B663D"/>
    <w:rsid w:val="006B6BA2"/>
    <w:rsid w:val="006B738E"/>
    <w:rsid w:val="006C499C"/>
    <w:rsid w:val="006C7FDB"/>
    <w:rsid w:val="006E04EB"/>
    <w:rsid w:val="006E304C"/>
    <w:rsid w:val="006E5AEE"/>
    <w:rsid w:val="006F3253"/>
    <w:rsid w:val="006F32E8"/>
    <w:rsid w:val="006F4C7C"/>
    <w:rsid w:val="00704937"/>
    <w:rsid w:val="00706206"/>
    <w:rsid w:val="00712014"/>
    <w:rsid w:val="00712784"/>
    <w:rsid w:val="007142F5"/>
    <w:rsid w:val="007155DA"/>
    <w:rsid w:val="00720FA6"/>
    <w:rsid w:val="00731046"/>
    <w:rsid w:val="00734EAF"/>
    <w:rsid w:val="00735E2B"/>
    <w:rsid w:val="00737389"/>
    <w:rsid w:val="00744A94"/>
    <w:rsid w:val="0074537B"/>
    <w:rsid w:val="007504E7"/>
    <w:rsid w:val="00751024"/>
    <w:rsid w:val="0076005A"/>
    <w:rsid w:val="00774DAA"/>
    <w:rsid w:val="007772F0"/>
    <w:rsid w:val="0078042C"/>
    <w:rsid w:val="007815C7"/>
    <w:rsid w:val="0078242B"/>
    <w:rsid w:val="00782D62"/>
    <w:rsid w:val="00797B50"/>
    <w:rsid w:val="007B77EC"/>
    <w:rsid w:val="007C49C8"/>
    <w:rsid w:val="007C5005"/>
    <w:rsid w:val="007D4910"/>
    <w:rsid w:val="007E582E"/>
    <w:rsid w:val="007E5B59"/>
    <w:rsid w:val="007E5C37"/>
    <w:rsid w:val="007E693C"/>
    <w:rsid w:val="007F0A22"/>
    <w:rsid w:val="007F133B"/>
    <w:rsid w:val="007F45B7"/>
    <w:rsid w:val="00814913"/>
    <w:rsid w:val="00842869"/>
    <w:rsid w:val="00844EA9"/>
    <w:rsid w:val="0084516D"/>
    <w:rsid w:val="00847760"/>
    <w:rsid w:val="00851682"/>
    <w:rsid w:val="008521F3"/>
    <w:rsid w:val="00854645"/>
    <w:rsid w:val="00855BCA"/>
    <w:rsid w:val="00861784"/>
    <w:rsid w:val="0086221D"/>
    <w:rsid w:val="00862D74"/>
    <w:rsid w:val="008661C7"/>
    <w:rsid w:val="0087069C"/>
    <w:rsid w:val="008814A1"/>
    <w:rsid w:val="008855D0"/>
    <w:rsid w:val="0089082B"/>
    <w:rsid w:val="008936EA"/>
    <w:rsid w:val="0089499C"/>
    <w:rsid w:val="0089656D"/>
    <w:rsid w:val="008A0509"/>
    <w:rsid w:val="008A4F86"/>
    <w:rsid w:val="008B2AD9"/>
    <w:rsid w:val="008C2A0F"/>
    <w:rsid w:val="008C3C8E"/>
    <w:rsid w:val="008C4417"/>
    <w:rsid w:val="008C50E3"/>
    <w:rsid w:val="008D0325"/>
    <w:rsid w:val="008D4276"/>
    <w:rsid w:val="008E0261"/>
    <w:rsid w:val="008E4D12"/>
    <w:rsid w:val="008F16F4"/>
    <w:rsid w:val="008F46EC"/>
    <w:rsid w:val="008F6114"/>
    <w:rsid w:val="00905E8A"/>
    <w:rsid w:val="009107DE"/>
    <w:rsid w:val="0091146C"/>
    <w:rsid w:val="0091294A"/>
    <w:rsid w:val="00914629"/>
    <w:rsid w:val="009147D8"/>
    <w:rsid w:val="00920347"/>
    <w:rsid w:val="00920748"/>
    <w:rsid w:val="00924A12"/>
    <w:rsid w:val="0093585B"/>
    <w:rsid w:val="00941651"/>
    <w:rsid w:val="00944253"/>
    <w:rsid w:val="0095543A"/>
    <w:rsid w:val="00960CD5"/>
    <w:rsid w:val="00965311"/>
    <w:rsid w:val="00966007"/>
    <w:rsid w:val="00966F3F"/>
    <w:rsid w:val="00970E2C"/>
    <w:rsid w:val="00971B36"/>
    <w:rsid w:val="00971F04"/>
    <w:rsid w:val="00980A70"/>
    <w:rsid w:val="00980BEE"/>
    <w:rsid w:val="00982A2F"/>
    <w:rsid w:val="009938C3"/>
    <w:rsid w:val="0099603C"/>
    <w:rsid w:val="009A5464"/>
    <w:rsid w:val="009B08E8"/>
    <w:rsid w:val="009B678C"/>
    <w:rsid w:val="009C00B6"/>
    <w:rsid w:val="009C1713"/>
    <w:rsid w:val="009C556A"/>
    <w:rsid w:val="009C7449"/>
    <w:rsid w:val="009D4F27"/>
    <w:rsid w:val="009D6CC8"/>
    <w:rsid w:val="009E729D"/>
    <w:rsid w:val="009F0638"/>
    <w:rsid w:val="009F2AA1"/>
    <w:rsid w:val="009F5C8C"/>
    <w:rsid w:val="00A002EB"/>
    <w:rsid w:val="00A04611"/>
    <w:rsid w:val="00A077D8"/>
    <w:rsid w:val="00A07E52"/>
    <w:rsid w:val="00A10730"/>
    <w:rsid w:val="00A13DA0"/>
    <w:rsid w:val="00A2022C"/>
    <w:rsid w:val="00A265A9"/>
    <w:rsid w:val="00A300F6"/>
    <w:rsid w:val="00A338DA"/>
    <w:rsid w:val="00A348FC"/>
    <w:rsid w:val="00A441EB"/>
    <w:rsid w:val="00A45861"/>
    <w:rsid w:val="00A547A9"/>
    <w:rsid w:val="00A62F54"/>
    <w:rsid w:val="00A64AB1"/>
    <w:rsid w:val="00A87D35"/>
    <w:rsid w:val="00AA22FC"/>
    <w:rsid w:val="00AB04BC"/>
    <w:rsid w:val="00AB0987"/>
    <w:rsid w:val="00AC1F2F"/>
    <w:rsid w:val="00AC76E8"/>
    <w:rsid w:val="00AD0947"/>
    <w:rsid w:val="00AD17DD"/>
    <w:rsid w:val="00AD22F5"/>
    <w:rsid w:val="00AE053E"/>
    <w:rsid w:val="00AE1115"/>
    <w:rsid w:val="00AF323D"/>
    <w:rsid w:val="00AF7491"/>
    <w:rsid w:val="00B03F73"/>
    <w:rsid w:val="00B06420"/>
    <w:rsid w:val="00B1019C"/>
    <w:rsid w:val="00B1208F"/>
    <w:rsid w:val="00B17422"/>
    <w:rsid w:val="00B325DB"/>
    <w:rsid w:val="00B36DBA"/>
    <w:rsid w:val="00B44967"/>
    <w:rsid w:val="00B46491"/>
    <w:rsid w:val="00B53FA3"/>
    <w:rsid w:val="00B57BDD"/>
    <w:rsid w:val="00B611CE"/>
    <w:rsid w:val="00B67D4D"/>
    <w:rsid w:val="00B71E20"/>
    <w:rsid w:val="00B80052"/>
    <w:rsid w:val="00B86EEA"/>
    <w:rsid w:val="00B91DCE"/>
    <w:rsid w:val="00B93BDB"/>
    <w:rsid w:val="00BA0D48"/>
    <w:rsid w:val="00BA231E"/>
    <w:rsid w:val="00BA2A5F"/>
    <w:rsid w:val="00BA5AC6"/>
    <w:rsid w:val="00BB5397"/>
    <w:rsid w:val="00BB6BD3"/>
    <w:rsid w:val="00BD7388"/>
    <w:rsid w:val="00BE2724"/>
    <w:rsid w:val="00BF0549"/>
    <w:rsid w:val="00BF36C9"/>
    <w:rsid w:val="00BF5613"/>
    <w:rsid w:val="00C03697"/>
    <w:rsid w:val="00C04D37"/>
    <w:rsid w:val="00C05C7A"/>
    <w:rsid w:val="00C11634"/>
    <w:rsid w:val="00C120A2"/>
    <w:rsid w:val="00C249C8"/>
    <w:rsid w:val="00C27236"/>
    <w:rsid w:val="00C31DFA"/>
    <w:rsid w:val="00C32FB1"/>
    <w:rsid w:val="00C368CC"/>
    <w:rsid w:val="00C502D1"/>
    <w:rsid w:val="00C50670"/>
    <w:rsid w:val="00C637A4"/>
    <w:rsid w:val="00C65D03"/>
    <w:rsid w:val="00C75065"/>
    <w:rsid w:val="00C827C7"/>
    <w:rsid w:val="00C92643"/>
    <w:rsid w:val="00C93264"/>
    <w:rsid w:val="00C9760B"/>
    <w:rsid w:val="00CA0CC5"/>
    <w:rsid w:val="00CA44E5"/>
    <w:rsid w:val="00CA6B69"/>
    <w:rsid w:val="00CA6CCF"/>
    <w:rsid w:val="00CC14FD"/>
    <w:rsid w:val="00CC192E"/>
    <w:rsid w:val="00CC6E84"/>
    <w:rsid w:val="00CD5A43"/>
    <w:rsid w:val="00CE5225"/>
    <w:rsid w:val="00CE5B1E"/>
    <w:rsid w:val="00CF3343"/>
    <w:rsid w:val="00CF758D"/>
    <w:rsid w:val="00D054F7"/>
    <w:rsid w:val="00D14E8E"/>
    <w:rsid w:val="00D23B0D"/>
    <w:rsid w:val="00D30C8B"/>
    <w:rsid w:val="00D44BA0"/>
    <w:rsid w:val="00D47698"/>
    <w:rsid w:val="00D53B26"/>
    <w:rsid w:val="00D56351"/>
    <w:rsid w:val="00D57DF7"/>
    <w:rsid w:val="00D61F08"/>
    <w:rsid w:val="00D63B6D"/>
    <w:rsid w:val="00D6565B"/>
    <w:rsid w:val="00D707CD"/>
    <w:rsid w:val="00D7501D"/>
    <w:rsid w:val="00D759AA"/>
    <w:rsid w:val="00D77EF7"/>
    <w:rsid w:val="00D80DF4"/>
    <w:rsid w:val="00D8144F"/>
    <w:rsid w:val="00D8315C"/>
    <w:rsid w:val="00D866F6"/>
    <w:rsid w:val="00DA09D8"/>
    <w:rsid w:val="00DA0D50"/>
    <w:rsid w:val="00DA5B59"/>
    <w:rsid w:val="00DA5D00"/>
    <w:rsid w:val="00DB20E4"/>
    <w:rsid w:val="00DB210C"/>
    <w:rsid w:val="00DB5F39"/>
    <w:rsid w:val="00DB7DE3"/>
    <w:rsid w:val="00DC0275"/>
    <w:rsid w:val="00DC176D"/>
    <w:rsid w:val="00DD1386"/>
    <w:rsid w:val="00DD1B72"/>
    <w:rsid w:val="00DD6B19"/>
    <w:rsid w:val="00DE7130"/>
    <w:rsid w:val="00DF1194"/>
    <w:rsid w:val="00DF2F00"/>
    <w:rsid w:val="00DF5E99"/>
    <w:rsid w:val="00E123B7"/>
    <w:rsid w:val="00E13A84"/>
    <w:rsid w:val="00E15732"/>
    <w:rsid w:val="00E1727C"/>
    <w:rsid w:val="00E22CBC"/>
    <w:rsid w:val="00E31377"/>
    <w:rsid w:val="00E34AD5"/>
    <w:rsid w:val="00E54A22"/>
    <w:rsid w:val="00E57402"/>
    <w:rsid w:val="00E61E22"/>
    <w:rsid w:val="00E62667"/>
    <w:rsid w:val="00E63BA6"/>
    <w:rsid w:val="00E74A56"/>
    <w:rsid w:val="00E76B59"/>
    <w:rsid w:val="00E76F56"/>
    <w:rsid w:val="00E8110B"/>
    <w:rsid w:val="00E83347"/>
    <w:rsid w:val="00E85543"/>
    <w:rsid w:val="00E95E4B"/>
    <w:rsid w:val="00E96AC8"/>
    <w:rsid w:val="00E96F6D"/>
    <w:rsid w:val="00EA6E21"/>
    <w:rsid w:val="00EB1E77"/>
    <w:rsid w:val="00EB541C"/>
    <w:rsid w:val="00EC5228"/>
    <w:rsid w:val="00ED0937"/>
    <w:rsid w:val="00ED59D4"/>
    <w:rsid w:val="00EF342D"/>
    <w:rsid w:val="00F05EC4"/>
    <w:rsid w:val="00F06B3A"/>
    <w:rsid w:val="00F07F8C"/>
    <w:rsid w:val="00F11404"/>
    <w:rsid w:val="00F154B0"/>
    <w:rsid w:val="00F2465B"/>
    <w:rsid w:val="00F24AB2"/>
    <w:rsid w:val="00F25761"/>
    <w:rsid w:val="00F27BE1"/>
    <w:rsid w:val="00F322ED"/>
    <w:rsid w:val="00F34B16"/>
    <w:rsid w:val="00F34F14"/>
    <w:rsid w:val="00F36DD0"/>
    <w:rsid w:val="00F37488"/>
    <w:rsid w:val="00F4046E"/>
    <w:rsid w:val="00F45F97"/>
    <w:rsid w:val="00F557A0"/>
    <w:rsid w:val="00F6246C"/>
    <w:rsid w:val="00F66822"/>
    <w:rsid w:val="00F77FBF"/>
    <w:rsid w:val="00F80968"/>
    <w:rsid w:val="00F8459E"/>
    <w:rsid w:val="00F948F3"/>
    <w:rsid w:val="00F97BA0"/>
    <w:rsid w:val="00FA01C1"/>
    <w:rsid w:val="00FA2337"/>
    <w:rsid w:val="00FA29B7"/>
    <w:rsid w:val="00FA47F2"/>
    <w:rsid w:val="00FA7330"/>
    <w:rsid w:val="00FA73A9"/>
    <w:rsid w:val="00FB3518"/>
    <w:rsid w:val="00FB7AD2"/>
    <w:rsid w:val="00FC0DD2"/>
    <w:rsid w:val="00FD1C63"/>
    <w:rsid w:val="00FD1D20"/>
    <w:rsid w:val="00FD2A56"/>
    <w:rsid w:val="00FE0B8D"/>
    <w:rsid w:val="00FE3C9A"/>
    <w:rsid w:val="00FE7F1B"/>
    <w:rsid w:val="00FF10E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D72C"/>
  <w15:docId w15:val="{35823E60-3058-4EF0-9864-6DAEA83B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68"/>
    <w:pPr>
      <w:spacing w:after="120"/>
    </w:pPr>
  </w:style>
  <w:style w:type="paragraph" w:styleId="Heading1">
    <w:name w:val="heading 1"/>
    <w:basedOn w:val="Normal"/>
    <w:next w:val="Normal"/>
    <w:link w:val="Heading1Char"/>
    <w:uiPriority w:val="1"/>
    <w:qFormat/>
    <w:rsid w:val="004D6592"/>
    <w:pPr>
      <w:keepNext/>
      <w:keepLines/>
      <w:numPr>
        <w:numId w:val="1"/>
      </w:numPr>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61B2A"/>
    <w:pPr>
      <w:keepNext/>
      <w:keepLines/>
      <w:spacing w:before="12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D6592"/>
    <w:pPr>
      <w:keepNext/>
      <w:keepLines/>
      <w:spacing w:before="120" w:after="0"/>
      <w:outlineLvl w:val="3"/>
    </w:pPr>
    <w:rPr>
      <w:rFonts w:eastAsiaTheme="majorEastAsia" w:cstheme="majorBidi"/>
      <w:bCs/>
      <w:iCs/>
      <w:color w:val="000000" w:themeColor="text1"/>
      <w:u w:val="single"/>
    </w:rPr>
  </w:style>
  <w:style w:type="paragraph" w:styleId="Heading5">
    <w:name w:val="heading 5"/>
    <w:basedOn w:val="Heading4"/>
    <w:next w:val="Normal"/>
    <w:link w:val="Heading5Char"/>
    <w:uiPriority w:val="9"/>
    <w:unhideWhenUsed/>
    <w:qFormat/>
    <w:rsid w:val="004D6592"/>
    <w:pPr>
      <w:outlineLvl w:val="4"/>
    </w:pPr>
    <w:rPr>
      <w:i/>
      <w:iCs w:val="0"/>
      <w:u w:val="none"/>
    </w:rPr>
  </w:style>
  <w:style w:type="paragraph" w:styleId="Heading6">
    <w:name w:val="heading 6"/>
    <w:basedOn w:val="Normal"/>
    <w:next w:val="Normal"/>
    <w:link w:val="Heading6Char"/>
    <w:uiPriority w:val="9"/>
    <w:unhideWhenUsed/>
    <w:qFormat/>
    <w:rsid w:val="00EC5228"/>
    <w:pPr>
      <w:spacing w:after="0" w:line="240" w:lineRule="auto"/>
      <w:outlineLvl w:val="5"/>
    </w:pPr>
    <w:rPr>
      <w:i/>
      <w:lang w:val="en-US"/>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65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61B2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D6592"/>
    <w:rPr>
      <w:rFonts w:eastAsiaTheme="majorEastAsia" w:cstheme="majorBidi"/>
      <w:bCs/>
      <w:iCs/>
      <w:color w:val="000000" w:themeColor="text1"/>
      <w:u w:val="single"/>
    </w:rPr>
  </w:style>
  <w:style w:type="character" w:customStyle="1" w:styleId="Heading5Char">
    <w:name w:val="Heading 5 Char"/>
    <w:basedOn w:val="DefaultParagraphFont"/>
    <w:link w:val="Heading5"/>
    <w:uiPriority w:val="9"/>
    <w:rsid w:val="004D6592"/>
    <w:rPr>
      <w:rFonts w:eastAsiaTheme="majorEastAsia" w:cstheme="majorBidi"/>
      <w:bCs/>
      <w:i/>
      <w:color w:val="000000" w:themeColor="text1"/>
    </w:rPr>
  </w:style>
  <w:style w:type="character" w:customStyle="1" w:styleId="Heading6Char">
    <w:name w:val="Heading 6 Char"/>
    <w:basedOn w:val="DefaultParagraphFont"/>
    <w:link w:val="Heading6"/>
    <w:uiPriority w:val="9"/>
    <w:rsid w:val="00EC5228"/>
    <w:rPr>
      <w:i/>
      <w:lang w:val="en-US"/>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E63BA6"/>
    <w:pPr>
      <w:ind w:left="720"/>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TableParagraph">
    <w:name w:val="Table Paragraph"/>
    <w:basedOn w:val="Normal"/>
    <w:uiPriority w:val="1"/>
    <w:qFormat/>
    <w:rsid w:val="00F27BE1"/>
    <w:pPr>
      <w:widowControl w:val="0"/>
      <w:autoSpaceDE w:val="0"/>
      <w:autoSpaceDN w:val="0"/>
      <w:spacing w:after="0" w:line="240" w:lineRule="auto"/>
    </w:pPr>
    <w:rPr>
      <w:rFonts w:ascii="Times New Roman" w:eastAsia="Times New Roman" w:hAnsi="Times New Roman" w:cs="Times New Roman"/>
      <w:lang w:val="en-US"/>
    </w:rPr>
  </w:style>
  <w:style w:type="paragraph" w:styleId="Caption">
    <w:name w:val="caption"/>
    <w:aliases w:val="12,Caption 12pt+,12pt,Caption 12pt,12+,Table,작업 table,figure,caption,Tab/Fig,작업 Table,! Q,Caption 12+,PEI Caption,c,Caption 3,Caption Char1 Char,Caption Char Char Char,Caption Table...,Caption Char1 + 8 pt,Not B....,Caption Table,...,Caption Cha"/>
    <w:basedOn w:val="Normal"/>
    <w:next w:val="Normal"/>
    <w:link w:val="CaptionChar"/>
    <w:unhideWhenUsed/>
    <w:qFormat/>
    <w:rsid w:val="00DA5D00"/>
    <w:pPr>
      <w:spacing w:line="240" w:lineRule="auto"/>
    </w:pPr>
    <w:rPr>
      <w:b/>
      <w:bCs/>
      <w:color w:val="000000" w:themeColor="text1"/>
      <w:sz w:val="20"/>
      <w:szCs w:val="18"/>
    </w:rPr>
  </w:style>
  <w:style w:type="paragraph" w:styleId="NoSpacing">
    <w:name w:val="No Spacing"/>
    <w:uiPriority w:val="1"/>
    <w:qFormat/>
    <w:rsid w:val="001B7B8C"/>
    <w:pPr>
      <w:spacing w:after="0" w:line="240" w:lineRule="auto"/>
    </w:pPr>
  </w:style>
  <w:style w:type="paragraph" w:styleId="BodyText">
    <w:name w:val="Body Text"/>
    <w:basedOn w:val="Normal"/>
    <w:link w:val="BodyTextChar"/>
    <w:uiPriority w:val="1"/>
    <w:qFormat/>
    <w:rsid w:val="00DA5D00"/>
    <w:pPr>
      <w:widowControl w:val="0"/>
      <w:autoSpaceDE w:val="0"/>
      <w:autoSpaceDN w:val="0"/>
      <w:spacing w:after="0" w:line="240" w:lineRule="auto"/>
      <w:ind w:left="66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DA5D00"/>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A5D00"/>
    <w:pPr>
      <w:widowControl w:val="0"/>
      <w:autoSpaceDE w:val="0"/>
      <w:autoSpaceDN w:val="0"/>
      <w:spacing w:after="0" w:line="240" w:lineRule="auto"/>
      <w:ind w:left="1"/>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0"/>
    <w:rsid w:val="00DA5D00"/>
    <w:rPr>
      <w:rFonts w:ascii="Times New Roman" w:eastAsia="Times New Roman" w:hAnsi="Times New Roman" w:cs="Times New Roman"/>
      <w:b/>
      <w:bCs/>
      <w:sz w:val="28"/>
      <w:szCs w:val="28"/>
      <w:lang w:val="en-US"/>
    </w:rPr>
  </w:style>
  <w:style w:type="table" w:styleId="TableGrid">
    <w:name w:val="Table Grid"/>
    <w:basedOn w:val="TableNormal"/>
    <w:uiPriority w:val="59"/>
    <w:rsid w:val="0096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5311"/>
    <w:rPr>
      <w:color w:val="605E5C"/>
      <w:shd w:val="clear" w:color="auto" w:fill="E1DFDD"/>
    </w:rPr>
  </w:style>
  <w:style w:type="paragraph" w:styleId="Revision">
    <w:name w:val="Revision"/>
    <w:hidden/>
    <w:uiPriority w:val="99"/>
    <w:semiHidden/>
    <w:rsid w:val="00D054F7"/>
    <w:pPr>
      <w:spacing w:after="0" w:line="240" w:lineRule="auto"/>
    </w:pPr>
  </w:style>
  <w:style w:type="paragraph" w:styleId="CommentSubject">
    <w:name w:val="annotation subject"/>
    <w:basedOn w:val="CommentText"/>
    <w:next w:val="CommentText"/>
    <w:link w:val="CommentSubjectChar"/>
    <w:uiPriority w:val="99"/>
    <w:semiHidden/>
    <w:unhideWhenUsed/>
    <w:rsid w:val="00D054F7"/>
    <w:rPr>
      <w:rFonts w:asciiTheme="minorHAnsi" w:hAnsiTheme="minorHAnsi"/>
      <w:b/>
      <w:bCs/>
    </w:rPr>
  </w:style>
  <w:style w:type="character" w:customStyle="1" w:styleId="CommentSubjectChar">
    <w:name w:val="Comment Subject Char"/>
    <w:basedOn w:val="CommentTextChar"/>
    <w:link w:val="CommentSubject"/>
    <w:uiPriority w:val="99"/>
    <w:semiHidden/>
    <w:rsid w:val="00D054F7"/>
    <w:rPr>
      <w:rFonts w:ascii="Cambria" w:hAnsi="Cambria"/>
      <w:b/>
      <w:bCs/>
      <w:sz w:val="20"/>
      <w:szCs w:val="20"/>
    </w:rPr>
  </w:style>
  <w:style w:type="paragraph" w:customStyle="1" w:styleId="Default">
    <w:name w:val="Default"/>
    <w:rsid w:val="009D4F27"/>
    <w:pPr>
      <w:autoSpaceDE w:val="0"/>
      <w:autoSpaceDN w:val="0"/>
      <w:adjustRightInd w:val="0"/>
      <w:spacing w:after="0" w:line="240" w:lineRule="auto"/>
    </w:pPr>
    <w:rPr>
      <w:rFonts w:ascii="Arial" w:eastAsia="Calibri" w:hAnsi="Arial" w:cs="Arial"/>
      <w:color w:val="000000"/>
      <w:sz w:val="24"/>
      <w:szCs w:val="24"/>
    </w:rPr>
  </w:style>
  <w:style w:type="character" w:customStyle="1" w:styleId="cf01">
    <w:name w:val="cf01"/>
    <w:basedOn w:val="DefaultParagraphFont"/>
    <w:rsid w:val="008C50E3"/>
    <w:rPr>
      <w:rFonts w:ascii="Malgun Gothic" w:eastAsia="Malgun Gothic" w:hAnsi="Malgun Gothic" w:hint="eastAsia"/>
      <w:sz w:val="18"/>
      <w:szCs w:val="18"/>
    </w:rPr>
  </w:style>
  <w:style w:type="character" w:customStyle="1" w:styleId="CaptionChar">
    <w:name w:val="Caption Char"/>
    <w:aliases w:val="12 Char,Caption 12pt+ Char,12pt Char,Caption 12pt Char,12+ Char,Table Char,작업 table Char,figure Char,caption Char,Tab/Fig Char,작업 Table Char,! Q Char,Caption 12+ Char,PEI Caption Char,c Char,Caption 3 Char,Caption Char1 Char Char,... Char"/>
    <w:link w:val="Caption"/>
    <w:rsid w:val="000662E9"/>
    <w:rPr>
      <w:b/>
      <w:bCs/>
      <w:color w:val="000000" w:themeColor="text1"/>
      <w:sz w:val="20"/>
      <w:szCs w:val="18"/>
    </w:rPr>
  </w:style>
  <w:style w:type="paragraph" w:customStyle="1" w:styleId="TableCellHeading10pt">
    <w:name w:val="Table Cell Heading 10pt"/>
    <w:basedOn w:val="Normal"/>
    <w:link w:val="TableCellHeading10ptChar"/>
    <w:qFormat/>
    <w:rsid w:val="00AD0947"/>
    <w:pPr>
      <w:keepNext/>
      <w:spacing w:before="40" w:after="40" w:line="240" w:lineRule="auto"/>
      <w:jc w:val="center"/>
    </w:pPr>
    <w:rPr>
      <w:rFonts w:ascii="Times New Roman" w:eastAsia="Times New Roman" w:hAnsi="Times New Roman" w:cs="Times New Roman"/>
      <w:b/>
      <w:kern w:val="20"/>
      <w:sz w:val="20"/>
      <w:szCs w:val="24"/>
      <w:lang w:val="en-US"/>
    </w:rPr>
  </w:style>
  <w:style w:type="paragraph" w:customStyle="1" w:styleId="TableCellText10pt">
    <w:name w:val="Table Cell Text 10pt"/>
    <w:basedOn w:val="Normal"/>
    <w:link w:val="TableCellText10ptChar"/>
    <w:rsid w:val="00AD0947"/>
    <w:pPr>
      <w:keepNext/>
      <w:spacing w:before="40" w:after="40" w:line="240" w:lineRule="auto"/>
      <w:jc w:val="center"/>
    </w:pPr>
    <w:rPr>
      <w:rFonts w:ascii="Times New Roman" w:eastAsia="Times New Roman" w:hAnsi="Times New Roman" w:cs="Times New Roman"/>
      <w:kern w:val="24"/>
      <w:sz w:val="20"/>
      <w:szCs w:val="24"/>
      <w:lang w:val="en-US"/>
    </w:rPr>
  </w:style>
  <w:style w:type="character" w:customStyle="1" w:styleId="TableCellText10ptChar">
    <w:name w:val="Table Cell Text 10pt Char"/>
    <w:link w:val="TableCellText10pt"/>
    <w:rsid w:val="00AD0947"/>
    <w:rPr>
      <w:rFonts w:ascii="Times New Roman" w:eastAsia="Times New Roman" w:hAnsi="Times New Roman" w:cs="Times New Roman"/>
      <w:kern w:val="24"/>
      <w:sz w:val="20"/>
      <w:szCs w:val="24"/>
      <w:lang w:val="en-US"/>
    </w:rPr>
  </w:style>
  <w:style w:type="character" w:customStyle="1" w:styleId="TableCellHeading10ptChar">
    <w:name w:val="Table Cell Heading 10pt Char"/>
    <w:link w:val="TableCellHeading10pt"/>
    <w:rsid w:val="00AD0947"/>
    <w:rPr>
      <w:rFonts w:ascii="Times New Roman" w:eastAsia="Times New Roman" w:hAnsi="Times New Roman" w:cs="Times New Roman"/>
      <w:b/>
      <w:kern w:val="20"/>
      <w:sz w:val="20"/>
      <w:szCs w:val="24"/>
      <w:lang w:val="en-US"/>
    </w:rPr>
  </w:style>
  <w:style w:type="paragraph" w:styleId="TableofFigures">
    <w:name w:val="table of figures"/>
    <w:basedOn w:val="Normal"/>
    <w:next w:val="Normal"/>
    <w:uiPriority w:val="99"/>
    <w:unhideWhenUsed/>
    <w:rsid w:val="006C7FDB"/>
    <w:pPr>
      <w:ind w:leftChars="400" w:left="400" w:hangingChars="200" w:hanging="200"/>
    </w:pPr>
  </w:style>
  <w:style w:type="paragraph" w:styleId="ListBullet2">
    <w:name w:val="List Bullet 2"/>
    <w:basedOn w:val="Normal"/>
    <w:uiPriority w:val="99"/>
    <w:unhideWhenUsed/>
    <w:rsid w:val="00436C68"/>
    <w:pPr>
      <w:numPr>
        <w:numId w:val="93"/>
      </w:numPr>
      <w:contextualSpacing/>
    </w:pPr>
  </w:style>
  <w:style w:type="paragraph" w:styleId="ListBullet3">
    <w:name w:val="List Bullet 3"/>
    <w:basedOn w:val="Normal"/>
    <w:uiPriority w:val="99"/>
    <w:unhideWhenUsed/>
    <w:rsid w:val="007D4910"/>
    <w:pPr>
      <w:numPr>
        <w:numId w:val="94"/>
      </w:numPr>
      <w:contextualSpacing/>
    </w:pPr>
  </w:style>
  <w:style w:type="paragraph" w:styleId="ListBullet4">
    <w:name w:val="List Bullet 4"/>
    <w:basedOn w:val="Normal"/>
    <w:uiPriority w:val="99"/>
    <w:unhideWhenUsed/>
    <w:rsid w:val="007D4910"/>
    <w:pPr>
      <w:numPr>
        <w:numId w:val="9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245670">
      <w:bodyDiv w:val="1"/>
      <w:marLeft w:val="0"/>
      <w:marRight w:val="0"/>
      <w:marTop w:val="0"/>
      <w:marBottom w:val="0"/>
      <w:divBdr>
        <w:top w:val="none" w:sz="0" w:space="0" w:color="auto"/>
        <w:left w:val="none" w:sz="0" w:space="0" w:color="auto"/>
        <w:bottom w:val="none" w:sz="0" w:space="0" w:color="auto"/>
        <w:right w:val="none" w:sz="0" w:space="0" w:color="auto"/>
      </w:divBdr>
    </w:div>
    <w:div w:id="15229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dugdale\Desktop\pi-template-new-format-t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8ea309-2971-43a8-9842-98147bb11bfd">
      <Terms xmlns="http://schemas.microsoft.com/office/infopath/2007/PartnerControls"/>
    </lcf76f155ced4ddcb4097134ff3c332f>
    <TaxCatchAll xmlns="83901066-ea94-4f10-a339-f99c2cb3eec1" xsi:nil="true"/>
    <SharedWithUsers xmlns="83901066-ea94-4f10-a339-f99c2cb3eec1">
      <UserInfo>
        <DisplayName>yeonji.kim(yeonji.kim@celltrion.com)</DisplayName>
        <AccountId>29</AccountId>
        <AccountType/>
      </UserInfo>
      <UserInfo>
        <DisplayName>yunah.kim(yunah.kim@celltrion.com)</DisplayName>
        <AccountId>72</AccountId>
        <AccountType/>
      </UserInfo>
      <UserInfo>
        <DisplayName>jiyoung.jang1(jiyoung.jang1@celltrion.com)</DisplayName>
        <AccountId>612</AccountId>
        <AccountType/>
      </UserInfo>
      <UserInfo>
        <DisplayName>goeun.yang(goeun.yang@celltrion.com)</DisplayName>
        <AccountId>26</AccountId>
        <AccountType/>
      </UserInfo>
    </SharedWithUsers>
    <_xc21c__xc11c_ xmlns="a68ea309-2971-43a8-9842-98147bb11bfd" xsi:nil="true"/>
    <_Flow_SignoffStatus xmlns="a68ea309-2971-43a8-9842-98147bb11bf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50B0282E67EBAD44BA33978F3DE838CD" ma:contentTypeVersion="22" ma:contentTypeDescription="새 문서를 만듭니다." ma:contentTypeScope="" ma:versionID="18c79fc58f33443b8cc348105d4d6ba1">
  <xsd:schema xmlns:xsd="http://www.w3.org/2001/XMLSchema" xmlns:xs="http://www.w3.org/2001/XMLSchema" xmlns:p="http://schemas.microsoft.com/office/2006/metadata/properties" xmlns:ns2="a68ea309-2971-43a8-9842-98147bb11bfd" xmlns:ns3="83901066-ea94-4f10-a339-f99c2cb3eec1" targetNamespace="http://schemas.microsoft.com/office/2006/metadata/properties" ma:root="true" ma:fieldsID="186c7730bf09c7ea569e8f907131cdb7" ns2:_="" ns3:_="">
    <xsd:import namespace="a68ea309-2971-43a8-9842-98147bb11bfd"/>
    <xsd:import namespace="83901066-ea94-4f10-a339-f99c2cb3ee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lcf76f155ced4ddcb4097134ff3c332f" minOccurs="0"/>
                <xsd:element ref="ns2:_xc21c__xc11c_" minOccurs="0"/>
                <xsd:element ref="ns2:MediaServiceObjectDetectorVersion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a309-2971-43a8-9842-98147bb1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732bab0-4bae-4f82-b313-259cd88cb718" ma:termSetId="09814cd3-568e-fe90-9814-8d621ff8fb84" ma:anchorId="fba54fb3-c3e1-fe81-a776-ca4b69148c4d" ma:open="true" ma:isKeyword="false">
      <xsd:complexType>
        <xsd:sequence>
          <xsd:element ref="pc:Terms" minOccurs="0" maxOccurs="1"/>
        </xsd:sequence>
      </xsd:complexType>
    </xsd:element>
    <xsd:element name="_xc21c__xc11c_" ma:index="23" nillable="true" ma:displayName="순서" ma:decimals="0" ma:format="Dropdown" ma:internalName="_xc21c__xc11c_"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사인 오프 상태" ma:internalName="_xc0ac__xc778__x0020__xc624__xd504__x0020__xc0c1__xd0dc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01066-ea94-4f10-a339-f99c2cb3eec1"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TaxCatchAll" ma:index="20" nillable="true" ma:displayName="Taxonomy Catch All Column" ma:hidden="true" ma:list="{ab5631cb-0b52-4761-af16-434db647b9a9}" ma:internalName="TaxCatchAll" ma:showField="CatchAllData" ma:web="83901066-ea94-4f10-a339-f99c2cb3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77F15-7B5C-470F-A20C-84C32D7E4C24}">
  <ds:schemaRefs>
    <ds:schemaRef ds:uri="http://schemas.microsoft.com/office/2006/metadata/properties"/>
    <ds:schemaRef ds:uri="http://schemas.microsoft.com/office/infopath/2007/PartnerControls"/>
    <ds:schemaRef ds:uri="a68ea309-2971-43a8-9842-98147bb11bfd"/>
    <ds:schemaRef ds:uri="83901066-ea94-4f10-a339-f99c2cb3eec1"/>
  </ds:schemaRefs>
</ds:datastoreItem>
</file>

<file path=customXml/itemProps2.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customXml/itemProps3.xml><?xml version="1.0" encoding="utf-8"?>
<ds:datastoreItem xmlns:ds="http://schemas.openxmlformats.org/officeDocument/2006/customXml" ds:itemID="{066BD8CC-2BC8-4BAD-9FD5-C7E18BCC7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a309-2971-43a8-9842-98147bb11bfd"/>
    <ds:schemaRef ds:uri="83901066-ea94-4f10-a339-f99c2cb3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34996-F792-4CBC-83B7-4914FC270234}">
  <ds:schemaRefs>
    <ds:schemaRef ds:uri="http://schemas.microsoft.com/sharepoint/v3/contenttype/forms"/>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pi-template-new-format-tga.dotx</Template>
  <TotalTime>17</TotalTime>
  <Pages>71</Pages>
  <Words>28676</Words>
  <Characters>162884</Characters>
  <Application>Microsoft Office Word</Application>
  <DocSecurity>0</DocSecurity>
  <Lines>3132</Lines>
  <Paragraphs>1623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Celltrion Healthcare Australia Pty Ltd</Company>
  <LinksUpToDate>false</LinksUpToDate>
  <CharactersWithSpaces>189937</CharactersWithSpaces>
  <SharedDoc>false</SharedDoc>
  <HLinks>
    <vt:vector size="12" baseType="variant">
      <vt:variant>
        <vt:i4>5898317</vt:i4>
      </vt:variant>
      <vt:variant>
        <vt:i4>42</vt:i4>
      </vt:variant>
      <vt:variant>
        <vt:i4>0</vt:i4>
      </vt:variant>
      <vt:variant>
        <vt:i4>5</vt:i4>
      </vt:variant>
      <vt:variant>
        <vt:lpwstr>http://www.tga.gov.au/reporting-problems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Avtozma</dc:title>
  <dc:subject>Prescription medicine</dc:subject>
  <dc:creator>Celltrion Healthcare Australia Pty Ltd</dc:creator>
  <cp:keywords/>
  <cp:lastModifiedBy>MANNY, Kristy</cp:lastModifiedBy>
  <cp:revision>11</cp:revision>
  <cp:lastPrinted>2025-08-19T05:04:00Z</cp:lastPrinted>
  <dcterms:created xsi:type="dcterms:W3CDTF">2025-03-26T22:26:00Z</dcterms:created>
  <dcterms:modified xsi:type="dcterms:W3CDTF">2025-08-19T05:05:00Z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0x01010050B0282E67EBAD44BA33978F3DE838CD</vt:lpwstr>
  </property>
  <property fmtid="{D5CDD505-2E9C-101B-9397-08002B2CF9AE}" pid="3" name="MediaServiceImageTags">
    <vt:lpwstr/>
  </property>
</Properties>
</file>