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2A25" w14:textId="76D4A787" w:rsidR="002E1606" w:rsidRDefault="00145159">
      <w:r>
        <w:rPr>
          <w:noProof/>
        </w:rPr>
        <w:drawing>
          <wp:anchor distT="0" distB="0" distL="114300" distR="114300" simplePos="0" relativeHeight="251702272" behindDoc="0" locked="0" layoutInCell="1" allowOverlap="1" wp14:anchorId="7917C3EF" wp14:editId="42CE189B">
            <wp:simplePos x="0" y="0"/>
            <wp:positionH relativeFrom="column">
              <wp:posOffset>-783378</wp:posOffset>
            </wp:positionH>
            <wp:positionV relativeFrom="paragraph">
              <wp:posOffset>-787612</wp:posOffset>
            </wp:positionV>
            <wp:extent cx="7538085" cy="10679614"/>
            <wp:effectExtent l="0" t="0" r="5715" b="7620"/>
            <wp:wrapNone/>
            <wp:docPr id="460588177" name="Picture 1" descr="Therapeutic Goods Administration Business Plan 2025-26 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88177" name="Picture 1" descr="Therapeutic Goods Administration Business Plan 2025-26 front cov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8864" cy="10680718"/>
                    </a:xfrm>
                    <a:prstGeom prst="rect">
                      <a:avLst/>
                    </a:prstGeom>
                  </pic:spPr>
                </pic:pic>
              </a:graphicData>
            </a:graphic>
            <wp14:sizeRelH relativeFrom="margin">
              <wp14:pctWidth>0</wp14:pctWidth>
            </wp14:sizeRelH>
            <wp14:sizeRelV relativeFrom="margin">
              <wp14:pctHeight>0</wp14:pctHeight>
            </wp14:sizeRelV>
          </wp:anchor>
        </w:drawing>
      </w:r>
    </w:p>
    <w:p w14:paraId="1DF97B73" w14:textId="53761EFF" w:rsidR="002E1606" w:rsidRDefault="002E1606">
      <w:r>
        <w:br w:type="page"/>
      </w:r>
    </w:p>
    <w:p w14:paraId="15E0A9BD" w14:textId="6BFACBC8" w:rsidR="002E1606" w:rsidRPr="006851BB" w:rsidRDefault="002E1606" w:rsidP="00280ACE">
      <w:pPr>
        <w:pStyle w:val="Heading1"/>
      </w:pPr>
      <w:bookmarkStart w:id="0" w:name="_Toc203400895"/>
      <w:r w:rsidRPr="006851BB">
        <w:lastRenderedPageBreak/>
        <w:drawing>
          <wp:anchor distT="0" distB="0" distL="114300" distR="114300" simplePos="0" relativeHeight="251658240" behindDoc="1" locked="0" layoutInCell="1" allowOverlap="1" wp14:anchorId="6A22549F" wp14:editId="44E5540F">
            <wp:simplePos x="0" y="0"/>
            <wp:positionH relativeFrom="column">
              <wp:posOffset>-785719</wp:posOffset>
            </wp:positionH>
            <wp:positionV relativeFrom="paragraph">
              <wp:posOffset>-779145</wp:posOffset>
            </wp:positionV>
            <wp:extent cx="7543390" cy="10669905"/>
            <wp:effectExtent l="0" t="0" r="635" b="0"/>
            <wp:wrapNone/>
            <wp:docPr id="14264429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42995"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3390" cy="10669905"/>
                    </a:xfrm>
                    <a:prstGeom prst="rect">
                      <a:avLst/>
                    </a:prstGeom>
                  </pic:spPr>
                </pic:pic>
              </a:graphicData>
            </a:graphic>
            <wp14:sizeRelH relativeFrom="page">
              <wp14:pctWidth>0</wp14:pctWidth>
            </wp14:sizeRelH>
            <wp14:sizeRelV relativeFrom="page">
              <wp14:pctHeight>0</wp14:pctHeight>
            </wp14:sizeRelV>
          </wp:anchor>
        </w:drawing>
      </w:r>
      <w:r w:rsidR="00514754" w:rsidRPr="006851BB">
        <w:t>Acknowledgement of Country</w:t>
      </w:r>
      <w:bookmarkEnd w:id="0"/>
    </w:p>
    <w:p w14:paraId="4043B58F" w14:textId="7EE2E352" w:rsidR="0000274B" w:rsidRPr="006851BB" w:rsidRDefault="0000274B" w:rsidP="0000274B">
      <w:pPr>
        <w:rPr>
          <w:rFonts w:ascii="Arial" w:hAnsi="Arial" w:cs="Arial"/>
          <w:szCs w:val="22"/>
          <w:lang w:val="en-US"/>
        </w:rPr>
      </w:pPr>
      <w:r w:rsidRPr="006851BB">
        <w:rPr>
          <w:rFonts w:ascii="Arial" w:hAnsi="Arial" w:cs="Arial"/>
          <w:szCs w:val="22"/>
          <w:lang w:val="en-US"/>
        </w:rPr>
        <w:t xml:space="preserve">The Therapeutic Goods Administration proudly acknowledges the Traditional Owners and Custodians of Country throughout </w:t>
      </w:r>
      <w:r w:rsidR="00FC3CBE" w:rsidRPr="006851BB">
        <w:rPr>
          <w:rFonts w:ascii="Arial" w:hAnsi="Arial" w:cs="Arial"/>
          <w:szCs w:val="22"/>
          <w:lang w:val="en-US"/>
        </w:rPr>
        <w:t>Australia and</w:t>
      </w:r>
      <w:r w:rsidRPr="006851BB">
        <w:rPr>
          <w:rFonts w:ascii="Arial" w:hAnsi="Arial" w:cs="Arial"/>
          <w:szCs w:val="22"/>
          <w:lang w:val="en-US"/>
        </w:rPr>
        <w:t xml:space="preserve"> pays respect to those who have preserved and cared for the lands on which we live, work, and benefit from each day.</w:t>
      </w:r>
    </w:p>
    <w:p w14:paraId="0098FFE0" w14:textId="77777777" w:rsidR="0000274B" w:rsidRPr="006851BB" w:rsidRDefault="0000274B" w:rsidP="0000274B">
      <w:pPr>
        <w:rPr>
          <w:rFonts w:ascii="Arial" w:hAnsi="Arial" w:cs="Arial"/>
          <w:szCs w:val="22"/>
          <w:lang w:val="en-US"/>
        </w:rPr>
      </w:pPr>
      <w:r w:rsidRPr="006851BB">
        <w:rPr>
          <w:rFonts w:ascii="Arial" w:hAnsi="Arial" w:cs="Arial"/>
          <w:szCs w:val="22"/>
          <w:lang w:val="en-US"/>
        </w:rPr>
        <w:t xml:space="preserve">We recognise the inherent strengths and knowledge Aboriginal and Torres Strait Islander peoples provide </w:t>
      </w:r>
      <w:proofErr w:type="gramStart"/>
      <w:r w:rsidRPr="006851BB">
        <w:rPr>
          <w:rFonts w:ascii="Arial" w:hAnsi="Arial" w:cs="Arial"/>
          <w:szCs w:val="22"/>
          <w:lang w:val="en-US"/>
        </w:rPr>
        <w:t>to</w:t>
      </w:r>
      <w:proofErr w:type="gramEnd"/>
      <w:r w:rsidRPr="006851BB">
        <w:rPr>
          <w:rFonts w:ascii="Arial" w:hAnsi="Arial" w:cs="Arial"/>
          <w:szCs w:val="22"/>
          <w:lang w:val="en-US"/>
        </w:rPr>
        <w:t xml:space="preserve"> the health and aged care system and thank them for their existing and ongoing contributions to the wider community. We extend this gratitude to all health and aged care workers who contribute to improving health and wellbeing outcomes with, and for, First Nations peoples and communities.</w:t>
      </w:r>
    </w:p>
    <w:p w14:paraId="089CEE73" w14:textId="77777777" w:rsidR="0000274B" w:rsidRPr="006851BB" w:rsidRDefault="0000274B" w:rsidP="0000274B">
      <w:pPr>
        <w:rPr>
          <w:rFonts w:ascii="Arial" w:hAnsi="Arial" w:cs="Arial"/>
          <w:szCs w:val="22"/>
          <w:lang w:val="en-US"/>
        </w:rPr>
      </w:pPr>
      <w:r w:rsidRPr="006851BB">
        <w:rPr>
          <w:rFonts w:ascii="Arial" w:hAnsi="Arial" w:cs="Arial"/>
          <w:szCs w:val="22"/>
          <w:lang w:val="en-US"/>
        </w:rPr>
        <w:t>We also recognise and respect Aboriginal and Torres Strait Islander people’s continuing connections and relationships to the lands, waters, culture, and community, and pay respect to all Elders past and present.</w:t>
      </w:r>
    </w:p>
    <w:p w14:paraId="7B3C5CFC" w14:textId="07745C7E" w:rsidR="00E41973" w:rsidRDefault="00E41973" w:rsidP="0000274B">
      <w:pPr>
        <w:rPr>
          <w:szCs w:val="22"/>
          <w:lang w:val="en-US"/>
        </w:rPr>
      </w:pPr>
      <w:r>
        <w:rPr>
          <w:szCs w:val="22"/>
          <w:lang w:val="en-US"/>
        </w:rPr>
        <w:br w:type="page"/>
      </w:r>
    </w:p>
    <w:bookmarkStart w:id="1" w:name="_Toc203400896" w:displacedByCustomXml="next"/>
    <w:sdt>
      <w:sdtPr>
        <w:rPr>
          <w:rFonts w:ascii="SF Pro Light" w:eastAsiaTheme="minorHAnsi" w:hAnsi="SF Pro Light" w:cs="Times New Roman"/>
          <w:noProof w:val="0"/>
          <w:color w:val="auto"/>
          <w:sz w:val="22"/>
          <w:szCs w:val="24"/>
          <w:lang w:val="en-AU"/>
        </w:rPr>
        <w:id w:val="1272135507"/>
        <w:docPartObj>
          <w:docPartGallery w:val="Table of Contents"/>
          <w:docPartUnique/>
        </w:docPartObj>
      </w:sdtPr>
      <w:sdtEndPr>
        <w:rPr>
          <w:b/>
          <w:bCs/>
        </w:rPr>
      </w:sdtEndPr>
      <w:sdtContent>
        <w:p w14:paraId="311121E5" w14:textId="01D00F5D" w:rsidR="00E41973" w:rsidRPr="006851BB" w:rsidRDefault="00E41973" w:rsidP="00280ACE">
          <w:pPr>
            <w:pStyle w:val="Heading1"/>
          </w:pPr>
          <w:r w:rsidRPr="006851BB">
            <w:t>Contents</w:t>
          </w:r>
          <w:bookmarkEnd w:id="1"/>
        </w:p>
        <w:p w14:paraId="5431B69B" w14:textId="3EBA620B" w:rsidR="00CE656A" w:rsidRPr="00616B9C" w:rsidRDefault="00E41973" w:rsidP="00CE656A">
          <w:pPr>
            <w:pStyle w:val="TOC1"/>
            <w:rPr>
              <w:rFonts w:asciiTheme="minorHAnsi" w:eastAsiaTheme="minorEastAsia" w:hAnsiTheme="minorHAnsi" w:cstheme="minorBidi"/>
              <w:b/>
              <w:bCs/>
              <w:sz w:val="24"/>
              <w:lang w:eastAsia="en-AU"/>
            </w:rPr>
          </w:pPr>
          <w:r>
            <w:rPr>
              <w:noProof w:val="0"/>
            </w:rPr>
            <w:fldChar w:fldCharType="begin"/>
          </w:r>
          <w:r>
            <w:instrText xml:space="preserve"> TOC \o "1-3" \h \z \u </w:instrText>
          </w:r>
          <w:r>
            <w:rPr>
              <w:noProof w:val="0"/>
            </w:rPr>
            <w:fldChar w:fldCharType="separate"/>
          </w:r>
          <w:hyperlink w:anchor="_Toc203400895" w:history="1">
            <w:r w:rsidR="00CE656A" w:rsidRPr="00616B9C">
              <w:rPr>
                <w:rStyle w:val="Hyperlink"/>
                <w:b/>
                <w:bCs/>
              </w:rPr>
              <w:t>Acknowledgement of Country</w:t>
            </w:r>
            <w:r w:rsidR="00CE656A" w:rsidRPr="00616B9C">
              <w:rPr>
                <w:b/>
                <w:bCs/>
                <w:webHidden/>
              </w:rPr>
              <w:tab/>
            </w:r>
            <w:r w:rsidR="00CE656A" w:rsidRPr="00616B9C">
              <w:rPr>
                <w:b/>
                <w:bCs/>
                <w:webHidden/>
              </w:rPr>
              <w:fldChar w:fldCharType="begin"/>
            </w:r>
            <w:r w:rsidR="00CE656A" w:rsidRPr="00616B9C">
              <w:rPr>
                <w:b/>
                <w:bCs/>
                <w:webHidden/>
              </w:rPr>
              <w:instrText xml:space="preserve"> PAGEREF _Toc203400895 \h </w:instrText>
            </w:r>
            <w:r w:rsidR="00CE656A" w:rsidRPr="00616B9C">
              <w:rPr>
                <w:b/>
                <w:bCs/>
                <w:webHidden/>
              </w:rPr>
            </w:r>
            <w:r w:rsidR="00CE656A" w:rsidRPr="00616B9C">
              <w:rPr>
                <w:b/>
                <w:bCs/>
                <w:webHidden/>
              </w:rPr>
              <w:fldChar w:fldCharType="separate"/>
            </w:r>
            <w:r w:rsidR="00523945" w:rsidRPr="00616B9C">
              <w:rPr>
                <w:b/>
                <w:bCs/>
                <w:webHidden/>
              </w:rPr>
              <w:t>2</w:t>
            </w:r>
            <w:r w:rsidR="00CE656A" w:rsidRPr="00616B9C">
              <w:rPr>
                <w:b/>
                <w:bCs/>
                <w:webHidden/>
              </w:rPr>
              <w:fldChar w:fldCharType="end"/>
            </w:r>
          </w:hyperlink>
        </w:p>
        <w:p w14:paraId="6971FA26" w14:textId="4B790E62" w:rsidR="00CE656A" w:rsidRPr="00616B9C" w:rsidRDefault="00CE656A" w:rsidP="00CE656A">
          <w:pPr>
            <w:pStyle w:val="TOC1"/>
            <w:rPr>
              <w:rFonts w:asciiTheme="minorHAnsi" w:eastAsiaTheme="minorEastAsia" w:hAnsiTheme="minorHAnsi" w:cstheme="minorBidi"/>
              <w:b/>
              <w:bCs/>
              <w:sz w:val="24"/>
              <w:lang w:eastAsia="en-AU"/>
            </w:rPr>
          </w:pPr>
          <w:r w:rsidRPr="00616B9C">
            <w:rPr>
              <w:b/>
              <w:bCs/>
            </w:rPr>
            <w:t>Message from the Deputy Secretary</w:t>
          </w:r>
          <w:r w:rsidRPr="00616B9C">
            <w:rPr>
              <w:b/>
              <w:bCs/>
              <w:webHidden/>
            </w:rPr>
            <w:tab/>
            <w:t>4</w:t>
          </w:r>
        </w:p>
        <w:p w14:paraId="5496716D" w14:textId="7338BB5C" w:rsidR="00CE656A" w:rsidRPr="00616B9C" w:rsidRDefault="00CE656A" w:rsidP="00CE656A">
          <w:pPr>
            <w:pStyle w:val="TOC1"/>
            <w:rPr>
              <w:rFonts w:asciiTheme="minorHAnsi" w:eastAsiaTheme="minorEastAsia" w:hAnsiTheme="minorHAnsi" w:cstheme="minorBidi"/>
              <w:b/>
              <w:bCs/>
              <w:sz w:val="24"/>
              <w:lang w:eastAsia="en-AU"/>
            </w:rPr>
          </w:pPr>
          <w:hyperlink w:anchor="_Toc203400898" w:history="1">
            <w:r w:rsidRPr="00616B9C">
              <w:rPr>
                <w:rStyle w:val="Hyperlink"/>
                <w:b/>
                <w:bCs/>
              </w:rPr>
              <w:t>Our Purpose and Strategic Intent</w:t>
            </w:r>
            <w:r w:rsidRPr="00616B9C">
              <w:rPr>
                <w:b/>
                <w:bCs/>
                <w:webHidden/>
              </w:rPr>
              <w:tab/>
            </w:r>
            <w:r w:rsidRPr="00616B9C">
              <w:rPr>
                <w:b/>
                <w:bCs/>
                <w:webHidden/>
              </w:rPr>
              <w:fldChar w:fldCharType="begin"/>
            </w:r>
            <w:r w:rsidRPr="00616B9C">
              <w:rPr>
                <w:b/>
                <w:bCs/>
                <w:webHidden/>
              </w:rPr>
              <w:instrText xml:space="preserve"> PAGEREF _Toc203400898 \h </w:instrText>
            </w:r>
            <w:r w:rsidRPr="00616B9C">
              <w:rPr>
                <w:b/>
                <w:bCs/>
                <w:webHidden/>
              </w:rPr>
            </w:r>
            <w:r w:rsidRPr="00616B9C">
              <w:rPr>
                <w:b/>
                <w:bCs/>
                <w:webHidden/>
              </w:rPr>
              <w:fldChar w:fldCharType="separate"/>
            </w:r>
            <w:r w:rsidR="00523945" w:rsidRPr="00616B9C">
              <w:rPr>
                <w:b/>
                <w:bCs/>
                <w:webHidden/>
              </w:rPr>
              <w:t>6</w:t>
            </w:r>
            <w:r w:rsidRPr="00616B9C">
              <w:rPr>
                <w:b/>
                <w:bCs/>
                <w:webHidden/>
              </w:rPr>
              <w:fldChar w:fldCharType="end"/>
            </w:r>
          </w:hyperlink>
        </w:p>
        <w:p w14:paraId="2A8A3279" w14:textId="68A05597" w:rsidR="00CE656A" w:rsidRPr="00616B9C" w:rsidRDefault="00CE656A" w:rsidP="00CE656A">
          <w:pPr>
            <w:pStyle w:val="TOC1"/>
            <w:rPr>
              <w:rFonts w:asciiTheme="minorHAnsi" w:eastAsiaTheme="minorEastAsia" w:hAnsiTheme="minorHAnsi" w:cstheme="minorBidi"/>
              <w:b/>
              <w:bCs/>
              <w:sz w:val="24"/>
              <w:lang w:eastAsia="en-AU"/>
            </w:rPr>
          </w:pPr>
          <w:hyperlink w:anchor="_Toc203400899" w:history="1">
            <w:r w:rsidRPr="00616B9C">
              <w:rPr>
                <w:rStyle w:val="Hyperlink"/>
                <w:b/>
                <w:bCs/>
              </w:rPr>
              <w:t>Our Strategic Objectives</w:t>
            </w:r>
            <w:r w:rsidRPr="00616B9C">
              <w:rPr>
                <w:b/>
                <w:bCs/>
                <w:webHidden/>
              </w:rPr>
              <w:tab/>
            </w:r>
            <w:r w:rsidRPr="00616B9C">
              <w:rPr>
                <w:b/>
                <w:bCs/>
                <w:webHidden/>
              </w:rPr>
              <w:fldChar w:fldCharType="begin"/>
            </w:r>
            <w:r w:rsidRPr="00616B9C">
              <w:rPr>
                <w:b/>
                <w:bCs/>
                <w:webHidden/>
              </w:rPr>
              <w:instrText xml:space="preserve"> PAGEREF _Toc203400899 \h </w:instrText>
            </w:r>
            <w:r w:rsidRPr="00616B9C">
              <w:rPr>
                <w:b/>
                <w:bCs/>
                <w:webHidden/>
              </w:rPr>
            </w:r>
            <w:r w:rsidRPr="00616B9C">
              <w:rPr>
                <w:b/>
                <w:bCs/>
                <w:webHidden/>
              </w:rPr>
              <w:fldChar w:fldCharType="separate"/>
            </w:r>
            <w:r w:rsidR="00523945" w:rsidRPr="00616B9C">
              <w:rPr>
                <w:b/>
                <w:bCs/>
                <w:webHidden/>
              </w:rPr>
              <w:t>7</w:t>
            </w:r>
            <w:r w:rsidRPr="00616B9C">
              <w:rPr>
                <w:b/>
                <w:bCs/>
                <w:webHidden/>
              </w:rPr>
              <w:fldChar w:fldCharType="end"/>
            </w:r>
          </w:hyperlink>
        </w:p>
        <w:p w14:paraId="12BF1790" w14:textId="1D3D8524" w:rsidR="00CE656A" w:rsidRDefault="00CE656A" w:rsidP="00CE656A">
          <w:pPr>
            <w:pStyle w:val="TOC1"/>
            <w:rPr>
              <w:rFonts w:asciiTheme="minorHAnsi" w:eastAsiaTheme="minorEastAsia" w:hAnsiTheme="minorHAnsi" w:cstheme="minorBidi"/>
              <w:sz w:val="24"/>
              <w:lang w:eastAsia="en-AU"/>
            </w:rPr>
          </w:pPr>
          <w:hyperlink w:anchor="_Toc203400900" w:history="1">
            <w:r w:rsidRPr="00AC6646">
              <w:rPr>
                <w:rStyle w:val="Hyperlink"/>
              </w:rPr>
              <w:t>Strategic Objective 1 – Improve public health outcomes through best practice regulation</w:t>
            </w:r>
            <w:r>
              <w:rPr>
                <w:webHidden/>
              </w:rPr>
              <w:tab/>
            </w:r>
            <w:r>
              <w:rPr>
                <w:webHidden/>
              </w:rPr>
              <w:fldChar w:fldCharType="begin"/>
            </w:r>
            <w:r>
              <w:rPr>
                <w:webHidden/>
              </w:rPr>
              <w:instrText xml:space="preserve"> PAGEREF _Toc203400900 \h </w:instrText>
            </w:r>
            <w:r>
              <w:rPr>
                <w:webHidden/>
              </w:rPr>
            </w:r>
            <w:r>
              <w:rPr>
                <w:webHidden/>
              </w:rPr>
              <w:fldChar w:fldCharType="separate"/>
            </w:r>
            <w:r w:rsidR="00523945">
              <w:rPr>
                <w:webHidden/>
              </w:rPr>
              <w:t>8</w:t>
            </w:r>
            <w:r>
              <w:rPr>
                <w:webHidden/>
              </w:rPr>
              <w:fldChar w:fldCharType="end"/>
            </w:r>
          </w:hyperlink>
        </w:p>
        <w:p w14:paraId="47F7AD5A" w14:textId="334EB418" w:rsidR="00CE656A" w:rsidRDefault="00CE656A" w:rsidP="00CE656A">
          <w:pPr>
            <w:pStyle w:val="TOC1"/>
            <w:rPr>
              <w:rFonts w:asciiTheme="minorHAnsi" w:eastAsiaTheme="minorEastAsia" w:hAnsiTheme="minorHAnsi" w:cstheme="minorBidi"/>
              <w:sz w:val="24"/>
              <w:lang w:eastAsia="en-AU"/>
            </w:rPr>
          </w:pPr>
          <w:hyperlink w:anchor="_Toc203400901" w:history="1">
            <w:r w:rsidRPr="00AC6646">
              <w:rPr>
                <w:rStyle w:val="Hyperlink"/>
              </w:rPr>
              <w:t>Strategic Objective 2 – Build trust by actively engaging with our stakeholders</w:t>
            </w:r>
            <w:r>
              <w:rPr>
                <w:webHidden/>
              </w:rPr>
              <w:tab/>
            </w:r>
            <w:r>
              <w:rPr>
                <w:webHidden/>
              </w:rPr>
              <w:fldChar w:fldCharType="begin"/>
            </w:r>
            <w:r>
              <w:rPr>
                <w:webHidden/>
              </w:rPr>
              <w:instrText xml:space="preserve"> PAGEREF _Toc203400901 \h </w:instrText>
            </w:r>
            <w:r>
              <w:rPr>
                <w:webHidden/>
              </w:rPr>
            </w:r>
            <w:r>
              <w:rPr>
                <w:webHidden/>
              </w:rPr>
              <w:fldChar w:fldCharType="separate"/>
            </w:r>
            <w:r w:rsidR="00523945">
              <w:rPr>
                <w:webHidden/>
              </w:rPr>
              <w:t>10</w:t>
            </w:r>
            <w:r>
              <w:rPr>
                <w:webHidden/>
              </w:rPr>
              <w:fldChar w:fldCharType="end"/>
            </w:r>
          </w:hyperlink>
        </w:p>
        <w:p w14:paraId="03C23ED3" w14:textId="518D939E" w:rsidR="00CE656A" w:rsidRDefault="00CE656A" w:rsidP="00CE656A">
          <w:pPr>
            <w:pStyle w:val="TOC1"/>
            <w:rPr>
              <w:rFonts w:asciiTheme="minorHAnsi" w:eastAsiaTheme="minorEastAsia" w:hAnsiTheme="minorHAnsi" w:cstheme="minorBidi"/>
              <w:sz w:val="24"/>
              <w:lang w:eastAsia="en-AU"/>
            </w:rPr>
          </w:pPr>
          <w:hyperlink w:anchor="_Toc203400902" w:history="1">
            <w:r w:rsidRPr="00AC6646">
              <w:rPr>
                <w:rStyle w:val="Hyperlink"/>
              </w:rPr>
              <w:t>Strategic Objective 3 – Promote and enforce compliance with regulatory requirements</w:t>
            </w:r>
            <w:r>
              <w:rPr>
                <w:webHidden/>
              </w:rPr>
              <w:tab/>
            </w:r>
            <w:r>
              <w:rPr>
                <w:webHidden/>
              </w:rPr>
              <w:fldChar w:fldCharType="begin"/>
            </w:r>
            <w:r>
              <w:rPr>
                <w:webHidden/>
              </w:rPr>
              <w:instrText xml:space="preserve"> PAGEREF _Toc203400902 \h </w:instrText>
            </w:r>
            <w:r>
              <w:rPr>
                <w:webHidden/>
              </w:rPr>
            </w:r>
            <w:r>
              <w:rPr>
                <w:webHidden/>
              </w:rPr>
              <w:fldChar w:fldCharType="separate"/>
            </w:r>
            <w:r w:rsidR="00523945">
              <w:rPr>
                <w:webHidden/>
              </w:rPr>
              <w:t>11</w:t>
            </w:r>
            <w:r>
              <w:rPr>
                <w:webHidden/>
              </w:rPr>
              <w:fldChar w:fldCharType="end"/>
            </w:r>
          </w:hyperlink>
        </w:p>
        <w:p w14:paraId="4DF0D20F" w14:textId="280D6A6D" w:rsidR="00CE656A" w:rsidRDefault="00CE656A" w:rsidP="00CE656A">
          <w:pPr>
            <w:pStyle w:val="TOC1"/>
            <w:rPr>
              <w:rFonts w:asciiTheme="minorHAnsi" w:eastAsiaTheme="minorEastAsia" w:hAnsiTheme="minorHAnsi" w:cstheme="minorBidi"/>
              <w:sz w:val="24"/>
              <w:lang w:eastAsia="en-AU"/>
            </w:rPr>
          </w:pPr>
          <w:hyperlink w:anchor="_Toc203400903" w:history="1">
            <w:r w:rsidRPr="00AC6646">
              <w:rPr>
                <w:rStyle w:val="Hyperlink"/>
              </w:rPr>
              <w:t>Strategic Objective 4 – Innovate and continuously improve</w:t>
            </w:r>
            <w:r>
              <w:rPr>
                <w:webHidden/>
              </w:rPr>
              <w:tab/>
            </w:r>
            <w:r>
              <w:rPr>
                <w:webHidden/>
              </w:rPr>
              <w:fldChar w:fldCharType="begin"/>
            </w:r>
            <w:r>
              <w:rPr>
                <w:webHidden/>
              </w:rPr>
              <w:instrText xml:space="preserve"> PAGEREF _Toc203400903 \h </w:instrText>
            </w:r>
            <w:r>
              <w:rPr>
                <w:webHidden/>
              </w:rPr>
            </w:r>
            <w:r>
              <w:rPr>
                <w:webHidden/>
              </w:rPr>
              <w:fldChar w:fldCharType="separate"/>
            </w:r>
            <w:r w:rsidR="00523945">
              <w:rPr>
                <w:webHidden/>
              </w:rPr>
              <w:t>12</w:t>
            </w:r>
            <w:r>
              <w:rPr>
                <w:webHidden/>
              </w:rPr>
              <w:fldChar w:fldCharType="end"/>
            </w:r>
          </w:hyperlink>
        </w:p>
        <w:p w14:paraId="2AB76623" w14:textId="53C9EB6A" w:rsidR="00CE656A" w:rsidRPr="003F3E36" w:rsidRDefault="00CE656A" w:rsidP="00CE656A">
          <w:pPr>
            <w:pStyle w:val="TOC1"/>
            <w:rPr>
              <w:rFonts w:asciiTheme="minorHAnsi" w:eastAsiaTheme="minorEastAsia" w:hAnsiTheme="minorHAnsi" w:cstheme="minorBidi"/>
              <w:b/>
              <w:bCs/>
              <w:sz w:val="24"/>
              <w:lang w:eastAsia="en-AU"/>
            </w:rPr>
          </w:pPr>
          <w:hyperlink w:anchor="_Toc203400904" w:history="1">
            <w:r w:rsidRPr="003F3E36">
              <w:rPr>
                <w:rStyle w:val="Hyperlink"/>
                <w:b/>
                <w:bCs/>
              </w:rPr>
              <w:t>Reporting</w:t>
            </w:r>
            <w:r w:rsidRPr="003F3E36">
              <w:rPr>
                <w:b/>
                <w:bCs/>
                <w:webHidden/>
              </w:rPr>
              <w:tab/>
            </w:r>
            <w:r w:rsidRPr="003F3E36">
              <w:rPr>
                <w:b/>
                <w:bCs/>
                <w:webHidden/>
              </w:rPr>
              <w:fldChar w:fldCharType="begin"/>
            </w:r>
            <w:r w:rsidRPr="003F3E36">
              <w:rPr>
                <w:b/>
                <w:bCs/>
                <w:webHidden/>
              </w:rPr>
              <w:instrText xml:space="preserve"> PAGEREF _Toc203400904 \h </w:instrText>
            </w:r>
            <w:r w:rsidRPr="003F3E36">
              <w:rPr>
                <w:b/>
                <w:bCs/>
                <w:webHidden/>
              </w:rPr>
            </w:r>
            <w:r w:rsidRPr="003F3E36">
              <w:rPr>
                <w:b/>
                <w:bCs/>
                <w:webHidden/>
              </w:rPr>
              <w:fldChar w:fldCharType="separate"/>
            </w:r>
            <w:r w:rsidR="00523945" w:rsidRPr="003F3E36">
              <w:rPr>
                <w:b/>
                <w:bCs/>
                <w:webHidden/>
              </w:rPr>
              <w:t>13</w:t>
            </w:r>
            <w:r w:rsidRPr="003F3E36">
              <w:rPr>
                <w:b/>
                <w:bCs/>
                <w:webHidden/>
              </w:rPr>
              <w:fldChar w:fldCharType="end"/>
            </w:r>
          </w:hyperlink>
        </w:p>
        <w:p w14:paraId="794E1B5D" w14:textId="58D61AA4" w:rsidR="00E41973" w:rsidRDefault="00E41973">
          <w:r>
            <w:rPr>
              <w:b/>
              <w:bCs/>
              <w:noProof/>
            </w:rPr>
            <w:fldChar w:fldCharType="end"/>
          </w:r>
        </w:p>
      </w:sdtContent>
    </w:sdt>
    <w:p w14:paraId="7387D218" w14:textId="77777777" w:rsidR="001C669D" w:rsidRPr="00597AB5" w:rsidRDefault="001C669D" w:rsidP="00010D6B">
      <w:pPr>
        <w:spacing w:before="5200"/>
        <w:rPr>
          <w:rStyle w:val="Strong"/>
          <w:sz w:val="18"/>
          <w:szCs w:val="18"/>
        </w:rPr>
      </w:pPr>
      <w:r w:rsidRPr="00597AB5">
        <w:rPr>
          <w:rStyle w:val="Strong"/>
          <w:sz w:val="18"/>
          <w:szCs w:val="18"/>
        </w:rPr>
        <w:t>Copyright</w:t>
      </w:r>
    </w:p>
    <w:p w14:paraId="3C93E7B8" w14:textId="1B18B1DE" w:rsidR="001C669D" w:rsidRPr="00597AB5" w:rsidRDefault="001C669D" w:rsidP="001C669D">
      <w:pPr>
        <w:rPr>
          <w:rFonts w:ascii="Arial" w:hAnsi="Arial" w:cs="Arial"/>
          <w:sz w:val="18"/>
          <w:szCs w:val="18"/>
        </w:rPr>
      </w:pPr>
      <w:r w:rsidRPr="00597AB5">
        <w:rPr>
          <w:rFonts w:ascii="Arial" w:hAnsi="Arial" w:cs="Arial"/>
          <w:sz w:val="18"/>
          <w:szCs w:val="18"/>
        </w:rPr>
        <w:t>© Commonwealth of Australia 202</w:t>
      </w:r>
      <w:r w:rsidR="00ED4FCA" w:rsidRPr="00597AB5">
        <w:rPr>
          <w:rFonts w:ascii="Arial" w:hAnsi="Arial" w:cs="Arial"/>
          <w:sz w:val="18"/>
          <w:szCs w:val="18"/>
        </w:rPr>
        <w:t>5</w:t>
      </w:r>
    </w:p>
    <w:p w14:paraId="112D4135" w14:textId="77777777" w:rsidR="001C669D" w:rsidRPr="00DB0160" w:rsidRDefault="001C669D" w:rsidP="001C669D">
      <w:pPr>
        <w:rPr>
          <w:sz w:val="18"/>
          <w:szCs w:val="18"/>
        </w:rPr>
      </w:pPr>
      <w:r>
        <w:rPr>
          <w:noProof/>
        </w:rPr>
        <w:drawing>
          <wp:inline distT="0" distB="0" distL="0" distR="0" wp14:anchorId="5583EADF" wp14:editId="1E7578E3">
            <wp:extent cx="963929" cy="339089"/>
            <wp:effectExtent l="0" t="0" r="8255" b="4445"/>
            <wp:docPr id="1395228021" name="Image 20" descr="Copyrigh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5228021" name="Image 20" descr="Copyright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3929" cy="339089"/>
                    </a:xfrm>
                    <a:prstGeom prst="rect">
                      <a:avLst/>
                    </a:prstGeom>
                  </pic:spPr>
                </pic:pic>
              </a:graphicData>
            </a:graphic>
          </wp:inline>
        </w:drawing>
      </w:r>
    </w:p>
    <w:p w14:paraId="1242391D" w14:textId="77777777" w:rsidR="0000274B" w:rsidRPr="001C46AB" w:rsidRDefault="0000274B" w:rsidP="0000274B">
      <w:pPr>
        <w:rPr>
          <w:rFonts w:ascii="Arial" w:hAnsi="Arial" w:cs="Arial"/>
          <w:sz w:val="18"/>
          <w:szCs w:val="18"/>
        </w:rPr>
      </w:pPr>
      <w:proofErr w:type="gramStart"/>
      <w:r w:rsidRPr="001C46AB">
        <w:rPr>
          <w:rFonts w:ascii="Arial" w:hAnsi="Arial" w:cs="Arial"/>
          <w:sz w:val="18"/>
          <w:szCs w:val="18"/>
        </w:rPr>
        <w:t>With the exception of</w:t>
      </w:r>
      <w:proofErr w:type="gramEnd"/>
      <w:r w:rsidRPr="001C46AB">
        <w:rPr>
          <w:rFonts w:ascii="Arial" w:hAnsi="Arial" w:cs="Arial"/>
          <w:sz w:val="18"/>
          <w:szCs w:val="18"/>
        </w:rPr>
        <w:t xml:space="preserve"> the Commonwealth Coat of Arms, the Department’s logo, any material protected by a </w:t>
      </w:r>
      <w:proofErr w:type="gramStart"/>
      <w:r w:rsidRPr="001C46AB">
        <w:rPr>
          <w:rFonts w:ascii="Arial" w:hAnsi="Arial" w:cs="Arial"/>
          <w:sz w:val="18"/>
          <w:szCs w:val="18"/>
        </w:rPr>
        <w:t>trade mark</w:t>
      </w:r>
      <w:proofErr w:type="gramEnd"/>
      <w:r w:rsidRPr="001C46AB">
        <w:rPr>
          <w:rFonts w:ascii="Arial" w:hAnsi="Arial" w:cs="Arial"/>
          <w:sz w:val="18"/>
          <w:szCs w:val="18"/>
        </w:rPr>
        <w:t xml:space="preserve"> and where otherwise noted all material presented in this document is provided under a </w:t>
      </w:r>
      <w:r w:rsidRPr="001C46AB">
        <w:rPr>
          <w:rFonts w:ascii="Arial" w:hAnsi="Arial" w:cs="Arial"/>
          <w:sz w:val="18"/>
          <w:szCs w:val="18"/>
          <w:u w:val="single"/>
        </w:rPr>
        <w:t>Creative Commons Attribution 4.0 International licence</w:t>
      </w:r>
      <w:r w:rsidRPr="001C46AB">
        <w:rPr>
          <w:rFonts w:ascii="Arial" w:hAnsi="Arial" w:cs="Arial"/>
          <w:sz w:val="18"/>
          <w:szCs w:val="18"/>
        </w:rPr>
        <w:t>.</w:t>
      </w:r>
    </w:p>
    <w:p w14:paraId="1195D385" w14:textId="77777777" w:rsidR="0000274B" w:rsidRPr="001C46AB" w:rsidRDefault="0000274B" w:rsidP="0000274B">
      <w:pPr>
        <w:rPr>
          <w:rFonts w:ascii="Arial" w:hAnsi="Arial" w:cs="Arial"/>
          <w:sz w:val="18"/>
          <w:szCs w:val="18"/>
        </w:rPr>
      </w:pPr>
      <w:r w:rsidRPr="001C46AB">
        <w:rPr>
          <w:rFonts w:ascii="Arial" w:hAnsi="Arial" w:cs="Arial"/>
          <w:sz w:val="18"/>
          <w:szCs w:val="18"/>
        </w:rPr>
        <w:t xml:space="preserve">The details of the relevant licence conditions are available on the Creative Commons website (accessible using the links provided) as is the full legal code for the </w:t>
      </w:r>
      <w:r w:rsidRPr="001C46AB">
        <w:rPr>
          <w:rFonts w:ascii="Arial" w:hAnsi="Arial" w:cs="Arial"/>
          <w:sz w:val="18"/>
          <w:szCs w:val="18"/>
          <w:u w:val="single"/>
        </w:rPr>
        <w:t>CC BY 4.0 International</w:t>
      </w:r>
      <w:r w:rsidRPr="001C46AB">
        <w:rPr>
          <w:rFonts w:ascii="Arial" w:hAnsi="Arial" w:cs="Arial"/>
          <w:sz w:val="18"/>
          <w:szCs w:val="18"/>
        </w:rPr>
        <w:t>.</w:t>
      </w:r>
    </w:p>
    <w:p w14:paraId="47C8B67C" w14:textId="6A68C7A8" w:rsidR="00AC7148" w:rsidRPr="001C46AB" w:rsidRDefault="0000274B" w:rsidP="0000274B">
      <w:pPr>
        <w:rPr>
          <w:sz w:val="18"/>
          <w:szCs w:val="18"/>
        </w:rPr>
      </w:pPr>
      <w:r w:rsidRPr="001C46AB">
        <w:rPr>
          <w:rFonts w:ascii="Arial" w:hAnsi="Arial" w:cs="Arial"/>
          <w:sz w:val="18"/>
          <w:szCs w:val="18"/>
        </w:rP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1C46AB">
          <w:rPr>
            <w:rStyle w:val="Hyperlink"/>
            <w:rFonts w:ascii="Arial" w:hAnsi="Arial" w:cs="Arial"/>
            <w:sz w:val="18"/>
            <w:szCs w:val="18"/>
          </w:rPr>
          <w:t>tga.copyright@tga.gov.au</w:t>
        </w:r>
      </w:hyperlink>
      <w:r w:rsidRPr="001C46AB">
        <w:rPr>
          <w:rFonts w:ascii="Arial" w:hAnsi="Arial" w:cs="Arial"/>
          <w:sz w:val="18"/>
          <w:szCs w:val="18"/>
        </w:rPr>
        <w:t>.</w:t>
      </w:r>
      <w:r w:rsidR="00AC7148" w:rsidRPr="001C46AB">
        <w:rPr>
          <w:sz w:val="18"/>
          <w:szCs w:val="18"/>
        </w:rPr>
        <w:br w:type="page"/>
      </w:r>
    </w:p>
    <w:p w14:paraId="75F151BC" w14:textId="342DEE93" w:rsidR="00B20A9A" w:rsidRPr="003F513C" w:rsidRDefault="004D51E7" w:rsidP="003F513C">
      <w:pPr>
        <w:rPr>
          <w:sz w:val="18"/>
          <w:szCs w:val="18"/>
        </w:rPr>
      </w:pPr>
      <w:r>
        <w:rPr>
          <w:noProof/>
          <w:color w:val="FFFFFF" w:themeColor="background1"/>
          <w:sz w:val="48"/>
          <w:szCs w:val="48"/>
        </w:rPr>
        <w:lastRenderedPageBreak/>
        <mc:AlternateContent>
          <mc:Choice Requires="wps">
            <w:drawing>
              <wp:anchor distT="0" distB="0" distL="114300" distR="114300" simplePos="0" relativeHeight="251714560" behindDoc="0" locked="0" layoutInCell="1" allowOverlap="1" wp14:anchorId="38F3D236" wp14:editId="25A92A9F">
                <wp:simplePos x="0" y="0"/>
                <wp:positionH relativeFrom="column">
                  <wp:posOffset>2294799</wp:posOffset>
                </wp:positionH>
                <wp:positionV relativeFrom="paragraph">
                  <wp:posOffset>-241935</wp:posOffset>
                </wp:positionV>
                <wp:extent cx="3230880" cy="1619250"/>
                <wp:effectExtent l="0" t="0" r="0" b="0"/>
                <wp:wrapNone/>
                <wp:docPr id="122415936" name="Text Box 1"/>
                <wp:cNvGraphicFramePr/>
                <a:graphic xmlns:a="http://schemas.openxmlformats.org/drawingml/2006/main">
                  <a:graphicData uri="http://schemas.microsoft.com/office/word/2010/wordprocessingShape">
                    <wps:wsp>
                      <wps:cNvSpPr txBox="1"/>
                      <wps:spPr>
                        <a:xfrm>
                          <a:off x="0" y="0"/>
                          <a:ext cx="3230880" cy="1619250"/>
                        </a:xfrm>
                        <a:prstGeom prst="rect">
                          <a:avLst/>
                        </a:prstGeom>
                        <a:noFill/>
                        <a:ln w="6350">
                          <a:noFill/>
                        </a:ln>
                      </wps:spPr>
                      <wps:txbx>
                        <w:txbxContent>
                          <w:p w14:paraId="25442E85" w14:textId="77777777" w:rsidR="00AC7148" w:rsidRPr="004874EF" w:rsidRDefault="00AC7148" w:rsidP="00280ACE">
                            <w:pPr>
                              <w:pStyle w:val="Heading1"/>
                              <w:rPr>
                                <w:color w:val="FFFFFF" w:themeColor="background1"/>
                              </w:rPr>
                            </w:pPr>
                            <w:bookmarkStart w:id="2" w:name="_Toc203400897"/>
                            <w:r w:rsidRPr="004874EF">
                              <w:rPr>
                                <w:color w:val="FFFFFF" w:themeColor="background1"/>
                              </w:rPr>
                              <w:t>Message from the Deputy Secretary</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F3D236" id="_x0000_t202" coordsize="21600,21600" o:spt="202" path="m,l,21600r21600,l21600,xe">
                <v:stroke joinstyle="miter"/>
                <v:path gradientshapeok="t" o:connecttype="rect"/>
              </v:shapetype>
              <v:shape id="Text Box 1" o:spid="_x0000_s1026" type="#_x0000_t202" style="position:absolute;margin-left:180.7pt;margin-top:-19.05pt;width:254.4pt;height:127.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" filled="f" stroked="f" strokeweight=".5pt">
                <v:textbox>
                  <w:txbxContent>
                    <w:p w14:paraId="25442E85" w14:textId="77777777" w:rsidR="00AC7148" w:rsidRPr="004874EF" w:rsidRDefault="00AC7148" w:rsidP="00280ACE">
                      <w:pPr>
                        <w:pStyle w:val="Heading1"/>
                        <w:rPr>
                          <w:color w:val="FFFFFF" w:themeColor="background1"/>
                        </w:rPr>
                      </w:pPr>
                      <w:bookmarkStart w:id="3" w:name="_Toc203400897"/>
                      <w:r w:rsidRPr="004874EF">
                        <w:rPr>
                          <w:color w:val="FFFFFF" w:themeColor="background1"/>
                        </w:rPr>
                        <w:t>Message from the Deputy Secretary</w:t>
                      </w:r>
                      <w:bookmarkEnd w:id="3"/>
                    </w:p>
                  </w:txbxContent>
                </v:textbox>
              </v:shape>
            </w:pict>
          </mc:Fallback>
        </mc:AlternateContent>
      </w:r>
      <w:r w:rsidR="00CE6530" w:rsidRPr="00221EAE">
        <w:rPr>
          <w:noProof/>
          <w:color w:val="FFFFFF" w:themeColor="background1"/>
          <w:sz w:val="48"/>
          <w:szCs w:val="48"/>
        </w:rPr>
        <w:drawing>
          <wp:anchor distT="0" distB="0" distL="114300" distR="114300" simplePos="0" relativeHeight="251666432" behindDoc="1" locked="0" layoutInCell="1" allowOverlap="1" wp14:anchorId="0CCA59AE" wp14:editId="3E34D2C8">
            <wp:simplePos x="0" y="0"/>
            <wp:positionH relativeFrom="column">
              <wp:posOffset>-781073</wp:posOffset>
            </wp:positionH>
            <wp:positionV relativeFrom="paragraph">
              <wp:posOffset>-780959</wp:posOffset>
            </wp:positionV>
            <wp:extent cx="7598003" cy="2377440"/>
            <wp:effectExtent l="0" t="0" r="3175" b="3810"/>
            <wp:wrapNone/>
            <wp:docPr id="925772111" name="Picture 7" descr="Image of Professor Anthony Lawler in a s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72111" name="Picture 7" descr="Image of Professor Anthony Lawler in a sui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98003" cy="2377440"/>
                    </a:xfrm>
                    <a:prstGeom prst="rect">
                      <a:avLst/>
                    </a:prstGeom>
                  </pic:spPr>
                </pic:pic>
              </a:graphicData>
            </a:graphic>
            <wp14:sizeRelH relativeFrom="page">
              <wp14:pctWidth>0</wp14:pctWidth>
            </wp14:sizeRelH>
            <wp14:sizeRelV relativeFrom="page">
              <wp14:pctHeight>0</wp14:pctHeight>
            </wp14:sizeRelV>
          </wp:anchor>
        </w:drawing>
      </w:r>
    </w:p>
    <w:p w14:paraId="3C880DE5" w14:textId="7299067D" w:rsidR="00AB3BCA" w:rsidRPr="00105C6C" w:rsidRDefault="00AB3BCA" w:rsidP="00105C6C">
      <w:pPr>
        <w:rPr>
          <w:sz w:val="18"/>
          <w:szCs w:val="18"/>
        </w:rPr>
      </w:pPr>
    </w:p>
    <w:p w14:paraId="2FDD2296" w14:textId="161AF530" w:rsidR="007E57BF" w:rsidRPr="00221EAE" w:rsidRDefault="007E57BF" w:rsidP="007E57BF">
      <w:pPr>
        <w:spacing w:after="2200"/>
        <w:ind w:left="3686"/>
        <w:rPr>
          <w:color w:val="FFFFFF" w:themeColor="background1"/>
          <w:sz w:val="48"/>
          <w:szCs w:val="48"/>
          <w:lang w:val="en-US"/>
        </w:rPr>
      </w:pPr>
    </w:p>
    <w:p w14:paraId="167A7A50" w14:textId="77777777" w:rsidR="00E116FD" w:rsidRPr="002F777B" w:rsidRDefault="00E116FD" w:rsidP="00E116FD">
      <w:pPr>
        <w:rPr>
          <w:rFonts w:ascii="Arial" w:hAnsi="Arial" w:cs="Arial"/>
          <w:lang w:val="en-US"/>
        </w:rPr>
      </w:pPr>
      <w:r w:rsidRPr="002F777B">
        <w:rPr>
          <w:rFonts w:ascii="Arial" w:hAnsi="Arial" w:cs="Arial"/>
          <w:lang w:val="en-US"/>
        </w:rPr>
        <w:t xml:space="preserve">It is my pleasure to present the 2025-26 Business Plan for the Therapeutic Goods Administration (TGA), which lays out our strategic direction and key priorities for the coming 12 months. Our mission is to help protect and improve the health of Australians by regulating therapeutic goods to ensure their safety, efficacy, performance and quality. We aim to provide a rigorous but adaptable assessment framework that balances an appropriate focus on safety, with the need to facilitate Australians’ access to new and innovative treatments as soon as possible. </w:t>
      </w:r>
    </w:p>
    <w:p w14:paraId="73B3029C" w14:textId="77777777" w:rsidR="00E116FD" w:rsidRPr="002F777B" w:rsidRDefault="00E116FD" w:rsidP="00E116FD">
      <w:pPr>
        <w:rPr>
          <w:rFonts w:ascii="Arial" w:hAnsi="Arial" w:cs="Arial"/>
          <w:lang w:val="en-US"/>
        </w:rPr>
      </w:pPr>
      <w:r w:rsidRPr="002F777B">
        <w:rPr>
          <w:rFonts w:ascii="Arial" w:hAnsi="Arial" w:cs="Arial"/>
          <w:lang w:val="en-US"/>
        </w:rPr>
        <w:t xml:space="preserve">In 2025-26 we are implementing measures introduced by the Australian Government to bolster our ability to identify and act when there is a risk of patient harm or injury. This includes the establishment of the Australian Unique Device Identification (UDI) system for medical devices. The UDI system will improve the tracking of medical devices so that healthcare facilities, health professionals and patients can be notified earlier after a safety issue has been identified. The UDI system will be implemented over the next 5 years, starting with implanted medical devices from 2026. </w:t>
      </w:r>
    </w:p>
    <w:p w14:paraId="357819AD" w14:textId="77777777" w:rsidR="00E116FD" w:rsidRPr="002F777B" w:rsidRDefault="00E116FD" w:rsidP="00E116FD">
      <w:pPr>
        <w:rPr>
          <w:rFonts w:ascii="Arial" w:hAnsi="Arial" w:cs="Arial"/>
          <w:lang w:val="en-US"/>
        </w:rPr>
      </w:pPr>
      <w:r w:rsidRPr="002F777B">
        <w:rPr>
          <w:rFonts w:ascii="Arial" w:hAnsi="Arial" w:cs="Arial"/>
          <w:lang w:val="en-US"/>
        </w:rPr>
        <w:t>Artificial intelligence (AI) presents increasing opportunities and challenges for therapeutic goods and their regulation. We are working closely with other government agencies to consider and respond to the impact of AI on our regulatory framework to ensure we can evolve our processes as required. We will also carefully consider how AI might support our administrative, evaluation and decision-making processes.</w:t>
      </w:r>
    </w:p>
    <w:p w14:paraId="5B7DD731" w14:textId="77777777" w:rsidR="00E116FD" w:rsidRPr="002F777B" w:rsidRDefault="00E116FD" w:rsidP="00E116FD">
      <w:pPr>
        <w:rPr>
          <w:rFonts w:ascii="Arial" w:hAnsi="Arial" w:cs="Arial"/>
          <w:lang w:val="en-US"/>
        </w:rPr>
      </w:pPr>
      <w:r w:rsidRPr="002F777B">
        <w:rPr>
          <w:rFonts w:ascii="Arial" w:hAnsi="Arial" w:cs="Arial"/>
          <w:lang w:val="en-US"/>
        </w:rPr>
        <w:t xml:space="preserve">Our Academic Outreach Program and its accompanying Horizon Scanning Framework are helping to improve our responsiveness to emerging technologies. Through formal partnerships with academic institutions, including universities and National Health and Medical Research Council-accredited Research Translation </w:t>
      </w:r>
      <w:proofErr w:type="spellStart"/>
      <w:r w:rsidRPr="002F777B">
        <w:rPr>
          <w:rFonts w:ascii="Arial" w:hAnsi="Arial" w:cs="Arial"/>
          <w:lang w:val="en-US"/>
        </w:rPr>
        <w:t>Centres</w:t>
      </w:r>
      <w:proofErr w:type="spellEnd"/>
      <w:r w:rsidRPr="002F777B">
        <w:rPr>
          <w:rFonts w:ascii="Arial" w:hAnsi="Arial" w:cs="Arial"/>
          <w:lang w:val="en-US"/>
        </w:rPr>
        <w:t xml:space="preserve">, we are sharing expertise on emerging medical technologies and innovations while raising </w:t>
      </w:r>
      <w:proofErr w:type="gramStart"/>
      <w:r w:rsidRPr="002F777B">
        <w:rPr>
          <w:rFonts w:ascii="Arial" w:hAnsi="Arial" w:cs="Arial"/>
          <w:lang w:val="en-US"/>
        </w:rPr>
        <w:t>the awareness</w:t>
      </w:r>
      <w:proofErr w:type="gramEnd"/>
      <w:r w:rsidRPr="002F777B">
        <w:rPr>
          <w:rFonts w:ascii="Arial" w:hAnsi="Arial" w:cs="Arial"/>
          <w:lang w:val="en-US"/>
        </w:rPr>
        <w:t xml:space="preserve"> of our regulatory role. </w:t>
      </w:r>
      <w:proofErr w:type="gramStart"/>
      <w:r w:rsidRPr="002F777B">
        <w:rPr>
          <w:rFonts w:ascii="Arial" w:hAnsi="Arial" w:cs="Arial"/>
          <w:lang w:val="en-US"/>
        </w:rPr>
        <w:t>A goal</w:t>
      </w:r>
      <w:proofErr w:type="gramEnd"/>
      <w:r w:rsidRPr="002F777B">
        <w:rPr>
          <w:rFonts w:ascii="Arial" w:hAnsi="Arial" w:cs="Arial"/>
          <w:lang w:val="en-US"/>
        </w:rPr>
        <w:t xml:space="preserve"> of this work is to ensure our regulatory processes remain flexible and responsive, enabling earlier access to emerging therapies. This work aligns with the outcomes of the health technology assessment (HTA) review.</w:t>
      </w:r>
    </w:p>
    <w:p w14:paraId="05B5485F" w14:textId="77777777" w:rsidR="00E116FD" w:rsidRPr="002F777B" w:rsidRDefault="00E116FD" w:rsidP="00E116FD">
      <w:pPr>
        <w:rPr>
          <w:rFonts w:ascii="Arial" w:hAnsi="Arial" w:cs="Arial"/>
          <w:lang w:val="en-US"/>
        </w:rPr>
      </w:pPr>
      <w:r w:rsidRPr="002F777B">
        <w:rPr>
          <w:rFonts w:ascii="Arial" w:hAnsi="Arial" w:cs="Arial"/>
          <w:lang w:val="en-US"/>
        </w:rPr>
        <w:t xml:space="preserve">While we actively monitor emerging medical technologies and innovations with the potential to improve the lives of Australians, we are equally focused on responding to products that may present a risk to the wellbeing of the public. Following the introduction of Australia’s historic vaping reforms in 2024, early evidence suggests that vaping rates among young Australians are already declining. Many of these vaping products have targeted young children and adolescents who have never used nicotine products, and their use can lead to serious health problems now and in the future. We remain focused on regulating the lawful supply chain for therapeutic vaping goods, while maintaining strong compliance and enforcement activities to deter and disrupt illegal activities, including unlawful import, advertising and supply. </w:t>
      </w:r>
    </w:p>
    <w:p w14:paraId="16A628A0" w14:textId="77777777" w:rsidR="00E116FD" w:rsidRPr="002F777B" w:rsidRDefault="00E116FD" w:rsidP="00E116FD">
      <w:pPr>
        <w:rPr>
          <w:rFonts w:ascii="Arial" w:hAnsi="Arial" w:cs="Arial"/>
          <w:lang w:val="en-US"/>
        </w:rPr>
      </w:pPr>
      <w:r w:rsidRPr="002F777B">
        <w:rPr>
          <w:rFonts w:ascii="Arial" w:hAnsi="Arial" w:cs="Arial"/>
          <w:lang w:val="en-US"/>
        </w:rPr>
        <w:t xml:space="preserve">It is an unfortunate reality that medicine shortages regularly affect health professionals, health services and Australian consumers. We are further improving how we monitor and mitigate the impact of medicine shortages and discontinuations through a range of initiatives including strengthened legislative frameworks, improved data collection and reporting, and close </w:t>
      </w:r>
      <w:r w:rsidRPr="002F777B">
        <w:rPr>
          <w:rFonts w:ascii="Arial" w:hAnsi="Arial" w:cs="Arial"/>
          <w:lang w:val="en-US"/>
        </w:rPr>
        <w:lastRenderedPageBreak/>
        <w:t xml:space="preserve">collaboration with therapeutic goods sponsors to better forecast demand and potential shortages. </w:t>
      </w:r>
    </w:p>
    <w:p w14:paraId="7F7139DE" w14:textId="77777777" w:rsidR="00E116FD" w:rsidRPr="002F777B" w:rsidRDefault="00E116FD" w:rsidP="00E116FD">
      <w:pPr>
        <w:rPr>
          <w:rFonts w:ascii="Arial" w:hAnsi="Arial" w:cs="Arial"/>
          <w:lang w:val="en-US"/>
        </w:rPr>
      </w:pPr>
      <w:r w:rsidRPr="002F777B">
        <w:rPr>
          <w:rFonts w:ascii="Arial" w:hAnsi="Arial" w:cs="Arial"/>
          <w:lang w:val="en-US"/>
        </w:rPr>
        <w:t xml:space="preserve">As a respected regulatory authority both regionally and globally, the TGA continues to play a vital role in advancing international regulatory </w:t>
      </w:r>
      <w:proofErr w:type="spellStart"/>
      <w:r w:rsidRPr="002F777B">
        <w:rPr>
          <w:rFonts w:ascii="Arial" w:hAnsi="Arial" w:cs="Arial"/>
          <w:lang w:val="en-US"/>
        </w:rPr>
        <w:t>harmonisation</w:t>
      </w:r>
      <w:proofErr w:type="spellEnd"/>
      <w:r w:rsidRPr="002F777B">
        <w:rPr>
          <w:rFonts w:ascii="Arial" w:hAnsi="Arial" w:cs="Arial"/>
          <w:lang w:val="en-US"/>
        </w:rPr>
        <w:t xml:space="preserve"> and collaboration. We will continue to collaborate and cooperate with like-minded regulatory bodies for efficient and evidence-based regulation, including supporting capacity-building with our neighbors in the Indo-Pacific region. </w:t>
      </w:r>
    </w:p>
    <w:p w14:paraId="35C5FF3F" w14:textId="77777777" w:rsidR="00E116FD" w:rsidRPr="002F777B" w:rsidRDefault="00E116FD" w:rsidP="00E116FD">
      <w:pPr>
        <w:rPr>
          <w:rFonts w:ascii="Arial" w:hAnsi="Arial" w:cs="Arial"/>
          <w:lang w:val="en-US"/>
        </w:rPr>
      </w:pPr>
      <w:r w:rsidRPr="002F777B">
        <w:rPr>
          <w:rFonts w:ascii="Arial" w:hAnsi="Arial" w:cs="Arial"/>
          <w:lang w:val="en-US"/>
        </w:rPr>
        <w:t xml:space="preserve">As always, our work will be underpinned by a commitment to meaningful engagement with our stakeholders. Over the next 12 months, the TGA will focus on improving the ability of stakeholders to conduct business with us through the Health Business Service portal. This will enable more services to be delivered digitally, leading to greater efficiencies and transparency for both the TGA and our stakeholders. We are also undertaking a major project to review and improve the structure and navigation of our website, TGA.gov.au. This will make it easier for applicants, sponsors and everyday Australians to find the information they need about the regulation of therapeutic goods in Australia. </w:t>
      </w:r>
    </w:p>
    <w:p w14:paraId="10A8655A" w14:textId="77777777" w:rsidR="00E116FD" w:rsidRPr="002F777B" w:rsidRDefault="00E116FD" w:rsidP="00E116FD">
      <w:pPr>
        <w:rPr>
          <w:rFonts w:ascii="Arial" w:hAnsi="Arial" w:cs="Arial"/>
          <w:lang w:val="en-US"/>
        </w:rPr>
      </w:pPr>
      <w:r w:rsidRPr="002F777B">
        <w:rPr>
          <w:rFonts w:ascii="Arial" w:hAnsi="Arial" w:cs="Arial"/>
          <w:lang w:val="en-US"/>
        </w:rPr>
        <w:t>These efforts will strengthen our preparedness for future challenges and reinforce our commitment to continuous improvement. On behalf of the TGA, I thank our stakeholders and partners for your continued dedication and collaboration as we move forward together to build a robust and adaptive regulatory framework for therapeutic goods.</w:t>
      </w:r>
    </w:p>
    <w:p w14:paraId="1A295311" w14:textId="77777777" w:rsidR="001C78CF" w:rsidRPr="002F777B" w:rsidRDefault="0063118A" w:rsidP="00E116FD">
      <w:pPr>
        <w:rPr>
          <w:rStyle w:val="Strong"/>
        </w:rPr>
      </w:pPr>
      <w:r w:rsidRPr="002F777B">
        <w:rPr>
          <w:rStyle w:val="Strong"/>
        </w:rPr>
        <w:t>Professor Anthony Lawler</w:t>
      </w:r>
      <w:r w:rsidR="00622321" w:rsidRPr="002F777B">
        <w:rPr>
          <w:rStyle w:val="Strong"/>
        </w:rPr>
        <w:t xml:space="preserve"> </w:t>
      </w:r>
    </w:p>
    <w:p w14:paraId="4BE51C52" w14:textId="222E9CF8" w:rsidR="0063118A" w:rsidRPr="002F777B" w:rsidRDefault="001E6414" w:rsidP="00E116FD">
      <w:pPr>
        <w:rPr>
          <w:rFonts w:ascii="Arial" w:hAnsi="Arial" w:cs="Arial"/>
          <w:lang w:val="en-US"/>
        </w:rPr>
      </w:pPr>
      <w:r w:rsidRPr="002F777B">
        <w:rPr>
          <w:rFonts w:ascii="Arial" w:hAnsi="Arial" w:cs="Arial"/>
        </w:rPr>
        <w:t>F</w:t>
      </w:r>
      <w:r w:rsidR="001C78CF" w:rsidRPr="002F777B">
        <w:rPr>
          <w:rFonts w:ascii="Arial" w:hAnsi="Arial" w:cs="Arial"/>
        </w:rPr>
        <w:t xml:space="preserve">ACEM, FRACMA, MBBS, MBA (Health </w:t>
      </w:r>
      <w:proofErr w:type="spellStart"/>
      <w:r w:rsidR="001C78CF" w:rsidRPr="002F777B">
        <w:rPr>
          <w:rFonts w:ascii="Arial" w:hAnsi="Arial" w:cs="Arial"/>
        </w:rPr>
        <w:t>Mgmt</w:t>
      </w:r>
      <w:proofErr w:type="spellEnd"/>
      <w:r w:rsidR="001C78CF" w:rsidRPr="002F777B">
        <w:rPr>
          <w:rFonts w:ascii="Arial" w:hAnsi="Arial" w:cs="Arial"/>
        </w:rPr>
        <w:t>), FIFEM, GAICD, BMedSci</w:t>
      </w:r>
      <w:r w:rsidR="0063118A" w:rsidRPr="002F777B">
        <w:rPr>
          <w:rFonts w:ascii="Arial" w:hAnsi="Arial" w:cs="Arial"/>
          <w:lang w:val="en-US"/>
        </w:rPr>
        <w:br w:type="page"/>
      </w:r>
    </w:p>
    <w:p w14:paraId="664980B1" w14:textId="52AC8EAE" w:rsidR="00600807" w:rsidRPr="005623EC" w:rsidRDefault="00600807" w:rsidP="00280ACE">
      <w:pPr>
        <w:pStyle w:val="Heading1"/>
      </w:pPr>
      <w:bookmarkStart w:id="3" w:name="_Toc203400898"/>
      <w:r w:rsidRPr="005623EC">
        <w:lastRenderedPageBreak/>
        <w:drawing>
          <wp:anchor distT="0" distB="0" distL="114300" distR="114300" simplePos="0" relativeHeight="251661312" behindDoc="1" locked="0" layoutInCell="1" allowOverlap="1" wp14:anchorId="6320B519" wp14:editId="1CA8A12D">
            <wp:simplePos x="0" y="0"/>
            <wp:positionH relativeFrom="column">
              <wp:posOffset>-786448</wp:posOffset>
            </wp:positionH>
            <wp:positionV relativeFrom="paragraph">
              <wp:posOffset>-837565</wp:posOffset>
            </wp:positionV>
            <wp:extent cx="7588155" cy="10733225"/>
            <wp:effectExtent l="0" t="0" r="0" b="0"/>
            <wp:wrapNone/>
            <wp:docPr id="128158941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89417" name="Picture 8">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155" cy="10733225"/>
                    </a:xfrm>
                    <a:prstGeom prst="rect">
                      <a:avLst/>
                    </a:prstGeom>
                  </pic:spPr>
                </pic:pic>
              </a:graphicData>
            </a:graphic>
            <wp14:sizeRelH relativeFrom="page">
              <wp14:pctWidth>0</wp14:pctWidth>
            </wp14:sizeRelH>
            <wp14:sizeRelV relativeFrom="page">
              <wp14:pctHeight>0</wp14:pctHeight>
            </wp14:sizeRelV>
          </wp:anchor>
        </w:drawing>
      </w:r>
      <w:r w:rsidR="007E6645" w:rsidRPr="005623EC">
        <w:t>Our Purpose and Strategic Intent</w:t>
      </w:r>
      <w:bookmarkEnd w:id="3"/>
    </w:p>
    <w:p w14:paraId="7226F0C3" w14:textId="77777777" w:rsidR="00171A3C" w:rsidRPr="005623EC" w:rsidRDefault="00171A3C" w:rsidP="00171A3C">
      <w:pPr>
        <w:rPr>
          <w:rFonts w:ascii="Arial" w:hAnsi="Arial" w:cs="Arial"/>
          <w:lang w:val="en-US"/>
        </w:rPr>
      </w:pPr>
      <w:r w:rsidRPr="005623EC">
        <w:rPr>
          <w:rFonts w:ascii="Arial" w:hAnsi="Arial" w:cs="Arial"/>
          <w:lang w:val="en-US"/>
        </w:rPr>
        <w:t xml:space="preserve">The TGA was established under the </w:t>
      </w:r>
      <w:r w:rsidRPr="005623EC">
        <w:rPr>
          <w:rFonts w:ascii="Arial" w:hAnsi="Arial" w:cs="Arial"/>
          <w:i/>
          <w:iCs/>
          <w:lang w:val="en-US"/>
        </w:rPr>
        <w:t>Therapeutic Goods Act 1989</w:t>
      </w:r>
      <w:r w:rsidRPr="005623EC">
        <w:rPr>
          <w:rFonts w:ascii="Arial" w:hAnsi="Arial" w:cs="Arial"/>
          <w:lang w:val="en-US"/>
        </w:rPr>
        <w:t xml:space="preserve"> (the Act) to regulate the safety, quality, performance and efficacy of therapeutic goods in a timely manner. By doing this, we help protect the health, safety and wellbeing of all Australians. Our work makes a critical contribution to the Health Protection, Emergency Response and Regulation program of the Australian Government Department of Health, Disability and Ageing (the department). </w:t>
      </w:r>
    </w:p>
    <w:p w14:paraId="7512BF91" w14:textId="77777777" w:rsidR="00171A3C" w:rsidRPr="005623EC" w:rsidRDefault="00171A3C" w:rsidP="00171A3C">
      <w:pPr>
        <w:rPr>
          <w:rFonts w:ascii="Arial" w:hAnsi="Arial" w:cs="Arial"/>
          <w:lang w:val="en-US"/>
        </w:rPr>
      </w:pPr>
      <w:r w:rsidRPr="005623EC">
        <w:rPr>
          <w:rFonts w:ascii="Arial" w:hAnsi="Arial" w:cs="Arial"/>
          <w:lang w:val="en-US"/>
        </w:rPr>
        <w:t xml:space="preserve">We regulate the manufacture, import, export, supply and advertising of prescription medicines, non-prescription medicines, vaccines, sunscreens and complementary medicines, including vitamins, minerals, and herbal and traditional medicines. We regulate medical devices, blood and blood products, cellular therapies, biologicals, and software used as a medical device, including AI where appropriate. </w:t>
      </w:r>
    </w:p>
    <w:p w14:paraId="2935B89D" w14:textId="65A30678" w:rsidR="00AF1164" w:rsidRPr="005623EC" w:rsidRDefault="00622321" w:rsidP="00171A3C">
      <w:pPr>
        <w:rPr>
          <w:rFonts w:ascii="Arial" w:hAnsi="Arial" w:cs="Arial"/>
          <w:lang w:val="en-US"/>
        </w:rPr>
      </w:pPr>
      <w:r w:rsidRPr="005623EC">
        <w:rPr>
          <w:rFonts w:ascii="Arial" w:hAnsi="Arial" w:cs="Arial"/>
          <w:lang w:val="en-US"/>
        </w:rPr>
        <w:t>Under the Act we:</w:t>
      </w:r>
      <w:r w:rsidRPr="005623EC">
        <w:rPr>
          <w:rFonts w:ascii="Arial" w:hAnsi="Arial" w:cs="Arial"/>
        </w:rPr>
        <w:t> </w:t>
      </w:r>
      <w:r w:rsidRPr="005623EC">
        <w:rPr>
          <w:rFonts w:ascii="Arial" w:hAnsi="Arial" w:cs="Arial"/>
          <w:b/>
          <w:bCs/>
          <w:lang w:val="en-US"/>
        </w:rPr>
        <w:t xml:space="preserve"> </w:t>
      </w:r>
      <w:r w:rsidR="0004174F" w:rsidRPr="005623EC">
        <w:rPr>
          <w:rFonts w:ascii="Arial" w:hAnsi="Arial" w:cs="Arial"/>
          <w:b/>
          <w:bCs/>
          <w:noProof/>
          <w:lang w:val="en-US"/>
        </w:rPr>
        <w:drawing>
          <wp:anchor distT="0" distB="0" distL="360045" distR="360045" simplePos="0" relativeHeight="251685888" behindDoc="1" locked="0" layoutInCell="1" allowOverlap="1" wp14:anchorId="420A2B69" wp14:editId="3047925A">
            <wp:simplePos x="0" y="0"/>
            <wp:positionH relativeFrom="column">
              <wp:posOffset>4398917</wp:posOffset>
            </wp:positionH>
            <wp:positionV relativeFrom="paragraph">
              <wp:posOffset>201839</wp:posOffset>
            </wp:positionV>
            <wp:extent cx="1878965" cy="1878965"/>
            <wp:effectExtent l="0" t="0" r="0" b="0"/>
            <wp:wrapTight wrapText="bothSides">
              <wp:wrapPolygon edited="0">
                <wp:start x="6132" y="2409"/>
                <wp:lineTo x="5256" y="8322"/>
                <wp:lineTo x="5037" y="12483"/>
                <wp:lineTo x="5475" y="13359"/>
                <wp:lineTo x="6789" y="13797"/>
                <wp:lineTo x="6789" y="14892"/>
                <wp:lineTo x="8103" y="16862"/>
                <wp:lineTo x="8103" y="17519"/>
                <wp:lineTo x="10074" y="18614"/>
                <wp:lineTo x="11388" y="19052"/>
                <wp:lineTo x="12702" y="19052"/>
                <wp:lineTo x="13797" y="16862"/>
                <wp:lineTo x="16205" y="13359"/>
                <wp:lineTo x="16643" y="9855"/>
                <wp:lineTo x="16205" y="5037"/>
                <wp:lineTo x="12264" y="3285"/>
                <wp:lineTo x="8322" y="2409"/>
                <wp:lineTo x="6132" y="2409"/>
              </wp:wrapPolygon>
            </wp:wrapTight>
            <wp:docPr id="126897693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976930"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78965" cy="1878965"/>
                    </a:xfrm>
                    <a:prstGeom prst="rect">
                      <a:avLst/>
                    </a:prstGeom>
                  </pic:spPr>
                </pic:pic>
              </a:graphicData>
            </a:graphic>
            <wp14:sizeRelH relativeFrom="margin">
              <wp14:pctWidth>0</wp14:pctWidth>
            </wp14:sizeRelH>
            <wp14:sizeRelV relativeFrom="margin">
              <wp14:pctHeight>0</wp14:pctHeight>
            </wp14:sizeRelV>
          </wp:anchor>
        </w:drawing>
      </w:r>
    </w:p>
    <w:p w14:paraId="0DF06027" w14:textId="77777777" w:rsidR="00C96D40" w:rsidRPr="005623EC" w:rsidRDefault="00D73AA5" w:rsidP="004242D6">
      <w:pPr>
        <w:pStyle w:val="ListParagraph"/>
        <w:numPr>
          <w:ilvl w:val="0"/>
          <w:numId w:val="8"/>
        </w:numPr>
        <w:ind w:left="714" w:hanging="357"/>
        <w:contextualSpacing w:val="0"/>
        <w:rPr>
          <w:rFonts w:ascii="Arial" w:hAnsi="Arial" w:cs="Arial"/>
          <w:szCs w:val="22"/>
          <w:lang w:val="en-US"/>
        </w:rPr>
      </w:pPr>
      <w:r w:rsidRPr="005623EC">
        <w:rPr>
          <w:rFonts w:ascii="Arial" w:hAnsi="Arial" w:cs="Arial"/>
          <w:szCs w:val="22"/>
          <w:lang w:val="en-US"/>
        </w:rPr>
        <w:t>apply scientific and clinical expertise to assess whether the benefits of a therapeutic good outweigh any risks to health and safety</w:t>
      </w:r>
    </w:p>
    <w:p w14:paraId="64C71E1E" w14:textId="77777777" w:rsidR="00C96D40" w:rsidRPr="005623EC" w:rsidRDefault="00D73AA5" w:rsidP="004242D6">
      <w:pPr>
        <w:pStyle w:val="ListParagraph"/>
        <w:numPr>
          <w:ilvl w:val="0"/>
          <w:numId w:val="8"/>
        </w:numPr>
        <w:ind w:left="714" w:hanging="357"/>
        <w:contextualSpacing w:val="0"/>
        <w:rPr>
          <w:rFonts w:ascii="Arial" w:hAnsi="Arial" w:cs="Arial"/>
          <w:szCs w:val="22"/>
          <w:lang w:val="en-US"/>
        </w:rPr>
      </w:pPr>
      <w:r w:rsidRPr="005623EC">
        <w:rPr>
          <w:rFonts w:ascii="Arial" w:hAnsi="Arial" w:cs="Arial"/>
          <w:szCs w:val="22"/>
          <w:lang w:val="en-US"/>
        </w:rPr>
        <w:t>assess the suitability of therapeutic goods for supply, import and export from Australia</w:t>
      </w:r>
    </w:p>
    <w:p w14:paraId="5D8B0167" w14:textId="77777777" w:rsidR="00C96D40" w:rsidRPr="005623EC" w:rsidRDefault="00D73AA5" w:rsidP="004242D6">
      <w:pPr>
        <w:pStyle w:val="ListParagraph"/>
        <w:numPr>
          <w:ilvl w:val="0"/>
          <w:numId w:val="8"/>
        </w:numPr>
        <w:ind w:left="714" w:hanging="357"/>
        <w:contextualSpacing w:val="0"/>
        <w:rPr>
          <w:rFonts w:ascii="Arial" w:hAnsi="Arial" w:cs="Arial"/>
          <w:szCs w:val="22"/>
          <w:lang w:val="en-US"/>
        </w:rPr>
      </w:pPr>
      <w:r w:rsidRPr="005623EC">
        <w:rPr>
          <w:rFonts w:ascii="Arial" w:hAnsi="Arial" w:cs="Arial"/>
          <w:szCs w:val="22"/>
          <w:lang w:val="en-US"/>
        </w:rPr>
        <w:t>regulate manufacturers of therapeutic goods to ensure they meet acceptable standards of manufacturing quality</w:t>
      </w:r>
    </w:p>
    <w:p w14:paraId="045B0FA8" w14:textId="77777777" w:rsidR="00C96D40" w:rsidRPr="005623EC" w:rsidRDefault="00D73AA5" w:rsidP="004242D6">
      <w:pPr>
        <w:pStyle w:val="ListParagraph"/>
        <w:numPr>
          <w:ilvl w:val="0"/>
          <w:numId w:val="8"/>
        </w:numPr>
        <w:ind w:left="714" w:hanging="357"/>
        <w:contextualSpacing w:val="0"/>
        <w:rPr>
          <w:rFonts w:ascii="Arial" w:hAnsi="Arial" w:cs="Arial"/>
          <w:szCs w:val="22"/>
          <w:lang w:val="en-US"/>
        </w:rPr>
      </w:pPr>
      <w:r w:rsidRPr="005623EC">
        <w:rPr>
          <w:rFonts w:ascii="Arial" w:hAnsi="Arial" w:cs="Arial"/>
          <w:szCs w:val="22"/>
          <w:lang w:val="en-US"/>
        </w:rPr>
        <w:t>assess the quality and compliance of therapeutic goods on the market, including through laboratory testing where appropriate, and</w:t>
      </w:r>
    </w:p>
    <w:p w14:paraId="5308A0B7" w14:textId="784B85DB" w:rsidR="00AF1164" w:rsidRPr="005623EC" w:rsidRDefault="00D73AA5" w:rsidP="004242D6">
      <w:pPr>
        <w:pStyle w:val="ListParagraph"/>
        <w:numPr>
          <w:ilvl w:val="0"/>
          <w:numId w:val="8"/>
        </w:numPr>
        <w:ind w:left="714" w:hanging="357"/>
        <w:contextualSpacing w:val="0"/>
        <w:rPr>
          <w:rFonts w:ascii="Arial" w:hAnsi="Arial" w:cs="Arial"/>
          <w:szCs w:val="22"/>
          <w:lang w:val="en-US"/>
        </w:rPr>
      </w:pPr>
      <w:r w:rsidRPr="005623EC">
        <w:rPr>
          <w:rFonts w:ascii="Arial" w:hAnsi="Arial" w:cs="Arial"/>
          <w:szCs w:val="22"/>
          <w:lang w:val="en-US"/>
        </w:rPr>
        <w:t>implement a range of regulatory actions that are proportionate to the potential risk arising from non-compliance or emerging safety concerns</w:t>
      </w:r>
      <w:r w:rsidR="00F71215" w:rsidRPr="005623EC">
        <w:rPr>
          <w:rFonts w:ascii="Arial" w:hAnsi="Arial" w:cs="Arial"/>
          <w:szCs w:val="22"/>
          <w:lang w:val="en-US"/>
        </w:rPr>
        <w:t>.</w:t>
      </w:r>
    </w:p>
    <w:p w14:paraId="57E92253" w14:textId="10A34183" w:rsidR="00AF1164" w:rsidRPr="005623EC" w:rsidRDefault="00C4203B" w:rsidP="00C41AC0">
      <w:pPr>
        <w:rPr>
          <w:rFonts w:ascii="Arial" w:hAnsi="Arial" w:cs="Arial"/>
          <w:lang w:val="en-US"/>
        </w:rPr>
      </w:pPr>
      <w:r w:rsidRPr="005623EC">
        <w:rPr>
          <w:rFonts w:ascii="Arial" w:hAnsi="Arial" w:cs="Arial"/>
          <w:lang w:val="en-US"/>
        </w:rPr>
        <w:t>Our strategic focus is to enhance public health outcomes through best practice regulation,</w:t>
      </w:r>
      <w:r w:rsidR="00E574B9">
        <w:rPr>
          <w:rFonts w:ascii="Arial" w:hAnsi="Arial" w:cs="Arial"/>
          <w:lang w:val="en-US"/>
        </w:rPr>
        <w:t xml:space="preserve"> </w:t>
      </w:r>
      <w:r w:rsidRPr="005623EC">
        <w:rPr>
          <w:rFonts w:ascii="Arial" w:hAnsi="Arial" w:cs="Arial"/>
          <w:lang w:val="en-US"/>
        </w:rPr>
        <w:t>build trust through active stakeholder engagement, and foster innovation to address emerging regulatory challenges. We undertake our regulatory functions in alignment with the Resource Management Guide 128 (RMG 128) which promotes the following 3 principles for regulators:</w:t>
      </w:r>
    </w:p>
    <w:p w14:paraId="1D1405EE" w14:textId="3A29FBD9" w:rsidR="009D5D95" w:rsidRPr="005623EC" w:rsidRDefault="009D5D95" w:rsidP="00D52F0B">
      <w:pPr>
        <w:pStyle w:val="ListParagraph"/>
        <w:numPr>
          <w:ilvl w:val="0"/>
          <w:numId w:val="9"/>
        </w:numPr>
        <w:ind w:left="641" w:hanging="357"/>
        <w:contextualSpacing w:val="0"/>
        <w:rPr>
          <w:rFonts w:ascii="Arial" w:hAnsi="Arial" w:cs="Arial"/>
          <w:b/>
          <w:bCs/>
          <w:szCs w:val="22"/>
          <w:lang w:val="en-US"/>
        </w:rPr>
      </w:pPr>
      <w:r w:rsidRPr="005623EC">
        <w:rPr>
          <w:rFonts w:ascii="Arial" w:hAnsi="Arial" w:cs="Arial"/>
          <w:b/>
          <w:bCs/>
          <w:szCs w:val="22"/>
        </w:rPr>
        <w:t>Continuous improvement and building trust</w:t>
      </w:r>
      <w:r w:rsidR="00051AEC" w:rsidRPr="005623EC">
        <w:rPr>
          <w:rFonts w:ascii="Arial" w:hAnsi="Arial" w:cs="Arial"/>
          <w:b/>
          <w:bCs/>
          <w:szCs w:val="22"/>
        </w:rPr>
        <w:t xml:space="preserve">- </w:t>
      </w:r>
      <w:r w:rsidR="00051AEC" w:rsidRPr="00EB0B66">
        <w:rPr>
          <w:rFonts w:ascii="Arial" w:hAnsi="Arial" w:cs="Arial"/>
          <w:szCs w:val="22"/>
        </w:rPr>
        <w:t>regulators adopt a whole-of-system perspective, continuously improving their performance, capability and culture to build trust and confidence in Australia’s regulatory settings.</w:t>
      </w:r>
    </w:p>
    <w:p w14:paraId="5FDC8F9E" w14:textId="77AF995B" w:rsidR="009D5D95" w:rsidRPr="005623EC" w:rsidRDefault="009D5D95" w:rsidP="00D52F0B">
      <w:pPr>
        <w:pStyle w:val="ListParagraph"/>
        <w:numPr>
          <w:ilvl w:val="0"/>
          <w:numId w:val="9"/>
        </w:numPr>
        <w:ind w:left="641" w:hanging="357"/>
        <w:contextualSpacing w:val="0"/>
        <w:rPr>
          <w:rFonts w:ascii="Arial" w:hAnsi="Arial" w:cs="Arial"/>
          <w:szCs w:val="22"/>
          <w:lang w:val="en-US"/>
        </w:rPr>
      </w:pPr>
      <w:r w:rsidRPr="005623EC">
        <w:rPr>
          <w:rFonts w:ascii="Arial" w:hAnsi="Arial" w:cs="Arial"/>
          <w:b/>
          <w:bCs/>
        </w:rPr>
        <w:t>Risk based and data driven</w:t>
      </w:r>
      <w:r w:rsidR="005C3A1A" w:rsidRPr="00EB0B66">
        <w:rPr>
          <w:rFonts w:ascii="Arial" w:hAnsi="Arial" w:cs="Arial"/>
          <w:b/>
          <w:bCs/>
        </w:rPr>
        <w:t>-</w:t>
      </w:r>
      <w:r w:rsidR="005C3A1A" w:rsidRPr="005623EC">
        <w:rPr>
          <w:rFonts w:ascii="Arial" w:hAnsi="Arial" w:cs="Arial"/>
        </w:rPr>
        <w:t xml:space="preserve"> regulators manage risks proportionately and maintain essential safeguards while minimising regulatory burden, leveraging data and digital technology to support those they regulate to comply and grow.</w:t>
      </w:r>
    </w:p>
    <w:p w14:paraId="63585E28" w14:textId="269B3CFC" w:rsidR="00A40948" w:rsidRPr="005623EC" w:rsidRDefault="009D5D95" w:rsidP="00146B36">
      <w:pPr>
        <w:pStyle w:val="ListParagraph"/>
        <w:numPr>
          <w:ilvl w:val="0"/>
          <w:numId w:val="9"/>
        </w:numPr>
        <w:ind w:left="641" w:hanging="357"/>
        <w:contextualSpacing w:val="0"/>
        <w:rPr>
          <w:rFonts w:ascii="Arial" w:hAnsi="Arial" w:cs="Arial"/>
          <w:szCs w:val="22"/>
          <w:lang w:val="en-US"/>
        </w:rPr>
      </w:pPr>
      <w:r w:rsidRPr="005623EC">
        <w:rPr>
          <w:rFonts w:ascii="Arial" w:hAnsi="Arial" w:cs="Arial"/>
          <w:b/>
          <w:bCs/>
          <w:szCs w:val="22"/>
        </w:rPr>
        <w:t>Collaboration and engagement</w:t>
      </w:r>
      <w:r w:rsidR="005F2ED0" w:rsidRPr="00EB0B66">
        <w:rPr>
          <w:rFonts w:ascii="Arial" w:hAnsi="Arial" w:cs="Arial"/>
          <w:b/>
          <w:bCs/>
          <w:szCs w:val="22"/>
        </w:rPr>
        <w:t>-</w:t>
      </w:r>
      <w:r w:rsidR="005F2ED0" w:rsidRPr="005623EC">
        <w:rPr>
          <w:rFonts w:ascii="Arial" w:hAnsi="Arial" w:cs="Arial"/>
          <w:szCs w:val="22"/>
        </w:rPr>
        <w:t xml:space="preserve"> regulators are transparent and responsive communicators, implementing regulations in a modern and collaborative way. </w:t>
      </w:r>
      <w:r w:rsidR="00A40948" w:rsidRPr="005623EC">
        <w:rPr>
          <w:rFonts w:ascii="Arial" w:hAnsi="Arial" w:cs="Arial"/>
          <w:szCs w:val="22"/>
          <w:lang w:val="en-US"/>
        </w:rPr>
        <w:br w:type="page"/>
      </w:r>
    </w:p>
    <w:p w14:paraId="50211107" w14:textId="5F6707BF" w:rsidR="00A40948" w:rsidRPr="006A2334" w:rsidRDefault="00A40948" w:rsidP="00280ACE">
      <w:pPr>
        <w:pStyle w:val="Heading1"/>
      </w:pPr>
      <w:bookmarkStart w:id="4" w:name="_Toc203400899"/>
      <w:r w:rsidRPr="006A2334">
        <w:rPr>
          <w:sz w:val="22"/>
        </w:rPr>
        <w:lastRenderedPageBreak/>
        <w:drawing>
          <wp:anchor distT="0" distB="0" distL="114300" distR="114300" simplePos="0" relativeHeight="251654140" behindDoc="1" locked="0" layoutInCell="1" allowOverlap="1" wp14:anchorId="6B96C7D7" wp14:editId="362E524C">
            <wp:simplePos x="0" y="0"/>
            <wp:positionH relativeFrom="column">
              <wp:posOffset>-787082</wp:posOffset>
            </wp:positionH>
            <wp:positionV relativeFrom="paragraph">
              <wp:posOffset>-787082</wp:posOffset>
            </wp:positionV>
            <wp:extent cx="7581900" cy="10724377"/>
            <wp:effectExtent l="0" t="0" r="0" b="1270"/>
            <wp:wrapNone/>
            <wp:docPr id="139044180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41808" name="Picture 10">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1900" cy="10724377"/>
                    </a:xfrm>
                    <a:prstGeom prst="rect">
                      <a:avLst/>
                    </a:prstGeom>
                  </pic:spPr>
                </pic:pic>
              </a:graphicData>
            </a:graphic>
            <wp14:sizeRelH relativeFrom="page">
              <wp14:pctWidth>0</wp14:pctWidth>
            </wp14:sizeRelH>
            <wp14:sizeRelV relativeFrom="page">
              <wp14:pctHeight>0</wp14:pctHeight>
            </wp14:sizeRelV>
          </wp:anchor>
        </w:drawing>
      </w:r>
      <w:r w:rsidR="00CD6EF7" w:rsidRPr="006A2334">
        <w:t>Our Strategic Objectives</w:t>
      </w:r>
      <w:bookmarkEnd w:id="4"/>
    </w:p>
    <w:p w14:paraId="1F9713FC" w14:textId="4E1B9CCA" w:rsidR="00A40948" w:rsidRPr="006A2334" w:rsidRDefault="00892C33" w:rsidP="00A40948">
      <w:pPr>
        <w:spacing w:after="600"/>
        <w:rPr>
          <w:rFonts w:ascii="Arial" w:hAnsi="Arial" w:cs="Arial"/>
          <w:szCs w:val="22"/>
        </w:rPr>
      </w:pPr>
      <w:r w:rsidRPr="00EB0B66">
        <w:rPr>
          <w:rStyle w:val="Strong"/>
          <w:b w:val="0"/>
          <w:bCs w:val="0"/>
          <w:noProof/>
        </w:rPr>
        <mc:AlternateContent>
          <mc:Choice Requires="wps">
            <w:drawing>
              <wp:anchor distT="0" distB="0" distL="114300" distR="114300" simplePos="0" relativeHeight="251706368" behindDoc="1" locked="0" layoutInCell="1" allowOverlap="1" wp14:anchorId="07823640" wp14:editId="0C112B0A">
                <wp:simplePos x="0" y="0"/>
                <wp:positionH relativeFrom="column">
                  <wp:posOffset>-784225</wp:posOffset>
                </wp:positionH>
                <wp:positionV relativeFrom="paragraph">
                  <wp:posOffset>541973</wp:posOffset>
                </wp:positionV>
                <wp:extent cx="7543800" cy="524510"/>
                <wp:effectExtent l="0" t="0" r="0" b="8890"/>
                <wp:wrapNone/>
                <wp:docPr id="1405060533"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524510"/>
                        </a:xfrm>
                        <a:prstGeom prst="rect">
                          <a:avLst/>
                        </a:prstGeom>
                        <a:solidFill>
                          <a:srgbClr val="FDB71C">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5CAF5" id="Rectangle 4" o:spid="_x0000_s1026" alt="&quot;&quot;" style="position:absolute;margin-left:-61.75pt;margin-top:42.7pt;width:594pt;height:41.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" fillcolor="#fdb71c" stroked="f" strokeweight="1pt">
                <v:fill opacity="19532f"/>
              </v:rect>
            </w:pict>
          </mc:Fallback>
        </mc:AlternateContent>
      </w:r>
      <w:r w:rsidRPr="00EB0B66">
        <w:rPr>
          <w:rStyle w:val="Strong"/>
          <w:b w:val="0"/>
          <w:bCs w:val="0"/>
          <w:noProof/>
        </w:rPr>
        <mc:AlternateContent>
          <mc:Choice Requires="wps">
            <w:drawing>
              <wp:anchor distT="0" distB="0" distL="114300" distR="114300" simplePos="0" relativeHeight="251709440" behindDoc="1" locked="0" layoutInCell="1" allowOverlap="1" wp14:anchorId="1C29DAFD" wp14:editId="79C32408">
                <wp:simplePos x="0" y="0"/>
                <wp:positionH relativeFrom="column">
                  <wp:posOffset>-783590</wp:posOffset>
                </wp:positionH>
                <wp:positionV relativeFrom="paragraph">
                  <wp:posOffset>2727007</wp:posOffset>
                </wp:positionV>
                <wp:extent cx="7543800" cy="524510"/>
                <wp:effectExtent l="0" t="0" r="0" b="8890"/>
                <wp:wrapNone/>
                <wp:docPr id="996478380"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524510"/>
                        </a:xfrm>
                        <a:prstGeom prst="rect">
                          <a:avLst/>
                        </a:prstGeom>
                        <a:solidFill>
                          <a:srgbClr val="745BA7">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79170" id="Rectangle 4" o:spid="_x0000_s1026" alt="&quot;&quot;" style="position:absolute;margin-left:-61.7pt;margin-top:214.7pt;width:594pt;height:41.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" fillcolor="#745ba7" stroked="f" strokeweight="1pt">
                <v:fill opacity="13107f"/>
              </v:rect>
            </w:pict>
          </mc:Fallback>
        </mc:AlternateContent>
      </w:r>
      <w:r w:rsidRPr="00EB0B66">
        <w:rPr>
          <w:rStyle w:val="Strong"/>
          <w:b w:val="0"/>
          <w:bCs w:val="0"/>
          <w:noProof/>
        </w:rPr>
        <mc:AlternateContent>
          <mc:Choice Requires="wps">
            <w:drawing>
              <wp:anchor distT="0" distB="0" distL="114300" distR="114300" simplePos="0" relativeHeight="251657215" behindDoc="1" locked="0" layoutInCell="1" allowOverlap="1" wp14:anchorId="22884D17" wp14:editId="09ACD988">
                <wp:simplePos x="0" y="0"/>
                <wp:positionH relativeFrom="column">
                  <wp:posOffset>-788035</wp:posOffset>
                </wp:positionH>
                <wp:positionV relativeFrom="paragraph">
                  <wp:posOffset>1294447</wp:posOffset>
                </wp:positionV>
                <wp:extent cx="7543800" cy="520700"/>
                <wp:effectExtent l="0" t="0" r="0" b="0"/>
                <wp:wrapNone/>
                <wp:docPr id="209672380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520700"/>
                        </a:xfrm>
                        <a:prstGeom prst="rect">
                          <a:avLst/>
                        </a:prstGeom>
                        <a:solidFill>
                          <a:srgbClr val="6486C4">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70038" id="Rectangle 4" o:spid="_x0000_s1026" alt="&quot;&quot;" style="position:absolute;margin-left:-62.05pt;margin-top:101.9pt;width:594pt;height:41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" fillcolor="#6486c4" stroked="f" strokeweight="1pt">
                <v:fill opacity="13107f"/>
              </v:rect>
            </w:pict>
          </mc:Fallback>
        </mc:AlternateContent>
      </w:r>
      <w:r w:rsidRPr="00EB0B66">
        <w:rPr>
          <w:rStyle w:val="Strong"/>
          <w:b w:val="0"/>
          <w:bCs w:val="0"/>
          <w:noProof/>
        </w:rPr>
        <mc:AlternateContent>
          <mc:Choice Requires="wps">
            <w:drawing>
              <wp:anchor distT="0" distB="0" distL="114300" distR="114300" simplePos="0" relativeHeight="251656190" behindDoc="1" locked="0" layoutInCell="1" allowOverlap="1" wp14:anchorId="2869FCD6" wp14:editId="4721E10A">
                <wp:simplePos x="0" y="0"/>
                <wp:positionH relativeFrom="column">
                  <wp:posOffset>-787400</wp:posOffset>
                </wp:positionH>
                <wp:positionV relativeFrom="paragraph">
                  <wp:posOffset>2013267</wp:posOffset>
                </wp:positionV>
                <wp:extent cx="7543800" cy="524510"/>
                <wp:effectExtent l="0" t="0" r="0" b="8890"/>
                <wp:wrapNone/>
                <wp:docPr id="1361109543"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524510"/>
                        </a:xfrm>
                        <a:prstGeom prst="rect">
                          <a:avLst/>
                        </a:prstGeom>
                        <a:solidFill>
                          <a:srgbClr val="7DC242">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6A0AD" id="Rectangle 4" o:spid="_x0000_s1026" alt="&quot;&quot;" style="position:absolute;margin-left:-62pt;margin-top:158.5pt;width:594pt;height:41.3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" fillcolor="#7dc242" stroked="f" strokeweight="1pt">
                <v:fill opacity="13107f"/>
              </v:rect>
            </w:pict>
          </mc:Fallback>
        </mc:AlternateContent>
      </w:r>
      <w:r w:rsidR="0010523A" w:rsidRPr="00EB0B66">
        <w:rPr>
          <w:rStyle w:val="Strong"/>
          <w:b w:val="0"/>
          <w:bCs w:val="0"/>
        </w:rPr>
        <w:t>Informed by</w:t>
      </w:r>
      <w:r w:rsidR="0010523A" w:rsidRPr="006A2334">
        <w:rPr>
          <w:rFonts w:ascii="Arial" w:hAnsi="Arial" w:cs="Arial"/>
          <w:lang w:val="en-US"/>
        </w:rPr>
        <w:t xml:space="preserve"> internal and external stakeholder consultation and the 3 principles of best practice regulation, our strategic objectives are</w:t>
      </w:r>
      <w:r w:rsidR="00F51F07" w:rsidRPr="006A2334">
        <w:rPr>
          <w:rFonts w:ascii="Arial" w:hAnsi="Arial" w:cs="Arial"/>
          <w:lang w:val="en-US"/>
        </w:rPr>
        <w:t>:</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119"/>
      </w:tblGrid>
      <w:tr w:rsidR="00A40948" w14:paraId="276DAE24" w14:textId="77777777" w:rsidTr="0049314B">
        <w:trPr>
          <w:trHeight w:val="1173"/>
        </w:trPr>
        <w:tc>
          <w:tcPr>
            <w:tcW w:w="709" w:type="dxa"/>
          </w:tcPr>
          <w:p w14:paraId="01E6673E" w14:textId="451D96EB" w:rsidR="00A40948" w:rsidRPr="006A2334" w:rsidRDefault="00A40948" w:rsidP="00FB6C27">
            <w:pPr>
              <w:spacing w:line="600" w:lineRule="auto"/>
              <w:rPr>
                <w:rStyle w:val="Strong"/>
              </w:rPr>
            </w:pPr>
            <w:r w:rsidRPr="006A2334">
              <w:rPr>
                <w:rStyle w:val="Strong"/>
              </w:rPr>
              <w:t>1</w:t>
            </w:r>
          </w:p>
        </w:tc>
        <w:tc>
          <w:tcPr>
            <w:tcW w:w="9119" w:type="dxa"/>
          </w:tcPr>
          <w:p w14:paraId="7F136DF1" w14:textId="55C0E135" w:rsidR="00A40948" w:rsidRPr="006A2334" w:rsidRDefault="00D076DF" w:rsidP="00437EAA">
            <w:pPr>
              <w:rPr>
                <w:rFonts w:ascii="Arial" w:hAnsi="Arial" w:cs="Arial"/>
                <w:lang w:val="en-US"/>
              </w:rPr>
            </w:pPr>
            <w:r w:rsidRPr="006A2334">
              <w:rPr>
                <w:rFonts w:ascii="Arial" w:hAnsi="Arial" w:cs="Arial"/>
                <w:lang w:val="en-US"/>
              </w:rPr>
              <w:t>Improve public health outcomes through best practice regulation</w:t>
            </w:r>
          </w:p>
        </w:tc>
      </w:tr>
      <w:tr w:rsidR="00A40948" w14:paraId="309AF461" w14:textId="77777777" w:rsidTr="0049314B">
        <w:trPr>
          <w:trHeight w:val="1133"/>
        </w:trPr>
        <w:tc>
          <w:tcPr>
            <w:tcW w:w="709" w:type="dxa"/>
          </w:tcPr>
          <w:p w14:paraId="35BE61BD" w14:textId="5947D2B7" w:rsidR="00A40948" w:rsidRPr="006A2334" w:rsidRDefault="00A40948" w:rsidP="00FB6C27">
            <w:pPr>
              <w:spacing w:after="120" w:line="720" w:lineRule="auto"/>
              <w:rPr>
                <w:rStyle w:val="Strong"/>
              </w:rPr>
            </w:pPr>
            <w:r w:rsidRPr="006A2334">
              <w:rPr>
                <w:rStyle w:val="Strong"/>
              </w:rPr>
              <w:t>2</w:t>
            </w:r>
          </w:p>
        </w:tc>
        <w:tc>
          <w:tcPr>
            <w:tcW w:w="9119" w:type="dxa"/>
          </w:tcPr>
          <w:p w14:paraId="63B84E26" w14:textId="38A2BEB0" w:rsidR="00A40948" w:rsidRPr="006A2334" w:rsidRDefault="00D076DF" w:rsidP="00437EAA">
            <w:pPr>
              <w:rPr>
                <w:rFonts w:ascii="Arial" w:hAnsi="Arial" w:cs="Arial"/>
                <w:b/>
                <w:bCs/>
                <w:lang w:val="en-US"/>
              </w:rPr>
            </w:pPr>
            <w:r w:rsidRPr="006A2334">
              <w:rPr>
                <w:rFonts w:ascii="Arial" w:hAnsi="Arial" w:cs="Arial"/>
                <w:lang w:val="en-US"/>
              </w:rPr>
              <w:t>Build trust by actively engaging with our stakeholders</w:t>
            </w:r>
          </w:p>
        </w:tc>
      </w:tr>
      <w:tr w:rsidR="00A40948" w14:paraId="3901DE84" w14:textId="77777777" w:rsidTr="0049314B">
        <w:trPr>
          <w:trHeight w:val="1135"/>
        </w:trPr>
        <w:tc>
          <w:tcPr>
            <w:tcW w:w="709" w:type="dxa"/>
          </w:tcPr>
          <w:p w14:paraId="439DE848" w14:textId="18E3A72C" w:rsidR="00A40948" w:rsidRPr="006A2334" w:rsidRDefault="00A40948" w:rsidP="00FB6C27">
            <w:pPr>
              <w:spacing w:line="600" w:lineRule="auto"/>
              <w:rPr>
                <w:rStyle w:val="Strong"/>
              </w:rPr>
            </w:pPr>
            <w:r w:rsidRPr="006A2334">
              <w:rPr>
                <w:rStyle w:val="Strong"/>
              </w:rPr>
              <w:t>3</w:t>
            </w:r>
          </w:p>
        </w:tc>
        <w:tc>
          <w:tcPr>
            <w:tcW w:w="9119" w:type="dxa"/>
          </w:tcPr>
          <w:p w14:paraId="1BE4F118" w14:textId="27B2DB7A" w:rsidR="00A40948" w:rsidRPr="006A2334" w:rsidRDefault="00196E03" w:rsidP="006A2334">
            <w:pPr>
              <w:rPr>
                <w:rFonts w:ascii="Arial" w:hAnsi="Arial" w:cs="Arial"/>
                <w:b/>
                <w:bCs/>
                <w:lang w:val="en-US"/>
              </w:rPr>
            </w:pPr>
            <w:r w:rsidRPr="006A2334">
              <w:rPr>
                <w:rFonts w:ascii="Arial" w:hAnsi="Arial" w:cs="Arial"/>
                <w:lang w:val="en-US"/>
              </w:rPr>
              <w:t>Promote and enforce compliance with regulatory requirements</w:t>
            </w:r>
          </w:p>
        </w:tc>
      </w:tr>
      <w:tr w:rsidR="00A40948" w14:paraId="65EB4EA6" w14:textId="77777777" w:rsidTr="0049314B">
        <w:tc>
          <w:tcPr>
            <w:tcW w:w="709" w:type="dxa"/>
          </w:tcPr>
          <w:p w14:paraId="17C23BA8" w14:textId="77777777" w:rsidR="00A40948" w:rsidRPr="006A2334" w:rsidRDefault="00A40948" w:rsidP="00FB6C27">
            <w:pPr>
              <w:spacing w:line="600" w:lineRule="auto"/>
              <w:rPr>
                <w:rStyle w:val="Strong"/>
              </w:rPr>
            </w:pPr>
            <w:r w:rsidRPr="006A2334">
              <w:rPr>
                <w:rStyle w:val="Strong"/>
              </w:rPr>
              <w:t>4</w:t>
            </w:r>
          </w:p>
        </w:tc>
        <w:tc>
          <w:tcPr>
            <w:tcW w:w="9119" w:type="dxa"/>
          </w:tcPr>
          <w:p w14:paraId="2B45C7FA" w14:textId="07BBCAB6" w:rsidR="00A40948" w:rsidRPr="006A2334" w:rsidRDefault="009308DA" w:rsidP="00437EAA">
            <w:pPr>
              <w:rPr>
                <w:rFonts w:ascii="Arial" w:hAnsi="Arial" w:cs="Arial"/>
                <w:lang w:val="en-US"/>
              </w:rPr>
            </w:pPr>
            <w:r w:rsidRPr="006A2334">
              <w:rPr>
                <w:rFonts w:ascii="Arial" w:hAnsi="Arial" w:cs="Arial"/>
                <w:lang w:val="en-US"/>
              </w:rPr>
              <w:t>Innovate and continuously improve</w:t>
            </w:r>
          </w:p>
          <w:p w14:paraId="2F1579B8" w14:textId="77777777" w:rsidR="00A40948" w:rsidRDefault="00A40948" w:rsidP="00FB6C27">
            <w:pPr>
              <w:spacing w:line="600" w:lineRule="auto"/>
              <w:rPr>
                <w:rFonts w:ascii="SF Pro Heavy" w:hAnsi="SF Pro Heavy"/>
                <w:b/>
                <w:bCs/>
                <w:szCs w:val="22"/>
                <w:lang w:val="en-US"/>
              </w:rPr>
            </w:pPr>
          </w:p>
        </w:tc>
      </w:tr>
    </w:tbl>
    <w:p w14:paraId="0576620D" w14:textId="7EFA4688" w:rsidR="00A40948" w:rsidRPr="00FC3CBE" w:rsidRDefault="00C50916" w:rsidP="00FC3CBE">
      <w:pPr>
        <w:rPr>
          <w:szCs w:val="22"/>
        </w:rPr>
      </w:pPr>
      <w:r w:rsidRPr="00F51F07">
        <w:rPr>
          <w:rStyle w:val="Strong"/>
          <w:rFonts w:ascii="SF Pro Light" w:hAnsi="SF Pro Light"/>
          <w:b w:val="0"/>
          <w:bCs w:val="0"/>
          <w:noProof/>
        </w:rPr>
        <w:drawing>
          <wp:anchor distT="0" distB="0" distL="114300" distR="114300" simplePos="0" relativeHeight="251710464" behindDoc="1" locked="0" layoutInCell="1" allowOverlap="1" wp14:anchorId="74821B1A" wp14:editId="0A22E00C">
            <wp:simplePos x="0" y="0"/>
            <wp:positionH relativeFrom="column">
              <wp:posOffset>2162810</wp:posOffset>
            </wp:positionH>
            <wp:positionV relativeFrom="paragraph">
              <wp:posOffset>264160</wp:posOffset>
            </wp:positionV>
            <wp:extent cx="1371600" cy="1371600"/>
            <wp:effectExtent l="0" t="0" r="0" b="0"/>
            <wp:wrapNone/>
            <wp:docPr id="3600153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1531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r w:rsidR="00A40948">
        <w:rPr>
          <w:b/>
          <w:bCs/>
          <w:sz w:val="18"/>
          <w:szCs w:val="18"/>
          <w:lang w:val="en-US"/>
        </w:rPr>
        <w:tab/>
      </w:r>
    </w:p>
    <w:p w14:paraId="299C4884" w14:textId="77777777" w:rsidR="00A40948" w:rsidRDefault="00A40948" w:rsidP="00A40948">
      <w:pPr>
        <w:rPr>
          <w:b/>
          <w:bCs/>
          <w:sz w:val="18"/>
          <w:szCs w:val="18"/>
          <w:lang w:val="en-US"/>
        </w:rPr>
      </w:pPr>
      <w:r>
        <w:rPr>
          <w:b/>
          <w:bCs/>
          <w:sz w:val="18"/>
          <w:szCs w:val="18"/>
          <w:lang w:val="en-US"/>
        </w:rPr>
        <w:br w:type="page"/>
      </w:r>
    </w:p>
    <w:p w14:paraId="25D5A392" w14:textId="57696761" w:rsidR="00F533FA" w:rsidRPr="004050E5" w:rsidRDefault="00454045" w:rsidP="00280ACE">
      <w:pPr>
        <w:pStyle w:val="Heading1"/>
      </w:pPr>
      <w:bookmarkStart w:id="5" w:name="_Toc203400900"/>
      <w:r w:rsidRPr="004050E5">
        <w:lastRenderedPageBreak/>
        <w:t xml:space="preserve">Strategic Objective 1 </w:t>
      </w:r>
      <w:r w:rsidR="00F533FA" w:rsidRPr="004050E5">
        <w:t xml:space="preserve">– </w:t>
      </w:r>
      <w:r w:rsidRPr="004050E5">
        <w:t>Improve public health outcomes through best practice regulation</w:t>
      </w:r>
      <w:bookmarkEnd w:id="5"/>
    </w:p>
    <w:p w14:paraId="06F09879" w14:textId="31BCB2DC" w:rsidR="00454045" w:rsidRPr="004050E5" w:rsidRDefault="005C4E73" w:rsidP="009D300E">
      <w:pPr>
        <w:rPr>
          <w:rFonts w:ascii="Arial" w:hAnsi="Arial" w:cs="Arial"/>
          <w:lang w:val="en-US"/>
        </w:rPr>
      </w:pPr>
      <w:r w:rsidRPr="004050E5">
        <w:rPr>
          <w:rFonts w:ascii="Arial" w:hAnsi="Arial" w:cs="Arial"/>
          <w:lang w:val="en-US"/>
        </w:rPr>
        <w:t xml:space="preserve">We </w:t>
      </w:r>
      <w:r w:rsidR="003A53F3" w:rsidRPr="004050E5">
        <w:rPr>
          <w:rFonts w:ascii="Arial" w:hAnsi="Arial" w:cs="Arial"/>
          <w:lang w:val="en-US"/>
        </w:rPr>
        <w:t>will balance the dual regulatory responsibilities of facilitating access to and ensuring the safety, quality, performance and efficacy of therapeutic goods</w:t>
      </w:r>
      <w:r w:rsidRPr="004050E5">
        <w:rPr>
          <w:rFonts w:ascii="Arial" w:hAnsi="Arial" w:cs="Arial"/>
          <w:lang w:val="en-US"/>
        </w:rPr>
        <w:t>.</w:t>
      </w:r>
      <w:r w:rsidRPr="004050E5">
        <w:rPr>
          <w:rFonts w:ascii="Arial" w:hAnsi="Arial" w:cs="Arial"/>
        </w:rPr>
        <w:t> </w:t>
      </w:r>
    </w:p>
    <w:p w14:paraId="39438859" w14:textId="08EE25AB" w:rsidR="00454045" w:rsidRPr="004050E5" w:rsidRDefault="00600A16" w:rsidP="00600A16">
      <w:pPr>
        <w:spacing w:after="960"/>
        <w:rPr>
          <w:rFonts w:ascii="Arial" w:hAnsi="Arial" w:cs="Arial"/>
          <w:lang w:val="en-US"/>
        </w:rPr>
      </w:pPr>
      <w:r w:rsidRPr="004050E5">
        <w:rPr>
          <w:rFonts w:ascii="Arial" w:hAnsi="Arial" w:cs="Arial"/>
          <w:noProof/>
        </w:rPr>
        <mc:AlternateContent>
          <mc:Choice Requires="wps">
            <w:drawing>
              <wp:anchor distT="0" distB="0" distL="114300" distR="114300" simplePos="0" relativeHeight="251712512" behindDoc="1" locked="0" layoutInCell="1" allowOverlap="1" wp14:anchorId="68B2D791" wp14:editId="4633CBB4">
                <wp:simplePos x="0" y="0"/>
                <wp:positionH relativeFrom="column">
                  <wp:posOffset>-791845</wp:posOffset>
                </wp:positionH>
                <wp:positionV relativeFrom="paragraph">
                  <wp:posOffset>1170093</wp:posOffset>
                </wp:positionV>
                <wp:extent cx="7543800" cy="2476500"/>
                <wp:effectExtent l="0" t="0" r="0" b="0"/>
                <wp:wrapNone/>
                <wp:docPr id="1724555586"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2476500"/>
                        </a:xfrm>
                        <a:prstGeom prst="rect">
                          <a:avLst/>
                        </a:prstGeom>
                        <a:solidFill>
                          <a:srgbClr val="FDB71C">
                            <a:alpha val="2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C65C4" id="Rectangle 4" o:spid="_x0000_s1026" alt="&quot;&quot;" style="position:absolute;margin-left:-62.35pt;margin-top:92.15pt;width:594pt;height:1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" fillcolor="#fdb71c" stroked="f" strokeweight="1pt">
                <v:fill opacity="19532f"/>
              </v:rect>
            </w:pict>
          </mc:Fallback>
        </mc:AlternateContent>
      </w:r>
      <w:r w:rsidR="00454045" w:rsidRPr="004050E5">
        <w:rPr>
          <w:rFonts w:ascii="Arial" w:hAnsi="Arial" w:cs="Arial"/>
        </w:rPr>
        <w:t xml:space="preserve">Australia’s </w:t>
      </w:r>
      <w:r w:rsidR="003A53F3" w:rsidRPr="004050E5">
        <w:rPr>
          <w:rFonts w:ascii="Arial" w:hAnsi="Arial" w:cs="Arial"/>
        </w:rPr>
        <w:t>expertise in regulation is globally recognised. The safety of the Australian community will be maintained by our high standards of therapeutic goods regulation and our role in shaping and responding to world-wide best practices. We continue to implement regulatory reforms with a focus on simplifying pathways and processes for consumers, healthcare professionals and industry, while delivering efficient, best practice regulatory decisions</w:t>
      </w:r>
      <w:r w:rsidR="005C4E73" w:rsidRPr="004050E5">
        <w:rPr>
          <w:rFonts w:ascii="Arial" w:hAnsi="Arial" w:cs="Arial"/>
        </w:rPr>
        <w:t>.</w:t>
      </w:r>
    </w:p>
    <w:p w14:paraId="7764BFCE" w14:textId="781873A2" w:rsidR="00F533FA" w:rsidRPr="004050E5" w:rsidRDefault="00DB5FE9" w:rsidP="00600A16">
      <w:pPr>
        <w:spacing w:after="360"/>
        <w:rPr>
          <w:rStyle w:val="Strong"/>
        </w:rPr>
      </w:pPr>
      <w:r w:rsidRPr="004050E5">
        <w:rPr>
          <w:rStyle w:val="Strong"/>
        </w:rPr>
        <w:t>Guiding Principles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840"/>
      </w:tblGrid>
      <w:tr w:rsidR="00F533FA" w:rsidRPr="004050E5" w14:paraId="5052D8E4" w14:textId="77777777" w:rsidTr="00FB6C27">
        <w:trPr>
          <w:trHeight w:val="981"/>
        </w:trPr>
        <w:tc>
          <w:tcPr>
            <w:tcW w:w="562" w:type="dxa"/>
          </w:tcPr>
          <w:p w14:paraId="6F1F2FFA" w14:textId="68A06561" w:rsidR="00F533FA" w:rsidRPr="004050E5" w:rsidRDefault="00DB5FE9" w:rsidP="00A4534B">
            <w:pPr>
              <w:rPr>
                <w:rFonts w:ascii="Arial" w:hAnsi="Arial" w:cs="Arial"/>
                <w:lang w:val="en-US"/>
              </w:rPr>
            </w:pPr>
            <w:r w:rsidRPr="004050E5">
              <w:rPr>
                <w:rFonts w:ascii="Arial" w:hAnsi="Arial" w:cs="Arial"/>
                <w:lang w:val="en-US"/>
              </w:rPr>
              <w:t>1</w:t>
            </w:r>
            <w:r w:rsidR="00F533FA" w:rsidRPr="004050E5">
              <w:rPr>
                <w:rFonts w:ascii="Arial" w:hAnsi="Arial" w:cs="Arial"/>
                <w:lang w:val="en-US"/>
              </w:rPr>
              <w:t xml:space="preserve">.1   </w:t>
            </w:r>
          </w:p>
        </w:tc>
        <w:tc>
          <w:tcPr>
            <w:tcW w:w="8840" w:type="dxa"/>
          </w:tcPr>
          <w:p w14:paraId="1A808AA0" w14:textId="5816F77B" w:rsidR="00F533FA" w:rsidRPr="004050E5" w:rsidRDefault="00897504" w:rsidP="00A4534B">
            <w:pPr>
              <w:rPr>
                <w:rFonts w:ascii="Arial" w:hAnsi="Arial" w:cs="Arial"/>
                <w:lang w:val="en-US"/>
              </w:rPr>
            </w:pPr>
            <w:r w:rsidRPr="004050E5">
              <w:rPr>
                <w:rFonts w:ascii="Arial" w:hAnsi="Arial" w:cs="Arial"/>
                <w:lang w:val="en-US"/>
              </w:rPr>
              <w:t>Ensure product approvals and regulatory assessments are delivered in accordance with both statutory timeframes and non-statutory targets, to maintain trust and reliability and to ensure timely access to innovative therapies and emerging technologies.</w:t>
            </w:r>
          </w:p>
        </w:tc>
      </w:tr>
      <w:tr w:rsidR="00F533FA" w:rsidRPr="004050E5" w14:paraId="06E072C1" w14:textId="77777777" w:rsidTr="00FB6C27">
        <w:trPr>
          <w:trHeight w:val="732"/>
        </w:trPr>
        <w:tc>
          <w:tcPr>
            <w:tcW w:w="562" w:type="dxa"/>
          </w:tcPr>
          <w:p w14:paraId="15578895" w14:textId="1616A57E" w:rsidR="00F533FA" w:rsidRPr="004050E5" w:rsidRDefault="00DB5FE9" w:rsidP="00A4534B">
            <w:pPr>
              <w:rPr>
                <w:rFonts w:ascii="Arial" w:hAnsi="Arial" w:cs="Arial"/>
                <w:lang w:val="en-US"/>
              </w:rPr>
            </w:pPr>
            <w:r w:rsidRPr="004050E5">
              <w:rPr>
                <w:rFonts w:ascii="Arial" w:hAnsi="Arial" w:cs="Arial"/>
                <w:lang w:val="en-US"/>
              </w:rPr>
              <w:t>1</w:t>
            </w:r>
            <w:r w:rsidR="00F533FA" w:rsidRPr="004050E5">
              <w:rPr>
                <w:rFonts w:ascii="Arial" w:hAnsi="Arial" w:cs="Arial"/>
                <w:lang w:val="en-US"/>
              </w:rPr>
              <w:t>.2</w:t>
            </w:r>
          </w:p>
        </w:tc>
        <w:tc>
          <w:tcPr>
            <w:tcW w:w="8840" w:type="dxa"/>
          </w:tcPr>
          <w:p w14:paraId="5A1F893B" w14:textId="5894FED2" w:rsidR="00F533FA" w:rsidRPr="004050E5" w:rsidRDefault="00897504" w:rsidP="00A4534B">
            <w:pPr>
              <w:rPr>
                <w:rFonts w:ascii="Arial" w:hAnsi="Arial" w:cs="Arial"/>
                <w:b/>
                <w:bCs/>
                <w:lang w:val="en-US"/>
              </w:rPr>
            </w:pPr>
            <w:r w:rsidRPr="004050E5">
              <w:rPr>
                <w:rFonts w:ascii="Arial" w:hAnsi="Arial" w:cs="Arial"/>
                <w:lang w:val="en-US"/>
              </w:rPr>
              <w:t>Where appropriate, adapt regulatory approaches to facilitate expedited access to critical therapies and technologies in response to public health need.</w:t>
            </w:r>
          </w:p>
        </w:tc>
      </w:tr>
      <w:tr w:rsidR="00F533FA" w:rsidRPr="004050E5" w14:paraId="7DA58195" w14:textId="77777777" w:rsidTr="00FB6C27">
        <w:trPr>
          <w:trHeight w:val="714"/>
        </w:trPr>
        <w:tc>
          <w:tcPr>
            <w:tcW w:w="562" w:type="dxa"/>
          </w:tcPr>
          <w:p w14:paraId="6B9F132D" w14:textId="50F28F29" w:rsidR="00F533FA" w:rsidRPr="004050E5" w:rsidRDefault="00DB5FE9" w:rsidP="00A4534B">
            <w:pPr>
              <w:spacing w:after="960"/>
              <w:rPr>
                <w:rFonts w:ascii="Arial" w:hAnsi="Arial" w:cs="Arial"/>
                <w:lang w:val="en-US"/>
              </w:rPr>
            </w:pPr>
            <w:r w:rsidRPr="004050E5">
              <w:rPr>
                <w:rFonts w:ascii="Arial" w:hAnsi="Arial" w:cs="Arial"/>
                <w:lang w:val="en-US"/>
              </w:rPr>
              <w:t>1</w:t>
            </w:r>
            <w:r w:rsidR="00F533FA" w:rsidRPr="004050E5">
              <w:rPr>
                <w:rFonts w:ascii="Arial" w:hAnsi="Arial" w:cs="Arial"/>
                <w:lang w:val="en-US"/>
              </w:rPr>
              <w:t>.3</w:t>
            </w:r>
          </w:p>
        </w:tc>
        <w:tc>
          <w:tcPr>
            <w:tcW w:w="8840" w:type="dxa"/>
          </w:tcPr>
          <w:p w14:paraId="50AFA6F9" w14:textId="778834F8" w:rsidR="00F533FA" w:rsidRPr="004050E5" w:rsidRDefault="00897504" w:rsidP="00A4534B">
            <w:pPr>
              <w:spacing w:after="960"/>
              <w:rPr>
                <w:rFonts w:ascii="Arial" w:hAnsi="Arial" w:cs="Arial"/>
                <w:b/>
                <w:bCs/>
                <w:lang w:val="en-US"/>
              </w:rPr>
            </w:pPr>
            <w:r w:rsidRPr="004050E5">
              <w:rPr>
                <w:rFonts w:ascii="Arial" w:hAnsi="Arial" w:cs="Arial"/>
                <w:lang w:val="en-US"/>
              </w:rPr>
              <w:t>Propose and support the design of regulatory reforms based on evidence of value and benefit, or appropriate risk management, to ensure regulatory frameworks remain fit-for-purpose.</w:t>
            </w:r>
            <w:r w:rsidR="003259F3" w:rsidRPr="004050E5">
              <w:rPr>
                <w:rFonts w:ascii="Arial" w:hAnsi="Arial" w:cs="Arial"/>
              </w:rPr>
              <w:t> </w:t>
            </w:r>
          </w:p>
        </w:tc>
      </w:tr>
    </w:tbl>
    <w:p w14:paraId="51693D3E" w14:textId="226E2C8A" w:rsidR="00F533FA" w:rsidRPr="004050E5" w:rsidRDefault="004C5FC1" w:rsidP="00F533FA">
      <w:pPr>
        <w:spacing w:after="360"/>
        <w:rPr>
          <w:rStyle w:val="Strong"/>
        </w:rPr>
      </w:pPr>
      <w:r w:rsidRPr="004050E5">
        <w:rPr>
          <w:rStyle w:val="Strong"/>
        </w:rPr>
        <w:t>Our focus for 2025-26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840"/>
      </w:tblGrid>
      <w:tr w:rsidR="00F533FA" w14:paraId="29C73E48" w14:textId="77777777" w:rsidTr="00EB0B66">
        <w:trPr>
          <w:trHeight w:val="1307"/>
        </w:trPr>
        <w:tc>
          <w:tcPr>
            <w:tcW w:w="562" w:type="dxa"/>
          </w:tcPr>
          <w:p w14:paraId="4D5F6723" w14:textId="566B08A0" w:rsidR="00F533FA" w:rsidRPr="004050E5" w:rsidRDefault="00F84C4B" w:rsidP="00A4534B">
            <w:pPr>
              <w:rPr>
                <w:rFonts w:ascii="Arial" w:hAnsi="Arial" w:cs="Arial"/>
                <w:lang w:val="en-US"/>
              </w:rPr>
            </w:pPr>
            <w:r w:rsidRPr="004050E5">
              <w:rPr>
                <w:rFonts w:ascii="Arial" w:hAnsi="Arial" w:cs="Arial"/>
                <w:lang w:val="en-US"/>
              </w:rPr>
              <w:t>1A</w:t>
            </w:r>
          </w:p>
        </w:tc>
        <w:tc>
          <w:tcPr>
            <w:tcW w:w="8840" w:type="dxa"/>
          </w:tcPr>
          <w:p w14:paraId="60048DF8" w14:textId="0637B145" w:rsidR="000D4642" w:rsidRPr="004050E5" w:rsidRDefault="00BE29A8" w:rsidP="00A4534B">
            <w:pPr>
              <w:rPr>
                <w:rFonts w:ascii="Arial" w:hAnsi="Arial" w:cs="Arial"/>
                <w:lang w:val="en-US"/>
              </w:rPr>
            </w:pPr>
            <w:r w:rsidRPr="004050E5">
              <w:rPr>
                <w:rFonts w:ascii="Arial" w:hAnsi="Arial" w:cs="Arial"/>
                <w:lang w:val="en-US"/>
              </w:rPr>
              <w:t>Conduct pre-market evaluations of therapeutic products and ingredients, and post-market safety and compliance monitoring of products and manufacturers in a manner consistent with best practice regulatory processes, leveraging technology such as AI where appropriate.</w:t>
            </w:r>
            <w:r w:rsidRPr="004050E5">
              <w:rPr>
                <w:rFonts w:ascii="Arial" w:hAnsi="Arial" w:cs="Arial"/>
              </w:rPr>
              <w:t> </w:t>
            </w:r>
          </w:p>
        </w:tc>
      </w:tr>
      <w:tr w:rsidR="00F533FA" w14:paraId="7706C7EA" w14:textId="77777777" w:rsidTr="00160E40">
        <w:trPr>
          <w:trHeight w:val="996"/>
        </w:trPr>
        <w:tc>
          <w:tcPr>
            <w:tcW w:w="562" w:type="dxa"/>
          </w:tcPr>
          <w:p w14:paraId="5BAD2C2B" w14:textId="0945A9CF" w:rsidR="00F533FA" w:rsidRPr="004050E5" w:rsidRDefault="00F84C4B" w:rsidP="00A4534B">
            <w:pPr>
              <w:rPr>
                <w:rFonts w:ascii="Arial" w:hAnsi="Arial" w:cs="Arial"/>
                <w:lang w:val="en-US"/>
              </w:rPr>
            </w:pPr>
            <w:r w:rsidRPr="004050E5">
              <w:rPr>
                <w:rFonts w:ascii="Arial" w:hAnsi="Arial" w:cs="Arial"/>
                <w:lang w:val="en-US"/>
              </w:rPr>
              <w:t>1B</w:t>
            </w:r>
          </w:p>
        </w:tc>
        <w:tc>
          <w:tcPr>
            <w:tcW w:w="8840" w:type="dxa"/>
          </w:tcPr>
          <w:p w14:paraId="1D84498F" w14:textId="35868F64" w:rsidR="00BE29A8" w:rsidRPr="004050E5" w:rsidRDefault="00BE29A8" w:rsidP="00A4534B">
            <w:pPr>
              <w:rPr>
                <w:rFonts w:ascii="Arial" w:hAnsi="Arial" w:cs="Arial"/>
                <w:b/>
                <w:bCs/>
                <w:lang w:val="en-US"/>
              </w:rPr>
            </w:pPr>
            <w:r w:rsidRPr="004050E5">
              <w:rPr>
                <w:rFonts w:ascii="Arial" w:hAnsi="Arial" w:cs="Arial"/>
                <w:lang w:val="en-US"/>
              </w:rPr>
              <w:t xml:space="preserve">Facilitate timely availability of safe, high-quality therapeutic goods by </w:t>
            </w:r>
            <w:proofErr w:type="spellStart"/>
            <w:r w:rsidRPr="004050E5">
              <w:rPr>
                <w:rFonts w:ascii="Arial" w:hAnsi="Arial" w:cs="Arial"/>
                <w:lang w:val="en-US"/>
              </w:rPr>
              <w:t>optimising</w:t>
            </w:r>
            <w:proofErr w:type="spellEnd"/>
            <w:r w:rsidRPr="004050E5">
              <w:rPr>
                <w:rFonts w:ascii="Arial" w:hAnsi="Arial" w:cs="Arial"/>
                <w:lang w:val="en-US"/>
              </w:rPr>
              <w:t xml:space="preserve"> regulatory pathways, reforming business processes, supporting applicants and sponsors in navigating regulatory requirements, and ensuring regulatory efficiency. </w:t>
            </w:r>
            <w:r w:rsidRPr="004050E5">
              <w:rPr>
                <w:rFonts w:ascii="Arial" w:hAnsi="Arial" w:cs="Arial"/>
              </w:rPr>
              <w:t> </w:t>
            </w:r>
            <w:r w:rsidRPr="004050E5">
              <w:rPr>
                <w:rFonts w:ascii="Arial" w:hAnsi="Arial" w:cs="Arial"/>
                <w:b/>
                <w:bCs/>
                <w:lang w:val="en-US"/>
              </w:rPr>
              <w:t xml:space="preserve"> </w:t>
            </w:r>
          </w:p>
        </w:tc>
      </w:tr>
      <w:tr w:rsidR="00F533FA" w14:paraId="656D8E3C" w14:textId="77777777" w:rsidTr="00FB6C27">
        <w:trPr>
          <w:trHeight w:val="714"/>
        </w:trPr>
        <w:tc>
          <w:tcPr>
            <w:tcW w:w="562" w:type="dxa"/>
          </w:tcPr>
          <w:p w14:paraId="5A305B76" w14:textId="45C650E3" w:rsidR="00F533FA" w:rsidRPr="004050E5" w:rsidRDefault="00F84C4B" w:rsidP="00A4534B">
            <w:pPr>
              <w:rPr>
                <w:rFonts w:ascii="Arial" w:hAnsi="Arial" w:cs="Arial"/>
                <w:lang w:val="en-US"/>
              </w:rPr>
            </w:pPr>
            <w:r w:rsidRPr="004050E5">
              <w:rPr>
                <w:rFonts w:ascii="Arial" w:hAnsi="Arial" w:cs="Arial"/>
                <w:lang w:val="en-US"/>
              </w:rPr>
              <w:t>1C</w:t>
            </w:r>
          </w:p>
        </w:tc>
        <w:tc>
          <w:tcPr>
            <w:tcW w:w="8840" w:type="dxa"/>
          </w:tcPr>
          <w:p w14:paraId="0C3196A9" w14:textId="17FE38C2" w:rsidR="00F533FA" w:rsidRPr="004050E5" w:rsidRDefault="00160E40" w:rsidP="00A4534B">
            <w:pPr>
              <w:rPr>
                <w:rFonts w:ascii="Arial" w:hAnsi="Arial" w:cs="Arial"/>
                <w:b/>
                <w:bCs/>
                <w:lang w:val="en-US"/>
              </w:rPr>
            </w:pPr>
            <w:r w:rsidRPr="004050E5">
              <w:rPr>
                <w:rFonts w:ascii="Arial" w:hAnsi="Arial" w:cs="Arial"/>
                <w:lang w:val="en-US"/>
              </w:rPr>
              <w:t>Review and reform clinical trials regulation to provide clear guidance, streamlined processes and effective oversight.</w:t>
            </w:r>
          </w:p>
        </w:tc>
      </w:tr>
    </w:tbl>
    <w:p w14:paraId="1444849C" w14:textId="77777777" w:rsidR="004050E5" w:rsidRDefault="004050E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840"/>
      </w:tblGrid>
      <w:tr w:rsidR="00F533FA" w14:paraId="2F1CAAE2" w14:textId="77777777" w:rsidTr="00160E40">
        <w:trPr>
          <w:trHeight w:val="710"/>
        </w:trPr>
        <w:tc>
          <w:tcPr>
            <w:tcW w:w="562" w:type="dxa"/>
          </w:tcPr>
          <w:p w14:paraId="36F68085" w14:textId="0B45EA91" w:rsidR="00F533FA" w:rsidRPr="004050E5" w:rsidRDefault="00F84C4B" w:rsidP="00A4534B">
            <w:pPr>
              <w:rPr>
                <w:rFonts w:ascii="Arial" w:hAnsi="Arial" w:cs="Arial"/>
                <w:lang w:val="en-US"/>
              </w:rPr>
            </w:pPr>
            <w:r w:rsidRPr="004050E5">
              <w:rPr>
                <w:rFonts w:ascii="Arial" w:hAnsi="Arial" w:cs="Arial"/>
                <w:lang w:val="en-US"/>
              </w:rPr>
              <w:lastRenderedPageBreak/>
              <w:t>1D</w:t>
            </w:r>
          </w:p>
        </w:tc>
        <w:tc>
          <w:tcPr>
            <w:tcW w:w="8840" w:type="dxa"/>
          </w:tcPr>
          <w:p w14:paraId="503B3AA7" w14:textId="77777777" w:rsidR="00F533FA" w:rsidRDefault="00160E40" w:rsidP="00A4534B">
            <w:pPr>
              <w:rPr>
                <w:rFonts w:ascii="Arial" w:hAnsi="Arial" w:cs="Arial"/>
                <w:lang w:val="en-US"/>
              </w:rPr>
            </w:pPr>
            <w:r w:rsidRPr="004050E5">
              <w:rPr>
                <w:rFonts w:ascii="Arial" w:hAnsi="Arial" w:cs="Arial"/>
                <w:lang w:val="en-US"/>
              </w:rPr>
              <w:t xml:space="preserve">Monitor and mitigate the impact of medicine shortages and discontinuations and medical </w:t>
            </w:r>
            <w:proofErr w:type="gramStart"/>
            <w:r w:rsidRPr="004050E5">
              <w:rPr>
                <w:rFonts w:ascii="Arial" w:hAnsi="Arial" w:cs="Arial"/>
                <w:lang w:val="en-US"/>
              </w:rPr>
              <w:t>device</w:t>
            </w:r>
            <w:proofErr w:type="gramEnd"/>
            <w:r w:rsidRPr="004050E5">
              <w:rPr>
                <w:rFonts w:ascii="Arial" w:hAnsi="Arial" w:cs="Arial"/>
                <w:lang w:val="en-US"/>
              </w:rPr>
              <w:t xml:space="preserve"> supply disruptions to support continued patient access to important therapeutic goods.</w:t>
            </w:r>
          </w:p>
          <w:p w14:paraId="752F354C" w14:textId="0693D649" w:rsidR="004050E5" w:rsidRPr="004050E5" w:rsidRDefault="004050E5" w:rsidP="00A4534B">
            <w:pPr>
              <w:rPr>
                <w:rFonts w:ascii="Arial" w:hAnsi="Arial" w:cs="Arial"/>
                <w:b/>
                <w:bCs/>
                <w:lang w:val="en-US"/>
              </w:rPr>
            </w:pPr>
          </w:p>
        </w:tc>
      </w:tr>
      <w:tr w:rsidR="00F533FA" w14:paraId="4514543D" w14:textId="77777777" w:rsidTr="004050E5">
        <w:trPr>
          <w:trHeight w:val="1260"/>
        </w:trPr>
        <w:tc>
          <w:tcPr>
            <w:tcW w:w="562" w:type="dxa"/>
          </w:tcPr>
          <w:p w14:paraId="79D466C1" w14:textId="5F1036CA" w:rsidR="00F533FA" w:rsidRPr="00EB0B66" w:rsidRDefault="00F84C4B" w:rsidP="00A4534B">
            <w:pPr>
              <w:rPr>
                <w:rFonts w:ascii="Arial" w:hAnsi="Arial" w:cs="Arial"/>
                <w:lang w:val="en-US"/>
              </w:rPr>
            </w:pPr>
            <w:r w:rsidRPr="00EB0B66">
              <w:rPr>
                <w:rFonts w:ascii="Arial" w:hAnsi="Arial" w:cs="Arial"/>
                <w:lang w:val="en-US"/>
              </w:rPr>
              <w:t>1E</w:t>
            </w:r>
          </w:p>
        </w:tc>
        <w:tc>
          <w:tcPr>
            <w:tcW w:w="8840" w:type="dxa"/>
          </w:tcPr>
          <w:p w14:paraId="64770554" w14:textId="2A578442" w:rsidR="00F533FA" w:rsidRPr="004050E5" w:rsidRDefault="00160E40" w:rsidP="00A4534B">
            <w:pPr>
              <w:rPr>
                <w:rFonts w:ascii="Arial" w:hAnsi="Arial" w:cs="Arial"/>
                <w:lang w:val="en-US"/>
              </w:rPr>
            </w:pPr>
            <w:r w:rsidRPr="004050E5">
              <w:rPr>
                <w:rFonts w:ascii="Arial" w:hAnsi="Arial" w:cs="Arial"/>
                <w:lang w:val="en-US"/>
              </w:rPr>
              <w:t xml:space="preserve">Review and reform regulatory frameworks for unapproved therapeutic goods, including exempt goods, closed-loop supply chains, compounding, and point-of-care manufacturing and distribution by </w:t>
            </w:r>
            <w:proofErr w:type="spellStart"/>
            <w:r w:rsidRPr="004050E5">
              <w:rPr>
                <w:rFonts w:ascii="Arial" w:hAnsi="Arial" w:cs="Arial"/>
                <w:lang w:val="en-US"/>
              </w:rPr>
              <w:t>authorised</w:t>
            </w:r>
            <w:proofErr w:type="spellEnd"/>
            <w:r w:rsidRPr="004050E5">
              <w:rPr>
                <w:rFonts w:ascii="Arial" w:hAnsi="Arial" w:cs="Arial"/>
                <w:lang w:val="en-US"/>
              </w:rPr>
              <w:t xml:space="preserve"> healthcare professionals, to facilitate safe, risk-based access while maintaining regulatory compliance.</w:t>
            </w:r>
          </w:p>
        </w:tc>
      </w:tr>
      <w:tr w:rsidR="00F533FA" w14:paraId="7C9F26AC" w14:textId="77777777" w:rsidTr="009F522F">
        <w:trPr>
          <w:trHeight w:val="990"/>
        </w:trPr>
        <w:tc>
          <w:tcPr>
            <w:tcW w:w="562" w:type="dxa"/>
          </w:tcPr>
          <w:p w14:paraId="37F07124" w14:textId="4A223524" w:rsidR="00F533FA" w:rsidRPr="004050E5" w:rsidRDefault="00F84C4B" w:rsidP="00A4534B">
            <w:pPr>
              <w:rPr>
                <w:rFonts w:ascii="Arial" w:hAnsi="Arial" w:cs="Arial"/>
                <w:lang w:val="en-US"/>
              </w:rPr>
            </w:pPr>
            <w:r w:rsidRPr="004050E5">
              <w:rPr>
                <w:rFonts w:ascii="Arial" w:hAnsi="Arial" w:cs="Arial"/>
                <w:lang w:val="en-US"/>
              </w:rPr>
              <w:t>1F</w:t>
            </w:r>
          </w:p>
        </w:tc>
        <w:tc>
          <w:tcPr>
            <w:tcW w:w="8840" w:type="dxa"/>
          </w:tcPr>
          <w:p w14:paraId="135D47FB" w14:textId="56A8F235" w:rsidR="001C77AA" w:rsidRPr="004050E5" w:rsidRDefault="009F522F" w:rsidP="00A4534B">
            <w:pPr>
              <w:rPr>
                <w:rFonts w:ascii="Arial" w:hAnsi="Arial" w:cs="Arial"/>
                <w:lang w:val="en-US"/>
              </w:rPr>
            </w:pPr>
            <w:proofErr w:type="spellStart"/>
            <w:r w:rsidRPr="004050E5">
              <w:rPr>
                <w:rFonts w:ascii="Arial" w:hAnsi="Arial" w:cs="Arial"/>
                <w:lang w:val="en-US"/>
              </w:rPr>
              <w:t>Modernise</w:t>
            </w:r>
            <w:proofErr w:type="spellEnd"/>
            <w:r w:rsidRPr="004050E5">
              <w:rPr>
                <w:rFonts w:ascii="Arial" w:hAnsi="Arial" w:cs="Arial"/>
                <w:lang w:val="en-US"/>
              </w:rPr>
              <w:t xml:space="preserve"> regulatory frameworks by integrating updated quality standards and streamlining </w:t>
            </w:r>
            <w:proofErr w:type="gramStart"/>
            <w:r w:rsidRPr="004050E5">
              <w:rPr>
                <w:rFonts w:ascii="Arial" w:hAnsi="Arial" w:cs="Arial"/>
                <w:lang w:val="en-US"/>
              </w:rPr>
              <w:t>therapeutic good</w:t>
            </w:r>
            <w:proofErr w:type="gramEnd"/>
            <w:r w:rsidRPr="004050E5">
              <w:rPr>
                <w:rFonts w:ascii="Arial" w:hAnsi="Arial" w:cs="Arial"/>
                <w:lang w:val="en-US"/>
              </w:rPr>
              <w:t xml:space="preserve"> testing regulations to enhance efficiency, flexibility and alignment with current scientific and industry standards.</w:t>
            </w:r>
          </w:p>
        </w:tc>
      </w:tr>
      <w:tr w:rsidR="001C77AA" w14:paraId="5F157DC5" w14:textId="77777777" w:rsidTr="009F522F">
        <w:trPr>
          <w:trHeight w:val="721"/>
        </w:trPr>
        <w:tc>
          <w:tcPr>
            <w:tcW w:w="562" w:type="dxa"/>
          </w:tcPr>
          <w:p w14:paraId="57A2FD48" w14:textId="57C5C8C3" w:rsidR="001C77AA" w:rsidRPr="004050E5" w:rsidRDefault="001C77AA" w:rsidP="00A4534B">
            <w:pPr>
              <w:rPr>
                <w:rFonts w:ascii="Arial" w:hAnsi="Arial" w:cs="Arial"/>
                <w:lang w:val="en-US"/>
              </w:rPr>
            </w:pPr>
            <w:r w:rsidRPr="004050E5">
              <w:rPr>
                <w:rFonts w:ascii="Arial" w:hAnsi="Arial" w:cs="Arial"/>
                <w:lang w:val="en-US"/>
              </w:rPr>
              <w:t>1G</w:t>
            </w:r>
          </w:p>
        </w:tc>
        <w:tc>
          <w:tcPr>
            <w:tcW w:w="8840" w:type="dxa"/>
          </w:tcPr>
          <w:p w14:paraId="22DBA353" w14:textId="29FA5611" w:rsidR="00A973C9" w:rsidRPr="004050E5" w:rsidRDefault="009F522F" w:rsidP="00A4534B">
            <w:pPr>
              <w:rPr>
                <w:rFonts w:ascii="Arial" w:hAnsi="Arial" w:cs="Arial"/>
                <w:lang w:val="en-US"/>
              </w:rPr>
            </w:pPr>
            <w:r w:rsidRPr="004050E5">
              <w:rPr>
                <w:rFonts w:ascii="Arial" w:hAnsi="Arial" w:cs="Arial"/>
                <w:lang w:val="en-US"/>
              </w:rPr>
              <w:t>Continue the implementation of reforms to improve recall processes for all therapeutic goods, ensuring timely and effective action to mitigate public health risks.</w:t>
            </w:r>
          </w:p>
        </w:tc>
      </w:tr>
      <w:tr w:rsidR="00A973C9" w14:paraId="4F41B0E3" w14:textId="77777777" w:rsidTr="00FB6C27">
        <w:tc>
          <w:tcPr>
            <w:tcW w:w="562" w:type="dxa"/>
          </w:tcPr>
          <w:p w14:paraId="685D46F2" w14:textId="19AB7076" w:rsidR="00A973C9" w:rsidRPr="004050E5" w:rsidRDefault="00A973C9" w:rsidP="00A4534B">
            <w:pPr>
              <w:rPr>
                <w:rFonts w:ascii="Arial" w:hAnsi="Arial" w:cs="Arial"/>
                <w:lang w:val="en-US"/>
              </w:rPr>
            </w:pPr>
            <w:r w:rsidRPr="004050E5">
              <w:rPr>
                <w:rFonts w:ascii="Arial" w:hAnsi="Arial" w:cs="Arial"/>
                <w:lang w:val="en-US"/>
              </w:rPr>
              <w:t>1H</w:t>
            </w:r>
          </w:p>
        </w:tc>
        <w:tc>
          <w:tcPr>
            <w:tcW w:w="8840" w:type="dxa"/>
          </w:tcPr>
          <w:p w14:paraId="5D7792A5" w14:textId="7816468C" w:rsidR="00A973C9" w:rsidRPr="004050E5" w:rsidRDefault="009F522F" w:rsidP="00A4534B">
            <w:pPr>
              <w:rPr>
                <w:rFonts w:ascii="Arial" w:hAnsi="Arial" w:cs="Arial"/>
                <w:lang w:val="en-US"/>
              </w:rPr>
            </w:pPr>
            <w:r w:rsidRPr="004050E5">
              <w:rPr>
                <w:rFonts w:ascii="Arial" w:hAnsi="Arial" w:cs="Arial"/>
                <w:lang w:val="en-US"/>
              </w:rPr>
              <w:t>Identify and evaluate potential new uses for medicines through research and evidence, leveraging insights and lessons from the first tranche of the Medicines Repurposing Program.</w:t>
            </w:r>
          </w:p>
        </w:tc>
      </w:tr>
    </w:tbl>
    <w:p w14:paraId="009B810F" w14:textId="5AB73D92" w:rsidR="00F533FA" w:rsidRDefault="00233056" w:rsidP="00F533FA">
      <w:pPr>
        <w:rPr>
          <w:rFonts w:ascii="SF Pro Heavy" w:hAnsi="SF Pro Heavy"/>
          <w:b/>
          <w:bCs/>
          <w:szCs w:val="22"/>
          <w:lang w:val="en-US"/>
        </w:rPr>
      </w:pPr>
      <w:r>
        <w:rPr>
          <w:rFonts w:ascii="SF Pro Heavy" w:hAnsi="SF Pro Heavy"/>
          <w:b/>
          <w:bCs/>
          <w:noProof/>
          <w:szCs w:val="22"/>
          <w:lang w:val="en-US"/>
        </w:rPr>
        <w:drawing>
          <wp:anchor distT="0" distB="0" distL="114300" distR="114300" simplePos="0" relativeHeight="251652090" behindDoc="1" locked="0" layoutInCell="1" allowOverlap="1" wp14:anchorId="4913BA03" wp14:editId="625BA603">
            <wp:simplePos x="0" y="0"/>
            <wp:positionH relativeFrom="column">
              <wp:posOffset>-809625</wp:posOffset>
            </wp:positionH>
            <wp:positionV relativeFrom="paragraph">
              <wp:posOffset>-3827992</wp:posOffset>
            </wp:positionV>
            <wp:extent cx="7569200" cy="10706414"/>
            <wp:effectExtent l="0" t="0" r="0" b="0"/>
            <wp:wrapNone/>
            <wp:docPr id="130788033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8033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69200" cy="10706414"/>
                    </a:xfrm>
                    <a:prstGeom prst="rect">
                      <a:avLst/>
                    </a:prstGeom>
                  </pic:spPr>
                </pic:pic>
              </a:graphicData>
            </a:graphic>
            <wp14:sizeRelH relativeFrom="margin">
              <wp14:pctWidth>0</wp14:pctWidth>
            </wp14:sizeRelH>
            <wp14:sizeRelV relativeFrom="margin">
              <wp14:pctHeight>0</wp14:pctHeight>
            </wp14:sizeRelV>
          </wp:anchor>
        </w:drawing>
      </w:r>
    </w:p>
    <w:p w14:paraId="04ADCBBB" w14:textId="7780DF7B" w:rsidR="00F533FA" w:rsidRDefault="00F533FA" w:rsidP="00F533FA">
      <w:pPr>
        <w:rPr>
          <w:rFonts w:ascii="SF Pro Heavy" w:hAnsi="SF Pro Heavy"/>
          <w:b/>
          <w:bCs/>
          <w:szCs w:val="22"/>
          <w:lang w:val="en-US"/>
        </w:rPr>
      </w:pPr>
    </w:p>
    <w:p w14:paraId="72412ACC" w14:textId="77777777" w:rsidR="00F533FA" w:rsidRDefault="00F533FA" w:rsidP="00F533FA">
      <w:pPr>
        <w:rPr>
          <w:b/>
          <w:bCs/>
          <w:sz w:val="18"/>
          <w:szCs w:val="18"/>
          <w:lang w:val="en-US"/>
        </w:rPr>
      </w:pPr>
      <w:r>
        <w:rPr>
          <w:b/>
          <w:bCs/>
          <w:sz w:val="18"/>
          <w:szCs w:val="18"/>
          <w:lang w:val="en-US"/>
        </w:rPr>
        <w:br w:type="page"/>
      </w:r>
    </w:p>
    <w:p w14:paraId="203E4253" w14:textId="55A4483A" w:rsidR="00CA0D6B" w:rsidRPr="00BD0E93" w:rsidRDefault="003E31A6" w:rsidP="00280ACE">
      <w:pPr>
        <w:pStyle w:val="Heading1"/>
      </w:pPr>
      <w:bookmarkStart w:id="6" w:name="_Toc203400901"/>
      <w:r w:rsidRPr="00BD0E93">
        <w:lastRenderedPageBreak/>
        <w:t xml:space="preserve">Strategic Objective 2 </w:t>
      </w:r>
      <w:r w:rsidR="00CA0D6B" w:rsidRPr="00BD0E93">
        <w:t xml:space="preserve">– </w:t>
      </w:r>
      <w:r w:rsidRPr="00BD0E93">
        <w:t>Build trust by actively engaging with our stakeholders</w:t>
      </w:r>
      <w:bookmarkEnd w:id="6"/>
    </w:p>
    <w:p w14:paraId="46F5B197" w14:textId="1D9C2712" w:rsidR="003E31A6" w:rsidRPr="00BD0E93" w:rsidRDefault="00133CF6" w:rsidP="007E3914">
      <w:pPr>
        <w:rPr>
          <w:rFonts w:ascii="Arial" w:hAnsi="Arial" w:cs="Arial"/>
          <w:lang w:val="en-US"/>
        </w:rPr>
      </w:pPr>
      <w:r w:rsidRPr="00BD0E93">
        <w:rPr>
          <w:rFonts w:ascii="Arial" w:hAnsi="Arial" w:cs="Arial"/>
          <w:lang w:val="en-US"/>
        </w:rPr>
        <w:t>We will be open and responsive to feedback about our practices and regulatory decisions.</w:t>
      </w:r>
      <w:r w:rsidR="00DC4F79" w:rsidRPr="00BD0E93">
        <w:rPr>
          <w:rFonts w:ascii="Arial" w:hAnsi="Arial" w:cs="Arial"/>
        </w:rPr>
        <w:t> </w:t>
      </w:r>
    </w:p>
    <w:p w14:paraId="6B8975F6" w14:textId="52E4B20E" w:rsidR="003E31A6" w:rsidRPr="00BD0E93" w:rsidRDefault="00C97DF9" w:rsidP="00D3152B">
      <w:pPr>
        <w:spacing w:after="800"/>
        <w:rPr>
          <w:rFonts w:ascii="Arial" w:hAnsi="Arial" w:cs="Arial"/>
          <w:lang w:val="en-US"/>
        </w:rPr>
      </w:pPr>
      <w:r w:rsidRPr="00BD0E93">
        <w:rPr>
          <w:rStyle w:val="Strong"/>
          <w:b w:val="0"/>
          <w:bCs w:val="0"/>
          <w:noProof/>
        </w:rPr>
        <mc:AlternateContent>
          <mc:Choice Requires="wps">
            <w:drawing>
              <wp:anchor distT="0" distB="0" distL="114300" distR="114300" simplePos="0" relativeHeight="251673600" behindDoc="1" locked="0" layoutInCell="1" allowOverlap="1" wp14:anchorId="504F5696" wp14:editId="5F4F5606">
                <wp:simplePos x="0" y="0"/>
                <wp:positionH relativeFrom="column">
                  <wp:posOffset>-788035</wp:posOffset>
                </wp:positionH>
                <wp:positionV relativeFrom="paragraph">
                  <wp:posOffset>1066800</wp:posOffset>
                </wp:positionV>
                <wp:extent cx="7543800" cy="2750820"/>
                <wp:effectExtent l="0" t="0" r="0" b="0"/>
                <wp:wrapNone/>
                <wp:docPr id="890362606"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2750820"/>
                        </a:xfrm>
                        <a:prstGeom prst="rect">
                          <a:avLst/>
                        </a:prstGeom>
                        <a:solidFill>
                          <a:srgbClr val="6486C4">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4BE71" id="Rectangle 4" o:spid="_x0000_s1026" alt="&quot;&quot;" style="position:absolute;margin-left:-62.05pt;margin-top:84pt;width:594pt;height:216.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" fillcolor="#6486c4" stroked="f" strokeweight="1pt">
                <v:fill opacity="13107f"/>
              </v:rect>
            </w:pict>
          </mc:Fallback>
        </mc:AlternateContent>
      </w:r>
      <w:r w:rsidR="00133CF6" w:rsidRPr="00BD0E93">
        <w:rPr>
          <w:rFonts w:ascii="Arial" w:hAnsi="Arial" w:cs="Arial"/>
        </w:rPr>
        <w:t>We engage regularly with our stakeholders, using a range of mechanisms with health practitioners, regulated entities and the public. Ongoing collaboration and engagement with experts and industry bodies has enabled us to build confidence and trust in our decision-making and the globally aligned regulatory framework in which we operate. It also ensures we are responsive to risk and the latest medical and scientific developments.</w:t>
      </w:r>
    </w:p>
    <w:p w14:paraId="27D69844" w14:textId="41BDA5FB" w:rsidR="00CA0D6B" w:rsidRPr="00C50916" w:rsidRDefault="003E31A6" w:rsidP="00C97DF9">
      <w:pPr>
        <w:spacing w:after="360"/>
        <w:rPr>
          <w:rStyle w:val="Strong"/>
        </w:rPr>
      </w:pPr>
      <w:r w:rsidRPr="00C50916">
        <w:rPr>
          <w:rStyle w:val="Strong"/>
        </w:rPr>
        <w:t>Guiding Principles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840"/>
      </w:tblGrid>
      <w:tr w:rsidR="00CA0D6B" w14:paraId="70918CDF" w14:textId="77777777" w:rsidTr="00FF3C03">
        <w:trPr>
          <w:trHeight w:val="677"/>
        </w:trPr>
        <w:tc>
          <w:tcPr>
            <w:tcW w:w="562" w:type="dxa"/>
          </w:tcPr>
          <w:p w14:paraId="6E9C34FA" w14:textId="77777777" w:rsidR="00CA0D6B" w:rsidRPr="00BD0E93" w:rsidRDefault="00CA0D6B" w:rsidP="007E3914">
            <w:pPr>
              <w:rPr>
                <w:rFonts w:ascii="Arial" w:hAnsi="Arial" w:cs="Arial"/>
                <w:lang w:val="en-US"/>
              </w:rPr>
            </w:pPr>
            <w:r w:rsidRPr="00BD0E93">
              <w:rPr>
                <w:rFonts w:ascii="Arial" w:hAnsi="Arial" w:cs="Arial"/>
                <w:lang w:val="en-US"/>
              </w:rPr>
              <w:t xml:space="preserve">2.1   </w:t>
            </w:r>
          </w:p>
        </w:tc>
        <w:tc>
          <w:tcPr>
            <w:tcW w:w="8840" w:type="dxa"/>
          </w:tcPr>
          <w:p w14:paraId="79A95793" w14:textId="2D69DCB9" w:rsidR="00CA0D6B" w:rsidRPr="00BD0E93" w:rsidRDefault="008A69A3" w:rsidP="007E3914">
            <w:pPr>
              <w:rPr>
                <w:rFonts w:ascii="Arial" w:hAnsi="Arial" w:cs="Arial"/>
                <w:lang w:val="en-US"/>
              </w:rPr>
            </w:pPr>
            <w:r w:rsidRPr="00BD0E93">
              <w:rPr>
                <w:rFonts w:ascii="Arial" w:hAnsi="Arial" w:cs="Arial"/>
                <w:lang w:val="en-US"/>
              </w:rPr>
              <w:t>Be responsive to enquiries and provide clear, timely explanations of our regulatory decisions, to build trust and transparency.</w:t>
            </w:r>
          </w:p>
        </w:tc>
      </w:tr>
      <w:tr w:rsidR="00CA0D6B" w14:paraId="4BA5EF96" w14:textId="77777777" w:rsidTr="003E31A6">
        <w:trPr>
          <w:trHeight w:val="983"/>
        </w:trPr>
        <w:tc>
          <w:tcPr>
            <w:tcW w:w="562" w:type="dxa"/>
          </w:tcPr>
          <w:p w14:paraId="1AD64B90" w14:textId="77777777" w:rsidR="00CA0D6B" w:rsidRPr="00BD0E93" w:rsidRDefault="00CA0D6B" w:rsidP="007E3914">
            <w:pPr>
              <w:rPr>
                <w:rFonts w:ascii="Arial" w:hAnsi="Arial" w:cs="Arial"/>
                <w:lang w:val="en-US"/>
              </w:rPr>
            </w:pPr>
            <w:r w:rsidRPr="00BD0E93">
              <w:rPr>
                <w:rFonts w:ascii="Arial" w:hAnsi="Arial" w:cs="Arial"/>
                <w:lang w:val="en-US"/>
              </w:rPr>
              <w:t>2.2</w:t>
            </w:r>
          </w:p>
        </w:tc>
        <w:tc>
          <w:tcPr>
            <w:tcW w:w="8840" w:type="dxa"/>
          </w:tcPr>
          <w:p w14:paraId="2A1D933A" w14:textId="049F469B" w:rsidR="00CA0D6B" w:rsidRPr="00BD0E93" w:rsidRDefault="008A69A3" w:rsidP="007E3914">
            <w:pPr>
              <w:rPr>
                <w:rFonts w:ascii="Arial" w:hAnsi="Arial" w:cs="Arial"/>
                <w:b/>
                <w:bCs/>
                <w:lang w:val="en-US"/>
              </w:rPr>
            </w:pPr>
            <w:r w:rsidRPr="00BD0E93">
              <w:rPr>
                <w:rFonts w:ascii="Arial" w:hAnsi="Arial" w:cs="Arial"/>
                <w:lang w:val="en-US"/>
              </w:rPr>
              <w:t>Communicate effectively to empower health practitioners and industry with the information they need to understand and meet their regulatory obligations, and consumers to safely and effectively use therapeutic goods.</w:t>
            </w:r>
          </w:p>
        </w:tc>
      </w:tr>
      <w:tr w:rsidR="00CA0D6B" w14:paraId="5E3646DD" w14:textId="77777777" w:rsidTr="00FF3C03">
        <w:trPr>
          <w:trHeight w:val="714"/>
        </w:trPr>
        <w:tc>
          <w:tcPr>
            <w:tcW w:w="562" w:type="dxa"/>
          </w:tcPr>
          <w:p w14:paraId="37E52D54" w14:textId="77777777" w:rsidR="00CA0D6B" w:rsidRPr="00BD0E93" w:rsidRDefault="00CA0D6B" w:rsidP="007E3914">
            <w:pPr>
              <w:rPr>
                <w:rFonts w:ascii="Arial" w:hAnsi="Arial" w:cs="Arial"/>
                <w:lang w:val="en-US"/>
              </w:rPr>
            </w:pPr>
            <w:r w:rsidRPr="00BD0E93">
              <w:rPr>
                <w:rFonts w:ascii="Arial" w:hAnsi="Arial" w:cs="Arial"/>
                <w:lang w:val="en-US"/>
              </w:rPr>
              <w:t>2.3</w:t>
            </w:r>
          </w:p>
        </w:tc>
        <w:tc>
          <w:tcPr>
            <w:tcW w:w="8840" w:type="dxa"/>
          </w:tcPr>
          <w:p w14:paraId="6E08AF34" w14:textId="477DD8AF" w:rsidR="00CA0D6B" w:rsidRPr="00BD0E93" w:rsidRDefault="008A69A3" w:rsidP="007E3914">
            <w:pPr>
              <w:rPr>
                <w:rFonts w:ascii="Arial" w:hAnsi="Arial" w:cs="Arial"/>
                <w:b/>
                <w:bCs/>
                <w:lang w:val="en-US"/>
              </w:rPr>
            </w:pPr>
            <w:r w:rsidRPr="00BD0E93">
              <w:rPr>
                <w:rFonts w:ascii="Arial" w:hAnsi="Arial" w:cs="Arial"/>
                <w:lang w:val="en-US"/>
              </w:rPr>
              <w:t>Engage and collaborate proactively with stakeholders impacted by our regulatory activities, to ensure their perspectives are considered.</w:t>
            </w:r>
          </w:p>
        </w:tc>
      </w:tr>
      <w:tr w:rsidR="00CA0D6B" w14:paraId="761A4C1A" w14:textId="77777777" w:rsidTr="00FF3C03">
        <w:tc>
          <w:tcPr>
            <w:tcW w:w="562" w:type="dxa"/>
          </w:tcPr>
          <w:p w14:paraId="6349788E" w14:textId="77777777" w:rsidR="00CA0D6B" w:rsidRPr="00BD0E93" w:rsidRDefault="00CA0D6B" w:rsidP="007E3914">
            <w:pPr>
              <w:rPr>
                <w:rFonts w:ascii="Arial" w:hAnsi="Arial" w:cs="Arial"/>
                <w:lang w:val="en-US"/>
              </w:rPr>
            </w:pPr>
            <w:r w:rsidRPr="00BD0E93">
              <w:rPr>
                <w:rFonts w:ascii="Arial" w:hAnsi="Arial" w:cs="Arial"/>
                <w:lang w:val="en-US"/>
              </w:rPr>
              <w:t>2.3</w:t>
            </w:r>
          </w:p>
        </w:tc>
        <w:tc>
          <w:tcPr>
            <w:tcW w:w="8840" w:type="dxa"/>
          </w:tcPr>
          <w:p w14:paraId="44651D1A" w14:textId="75447133" w:rsidR="00CA0D6B" w:rsidRPr="00BD0E93" w:rsidRDefault="008A69A3" w:rsidP="00D3152B">
            <w:pPr>
              <w:spacing w:after="840"/>
              <w:rPr>
                <w:rFonts w:ascii="Arial" w:hAnsi="Arial" w:cs="Arial"/>
                <w:b/>
                <w:bCs/>
                <w:lang w:val="en-US"/>
              </w:rPr>
            </w:pPr>
            <w:r w:rsidRPr="00BD0E93">
              <w:rPr>
                <w:rFonts w:ascii="Arial" w:hAnsi="Arial" w:cs="Arial"/>
                <w:lang w:val="en-US"/>
              </w:rPr>
              <w:t>Collaborate with domestic and international health system stakeholders to address regulatory issues and adapt to evolving policies, practices and services.</w:t>
            </w:r>
          </w:p>
        </w:tc>
      </w:tr>
    </w:tbl>
    <w:p w14:paraId="69E68398" w14:textId="42783C68" w:rsidR="00CA0D6B" w:rsidRPr="00BD0E93" w:rsidRDefault="00782B4B" w:rsidP="00CA0D6B">
      <w:pPr>
        <w:spacing w:after="360"/>
        <w:rPr>
          <w:rStyle w:val="Strong"/>
        </w:rPr>
      </w:pPr>
      <w:r w:rsidRPr="00BD0E93">
        <w:rPr>
          <w:rStyle w:val="Strong"/>
        </w:rPr>
        <w:t>Our focus for 2025-26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840"/>
      </w:tblGrid>
      <w:tr w:rsidR="00CA0D6B" w14:paraId="64D00301" w14:textId="77777777" w:rsidTr="00984C42">
        <w:trPr>
          <w:trHeight w:val="1716"/>
        </w:trPr>
        <w:tc>
          <w:tcPr>
            <w:tcW w:w="562" w:type="dxa"/>
          </w:tcPr>
          <w:p w14:paraId="4B534BB0" w14:textId="4387AE51" w:rsidR="00CA0D6B" w:rsidRPr="00EB0B66" w:rsidRDefault="00782B4B" w:rsidP="007E3914">
            <w:pPr>
              <w:rPr>
                <w:rFonts w:ascii="Arial" w:hAnsi="Arial" w:cs="Arial"/>
                <w:lang w:val="en-US"/>
              </w:rPr>
            </w:pPr>
            <w:r w:rsidRPr="00EB0B66">
              <w:rPr>
                <w:rFonts w:ascii="Arial" w:hAnsi="Arial" w:cs="Arial"/>
                <w:lang w:val="en-US"/>
              </w:rPr>
              <w:t>2A</w:t>
            </w:r>
          </w:p>
        </w:tc>
        <w:tc>
          <w:tcPr>
            <w:tcW w:w="8840" w:type="dxa"/>
          </w:tcPr>
          <w:p w14:paraId="558B873D" w14:textId="3E1016AF" w:rsidR="00CA0D6B" w:rsidRPr="00BD0E93" w:rsidRDefault="00DF0AF2" w:rsidP="007E3914">
            <w:pPr>
              <w:rPr>
                <w:rFonts w:ascii="Arial" w:hAnsi="Arial" w:cs="Arial"/>
                <w:lang w:val="en-US"/>
              </w:rPr>
            </w:pPr>
            <w:r w:rsidRPr="00BD0E93">
              <w:rPr>
                <w:rFonts w:ascii="Arial" w:hAnsi="Arial" w:cs="Arial"/>
                <w:lang w:val="en-US"/>
              </w:rPr>
              <w:t xml:space="preserve">Enhance engagement and collaboration with domestic and international regulators, co-regulators, enforcement agencies and established networks to improve regulatory efficiency, </w:t>
            </w:r>
            <w:proofErr w:type="spellStart"/>
            <w:r w:rsidRPr="00BD0E93">
              <w:rPr>
                <w:rFonts w:ascii="Arial" w:hAnsi="Arial" w:cs="Arial"/>
                <w:lang w:val="en-US"/>
              </w:rPr>
              <w:t>harmonise</w:t>
            </w:r>
            <w:proofErr w:type="spellEnd"/>
            <w:r w:rsidRPr="00BD0E93">
              <w:rPr>
                <w:rFonts w:ascii="Arial" w:hAnsi="Arial" w:cs="Arial"/>
                <w:lang w:val="en-US"/>
              </w:rPr>
              <w:t xml:space="preserve"> practices, and proactively address compliance risks through a range of initiatives and fora such as the International Medical Device Regulators Forum (IMDRF), Medical Device Single Audit Program (MDSAP), the International Coalition of Medicine Regulatory Authorities (ICMRA), and the Access Consortium.</w:t>
            </w:r>
          </w:p>
        </w:tc>
      </w:tr>
      <w:tr w:rsidR="00CA0D6B" w14:paraId="386C5861" w14:textId="77777777" w:rsidTr="00FF3C03">
        <w:trPr>
          <w:trHeight w:val="732"/>
        </w:trPr>
        <w:tc>
          <w:tcPr>
            <w:tcW w:w="562" w:type="dxa"/>
          </w:tcPr>
          <w:p w14:paraId="1B102105" w14:textId="3C238EB8" w:rsidR="00CA0D6B" w:rsidRPr="00BD0E93" w:rsidRDefault="00782B4B" w:rsidP="007E3914">
            <w:pPr>
              <w:rPr>
                <w:rFonts w:ascii="Arial" w:hAnsi="Arial" w:cs="Arial"/>
                <w:lang w:val="en-US"/>
              </w:rPr>
            </w:pPr>
            <w:r w:rsidRPr="00BD0E93">
              <w:rPr>
                <w:rFonts w:ascii="Arial" w:hAnsi="Arial" w:cs="Arial"/>
                <w:lang w:val="en-US"/>
              </w:rPr>
              <w:t>2B</w:t>
            </w:r>
          </w:p>
        </w:tc>
        <w:tc>
          <w:tcPr>
            <w:tcW w:w="8840" w:type="dxa"/>
          </w:tcPr>
          <w:p w14:paraId="54CF869F" w14:textId="65F93CFA" w:rsidR="00CA0D6B" w:rsidRPr="00BD0E93" w:rsidRDefault="00DF0AF2" w:rsidP="007E3914">
            <w:pPr>
              <w:rPr>
                <w:rFonts w:ascii="Arial" w:hAnsi="Arial" w:cs="Arial"/>
                <w:b/>
                <w:bCs/>
                <w:lang w:val="en-US"/>
              </w:rPr>
            </w:pPr>
            <w:r w:rsidRPr="00BD0E93">
              <w:rPr>
                <w:rFonts w:ascii="Arial" w:hAnsi="Arial" w:cs="Arial"/>
                <w:lang w:val="en-US"/>
              </w:rPr>
              <w:t>Provide comprehensive education and public awareness programs about regulatory obligations and the safe use of therapeutic goods.</w:t>
            </w:r>
          </w:p>
        </w:tc>
      </w:tr>
      <w:tr w:rsidR="00CA0D6B" w14:paraId="41F7DCE4" w14:textId="77777777" w:rsidTr="008906A3">
        <w:trPr>
          <w:trHeight w:val="975"/>
        </w:trPr>
        <w:tc>
          <w:tcPr>
            <w:tcW w:w="562" w:type="dxa"/>
          </w:tcPr>
          <w:p w14:paraId="2F875A2E" w14:textId="6282068A" w:rsidR="00CA0D6B" w:rsidRPr="00BD0E93" w:rsidRDefault="00782B4B" w:rsidP="007E3914">
            <w:pPr>
              <w:rPr>
                <w:rFonts w:ascii="Arial" w:hAnsi="Arial" w:cs="Arial"/>
                <w:lang w:val="en-US"/>
              </w:rPr>
            </w:pPr>
            <w:r w:rsidRPr="00BD0E93">
              <w:rPr>
                <w:rFonts w:ascii="Arial" w:hAnsi="Arial" w:cs="Arial"/>
                <w:lang w:val="en-US"/>
              </w:rPr>
              <w:t>2C</w:t>
            </w:r>
          </w:p>
        </w:tc>
        <w:tc>
          <w:tcPr>
            <w:tcW w:w="8840" w:type="dxa"/>
          </w:tcPr>
          <w:p w14:paraId="769B617D" w14:textId="45BF35C3" w:rsidR="00CA0D6B" w:rsidRPr="00BD0E93" w:rsidRDefault="00DF0AF2" w:rsidP="007E3914">
            <w:pPr>
              <w:rPr>
                <w:rFonts w:ascii="Arial" w:hAnsi="Arial" w:cs="Arial"/>
                <w:b/>
                <w:bCs/>
                <w:lang w:val="en-US"/>
              </w:rPr>
            </w:pPr>
            <w:r w:rsidRPr="00BD0E93">
              <w:rPr>
                <w:rFonts w:ascii="Arial" w:hAnsi="Arial" w:cs="Arial"/>
                <w:lang w:val="en-US"/>
              </w:rPr>
              <w:t>Continue collaboration with regulatory bodies and health authorities within the Pacific and South-East Asian regions, primarily through the Regulatory Strengthening Program and the Pacific Medicines Testing Program.</w:t>
            </w:r>
          </w:p>
        </w:tc>
      </w:tr>
      <w:tr w:rsidR="00CA0D6B" w14:paraId="49C27B8C" w14:textId="77777777" w:rsidTr="00984C42">
        <w:trPr>
          <w:trHeight w:val="1000"/>
        </w:trPr>
        <w:tc>
          <w:tcPr>
            <w:tcW w:w="562" w:type="dxa"/>
          </w:tcPr>
          <w:p w14:paraId="5CE1E0A2" w14:textId="414ADEFE" w:rsidR="00CA0D6B" w:rsidRPr="00EB0B66" w:rsidRDefault="00782B4B" w:rsidP="007E3914">
            <w:pPr>
              <w:rPr>
                <w:rFonts w:ascii="Arial" w:hAnsi="Arial" w:cs="Arial"/>
                <w:lang w:val="en-US"/>
              </w:rPr>
            </w:pPr>
            <w:r w:rsidRPr="00EB0B66">
              <w:rPr>
                <w:rFonts w:ascii="Arial" w:hAnsi="Arial" w:cs="Arial"/>
                <w:lang w:val="en-US"/>
              </w:rPr>
              <w:t>2D</w:t>
            </w:r>
          </w:p>
        </w:tc>
        <w:tc>
          <w:tcPr>
            <w:tcW w:w="8840" w:type="dxa"/>
          </w:tcPr>
          <w:p w14:paraId="49A13D89" w14:textId="058FCB7E" w:rsidR="00CA0D6B" w:rsidRPr="00BD0E93" w:rsidRDefault="00DF0AF2" w:rsidP="007E3914">
            <w:pPr>
              <w:rPr>
                <w:rFonts w:ascii="Arial" w:hAnsi="Arial" w:cs="Arial"/>
                <w:b/>
                <w:bCs/>
                <w:lang w:val="en-US"/>
              </w:rPr>
            </w:pPr>
            <w:r w:rsidRPr="00BD0E93">
              <w:rPr>
                <w:rFonts w:ascii="Arial" w:hAnsi="Arial" w:cs="Arial"/>
                <w:lang w:val="en-US"/>
              </w:rPr>
              <w:t>Transition our World Health Organization status from Stringent Regulatory Authority (SRA) to WHO-Listed Authority (WLA), which replaces SRA under WHO’s regulatory system strengthening framework.</w:t>
            </w:r>
          </w:p>
        </w:tc>
      </w:tr>
      <w:tr w:rsidR="00CA0D6B" w14:paraId="3AECD7E4" w14:textId="77777777" w:rsidTr="00FF3C03">
        <w:trPr>
          <w:trHeight w:val="674"/>
        </w:trPr>
        <w:tc>
          <w:tcPr>
            <w:tcW w:w="562" w:type="dxa"/>
          </w:tcPr>
          <w:p w14:paraId="450A8E57" w14:textId="346557F4" w:rsidR="00CA0D6B" w:rsidRPr="00EB0B66" w:rsidRDefault="00782B4B" w:rsidP="007E3914">
            <w:pPr>
              <w:rPr>
                <w:rFonts w:ascii="Arial" w:hAnsi="Arial" w:cs="Arial"/>
                <w:lang w:val="en-US"/>
              </w:rPr>
            </w:pPr>
            <w:r w:rsidRPr="00EB0B66">
              <w:rPr>
                <w:rFonts w:ascii="Arial" w:hAnsi="Arial" w:cs="Arial"/>
                <w:lang w:val="en-US"/>
              </w:rPr>
              <w:t>2E</w:t>
            </w:r>
          </w:p>
        </w:tc>
        <w:tc>
          <w:tcPr>
            <w:tcW w:w="8840" w:type="dxa"/>
          </w:tcPr>
          <w:p w14:paraId="41036956" w14:textId="16B2CDC0" w:rsidR="00CA0D6B" w:rsidRPr="00BD0E93" w:rsidRDefault="00DF0AF2" w:rsidP="007E3914">
            <w:pPr>
              <w:rPr>
                <w:rFonts w:ascii="Arial" w:hAnsi="Arial" w:cs="Arial"/>
                <w:lang w:val="en-US"/>
              </w:rPr>
            </w:pPr>
            <w:r w:rsidRPr="00BD0E93">
              <w:rPr>
                <w:rFonts w:ascii="Arial" w:hAnsi="Arial" w:cs="Arial"/>
              </w:rPr>
              <w:t>Improve the reporting and management processes for complaints made to the TGA.</w:t>
            </w:r>
          </w:p>
        </w:tc>
      </w:tr>
    </w:tbl>
    <w:p w14:paraId="1ED213FF" w14:textId="5C13024C" w:rsidR="00946630" w:rsidRPr="00B47C91" w:rsidRDefault="003C3CE3" w:rsidP="00280ACE">
      <w:pPr>
        <w:pStyle w:val="Heading1"/>
      </w:pPr>
      <w:bookmarkStart w:id="7" w:name="_Toc203400902"/>
      <w:r w:rsidRPr="00B47C91">
        <w:lastRenderedPageBreak/>
        <w:t xml:space="preserve">Strategic Objective 3 </w:t>
      </w:r>
      <w:r w:rsidR="00946630" w:rsidRPr="00B47C91">
        <w:t xml:space="preserve">– </w:t>
      </w:r>
      <w:r w:rsidRPr="00B47C91">
        <w:t>Promote and enforce compliance with regulatory requirements</w:t>
      </w:r>
      <w:bookmarkEnd w:id="7"/>
    </w:p>
    <w:p w14:paraId="6EA30D24" w14:textId="01B5EA51" w:rsidR="003C3CE3" w:rsidRPr="00B47C91" w:rsidRDefault="00F92F3F" w:rsidP="003C3CE3">
      <w:pPr>
        <w:rPr>
          <w:rFonts w:ascii="Arial" w:hAnsi="Arial" w:cs="Arial"/>
          <w:szCs w:val="22"/>
          <w:lang w:val="en-US"/>
        </w:rPr>
      </w:pPr>
      <w:r w:rsidRPr="00B47C91">
        <w:rPr>
          <w:rFonts w:ascii="Arial" w:hAnsi="Arial" w:cs="Arial"/>
          <w:szCs w:val="22"/>
          <w:lang w:val="en-US"/>
        </w:rPr>
        <w:t>We will encourage compliance, foster best practice, establish trust with the regulated community, and assist businesses and individuals to comply with the requirements of the law.</w:t>
      </w:r>
    </w:p>
    <w:p w14:paraId="268B2070" w14:textId="23197755" w:rsidR="003C3CE3" w:rsidRPr="00B47C91" w:rsidRDefault="00C97DF9" w:rsidP="00C97DF9">
      <w:pPr>
        <w:spacing w:after="960"/>
        <w:rPr>
          <w:rFonts w:ascii="Arial" w:hAnsi="Arial" w:cs="Arial"/>
          <w:szCs w:val="22"/>
          <w:lang w:val="en-US"/>
        </w:rPr>
      </w:pPr>
      <w:r w:rsidRPr="00B47C91">
        <w:rPr>
          <w:rFonts w:ascii="Arial" w:hAnsi="Arial" w:cs="Arial"/>
          <w:noProof/>
          <w:szCs w:val="22"/>
          <w:lang w:val="en-US"/>
        </w:rPr>
        <mc:AlternateContent>
          <mc:Choice Requires="wps">
            <w:drawing>
              <wp:anchor distT="0" distB="0" distL="114300" distR="114300" simplePos="0" relativeHeight="251675648" behindDoc="1" locked="0" layoutInCell="1" allowOverlap="1" wp14:anchorId="1558B343" wp14:editId="27DA40BA">
                <wp:simplePos x="0" y="0"/>
                <wp:positionH relativeFrom="column">
                  <wp:posOffset>-783378</wp:posOffset>
                </wp:positionH>
                <wp:positionV relativeFrom="paragraph">
                  <wp:posOffset>799888</wp:posOffset>
                </wp:positionV>
                <wp:extent cx="7543800" cy="1998134"/>
                <wp:effectExtent l="0" t="0" r="0" b="2540"/>
                <wp:wrapNone/>
                <wp:docPr id="382185197"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1998134"/>
                        </a:xfrm>
                        <a:prstGeom prst="rect">
                          <a:avLst/>
                        </a:prstGeom>
                        <a:solidFill>
                          <a:srgbClr val="7DC242">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6D8D5" id="Rectangle 4" o:spid="_x0000_s1026" alt="&quot;&quot;" style="position:absolute;margin-left:-61.7pt;margin-top:63pt;width:594pt;height:157.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" fillcolor="#7dc242" stroked="f" strokeweight="1pt">
                <v:fill opacity="13107f"/>
              </v:rect>
            </w:pict>
          </mc:Fallback>
        </mc:AlternateContent>
      </w:r>
      <w:r w:rsidR="00F92F3F" w:rsidRPr="00B47C91">
        <w:rPr>
          <w:rFonts w:ascii="Arial" w:hAnsi="Arial" w:cs="Arial"/>
          <w:szCs w:val="22"/>
          <w:lang w:val="en-US"/>
        </w:rPr>
        <w:t xml:space="preserve">Information collected from risk and intelligence assessments, allegations we receive, and our monitoring activities will be used to identify trends in non-compliance, </w:t>
      </w:r>
      <w:proofErr w:type="spellStart"/>
      <w:r w:rsidR="00F92F3F" w:rsidRPr="00B47C91">
        <w:rPr>
          <w:rFonts w:ascii="Arial" w:hAnsi="Arial" w:cs="Arial"/>
          <w:szCs w:val="22"/>
          <w:lang w:val="en-US"/>
        </w:rPr>
        <w:t>prioritise</w:t>
      </w:r>
      <w:proofErr w:type="spellEnd"/>
      <w:r w:rsidR="00F92F3F" w:rsidRPr="00B47C91">
        <w:rPr>
          <w:rFonts w:ascii="Arial" w:hAnsi="Arial" w:cs="Arial"/>
          <w:szCs w:val="22"/>
          <w:lang w:val="en-US"/>
        </w:rPr>
        <w:t xml:space="preserve"> our activities and allocate resources proportionate to risk</w:t>
      </w:r>
      <w:r w:rsidR="00A67548" w:rsidRPr="00B47C91">
        <w:rPr>
          <w:rFonts w:ascii="Arial" w:hAnsi="Arial" w:cs="Arial"/>
          <w:szCs w:val="22"/>
          <w:lang w:val="en-US"/>
        </w:rPr>
        <w:t>.</w:t>
      </w:r>
    </w:p>
    <w:p w14:paraId="7E374DFB" w14:textId="58DCE9FB" w:rsidR="00946630" w:rsidRPr="00280ACE" w:rsidRDefault="003C3CE3" w:rsidP="00C97DF9">
      <w:pPr>
        <w:spacing w:after="360"/>
        <w:rPr>
          <w:rStyle w:val="Strong"/>
        </w:rPr>
      </w:pPr>
      <w:r w:rsidRPr="00280ACE">
        <w:rPr>
          <w:rStyle w:val="Strong"/>
        </w:rPr>
        <w:t>Guiding Principles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840"/>
      </w:tblGrid>
      <w:tr w:rsidR="00946630" w14:paraId="4A447B98" w14:textId="77777777" w:rsidTr="009675DB">
        <w:trPr>
          <w:trHeight w:val="522"/>
        </w:trPr>
        <w:tc>
          <w:tcPr>
            <w:tcW w:w="562" w:type="dxa"/>
          </w:tcPr>
          <w:p w14:paraId="2AB7889A" w14:textId="09976D06" w:rsidR="00946630" w:rsidRPr="00B47C91" w:rsidRDefault="003C3CE3" w:rsidP="00FF3C03">
            <w:pPr>
              <w:rPr>
                <w:rFonts w:ascii="Arial" w:hAnsi="Arial" w:cs="Arial"/>
                <w:szCs w:val="22"/>
                <w:lang w:val="en-US"/>
              </w:rPr>
            </w:pPr>
            <w:r w:rsidRPr="00B47C91">
              <w:rPr>
                <w:rFonts w:ascii="Arial" w:hAnsi="Arial" w:cs="Arial"/>
                <w:szCs w:val="22"/>
                <w:lang w:val="en-US"/>
              </w:rPr>
              <w:t>3</w:t>
            </w:r>
            <w:r w:rsidR="00946630" w:rsidRPr="00B47C91">
              <w:rPr>
                <w:rFonts w:ascii="Arial" w:hAnsi="Arial" w:cs="Arial"/>
                <w:szCs w:val="22"/>
                <w:lang w:val="en-US"/>
              </w:rPr>
              <w:t>.1</w:t>
            </w:r>
          </w:p>
        </w:tc>
        <w:tc>
          <w:tcPr>
            <w:tcW w:w="8840" w:type="dxa"/>
          </w:tcPr>
          <w:p w14:paraId="5E003D82" w14:textId="37CEAB52" w:rsidR="00946630" w:rsidRPr="00B47C91" w:rsidRDefault="00903033" w:rsidP="00FF3C03">
            <w:pPr>
              <w:rPr>
                <w:rFonts w:ascii="Arial" w:hAnsi="Arial" w:cs="Arial"/>
                <w:szCs w:val="22"/>
                <w:lang w:val="en-US"/>
              </w:rPr>
            </w:pPr>
            <w:r w:rsidRPr="00B47C91">
              <w:rPr>
                <w:rFonts w:ascii="Arial" w:hAnsi="Arial" w:cs="Arial"/>
                <w:szCs w:val="22"/>
                <w:lang w:val="en-US"/>
              </w:rPr>
              <w:t>Use data and intelligence to identify and manage non-compliance risks.</w:t>
            </w:r>
          </w:p>
        </w:tc>
      </w:tr>
      <w:tr w:rsidR="00946630" w14:paraId="132DA33E" w14:textId="77777777" w:rsidTr="00523B83">
        <w:trPr>
          <w:trHeight w:val="517"/>
        </w:trPr>
        <w:tc>
          <w:tcPr>
            <w:tcW w:w="562" w:type="dxa"/>
          </w:tcPr>
          <w:p w14:paraId="4046481E" w14:textId="53E1BF25" w:rsidR="00946630" w:rsidRPr="00B47C91" w:rsidRDefault="003C3CE3" w:rsidP="00FF3C03">
            <w:pPr>
              <w:rPr>
                <w:rFonts w:ascii="Arial" w:hAnsi="Arial" w:cs="Arial"/>
                <w:szCs w:val="22"/>
                <w:lang w:val="en-US"/>
              </w:rPr>
            </w:pPr>
            <w:r w:rsidRPr="00B47C91">
              <w:rPr>
                <w:rFonts w:ascii="Arial" w:hAnsi="Arial" w:cs="Arial"/>
                <w:szCs w:val="22"/>
                <w:lang w:val="en-US"/>
              </w:rPr>
              <w:t>3</w:t>
            </w:r>
            <w:r w:rsidR="00946630" w:rsidRPr="00B47C91">
              <w:rPr>
                <w:rFonts w:ascii="Arial" w:hAnsi="Arial" w:cs="Arial"/>
                <w:szCs w:val="22"/>
                <w:lang w:val="en-US"/>
              </w:rPr>
              <w:t>.2</w:t>
            </w:r>
          </w:p>
        </w:tc>
        <w:tc>
          <w:tcPr>
            <w:tcW w:w="8840" w:type="dxa"/>
          </w:tcPr>
          <w:p w14:paraId="63496ED4" w14:textId="6C460B45" w:rsidR="00DB77D6" w:rsidRPr="00B47C91" w:rsidRDefault="00903033" w:rsidP="00FF3C03">
            <w:pPr>
              <w:rPr>
                <w:rFonts w:ascii="Arial" w:hAnsi="Arial" w:cs="Arial"/>
                <w:szCs w:val="22"/>
                <w:lang w:val="en-US"/>
              </w:rPr>
            </w:pPr>
            <w:proofErr w:type="spellStart"/>
            <w:r w:rsidRPr="00B47C91">
              <w:rPr>
                <w:rFonts w:ascii="Arial" w:hAnsi="Arial" w:cs="Arial"/>
                <w:szCs w:val="22"/>
                <w:lang w:val="en-US"/>
              </w:rPr>
              <w:t>Prioritise</w:t>
            </w:r>
            <w:proofErr w:type="spellEnd"/>
            <w:r w:rsidRPr="00B47C91">
              <w:rPr>
                <w:rFonts w:ascii="Arial" w:hAnsi="Arial" w:cs="Arial"/>
                <w:szCs w:val="22"/>
                <w:lang w:val="en-US"/>
              </w:rPr>
              <w:t xml:space="preserve"> and address serious non-compliance through a risk-based approach.</w:t>
            </w:r>
          </w:p>
        </w:tc>
      </w:tr>
      <w:tr w:rsidR="00946630" w14:paraId="401962CF" w14:textId="77777777" w:rsidTr="00FF3C03">
        <w:trPr>
          <w:trHeight w:val="714"/>
        </w:trPr>
        <w:tc>
          <w:tcPr>
            <w:tcW w:w="562" w:type="dxa"/>
          </w:tcPr>
          <w:p w14:paraId="58DC4E66" w14:textId="342B76A3" w:rsidR="00946630" w:rsidRPr="00B47C91" w:rsidRDefault="003C3CE3" w:rsidP="00FF3C03">
            <w:pPr>
              <w:rPr>
                <w:rFonts w:ascii="Arial" w:hAnsi="Arial" w:cs="Arial"/>
                <w:szCs w:val="22"/>
                <w:lang w:val="en-US"/>
              </w:rPr>
            </w:pPr>
            <w:r w:rsidRPr="00B47C91">
              <w:rPr>
                <w:rFonts w:ascii="Arial" w:hAnsi="Arial" w:cs="Arial"/>
                <w:szCs w:val="22"/>
                <w:lang w:val="en-US"/>
              </w:rPr>
              <w:t>3</w:t>
            </w:r>
            <w:r w:rsidR="00946630" w:rsidRPr="00B47C91">
              <w:rPr>
                <w:rFonts w:ascii="Arial" w:hAnsi="Arial" w:cs="Arial"/>
                <w:szCs w:val="22"/>
                <w:lang w:val="en-US"/>
              </w:rPr>
              <w:t>.3</w:t>
            </w:r>
          </w:p>
        </w:tc>
        <w:tc>
          <w:tcPr>
            <w:tcW w:w="8840" w:type="dxa"/>
          </w:tcPr>
          <w:p w14:paraId="16B886D5" w14:textId="51AB1C81" w:rsidR="00946630" w:rsidRPr="00B47C91" w:rsidRDefault="00903033" w:rsidP="00597233">
            <w:pPr>
              <w:spacing w:after="960"/>
              <w:rPr>
                <w:rFonts w:ascii="Arial" w:hAnsi="Arial" w:cs="Arial"/>
              </w:rPr>
            </w:pPr>
            <w:r w:rsidRPr="00B47C91">
              <w:rPr>
                <w:rFonts w:ascii="Arial" w:hAnsi="Arial" w:cs="Arial"/>
              </w:rPr>
              <w:t>Ensure proportional assessment of and response to product safety, quality, efficacy and performance issues.</w:t>
            </w:r>
          </w:p>
        </w:tc>
      </w:tr>
    </w:tbl>
    <w:p w14:paraId="7E1D8356" w14:textId="62A1B123" w:rsidR="00946630" w:rsidRPr="00280ACE" w:rsidRDefault="00521ED9" w:rsidP="00946630">
      <w:pPr>
        <w:spacing w:after="360"/>
        <w:rPr>
          <w:rStyle w:val="Strong"/>
        </w:rPr>
      </w:pPr>
      <w:r w:rsidRPr="00280ACE">
        <w:rPr>
          <w:rStyle w:val="Strong"/>
        </w:rPr>
        <w:t>Our focus areas for 2025-26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840"/>
      </w:tblGrid>
      <w:tr w:rsidR="00946630" w14:paraId="3648A4A9" w14:textId="77777777" w:rsidTr="00903033">
        <w:trPr>
          <w:trHeight w:val="1277"/>
        </w:trPr>
        <w:tc>
          <w:tcPr>
            <w:tcW w:w="562" w:type="dxa"/>
          </w:tcPr>
          <w:p w14:paraId="4D4466E3" w14:textId="391BB2A0" w:rsidR="00946630" w:rsidRPr="00B47C91" w:rsidRDefault="003468F5" w:rsidP="00FF3C03">
            <w:pPr>
              <w:rPr>
                <w:rFonts w:ascii="Arial" w:hAnsi="Arial" w:cs="Arial"/>
                <w:szCs w:val="22"/>
                <w:lang w:val="en-US"/>
              </w:rPr>
            </w:pPr>
            <w:r w:rsidRPr="00B47C91">
              <w:rPr>
                <w:rFonts w:ascii="Arial" w:hAnsi="Arial" w:cs="Arial"/>
                <w:szCs w:val="22"/>
                <w:lang w:val="en-US"/>
              </w:rPr>
              <w:t>3A</w:t>
            </w:r>
          </w:p>
        </w:tc>
        <w:tc>
          <w:tcPr>
            <w:tcW w:w="8840" w:type="dxa"/>
          </w:tcPr>
          <w:p w14:paraId="542BFAFD" w14:textId="47F2EACF" w:rsidR="0064136A" w:rsidRPr="00B47C91" w:rsidRDefault="00903033" w:rsidP="00FF3C03">
            <w:pPr>
              <w:rPr>
                <w:rFonts w:ascii="Arial" w:hAnsi="Arial" w:cs="Arial"/>
                <w:szCs w:val="22"/>
                <w:lang w:val="en-US"/>
              </w:rPr>
            </w:pPr>
            <w:r w:rsidRPr="00B47C91">
              <w:rPr>
                <w:rFonts w:ascii="Arial" w:hAnsi="Arial" w:cs="Arial"/>
                <w:szCs w:val="22"/>
                <w:lang w:val="en-US"/>
              </w:rPr>
              <w:t>Implement enhancements to medical device and medicine adverse event reporting, including progressing the Medicine Adverse Event Data Exchange (MAEDX) Project, implementing mandatory reporting related to medical devices by healthcare facilities, and managing relevant programs.</w:t>
            </w:r>
          </w:p>
        </w:tc>
      </w:tr>
      <w:tr w:rsidR="00946630" w14:paraId="182880B4" w14:textId="77777777" w:rsidTr="00903033">
        <w:trPr>
          <w:trHeight w:val="997"/>
        </w:trPr>
        <w:tc>
          <w:tcPr>
            <w:tcW w:w="562" w:type="dxa"/>
          </w:tcPr>
          <w:p w14:paraId="1BE1BEB0" w14:textId="754975AC" w:rsidR="00946630" w:rsidRPr="00B47C91" w:rsidRDefault="003468F5" w:rsidP="00FF3C03">
            <w:pPr>
              <w:rPr>
                <w:rFonts w:ascii="Arial" w:hAnsi="Arial" w:cs="Arial"/>
                <w:szCs w:val="22"/>
                <w:lang w:val="en-US"/>
              </w:rPr>
            </w:pPr>
            <w:r w:rsidRPr="00B47C91">
              <w:rPr>
                <w:rFonts w:ascii="Arial" w:hAnsi="Arial" w:cs="Arial"/>
                <w:szCs w:val="22"/>
                <w:lang w:val="en-US"/>
              </w:rPr>
              <w:t>3B</w:t>
            </w:r>
          </w:p>
        </w:tc>
        <w:tc>
          <w:tcPr>
            <w:tcW w:w="8840" w:type="dxa"/>
          </w:tcPr>
          <w:p w14:paraId="3E5D30DE" w14:textId="7B788FE9" w:rsidR="0064136A" w:rsidRPr="00B47C91" w:rsidRDefault="00903033" w:rsidP="00FF3C03">
            <w:pPr>
              <w:rPr>
                <w:rFonts w:ascii="Arial" w:hAnsi="Arial" w:cs="Arial"/>
                <w:b/>
                <w:bCs/>
                <w:szCs w:val="22"/>
                <w:lang w:val="en-US"/>
              </w:rPr>
            </w:pPr>
            <w:r w:rsidRPr="00B47C91">
              <w:rPr>
                <w:rFonts w:ascii="Arial" w:hAnsi="Arial" w:cs="Arial"/>
                <w:szCs w:val="22"/>
                <w:lang w:val="en-US"/>
              </w:rPr>
              <w:t>Promote and enforce compliance with regulatory requirements through targeted education initiatives including communication campaigns encouraging voluntary compliance and intelligence-informed risk-based enforcement activities.</w:t>
            </w:r>
          </w:p>
        </w:tc>
      </w:tr>
      <w:tr w:rsidR="00946630" w14:paraId="6C7706BB" w14:textId="77777777" w:rsidTr="00FF3C03">
        <w:trPr>
          <w:trHeight w:val="714"/>
        </w:trPr>
        <w:tc>
          <w:tcPr>
            <w:tcW w:w="562" w:type="dxa"/>
          </w:tcPr>
          <w:p w14:paraId="64DE3AE0" w14:textId="53116654" w:rsidR="00946630" w:rsidRPr="00B47C91" w:rsidRDefault="003468F5" w:rsidP="00FF3C03">
            <w:pPr>
              <w:rPr>
                <w:rFonts w:ascii="Arial" w:hAnsi="Arial" w:cs="Arial"/>
                <w:szCs w:val="22"/>
                <w:lang w:val="en-US"/>
              </w:rPr>
            </w:pPr>
            <w:r w:rsidRPr="00B47C91">
              <w:rPr>
                <w:rFonts w:ascii="Arial" w:hAnsi="Arial" w:cs="Arial"/>
                <w:szCs w:val="22"/>
                <w:lang w:val="en-US"/>
              </w:rPr>
              <w:t>3C</w:t>
            </w:r>
          </w:p>
        </w:tc>
        <w:tc>
          <w:tcPr>
            <w:tcW w:w="8840" w:type="dxa"/>
          </w:tcPr>
          <w:p w14:paraId="3C859A23" w14:textId="34CDC3E6" w:rsidR="00946630" w:rsidRPr="00B47C91" w:rsidRDefault="00903033" w:rsidP="00FF3C03">
            <w:pPr>
              <w:rPr>
                <w:rFonts w:ascii="Arial" w:hAnsi="Arial" w:cs="Arial"/>
                <w:b/>
                <w:bCs/>
                <w:szCs w:val="22"/>
                <w:lang w:val="en-US"/>
              </w:rPr>
            </w:pPr>
            <w:r w:rsidRPr="00B47C91">
              <w:rPr>
                <w:rFonts w:ascii="Arial" w:hAnsi="Arial" w:cs="Arial"/>
                <w:szCs w:val="22"/>
                <w:lang w:val="en-US"/>
              </w:rPr>
              <w:t>Implement and enforce vaping regulatory reforms through system development and risk-based compliance activities.</w:t>
            </w:r>
          </w:p>
        </w:tc>
      </w:tr>
    </w:tbl>
    <w:p w14:paraId="52795FB0" w14:textId="77777777" w:rsidR="00946630" w:rsidRDefault="00946630" w:rsidP="00946630">
      <w:pPr>
        <w:rPr>
          <w:rFonts w:ascii="SF Pro Heavy" w:hAnsi="SF Pro Heavy"/>
          <w:b/>
          <w:bCs/>
          <w:szCs w:val="22"/>
          <w:lang w:val="en-US"/>
        </w:rPr>
      </w:pPr>
    </w:p>
    <w:p w14:paraId="374A32B0" w14:textId="36129D13" w:rsidR="00B868BF" w:rsidRDefault="00B868BF">
      <w:pPr>
        <w:rPr>
          <w:sz w:val="18"/>
          <w:szCs w:val="18"/>
        </w:rPr>
      </w:pPr>
      <w:r>
        <w:rPr>
          <w:sz w:val="18"/>
          <w:szCs w:val="18"/>
        </w:rPr>
        <w:br w:type="page"/>
      </w:r>
    </w:p>
    <w:p w14:paraId="6A7B11E1" w14:textId="3460AEF6" w:rsidR="00B868BF" w:rsidRPr="00280ACE" w:rsidRDefault="00361E84" w:rsidP="00280ACE">
      <w:pPr>
        <w:pStyle w:val="Heading1"/>
      </w:pPr>
      <w:bookmarkStart w:id="8" w:name="_Toc203400903"/>
      <w:r w:rsidRPr="00280ACE">
        <w:lastRenderedPageBreak/>
        <w:t xml:space="preserve">Strategic Objective 4 </w:t>
      </w:r>
      <w:r w:rsidR="00B868BF" w:rsidRPr="00280ACE">
        <w:t xml:space="preserve">– </w:t>
      </w:r>
      <w:r w:rsidRPr="00280ACE">
        <w:t>Innovate and continuously improve</w:t>
      </w:r>
      <w:bookmarkEnd w:id="8"/>
    </w:p>
    <w:p w14:paraId="52D6AA97" w14:textId="43C57509" w:rsidR="00361E84" w:rsidRPr="00B47C91" w:rsidRDefault="00BD3402" w:rsidP="00361E84">
      <w:pPr>
        <w:rPr>
          <w:rFonts w:ascii="Arial" w:hAnsi="Arial" w:cs="Arial"/>
          <w:szCs w:val="22"/>
          <w:lang w:val="en-US"/>
        </w:rPr>
      </w:pPr>
      <w:r w:rsidRPr="00B47C91">
        <w:rPr>
          <w:rFonts w:ascii="Arial" w:hAnsi="Arial" w:cs="Arial"/>
          <w:szCs w:val="22"/>
          <w:lang w:val="en-US"/>
        </w:rPr>
        <w:t xml:space="preserve">We will continuously improve our performance and make regulatory decisions in the context of their </w:t>
      </w:r>
      <w:r w:rsidR="00FC3CBE" w:rsidRPr="00B47C91">
        <w:rPr>
          <w:rFonts w:ascii="Arial" w:hAnsi="Arial" w:cs="Arial"/>
          <w:szCs w:val="22"/>
          <w:lang w:val="en-US"/>
        </w:rPr>
        <w:t>impact</w:t>
      </w:r>
      <w:r w:rsidRPr="00B47C91">
        <w:rPr>
          <w:rFonts w:ascii="Arial" w:hAnsi="Arial" w:cs="Arial"/>
          <w:szCs w:val="22"/>
          <w:lang w:val="en-US"/>
        </w:rPr>
        <w:t xml:space="preserve"> on the whole health system</w:t>
      </w:r>
      <w:r w:rsidR="00C7074A" w:rsidRPr="00B47C91">
        <w:rPr>
          <w:rFonts w:ascii="Arial" w:hAnsi="Arial" w:cs="Arial"/>
          <w:szCs w:val="22"/>
          <w:lang w:val="en-US"/>
        </w:rPr>
        <w:t>.</w:t>
      </w:r>
      <w:r w:rsidR="00C7074A" w:rsidRPr="00B47C91">
        <w:rPr>
          <w:rFonts w:ascii="Arial" w:hAnsi="Arial" w:cs="Arial"/>
          <w:szCs w:val="22"/>
        </w:rPr>
        <w:t> </w:t>
      </w:r>
    </w:p>
    <w:p w14:paraId="7946941A" w14:textId="54E6AD78" w:rsidR="00361E84" w:rsidRPr="00B47C91" w:rsidRDefault="00C97DF9" w:rsidP="00C97DF9">
      <w:pPr>
        <w:spacing w:after="960"/>
        <w:rPr>
          <w:rFonts w:ascii="Arial" w:hAnsi="Arial" w:cs="Arial"/>
          <w:b/>
          <w:bCs/>
          <w:szCs w:val="22"/>
          <w:lang w:val="en-US"/>
        </w:rPr>
      </w:pPr>
      <w:r w:rsidRPr="00B47C91">
        <w:rPr>
          <w:rFonts w:ascii="Arial" w:hAnsi="Arial" w:cs="Arial"/>
          <w:noProof/>
          <w:szCs w:val="22"/>
          <w:lang w:val="en-US"/>
        </w:rPr>
        <mc:AlternateContent>
          <mc:Choice Requires="wps">
            <w:drawing>
              <wp:anchor distT="0" distB="0" distL="114300" distR="114300" simplePos="0" relativeHeight="251677696" behindDoc="1" locked="0" layoutInCell="1" allowOverlap="1" wp14:anchorId="74426012" wp14:editId="675B3CDA">
                <wp:simplePos x="0" y="0"/>
                <wp:positionH relativeFrom="column">
                  <wp:posOffset>-791845</wp:posOffset>
                </wp:positionH>
                <wp:positionV relativeFrom="paragraph">
                  <wp:posOffset>634576</wp:posOffset>
                </wp:positionV>
                <wp:extent cx="7543800" cy="1617133"/>
                <wp:effectExtent l="0" t="0" r="0" b="2540"/>
                <wp:wrapNone/>
                <wp:docPr id="1392988036"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1617133"/>
                        </a:xfrm>
                        <a:prstGeom prst="rect">
                          <a:avLst/>
                        </a:prstGeom>
                        <a:solidFill>
                          <a:srgbClr val="745BA7">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D3165" id="Rectangle 4" o:spid="_x0000_s1026" alt="&quot;&quot;" style="position:absolute;margin-left:-62.35pt;margin-top:49.95pt;width:594pt;height:127.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" fillcolor="#745ba7" stroked="f" strokeweight="1pt">
                <v:fill opacity="13107f"/>
              </v:rect>
            </w:pict>
          </mc:Fallback>
        </mc:AlternateContent>
      </w:r>
      <w:r w:rsidR="00BD3402" w:rsidRPr="00B47C91">
        <w:rPr>
          <w:rFonts w:ascii="Arial" w:hAnsi="Arial" w:cs="Arial"/>
          <w:szCs w:val="22"/>
          <w:lang w:val="en-US"/>
        </w:rPr>
        <w:t xml:space="preserve">We will do this by building staff capability and sustaining a culture that identifies, develops and </w:t>
      </w:r>
      <w:r w:rsidR="00BD3402" w:rsidRPr="00280ACE">
        <w:rPr>
          <w:rFonts w:ascii="Arial" w:hAnsi="Arial" w:cs="Arial"/>
          <w:szCs w:val="22"/>
          <w:lang w:val="en-US"/>
        </w:rPr>
        <w:t>implements improved practices</w:t>
      </w:r>
      <w:r w:rsidR="00C7074A" w:rsidRPr="00B47C91">
        <w:rPr>
          <w:rFonts w:ascii="Arial" w:hAnsi="Arial" w:cs="Arial"/>
          <w:b/>
          <w:bCs/>
          <w:szCs w:val="22"/>
          <w:lang w:val="en-US"/>
        </w:rPr>
        <w:t>.</w:t>
      </w:r>
    </w:p>
    <w:p w14:paraId="5A0C754F" w14:textId="68562180" w:rsidR="00B868BF" w:rsidRPr="00B47C91" w:rsidRDefault="00361E84" w:rsidP="00C97DF9">
      <w:pPr>
        <w:spacing w:after="360"/>
        <w:rPr>
          <w:rFonts w:ascii="Arial" w:hAnsi="Arial" w:cs="Arial"/>
          <w:b/>
          <w:bCs/>
          <w:szCs w:val="22"/>
          <w:lang w:val="en-US"/>
        </w:rPr>
      </w:pPr>
      <w:r w:rsidRPr="00B47C91">
        <w:rPr>
          <w:rFonts w:ascii="Arial" w:hAnsi="Arial" w:cs="Arial"/>
          <w:b/>
          <w:bCs/>
          <w:szCs w:val="22"/>
          <w:lang w:val="en-US"/>
        </w:rPr>
        <w:t>Guiding Principles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840"/>
      </w:tblGrid>
      <w:tr w:rsidR="00B868BF" w14:paraId="0265EA49" w14:textId="77777777" w:rsidTr="00B47C91">
        <w:trPr>
          <w:trHeight w:val="740"/>
        </w:trPr>
        <w:tc>
          <w:tcPr>
            <w:tcW w:w="562" w:type="dxa"/>
          </w:tcPr>
          <w:p w14:paraId="2AFD41F3" w14:textId="78C2C1EF" w:rsidR="00B868BF" w:rsidRPr="00B47C91" w:rsidRDefault="00DE57F9" w:rsidP="00FF3C03">
            <w:pPr>
              <w:rPr>
                <w:rFonts w:ascii="Arial" w:hAnsi="Arial" w:cs="Arial"/>
                <w:szCs w:val="22"/>
                <w:lang w:val="en-US"/>
              </w:rPr>
            </w:pPr>
            <w:r w:rsidRPr="00B47C91">
              <w:rPr>
                <w:rFonts w:ascii="Arial" w:hAnsi="Arial" w:cs="Arial"/>
                <w:szCs w:val="22"/>
                <w:lang w:val="en-US"/>
              </w:rPr>
              <w:t>4</w:t>
            </w:r>
            <w:r w:rsidR="00B868BF" w:rsidRPr="00B47C91">
              <w:rPr>
                <w:rFonts w:ascii="Arial" w:hAnsi="Arial" w:cs="Arial"/>
                <w:szCs w:val="22"/>
                <w:lang w:val="en-US"/>
              </w:rPr>
              <w:t>.1</w:t>
            </w:r>
          </w:p>
        </w:tc>
        <w:tc>
          <w:tcPr>
            <w:tcW w:w="8840" w:type="dxa"/>
          </w:tcPr>
          <w:p w14:paraId="50D7D07B" w14:textId="001C5267" w:rsidR="00B868BF" w:rsidRPr="00B47C91" w:rsidRDefault="00D63CF6" w:rsidP="00FF3C03">
            <w:pPr>
              <w:rPr>
                <w:rFonts w:ascii="Arial" w:hAnsi="Arial" w:cs="Arial"/>
                <w:szCs w:val="22"/>
                <w:lang w:val="en-US"/>
              </w:rPr>
            </w:pPr>
            <w:r w:rsidRPr="00B47C91">
              <w:rPr>
                <w:rFonts w:ascii="Arial" w:hAnsi="Arial" w:cs="Arial"/>
                <w:szCs w:val="22"/>
                <w:lang w:val="en-US"/>
              </w:rPr>
              <w:t>Continuously improve services, processes and systems to ensure they are fit-for-purpose.</w:t>
            </w:r>
          </w:p>
        </w:tc>
      </w:tr>
      <w:tr w:rsidR="00B868BF" w14:paraId="3F6B7D47" w14:textId="77777777" w:rsidTr="00FF3C03">
        <w:trPr>
          <w:trHeight w:val="430"/>
        </w:trPr>
        <w:tc>
          <w:tcPr>
            <w:tcW w:w="562" w:type="dxa"/>
          </w:tcPr>
          <w:p w14:paraId="1AD99FB4" w14:textId="7B614C5B" w:rsidR="00B868BF" w:rsidRPr="00B47C91" w:rsidRDefault="00DE57F9" w:rsidP="00FF3C03">
            <w:pPr>
              <w:rPr>
                <w:rFonts w:ascii="Arial" w:hAnsi="Arial" w:cs="Arial"/>
                <w:szCs w:val="22"/>
                <w:lang w:val="en-US"/>
              </w:rPr>
            </w:pPr>
            <w:r w:rsidRPr="00B47C91">
              <w:rPr>
                <w:rFonts w:ascii="Arial" w:hAnsi="Arial" w:cs="Arial"/>
                <w:szCs w:val="22"/>
                <w:lang w:val="en-US"/>
              </w:rPr>
              <w:t>4</w:t>
            </w:r>
            <w:r w:rsidR="00B868BF" w:rsidRPr="00B47C91">
              <w:rPr>
                <w:rFonts w:ascii="Arial" w:hAnsi="Arial" w:cs="Arial"/>
                <w:szCs w:val="22"/>
                <w:lang w:val="en-US"/>
              </w:rPr>
              <w:t>.2</w:t>
            </w:r>
          </w:p>
        </w:tc>
        <w:tc>
          <w:tcPr>
            <w:tcW w:w="8840" w:type="dxa"/>
          </w:tcPr>
          <w:p w14:paraId="29D0842D" w14:textId="01453208" w:rsidR="00B868BF" w:rsidRPr="00B47C91" w:rsidRDefault="00D63CF6" w:rsidP="00DE57F9">
            <w:pPr>
              <w:spacing w:after="960"/>
              <w:rPr>
                <w:rFonts w:ascii="Arial" w:hAnsi="Arial" w:cs="Arial"/>
                <w:b/>
                <w:bCs/>
                <w:szCs w:val="22"/>
                <w:lang w:val="en-US"/>
              </w:rPr>
            </w:pPr>
            <w:r w:rsidRPr="00B47C91">
              <w:rPr>
                <w:rFonts w:ascii="Arial" w:hAnsi="Arial" w:cs="Arial"/>
                <w:szCs w:val="22"/>
                <w:lang w:val="en-US"/>
              </w:rPr>
              <w:t>Continue to grow an impartial, capable, flexible and innovative workforce.</w:t>
            </w:r>
          </w:p>
        </w:tc>
      </w:tr>
    </w:tbl>
    <w:p w14:paraId="2381A775" w14:textId="438EF2AE" w:rsidR="00B868BF" w:rsidRPr="008A4556" w:rsidRDefault="00D03565" w:rsidP="00B868BF">
      <w:pPr>
        <w:spacing w:after="360"/>
        <w:rPr>
          <w:rFonts w:ascii="Arial" w:hAnsi="Arial" w:cs="Arial"/>
          <w:b/>
          <w:bCs/>
          <w:szCs w:val="22"/>
          <w:lang w:val="en-US"/>
        </w:rPr>
      </w:pPr>
      <w:r w:rsidRPr="008A4556">
        <w:rPr>
          <w:rFonts w:ascii="Arial" w:hAnsi="Arial" w:cs="Arial"/>
          <w:b/>
          <w:bCs/>
          <w:szCs w:val="22"/>
          <w:lang w:val="en-US"/>
        </w:rPr>
        <w:t>Our focus areas for 2025-26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840"/>
      </w:tblGrid>
      <w:tr w:rsidR="00221D2F" w14:paraId="7B631B19" w14:textId="77777777" w:rsidTr="000877CB">
        <w:trPr>
          <w:trHeight w:val="955"/>
        </w:trPr>
        <w:tc>
          <w:tcPr>
            <w:tcW w:w="562" w:type="dxa"/>
          </w:tcPr>
          <w:p w14:paraId="13C6AC5F" w14:textId="7AF957B9" w:rsidR="00221D2F" w:rsidRPr="008A4556" w:rsidRDefault="00D03565" w:rsidP="00FF3C03">
            <w:pPr>
              <w:rPr>
                <w:rFonts w:ascii="Arial" w:hAnsi="Arial" w:cs="Arial"/>
                <w:szCs w:val="22"/>
                <w:lang w:val="en-US"/>
              </w:rPr>
            </w:pPr>
            <w:r w:rsidRPr="008A4556">
              <w:rPr>
                <w:rFonts w:ascii="Arial" w:hAnsi="Arial" w:cs="Arial"/>
                <w:szCs w:val="22"/>
                <w:lang w:val="en-US"/>
              </w:rPr>
              <w:t>4A</w:t>
            </w:r>
          </w:p>
        </w:tc>
        <w:tc>
          <w:tcPr>
            <w:tcW w:w="8840" w:type="dxa"/>
          </w:tcPr>
          <w:p w14:paraId="47CF6BB0" w14:textId="07195E90" w:rsidR="00D03565" w:rsidRPr="008A4556" w:rsidRDefault="00450551" w:rsidP="00FF3C03">
            <w:pPr>
              <w:rPr>
                <w:rFonts w:ascii="Arial" w:hAnsi="Arial" w:cs="Arial"/>
                <w:szCs w:val="22"/>
                <w:lang w:val="en-US"/>
              </w:rPr>
            </w:pPr>
            <w:r w:rsidRPr="008A4556">
              <w:rPr>
                <w:rFonts w:ascii="Arial" w:hAnsi="Arial" w:cs="Arial"/>
                <w:szCs w:val="22"/>
                <w:lang w:val="en-US"/>
              </w:rPr>
              <w:t>Enhance the TGA’s capability to identify and effectively regulate emerging technologies across medicines and medical devices, including by implementing elements of the Regulatory Science Strategy.</w:t>
            </w:r>
          </w:p>
        </w:tc>
      </w:tr>
      <w:tr w:rsidR="00221D2F" w14:paraId="50BDC5A5" w14:textId="77777777" w:rsidTr="00450551">
        <w:trPr>
          <w:trHeight w:val="1023"/>
        </w:trPr>
        <w:tc>
          <w:tcPr>
            <w:tcW w:w="562" w:type="dxa"/>
          </w:tcPr>
          <w:p w14:paraId="241377F5" w14:textId="01A37DB2" w:rsidR="00221D2F" w:rsidRPr="008A4556" w:rsidRDefault="00D03565" w:rsidP="00FF3C03">
            <w:pPr>
              <w:rPr>
                <w:rFonts w:ascii="Arial" w:hAnsi="Arial" w:cs="Arial"/>
                <w:szCs w:val="22"/>
                <w:lang w:val="en-US"/>
              </w:rPr>
            </w:pPr>
            <w:r w:rsidRPr="008A4556">
              <w:rPr>
                <w:rFonts w:ascii="Arial" w:hAnsi="Arial" w:cs="Arial"/>
                <w:szCs w:val="22"/>
                <w:lang w:val="en-US"/>
              </w:rPr>
              <w:t>4B</w:t>
            </w:r>
          </w:p>
        </w:tc>
        <w:tc>
          <w:tcPr>
            <w:tcW w:w="8840" w:type="dxa"/>
          </w:tcPr>
          <w:p w14:paraId="19EDBECF" w14:textId="52B12DCB" w:rsidR="008610AA" w:rsidRPr="008A4556" w:rsidRDefault="00450551" w:rsidP="00FF3C03">
            <w:pPr>
              <w:rPr>
                <w:rFonts w:ascii="Arial" w:hAnsi="Arial" w:cs="Arial"/>
                <w:b/>
                <w:bCs/>
                <w:szCs w:val="22"/>
                <w:lang w:val="en-US"/>
              </w:rPr>
            </w:pPr>
            <w:r w:rsidRPr="008A4556">
              <w:rPr>
                <w:rFonts w:ascii="Arial" w:hAnsi="Arial" w:cs="Arial"/>
                <w:szCs w:val="22"/>
                <w:lang w:val="en-US"/>
              </w:rPr>
              <w:t>Progress digital transformation initiatives and continuously improve digital platforms and systems to provide a user-</w:t>
            </w:r>
            <w:proofErr w:type="spellStart"/>
            <w:r w:rsidRPr="008A4556">
              <w:rPr>
                <w:rFonts w:ascii="Arial" w:hAnsi="Arial" w:cs="Arial"/>
                <w:szCs w:val="22"/>
                <w:lang w:val="en-US"/>
              </w:rPr>
              <w:t>centred</w:t>
            </w:r>
            <w:proofErr w:type="spellEnd"/>
            <w:r w:rsidRPr="008A4556">
              <w:rPr>
                <w:rFonts w:ascii="Arial" w:hAnsi="Arial" w:cs="Arial"/>
                <w:szCs w:val="22"/>
                <w:lang w:val="en-US"/>
              </w:rPr>
              <w:t>, modern service experience that supports stakeholder engagement and regulatory interactions whils</w:t>
            </w:r>
            <w:r w:rsidR="00FC3CBE">
              <w:rPr>
                <w:rFonts w:ascii="Arial" w:hAnsi="Arial" w:cs="Arial"/>
                <w:szCs w:val="22"/>
                <w:lang w:val="en-US"/>
              </w:rPr>
              <w:t>t</w:t>
            </w:r>
            <w:r w:rsidRPr="008A4556">
              <w:rPr>
                <w:rFonts w:ascii="Arial" w:hAnsi="Arial" w:cs="Arial"/>
                <w:szCs w:val="22"/>
                <w:lang w:val="en-US"/>
              </w:rPr>
              <w:t xml:space="preserve"> reducing risks of legacy systems.</w:t>
            </w:r>
          </w:p>
        </w:tc>
      </w:tr>
      <w:tr w:rsidR="00221D2F" w14:paraId="1E293FD7" w14:textId="77777777" w:rsidTr="00D03565">
        <w:trPr>
          <w:trHeight w:val="576"/>
        </w:trPr>
        <w:tc>
          <w:tcPr>
            <w:tcW w:w="562" w:type="dxa"/>
          </w:tcPr>
          <w:p w14:paraId="1B54187F" w14:textId="125A03D4" w:rsidR="00221D2F" w:rsidRPr="008A4556" w:rsidRDefault="00D03565" w:rsidP="00FF3C03">
            <w:pPr>
              <w:rPr>
                <w:rFonts w:ascii="Arial" w:hAnsi="Arial" w:cs="Arial"/>
                <w:szCs w:val="22"/>
                <w:lang w:val="en-US"/>
              </w:rPr>
            </w:pPr>
            <w:r w:rsidRPr="008A4556">
              <w:rPr>
                <w:rFonts w:ascii="Arial" w:hAnsi="Arial" w:cs="Arial"/>
                <w:szCs w:val="22"/>
                <w:lang w:val="en-US"/>
              </w:rPr>
              <w:t>4C</w:t>
            </w:r>
          </w:p>
        </w:tc>
        <w:tc>
          <w:tcPr>
            <w:tcW w:w="8840" w:type="dxa"/>
          </w:tcPr>
          <w:p w14:paraId="043C738B" w14:textId="457BCAAC" w:rsidR="00221D2F" w:rsidRPr="008A4556" w:rsidRDefault="00450551" w:rsidP="00FF3C03">
            <w:pPr>
              <w:rPr>
                <w:rFonts w:ascii="Arial" w:hAnsi="Arial" w:cs="Arial"/>
                <w:b/>
                <w:bCs/>
                <w:szCs w:val="22"/>
                <w:lang w:val="en-US"/>
              </w:rPr>
            </w:pPr>
            <w:r w:rsidRPr="008A4556">
              <w:rPr>
                <w:rFonts w:ascii="Arial" w:hAnsi="Arial" w:cs="Arial"/>
                <w:szCs w:val="22"/>
                <w:lang w:val="en-US"/>
              </w:rPr>
              <w:t>Improve the technology, systems and business processes of TGA laboratories.</w:t>
            </w:r>
          </w:p>
        </w:tc>
      </w:tr>
      <w:tr w:rsidR="00221D2F" w14:paraId="578A0672" w14:textId="77777777" w:rsidTr="00FF3C03">
        <w:tc>
          <w:tcPr>
            <w:tcW w:w="562" w:type="dxa"/>
          </w:tcPr>
          <w:p w14:paraId="2F82D241" w14:textId="3061CAC5" w:rsidR="00221D2F" w:rsidRPr="008A4556" w:rsidRDefault="00D03565" w:rsidP="00FF3C03">
            <w:pPr>
              <w:rPr>
                <w:rFonts w:ascii="Arial" w:hAnsi="Arial" w:cs="Arial"/>
                <w:szCs w:val="22"/>
                <w:lang w:val="en-US"/>
              </w:rPr>
            </w:pPr>
            <w:r w:rsidRPr="008A4556">
              <w:rPr>
                <w:rFonts w:ascii="Arial" w:hAnsi="Arial" w:cs="Arial"/>
                <w:szCs w:val="22"/>
                <w:lang w:val="en-US"/>
              </w:rPr>
              <w:t>4D</w:t>
            </w:r>
          </w:p>
        </w:tc>
        <w:tc>
          <w:tcPr>
            <w:tcW w:w="8840" w:type="dxa"/>
          </w:tcPr>
          <w:p w14:paraId="5BB20581" w14:textId="43DFB2C9" w:rsidR="00221D2F" w:rsidRPr="008A4556" w:rsidRDefault="00B041C0" w:rsidP="00FF3C03">
            <w:pPr>
              <w:rPr>
                <w:rFonts w:ascii="Arial" w:hAnsi="Arial" w:cs="Arial"/>
                <w:b/>
                <w:bCs/>
                <w:szCs w:val="22"/>
                <w:lang w:val="en-US"/>
              </w:rPr>
            </w:pPr>
            <w:r w:rsidRPr="008A4556">
              <w:rPr>
                <w:rFonts w:ascii="Arial" w:hAnsi="Arial" w:cs="Arial"/>
                <w:szCs w:val="22"/>
                <w:lang w:val="en-US"/>
              </w:rPr>
              <w:t xml:space="preserve">Enhance the TGA’s funding model to support sustainable funding arrangements for its cost-recovered and public good activities, ensuring those arrangements are consistent with the Australian Government Charging Framework and eliminate cross </w:t>
            </w:r>
            <w:proofErr w:type="spellStart"/>
            <w:r w:rsidRPr="008A4556">
              <w:rPr>
                <w:rFonts w:ascii="Arial" w:hAnsi="Arial" w:cs="Arial"/>
                <w:szCs w:val="22"/>
                <w:lang w:val="en-US"/>
              </w:rPr>
              <w:t>subsidisation</w:t>
            </w:r>
            <w:proofErr w:type="spellEnd"/>
            <w:r w:rsidRPr="008A4556">
              <w:rPr>
                <w:rFonts w:ascii="Arial" w:hAnsi="Arial" w:cs="Arial"/>
                <w:szCs w:val="22"/>
                <w:lang w:val="en-US"/>
              </w:rPr>
              <w:t>.</w:t>
            </w:r>
          </w:p>
        </w:tc>
      </w:tr>
    </w:tbl>
    <w:p w14:paraId="0320B90C" w14:textId="4D351232" w:rsidR="00014956" w:rsidRDefault="00014956" w:rsidP="009D3724">
      <w:pPr>
        <w:rPr>
          <w:sz w:val="18"/>
          <w:szCs w:val="18"/>
        </w:rPr>
      </w:pPr>
    </w:p>
    <w:p w14:paraId="0807EC6C" w14:textId="131082E6" w:rsidR="00E41973" w:rsidRDefault="00014956">
      <w:pPr>
        <w:rPr>
          <w:sz w:val="18"/>
          <w:szCs w:val="18"/>
        </w:rPr>
      </w:pPr>
      <w:r>
        <w:rPr>
          <w:sz w:val="18"/>
          <w:szCs w:val="18"/>
        </w:rPr>
        <w:br w:type="page"/>
      </w:r>
    </w:p>
    <w:p w14:paraId="6AD3F7CD" w14:textId="166EAE18" w:rsidR="006368D8" w:rsidRPr="00280ACE" w:rsidRDefault="0064083F" w:rsidP="00280ACE">
      <w:pPr>
        <w:pStyle w:val="Heading1"/>
      </w:pPr>
      <w:bookmarkStart w:id="9" w:name="_Toc203400904"/>
      <w:r w:rsidRPr="00280ACE">
        <w:lastRenderedPageBreak/>
        <w:drawing>
          <wp:anchor distT="0" distB="0" distL="114300" distR="114300" simplePos="0" relativeHeight="251653115" behindDoc="1" locked="0" layoutInCell="1" allowOverlap="1" wp14:anchorId="23680ECD" wp14:editId="28E316AD">
            <wp:simplePos x="0" y="0"/>
            <wp:positionH relativeFrom="column">
              <wp:posOffset>-815657</wp:posOffset>
            </wp:positionH>
            <wp:positionV relativeFrom="paragraph">
              <wp:posOffset>-787082</wp:posOffset>
            </wp:positionV>
            <wp:extent cx="7585076" cy="10728870"/>
            <wp:effectExtent l="0" t="0" r="0" b="0"/>
            <wp:wrapNone/>
            <wp:docPr id="1922242586"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42586" name="Picture 12">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908" cy="10734290"/>
                    </a:xfrm>
                    <a:prstGeom prst="rect">
                      <a:avLst/>
                    </a:prstGeom>
                  </pic:spPr>
                </pic:pic>
              </a:graphicData>
            </a:graphic>
            <wp14:sizeRelH relativeFrom="page">
              <wp14:pctWidth>0</wp14:pctWidth>
            </wp14:sizeRelH>
            <wp14:sizeRelV relativeFrom="page">
              <wp14:pctHeight>0</wp14:pctHeight>
            </wp14:sizeRelV>
          </wp:anchor>
        </w:drawing>
      </w:r>
      <w:r w:rsidR="006368D8" w:rsidRPr="00280ACE">
        <w:t>Reporting</w:t>
      </w:r>
      <w:bookmarkEnd w:id="9"/>
      <w:r w:rsidR="006368D8" w:rsidRPr="00280ACE">
        <w:t xml:space="preserve"> </w:t>
      </w:r>
    </w:p>
    <w:p w14:paraId="74D6200D" w14:textId="77777777" w:rsidR="003175FF" w:rsidRPr="008A4556" w:rsidRDefault="003175FF" w:rsidP="003175FF">
      <w:pPr>
        <w:rPr>
          <w:rFonts w:ascii="Arial" w:hAnsi="Arial" w:cs="Arial"/>
        </w:rPr>
      </w:pPr>
      <w:r w:rsidRPr="008A4556">
        <w:rPr>
          <w:rFonts w:ascii="Arial" w:hAnsi="Arial" w:cs="Arial"/>
        </w:rPr>
        <w:t xml:space="preserve">The TGA contributes to the department’s reporting obligations under the </w:t>
      </w:r>
      <w:r w:rsidRPr="008A4556">
        <w:rPr>
          <w:rFonts w:ascii="Arial" w:hAnsi="Arial" w:cs="Arial"/>
          <w:i/>
          <w:iCs/>
        </w:rPr>
        <w:t>Public Governance, Performance and Accountability Act 2013</w:t>
      </w:r>
      <w:r w:rsidRPr="008A4556">
        <w:rPr>
          <w:rFonts w:ascii="Arial" w:hAnsi="Arial" w:cs="Arial"/>
        </w:rPr>
        <w:t xml:space="preserve"> through the department’s Corporate Plan, Annual Report and Portfolio Budget Statements.  </w:t>
      </w:r>
    </w:p>
    <w:p w14:paraId="55988763" w14:textId="77777777" w:rsidR="003175FF" w:rsidRPr="008A4556" w:rsidRDefault="003175FF" w:rsidP="003175FF">
      <w:pPr>
        <w:rPr>
          <w:rFonts w:ascii="Arial" w:hAnsi="Arial" w:cs="Arial"/>
        </w:rPr>
      </w:pPr>
      <w:r w:rsidRPr="008A4556">
        <w:rPr>
          <w:rFonts w:ascii="Arial" w:hAnsi="Arial" w:cs="Arial"/>
        </w:rPr>
        <w:t xml:space="preserve">While this TGA Business Plan complements these documents, it can also be read as a stand-alone document. The corresponding TGA Performance Report will be published at the conclusion of the 2025-26 reporting period and will detail how we performed against the focus areas outlined above. </w:t>
      </w:r>
    </w:p>
    <w:p w14:paraId="235BDFB8" w14:textId="0123E239" w:rsidR="00092F1D" w:rsidRPr="008A4556" w:rsidRDefault="003175FF" w:rsidP="003175FF">
      <w:pPr>
        <w:rPr>
          <w:rFonts w:ascii="Arial" w:hAnsi="Arial" w:cs="Arial"/>
        </w:rPr>
      </w:pPr>
      <w:r w:rsidRPr="008A4556">
        <w:rPr>
          <w:rFonts w:ascii="Arial" w:hAnsi="Arial" w:cs="Arial"/>
        </w:rPr>
        <w:t>We will also continue to publish a range of performance information on the TGA website (</w:t>
      </w:r>
      <w:hyperlink r:id="rId19" w:history="1">
        <w:r w:rsidRPr="008A4556">
          <w:rPr>
            <w:rStyle w:val="Hyperlink"/>
            <w:rFonts w:ascii="Arial" w:hAnsi="Arial" w:cs="Arial"/>
          </w:rPr>
          <w:t>www.tga.gov.au</w:t>
        </w:r>
      </w:hyperlink>
      <w:r w:rsidRPr="008A4556">
        <w:rPr>
          <w:rFonts w:ascii="Arial" w:hAnsi="Arial" w:cs="Arial"/>
        </w:rPr>
        <w:t>), including:</w:t>
      </w:r>
    </w:p>
    <w:p w14:paraId="1D49CA17" w14:textId="77777777" w:rsidR="00E60964" w:rsidRPr="008A4556" w:rsidRDefault="00E60964" w:rsidP="00E60964">
      <w:pPr>
        <w:pStyle w:val="BusinessPlan1BodyText"/>
        <w:numPr>
          <w:ilvl w:val="0"/>
          <w:numId w:val="12"/>
        </w:numPr>
        <w:rPr>
          <w:rFonts w:ascii="Arial" w:hAnsi="Arial" w:cs="Arial"/>
        </w:rPr>
      </w:pPr>
      <w:r w:rsidRPr="008A4556">
        <w:rPr>
          <w:rFonts w:ascii="Arial" w:hAnsi="Arial" w:cs="Arial"/>
        </w:rPr>
        <w:t xml:space="preserve">laboratory testing results and summary reports, </w:t>
      </w:r>
    </w:p>
    <w:p w14:paraId="32DAA594" w14:textId="77777777" w:rsidR="00E60964" w:rsidRPr="008A4556" w:rsidRDefault="00E60964" w:rsidP="00E60964">
      <w:pPr>
        <w:pStyle w:val="BusinessPlan1BodyText"/>
        <w:numPr>
          <w:ilvl w:val="0"/>
          <w:numId w:val="12"/>
        </w:numPr>
        <w:rPr>
          <w:rFonts w:ascii="Arial" w:hAnsi="Arial" w:cs="Arial"/>
        </w:rPr>
      </w:pPr>
      <w:r w:rsidRPr="008A4556">
        <w:rPr>
          <w:rFonts w:ascii="Arial" w:hAnsi="Arial" w:cs="Arial"/>
        </w:rPr>
        <w:t>vaping product testing results</w:t>
      </w:r>
    </w:p>
    <w:p w14:paraId="090EF4B6" w14:textId="77777777" w:rsidR="00E60964" w:rsidRPr="008A4556" w:rsidRDefault="00E60964" w:rsidP="00E60964">
      <w:pPr>
        <w:pStyle w:val="BusinessPlan1BodyText"/>
        <w:numPr>
          <w:ilvl w:val="0"/>
          <w:numId w:val="12"/>
        </w:numPr>
        <w:rPr>
          <w:rFonts w:ascii="Arial" w:hAnsi="Arial" w:cs="Arial"/>
        </w:rPr>
      </w:pPr>
      <w:r w:rsidRPr="008A4556">
        <w:rPr>
          <w:rFonts w:ascii="Arial" w:hAnsi="Arial" w:cs="Arial"/>
        </w:rPr>
        <w:t xml:space="preserve">monitoring, compliance and investigations outcomes </w:t>
      </w:r>
    </w:p>
    <w:p w14:paraId="1DCEAAB5" w14:textId="77777777" w:rsidR="00E60964" w:rsidRPr="008A4556" w:rsidRDefault="00E60964" w:rsidP="00E60964">
      <w:pPr>
        <w:pStyle w:val="BusinessPlan1BodyText"/>
        <w:numPr>
          <w:ilvl w:val="0"/>
          <w:numId w:val="12"/>
        </w:numPr>
        <w:rPr>
          <w:rFonts w:ascii="Arial" w:hAnsi="Arial" w:cs="Arial"/>
        </w:rPr>
      </w:pPr>
      <w:r w:rsidRPr="008A4556">
        <w:rPr>
          <w:rFonts w:ascii="Arial" w:hAnsi="Arial" w:cs="Arial"/>
        </w:rPr>
        <w:t>advertising compliance reports</w:t>
      </w:r>
    </w:p>
    <w:p w14:paraId="1C77AB43" w14:textId="77777777" w:rsidR="00E60964" w:rsidRPr="008A4556" w:rsidRDefault="00E60964" w:rsidP="00E60964">
      <w:pPr>
        <w:pStyle w:val="BusinessPlan1BodyText"/>
        <w:numPr>
          <w:ilvl w:val="0"/>
          <w:numId w:val="12"/>
        </w:numPr>
        <w:rPr>
          <w:rFonts w:ascii="Arial" w:hAnsi="Arial" w:cs="Arial"/>
        </w:rPr>
      </w:pPr>
      <w:r w:rsidRPr="008A4556">
        <w:rPr>
          <w:rFonts w:ascii="Arial" w:hAnsi="Arial" w:cs="Arial"/>
        </w:rPr>
        <w:t>post-market reviews</w:t>
      </w:r>
    </w:p>
    <w:p w14:paraId="35F1E416" w14:textId="77777777" w:rsidR="00E60964" w:rsidRPr="008A4556" w:rsidRDefault="00E60964" w:rsidP="00E60964">
      <w:pPr>
        <w:pStyle w:val="BusinessPlan1BodyText"/>
        <w:numPr>
          <w:ilvl w:val="0"/>
          <w:numId w:val="12"/>
        </w:numPr>
        <w:rPr>
          <w:rFonts w:ascii="Arial" w:hAnsi="Arial" w:cs="Arial"/>
        </w:rPr>
      </w:pPr>
      <w:r w:rsidRPr="008A4556">
        <w:rPr>
          <w:rFonts w:ascii="Arial" w:hAnsi="Arial" w:cs="Arial"/>
        </w:rPr>
        <w:t>annual stakeholder surveys, and</w:t>
      </w:r>
    </w:p>
    <w:p w14:paraId="52C0E599" w14:textId="1BC7E30E" w:rsidR="009D3724" w:rsidRPr="008A4556" w:rsidRDefault="00E60964" w:rsidP="00E60964">
      <w:pPr>
        <w:pStyle w:val="ListParagraph"/>
        <w:numPr>
          <w:ilvl w:val="0"/>
          <w:numId w:val="11"/>
        </w:numPr>
        <w:rPr>
          <w:rFonts w:ascii="Arial" w:hAnsi="Arial" w:cs="Arial"/>
        </w:rPr>
      </w:pPr>
      <w:r w:rsidRPr="008A4556">
        <w:rPr>
          <w:rFonts w:ascii="Arial" w:hAnsi="Arial" w:cs="Arial"/>
          <w:noProof/>
        </w:rPr>
        <w:drawing>
          <wp:anchor distT="0" distB="0" distL="935990" distR="323850" simplePos="0" relativeHeight="251716608" behindDoc="1" locked="0" layoutInCell="1" allowOverlap="1" wp14:anchorId="5E5E595D" wp14:editId="2DB0239C">
            <wp:simplePos x="0" y="0"/>
            <wp:positionH relativeFrom="column">
              <wp:posOffset>2075815</wp:posOffset>
            </wp:positionH>
            <wp:positionV relativeFrom="paragraph">
              <wp:posOffset>739775</wp:posOffset>
            </wp:positionV>
            <wp:extent cx="1687830" cy="1687830"/>
            <wp:effectExtent l="0" t="0" r="0" b="0"/>
            <wp:wrapTight wrapText="bothSides">
              <wp:wrapPolygon edited="0">
                <wp:start x="13409" y="1950"/>
                <wp:lineTo x="8777" y="6339"/>
                <wp:lineTo x="4876" y="7558"/>
                <wp:lineTo x="4144" y="8289"/>
                <wp:lineTo x="4632" y="10239"/>
                <wp:lineTo x="3657" y="11946"/>
                <wp:lineTo x="2682" y="14140"/>
                <wp:lineTo x="3169" y="19503"/>
                <wp:lineTo x="7801" y="19503"/>
                <wp:lineTo x="8289" y="18041"/>
                <wp:lineTo x="17309" y="14384"/>
                <wp:lineTo x="18041" y="10727"/>
                <wp:lineTo x="17553" y="10239"/>
                <wp:lineTo x="18772" y="7070"/>
                <wp:lineTo x="18284" y="1950"/>
                <wp:lineTo x="13409" y="1950"/>
              </wp:wrapPolygon>
            </wp:wrapTight>
            <wp:docPr id="2134682952" name="Picture 1" descr="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82952" name="Picture 1" descr="A white and black logo&#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87830" cy="1687830"/>
                    </a:xfrm>
                    <a:prstGeom prst="rect">
                      <a:avLst/>
                    </a:prstGeom>
                  </pic:spPr>
                </pic:pic>
              </a:graphicData>
            </a:graphic>
            <wp14:sizeRelH relativeFrom="page">
              <wp14:pctWidth>0</wp14:pctWidth>
            </wp14:sizeRelH>
            <wp14:sizeRelV relativeFrom="page">
              <wp14:pctHeight>0</wp14:pctHeight>
            </wp14:sizeRelV>
          </wp:anchor>
        </w:drawing>
      </w:r>
      <w:r w:rsidRPr="008A4556">
        <w:rPr>
          <w:rFonts w:ascii="Arial" w:hAnsi="Arial" w:cs="Arial"/>
        </w:rPr>
        <w:t>publications detailing how we are improving access to therapeutic goods for consumers.</w:t>
      </w:r>
    </w:p>
    <w:sectPr w:rsidR="009D3724" w:rsidRPr="008A4556" w:rsidSect="00901570">
      <w:footerReference w:type="default" r:id="rId21"/>
      <w:pgSz w:w="11906" w:h="16838"/>
      <w:pgMar w:top="1247" w:right="1247" w:bottom="1247" w:left="1247" w:header="187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E640" w14:textId="77777777" w:rsidR="002E4C02" w:rsidRDefault="002E4C02" w:rsidP="00311932">
      <w:pPr>
        <w:spacing w:after="0"/>
      </w:pPr>
      <w:r>
        <w:separator/>
      </w:r>
    </w:p>
    <w:p w14:paraId="05340670" w14:textId="77777777" w:rsidR="002E4C02" w:rsidRDefault="002E4C02"/>
    <w:p w14:paraId="37E79A5B" w14:textId="77777777" w:rsidR="002E4C02" w:rsidRDefault="002E4C02" w:rsidP="00B47C91"/>
    <w:p w14:paraId="4B195A38" w14:textId="77777777" w:rsidR="002E4C02" w:rsidRDefault="002E4C02" w:rsidP="00280ACE"/>
    <w:p w14:paraId="26A6E2EC" w14:textId="77777777" w:rsidR="002E4C02" w:rsidRDefault="002E4C02" w:rsidP="00CE231B"/>
    <w:p w14:paraId="6B5C43A2" w14:textId="77777777" w:rsidR="002E4C02" w:rsidRDefault="002E4C02" w:rsidP="007474CE"/>
  </w:endnote>
  <w:endnote w:type="continuationSeparator" w:id="0">
    <w:p w14:paraId="660E30A0" w14:textId="77777777" w:rsidR="002E4C02" w:rsidRDefault="002E4C02" w:rsidP="00311932">
      <w:pPr>
        <w:spacing w:after="0"/>
      </w:pPr>
      <w:r>
        <w:continuationSeparator/>
      </w:r>
    </w:p>
    <w:p w14:paraId="496C65C2" w14:textId="77777777" w:rsidR="002E4C02" w:rsidRDefault="002E4C02"/>
    <w:p w14:paraId="5E889213" w14:textId="77777777" w:rsidR="002E4C02" w:rsidRDefault="002E4C02" w:rsidP="00B47C91"/>
    <w:p w14:paraId="3858D17F" w14:textId="77777777" w:rsidR="002E4C02" w:rsidRDefault="002E4C02" w:rsidP="00280ACE"/>
    <w:p w14:paraId="4269D2DF" w14:textId="77777777" w:rsidR="002E4C02" w:rsidRDefault="002E4C02" w:rsidP="00CE231B"/>
    <w:p w14:paraId="70CB97C4" w14:textId="77777777" w:rsidR="002E4C02" w:rsidRDefault="002E4C02" w:rsidP="00747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F Pro Light">
    <w:altName w:val="Segoe UI Symbol"/>
    <w:charset w:val="00"/>
    <w:family w:val="auto"/>
    <w:pitch w:val="variable"/>
    <w:sig w:usb0="E10002FF" w:usb1="5241EDFF" w:usb2="0400802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F Pro Heavy">
    <w:altName w:val="Segoe UI Symbol"/>
    <w:charset w:val="00"/>
    <w:family w:val="auto"/>
    <w:pitch w:val="variable"/>
    <w:sig w:usb0="E10002FF" w:usb1="5241EDFF" w:usb2="04008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6963266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04C24DB" w14:textId="5DE9606B" w:rsidR="004874EF" w:rsidRPr="004874EF" w:rsidRDefault="004874EF">
            <w:pPr>
              <w:pStyle w:val="Footer"/>
              <w:jc w:val="right"/>
              <w:rPr>
                <w:rFonts w:ascii="Arial" w:hAnsi="Arial" w:cs="Arial"/>
              </w:rPr>
            </w:pPr>
            <w:r w:rsidRPr="004874EF">
              <w:rPr>
                <w:rFonts w:ascii="Arial" w:hAnsi="Arial" w:cs="Arial"/>
              </w:rPr>
              <w:t xml:space="preserve">Page </w:t>
            </w:r>
            <w:r w:rsidRPr="004874EF">
              <w:rPr>
                <w:rFonts w:ascii="Arial" w:hAnsi="Arial" w:cs="Arial"/>
                <w:b/>
                <w:bCs/>
                <w:sz w:val="24"/>
              </w:rPr>
              <w:fldChar w:fldCharType="begin"/>
            </w:r>
            <w:r w:rsidRPr="004874EF">
              <w:rPr>
                <w:rFonts w:ascii="Arial" w:hAnsi="Arial" w:cs="Arial"/>
                <w:b/>
                <w:bCs/>
              </w:rPr>
              <w:instrText xml:space="preserve"> PAGE </w:instrText>
            </w:r>
            <w:r w:rsidRPr="004874EF">
              <w:rPr>
                <w:rFonts w:ascii="Arial" w:hAnsi="Arial" w:cs="Arial"/>
                <w:b/>
                <w:bCs/>
                <w:sz w:val="24"/>
              </w:rPr>
              <w:fldChar w:fldCharType="separate"/>
            </w:r>
            <w:r w:rsidRPr="004874EF">
              <w:rPr>
                <w:rFonts w:ascii="Arial" w:hAnsi="Arial" w:cs="Arial"/>
                <w:b/>
                <w:bCs/>
                <w:noProof/>
              </w:rPr>
              <w:t>2</w:t>
            </w:r>
            <w:r w:rsidRPr="004874EF">
              <w:rPr>
                <w:rFonts w:ascii="Arial" w:hAnsi="Arial" w:cs="Arial"/>
                <w:b/>
                <w:bCs/>
                <w:sz w:val="24"/>
              </w:rPr>
              <w:fldChar w:fldCharType="end"/>
            </w:r>
            <w:r w:rsidRPr="004874EF">
              <w:rPr>
                <w:rFonts w:ascii="Arial" w:hAnsi="Arial" w:cs="Arial"/>
              </w:rPr>
              <w:t xml:space="preserve"> of </w:t>
            </w:r>
            <w:r w:rsidRPr="004874EF">
              <w:rPr>
                <w:rFonts w:ascii="Arial" w:hAnsi="Arial" w:cs="Arial"/>
                <w:b/>
                <w:bCs/>
                <w:sz w:val="24"/>
              </w:rPr>
              <w:fldChar w:fldCharType="begin"/>
            </w:r>
            <w:r w:rsidRPr="004874EF">
              <w:rPr>
                <w:rFonts w:ascii="Arial" w:hAnsi="Arial" w:cs="Arial"/>
                <w:b/>
                <w:bCs/>
              </w:rPr>
              <w:instrText xml:space="preserve"> NUMPAGES  </w:instrText>
            </w:r>
            <w:r w:rsidRPr="004874EF">
              <w:rPr>
                <w:rFonts w:ascii="Arial" w:hAnsi="Arial" w:cs="Arial"/>
                <w:b/>
                <w:bCs/>
                <w:sz w:val="24"/>
              </w:rPr>
              <w:fldChar w:fldCharType="separate"/>
            </w:r>
            <w:r w:rsidRPr="004874EF">
              <w:rPr>
                <w:rFonts w:ascii="Arial" w:hAnsi="Arial" w:cs="Arial"/>
                <w:b/>
                <w:bCs/>
                <w:noProof/>
              </w:rPr>
              <w:t>2</w:t>
            </w:r>
            <w:r w:rsidRPr="004874EF">
              <w:rPr>
                <w:rFonts w:ascii="Arial" w:hAnsi="Arial" w:cs="Arial"/>
                <w:b/>
                <w:bCs/>
                <w:sz w:val="24"/>
              </w:rPr>
              <w:fldChar w:fldCharType="end"/>
            </w:r>
          </w:p>
        </w:sdtContent>
      </w:sdt>
    </w:sdtContent>
  </w:sdt>
  <w:p w14:paraId="50AABDB2" w14:textId="77777777" w:rsidR="00E574B9" w:rsidRDefault="00E574B9" w:rsidP="007474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8EDA" w14:textId="77777777" w:rsidR="002E4C02" w:rsidRDefault="002E4C02" w:rsidP="00311932">
      <w:pPr>
        <w:spacing w:after="0"/>
      </w:pPr>
      <w:r>
        <w:separator/>
      </w:r>
    </w:p>
    <w:p w14:paraId="790D05C0" w14:textId="77777777" w:rsidR="002E4C02" w:rsidRDefault="002E4C02"/>
    <w:p w14:paraId="03A29EAD" w14:textId="77777777" w:rsidR="002E4C02" w:rsidRDefault="002E4C02" w:rsidP="00B47C91"/>
    <w:p w14:paraId="10ADF325" w14:textId="77777777" w:rsidR="002E4C02" w:rsidRDefault="002E4C02" w:rsidP="00280ACE"/>
    <w:p w14:paraId="7C5590EE" w14:textId="77777777" w:rsidR="002E4C02" w:rsidRDefault="002E4C02" w:rsidP="00CE231B"/>
    <w:p w14:paraId="79A5E707" w14:textId="77777777" w:rsidR="002E4C02" w:rsidRDefault="002E4C02" w:rsidP="007474CE"/>
  </w:footnote>
  <w:footnote w:type="continuationSeparator" w:id="0">
    <w:p w14:paraId="5DFE5EF1" w14:textId="77777777" w:rsidR="002E4C02" w:rsidRDefault="002E4C02" w:rsidP="00311932">
      <w:pPr>
        <w:spacing w:after="0"/>
      </w:pPr>
      <w:r>
        <w:continuationSeparator/>
      </w:r>
    </w:p>
    <w:p w14:paraId="028D25A3" w14:textId="77777777" w:rsidR="002E4C02" w:rsidRDefault="002E4C02"/>
    <w:p w14:paraId="7BE988C5" w14:textId="77777777" w:rsidR="002E4C02" w:rsidRDefault="002E4C02" w:rsidP="00B47C91"/>
    <w:p w14:paraId="4930F45D" w14:textId="77777777" w:rsidR="002E4C02" w:rsidRDefault="002E4C02" w:rsidP="00280ACE"/>
    <w:p w14:paraId="761B7BDC" w14:textId="77777777" w:rsidR="002E4C02" w:rsidRDefault="002E4C02" w:rsidP="00CE231B"/>
    <w:p w14:paraId="176B8C3A" w14:textId="77777777" w:rsidR="002E4C02" w:rsidRDefault="002E4C02" w:rsidP="007474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B5D"/>
    <w:multiLevelType w:val="hybridMultilevel"/>
    <w:tmpl w:val="567AF8F0"/>
    <w:lvl w:ilvl="0" w:tplc="5D1671D0">
      <w:numFmt w:val="bullet"/>
      <w:lvlText w:val="•"/>
      <w:lvlJc w:val="left"/>
      <w:pPr>
        <w:ind w:left="717" w:hanging="360"/>
      </w:pPr>
      <w:rPr>
        <w:rFonts w:ascii="SF Pro Light" w:eastAsiaTheme="minorHAnsi" w:hAnsi="SF Pro Light" w:cs="Times New Roman"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 w15:restartNumberingAfterBreak="0">
    <w:nsid w:val="0E4B092B"/>
    <w:multiLevelType w:val="hybridMultilevel"/>
    <w:tmpl w:val="EAC40182"/>
    <w:lvl w:ilvl="0" w:tplc="5D1671D0">
      <w:numFmt w:val="bullet"/>
      <w:lvlText w:val="•"/>
      <w:lvlJc w:val="left"/>
      <w:pPr>
        <w:ind w:left="1074" w:hanging="360"/>
      </w:pPr>
      <w:rPr>
        <w:rFonts w:ascii="SF Pro Light" w:eastAsiaTheme="minorHAnsi" w:hAnsi="SF Pro Light" w:cs="Times New Roman"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374E7CF7"/>
    <w:multiLevelType w:val="hybridMultilevel"/>
    <w:tmpl w:val="D018AB86"/>
    <w:lvl w:ilvl="0" w:tplc="668EDD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F43643"/>
    <w:multiLevelType w:val="hybridMultilevel"/>
    <w:tmpl w:val="F01CE59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3DC563CC"/>
    <w:multiLevelType w:val="hybridMultilevel"/>
    <w:tmpl w:val="86749A34"/>
    <w:lvl w:ilvl="0" w:tplc="668EDD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384A86"/>
    <w:multiLevelType w:val="hybridMultilevel"/>
    <w:tmpl w:val="6DC24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9C0C7C"/>
    <w:multiLevelType w:val="hybridMultilevel"/>
    <w:tmpl w:val="DA64A9FC"/>
    <w:lvl w:ilvl="0" w:tplc="5D1671D0">
      <w:numFmt w:val="bullet"/>
      <w:lvlText w:val="•"/>
      <w:lvlJc w:val="left"/>
      <w:pPr>
        <w:ind w:left="717" w:hanging="360"/>
      </w:pPr>
      <w:rPr>
        <w:rFonts w:ascii="SF Pro Light" w:eastAsiaTheme="minorHAnsi" w:hAnsi="SF Pro Light" w:cs="Times New Roman"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7" w15:restartNumberingAfterBreak="0">
    <w:nsid w:val="5D4C6AFE"/>
    <w:multiLevelType w:val="hybridMultilevel"/>
    <w:tmpl w:val="D772B74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6AED60E9"/>
    <w:multiLevelType w:val="hybridMultilevel"/>
    <w:tmpl w:val="2C90E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FC47B0"/>
    <w:multiLevelType w:val="hybridMultilevel"/>
    <w:tmpl w:val="BEF6908C"/>
    <w:lvl w:ilvl="0" w:tplc="668EDD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437795"/>
    <w:multiLevelType w:val="hybridMultilevel"/>
    <w:tmpl w:val="79900DBE"/>
    <w:lvl w:ilvl="0" w:tplc="5D1671D0">
      <w:numFmt w:val="bullet"/>
      <w:lvlText w:val="•"/>
      <w:lvlJc w:val="left"/>
      <w:pPr>
        <w:ind w:left="1074" w:hanging="360"/>
      </w:pPr>
      <w:rPr>
        <w:rFonts w:ascii="SF Pro Light" w:eastAsiaTheme="minorHAnsi" w:hAnsi="SF Pro Light" w:cs="Times New Roman"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747865B9"/>
    <w:multiLevelType w:val="hybridMultilevel"/>
    <w:tmpl w:val="756E5DCA"/>
    <w:lvl w:ilvl="0" w:tplc="668EDD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270928">
    <w:abstractNumId w:val="9"/>
  </w:num>
  <w:num w:numId="2" w16cid:durableId="1344744939">
    <w:abstractNumId w:val="4"/>
  </w:num>
  <w:num w:numId="3" w16cid:durableId="872882178">
    <w:abstractNumId w:val="2"/>
  </w:num>
  <w:num w:numId="4" w16cid:durableId="122624687">
    <w:abstractNumId w:val="11"/>
  </w:num>
  <w:num w:numId="5" w16cid:durableId="1200438468">
    <w:abstractNumId w:val="7"/>
  </w:num>
  <w:num w:numId="6" w16cid:durableId="282155928">
    <w:abstractNumId w:val="6"/>
  </w:num>
  <w:num w:numId="7" w16cid:durableId="2080472874">
    <w:abstractNumId w:val="3"/>
  </w:num>
  <w:num w:numId="8" w16cid:durableId="1362510464">
    <w:abstractNumId w:val="0"/>
  </w:num>
  <w:num w:numId="9" w16cid:durableId="904728656">
    <w:abstractNumId w:val="10"/>
  </w:num>
  <w:num w:numId="10" w16cid:durableId="693851081">
    <w:abstractNumId w:val="1"/>
  </w:num>
  <w:num w:numId="11" w16cid:durableId="992639353">
    <w:abstractNumId w:val="8"/>
  </w:num>
  <w:num w:numId="12" w16cid:durableId="85418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97"/>
    <w:rsid w:val="0000274B"/>
    <w:rsid w:val="00010D6B"/>
    <w:rsid w:val="00013937"/>
    <w:rsid w:val="00014956"/>
    <w:rsid w:val="000216AE"/>
    <w:rsid w:val="000217E4"/>
    <w:rsid w:val="0002565D"/>
    <w:rsid w:val="00041536"/>
    <w:rsid w:val="0004174F"/>
    <w:rsid w:val="00043155"/>
    <w:rsid w:val="00043CF7"/>
    <w:rsid w:val="00051AEC"/>
    <w:rsid w:val="00081904"/>
    <w:rsid w:val="000838ED"/>
    <w:rsid w:val="000877CB"/>
    <w:rsid w:val="00092F1D"/>
    <w:rsid w:val="000A5561"/>
    <w:rsid w:val="000A617E"/>
    <w:rsid w:val="000B34CC"/>
    <w:rsid w:val="000C2555"/>
    <w:rsid w:val="000D434B"/>
    <w:rsid w:val="000D4642"/>
    <w:rsid w:val="000D5A36"/>
    <w:rsid w:val="000D7B7A"/>
    <w:rsid w:val="000E08F0"/>
    <w:rsid w:val="000E7440"/>
    <w:rsid w:val="000F3EB9"/>
    <w:rsid w:val="0010523A"/>
    <w:rsid w:val="00105C6C"/>
    <w:rsid w:val="00116574"/>
    <w:rsid w:val="0012390D"/>
    <w:rsid w:val="00126DE4"/>
    <w:rsid w:val="00133CF6"/>
    <w:rsid w:val="00140F4E"/>
    <w:rsid w:val="00145159"/>
    <w:rsid w:val="00151DB9"/>
    <w:rsid w:val="00154DA8"/>
    <w:rsid w:val="00160E40"/>
    <w:rsid w:val="00171A3C"/>
    <w:rsid w:val="00177437"/>
    <w:rsid w:val="001875CA"/>
    <w:rsid w:val="00196E03"/>
    <w:rsid w:val="001A0F0E"/>
    <w:rsid w:val="001A381F"/>
    <w:rsid w:val="001A77A7"/>
    <w:rsid w:val="001B5860"/>
    <w:rsid w:val="001C21C4"/>
    <w:rsid w:val="001C46AB"/>
    <w:rsid w:val="001C669D"/>
    <w:rsid w:val="001C77AA"/>
    <w:rsid w:val="001C78CF"/>
    <w:rsid w:val="001E6325"/>
    <w:rsid w:val="001E6414"/>
    <w:rsid w:val="001E6B74"/>
    <w:rsid w:val="001F0ACA"/>
    <w:rsid w:val="00211AB3"/>
    <w:rsid w:val="00213CE0"/>
    <w:rsid w:val="0021678C"/>
    <w:rsid w:val="00217502"/>
    <w:rsid w:val="002213F4"/>
    <w:rsid w:val="00221D2F"/>
    <w:rsid w:val="00221EAE"/>
    <w:rsid w:val="00225DBB"/>
    <w:rsid w:val="00233056"/>
    <w:rsid w:val="002367B2"/>
    <w:rsid w:val="002525B5"/>
    <w:rsid w:val="00277697"/>
    <w:rsid w:val="00280050"/>
    <w:rsid w:val="00280ACE"/>
    <w:rsid w:val="002855BB"/>
    <w:rsid w:val="00290FFD"/>
    <w:rsid w:val="002C4876"/>
    <w:rsid w:val="002D1B76"/>
    <w:rsid w:val="002E1606"/>
    <w:rsid w:val="002E1765"/>
    <w:rsid w:val="002E485A"/>
    <w:rsid w:val="002E4C02"/>
    <w:rsid w:val="002F0746"/>
    <w:rsid w:val="002F12BA"/>
    <w:rsid w:val="002F777B"/>
    <w:rsid w:val="003050FB"/>
    <w:rsid w:val="00305538"/>
    <w:rsid w:val="003070F5"/>
    <w:rsid w:val="003076B5"/>
    <w:rsid w:val="003107F6"/>
    <w:rsid w:val="00311932"/>
    <w:rsid w:val="00314288"/>
    <w:rsid w:val="003175FF"/>
    <w:rsid w:val="003259F3"/>
    <w:rsid w:val="0032749E"/>
    <w:rsid w:val="00330D5C"/>
    <w:rsid w:val="00337DE3"/>
    <w:rsid w:val="00341C56"/>
    <w:rsid w:val="003468F5"/>
    <w:rsid w:val="00351465"/>
    <w:rsid w:val="00361E84"/>
    <w:rsid w:val="00384ED8"/>
    <w:rsid w:val="003A2675"/>
    <w:rsid w:val="003A3AD9"/>
    <w:rsid w:val="003A53F3"/>
    <w:rsid w:val="003A7D4B"/>
    <w:rsid w:val="003B6C38"/>
    <w:rsid w:val="003C3CE3"/>
    <w:rsid w:val="003D0303"/>
    <w:rsid w:val="003E31A6"/>
    <w:rsid w:val="003F2741"/>
    <w:rsid w:val="003F3E36"/>
    <w:rsid w:val="003F513C"/>
    <w:rsid w:val="00403F18"/>
    <w:rsid w:val="004050E5"/>
    <w:rsid w:val="004079EB"/>
    <w:rsid w:val="004103FE"/>
    <w:rsid w:val="00412135"/>
    <w:rsid w:val="00414025"/>
    <w:rsid w:val="004242D6"/>
    <w:rsid w:val="004309F1"/>
    <w:rsid w:val="00437EAA"/>
    <w:rsid w:val="00440CD5"/>
    <w:rsid w:val="00450551"/>
    <w:rsid w:val="00454045"/>
    <w:rsid w:val="0045770B"/>
    <w:rsid w:val="0046278E"/>
    <w:rsid w:val="004710AA"/>
    <w:rsid w:val="00475AEA"/>
    <w:rsid w:val="00476B65"/>
    <w:rsid w:val="004874EF"/>
    <w:rsid w:val="00490AEC"/>
    <w:rsid w:val="00491409"/>
    <w:rsid w:val="0049314B"/>
    <w:rsid w:val="00494B78"/>
    <w:rsid w:val="004A2A2A"/>
    <w:rsid w:val="004C177A"/>
    <w:rsid w:val="004C5FC1"/>
    <w:rsid w:val="004C685A"/>
    <w:rsid w:val="004D06C3"/>
    <w:rsid w:val="004D1650"/>
    <w:rsid w:val="004D51E7"/>
    <w:rsid w:val="004D5859"/>
    <w:rsid w:val="004E5FE9"/>
    <w:rsid w:val="005038A9"/>
    <w:rsid w:val="005138A9"/>
    <w:rsid w:val="00514754"/>
    <w:rsid w:val="00521ED9"/>
    <w:rsid w:val="00523646"/>
    <w:rsid w:val="00523945"/>
    <w:rsid w:val="00523B83"/>
    <w:rsid w:val="00532E66"/>
    <w:rsid w:val="005623EC"/>
    <w:rsid w:val="00591B98"/>
    <w:rsid w:val="00597233"/>
    <w:rsid w:val="00597AB5"/>
    <w:rsid w:val="005B118E"/>
    <w:rsid w:val="005B274F"/>
    <w:rsid w:val="005B3E17"/>
    <w:rsid w:val="005C01BD"/>
    <w:rsid w:val="005C3A1A"/>
    <w:rsid w:val="005C4E73"/>
    <w:rsid w:val="005C53A8"/>
    <w:rsid w:val="005F2ED0"/>
    <w:rsid w:val="005F421F"/>
    <w:rsid w:val="005F6A2C"/>
    <w:rsid w:val="00600807"/>
    <w:rsid w:val="00600A16"/>
    <w:rsid w:val="006066C8"/>
    <w:rsid w:val="006111A7"/>
    <w:rsid w:val="00616B9C"/>
    <w:rsid w:val="00620A83"/>
    <w:rsid w:val="00622321"/>
    <w:rsid w:val="0063118A"/>
    <w:rsid w:val="006335B1"/>
    <w:rsid w:val="006368D8"/>
    <w:rsid w:val="0064083F"/>
    <w:rsid w:val="0064136A"/>
    <w:rsid w:val="00667366"/>
    <w:rsid w:val="00674BCC"/>
    <w:rsid w:val="006851BB"/>
    <w:rsid w:val="00686930"/>
    <w:rsid w:val="006A2334"/>
    <w:rsid w:val="006A2649"/>
    <w:rsid w:val="006D1725"/>
    <w:rsid w:val="006D4116"/>
    <w:rsid w:val="006E0B8A"/>
    <w:rsid w:val="006E1A37"/>
    <w:rsid w:val="006E3BB8"/>
    <w:rsid w:val="006F62C9"/>
    <w:rsid w:val="00700281"/>
    <w:rsid w:val="00701D57"/>
    <w:rsid w:val="00724085"/>
    <w:rsid w:val="0073492F"/>
    <w:rsid w:val="007474CE"/>
    <w:rsid w:val="00771700"/>
    <w:rsid w:val="007823AD"/>
    <w:rsid w:val="00782B4B"/>
    <w:rsid w:val="00794BF2"/>
    <w:rsid w:val="007A354D"/>
    <w:rsid w:val="007A5177"/>
    <w:rsid w:val="007A625C"/>
    <w:rsid w:val="007C7D9C"/>
    <w:rsid w:val="007D5805"/>
    <w:rsid w:val="007D65F2"/>
    <w:rsid w:val="007E3914"/>
    <w:rsid w:val="007E57BF"/>
    <w:rsid w:val="007E6645"/>
    <w:rsid w:val="007F473E"/>
    <w:rsid w:val="007F48C0"/>
    <w:rsid w:val="007F6B89"/>
    <w:rsid w:val="008004D1"/>
    <w:rsid w:val="008038B1"/>
    <w:rsid w:val="00804058"/>
    <w:rsid w:val="00810D1F"/>
    <w:rsid w:val="008145F3"/>
    <w:rsid w:val="0082216D"/>
    <w:rsid w:val="008275B6"/>
    <w:rsid w:val="008316E9"/>
    <w:rsid w:val="00833715"/>
    <w:rsid w:val="0084761B"/>
    <w:rsid w:val="008477DF"/>
    <w:rsid w:val="00850CF8"/>
    <w:rsid w:val="008610AA"/>
    <w:rsid w:val="008644A8"/>
    <w:rsid w:val="00870F46"/>
    <w:rsid w:val="0088089D"/>
    <w:rsid w:val="00887DFA"/>
    <w:rsid w:val="008906A3"/>
    <w:rsid w:val="00892C33"/>
    <w:rsid w:val="00897244"/>
    <w:rsid w:val="00897504"/>
    <w:rsid w:val="008A4556"/>
    <w:rsid w:val="008A4B68"/>
    <w:rsid w:val="008A69A3"/>
    <w:rsid w:val="008C2B1F"/>
    <w:rsid w:val="008F1CEC"/>
    <w:rsid w:val="00901570"/>
    <w:rsid w:val="00903033"/>
    <w:rsid w:val="0090372A"/>
    <w:rsid w:val="00916833"/>
    <w:rsid w:val="00924197"/>
    <w:rsid w:val="009276B2"/>
    <w:rsid w:val="009308DA"/>
    <w:rsid w:val="0093321B"/>
    <w:rsid w:val="0093722E"/>
    <w:rsid w:val="0093775D"/>
    <w:rsid w:val="00940404"/>
    <w:rsid w:val="0094213D"/>
    <w:rsid w:val="00946630"/>
    <w:rsid w:val="00950BE0"/>
    <w:rsid w:val="00955485"/>
    <w:rsid w:val="00960704"/>
    <w:rsid w:val="009645AF"/>
    <w:rsid w:val="009675DB"/>
    <w:rsid w:val="00984C42"/>
    <w:rsid w:val="0099169D"/>
    <w:rsid w:val="00994178"/>
    <w:rsid w:val="009B5D4D"/>
    <w:rsid w:val="009D300E"/>
    <w:rsid w:val="009D3724"/>
    <w:rsid w:val="009D5D95"/>
    <w:rsid w:val="009E7EBE"/>
    <w:rsid w:val="009F0946"/>
    <w:rsid w:val="009F522F"/>
    <w:rsid w:val="00A2096C"/>
    <w:rsid w:val="00A40948"/>
    <w:rsid w:val="00A4534B"/>
    <w:rsid w:val="00A45C43"/>
    <w:rsid w:val="00A67548"/>
    <w:rsid w:val="00A708E7"/>
    <w:rsid w:val="00A86A4E"/>
    <w:rsid w:val="00A94BC8"/>
    <w:rsid w:val="00A973C9"/>
    <w:rsid w:val="00AB36ED"/>
    <w:rsid w:val="00AB3BCA"/>
    <w:rsid w:val="00AC7148"/>
    <w:rsid w:val="00AE184D"/>
    <w:rsid w:val="00AF1164"/>
    <w:rsid w:val="00B041C0"/>
    <w:rsid w:val="00B11CCF"/>
    <w:rsid w:val="00B204B9"/>
    <w:rsid w:val="00B20A9A"/>
    <w:rsid w:val="00B211F8"/>
    <w:rsid w:val="00B246AC"/>
    <w:rsid w:val="00B47C91"/>
    <w:rsid w:val="00B53B81"/>
    <w:rsid w:val="00B56F12"/>
    <w:rsid w:val="00B656FF"/>
    <w:rsid w:val="00B73D93"/>
    <w:rsid w:val="00B829B7"/>
    <w:rsid w:val="00B868BF"/>
    <w:rsid w:val="00B97A82"/>
    <w:rsid w:val="00BB537E"/>
    <w:rsid w:val="00BC089B"/>
    <w:rsid w:val="00BC6FF8"/>
    <w:rsid w:val="00BD0E93"/>
    <w:rsid w:val="00BD3402"/>
    <w:rsid w:val="00BD4CFC"/>
    <w:rsid w:val="00BE13D3"/>
    <w:rsid w:val="00BE29A8"/>
    <w:rsid w:val="00BF11FF"/>
    <w:rsid w:val="00C13606"/>
    <w:rsid w:val="00C15D78"/>
    <w:rsid w:val="00C2083A"/>
    <w:rsid w:val="00C34406"/>
    <w:rsid w:val="00C411AA"/>
    <w:rsid w:val="00C41AC0"/>
    <w:rsid w:val="00C4203B"/>
    <w:rsid w:val="00C471AE"/>
    <w:rsid w:val="00C50916"/>
    <w:rsid w:val="00C55F59"/>
    <w:rsid w:val="00C66C48"/>
    <w:rsid w:val="00C7074A"/>
    <w:rsid w:val="00C71378"/>
    <w:rsid w:val="00C730B7"/>
    <w:rsid w:val="00C82B3E"/>
    <w:rsid w:val="00C96D40"/>
    <w:rsid w:val="00C97DF9"/>
    <w:rsid w:val="00CA0D6B"/>
    <w:rsid w:val="00CA7FFD"/>
    <w:rsid w:val="00CB2207"/>
    <w:rsid w:val="00CB2A88"/>
    <w:rsid w:val="00CB354E"/>
    <w:rsid w:val="00CB5248"/>
    <w:rsid w:val="00CB530B"/>
    <w:rsid w:val="00CB66B8"/>
    <w:rsid w:val="00CD26F3"/>
    <w:rsid w:val="00CD6EF7"/>
    <w:rsid w:val="00CE1BE6"/>
    <w:rsid w:val="00CE231B"/>
    <w:rsid w:val="00CE4BEA"/>
    <w:rsid w:val="00CE6530"/>
    <w:rsid w:val="00CE656A"/>
    <w:rsid w:val="00CF15C7"/>
    <w:rsid w:val="00CF52FD"/>
    <w:rsid w:val="00CF59AB"/>
    <w:rsid w:val="00D007D0"/>
    <w:rsid w:val="00D0263B"/>
    <w:rsid w:val="00D03565"/>
    <w:rsid w:val="00D050CF"/>
    <w:rsid w:val="00D076DF"/>
    <w:rsid w:val="00D2044B"/>
    <w:rsid w:val="00D24F59"/>
    <w:rsid w:val="00D2681D"/>
    <w:rsid w:val="00D3152B"/>
    <w:rsid w:val="00D46DF1"/>
    <w:rsid w:val="00D51C3D"/>
    <w:rsid w:val="00D52F0B"/>
    <w:rsid w:val="00D6000E"/>
    <w:rsid w:val="00D63CF6"/>
    <w:rsid w:val="00D71802"/>
    <w:rsid w:val="00D73AA5"/>
    <w:rsid w:val="00DB0160"/>
    <w:rsid w:val="00DB3A05"/>
    <w:rsid w:val="00DB5FE9"/>
    <w:rsid w:val="00DB77D6"/>
    <w:rsid w:val="00DC4F79"/>
    <w:rsid w:val="00DE022F"/>
    <w:rsid w:val="00DE57F9"/>
    <w:rsid w:val="00DF0AF2"/>
    <w:rsid w:val="00DF102B"/>
    <w:rsid w:val="00E116FD"/>
    <w:rsid w:val="00E3174D"/>
    <w:rsid w:val="00E360B4"/>
    <w:rsid w:val="00E41973"/>
    <w:rsid w:val="00E43A70"/>
    <w:rsid w:val="00E45A54"/>
    <w:rsid w:val="00E574B9"/>
    <w:rsid w:val="00E60964"/>
    <w:rsid w:val="00EB0B66"/>
    <w:rsid w:val="00EB441E"/>
    <w:rsid w:val="00EB6147"/>
    <w:rsid w:val="00ED4FCA"/>
    <w:rsid w:val="00EE2D84"/>
    <w:rsid w:val="00EE4A65"/>
    <w:rsid w:val="00EF07B3"/>
    <w:rsid w:val="00EF0EB6"/>
    <w:rsid w:val="00F10421"/>
    <w:rsid w:val="00F14C37"/>
    <w:rsid w:val="00F14D6C"/>
    <w:rsid w:val="00F37AFD"/>
    <w:rsid w:val="00F51F07"/>
    <w:rsid w:val="00F533FA"/>
    <w:rsid w:val="00F62B90"/>
    <w:rsid w:val="00F71215"/>
    <w:rsid w:val="00F84C4B"/>
    <w:rsid w:val="00F92F3F"/>
    <w:rsid w:val="00FC3CBE"/>
    <w:rsid w:val="00FC53CE"/>
    <w:rsid w:val="00FD22CB"/>
    <w:rsid w:val="00FE6C65"/>
    <w:rsid w:val="00FF45CD"/>
    <w:rsid w:val="00FF589D"/>
    <w:rsid w:val="00FF73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2C33E"/>
  <w15:chartTrackingRefBased/>
  <w15:docId w15:val="{88172192-4E23-4069-BBFD-E81270F4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409"/>
    <w:pPr>
      <w:spacing w:line="240" w:lineRule="auto"/>
    </w:pPr>
    <w:rPr>
      <w:rFonts w:ascii="SF Pro Light" w:hAnsi="SF Pro Light"/>
      <w:sz w:val="22"/>
    </w:rPr>
  </w:style>
  <w:style w:type="paragraph" w:styleId="Heading1">
    <w:name w:val="heading 1"/>
    <w:next w:val="Normal"/>
    <w:link w:val="Heading1Char"/>
    <w:uiPriority w:val="9"/>
    <w:rsid w:val="00280ACE"/>
    <w:pPr>
      <w:keepNext/>
      <w:keepLines/>
      <w:spacing w:before="360" w:line="192" w:lineRule="auto"/>
      <w:outlineLvl w:val="0"/>
    </w:pPr>
    <w:rPr>
      <w:rFonts w:ascii="Arial Black" w:eastAsiaTheme="majorEastAsia" w:hAnsi="Arial Black" w:cstheme="majorBidi"/>
      <w:noProof/>
      <w:color w:val="000000" w:themeColor="text1"/>
      <w:sz w:val="48"/>
      <w:szCs w:val="22"/>
      <w:lang w:val="en-US"/>
    </w:rPr>
  </w:style>
  <w:style w:type="paragraph" w:styleId="Heading2">
    <w:name w:val="heading 2"/>
    <w:basedOn w:val="Normal"/>
    <w:next w:val="Normal"/>
    <w:link w:val="Heading2Char"/>
    <w:uiPriority w:val="9"/>
    <w:semiHidden/>
    <w:unhideWhenUsed/>
    <w:qFormat/>
    <w:rsid w:val="009241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2419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2419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2419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241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41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41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41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ACE"/>
    <w:rPr>
      <w:rFonts w:ascii="Arial Black" w:eastAsiaTheme="majorEastAsia" w:hAnsi="Arial Black" w:cstheme="majorBidi"/>
      <w:noProof/>
      <w:color w:val="000000" w:themeColor="text1"/>
      <w:sz w:val="48"/>
      <w:szCs w:val="22"/>
      <w:lang w:val="en-US"/>
    </w:rPr>
  </w:style>
  <w:style w:type="character" w:customStyle="1" w:styleId="Heading2Char">
    <w:name w:val="Heading 2 Char"/>
    <w:basedOn w:val="DefaultParagraphFont"/>
    <w:link w:val="Heading2"/>
    <w:uiPriority w:val="9"/>
    <w:semiHidden/>
    <w:rsid w:val="0092419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2419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2419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2419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241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41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41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41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41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1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1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4197"/>
    <w:pPr>
      <w:spacing w:before="160"/>
      <w:jc w:val="center"/>
    </w:pPr>
    <w:rPr>
      <w:i/>
      <w:iCs/>
      <w:color w:val="404040" w:themeColor="text1" w:themeTint="BF"/>
    </w:rPr>
  </w:style>
  <w:style w:type="character" w:customStyle="1" w:styleId="QuoteChar">
    <w:name w:val="Quote Char"/>
    <w:basedOn w:val="DefaultParagraphFont"/>
    <w:link w:val="Quote"/>
    <w:uiPriority w:val="29"/>
    <w:rsid w:val="00924197"/>
    <w:rPr>
      <w:i/>
      <w:iCs/>
      <w:color w:val="404040" w:themeColor="text1" w:themeTint="BF"/>
    </w:rPr>
  </w:style>
  <w:style w:type="paragraph" w:styleId="ListParagraph">
    <w:name w:val="List Paragraph"/>
    <w:basedOn w:val="Normal"/>
    <w:uiPriority w:val="34"/>
    <w:qFormat/>
    <w:rsid w:val="00924197"/>
    <w:pPr>
      <w:ind w:left="720"/>
      <w:contextualSpacing/>
    </w:pPr>
  </w:style>
  <w:style w:type="character" w:styleId="IntenseEmphasis">
    <w:name w:val="Intense Emphasis"/>
    <w:basedOn w:val="DefaultParagraphFont"/>
    <w:uiPriority w:val="21"/>
    <w:qFormat/>
    <w:rsid w:val="00924197"/>
    <w:rPr>
      <w:i/>
      <w:iCs/>
      <w:color w:val="2E74B5" w:themeColor="accent1" w:themeShade="BF"/>
    </w:rPr>
  </w:style>
  <w:style w:type="paragraph" w:styleId="IntenseQuote">
    <w:name w:val="Intense Quote"/>
    <w:basedOn w:val="Normal"/>
    <w:next w:val="Normal"/>
    <w:link w:val="IntenseQuoteChar"/>
    <w:uiPriority w:val="30"/>
    <w:qFormat/>
    <w:rsid w:val="009241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24197"/>
    <w:rPr>
      <w:i/>
      <w:iCs/>
      <w:color w:val="2E74B5" w:themeColor="accent1" w:themeShade="BF"/>
    </w:rPr>
  </w:style>
  <w:style w:type="character" w:styleId="IntenseReference">
    <w:name w:val="Intense Reference"/>
    <w:basedOn w:val="DefaultParagraphFont"/>
    <w:uiPriority w:val="32"/>
    <w:qFormat/>
    <w:rsid w:val="00924197"/>
    <w:rPr>
      <w:b/>
      <w:bCs/>
      <w:smallCaps/>
      <w:color w:val="2E74B5" w:themeColor="accent1" w:themeShade="BF"/>
      <w:spacing w:val="5"/>
    </w:rPr>
  </w:style>
  <w:style w:type="paragraph" w:styleId="Header">
    <w:name w:val="header"/>
    <w:basedOn w:val="Normal"/>
    <w:link w:val="HeaderChar"/>
    <w:uiPriority w:val="99"/>
    <w:unhideWhenUsed/>
    <w:rsid w:val="00311932"/>
    <w:pPr>
      <w:tabs>
        <w:tab w:val="center" w:pos="4513"/>
        <w:tab w:val="right" w:pos="9026"/>
      </w:tabs>
      <w:spacing w:after="0"/>
    </w:pPr>
  </w:style>
  <w:style w:type="character" w:customStyle="1" w:styleId="HeaderChar">
    <w:name w:val="Header Char"/>
    <w:basedOn w:val="DefaultParagraphFont"/>
    <w:link w:val="Header"/>
    <w:uiPriority w:val="99"/>
    <w:rsid w:val="00311932"/>
  </w:style>
  <w:style w:type="paragraph" w:styleId="Footer">
    <w:name w:val="footer"/>
    <w:basedOn w:val="Normal"/>
    <w:link w:val="FooterChar"/>
    <w:uiPriority w:val="99"/>
    <w:unhideWhenUsed/>
    <w:rsid w:val="00311932"/>
    <w:pPr>
      <w:tabs>
        <w:tab w:val="center" w:pos="4513"/>
        <w:tab w:val="right" w:pos="9026"/>
      </w:tabs>
      <w:spacing w:after="0"/>
    </w:pPr>
  </w:style>
  <w:style w:type="character" w:customStyle="1" w:styleId="FooterChar">
    <w:name w:val="Footer Char"/>
    <w:basedOn w:val="DefaultParagraphFont"/>
    <w:link w:val="Footer"/>
    <w:uiPriority w:val="99"/>
    <w:rsid w:val="00311932"/>
  </w:style>
  <w:style w:type="table" w:styleId="TableGrid">
    <w:name w:val="Table Grid"/>
    <w:basedOn w:val="TableNormal"/>
    <w:uiPriority w:val="39"/>
    <w:rsid w:val="0004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2675"/>
    <w:rPr>
      <w:color w:val="0563C1" w:themeColor="hyperlink"/>
      <w:u w:val="single"/>
    </w:rPr>
  </w:style>
  <w:style w:type="character" w:styleId="UnresolvedMention">
    <w:name w:val="Unresolved Mention"/>
    <w:basedOn w:val="DefaultParagraphFont"/>
    <w:uiPriority w:val="99"/>
    <w:semiHidden/>
    <w:unhideWhenUsed/>
    <w:rsid w:val="003A2675"/>
    <w:rPr>
      <w:color w:val="605E5C"/>
      <w:shd w:val="clear" w:color="auto" w:fill="E1DFDD"/>
    </w:rPr>
  </w:style>
  <w:style w:type="character" w:styleId="FollowedHyperlink">
    <w:name w:val="FollowedHyperlink"/>
    <w:basedOn w:val="DefaultParagraphFont"/>
    <w:uiPriority w:val="99"/>
    <w:semiHidden/>
    <w:unhideWhenUsed/>
    <w:rsid w:val="003A2675"/>
    <w:rPr>
      <w:color w:val="954F72" w:themeColor="followedHyperlink"/>
      <w:u w:val="single"/>
    </w:rPr>
  </w:style>
  <w:style w:type="paragraph" w:customStyle="1" w:styleId="BusinessPlan1BodyText">
    <w:name w:val="Business Plan 1 Body Text"/>
    <w:basedOn w:val="Normal"/>
    <w:link w:val="BusinessPlan1BodyTextChar"/>
    <w:qFormat/>
    <w:rsid w:val="00A973C9"/>
    <w:rPr>
      <w:szCs w:val="22"/>
      <w:lang w:val="en-US"/>
    </w:rPr>
  </w:style>
  <w:style w:type="character" w:customStyle="1" w:styleId="BusinessPlan1BodyTextChar">
    <w:name w:val="Business Plan 1 Body Text Char"/>
    <w:basedOn w:val="DefaultParagraphFont"/>
    <w:link w:val="BusinessPlan1BodyText"/>
    <w:rsid w:val="00A973C9"/>
    <w:rPr>
      <w:rFonts w:ascii="SF Pro Light" w:hAnsi="SF Pro Light"/>
      <w:sz w:val="22"/>
      <w:szCs w:val="22"/>
      <w:lang w:val="en-US"/>
    </w:rPr>
  </w:style>
  <w:style w:type="paragraph" w:styleId="TOCHeading">
    <w:name w:val="TOC Heading"/>
    <w:basedOn w:val="Heading1"/>
    <w:next w:val="Normal"/>
    <w:uiPriority w:val="39"/>
    <w:unhideWhenUsed/>
    <w:qFormat/>
    <w:rsid w:val="00E4197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CE656A"/>
    <w:pPr>
      <w:tabs>
        <w:tab w:val="right" w:leader="dot" w:pos="9402"/>
      </w:tabs>
      <w:spacing w:after="100"/>
    </w:pPr>
    <w:rPr>
      <w:noProof/>
    </w:rPr>
  </w:style>
  <w:style w:type="character" w:styleId="Strong">
    <w:name w:val="Strong"/>
    <w:basedOn w:val="DefaultParagraphFont"/>
    <w:uiPriority w:val="22"/>
    <w:qFormat/>
    <w:rsid w:val="00280ACE"/>
    <w:rPr>
      <w:rFonts w:ascii="Arial" w:hAnsi="Arial" w:cs="Arial"/>
      <w:b/>
      <w:bCs/>
    </w:rPr>
  </w:style>
  <w:style w:type="character" w:styleId="CommentReference">
    <w:name w:val="annotation reference"/>
    <w:basedOn w:val="DefaultParagraphFont"/>
    <w:uiPriority w:val="99"/>
    <w:semiHidden/>
    <w:unhideWhenUsed/>
    <w:rsid w:val="00700281"/>
    <w:rPr>
      <w:sz w:val="16"/>
      <w:szCs w:val="16"/>
    </w:rPr>
  </w:style>
  <w:style w:type="paragraph" w:styleId="CommentText">
    <w:name w:val="annotation text"/>
    <w:basedOn w:val="Normal"/>
    <w:link w:val="CommentTextChar"/>
    <w:uiPriority w:val="99"/>
    <w:unhideWhenUsed/>
    <w:rsid w:val="00700281"/>
    <w:rPr>
      <w:sz w:val="20"/>
      <w:szCs w:val="20"/>
    </w:rPr>
  </w:style>
  <w:style w:type="character" w:customStyle="1" w:styleId="CommentTextChar">
    <w:name w:val="Comment Text Char"/>
    <w:basedOn w:val="DefaultParagraphFont"/>
    <w:link w:val="CommentText"/>
    <w:uiPriority w:val="99"/>
    <w:rsid w:val="00700281"/>
    <w:rPr>
      <w:rFonts w:ascii="SF Pro Light" w:hAnsi="SF Pro Light"/>
      <w:sz w:val="20"/>
      <w:szCs w:val="20"/>
    </w:rPr>
  </w:style>
  <w:style w:type="paragraph" w:styleId="CommentSubject">
    <w:name w:val="annotation subject"/>
    <w:basedOn w:val="CommentText"/>
    <w:next w:val="CommentText"/>
    <w:link w:val="CommentSubjectChar"/>
    <w:uiPriority w:val="99"/>
    <w:semiHidden/>
    <w:unhideWhenUsed/>
    <w:rsid w:val="00700281"/>
    <w:rPr>
      <w:b/>
      <w:bCs/>
    </w:rPr>
  </w:style>
  <w:style w:type="character" w:customStyle="1" w:styleId="CommentSubjectChar">
    <w:name w:val="Comment Subject Char"/>
    <w:basedOn w:val="CommentTextChar"/>
    <w:link w:val="CommentSubject"/>
    <w:uiPriority w:val="99"/>
    <w:semiHidden/>
    <w:rsid w:val="00700281"/>
    <w:rPr>
      <w:rFonts w:ascii="SF Pro Light" w:hAnsi="SF Pro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4252">
      <w:bodyDiv w:val="1"/>
      <w:marLeft w:val="0"/>
      <w:marRight w:val="0"/>
      <w:marTop w:val="0"/>
      <w:marBottom w:val="0"/>
      <w:divBdr>
        <w:top w:val="none" w:sz="0" w:space="0" w:color="auto"/>
        <w:left w:val="none" w:sz="0" w:space="0" w:color="auto"/>
        <w:bottom w:val="none" w:sz="0" w:space="0" w:color="auto"/>
        <w:right w:val="none" w:sz="0" w:space="0" w:color="auto"/>
      </w:divBdr>
      <w:divsChild>
        <w:div w:id="1063605589">
          <w:marLeft w:val="0"/>
          <w:marRight w:val="0"/>
          <w:marTop w:val="0"/>
          <w:marBottom w:val="0"/>
          <w:divBdr>
            <w:top w:val="none" w:sz="0" w:space="0" w:color="auto"/>
            <w:left w:val="none" w:sz="0" w:space="0" w:color="auto"/>
            <w:bottom w:val="none" w:sz="0" w:space="0" w:color="auto"/>
            <w:right w:val="none" w:sz="0" w:space="0" w:color="auto"/>
          </w:divBdr>
        </w:div>
        <w:div w:id="1181354621">
          <w:marLeft w:val="0"/>
          <w:marRight w:val="0"/>
          <w:marTop w:val="0"/>
          <w:marBottom w:val="0"/>
          <w:divBdr>
            <w:top w:val="none" w:sz="0" w:space="0" w:color="auto"/>
            <w:left w:val="none" w:sz="0" w:space="0" w:color="auto"/>
            <w:bottom w:val="none" w:sz="0" w:space="0" w:color="auto"/>
            <w:right w:val="none" w:sz="0" w:space="0" w:color="auto"/>
          </w:divBdr>
        </w:div>
        <w:div w:id="1432435309">
          <w:marLeft w:val="0"/>
          <w:marRight w:val="0"/>
          <w:marTop w:val="0"/>
          <w:marBottom w:val="0"/>
          <w:divBdr>
            <w:top w:val="none" w:sz="0" w:space="0" w:color="auto"/>
            <w:left w:val="none" w:sz="0" w:space="0" w:color="auto"/>
            <w:bottom w:val="none" w:sz="0" w:space="0" w:color="auto"/>
            <w:right w:val="none" w:sz="0" w:space="0" w:color="auto"/>
          </w:divBdr>
        </w:div>
      </w:divsChild>
    </w:div>
    <w:div w:id="133253164">
      <w:bodyDiv w:val="1"/>
      <w:marLeft w:val="0"/>
      <w:marRight w:val="0"/>
      <w:marTop w:val="0"/>
      <w:marBottom w:val="0"/>
      <w:divBdr>
        <w:top w:val="none" w:sz="0" w:space="0" w:color="auto"/>
        <w:left w:val="none" w:sz="0" w:space="0" w:color="auto"/>
        <w:bottom w:val="none" w:sz="0" w:space="0" w:color="auto"/>
        <w:right w:val="none" w:sz="0" w:space="0" w:color="auto"/>
      </w:divBdr>
      <w:divsChild>
        <w:div w:id="572663610">
          <w:marLeft w:val="0"/>
          <w:marRight w:val="0"/>
          <w:marTop w:val="0"/>
          <w:marBottom w:val="0"/>
          <w:divBdr>
            <w:top w:val="none" w:sz="0" w:space="0" w:color="auto"/>
            <w:left w:val="none" w:sz="0" w:space="0" w:color="auto"/>
            <w:bottom w:val="none" w:sz="0" w:space="0" w:color="auto"/>
            <w:right w:val="none" w:sz="0" w:space="0" w:color="auto"/>
          </w:divBdr>
        </w:div>
        <w:div w:id="1753089702">
          <w:marLeft w:val="0"/>
          <w:marRight w:val="0"/>
          <w:marTop w:val="0"/>
          <w:marBottom w:val="0"/>
          <w:divBdr>
            <w:top w:val="none" w:sz="0" w:space="0" w:color="auto"/>
            <w:left w:val="none" w:sz="0" w:space="0" w:color="auto"/>
            <w:bottom w:val="none" w:sz="0" w:space="0" w:color="auto"/>
            <w:right w:val="none" w:sz="0" w:space="0" w:color="auto"/>
          </w:divBdr>
        </w:div>
      </w:divsChild>
    </w:div>
    <w:div w:id="243227764">
      <w:bodyDiv w:val="1"/>
      <w:marLeft w:val="0"/>
      <w:marRight w:val="0"/>
      <w:marTop w:val="0"/>
      <w:marBottom w:val="0"/>
      <w:divBdr>
        <w:top w:val="none" w:sz="0" w:space="0" w:color="auto"/>
        <w:left w:val="none" w:sz="0" w:space="0" w:color="auto"/>
        <w:bottom w:val="none" w:sz="0" w:space="0" w:color="auto"/>
        <w:right w:val="none" w:sz="0" w:space="0" w:color="auto"/>
      </w:divBdr>
      <w:divsChild>
        <w:div w:id="950748578">
          <w:marLeft w:val="0"/>
          <w:marRight w:val="0"/>
          <w:marTop w:val="0"/>
          <w:marBottom w:val="0"/>
          <w:divBdr>
            <w:top w:val="none" w:sz="0" w:space="0" w:color="auto"/>
            <w:left w:val="none" w:sz="0" w:space="0" w:color="auto"/>
            <w:bottom w:val="none" w:sz="0" w:space="0" w:color="auto"/>
            <w:right w:val="none" w:sz="0" w:space="0" w:color="auto"/>
          </w:divBdr>
        </w:div>
        <w:div w:id="1783645182">
          <w:marLeft w:val="0"/>
          <w:marRight w:val="0"/>
          <w:marTop w:val="0"/>
          <w:marBottom w:val="0"/>
          <w:divBdr>
            <w:top w:val="none" w:sz="0" w:space="0" w:color="auto"/>
            <w:left w:val="none" w:sz="0" w:space="0" w:color="auto"/>
            <w:bottom w:val="none" w:sz="0" w:space="0" w:color="auto"/>
            <w:right w:val="none" w:sz="0" w:space="0" w:color="auto"/>
          </w:divBdr>
        </w:div>
      </w:divsChild>
    </w:div>
    <w:div w:id="270479574">
      <w:bodyDiv w:val="1"/>
      <w:marLeft w:val="0"/>
      <w:marRight w:val="0"/>
      <w:marTop w:val="0"/>
      <w:marBottom w:val="0"/>
      <w:divBdr>
        <w:top w:val="none" w:sz="0" w:space="0" w:color="auto"/>
        <w:left w:val="none" w:sz="0" w:space="0" w:color="auto"/>
        <w:bottom w:val="none" w:sz="0" w:space="0" w:color="auto"/>
        <w:right w:val="none" w:sz="0" w:space="0" w:color="auto"/>
      </w:divBdr>
      <w:divsChild>
        <w:div w:id="289362292">
          <w:marLeft w:val="0"/>
          <w:marRight w:val="0"/>
          <w:marTop w:val="0"/>
          <w:marBottom w:val="0"/>
          <w:divBdr>
            <w:top w:val="none" w:sz="0" w:space="0" w:color="auto"/>
            <w:left w:val="none" w:sz="0" w:space="0" w:color="auto"/>
            <w:bottom w:val="none" w:sz="0" w:space="0" w:color="auto"/>
            <w:right w:val="none" w:sz="0" w:space="0" w:color="auto"/>
          </w:divBdr>
        </w:div>
        <w:div w:id="6714150">
          <w:marLeft w:val="0"/>
          <w:marRight w:val="0"/>
          <w:marTop w:val="0"/>
          <w:marBottom w:val="0"/>
          <w:divBdr>
            <w:top w:val="none" w:sz="0" w:space="0" w:color="auto"/>
            <w:left w:val="none" w:sz="0" w:space="0" w:color="auto"/>
            <w:bottom w:val="none" w:sz="0" w:space="0" w:color="auto"/>
            <w:right w:val="none" w:sz="0" w:space="0" w:color="auto"/>
          </w:divBdr>
        </w:div>
      </w:divsChild>
    </w:div>
    <w:div w:id="270672010">
      <w:bodyDiv w:val="1"/>
      <w:marLeft w:val="0"/>
      <w:marRight w:val="0"/>
      <w:marTop w:val="0"/>
      <w:marBottom w:val="0"/>
      <w:divBdr>
        <w:top w:val="none" w:sz="0" w:space="0" w:color="auto"/>
        <w:left w:val="none" w:sz="0" w:space="0" w:color="auto"/>
        <w:bottom w:val="none" w:sz="0" w:space="0" w:color="auto"/>
        <w:right w:val="none" w:sz="0" w:space="0" w:color="auto"/>
      </w:divBdr>
      <w:divsChild>
        <w:div w:id="1844317161">
          <w:marLeft w:val="0"/>
          <w:marRight w:val="0"/>
          <w:marTop w:val="0"/>
          <w:marBottom w:val="0"/>
          <w:divBdr>
            <w:top w:val="none" w:sz="0" w:space="0" w:color="auto"/>
            <w:left w:val="none" w:sz="0" w:space="0" w:color="auto"/>
            <w:bottom w:val="none" w:sz="0" w:space="0" w:color="auto"/>
            <w:right w:val="none" w:sz="0" w:space="0" w:color="auto"/>
          </w:divBdr>
        </w:div>
        <w:div w:id="2072345552">
          <w:marLeft w:val="0"/>
          <w:marRight w:val="0"/>
          <w:marTop w:val="0"/>
          <w:marBottom w:val="0"/>
          <w:divBdr>
            <w:top w:val="none" w:sz="0" w:space="0" w:color="auto"/>
            <w:left w:val="none" w:sz="0" w:space="0" w:color="auto"/>
            <w:bottom w:val="none" w:sz="0" w:space="0" w:color="auto"/>
            <w:right w:val="none" w:sz="0" w:space="0" w:color="auto"/>
          </w:divBdr>
        </w:div>
      </w:divsChild>
    </w:div>
    <w:div w:id="692415966">
      <w:bodyDiv w:val="1"/>
      <w:marLeft w:val="0"/>
      <w:marRight w:val="0"/>
      <w:marTop w:val="0"/>
      <w:marBottom w:val="0"/>
      <w:divBdr>
        <w:top w:val="none" w:sz="0" w:space="0" w:color="auto"/>
        <w:left w:val="none" w:sz="0" w:space="0" w:color="auto"/>
        <w:bottom w:val="none" w:sz="0" w:space="0" w:color="auto"/>
        <w:right w:val="none" w:sz="0" w:space="0" w:color="auto"/>
      </w:divBdr>
      <w:divsChild>
        <w:div w:id="849416663">
          <w:marLeft w:val="0"/>
          <w:marRight w:val="0"/>
          <w:marTop w:val="0"/>
          <w:marBottom w:val="0"/>
          <w:divBdr>
            <w:top w:val="none" w:sz="0" w:space="0" w:color="auto"/>
            <w:left w:val="none" w:sz="0" w:space="0" w:color="auto"/>
            <w:bottom w:val="none" w:sz="0" w:space="0" w:color="auto"/>
            <w:right w:val="none" w:sz="0" w:space="0" w:color="auto"/>
          </w:divBdr>
        </w:div>
        <w:div w:id="1955793262">
          <w:marLeft w:val="0"/>
          <w:marRight w:val="0"/>
          <w:marTop w:val="0"/>
          <w:marBottom w:val="0"/>
          <w:divBdr>
            <w:top w:val="none" w:sz="0" w:space="0" w:color="auto"/>
            <w:left w:val="none" w:sz="0" w:space="0" w:color="auto"/>
            <w:bottom w:val="none" w:sz="0" w:space="0" w:color="auto"/>
            <w:right w:val="none" w:sz="0" w:space="0" w:color="auto"/>
          </w:divBdr>
        </w:div>
        <w:div w:id="1174101720">
          <w:marLeft w:val="0"/>
          <w:marRight w:val="0"/>
          <w:marTop w:val="0"/>
          <w:marBottom w:val="0"/>
          <w:divBdr>
            <w:top w:val="none" w:sz="0" w:space="0" w:color="auto"/>
            <w:left w:val="none" w:sz="0" w:space="0" w:color="auto"/>
            <w:bottom w:val="none" w:sz="0" w:space="0" w:color="auto"/>
            <w:right w:val="none" w:sz="0" w:space="0" w:color="auto"/>
          </w:divBdr>
        </w:div>
      </w:divsChild>
    </w:div>
    <w:div w:id="763304213">
      <w:bodyDiv w:val="1"/>
      <w:marLeft w:val="0"/>
      <w:marRight w:val="0"/>
      <w:marTop w:val="0"/>
      <w:marBottom w:val="0"/>
      <w:divBdr>
        <w:top w:val="none" w:sz="0" w:space="0" w:color="auto"/>
        <w:left w:val="none" w:sz="0" w:space="0" w:color="auto"/>
        <w:bottom w:val="none" w:sz="0" w:space="0" w:color="auto"/>
        <w:right w:val="none" w:sz="0" w:space="0" w:color="auto"/>
      </w:divBdr>
      <w:divsChild>
        <w:div w:id="1471970574">
          <w:marLeft w:val="0"/>
          <w:marRight w:val="0"/>
          <w:marTop w:val="0"/>
          <w:marBottom w:val="0"/>
          <w:divBdr>
            <w:top w:val="none" w:sz="0" w:space="0" w:color="auto"/>
            <w:left w:val="none" w:sz="0" w:space="0" w:color="auto"/>
            <w:bottom w:val="none" w:sz="0" w:space="0" w:color="auto"/>
            <w:right w:val="none" w:sz="0" w:space="0" w:color="auto"/>
          </w:divBdr>
        </w:div>
        <w:div w:id="1042443796">
          <w:marLeft w:val="0"/>
          <w:marRight w:val="0"/>
          <w:marTop w:val="0"/>
          <w:marBottom w:val="0"/>
          <w:divBdr>
            <w:top w:val="none" w:sz="0" w:space="0" w:color="auto"/>
            <w:left w:val="none" w:sz="0" w:space="0" w:color="auto"/>
            <w:bottom w:val="none" w:sz="0" w:space="0" w:color="auto"/>
            <w:right w:val="none" w:sz="0" w:space="0" w:color="auto"/>
          </w:divBdr>
        </w:div>
      </w:divsChild>
    </w:div>
    <w:div w:id="795104014">
      <w:bodyDiv w:val="1"/>
      <w:marLeft w:val="0"/>
      <w:marRight w:val="0"/>
      <w:marTop w:val="0"/>
      <w:marBottom w:val="0"/>
      <w:divBdr>
        <w:top w:val="none" w:sz="0" w:space="0" w:color="auto"/>
        <w:left w:val="none" w:sz="0" w:space="0" w:color="auto"/>
        <w:bottom w:val="none" w:sz="0" w:space="0" w:color="auto"/>
        <w:right w:val="none" w:sz="0" w:space="0" w:color="auto"/>
      </w:divBdr>
      <w:divsChild>
        <w:div w:id="1380126437">
          <w:marLeft w:val="0"/>
          <w:marRight w:val="0"/>
          <w:marTop w:val="0"/>
          <w:marBottom w:val="0"/>
          <w:divBdr>
            <w:top w:val="none" w:sz="0" w:space="0" w:color="auto"/>
            <w:left w:val="none" w:sz="0" w:space="0" w:color="auto"/>
            <w:bottom w:val="none" w:sz="0" w:space="0" w:color="auto"/>
            <w:right w:val="none" w:sz="0" w:space="0" w:color="auto"/>
          </w:divBdr>
        </w:div>
        <w:div w:id="1782384101">
          <w:marLeft w:val="0"/>
          <w:marRight w:val="0"/>
          <w:marTop w:val="0"/>
          <w:marBottom w:val="0"/>
          <w:divBdr>
            <w:top w:val="none" w:sz="0" w:space="0" w:color="auto"/>
            <w:left w:val="none" w:sz="0" w:space="0" w:color="auto"/>
            <w:bottom w:val="none" w:sz="0" w:space="0" w:color="auto"/>
            <w:right w:val="none" w:sz="0" w:space="0" w:color="auto"/>
          </w:divBdr>
        </w:div>
      </w:divsChild>
    </w:div>
    <w:div w:id="826168665">
      <w:bodyDiv w:val="1"/>
      <w:marLeft w:val="0"/>
      <w:marRight w:val="0"/>
      <w:marTop w:val="0"/>
      <w:marBottom w:val="0"/>
      <w:divBdr>
        <w:top w:val="none" w:sz="0" w:space="0" w:color="auto"/>
        <w:left w:val="none" w:sz="0" w:space="0" w:color="auto"/>
        <w:bottom w:val="none" w:sz="0" w:space="0" w:color="auto"/>
        <w:right w:val="none" w:sz="0" w:space="0" w:color="auto"/>
      </w:divBdr>
      <w:divsChild>
        <w:div w:id="891041707">
          <w:marLeft w:val="0"/>
          <w:marRight w:val="0"/>
          <w:marTop w:val="0"/>
          <w:marBottom w:val="0"/>
          <w:divBdr>
            <w:top w:val="none" w:sz="0" w:space="0" w:color="auto"/>
            <w:left w:val="none" w:sz="0" w:space="0" w:color="auto"/>
            <w:bottom w:val="none" w:sz="0" w:space="0" w:color="auto"/>
            <w:right w:val="none" w:sz="0" w:space="0" w:color="auto"/>
          </w:divBdr>
        </w:div>
        <w:div w:id="840973117">
          <w:marLeft w:val="0"/>
          <w:marRight w:val="0"/>
          <w:marTop w:val="0"/>
          <w:marBottom w:val="0"/>
          <w:divBdr>
            <w:top w:val="none" w:sz="0" w:space="0" w:color="auto"/>
            <w:left w:val="none" w:sz="0" w:space="0" w:color="auto"/>
            <w:bottom w:val="none" w:sz="0" w:space="0" w:color="auto"/>
            <w:right w:val="none" w:sz="0" w:space="0" w:color="auto"/>
          </w:divBdr>
        </w:div>
      </w:divsChild>
    </w:div>
    <w:div w:id="846554454">
      <w:bodyDiv w:val="1"/>
      <w:marLeft w:val="0"/>
      <w:marRight w:val="0"/>
      <w:marTop w:val="0"/>
      <w:marBottom w:val="0"/>
      <w:divBdr>
        <w:top w:val="none" w:sz="0" w:space="0" w:color="auto"/>
        <w:left w:val="none" w:sz="0" w:space="0" w:color="auto"/>
        <w:bottom w:val="none" w:sz="0" w:space="0" w:color="auto"/>
        <w:right w:val="none" w:sz="0" w:space="0" w:color="auto"/>
      </w:divBdr>
      <w:divsChild>
        <w:div w:id="386732795">
          <w:marLeft w:val="0"/>
          <w:marRight w:val="0"/>
          <w:marTop w:val="0"/>
          <w:marBottom w:val="0"/>
          <w:divBdr>
            <w:top w:val="none" w:sz="0" w:space="0" w:color="auto"/>
            <w:left w:val="none" w:sz="0" w:space="0" w:color="auto"/>
            <w:bottom w:val="none" w:sz="0" w:space="0" w:color="auto"/>
            <w:right w:val="none" w:sz="0" w:space="0" w:color="auto"/>
          </w:divBdr>
        </w:div>
        <w:div w:id="645860671">
          <w:marLeft w:val="0"/>
          <w:marRight w:val="0"/>
          <w:marTop w:val="0"/>
          <w:marBottom w:val="0"/>
          <w:divBdr>
            <w:top w:val="none" w:sz="0" w:space="0" w:color="auto"/>
            <w:left w:val="none" w:sz="0" w:space="0" w:color="auto"/>
            <w:bottom w:val="none" w:sz="0" w:space="0" w:color="auto"/>
            <w:right w:val="none" w:sz="0" w:space="0" w:color="auto"/>
          </w:divBdr>
        </w:div>
      </w:divsChild>
    </w:div>
    <w:div w:id="856115953">
      <w:bodyDiv w:val="1"/>
      <w:marLeft w:val="0"/>
      <w:marRight w:val="0"/>
      <w:marTop w:val="0"/>
      <w:marBottom w:val="0"/>
      <w:divBdr>
        <w:top w:val="none" w:sz="0" w:space="0" w:color="auto"/>
        <w:left w:val="none" w:sz="0" w:space="0" w:color="auto"/>
        <w:bottom w:val="none" w:sz="0" w:space="0" w:color="auto"/>
        <w:right w:val="none" w:sz="0" w:space="0" w:color="auto"/>
      </w:divBdr>
      <w:divsChild>
        <w:div w:id="1461142164">
          <w:marLeft w:val="0"/>
          <w:marRight w:val="0"/>
          <w:marTop w:val="0"/>
          <w:marBottom w:val="0"/>
          <w:divBdr>
            <w:top w:val="none" w:sz="0" w:space="0" w:color="auto"/>
            <w:left w:val="none" w:sz="0" w:space="0" w:color="auto"/>
            <w:bottom w:val="none" w:sz="0" w:space="0" w:color="auto"/>
            <w:right w:val="none" w:sz="0" w:space="0" w:color="auto"/>
          </w:divBdr>
        </w:div>
        <w:div w:id="1136483776">
          <w:marLeft w:val="0"/>
          <w:marRight w:val="0"/>
          <w:marTop w:val="0"/>
          <w:marBottom w:val="0"/>
          <w:divBdr>
            <w:top w:val="none" w:sz="0" w:space="0" w:color="auto"/>
            <w:left w:val="none" w:sz="0" w:space="0" w:color="auto"/>
            <w:bottom w:val="none" w:sz="0" w:space="0" w:color="auto"/>
            <w:right w:val="none" w:sz="0" w:space="0" w:color="auto"/>
          </w:divBdr>
        </w:div>
        <w:div w:id="718285970">
          <w:marLeft w:val="0"/>
          <w:marRight w:val="0"/>
          <w:marTop w:val="0"/>
          <w:marBottom w:val="0"/>
          <w:divBdr>
            <w:top w:val="none" w:sz="0" w:space="0" w:color="auto"/>
            <w:left w:val="none" w:sz="0" w:space="0" w:color="auto"/>
            <w:bottom w:val="none" w:sz="0" w:space="0" w:color="auto"/>
            <w:right w:val="none" w:sz="0" w:space="0" w:color="auto"/>
          </w:divBdr>
        </w:div>
        <w:div w:id="1749186673">
          <w:marLeft w:val="0"/>
          <w:marRight w:val="0"/>
          <w:marTop w:val="0"/>
          <w:marBottom w:val="0"/>
          <w:divBdr>
            <w:top w:val="none" w:sz="0" w:space="0" w:color="auto"/>
            <w:left w:val="none" w:sz="0" w:space="0" w:color="auto"/>
            <w:bottom w:val="none" w:sz="0" w:space="0" w:color="auto"/>
            <w:right w:val="none" w:sz="0" w:space="0" w:color="auto"/>
          </w:divBdr>
        </w:div>
        <w:div w:id="716051009">
          <w:marLeft w:val="0"/>
          <w:marRight w:val="0"/>
          <w:marTop w:val="0"/>
          <w:marBottom w:val="0"/>
          <w:divBdr>
            <w:top w:val="none" w:sz="0" w:space="0" w:color="auto"/>
            <w:left w:val="none" w:sz="0" w:space="0" w:color="auto"/>
            <w:bottom w:val="none" w:sz="0" w:space="0" w:color="auto"/>
            <w:right w:val="none" w:sz="0" w:space="0" w:color="auto"/>
          </w:divBdr>
        </w:div>
        <w:div w:id="1605960385">
          <w:marLeft w:val="0"/>
          <w:marRight w:val="0"/>
          <w:marTop w:val="0"/>
          <w:marBottom w:val="0"/>
          <w:divBdr>
            <w:top w:val="none" w:sz="0" w:space="0" w:color="auto"/>
            <w:left w:val="none" w:sz="0" w:space="0" w:color="auto"/>
            <w:bottom w:val="none" w:sz="0" w:space="0" w:color="auto"/>
            <w:right w:val="none" w:sz="0" w:space="0" w:color="auto"/>
          </w:divBdr>
        </w:div>
        <w:div w:id="1064530606">
          <w:marLeft w:val="0"/>
          <w:marRight w:val="0"/>
          <w:marTop w:val="0"/>
          <w:marBottom w:val="0"/>
          <w:divBdr>
            <w:top w:val="none" w:sz="0" w:space="0" w:color="auto"/>
            <w:left w:val="none" w:sz="0" w:space="0" w:color="auto"/>
            <w:bottom w:val="none" w:sz="0" w:space="0" w:color="auto"/>
            <w:right w:val="none" w:sz="0" w:space="0" w:color="auto"/>
          </w:divBdr>
        </w:div>
        <w:div w:id="498426709">
          <w:marLeft w:val="0"/>
          <w:marRight w:val="0"/>
          <w:marTop w:val="0"/>
          <w:marBottom w:val="0"/>
          <w:divBdr>
            <w:top w:val="none" w:sz="0" w:space="0" w:color="auto"/>
            <w:left w:val="none" w:sz="0" w:space="0" w:color="auto"/>
            <w:bottom w:val="none" w:sz="0" w:space="0" w:color="auto"/>
            <w:right w:val="none" w:sz="0" w:space="0" w:color="auto"/>
          </w:divBdr>
        </w:div>
        <w:div w:id="1264462415">
          <w:marLeft w:val="0"/>
          <w:marRight w:val="0"/>
          <w:marTop w:val="0"/>
          <w:marBottom w:val="0"/>
          <w:divBdr>
            <w:top w:val="none" w:sz="0" w:space="0" w:color="auto"/>
            <w:left w:val="none" w:sz="0" w:space="0" w:color="auto"/>
            <w:bottom w:val="none" w:sz="0" w:space="0" w:color="auto"/>
            <w:right w:val="none" w:sz="0" w:space="0" w:color="auto"/>
          </w:divBdr>
        </w:div>
      </w:divsChild>
    </w:div>
    <w:div w:id="930743651">
      <w:bodyDiv w:val="1"/>
      <w:marLeft w:val="0"/>
      <w:marRight w:val="0"/>
      <w:marTop w:val="0"/>
      <w:marBottom w:val="0"/>
      <w:divBdr>
        <w:top w:val="none" w:sz="0" w:space="0" w:color="auto"/>
        <w:left w:val="none" w:sz="0" w:space="0" w:color="auto"/>
        <w:bottom w:val="none" w:sz="0" w:space="0" w:color="auto"/>
        <w:right w:val="none" w:sz="0" w:space="0" w:color="auto"/>
      </w:divBdr>
      <w:divsChild>
        <w:div w:id="639309173">
          <w:marLeft w:val="0"/>
          <w:marRight w:val="0"/>
          <w:marTop w:val="0"/>
          <w:marBottom w:val="0"/>
          <w:divBdr>
            <w:top w:val="none" w:sz="0" w:space="0" w:color="auto"/>
            <w:left w:val="none" w:sz="0" w:space="0" w:color="auto"/>
            <w:bottom w:val="none" w:sz="0" w:space="0" w:color="auto"/>
            <w:right w:val="none" w:sz="0" w:space="0" w:color="auto"/>
          </w:divBdr>
        </w:div>
        <w:div w:id="705712436">
          <w:marLeft w:val="0"/>
          <w:marRight w:val="0"/>
          <w:marTop w:val="0"/>
          <w:marBottom w:val="0"/>
          <w:divBdr>
            <w:top w:val="none" w:sz="0" w:space="0" w:color="auto"/>
            <w:left w:val="none" w:sz="0" w:space="0" w:color="auto"/>
            <w:bottom w:val="none" w:sz="0" w:space="0" w:color="auto"/>
            <w:right w:val="none" w:sz="0" w:space="0" w:color="auto"/>
          </w:divBdr>
        </w:div>
        <w:div w:id="1579948889">
          <w:marLeft w:val="0"/>
          <w:marRight w:val="0"/>
          <w:marTop w:val="0"/>
          <w:marBottom w:val="0"/>
          <w:divBdr>
            <w:top w:val="none" w:sz="0" w:space="0" w:color="auto"/>
            <w:left w:val="none" w:sz="0" w:space="0" w:color="auto"/>
            <w:bottom w:val="none" w:sz="0" w:space="0" w:color="auto"/>
            <w:right w:val="none" w:sz="0" w:space="0" w:color="auto"/>
          </w:divBdr>
        </w:div>
      </w:divsChild>
    </w:div>
    <w:div w:id="968439733">
      <w:bodyDiv w:val="1"/>
      <w:marLeft w:val="0"/>
      <w:marRight w:val="0"/>
      <w:marTop w:val="0"/>
      <w:marBottom w:val="0"/>
      <w:divBdr>
        <w:top w:val="none" w:sz="0" w:space="0" w:color="auto"/>
        <w:left w:val="none" w:sz="0" w:space="0" w:color="auto"/>
        <w:bottom w:val="none" w:sz="0" w:space="0" w:color="auto"/>
        <w:right w:val="none" w:sz="0" w:space="0" w:color="auto"/>
      </w:divBdr>
      <w:divsChild>
        <w:div w:id="131753745">
          <w:marLeft w:val="0"/>
          <w:marRight w:val="0"/>
          <w:marTop w:val="0"/>
          <w:marBottom w:val="0"/>
          <w:divBdr>
            <w:top w:val="none" w:sz="0" w:space="0" w:color="auto"/>
            <w:left w:val="none" w:sz="0" w:space="0" w:color="auto"/>
            <w:bottom w:val="none" w:sz="0" w:space="0" w:color="auto"/>
            <w:right w:val="none" w:sz="0" w:space="0" w:color="auto"/>
          </w:divBdr>
        </w:div>
        <w:div w:id="612828939">
          <w:marLeft w:val="0"/>
          <w:marRight w:val="0"/>
          <w:marTop w:val="0"/>
          <w:marBottom w:val="0"/>
          <w:divBdr>
            <w:top w:val="none" w:sz="0" w:space="0" w:color="auto"/>
            <w:left w:val="none" w:sz="0" w:space="0" w:color="auto"/>
            <w:bottom w:val="none" w:sz="0" w:space="0" w:color="auto"/>
            <w:right w:val="none" w:sz="0" w:space="0" w:color="auto"/>
          </w:divBdr>
        </w:div>
      </w:divsChild>
    </w:div>
    <w:div w:id="1169641313">
      <w:bodyDiv w:val="1"/>
      <w:marLeft w:val="0"/>
      <w:marRight w:val="0"/>
      <w:marTop w:val="0"/>
      <w:marBottom w:val="0"/>
      <w:divBdr>
        <w:top w:val="none" w:sz="0" w:space="0" w:color="auto"/>
        <w:left w:val="none" w:sz="0" w:space="0" w:color="auto"/>
        <w:bottom w:val="none" w:sz="0" w:space="0" w:color="auto"/>
        <w:right w:val="none" w:sz="0" w:space="0" w:color="auto"/>
      </w:divBdr>
      <w:divsChild>
        <w:div w:id="1411195457">
          <w:marLeft w:val="0"/>
          <w:marRight w:val="0"/>
          <w:marTop w:val="0"/>
          <w:marBottom w:val="0"/>
          <w:divBdr>
            <w:top w:val="none" w:sz="0" w:space="0" w:color="auto"/>
            <w:left w:val="none" w:sz="0" w:space="0" w:color="auto"/>
            <w:bottom w:val="none" w:sz="0" w:space="0" w:color="auto"/>
            <w:right w:val="none" w:sz="0" w:space="0" w:color="auto"/>
          </w:divBdr>
        </w:div>
        <w:div w:id="425734840">
          <w:marLeft w:val="0"/>
          <w:marRight w:val="0"/>
          <w:marTop w:val="0"/>
          <w:marBottom w:val="0"/>
          <w:divBdr>
            <w:top w:val="none" w:sz="0" w:space="0" w:color="auto"/>
            <w:left w:val="none" w:sz="0" w:space="0" w:color="auto"/>
            <w:bottom w:val="none" w:sz="0" w:space="0" w:color="auto"/>
            <w:right w:val="none" w:sz="0" w:space="0" w:color="auto"/>
          </w:divBdr>
        </w:div>
      </w:divsChild>
    </w:div>
    <w:div w:id="1253466648">
      <w:bodyDiv w:val="1"/>
      <w:marLeft w:val="0"/>
      <w:marRight w:val="0"/>
      <w:marTop w:val="0"/>
      <w:marBottom w:val="0"/>
      <w:divBdr>
        <w:top w:val="none" w:sz="0" w:space="0" w:color="auto"/>
        <w:left w:val="none" w:sz="0" w:space="0" w:color="auto"/>
        <w:bottom w:val="none" w:sz="0" w:space="0" w:color="auto"/>
        <w:right w:val="none" w:sz="0" w:space="0" w:color="auto"/>
      </w:divBdr>
      <w:divsChild>
        <w:div w:id="1634483906">
          <w:marLeft w:val="0"/>
          <w:marRight w:val="0"/>
          <w:marTop w:val="0"/>
          <w:marBottom w:val="0"/>
          <w:divBdr>
            <w:top w:val="none" w:sz="0" w:space="0" w:color="auto"/>
            <w:left w:val="none" w:sz="0" w:space="0" w:color="auto"/>
            <w:bottom w:val="none" w:sz="0" w:space="0" w:color="auto"/>
            <w:right w:val="none" w:sz="0" w:space="0" w:color="auto"/>
          </w:divBdr>
        </w:div>
        <w:div w:id="1178084243">
          <w:marLeft w:val="0"/>
          <w:marRight w:val="0"/>
          <w:marTop w:val="0"/>
          <w:marBottom w:val="0"/>
          <w:divBdr>
            <w:top w:val="none" w:sz="0" w:space="0" w:color="auto"/>
            <w:left w:val="none" w:sz="0" w:space="0" w:color="auto"/>
            <w:bottom w:val="none" w:sz="0" w:space="0" w:color="auto"/>
            <w:right w:val="none" w:sz="0" w:space="0" w:color="auto"/>
          </w:divBdr>
        </w:div>
        <w:div w:id="1122772346">
          <w:marLeft w:val="0"/>
          <w:marRight w:val="0"/>
          <w:marTop w:val="0"/>
          <w:marBottom w:val="0"/>
          <w:divBdr>
            <w:top w:val="none" w:sz="0" w:space="0" w:color="auto"/>
            <w:left w:val="none" w:sz="0" w:space="0" w:color="auto"/>
            <w:bottom w:val="none" w:sz="0" w:space="0" w:color="auto"/>
            <w:right w:val="none" w:sz="0" w:space="0" w:color="auto"/>
          </w:divBdr>
        </w:div>
      </w:divsChild>
    </w:div>
    <w:div w:id="1453206801">
      <w:bodyDiv w:val="1"/>
      <w:marLeft w:val="0"/>
      <w:marRight w:val="0"/>
      <w:marTop w:val="0"/>
      <w:marBottom w:val="0"/>
      <w:divBdr>
        <w:top w:val="none" w:sz="0" w:space="0" w:color="auto"/>
        <w:left w:val="none" w:sz="0" w:space="0" w:color="auto"/>
        <w:bottom w:val="none" w:sz="0" w:space="0" w:color="auto"/>
        <w:right w:val="none" w:sz="0" w:space="0" w:color="auto"/>
      </w:divBdr>
      <w:divsChild>
        <w:div w:id="425616869">
          <w:marLeft w:val="0"/>
          <w:marRight w:val="0"/>
          <w:marTop w:val="0"/>
          <w:marBottom w:val="0"/>
          <w:divBdr>
            <w:top w:val="none" w:sz="0" w:space="0" w:color="auto"/>
            <w:left w:val="none" w:sz="0" w:space="0" w:color="auto"/>
            <w:bottom w:val="none" w:sz="0" w:space="0" w:color="auto"/>
            <w:right w:val="none" w:sz="0" w:space="0" w:color="auto"/>
          </w:divBdr>
        </w:div>
        <w:div w:id="437719984">
          <w:marLeft w:val="0"/>
          <w:marRight w:val="0"/>
          <w:marTop w:val="0"/>
          <w:marBottom w:val="0"/>
          <w:divBdr>
            <w:top w:val="none" w:sz="0" w:space="0" w:color="auto"/>
            <w:left w:val="none" w:sz="0" w:space="0" w:color="auto"/>
            <w:bottom w:val="none" w:sz="0" w:space="0" w:color="auto"/>
            <w:right w:val="none" w:sz="0" w:space="0" w:color="auto"/>
          </w:divBdr>
        </w:div>
      </w:divsChild>
    </w:div>
    <w:div w:id="1463233181">
      <w:bodyDiv w:val="1"/>
      <w:marLeft w:val="0"/>
      <w:marRight w:val="0"/>
      <w:marTop w:val="0"/>
      <w:marBottom w:val="0"/>
      <w:divBdr>
        <w:top w:val="none" w:sz="0" w:space="0" w:color="auto"/>
        <w:left w:val="none" w:sz="0" w:space="0" w:color="auto"/>
        <w:bottom w:val="none" w:sz="0" w:space="0" w:color="auto"/>
        <w:right w:val="none" w:sz="0" w:space="0" w:color="auto"/>
      </w:divBdr>
      <w:divsChild>
        <w:div w:id="585572593">
          <w:marLeft w:val="0"/>
          <w:marRight w:val="0"/>
          <w:marTop w:val="0"/>
          <w:marBottom w:val="0"/>
          <w:divBdr>
            <w:top w:val="none" w:sz="0" w:space="0" w:color="auto"/>
            <w:left w:val="none" w:sz="0" w:space="0" w:color="auto"/>
            <w:bottom w:val="none" w:sz="0" w:space="0" w:color="auto"/>
            <w:right w:val="none" w:sz="0" w:space="0" w:color="auto"/>
          </w:divBdr>
        </w:div>
        <w:div w:id="1236892586">
          <w:marLeft w:val="0"/>
          <w:marRight w:val="0"/>
          <w:marTop w:val="0"/>
          <w:marBottom w:val="0"/>
          <w:divBdr>
            <w:top w:val="none" w:sz="0" w:space="0" w:color="auto"/>
            <w:left w:val="none" w:sz="0" w:space="0" w:color="auto"/>
            <w:bottom w:val="none" w:sz="0" w:space="0" w:color="auto"/>
            <w:right w:val="none" w:sz="0" w:space="0" w:color="auto"/>
          </w:divBdr>
        </w:div>
      </w:divsChild>
    </w:div>
    <w:div w:id="1493717036">
      <w:bodyDiv w:val="1"/>
      <w:marLeft w:val="0"/>
      <w:marRight w:val="0"/>
      <w:marTop w:val="0"/>
      <w:marBottom w:val="0"/>
      <w:divBdr>
        <w:top w:val="none" w:sz="0" w:space="0" w:color="auto"/>
        <w:left w:val="none" w:sz="0" w:space="0" w:color="auto"/>
        <w:bottom w:val="none" w:sz="0" w:space="0" w:color="auto"/>
        <w:right w:val="none" w:sz="0" w:space="0" w:color="auto"/>
      </w:divBdr>
      <w:divsChild>
        <w:div w:id="204341249">
          <w:marLeft w:val="0"/>
          <w:marRight w:val="0"/>
          <w:marTop w:val="0"/>
          <w:marBottom w:val="0"/>
          <w:divBdr>
            <w:top w:val="none" w:sz="0" w:space="0" w:color="auto"/>
            <w:left w:val="none" w:sz="0" w:space="0" w:color="auto"/>
            <w:bottom w:val="none" w:sz="0" w:space="0" w:color="auto"/>
            <w:right w:val="none" w:sz="0" w:space="0" w:color="auto"/>
          </w:divBdr>
        </w:div>
        <w:div w:id="921795088">
          <w:marLeft w:val="0"/>
          <w:marRight w:val="0"/>
          <w:marTop w:val="0"/>
          <w:marBottom w:val="0"/>
          <w:divBdr>
            <w:top w:val="none" w:sz="0" w:space="0" w:color="auto"/>
            <w:left w:val="none" w:sz="0" w:space="0" w:color="auto"/>
            <w:bottom w:val="none" w:sz="0" w:space="0" w:color="auto"/>
            <w:right w:val="none" w:sz="0" w:space="0" w:color="auto"/>
          </w:divBdr>
        </w:div>
      </w:divsChild>
    </w:div>
    <w:div w:id="1827164272">
      <w:bodyDiv w:val="1"/>
      <w:marLeft w:val="0"/>
      <w:marRight w:val="0"/>
      <w:marTop w:val="0"/>
      <w:marBottom w:val="0"/>
      <w:divBdr>
        <w:top w:val="none" w:sz="0" w:space="0" w:color="auto"/>
        <w:left w:val="none" w:sz="0" w:space="0" w:color="auto"/>
        <w:bottom w:val="none" w:sz="0" w:space="0" w:color="auto"/>
        <w:right w:val="none" w:sz="0" w:space="0" w:color="auto"/>
      </w:divBdr>
      <w:divsChild>
        <w:div w:id="1158226886">
          <w:marLeft w:val="0"/>
          <w:marRight w:val="0"/>
          <w:marTop w:val="0"/>
          <w:marBottom w:val="0"/>
          <w:divBdr>
            <w:top w:val="none" w:sz="0" w:space="0" w:color="auto"/>
            <w:left w:val="none" w:sz="0" w:space="0" w:color="auto"/>
            <w:bottom w:val="none" w:sz="0" w:space="0" w:color="auto"/>
            <w:right w:val="none" w:sz="0" w:space="0" w:color="auto"/>
          </w:divBdr>
        </w:div>
        <w:div w:id="2133136468">
          <w:marLeft w:val="0"/>
          <w:marRight w:val="0"/>
          <w:marTop w:val="0"/>
          <w:marBottom w:val="0"/>
          <w:divBdr>
            <w:top w:val="none" w:sz="0" w:space="0" w:color="auto"/>
            <w:left w:val="none" w:sz="0" w:space="0" w:color="auto"/>
            <w:bottom w:val="none" w:sz="0" w:space="0" w:color="auto"/>
            <w:right w:val="none" w:sz="0" w:space="0" w:color="auto"/>
          </w:divBdr>
        </w:div>
      </w:divsChild>
    </w:div>
    <w:div w:id="1946303894">
      <w:bodyDiv w:val="1"/>
      <w:marLeft w:val="0"/>
      <w:marRight w:val="0"/>
      <w:marTop w:val="0"/>
      <w:marBottom w:val="0"/>
      <w:divBdr>
        <w:top w:val="none" w:sz="0" w:space="0" w:color="auto"/>
        <w:left w:val="none" w:sz="0" w:space="0" w:color="auto"/>
        <w:bottom w:val="none" w:sz="0" w:space="0" w:color="auto"/>
        <w:right w:val="none" w:sz="0" w:space="0" w:color="auto"/>
      </w:divBdr>
      <w:divsChild>
        <w:div w:id="631405339">
          <w:marLeft w:val="0"/>
          <w:marRight w:val="0"/>
          <w:marTop w:val="0"/>
          <w:marBottom w:val="0"/>
          <w:divBdr>
            <w:top w:val="none" w:sz="0" w:space="0" w:color="auto"/>
            <w:left w:val="none" w:sz="0" w:space="0" w:color="auto"/>
            <w:bottom w:val="none" w:sz="0" w:space="0" w:color="auto"/>
            <w:right w:val="none" w:sz="0" w:space="0" w:color="auto"/>
          </w:divBdr>
        </w:div>
        <w:div w:id="1791706689">
          <w:marLeft w:val="0"/>
          <w:marRight w:val="0"/>
          <w:marTop w:val="0"/>
          <w:marBottom w:val="0"/>
          <w:divBdr>
            <w:top w:val="none" w:sz="0" w:space="0" w:color="auto"/>
            <w:left w:val="none" w:sz="0" w:space="0" w:color="auto"/>
            <w:bottom w:val="none" w:sz="0" w:space="0" w:color="auto"/>
            <w:right w:val="none" w:sz="0" w:space="0" w:color="auto"/>
          </w:divBdr>
        </w:div>
        <w:div w:id="1339432393">
          <w:marLeft w:val="0"/>
          <w:marRight w:val="0"/>
          <w:marTop w:val="0"/>
          <w:marBottom w:val="0"/>
          <w:divBdr>
            <w:top w:val="none" w:sz="0" w:space="0" w:color="auto"/>
            <w:left w:val="none" w:sz="0" w:space="0" w:color="auto"/>
            <w:bottom w:val="none" w:sz="0" w:space="0" w:color="auto"/>
            <w:right w:val="none" w:sz="0" w:space="0" w:color="auto"/>
          </w:divBdr>
        </w:div>
        <w:div w:id="1245382922">
          <w:marLeft w:val="0"/>
          <w:marRight w:val="0"/>
          <w:marTop w:val="0"/>
          <w:marBottom w:val="0"/>
          <w:divBdr>
            <w:top w:val="none" w:sz="0" w:space="0" w:color="auto"/>
            <w:left w:val="none" w:sz="0" w:space="0" w:color="auto"/>
            <w:bottom w:val="none" w:sz="0" w:space="0" w:color="auto"/>
            <w:right w:val="none" w:sz="0" w:space="0" w:color="auto"/>
          </w:divBdr>
        </w:div>
        <w:div w:id="1121993453">
          <w:marLeft w:val="0"/>
          <w:marRight w:val="0"/>
          <w:marTop w:val="0"/>
          <w:marBottom w:val="0"/>
          <w:divBdr>
            <w:top w:val="none" w:sz="0" w:space="0" w:color="auto"/>
            <w:left w:val="none" w:sz="0" w:space="0" w:color="auto"/>
            <w:bottom w:val="none" w:sz="0" w:space="0" w:color="auto"/>
            <w:right w:val="none" w:sz="0" w:space="0" w:color="auto"/>
          </w:divBdr>
        </w:div>
        <w:div w:id="451558557">
          <w:marLeft w:val="0"/>
          <w:marRight w:val="0"/>
          <w:marTop w:val="0"/>
          <w:marBottom w:val="0"/>
          <w:divBdr>
            <w:top w:val="none" w:sz="0" w:space="0" w:color="auto"/>
            <w:left w:val="none" w:sz="0" w:space="0" w:color="auto"/>
            <w:bottom w:val="none" w:sz="0" w:space="0" w:color="auto"/>
            <w:right w:val="none" w:sz="0" w:space="0" w:color="auto"/>
          </w:divBdr>
        </w:div>
        <w:div w:id="2064594518">
          <w:marLeft w:val="0"/>
          <w:marRight w:val="0"/>
          <w:marTop w:val="0"/>
          <w:marBottom w:val="0"/>
          <w:divBdr>
            <w:top w:val="none" w:sz="0" w:space="0" w:color="auto"/>
            <w:left w:val="none" w:sz="0" w:space="0" w:color="auto"/>
            <w:bottom w:val="none" w:sz="0" w:space="0" w:color="auto"/>
            <w:right w:val="none" w:sz="0" w:space="0" w:color="auto"/>
          </w:divBdr>
        </w:div>
        <w:div w:id="194856961">
          <w:marLeft w:val="0"/>
          <w:marRight w:val="0"/>
          <w:marTop w:val="0"/>
          <w:marBottom w:val="0"/>
          <w:divBdr>
            <w:top w:val="none" w:sz="0" w:space="0" w:color="auto"/>
            <w:left w:val="none" w:sz="0" w:space="0" w:color="auto"/>
            <w:bottom w:val="none" w:sz="0" w:space="0" w:color="auto"/>
            <w:right w:val="none" w:sz="0" w:space="0" w:color="auto"/>
          </w:divBdr>
        </w:div>
        <w:div w:id="2001418881">
          <w:marLeft w:val="0"/>
          <w:marRight w:val="0"/>
          <w:marTop w:val="0"/>
          <w:marBottom w:val="0"/>
          <w:divBdr>
            <w:top w:val="none" w:sz="0" w:space="0" w:color="auto"/>
            <w:left w:val="none" w:sz="0" w:space="0" w:color="auto"/>
            <w:bottom w:val="none" w:sz="0" w:space="0" w:color="auto"/>
            <w:right w:val="none" w:sz="0" w:space="0" w:color="auto"/>
          </w:divBdr>
        </w:div>
      </w:divsChild>
    </w:div>
    <w:div w:id="2055419879">
      <w:bodyDiv w:val="1"/>
      <w:marLeft w:val="0"/>
      <w:marRight w:val="0"/>
      <w:marTop w:val="0"/>
      <w:marBottom w:val="0"/>
      <w:divBdr>
        <w:top w:val="none" w:sz="0" w:space="0" w:color="auto"/>
        <w:left w:val="none" w:sz="0" w:space="0" w:color="auto"/>
        <w:bottom w:val="none" w:sz="0" w:space="0" w:color="auto"/>
        <w:right w:val="none" w:sz="0" w:space="0" w:color="auto"/>
      </w:divBdr>
      <w:divsChild>
        <w:div w:id="1162159199">
          <w:marLeft w:val="0"/>
          <w:marRight w:val="0"/>
          <w:marTop w:val="0"/>
          <w:marBottom w:val="0"/>
          <w:divBdr>
            <w:top w:val="none" w:sz="0" w:space="0" w:color="auto"/>
            <w:left w:val="none" w:sz="0" w:space="0" w:color="auto"/>
            <w:bottom w:val="none" w:sz="0" w:space="0" w:color="auto"/>
            <w:right w:val="none" w:sz="0" w:space="0" w:color="auto"/>
          </w:divBdr>
        </w:div>
        <w:div w:id="1454516320">
          <w:marLeft w:val="0"/>
          <w:marRight w:val="0"/>
          <w:marTop w:val="0"/>
          <w:marBottom w:val="0"/>
          <w:divBdr>
            <w:top w:val="none" w:sz="0" w:space="0" w:color="auto"/>
            <w:left w:val="none" w:sz="0" w:space="0" w:color="auto"/>
            <w:bottom w:val="none" w:sz="0" w:space="0" w:color="auto"/>
            <w:right w:val="none" w:sz="0" w:space="0" w:color="auto"/>
          </w:divBdr>
        </w:div>
        <w:div w:id="2050840936">
          <w:marLeft w:val="0"/>
          <w:marRight w:val="0"/>
          <w:marTop w:val="0"/>
          <w:marBottom w:val="0"/>
          <w:divBdr>
            <w:top w:val="none" w:sz="0" w:space="0" w:color="auto"/>
            <w:left w:val="none" w:sz="0" w:space="0" w:color="auto"/>
            <w:bottom w:val="none" w:sz="0" w:space="0" w:color="auto"/>
            <w:right w:val="none" w:sz="0" w:space="0" w:color="auto"/>
          </w:divBdr>
        </w:div>
        <w:div w:id="527527501">
          <w:marLeft w:val="0"/>
          <w:marRight w:val="0"/>
          <w:marTop w:val="0"/>
          <w:marBottom w:val="0"/>
          <w:divBdr>
            <w:top w:val="none" w:sz="0" w:space="0" w:color="auto"/>
            <w:left w:val="none" w:sz="0" w:space="0" w:color="auto"/>
            <w:bottom w:val="none" w:sz="0" w:space="0" w:color="auto"/>
            <w:right w:val="none" w:sz="0" w:space="0" w:color="auto"/>
          </w:divBdr>
        </w:div>
        <w:div w:id="610354446">
          <w:marLeft w:val="0"/>
          <w:marRight w:val="0"/>
          <w:marTop w:val="0"/>
          <w:marBottom w:val="0"/>
          <w:divBdr>
            <w:top w:val="none" w:sz="0" w:space="0" w:color="auto"/>
            <w:left w:val="none" w:sz="0" w:space="0" w:color="auto"/>
            <w:bottom w:val="none" w:sz="0" w:space="0" w:color="auto"/>
            <w:right w:val="none" w:sz="0" w:space="0" w:color="auto"/>
          </w:divBdr>
        </w:div>
        <w:div w:id="1018317555">
          <w:marLeft w:val="0"/>
          <w:marRight w:val="0"/>
          <w:marTop w:val="0"/>
          <w:marBottom w:val="0"/>
          <w:divBdr>
            <w:top w:val="none" w:sz="0" w:space="0" w:color="auto"/>
            <w:left w:val="none" w:sz="0" w:space="0" w:color="auto"/>
            <w:bottom w:val="none" w:sz="0" w:space="0" w:color="auto"/>
            <w:right w:val="none" w:sz="0" w:space="0" w:color="auto"/>
          </w:divBdr>
        </w:div>
        <w:div w:id="1494568072">
          <w:marLeft w:val="0"/>
          <w:marRight w:val="0"/>
          <w:marTop w:val="0"/>
          <w:marBottom w:val="0"/>
          <w:divBdr>
            <w:top w:val="none" w:sz="0" w:space="0" w:color="auto"/>
            <w:left w:val="none" w:sz="0" w:space="0" w:color="auto"/>
            <w:bottom w:val="none" w:sz="0" w:space="0" w:color="auto"/>
            <w:right w:val="none" w:sz="0" w:space="0" w:color="auto"/>
          </w:divBdr>
        </w:div>
        <w:div w:id="555118461">
          <w:marLeft w:val="0"/>
          <w:marRight w:val="0"/>
          <w:marTop w:val="0"/>
          <w:marBottom w:val="0"/>
          <w:divBdr>
            <w:top w:val="none" w:sz="0" w:space="0" w:color="auto"/>
            <w:left w:val="none" w:sz="0" w:space="0" w:color="auto"/>
            <w:bottom w:val="none" w:sz="0" w:space="0" w:color="auto"/>
            <w:right w:val="none" w:sz="0" w:space="0" w:color="auto"/>
          </w:divBdr>
        </w:div>
        <w:div w:id="1016883137">
          <w:marLeft w:val="0"/>
          <w:marRight w:val="0"/>
          <w:marTop w:val="0"/>
          <w:marBottom w:val="0"/>
          <w:divBdr>
            <w:top w:val="none" w:sz="0" w:space="0" w:color="auto"/>
            <w:left w:val="none" w:sz="0" w:space="0" w:color="auto"/>
            <w:bottom w:val="none" w:sz="0" w:space="0" w:color="auto"/>
            <w:right w:val="none" w:sz="0" w:space="0" w:color="auto"/>
          </w:divBdr>
        </w:div>
      </w:divsChild>
    </w:div>
    <w:div w:id="2146659823">
      <w:bodyDiv w:val="1"/>
      <w:marLeft w:val="0"/>
      <w:marRight w:val="0"/>
      <w:marTop w:val="0"/>
      <w:marBottom w:val="0"/>
      <w:divBdr>
        <w:top w:val="none" w:sz="0" w:space="0" w:color="auto"/>
        <w:left w:val="none" w:sz="0" w:space="0" w:color="auto"/>
        <w:bottom w:val="none" w:sz="0" w:space="0" w:color="auto"/>
        <w:right w:val="none" w:sz="0" w:space="0" w:color="auto"/>
      </w:divBdr>
      <w:divsChild>
        <w:div w:id="1523518352">
          <w:marLeft w:val="0"/>
          <w:marRight w:val="0"/>
          <w:marTop w:val="0"/>
          <w:marBottom w:val="0"/>
          <w:divBdr>
            <w:top w:val="none" w:sz="0" w:space="0" w:color="auto"/>
            <w:left w:val="none" w:sz="0" w:space="0" w:color="auto"/>
            <w:bottom w:val="none" w:sz="0" w:space="0" w:color="auto"/>
            <w:right w:val="none" w:sz="0" w:space="0" w:color="auto"/>
          </w:divBdr>
        </w:div>
        <w:div w:id="198979134">
          <w:marLeft w:val="0"/>
          <w:marRight w:val="0"/>
          <w:marTop w:val="0"/>
          <w:marBottom w:val="0"/>
          <w:divBdr>
            <w:top w:val="none" w:sz="0" w:space="0" w:color="auto"/>
            <w:left w:val="none" w:sz="0" w:space="0" w:color="auto"/>
            <w:bottom w:val="none" w:sz="0" w:space="0" w:color="auto"/>
            <w:right w:val="none" w:sz="0" w:space="0" w:color="auto"/>
          </w:divBdr>
        </w:div>
        <w:div w:id="177932675">
          <w:marLeft w:val="0"/>
          <w:marRight w:val="0"/>
          <w:marTop w:val="0"/>
          <w:marBottom w:val="0"/>
          <w:divBdr>
            <w:top w:val="none" w:sz="0" w:space="0" w:color="auto"/>
            <w:left w:val="none" w:sz="0" w:space="0" w:color="auto"/>
            <w:bottom w:val="none" w:sz="0" w:space="0" w:color="auto"/>
            <w:right w:val="none" w:sz="0" w:space="0" w:color="auto"/>
          </w:divBdr>
        </w:div>
        <w:div w:id="2026857908">
          <w:marLeft w:val="0"/>
          <w:marRight w:val="0"/>
          <w:marTop w:val="0"/>
          <w:marBottom w:val="0"/>
          <w:divBdr>
            <w:top w:val="none" w:sz="0" w:space="0" w:color="auto"/>
            <w:left w:val="none" w:sz="0" w:space="0" w:color="auto"/>
            <w:bottom w:val="none" w:sz="0" w:space="0" w:color="auto"/>
            <w:right w:val="none" w:sz="0" w:space="0" w:color="auto"/>
          </w:divBdr>
        </w:div>
        <w:div w:id="1192844798">
          <w:marLeft w:val="0"/>
          <w:marRight w:val="0"/>
          <w:marTop w:val="0"/>
          <w:marBottom w:val="0"/>
          <w:divBdr>
            <w:top w:val="none" w:sz="0" w:space="0" w:color="auto"/>
            <w:left w:val="none" w:sz="0" w:space="0" w:color="auto"/>
            <w:bottom w:val="none" w:sz="0" w:space="0" w:color="auto"/>
            <w:right w:val="none" w:sz="0" w:space="0" w:color="auto"/>
          </w:divBdr>
        </w:div>
        <w:div w:id="275604127">
          <w:marLeft w:val="0"/>
          <w:marRight w:val="0"/>
          <w:marTop w:val="0"/>
          <w:marBottom w:val="0"/>
          <w:divBdr>
            <w:top w:val="none" w:sz="0" w:space="0" w:color="auto"/>
            <w:left w:val="none" w:sz="0" w:space="0" w:color="auto"/>
            <w:bottom w:val="none" w:sz="0" w:space="0" w:color="auto"/>
            <w:right w:val="none" w:sz="0" w:space="0" w:color="auto"/>
          </w:divBdr>
        </w:div>
        <w:div w:id="485125928">
          <w:marLeft w:val="0"/>
          <w:marRight w:val="0"/>
          <w:marTop w:val="0"/>
          <w:marBottom w:val="0"/>
          <w:divBdr>
            <w:top w:val="none" w:sz="0" w:space="0" w:color="auto"/>
            <w:left w:val="none" w:sz="0" w:space="0" w:color="auto"/>
            <w:bottom w:val="none" w:sz="0" w:space="0" w:color="auto"/>
            <w:right w:val="none" w:sz="0" w:space="0" w:color="auto"/>
          </w:divBdr>
        </w:div>
        <w:div w:id="61487804">
          <w:marLeft w:val="0"/>
          <w:marRight w:val="0"/>
          <w:marTop w:val="0"/>
          <w:marBottom w:val="0"/>
          <w:divBdr>
            <w:top w:val="none" w:sz="0" w:space="0" w:color="auto"/>
            <w:left w:val="none" w:sz="0" w:space="0" w:color="auto"/>
            <w:bottom w:val="none" w:sz="0" w:space="0" w:color="auto"/>
            <w:right w:val="none" w:sz="0" w:space="0" w:color="auto"/>
          </w:divBdr>
        </w:div>
        <w:div w:id="1360816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file:///\\production.tga.gov.au\dfsroot\APPS\APPS\RES%20-%20Graphic%20Design\PROJECTS\2025\2025%20Business%20report%202025\Final%20files\www.tga.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23920-77C2-47F3-8E46-B5A7ED7B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2863</Words>
  <Characters>17810</Characters>
  <Application>Microsoft Office Word</Application>
  <DocSecurity>0</DocSecurity>
  <Lines>349</Lines>
  <Paragraphs>178</Paragraphs>
  <ScaleCrop>false</ScaleCrop>
  <HeadingPairs>
    <vt:vector size="2" baseType="variant">
      <vt:variant>
        <vt:lpstr>Title</vt:lpstr>
      </vt:variant>
      <vt:variant>
        <vt:i4>1</vt:i4>
      </vt:variant>
    </vt:vector>
  </HeadingPairs>
  <TitlesOfParts>
    <vt:vector size="1" baseType="lpstr">
      <vt:lpstr>TGA Business Plan 2025-26</vt:lpstr>
    </vt:vector>
  </TitlesOfParts>
  <Company>Department of Health, Disability and Ageing</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TGA Business Plan 2025-26</dc:title>
  <dc:subject>reporting</dc:subject>
  <dc:creator>Therapeutic Goods Administration</dc:creator>
  <cp:keywords/>
  <dc:description/>
  <cp:lastModifiedBy>LACK, Janet</cp:lastModifiedBy>
  <cp:revision>4</cp:revision>
  <cp:lastPrinted>2025-07-14T02:17:00Z</cp:lastPrinted>
  <dcterms:created xsi:type="dcterms:W3CDTF">2025-07-21T02:31:00Z</dcterms:created>
  <dcterms:modified xsi:type="dcterms:W3CDTF">2025-07-21T02:37:00Z</dcterms:modified>
</cp:coreProperties>
</file>