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6DA9DF22" w:rsidR="00F02AEC" w:rsidRPr="00215D48" w:rsidRDefault="00346EC2" w:rsidP="00FD4B9D">
            <w:pPr>
              <w:pStyle w:val="Title"/>
            </w:pPr>
            <w:r w:rsidRPr="00346EC2">
              <w:t xml:space="preserve">Australian </w:t>
            </w:r>
            <w:r w:rsidRPr="00FD4B9D">
              <w:t>Public</w:t>
            </w:r>
            <w:r w:rsidRPr="00346EC2">
              <w:t xml:space="preserve"> Assessment Report for </w:t>
            </w:r>
            <w:r w:rsidR="00AF1F4B">
              <w:t>ZILBRYSQ</w:t>
            </w:r>
          </w:p>
        </w:tc>
      </w:tr>
      <w:tr w:rsidR="00F02AEC" w:rsidRPr="00215D48" w14:paraId="318A40A3" w14:textId="77777777" w:rsidTr="00346EC2">
        <w:trPr>
          <w:trHeight w:val="995"/>
        </w:trPr>
        <w:tc>
          <w:tcPr>
            <w:tcW w:w="8720" w:type="dxa"/>
          </w:tcPr>
          <w:p w14:paraId="1AA7C701" w14:textId="702928D7" w:rsidR="00F02AEC" w:rsidRPr="00215D48" w:rsidRDefault="00346EC2" w:rsidP="00FD4B9D">
            <w:pPr>
              <w:pStyle w:val="Subtitle"/>
            </w:pPr>
            <w:r w:rsidRPr="00346EC2">
              <w:t xml:space="preserve">Active </w:t>
            </w:r>
            <w:r w:rsidRPr="00FD4B9D">
              <w:t>ingredient</w:t>
            </w:r>
            <w:r w:rsidRPr="00346EC2">
              <w:t xml:space="preserve">: </w:t>
            </w:r>
            <w:proofErr w:type="spellStart"/>
            <w:r w:rsidR="003847AF">
              <w:t>Z</w:t>
            </w:r>
            <w:r w:rsidR="00736E5C" w:rsidRPr="00736E5C">
              <w:t>ilucoplan</w:t>
            </w:r>
            <w:proofErr w:type="spellEnd"/>
          </w:p>
        </w:tc>
      </w:tr>
      <w:tr w:rsidR="00346EC2" w:rsidRPr="00215D48" w14:paraId="362CCAE4" w14:textId="77777777" w:rsidTr="007452E8">
        <w:trPr>
          <w:trHeight w:val="1916"/>
        </w:trPr>
        <w:tc>
          <w:tcPr>
            <w:tcW w:w="8720" w:type="dxa"/>
          </w:tcPr>
          <w:p w14:paraId="709C45C0" w14:textId="6A12429A" w:rsidR="00346EC2" w:rsidRPr="00215D48" w:rsidRDefault="00346EC2" w:rsidP="00FD4B9D">
            <w:pPr>
              <w:pStyle w:val="Subtitle"/>
            </w:pPr>
            <w:r w:rsidRPr="00346EC2">
              <w:t>Sponsor:</w:t>
            </w:r>
            <w:r w:rsidR="00AF1F4B">
              <w:t xml:space="preserve"> U</w:t>
            </w:r>
            <w:r w:rsidR="00935B82" w:rsidRPr="00935B82">
              <w:t xml:space="preserve">CB </w:t>
            </w:r>
            <w:r w:rsidR="00935B82" w:rsidRPr="00FD4B9D">
              <w:t>Australia</w:t>
            </w:r>
            <w:r w:rsidR="00935B82" w:rsidRPr="00935B82">
              <w:t xml:space="preserve"> Pty Ltd</w:t>
            </w:r>
          </w:p>
        </w:tc>
      </w:tr>
      <w:tr w:rsidR="00F02AEC" w:rsidRPr="00215D48" w14:paraId="37F2AA1F" w14:textId="77777777" w:rsidTr="007452E8">
        <w:tc>
          <w:tcPr>
            <w:tcW w:w="8720" w:type="dxa"/>
          </w:tcPr>
          <w:p w14:paraId="1FDE8DCD" w14:textId="08D8748B" w:rsidR="00F02AEC" w:rsidRPr="00215D48" w:rsidRDefault="00935B82" w:rsidP="00FD4B9D">
            <w:pPr>
              <w:pStyle w:val="Date"/>
            </w:pPr>
            <w:r>
              <w:t>July</w:t>
            </w:r>
            <w:r w:rsidR="004960BD">
              <w:t xml:space="preserve"> </w:t>
            </w:r>
            <w:r w:rsidRPr="00FD4B9D">
              <w:t>2025</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 xml:space="preserve">About </w:t>
      </w:r>
      <w:proofErr w:type="spellStart"/>
      <w:r>
        <w:t>AusPARs</w:t>
      </w:r>
      <w:proofErr w:type="spellEnd"/>
    </w:p>
    <w:p w14:paraId="631B2209" w14:textId="010FE2EE" w:rsidR="00346EC2" w:rsidRPr="003C6D1F" w:rsidRDefault="00346EC2" w:rsidP="00346EC2">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22F5A730" w14:textId="77777777" w:rsidR="00346EC2" w:rsidRPr="003C6D1F" w:rsidRDefault="00346EC2" w:rsidP="00346EC2">
      <w:pPr>
        <w:pStyle w:val="ListBullet"/>
      </w:pPr>
      <w:proofErr w:type="spellStart"/>
      <w:r w:rsidRPr="003C6D1F">
        <w:t>AusPARs</w:t>
      </w:r>
      <w:proofErr w:type="spellEnd"/>
      <w:r w:rsidRPr="003C6D1F">
        <w:t xml:space="preserve"> are prepared and published by the TGA.</w:t>
      </w:r>
    </w:p>
    <w:p w14:paraId="451B8FD7" w14:textId="77777777" w:rsidR="00346EC2" w:rsidRPr="003C6D1F" w:rsidRDefault="00346EC2" w:rsidP="00346EC2">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t xml:space="preserve"> The publication of an </w:t>
      </w:r>
      <w:proofErr w:type="spellStart"/>
      <w:r>
        <w:t>AusPAR</w:t>
      </w:r>
      <w:proofErr w:type="spellEnd"/>
      <w:r>
        <w:t xml:space="preserve"> is an important part of the transparency of the TGA’s decision-making process.</w:t>
      </w:r>
    </w:p>
    <w:p w14:paraId="4D69F5CF" w14:textId="77777777" w:rsidR="00346EC2" w:rsidRPr="003C6D1F" w:rsidRDefault="00346EC2" w:rsidP="00346EC2">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DD4E2E">
      <w:pPr>
        <w:pStyle w:val="LegalSubheading"/>
        <w:spacing w:before="3360"/>
      </w:pPr>
      <w:r w:rsidRPr="00BA0DFC">
        <w:t>Copyright</w:t>
      </w:r>
    </w:p>
    <w:p w14:paraId="170A8A5D" w14:textId="796829F4" w:rsidR="00175CD8" w:rsidRPr="00346EC2" w:rsidRDefault="00F02AEC" w:rsidP="00346EC2">
      <w:pPr>
        <w:pStyle w:val="LegalCopy"/>
        <w:rPr>
          <w:rFonts w:cs="Arial"/>
        </w:rPr>
      </w:pPr>
      <w:r w:rsidRPr="00215D48">
        <w:rPr>
          <w:rFonts w:cs="Arial"/>
        </w:rPr>
        <w:t>© Commonwealth of Australia 20</w:t>
      </w:r>
      <w:r>
        <w:rPr>
          <w:rFonts w:cs="Arial"/>
        </w:rPr>
        <w:t>2</w:t>
      </w:r>
      <w:r w:rsidR="00210F9B">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748C9AD3" w14:textId="7262C832" w:rsidR="008C5236"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04004327" w:history="1">
            <w:r w:rsidR="008C5236" w:rsidRPr="008325E5">
              <w:rPr>
                <w:rStyle w:val="Hyperlink"/>
                <w:noProof/>
              </w:rPr>
              <w:t>List of abbreviations</w:t>
            </w:r>
            <w:r w:rsidR="008C5236">
              <w:rPr>
                <w:noProof/>
                <w:webHidden/>
              </w:rPr>
              <w:tab/>
            </w:r>
            <w:r w:rsidR="008C5236">
              <w:rPr>
                <w:noProof/>
                <w:webHidden/>
              </w:rPr>
              <w:fldChar w:fldCharType="begin"/>
            </w:r>
            <w:r w:rsidR="008C5236">
              <w:rPr>
                <w:noProof/>
                <w:webHidden/>
              </w:rPr>
              <w:instrText xml:space="preserve"> PAGEREF _Toc204004327 \h </w:instrText>
            </w:r>
            <w:r w:rsidR="008C5236">
              <w:rPr>
                <w:noProof/>
                <w:webHidden/>
              </w:rPr>
            </w:r>
            <w:r w:rsidR="008C5236">
              <w:rPr>
                <w:noProof/>
                <w:webHidden/>
              </w:rPr>
              <w:fldChar w:fldCharType="separate"/>
            </w:r>
            <w:r w:rsidR="008C5236">
              <w:rPr>
                <w:noProof/>
                <w:webHidden/>
              </w:rPr>
              <w:t>4</w:t>
            </w:r>
            <w:r w:rsidR="008C5236">
              <w:rPr>
                <w:noProof/>
                <w:webHidden/>
              </w:rPr>
              <w:fldChar w:fldCharType="end"/>
            </w:r>
          </w:hyperlink>
        </w:p>
        <w:p w14:paraId="511C9593" w14:textId="058509EA" w:rsidR="008C5236" w:rsidRDefault="008C523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004328" w:history="1">
            <w:r w:rsidRPr="008325E5">
              <w:rPr>
                <w:rStyle w:val="Hyperlink"/>
                <w:noProof/>
              </w:rPr>
              <w:t>ZILBRYSQ (zilucoplan) submission</w:t>
            </w:r>
            <w:r>
              <w:rPr>
                <w:noProof/>
                <w:webHidden/>
              </w:rPr>
              <w:tab/>
            </w:r>
            <w:r>
              <w:rPr>
                <w:noProof/>
                <w:webHidden/>
              </w:rPr>
              <w:fldChar w:fldCharType="begin"/>
            </w:r>
            <w:r>
              <w:rPr>
                <w:noProof/>
                <w:webHidden/>
              </w:rPr>
              <w:instrText xml:space="preserve"> PAGEREF _Toc204004328 \h </w:instrText>
            </w:r>
            <w:r>
              <w:rPr>
                <w:noProof/>
                <w:webHidden/>
              </w:rPr>
            </w:r>
            <w:r>
              <w:rPr>
                <w:noProof/>
                <w:webHidden/>
              </w:rPr>
              <w:fldChar w:fldCharType="separate"/>
            </w:r>
            <w:r>
              <w:rPr>
                <w:noProof/>
                <w:webHidden/>
              </w:rPr>
              <w:t>6</w:t>
            </w:r>
            <w:r>
              <w:rPr>
                <w:noProof/>
                <w:webHidden/>
              </w:rPr>
              <w:fldChar w:fldCharType="end"/>
            </w:r>
          </w:hyperlink>
        </w:p>
        <w:p w14:paraId="50A30B3B" w14:textId="278B16DD" w:rsidR="008C5236" w:rsidRDefault="008C523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004329" w:history="1">
            <w:r w:rsidRPr="008325E5">
              <w:rPr>
                <w:rStyle w:val="Hyperlink"/>
                <w:noProof/>
              </w:rPr>
              <w:t>Proposed indication</w:t>
            </w:r>
            <w:r>
              <w:rPr>
                <w:noProof/>
                <w:webHidden/>
              </w:rPr>
              <w:tab/>
            </w:r>
            <w:r>
              <w:rPr>
                <w:noProof/>
                <w:webHidden/>
              </w:rPr>
              <w:fldChar w:fldCharType="begin"/>
            </w:r>
            <w:r>
              <w:rPr>
                <w:noProof/>
                <w:webHidden/>
              </w:rPr>
              <w:instrText xml:space="preserve"> PAGEREF _Toc204004329 \h </w:instrText>
            </w:r>
            <w:r>
              <w:rPr>
                <w:noProof/>
                <w:webHidden/>
              </w:rPr>
            </w:r>
            <w:r>
              <w:rPr>
                <w:noProof/>
                <w:webHidden/>
              </w:rPr>
              <w:fldChar w:fldCharType="separate"/>
            </w:r>
            <w:r>
              <w:rPr>
                <w:noProof/>
                <w:webHidden/>
              </w:rPr>
              <w:t>7</w:t>
            </w:r>
            <w:r>
              <w:rPr>
                <w:noProof/>
                <w:webHidden/>
              </w:rPr>
              <w:fldChar w:fldCharType="end"/>
            </w:r>
          </w:hyperlink>
        </w:p>
        <w:p w14:paraId="19F2C6AE" w14:textId="4370410F" w:rsidR="008C5236" w:rsidRDefault="008C523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004330" w:history="1">
            <w:r w:rsidRPr="008325E5">
              <w:rPr>
                <w:rStyle w:val="Hyperlink"/>
                <w:noProof/>
              </w:rPr>
              <w:t>The condition</w:t>
            </w:r>
            <w:r>
              <w:rPr>
                <w:noProof/>
                <w:webHidden/>
              </w:rPr>
              <w:tab/>
            </w:r>
            <w:r>
              <w:rPr>
                <w:noProof/>
                <w:webHidden/>
              </w:rPr>
              <w:fldChar w:fldCharType="begin"/>
            </w:r>
            <w:r>
              <w:rPr>
                <w:noProof/>
                <w:webHidden/>
              </w:rPr>
              <w:instrText xml:space="preserve"> PAGEREF _Toc204004330 \h </w:instrText>
            </w:r>
            <w:r>
              <w:rPr>
                <w:noProof/>
                <w:webHidden/>
              </w:rPr>
            </w:r>
            <w:r>
              <w:rPr>
                <w:noProof/>
                <w:webHidden/>
              </w:rPr>
              <w:fldChar w:fldCharType="separate"/>
            </w:r>
            <w:r>
              <w:rPr>
                <w:noProof/>
                <w:webHidden/>
              </w:rPr>
              <w:t>8</w:t>
            </w:r>
            <w:r>
              <w:rPr>
                <w:noProof/>
                <w:webHidden/>
              </w:rPr>
              <w:fldChar w:fldCharType="end"/>
            </w:r>
          </w:hyperlink>
        </w:p>
        <w:p w14:paraId="11BCB870" w14:textId="2558171B" w:rsidR="008C5236" w:rsidRDefault="008C523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004331" w:history="1">
            <w:r w:rsidRPr="008325E5">
              <w:rPr>
                <w:rStyle w:val="Hyperlink"/>
                <w:noProof/>
              </w:rPr>
              <w:t>Current treatment options</w:t>
            </w:r>
            <w:r>
              <w:rPr>
                <w:noProof/>
                <w:webHidden/>
              </w:rPr>
              <w:tab/>
            </w:r>
            <w:r>
              <w:rPr>
                <w:noProof/>
                <w:webHidden/>
              </w:rPr>
              <w:fldChar w:fldCharType="begin"/>
            </w:r>
            <w:r>
              <w:rPr>
                <w:noProof/>
                <w:webHidden/>
              </w:rPr>
              <w:instrText xml:space="preserve"> PAGEREF _Toc204004331 \h </w:instrText>
            </w:r>
            <w:r>
              <w:rPr>
                <w:noProof/>
                <w:webHidden/>
              </w:rPr>
            </w:r>
            <w:r>
              <w:rPr>
                <w:noProof/>
                <w:webHidden/>
              </w:rPr>
              <w:fldChar w:fldCharType="separate"/>
            </w:r>
            <w:r>
              <w:rPr>
                <w:noProof/>
                <w:webHidden/>
              </w:rPr>
              <w:t>8</w:t>
            </w:r>
            <w:r>
              <w:rPr>
                <w:noProof/>
                <w:webHidden/>
              </w:rPr>
              <w:fldChar w:fldCharType="end"/>
            </w:r>
          </w:hyperlink>
        </w:p>
        <w:p w14:paraId="0FFC4F25" w14:textId="69E5C7F2" w:rsidR="008C5236" w:rsidRDefault="008C523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004332" w:history="1">
            <w:r w:rsidRPr="008325E5">
              <w:rPr>
                <w:rStyle w:val="Hyperlink"/>
                <w:noProof/>
              </w:rPr>
              <w:t>Clinical rationale</w:t>
            </w:r>
            <w:r>
              <w:rPr>
                <w:noProof/>
                <w:webHidden/>
              </w:rPr>
              <w:tab/>
            </w:r>
            <w:r>
              <w:rPr>
                <w:noProof/>
                <w:webHidden/>
              </w:rPr>
              <w:fldChar w:fldCharType="begin"/>
            </w:r>
            <w:r>
              <w:rPr>
                <w:noProof/>
                <w:webHidden/>
              </w:rPr>
              <w:instrText xml:space="preserve"> PAGEREF _Toc204004332 \h </w:instrText>
            </w:r>
            <w:r>
              <w:rPr>
                <w:noProof/>
                <w:webHidden/>
              </w:rPr>
            </w:r>
            <w:r>
              <w:rPr>
                <w:noProof/>
                <w:webHidden/>
              </w:rPr>
              <w:fldChar w:fldCharType="separate"/>
            </w:r>
            <w:r>
              <w:rPr>
                <w:noProof/>
                <w:webHidden/>
              </w:rPr>
              <w:t>8</w:t>
            </w:r>
            <w:r>
              <w:rPr>
                <w:noProof/>
                <w:webHidden/>
              </w:rPr>
              <w:fldChar w:fldCharType="end"/>
            </w:r>
          </w:hyperlink>
        </w:p>
        <w:p w14:paraId="5D750998" w14:textId="3F50D509" w:rsidR="008C5236" w:rsidRDefault="008C523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004333" w:history="1">
            <w:r w:rsidRPr="008325E5">
              <w:rPr>
                <w:rStyle w:val="Hyperlink"/>
                <w:noProof/>
              </w:rPr>
              <w:t>Regulatory status</w:t>
            </w:r>
            <w:r>
              <w:rPr>
                <w:noProof/>
                <w:webHidden/>
              </w:rPr>
              <w:tab/>
            </w:r>
            <w:r>
              <w:rPr>
                <w:noProof/>
                <w:webHidden/>
              </w:rPr>
              <w:fldChar w:fldCharType="begin"/>
            </w:r>
            <w:r>
              <w:rPr>
                <w:noProof/>
                <w:webHidden/>
              </w:rPr>
              <w:instrText xml:space="preserve"> PAGEREF _Toc204004333 \h </w:instrText>
            </w:r>
            <w:r>
              <w:rPr>
                <w:noProof/>
                <w:webHidden/>
              </w:rPr>
            </w:r>
            <w:r>
              <w:rPr>
                <w:noProof/>
                <w:webHidden/>
              </w:rPr>
              <w:fldChar w:fldCharType="separate"/>
            </w:r>
            <w:r>
              <w:rPr>
                <w:noProof/>
                <w:webHidden/>
              </w:rPr>
              <w:t>8</w:t>
            </w:r>
            <w:r>
              <w:rPr>
                <w:noProof/>
                <w:webHidden/>
              </w:rPr>
              <w:fldChar w:fldCharType="end"/>
            </w:r>
          </w:hyperlink>
        </w:p>
        <w:p w14:paraId="6DFDED2C" w14:textId="11F71FF1" w:rsidR="008C5236" w:rsidRDefault="008C523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004334" w:history="1">
            <w:r w:rsidRPr="008325E5">
              <w:rPr>
                <w:rStyle w:val="Hyperlink"/>
                <w:noProof/>
              </w:rPr>
              <w:t>Registration timeline</w:t>
            </w:r>
            <w:r>
              <w:rPr>
                <w:noProof/>
                <w:webHidden/>
              </w:rPr>
              <w:tab/>
            </w:r>
            <w:r>
              <w:rPr>
                <w:noProof/>
                <w:webHidden/>
              </w:rPr>
              <w:fldChar w:fldCharType="begin"/>
            </w:r>
            <w:r>
              <w:rPr>
                <w:noProof/>
                <w:webHidden/>
              </w:rPr>
              <w:instrText xml:space="preserve"> PAGEREF _Toc204004334 \h </w:instrText>
            </w:r>
            <w:r>
              <w:rPr>
                <w:noProof/>
                <w:webHidden/>
              </w:rPr>
            </w:r>
            <w:r>
              <w:rPr>
                <w:noProof/>
                <w:webHidden/>
              </w:rPr>
              <w:fldChar w:fldCharType="separate"/>
            </w:r>
            <w:r>
              <w:rPr>
                <w:noProof/>
                <w:webHidden/>
              </w:rPr>
              <w:t>9</w:t>
            </w:r>
            <w:r>
              <w:rPr>
                <w:noProof/>
                <w:webHidden/>
              </w:rPr>
              <w:fldChar w:fldCharType="end"/>
            </w:r>
          </w:hyperlink>
        </w:p>
        <w:p w14:paraId="4180B2D6" w14:textId="6F0065B7" w:rsidR="008C5236" w:rsidRDefault="008C5236">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004335" w:history="1">
            <w:r w:rsidRPr="008325E5">
              <w:rPr>
                <w:rStyle w:val="Hyperlink"/>
                <w:noProof/>
              </w:rPr>
              <w:t>Assessment overview</w:t>
            </w:r>
            <w:r>
              <w:rPr>
                <w:noProof/>
                <w:webHidden/>
              </w:rPr>
              <w:tab/>
            </w:r>
            <w:r>
              <w:rPr>
                <w:noProof/>
                <w:webHidden/>
              </w:rPr>
              <w:fldChar w:fldCharType="begin"/>
            </w:r>
            <w:r>
              <w:rPr>
                <w:noProof/>
                <w:webHidden/>
              </w:rPr>
              <w:instrText xml:space="preserve"> PAGEREF _Toc204004335 \h </w:instrText>
            </w:r>
            <w:r>
              <w:rPr>
                <w:noProof/>
                <w:webHidden/>
              </w:rPr>
            </w:r>
            <w:r>
              <w:rPr>
                <w:noProof/>
                <w:webHidden/>
              </w:rPr>
              <w:fldChar w:fldCharType="separate"/>
            </w:r>
            <w:r>
              <w:rPr>
                <w:noProof/>
                <w:webHidden/>
              </w:rPr>
              <w:t>9</w:t>
            </w:r>
            <w:r>
              <w:rPr>
                <w:noProof/>
                <w:webHidden/>
              </w:rPr>
              <w:fldChar w:fldCharType="end"/>
            </w:r>
          </w:hyperlink>
        </w:p>
        <w:p w14:paraId="01598D58" w14:textId="2E1EAEC1" w:rsidR="008C5236" w:rsidRDefault="008C523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004336" w:history="1">
            <w:r w:rsidRPr="008325E5">
              <w:rPr>
                <w:rStyle w:val="Hyperlink"/>
                <w:noProof/>
              </w:rPr>
              <w:t>Quality evaluation summary</w:t>
            </w:r>
            <w:r>
              <w:rPr>
                <w:noProof/>
                <w:webHidden/>
              </w:rPr>
              <w:tab/>
            </w:r>
            <w:r>
              <w:rPr>
                <w:noProof/>
                <w:webHidden/>
              </w:rPr>
              <w:fldChar w:fldCharType="begin"/>
            </w:r>
            <w:r>
              <w:rPr>
                <w:noProof/>
                <w:webHidden/>
              </w:rPr>
              <w:instrText xml:space="preserve"> PAGEREF _Toc204004336 \h </w:instrText>
            </w:r>
            <w:r>
              <w:rPr>
                <w:noProof/>
                <w:webHidden/>
              </w:rPr>
            </w:r>
            <w:r>
              <w:rPr>
                <w:noProof/>
                <w:webHidden/>
              </w:rPr>
              <w:fldChar w:fldCharType="separate"/>
            </w:r>
            <w:r>
              <w:rPr>
                <w:noProof/>
                <w:webHidden/>
              </w:rPr>
              <w:t>9</w:t>
            </w:r>
            <w:r>
              <w:rPr>
                <w:noProof/>
                <w:webHidden/>
              </w:rPr>
              <w:fldChar w:fldCharType="end"/>
            </w:r>
          </w:hyperlink>
        </w:p>
        <w:p w14:paraId="63901506" w14:textId="0B92199E" w:rsidR="008C5236" w:rsidRDefault="008C523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004337" w:history="1">
            <w:r w:rsidRPr="008325E5">
              <w:rPr>
                <w:rStyle w:val="Hyperlink"/>
                <w:noProof/>
              </w:rPr>
              <w:t>Nonclinical evaluation summary</w:t>
            </w:r>
            <w:r>
              <w:rPr>
                <w:noProof/>
                <w:webHidden/>
              </w:rPr>
              <w:tab/>
            </w:r>
            <w:r>
              <w:rPr>
                <w:noProof/>
                <w:webHidden/>
              </w:rPr>
              <w:fldChar w:fldCharType="begin"/>
            </w:r>
            <w:r>
              <w:rPr>
                <w:noProof/>
                <w:webHidden/>
              </w:rPr>
              <w:instrText xml:space="preserve"> PAGEREF _Toc204004337 \h </w:instrText>
            </w:r>
            <w:r>
              <w:rPr>
                <w:noProof/>
                <w:webHidden/>
              </w:rPr>
            </w:r>
            <w:r>
              <w:rPr>
                <w:noProof/>
                <w:webHidden/>
              </w:rPr>
              <w:fldChar w:fldCharType="separate"/>
            </w:r>
            <w:r>
              <w:rPr>
                <w:noProof/>
                <w:webHidden/>
              </w:rPr>
              <w:t>11</w:t>
            </w:r>
            <w:r>
              <w:rPr>
                <w:noProof/>
                <w:webHidden/>
              </w:rPr>
              <w:fldChar w:fldCharType="end"/>
            </w:r>
          </w:hyperlink>
        </w:p>
        <w:p w14:paraId="29837FE4" w14:textId="0456A3BA" w:rsidR="008C5236" w:rsidRDefault="008C523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004338" w:history="1">
            <w:r w:rsidRPr="008325E5">
              <w:rPr>
                <w:rStyle w:val="Hyperlink"/>
                <w:noProof/>
              </w:rPr>
              <w:t>Clinical evaluation summary</w:t>
            </w:r>
            <w:r>
              <w:rPr>
                <w:noProof/>
                <w:webHidden/>
              </w:rPr>
              <w:tab/>
            </w:r>
            <w:r>
              <w:rPr>
                <w:noProof/>
                <w:webHidden/>
              </w:rPr>
              <w:fldChar w:fldCharType="begin"/>
            </w:r>
            <w:r>
              <w:rPr>
                <w:noProof/>
                <w:webHidden/>
              </w:rPr>
              <w:instrText xml:space="preserve"> PAGEREF _Toc204004338 \h </w:instrText>
            </w:r>
            <w:r>
              <w:rPr>
                <w:noProof/>
                <w:webHidden/>
              </w:rPr>
            </w:r>
            <w:r>
              <w:rPr>
                <w:noProof/>
                <w:webHidden/>
              </w:rPr>
              <w:fldChar w:fldCharType="separate"/>
            </w:r>
            <w:r>
              <w:rPr>
                <w:noProof/>
                <w:webHidden/>
              </w:rPr>
              <w:t>13</w:t>
            </w:r>
            <w:r>
              <w:rPr>
                <w:noProof/>
                <w:webHidden/>
              </w:rPr>
              <w:fldChar w:fldCharType="end"/>
            </w:r>
          </w:hyperlink>
        </w:p>
        <w:p w14:paraId="34CE24AC" w14:textId="4321C1DB" w:rsidR="008C5236" w:rsidRDefault="008C523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004339" w:history="1">
            <w:r w:rsidRPr="008325E5">
              <w:rPr>
                <w:rStyle w:val="Hyperlink"/>
                <w:noProof/>
              </w:rPr>
              <w:t>Pharmacology</w:t>
            </w:r>
            <w:r>
              <w:rPr>
                <w:noProof/>
                <w:webHidden/>
              </w:rPr>
              <w:tab/>
            </w:r>
            <w:r>
              <w:rPr>
                <w:noProof/>
                <w:webHidden/>
              </w:rPr>
              <w:fldChar w:fldCharType="begin"/>
            </w:r>
            <w:r>
              <w:rPr>
                <w:noProof/>
                <w:webHidden/>
              </w:rPr>
              <w:instrText xml:space="preserve"> PAGEREF _Toc204004339 \h </w:instrText>
            </w:r>
            <w:r>
              <w:rPr>
                <w:noProof/>
                <w:webHidden/>
              </w:rPr>
            </w:r>
            <w:r>
              <w:rPr>
                <w:noProof/>
                <w:webHidden/>
              </w:rPr>
              <w:fldChar w:fldCharType="separate"/>
            </w:r>
            <w:r>
              <w:rPr>
                <w:noProof/>
                <w:webHidden/>
              </w:rPr>
              <w:t>13</w:t>
            </w:r>
            <w:r>
              <w:rPr>
                <w:noProof/>
                <w:webHidden/>
              </w:rPr>
              <w:fldChar w:fldCharType="end"/>
            </w:r>
          </w:hyperlink>
        </w:p>
        <w:p w14:paraId="6361A1F7" w14:textId="28B4D39C" w:rsidR="008C5236" w:rsidRDefault="008C523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004340" w:history="1">
            <w:r w:rsidRPr="008325E5">
              <w:rPr>
                <w:rStyle w:val="Hyperlink"/>
                <w:noProof/>
              </w:rPr>
              <w:t>Efficacy</w:t>
            </w:r>
            <w:r>
              <w:rPr>
                <w:noProof/>
                <w:webHidden/>
              </w:rPr>
              <w:tab/>
            </w:r>
            <w:r>
              <w:rPr>
                <w:noProof/>
                <w:webHidden/>
              </w:rPr>
              <w:fldChar w:fldCharType="begin"/>
            </w:r>
            <w:r>
              <w:rPr>
                <w:noProof/>
                <w:webHidden/>
              </w:rPr>
              <w:instrText xml:space="preserve"> PAGEREF _Toc204004340 \h </w:instrText>
            </w:r>
            <w:r>
              <w:rPr>
                <w:noProof/>
                <w:webHidden/>
              </w:rPr>
            </w:r>
            <w:r>
              <w:rPr>
                <w:noProof/>
                <w:webHidden/>
              </w:rPr>
              <w:fldChar w:fldCharType="separate"/>
            </w:r>
            <w:r>
              <w:rPr>
                <w:noProof/>
                <w:webHidden/>
              </w:rPr>
              <w:t>19</w:t>
            </w:r>
            <w:r>
              <w:rPr>
                <w:noProof/>
                <w:webHidden/>
              </w:rPr>
              <w:fldChar w:fldCharType="end"/>
            </w:r>
          </w:hyperlink>
        </w:p>
        <w:p w14:paraId="338F6583" w14:textId="055F3339" w:rsidR="008C5236" w:rsidRDefault="008C523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004341" w:history="1">
            <w:r w:rsidRPr="008325E5">
              <w:rPr>
                <w:rStyle w:val="Hyperlink"/>
                <w:noProof/>
              </w:rPr>
              <w:t>Safety</w:t>
            </w:r>
            <w:r>
              <w:rPr>
                <w:noProof/>
                <w:webHidden/>
              </w:rPr>
              <w:tab/>
            </w:r>
            <w:r>
              <w:rPr>
                <w:noProof/>
                <w:webHidden/>
              </w:rPr>
              <w:fldChar w:fldCharType="begin"/>
            </w:r>
            <w:r>
              <w:rPr>
                <w:noProof/>
                <w:webHidden/>
              </w:rPr>
              <w:instrText xml:space="preserve"> PAGEREF _Toc204004341 \h </w:instrText>
            </w:r>
            <w:r>
              <w:rPr>
                <w:noProof/>
                <w:webHidden/>
              </w:rPr>
            </w:r>
            <w:r>
              <w:rPr>
                <w:noProof/>
                <w:webHidden/>
              </w:rPr>
              <w:fldChar w:fldCharType="separate"/>
            </w:r>
            <w:r>
              <w:rPr>
                <w:noProof/>
                <w:webHidden/>
              </w:rPr>
              <w:t>27</w:t>
            </w:r>
            <w:r>
              <w:rPr>
                <w:noProof/>
                <w:webHidden/>
              </w:rPr>
              <w:fldChar w:fldCharType="end"/>
            </w:r>
          </w:hyperlink>
        </w:p>
        <w:p w14:paraId="1F3611D5" w14:textId="31F5AA3A" w:rsidR="008C5236" w:rsidRDefault="008C523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004342" w:history="1">
            <w:r w:rsidRPr="008325E5">
              <w:rPr>
                <w:rStyle w:val="Hyperlink"/>
                <w:noProof/>
                <w:lang w:eastAsia="en-AU"/>
              </w:rPr>
              <w:t xml:space="preserve">Risk management plan evaluation </w:t>
            </w:r>
            <w:r w:rsidRPr="008325E5">
              <w:rPr>
                <w:rStyle w:val="Hyperlink"/>
                <w:noProof/>
              </w:rPr>
              <w:t>summary</w:t>
            </w:r>
            <w:r>
              <w:rPr>
                <w:noProof/>
                <w:webHidden/>
              </w:rPr>
              <w:tab/>
            </w:r>
            <w:r>
              <w:rPr>
                <w:noProof/>
                <w:webHidden/>
              </w:rPr>
              <w:fldChar w:fldCharType="begin"/>
            </w:r>
            <w:r>
              <w:rPr>
                <w:noProof/>
                <w:webHidden/>
              </w:rPr>
              <w:instrText xml:space="preserve"> PAGEREF _Toc204004342 \h </w:instrText>
            </w:r>
            <w:r>
              <w:rPr>
                <w:noProof/>
                <w:webHidden/>
              </w:rPr>
            </w:r>
            <w:r>
              <w:rPr>
                <w:noProof/>
                <w:webHidden/>
              </w:rPr>
              <w:fldChar w:fldCharType="separate"/>
            </w:r>
            <w:r>
              <w:rPr>
                <w:noProof/>
                <w:webHidden/>
              </w:rPr>
              <w:t>38</w:t>
            </w:r>
            <w:r>
              <w:rPr>
                <w:noProof/>
                <w:webHidden/>
              </w:rPr>
              <w:fldChar w:fldCharType="end"/>
            </w:r>
          </w:hyperlink>
        </w:p>
        <w:p w14:paraId="7856D78A" w14:textId="6BCD9A09" w:rsidR="008C5236" w:rsidRDefault="008C523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004343" w:history="1">
            <w:r w:rsidRPr="008325E5">
              <w:rPr>
                <w:rStyle w:val="Hyperlink"/>
                <w:noProof/>
              </w:rPr>
              <w:t>Risk-benefit analysis</w:t>
            </w:r>
            <w:r>
              <w:rPr>
                <w:noProof/>
                <w:webHidden/>
              </w:rPr>
              <w:tab/>
            </w:r>
            <w:r>
              <w:rPr>
                <w:noProof/>
                <w:webHidden/>
              </w:rPr>
              <w:fldChar w:fldCharType="begin"/>
            </w:r>
            <w:r>
              <w:rPr>
                <w:noProof/>
                <w:webHidden/>
              </w:rPr>
              <w:instrText xml:space="preserve"> PAGEREF _Toc204004343 \h </w:instrText>
            </w:r>
            <w:r>
              <w:rPr>
                <w:noProof/>
                <w:webHidden/>
              </w:rPr>
            </w:r>
            <w:r>
              <w:rPr>
                <w:noProof/>
                <w:webHidden/>
              </w:rPr>
              <w:fldChar w:fldCharType="separate"/>
            </w:r>
            <w:r>
              <w:rPr>
                <w:noProof/>
                <w:webHidden/>
              </w:rPr>
              <w:t>39</w:t>
            </w:r>
            <w:r>
              <w:rPr>
                <w:noProof/>
                <w:webHidden/>
              </w:rPr>
              <w:fldChar w:fldCharType="end"/>
            </w:r>
          </w:hyperlink>
        </w:p>
        <w:p w14:paraId="3697CE0E" w14:textId="2B9638A7" w:rsidR="008C5236" w:rsidRDefault="008C523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004344" w:history="1">
            <w:r w:rsidRPr="008325E5">
              <w:rPr>
                <w:rStyle w:val="Hyperlink"/>
                <w:noProof/>
                <w:lang w:val="en-US"/>
              </w:rPr>
              <w:t>Efficacy</w:t>
            </w:r>
            <w:r>
              <w:rPr>
                <w:noProof/>
                <w:webHidden/>
              </w:rPr>
              <w:tab/>
            </w:r>
            <w:r>
              <w:rPr>
                <w:noProof/>
                <w:webHidden/>
              </w:rPr>
              <w:fldChar w:fldCharType="begin"/>
            </w:r>
            <w:r>
              <w:rPr>
                <w:noProof/>
                <w:webHidden/>
              </w:rPr>
              <w:instrText xml:space="preserve"> PAGEREF _Toc204004344 \h </w:instrText>
            </w:r>
            <w:r>
              <w:rPr>
                <w:noProof/>
                <w:webHidden/>
              </w:rPr>
            </w:r>
            <w:r>
              <w:rPr>
                <w:noProof/>
                <w:webHidden/>
              </w:rPr>
              <w:fldChar w:fldCharType="separate"/>
            </w:r>
            <w:r>
              <w:rPr>
                <w:noProof/>
                <w:webHidden/>
              </w:rPr>
              <w:t>39</w:t>
            </w:r>
            <w:r>
              <w:rPr>
                <w:noProof/>
                <w:webHidden/>
              </w:rPr>
              <w:fldChar w:fldCharType="end"/>
            </w:r>
          </w:hyperlink>
        </w:p>
        <w:p w14:paraId="78C8D1EA" w14:textId="2972112A" w:rsidR="008C5236" w:rsidRDefault="008C523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004345" w:history="1">
            <w:r w:rsidRPr="008325E5">
              <w:rPr>
                <w:rStyle w:val="Hyperlink"/>
                <w:noProof/>
                <w:lang w:val="en-US"/>
              </w:rPr>
              <w:t>Proposed indication</w:t>
            </w:r>
            <w:r>
              <w:rPr>
                <w:noProof/>
                <w:webHidden/>
              </w:rPr>
              <w:tab/>
            </w:r>
            <w:r>
              <w:rPr>
                <w:noProof/>
                <w:webHidden/>
              </w:rPr>
              <w:fldChar w:fldCharType="begin"/>
            </w:r>
            <w:r>
              <w:rPr>
                <w:noProof/>
                <w:webHidden/>
              </w:rPr>
              <w:instrText xml:space="preserve"> PAGEREF _Toc204004345 \h </w:instrText>
            </w:r>
            <w:r>
              <w:rPr>
                <w:noProof/>
                <w:webHidden/>
              </w:rPr>
            </w:r>
            <w:r>
              <w:rPr>
                <w:noProof/>
                <w:webHidden/>
              </w:rPr>
              <w:fldChar w:fldCharType="separate"/>
            </w:r>
            <w:r>
              <w:rPr>
                <w:noProof/>
                <w:webHidden/>
              </w:rPr>
              <w:t>39</w:t>
            </w:r>
            <w:r>
              <w:rPr>
                <w:noProof/>
                <w:webHidden/>
              </w:rPr>
              <w:fldChar w:fldCharType="end"/>
            </w:r>
          </w:hyperlink>
        </w:p>
        <w:p w14:paraId="4B29EE40" w14:textId="2F4DA16F" w:rsidR="008C5236" w:rsidRDefault="008C523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004346" w:history="1">
            <w:r w:rsidRPr="008325E5">
              <w:rPr>
                <w:rStyle w:val="Hyperlink"/>
                <w:noProof/>
                <w:lang w:val="en-US"/>
              </w:rPr>
              <w:t>Safety</w:t>
            </w:r>
            <w:r>
              <w:rPr>
                <w:noProof/>
                <w:webHidden/>
              </w:rPr>
              <w:tab/>
            </w:r>
            <w:r>
              <w:rPr>
                <w:noProof/>
                <w:webHidden/>
              </w:rPr>
              <w:fldChar w:fldCharType="begin"/>
            </w:r>
            <w:r>
              <w:rPr>
                <w:noProof/>
                <w:webHidden/>
              </w:rPr>
              <w:instrText xml:space="preserve"> PAGEREF _Toc204004346 \h </w:instrText>
            </w:r>
            <w:r>
              <w:rPr>
                <w:noProof/>
                <w:webHidden/>
              </w:rPr>
            </w:r>
            <w:r>
              <w:rPr>
                <w:noProof/>
                <w:webHidden/>
              </w:rPr>
              <w:fldChar w:fldCharType="separate"/>
            </w:r>
            <w:r>
              <w:rPr>
                <w:noProof/>
                <w:webHidden/>
              </w:rPr>
              <w:t>39</w:t>
            </w:r>
            <w:r>
              <w:rPr>
                <w:noProof/>
                <w:webHidden/>
              </w:rPr>
              <w:fldChar w:fldCharType="end"/>
            </w:r>
          </w:hyperlink>
        </w:p>
        <w:p w14:paraId="22A5EAFD" w14:textId="3AC2757E" w:rsidR="008C5236" w:rsidRDefault="008C523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004347" w:history="1">
            <w:r w:rsidRPr="008325E5">
              <w:rPr>
                <w:rStyle w:val="Hyperlink"/>
                <w:noProof/>
                <w:lang w:val="en-US"/>
              </w:rPr>
              <w:t>Deficiencies in the data</w:t>
            </w:r>
            <w:r>
              <w:rPr>
                <w:noProof/>
                <w:webHidden/>
              </w:rPr>
              <w:tab/>
            </w:r>
            <w:r>
              <w:rPr>
                <w:noProof/>
                <w:webHidden/>
              </w:rPr>
              <w:fldChar w:fldCharType="begin"/>
            </w:r>
            <w:r>
              <w:rPr>
                <w:noProof/>
                <w:webHidden/>
              </w:rPr>
              <w:instrText xml:space="preserve"> PAGEREF _Toc204004347 \h </w:instrText>
            </w:r>
            <w:r>
              <w:rPr>
                <w:noProof/>
                <w:webHidden/>
              </w:rPr>
            </w:r>
            <w:r>
              <w:rPr>
                <w:noProof/>
                <w:webHidden/>
              </w:rPr>
              <w:fldChar w:fldCharType="separate"/>
            </w:r>
            <w:r>
              <w:rPr>
                <w:noProof/>
                <w:webHidden/>
              </w:rPr>
              <w:t>40</w:t>
            </w:r>
            <w:r>
              <w:rPr>
                <w:noProof/>
                <w:webHidden/>
              </w:rPr>
              <w:fldChar w:fldCharType="end"/>
            </w:r>
          </w:hyperlink>
        </w:p>
        <w:p w14:paraId="5234A84D" w14:textId="5F5A474D" w:rsidR="008C5236" w:rsidRDefault="008C523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004348" w:history="1">
            <w:r w:rsidRPr="008325E5">
              <w:rPr>
                <w:rStyle w:val="Hyperlink"/>
                <w:noProof/>
                <w:lang w:val="en-US"/>
              </w:rPr>
              <w:t>Risk-benefit-uncertainty assessment</w:t>
            </w:r>
            <w:r>
              <w:rPr>
                <w:noProof/>
                <w:webHidden/>
              </w:rPr>
              <w:tab/>
            </w:r>
            <w:r>
              <w:rPr>
                <w:noProof/>
                <w:webHidden/>
              </w:rPr>
              <w:fldChar w:fldCharType="begin"/>
            </w:r>
            <w:r>
              <w:rPr>
                <w:noProof/>
                <w:webHidden/>
              </w:rPr>
              <w:instrText xml:space="preserve"> PAGEREF _Toc204004348 \h </w:instrText>
            </w:r>
            <w:r>
              <w:rPr>
                <w:noProof/>
                <w:webHidden/>
              </w:rPr>
            </w:r>
            <w:r>
              <w:rPr>
                <w:noProof/>
                <w:webHidden/>
              </w:rPr>
              <w:fldChar w:fldCharType="separate"/>
            </w:r>
            <w:r>
              <w:rPr>
                <w:noProof/>
                <w:webHidden/>
              </w:rPr>
              <w:t>40</w:t>
            </w:r>
            <w:r>
              <w:rPr>
                <w:noProof/>
                <w:webHidden/>
              </w:rPr>
              <w:fldChar w:fldCharType="end"/>
            </w:r>
          </w:hyperlink>
        </w:p>
        <w:p w14:paraId="49297B3F" w14:textId="223AE3EF" w:rsidR="008C5236" w:rsidRDefault="008C523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004349" w:history="1">
            <w:r w:rsidRPr="008325E5">
              <w:rPr>
                <w:rStyle w:val="Hyperlink"/>
                <w:noProof/>
                <w:lang w:val="en-US"/>
              </w:rPr>
              <w:t>Proposed action</w:t>
            </w:r>
            <w:r>
              <w:rPr>
                <w:noProof/>
                <w:webHidden/>
              </w:rPr>
              <w:tab/>
            </w:r>
            <w:r>
              <w:rPr>
                <w:noProof/>
                <w:webHidden/>
              </w:rPr>
              <w:fldChar w:fldCharType="begin"/>
            </w:r>
            <w:r>
              <w:rPr>
                <w:noProof/>
                <w:webHidden/>
              </w:rPr>
              <w:instrText xml:space="preserve"> PAGEREF _Toc204004349 \h </w:instrText>
            </w:r>
            <w:r>
              <w:rPr>
                <w:noProof/>
                <w:webHidden/>
              </w:rPr>
            </w:r>
            <w:r>
              <w:rPr>
                <w:noProof/>
                <w:webHidden/>
              </w:rPr>
              <w:fldChar w:fldCharType="separate"/>
            </w:r>
            <w:r>
              <w:rPr>
                <w:noProof/>
                <w:webHidden/>
              </w:rPr>
              <w:t>41</w:t>
            </w:r>
            <w:r>
              <w:rPr>
                <w:noProof/>
                <w:webHidden/>
              </w:rPr>
              <w:fldChar w:fldCharType="end"/>
            </w:r>
          </w:hyperlink>
        </w:p>
        <w:p w14:paraId="576A0198" w14:textId="7DF524F7" w:rsidR="008C5236" w:rsidRDefault="008C523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004350" w:history="1">
            <w:r w:rsidRPr="008325E5">
              <w:rPr>
                <w:rStyle w:val="Hyperlink"/>
                <w:noProof/>
              </w:rPr>
              <w:t>Advisory Committee considerations</w:t>
            </w:r>
            <w:r>
              <w:rPr>
                <w:noProof/>
                <w:webHidden/>
              </w:rPr>
              <w:tab/>
            </w:r>
            <w:r>
              <w:rPr>
                <w:noProof/>
                <w:webHidden/>
              </w:rPr>
              <w:fldChar w:fldCharType="begin"/>
            </w:r>
            <w:r>
              <w:rPr>
                <w:noProof/>
                <w:webHidden/>
              </w:rPr>
              <w:instrText xml:space="preserve"> PAGEREF _Toc204004350 \h </w:instrText>
            </w:r>
            <w:r>
              <w:rPr>
                <w:noProof/>
                <w:webHidden/>
              </w:rPr>
            </w:r>
            <w:r>
              <w:rPr>
                <w:noProof/>
                <w:webHidden/>
              </w:rPr>
              <w:fldChar w:fldCharType="separate"/>
            </w:r>
            <w:r>
              <w:rPr>
                <w:noProof/>
                <w:webHidden/>
              </w:rPr>
              <w:t>41</w:t>
            </w:r>
            <w:r>
              <w:rPr>
                <w:noProof/>
                <w:webHidden/>
              </w:rPr>
              <w:fldChar w:fldCharType="end"/>
            </w:r>
          </w:hyperlink>
        </w:p>
        <w:p w14:paraId="18CBF8AA" w14:textId="79328398" w:rsidR="008C5236" w:rsidRDefault="008C5236">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004351" w:history="1">
            <w:r w:rsidRPr="008325E5">
              <w:rPr>
                <w:rStyle w:val="Hyperlink"/>
                <w:noProof/>
              </w:rPr>
              <w:t>Assessment outcome</w:t>
            </w:r>
            <w:r>
              <w:rPr>
                <w:noProof/>
                <w:webHidden/>
              </w:rPr>
              <w:tab/>
            </w:r>
            <w:r>
              <w:rPr>
                <w:noProof/>
                <w:webHidden/>
              </w:rPr>
              <w:fldChar w:fldCharType="begin"/>
            </w:r>
            <w:r>
              <w:rPr>
                <w:noProof/>
                <w:webHidden/>
              </w:rPr>
              <w:instrText xml:space="preserve"> PAGEREF _Toc204004351 \h </w:instrText>
            </w:r>
            <w:r>
              <w:rPr>
                <w:noProof/>
                <w:webHidden/>
              </w:rPr>
            </w:r>
            <w:r>
              <w:rPr>
                <w:noProof/>
                <w:webHidden/>
              </w:rPr>
              <w:fldChar w:fldCharType="separate"/>
            </w:r>
            <w:r>
              <w:rPr>
                <w:noProof/>
                <w:webHidden/>
              </w:rPr>
              <w:t>43</w:t>
            </w:r>
            <w:r>
              <w:rPr>
                <w:noProof/>
                <w:webHidden/>
              </w:rPr>
              <w:fldChar w:fldCharType="end"/>
            </w:r>
          </w:hyperlink>
        </w:p>
        <w:p w14:paraId="640F606E" w14:textId="22E95BE1" w:rsidR="008C5236" w:rsidRDefault="008C523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004352" w:history="1">
            <w:r w:rsidRPr="008325E5">
              <w:rPr>
                <w:rStyle w:val="Hyperlink"/>
                <w:noProof/>
              </w:rPr>
              <w:t>Specific conditions of registration</w:t>
            </w:r>
            <w:r>
              <w:rPr>
                <w:noProof/>
                <w:webHidden/>
              </w:rPr>
              <w:tab/>
            </w:r>
            <w:r>
              <w:rPr>
                <w:noProof/>
                <w:webHidden/>
              </w:rPr>
              <w:fldChar w:fldCharType="begin"/>
            </w:r>
            <w:r>
              <w:rPr>
                <w:noProof/>
                <w:webHidden/>
              </w:rPr>
              <w:instrText xml:space="preserve"> PAGEREF _Toc204004352 \h </w:instrText>
            </w:r>
            <w:r>
              <w:rPr>
                <w:noProof/>
                <w:webHidden/>
              </w:rPr>
            </w:r>
            <w:r>
              <w:rPr>
                <w:noProof/>
                <w:webHidden/>
              </w:rPr>
              <w:fldChar w:fldCharType="separate"/>
            </w:r>
            <w:r>
              <w:rPr>
                <w:noProof/>
                <w:webHidden/>
              </w:rPr>
              <w:t>43</w:t>
            </w:r>
            <w:r>
              <w:rPr>
                <w:noProof/>
                <w:webHidden/>
              </w:rPr>
              <w:fldChar w:fldCharType="end"/>
            </w:r>
          </w:hyperlink>
        </w:p>
        <w:p w14:paraId="3CF35186" w14:textId="1709E9EA" w:rsidR="008C5236" w:rsidRDefault="008C5236">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004353" w:history="1">
            <w:r w:rsidRPr="008325E5">
              <w:rPr>
                <w:rStyle w:val="Hyperlink"/>
                <w:noProof/>
              </w:rPr>
              <w:t>Product Information and Consumer Medicines Information</w:t>
            </w:r>
            <w:r>
              <w:rPr>
                <w:noProof/>
                <w:webHidden/>
              </w:rPr>
              <w:tab/>
            </w:r>
            <w:r>
              <w:rPr>
                <w:noProof/>
                <w:webHidden/>
              </w:rPr>
              <w:fldChar w:fldCharType="begin"/>
            </w:r>
            <w:r>
              <w:rPr>
                <w:noProof/>
                <w:webHidden/>
              </w:rPr>
              <w:instrText xml:space="preserve"> PAGEREF _Toc204004353 \h </w:instrText>
            </w:r>
            <w:r>
              <w:rPr>
                <w:noProof/>
                <w:webHidden/>
              </w:rPr>
            </w:r>
            <w:r>
              <w:rPr>
                <w:noProof/>
                <w:webHidden/>
              </w:rPr>
              <w:fldChar w:fldCharType="separate"/>
            </w:r>
            <w:r>
              <w:rPr>
                <w:noProof/>
                <w:webHidden/>
              </w:rPr>
              <w:t>43</w:t>
            </w:r>
            <w:r>
              <w:rPr>
                <w:noProof/>
                <w:webHidden/>
              </w:rPr>
              <w:fldChar w:fldCharType="end"/>
            </w:r>
          </w:hyperlink>
        </w:p>
        <w:p w14:paraId="77659F2D" w14:textId="5D8B5B4B" w:rsidR="00F02AEC" w:rsidRPr="00215D48" w:rsidRDefault="00F02AEC" w:rsidP="007452E8">
          <w:r w:rsidRPr="00215D48">
            <w:fldChar w:fldCharType="end"/>
          </w:r>
        </w:p>
      </w:sdtContent>
    </w:sdt>
    <w:p w14:paraId="10987AE2" w14:textId="77777777" w:rsidR="00F02AEC" w:rsidRPr="00215D48" w:rsidRDefault="00F02AEC" w:rsidP="00FD4B9D">
      <w:r w:rsidRPr="00215D48">
        <w:br w:type="page"/>
      </w:r>
    </w:p>
    <w:p w14:paraId="1E73AB93" w14:textId="77777777" w:rsidR="00324B33" w:rsidRDefault="00324B33" w:rsidP="00FD4B9D">
      <w:pPr>
        <w:pStyle w:val="Heading2"/>
      </w:pPr>
      <w:bookmarkStart w:id="0" w:name="_Toc98931917"/>
      <w:bookmarkStart w:id="1" w:name="_Toc103679287"/>
      <w:bookmarkStart w:id="2" w:name="_Toc323739589"/>
      <w:bookmarkStart w:id="3" w:name="_Toc356305216"/>
      <w:bookmarkStart w:id="4" w:name="_Toc204004327"/>
      <w:r>
        <w:lastRenderedPageBreak/>
        <w:t>List of abbreviations</w:t>
      </w:r>
      <w:bookmarkEnd w:id="0"/>
      <w:bookmarkEnd w:id="1"/>
      <w:bookmarkEnd w:id="4"/>
    </w:p>
    <w:tbl>
      <w:tblPr>
        <w:tblStyle w:val="TableTGAblue2023"/>
        <w:tblW w:w="5000" w:type="pct"/>
        <w:tblLook w:val="04A0" w:firstRow="1" w:lastRow="0" w:firstColumn="1" w:lastColumn="0" w:noHBand="0" w:noVBand="1"/>
      </w:tblPr>
      <w:tblGrid>
        <w:gridCol w:w="2174"/>
        <w:gridCol w:w="6886"/>
      </w:tblGrid>
      <w:tr w:rsidR="00833619" w:rsidRPr="00B30A36" w14:paraId="58B9C2E4" w14:textId="77777777" w:rsidTr="000A5136">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407B3B97" w14:textId="77777777" w:rsidR="00833619" w:rsidRPr="00B30A36" w:rsidRDefault="00833619" w:rsidP="000A5136">
            <w:pPr>
              <w:rPr>
                <w:szCs w:val="22"/>
              </w:rPr>
            </w:pPr>
            <w:r w:rsidRPr="00B30A36">
              <w:rPr>
                <w:szCs w:val="22"/>
              </w:rPr>
              <w:t>Abbreviation</w:t>
            </w:r>
          </w:p>
        </w:tc>
        <w:tc>
          <w:tcPr>
            <w:tcW w:w="3800" w:type="pct"/>
          </w:tcPr>
          <w:p w14:paraId="52A9D769" w14:textId="77777777" w:rsidR="00833619" w:rsidRPr="00B30A36" w:rsidRDefault="00833619" w:rsidP="000A5136">
            <w:pPr>
              <w:cnfStyle w:val="100000000000" w:firstRow="1" w:lastRow="0" w:firstColumn="0" w:lastColumn="0" w:oddVBand="0" w:evenVBand="0" w:oddHBand="0" w:evenHBand="0" w:firstRowFirstColumn="0" w:firstRowLastColumn="0" w:lastRowFirstColumn="0" w:lastRowLastColumn="0"/>
              <w:rPr>
                <w:szCs w:val="22"/>
              </w:rPr>
            </w:pPr>
            <w:r w:rsidRPr="00B30A36">
              <w:rPr>
                <w:szCs w:val="22"/>
              </w:rPr>
              <w:t>Meaning</w:t>
            </w:r>
          </w:p>
        </w:tc>
      </w:tr>
      <w:tr w:rsidR="00833619" w:rsidRPr="00B30A36" w14:paraId="680570FB"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976864F" w14:textId="77777777" w:rsidR="00833619" w:rsidRPr="00B30A36" w:rsidRDefault="00833619" w:rsidP="000A5136">
            <w:pPr>
              <w:rPr>
                <w:szCs w:val="22"/>
              </w:rPr>
            </w:pPr>
            <w:proofErr w:type="spellStart"/>
            <w:r w:rsidRPr="00B30A36">
              <w:rPr>
                <w:szCs w:val="22"/>
              </w:rPr>
              <w:t>AChR</w:t>
            </w:r>
            <w:proofErr w:type="spellEnd"/>
          </w:p>
        </w:tc>
        <w:tc>
          <w:tcPr>
            <w:tcW w:w="3800" w:type="pct"/>
          </w:tcPr>
          <w:p w14:paraId="030B6A9B"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acetylcholine receptor</w:t>
            </w:r>
          </w:p>
        </w:tc>
      </w:tr>
      <w:tr w:rsidR="00833619" w:rsidRPr="00B30A36" w14:paraId="647FEE11"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3CC41A0" w14:textId="77777777" w:rsidR="00833619" w:rsidRPr="00B30A36" w:rsidRDefault="00833619" w:rsidP="000A5136">
            <w:pPr>
              <w:rPr>
                <w:szCs w:val="22"/>
              </w:rPr>
            </w:pPr>
            <w:r w:rsidRPr="00B30A36">
              <w:rPr>
                <w:szCs w:val="22"/>
              </w:rPr>
              <w:t>ACM</w:t>
            </w:r>
          </w:p>
        </w:tc>
        <w:tc>
          <w:tcPr>
            <w:tcW w:w="3800" w:type="pct"/>
          </w:tcPr>
          <w:p w14:paraId="3DFE6BF2"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Advisory Committee on Medicines</w:t>
            </w:r>
          </w:p>
        </w:tc>
      </w:tr>
      <w:tr w:rsidR="00833619" w:rsidRPr="00B30A36" w14:paraId="22C98BA1"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ADCE323" w14:textId="58B44E81" w:rsidR="00833619" w:rsidRPr="00B30A36" w:rsidRDefault="00833619" w:rsidP="000A5136">
            <w:pPr>
              <w:rPr>
                <w:szCs w:val="22"/>
              </w:rPr>
            </w:pPr>
            <w:r w:rsidRPr="00B30A36">
              <w:rPr>
                <w:szCs w:val="22"/>
              </w:rPr>
              <w:t>ADAs</w:t>
            </w:r>
          </w:p>
        </w:tc>
        <w:tc>
          <w:tcPr>
            <w:tcW w:w="3800" w:type="pct"/>
          </w:tcPr>
          <w:p w14:paraId="27026AD7"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antidrug antibodies</w:t>
            </w:r>
          </w:p>
        </w:tc>
      </w:tr>
      <w:tr w:rsidR="00833619" w:rsidRPr="00B30A36" w14:paraId="5A1168D2"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8FE6AF1" w14:textId="77777777" w:rsidR="00833619" w:rsidRPr="00B30A36" w:rsidRDefault="00833619" w:rsidP="000A5136">
            <w:pPr>
              <w:rPr>
                <w:szCs w:val="22"/>
              </w:rPr>
            </w:pPr>
            <w:r w:rsidRPr="00B30A36">
              <w:rPr>
                <w:szCs w:val="22"/>
              </w:rPr>
              <w:t>AE</w:t>
            </w:r>
          </w:p>
        </w:tc>
        <w:tc>
          <w:tcPr>
            <w:tcW w:w="3800" w:type="pct"/>
          </w:tcPr>
          <w:p w14:paraId="43597605"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adverse event(s)</w:t>
            </w:r>
          </w:p>
        </w:tc>
      </w:tr>
      <w:tr w:rsidR="00833619" w:rsidRPr="00B30A36" w14:paraId="3071C9BC"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8EF134F" w14:textId="77777777" w:rsidR="00833619" w:rsidRPr="00B30A36" w:rsidRDefault="00833619" w:rsidP="000A5136">
            <w:pPr>
              <w:rPr>
                <w:szCs w:val="22"/>
              </w:rPr>
            </w:pPr>
            <w:r w:rsidRPr="00B30A36">
              <w:rPr>
                <w:szCs w:val="22"/>
              </w:rPr>
              <w:t>ARTG</w:t>
            </w:r>
          </w:p>
        </w:tc>
        <w:tc>
          <w:tcPr>
            <w:tcW w:w="3800" w:type="pct"/>
          </w:tcPr>
          <w:p w14:paraId="36C4A16E"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Australian Register of Therapeutic Goods</w:t>
            </w:r>
          </w:p>
        </w:tc>
      </w:tr>
      <w:tr w:rsidR="00833619" w:rsidRPr="00B30A36" w14:paraId="00FB9913"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5503CC" w14:textId="77777777" w:rsidR="00833619" w:rsidRPr="00B30A36" w:rsidRDefault="00833619" w:rsidP="000A5136">
            <w:pPr>
              <w:rPr>
                <w:szCs w:val="22"/>
              </w:rPr>
            </w:pPr>
            <w:r w:rsidRPr="00B30A36">
              <w:rPr>
                <w:szCs w:val="22"/>
              </w:rPr>
              <w:t>ASA</w:t>
            </w:r>
          </w:p>
        </w:tc>
        <w:tc>
          <w:tcPr>
            <w:tcW w:w="3800" w:type="pct"/>
          </w:tcPr>
          <w:p w14:paraId="107F5C10"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Australia</w:t>
            </w:r>
            <w:r w:rsidRPr="00B30A36">
              <w:rPr>
                <w:szCs w:val="22"/>
              </w:rPr>
              <w:noBreakHyphen/>
              <w:t>specific annex</w:t>
            </w:r>
          </w:p>
        </w:tc>
      </w:tr>
      <w:tr w:rsidR="00833619" w:rsidRPr="00B30A36" w14:paraId="15E9670B"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F2C1769" w14:textId="77777777" w:rsidR="00833619" w:rsidRPr="00B30A36" w:rsidRDefault="00833619" w:rsidP="000A5136">
            <w:pPr>
              <w:rPr>
                <w:szCs w:val="22"/>
              </w:rPr>
            </w:pPr>
            <w:r w:rsidRPr="00B30A36">
              <w:rPr>
                <w:szCs w:val="22"/>
              </w:rPr>
              <w:t>AUC</w:t>
            </w:r>
            <w:r w:rsidRPr="00B30A36">
              <w:rPr>
                <w:szCs w:val="22"/>
                <w:vertAlign w:val="subscript"/>
              </w:rPr>
              <w:t xml:space="preserve">0-24 </w:t>
            </w:r>
          </w:p>
        </w:tc>
        <w:tc>
          <w:tcPr>
            <w:tcW w:w="3800" w:type="pct"/>
          </w:tcPr>
          <w:p w14:paraId="698B091C"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area under the drug concentration-time curve from time 0 to 24 hours</w:t>
            </w:r>
          </w:p>
        </w:tc>
      </w:tr>
      <w:tr w:rsidR="00833619" w:rsidRPr="00B30A36" w14:paraId="3E234446"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622CBBE" w14:textId="77777777" w:rsidR="00833619" w:rsidRPr="00B30A36" w:rsidRDefault="00833619" w:rsidP="000A5136">
            <w:pPr>
              <w:rPr>
                <w:szCs w:val="22"/>
              </w:rPr>
            </w:pPr>
            <w:r w:rsidRPr="00B30A36">
              <w:rPr>
                <w:szCs w:val="22"/>
              </w:rPr>
              <w:t>AUC</w:t>
            </w:r>
            <w:r w:rsidRPr="00B30A36">
              <w:rPr>
                <w:szCs w:val="22"/>
                <w:vertAlign w:val="subscript"/>
              </w:rPr>
              <w:t>inf</w:t>
            </w:r>
          </w:p>
        </w:tc>
        <w:tc>
          <w:tcPr>
            <w:tcW w:w="3800" w:type="pct"/>
          </w:tcPr>
          <w:p w14:paraId="6FEEFB15"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area under the concentration-time profile from time zero extrapolated to infinite time</w:t>
            </w:r>
          </w:p>
        </w:tc>
      </w:tr>
      <w:tr w:rsidR="00833619" w:rsidRPr="00B30A36" w14:paraId="125EE2BC"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9FEFDC8" w14:textId="77777777" w:rsidR="00833619" w:rsidRPr="00B30A36" w:rsidRDefault="00833619" w:rsidP="000A5136">
            <w:pPr>
              <w:rPr>
                <w:szCs w:val="22"/>
              </w:rPr>
            </w:pPr>
            <w:proofErr w:type="spellStart"/>
            <w:r w:rsidRPr="00B30A36">
              <w:rPr>
                <w:szCs w:val="22"/>
              </w:rPr>
              <w:t>AUC</w:t>
            </w:r>
            <w:r w:rsidRPr="00B30A36">
              <w:rPr>
                <w:szCs w:val="22"/>
                <w:vertAlign w:val="subscript"/>
              </w:rPr>
              <w:t>last</w:t>
            </w:r>
            <w:proofErr w:type="spellEnd"/>
          </w:p>
        </w:tc>
        <w:tc>
          <w:tcPr>
            <w:tcW w:w="3800" w:type="pct"/>
          </w:tcPr>
          <w:p w14:paraId="765ABF04"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area under the plasma concentration-time curve from time zero to the last measurable concentration</w:t>
            </w:r>
          </w:p>
        </w:tc>
      </w:tr>
      <w:tr w:rsidR="00833619" w:rsidRPr="00B30A36" w14:paraId="7F056E9D"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2CF786" w14:textId="77777777" w:rsidR="00833619" w:rsidRPr="00B30A36" w:rsidRDefault="00833619" w:rsidP="000A5136">
            <w:pPr>
              <w:rPr>
                <w:szCs w:val="22"/>
              </w:rPr>
            </w:pPr>
            <w:r w:rsidRPr="00B30A36">
              <w:rPr>
                <w:rFonts w:eastAsia="TimesNewRoman" w:cs="TimesNewRoman"/>
                <w:szCs w:val="22"/>
                <w14:ligatures w14:val="standardContextual"/>
              </w:rPr>
              <w:t>AUC</w:t>
            </w:r>
            <w:r w:rsidRPr="00B30A36">
              <w:rPr>
                <w:rFonts w:eastAsia="TimesNewRoman" w:cs="Symbol"/>
                <w:szCs w:val="22"/>
                <w14:ligatures w14:val="standardContextual"/>
              </w:rPr>
              <w:sym w:font="Symbol" w:char="F074"/>
            </w:r>
          </w:p>
        </w:tc>
        <w:tc>
          <w:tcPr>
            <w:tcW w:w="3800" w:type="pct"/>
          </w:tcPr>
          <w:p w14:paraId="2120B67C"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area under the drug concentration-time curve over the dosing interval (24h)</w:t>
            </w:r>
          </w:p>
        </w:tc>
      </w:tr>
      <w:tr w:rsidR="00833619" w:rsidRPr="00B30A36" w14:paraId="360A81DC"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E716663" w14:textId="77777777" w:rsidR="00833619" w:rsidRPr="00B30A36" w:rsidRDefault="00833619" w:rsidP="000A5136">
            <w:pPr>
              <w:rPr>
                <w:rFonts w:eastAsia="TimesNewRoman" w:cs="TimesNewRoman"/>
                <w:szCs w:val="22"/>
                <w14:ligatures w14:val="standardContextual"/>
              </w:rPr>
            </w:pPr>
            <w:r w:rsidRPr="00B30A36">
              <w:rPr>
                <w:szCs w:val="22"/>
              </w:rPr>
              <w:t>CL/F</w:t>
            </w:r>
          </w:p>
        </w:tc>
        <w:tc>
          <w:tcPr>
            <w:tcW w:w="3800" w:type="pct"/>
          </w:tcPr>
          <w:p w14:paraId="2F71A66D"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apparent total body clearance after extravascular administration</w:t>
            </w:r>
          </w:p>
        </w:tc>
      </w:tr>
      <w:tr w:rsidR="00833619" w:rsidRPr="00B30A36" w14:paraId="7C47AABF"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C249BBB" w14:textId="77777777" w:rsidR="00833619" w:rsidRPr="00B30A36" w:rsidRDefault="00833619" w:rsidP="000A5136">
            <w:pPr>
              <w:rPr>
                <w:rFonts w:eastAsia="TimesNewRoman" w:cs="TimesNewRoman"/>
                <w:szCs w:val="22"/>
                <w14:ligatures w14:val="standardContextual"/>
              </w:rPr>
            </w:pPr>
            <w:proofErr w:type="spellStart"/>
            <w:r w:rsidRPr="00B30A36">
              <w:rPr>
                <w:rFonts w:eastAsia="TimesNewRoman" w:cs="TimesNewRoman"/>
                <w:szCs w:val="22"/>
                <w14:ligatures w14:val="standardContextual"/>
              </w:rPr>
              <w:t>C</w:t>
            </w:r>
            <w:r w:rsidRPr="00B30A36">
              <w:rPr>
                <w:rFonts w:eastAsia="TimesNewRoman" w:cs="TimesNewRoman"/>
                <w:szCs w:val="22"/>
                <w:vertAlign w:val="subscript"/>
                <w14:ligatures w14:val="standardContextual"/>
              </w:rPr>
              <w:t>max</w:t>
            </w:r>
            <w:proofErr w:type="spellEnd"/>
          </w:p>
        </w:tc>
        <w:tc>
          <w:tcPr>
            <w:tcW w:w="3800" w:type="pct"/>
          </w:tcPr>
          <w:p w14:paraId="3377215D"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maximum observed concentration</w:t>
            </w:r>
          </w:p>
        </w:tc>
      </w:tr>
      <w:tr w:rsidR="00833619" w:rsidRPr="00B30A36" w14:paraId="41C2510A"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46E69E7" w14:textId="77777777" w:rsidR="00833619" w:rsidRPr="00B30A36" w:rsidRDefault="00833619" w:rsidP="000A5136">
            <w:pPr>
              <w:rPr>
                <w:rFonts w:eastAsia="TimesNewRoman" w:cs="TimesNewRoman"/>
                <w:szCs w:val="22"/>
                <w14:ligatures w14:val="standardContextual"/>
              </w:rPr>
            </w:pPr>
            <w:r w:rsidRPr="00B30A36">
              <w:rPr>
                <w:rFonts w:eastAsia="TimesNewRoman" w:cs="TimesNewRoman"/>
                <w:szCs w:val="22"/>
                <w14:ligatures w14:val="standardContextual"/>
              </w:rPr>
              <w:t>CI</w:t>
            </w:r>
          </w:p>
        </w:tc>
        <w:tc>
          <w:tcPr>
            <w:tcW w:w="3800" w:type="pct"/>
          </w:tcPr>
          <w:p w14:paraId="7AE1C152"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confidence interval</w:t>
            </w:r>
          </w:p>
        </w:tc>
      </w:tr>
      <w:tr w:rsidR="00833619" w:rsidRPr="00B30A36" w14:paraId="60FEB6EE"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6ABB5FD" w14:textId="77777777" w:rsidR="00833619" w:rsidRPr="00B30A36" w:rsidRDefault="00833619" w:rsidP="000A5136">
            <w:pPr>
              <w:rPr>
                <w:szCs w:val="22"/>
              </w:rPr>
            </w:pPr>
            <w:r w:rsidRPr="00B30A36">
              <w:rPr>
                <w:szCs w:val="22"/>
              </w:rPr>
              <w:t>CMI</w:t>
            </w:r>
          </w:p>
        </w:tc>
        <w:tc>
          <w:tcPr>
            <w:tcW w:w="3800" w:type="pct"/>
          </w:tcPr>
          <w:p w14:paraId="14717E15"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Consumer Medicines Information</w:t>
            </w:r>
          </w:p>
        </w:tc>
      </w:tr>
      <w:tr w:rsidR="00833619" w:rsidRPr="00B30A36" w14:paraId="27800F9C"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6BCB75B" w14:textId="77777777" w:rsidR="00833619" w:rsidRPr="00B30A36" w:rsidRDefault="00833619" w:rsidP="000A5136">
            <w:pPr>
              <w:rPr>
                <w:szCs w:val="22"/>
              </w:rPr>
            </w:pPr>
            <w:r w:rsidRPr="00606DDD">
              <w:t>EAIR</w:t>
            </w:r>
          </w:p>
        </w:tc>
        <w:tc>
          <w:tcPr>
            <w:tcW w:w="3800" w:type="pct"/>
          </w:tcPr>
          <w:p w14:paraId="30D2F14E"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t>e</w:t>
            </w:r>
            <w:r w:rsidRPr="00606DDD">
              <w:t>xposure-</w:t>
            </w:r>
            <w:r>
              <w:t>a</w:t>
            </w:r>
            <w:r w:rsidRPr="00606DDD">
              <w:t xml:space="preserve">djusted </w:t>
            </w:r>
            <w:r>
              <w:t>i</w:t>
            </w:r>
            <w:r w:rsidRPr="00606DDD">
              <w:t xml:space="preserve">ncidence </w:t>
            </w:r>
            <w:r>
              <w:t>r</w:t>
            </w:r>
            <w:r w:rsidRPr="00606DDD">
              <w:t>ate</w:t>
            </w:r>
          </w:p>
        </w:tc>
      </w:tr>
      <w:tr w:rsidR="00833619" w:rsidRPr="00B30A36" w14:paraId="16C43301"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E39814" w14:textId="77777777" w:rsidR="00833619" w:rsidRPr="00B30A36" w:rsidRDefault="00833619" w:rsidP="000A5136">
            <w:pPr>
              <w:rPr>
                <w:szCs w:val="22"/>
              </w:rPr>
            </w:pPr>
            <w:r w:rsidRPr="00B30A36">
              <w:rPr>
                <w:szCs w:val="22"/>
              </w:rPr>
              <w:t>ER</w:t>
            </w:r>
          </w:p>
        </w:tc>
        <w:tc>
          <w:tcPr>
            <w:tcW w:w="3800" w:type="pct"/>
          </w:tcPr>
          <w:p w14:paraId="144E3140"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exposure ratio</w:t>
            </w:r>
          </w:p>
        </w:tc>
      </w:tr>
      <w:tr w:rsidR="00833619" w:rsidRPr="00B30A36" w14:paraId="715B0C1D"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FE55D2A" w14:textId="77777777" w:rsidR="00833619" w:rsidRPr="00B30A36" w:rsidRDefault="00833619" w:rsidP="000A5136">
            <w:pPr>
              <w:rPr>
                <w:szCs w:val="22"/>
              </w:rPr>
            </w:pPr>
            <w:proofErr w:type="spellStart"/>
            <w:r w:rsidRPr="00B30A36">
              <w:rPr>
                <w:szCs w:val="22"/>
              </w:rPr>
              <w:t>gMG</w:t>
            </w:r>
            <w:proofErr w:type="spellEnd"/>
          </w:p>
        </w:tc>
        <w:tc>
          <w:tcPr>
            <w:tcW w:w="3800" w:type="pct"/>
          </w:tcPr>
          <w:p w14:paraId="1D34101E"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 xml:space="preserve">generalised myasthenia gravis </w:t>
            </w:r>
          </w:p>
        </w:tc>
      </w:tr>
      <w:tr w:rsidR="00833619" w:rsidRPr="00B30A36" w14:paraId="48B001D6"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CEC9DBC" w14:textId="77777777" w:rsidR="00833619" w:rsidRPr="00B30A36" w:rsidRDefault="00833619" w:rsidP="000A5136">
            <w:pPr>
              <w:rPr>
                <w:szCs w:val="22"/>
              </w:rPr>
            </w:pPr>
            <w:r w:rsidRPr="00B30A36">
              <w:rPr>
                <w:szCs w:val="22"/>
              </w:rPr>
              <w:t>MedDRA</w:t>
            </w:r>
          </w:p>
        </w:tc>
        <w:tc>
          <w:tcPr>
            <w:tcW w:w="3800" w:type="pct"/>
          </w:tcPr>
          <w:p w14:paraId="2C6C1009"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Medical Dictionary for Regulatory Activities</w:t>
            </w:r>
          </w:p>
        </w:tc>
      </w:tr>
      <w:tr w:rsidR="00833619" w:rsidRPr="00B30A36" w14:paraId="6C0DD7B3"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3433D0B" w14:textId="77777777" w:rsidR="00833619" w:rsidRPr="00B30A36" w:rsidRDefault="00833619" w:rsidP="000A5136">
            <w:pPr>
              <w:rPr>
                <w:szCs w:val="22"/>
              </w:rPr>
            </w:pPr>
            <w:r w:rsidRPr="00B30A36">
              <w:rPr>
                <w:szCs w:val="22"/>
              </w:rPr>
              <w:t>MG</w:t>
            </w:r>
          </w:p>
        </w:tc>
        <w:tc>
          <w:tcPr>
            <w:tcW w:w="3800" w:type="pct"/>
          </w:tcPr>
          <w:p w14:paraId="6589A1B7"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myasthenia gravis</w:t>
            </w:r>
          </w:p>
        </w:tc>
      </w:tr>
      <w:tr w:rsidR="00833619" w:rsidRPr="00B30A36" w14:paraId="08BB1319"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A18CF48" w14:textId="77777777" w:rsidR="00833619" w:rsidRPr="00B30A36" w:rsidRDefault="00833619" w:rsidP="000A5136">
            <w:pPr>
              <w:rPr>
                <w:szCs w:val="22"/>
              </w:rPr>
            </w:pPr>
            <w:r w:rsidRPr="00B30A36">
              <w:rPr>
                <w:szCs w:val="22"/>
              </w:rPr>
              <w:t>MG-ADL</w:t>
            </w:r>
          </w:p>
        </w:tc>
        <w:tc>
          <w:tcPr>
            <w:tcW w:w="3800" w:type="pct"/>
          </w:tcPr>
          <w:p w14:paraId="54D4F4AA"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Myasthenia Gravis-Activities of Daily Living</w:t>
            </w:r>
          </w:p>
        </w:tc>
      </w:tr>
      <w:tr w:rsidR="00833619" w:rsidRPr="00B30A36" w14:paraId="0CC59402"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BD86ACB" w14:textId="77777777" w:rsidR="00833619" w:rsidRPr="00B30A36" w:rsidRDefault="00833619" w:rsidP="000A5136">
            <w:pPr>
              <w:rPr>
                <w:szCs w:val="22"/>
              </w:rPr>
            </w:pPr>
            <w:r w:rsidRPr="00B30A36">
              <w:rPr>
                <w:szCs w:val="22"/>
              </w:rPr>
              <w:t>MG-QOL15r</w:t>
            </w:r>
          </w:p>
        </w:tc>
        <w:tc>
          <w:tcPr>
            <w:tcW w:w="3800" w:type="pct"/>
          </w:tcPr>
          <w:p w14:paraId="0885B6E1"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Myasthenia Gravis Quality of Life 15 item scale revised</w:t>
            </w:r>
          </w:p>
        </w:tc>
      </w:tr>
      <w:tr w:rsidR="00833619" w:rsidRPr="00B30A36" w14:paraId="707DFEDF"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CBC208" w14:textId="77777777" w:rsidR="00833619" w:rsidRPr="00B30A36" w:rsidRDefault="00833619" w:rsidP="000A5136">
            <w:pPr>
              <w:rPr>
                <w:szCs w:val="22"/>
              </w:rPr>
            </w:pPr>
            <w:r w:rsidRPr="00B30A36">
              <w:rPr>
                <w:szCs w:val="22"/>
              </w:rPr>
              <w:t>MGC</w:t>
            </w:r>
          </w:p>
        </w:tc>
        <w:tc>
          <w:tcPr>
            <w:tcW w:w="3800" w:type="pct"/>
          </w:tcPr>
          <w:p w14:paraId="2DDF7450"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Myasthenia Gravis Composite</w:t>
            </w:r>
          </w:p>
        </w:tc>
      </w:tr>
      <w:tr w:rsidR="00833619" w:rsidRPr="00B30A36" w14:paraId="43DC14BB"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A79ABD" w14:textId="77777777" w:rsidR="00833619" w:rsidRPr="00B30A36" w:rsidRDefault="00833619" w:rsidP="000A5136">
            <w:pPr>
              <w:rPr>
                <w:szCs w:val="22"/>
              </w:rPr>
            </w:pPr>
            <w:r w:rsidRPr="00B30A36">
              <w:rPr>
                <w:szCs w:val="22"/>
              </w:rPr>
              <w:t>OR</w:t>
            </w:r>
          </w:p>
        </w:tc>
        <w:tc>
          <w:tcPr>
            <w:tcW w:w="3800" w:type="pct"/>
          </w:tcPr>
          <w:p w14:paraId="34E80387"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odds ratio</w:t>
            </w:r>
          </w:p>
        </w:tc>
      </w:tr>
      <w:tr w:rsidR="00833619" w:rsidRPr="00B30A36" w14:paraId="73EBD85B"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D1416BC" w14:textId="77777777" w:rsidR="00833619" w:rsidRPr="00B30A36" w:rsidRDefault="00833619" w:rsidP="000A5136">
            <w:pPr>
              <w:rPr>
                <w:szCs w:val="22"/>
              </w:rPr>
            </w:pPr>
            <w:r w:rsidRPr="00B30A36">
              <w:rPr>
                <w:szCs w:val="22"/>
              </w:rPr>
              <w:t>PD</w:t>
            </w:r>
          </w:p>
        </w:tc>
        <w:tc>
          <w:tcPr>
            <w:tcW w:w="3800" w:type="pct"/>
          </w:tcPr>
          <w:p w14:paraId="36B90B1B"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pharmacodynamic(s)</w:t>
            </w:r>
          </w:p>
        </w:tc>
      </w:tr>
      <w:tr w:rsidR="00833619" w:rsidRPr="00B30A36" w14:paraId="045EC155"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9D81B30" w14:textId="77777777" w:rsidR="00833619" w:rsidRPr="00B30A36" w:rsidRDefault="00833619" w:rsidP="000A5136">
            <w:pPr>
              <w:rPr>
                <w:szCs w:val="22"/>
              </w:rPr>
            </w:pPr>
            <w:r w:rsidRPr="00B30A36">
              <w:rPr>
                <w:szCs w:val="22"/>
              </w:rPr>
              <w:t>PI</w:t>
            </w:r>
          </w:p>
        </w:tc>
        <w:tc>
          <w:tcPr>
            <w:tcW w:w="3800" w:type="pct"/>
          </w:tcPr>
          <w:p w14:paraId="3297CB4B"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Product Information</w:t>
            </w:r>
          </w:p>
        </w:tc>
      </w:tr>
      <w:tr w:rsidR="00833619" w:rsidRPr="00B30A36" w14:paraId="6DD7D1DC"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22B9F7D" w14:textId="77777777" w:rsidR="00833619" w:rsidRPr="00B30A36" w:rsidRDefault="00833619" w:rsidP="000A5136">
            <w:pPr>
              <w:rPr>
                <w:szCs w:val="22"/>
              </w:rPr>
            </w:pPr>
            <w:r w:rsidRPr="00B30A36">
              <w:rPr>
                <w:szCs w:val="22"/>
              </w:rPr>
              <w:t>PK</w:t>
            </w:r>
          </w:p>
        </w:tc>
        <w:tc>
          <w:tcPr>
            <w:tcW w:w="3800" w:type="pct"/>
          </w:tcPr>
          <w:p w14:paraId="1E924E70"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pharmacokinetic(s)</w:t>
            </w:r>
          </w:p>
        </w:tc>
      </w:tr>
      <w:tr w:rsidR="00833619" w:rsidRPr="00B30A36" w14:paraId="3B07A55A"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B9AE773" w14:textId="77777777" w:rsidR="00833619" w:rsidRPr="00B30A36" w:rsidRDefault="00833619" w:rsidP="000A5136">
            <w:pPr>
              <w:rPr>
                <w:szCs w:val="22"/>
              </w:rPr>
            </w:pPr>
            <w:proofErr w:type="spellStart"/>
            <w:r w:rsidRPr="00B30A36">
              <w:rPr>
                <w:szCs w:val="22"/>
              </w:rPr>
              <w:t>popPK</w:t>
            </w:r>
            <w:proofErr w:type="spellEnd"/>
          </w:p>
        </w:tc>
        <w:tc>
          <w:tcPr>
            <w:tcW w:w="3800" w:type="pct"/>
          </w:tcPr>
          <w:p w14:paraId="50ADEA70"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population pharmacokinetic(s)</w:t>
            </w:r>
          </w:p>
        </w:tc>
      </w:tr>
      <w:tr w:rsidR="00833619" w:rsidRPr="00B30A36" w14:paraId="09695C79"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F5F3F4B" w14:textId="77777777" w:rsidR="00833619" w:rsidRPr="00B30A36" w:rsidRDefault="00833619" w:rsidP="000A5136">
            <w:pPr>
              <w:rPr>
                <w:szCs w:val="22"/>
              </w:rPr>
            </w:pPr>
            <w:r w:rsidRPr="00B30A36">
              <w:rPr>
                <w:szCs w:val="22"/>
              </w:rPr>
              <w:t>PSUR</w:t>
            </w:r>
          </w:p>
        </w:tc>
        <w:tc>
          <w:tcPr>
            <w:tcW w:w="3800" w:type="pct"/>
          </w:tcPr>
          <w:p w14:paraId="740BF2AA"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Pr="00B30A36">
              <w:rPr>
                <w:szCs w:val="22"/>
              </w:rPr>
              <w:t>eriodic safety update report</w:t>
            </w:r>
          </w:p>
        </w:tc>
      </w:tr>
      <w:tr w:rsidR="00833619" w:rsidRPr="00B30A36" w14:paraId="6B8D7504"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0D330C" w14:textId="77777777" w:rsidR="00833619" w:rsidRPr="00B30A36" w:rsidRDefault="00833619" w:rsidP="000A5136">
            <w:pPr>
              <w:rPr>
                <w:szCs w:val="22"/>
              </w:rPr>
            </w:pPr>
            <w:r w:rsidRPr="00B30A36">
              <w:rPr>
                <w:szCs w:val="22"/>
              </w:rPr>
              <w:lastRenderedPageBreak/>
              <w:t>RMP</w:t>
            </w:r>
          </w:p>
        </w:tc>
        <w:tc>
          <w:tcPr>
            <w:tcW w:w="3800" w:type="pct"/>
          </w:tcPr>
          <w:p w14:paraId="576C29D3"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Pr>
                <w:szCs w:val="22"/>
              </w:rPr>
              <w:t>r</w:t>
            </w:r>
            <w:r w:rsidRPr="00B30A36">
              <w:rPr>
                <w:szCs w:val="22"/>
              </w:rPr>
              <w:t>isk management plan</w:t>
            </w:r>
          </w:p>
        </w:tc>
      </w:tr>
      <w:tr w:rsidR="00833619" w:rsidRPr="00B30A36" w14:paraId="636EDEBA"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CF13D7" w14:textId="77777777" w:rsidR="00833619" w:rsidRPr="00B30A36" w:rsidRDefault="00833619" w:rsidP="000A5136">
            <w:pPr>
              <w:rPr>
                <w:szCs w:val="22"/>
              </w:rPr>
            </w:pPr>
            <w:r w:rsidRPr="00B30A36">
              <w:rPr>
                <w:szCs w:val="22"/>
              </w:rPr>
              <w:t>QMG</w:t>
            </w:r>
          </w:p>
        </w:tc>
        <w:tc>
          <w:tcPr>
            <w:tcW w:w="3800" w:type="pct"/>
          </w:tcPr>
          <w:p w14:paraId="1F38DC79"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Quantitative Myasthenia Gravis</w:t>
            </w:r>
          </w:p>
        </w:tc>
      </w:tr>
      <w:tr w:rsidR="00833619" w:rsidRPr="00B30A36" w14:paraId="7A813A0C"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F637E6E" w14:textId="77777777" w:rsidR="00833619" w:rsidRPr="00B30A36" w:rsidRDefault="00833619" w:rsidP="000A5136">
            <w:pPr>
              <w:rPr>
                <w:szCs w:val="22"/>
              </w:rPr>
            </w:pPr>
            <w:r w:rsidRPr="00B30A36">
              <w:rPr>
                <w:szCs w:val="22"/>
              </w:rPr>
              <w:t>SAE</w:t>
            </w:r>
          </w:p>
        </w:tc>
        <w:tc>
          <w:tcPr>
            <w:tcW w:w="3800" w:type="pct"/>
          </w:tcPr>
          <w:p w14:paraId="16F61B47"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serious adverse event</w:t>
            </w:r>
          </w:p>
        </w:tc>
      </w:tr>
      <w:tr w:rsidR="00833619" w:rsidRPr="00B30A36" w14:paraId="4E305838"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A9CD499" w14:textId="77777777" w:rsidR="00833619" w:rsidRPr="00B30A36" w:rsidRDefault="00833619" w:rsidP="000A5136">
            <w:pPr>
              <w:rPr>
                <w:szCs w:val="22"/>
              </w:rPr>
            </w:pPr>
            <w:proofErr w:type="spellStart"/>
            <w:r w:rsidRPr="00B30A36">
              <w:rPr>
                <w:szCs w:val="22"/>
              </w:rPr>
              <w:t>sRBC</w:t>
            </w:r>
            <w:proofErr w:type="spellEnd"/>
            <w:r w:rsidRPr="00B30A36">
              <w:rPr>
                <w:szCs w:val="22"/>
              </w:rPr>
              <w:t xml:space="preserve"> </w:t>
            </w:r>
          </w:p>
        </w:tc>
        <w:tc>
          <w:tcPr>
            <w:tcW w:w="3800" w:type="pct"/>
          </w:tcPr>
          <w:p w14:paraId="7D94BD55"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 xml:space="preserve">sheep red blood cell </w:t>
            </w:r>
          </w:p>
        </w:tc>
      </w:tr>
      <w:tr w:rsidR="00833619" w:rsidRPr="00B30A36" w14:paraId="46958048"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FB53D61" w14:textId="77777777" w:rsidR="00833619" w:rsidRPr="00B30A36" w:rsidRDefault="00833619" w:rsidP="000A5136">
            <w:pPr>
              <w:rPr>
                <w:szCs w:val="22"/>
              </w:rPr>
            </w:pPr>
            <w:r w:rsidRPr="00B30A36">
              <w:rPr>
                <w:szCs w:val="22"/>
              </w:rPr>
              <w:t>t</w:t>
            </w:r>
            <w:r w:rsidRPr="00B30A36">
              <w:rPr>
                <w:szCs w:val="22"/>
                <w:vertAlign w:val="subscript"/>
              </w:rPr>
              <w:t xml:space="preserve">1/2 </w:t>
            </w:r>
          </w:p>
        </w:tc>
        <w:tc>
          <w:tcPr>
            <w:tcW w:w="3800" w:type="pct"/>
          </w:tcPr>
          <w:p w14:paraId="57006E54"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apparent first-order terminal elimination half-life</w:t>
            </w:r>
          </w:p>
        </w:tc>
      </w:tr>
      <w:tr w:rsidR="00833619" w:rsidRPr="00B30A36" w14:paraId="0534B99D"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06715FB" w14:textId="77777777" w:rsidR="00833619" w:rsidRPr="00B30A36" w:rsidRDefault="00833619" w:rsidP="000A5136">
            <w:pPr>
              <w:rPr>
                <w:szCs w:val="22"/>
              </w:rPr>
            </w:pPr>
            <w:r w:rsidRPr="00B30A36">
              <w:rPr>
                <w:szCs w:val="22"/>
              </w:rPr>
              <w:t>TEAE</w:t>
            </w:r>
          </w:p>
        </w:tc>
        <w:tc>
          <w:tcPr>
            <w:tcW w:w="3800" w:type="pct"/>
          </w:tcPr>
          <w:p w14:paraId="3DC3377E"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Treatment emergent adverse event</w:t>
            </w:r>
          </w:p>
        </w:tc>
      </w:tr>
      <w:tr w:rsidR="00833619" w:rsidRPr="00B30A36" w14:paraId="0232FCC8"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C17188" w14:textId="77777777" w:rsidR="00833619" w:rsidRPr="00B30A36" w:rsidRDefault="00833619" w:rsidP="000A5136">
            <w:pPr>
              <w:rPr>
                <w:szCs w:val="22"/>
              </w:rPr>
            </w:pPr>
            <w:r w:rsidRPr="00B30A36">
              <w:rPr>
                <w:szCs w:val="22"/>
              </w:rPr>
              <w:t>TGA</w:t>
            </w:r>
          </w:p>
        </w:tc>
        <w:tc>
          <w:tcPr>
            <w:tcW w:w="3800" w:type="pct"/>
          </w:tcPr>
          <w:p w14:paraId="622D62C5"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Therapeutic Goods Administration</w:t>
            </w:r>
          </w:p>
        </w:tc>
      </w:tr>
      <w:tr w:rsidR="00833619" w:rsidRPr="00B30A36" w14:paraId="39278AD6"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91836A1" w14:textId="77777777" w:rsidR="00833619" w:rsidRPr="00B30A36" w:rsidRDefault="00833619" w:rsidP="000A5136">
            <w:pPr>
              <w:rPr>
                <w:szCs w:val="22"/>
              </w:rPr>
            </w:pPr>
            <w:proofErr w:type="spellStart"/>
            <w:r w:rsidRPr="00B30A36">
              <w:rPr>
                <w:szCs w:val="22"/>
              </w:rPr>
              <w:t>t</w:t>
            </w:r>
            <w:r w:rsidRPr="00B30A36">
              <w:rPr>
                <w:szCs w:val="22"/>
                <w:vertAlign w:val="subscript"/>
              </w:rPr>
              <w:t>max</w:t>
            </w:r>
            <w:proofErr w:type="spellEnd"/>
          </w:p>
        </w:tc>
        <w:tc>
          <w:tcPr>
            <w:tcW w:w="3800" w:type="pct"/>
          </w:tcPr>
          <w:p w14:paraId="30F4C49D"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time to maximum observed concentration</w:t>
            </w:r>
          </w:p>
        </w:tc>
      </w:tr>
      <w:tr w:rsidR="00833619" w:rsidRPr="00B30A36" w14:paraId="5AF028CE" w14:textId="77777777" w:rsidTr="000A513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D05F861" w14:textId="77777777" w:rsidR="00833619" w:rsidRPr="00B30A36" w:rsidRDefault="00833619" w:rsidP="000A5136">
            <w:pPr>
              <w:rPr>
                <w:szCs w:val="22"/>
              </w:rPr>
            </w:pPr>
            <w:r w:rsidRPr="00B30A36">
              <w:rPr>
                <w:szCs w:val="22"/>
              </w:rPr>
              <w:t>V</w:t>
            </w:r>
            <w:r w:rsidRPr="00833619">
              <w:rPr>
                <w:szCs w:val="22"/>
                <w:vertAlign w:val="subscript"/>
              </w:rPr>
              <w:t>Z</w:t>
            </w:r>
            <w:r w:rsidRPr="00B30A36">
              <w:rPr>
                <w:szCs w:val="22"/>
              </w:rPr>
              <w:t>/F</w:t>
            </w:r>
          </w:p>
        </w:tc>
        <w:tc>
          <w:tcPr>
            <w:tcW w:w="3800" w:type="pct"/>
          </w:tcPr>
          <w:p w14:paraId="29166367" w14:textId="77777777" w:rsidR="00833619" w:rsidRPr="00B30A36" w:rsidRDefault="00833619" w:rsidP="000A5136">
            <w:pPr>
              <w:cnfStyle w:val="000000000000" w:firstRow="0" w:lastRow="0" w:firstColumn="0" w:lastColumn="0" w:oddVBand="0" w:evenVBand="0" w:oddHBand="0" w:evenHBand="0" w:firstRowFirstColumn="0" w:firstRowLastColumn="0" w:lastRowFirstColumn="0" w:lastRowLastColumn="0"/>
              <w:rPr>
                <w:szCs w:val="22"/>
              </w:rPr>
            </w:pPr>
            <w:r w:rsidRPr="00B30A36">
              <w:rPr>
                <w:szCs w:val="22"/>
              </w:rPr>
              <w:t>apparent total volume of distribution at the terminal phase after extravascular administration</w:t>
            </w:r>
          </w:p>
        </w:tc>
      </w:tr>
    </w:tbl>
    <w:p w14:paraId="44C2A39C" w14:textId="082B30A8" w:rsidR="00324B33" w:rsidRDefault="00AF1F4B" w:rsidP="008C5236">
      <w:pPr>
        <w:pStyle w:val="Heading3"/>
        <w:pageBreakBefore/>
      </w:pPr>
      <w:bookmarkStart w:id="5" w:name="_Toc204004328"/>
      <w:r>
        <w:t>ZILBRYSQ</w:t>
      </w:r>
      <w:r w:rsidR="00D91D67" w:rsidRPr="00D91D67">
        <w:t xml:space="preserve"> </w:t>
      </w:r>
      <w:r w:rsidR="00D91D67">
        <w:t>(</w:t>
      </w:r>
      <w:proofErr w:type="spellStart"/>
      <w:r w:rsidR="00D91D67" w:rsidRPr="00D91D67">
        <w:t>zilucoplan</w:t>
      </w:r>
      <w:proofErr w:type="spellEnd"/>
      <w:r w:rsidR="00D91D67">
        <w:t>)</w:t>
      </w:r>
      <w:r w:rsidR="001B5CA6" w:rsidRPr="001B5CA6">
        <w:t xml:space="preserve"> submission</w:t>
      </w:r>
      <w:bookmarkEnd w:id="5"/>
    </w:p>
    <w:tbl>
      <w:tblPr>
        <w:tblW w:w="5000" w:type="pct"/>
        <w:tblLook w:val="01E0" w:firstRow="1" w:lastRow="1" w:firstColumn="1" w:lastColumn="1" w:noHBand="0" w:noVBand="0"/>
      </w:tblPr>
      <w:tblGrid>
        <w:gridCol w:w="2861"/>
        <w:gridCol w:w="6209"/>
      </w:tblGrid>
      <w:tr w:rsidR="00324B33" w:rsidRPr="00BD5DBD" w14:paraId="77D11C95" w14:textId="77777777" w:rsidTr="002A41A8">
        <w:tc>
          <w:tcPr>
            <w:tcW w:w="1577" w:type="pct"/>
          </w:tcPr>
          <w:p w14:paraId="10E57D62" w14:textId="52B9868F" w:rsidR="00324B33" w:rsidRPr="00BD5DBD" w:rsidRDefault="00324B33" w:rsidP="007452E8">
            <w:pPr>
              <w:rPr>
                <w:i/>
                <w:szCs w:val="22"/>
              </w:rPr>
            </w:pPr>
            <w:r w:rsidRPr="00BD5DBD">
              <w:rPr>
                <w:i/>
                <w:szCs w:val="22"/>
              </w:rPr>
              <w:t>Type of submission:</w:t>
            </w:r>
          </w:p>
        </w:tc>
        <w:tc>
          <w:tcPr>
            <w:tcW w:w="3423" w:type="pct"/>
          </w:tcPr>
          <w:p w14:paraId="4F07C303" w14:textId="1CAB9BA6" w:rsidR="00324B33" w:rsidRPr="00BD5DBD" w:rsidRDefault="00324B33" w:rsidP="007452E8">
            <w:pPr>
              <w:rPr>
                <w:szCs w:val="22"/>
              </w:rPr>
            </w:pPr>
            <w:r w:rsidRPr="00BD5DBD">
              <w:rPr>
                <w:szCs w:val="22"/>
              </w:rPr>
              <w:t>New chemical entity</w:t>
            </w:r>
          </w:p>
        </w:tc>
      </w:tr>
      <w:tr w:rsidR="00324B33" w:rsidRPr="00BD5DBD" w14:paraId="13482B61" w14:textId="77777777" w:rsidTr="002A41A8">
        <w:tc>
          <w:tcPr>
            <w:tcW w:w="1577" w:type="pct"/>
          </w:tcPr>
          <w:p w14:paraId="2C427FCF" w14:textId="1F1F6AEE" w:rsidR="00324B33" w:rsidRPr="00BD5DBD" w:rsidRDefault="00324B33" w:rsidP="007452E8">
            <w:pPr>
              <w:rPr>
                <w:i/>
                <w:szCs w:val="22"/>
              </w:rPr>
            </w:pPr>
            <w:r w:rsidRPr="00BD5DBD">
              <w:rPr>
                <w:i/>
                <w:szCs w:val="22"/>
              </w:rPr>
              <w:t>Product name:</w:t>
            </w:r>
          </w:p>
        </w:tc>
        <w:tc>
          <w:tcPr>
            <w:tcW w:w="3423" w:type="pct"/>
          </w:tcPr>
          <w:p w14:paraId="0E2DEF76" w14:textId="368659DA" w:rsidR="00324B33" w:rsidRPr="00BD5DBD" w:rsidRDefault="00AF1F4B" w:rsidP="007452E8">
            <w:pPr>
              <w:rPr>
                <w:szCs w:val="22"/>
              </w:rPr>
            </w:pPr>
            <w:r>
              <w:rPr>
                <w:szCs w:val="22"/>
              </w:rPr>
              <w:t>ZILBRYSQ</w:t>
            </w:r>
          </w:p>
        </w:tc>
      </w:tr>
      <w:tr w:rsidR="00324B33" w:rsidRPr="00BD5DBD" w14:paraId="01255B5B" w14:textId="77777777" w:rsidTr="002A41A8">
        <w:tc>
          <w:tcPr>
            <w:tcW w:w="1577" w:type="pct"/>
          </w:tcPr>
          <w:p w14:paraId="52B4F3D7" w14:textId="1355FC7D" w:rsidR="00324B33" w:rsidRPr="00BD5DBD" w:rsidRDefault="00324B33" w:rsidP="007452E8">
            <w:pPr>
              <w:rPr>
                <w:i/>
                <w:szCs w:val="22"/>
              </w:rPr>
            </w:pPr>
            <w:r w:rsidRPr="00BD5DBD">
              <w:rPr>
                <w:i/>
                <w:szCs w:val="22"/>
              </w:rPr>
              <w:t>Active ingredient:</w:t>
            </w:r>
          </w:p>
        </w:tc>
        <w:tc>
          <w:tcPr>
            <w:tcW w:w="3423" w:type="pct"/>
          </w:tcPr>
          <w:p w14:paraId="02FB6383" w14:textId="7F36EA32" w:rsidR="00324B33" w:rsidRPr="00BD5DBD" w:rsidRDefault="00D91D67" w:rsidP="007452E8">
            <w:pPr>
              <w:rPr>
                <w:szCs w:val="22"/>
              </w:rPr>
            </w:pPr>
            <w:proofErr w:type="spellStart"/>
            <w:r w:rsidRPr="00D91D67">
              <w:rPr>
                <w:szCs w:val="22"/>
              </w:rPr>
              <w:t>zilucoplan</w:t>
            </w:r>
            <w:proofErr w:type="spellEnd"/>
          </w:p>
        </w:tc>
      </w:tr>
      <w:tr w:rsidR="00324B33" w:rsidRPr="00BD5DBD" w14:paraId="219A281B" w14:textId="77777777" w:rsidTr="002A41A8">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06060A2A" w:rsidR="00324B33" w:rsidRPr="00BD5DBD" w:rsidRDefault="00D91D67" w:rsidP="007452E8">
            <w:pPr>
              <w:rPr>
                <w:szCs w:val="22"/>
              </w:rPr>
            </w:pPr>
            <w:r>
              <w:rPr>
                <w:szCs w:val="22"/>
              </w:rPr>
              <w:t>Approved</w:t>
            </w:r>
          </w:p>
        </w:tc>
      </w:tr>
      <w:tr w:rsidR="00AE1947" w:rsidRPr="00BD5DBD" w14:paraId="32B72632" w14:textId="77777777" w:rsidTr="002A41A8">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5152AAE9" w:rsidR="00AE1947" w:rsidRPr="00BD5DBD" w:rsidRDefault="00C30070" w:rsidP="00602658">
            <w:pPr>
              <w:rPr>
                <w:szCs w:val="22"/>
              </w:rPr>
            </w:pPr>
            <w:r w:rsidRPr="00C30070">
              <w:rPr>
                <w:szCs w:val="22"/>
              </w:rPr>
              <w:t>31 July 2024</w:t>
            </w:r>
          </w:p>
        </w:tc>
      </w:tr>
      <w:tr w:rsidR="002339A9" w:rsidRPr="00BD5DBD" w14:paraId="469BCD78" w14:textId="77777777" w:rsidTr="002A41A8">
        <w:tc>
          <w:tcPr>
            <w:tcW w:w="1577" w:type="pct"/>
          </w:tcPr>
          <w:p w14:paraId="07B6A2E8" w14:textId="3BECD250" w:rsidR="002339A9" w:rsidRPr="00BD5DBD" w:rsidRDefault="002339A9" w:rsidP="002339A9">
            <w:pPr>
              <w:rPr>
                <w:i/>
                <w:szCs w:val="22"/>
              </w:rPr>
            </w:pPr>
            <w:r w:rsidRPr="00BD5DBD">
              <w:rPr>
                <w:i/>
                <w:szCs w:val="22"/>
              </w:rPr>
              <w:t>Approved therapeutic use for the current submission:</w:t>
            </w:r>
          </w:p>
        </w:tc>
        <w:tc>
          <w:tcPr>
            <w:tcW w:w="3423" w:type="pct"/>
          </w:tcPr>
          <w:p w14:paraId="0494415A" w14:textId="21D424F6" w:rsidR="002339A9" w:rsidRPr="00C30070" w:rsidRDefault="00AF1F4B" w:rsidP="002339A9">
            <w:pPr>
              <w:rPr>
                <w:szCs w:val="22"/>
              </w:rPr>
            </w:pPr>
            <w:r>
              <w:rPr>
                <w:szCs w:val="22"/>
              </w:rPr>
              <w:t>ZILBRYSQ</w:t>
            </w:r>
            <w:r w:rsidR="002339A9" w:rsidRPr="002339A9">
              <w:rPr>
                <w:szCs w:val="22"/>
              </w:rPr>
              <w:t xml:space="preserve"> is indicated as an add-on to standard therapy for the treatment of generalised myasthenia gravis (</w:t>
            </w:r>
            <w:proofErr w:type="spellStart"/>
            <w:r w:rsidR="002339A9" w:rsidRPr="002339A9">
              <w:rPr>
                <w:szCs w:val="22"/>
              </w:rPr>
              <w:t>gMG</w:t>
            </w:r>
            <w:proofErr w:type="spellEnd"/>
            <w:r w:rsidR="002339A9" w:rsidRPr="002339A9">
              <w:rPr>
                <w:szCs w:val="22"/>
              </w:rPr>
              <w:t>) in adult patients who are anti-acetylcholine receptor (</w:t>
            </w:r>
            <w:proofErr w:type="spellStart"/>
            <w:r w:rsidR="002339A9" w:rsidRPr="002339A9">
              <w:rPr>
                <w:szCs w:val="22"/>
              </w:rPr>
              <w:t>AChR</w:t>
            </w:r>
            <w:proofErr w:type="spellEnd"/>
            <w:r w:rsidR="002339A9" w:rsidRPr="002339A9">
              <w:rPr>
                <w:szCs w:val="22"/>
              </w:rPr>
              <w:t>) antibody positive.</w:t>
            </w:r>
          </w:p>
        </w:tc>
      </w:tr>
      <w:tr w:rsidR="00B27E5F" w:rsidRPr="00BD5DBD" w14:paraId="35D7443B" w14:textId="77777777" w:rsidTr="002A41A8">
        <w:tc>
          <w:tcPr>
            <w:tcW w:w="1577" w:type="pct"/>
          </w:tcPr>
          <w:p w14:paraId="67C7FBF3" w14:textId="0A62D219" w:rsidR="00B27E5F" w:rsidRPr="00BD5DBD" w:rsidRDefault="00B27E5F" w:rsidP="007F1E37">
            <w:pPr>
              <w:rPr>
                <w:i/>
                <w:szCs w:val="22"/>
              </w:rPr>
            </w:pPr>
            <w:r w:rsidRPr="00B27E5F">
              <w:rPr>
                <w:i/>
                <w:szCs w:val="22"/>
              </w:rPr>
              <w:t>Date of entry onto ARTG:</w:t>
            </w:r>
          </w:p>
        </w:tc>
        <w:tc>
          <w:tcPr>
            <w:tcW w:w="3423" w:type="pct"/>
          </w:tcPr>
          <w:p w14:paraId="7E1990DC" w14:textId="786C3CA5" w:rsidR="00B27E5F" w:rsidRPr="00BD5DBD" w:rsidRDefault="00F256A7" w:rsidP="00602658">
            <w:pPr>
              <w:rPr>
                <w:szCs w:val="22"/>
              </w:rPr>
            </w:pPr>
            <w:r w:rsidRPr="00F256A7">
              <w:rPr>
                <w:szCs w:val="22"/>
              </w:rPr>
              <w:t>20 August 2024</w:t>
            </w:r>
          </w:p>
        </w:tc>
      </w:tr>
      <w:tr w:rsidR="00B27E5F" w:rsidRPr="00BD5DBD" w14:paraId="6AF532DF" w14:textId="77777777" w:rsidTr="002A41A8">
        <w:tc>
          <w:tcPr>
            <w:tcW w:w="1577" w:type="pct"/>
          </w:tcPr>
          <w:p w14:paraId="34BD7C65" w14:textId="4361B0B1" w:rsidR="00B27E5F" w:rsidRPr="00B27E5F" w:rsidRDefault="00B27E5F" w:rsidP="007F1E37">
            <w:pPr>
              <w:rPr>
                <w:i/>
                <w:szCs w:val="22"/>
              </w:rPr>
            </w:pPr>
            <w:r>
              <w:rPr>
                <w:i/>
                <w:szCs w:val="22"/>
              </w:rPr>
              <w:t>ARTG number</w:t>
            </w:r>
            <w:r w:rsidR="00F256A7">
              <w:rPr>
                <w:i/>
                <w:szCs w:val="22"/>
              </w:rPr>
              <w:t>s</w:t>
            </w:r>
            <w:r>
              <w:rPr>
                <w:i/>
                <w:szCs w:val="22"/>
              </w:rPr>
              <w:t>:</w:t>
            </w:r>
          </w:p>
        </w:tc>
        <w:tc>
          <w:tcPr>
            <w:tcW w:w="3423" w:type="pct"/>
          </w:tcPr>
          <w:p w14:paraId="4789BCD7" w14:textId="656D1934" w:rsidR="00B27E5F" w:rsidRDefault="00AF1F4B" w:rsidP="00602658">
            <w:pPr>
              <w:rPr>
                <w:szCs w:val="22"/>
              </w:rPr>
            </w:pPr>
            <w:r>
              <w:rPr>
                <w:szCs w:val="22"/>
              </w:rPr>
              <w:t>ZILBRYSQ</w:t>
            </w:r>
            <w:r w:rsidR="00F256A7" w:rsidRPr="00F256A7">
              <w:rPr>
                <w:szCs w:val="22"/>
              </w:rPr>
              <w:t xml:space="preserve"> </w:t>
            </w:r>
            <w:proofErr w:type="spellStart"/>
            <w:r w:rsidR="00F256A7" w:rsidRPr="00F256A7">
              <w:rPr>
                <w:szCs w:val="22"/>
              </w:rPr>
              <w:t>zilucoplan</w:t>
            </w:r>
            <w:proofErr w:type="spellEnd"/>
            <w:r w:rsidR="00F256A7" w:rsidRPr="00F256A7">
              <w:rPr>
                <w:szCs w:val="22"/>
              </w:rPr>
              <w:t xml:space="preserve"> (as tetrasodium) 16.6 mg/ 0.416 mL solution for injection pre-filled syringe (</w:t>
            </w:r>
            <w:hyperlink r:id="rId15" w:history="1">
              <w:r w:rsidR="00F256A7" w:rsidRPr="00F256A7">
                <w:rPr>
                  <w:rStyle w:val="Hyperlink"/>
                  <w:szCs w:val="22"/>
                </w:rPr>
                <w:t>410994</w:t>
              </w:r>
            </w:hyperlink>
            <w:r w:rsidR="00F256A7" w:rsidRPr="00F256A7">
              <w:rPr>
                <w:szCs w:val="22"/>
              </w:rPr>
              <w:t>)</w:t>
            </w:r>
          </w:p>
          <w:p w14:paraId="7B833AEC" w14:textId="58FB3723" w:rsidR="00F256A7" w:rsidRDefault="00AF1F4B" w:rsidP="00602658">
            <w:pPr>
              <w:rPr>
                <w:szCs w:val="22"/>
              </w:rPr>
            </w:pPr>
            <w:r>
              <w:rPr>
                <w:szCs w:val="22"/>
              </w:rPr>
              <w:t>ZILBRYSQ</w:t>
            </w:r>
            <w:r w:rsidR="004D50F8" w:rsidRPr="004D50F8">
              <w:rPr>
                <w:szCs w:val="22"/>
              </w:rPr>
              <w:t xml:space="preserve"> </w:t>
            </w:r>
            <w:proofErr w:type="spellStart"/>
            <w:r w:rsidR="004D50F8" w:rsidRPr="004D50F8">
              <w:rPr>
                <w:szCs w:val="22"/>
              </w:rPr>
              <w:t>zilucoplan</w:t>
            </w:r>
            <w:proofErr w:type="spellEnd"/>
            <w:r w:rsidR="004D50F8" w:rsidRPr="004D50F8">
              <w:rPr>
                <w:szCs w:val="22"/>
              </w:rPr>
              <w:t xml:space="preserve"> (as tetrasodium) 23.0 mg/ 0.574 mL solution for injection pre-filled syringe (</w:t>
            </w:r>
            <w:hyperlink r:id="rId16" w:history="1">
              <w:r w:rsidR="004D50F8" w:rsidRPr="004D50F8">
                <w:rPr>
                  <w:rStyle w:val="Hyperlink"/>
                  <w:szCs w:val="22"/>
                </w:rPr>
                <w:t>414648</w:t>
              </w:r>
            </w:hyperlink>
            <w:r w:rsidR="004D50F8" w:rsidRPr="004D50F8">
              <w:rPr>
                <w:szCs w:val="22"/>
              </w:rPr>
              <w:t>)</w:t>
            </w:r>
          </w:p>
          <w:p w14:paraId="6459FABE" w14:textId="7F03F5E8" w:rsidR="004D50F8" w:rsidRPr="00BD5DBD" w:rsidRDefault="00AF1F4B" w:rsidP="00602658">
            <w:pPr>
              <w:rPr>
                <w:szCs w:val="22"/>
              </w:rPr>
            </w:pPr>
            <w:r>
              <w:rPr>
                <w:szCs w:val="22"/>
              </w:rPr>
              <w:t>ZILBRYSQ</w:t>
            </w:r>
            <w:r w:rsidR="001951F3" w:rsidRPr="001951F3">
              <w:rPr>
                <w:szCs w:val="22"/>
              </w:rPr>
              <w:t xml:space="preserve"> </w:t>
            </w:r>
            <w:proofErr w:type="spellStart"/>
            <w:r w:rsidR="001951F3" w:rsidRPr="001951F3">
              <w:rPr>
                <w:szCs w:val="22"/>
              </w:rPr>
              <w:t>zilucoplan</w:t>
            </w:r>
            <w:proofErr w:type="spellEnd"/>
            <w:r w:rsidR="001951F3" w:rsidRPr="001951F3">
              <w:rPr>
                <w:szCs w:val="22"/>
              </w:rPr>
              <w:t xml:space="preserve"> (as tetrasodium) 32.4 mg/ 0.810 mL solution for injection pre-filled syringe (</w:t>
            </w:r>
            <w:hyperlink r:id="rId17" w:history="1">
              <w:r w:rsidR="001951F3" w:rsidRPr="00D94007">
                <w:rPr>
                  <w:rStyle w:val="Hyperlink"/>
                  <w:szCs w:val="22"/>
                </w:rPr>
                <w:t>414649</w:t>
              </w:r>
            </w:hyperlink>
            <w:r w:rsidR="001951F3" w:rsidRPr="001951F3">
              <w:rPr>
                <w:szCs w:val="22"/>
              </w:rPr>
              <w:t>)</w:t>
            </w:r>
          </w:p>
        </w:tc>
      </w:tr>
      <w:tr w:rsidR="005D5F54" w:rsidRPr="00BD5DBD" w14:paraId="7618393F" w14:textId="77777777" w:rsidTr="002A41A8">
        <w:tc>
          <w:tcPr>
            <w:tcW w:w="1577" w:type="pct"/>
          </w:tcPr>
          <w:p w14:paraId="02260DE2" w14:textId="692C0A49" w:rsidR="005D5F54" w:rsidRPr="00BD5DBD" w:rsidRDefault="005D5F54" w:rsidP="005D5F54">
            <w:pPr>
              <w:rPr>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tc>
        <w:tc>
          <w:tcPr>
            <w:tcW w:w="3423" w:type="pct"/>
          </w:tcPr>
          <w:p w14:paraId="6FF3C6A2" w14:textId="7A87F021" w:rsidR="005D5F54" w:rsidRPr="00BD5DBD" w:rsidRDefault="005D5F54" w:rsidP="005D5F54">
            <w:pPr>
              <w:rPr>
                <w:szCs w:val="22"/>
              </w:rPr>
            </w:pPr>
            <w:r w:rsidRPr="00BD5DBD">
              <w:rPr>
                <w:szCs w:val="22"/>
              </w:rPr>
              <w:t>Yes</w:t>
            </w:r>
          </w:p>
        </w:tc>
      </w:tr>
      <w:tr w:rsidR="005D5F54" w:rsidRPr="00BD5DBD" w14:paraId="179E09FE" w14:textId="77777777" w:rsidTr="002A41A8">
        <w:tc>
          <w:tcPr>
            <w:tcW w:w="1577" w:type="pct"/>
          </w:tcPr>
          <w:p w14:paraId="1A592498" w14:textId="77777777" w:rsidR="005D5F54" w:rsidRPr="00BD5DBD" w:rsidRDefault="005D5F54" w:rsidP="005D5F54">
            <w:pPr>
              <w:rPr>
                <w:i/>
                <w:szCs w:val="22"/>
              </w:rPr>
            </w:pPr>
            <w:r w:rsidRPr="00BD5DBD">
              <w:rPr>
                <w:i/>
                <w:szCs w:val="22"/>
              </w:rPr>
              <w:t>Sponsor’s name and address:</w:t>
            </w:r>
          </w:p>
        </w:tc>
        <w:tc>
          <w:tcPr>
            <w:tcW w:w="3423" w:type="pct"/>
          </w:tcPr>
          <w:p w14:paraId="394E2186" w14:textId="3FDC9A58" w:rsidR="002D517B" w:rsidRPr="002D517B" w:rsidRDefault="002D517B" w:rsidP="002D517B">
            <w:pPr>
              <w:rPr>
                <w:szCs w:val="22"/>
              </w:rPr>
            </w:pPr>
            <w:r w:rsidRPr="002D517B">
              <w:rPr>
                <w:szCs w:val="22"/>
              </w:rPr>
              <w:t>UCB Australia Pty Ltd T/A UCB Pharma Division of UCB</w:t>
            </w:r>
            <w:r>
              <w:rPr>
                <w:szCs w:val="22"/>
              </w:rPr>
              <w:t xml:space="preserve"> </w:t>
            </w:r>
            <w:r w:rsidRPr="002D517B">
              <w:rPr>
                <w:szCs w:val="22"/>
              </w:rPr>
              <w:t>Australia</w:t>
            </w:r>
            <w:r>
              <w:rPr>
                <w:szCs w:val="22"/>
              </w:rPr>
              <w:t>,</w:t>
            </w:r>
            <w:r w:rsidRPr="002D517B">
              <w:rPr>
                <w:szCs w:val="22"/>
              </w:rPr>
              <w:t xml:space="preserve"> Level 1, 1155 Malvern Road</w:t>
            </w:r>
          </w:p>
          <w:p w14:paraId="68DD94B0" w14:textId="0568F543" w:rsidR="005D5F54" w:rsidRPr="00BD5DBD" w:rsidRDefault="002D517B" w:rsidP="002D517B">
            <w:pPr>
              <w:rPr>
                <w:szCs w:val="22"/>
              </w:rPr>
            </w:pPr>
            <w:r w:rsidRPr="002D517B">
              <w:rPr>
                <w:szCs w:val="22"/>
              </w:rPr>
              <w:t>Malvern VIC 3144</w:t>
            </w:r>
          </w:p>
        </w:tc>
      </w:tr>
      <w:tr w:rsidR="005D5F54" w:rsidRPr="00BD5DBD" w14:paraId="5322B989" w14:textId="77777777" w:rsidTr="002A41A8">
        <w:tc>
          <w:tcPr>
            <w:tcW w:w="1577" w:type="pct"/>
          </w:tcPr>
          <w:p w14:paraId="24F217E3" w14:textId="1A451E5B" w:rsidR="005D5F54" w:rsidRPr="00BD5DBD" w:rsidRDefault="005D5F54" w:rsidP="005D5F54">
            <w:pPr>
              <w:rPr>
                <w:i/>
                <w:szCs w:val="22"/>
              </w:rPr>
            </w:pPr>
            <w:r w:rsidRPr="00BD5DBD">
              <w:rPr>
                <w:i/>
                <w:szCs w:val="22"/>
              </w:rPr>
              <w:t>Dose form:</w:t>
            </w:r>
          </w:p>
        </w:tc>
        <w:tc>
          <w:tcPr>
            <w:tcW w:w="3423" w:type="pct"/>
          </w:tcPr>
          <w:p w14:paraId="768B254C" w14:textId="56C21FE1" w:rsidR="005D5F54" w:rsidRPr="00BD5DBD" w:rsidRDefault="00870A26" w:rsidP="005D5F54">
            <w:pPr>
              <w:rPr>
                <w:szCs w:val="22"/>
              </w:rPr>
            </w:pPr>
            <w:r w:rsidRPr="00870A26">
              <w:rPr>
                <w:szCs w:val="22"/>
              </w:rPr>
              <w:t>Solution for injection.</w:t>
            </w:r>
            <w:r w:rsidR="00E46799">
              <w:rPr>
                <w:szCs w:val="22"/>
              </w:rPr>
              <w:t xml:space="preserve"> </w:t>
            </w:r>
            <w:proofErr w:type="spellStart"/>
            <w:r w:rsidR="00E46799" w:rsidRPr="00E46799">
              <w:rPr>
                <w:szCs w:val="22"/>
              </w:rPr>
              <w:t>Zilucoplan</w:t>
            </w:r>
            <w:proofErr w:type="spellEnd"/>
            <w:r w:rsidR="00E46799" w:rsidRPr="00E46799">
              <w:rPr>
                <w:szCs w:val="22"/>
              </w:rPr>
              <w:t xml:space="preserve"> is a 15 amino acid, synthetic macrocyclic peptide.</w:t>
            </w:r>
          </w:p>
        </w:tc>
      </w:tr>
      <w:tr w:rsidR="005D5F54" w:rsidRPr="00BD5DBD" w14:paraId="115243E6" w14:textId="77777777" w:rsidTr="002A41A8">
        <w:tc>
          <w:tcPr>
            <w:tcW w:w="1577" w:type="pct"/>
          </w:tcPr>
          <w:p w14:paraId="7634B062" w14:textId="32CC4C11" w:rsidR="005D5F54" w:rsidRPr="00BD5DBD" w:rsidRDefault="005D5F54" w:rsidP="005D5F54">
            <w:pPr>
              <w:rPr>
                <w:i/>
                <w:szCs w:val="22"/>
              </w:rPr>
            </w:pPr>
            <w:r w:rsidRPr="00BD5DBD">
              <w:rPr>
                <w:i/>
                <w:szCs w:val="22"/>
              </w:rPr>
              <w:t>Strength:</w:t>
            </w:r>
          </w:p>
        </w:tc>
        <w:tc>
          <w:tcPr>
            <w:tcW w:w="3423" w:type="pct"/>
          </w:tcPr>
          <w:p w14:paraId="1519A628" w14:textId="73AA9167" w:rsidR="0078125A" w:rsidRPr="0078125A" w:rsidRDefault="0078125A" w:rsidP="0012604A">
            <w:pPr>
              <w:pStyle w:val="ListBullet"/>
            </w:pPr>
            <w:r w:rsidRPr="0078125A">
              <w:t xml:space="preserve">A pre-filled syringe of 0.416 mL contains </w:t>
            </w:r>
            <w:proofErr w:type="spellStart"/>
            <w:r w:rsidRPr="0078125A">
              <w:t>zilucoplan</w:t>
            </w:r>
            <w:proofErr w:type="spellEnd"/>
            <w:r w:rsidR="00E46799">
              <w:t xml:space="preserve"> </w:t>
            </w:r>
            <w:r w:rsidRPr="0078125A">
              <w:t xml:space="preserve">tetrasodium, equivalent to 16.6 mg of </w:t>
            </w:r>
            <w:proofErr w:type="spellStart"/>
            <w:r w:rsidRPr="0078125A">
              <w:t>zilucoplan</w:t>
            </w:r>
            <w:proofErr w:type="spellEnd"/>
          </w:p>
          <w:p w14:paraId="140816A3" w14:textId="6994AA69" w:rsidR="0078125A" w:rsidRPr="0078125A" w:rsidRDefault="0078125A" w:rsidP="0012604A">
            <w:pPr>
              <w:pStyle w:val="ListBullet"/>
            </w:pPr>
            <w:r w:rsidRPr="0078125A">
              <w:t xml:space="preserve">A pre-filled syringe of 0.574 mL contains </w:t>
            </w:r>
            <w:proofErr w:type="spellStart"/>
            <w:r w:rsidRPr="0078125A">
              <w:t>zilucoplan</w:t>
            </w:r>
            <w:proofErr w:type="spellEnd"/>
            <w:r w:rsidRPr="0078125A">
              <w:t xml:space="preserve"> tetrasodium, equivalent to 23.0 mg of </w:t>
            </w:r>
            <w:proofErr w:type="spellStart"/>
            <w:r w:rsidRPr="0078125A">
              <w:t>zilucoplan</w:t>
            </w:r>
            <w:proofErr w:type="spellEnd"/>
          </w:p>
          <w:p w14:paraId="5E5F83DB" w14:textId="34F5F648" w:rsidR="005D5F54" w:rsidRPr="00BD5DBD" w:rsidRDefault="0078125A" w:rsidP="0012604A">
            <w:pPr>
              <w:pStyle w:val="ListBullet"/>
            </w:pPr>
            <w:r w:rsidRPr="0078125A">
              <w:t xml:space="preserve">A pre-filled syringe of 0.810 mL contains </w:t>
            </w:r>
            <w:proofErr w:type="spellStart"/>
            <w:r w:rsidRPr="0078125A">
              <w:t>zilucoplan</w:t>
            </w:r>
            <w:proofErr w:type="spellEnd"/>
            <w:r w:rsidRPr="0078125A">
              <w:t xml:space="preserve"> tetrasodium, equivalent to 32.4 mg of </w:t>
            </w:r>
            <w:proofErr w:type="spellStart"/>
            <w:r w:rsidRPr="0078125A">
              <w:t>zilucoplan</w:t>
            </w:r>
            <w:proofErr w:type="spellEnd"/>
          </w:p>
        </w:tc>
      </w:tr>
      <w:tr w:rsidR="005D5F54" w:rsidRPr="00BD5DBD" w14:paraId="34B07BA6" w14:textId="77777777" w:rsidTr="002A41A8">
        <w:tc>
          <w:tcPr>
            <w:tcW w:w="1577" w:type="pct"/>
          </w:tcPr>
          <w:p w14:paraId="1C039224" w14:textId="6BF25614" w:rsidR="005D5F54" w:rsidRPr="00BD5DBD" w:rsidRDefault="005D5F54" w:rsidP="005D5F54">
            <w:pPr>
              <w:rPr>
                <w:i/>
                <w:szCs w:val="22"/>
              </w:rPr>
            </w:pPr>
            <w:r w:rsidRPr="00BD5DBD">
              <w:rPr>
                <w:i/>
                <w:szCs w:val="22"/>
              </w:rPr>
              <w:t>Container:</w:t>
            </w:r>
          </w:p>
        </w:tc>
        <w:tc>
          <w:tcPr>
            <w:tcW w:w="3423" w:type="pct"/>
          </w:tcPr>
          <w:p w14:paraId="3C322FD7" w14:textId="77777777" w:rsidR="0012604A" w:rsidRPr="0012604A" w:rsidRDefault="0012604A" w:rsidP="0012604A">
            <w:pPr>
              <w:rPr>
                <w:szCs w:val="22"/>
              </w:rPr>
            </w:pPr>
            <w:r w:rsidRPr="0012604A">
              <w:rPr>
                <w:szCs w:val="22"/>
              </w:rPr>
              <w:t xml:space="preserve">Each pre-filled syringe is type I glass with a 29G ½” thin wall needle closed with a grey fluoropolymer-laminated </w:t>
            </w:r>
            <w:proofErr w:type="spellStart"/>
            <w:r w:rsidRPr="0012604A">
              <w:rPr>
                <w:szCs w:val="22"/>
              </w:rPr>
              <w:t>bromobutyl</w:t>
            </w:r>
            <w:proofErr w:type="spellEnd"/>
            <w:r w:rsidRPr="0012604A">
              <w:rPr>
                <w:szCs w:val="22"/>
              </w:rPr>
              <w:t xml:space="preserve"> rubber plunger stopper. The needle is protected with a rigid needle shield consisting of a thermoplastic elastomer needle shield and a polypropylene rigid shield. The pre-filled syringe components are not made with natural rubber latex.</w:t>
            </w:r>
          </w:p>
          <w:p w14:paraId="6C622085" w14:textId="77777777" w:rsidR="0012604A" w:rsidRPr="0012604A" w:rsidRDefault="0012604A" w:rsidP="0012604A">
            <w:pPr>
              <w:rPr>
                <w:szCs w:val="22"/>
              </w:rPr>
            </w:pPr>
            <w:r w:rsidRPr="0012604A">
              <w:rPr>
                <w:szCs w:val="22"/>
              </w:rPr>
              <w:t>Each pre-filled syringe is pre-assembled with a needle safety device, a finger grip and a coloured plunger.</w:t>
            </w:r>
          </w:p>
          <w:p w14:paraId="0B869138" w14:textId="77777777" w:rsidR="0012604A" w:rsidRPr="0012604A" w:rsidRDefault="0012604A" w:rsidP="0012604A">
            <w:pPr>
              <w:rPr>
                <w:szCs w:val="22"/>
              </w:rPr>
            </w:pPr>
            <w:r w:rsidRPr="0012604A">
              <w:rPr>
                <w:szCs w:val="22"/>
              </w:rPr>
              <w:t>The pre-filled syringes are available as 3 different presentations, with different volumes to allow patients to receive the appropriate dose based on a weight range:</w:t>
            </w:r>
          </w:p>
          <w:p w14:paraId="447DD168" w14:textId="73B1BCFD" w:rsidR="0012604A" w:rsidRPr="0012604A" w:rsidRDefault="0012604A" w:rsidP="0012604A">
            <w:pPr>
              <w:pStyle w:val="ListBullet"/>
            </w:pPr>
            <w:r w:rsidRPr="0012604A">
              <w:lastRenderedPageBreak/>
              <w:t>0.416 mL pre-filled syringe with RUBINE RED plunger</w:t>
            </w:r>
          </w:p>
          <w:p w14:paraId="29D7683C" w14:textId="5B20E540" w:rsidR="0012604A" w:rsidRPr="0012604A" w:rsidRDefault="0012604A" w:rsidP="0012604A">
            <w:pPr>
              <w:pStyle w:val="ListBullet"/>
            </w:pPr>
            <w:r w:rsidRPr="0012604A">
              <w:t>0.574 mL pre-filled syringe with ORANGE plunger</w:t>
            </w:r>
          </w:p>
          <w:p w14:paraId="500A42C6" w14:textId="79382EA2" w:rsidR="005D5F54" w:rsidRPr="00BD5DBD" w:rsidRDefault="0012604A" w:rsidP="0012604A">
            <w:pPr>
              <w:pStyle w:val="ListBullet"/>
            </w:pPr>
            <w:r w:rsidRPr="0012604A">
              <w:t>0.810 mL pre-filled syringe with DARK BLUE plunger</w:t>
            </w:r>
          </w:p>
        </w:tc>
      </w:tr>
      <w:tr w:rsidR="005D5F54" w:rsidRPr="00BD5DBD" w14:paraId="176B6773" w14:textId="77777777" w:rsidTr="002A41A8">
        <w:tc>
          <w:tcPr>
            <w:tcW w:w="1577" w:type="pct"/>
          </w:tcPr>
          <w:p w14:paraId="71846159" w14:textId="3E1CC34F" w:rsidR="005D5F54" w:rsidRPr="00BD5DBD" w:rsidRDefault="005D5F54" w:rsidP="005D5F54">
            <w:pPr>
              <w:rPr>
                <w:i/>
                <w:szCs w:val="22"/>
              </w:rPr>
            </w:pPr>
            <w:r w:rsidRPr="00BD5DBD">
              <w:rPr>
                <w:i/>
                <w:szCs w:val="22"/>
              </w:rPr>
              <w:lastRenderedPageBreak/>
              <w:t>Pack size:</w:t>
            </w:r>
          </w:p>
        </w:tc>
        <w:tc>
          <w:tcPr>
            <w:tcW w:w="3423" w:type="pct"/>
          </w:tcPr>
          <w:p w14:paraId="7E978F8F" w14:textId="1A96924E" w:rsidR="005D5F54" w:rsidRPr="00BD5DBD" w:rsidRDefault="00023A86" w:rsidP="005D5F54">
            <w:pPr>
              <w:rPr>
                <w:szCs w:val="22"/>
              </w:rPr>
            </w:pPr>
            <w:r w:rsidRPr="00023A86">
              <w:rPr>
                <w:szCs w:val="22"/>
              </w:rPr>
              <w:t>7 pre-filled syringes.</w:t>
            </w:r>
            <w:r>
              <w:rPr>
                <w:szCs w:val="22"/>
              </w:rPr>
              <w:t xml:space="preserve"> </w:t>
            </w:r>
            <w:r w:rsidR="003F38C3" w:rsidRPr="003F38C3">
              <w:rPr>
                <w:szCs w:val="22"/>
              </w:rPr>
              <w:t>Multipack contain</w:t>
            </w:r>
            <w:r w:rsidR="003F38C3">
              <w:rPr>
                <w:szCs w:val="22"/>
              </w:rPr>
              <w:t>s</w:t>
            </w:r>
            <w:r w:rsidR="003F38C3" w:rsidRPr="003F38C3">
              <w:rPr>
                <w:szCs w:val="22"/>
              </w:rPr>
              <w:t xml:space="preserve"> 28 (4 packs of 7) pre-filled syringes</w:t>
            </w:r>
            <w:r w:rsidR="003F38C3">
              <w:rPr>
                <w:szCs w:val="22"/>
              </w:rPr>
              <w:t>.</w:t>
            </w:r>
          </w:p>
        </w:tc>
      </w:tr>
      <w:tr w:rsidR="005D5F54" w:rsidRPr="00BD5DBD" w14:paraId="5AFDEED3" w14:textId="77777777" w:rsidTr="002A41A8">
        <w:tc>
          <w:tcPr>
            <w:tcW w:w="1577" w:type="pct"/>
          </w:tcPr>
          <w:p w14:paraId="03884BD1" w14:textId="1DE8660F" w:rsidR="005D5F54" w:rsidRPr="00BD5DBD" w:rsidRDefault="005D5F54" w:rsidP="005D5F54">
            <w:pPr>
              <w:rPr>
                <w:i/>
                <w:szCs w:val="22"/>
              </w:rPr>
            </w:pPr>
            <w:r w:rsidRPr="00BD5DBD">
              <w:rPr>
                <w:i/>
                <w:szCs w:val="22"/>
              </w:rPr>
              <w:t>Route of administration:</w:t>
            </w:r>
          </w:p>
        </w:tc>
        <w:tc>
          <w:tcPr>
            <w:tcW w:w="3423" w:type="pct"/>
          </w:tcPr>
          <w:p w14:paraId="1ED1357E" w14:textId="281CA8F3" w:rsidR="005D5F54" w:rsidRPr="00BD5DBD" w:rsidRDefault="00BE4688" w:rsidP="005D5F54">
            <w:pPr>
              <w:rPr>
                <w:szCs w:val="22"/>
              </w:rPr>
            </w:pPr>
            <w:r>
              <w:rPr>
                <w:szCs w:val="22"/>
              </w:rPr>
              <w:t>S</w:t>
            </w:r>
            <w:r w:rsidR="00915D9A" w:rsidRPr="00915D9A">
              <w:rPr>
                <w:szCs w:val="22"/>
              </w:rPr>
              <w:t>ubcutaneous injection</w:t>
            </w:r>
          </w:p>
        </w:tc>
      </w:tr>
      <w:tr w:rsidR="005D5F54" w:rsidRPr="00BD5DBD" w14:paraId="70D7E9FA" w14:textId="77777777" w:rsidTr="002A41A8">
        <w:tc>
          <w:tcPr>
            <w:tcW w:w="1577" w:type="pct"/>
          </w:tcPr>
          <w:p w14:paraId="5ABFFC80" w14:textId="77777777" w:rsidR="005D5F54" w:rsidRPr="00BD5DBD" w:rsidRDefault="005D5F54" w:rsidP="005D5F54">
            <w:pPr>
              <w:rPr>
                <w:i/>
                <w:szCs w:val="22"/>
              </w:rPr>
            </w:pPr>
            <w:r w:rsidRPr="00BD5DBD">
              <w:rPr>
                <w:i/>
                <w:szCs w:val="22"/>
              </w:rPr>
              <w:t>Dosage:</w:t>
            </w:r>
          </w:p>
        </w:tc>
        <w:tc>
          <w:tcPr>
            <w:tcW w:w="3423" w:type="pct"/>
          </w:tcPr>
          <w:p w14:paraId="4BD4ECF7" w14:textId="64C3D5CD" w:rsidR="005D5F54" w:rsidRDefault="000E258F" w:rsidP="005D5F54">
            <w:pPr>
              <w:rPr>
                <w:szCs w:val="22"/>
              </w:rPr>
            </w:pPr>
            <w:r>
              <w:rPr>
                <w:szCs w:val="22"/>
              </w:rPr>
              <w:t xml:space="preserve">Approximately </w:t>
            </w:r>
            <w:r w:rsidR="003C541D" w:rsidRPr="003C541D">
              <w:rPr>
                <w:szCs w:val="22"/>
              </w:rPr>
              <w:t>0.3 mg/kg</w:t>
            </w:r>
            <w:r w:rsidR="00B17E18">
              <w:rPr>
                <w:szCs w:val="22"/>
              </w:rPr>
              <w:t>:</w:t>
            </w:r>
          </w:p>
          <w:tbl>
            <w:tblPr>
              <w:tblStyle w:val="TableTGAblue2023"/>
              <w:tblW w:w="4965" w:type="pct"/>
              <w:tblLook w:val="04A0" w:firstRow="1" w:lastRow="0" w:firstColumn="1" w:lastColumn="0" w:noHBand="0" w:noVBand="1"/>
            </w:tblPr>
            <w:tblGrid>
              <w:gridCol w:w="1896"/>
              <w:gridCol w:w="1347"/>
              <w:gridCol w:w="2698"/>
            </w:tblGrid>
            <w:tr w:rsidR="009265B5" w:rsidRPr="00BE4688" w14:paraId="1155E8BF" w14:textId="77777777" w:rsidTr="00BE46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pct"/>
                </w:tcPr>
                <w:p w14:paraId="6E357306" w14:textId="58FC18F3" w:rsidR="009265B5" w:rsidRPr="00BE4688" w:rsidRDefault="009265B5" w:rsidP="009265B5">
                  <w:pPr>
                    <w:rPr>
                      <w:szCs w:val="22"/>
                    </w:rPr>
                  </w:pPr>
                  <w:r w:rsidRPr="00BE4688">
                    <w:rPr>
                      <w:szCs w:val="22"/>
                    </w:rPr>
                    <w:t>Body Weight</w:t>
                  </w:r>
                  <w:r w:rsidRPr="00BE4688">
                    <w:rPr>
                      <w:spacing w:val="-2"/>
                      <w:szCs w:val="22"/>
                    </w:rPr>
                    <w:t xml:space="preserve"> </w:t>
                  </w:r>
                  <w:r w:rsidRPr="00BE4688">
                    <w:rPr>
                      <w:szCs w:val="22"/>
                    </w:rPr>
                    <w:t>of</w:t>
                  </w:r>
                  <w:r w:rsidRPr="00BE4688">
                    <w:rPr>
                      <w:spacing w:val="1"/>
                      <w:szCs w:val="22"/>
                    </w:rPr>
                    <w:t xml:space="preserve"> </w:t>
                  </w:r>
                  <w:r w:rsidRPr="00BE4688">
                    <w:rPr>
                      <w:spacing w:val="-2"/>
                      <w:szCs w:val="22"/>
                    </w:rPr>
                    <w:t>Patient</w:t>
                  </w:r>
                </w:p>
              </w:tc>
              <w:tc>
                <w:tcPr>
                  <w:tcW w:w="1134" w:type="pct"/>
                </w:tcPr>
                <w:p w14:paraId="138A9CE7" w14:textId="4C39721F" w:rsidR="009265B5" w:rsidRPr="00BE4688" w:rsidRDefault="009265B5" w:rsidP="009265B5">
                  <w:pPr>
                    <w:cnfStyle w:val="100000000000" w:firstRow="1" w:lastRow="0" w:firstColumn="0" w:lastColumn="0" w:oddVBand="0" w:evenVBand="0" w:oddHBand="0" w:evenHBand="0" w:firstRowFirstColumn="0" w:firstRowLastColumn="0" w:lastRowFirstColumn="0" w:lastRowLastColumn="0"/>
                    <w:rPr>
                      <w:szCs w:val="22"/>
                    </w:rPr>
                  </w:pPr>
                  <w:r w:rsidRPr="00BE4688">
                    <w:rPr>
                      <w:szCs w:val="22"/>
                    </w:rPr>
                    <w:t>Dose</w:t>
                  </w:r>
                </w:p>
              </w:tc>
              <w:tc>
                <w:tcPr>
                  <w:tcW w:w="2272" w:type="pct"/>
                </w:tcPr>
                <w:p w14:paraId="47B1F6CD" w14:textId="5A4110FE" w:rsidR="009265B5" w:rsidRPr="00BE4688" w:rsidRDefault="009265B5" w:rsidP="009265B5">
                  <w:pPr>
                    <w:cnfStyle w:val="100000000000" w:firstRow="1" w:lastRow="0" w:firstColumn="0" w:lastColumn="0" w:oddVBand="0" w:evenVBand="0" w:oddHBand="0" w:evenHBand="0" w:firstRowFirstColumn="0" w:firstRowLastColumn="0" w:lastRowFirstColumn="0" w:lastRowLastColumn="0"/>
                    <w:rPr>
                      <w:szCs w:val="22"/>
                    </w:rPr>
                  </w:pPr>
                  <w:r w:rsidRPr="00BE4688">
                    <w:rPr>
                      <w:szCs w:val="22"/>
                    </w:rPr>
                    <w:t>Number</w:t>
                  </w:r>
                  <w:r w:rsidRPr="00BE4688">
                    <w:rPr>
                      <w:spacing w:val="-12"/>
                      <w:szCs w:val="22"/>
                    </w:rPr>
                    <w:t xml:space="preserve"> </w:t>
                  </w:r>
                  <w:r w:rsidRPr="00BE4688">
                    <w:rPr>
                      <w:szCs w:val="22"/>
                    </w:rPr>
                    <w:t>of</w:t>
                  </w:r>
                  <w:r w:rsidRPr="00BE4688">
                    <w:rPr>
                      <w:spacing w:val="-11"/>
                      <w:szCs w:val="22"/>
                    </w:rPr>
                    <w:t xml:space="preserve"> </w:t>
                  </w:r>
                  <w:r w:rsidRPr="00BE4688">
                    <w:rPr>
                      <w:szCs w:val="22"/>
                    </w:rPr>
                    <w:t>pre-filled</w:t>
                  </w:r>
                  <w:r w:rsidRPr="00BE4688">
                    <w:rPr>
                      <w:spacing w:val="-11"/>
                      <w:szCs w:val="22"/>
                    </w:rPr>
                    <w:t xml:space="preserve"> </w:t>
                  </w:r>
                  <w:r w:rsidRPr="00BE4688">
                    <w:rPr>
                      <w:szCs w:val="22"/>
                    </w:rPr>
                    <w:t>syringes (PFS) (Colour)</w:t>
                  </w:r>
                </w:p>
              </w:tc>
            </w:tr>
            <w:tr w:rsidR="00CF652C" w:rsidRPr="00BE4688" w14:paraId="1C6DC985" w14:textId="77777777" w:rsidTr="00BE4688">
              <w:tc>
                <w:tcPr>
                  <w:cnfStyle w:val="001000000000" w:firstRow="0" w:lastRow="0" w:firstColumn="1" w:lastColumn="0" w:oddVBand="0" w:evenVBand="0" w:oddHBand="0" w:evenHBand="0" w:firstRowFirstColumn="0" w:firstRowLastColumn="0" w:lastRowFirstColumn="0" w:lastRowLastColumn="0"/>
                  <w:tcW w:w="1595" w:type="pct"/>
                </w:tcPr>
                <w:p w14:paraId="3EA184BB" w14:textId="2E880AFD" w:rsidR="00CF652C" w:rsidRPr="00BE4688" w:rsidRDefault="00CF652C" w:rsidP="00CF652C">
                  <w:pPr>
                    <w:rPr>
                      <w:szCs w:val="22"/>
                    </w:rPr>
                  </w:pPr>
                  <w:r w:rsidRPr="00BE4688">
                    <w:rPr>
                      <w:szCs w:val="22"/>
                    </w:rPr>
                    <w:t>≥43</w:t>
                  </w:r>
                  <w:r w:rsidRPr="00BE4688">
                    <w:rPr>
                      <w:spacing w:val="-1"/>
                      <w:szCs w:val="22"/>
                    </w:rPr>
                    <w:t xml:space="preserve"> </w:t>
                  </w:r>
                  <w:r w:rsidRPr="00BE4688">
                    <w:rPr>
                      <w:szCs w:val="22"/>
                    </w:rPr>
                    <w:t>to</w:t>
                  </w:r>
                  <w:r w:rsidRPr="00BE4688">
                    <w:rPr>
                      <w:spacing w:val="-1"/>
                      <w:szCs w:val="22"/>
                    </w:rPr>
                    <w:t xml:space="preserve"> </w:t>
                  </w:r>
                  <w:r w:rsidRPr="00BE4688">
                    <w:rPr>
                      <w:szCs w:val="22"/>
                    </w:rPr>
                    <w:t>&lt;56</w:t>
                  </w:r>
                  <w:r w:rsidRPr="00BE4688">
                    <w:rPr>
                      <w:spacing w:val="1"/>
                      <w:szCs w:val="22"/>
                    </w:rPr>
                    <w:t xml:space="preserve"> </w:t>
                  </w:r>
                  <w:r w:rsidRPr="00BE4688">
                    <w:rPr>
                      <w:spacing w:val="-5"/>
                      <w:szCs w:val="22"/>
                    </w:rPr>
                    <w:t>kg</w:t>
                  </w:r>
                </w:p>
              </w:tc>
              <w:tc>
                <w:tcPr>
                  <w:tcW w:w="1134" w:type="pct"/>
                </w:tcPr>
                <w:p w14:paraId="556DC8AF" w14:textId="23ABFC00" w:rsidR="00CF652C" w:rsidRPr="00BE4688" w:rsidRDefault="00CF652C" w:rsidP="00CF652C">
                  <w:pPr>
                    <w:cnfStyle w:val="000000000000" w:firstRow="0" w:lastRow="0" w:firstColumn="0" w:lastColumn="0" w:oddVBand="0" w:evenVBand="0" w:oddHBand="0" w:evenHBand="0" w:firstRowFirstColumn="0" w:firstRowLastColumn="0" w:lastRowFirstColumn="0" w:lastRowLastColumn="0"/>
                    <w:rPr>
                      <w:szCs w:val="22"/>
                    </w:rPr>
                  </w:pPr>
                  <w:r w:rsidRPr="00BE4688">
                    <w:rPr>
                      <w:szCs w:val="22"/>
                    </w:rPr>
                    <w:t>16.6</w:t>
                  </w:r>
                  <w:r w:rsidRPr="00BE4688">
                    <w:rPr>
                      <w:spacing w:val="2"/>
                      <w:szCs w:val="22"/>
                    </w:rPr>
                    <w:t xml:space="preserve"> </w:t>
                  </w:r>
                  <w:r w:rsidRPr="00BE4688">
                    <w:rPr>
                      <w:spacing w:val="-5"/>
                      <w:szCs w:val="22"/>
                    </w:rPr>
                    <w:t>mg</w:t>
                  </w:r>
                </w:p>
              </w:tc>
              <w:tc>
                <w:tcPr>
                  <w:tcW w:w="2272" w:type="pct"/>
                </w:tcPr>
                <w:p w14:paraId="6FB8B7BD" w14:textId="6B050603" w:rsidR="00CF652C" w:rsidRPr="00BE4688" w:rsidRDefault="00CF652C" w:rsidP="00CF652C">
                  <w:pPr>
                    <w:cnfStyle w:val="000000000000" w:firstRow="0" w:lastRow="0" w:firstColumn="0" w:lastColumn="0" w:oddVBand="0" w:evenVBand="0" w:oddHBand="0" w:evenHBand="0" w:firstRowFirstColumn="0" w:firstRowLastColumn="0" w:lastRowFirstColumn="0" w:lastRowLastColumn="0"/>
                    <w:rPr>
                      <w:szCs w:val="22"/>
                    </w:rPr>
                  </w:pPr>
                  <w:r w:rsidRPr="00BE4688">
                    <w:rPr>
                      <w:szCs w:val="22"/>
                    </w:rPr>
                    <w:t xml:space="preserve">1 RUBINE </w:t>
                  </w:r>
                  <w:r w:rsidRPr="00BE4688">
                    <w:rPr>
                      <w:spacing w:val="-5"/>
                      <w:szCs w:val="22"/>
                    </w:rPr>
                    <w:t>RED</w:t>
                  </w:r>
                </w:p>
              </w:tc>
            </w:tr>
            <w:tr w:rsidR="00BE4688" w:rsidRPr="00BE4688" w14:paraId="7ADD8565" w14:textId="77777777" w:rsidTr="00BE4688">
              <w:tc>
                <w:tcPr>
                  <w:cnfStyle w:val="001000000000" w:firstRow="0" w:lastRow="0" w:firstColumn="1" w:lastColumn="0" w:oddVBand="0" w:evenVBand="0" w:oddHBand="0" w:evenHBand="0" w:firstRowFirstColumn="0" w:firstRowLastColumn="0" w:lastRowFirstColumn="0" w:lastRowLastColumn="0"/>
                  <w:tcW w:w="1595" w:type="pct"/>
                </w:tcPr>
                <w:p w14:paraId="25F93A9C" w14:textId="4A1E3206" w:rsidR="00BE4688" w:rsidRPr="00BE4688" w:rsidRDefault="00BE4688" w:rsidP="00BE4688">
                  <w:pPr>
                    <w:rPr>
                      <w:szCs w:val="22"/>
                    </w:rPr>
                  </w:pPr>
                  <w:r w:rsidRPr="00BE4688">
                    <w:rPr>
                      <w:szCs w:val="22"/>
                    </w:rPr>
                    <w:t>≥56</w:t>
                  </w:r>
                  <w:r w:rsidRPr="00BE4688">
                    <w:rPr>
                      <w:spacing w:val="-1"/>
                      <w:szCs w:val="22"/>
                    </w:rPr>
                    <w:t xml:space="preserve"> </w:t>
                  </w:r>
                  <w:r w:rsidRPr="00BE4688">
                    <w:rPr>
                      <w:szCs w:val="22"/>
                    </w:rPr>
                    <w:t>to</w:t>
                  </w:r>
                  <w:r w:rsidRPr="00BE4688">
                    <w:rPr>
                      <w:spacing w:val="-1"/>
                      <w:szCs w:val="22"/>
                    </w:rPr>
                    <w:t xml:space="preserve"> </w:t>
                  </w:r>
                  <w:r w:rsidRPr="00BE4688">
                    <w:rPr>
                      <w:szCs w:val="22"/>
                    </w:rPr>
                    <w:t>&lt;77</w:t>
                  </w:r>
                  <w:r w:rsidRPr="00BE4688">
                    <w:rPr>
                      <w:spacing w:val="1"/>
                      <w:szCs w:val="22"/>
                    </w:rPr>
                    <w:t xml:space="preserve"> </w:t>
                  </w:r>
                  <w:r w:rsidRPr="00BE4688">
                    <w:rPr>
                      <w:spacing w:val="-5"/>
                      <w:szCs w:val="22"/>
                    </w:rPr>
                    <w:t>kg</w:t>
                  </w:r>
                </w:p>
              </w:tc>
              <w:tc>
                <w:tcPr>
                  <w:tcW w:w="1134" w:type="pct"/>
                </w:tcPr>
                <w:p w14:paraId="654A270B" w14:textId="52E22E47" w:rsidR="00BE4688" w:rsidRPr="00BE4688" w:rsidRDefault="00BE4688" w:rsidP="00BE4688">
                  <w:pPr>
                    <w:cnfStyle w:val="000000000000" w:firstRow="0" w:lastRow="0" w:firstColumn="0" w:lastColumn="0" w:oddVBand="0" w:evenVBand="0" w:oddHBand="0" w:evenHBand="0" w:firstRowFirstColumn="0" w:firstRowLastColumn="0" w:lastRowFirstColumn="0" w:lastRowLastColumn="0"/>
                    <w:rPr>
                      <w:szCs w:val="22"/>
                    </w:rPr>
                  </w:pPr>
                  <w:r w:rsidRPr="00BE4688">
                    <w:rPr>
                      <w:szCs w:val="22"/>
                    </w:rPr>
                    <w:t>23.0</w:t>
                  </w:r>
                  <w:r w:rsidRPr="00BE4688">
                    <w:rPr>
                      <w:spacing w:val="2"/>
                      <w:szCs w:val="22"/>
                    </w:rPr>
                    <w:t xml:space="preserve"> </w:t>
                  </w:r>
                  <w:r w:rsidRPr="00BE4688">
                    <w:rPr>
                      <w:spacing w:val="-5"/>
                      <w:szCs w:val="22"/>
                    </w:rPr>
                    <w:t>mg</w:t>
                  </w:r>
                </w:p>
              </w:tc>
              <w:tc>
                <w:tcPr>
                  <w:tcW w:w="2272" w:type="pct"/>
                </w:tcPr>
                <w:p w14:paraId="68C8CFEC" w14:textId="54C47622" w:rsidR="00BE4688" w:rsidRPr="00BE4688" w:rsidRDefault="00BE4688" w:rsidP="00BE4688">
                  <w:pPr>
                    <w:cnfStyle w:val="000000000000" w:firstRow="0" w:lastRow="0" w:firstColumn="0" w:lastColumn="0" w:oddVBand="0" w:evenVBand="0" w:oddHBand="0" w:evenHBand="0" w:firstRowFirstColumn="0" w:firstRowLastColumn="0" w:lastRowFirstColumn="0" w:lastRowLastColumn="0"/>
                    <w:rPr>
                      <w:szCs w:val="22"/>
                    </w:rPr>
                  </w:pPr>
                  <w:r w:rsidRPr="00BE4688">
                    <w:rPr>
                      <w:szCs w:val="22"/>
                    </w:rPr>
                    <w:t>1</w:t>
                  </w:r>
                  <w:r w:rsidRPr="00BE4688">
                    <w:rPr>
                      <w:spacing w:val="1"/>
                      <w:szCs w:val="22"/>
                    </w:rPr>
                    <w:t xml:space="preserve"> </w:t>
                  </w:r>
                  <w:r w:rsidRPr="00BE4688">
                    <w:rPr>
                      <w:spacing w:val="-2"/>
                      <w:szCs w:val="22"/>
                    </w:rPr>
                    <w:t>ORANGE</w:t>
                  </w:r>
                </w:p>
              </w:tc>
            </w:tr>
            <w:tr w:rsidR="00BD7BEA" w:rsidRPr="00BE4688" w14:paraId="332A8F9B" w14:textId="77777777" w:rsidTr="00BE4688">
              <w:tc>
                <w:tcPr>
                  <w:cnfStyle w:val="001000000000" w:firstRow="0" w:lastRow="0" w:firstColumn="1" w:lastColumn="0" w:oddVBand="0" w:evenVBand="0" w:oddHBand="0" w:evenHBand="0" w:firstRowFirstColumn="0" w:firstRowLastColumn="0" w:lastRowFirstColumn="0" w:lastRowLastColumn="0"/>
                  <w:tcW w:w="1595" w:type="pct"/>
                </w:tcPr>
                <w:p w14:paraId="06BB51A6" w14:textId="0DE061B1" w:rsidR="00BD7BEA" w:rsidRPr="00BE4688" w:rsidRDefault="00BD7BEA" w:rsidP="00BD7BEA">
                  <w:pPr>
                    <w:rPr>
                      <w:szCs w:val="22"/>
                    </w:rPr>
                  </w:pPr>
                  <w:r w:rsidRPr="00BE4688">
                    <w:rPr>
                      <w:szCs w:val="22"/>
                    </w:rPr>
                    <w:t>≥77</w:t>
                  </w:r>
                  <w:r w:rsidRPr="00BE4688">
                    <w:rPr>
                      <w:spacing w:val="-3"/>
                      <w:szCs w:val="22"/>
                    </w:rPr>
                    <w:t xml:space="preserve"> </w:t>
                  </w:r>
                  <w:r w:rsidRPr="00BE4688">
                    <w:rPr>
                      <w:szCs w:val="22"/>
                    </w:rPr>
                    <w:t>to &lt;150</w:t>
                  </w:r>
                  <w:r w:rsidRPr="00BE4688">
                    <w:rPr>
                      <w:spacing w:val="-1"/>
                      <w:szCs w:val="22"/>
                    </w:rPr>
                    <w:t xml:space="preserve"> </w:t>
                  </w:r>
                  <w:r w:rsidRPr="00BE4688">
                    <w:rPr>
                      <w:spacing w:val="-5"/>
                      <w:szCs w:val="22"/>
                    </w:rPr>
                    <w:t>kg</w:t>
                  </w:r>
                </w:p>
              </w:tc>
              <w:tc>
                <w:tcPr>
                  <w:tcW w:w="1134" w:type="pct"/>
                </w:tcPr>
                <w:p w14:paraId="5B37F8C3" w14:textId="749ADDAB" w:rsidR="00BD7BEA" w:rsidRPr="00BE4688" w:rsidRDefault="00BD7BEA" w:rsidP="00BD7BEA">
                  <w:pPr>
                    <w:cnfStyle w:val="000000000000" w:firstRow="0" w:lastRow="0" w:firstColumn="0" w:lastColumn="0" w:oddVBand="0" w:evenVBand="0" w:oddHBand="0" w:evenHBand="0" w:firstRowFirstColumn="0" w:firstRowLastColumn="0" w:lastRowFirstColumn="0" w:lastRowLastColumn="0"/>
                    <w:rPr>
                      <w:szCs w:val="22"/>
                    </w:rPr>
                  </w:pPr>
                  <w:r w:rsidRPr="00BE4688">
                    <w:rPr>
                      <w:szCs w:val="22"/>
                    </w:rPr>
                    <w:t>32.4</w:t>
                  </w:r>
                  <w:r w:rsidRPr="00BE4688">
                    <w:rPr>
                      <w:spacing w:val="2"/>
                      <w:szCs w:val="22"/>
                    </w:rPr>
                    <w:t xml:space="preserve"> </w:t>
                  </w:r>
                  <w:r w:rsidRPr="00BE4688">
                    <w:rPr>
                      <w:spacing w:val="-5"/>
                      <w:szCs w:val="22"/>
                    </w:rPr>
                    <w:t>mg</w:t>
                  </w:r>
                </w:p>
              </w:tc>
              <w:tc>
                <w:tcPr>
                  <w:tcW w:w="2272" w:type="pct"/>
                </w:tcPr>
                <w:p w14:paraId="0D4F382B" w14:textId="5B15398D" w:rsidR="00BD7BEA" w:rsidRPr="00BE4688" w:rsidRDefault="00BD7BEA" w:rsidP="00BD7BEA">
                  <w:pPr>
                    <w:cnfStyle w:val="000000000000" w:firstRow="0" w:lastRow="0" w:firstColumn="0" w:lastColumn="0" w:oddVBand="0" w:evenVBand="0" w:oddHBand="0" w:evenHBand="0" w:firstRowFirstColumn="0" w:firstRowLastColumn="0" w:lastRowFirstColumn="0" w:lastRowLastColumn="0"/>
                    <w:rPr>
                      <w:szCs w:val="22"/>
                    </w:rPr>
                  </w:pPr>
                  <w:r w:rsidRPr="00BE4688">
                    <w:rPr>
                      <w:szCs w:val="22"/>
                    </w:rPr>
                    <w:t xml:space="preserve">1 DARK </w:t>
                  </w:r>
                  <w:r w:rsidRPr="00BE4688">
                    <w:rPr>
                      <w:spacing w:val="-4"/>
                      <w:szCs w:val="22"/>
                    </w:rPr>
                    <w:t>BLUE</w:t>
                  </w:r>
                </w:p>
              </w:tc>
            </w:tr>
          </w:tbl>
          <w:p w14:paraId="3D0B2D5C" w14:textId="5749658D" w:rsidR="005D5F54" w:rsidRPr="00BD5DBD" w:rsidRDefault="005D5F54" w:rsidP="005D5F54">
            <w:pPr>
              <w:rPr>
                <w:szCs w:val="22"/>
              </w:rPr>
            </w:pPr>
            <w:r w:rsidRPr="00BD5DBD">
              <w:rPr>
                <w:szCs w:val="22"/>
              </w:rPr>
              <w:t>For further information regarding dosage</w:t>
            </w:r>
            <w:r>
              <w:rPr>
                <w:szCs w:val="22"/>
              </w:rPr>
              <w:t xml:space="preserve">, </w:t>
            </w:r>
            <w:r w:rsidRPr="00BD5DBD">
              <w:rPr>
                <w:szCs w:val="22"/>
              </w:rPr>
              <w:t xml:space="preserve">refer to the </w:t>
            </w:r>
            <w:hyperlink r:id="rId19" w:history="1">
              <w:r w:rsidRPr="00543610">
                <w:rPr>
                  <w:rStyle w:val="Hyperlink"/>
                  <w:szCs w:val="22"/>
                </w:rPr>
                <w:t>Product Information</w:t>
              </w:r>
            </w:hyperlink>
            <w:r w:rsidRPr="00BD5DBD">
              <w:rPr>
                <w:szCs w:val="22"/>
              </w:rPr>
              <w:t>.</w:t>
            </w:r>
          </w:p>
        </w:tc>
      </w:tr>
      <w:tr w:rsidR="005D5F54" w:rsidRPr="00BD5DBD" w14:paraId="7B7BB6AE" w14:textId="77777777" w:rsidTr="002A41A8">
        <w:tc>
          <w:tcPr>
            <w:tcW w:w="1577" w:type="pct"/>
          </w:tcPr>
          <w:p w14:paraId="3A76AFF7" w14:textId="7C436DD9" w:rsidR="005D5F54" w:rsidRPr="00F8083B" w:rsidRDefault="005D5F54" w:rsidP="005D5F54">
            <w:r w:rsidRPr="00BD5DBD">
              <w:rPr>
                <w:i/>
                <w:szCs w:val="22"/>
              </w:rPr>
              <w:t>Pregnancy category:</w:t>
            </w:r>
          </w:p>
        </w:tc>
        <w:tc>
          <w:tcPr>
            <w:tcW w:w="3423" w:type="pct"/>
          </w:tcPr>
          <w:p w14:paraId="7F86439D" w14:textId="77777777" w:rsidR="005D5F54" w:rsidRPr="00995FD3" w:rsidRDefault="005D5F54" w:rsidP="005D5F54">
            <w:r w:rsidRPr="00995FD3">
              <w:t>Category D</w:t>
            </w:r>
          </w:p>
          <w:p w14:paraId="5CDCE368" w14:textId="77777777" w:rsidR="005D5F54" w:rsidRPr="00995FD3" w:rsidRDefault="005D5F54" w:rsidP="005D5F54">
            <w:r w:rsidRPr="00995FD3">
              <w:t xml:space="preserve">Drugs which have caused, are suspected to have caused or may be expected to cause, an increased incidence of human </w:t>
            </w:r>
            <w:proofErr w:type="spellStart"/>
            <w:r w:rsidRPr="00995FD3">
              <w:t>fetal</w:t>
            </w:r>
            <w:proofErr w:type="spellEnd"/>
            <w:r w:rsidRPr="00995FD3">
              <w:t xml:space="preserve"> malformations or irreversible damage. These drugs may also have adverse pharmacological effects. </w:t>
            </w:r>
          </w:p>
          <w:p w14:paraId="76497789" w14:textId="3F5CD71B" w:rsidR="005D5F54" w:rsidRPr="00BD5DBD" w:rsidRDefault="005D5F54" w:rsidP="005D5F54">
            <w:pPr>
              <w:rPr>
                <w:szCs w:val="22"/>
              </w:rPr>
            </w:pPr>
            <w:r w:rsidRPr="00BD5DBD">
              <w:rPr>
                <w:szCs w:val="22"/>
              </w:rPr>
              <w:t xml:space="preserve">The use of any medicine during pregnancy requires careful consideration of both risks and benefits by the treating health professional. </w:t>
            </w:r>
            <w:r>
              <w:rPr>
                <w:szCs w:val="22"/>
              </w:rPr>
              <w:t xml:space="preserve">The </w:t>
            </w:r>
            <w:hyperlink r:id="rId20" w:history="1">
              <w:r w:rsidRPr="00065FDF">
                <w:rPr>
                  <w:rStyle w:val="Hyperlink"/>
                  <w:szCs w:val="22"/>
                </w:rPr>
                <w:t>pregnancy database</w:t>
              </w:r>
            </w:hyperlink>
            <w:r>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1" w:history="1">
              <w:r w:rsidRPr="00C059D0">
                <w:rPr>
                  <w:rStyle w:val="Hyperlink"/>
                  <w:szCs w:val="22"/>
                </w:rPr>
                <w:t>obstetric drug information services</w:t>
              </w:r>
            </w:hyperlink>
            <w:r w:rsidRPr="00BD5DBD">
              <w:rPr>
                <w:szCs w:val="22"/>
              </w:rPr>
              <w:t xml:space="preserve"> in your </w:t>
            </w:r>
            <w:r>
              <w:rPr>
                <w:szCs w:val="22"/>
              </w:rPr>
              <w:t>s</w:t>
            </w:r>
            <w:r w:rsidRPr="00BD5DBD">
              <w:rPr>
                <w:szCs w:val="22"/>
              </w:rPr>
              <w:t xml:space="preserve">tate or </w:t>
            </w:r>
            <w:r>
              <w:rPr>
                <w:szCs w:val="22"/>
              </w:rPr>
              <w:t>t</w:t>
            </w:r>
            <w:r w:rsidRPr="00BD5DBD">
              <w:rPr>
                <w:szCs w:val="22"/>
              </w:rPr>
              <w:t>erritory.</w:t>
            </w:r>
          </w:p>
        </w:tc>
      </w:tr>
    </w:tbl>
    <w:p w14:paraId="51F2479F" w14:textId="4B44F17A" w:rsidR="00324B33" w:rsidRDefault="00574BAB" w:rsidP="00FD4B9D">
      <w:pPr>
        <w:pStyle w:val="Heading3"/>
      </w:pPr>
      <w:bookmarkStart w:id="6" w:name="_Toc204004329"/>
      <w:r>
        <w:t>P</w:t>
      </w:r>
      <w:r w:rsidR="006D0E86" w:rsidRPr="006D0E86">
        <w:t>roposed indication</w:t>
      </w:r>
      <w:bookmarkEnd w:id="6"/>
    </w:p>
    <w:p w14:paraId="59BF31D1" w14:textId="05D29DAC" w:rsidR="001500A8" w:rsidRDefault="00324B33" w:rsidP="00FD4B9D">
      <w:r w:rsidRPr="00065839">
        <w:t xml:space="preserve">This </w:t>
      </w:r>
      <w:proofErr w:type="spellStart"/>
      <w:r w:rsidRPr="00065839">
        <w:t>AusPAR</w:t>
      </w:r>
      <w:proofErr w:type="spellEnd"/>
      <w:r w:rsidRPr="00065839">
        <w:t xml:space="preserve"> describes the submission by</w:t>
      </w:r>
      <w:r w:rsidR="00235545">
        <w:t xml:space="preserve"> </w:t>
      </w:r>
      <w:r w:rsidR="00235545" w:rsidRPr="00235545">
        <w:t>UCB Australia Pty Ltd</w:t>
      </w:r>
      <w:r w:rsidRPr="00065839">
        <w:t xml:space="preserve"> (the sponsor)</w:t>
      </w:r>
      <w:r w:rsidR="007E50E2">
        <w:rPr>
          <w:rStyle w:val="FootnoteReference"/>
        </w:rPr>
        <w:footnoteReference w:id="1"/>
      </w:r>
      <w:r w:rsidRPr="00065839">
        <w:t xml:space="preserve"> to register </w:t>
      </w:r>
      <w:r w:rsidR="00AF1F4B">
        <w:t>ZILBRYSQ</w:t>
      </w:r>
      <w:r w:rsidR="00235545" w:rsidRPr="00235545">
        <w:t xml:space="preserve"> </w:t>
      </w:r>
      <w:r w:rsidRPr="00065839">
        <w:t>(</w:t>
      </w:r>
      <w:proofErr w:type="spellStart"/>
      <w:r w:rsidR="00235545" w:rsidRPr="00235545">
        <w:t>zilucopla</w:t>
      </w:r>
      <w:r w:rsidR="00235545">
        <w:t>n</w:t>
      </w:r>
      <w:proofErr w:type="spellEnd"/>
      <w:r w:rsidRPr="00065839">
        <w:t>) for the following proposed</w:t>
      </w:r>
      <w:r w:rsidR="00235545">
        <w:t xml:space="preserve"> </w:t>
      </w:r>
      <w:r w:rsidRPr="00065839">
        <w:t>indication</w:t>
      </w:r>
      <w:r w:rsidR="00235545">
        <w:t>:</w:t>
      </w:r>
    </w:p>
    <w:p w14:paraId="4419AB69" w14:textId="641CA9DF" w:rsidR="00707C2B" w:rsidRPr="00FD4B9D" w:rsidRDefault="00AF1F4B" w:rsidP="00FD4B9D">
      <w:pPr>
        <w:ind w:left="720"/>
        <w:rPr>
          <w:i/>
          <w:iCs/>
        </w:rPr>
      </w:pPr>
      <w:r w:rsidRPr="00FD4B9D">
        <w:rPr>
          <w:i/>
          <w:iCs/>
        </w:rPr>
        <w:t>ZILBRYSQ</w:t>
      </w:r>
      <w:r w:rsidR="00707C2B" w:rsidRPr="00FD4B9D">
        <w:rPr>
          <w:i/>
          <w:iCs/>
        </w:rPr>
        <w:t xml:space="preserve"> is indicated for the treatment of generalised myasthenia gravis (</w:t>
      </w:r>
      <w:proofErr w:type="spellStart"/>
      <w:r w:rsidR="00707C2B" w:rsidRPr="00FD4B9D">
        <w:rPr>
          <w:i/>
          <w:iCs/>
        </w:rPr>
        <w:t>gMG</w:t>
      </w:r>
      <w:proofErr w:type="spellEnd"/>
      <w:r w:rsidR="00707C2B" w:rsidRPr="00FD4B9D">
        <w:rPr>
          <w:i/>
          <w:iCs/>
        </w:rPr>
        <w:t>) in adult patients who are anti acetylcholine receptor (</w:t>
      </w:r>
      <w:proofErr w:type="spellStart"/>
      <w:r w:rsidR="00707C2B" w:rsidRPr="00FD4B9D">
        <w:rPr>
          <w:i/>
          <w:iCs/>
        </w:rPr>
        <w:t>AChR</w:t>
      </w:r>
      <w:proofErr w:type="spellEnd"/>
      <w:r w:rsidR="00707C2B" w:rsidRPr="00FD4B9D">
        <w:rPr>
          <w:i/>
          <w:iCs/>
        </w:rPr>
        <w:t>) antibody positive.</w:t>
      </w:r>
    </w:p>
    <w:p w14:paraId="1E63A2AE" w14:textId="633013EC" w:rsidR="00CB6813" w:rsidRDefault="00D87C3C" w:rsidP="00FD4B9D">
      <w:pPr>
        <w:pStyle w:val="Heading3"/>
      </w:pPr>
      <w:bookmarkStart w:id="7" w:name="_Toc314842485"/>
      <w:bookmarkStart w:id="8" w:name="_Toc247691504"/>
      <w:bookmarkStart w:id="9" w:name="_Toc204004330"/>
      <w:r w:rsidRPr="00FA29A8">
        <w:lastRenderedPageBreak/>
        <w:t>The c</w:t>
      </w:r>
      <w:r w:rsidR="001D3728" w:rsidRPr="00FA29A8">
        <w:t>ondition</w:t>
      </w:r>
      <w:bookmarkEnd w:id="9"/>
    </w:p>
    <w:p w14:paraId="42061BF0" w14:textId="77777777" w:rsidR="001D3728" w:rsidRDefault="001D3728" w:rsidP="00FA29A8">
      <w:r>
        <w:t>Myasthenia gravis (MG) is an antibody and completement mediated autoimmune disease which affects the neuromuscular junction and leads to muscle weakness. In the most common form of MG antibodies to the acetylcholine receptor (</w:t>
      </w:r>
      <w:proofErr w:type="spellStart"/>
      <w:r>
        <w:t>AChR</w:t>
      </w:r>
      <w:proofErr w:type="spellEnd"/>
      <w:r>
        <w:t>) are present.</w:t>
      </w:r>
    </w:p>
    <w:p w14:paraId="7F6AA6B1" w14:textId="77777777" w:rsidR="001D3728" w:rsidRDefault="001D3728" w:rsidP="00FA29A8">
      <w:r>
        <w:t>The prevalence of MG globally is estimated at 12.4 per 100 000 persons. It most commonly affects women under 40 and men over 60. Affected muscles are confined to the ocular group in 15% and generalised in 85%.</w:t>
      </w:r>
    </w:p>
    <w:p w14:paraId="3989D2B5" w14:textId="77777777" w:rsidR="001D3728" w:rsidRDefault="001D3728" w:rsidP="00FA29A8">
      <w:r>
        <w:t>Diagnosis is based on history and demonstration of muscle fatigability, together with autoantibodies (including anti-</w:t>
      </w:r>
      <w:proofErr w:type="spellStart"/>
      <w:r>
        <w:t>AChR</w:t>
      </w:r>
      <w:proofErr w:type="spellEnd"/>
      <w:r>
        <w:t>) and characteristic electrophysiology findings. Symptoms may become life threatening when muscles of respiration are affected, resulting in a myasthenic crisis.</w:t>
      </w:r>
    </w:p>
    <w:p w14:paraId="77652DB6" w14:textId="77777777" w:rsidR="001D3728" w:rsidRDefault="001D3728" w:rsidP="00FA29A8">
      <w:r>
        <w:t>Immune complex formation and activation of the classical complement pathway degrades the post-synaptic neuromuscular junction, leading to manifestations of the disease. Terminal complement inhibition is a proven therapeutic pathway in MG.</w:t>
      </w:r>
    </w:p>
    <w:p w14:paraId="255E083A" w14:textId="3F7D19CB" w:rsidR="00CB6813" w:rsidRDefault="00480A4C" w:rsidP="00FA29A8">
      <w:pPr>
        <w:pStyle w:val="Heading4"/>
      </w:pPr>
      <w:bookmarkStart w:id="10" w:name="_Toc204004331"/>
      <w:r w:rsidRPr="00480A4C">
        <w:t xml:space="preserve">Current treatment </w:t>
      </w:r>
      <w:r w:rsidRPr="00FA29A8">
        <w:t>options</w:t>
      </w:r>
      <w:bookmarkEnd w:id="10"/>
    </w:p>
    <w:p w14:paraId="388AACEE" w14:textId="232E5018" w:rsidR="00D42CB9" w:rsidRDefault="00D42CB9" w:rsidP="00FA29A8">
      <w:r>
        <w:t xml:space="preserve">Treatments either augment acetylcholine function at the </w:t>
      </w:r>
      <w:r w:rsidR="005573D4">
        <w:t>neuromuscular junction</w:t>
      </w:r>
      <w:r>
        <w:t xml:space="preserve"> (i.e. through inhibition of acetylcholinesterase with pyridostigmine) or interrupt the immune processes underlying the disease. Treatment of myasthenic crisis includes supportive care in hospital, plasma exchange and intravenous immunoglobulin. Long term immunomodulation is usually required, and commonly used drugs include corticosteroids, azathioprine and mycophenolate.</w:t>
      </w:r>
    </w:p>
    <w:p w14:paraId="65381101" w14:textId="4D48AD83" w:rsidR="00D42CB9" w:rsidRPr="00D42CB9" w:rsidRDefault="00D42CB9" w:rsidP="00FA29A8">
      <w:r>
        <w:t xml:space="preserve">A C5 inhibiting monoclonal antibody </w:t>
      </w:r>
      <w:proofErr w:type="spellStart"/>
      <w:r>
        <w:t>ravulizumab</w:t>
      </w:r>
      <w:proofErr w:type="spellEnd"/>
      <w:r>
        <w:t xml:space="preserve"> appears in the </w:t>
      </w:r>
      <w:r w:rsidR="0007027B" w:rsidRPr="0007027B">
        <w:t xml:space="preserve">Australian Register of Therapeutic Goods </w:t>
      </w:r>
      <w:r w:rsidR="0007027B">
        <w:t>(</w:t>
      </w:r>
      <w:r>
        <w:t>ARTG</w:t>
      </w:r>
      <w:r w:rsidR="0007027B">
        <w:t>)</w:t>
      </w:r>
      <w:r>
        <w:t xml:space="preserve"> for treatment of generalised MG in patients who are anti-</w:t>
      </w:r>
      <w:proofErr w:type="spellStart"/>
      <w:r>
        <w:t>AChR</w:t>
      </w:r>
      <w:proofErr w:type="spellEnd"/>
      <w:r>
        <w:t xml:space="preserve"> antibody positive. The indication wording is “as an add-on to standard therapy for the treatment of adult patients with generalised myasthenia gravis (</w:t>
      </w:r>
      <w:proofErr w:type="spellStart"/>
      <w:r>
        <w:t>gMG</w:t>
      </w:r>
      <w:proofErr w:type="spellEnd"/>
      <w:r>
        <w:t>) who are anti-acetylcholine receptor (</w:t>
      </w:r>
      <w:proofErr w:type="spellStart"/>
      <w:r>
        <w:t>AChR</w:t>
      </w:r>
      <w:proofErr w:type="spellEnd"/>
      <w:r>
        <w:t>) antibody-positive”.</w:t>
      </w:r>
    </w:p>
    <w:p w14:paraId="37C47E09" w14:textId="6A7CC614" w:rsidR="00CB6813" w:rsidRDefault="002F116C" w:rsidP="00FA29A8">
      <w:pPr>
        <w:pStyle w:val="Heading4"/>
      </w:pPr>
      <w:bookmarkStart w:id="11" w:name="_Toc204004332"/>
      <w:r w:rsidRPr="002F116C">
        <w:t xml:space="preserve">Clinical </w:t>
      </w:r>
      <w:r w:rsidRPr="00FA29A8">
        <w:t>rational</w:t>
      </w:r>
      <w:r w:rsidR="00A33622" w:rsidRPr="00FA29A8">
        <w:t>e</w:t>
      </w:r>
      <w:bookmarkEnd w:id="11"/>
    </w:p>
    <w:p w14:paraId="017FACF1" w14:textId="690E16DF" w:rsidR="00A33622" w:rsidRPr="00A33622" w:rsidRDefault="00A33622" w:rsidP="00FA29A8">
      <w:proofErr w:type="spellStart"/>
      <w:r>
        <w:t>Zilucoplan</w:t>
      </w:r>
      <w:proofErr w:type="spellEnd"/>
      <w:r>
        <w:t xml:space="preserve"> binds to complement protein C5 and inhibits its cleavage into C5a and C5b. In addition, specific binding to any C5b that forms, prevents it from interacting with C6 (i.e. C5b antagonism). </w:t>
      </w:r>
      <w:proofErr w:type="spellStart"/>
      <w:r>
        <w:t>Zilucoplan</w:t>
      </w:r>
      <w:proofErr w:type="spellEnd"/>
      <w:r>
        <w:t xml:space="preserve"> is a terminal complement inhibitor that prevents formation of the membrane attack complex. </w:t>
      </w:r>
      <w:proofErr w:type="spellStart"/>
      <w:r>
        <w:t>Zilucoplan</w:t>
      </w:r>
      <w:proofErr w:type="spellEnd"/>
      <w:r>
        <w:t xml:space="preserve"> targeting of C5 is shared with other drugs known to be efficacious in </w:t>
      </w:r>
      <w:r w:rsidR="0007027B">
        <w:t xml:space="preserve">the </w:t>
      </w:r>
      <w:r>
        <w:t xml:space="preserve">treatment of MG (the monoclonal antibodies eculizumab and </w:t>
      </w:r>
      <w:proofErr w:type="spellStart"/>
      <w:r>
        <w:t>ravulizumab</w:t>
      </w:r>
      <w:proofErr w:type="spellEnd"/>
      <w:r>
        <w:t>).</w:t>
      </w:r>
    </w:p>
    <w:p w14:paraId="0D615854" w14:textId="77777777" w:rsidR="00324B33" w:rsidRPr="003F31A2" w:rsidRDefault="00324B33" w:rsidP="00FA29A8">
      <w:pPr>
        <w:pStyle w:val="Heading4"/>
      </w:pPr>
      <w:bookmarkStart w:id="12" w:name="_Toc103679291"/>
      <w:bookmarkStart w:id="13" w:name="_Toc204004333"/>
      <w:r>
        <w:t xml:space="preserve">Regulatory </w:t>
      </w:r>
      <w:r w:rsidRPr="00FA29A8">
        <w:t>status</w:t>
      </w:r>
      <w:bookmarkEnd w:id="7"/>
      <w:bookmarkEnd w:id="8"/>
      <w:bookmarkEnd w:id="12"/>
      <w:bookmarkEnd w:id="13"/>
    </w:p>
    <w:p w14:paraId="72C889D6" w14:textId="7E200950" w:rsidR="0017005C" w:rsidRPr="00BD5DBD" w:rsidRDefault="0017005C" w:rsidP="00FA29A8">
      <w:pPr>
        <w:pStyle w:val="Heading5"/>
      </w:pPr>
      <w:r w:rsidRPr="00BD5DBD">
        <w:t>Australian regulatory</w:t>
      </w:r>
      <w:r>
        <w:t xml:space="preserve"> </w:t>
      </w:r>
      <w:r w:rsidRPr="00FA29A8">
        <w:t>sta</w:t>
      </w:r>
      <w:r w:rsidR="0025785B" w:rsidRPr="00FA29A8">
        <w:t>t</w:t>
      </w:r>
      <w:r w:rsidRPr="00FA29A8">
        <w:t>us</w:t>
      </w:r>
    </w:p>
    <w:p w14:paraId="6A8633FA" w14:textId="2B236BBA" w:rsidR="00324B33" w:rsidRDefault="00324B33" w:rsidP="00FA29A8">
      <w:r w:rsidRPr="00BD5DBD">
        <w:t>This product is a new chemical</w:t>
      </w:r>
      <w:r w:rsidR="008C754C" w:rsidRPr="00BD5DBD">
        <w:t xml:space="preserve"> entity</w:t>
      </w:r>
      <w:r w:rsidRPr="00BD5DBD">
        <w:t xml:space="preserve"> for Australian regulatory purposes.</w:t>
      </w:r>
    </w:p>
    <w:p w14:paraId="546C1031" w14:textId="4EF98FA1" w:rsidR="0017005C" w:rsidRDefault="00131B1B" w:rsidP="00FA29A8">
      <w:pPr>
        <w:pStyle w:val="Heading5"/>
      </w:pPr>
      <w:r>
        <w:t xml:space="preserve">International </w:t>
      </w:r>
      <w:r w:rsidR="0017005C" w:rsidRPr="00FA29A8">
        <w:t>regulatory</w:t>
      </w:r>
      <w:r w:rsidR="0017005C">
        <w:t xml:space="preserve"> status</w:t>
      </w:r>
    </w:p>
    <w:p w14:paraId="27A05D01" w14:textId="4A6D5FD4" w:rsidR="0007027B" w:rsidRDefault="001926BB" w:rsidP="00FA29A8">
      <w:proofErr w:type="spellStart"/>
      <w:r>
        <w:t>Zilucoplan</w:t>
      </w:r>
      <w:proofErr w:type="spellEnd"/>
      <w:r>
        <w:t xml:space="preserve"> was approved in the US in 2023 for</w:t>
      </w:r>
      <w:r w:rsidR="00AE3C26">
        <w:t>:</w:t>
      </w:r>
    </w:p>
    <w:p w14:paraId="566DCF91" w14:textId="5C9051D6" w:rsidR="001926BB" w:rsidRPr="00FA29A8" w:rsidRDefault="001926BB" w:rsidP="00FA29A8">
      <w:pPr>
        <w:ind w:left="720"/>
        <w:rPr>
          <w:i/>
          <w:iCs/>
        </w:rPr>
      </w:pPr>
      <w:r w:rsidRPr="00FA29A8">
        <w:rPr>
          <w:i/>
          <w:iCs/>
        </w:rPr>
        <w:t>“</w:t>
      </w:r>
      <w:proofErr w:type="gramStart"/>
      <w:r w:rsidRPr="00FA29A8">
        <w:rPr>
          <w:i/>
          <w:iCs/>
        </w:rPr>
        <w:t>the</w:t>
      </w:r>
      <w:proofErr w:type="gramEnd"/>
      <w:r w:rsidRPr="00FA29A8">
        <w:rPr>
          <w:i/>
          <w:iCs/>
        </w:rPr>
        <w:t xml:space="preserve"> treatment of generalized myasthenia gravis (</w:t>
      </w:r>
      <w:proofErr w:type="spellStart"/>
      <w:r w:rsidRPr="00FA29A8">
        <w:rPr>
          <w:i/>
          <w:iCs/>
        </w:rPr>
        <w:t>gMG</w:t>
      </w:r>
      <w:proofErr w:type="spellEnd"/>
      <w:r w:rsidRPr="00FA29A8">
        <w:rPr>
          <w:i/>
          <w:iCs/>
        </w:rPr>
        <w:t>) in adult patients who are anti-acetylcholine receptor (</w:t>
      </w:r>
      <w:proofErr w:type="spellStart"/>
      <w:r w:rsidRPr="00FA29A8">
        <w:rPr>
          <w:i/>
          <w:iCs/>
        </w:rPr>
        <w:t>AChR</w:t>
      </w:r>
      <w:proofErr w:type="spellEnd"/>
      <w:r w:rsidRPr="00FA29A8">
        <w:rPr>
          <w:i/>
          <w:iCs/>
        </w:rPr>
        <w:t>) antibody positive”.</w:t>
      </w:r>
    </w:p>
    <w:p w14:paraId="6706B717" w14:textId="61021723" w:rsidR="0007027B" w:rsidRDefault="001926BB" w:rsidP="00FA29A8">
      <w:proofErr w:type="spellStart"/>
      <w:r>
        <w:t>Zilucoplan</w:t>
      </w:r>
      <w:proofErr w:type="spellEnd"/>
      <w:r>
        <w:t xml:space="preserve"> was approved in the EU in 2023 as</w:t>
      </w:r>
      <w:r w:rsidR="00AE3C26">
        <w:t>:</w:t>
      </w:r>
      <w:r>
        <w:t xml:space="preserve"> </w:t>
      </w:r>
    </w:p>
    <w:p w14:paraId="6965DB02" w14:textId="7AAD579A" w:rsidR="001926BB" w:rsidRPr="00FA29A8" w:rsidRDefault="001926BB" w:rsidP="00FA29A8">
      <w:pPr>
        <w:ind w:left="720"/>
        <w:rPr>
          <w:i/>
          <w:iCs/>
        </w:rPr>
      </w:pPr>
      <w:r w:rsidRPr="00FA29A8">
        <w:rPr>
          <w:i/>
          <w:iCs/>
        </w:rPr>
        <w:lastRenderedPageBreak/>
        <w:t>“</w:t>
      </w:r>
      <w:proofErr w:type="gramStart"/>
      <w:r w:rsidRPr="00FA29A8">
        <w:rPr>
          <w:i/>
          <w:iCs/>
        </w:rPr>
        <w:t>an</w:t>
      </w:r>
      <w:proofErr w:type="gramEnd"/>
      <w:r w:rsidRPr="00FA29A8">
        <w:rPr>
          <w:i/>
          <w:iCs/>
        </w:rPr>
        <w:t xml:space="preserve"> add-on to standard therapy for the treatment of generalised myasthenia gravis (</w:t>
      </w:r>
      <w:proofErr w:type="spellStart"/>
      <w:r w:rsidRPr="00FA29A8">
        <w:rPr>
          <w:i/>
          <w:iCs/>
        </w:rPr>
        <w:t>gMG</w:t>
      </w:r>
      <w:proofErr w:type="spellEnd"/>
      <w:r w:rsidRPr="00FA29A8">
        <w:rPr>
          <w:i/>
          <w:iCs/>
        </w:rPr>
        <w:t>) in adult patients who are anti-acetylcholine receptor (</w:t>
      </w:r>
      <w:proofErr w:type="spellStart"/>
      <w:r w:rsidRPr="00FA29A8">
        <w:rPr>
          <w:i/>
          <w:iCs/>
        </w:rPr>
        <w:t>AChR</w:t>
      </w:r>
      <w:proofErr w:type="spellEnd"/>
      <w:r w:rsidRPr="00FA29A8">
        <w:rPr>
          <w:i/>
          <w:iCs/>
        </w:rPr>
        <w:t>) antibody positive”.</w:t>
      </w:r>
    </w:p>
    <w:p w14:paraId="6D92589C" w14:textId="09786CEF" w:rsidR="00324B33" w:rsidRDefault="00324B33" w:rsidP="00FA29A8">
      <w:pPr>
        <w:pStyle w:val="Heading4"/>
      </w:pPr>
      <w:bookmarkStart w:id="14" w:name="_Toc504480011"/>
      <w:bookmarkStart w:id="15" w:name="_Toc103679293"/>
      <w:bookmarkStart w:id="16" w:name="_Toc204004334"/>
      <w:r w:rsidRPr="00FA29A8">
        <w:t>Registration</w:t>
      </w:r>
      <w:r>
        <w:t xml:space="preserve"> timeline</w:t>
      </w:r>
      <w:bookmarkEnd w:id="14"/>
      <w:bookmarkEnd w:id="15"/>
      <w:bookmarkEnd w:id="16"/>
    </w:p>
    <w:p w14:paraId="225E3D87" w14:textId="3A4C2035" w:rsidR="00324B33" w:rsidRPr="00BD5DBD" w:rsidRDefault="00BB25A3" w:rsidP="00FA29A8">
      <w:r>
        <w:t>T</w:t>
      </w:r>
      <w:r w:rsidR="00324B33" w:rsidRPr="00BD5DBD">
        <w:t>able</w:t>
      </w:r>
      <w:r>
        <w:t xml:space="preserve"> </w:t>
      </w:r>
      <w:r w:rsidR="0082753F">
        <w:t>1</w:t>
      </w:r>
      <w:r w:rsidR="00324B33" w:rsidRPr="00BD5DBD">
        <w:t xml:space="preserve"> captures the key steps and dates for this submission.</w:t>
      </w:r>
    </w:p>
    <w:p w14:paraId="6BB76942" w14:textId="49C62989" w:rsidR="00477C4E" w:rsidRPr="00BD5DBD" w:rsidRDefault="00477C4E" w:rsidP="00FA29A8">
      <w:pPr>
        <w:rPr>
          <w:szCs w:val="22"/>
        </w:rPr>
      </w:pPr>
      <w:r w:rsidRPr="00BD5DBD">
        <w:rPr>
          <w:szCs w:val="22"/>
        </w:rPr>
        <w:t xml:space="preserve">This submission was evaluated under the </w:t>
      </w:r>
      <w:hyperlink r:id="rId22" w:history="1">
        <w:r w:rsidRPr="00BD5DBD">
          <w:rPr>
            <w:rStyle w:val="Hyperlink"/>
            <w:szCs w:val="22"/>
          </w:rPr>
          <w:t>standard prescription medicines registration process</w:t>
        </w:r>
      </w:hyperlink>
      <w:r w:rsidRPr="00BD5DBD">
        <w:rPr>
          <w:szCs w:val="22"/>
        </w:rPr>
        <w:t>.</w:t>
      </w:r>
    </w:p>
    <w:p w14:paraId="44628C5F" w14:textId="28956007" w:rsidR="00324B33" w:rsidRDefault="00324B33" w:rsidP="00FA29A8">
      <w:pPr>
        <w:pStyle w:val="TableTitle"/>
      </w:pPr>
      <w:r w:rsidRPr="002C1232">
        <w:t xml:space="preserve">Table </w:t>
      </w:r>
      <w:r w:rsidR="0082753F">
        <w:t>1</w:t>
      </w:r>
      <w:r w:rsidRPr="002C1232">
        <w:t xml:space="preserve">: </w:t>
      </w:r>
      <w:r w:rsidR="001A716C" w:rsidRPr="001A716C">
        <w:t xml:space="preserve">Registration timeline </w:t>
      </w:r>
      <w:r w:rsidR="001A716C" w:rsidRPr="00FA29A8">
        <w:t>for</w:t>
      </w:r>
      <w:r w:rsidR="00235F4B">
        <w:t xml:space="preserve"> </w:t>
      </w:r>
      <w:r w:rsidR="00AF1F4B">
        <w:t>ZILBRYSQ</w:t>
      </w:r>
      <w:r w:rsidR="00235F4B" w:rsidRPr="00235F4B">
        <w:t xml:space="preserve"> </w:t>
      </w:r>
      <w:r w:rsidR="00235F4B">
        <w:t>(</w:t>
      </w:r>
      <w:proofErr w:type="spellStart"/>
      <w:r w:rsidR="00235F4B" w:rsidRPr="00235F4B">
        <w:t>zilucoplan</w:t>
      </w:r>
      <w:proofErr w:type="spellEnd"/>
      <w:r w:rsidR="00235F4B">
        <w:t>),</w:t>
      </w:r>
      <w:r w:rsidR="00235F4B" w:rsidRPr="00235F4B">
        <w:t xml:space="preserve"> </w:t>
      </w:r>
      <w:r w:rsidR="00235F4B">
        <w:t xml:space="preserve">submission </w:t>
      </w:r>
      <w:r w:rsidR="00235F4B" w:rsidRPr="00235F4B">
        <w:t>PM-2023-02775-1-1</w:t>
      </w:r>
    </w:p>
    <w:tbl>
      <w:tblPr>
        <w:tblStyle w:val="TableTGAblue2023"/>
        <w:tblW w:w="8642" w:type="dxa"/>
        <w:tblLook w:val="04A0" w:firstRow="1" w:lastRow="0" w:firstColumn="1" w:lastColumn="0" w:noHBand="0" w:noVBand="1"/>
      </w:tblPr>
      <w:tblGrid>
        <w:gridCol w:w="5665"/>
        <w:gridCol w:w="2977"/>
      </w:tblGrid>
      <w:tr w:rsidR="00324B33" w:rsidRPr="00D01DDB" w14:paraId="6C59BE9C" w14:textId="77777777" w:rsidTr="000D7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D01DDB" w:rsidRDefault="00324B33" w:rsidP="00324B33">
            <w:pPr>
              <w:rPr>
                <w:szCs w:val="22"/>
              </w:rPr>
            </w:pPr>
            <w:r w:rsidRPr="00D01DDB">
              <w:rPr>
                <w:szCs w:val="22"/>
              </w:rPr>
              <w:t>Description</w:t>
            </w:r>
          </w:p>
        </w:tc>
        <w:tc>
          <w:tcPr>
            <w:tcW w:w="2977"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59D2A12" w14:textId="4F4E722F" w:rsidR="00324B33" w:rsidRPr="00E679D1" w:rsidRDefault="00324B33" w:rsidP="00133F91">
            <w:pPr>
              <w:ind w:left="71"/>
            </w:pPr>
            <w:r w:rsidRPr="00E679D1">
              <w:t>Submission dossier accepted and evaluation commenced</w:t>
            </w:r>
          </w:p>
        </w:tc>
        <w:tc>
          <w:tcPr>
            <w:tcW w:w="2977" w:type="dxa"/>
          </w:tcPr>
          <w:p w14:paraId="2963D9D8" w14:textId="56A05B07" w:rsidR="00324B33" w:rsidRPr="00D01DDB" w:rsidRDefault="00747B4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July 2023</w:t>
            </w:r>
          </w:p>
        </w:tc>
      </w:tr>
      <w:tr w:rsidR="00803926" w:rsidRPr="00D01DDB" w14:paraId="16D13F79"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6858B45A" w14:textId="4A6E19A0" w:rsidR="00803926" w:rsidRPr="00E679D1" w:rsidDel="00C62B1C" w:rsidRDefault="00803926" w:rsidP="00133F91">
            <w:pPr>
              <w:ind w:left="71"/>
            </w:pPr>
            <w:r>
              <w:t>Evaluation completed</w:t>
            </w:r>
          </w:p>
        </w:tc>
        <w:tc>
          <w:tcPr>
            <w:tcW w:w="2977" w:type="dxa"/>
          </w:tcPr>
          <w:p w14:paraId="2E0BD403" w14:textId="24B37870" w:rsidR="00803926" w:rsidRPr="00D01DDB" w:rsidRDefault="00386D0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April 2024</w:t>
            </w:r>
          </w:p>
        </w:tc>
      </w:tr>
      <w:tr w:rsidR="00324B33" w:rsidRPr="00D01DDB" w14:paraId="5754F7AC"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9DE187" w14:textId="5F489E13" w:rsidR="00324B33" w:rsidRPr="00E679D1" w:rsidRDefault="00324B33" w:rsidP="00133F91">
            <w:pPr>
              <w:ind w:left="71"/>
            </w:pPr>
            <w:r w:rsidRPr="00E679D1">
              <w:t xml:space="preserve">Advisory </w:t>
            </w:r>
            <w:r w:rsidR="00F8568E">
              <w:t>c</w:t>
            </w:r>
            <w:r w:rsidRPr="00E679D1">
              <w:t>ommittee meeting</w:t>
            </w:r>
          </w:p>
        </w:tc>
        <w:tc>
          <w:tcPr>
            <w:tcW w:w="2977" w:type="dxa"/>
          </w:tcPr>
          <w:p w14:paraId="5BE1EDE7" w14:textId="4733DF52" w:rsidR="00324B33" w:rsidRPr="00D01DDB" w:rsidRDefault="0026325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7 June 2024</w:t>
            </w:r>
          </w:p>
        </w:tc>
      </w:tr>
      <w:tr w:rsidR="00324B33" w:rsidRPr="00D01DDB" w14:paraId="6E5D32FE"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E95C44C" w14:textId="7A91C710" w:rsidR="00324B33" w:rsidRPr="00E679D1" w:rsidRDefault="00324B33" w:rsidP="00133F91">
            <w:pPr>
              <w:ind w:left="71"/>
            </w:pPr>
            <w:r w:rsidRPr="00E679D1">
              <w:t>Registration decision (Outcome)</w:t>
            </w:r>
          </w:p>
        </w:tc>
        <w:tc>
          <w:tcPr>
            <w:tcW w:w="2977" w:type="dxa"/>
          </w:tcPr>
          <w:p w14:paraId="62987ABD" w14:textId="5CC7CB59" w:rsidR="00324B33" w:rsidRPr="00D01DDB" w:rsidRDefault="00263256" w:rsidP="00324B33">
            <w:pPr>
              <w:cnfStyle w:val="000000000000" w:firstRow="0" w:lastRow="0" w:firstColumn="0" w:lastColumn="0" w:oddVBand="0" w:evenVBand="0" w:oddHBand="0" w:evenHBand="0" w:firstRowFirstColumn="0" w:firstRowLastColumn="0" w:lastRowFirstColumn="0" w:lastRowLastColumn="0"/>
              <w:rPr>
                <w:szCs w:val="22"/>
              </w:rPr>
            </w:pPr>
            <w:r w:rsidRPr="00263256">
              <w:rPr>
                <w:szCs w:val="22"/>
              </w:rPr>
              <w:t>31 July 2024</w:t>
            </w:r>
          </w:p>
        </w:tc>
      </w:tr>
      <w:tr w:rsidR="00324B33" w:rsidRPr="00D01DDB" w14:paraId="6DDCDD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192FD19D" w14:textId="336B85B1" w:rsidR="00324B33" w:rsidRPr="00E679D1" w:rsidRDefault="00C00844" w:rsidP="00133F91">
            <w:pPr>
              <w:ind w:left="71"/>
            </w:pPr>
            <w:r>
              <w:t>R</w:t>
            </w:r>
            <w:r w:rsidR="0013132F" w:rsidRPr="00E679D1">
              <w:t xml:space="preserve">egistration </w:t>
            </w:r>
            <w:r w:rsidR="005C4B46" w:rsidRPr="00E679D1">
              <w:t xml:space="preserve">in </w:t>
            </w:r>
            <w:r w:rsidR="0013132F" w:rsidRPr="00E679D1">
              <w:t>the ARTG completed</w:t>
            </w:r>
          </w:p>
        </w:tc>
        <w:tc>
          <w:tcPr>
            <w:tcW w:w="2977" w:type="dxa"/>
          </w:tcPr>
          <w:p w14:paraId="5A8923FD" w14:textId="114BCB7C" w:rsidR="00324B33" w:rsidRPr="00D01DDB" w:rsidRDefault="0026325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20 August 2024</w:t>
            </w:r>
          </w:p>
        </w:tc>
      </w:tr>
      <w:tr w:rsidR="00324B33" w:rsidRPr="00D01DDB" w14:paraId="56D922E2"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324B33" w:rsidRPr="00E679D1" w:rsidRDefault="00324B33" w:rsidP="00133F91">
            <w:pPr>
              <w:ind w:left="71"/>
            </w:pPr>
            <w:r w:rsidRPr="00E679D1">
              <w:t>Number of working days from submission dossier acceptance to registration decision*</w:t>
            </w:r>
          </w:p>
        </w:tc>
        <w:tc>
          <w:tcPr>
            <w:tcW w:w="2977" w:type="dxa"/>
          </w:tcPr>
          <w:p w14:paraId="5BAF9FA1" w14:textId="605F4CE6" w:rsidR="00324B33" w:rsidRPr="00D01DDB" w:rsidRDefault="004456E7" w:rsidP="00324B33">
            <w:pPr>
              <w:cnfStyle w:val="000000000000" w:firstRow="0" w:lastRow="0" w:firstColumn="0" w:lastColumn="0" w:oddVBand="0" w:evenVBand="0" w:oddHBand="0" w:evenHBand="0" w:firstRowFirstColumn="0" w:firstRowLastColumn="0" w:lastRowFirstColumn="0" w:lastRowLastColumn="0"/>
              <w:rPr>
                <w:szCs w:val="22"/>
              </w:rPr>
            </w:pPr>
            <w:r w:rsidRPr="004456E7">
              <w:rPr>
                <w:szCs w:val="22"/>
              </w:rPr>
              <w:t>255 days</w:t>
            </w:r>
          </w:p>
        </w:tc>
      </w:tr>
    </w:tbl>
    <w:p w14:paraId="7B02554C" w14:textId="77777777" w:rsidR="00433318" w:rsidRDefault="00433318" w:rsidP="00FA29A8">
      <w:pPr>
        <w:pStyle w:val="TableDescription"/>
      </w:pPr>
      <w:r>
        <w:t>*</w:t>
      </w:r>
      <w:r w:rsidRPr="00BF3774">
        <w:t xml:space="preserve">Statutory </w:t>
      </w:r>
      <w:r>
        <w:t xml:space="preserve">timeframe for standard </w:t>
      </w:r>
      <w:r w:rsidRPr="00FA29A8">
        <w:t>submissions</w:t>
      </w:r>
      <w:r>
        <w:t xml:space="preserve"> is 255 working days</w:t>
      </w:r>
    </w:p>
    <w:p w14:paraId="220925F1" w14:textId="2224277D" w:rsidR="00C22214" w:rsidRPr="00792A32" w:rsidRDefault="00083763" w:rsidP="00FA29A8">
      <w:pPr>
        <w:pStyle w:val="Heading2"/>
      </w:pPr>
      <w:bookmarkStart w:id="17" w:name="_Toc196046504"/>
      <w:bookmarkStart w:id="18" w:name="_Toc247691527"/>
      <w:bookmarkStart w:id="19" w:name="_Toc314842510"/>
      <w:bookmarkStart w:id="20" w:name="_Toc103679294"/>
      <w:bookmarkStart w:id="21" w:name="_Toc204004335"/>
      <w:r>
        <w:t xml:space="preserve">Assessment </w:t>
      </w:r>
      <w:r w:rsidR="00C22214" w:rsidRPr="00FA29A8">
        <w:t>overview</w:t>
      </w:r>
      <w:bookmarkEnd w:id="17"/>
      <w:bookmarkEnd w:id="18"/>
      <w:bookmarkEnd w:id="19"/>
      <w:bookmarkEnd w:id="20"/>
      <w:bookmarkEnd w:id="21"/>
    </w:p>
    <w:p w14:paraId="37F5A1C0" w14:textId="24C35B4E" w:rsidR="00C22214" w:rsidRDefault="00095C6A" w:rsidP="00FA29A8">
      <w:pPr>
        <w:pStyle w:val="Heading3"/>
      </w:pPr>
      <w:bookmarkStart w:id="22" w:name="_Toc247691528"/>
      <w:bookmarkStart w:id="23" w:name="_Toc314842511"/>
      <w:bookmarkStart w:id="24" w:name="_Toc103679295"/>
      <w:bookmarkStart w:id="25" w:name="_Toc204004336"/>
      <w:r>
        <w:t>Q</w:t>
      </w:r>
      <w:r w:rsidR="00C22214">
        <w:t>uality</w:t>
      </w:r>
      <w:bookmarkEnd w:id="22"/>
      <w:bookmarkEnd w:id="23"/>
      <w:bookmarkEnd w:id="24"/>
      <w:r w:rsidR="007E6443">
        <w:t xml:space="preserve"> evaluation</w:t>
      </w:r>
      <w:r>
        <w:t xml:space="preserve"> </w:t>
      </w:r>
      <w:r w:rsidRPr="00FA29A8">
        <w:t>summary</w:t>
      </w:r>
      <w:bookmarkEnd w:id="25"/>
    </w:p>
    <w:p w14:paraId="50A4F4EB" w14:textId="77777777" w:rsidR="00BB76A6" w:rsidRPr="00BB76A6" w:rsidRDefault="00BB76A6" w:rsidP="00FA29A8">
      <w:proofErr w:type="spellStart"/>
      <w:r w:rsidRPr="00BB76A6">
        <w:t>Zilucoplan</w:t>
      </w:r>
      <w:proofErr w:type="spellEnd"/>
      <w:r w:rsidRPr="00BB76A6">
        <w:t xml:space="preserve"> is a 15-amino acid macrocyclic peptide with an amino ethylene glycol moiety (24 ethylene glycol subunits) and a palmitic acid moiety (Figure 1).</w:t>
      </w:r>
    </w:p>
    <w:p w14:paraId="61833709" w14:textId="460D5526" w:rsidR="00BB76A6" w:rsidRDefault="00BB76A6" w:rsidP="00FA29A8">
      <w:pPr>
        <w:pStyle w:val="FigureTitle"/>
      </w:pPr>
      <w:r w:rsidRPr="00BB76A6">
        <w:lastRenderedPageBreak/>
        <w:t xml:space="preserve">Figure 1. </w:t>
      </w:r>
      <w:r w:rsidRPr="00FA29A8">
        <w:t>Structure</w:t>
      </w:r>
      <w:r w:rsidRPr="00BB76A6">
        <w:t xml:space="preserve"> of </w:t>
      </w:r>
      <w:proofErr w:type="spellStart"/>
      <w:r w:rsidRPr="00BB76A6">
        <w:t>zilucoplan</w:t>
      </w:r>
      <w:proofErr w:type="spellEnd"/>
    </w:p>
    <w:p w14:paraId="1E73D826" w14:textId="5D37EB11" w:rsidR="00BB76A6" w:rsidRPr="00BB76A6" w:rsidRDefault="00BB76A6" w:rsidP="00FA29A8">
      <w:r>
        <w:rPr>
          <w:noProof/>
        </w:rPr>
        <w:drawing>
          <wp:inline distT="0" distB="0" distL="0" distR="0" wp14:anchorId="4541CD08" wp14:editId="6B409FAB">
            <wp:extent cx="5146431" cy="3434547"/>
            <wp:effectExtent l="0" t="0" r="0" b="0"/>
            <wp:docPr id="1635553553" name="Picture 1" descr="Figure 1. Structure of ziluco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53553" name="Picture 1" descr="Figure 1. Structure of zilucoplan"/>
                    <pic:cNvPicPr/>
                  </pic:nvPicPr>
                  <pic:blipFill>
                    <a:blip r:embed="rId23"/>
                    <a:stretch>
                      <a:fillRect/>
                    </a:stretch>
                  </pic:blipFill>
                  <pic:spPr>
                    <a:xfrm>
                      <a:off x="0" y="0"/>
                      <a:ext cx="5167103" cy="3448343"/>
                    </a:xfrm>
                    <a:prstGeom prst="rect">
                      <a:avLst/>
                    </a:prstGeom>
                  </pic:spPr>
                </pic:pic>
              </a:graphicData>
            </a:graphic>
          </wp:inline>
        </w:drawing>
      </w:r>
    </w:p>
    <w:p w14:paraId="4B43503A" w14:textId="77777777" w:rsidR="00A463FC" w:rsidRDefault="00A463FC" w:rsidP="00FA29A8">
      <w:r>
        <w:t xml:space="preserve">The proposed product is a sterile solution for injection packed in a single-use disposable prefilled syringe delivery device. The proposed pack sizes are 7 pre-filled syringes in a single pack and a multipack of 28 pre-filled syringes. The primary packaging is a 1mL long glass syringe fitted with a 29G </w:t>
      </w:r>
      <w:proofErr w:type="gramStart"/>
      <w:r>
        <w:t>0.5 inch</w:t>
      </w:r>
      <w:proofErr w:type="gramEnd"/>
      <w:r>
        <w:t xml:space="preserve"> thin wall needle, fluoropolymer-laminated </w:t>
      </w:r>
      <w:proofErr w:type="spellStart"/>
      <w:r>
        <w:t>bromobutyl</w:t>
      </w:r>
      <w:proofErr w:type="spellEnd"/>
      <w:r>
        <w:t xml:space="preserve"> rubber plunge stopper, a thermoplastic elastomer rigid needle shield and a polypropylene rigid shield.</w:t>
      </w:r>
    </w:p>
    <w:p w14:paraId="7BE68D97" w14:textId="4C87030C" w:rsidR="00A463FC" w:rsidRDefault="00A463FC" w:rsidP="00FA29A8">
      <w:r>
        <w:t xml:space="preserve">The drug substance is manufactured as </w:t>
      </w:r>
      <w:proofErr w:type="spellStart"/>
      <w:r>
        <w:t>zilucoplan</w:t>
      </w:r>
      <w:proofErr w:type="spellEnd"/>
      <w:r>
        <w:t xml:space="preserve"> tetrasodium and is a white to off-white powder that is very soluble in water at pH &gt; 6.4. Manufacture involves several synthetic steps, starting with solid phase synthesis of the linear peptide followed by cyclization, cleavage from resin and purification. This product is conjugated to the PEG and lipid containing intermediate and purified, desalted, lyophilized and </w:t>
      </w:r>
      <w:proofErr w:type="spellStart"/>
      <w:r>
        <w:t>declumped</w:t>
      </w:r>
      <w:proofErr w:type="spellEnd"/>
      <w:r>
        <w:t xml:space="preserve"> to obtain the drug substance. Reprocessing may be undertaken.</w:t>
      </w:r>
    </w:p>
    <w:p w14:paraId="18E5C361" w14:textId="58A01EF5" w:rsidR="00604080" w:rsidRDefault="00A463FC" w:rsidP="00FA29A8">
      <w:proofErr w:type="spellStart"/>
      <w:r>
        <w:t>Zilucoplan</w:t>
      </w:r>
      <w:proofErr w:type="spellEnd"/>
      <w:r>
        <w:t>, its starting materials and manufacturing reagents have been assessed for genotoxic structures, which have been adequately managed according to ICH guidelines. There is no risk of nitrosamine formation during manufacturing.</w:t>
      </w:r>
      <w:r w:rsidR="0007027B">
        <w:t xml:space="preserve"> </w:t>
      </w:r>
      <w:r w:rsidR="00604080">
        <w:t>The quality of the drug substance is considered acceptable.</w:t>
      </w:r>
    </w:p>
    <w:p w14:paraId="41851F1A" w14:textId="77777777" w:rsidR="00604080" w:rsidRDefault="00604080" w:rsidP="00FA29A8">
      <w:r>
        <w:t>The drug product is formulated as an iso-osmotic buffered solution of monobasic sodium phosphate/dibasic sodium phosphate, sodium chloride and water for injection. This is contained within a single-use safety syringe. The formulation and manufacturing process has been adequately developed and optimised, and has accounted for osmolality, pH, viscosity, particulates and thermal stress.</w:t>
      </w:r>
    </w:p>
    <w:p w14:paraId="2B07117F" w14:textId="77777777" w:rsidR="00604080" w:rsidRDefault="00604080" w:rsidP="00FA29A8">
      <w:r>
        <w:t xml:space="preserve">The drug product does not contain any </w:t>
      </w:r>
      <w:proofErr w:type="gramStart"/>
      <w:r>
        <w:t>preservatives</w:t>
      </w:r>
      <w:proofErr w:type="gramEnd"/>
      <w:r>
        <w:t xml:space="preserve"> and each syringe is for single use. The manufacturing process includes sterile filtration and vial filling under aseptic conditions.</w:t>
      </w:r>
    </w:p>
    <w:p w14:paraId="12C7E831" w14:textId="5E618D4B" w:rsidR="00604080" w:rsidRDefault="001376DE" w:rsidP="00604080">
      <w:r>
        <w:t>T</w:t>
      </w:r>
      <w:r w:rsidR="00604080">
        <w:t xml:space="preserve">he safety syringe component, including extractable volume and function of the needle shield, </w:t>
      </w:r>
      <w:r w:rsidR="0090732E">
        <w:t>is satisfactory.</w:t>
      </w:r>
    </w:p>
    <w:p w14:paraId="4D7BD8CF" w14:textId="1A235334" w:rsidR="00604080" w:rsidRDefault="00604080" w:rsidP="00604080">
      <w:r>
        <w:t xml:space="preserve">The proposed shelf-life of 36 months when stored at 2-8 °C is appropriate for the product. An in-use shelf-life of 2 months when stored below 30 °C is appropriate for the product unless the </w:t>
      </w:r>
      <w:r>
        <w:lastRenderedPageBreak/>
        <w:t>sponsor tightens the release limit for total impurities (to NMT 2.5%), in which case a shelf-life of 3 months would be acceptable.</w:t>
      </w:r>
    </w:p>
    <w:p w14:paraId="2BE90AAE" w14:textId="35796FD3" w:rsidR="00C22214" w:rsidRDefault="00C22214" w:rsidP="00FA29A8">
      <w:pPr>
        <w:pStyle w:val="Heading3"/>
      </w:pPr>
      <w:bookmarkStart w:id="26" w:name="_Toc314842512"/>
      <w:bookmarkStart w:id="27" w:name="_Toc103679296"/>
      <w:bookmarkStart w:id="28" w:name="_Toc204004337"/>
      <w:r>
        <w:t>Nonclinical</w:t>
      </w:r>
      <w:bookmarkEnd w:id="26"/>
      <w:bookmarkEnd w:id="27"/>
      <w:r w:rsidR="007E6443">
        <w:t xml:space="preserve"> evaluation</w:t>
      </w:r>
      <w:r w:rsidR="00095C6A">
        <w:t xml:space="preserve"> </w:t>
      </w:r>
      <w:r w:rsidR="00095C6A" w:rsidRPr="00FA29A8">
        <w:t>summary</w:t>
      </w:r>
      <w:bookmarkEnd w:id="28"/>
    </w:p>
    <w:p w14:paraId="42DD9321" w14:textId="2168BC73" w:rsidR="00C57B82" w:rsidRDefault="00C57B82" w:rsidP="00C57B82">
      <w:r>
        <w:t xml:space="preserve">The overall quality of the </w:t>
      </w:r>
      <w:r w:rsidR="0007027B">
        <w:t>nonclinical dossier</w:t>
      </w:r>
      <w:r>
        <w:t xml:space="preserve"> was acceptable.</w:t>
      </w:r>
    </w:p>
    <w:p w14:paraId="4962347A" w14:textId="4A1256C0" w:rsidR="00C57B82" w:rsidRDefault="00C57B82" w:rsidP="00FA29A8">
      <w:r>
        <w:t>In in vitro studies</w:t>
      </w:r>
      <w:r w:rsidR="0007027B">
        <w:t>,</w:t>
      </w:r>
      <w:r>
        <w:t xml:space="preserve"> the IC</w:t>
      </w:r>
      <w:r w:rsidRPr="00C57B82">
        <w:rPr>
          <w:vertAlign w:val="subscript"/>
        </w:rPr>
        <w:t>50</w:t>
      </w:r>
      <w:r>
        <w:t xml:space="preserve"> for inhibition of complement-dependant haemolysis (5-10 </w:t>
      </w:r>
      <w:proofErr w:type="spellStart"/>
      <w:r>
        <w:t>nM</w:t>
      </w:r>
      <w:proofErr w:type="spellEnd"/>
      <w:r>
        <w:t xml:space="preserve">) was </w:t>
      </w:r>
      <w:proofErr w:type="gramStart"/>
      <w:r>
        <w:t>similar to</w:t>
      </w:r>
      <w:proofErr w:type="gramEnd"/>
      <w:r>
        <w:t xml:space="preserve"> the clinical free plasma concentration (3.5-35 </w:t>
      </w:r>
      <w:proofErr w:type="spellStart"/>
      <w:r>
        <w:t>nM</w:t>
      </w:r>
      <w:proofErr w:type="spellEnd"/>
      <w:r>
        <w:t xml:space="preserve">). </w:t>
      </w:r>
      <w:proofErr w:type="spellStart"/>
      <w:r>
        <w:t>Zilucoplan</w:t>
      </w:r>
      <w:proofErr w:type="spellEnd"/>
      <w:r>
        <w:t xml:space="preserve"> also inhibited C5 with variants known to confer resistance to eculizumab. Although the mechanism of its action is well understood, as is the role for complement in myasthenia gravis, no animal models for efficacy were presented.</w:t>
      </w:r>
    </w:p>
    <w:p w14:paraId="5783FDD7" w14:textId="77777777" w:rsidR="00C57B82" w:rsidRDefault="00C57B82" w:rsidP="00C57B82">
      <w:r>
        <w:t xml:space="preserve">In secondary pharmacology studies </w:t>
      </w:r>
      <w:proofErr w:type="spellStart"/>
      <w:r>
        <w:t>zilucoplan</w:t>
      </w:r>
      <w:proofErr w:type="spellEnd"/>
      <w:r>
        <w:t xml:space="preserve"> demonstrated antagonism of the orexin-1 receptor (IC</w:t>
      </w:r>
      <w:r w:rsidRPr="0007027B">
        <w:rPr>
          <w:vertAlign w:val="subscript"/>
        </w:rPr>
        <w:t>50</w:t>
      </w:r>
      <w:r>
        <w:t xml:space="preserve"> 44µM), CCK2 receptor (62% inhibition 30µM) and the GABA transporter (IC</w:t>
      </w:r>
      <w:r w:rsidRPr="0007027B">
        <w:rPr>
          <w:vertAlign w:val="subscript"/>
        </w:rPr>
        <w:t>50</w:t>
      </w:r>
      <w:r>
        <w:t xml:space="preserve"> 11 µM). RA102758 was an antagonist at CCK1 receptor (57.4% inhibition at 30 µM). No other off-target findings were </w:t>
      </w:r>
      <w:proofErr w:type="gramStart"/>
      <w:r>
        <w:t>noted</w:t>
      </w:r>
      <w:proofErr w:type="gramEnd"/>
      <w:r>
        <w:t xml:space="preserve"> and the relevant concentrations were much higher than the clinical concentration (i.e. unlikely to be of concern).</w:t>
      </w:r>
    </w:p>
    <w:p w14:paraId="1A18BE34" w14:textId="3BC46104" w:rsidR="00C57B82" w:rsidRDefault="00C57B82" w:rsidP="00C57B82">
      <w:r>
        <w:t xml:space="preserve">The cynomolgus monkey was a suitably sensitive animal species in terms of </w:t>
      </w:r>
      <w:r w:rsidR="0007027B">
        <w:t>pharmacokinetics (</w:t>
      </w:r>
      <w:r>
        <w:t>PK</w:t>
      </w:r>
      <w:r w:rsidR="0007027B">
        <w:t>)</w:t>
      </w:r>
      <w:r>
        <w:t xml:space="preserve">, protein binding and actions on complement of </w:t>
      </w:r>
      <w:proofErr w:type="spellStart"/>
      <w:r>
        <w:t>zilucoplan</w:t>
      </w:r>
      <w:proofErr w:type="spellEnd"/>
      <w:r>
        <w:t xml:space="preserve">. </w:t>
      </w:r>
    </w:p>
    <w:p w14:paraId="42459C0B" w14:textId="77777777" w:rsidR="00C57B82" w:rsidRDefault="00C57B82" w:rsidP="00C57B82">
      <w:r>
        <w:t xml:space="preserve">Safety pharmacology studies in cynomolgus monkeys showed no adverse effects on CNS, cardiovascular or respiratory function at exposures of 5 – 6 times the clinical exposure for </w:t>
      </w:r>
      <w:proofErr w:type="spellStart"/>
      <w:r>
        <w:t>zilucoplan</w:t>
      </w:r>
      <w:proofErr w:type="spellEnd"/>
      <w:r>
        <w:t>.</w:t>
      </w:r>
    </w:p>
    <w:p w14:paraId="038032F5" w14:textId="77777777" w:rsidR="00C57B82" w:rsidRDefault="00C57B82" w:rsidP="00C57B82">
      <w:r>
        <w:t>In vitro studies demonstrated that CYP 4F2 is mainly responsible for ω-hydroxylation of the palmitic acid moiety. The PEG moiety is expected to be excreted in the urine. The peptide-PEG bond undergoes hydrolysis, with the peptide component likely rapidly metabolised after formation. Mass balance studies indicated that the palmitic acid moiety (or metabolite or modification thereof) is mainly found in fat, with a smaller proportion excreted in the faeces.</w:t>
      </w:r>
    </w:p>
    <w:p w14:paraId="682F9620" w14:textId="6B346B9C" w:rsidR="00C57B82" w:rsidRDefault="00C57B82" w:rsidP="00FA29A8">
      <w:r>
        <w:t xml:space="preserve">In vitro studies were conducted to examine </w:t>
      </w:r>
      <w:proofErr w:type="spellStart"/>
      <w:r>
        <w:t>zilucoplan</w:t>
      </w:r>
      <w:proofErr w:type="spellEnd"/>
      <w:r>
        <w:t xml:space="preserve"> and metabolites as substrates and inhibitor/inducers of various CYPs, UGTs and transporters. As mentioned </w:t>
      </w:r>
      <w:proofErr w:type="spellStart"/>
      <w:r>
        <w:t>zilucoplan</w:t>
      </w:r>
      <w:proofErr w:type="spellEnd"/>
      <w:r>
        <w:t xml:space="preserve"> is a substrate for CYP4F2, however this is not expected to be clinically relevant. </w:t>
      </w:r>
      <w:proofErr w:type="spellStart"/>
      <w:r>
        <w:t>Zilucoplan</w:t>
      </w:r>
      <w:proofErr w:type="spellEnd"/>
      <w:r>
        <w:t xml:space="preserve"> did show inhibitory activity against the MRP3 </w:t>
      </w:r>
      <w:proofErr w:type="gramStart"/>
      <w:r>
        <w:t>transporter</w:t>
      </w:r>
      <w:proofErr w:type="gramEnd"/>
      <w:r>
        <w:t xml:space="preserve"> and the significance remains uncertain (not clinical studies subsequently conducted). The </w:t>
      </w:r>
      <w:r w:rsidR="00E00575">
        <w:t>nonclinical</w:t>
      </w:r>
      <w:r>
        <w:t xml:space="preserve"> </w:t>
      </w:r>
      <w:r w:rsidR="000333D3">
        <w:t>E</w:t>
      </w:r>
      <w:r>
        <w:t>valuator</w:t>
      </w:r>
      <w:r w:rsidR="000333D3">
        <w:rPr>
          <w:rStyle w:val="FootnoteReference"/>
        </w:rPr>
        <w:footnoteReference w:id="2"/>
      </w:r>
      <w:r>
        <w:t xml:space="preserve"> noted that EMA guidelines do not require specific investigation of this transporter. Overall </w:t>
      </w:r>
      <w:proofErr w:type="spellStart"/>
      <w:r>
        <w:t>zilucoplan</w:t>
      </w:r>
      <w:proofErr w:type="spellEnd"/>
      <w:r>
        <w:t xml:space="preserve"> and metabolites are predicted to have minimal effect on exposures to co-administered drugs that are subjects of major CYPs, UGTs and transporters.</w:t>
      </w:r>
    </w:p>
    <w:p w14:paraId="049F4184" w14:textId="77777777" w:rsidR="00C57B82" w:rsidRDefault="00C57B82" w:rsidP="00C57B82">
      <w:r>
        <w:t xml:space="preserve">Repeat dose toxicity studies were conducted in rats (4 weeks) and cynomolgus monkeys (4 weeks, 13 weeks, 39 weeks) with </w:t>
      </w:r>
      <w:proofErr w:type="spellStart"/>
      <w:r>
        <w:t>zilucoplan</w:t>
      </w:r>
      <w:proofErr w:type="spellEnd"/>
      <w:r>
        <w:t xml:space="preserve"> being given daily via the subcutaneous route. Whilst the rat was not considered a sensitive species, it can provide information about off-target effects (noting, however, that the rat study may be too short to capture some the toxicities).</w:t>
      </w:r>
    </w:p>
    <w:p w14:paraId="6CA10A0A" w14:textId="77777777" w:rsidR="00C57B82" w:rsidRDefault="00C57B82" w:rsidP="00C57B82">
      <w:r>
        <w:t>Exposures significantly higher than the human clinical exposure were achieved in both species.</w:t>
      </w:r>
    </w:p>
    <w:p w14:paraId="790B1E76" w14:textId="222D9637" w:rsidR="00C57B82" w:rsidRDefault="00C57B82" w:rsidP="00FA29A8">
      <w:r>
        <w:t xml:space="preserve">The major toxicities found in the </w:t>
      </w:r>
      <w:proofErr w:type="gramStart"/>
      <w:r>
        <w:t>39 week</w:t>
      </w:r>
      <w:proofErr w:type="gramEnd"/>
      <w:r>
        <w:t xml:space="preserve"> monkey study involved epithelial tissues, pancreas, liver, thymus and uterus. The findings were reversible or showed a trend towards reversibility. The Sponsor claimed that many of these findings were related to opportunistic infection, however the </w:t>
      </w:r>
      <w:r w:rsidR="00FF6746">
        <w:t>nonclinical</w:t>
      </w:r>
      <w:r>
        <w:t xml:space="preserve"> evaluator considered this less likely on the basis that such infections </w:t>
      </w:r>
      <w:r>
        <w:lastRenderedPageBreak/>
        <w:t>were not documented, a clear dose-response was evident (despite near complete complement inhibition at less than maximal doses) and similar findings have not been seen with other C5 inhibitors. Whether any of this toxicity is related to unnatural amino acids in the peptide moiety is unknown.</w:t>
      </w:r>
    </w:p>
    <w:p w14:paraId="3A9C8662" w14:textId="3B8C5939" w:rsidR="00C57B82" w:rsidRDefault="00C57B82" w:rsidP="00FA29A8">
      <w:pPr>
        <w:pStyle w:val="ListBullet"/>
      </w:pPr>
      <w:r>
        <w:t xml:space="preserve">Epithelial tissues – mainly seen in the </w:t>
      </w:r>
      <w:proofErr w:type="gramStart"/>
      <w:r>
        <w:t>39 week</w:t>
      </w:r>
      <w:proofErr w:type="gramEnd"/>
      <w:r>
        <w:t xml:space="preserve"> monkey study, findings included vesicular degeneration of the tongue, female genital tract (cervix, which also involved metaplasia, vagina) and skin. </w:t>
      </w:r>
      <w:r w:rsidRPr="00FA29A8">
        <w:t>These</w:t>
      </w:r>
      <w:r>
        <w:t xml:space="preserve"> were seen at exposures </w:t>
      </w:r>
      <w:proofErr w:type="gramStart"/>
      <w:r>
        <w:t>similar to</w:t>
      </w:r>
      <w:proofErr w:type="gramEnd"/>
      <w:r>
        <w:t xml:space="preserve"> approximately 2-fold higher than the human exposure. Two animals at the highest dose (exposure ratio</w:t>
      </w:r>
      <w:r w:rsidR="000A3653">
        <w:t xml:space="preserve"> [ER]</w:t>
      </w:r>
      <w:r>
        <w:t xml:space="preserve"> for AUC = 7) were terminated prematurely due to the severity of skin erosions and ulcerations.</w:t>
      </w:r>
    </w:p>
    <w:p w14:paraId="21DC3EA3" w14:textId="77777777" w:rsidR="00C57B82" w:rsidRDefault="00C57B82" w:rsidP="00FF6746">
      <w:pPr>
        <w:pStyle w:val="ListBullet"/>
      </w:pPr>
      <w:r>
        <w:t>Inflammatory infiltrates – seen in multiple organs including the pancreas, kidney, tongue, gallbladder, parathyroid gland, uterus, lung, oesophagus, salivary gland, thyroid, rectum, ileum, stomach and urinary bladder (ER for AUC = 0.4). Dose dependant increases in severity were observed. Increased cellularity was seen in the thymus.</w:t>
      </w:r>
    </w:p>
    <w:p w14:paraId="195BAF4F" w14:textId="77777777" w:rsidR="00C57B82" w:rsidRDefault="00C57B82" w:rsidP="00FA29A8">
      <w:pPr>
        <w:pStyle w:val="ListBullet"/>
      </w:pPr>
      <w:r>
        <w:t xml:space="preserve">Pancreas – pancreatic acinar cell degeneration with fibrosis/fibroplasia and elevated lipase/amylase was seen in some monkeys (ER for AUC = 2.1) in the </w:t>
      </w:r>
      <w:proofErr w:type="gramStart"/>
      <w:r>
        <w:t>39 week</w:t>
      </w:r>
      <w:proofErr w:type="gramEnd"/>
      <w:r>
        <w:t xml:space="preserve"> study. In the </w:t>
      </w:r>
      <w:proofErr w:type="gramStart"/>
      <w:r>
        <w:t>13 week</w:t>
      </w:r>
      <w:proofErr w:type="gramEnd"/>
      <w:r>
        <w:t xml:space="preserve"> monkey study one animal had clear pancreatitis (ER for AUC = 13). In the </w:t>
      </w:r>
      <w:proofErr w:type="gramStart"/>
      <w:r>
        <w:t>shorter term</w:t>
      </w:r>
      <w:proofErr w:type="gramEnd"/>
      <w:r>
        <w:t xml:space="preserve"> studies, related biochemical changes were consistently seen. The module 4 evaluator notes that from a nonclinical perspective </w:t>
      </w:r>
      <w:proofErr w:type="spellStart"/>
      <w:r>
        <w:t>zilucoplan</w:t>
      </w:r>
      <w:proofErr w:type="spellEnd"/>
      <w:r>
        <w:t xml:space="preserve"> is </w:t>
      </w:r>
      <w:r w:rsidRPr="00FA29A8">
        <w:t>implicated</w:t>
      </w:r>
      <w:r>
        <w:t xml:space="preserve"> as a cause of pancreatitis and that this is reflected in the US label (but not the proposed Australian PI).</w:t>
      </w:r>
    </w:p>
    <w:p w14:paraId="6D613719" w14:textId="77777777" w:rsidR="00C57B82" w:rsidRDefault="00C57B82" w:rsidP="00FA29A8">
      <w:pPr>
        <w:pStyle w:val="ListBullet"/>
      </w:pPr>
      <w:r>
        <w:t xml:space="preserve">Liver – in the high dose group in the </w:t>
      </w:r>
      <w:proofErr w:type="gramStart"/>
      <w:r>
        <w:t>13 week</w:t>
      </w:r>
      <w:proofErr w:type="gramEnd"/>
      <w:r>
        <w:t xml:space="preserve"> monkey </w:t>
      </w:r>
      <w:r w:rsidRPr="00FA29A8">
        <w:t>study</w:t>
      </w:r>
      <w:r>
        <w:t xml:space="preserve"> all animals had elevated liver enzymes, although consistent histopathological findings were not seen.</w:t>
      </w:r>
    </w:p>
    <w:p w14:paraId="458BAC46" w14:textId="77777777" w:rsidR="00C57B82" w:rsidRDefault="00C57B82" w:rsidP="00FF6746">
      <w:pPr>
        <w:pStyle w:val="ListBullet"/>
      </w:pPr>
      <w:r>
        <w:t>Uterus – endometrial degeneration was seen (ER for AUC = 1.1). At a higher exposure (ER for AUC = 7) the severity was marked, with loss of glandular mucosal structure and mononuclear infiltrates.</w:t>
      </w:r>
    </w:p>
    <w:p w14:paraId="75195BA2" w14:textId="3155C624" w:rsidR="00C57B82" w:rsidRDefault="00C57B82" w:rsidP="00FA29A8">
      <w:r>
        <w:t xml:space="preserve">Injection site reactions were more severe with formulations containing higher </w:t>
      </w:r>
      <w:proofErr w:type="spellStart"/>
      <w:r>
        <w:t>zilucoplan</w:t>
      </w:r>
      <w:proofErr w:type="spellEnd"/>
      <w:r>
        <w:t xml:space="preserve"> concentrations.</w:t>
      </w:r>
    </w:p>
    <w:p w14:paraId="68DD511B" w14:textId="3426CA8A" w:rsidR="00C57B82" w:rsidRDefault="00C57B82" w:rsidP="00FA29A8">
      <w:r>
        <w:t xml:space="preserve">Genotoxicity – the AMES test and in vivo study (rat micronucleus) </w:t>
      </w:r>
      <w:r w:rsidR="00FF6746">
        <w:t xml:space="preserve">- </w:t>
      </w:r>
      <w:r>
        <w:t xml:space="preserve">were negative. The in vitro </w:t>
      </w:r>
      <w:proofErr w:type="spellStart"/>
      <w:r>
        <w:t>clastogenicity</w:t>
      </w:r>
      <w:proofErr w:type="spellEnd"/>
      <w:r>
        <w:t xml:space="preserve"> study using human lymphocytes found an equivocal result due to a dose-response being observed despite all values being within the historical control range. The nonclinical evaluator considered that, in this situation, the in vivo results should override the in vitro findings. The genotoxicity of the unnatural amino acids found in </w:t>
      </w:r>
      <w:proofErr w:type="spellStart"/>
      <w:r>
        <w:t>zilucoplan</w:t>
      </w:r>
      <w:proofErr w:type="spellEnd"/>
      <w:r>
        <w:t xml:space="preserve"> was only tested in silico and no alerts were present.</w:t>
      </w:r>
    </w:p>
    <w:p w14:paraId="0D7D715F" w14:textId="77777777" w:rsidR="00C57B82" w:rsidRDefault="00C57B82" w:rsidP="00C57B82">
      <w:r>
        <w:t>Carcinogenicity – no rodent carcinogenicity studies were conducted due to that specie’s lack of on-target relevance. The Sponsor believes that the overall weight of evidence (i.e. pre-clinical and clinical data, as well as understanding from other C5 inhibitors) is consistent with a low concern for carcinogenic potential.</w:t>
      </w:r>
    </w:p>
    <w:p w14:paraId="282791D9" w14:textId="66A94071" w:rsidR="00C57B82" w:rsidRDefault="00C57B82" w:rsidP="00FA29A8">
      <w:r>
        <w:t xml:space="preserve">Reproductive and developmental toxicity – male fertility and enhanced pre- and postnatal studies were conducted at concentrations </w:t>
      </w:r>
      <w:proofErr w:type="gramStart"/>
      <w:r>
        <w:t>similar to</w:t>
      </w:r>
      <w:proofErr w:type="gramEnd"/>
      <w:r>
        <w:t xml:space="preserve"> and up to </w:t>
      </w:r>
      <w:r w:rsidR="00B65117">
        <w:t>8 times</w:t>
      </w:r>
      <w:r>
        <w:t xml:space="preserve"> the expected human exposures</w:t>
      </w:r>
      <w:r w:rsidR="001D09D7">
        <w:t>.</w:t>
      </w:r>
    </w:p>
    <w:p w14:paraId="3FF7D647" w14:textId="77777777" w:rsidR="001D09D7" w:rsidRDefault="001D09D7" w:rsidP="00FA29A8">
      <w:r>
        <w:t>In the male fertility study minimal to slight unilateral or bilateral testicular germ cell depletion / degeneration was observed at all doses and did not recover after 8 weeks off treatment. The Sponsor argued this was consistent with background observations in the species, but it was noted that such findings were not seen in concurrent controls. Some problems with the study were documented (sperm number and quality not examined and some males in the study may have not reached sexual maturity). This toxicology finding is referenced in the EU and US product labels.</w:t>
      </w:r>
    </w:p>
    <w:p w14:paraId="21E438C9" w14:textId="77777777" w:rsidR="001D09D7" w:rsidRDefault="001D09D7" w:rsidP="001D09D7">
      <w:r>
        <w:lastRenderedPageBreak/>
        <w:t xml:space="preserve">No specific female fertility studies were conducted. Endometrial degeneration was noted in the </w:t>
      </w:r>
      <w:proofErr w:type="gramStart"/>
      <w:r>
        <w:t>above described</w:t>
      </w:r>
      <w:proofErr w:type="gramEnd"/>
      <w:r>
        <w:t xml:space="preserve"> toxicology studies.</w:t>
      </w:r>
    </w:p>
    <w:p w14:paraId="4B634C70" w14:textId="77777777" w:rsidR="001D09D7" w:rsidRDefault="001D09D7" w:rsidP="001D09D7">
      <w:r>
        <w:t>Placental transfer was minimal using an ex vivo model.</w:t>
      </w:r>
    </w:p>
    <w:p w14:paraId="306C3DA6" w14:textId="77777777" w:rsidR="00B65117" w:rsidRDefault="001D09D7" w:rsidP="00FA29A8">
      <w:r>
        <w:t>In the enhanced pre and postnatal development study, there was an increase in embryo-</w:t>
      </w:r>
      <w:proofErr w:type="spellStart"/>
      <w:r>
        <w:t>fetal</w:t>
      </w:r>
      <w:proofErr w:type="spellEnd"/>
      <w:r>
        <w:t xml:space="preserve"> death in all treatment groups and was higher than concurrent controls and historical data (based on being in categories of “can occur” and “unusual”). A relationship with treatment should be assumed according to the nonclinical evaluator. There were no effects on stillbirth or infant loss. No treatment related effects were noted in offspring (including on malformations, neuromuscular function, organ gross pathology, haematology and clinical chemistry). </w:t>
      </w:r>
    </w:p>
    <w:p w14:paraId="7B6CE852" w14:textId="061A0CDD" w:rsidR="001D09D7" w:rsidRDefault="001D09D7" w:rsidP="001D09D7">
      <w:r>
        <w:t>The nonclinical evaluator has proposed a pregnancy category of D.</w:t>
      </w:r>
    </w:p>
    <w:p w14:paraId="7E5A22CC" w14:textId="429F1AC9" w:rsidR="00B65117" w:rsidRPr="00C57B82" w:rsidRDefault="00B65117" w:rsidP="001D09D7">
      <w:r>
        <w:t>There were no objections to registration from a nonclinical perspective</w:t>
      </w:r>
      <w:r w:rsidR="00ED4EB1">
        <w:t>.</w:t>
      </w:r>
    </w:p>
    <w:p w14:paraId="35B580A5" w14:textId="40B226DC" w:rsidR="00C22214" w:rsidRDefault="00C22214" w:rsidP="00FA29A8">
      <w:pPr>
        <w:pStyle w:val="Heading3"/>
      </w:pPr>
      <w:bookmarkStart w:id="29" w:name="_Toc247691530"/>
      <w:bookmarkStart w:id="30" w:name="_Toc314842513"/>
      <w:bookmarkStart w:id="31" w:name="_Toc103679297"/>
      <w:bookmarkStart w:id="32" w:name="_Toc204004338"/>
      <w:r>
        <w:t>Clinical</w:t>
      </w:r>
      <w:bookmarkEnd w:id="29"/>
      <w:bookmarkEnd w:id="30"/>
      <w:bookmarkEnd w:id="31"/>
      <w:r w:rsidR="00095C6A">
        <w:t xml:space="preserve"> evaluation </w:t>
      </w:r>
      <w:r w:rsidR="00095C6A" w:rsidRPr="00FA29A8">
        <w:t>summary</w:t>
      </w:r>
      <w:bookmarkEnd w:id="32"/>
    </w:p>
    <w:p w14:paraId="346B7CEC" w14:textId="77777777" w:rsidR="008A2EAB" w:rsidRDefault="008A2EAB" w:rsidP="00B65117">
      <w:pPr>
        <w:pStyle w:val="Heading4"/>
      </w:pPr>
      <w:bookmarkStart w:id="33" w:name="_Toc204004339"/>
      <w:r>
        <w:t>Pharmacology</w:t>
      </w:r>
      <w:bookmarkEnd w:id="33"/>
    </w:p>
    <w:p w14:paraId="1AA42EE5" w14:textId="1F4F216E" w:rsidR="008A2EAB" w:rsidRDefault="008A2EAB" w:rsidP="00FA29A8">
      <w:pPr>
        <w:pStyle w:val="Heading5"/>
      </w:pPr>
      <w:r w:rsidRPr="00FA29A8">
        <w:t>Pharmacokinetics</w:t>
      </w:r>
    </w:p>
    <w:p w14:paraId="27A7D3C5" w14:textId="77777777" w:rsidR="008A2EAB" w:rsidRDefault="008A2EAB" w:rsidP="00FA29A8">
      <w:r>
        <w:t xml:space="preserve">In the PK studies, </w:t>
      </w:r>
      <w:proofErr w:type="spellStart"/>
      <w:r>
        <w:t>zilucoplan</w:t>
      </w:r>
      <w:proofErr w:type="spellEnd"/>
      <w:r>
        <w:t xml:space="preserve"> was measured along with 2 major plasma metabolites (RA102758 which is inactive and RA103488 which is active). From in vitro summaries it is known that </w:t>
      </w:r>
      <w:proofErr w:type="spellStart"/>
      <w:r>
        <w:t>zilucoplan</w:t>
      </w:r>
      <w:proofErr w:type="spellEnd"/>
      <w:r>
        <w:t xml:space="preserve"> is stable in human plasma. Hydrolysis appears to be the predominant metabolic pathway. Formation of the active metabolite RA103488 is by the omega-oxidation of </w:t>
      </w:r>
      <w:proofErr w:type="spellStart"/>
      <w:r>
        <w:t>zilucoplan</w:t>
      </w:r>
      <w:proofErr w:type="spellEnd"/>
      <w:r>
        <w:t xml:space="preserve">, mainly by CYP4F2. In vitro evaluations of </w:t>
      </w:r>
      <w:proofErr w:type="spellStart"/>
      <w:r>
        <w:t>zilucoplan</w:t>
      </w:r>
      <w:proofErr w:type="spellEnd"/>
      <w:r>
        <w:t xml:space="preserve"> or RA102758 to affect various CYPs, UGTs and transporters suggest interactions are unlikely (where </w:t>
      </w:r>
      <w:proofErr w:type="spellStart"/>
      <w:r>
        <w:t>zilucoplan</w:t>
      </w:r>
      <w:proofErr w:type="spellEnd"/>
      <w:r>
        <w:t xml:space="preserve"> or metabolite act as “perpetrators”). </w:t>
      </w:r>
      <w:proofErr w:type="spellStart"/>
      <w:r>
        <w:t>Zilucoplan</w:t>
      </w:r>
      <w:proofErr w:type="spellEnd"/>
      <w:r>
        <w:t xml:space="preserve"> is not a substrate of major CYPs, </w:t>
      </w:r>
      <w:proofErr w:type="spellStart"/>
      <w:r>
        <w:t>Pgp</w:t>
      </w:r>
      <w:proofErr w:type="spellEnd"/>
      <w:r>
        <w:t>, BCRP, OATP1B1 or OATP1B3. It is highly bound to plasma proteins (unbound fraction &lt; 1% for the parent and metabolites).</w:t>
      </w:r>
    </w:p>
    <w:p w14:paraId="6C73F877" w14:textId="77777777" w:rsidR="008A2EAB" w:rsidRDefault="008A2EAB" w:rsidP="008A2EAB">
      <w:r>
        <w:t>The qualitative and quantitative composition of the formulation used during the clinical studies described below has remained unchanged.</w:t>
      </w:r>
    </w:p>
    <w:p w14:paraId="0966FEBA" w14:textId="380FED82" w:rsidR="008A2EAB" w:rsidRDefault="008A2EAB" w:rsidP="00FA29A8">
      <w:r>
        <w:t xml:space="preserve">Study UP0112 was a phase 1 single ascending and multiple ascending dose study in healthy volunteers. Single doses were 0.05, 0.1, 0.2 and 0.4mg/kg. The only multiple </w:t>
      </w:r>
      <w:proofErr w:type="gramStart"/>
      <w:r>
        <w:t>dose</w:t>
      </w:r>
      <w:proofErr w:type="gramEnd"/>
      <w:r>
        <w:t xml:space="preserve"> studied was 0.2mg/kg. Following single doses (Table 2), </w:t>
      </w:r>
      <w:proofErr w:type="spellStart"/>
      <w:r>
        <w:t>C</w:t>
      </w:r>
      <w:r w:rsidRPr="00B65117">
        <w:rPr>
          <w:vertAlign w:val="subscript"/>
        </w:rPr>
        <w:t>max</w:t>
      </w:r>
      <w:proofErr w:type="spellEnd"/>
      <w:r>
        <w:t xml:space="preserve"> increase was approximately dose proportional whereas </w:t>
      </w:r>
      <w:proofErr w:type="spellStart"/>
      <w:r>
        <w:t>AUClast</w:t>
      </w:r>
      <w:proofErr w:type="spellEnd"/>
      <w:r>
        <w:t xml:space="preserve"> was less than dose proportional. Clearance increased with increasing dose and the volume of distribution ranged from 62mL/kg to 105 mL/kg (i.e. small volume of distribution). </w:t>
      </w:r>
      <w:proofErr w:type="spellStart"/>
      <w:r>
        <w:t>Half life</w:t>
      </w:r>
      <w:proofErr w:type="spellEnd"/>
      <w:r>
        <w:t xml:space="preserve"> ranged from 155.6h to 185.4h. Following 7 days of dosing (Figure 2) the accumulation index (for both </w:t>
      </w:r>
      <w:proofErr w:type="spellStart"/>
      <w:r>
        <w:t>AUC</w:t>
      </w:r>
      <w:r w:rsidRPr="00746F91">
        <w:rPr>
          <w:vertAlign w:val="subscript"/>
        </w:rPr>
        <w:t>τ</w:t>
      </w:r>
      <w:proofErr w:type="spellEnd"/>
      <w:r>
        <w:t xml:space="preserve"> and </w:t>
      </w:r>
      <w:proofErr w:type="spellStart"/>
      <w:r>
        <w:t>C</w:t>
      </w:r>
      <w:r w:rsidRPr="00B65117">
        <w:rPr>
          <w:vertAlign w:val="subscript"/>
        </w:rPr>
        <w:t>max</w:t>
      </w:r>
      <w:proofErr w:type="spellEnd"/>
      <w:r>
        <w:t xml:space="preserve">) was approximately 3. Whilst the </w:t>
      </w:r>
      <w:proofErr w:type="spellStart"/>
      <w:r>
        <w:t>half life</w:t>
      </w:r>
      <w:proofErr w:type="spellEnd"/>
      <w:r>
        <w:t xml:space="preserve"> would suggest that steady state would not be reached by 7 days, the concentration appeared to be plateauing. Of note, the volume of distribution increased substantially following multiple doses (312 mL/kg).</w:t>
      </w:r>
    </w:p>
    <w:p w14:paraId="29BCB4B2" w14:textId="3A7841AF" w:rsidR="00F07304" w:rsidRDefault="00402A67" w:rsidP="00FA29A8">
      <w:pPr>
        <w:pStyle w:val="TableTitle"/>
      </w:pPr>
      <w:r w:rsidRPr="00402A67">
        <w:lastRenderedPageBreak/>
        <w:t>Table 2</w:t>
      </w:r>
      <w:r w:rsidR="00B2530F">
        <w:t>.</w:t>
      </w:r>
      <w:r w:rsidRPr="00402A67">
        <w:t xml:space="preserve"> Summary PK parameters following single doses in UP0112</w:t>
      </w:r>
    </w:p>
    <w:p w14:paraId="72A0D36D" w14:textId="0DDC8442" w:rsidR="00F07304" w:rsidRDefault="00F07304" w:rsidP="00FA29A8">
      <w:r>
        <w:rPr>
          <w:noProof/>
        </w:rPr>
        <w:drawing>
          <wp:inline distT="0" distB="0" distL="0" distR="0" wp14:anchorId="5FCA9770" wp14:editId="601277B4">
            <wp:extent cx="5214620" cy="5417820"/>
            <wp:effectExtent l="0" t="0" r="5080" b="0"/>
            <wp:docPr id="276170573" name="Image 11" descr="Table 2. Summary PK parameters following single doses in UP0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170573" name="Image 11" descr="Table 2. Summary PK parameters following single doses in UP0112"/>
                    <pic:cNvPicPr/>
                  </pic:nvPicPr>
                  <pic:blipFill rotWithShape="1">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t="974"/>
                    <a:stretch/>
                  </pic:blipFill>
                  <pic:spPr bwMode="auto">
                    <a:xfrm>
                      <a:off x="0" y="0"/>
                      <a:ext cx="5214620" cy="5417820"/>
                    </a:xfrm>
                    <a:prstGeom prst="rect">
                      <a:avLst/>
                    </a:prstGeom>
                    <a:ln>
                      <a:noFill/>
                    </a:ln>
                    <a:extLst>
                      <a:ext uri="{53640926-AAD7-44D8-BBD7-CCE9431645EC}">
                        <a14:shadowObscured xmlns:a14="http://schemas.microsoft.com/office/drawing/2010/main"/>
                      </a:ext>
                    </a:extLst>
                  </pic:spPr>
                </pic:pic>
              </a:graphicData>
            </a:graphic>
          </wp:inline>
        </w:drawing>
      </w:r>
    </w:p>
    <w:p w14:paraId="36BDF9A4" w14:textId="2AF4B74E" w:rsidR="00190612" w:rsidRDefault="00190612" w:rsidP="00FA29A8">
      <w:pPr>
        <w:pStyle w:val="FigureTitle"/>
      </w:pPr>
      <w:r w:rsidRPr="00190612">
        <w:lastRenderedPageBreak/>
        <w:t>Figure 2</w:t>
      </w:r>
      <w:r>
        <w:t>.</w:t>
      </w:r>
      <w:r w:rsidRPr="00190612">
        <w:t xml:space="preserve"> Semi-log </w:t>
      </w:r>
      <w:proofErr w:type="gramStart"/>
      <w:r w:rsidRPr="00190612">
        <w:t>mean</w:t>
      </w:r>
      <w:proofErr w:type="gramEnd"/>
      <w:r w:rsidRPr="00190612">
        <w:t xml:space="preserve"> </w:t>
      </w:r>
      <w:proofErr w:type="spellStart"/>
      <w:r w:rsidRPr="00190612">
        <w:t>zilucoplan</w:t>
      </w:r>
      <w:proofErr w:type="spellEnd"/>
      <w:r w:rsidR="00B2530F">
        <w:t xml:space="preserve"> (RA101405)</w:t>
      </w:r>
      <w:r w:rsidRPr="00190612">
        <w:t xml:space="preserve"> </w:t>
      </w:r>
      <w:r w:rsidRPr="00FA29A8">
        <w:t>concentration</w:t>
      </w:r>
      <w:r w:rsidRPr="00190612">
        <w:t xml:space="preserve"> over time following 0.2mg/kg/day for 7 days </w:t>
      </w:r>
      <w:r>
        <w:t xml:space="preserve">(study </w:t>
      </w:r>
      <w:r w:rsidRPr="00190612">
        <w:t>UP0112</w:t>
      </w:r>
      <w:r>
        <w:t>)</w:t>
      </w:r>
    </w:p>
    <w:p w14:paraId="1334D620" w14:textId="1DFCC063" w:rsidR="000A125C" w:rsidRDefault="003057DE" w:rsidP="00FA29A8">
      <w:r>
        <w:rPr>
          <w:noProof/>
        </w:rPr>
        <w:drawing>
          <wp:inline distT="0" distB="0" distL="0" distR="0" wp14:anchorId="046D6744" wp14:editId="791C8413">
            <wp:extent cx="5759450" cy="3382010"/>
            <wp:effectExtent l="0" t="0" r="0" b="8890"/>
            <wp:docPr id="723046899" name="Picture 1" descr="Figure 2. Semi-log mean zilucoplan (RA101405) concentration over time following 0.2mg/kg/day for 7 days (study UP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46899" name="Picture 1" descr="Figure 2. Semi-log mean zilucoplan (RA101405) concentration over time following 0.2mg/kg/day for 7 days (study UP0112)"/>
                    <pic:cNvPicPr/>
                  </pic:nvPicPr>
                  <pic:blipFill>
                    <a:blip r:embed="rId26"/>
                    <a:stretch>
                      <a:fillRect/>
                    </a:stretch>
                  </pic:blipFill>
                  <pic:spPr>
                    <a:xfrm>
                      <a:off x="0" y="0"/>
                      <a:ext cx="5759450" cy="3382010"/>
                    </a:xfrm>
                    <a:prstGeom prst="rect">
                      <a:avLst/>
                    </a:prstGeom>
                  </pic:spPr>
                </pic:pic>
              </a:graphicData>
            </a:graphic>
          </wp:inline>
        </w:drawing>
      </w:r>
    </w:p>
    <w:p w14:paraId="4B1030FC" w14:textId="573810AB" w:rsidR="000A125C" w:rsidRDefault="00FE122A" w:rsidP="00FA29A8">
      <w:pPr>
        <w:pStyle w:val="FigureDescription"/>
      </w:pPr>
      <w:r w:rsidRPr="00FE122A">
        <w:t>Error bars represent the SD.</w:t>
      </w:r>
    </w:p>
    <w:p w14:paraId="435A43BF" w14:textId="77777777" w:rsidR="005A30B3" w:rsidRDefault="005A30B3" w:rsidP="00FA29A8">
      <w:r>
        <w:t xml:space="preserve">Following 7 days of dosing, the active metabolite RA103488 was present at 16% of </w:t>
      </w:r>
      <w:proofErr w:type="spellStart"/>
      <w:r>
        <w:t>zilucoplan</w:t>
      </w:r>
      <w:proofErr w:type="spellEnd"/>
      <w:r>
        <w:t xml:space="preserve"> concentration and the inactive metabolite at 12% (these values do not appear to be corrected for molecular weight, however RA103488 has a very similar MW to </w:t>
      </w:r>
      <w:proofErr w:type="spellStart"/>
      <w:r>
        <w:t>zilucoplan</w:t>
      </w:r>
      <w:proofErr w:type="spellEnd"/>
      <w:r>
        <w:t xml:space="preserve">). The kinetics of </w:t>
      </w:r>
      <w:proofErr w:type="spellStart"/>
      <w:r>
        <w:t>zilucoplan</w:t>
      </w:r>
      <w:proofErr w:type="spellEnd"/>
      <w:r>
        <w:t xml:space="preserve"> and the metabolites appeared to be similar.</w:t>
      </w:r>
    </w:p>
    <w:p w14:paraId="78E5D9BD" w14:textId="285317B1" w:rsidR="005A30B3" w:rsidRDefault="005A30B3" w:rsidP="00FA29A8">
      <w:r>
        <w:t xml:space="preserve">Study UP0113 was a phase 1 safety and tolerability study in healthy Japanese and healthy Caucasian participants. Single dose levels were 0.1 and 0.3mg/kg and multiple doses were dosed at 0.3mg/kg/day. Following single </w:t>
      </w:r>
      <w:r w:rsidR="00ED56F6">
        <w:t>doses,</w:t>
      </w:r>
      <w:r>
        <w:t xml:space="preserve"> the geometric mean ratios for AUC were 114- 126% consistent with slightly higher exposure to </w:t>
      </w:r>
      <w:proofErr w:type="spellStart"/>
      <w:r>
        <w:t>zilucoplan</w:t>
      </w:r>
      <w:proofErr w:type="spellEnd"/>
      <w:r>
        <w:t xml:space="preserve"> in Japanese participants. Exposure to the active metabolite RA103488 was lower (mean ratios for AUC 70-84%) in Japanese participants. Following multiple </w:t>
      </w:r>
      <w:r w:rsidR="00ED56F6">
        <w:t>doses,</w:t>
      </w:r>
      <w:r>
        <w:t xml:space="preserve"> the </w:t>
      </w:r>
      <w:proofErr w:type="spellStart"/>
      <w:r>
        <w:t>AUC</w:t>
      </w:r>
      <w:r w:rsidRPr="00746F91">
        <w:rPr>
          <w:vertAlign w:val="subscript"/>
        </w:rPr>
        <w:t>τ</w:t>
      </w:r>
      <w:proofErr w:type="spellEnd"/>
      <w:r>
        <w:t xml:space="preserve"> geometric main ratio was 108% for </w:t>
      </w:r>
      <w:proofErr w:type="spellStart"/>
      <w:r>
        <w:t>zilucoplan</w:t>
      </w:r>
      <w:proofErr w:type="spellEnd"/>
      <w:r>
        <w:t xml:space="preserve"> and 78% for RA103488. Overall, exposures were similar in Caucasian and Japanese participants.</w:t>
      </w:r>
    </w:p>
    <w:p w14:paraId="24DF2252" w14:textId="77777777" w:rsidR="005A30B3" w:rsidRDefault="005A30B3" w:rsidP="00FA29A8">
      <w:r>
        <w:t xml:space="preserve">UP0094 was a phase 1 study of a single 0.3mg/kg dose of </w:t>
      </w:r>
      <w:proofErr w:type="spellStart"/>
      <w:r>
        <w:t>zilucoplan</w:t>
      </w:r>
      <w:proofErr w:type="spellEnd"/>
      <w:r>
        <w:t xml:space="preserve"> in participants with normal hepatic function and moderate hepatic impairment. Eight participants with moderate impairment (Child-Pugh 7-9) and eight with normal function were enrolled. </w:t>
      </w:r>
      <w:proofErr w:type="spellStart"/>
      <w:r>
        <w:t>Zilucoplan</w:t>
      </w:r>
      <w:proofErr w:type="spellEnd"/>
      <w:r>
        <w:t xml:space="preserve"> AUC geometric least squares mean ratio was 0.76 (90% CI 0.65-0.88) with hepatic impairment compared to normal hepatic function. </w:t>
      </w:r>
      <w:proofErr w:type="spellStart"/>
      <w:r>
        <w:t>Zilucoplan</w:t>
      </w:r>
      <w:proofErr w:type="spellEnd"/>
      <w:r>
        <w:t xml:space="preserve"> clearance mean ratio was 1.32 (90% CI 1.13- 1.55) consistent with slightly higher clearance with moderate hepatic impairment. Faecal excretion of </w:t>
      </w:r>
      <w:proofErr w:type="spellStart"/>
      <w:r>
        <w:t>zilucoplan</w:t>
      </w:r>
      <w:proofErr w:type="spellEnd"/>
      <w:r>
        <w:t xml:space="preserve"> and the active metabolite were assessed and found to be below the level of quantification.</w:t>
      </w:r>
    </w:p>
    <w:p w14:paraId="1F34649B" w14:textId="77777777" w:rsidR="005A30B3" w:rsidRDefault="005A30B3" w:rsidP="00FA29A8">
      <w:r>
        <w:t xml:space="preserve">Study UP0114 was a phase 1 study of a single 0.3mg/kg dose of </w:t>
      </w:r>
      <w:proofErr w:type="spellStart"/>
      <w:r>
        <w:t>zilucoplan</w:t>
      </w:r>
      <w:proofErr w:type="spellEnd"/>
      <w:r>
        <w:t xml:space="preserve"> in participants with normal renal function and severe renal impairment (8 participants in each group). The geometric least squares mean ratios comparing severe renal impairment and normal renal function were 0.87 for </w:t>
      </w:r>
      <w:proofErr w:type="spellStart"/>
      <w:r>
        <w:t>AUC</w:t>
      </w:r>
      <w:r w:rsidRPr="00351DE5">
        <w:rPr>
          <w:vertAlign w:val="subscript"/>
        </w:rPr>
        <w:t>last</w:t>
      </w:r>
      <w:proofErr w:type="spellEnd"/>
      <w:r>
        <w:t xml:space="preserve"> and 0.93 for </w:t>
      </w:r>
      <w:proofErr w:type="spellStart"/>
      <w:r>
        <w:t>C</w:t>
      </w:r>
      <w:r w:rsidRPr="00351DE5">
        <w:rPr>
          <w:vertAlign w:val="subscript"/>
        </w:rPr>
        <w:t>max</w:t>
      </w:r>
      <w:proofErr w:type="spellEnd"/>
      <w:r>
        <w:t xml:space="preserve"> (</w:t>
      </w:r>
      <w:proofErr w:type="spellStart"/>
      <w:r>
        <w:t>zilucoplan</w:t>
      </w:r>
      <w:proofErr w:type="spellEnd"/>
      <w:r>
        <w:t xml:space="preserve">) and 1.48 for </w:t>
      </w:r>
      <w:proofErr w:type="spellStart"/>
      <w:r>
        <w:t>AUC</w:t>
      </w:r>
      <w:r w:rsidRPr="00351DE5">
        <w:rPr>
          <w:vertAlign w:val="subscript"/>
        </w:rPr>
        <w:t>last</w:t>
      </w:r>
      <w:proofErr w:type="spellEnd"/>
      <w:r>
        <w:t xml:space="preserve"> and 1.47 for </w:t>
      </w:r>
      <w:proofErr w:type="spellStart"/>
      <w:r>
        <w:t>C</w:t>
      </w:r>
      <w:r w:rsidRPr="00351DE5">
        <w:rPr>
          <w:vertAlign w:val="subscript"/>
        </w:rPr>
        <w:t>max</w:t>
      </w:r>
      <w:proofErr w:type="spellEnd"/>
      <w:r>
        <w:t xml:space="preserve"> (RA103488). </w:t>
      </w:r>
      <w:proofErr w:type="spellStart"/>
      <w:r>
        <w:t>Zilucoplan</w:t>
      </w:r>
      <w:proofErr w:type="spellEnd"/>
      <w:r>
        <w:t>, RA103488 and RA102758 were minimally renally excreted in both the normal and severe renal impairment groups.</w:t>
      </w:r>
    </w:p>
    <w:p w14:paraId="3804465B" w14:textId="77777777" w:rsidR="005A30B3" w:rsidRDefault="005A30B3" w:rsidP="005A30B3">
      <w:r>
        <w:lastRenderedPageBreak/>
        <w:t xml:space="preserve">Study UP0115 evaluated the relative bioavailability of a single injection of </w:t>
      </w:r>
      <w:proofErr w:type="spellStart"/>
      <w:r>
        <w:t>zilucoplan</w:t>
      </w:r>
      <w:proofErr w:type="spellEnd"/>
      <w:r>
        <w:t xml:space="preserve"> at different administration sites. Three body sites were studied: abdomen (reference), thigh and upper arm (test sites). The ratios of exposure between the test sites and the abdomen and their 90% confidence intervals were consistent with bioequivalence (i.e. no effect of administration site).</w:t>
      </w:r>
    </w:p>
    <w:p w14:paraId="48F9241D" w14:textId="60B25235" w:rsidR="005A30B3" w:rsidRDefault="005A30B3" w:rsidP="00FA29A8">
      <w:pPr>
        <w:pStyle w:val="Heading5"/>
      </w:pPr>
      <w:r>
        <w:t xml:space="preserve">Population </w:t>
      </w:r>
      <w:r w:rsidR="003057DE" w:rsidRPr="00FA29A8">
        <w:t>pharmacokinetics</w:t>
      </w:r>
    </w:p>
    <w:p w14:paraId="18EB421B" w14:textId="3CADEEF6" w:rsidR="005A30B3" w:rsidRDefault="005A30B3" w:rsidP="00FA29A8">
      <w:r>
        <w:t xml:space="preserve">A population PK </w:t>
      </w:r>
      <w:r w:rsidR="003057DE">
        <w:t>(</w:t>
      </w:r>
      <w:proofErr w:type="spellStart"/>
      <w:r w:rsidR="003057DE" w:rsidRPr="003057DE">
        <w:t>popPK</w:t>
      </w:r>
      <w:proofErr w:type="spellEnd"/>
      <w:r w:rsidR="003057DE">
        <w:t>)</w:t>
      </w:r>
      <w:r w:rsidR="00746F91">
        <w:t xml:space="preserve"> </w:t>
      </w:r>
      <w:r>
        <w:t xml:space="preserve">analysis was performed using data from UP0112, UP0113, UP0114, UP0093, MG0009, MG0010. The final model was a 2-compartment model with first order absorption, followed by a target-mediated exposure enhancement model (without incorporating the C5 concentration). The model was implemented using the quasi-steady-state approximation to the target-mediated drug disposition equations and using only total </w:t>
      </w:r>
      <w:proofErr w:type="spellStart"/>
      <w:r>
        <w:t>zilucoplan</w:t>
      </w:r>
      <w:proofErr w:type="spellEnd"/>
      <w:r>
        <w:t xml:space="preserve"> concentrations.</w:t>
      </w:r>
    </w:p>
    <w:p w14:paraId="1453C9EC" w14:textId="77777777" w:rsidR="005A30B3" w:rsidRDefault="005A30B3" w:rsidP="00FA29A8">
      <w:r>
        <w:t xml:space="preserve">Estimated allometric coefficients were used to describe the effect of body weight on several PK parameters (clearance, intercompartmental clearance, central volume of distribution, peripheral volume of distribution). Other potential covariates investigated included age at baseline, sex, race and population (healthy vs. subjects with </w:t>
      </w:r>
      <w:proofErr w:type="spellStart"/>
      <w:r>
        <w:t>gMG</w:t>
      </w:r>
      <w:proofErr w:type="spellEnd"/>
      <w:r>
        <w:t xml:space="preserve">). None of these covariates were found to significantly influence clearance or </w:t>
      </w:r>
      <w:proofErr w:type="spellStart"/>
      <w:r>
        <w:t>R</w:t>
      </w:r>
      <w:r w:rsidRPr="003057DE">
        <w:rPr>
          <w:vertAlign w:val="subscript"/>
        </w:rPr>
        <w:t>max</w:t>
      </w:r>
      <w:proofErr w:type="spellEnd"/>
      <w:r>
        <w:t xml:space="preserve"> (maximum target density) and were therefore not included in the final model.</w:t>
      </w:r>
    </w:p>
    <w:p w14:paraId="6D761A7B" w14:textId="77777777" w:rsidR="005A30B3" w:rsidRDefault="005A30B3" w:rsidP="005A30B3">
      <w:r>
        <w:t xml:space="preserve">The model was evaluated using goodness of fit plots and visual predictive checks (i.e. to confirm the model described the observed </w:t>
      </w:r>
      <w:proofErr w:type="spellStart"/>
      <w:r>
        <w:t>zilucoplan</w:t>
      </w:r>
      <w:proofErr w:type="spellEnd"/>
      <w:r>
        <w:t xml:space="preserve"> concentrations) and was adequate.</w:t>
      </w:r>
    </w:p>
    <w:p w14:paraId="3EE99B57" w14:textId="7AFD8411" w:rsidR="003547B9" w:rsidRDefault="005A30B3" w:rsidP="00FA29A8">
      <w:r>
        <w:t xml:space="preserve">The </w:t>
      </w:r>
      <w:proofErr w:type="spellStart"/>
      <w:r>
        <w:t>popPK</w:t>
      </w:r>
      <w:proofErr w:type="spellEnd"/>
      <w:r>
        <w:t xml:space="preserve"> model was used to explore the expected </w:t>
      </w:r>
      <w:proofErr w:type="spellStart"/>
      <w:r>
        <w:t>zilucoplan</w:t>
      </w:r>
      <w:proofErr w:type="spellEnd"/>
      <w:r>
        <w:t xml:space="preserve"> exposures within the three weight categories that determine the recommended daily dose. The distribution also gives information about the expected exposures for different weights within a particular weight category. The model expects exposures that are quite similar within the weight categories 43</w:t>
      </w:r>
      <w:r w:rsidR="00351DE5">
        <w:t xml:space="preserve">kg </w:t>
      </w:r>
      <w:r>
        <w:t>to&lt;56kg and 56</w:t>
      </w:r>
      <w:r w:rsidR="00351DE5">
        <w:t xml:space="preserve">kg </w:t>
      </w:r>
      <w:r>
        <w:t>to&lt;77kg (Figure 3). The weight category 77</w:t>
      </w:r>
      <w:r w:rsidR="003057DE">
        <w:t xml:space="preserve">kg </w:t>
      </w:r>
      <w:r>
        <w:t>to</w:t>
      </w:r>
      <w:r w:rsidR="003057DE">
        <w:t xml:space="preserve"> </w:t>
      </w:r>
      <w:r>
        <w:t xml:space="preserve">&lt;150kg has the broadest range of weights </w:t>
      </w:r>
      <w:r w:rsidR="00ED56F6">
        <w:t>and</w:t>
      </w:r>
      <w:r>
        <w:t xml:space="preserve"> as expected, those with the lower weights have a higher exposure than those with the highest weights. The model predicts steady state AUC for a patient weighing 150kg to have a minimum value of around 230 h*ng/</w:t>
      </w:r>
      <w:proofErr w:type="spellStart"/>
      <w:r>
        <w:t>mL.</w:t>
      </w:r>
      <w:proofErr w:type="spellEnd"/>
    </w:p>
    <w:p w14:paraId="00A0E967" w14:textId="77777777" w:rsidR="00FA29A8" w:rsidRDefault="00722DC6" w:rsidP="00FA29A8">
      <w:pPr>
        <w:pStyle w:val="FigureTitle"/>
      </w:pPr>
      <w:r w:rsidRPr="00722DC6">
        <w:lastRenderedPageBreak/>
        <w:t>Figure 3</w:t>
      </w:r>
      <w:r>
        <w:t>.</w:t>
      </w:r>
      <w:r w:rsidRPr="00722DC6">
        <w:t xml:space="preserve"> Distribution of steady state AUC by weight </w:t>
      </w:r>
      <w:r w:rsidRPr="00FA29A8">
        <w:t>using</w:t>
      </w:r>
      <w:r w:rsidRPr="00722DC6">
        <w:t xml:space="preserve"> the final </w:t>
      </w:r>
      <w:proofErr w:type="spellStart"/>
      <w:r w:rsidRPr="00722DC6">
        <w:t>popPK</w:t>
      </w:r>
      <w:proofErr w:type="spellEnd"/>
      <w:r w:rsidRPr="00722DC6">
        <w:t xml:space="preserve"> model</w:t>
      </w:r>
    </w:p>
    <w:p w14:paraId="5BBA34CB" w14:textId="3798EBF5" w:rsidR="002A6B7A" w:rsidRDefault="002A6B7A" w:rsidP="00FA29A8">
      <w:r>
        <w:rPr>
          <w:noProof/>
        </w:rPr>
        <w:drawing>
          <wp:inline distT="0" distB="0" distL="0" distR="0" wp14:anchorId="2B47D180" wp14:editId="041AFBA2">
            <wp:extent cx="5873750" cy="5041900"/>
            <wp:effectExtent l="0" t="0" r="0" b="6350"/>
            <wp:docPr id="1757786511" name="Image 13" descr="Figure 3. Distribution of steady state AUC by weight using the final popPK mod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7786511" name="Image 13" descr="Figure 3. Distribution of steady state AUC by weight using the final popPK model"/>
                    <pic:cNvPicPr/>
                  </pic:nvPicPr>
                  <pic:blipFill rotWithShape="1">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l="6764" r="6785" b="13423"/>
                    <a:stretch/>
                  </pic:blipFill>
                  <pic:spPr bwMode="auto">
                    <a:xfrm>
                      <a:off x="0" y="0"/>
                      <a:ext cx="5885374" cy="5051878"/>
                    </a:xfrm>
                    <a:prstGeom prst="rect">
                      <a:avLst/>
                    </a:prstGeom>
                    <a:ln>
                      <a:noFill/>
                    </a:ln>
                    <a:extLst>
                      <a:ext uri="{53640926-AAD7-44D8-BBD7-CCE9431645EC}">
                        <a14:shadowObscured xmlns:a14="http://schemas.microsoft.com/office/drawing/2010/main"/>
                      </a:ext>
                    </a:extLst>
                  </pic:spPr>
                </pic:pic>
              </a:graphicData>
            </a:graphic>
          </wp:inline>
        </w:drawing>
      </w:r>
    </w:p>
    <w:p w14:paraId="6FE2DCFD" w14:textId="1A343625" w:rsidR="00FE0145" w:rsidRDefault="00FE0145" w:rsidP="00FA29A8">
      <w:pPr>
        <w:pStyle w:val="FigureDescription"/>
      </w:pPr>
      <w:proofErr w:type="spellStart"/>
      <w:r w:rsidRPr="00FE0145">
        <w:t>popPK</w:t>
      </w:r>
      <w:proofErr w:type="spellEnd"/>
      <w:r>
        <w:t>=</w:t>
      </w:r>
      <w:r w:rsidRPr="00FE0145">
        <w:t>population pharmacokinetic; ZLP</w:t>
      </w:r>
      <w:r>
        <w:t>=</w:t>
      </w:r>
      <w:proofErr w:type="spellStart"/>
      <w:r w:rsidRPr="00FE0145">
        <w:t>zilucoplan</w:t>
      </w:r>
      <w:proofErr w:type="spellEnd"/>
    </w:p>
    <w:p w14:paraId="702EF749" w14:textId="37CB73F4" w:rsidR="00FE0145" w:rsidRDefault="00FE0145" w:rsidP="00FA29A8">
      <w:pPr>
        <w:pStyle w:val="FigureDescription"/>
      </w:pPr>
      <w:r w:rsidRPr="00FE0145">
        <w:t>Red line and blue are</w:t>
      </w:r>
      <w:r>
        <w:t>a=</w:t>
      </w:r>
      <w:r w:rsidRPr="00FE0145">
        <w:t xml:space="preserve">median and 90% of simulated values for patients sampled from the </w:t>
      </w:r>
      <w:proofErr w:type="spellStart"/>
      <w:r w:rsidRPr="00FE0145">
        <w:t>Nhanes</w:t>
      </w:r>
      <w:proofErr w:type="spellEnd"/>
      <w:r w:rsidRPr="00FE0145">
        <w:t xml:space="preserve"> database. Orange circles</w:t>
      </w:r>
      <w:r>
        <w:t>=</w:t>
      </w:r>
      <w:r w:rsidRPr="00FE0145">
        <w:t>individual predicted values; vertical black line</w:t>
      </w:r>
      <w:r>
        <w:t>=</w:t>
      </w:r>
      <w:r w:rsidRPr="00FE0145">
        <w:t>weights (56kg and 77kg) where dose changes from 16.6mg to 23mg to 32</w:t>
      </w:r>
      <w:r>
        <w:t>.4mg</w:t>
      </w:r>
      <w:r w:rsidR="00FE6E6E">
        <w:t>.</w:t>
      </w:r>
    </w:p>
    <w:p w14:paraId="772C1510" w14:textId="0F6C9180" w:rsidR="00FE6E6E" w:rsidRDefault="00FE6E6E" w:rsidP="00FA29A8">
      <w:pPr>
        <w:pStyle w:val="Heading5"/>
      </w:pPr>
      <w:r w:rsidRPr="00FA29A8">
        <w:t>Pharmacodynamics</w:t>
      </w:r>
    </w:p>
    <w:p w14:paraId="7823E1F0" w14:textId="77777777" w:rsidR="00FE6E6E" w:rsidRDefault="00FE6E6E" w:rsidP="00FA29A8">
      <w:r>
        <w:t xml:space="preserve">During the </w:t>
      </w:r>
      <w:proofErr w:type="spellStart"/>
      <w:r>
        <w:t>zilucoplan</w:t>
      </w:r>
      <w:proofErr w:type="spellEnd"/>
      <w:r>
        <w:t xml:space="preserve"> clinical development program, basic pharmacodynamic evaluation was achieved through measurement of </w:t>
      </w:r>
      <w:proofErr w:type="spellStart"/>
      <w:r>
        <w:t>sRBC</w:t>
      </w:r>
      <w:proofErr w:type="spellEnd"/>
      <w:r>
        <w:t xml:space="preserve"> (sheep red blood cell) lysis activity, CH</w:t>
      </w:r>
      <w:r w:rsidRPr="00351DE5">
        <w:rPr>
          <w:vertAlign w:val="subscript"/>
        </w:rPr>
        <w:t>50</w:t>
      </w:r>
      <w:r>
        <w:t xml:space="preserve"> (inhibition of 50% of lysis) and MAC production (via ELISA assay). </w:t>
      </w:r>
      <w:proofErr w:type="spellStart"/>
      <w:r>
        <w:t>sRBC</w:t>
      </w:r>
      <w:proofErr w:type="spellEnd"/>
      <w:r>
        <w:t xml:space="preserve"> lysis is considered sensitive </w:t>
      </w:r>
      <w:proofErr w:type="gramStart"/>
      <w:r>
        <w:t>and also</w:t>
      </w:r>
      <w:proofErr w:type="gramEnd"/>
      <w:r>
        <w:t xml:space="preserve"> highly relevant to the classical complement pathway and myasthenia gravis pathogenesis.</w:t>
      </w:r>
    </w:p>
    <w:p w14:paraId="139FA0E9" w14:textId="77777777" w:rsidR="00FE6E6E" w:rsidRDefault="00FE6E6E" w:rsidP="00FA29A8">
      <w:r>
        <w:t xml:space="preserve">Following single doses of </w:t>
      </w:r>
      <w:proofErr w:type="spellStart"/>
      <w:r>
        <w:t>zilucoplan</w:t>
      </w:r>
      <w:proofErr w:type="spellEnd"/>
      <w:r>
        <w:t xml:space="preserve"> in healthy participants in UP0112, </w:t>
      </w:r>
      <w:proofErr w:type="spellStart"/>
      <w:r>
        <w:t>sRBC</w:t>
      </w:r>
      <w:proofErr w:type="spellEnd"/>
      <w:r>
        <w:t xml:space="preserve"> lysis inhibition &gt; 90% was achieved with all doses ≥ 0.1mg/kg and then recovered over subsequent days (Figure 4).</w:t>
      </w:r>
    </w:p>
    <w:p w14:paraId="24D387E3" w14:textId="772C1C8C" w:rsidR="00FE6E6E" w:rsidRDefault="00FE6E6E" w:rsidP="00FA29A8">
      <w:pPr>
        <w:pStyle w:val="FigureTitle"/>
      </w:pPr>
      <w:r>
        <w:lastRenderedPageBreak/>
        <w:t>Figure 4</w:t>
      </w:r>
      <w:r w:rsidR="00FC2817">
        <w:t>.</w:t>
      </w:r>
      <w:r>
        <w:t xml:space="preserve"> </w:t>
      </w:r>
      <w:r w:rsidR="003057DE">
        <w:t>M</w:t>
      </w:r>
      <w:r>
        <w:t xml:space="preserve">ean </w:t>
      </w:r>
      <w:proofErr w:type="spellStart"/>
      <w:r>
        <w:t>sRBC</w:t>
      </w:r>
      <w:proofErr w:type="spellEnd"/>
      <w:r>
        <w:t xml:space="preserve"> lysis over time followin</w:t>
      </w:r>
      <w:r w:rsidR="00E53833">
        <w:t>g</w:t>
      </w:r>
      <w:r>
        <w:t xml:space="preserve"> single </w:t>
      </w:r>
      <w:r w:rsidRPr="00FA29A8">
        <w:t>injection</w:t>
      </w:r>
      <w:r>
        <w:t xml:space="preserve"> of </w:t>
      </w:r>
      <w:proofErr w:type="spellStart"/>
      <w:r>
        <w:t>zilucoplan</w:t>
      </w:r>
      <w:proofErr w:type="spellEnd"/>
      <w:r>
        <w:t xml:space="preserve"> </w:t>
      </w:r>
      <w:r w:rsidR="00EB303F">
        <w:t xml:space="preserve">(study </w:t>
      </w:r>
      <w:r>
        <w:t>UP0112</w:t>
      </w:r>
      <w:r w:rsidR="00EB303F">
        <w:t>)</w:t>
      </w:r>
    </w:p>
    <w:p w14:paraId="17069DDB" w14:textId="27AC14C3" w:rsidR="00C75443" w:rsidRDefault="00C75443" w:rsidP="00FA29A8">
      <w:r>
        <w:rPr>
          <w:noProof/>
        </w:rPr>
        <w:drawing>
          <wp:inline distT="0" distB="0" distL="0" distR="0" wp14:anchorId="26E8E04B" wp14:editId="354CC20D">
            <wp:extent cx="5731329" cy="3736470"/>
            <wp:effectExtent l="0" t="0" r="3175" b="0"/>
            <wp:docPr id="1755780341" name="Picture 3" descr="Figure 4. Mean sRBC lysis over time following single injection of zilucoplan (study UP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780341" name="Picture 3" descr="Figure 4. Mean sRBC lysis over time following single injection of zilucoplan (study UP0112)"/>
                    <pic:cNvPicPr>
                      <a:picLocks noChangeAspect="1" noChangeArrowheads="1"/>
                    </pic:cNvPicPr>
                  </pic:nvPicPr>
                  <pic:blipFill rotWithShape="1">
                    <a:blip r:embed="rId29">
                      <a:extLst>
                        <a:ext uri="{28A0092B-C50C-407E-A947-70E740481C1C}">
                          <a14:useLocalDpi xmlns:a14="http://schemas.microsoft.com/office/drawing/2010/main" val="0"/>
                        </a:ext>
                      </a:extLst>
                    </a:blip>
                    <a:srcRect t="1520" r="8977" b="14036"/>
                    <a:stretch/>
                  </pic:blipFill>
                  <pic:spPr bwMode="auto">
                    <a:xfrm>
                      <a:off x="0" y="0"/>
                      <a:ext cx="5750558" cy="3749006"/>
                    </a:xfrm>
                    <a:prstGeom prst="rect">
                      <a:avLst/>
                    </a:prstGeom>
                    <a:noFill/>
                    <a:ln>
                      <a:noFill/>
                    </a:ln>
                    <a:extLst>
                      <a:ext uri="{53640926-AAD7-44D8-BBD7-CCE9431645EC}">
                        <a14:shadowObscured xmlns:a14="http://schemas.microsoft.com/office/drawing/2010/main"/>
                      </a:ext>
                    </a:extLst>
                  </pic:spPr>
                </pic:pic>
              </a:graphicData>
            </a:graphic>
          </wp:inline>
        </w:drawing>
      </w:r>
    </w:p>
    <w:p w14:paraId="3BF11B19" w14:textId="77777777" w:rsidR="00DF5623" w:rsidRDefault="00E42C20" w:rsidP="00FA29A8">
      <w:pPr>
        <w:pStyle w:val="FigureDescription"/>
      </w:pPr>
      <w:r w:rsidRPr="00E42C20">
        <w:t>BLQ=below the limit of quantification</w:t>
      </w:r>
      <w:r>
        <w:t>;</w:t>
      </w:r>
      <w:r w:rsidRPr="00E42C20">
        <w:t xml:space="preserve"> CSR=clinical study report</w:t>
      </w:r>
      <w:r>
        <w:t>;</w:t>
      </w:r>
      <w:r w:rsidRPr="00E42C20">
        <w:t xml:space="preserve"> PK=pharmacokinetic: RA101495=</w:t>
      </w:r>
      <w:proofErr w:type="spellStart"/>
      <w:r w:rsidRPr="00E42C20">
        <w:t>zilucoplan</w:t>
      </w:r>
      <w:proofErr w:type="spellEnd"/>
      <w:r>
        <w:t>;</w:t>
      </w:r>
      <w:r w:rsidRPr="00E42C20">
        <w:t xml:space="preserve"> SC=subcutaneous</w:t>
      </w:r>
      <w:r>
        <w:t>;</w:t>
      </w:r>
      <w:r w:rsidRPr="00E42C20">
        <w:t xml:space="preserve"> SD=standard deviation</w:t>
      </w:r>
      <w:r>
        <w:t>;</w:t>
      </w:r>
      <w:r w:rsidRPr="00E42C20">
        <w:t xml:space="preserve"> </w:t>
      </w:r>
      <w:proofErr w:type="spellStart"/>
      <w:r w:rsidRPr="00E42C20">
        <w:t>sRBC</w:t>
      </w:r>
      <w:proofErr w:type="spellEnd"/>
      <w:r w:rsidRPr="00E42C20">
        <w:t>=sheep red blood cell: ZLP-</w:t>
      </w:r>
      <w:proofErr w:type="spellStart"/>
      <w:r w:rsidRPr="00E42C20">
        <w:t>zilucoplan</w:t>
      </w:r>
      <w:proofErr w:type="spellEnd"/>
    </w:p>
    <w:p w14:paraId="49F07343" w14:textId="2BA959E9" w:rsidR="00E42C20" w:rsidRDefault="00E42C20" w:rsidP="00FA29A8">
      <w:pPr>
        <w:pStyle w:val="FigureDescription"/>
      </w:pPr>
      <w:r w:rsidRPr="00E42C20">
        <w:t>Note: Error bars represent the SD. BLQ values set to zero for the calculation of summary statistics.</w:t>
      </w:r>
    </w:p>
    <w:p w14:paraId="4BF0DBA8" w14:textId="77777777" w:rsidR="00F7055D" w:rsidRDefault="00F7055D" w:rsidP="00FA29A8">
      <w:r>
        <w:t xml:space="preserve">Seven days of dosing results in sustained inhibition of </w:t>
      </w:r>
      <w:proofErr w:type="spellStart"/>
      <w:r>
        <w:t>sRBC</w:t>
      </w:r>
      <w:proofErr w:type="spellEnd"/>
      <w:r>
        <w:t xml:space="preserve"> lysis. The recovery time after multiple doses appears considerably longer than after a single dose. The 0.3mg/kg/day dose was considered to provide rapid (i.e. day 1) and sustained near complete inhibition of complement. As described below, study MG0009 also provided some support for 0.3mg/kg/day being a potentially more efficacious dose than 0.1mg/kg/day, hence its selection for the pivotal study.</w:t>
      </w:r>
    </w:p>
    <w:p w14:paraId="722789A7" w14:textId="77777777" w:rsidR="00F7055D" w:rsidRDefault="00F7055D" w:rsidP="00F7055D">
      <w:r>
        <w:t xml:space="preserve">Moderate hepatic impairment did not have a significant influence on the PD of </w:t>
      </w:r>
      <w:proofErr w:type="spellStart"/>
      <w:r>
        <w:t>zilucoplan</w:t>
      </w:r>
      <w:proofErr w:type="spellEnd"/>
      <w:r>
        <w:t xml:space="preserve"> (as measured by </w:t>
      </w:r>
      <w:proofErr w:type="spellStart"/>
      <w:r>
        <w:t>sRBC</w:t>
      </w:r>
      <w:proofErr w:type="spellEnd"/>
      <w:r>
        <w:t xml:space="preserve"> lysis). Severe renal impairment did not have a significant influence on the PD of </w:t>
      </w:r>
      <w:proofErr w:type="spellStart"/>
      <w:r>
        <w:t>zilucoplan</w:t>
      </w:r>
      <w:proofErr w:type="spellEnd"/>
      <w:r>
        <w:t xml:space="preserve"> (as measured by change in C5 concentration).</w:t>
      </w:r>
    </w:p>
    <w:p w14:paraId="2DB3E165" w14:textId="68D960DD" w:rsidR="00DF5623" w:rsidRDefault="00F7055D" w:rsidP="00FA29A8">
      <w:r>
        <w:t xml:space="preserve">Study UP0093 was a phase 1 study of the effects of a supratherapeutic </w:t>
      </w:r>
      <w:proofErr w:type="spellStart"/>
      <w:r>
        <w:t>zilucoplan</w:t>
      </w:r>
      <w:proofErr w:type="spellEnd"/>
      <w:r>
        <w:t xml:space="preserve"> dose (0.6mg/kg/day for 7 days) on cardiac repolarisation in healthy adults. This study had a nested crossover design and moxifloxacin was used as a positive control. The day 7 mean </w:t>
      </w:r>
      <w:proofErr w:type="spellStart"/>
      <w:r>
        <w:t>Cmax</w:t>
      </w:r>
      <w:proofErr w:type="spellEnd"/>
      <w:r>
        <w:t xml:space="preserve"> was 23 940 ng/mL and mean </w:t>
      </w:r>
      <w:proofErr w:type="spellStart"/>
      <w:r>
        <w:t>AUC</w:t>
      </w:r>
      <w:r w:rsidRPr="00746F91">
        <w:rPr>
          <w:vertAlign w:val="subscript"/>
        </w:rPr>
        <w:t>τ</w:t>
      </w:r>
      <w:proofErr w:type="spellEnd"/>
      <w:r>
        <w:t xml:space="preserve"> was 459 100 h X ng/mL (this exposure was approximately 3</w:t>
      </w:r>
      <w:r w:rsidR="00746F91">
        <w:t>-</w:t>
      </w:r>
      <w:r>
        <w:t xml:space="preserve">fold higher than that seen with 0.2mg/kg/day on day 7). Modelling of </w:t>
      </w:r>
      <w:proofErr w:type="spellStart"/>
      <w:r>
        <w:t>zilucoplan</w:t>
      </w:r>
      <w:proofErr w:type="spellEnd"/>
      <w:r>
        <w:t xml:space="preserve"> exposure vs. change in </w:t>
      </w:r>
      <w:proofErr w:type="spellStart"/>
      <w:r>
        <w:t>QTcF</w:t>
      </w:r>
      <w:proofErr w:type="spellEnd"/>
      <w:r>
        <w:t xml:space="preserve"> is, together with the 90% confidence interval is shown in Figure 5. </w:t>
      </w:r>
      <w:proofErr w:type="spellStart"/>
      <w:r>
        <w:t>Zilucoplan</w:t>
      </w:r>
      <w:proofErr w:type="spellEnd"/>
      <w:r>
        <w:t xml:space="preserve"> did not have a meaningful effect on </w:t>
      </w:r>
      <w:proofErr w:type="spellStart"/>
      <w:r>
        <w:t>QTcF</w:t>
      </w:r>
      <w:proofErr w:type="spellEnd"/>
      <w:r>
        <w:t xml:space="preserve"> across the concentrations studied. An effect on </w:t>
      </w:r>
      <w:proofErr w:type="spellStart"/>
      <w:r>
        <w:t>QTcF</w:t>
      </w:r>
      <w:proofErr w:type="spellEnd"/>
      <w:r>
        <w:t xml:space="preserve"> exceeding 10ms can also be excluded. Moxifloxacin demonstrated adequate assay sensitivity</w:t>
      </w:r>
      <w:r w:rsidR="00C0525F">
        <w:t>.</w:t>
      </w:r>
    </w:p>
    <w:p w14:paraId="5900460D" w14:textId="3726038B" w:rsidR="00C0525F" w:rsidRDefault="00C0525F" w:rsidP="00FA29A8">
      <w:pPr>
        <w:pStyle w:val="FigureTitle"/>
      </w:pPr>
      <w:r w:rsidRPr="00C0525F">
        <w:lastRenderedPageBreak/>
        <w:t>Figure 5</w:t>
      </w:r>
      <w:r w:rsidR="008C4F4D">
        <w:t>.</w:t>
      </w:r>
      <w:r w:rsidRPr="00C0525F">
        <w:t xml:space="preserve"> </w:t>
      </w:r>
      <w:r w:rsidR="008C4F4D">
        <w:t>M</w:t>
      </w:r>
      <w:r w:rsidRPr="00C0525F">
        <w:t>odel</w:t>
      </w:r>
      <w:r w:rsidR="008C4F4D">
        <w:t>-</w:t>
      </w:r>
      <w:r w:rsidRPr="00C0525F">
        <w:t xml:space="preserve">predicted </w:t>
      </w:r>
      <w:r w:rsidRPr="00FA29A8">
        <w:t>change</w:t>
      </w:r>
      <w:r w:rsidRPr="00C0525F">
        <w:t xml:space="preserve"> in </w:t>
      </w:r>
      <w:proofErr w:type="spellStart"/>
      <w:r w:rsidRPr="00C0525F">
        <w:t>QTcF</w:t>
      </w:r>
      <w:proofErr w:type="spellEnd"/>
      <w:r w:rsidRPr="00C0525F">
        <w:t xml:space="preserve"> and estimated change in </w:t>
      </w:r>
      <w:proofErr w:type="spellStart"/>
      <w:r w:rsidRPr="00C0525F">
        <w:t>QTcF</w:t>
      </w:r>
      <w:proofErr w:type="spellEnd"/>
      <w:r w:rsidRPr="00C0525F">
        <w:t xml:space="preserve"> across deciles of plasma concentration.</w:t>
      </w:r>
    </w:p>
    <w:p w14:paraId="2BE8D0D3" w14:textId="26358BEF" w:rsidR="008C4F4D" w:rsidRDefault="008C4F4D" w:rsidP="00FA29A8">
      <w:r>
        <w:rPr>
          <w:noProof/>
        </w:rPr>
        <w:drawing>
          <wp:inline distT="0" distB="0" distL="0" distR="0" wp14:anchorId="0D38C178" wp14:editId="630FCCD1">
            <wp:extent cx="5814471" cy="3777343"/>
            <wp:effectExtent l="0" t="0" r="0" b="0"/>
            <wp:docPr id="1031560595" name="Picture 4" descr="Figure 5. Model-predicted change in QTcF and estimated change in QTcF across deciles of plasma 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60595" name="Picture 4" descr="Figure 5. Model-predicted change in QTcF and estimated change in QTcF across deciles of plasma concentration."/>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25252" cy="3784347"/>
                    </a:xfrm>
                    <a:prstGeom prst="rect">
                      <a:avLst/>
                    </a:prstGeom>
                    <a:noFill/>
                  </pic:spPr>
                </pic:pic>
              </a:graphicData>
            </a:graphic>
          </wp:inline>
        </w:drawing>
      </w:r>
    </w:p>
    <w:p w14:paraId="13E0A3C0" w14:textId="77777777" w:rsidR="002852B6" w:rsidRDefault="002852B6" w:rsidP="00C21B12">
      <w:r>
        <w:t>The time course for clinically relevant PD effects (e.g. improvement in MG-ADL score) is readily observable in the efficacy studies described below.</w:t>
      </w:r>
    </w:p>
    <w:p w14:paraId="32E1A696" w14:textId="77777777" w:rsidR="002852B6" w:rsidRDefault="002852B6" w:rsidP="00C21B12">
      <w:pPr>
        <w:pStyle w:val="Heading4"/>
      </w:pPr>
      <w:bookmarkStart w:id="34" w:name="_Toc204004340"/>
      <w:r w:rsidRPr="00C21B12">
        <w:t>Efficacy</w:t>
      </w:r>
      <w:bookmarkEnd w:id="34"/>
    </w:p>
    <w:p w14:paraId="15C09E23" w14:textId="77777777" w:rsidR="002852B6" w:rsidRDefault="002852B6" w:rsidP="00C21B12">
      <w:r>
        <w:t>The scales used as major endpoints in the efficacy studies were as follows:</w:t>
      </w:r>
    </w:p>
    <w:p w14:paraId="197F6FCC" w14:textId="43202894" w:rsidR="002852B6" w:rsidRDefault="002852B6" w:rsidP="00C21B12">
      <w:pPr>
        <w:pStyle w:val="ListBullet"/>
      </w:pPr>
      <w:r>
        <w:t xml:space="preserve">MG-ADL (Myasthenia Gravis-Activities of Daily Living) – 8 item patient-reported outcome designed to evaluate symptom severity. It reflects ocular function (2 questions), oropharyngeal function (3 questions), </w:t>
      </w:r>
      <w:r w:rsidRPr="00C21B12">
        <w:t>respiratory</w:t>
      </w:r>
      <w:r>
        <w:t xml:space="preserve"> function (1 question) and extremity function (2 questions), with scores assigned as either none, mild, moderate or severe (0-3). The total MG-ADL score is out of 24 and a </w:t>
      </w:r>
      <w:proofErr w:type="gramStart"/>
      <w:r>
        <w:t>2 point</w:t>
      </w:r>
      <w:proofErr w:type="gramEnd"/>
      <w:r>
        <w:t xml:space="preserve"> change is considered clinically meaningful.</w:t>
      </w:r>
    </w:p>
    <w:p w14:paraId="48F098BC" w14:textId="72FFA6DE" w:rsidR="002852B6" w:rsidRDefault="002852B6" w:rsidP="002852B6">
      <w:pPr>
        <w:pStyle w:val="ListBullet"/>
      </w:pPr>
      <w:r>
        <w:t xml:space="preserve">MGC (Myasthenia Gravis Composite) – 10 item scale to measure clinical status of patients (3 ocular, 3 bulbar, 1 respiratory, 1 neck and 2 limb items). The total score is out of 50 and a </w:t>
      </w:r>
      <w:proofErr w:type="gramStart"/>
      <w:r>
        <w:t>3 point</w:t>
      </w:r>
      <w:proofErr w:type="gramEnd"/>
      <w:r>
        <w:t xml:space="preserve"> change is considered clinically meaningful.</w:t>
      </w:r>
    </w:p>
    <w:p w14:paraId="512043E8" w14:textId="38B80542" w:rsidR="002852B6" w:rsidRDefault="002852B6" w:rsidP="00C21B12">
      <w:pPr>
        <w:pStyle w:val="ListBullet"/>
      </w:pPr>
      <w:r>
        <w:t>MG-QOL15r (Myasthenia Gravis Quality of Life 15 item scale revised) – a 15 item self- administered scale to assess quality of life in patients with MG. The total score ranges from 0 to 30, with higher scores representing a worse quality of life.</w:t>
      </w:r>
    </w:p>
    <w:p w14:paraId="5DD9EC6D" w14:textId="72FFCA34" w:rsidR="002852B6" w:rsidRDefault="002852B6" w:rsidP="002852B6">
      <w:pPr>
        <w:pStyle w:val="ListBullet"/>
      </w:pPr>
      <w:r>
        <w:t xml:space="preserve">QMG (Quantitative Myasthenia Gravis) - strength scoring system based on 13 items and includes ocular, bulbar, respiratory and limb function. With each item scored 0-3, the total score is out of 39 (higher scores reflects more severe weakness). A </w:t>
      </w:r>
      <w:proofErr w:type="gramStart"/>
      <w:r>
        <w:t>3 point</w:t>
      </w:r>
      <w:proofErr w:type="gramEnd"/>
      <w:r>
        <w:t xml:space="preserve"> change in QMG is considered significant.</w:t>
      </w:r>
    </w:p>
    <w:p w14:paraId="0C5006F0" w14:textId="77777777" w:rsidR="002852B6" w:rsidRDefault="002852B6" w:rsidP="00C21B12">
      <w:r>
        <w:t xml:space="preserve">Study MG0010 was a randomised, double-blind, placebo-controlled study comparing the efficacy and safety of subcutaneous </w:t>
      </w:r>
      <w:proofErr w:type="spellStart"/>
      <w:r>
        <w:t>zilucoplan</w:t>
      </w:r>
      <w:proofErr w:type="spellEnd"/>
      <w:r>
        <w:t xml:space="preserve"> 0.3mg/kg/day and placebo in subjects with </w:t>
      </w:r>
      <w:proofErr w:type="spellStart"/>
      <w:r>
        <w:t>gMG</w:t>
      </w:r>
      <w:proofErr w:type="spellEnd"/>
      <w:r>
        <w:t xml:space="preserve"> over 12 </w:t>
      </w:r>
      <w:r>
        <w:lastRenderedPageBreak/>
        <w:t>weeks. The study was conducted in multiple countries including Japan, France, Germany, Italy, Norway, Poland, Spain, United Kingdom, Canada and the United States.</w:t>
      </w:r>
    </w:p>
    <w:p w14:paraId="0B634F35" w14:textId="288F2085" w:rsidR="002852B6" w:rsidRDefault="002852B6" w:rsidP="00C21B12">
      <w:r>
        <w:t>The primary endpoint was the change from baseline in MG-ADL at week 12. The key secondary endpoints were QMG, MGC and MG-QOL. Other secondary endpoints are shown in Table 3. The secondary objective of the MG0010 was to confirm safety and tolerability and exploratory objectives included assessment of PK, PD, additional efficacy endpoints, antidrug antibodies (ADAs) and biomarkers.</w:t>
      </w:r>
    </w:p>
    <w:p w14:paraId="4D1D12AE" w14:textId="40B16E5C" w:rsidR="008C4F4D" w:rsidRDefault="002852B6" w:rsidP="00C21B12">
      <w:pPr>
        <w:pStyle w:val="TableTitle"/>
      </w:pPr>
      <w:r>
        <w:t xml:space="preserve">Table 3. Endpoints in studies </w:t>
      </w:r>
      <w:r w:rsidRPr="00C21B12">
        <w:t>MG0009</w:t>
      </w:r>
      <w:r>
        <w:t xml:space="preserve"> and MG0010</w:t>
      </w:r>
    </w:p>
    <w:p w14:paraId="6E489F75" w14:textId="51EA2703" w:rsidR="00FC2817" w:rsidRDefault="00FC2817" w:rsidP="00C21B12">
      <w:r>
        <w:rPr>
          <w:noProof/>
        </w:rPr>
        <w:drawing>
          <wp:inline distT="0" distB="0" distL="0" distR="0" wp14:anchorId="1EE7747C" wp14:editId="4BBD8B7C">
            <wp:extent cx="4216400" cy="2514600"/>
            <wp:effectExtent l="0" t="0" r="0" b="0"/>
            <wp:docPr id="16" name="Image 16" descr="Table 3. Endpoints in studies MG0009 and MG0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Table 3. Endpoints in studies MG0009 and MG0010"/>
                    <pic:cNvPicPr/>
                  </pic:nvPicPr>
                  <pic:blipFill rotWithShape="1">
                    <a:blip r:embed="rId32" cstate="print">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b="14429"/>
                    <a:stretch/>
                  </pic:blipFill>
                  <pic:spPr bwMode="auto">
                    <a:xfrm>
                      <a:off x="0" y="0"/>
                      <a:ext cx="4217482" cy="2515245"/>
                    </a:xfrm>
                    <a:prstGeom prst="rect">
                      <a:avLst/>
                    </a:prstGeom>
                    <a:ln>
                      <a:noFill/>
                    </a:ln>
                    <a:extLst>
                      <a:ext uri="{53640926-AAD7-44D8-BBD7-CCE9431645EC}">
                        <a14:shadowObscured xmlns:a14="http://schemas.microsoft.com/office/drawing/2010/main"/>
                      </a:ext>
                    </a:extLst>
                  </pic:spPr>
                </pic:pic>
              </a:graphicData>
            </a:graphic>
          </wp:inline>
        </w:drawing>
      </w:r>
    </w:p>
    <w:p w14:paraId="6D063CB6" w14:textId="69F71701" w:rsidR="00937E7A" w:rsidRDefault="00937E7A" w:rsidP="00C21B12">
      <w:pPr>
        <w:pStyle w:val="TableDescription"/>
      </w:pPr>
      <w:r>
        <w:t>CFB=c</w:t>
      </w:r>
      <w:r w:rsidRPr="00937E7A">
        <w:t xml:space="preserve">hange from Baseline; MG-ADL=Myasthenia Gravis-Activities of Daily Living; MGC=Myasthenia Gravis Composite; MG-QOL15r=Myasthenia Gravis </w:t>
      </w:r>
      <w:r w:rsidR="009E17E1">
        <w:t>Quality</w:t>
      </w:r>
      <w:r w:rsidRPr="00937E7A">
        <w:t xml:space="preserve"> of Life 15-item scale revised; MSE=Minimal Symptom Expression; QMG=Quantitative Myasthenia Gravis; SAP=Statistical Analysis Plan</w:t>
      </w:r>
      <w:r w:rsidR="009E17E1">
        <w:t xml:space="preserve">. </w:t>
      </w:r>
      <w:proofErr w:type="spellStart"/>
      <w:r w:rsidR="009E17E1" w:rsidRPr="009E17E1">
        <w:rPr>
          <w:vertAlign w:val="superscript"/>
        </w:rPr>
        <w:t>a</w:t>
      </w:r>
      <w:r w:rsidRPr="00937E7A">
        <w:t>This</w:t>
      </w:r>
      <w:proofErr w:type="spellEnd"/>
      <w:r w:rsidRPr="00937E7A">
        <w:t xml:space="preserve"> endpoint was defined in the SAP before database lock.</w:t>
      </w:r>
    </w:p>
    <w:p w14:paraId="569C2778" w14:textId="77777777" w:rsidR="00923E77" w:rsidRDefault="00923E77" w:rsidP="00C21B12">
      <w:r>
        <w:t>The exploratory endpoints were (note that the first of these endpoints is akin to clinical remission):</w:t>
      </w:r>
    </w:p>
    <w:p w14:paraId="3FA3041B" w14:textId="02DC8B4B" w:rsidR="00923E77" w:rsidRDefault="00923E77" w:rsidP="00C21B12">
      <w:pPr>
        <w:pStyle w:val="ListBullet"/>
      </w:pPr>
      <w:r>
        <w:t>Achievement of Minimal Manifestation Status per Myasthenia Gravis Foundation of America (MGFA) Post-Intervention Status (MGFA-</w:t>
      </w:r>
      <w:r w:rsidRPr="00C21B12">
        <w:t>PIS</w:t>
      </w:r>
      <w:r>
        <w:t>) at Week 12 without rescue therapy</w:t>
      </w:r>
    </w:p>
    <w:p w14:paraId="6BE14DA8" w14:textId="444C0006" w:rsidR="00923E77" w:rsidRDefault="00923E77" w:rsidP="00923E77">
      <w:pPr>
        <w:pStyle w:val="ListBullet"/>
      </w:pPr>
      <w:r>
        <w:t>Change from Baseline to Week 12 in Work Productivity and Activity Impairment Questionnaire: Specific Health Problem (WPAI:SHP)</w:t>
      </w:r>
    </w:p>
    <w:p w14:paraId="3D6D1BAB" w14:textId="1323572A" w:rsidR="00923E77" w:rsidRDefault="00923E77" w:rsidP="00923E77">
      <w:pPr>
        <w:pStyle w:val="ListBullet"/>
      </w:pPr>
      <w:r>
        <w:t>Change from Baseline to Week 12 in EQ-5D five levels (EQ-5D-5L) (5-item questionnaire and visual analogue scale [VAS])</w:t>
      </w:r>
    </w:p>
    <w:p w14:paraId="1DCB4FDB" w14:textId="48F73BE4" w:rsidR="00923E77" w:rsidRDefault="00923E77" w:rsidP="00923E77">
      <w:pPr>
        <w:pStyle w:val="ListBullet"/>
      </w:pPr>
      <w:r>
        <w:t xml:space="preserve">Change from Baseline to Week 12 in QMG </w:t>
      </w:r>
      <w:proofErr w:type="spellStart"/>
      <w:r>
        <w:t>subscores</w:t>
      </w:r>
      <w:proofErr w:type="spellEnd"/>
      <w:r>
        <w:t>: ocular, bulbar, respiratory, limb</w:t>
      </w:r>
    </w:p>
    <w:p w14:paraId="1BC34B25" w14:textId="4DCC7E48" w:rsidR="00923E77" w:rsidRDefault="00923E77" w:rsidP="00923E77">
      <w:pPr>
        <w:pStyle w:val="ListBullet"/>
      </w:pPr>
      <w:r>
        <w:t>Change from Baseline to Week 12 in Quality of Life in Neurological Disorders (Neuro- QOL) Short Form fatigue scale</w:t>
      </w:r>
    </w:p>
    <w:p w14:paraId="2E2681F7" w14:textId="055F4F83" w:rsidR="00923E77" w:rsidRDefault="00923E77" w:rsidP="00923E77">
      <w:pPr>
        <w:pStyle w:val="ListBullet"/>
      </w:pPr>
      <w:r>
        <w:t>Responder analysis for changes in QMG, MG-ADL, MG-QOL15r, and MGC scores from Baseline without rescue therapy</w:t>
      </w:r>
    </w:p>
    <w:p w14:paraId="1654AB10" w14:textId="0F27239D" w:rsidR="00923E77" w:rsidRDefault="00923E77" w:rsidP="00923E77">
      <w:pPr>
        <w:pStyle w:val="ListBullet"/>
      </w:pPr>
      <w:r>
        <w:t xml:space="preserve">Change from Baseline to Week 12 in </w:t>
      </w:r>
      <w:proofErr w:type="spellStart"/>
      <w:r>
        <w:t>subscores</w:t>
      </w:r>
      <w:proofErr w:type="spellEnd"/>
      <w:r>
        <w:t xml:space="preserve"> (ocular, bulbar, respiratory, and limb/axial) of the QMG, MG-ADL, MG-QOL15r, and MGC scores.</w:t>
      </w:r>
    </w:p>
    <w:p w14:paraId="6B38167A" w14:textId="5278C516" w:rsidR="00923E77" w:rsidRDefault="00923E77" w:rsidP="00C21B12">
      <w:r>
        <w:t xml:space="preserve">Major inclusion criteria included being 18 to &lt;75 years of age, a diagnosis of </w:t>
      </w:r>
      <w:proofErr w:type="spellStart"/>
      <w:r>
        <w:t>gMG</w:t>
      </w:r>
      <w:proofErr w:type="spellEnd"/>
      <w:r>
        <w:t>, with Myasthenia Gravis Foundation of American severity class II-IV (i.e. mild, moderate or severe weakness affecting non-ocular muscles +/- ocular involvement, but without intubation) and positive for anti-</w:t>
      </w:r>
      <w:proofErr w:type="spellStart"/>
      <w:r>
        <w:t>AChR</w:t>
      </w:r>
      <w:proofErr w:type="spellEnd"/>
      <w:r>
        <w:t xml:space="preserve"> antibodies. In addition, subjects were required to have scores for MG- </w:t>
      </w:r>
      <w:r>
        <w:lastRenderedPageBreak/>
        <w:t xml:space="preserve">ADL ≥ 6, QMG ≥ 12 and ≥ 4 QMG tests items scoring ≥2. Corticosteroid and immunosuppressive therapy must have been stable for at least 30 days prior to baseline (or anticipated to occur during the </w:t>
      </w:r>
      <w:proofErr w:type="gramStart"/>
      <w:r>
        <w:t>12 week</w:t>
      </w:r>
      <w:proofErr w:type="gramEnd"/>
      <w:r>
        <w:t xml:space="preserve"> treatment period). Vaccination against Neisseria meningitidis was required (quadrivalent and, where available, serotype B). Major exclusion criteria included thymectomy within 12 months or scheduled for the </w:t>
      </w:r>
      <w:proofErr w:type="gramStart"/>
      <w:r>
        <w:t>12 week</w:t>
      </w:r>
      <w:proofErr w:type="gramEnd"/>
      <w:r>
        <w:t xml:space="preserve"> treatment period, abnormal thyroid function, positive serology for muscle-specific kinase, history of meningococcal disease, rituximab within 12 months, IVIG or plasma exchange with 4 weeks and active malignancy. </w:t>
      </w:r>
    </w:p>
    <w:p w14:paraId="61C33882" w14:textId="77777777" w:rsidR="00923E77" w:rsidRDefault="00923E77" w:rsidP="00C21B12">
      <w:r>
        <w:t xml:space="preserve">The dose of 0.3mg/kg/day was administered as a discrete dose according to 3 weight categories (Table 4) and reflects the proposed dosing in the PI. Subjects were randomised 1:1 to either </w:t>
      </w:r>
      <w:proofErr w:type="spellStart"/>
      <w:r>
        <w:t>zilucoplan</w:t>
      </w:r>
      <w:proofErr w:type="spellEnd"/>
      <w:r>
        <w:t xml:space="preserve"> or placebo.</w:t>
      </w:r>
    </w:p>
    <w:p w14:paraId="3DC3EDE9" w14:textId="77777777" w:rsidR="00C21B12" w:rsidRDefault="00923E77" w:rsidP="00C21B12">
      <w:pPr>
        <w:pStyle w:val="TableTitle"/>
      </w:pPr>
      <w:r>
        <w:t>Table 4. Weight-based dosing</w:t>
      </w:r>
    </w:p>
    <w:p w14:paraId="76F550E6" w14:textId="791F3868" w:rsidR="0043485C" w:rsidRDefault="0043485C" w:rsidP="00C21B12">
      <w:r>
        <w:rPr>
          <w:noProof/>
        </w:rPr>
        <w:drawing>
          <wp:inline distT="0" distB="0" distL="0" distR="0" wp14:anchorId="388D3CEF" wp14:editId="141FDB85">
            <wp:extent cx="5354484" cy="970280"/>
            <wp:effectExtent l="0" t="0" r="0" b="1270"/>
            <wp:docPr id="17" name="Image 17" descr="Table 4. Weight-based dos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Table 4. Weight-based dosing"/>
                    <pic:cNvPicPr/>
                  </pic:nvPicPr>
                  <pic:blipFill rotWithShape="1">
                    <a:blip r:embed="rId34" cstate="print">
                      <a:extLst>
                        <a:ext uri="{28A0092B-C50C-407E-A947-70E740481C1C}">
                          <a14:useLocalDpi xmlns:a14="http://schemas.microsoft.com/office/drawing/2010/main" val="0"/>
                        </a:ext>
                      </a:extLst>
                    </a:blip>
                    <a:srcRect t="1" b="10118"/>
                    <a:stretch/>
                  </pic:blipFill>
                  <pic:spPr bwMode="auto">
                    <a:xfrm>
                      <a:off x="0" y="0"/>
                      <a:ext cx="5357629" cy="970850"/>
                    </a:xfrm>
                    <a:prstGeom prst="rect">
                      <a:avLst/>
                    </a:prstGeom>
                    <a:ln>
                      <a:noFill/>
                    </a:ln>
                    <a:extLst>
                      <a:ext uri="{53640926-AAD7-44D8-BBD7-CCE9431645EC}">
                        <a14:shadowObscured xmlns:a14="http://schemas.microsoft.com/office/drawing/2010/main"/>
                      </a:ext>
                    </a:extLst>
                  </pic:spPr>
                </pic:pic>
              </a:graphicData>
            </a:graphic>
          </wp:inline>
        </w:drawing>
      </w:r>
    </w:p>
    <w:p w14:paraId="07DD0949" w14:textId="77777777" w:rsidR="00AB7238" w:rsidRDefault="00AB7238" w:rsidP="00C21B12">
      <w:r>
        <w:t>In case of deterioration in symptoms during the study, rescue therapy was to be with IVIG or plasma exchange.</w:t>
      </w:r>
    </w:p>
    <w:p w14:paraId="45B9F895" w14:textId="77777777" w:rsidR="00AB7238" w:rsidRDefault="00AB7238" w:rsidP="00AB7238">
      <w:r>
        <w:t xml:space="preserve">There were eight different analysis populations, with the key ones being the randomised set, modified intention to treat set (i.e. received at least 1 dose and had at least 1 post-dose MG-ADL score), per protocol set (i.e. completed the </w:t>
      </w:r>
      <w:proofErr w:type="gramStart"/>
      <w:r>
        <w:t>12 week</w:t>
      </w:r>
      <w:proofErr w:type="gramEnd"/>
      <w:r>
        <w:t xml:space="preserve"> treatment and had no important protocol deviations) and safety set.</w:t>
      </w:r>
    </w:p>
    <w:p w14:paraId="0A82356A" w14:textId="6BA942A0" w:rsidR="00AB7238" w:rsidRDefault="00AB7238" w:rsidP="00C21B12">
      <w:r>
        <w:t xml:space="preserve">In terms of statistical </w:t>
      </w:r>
      <w:r w:rsidR="00ED56F6">
        <w:t>methods,</w:t>
      </w:r>
      <w:r>
        <w:t xml:space="preserve"> the primary endpoint was assessed using a mixed model repeated measure analysis of covariance. Missing or censored data were imputed using baseline or last available, whichever was worse following use of rescue therapy, death or myasthenic crisis. Multiplicity was accounted for with a hierarchical approach for primary and key secondary endpoints. A more complex approach to accounting for multiplicity of other secondary endpoints is described in more detail in the Clinical Evaluation Report. </w:t>
      </w:r>
      <w:proofErr w:type="gramStart"/>
      <w:r>
        <w:t>In order to</w:t>
      </w:r>
      <w:proofErr w:type="gramEnd"/>
      <w:r>
        <w:t xml:space="preserve"> detect at least a 2.3 point least squares mean difference between baseline and week 12 MG-ADL score, with a 2-sided alpha of 0.05 and power 94%, at least 156 subjects would be required.</w:t>
      </w:r>
    </w:p>
    <w:p w14:paraId="4047C959" w14:textId="77777777" w:rsidR="00AB7238" w:rsidRDefault="00AB7238" w:rsidP="00C21B12">
      <w:r>
        <w:t xml:space="preserve">In total 174 subjects were randomised (86 to </w:t>
      </w:r>
      <w:proofErr w:type="spellStart"/>
      <w:r>
        <w:t>zilucoplan</w:t>
      </w:r>
      <w:proofErr w:type="spellEnd"/>
      <w:r>
        <w:t xml:space="preserve"> and 88 to placebo) and 95.4% completed the study (similar in each group). Reasons for discontinuation included withdrawal by participant (</w:t>
      </w:r>
      <w:proofErr w:type="spellStart"/>
      <w:r>
        <w:t>zilucoplan</w:t>
      </w:r>
      <w:proofErr w:type="spellEnd"/>
      <w:r>
        <w:t>: 1; placebo: 2), death (1 in each group), adverse events (</w:t>
      </w:r>
      <w:proofErr w:type="spellStart"/>
      <w:r>
        <w:t>zilucoplan</w:t>
      </w:r>
      <w:proofErr w:type="spellEnd"/>
      <w:r>
        <w:t>: 2) and physician decision (placebo: 1).</w:t>
      </w:r>
    </w:p>
    <w:p w14:paraId="1D042AC2" w14:textId="77777777" w:rsidR="00AB7238" w:rsidRDefault="00AB7238" w:rsidP="00AB7238">
      <w:r>
        <w:t>“Important” protocol violations affected 65 of 174 subjects. Some of these were related to the COVID19 pandemic (e.g. failure to attend visit). A few were related to violations of entry criteria and exposure to prohibited concomitant medications.</w:t>
      </w:r>
    </w:p>
    <w:p w14:paraId="43E91CA2" w14:textId="2D12B0FE" w:rsidR="00AB7238" w:rsidRDefault="00AB7238" w:rsidP="00C21B12">
      <w:r>
        <w:t xml:space="preserve">The mean age of subjects was 53 </w:t>
      </w:r>
      <w:r w:rsidR="00ED56F6">
        <w:t>years;</w:t>
      </w:r>
      <w:r>
        <w:t xml:space="preserve"> mean weight was 89.1kg and mean BMI was 31 kg/m2 and these were balanced between the groups. More than a quarter (27.6%) of subjects were ≥ 65 years of age. There were slightly more females in the </w:t>
      </w:r>
      <w:proofErr w:type="spellStart"/>
      <w:r>
        <w:t>zilucoplan</w:t>
      </w:r>
      <w:proofErr w:type="spellEnd"/>
      <w:r>
        <w:t xml:space="preserve"> group compared to placebo (60.5% vs. 53.4%). Subjects were white (73.6%), Asian (12.1%) or black (7.5%). In terms of baseline disease characteristics, MG-ADL scores were 10.9 and 10.3 and QMG scores were 19.4 and 18.7, in the placebo and </w:t>
      </w:r>
      <w:proofErr w:type="spellStart"/>
      <w:r>
        <w:t>zilucoplan</w:t>
      </w:r>
      <w:proofErr w:type="spellEnd"/>
      <w:r>
        <w:t xml:space="preserve"> arms respectively. In terms of prior treatment (started prior to start of study, but ongoing at that time), 68.4% received steroids, 42% azathioprine or mycophenolate, 13.2% IVIG and 85.6% cholinesterase inhibitors.</w:t>
      </w:r>
    </w:p>
    <w:p w14:paraId="49A11946" w14:textId="3E0BDE81" w:rsidR="00AB7238" w:rsidRDefault="00AB7238" w:rsidP="00C21B12">
      <w:r>
        <w:lastRenderedPageBreak/>
        <w:t xml:space="preserve">The LS mean change from baseline MG-ADL at week 12, was -4.39 in the </w:t>
      </w:r>
      <w:proofErr w:type="spellStart"/>
      <w:r>
        <w:t>zilucoplan</w:t>
      </w:r>
      <w:proofErr w:type="spellEnd"/>
      <w:r>
        <w:t xml:space="preserve"> arm and</w:t>
      </w:r>
      <w:r w:rsidR="00C21B12">
        <w:t xml:space="preserve"> - </w:t>
      </w:r>
      <w:r>
        <w:t>2.30 in the placebo arm (</w:t>
      </w:r>
      <w:proofErr w:type="spellStart"/>
      <w:r>
        <w:t>mITT</w:t>
      </w:r>
      <w:proofErr w:type="spellEnd"/>
      <w:r>
        <w:t xml:space="preserve"> population). The treatment effect was estimated to be an LS mean difference of -2.09 (p&lt;0.001; 95% confidence interval: -3.24 to -0.95). A separation in the study arms can be seen within the first 2 weeks of the study (Figure 6). Sensitivity analyses (COVID free set, per protocol set) were consistent with the primary outcome.</w:t>
      </w:r>
    </w:p>
    <w:p w14:paraId="7B17558E" w14:textId="72C5B563" w:rsidR="009E17E1" w:rsidRDefault="00AB7238" w:rsidP="00C21B12">
      <w:pPr>
        <w:pStyle w:val="FigureTitle"/>
      </w:pPr>
      <w:r>
        <w:t>Figure 6. LS mean change from baseline to week 12 in MG-ADL score</w:t>
      </w:r>
    </w:p>
    <w:p w14:paraId="0FC77AFB" w14:textId="519E4227" w:rsidR="00855C41" w:rsidRDefault="00CD778D" w:rsidP="00C21B12">
      <w:r>
        <w:rPr>
          <w:noProof/>
        </w:rPr>
        <w:drawing>
          <wp:inline distT="0" distB="0" distL="0" distR="0" wp14:anchorId="3F5CC4CF" wp14:editId="5890C71F">
            <wp:extent cx="5759450" cy="2458085"/>
            <wp:effectExtent l="0" t="0" r="0" b="0"/>
            <wp:docPr id="2112019825" name="Picture 1" descr="Figure 6. LS mean change from baseline to week 12 in MG-ADL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19825" name="Picture 1" descr="Figure 6. LS mean change from baseline to week 12 in MG-ADL score"/>
                    <pic:cNvPicPr/>
                  </pic:nvPicPr>
                  <pic:blipFill>
                    <a:blip r:embed="rId35"/>
                    <a:stretch>
                      <a:fillRect/>
                    </a:stretch>
                  </pic:blipFill>
                  <pic:spPr>
                    <a:xfrm>
                      <a:off x="0" y="0"/>
                      <a:ext cx="5759450" cy="2458085"/>
                    </a:xfrm>
                    <a:prstGeom prst="rect">
                      <a:avLst/>
                    </a:prstGeom>
                  </pic:spPr>
                </pic:pic>
              </a:graphicData>
            </a:graphic>
          </wp:inline>
        </w:drawing>
      </w:r>
    </w:p>
    <w:p w14:paraId="0F05DCA5" w14:textId="77777777" w:rsidR="00372EA8" w:rsidRPr="00372EA8" w:rsidRDefault="00372EA8" w:rsidP="00C21B12">
      <w:pPr>
        <w:pStyle w:val="FigureDescription"/>
      </w:pPr>
      <w:r w:rsidRPr="00372EA8">
        <w:t xml:space="preserve">ANCOVA=analysis of covariance; CFB=change from Baseline; CI=confidence interval; LSM=least squares </w:t>
      </w:r>
      <w:proofErr w:type="gramStart"/>
      <w:r w:rsidRPr="00372EA8">
        <w:t>mean;</w:t>
      </w:r>
      <w:proofErr w:type="gramEnd"/>
    </w:p>
    <w:p w14:paraId="47903F10" w14:textId="5F9633B9" w:rsidR="00372EA8" w:rsidRPr="00372EA8" w:rsidRDefault="00372EA8" w:rsidP="00C21B12">
      <w:pPr>
        <w:pStyle w:val="FigureDescription"/>
      </w:pPr>
      <w:r w:rsidRPr="00372EA8">
        <w:t xml:space="preserve">MG-ADL=Myasthenia Gravis Activities of Daily Living; </w:t>
      </w:r>
      <w:proofErr w:type="spellStart"/>
      <w:r w:rsidRPr="00372EA8">
        <w:t>mITT</w:t>
      </w:r>
      <w:proofErr w:type="spellEnd"/>
      <w:r w:rsidRPr="00372EA8">
        <w:t>=modified Intent-to-Treat; MMRM=mixed model</w:t>
      </w:r>
      <w:r w:rsidR="00C21B12">
        <w:t xml:space="preserve"> </w:t>
      </w:r>
      <w:r w:rsidRPr="00372EA8">
        <w:t>repeated measure; QMG=quantitative myasthenia gravis</w:t>
      </w:r>
    </w:p>
    <w:p w14:paraId="6221BA19" w14:textId="6DE0F0E4" w:rsidR="00372EA8" w:rsidRPr="00372EA8" w:rsidRDefault="00372EA8" w:rsidP="00C21B12">
      <w:pPr>
        <w:pStyle w:val="FigureDescription"/>
      </w:pPr>
      <w:r w:rsidRPr="00372EA8">
        <w:t>Note: The MG-ADL total score ranged from 0 to 24; higher score indicated more severe disability. A decrease from</w:t>
      </w:r>
      <w:r w:rsidR="00C21B12">
        <w:t xml:space="preserve"> </w:t>
      </w:r>
      <w:r w:rsidRPr="00372EA8">
        <w:t>Baseline indicated improvement.</w:t>
      </w:r>
    </w:p>
    <w:p w14:paraId="751ECA55" w14:textId="204B3925" w:rsidR="00F02523" w:rsidRDefault="00372EA8" w:rsidP="00C21B12">
      <w:pPr>
        <w:pStyle w:val="FigureDescription"/>
      </w:pPr>
      <w:r w:rsidRPr="00372EA8">
        <w:t>Note: Week 12 p-value was derived by a MMRM ANCOVA model (based on imputed data following to treatment</w:t>
      </w:r>
      <w:r w:rsidR="00C21B12">
        <w:t xml:space="preserve"> </w:t>
      </w:r>
      <w:r w:rsidRPr="00372EA8">
        <w:t>failure) using an unstructured correlation matrix with treatment, Baseline MG-ADL score, Baseline QMG score,</w:t>
      </w:r>
      <w:r w:rsidR="00C21B12">
        <w:t xml:space="preserve"> </w:t>
      </w:r>
      <w:r w:rsidRPr="00372EA8">
        <w:t>region (North America, Europe, and East Asia) and interactions terms treatment-by-visit and Baseline MG-ADL</w:t>
      </w:r>
      <w:r w:rsidR="00C21B12">
        <w:t xml:space="preserve"> </w:t>
      </w:r>
      <w:r w:rsidRPr="00372EA8">
        <w:t>score-by-visit as fixed effects; study participants were added as random effects in the model.</w:t>
      </w:r>
    </w:p>
    <w:p w14:paraId="18251B25" w14:textId="64ADA84F" w:rsidR="00F02523" w:rsidRDefault="00F02523" w:rsidP="00C21B12">
      <w:r>
        <w:t>Positive results were also seen for the key secondary endpoints. For the QMG score, the LS mean difference in the change from baseline at week 12 between the two arms was -2.94 (p&lt;0.001).</w:t>
      </w:r>
    </w:p>
    <w:p w14:paraId="628F2525" w14:textId="77777777" w:rsidR="00F02523" w:rsidRDefault="00F02523" w:rsidP="00C21B12">
      <w:r>
        <w:t xml:space="preserve">This is just short of the </w:t>
      </w:r>
      <w:proofErr w:type="gramStart"/>
      <w:r>
        <w:t>3 point</w:t>
      </w:r>
      <w:proofErr w:type="gramEnd"/>
      <w:r>
        <w:t xml:space="preserve"> change considered clinically meaningful. For the MGC score, the LS mean difference in the change from baseline between the two arms was -3.20 (p=0.0023). This difference is considered clinically meaningful. For MG-QOL15r, the LS mean difference in the change from baseline between the two arms was -2.49 (p=0.0128). Improvements in the key secondary endpoints were evident as early as 2 – 4 weeks.</w:t>
      </w:r>
    </w:p>
    <w:p w14:paraId="2890D9F4" w14:textId="77777777" w:rsidR="00F02523" w:rsidRDefault="00F02523" w:rsidP="00F02523">
      <w:r>
        <w:t xml:space="preserve">Other secondary and exploratory endpoints also generally favoured the </w:t>
      </w:r>
      <w:proofErr w:type="spellStart"/>
      <w:r>
        <w:t>zilucoplan</w:t>
      </w:r>
      <w:proofErr w:type="spellEnd"/>
      <w:r>
        <w:t xml:space="preserve"> arm. Of note, in the </w:t>
      </w:r>
      <w:proofErr w:type="spellStart"/>
      <w:r>
        <w:t>zilucoplan</w:t>
      </w:r>
      <w:proofErr w:type="spellEnd"/>
      <w:r>
        <w:t xml:space="preserve"> arm compared to the placebo arm, there was nominally greater pharmacological remission (2.6% vs. 0%) and minimal manifestations (28.2% vs. 19.3%).</w:t>
      </w:r>
    </w:p>
    <w:p w14:paraId="5806337D" w14:textId="77777777" w:rsidR="00F02523" w:rsidRDefault="00F02523" w:rsidP="00F02523">
      <w:r>
        <w:t>Responder analysis looked at the odds ratio (OR) for achieving defined reductions or absolute scores by 12 weeks, as follows:</w:t>
      </w:r>
    </w:p>
    <w:p w14:paraId="00F2380D" w14:textId="5C32524A" w:rsidR="00F02523" w:rsidRDefault="00F02523" w:rsidP="00C21B12">
      <w:pPr>
        <w:pStyle w:val="ListBullet"/>
      </w:pPr>
      <w:r>
        <w:t xml:space="preserve">OR for being a MG-ADL </w:t>
      </w:r>
      <w:r w:rsidRPr="00C21B12">
        <w:t>responder</w:t>
      </w:r>
      <w:r>
        <w:t xml:space="preserve"> (≥3 point reduction in MG-ADL score without rescue therapy) was 3.184 (95% CI: 1.662-6.101).</w:t>
      </w:r>
    </w:p>
    <w:p w14:paraId="675D04F1" w14:textId="392AF582" w:rsidR="00F02523" w:rsidRDefault="00F02523" w:rsidP="00F02523">
      <w:pPr>
        <w:pStyle w:val="ListBullet"/>
      </w:pPr>
      <w:r>
        <w:t>OR for being a QMG responder (≥5 point reduction in QMG score without rescue therapy) was 2.865 (95% CI: 1.518-5.409).</w:t>
      </w:r>
    </w:p>
    <w:p w14:paraId="7693708F" w14:textId="264144C6" w:rsidR="00F02523" w:rsidRDefault="00F02523" w:rsidP="00F02523">
      <w:pPr>
        <w:pStyle w:val="ListBullet"/>
      </w:pPr>
      <w:r>
        <w:t>OR for achieving MG-ADL of 0 or 1 (i.e. minimal symptom expression) was 2.608 (95% CI crosses 1, i.e. non-significant).</w:t>
      </w:r>
    </w:p>
    <w:p w14:paraId="6B110469" w14:textId="11520F8B" w:rsidR="00F02523" w:rsidRDefault="00F02523" w:rsidP="00C21B12">
      <w:r>
        <w:lastRenderedPageBreak/>
        <w:t xml:space="preserve">Table 5 shows the % responders with </w:t>
      </w:r>
      <w:proofErr w:type="spellStart"/>
      <w:r>
        <w:t>zilucoplan</w:t>
      </w:r>
      <w:proofErr w:type="spellEnd"/>
      <w:r>
        <w:t xml:space="preserve"> and placebo for each of the definitions above.</w:t>
      </w:r>
    </w:p>
    <w:p w14:paraId="0CCC8C96" w14:textId="07F89D8E" w:rsidR="00212DC0" w:rsidRPr="00C21B12" w:rsidRDefault="00212DC0" w:rsidP="00C21B12">
      <w:pPr>
        <w:pStyle w:val="TableTitle"/>
      </w:pPr>
      <w:r w:rsidRPr="00C21B12">
        <w:t>Table 5</w:t>
      </w:r>
      <w:r w:rsidR="007502F0" w:rsidRPr="00C21B12">
        <w:t>.</w:t>
      </w:r>
      <w:r w:rsidRPr="00C21B12">
        <w:t xml:space="preserve"> week 12 responder analysis (</w:t>
      </w:r>
      <w:proofErr w:type="spellStart"/>
      <w:r w:rsidRPr="00C21B12">
        <w:t>mITT</w:t>
      </w:r>
      <w:proofErr w:type="spellEnd"/>
      <w:r w:rsidRPr="00C21B12">
        <w:t>)</w:t>
      </w:r>
    </w:p>
    <w:p w14:paraId="4554170B" w14:textId="4604D045" w:rsidR="00984C40" w:rsidRDefault="00984C40" w:rsidP="00C21B12">
      <w:r>
        <w:rPr>
          <w:noProof/>
        </w:rPr>
        <w:drawing>
          <wp:inline distT="0" distB="0" distL="0" distR="0" wp14:anchorId="41B6C7A6" wp14:editId="6BB11B4D">
            <wp:extent cx="5614565" cy="829818"/>
            <wp:effectExtent l="0" t="0" r="5715" b="8890"/>
            <wp:docPr id="19" name="Image 19" descr="Table 5. week 12 responder analysis (mIT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Table 5. week 12 responder analysis (mIT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14565" cy="829818"/>
                    </a:xfrm>
                    <a:prstGeom prst="rect">
                      <a:avLst/>
                    </a:prstGeom>
                  </pic:spPr>
                </pic:pic>
              </a:graphicData>
            </a:graphic>
          </wp:inline>
        </w:drawing>
      </w:r>
    </w:p>
    <w:p w14:paraId="3F46EA39" w14:textId="265DDE60" w:rsidR="00852129" w:rsidRDefault="00852129" w:rsidP="00C21B12">
      <w:r>
        <w:t>Subgroup analysis of the primary efficacy endpoint (i.e.</w:t>
      </w:r>
      <w:r w:rsidR="00DD2255">
        <w:t>,</w:t>
      </w:r>
      <w:r>
        <w:t xml:space="preserve"> difference in week 12 MG-ADL score compared to baseline) showed nominally superior efficacy with </w:t>
      </w:r>
      <w:proofErr w:type="spellStart"/>
      <w:r>
        <w:t>zilucoplan</w:t>
      </w:r>
      <w:proofErr w:type="spellEnd"/>
      <w:r>
        <w:t xml:space="preserve"> for multiple subgroups. This is consistent with efficacy being driven by activity across a broad range of patients (disease severity, age, ethnicity, prior treatments).</w:t>
      </w:r>
    </w:p>
    <w:p w14:paraId="1E946D24" w14:textId="77777777" w:rsidR="00852129" w:rsidRDefault="00852129" w:rsidP="00C21B12">
      <w:r>
        <w:t xml:space="preserve">Study MG0009 was a phase 2, randomised, double-blind, placebo-controlled study comparing </w:t>
      </w:r>
      <w:proofErr w:type="spellStart"/>
      <w:r>
        <w:t>zilucoplan</w:t>
      </w:r>
      <w:proofErr w:type="spellEnd"/>
      <w:r>
        <w:t xml:space="preserve"> 0.1mg/kg/day, </w:t>
      </w:r>
      <w:proofErr w:type="spellStart"/>
      <w:r>
        <w:t>zilucoplan</w:t>
      </w:r>
      <w:proofErr w:type="spellEnd"/>
      <w:r>
        <w:t xml:space="preserve"> 0.3mg/kg/day and placebo. It enrolled 45 subjects and provides supportive evidence for the efficacy of </w:t>
      </w:r>
      <w:proofErr w:type="spellStart"/>
      <w:r>
        <w:t>zilucoplan</w:t>
      </w:r>
      <w:proofErr w:type="spellEnd"/>
      <w:r>
        <w:t xml:space="preserve">, as well as the proposed clinical dose. Subjects with seropositive </w:t>
      </w:r>
      <w:proofErr w:type="spellStart"/>
      <w:r>
        <w:t>gMG</w:t>
      </w:r>
      <w:proofErr w:type="spellEnd"/>
      <w:r>
        <w:t xml:space="preserve"> were randomised 1:1:1 to the </w:t>
      </w:r>
      <w:proofErr w:type="gramStart"/>
      <w:r>
        <w:t>aforementioned treatments</w:t>
      </w:r>
      <w:proofErr w:type="gramEnd"/>
      <w:r>
        <w:t>.</w:t>
      </w:r>
    </w:p>
    <w:p w14:paraId="3F2BCF27" w14:textId="77777777" w:rsidR="00852129" w:rsidRDefault="00852129" w:rsidP="00C21B12">
      <w:r>
        <w:t xml:space="preserve">Inclusion and exclusion criteria were similar, though not the same, as study MG0010. After the </w:t>
      </w:r>
      <w:proofErr w:type="gramStart"/>
      <w:r>
        <w:t>12 week</w:t>
      </w:r>
      <w:proofErr w:type="gramEnd"/>
      <w:r>
        <w:t xml:space="preserve"> primary treatment period, subjects could continue in an extension portion (placebo subjects were randomised to one of the 2 doses of </w:t>
      </w:r>
      <w:proofErr w:type="spellStart"/>
      <w:r>
        <w:t>zilucoplan</w:t>
      </w:r>
      <w:proofErr w:type="spellEnd"/>
      <w:r>
        <w:t>, though at some point during the extension and following protocol emendation, everyone was treated with 0.3mg/kg/day).</w:t>
      </w:r>
    </w:p>
    <w:p w14:paraId="0EB6D32D" w14:textId="77777777" w:rsidR="00852129" w:rsidRDefault="00852129" w:rsidP="00852129">
      <w:r>
        <w:t>The primary efficacy outcome was the change from baseline to week 12 in the QMG score. Secondary efficacy variables were:</w:t>
      </w:r>
    </w:p>
    <w:p w14:paraId="16D02E2E" w14:textId="732F4139" w:rsidR="00852129" w:rsidRDefault="00852129" w:rsidP="00C21B12">
      <w:pPr>
        <w:pStyle w:val="ListBullet"/>
      </w:pPr>
      <w:r>
        <w:t>Change from Baseline to Week 12 in the MG-ADL score</w:t>
      </w:r>
    </w:p>
    <w:p w14:paraId="4B886377" w14:textId="766DA933" w:rsidR="00852129" w:rsidRDefault="00852129" w:rsidP="00C21B12">
      <w:pPr>
        <w:pStyle w:val="ListBullet"/>
      </w:pPr>
      <w:r>
        <w:t>Change from Baseline to Week 12 in the MG-Quality of Life 15r (MG-QOL15r) score</w:t>
      </w:r>
    </w:p>
    <w:p w14:paraId="4A5CB461" w14:textId="0901F227" w:rsidR="00852129" w:rsidRDefault="00852129" w:rsidP="00C21B12">
      <w:pPr>
        <w:pStyle w:val="ListBullet"/>
      </w:pPr>
      <w:r>
        <w:t>Change from Baseline to Week 12 in the MG Composite (MGC) score</w:t>
      </w:r>
    </w:p>
    <w:p w14:paraId="6180D982" w14:textId="41B7EC7C" w:rsidR="00852129" w:rsidRDefault="00852129" w:rsidP="00C21B12">
      <w:pPr>
        <w:pStyle w:val="ListBullet"/>
      </w:pPr>
      <w:r>
        <w:t>Study participants with ≥3-point reduction in QMG score at Week 12</w:t>
      </w:r>
    </w:p>
    <w:p w14:paraId="27253C20" w14:textId="15E2C007" w:rsidR="00852129" w:rsidRDefault="00852129" w:rsidP="00C21B12">
      <w:pPr>
        <w:pStyle w:val="ListBullet"/>
      </w:pPr>
      <w:r>
        <w:t>Study participants who required rescue therapy over the 12-week Treatment Period</w:t>
      </w:r>
    </w:p>
    <w:p w14:paraId="5A8060AE" w14:textId="77777777" w:rsidR="00852129" w:rsidRDefault="00852129" w:rsidP="00C21B12">
      <w:r>
        <w:t xml:space="preserve">The main analysis population was the modified ITT population (randomised subjects who received at least one dose). The </w:t>
      </w:r>
      <w:proofErr w:type="spellStart"/>
      <w:r>
        <w:t>zilucoplan</w:t>
      </w:r>
      <w:proofErr w:type="spellEnd"/>
      <w:r>
        <w:t xml:space="preserve"> arms were compared with placebo based on the ANCOVA model at a 1 sided 0.10 significance level (i.e. less stringent than the typical significance level). The secondary efficacy variables were analysed for significance, although there was no correction for multiplicity.</w:t>
      </w:r>
    </w:p>
    <w:p w14:paraId="0A09D0E0" w14:textId="77777777" w:rsidR="00852129" w:rsidRDefault="00852129" w:rsidP="00C21B12">
      <w:r>
        <w:t xml:space="preserve">In total 45 subjects (15 in each treatment group) were randomised and 95.6% completed the main portion. Two subjects in the 0.3mg/kg/day arm discontinued during the main portion (due to loss to follow up and “other”). One subjects did not receive any treatment and the </w:t>
      </w:r>
      <w:proofErr w:type="spellStart"/>
      <w:r>
        <w:t>mITT</w:t>
      </w:r>
      <w:proofErr w:type="spellEnd"/>
      <w:r>
        <w:t xml:space="preserve"> therefore had 44 subjects in it.</w:t>
      </w:r>
    </w:p>
    <w:p w14:paraId="29A33D82" w14:textId="1560628E" w:rsidR="00852129" w:rsidRDefault="00ED56F6" w:rsidP="00C21B12">
      <w:r>
        <w:t>Overall,</w:t>
      </w:r>
      <w:r w:rsidR="00852129">
        <w:t xml:space="preserve"> there were slightly more females in the study, but the proportions were different across treatment arms (e.g. 73.3% were female in the placebo arm, 53.5% in the 0.1mg/kg/day arm and 33.3% in the 0.3mg/kg/day arm). Most subjects were white (80%</w:t>
      </w:r>
      <w:proofErr w:type="gramStart"/>
      <w:r w:rsidR="00852129">
        <w:t>)</w:t>
      </w:r>
      <w:proofErr w:type="gramEnd"/>
      <w:r w:rsidR="00852129">
        <w:t xml:space="preserve"> and the average age was</w:t>
      </w:r>
      <w:r w:rsidR="00C21B12">
        <w:t xml:space="preserve"> </w:t>
      </w:r>
      <w:r w:rsidR="00852129">
        <w:t>49.5 years (range 20 to 76). Mean weight was 96.31kg and mean BMI was 33.157. Mean weight was lower in the placebo group compared with the 0.1mg/kg/day and 0.3mg/kg/day groups (85.27kg, 93.71</w:t>
      </w:r>
      <w:proofErr w:type="gramStart"/>
      <w:r w:rsidR="00852129">
        <w:t>kg ,</w:t>
      </w:r>
      <w:proofErr w:type="gramEnd"/>
      <w:r w:rsidR="00852129">
        <w:t xml:space="preserve"> 110.94kg, respectively). Mean baseline MG-ADL score was 7.8 and mean baseline QMG was 18.8. Nearly all patients had received some sort of immune modulating treatments.</w:t>
      </w:r>
    </w:p>
    <w:p w14:paraId="75FFD920" w14:textId="7929D3F1" w:rsidR="00852129" w:rsidRDefault="00852129" w:rsidP="00C21B12">
      <w:r>
        <w:lastRenderedPageBreak/>
        <w:t xml:space="preserve">In terms of the primary efficacy outcome, at week 12 the LS mean difference in QMG score change between placebo and 0.1mg/kg/day was -2.3 (1-sided p=0.0941), between placebo and 0.3mg/kg/day was -2.8 (1-sided p=0.0538) and between placebo and pooled </w:t>
      </w:r>
      <w:proofErr w:type="spellStart"/>
      <w:r>
        <w:t>zilucoplan</w:t>
      </w:r>
      <w:proofErr w:type="spellEnd"/>
      <w:r>
        <w:t xml:space="preserve"> was</w:t>
      </w:r>
      <w:r w:rsidR="00C21B12">
        <w:t xml:space="preserve"> - </w:t>
      </w:r>
      <w:r>
        <w:t xml:space="preserve">2.5 (1-sided p=0.0444). These results were statistically significant according to the pre-specified significance level and less than the </w:t>
      </w:r>
      <w:proofErr w:type="gramStart"/>
      <w:r>
        <w:t>3 point</w:t>
      </w:r>
      <w:proofErr w:type="gramEnd"/>
      <w:r>
        <w:t xml:space="preserve"> change usually considered clinically meaningful for QMG. Although this study did not meet usual criteria for statistical significance it is consistent with the effect seen in the pivotal phase 3 study.</w:t>
      </w:r>
    </w:p>
    <w:p w14:paraId="1F342948" w14:textId="0EC80F91" w:rsidR="00852129" w:rsidRDefault="00852129" w:rsidP="00C21B12">
      <w:r>
        <w:t xml:space="preserve">In terms of the most relevant secondary efficacy outcomes, the mean difference in week 12 MG- ADL score change between placebo and pooled </w:t>
      </w:r>
      <w:proofErr w:type="spellStart"/>
      <w:r>
        <w:t>zilucoplan</w:t>
      </w:r>
      <w:proofErr w:type="spellEnd"/>
      <w:r>
        <w:t xml:space="preserve"> was -2.3 (1-sided p=0.0233). In terms of potential differences between the 0.1mg/kg/day and 0.3mg/kg/day doses (i.e. dose effect), although not formally compared, there appeared to be both a more rapid and a greater</w:t>
      </w:r>
      <w:r w:rsidR="00DD2255">
        <w:t xml:space="preserve"> </w:t>
      </w:r>
      <w:r>
        <w:t>magnitude response for QMG and other outcome measures. Three placebo subjects, 1 subject receiving 0.1mg/kg/day and none receiving 0.3mg/kg/day required rescue therapy.</w:t>
      </w:r>
    </w:p>
    <w:p w14:paraId="2F206375" w14:textId="77777777" w:rsidR="00852129" w:rsidRDefault="00852129" w:rsidP="00C21B12">
      <w:r>
        <w:t>Interpretation of the extension data is somewhat difficult as subjects received a range of treatments at various times (i.e. combinations were placebo/0.1mg, placebo/0.3mg, placebo/0.1mg/0.3mg, 0.1mg/0.3mg, 0.3mg) with placebo control ending after week 12. What appears to be apparent is that effect is probably maintained beyond week 12 (and there is possibly ongoing improvement beyond 12 weeks).</w:t>
      </w:r>
    </w:p>
    <w:p w14:paraId="0894511B" w14:textId="77777777" w:rsidR="00852129" w:rsidRDefault="00852129" w:rsidP="00C21B12">
      <w:r>
        <w:t xml:space="preserve">Study MG0011 is an ongoing open-label study providing long-term </w:t>
      </w:r>
      <w:proofErr w:type="spellStart"/>
      <w:r>
        <w:t>zilucoplan</w:t>
      </w:r>
      <w:proofErr w:type="spellEnd"/>
      <w:r>
        <w:t xml:space="preserve"> treatment to subjects who completed either MG0009 or MG0010. All subjects receive 0.3mg/kg/day and are required to be vaccinated against meningococcal infection. The primary objective is to evaluate long-term safety and </w:t>
      </w:r>
      <w:proofErr w:type="gramStart"/>
      <w:r>
        <w:t>tolerability</w:t>
      </w:r>
      <w:proofErr w:type="gramEnd"/>
      <w:r>
        <w:t xml:space="preserve"> and the secondary objective is to evaluate long-term efficacy. It is being conducted at 70 sites in North America, Europe and Japan. The data cut-off date for inclusion in this submission (PM-2023-02775-1-1) was 18 February 2022.</w:t>
      </w:r>
    </w:p>
    <w:p w14:paraId="3CF824DE" w14:textId="77777777" w:rsidR="00852129" w:rsidRDefault="00852129" w:rsidP="00C21B12">
      <w:r>
        <w:t>The main efficacy endpoints are the change from Baseline to Extension Week 12 (E12) in the MG-ADL score, QMG score, MGC score, MG-QOL15r score and the use of rescue therapy. Given that MG0009 had its own extension portion, subject data from the first 12 weeks of the extension portion are reported as part of MG0011 for the corresponding endpoints.</w:t>
      </w:r>
    </w:p>
    <w:p w14:paraId="16AB2AFF" w14:textId="77777777" w:rsidR="00852129" w:rsidRDefault="00852129" w:rsidP="00852129">
      <w:r>
        <w:t xml:space="preserve">At the time of data cut-off, 199 subjects had enrolled in MG0011 (165 from MG0010 and 34 from MG0009) and 158 had completed up to E12. Most subjects remained in the study for ongoing treatment with </w:t>
      </w:r>
      <w:proofErr w:type="spellStart"/>
      <w:r>
        <w:t>zilucoplan</w:t>
      </w:r>
      <w:proofErr w:type="spellEnd"/>
      <w:r>
        <w:t>.</w:t>
      </w:r>
    </w:p>
    <w:p w14:paraId="3F9D4404" w14:textId="77777777" w:rsidR="00852129" w:rsidRDefault="00852129" w:rsidP="00C21B12">
      <w:r>
        <w:t xml:space="preserve">A small number of subjects received 0.1mg/kg for a variable </w:t>
      </w:r>
      <w:proofErr w:type="gramStart"/>
      <w:r>
        <w:t>period of time</w:t>
      </w:r>
      <w:proofErr w:type="gramEnd"/>
      <w:r>
        <w:t xml:space="preserve"> (during first 12 weeks of MG0009 and for </w:t>
      </w:r>
      <w:proofErr w:type="gramStart"/>
      <w:r>
        <w:t>a period of time</w:t>
      </w:r>
      <w:proofErr w:type="gramEnd"/>
      <w:r>
        <w:t xml:space="preserve"> during the extension portion) before switching to 0.3mg/kg/day. Most subjects, however, received the clinical dose of 0.3mg/kg/day throughout their treatment (90 initially randomised to 0.3mg/kg at the start of their feeder study and 90 initially randomised to placebo at the start of their feeder study).</w:t>
      </w:r>
    </w:p>
    <w:p w14:paraId="0F471CF5" w14:textId="77777777" w:rsidR="00852129" w:rsidRDefault="00852129" w:rsidP="00C21B12">
      <w:r>
        <w:t xml:space="preserve">Subjects who had already received 12 weeks of </w:t>
      </w:r>
      <w:proofErr w:type="spellStart"/>
      <w:r>
        <w:t>zilucoplan</w:t>
      </w:r>
      <w:proofErr w:type="spellEnd"/>
      <w:r>
        <w:t xml:space="preserve"> 0.3mg/kg had a plateauing / small ongoing improvement in MG-ADL score with a further 12 weeks of treatment. Subjects who received placebo initially and switched to </w:t>
      </w:r>
      <w:proofErr w:type="spellStart"/>
      <w:r>
        <w:t>zilucoplan</w:t>
      </w:r>
      <w:proofErr w:type="spellEnd"/>
      <w:r>
        <w:t xml:space="preserve"> 0.3mg/kg experienced a rapid improvement in MG-ADL score that resulted in a similar change from baseline at week E12 (i.e. compared to those who received continuous </w:t>
      </w:r>
      <w:proofErr w:type="spellStart"/>
      <w:r>
        <w:t>zilucoplan</w:t>
      </w:r>
      <w:proofErr w:type="spellEnd"/>
      <w:r>
        <w:t>, Figure 7).</w:t>
      </w:r>
    </w:p>
    <w:p w14:paraId="58F15C15" w14:textId="1BC8A4E2" w:rsidR="00852129" w:rsidRDefault="00852129" w:rsidP="00C21B12">
      <w:pPr>
        <w:pStyle w:val="FigureTitle"/>
      </w:pPr>
      <w:r>
        <w:lastRenderedPageBreak/>
        <w:t xml:space="preserve">Figure 7 Change from </w:t>
      </w:r>
      <w:r w:rsidRPr="00C21B12">
        <w:t>parent</w:t>
      </w:r>
      <w:r>
        <w:t xml:space="preserve"> study baseline to week E12 in MG-ADL score, study MG0011</w:t>
      </w:r>
    </w:p>
    <w:p w14:paraId="712E6903" w14:textId="5478FE0E" w:rsidR="00715675" w:rsidRDefault="00715675" w:rsidP="00C21B12">
      <w:r>
        <w:rPr>
          <w:noProof/>
        </w:rPr>
        <w:drawing>
          <wp:inline distT="0" distB="0" distL="0" distR="0" wp14:anchorId="40B74703" wp14:editId="0BAC132B">
            <wp:extent cx="5759450" cy="2609850"/>
            <wp:effectExtent l="0" t="0" r="0" b="0"/>
            <wp:docPr id="152182224" name="Picture 1" descr="Figure 7 Change from parent study baseline to week E12 in MG-ADL score, study MG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2224" name="Picture 1" descr="Figure 7 Change from parent study baseline to week E12 in MG-ADL score, study MG0011"/>
                    <pic:cNvPicPr/>
                  </pic:nvPicPr>
                  <pic:blipFill>
                    <a:blip r:embed="rId37"/>
                    <a:stretch>
                      <a:fillRect/>
                    </a:stretch>
                  </pic:blipFill>
                  <pic:spPr>
                    <a:xfrm>
                      <a:off x="0" y="0"/>
                      <a:ext cx="5759450" cy="2609850"/>
                    </a:xfrm>
                    <a:prstGeom prst="rect">
                      <a:avLst/>
                    </a:prstGeom>
                  </pic:spPr>
                </pic:pic>
              </a:graphicData>
            </a:graphic>
          </wp:inline>
        </w:drawing>
      </w:r>
    </w:p>
    <w:p w14:paraId="6A24D2BA" w14:textId="6E8A5930" w:rsidR="00C36CAA" w:rsidRPr="00C36CAA" w:rsidRDefault="00C36CAA" w:rsidP="00C21B12">
      <w:pPr>
        <w:pStyle w:val="FigureDescription"/>
      </w:pPr>
      <w:r w:rsidRPr="00C36CAA">
        <w:t xml:space="preserve">CFB=change from Baseline; E=Extension; </w:t>
      </w:r>
      <w:proofErr w:type="spellStart"/>
      <w:r w:rsidRPr="00C36CAA">
        <w:t>gMG</w:t>
      </w:r>
      <w:proofErr w:type="spellEnd"/>
      <w:r w:rsidRPr="00C36CAA">
        <w:t xml:space="preserve">=generalized myasthenia gravis; </w:t>
      </w:r>
      <w:r>
        <w:br/>
      </w:r>
      <w:r w:rsidRPr="00C36CAA">
        <w:t>MG-ADL=Myasthenia Gravis</w:t>
      </w:r>
      <w:r>
        <w:t xml:space="preserve">- </w:t>
      </w:r>
      <w:r w:rsidRPr="00C36CAA">
        <w:t xml:space="preserve">Activities of Daily Living; </w:t>
      </w:r>
      <w:proofErr w:type="spellStart"/>
      <w:r w:rsidRPr="00C36CAA">
        <w:t>mITT</w:t>
      </w:r>
      <w:proofErr w:type="spellEnd"/>
      <w:r w:rsidRPr="00C36CAA">
        <w:t>=modified Intent-to-Treat; QMG=quantitative myasthenia gravis; SE=standard</w:t>
      </w:r>
      <w:r>
        <w:t xml:space="preserve"> </w:t>
      </w:r>
      <w:r w:rsidRPr="00C36CAA">
        <w:t>error</w:t>
      </w:r>
      <w:r>
        <w:t>.</w:t>
      </w:r>
    </w:p>
    <w:p w14:paraId="3D752996" w14:textId="08EE2352" w:rsidR="00C36CAA" w:rsidRPr="00C36CAA" w:rsidRDefault="00C36CAA" w:rsidP="00C21B12">
      <w:pPr>
        <w:pStyle w:val="FigureDescription"/>
      </w:pPr>
      <w:r w:rsidRPr="00C36CAA">
        <w:t>Note: The MG-ADL Total Score ranged from 0 to 24, with a higher score indicating more severe symptoms of</w:t>
      </w:r>
      <w:r>
        <w:t xml:space="preserve"> </w:t>
      </w:r>
      <w:proofErr w:type="spellStart"/>
      <w:r w:rsidRPr="00C36CAA">
        <w:t>gMG</w:t>
      </w:r>
      <w:proofErr w:type="spellEnd"/>
      <w:r w:rsidRPr="00C36CAA">
        <w:t>. A decrease from Baseline indicated improvement.</w:t>
      </w:r>
    </w:p>
    <w:p w14:paraId="3DA60DA7" w14:textId="4FC30D9D" w:rsidR="00715675" w:rsidRDefault="00C36CAA" w:rsidP="00C21B12">
      <w:pPr>
        <w:pStyle w:val="FigureDescription"/>
      </w:pPr>
      <w:r w:rsidRPr="00C36CAA">
        <w:t>Note: Baseline was defined as the last available assessment before first administration in the 'double-blind study' or</w:t>
      </w:r>
      <w:r>
        <w:t xml:space="preserve"> </w:t>
      </w:r>
      <w:r w:rsidRPr="00C36CAA">
        <w:t>'parent study'.</w:t>
      </w:r>
    </w:p>
    <w:p w14:paraId="2B3C9AD5" w14:textId="2FA3858E" w:rsidR="00375F49" w:rsidRDefault="00375F49" w:rsidP="00C21B12">
      <w:r w:rsidRPr="00375F49">
        <w:t xml:space="preserve">Subjects who had already received 12 weeks of </w:t>
      </w:r>
      <w:proofErr w:type="spellStart"/>
      <w:r w:rsidRPr="00375F49">
        <w:t>zilucoplan</w:t>
      </w:r>
      <w:proofErr w:type="spellEnd"/>
      <w:r w:rsidRPr="00375F49">
        <w:t xml:space="preserve"> 0.3mg/kg had a plateauing / small ongoing improvement in QMG score with a further 12 weeks of </w:t>
      </w:r>
      <w:proofErr w:type="gramStart"/>
      <w:r w:rsidRPr="00375F49">
        <w:t>treatment .</w:t>
      </w:r>
      <w:proofErr w:type="gramEnd"/>
      <w:r w:rsidRPr="00375F49">
        <w:t xml:space="preserve"> Subjects who received placebo initially and switched to </w:t>
      </w:r>
      <w:proofErr w:type="spellStart"/>
      <w:r w:rsidRPr="00375F49">
        <w:t>zilucoplan</w:t>
      </w:r>
      <w:proofErr w:type="spellEnd"/>
      <w:r w:rsidRPr="00375F49">
        <w:t xml:space="preserve"> 0.3mg/kg experienced a rapid improvement in QMG score that approached the continuous </w:t>
      </w:r>
      <w:proofErr w:type="spellStart"/>
      <w:r w:rsidRPr="00375F49">
        <w:t>zilucoplan</w:t>
      </w:r>
      <w:proofErr w:type="spellEnd"/>
      <w:r w:rsidRPr="00375F49">
        <w:t xml:space="preserve"> group by week E12 (Figure 8).</w:t>
      </w:r>
    </w:p>
    <w:p w14:paraId="7B79F024" w14:textId="05377526" w:rsidR="00EB12C1" w:rsidRDefault="00EB12C1" w:rsidP="00C21B12">
      <w:pPr>
        <w:pStyle w:val="FigureTitle"/>
      </w:pPr>
      <w:r w:rsidRPr="00EB12C1">
        <w:t>Figure 8</w:t>
      </w:r>
      <w:r w:rsidR="00375F49">
        <w:t>.</w:t>
      </w:r>
      <w:r w:rsidRPr="00EB12C1">
        <w:t xml:space="preserve"> Changes from parent study baseline to week E12 in QMG score, study MG0011</w:t>
      </w:r>
    </w:p>
    <w:p w14:paraId="2EC501B4" w14:textId="458A4EA3" w:rsidR="00C36CAA" w:rsidRDefault="00C748CB" w:rsidP="00C21B12">
      <w:r>
        <w:rPr>
          <w:noProof/>
        </w:rPr>
        <w:drawing>
          <wp:inline distT="0" distB="0" distL="0" distR="0" wp14:anchorId="65F79688" wp14:editId="40844C01">
            <wp:extent cx="5759450" cy="2698750"/>
            <wp:effectExtent l="0" t="0" r="0" b="6350"/>
            <wp:docPr id="1899064483" name="Picture 1" descr="Figure 8. Changes from parent study baseline to week E12 in QMG score, study MG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64483" name="Picture 1" descr="Figure 8. Changes from parent study baseline to week E12 in QMG score, study MG0011"/>
                    <pic:cNvPicPr/>
                  </pic:nvPicPr>
                  <pic:blipFill>
                    <a:blip r:embed="rId38"/>
                    <a:stretch>
                      <a:fillRect/>
                    </a:stretch>
                  </pic:blipFill>
                  <pic:spPr>
                    <a:xfrm>
                      <a:off x="0" y="0"/>
                      <a:ext cx="5759450" cy="2698750"/>
                    </a:xfrm>
                    <a:prstGeom prst="rect">
                      <a:avLst/>
                    </a:prstGeom>
                  </pic:spPr>
                </pic:pic>
              </a:graphicData>
            </a:graphic>
          </wp:inline>
        </w:drawing>
      </w:r>
    </w:p>
    <w:p w14:paraId="08C4B76A" w14:textId="2AA0EA81" w:rsidR="008E3678" w:rsidRDefault="008E3678" w:rsidP="00C21B12">
      <w:pPr>
        <w:pStyle w:val="FigureDescription"/>
      </w:pPr>
      <w:r>
        <w:t xml:space="preserve">CFB=change from Baseline; E=Extension; </w:t>
      </w:r>
      <w:proofErr w:type="spellStart"/>
      <w:r>
        <w:t>mITT</w:t>
      </w:r>
      <w:proofErr w:type="spellEnd"/>
      <w:r>
        <w:t>=modified Intent-to-Treat; MMRM=mixed model repeated measure; QMG=quantitative myasthenia gravis; SE=standard error; ZLP=</w:t>
      </w:r>
      <w:proofErr w:type="spellStart"/>
      <w:r>
        <w:t>zilucoplan</w:t>
      </w:r>
      <w:proofErr w:type="spellEnd"/>
    </w:p>
    <w:p w14:paraId="5BB12927" w14:textId="6D0A09FD" w:rsidR="008E3678" w:rsidRDefault="008E3678" w:rsidP="00C21B12">
      <w:pPr>
        <w:pStyle w:val="FigureDescription"/>
      </w:pPr>
      <w:r>
        <w:t>Note: The total score was the sum of the individual scores, ranged 0 to 39, with a higher score indicating more severe disability.</w:t>
      </w:r>
    </w:p>
    <w:p w14:paraId="1B8A4C65" w14:textId="143B71B9" w:rsidR="008E3678" w:rsidRDefault="008E3678" w:rsidP="00C21B12">
      <w:pPr>
        <w:pStyle w:val="FigureDescription"/>
      </w:pPr>
      <w:r>
        <w:t>Note: Baseline was defined as the last available assessment before first administration in the 'double-blind study' or 'parent study'.</w:t>
      </w:r>
    </w:p>
    <w:p w14:paraId="2D542547" w14:textId="23A18966" w:rsidR="00375F49" w:rsidRDefault="008E3678" w:rsidP="00C21B12">
      <w:pPr>
        <w:pStyle w:val="FigureDescription"/>
      </w:pPr>
      <w:r>
        <w:t>Note: A decrease from Baseline indicates improvement.</w:t>
      </w:r>
    </w:p>
    <w:p w14:paraId="4AFE0D4D" w14:textId="77777777" w:rsidR="0098244D" w:rsidRDefault="0098244D" w:rsidP="00C21B12">
      <w:r>
        <w:lastRenderedPageBreak/>
        <w:t xml:space="preserve">A similar pattern of change was seen for other efficacy endpoints. Although the extension study was not placebo-controlled and efficacy results could be influenced by factors such as changes to treatment other than </w:t>
      </w:r>
      <w:proofErr w:type="spellStart"/>
      <w:r>
        <w:t>zilucoplan</w:t>
      </w:r>
      <w:proofErr w:type="spellEnd"/>
      <w:r>
        <w:t>, the results are consistent with at least maintenance of effect out to 24 weeks at the proposed clinical dose.</w:t>
      </w:r>
    </w:p>
    <w:p w14:paraId="55E3CB69" w14:textId="0F510DD4" w:rsidR="008E3678" w:rsidRDefault="0098244D" w:rsidP="00C21B12">
      <w:r>
        <w:t xml:space="preserve">The Sponsor presented </w:t>
      </w:r>
      <w:proofErr w:type="gramStart"/>
      <w:r>
        <w:t>a number of</w:t>
      </w:r>
      <w:proofErr w:type="gramEnd"/>
      <w:r>
        <w:t xml:space="preserve"> pooled analyses. Of particular interest, is the pool E1 set which included all subjects who received the proposed clinical dose of 0.3mg/kg/day during a </w:t>
      </w:r>
      <w:proofErr w:type="gramStart"/>
      <w:r>
        <w:t>12 week</w:t>
      </w:r>
      <w:proofErr w:type="gramEnd"/>
      <w:r>
        <w:t xml:space="preserve"> placebo-controlled period (N=</w:t>
      </w:r>
      <w:proofErr w:type="gramStart"/>
      <w:r>
        <w:t>100;placebo</w:t>
      </w:r>
      <w:proofErr w:type="gramEnd"/>
      <w:r>
        <w:t xml:space="preserve"> N=103). At week 12 the LS mean difference between </w:t>
      </w:r>
      <w:proofErr w:type="spellStart"/>
      <w:r>
        <w:t>zilucoplan</w:t>
      </w:r>
      <w:proofErr w:type="spellEnd"/>
      <w:r>
        <w:t xml:space="preserve"> and placebo changes from baseline was -2.18 (95% CI: -3.</w:t>
      </w:r>
      <w:proofErr w:type="gramStart"/>
      <w:r>
        <w:t>23,-</w:t>
      </w:r>
      <w:proofErr w:type="gramEnd"/>
      <w:r>
        <w:t>1.14) (Figure 9).</w:t>
      </w:r>
    </w:p>
    <w:p w14:paraId="66C085BC" w14:textId="458260DD" w:rsidR="00320E96" w:rsidRPr="00C21B12" w:rsidRDefault="00320E96" w:rsidP="00C21B12">
      <w:pPr>
        <w:pStyle w:val="FigureTitle"/>
      </w:pPr>
      <w:r w:rsidRPr="00C21B12">
        <w:t>Figure 9. Analysis of pool E1 change from baseline in MG-ADL at week 12</w:t>
      </w:r>
    </w:p>
    <w:p w14:paraId="3FAF5442" w14:textId="1B3E7A5A" w:rsidR="00D33BDF" w:rsidRDefault="00B674D7" w:rsidP="00C21B12">
      <w:r>
        <w:rPr>
          <w:noProof/>
        </w:rPr>
        <w:drawing>
          <wp:inline distT="0" distB="0" distL="0" distR="0" wp14:anchorId="46E89F2B" wp14:editId="29BC06D6">
            <wp:extent cx="5759450" cy="1761490"/>
            <wp:effectExtent l="0" t="0" r="0" b="0"/>
            <wp:docPr id="1172693015" name="Picture 1" descr="Figure 9. Analysis of pool E1 change from baseline in MG-ADL at we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93015" name="Picture 1" descr="Figure 9. Analysis of pool E1 change from baseline in MG-ADL at week 12"/>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5759450" cy="1761490"/>
                    </a:xfrm>
                    <a:prstGeom prst="rect">
                      <a:avLst/>
                    </a:prstGeom>
                  </pic:spPr>
                </pic:pic>
              </a:graphicData>
            </a:graphic>
          </wp:inline>
        </w:drawing>
      </w:r>
    </w:p>
    <w:p w14:paraId="0219C052" w14:textId="2CD3D6FE" w:rsidR="00C53560" w:rsidRDefault="00C53560" w:rsidP="00C21B12">
      <w:pPr>
        <w:pStyle w:val="FigureDescription"/>
      </w:pPr>
      <w:r w:rsidRPr="00C53560">
        <w:t>CI=Confidence Interval, ICE=Intercurrent event, LS=Least Square, MG-ADL=Myasthenia Gravis Activities of Daily Living, MMRM=mixed model repeated measures, MAR= missing at random, SE=standard error.</w:t>
      </w:r>
    </w:p>
    <w:p w14:paraId="0F74A51E" w14:textId="75D1D1CD" w:rsidR="00C53560" w:rsidRDefault="00C53560" w:rsidP="00C21B12">
      <w:pPr>
        <w:pStyle w:val="FigureDescription"/>
      </w:pPr>
      <w:r w:rsidRPr="00C53560">
        <w:t>Note: Area of circle in the figure based on weight of the studies calculated as 1/SE2 Note: In Stage 1 of the meta-analysis, MG-ADL total scores after rescue use (ICE1) or any adverse event of death or myasthenic crisis (ICE2) are censored and imputed with the Baseline score or the last available score, whichever is worst. Other missing scores are handled based on the maximum likelihood estimation method under the MAR assumption. The MMRM model includes treatment, treatment-by-time (interaction), Region (MG0010 only), Baseline MG-ADL total score, Baseline QMG total score and Baseline MG-ADL total score-by-time (interaction) as fixed effects, and subject as a random effect. The MMRM ANCOVA includes Weeks 1, 2, 4, 8, and 12.</w:t>
      </w:r>
    </w:p>
    <w:p w14:paraId="592B078F" w14:textId="5117CDFD" w:rsidR="00C53560" w:rsidRDefault="00C53560" w:rsidP="00C21B12">
      <w:pPr>
        <w:pStyle w:val="FigureDescription"/>
      </w:pPr>
      <w:r w:rsidRPr="00C53560">
        <w:t xml:space="preserve">Note: In Stage 2, the estimated </w:t>
      </w:r>
      <w:proofErr w:type="spellStart"/>
      <w:r w:rsidRPr="00C53560">
        <w:t>LSMean</w:t>
      </w:r>
      <w:proofErr w:type="spellEnd"/>
      <w:r w:rsidRPr="00C53560">
        <w:t xml:space="preserve"> and SE from MG0009 and MG0010 are combined in a fixed-effects meta-analysis using the inverse-variance method.</w:t>
      </w:r>
    </w:p>
    <w:p w14:paraId="42560C18" w14:textId="53CF7792" w:rsidR="00491851" w:rsidRDefault="00491851" w:rsidP="00C21B12">
      <w:r>
        <w:t>Other efficacy variables analysed in pool E1 found results consistent with the pivotal study.</w:t>
      </w:r>
    </w:p>
    <w:p w14:paraId="5982D77D" w14:textId="202F38FA" w:rsidR="00491851" w:rsidRDefault="00491851" w:rsidP="00C21B12">
      <w:r>
        <w:t xml:space="preserve">Pool E2 consisted of all subjects treated with </w:t>
      </w:r>
      <w:proofErr w:type="spellStart"/>
      <w:r>
        <w:t>zilucoplan</w:t>
      </w:r>
      <w:proofErr w:type="spellEnd"/>
      <w:r>
        <w:t xml:space="preserve"> during the clinical development program, including those exposed to placebo and/or the 0.1mg/kg/day doses. The pool also extends beyond the placebo-controlled period. Pool E2 shows the duration of treatment with various dose and placebo combinations as well as the associated clinical measures, such as MG- ADL, at various timepoints (Table 6). Note that efficacy measures beyond week 12 are not placebo controlled.</w:t>
      </w:r>
    </w:p>
    <w:p w14:paraId="5C4B1D7D" w14:textId="77777777" w:rsidR="00C21B12" w:rsidRDefault="00491851" w:rsidP="00C21B12">
      <w:pPr>
        <w:pStyle w:val="TableTitle"/>
      </w:pPr>
      <w:r>
        <w:lastRenderedPageBreak/>
        <w:t>Table 6</w:t>
      </w:r>
      <w:r w:rsidR="000D07E5">
        <w:t>.</w:t>
      </w:r>
      <w:r>
        <w:t xml:space="preserve"> Pool E2 and MG-ADL score at </w:t>
      </w:r>
      <w:r w:rsidRPr="00C21B12">
        <w:t>various</w:t>
      </w:r>
      <w:r>
        <w:t xml:space="preserve"> timepoints</w:t>
      </w:r>
    </w:p>
    <w:p w14:paraId="4A4EA416" w14:textId="4EA99F25" w:rsidR="000D07E5" w:rsidRDefault="000D07E5" w:rsidP="00C21B12">
      <w:r>
        <w:rPr>
          <w:noProof/>
        </w:rPr>
        <w:drawing>
          <wp:inline distT="0" distB="0" distL="0" distR="0" wp14:anchorId="751DE588" wp14:editId="312C449E">
            <wp:extent cx="5264785" cy="3429000"/>
            <wp:effectExtent l="0" t="0" r="0" b="0"/>
            <wp:docPr id="23" name="Image 23" descr="Table 6. Pool E2 and MG-ADL score at various timepoi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Table 6. Pool E2 and MG-ADL score at various timepoints"/>
                    <pic:cNvPicPr/>
                  </pic:nvPicPr>
                  <pic:blipFill rotWithShape="1">
                    <a:blip r:embed="rId41" cstate="print">
                      <a:extLst>
                        <a:ext uri="{28A0092B-C50C-407E-A947-70E740481C1C}">
                          <a14:useLocalDpi xmlns:a14="http://schemas.microsoft.com/office/drawing/2010/main" val="0"/>
                        </a:ext>
                      </a:extLst>
                    </a:blip>
                    <a:srcRect b="18351"/>
                    <a:stretch/>
                  </pic:blipFill>
                  <pic:spPr bwMode="auto">
                    <a:xfrm>
                      <a:off x="0" y="0"/>
                      <a:ext cx="5265334" cy="3429358"/>
                    </a:xfrm>
                    <a:prstGeom prst="rect">
                      <a:avLst/>
                    </a:prstGeom>
                    <a:ln>
                      <a:noFill/>
                    </a:ln>
                    <a:extLst>
                      <a:ext uri="{53640926-AAD7-44D8-BBD7-CCE9431645EC}">
                        <a14:shadowObscured xmlns:a14="http://schemas.microsoft.com/office/drawing/2010/main"/>
                      </a:ext>
                    </a:extLst>
                  </pic:spPr>
                </pic:pic>
              </a:graphicData>
            </a:graphic>
          </wp:inline>
        </w:drawing>
      </w:r>
    </w:p>
    <w:p w14:paraId="23BC3E1B" w14:textId="3CEB728B" w:rsidR="00E37046" w:rsidRDefault="00E37046" w:rsidP="00C21B12">
      <w:pPr>
        <w:pStyle w:val="TableDescription"/>
      </w:pPr>
      <w:r w:rsidRPr="00E37046">
        <w:t>BL=Baseline; CFB=change from Baseline; MG=myasthenia gravis; MG-ADL=Myasthenia Gravis Activities of Daily Living; SCE=Summary of Clinical Efficacy; W=Week; ZLP=</w:t>
      </w:r>
      <w:proofErr w:type="spellStart"/>
      <w:r w:rsidRPr="00E37046">
        <w:t>zilucoplan</w:t>
      </w:r>
      <w:proofErr w:type="spellEnd"/>
    </w:p>
    <w:p w14:paraId="3730D228" w14:textId="1AAB6918" w:rsidR="00E37046" w:rsidRDefault="00E37046" w:rsidP="00C21B12">
      <w:pPr>
        <w:pStyle w:val="TableDescription"/>
      </w:pPr>
      <w:r w:rsidRPr="00E37046">
        <w:t xml:space="preserve">Note: The MG-ADL total score ranges from 0 to 24 with a </w:t>
      </w:r>
      <w:r w:rsidRPr="00C21B12">
        <w:t>higher</w:t>
      </w:r>
      <w:r w:rsidRPr="00E37046">
        <w:t xml:space="preserve"> score indicating more severe symptoms of MG. Note: This includes efficacy data collected at or after the time point of rescue use or myasthenic crisis with no imputation of missing data.</w:t>
      </w:r>
    </w:p>
    <w:p w14:paraId="155167B4" w14:textId="07A745E3" w:rsidR="00E37046" w:rsidRPr="008A2EAB" w:rsidRDefault="00E37046" w:rsidP="00C21B12">
      <w:pPr>
        <w:pStyle w:val="TableDescription"/>
      </w:pPr>
      <w:r w:rsidRPr="00E37046">
        <w:t>Note: Baseline is defined as the Day 1/</w:t>
      </w:r>
      <w:r w:rsidRPr="00C21B12">
        <w:t>Baseline</w:t>
      </w:r>
      <w:r w:rsidRPr="00E37046">
        <w:t xml:space="preserve"> value from MG0009 or MG0010.</w:t>
      </w:r>
    </w:p>
    <w:p w14:paraId="36683DD7" w14:textId="73668D8A" w:rsidR="00CA4FEB" w:rsidRDefault="00CA4FEB" w:rsidP="00C21B12">
      <w:pPr>
        <w:rPr>
          <w:lang w:eastAsia="en-AU"/>
        </w:rPr>
      </w:pPr>
      <w:bookmarkStart w:id="35" w:name="_Toc314842514"/>
      <w:bookmarkStart w:id="36" w:name="_Toc103679298"/>
      <w:r>
        <w:rPr>
          <w:lang w:eastAsia="en-AU"/>
        </w:rPr>
        <w:t xml:space="preserve">Pool E3 consists of subjects who switched from placebo to </w:t>
      </w:r>
      <w:proofErr w:type="spellStart"/>
      <w:r>
        <w:rPr>
          <w:lang w:eastAsia="en-AU"/>
        </w:rPr>
        <w:t>zilucoplan</w:t>
      </w:r>
      <w:proofErr w:type="spellEnd"/>
      <w:r>
        <w:rPr>
          <w:lang w:eastAsia="en-AU"/>
        </w:rPr>
        <w:t>.</w:t>
      </w:r>
    </w:p>
    <w:p w14:paraId="5A676E0D" w14:textId="77777777" w:rsidR="00CA4FEB" w:rsidRDefault="00CA4FEB" w:rsidP="00C21B12">
      <w:pPr>
        <w:pStyle w:val="Heading4"/>
        <w:rPr>
          <w:lang w:eastAsia="en-AU"/>
        </w:rPr>
      </w:pPr>
      <w:bookmarkStart w:id="37" w:name="_Toc204004341"/>
      <w:r w:rsidRPr="00C21B12">
        <w:t>Safety</w:t>
      </w:r>
      <w:bookmarkEnd w:id="37"/>
    </w:p>
    <w:p w14:paraId="4CF5D059" w14:textId="1265A6E9" w:rsidR="00CA4FEB" w:rsidRDefault="00CA4FEB" w:rsidP="00C21B12">
      <w:pPr>
        <w:rPr>
          <w:lang w:eastAsia="en-AU"/>
        </w:rPr>
      </w:pPr>
      <w:r>
        <w:rPr>
          <w:lang w:eastAsia="en-AU"/>
        </w:rPr>
        <w:t>The safety data are derived from</w:t>
      </w:r>
      <w:r w:rsidR="00B861F0">
        <w:rPr>
          <w:lang w:eastAsia="en-AU"/>
        </w:rPr>
        <w:t>:</w:t>
      </w:r>
    </w:p>
    <w:p w14:paraId="0D46C831" w14:textId="2224A627" w:rsidR="00CA4FEB" w:rsidRDefault="00CA4FEB" w:rsidP="00C21B12">
      <w:pPr>
        <w:pStyle w:val="ListBullet"/>
        <w:rPr>
          <w:lang w:eastAsia="en-AU"/>
        </w:rPr>
      </w:pPr>
      <w:r>
        <w:rPr>
          <w:lang w:eastAsia="en-AU"/>
        </w:rPr>
        <w:t xml:space="preserve">six </w:t>
      </w:r>
      <w:r w:rsidRPr="00C21B12">
        <w:t>phase</w:t>
      </w:r>
      <w:r>
        <w:rPr>
          <w:lang w:eastAsia="en-AU"/>
        </w:rPr>
        <w:t xml:space="preserve"> 1 studies</w:t>
      </w:r>
    </w:p>
    <w:p w14:paraId="6F7ABBD1" w14:textId="64549140" w:rsidR="00CA4FEB" w:rsidRDefault="00CA4FEB" w:rsidP="00C21B12">
      <w:pPr>
        <w:pStyle w:val="ListBullet"/>
        <w:rPr>
          <w:lang w:eastAsia="en-AU"/>
        </w:rPr>
      </w:pPr>
      <w:r w:rsidRPr="00C21B12">
        <w:t>MG0009</w:t>
      </w:r>
    </w:p>
    <w:p w14:paraId="52842DB9" w14:textId="2ED722D8" w:rsidR="00CA4FEB" w:rsidRDefault="00CA4FEB" w:rsidP="00B861F0">
      <w:pPr>
        <w:pStyle w:val="ListBullet"/>
        <w:rPr>
          <w:lang w:eastAsia="en-AU"/>
        </w:rPr>
      </w:pPr>
      <w:r>
        <w:rPr>
          <w:lang w:eastAsia="en-AU"/>
        </w:rPr>
        <w:t>MG0010</w:t>
      </w:r>
    </w:p>
    <w:p w14:paraId="33DAE228" w14:textId="26A0B77D" w:rsidR="00CA4FEB" w:rsidRDefault="00CA4FEB" w:rsidP="00C21B12">
      <w:pPr>
        <w:pStyle w:val="ListBullet"/>
        <w:rPr>
          <w:lang w:eastAsia="en-AU"/>
        </w:rPr>
      </w:pPr>
      <w:r w:rsidRPr="00C21B12">
        <w:t>MG0011</w:t>
      </w:r>
    </w:p>
    <w:p w14:paraId="6F22EB1A" w14:textId="28ECE4F3" w:rsidR="00CA4FEB" w:rsidRDefault="00CA4FEB" w:rsidP="00C21B12">
      <w:pPr>
        <w:pStyle w:val="ListBullet"/>
        <w:rPr>
          <w:lang w:eastAsia="en-AU"/>
        </w:rPr>
      </w:pPr>
      <w:r>
        <w:rPr>
          <w:lang w:eastAsia="en-AU"/>
        </w:rPr>
        <w:t xml:space="preserve">Additional </w:t>
      </w:r>
      <w:r w:rsidRPr="00C21B12">
        <w:t>studies</w:t>
      </w:r>
      <w:r>
        <w:rPr>
          <w:lang w:eastAsia="en-AU"/>
        </w:rPr>
        <w:t xml:space="preserve"> in indications other than MG</w:t>
      </w:r>
    </w:p>
    <w:p w14:paraId="29A224BB" w14:textId="45077CBB" w:rsidR="00CA4FEB" w:rsidRDefault="00CA4FEB" w:rsidP="00C21B12">
      <w:pPr>
        <w:pStyle w:val="ListBullet2"/>
        <w:rPr>
          <w:lang w:eastAsia="en-AU"/>
        </w:rPr>
      </w:pPr>
      <w:r>
        <w:rPr>
          <w:lang w:eastAsia="en-AU"/>
        </w:rPr>
        <w:t xml:space="preserve">PNH002 – </w:t>
      </w:r>
      <w:proofErr w:type="gramStart"/>
      <w:r>
        <w:rPr>
          <w:lang w:eastAsia="en-AU"/>
        </w:rPr>
        <w:t>12 week</w:t>
      </w:r>
      <w:proofErr w:type="gramEnd"/>
      <w:r>
        <w:rPr>
          <w:lang w:eastAsia="en-AU"/>
        </w:rPr>
        <w:t xml:space="preserve"> phase 2 study </w:t>
      </w:r>
      <w:r w:rsidRPr="00C21B12">
        <w:t>of</w:t>
      </w:r>
      <w:r>
        <w:rPr>
          <w:lang w:eastAsia="en-AU"/>
        </w:rPr>
        <w:t xml:space="preserve"> 0.3mg/kg/day in paroxysmal nocturnal haemoglobinuria (PNH)</w:t>
      </w:r>
    </w:p>
    <w:p w14:paraId="4C67DD25" w14:textId="4910CB03" w:rsidR="00CA4FEB" w:rsidRDefault="00CA4FEB" w:rsidP="00B861F0">
      <w:pPr>
        <w:pStyle w:val="ListBullet2"/>
        <w:rPr>
          <w:lang w:eastAsia="en-AU"/>
        </w:rPr>
      </w:pPr>
      <w:r>
        <w:rPr>
          <w:lang w:eastAsia="en-AU"/>
        </w:rPr>
        <w:t xml:space="preserve">PNH003 – </w:t>
      </w:r>
      <w:proofErr w:type="gramStart"/>
      <w:r>
        <w:rPr>
          <w:lang w:eastAsia="en-AU"/>
        </w:rPr>
        <w:t>12 week</w:t>
      </w:r>
      <w:proofErr w:type="gramEnd"/>
      <w:r>
        <w:rPr>
          <w:lang w:eastAsia="en-AU"/>
        </w:rPr>
        <w:t xml:space="preserve"> phase 2 study of 0.3mg/kg/day in PNH that has not responded adequately to eculizumab</w:t>
      </w:r>
    </w:p>
    <w:p w14:paraId="479BABA8" w14:textId="2389220C" w:rsidR="00CA4FEB" w:rsidRDefault="00CA4FEB" w:rsidP="00C21B12">
      <w:pPr>
        <w:pStyle w:val="ListBullet2"/>
        <w:rPr>
          <w:lang w:eastAsia="en-AU"/>
        </w:rPr>
      </w:pPr>
      <w:r>
        <w:rPr>
          <w:lang w:eastAsia="en-AU"/>
        </w:rPr>
        <w:t xml:space="preserve">PNH001 – phase 2 extension </w:t>
      </w:r>
      <w:r w:rsidRPr="00C21B12">
        <w:t>study</w:t>
      </w:r>
      <w:r>
        <w:rPr>
          <w:lang w:eastAsia="en-AU"/>
        </w:rPr>
        <w:t xml:space="preserve"> for PNH002/3 of 0.3mg/kg/day</w:t>
      </w:r>
    </w:p>
    <w:p w14:paraId="3A15365B" w14:textId="19EB2E97" w:rsidR="00CA4FEB" w:rsidRDefault="00CA4FEB" w:rsidP="00C21B12">
      <w:pPr>
        <w:pStyle w:val="ListBullet2"/>
        <w:rPr>
          <w:lang w:eastAsia="en-AU"/>
        </w:rPr>
      </w:pPr>
      <w:r>
        <w:rPr>
          <w:lang w:eastAsia="en-AU"/>
        </w:rPr>
        <w:t xml:space="preserve">IMNM01 – 8 </w:t>
      </w:r>
      <w:proofErr w:type="gramStart"/>
      <w:r>
        <w:rPr>
          <w:lang w:eastAsia="en-AU"/>
        </w:rPr>
        <w:t>week</w:t>
      </w:r>
      <w:proofErr w:type="gramEnd"/>
      <w:r>
        <w:rPr>
          <w:lang w:eastAsia="en-AU"/>
        </w:rPr>
        <w:t xml:space="preserve"> plus </w:t>
      </w:r>
      <w:r w:rsidRPr="00C21B12">
        <w:t>extension</w:t>
      </w:r>
      <w:r>
        <w:rPr>
          <w:lang w:eastAsia="en-AU"/>
        </w:rPr>
        <w:t xml:space="preserve"> study of 0.3mg/kg/day in immune-mediated necrotizing myopathy (IMNM)</w:t>
      </w:r>
    </w:p>
    <w:p w14:paraId="5AD3113B" w14:textId="01017C32" w:rsidR="00CA4FEB" w:rsidRDefault="00CA4FEB" w:rsidP="00B861F0">
      <w:pPr>
        <w:pStyle w:val="ListBullet2"/>
        <w:rPr>
          <w:lang w:eastAsia="en-AU"/>
        </w:rPr>
      </w:pPr>
      <w:r>
        <w:rPr>
          <w:lang w:eastAsia="en-AU"/>
        </w:rPr>
        <w:t xml:space="preserve">UP01017 – </w:t>
      </w:r>
      <w:proofErr w:type="gramStart"/>
      <w:r>
        <w:rPr>
          <w:lang w:eastAsia="en-AU"/>
        </w:rPr>
        <w:t>14 day</w:t>
      </w:r>
      <w:proofErr w:type="gramEnd"/>
      <w:r>
        <w:rPr>
          <w:lang w:eastAsia="en-AU"/>
        </w:rPr>
        <w:t xml:space="preserve"> phase 2 study of 32.4mg in COVID19 with hypoxic respiratory failure</w:t>
      </w:r>
    </w:p>
    <w:p w14:paraId="6E48EBE8" w14:textId="557DA503" w:rsidR="00CA4FEB" w:rsidRDefault="00CA4FEB" w:rsidP="00B861F0">
      <w:pPr>
        <w:pStyle w:val="ListBullet2"/>
        <w:rPr>
          <w:lang w:eastAsia="en-AU"/>
        </w:rPr>
      </w:pPr>
      <w:r>
        <w:rPr>
          <w:lang w:eastAsia="en-AU"/>
        </w:rPr>
        <w:lastRenderedPageBreak/>
        <w:t xml:space="preserve">UP0108 – </w:t>
      </w:r>
      <w:proofErr w:type="gramStart"/>
      <w:r>
        <w:rPr>
          <w:lang w:eastAsia="en-AU"/>
        </w:rPr>
        <w:t>14 day</w:t>
      </w:r>
      <w:proofErr w:type="gramEnd"/>
      <w:r>
        <w:rPr>
          <w:lang w:eastAsia="en-AU"/>
        </w:rPr>
        <w:t xml:space="preserve"> phase 2 study of 32.4mg in COVID19 requiring hospitalisation</w:t>
      </w:r>
    </w:p>
    <w:p w14:paraId="7E8F1D90" w14:textId="66E2A84D" w:rsidR="00CA4FEB" w:rsidRDefault="00CA4FEB" w:rsidP="00B861F0">
      <w:pPr>
        <w:pStyle w:val="ListBullet2"/>
        <w:rPr>
          <w:lang w:eastAsia="en-AU"/>
        </w:rPr>
      </w:pPr>
      <w:r>
        <w:rPr>
          <w:lang w:eastAsia="en-AU"/>
        </w:rPr>
        <w:t xml:space="preserve">UP0109 – </w:t>
      </w:r>
      <w:proofErr w:type="gramStart"/>
      <w:r>
        <w:rPr>
          <w:lang w:eastAsia="en-AU"/>
        </w:rPr>
        <w:t>14 day</w:t>
      </w:r>
      <w:proofErr w:type="gramEnd"/>
      <w:r>
        <w:rPr>
          <w:lang w:eastAsia="en-AU"/>
        </w:rPr>
        <w:t xml:space="preserve"> phase 3 study of 32.4mg in COVID19 requiring hospitalisation</w:t>
      </w:r>
    </w:p>
    <w:p w14:paraId="536E07EF" w14:textId="09F6C25F" w:rsidR="00CA4FEB" w:rsidRDefault="00CA4FEB" w:rsidP="00C21B12">
      <w:pPr>
        <w:pStyle w:val="ListBullet2"/>
        <w:rPr>
          <w:lang w:eastAsia="en-AU"/>
        </w:rPr>
      </w:pPr>
      <w:r>
        <w:rPr>
          <w:lang w:eastAsia="en-AU"/>
        </w:rPr>
        <w:t xml:space="preserve">ALS001 – 24 </w:t>
      </w:r>
      <w:proofErr w:type="gramStart"/>
      <w:r>
        <w:rPr>
          <w:lang w:eastAsia="en-AU"/>
        </w:rPr>
        <w:t>week</w:t>
      </w:r>
      <w:proofErr w:type="gramEnd"/>
      <w:r>
        <w:rPr>
          <w:lang w:eastAsia="en-AU"/>
        </w:rPr>
        <w:t xml:space="preserve"> plus </w:t>
      </w:r>
      <w:r w:rsidRPr="00C21B12">
        <w:t>extension</w:t>
      </w:r>
      <w:r>
        <w:rPr>
          <w:lang w:eastAsia="en-AU"/>
        </w:rPr>
        <w:t>, platform study of 0.3mg/kg in amyotrophic lateral sclerosis (ALS)</w:t>
      </w:r>
    </w:p>
    <w:p w14:paraId="2D5BECE0" w14:textId="77777777" w:rsidR="00CA4FEB" w:rsidRDefault="00CA4FEB" w:rsidP="00C21B12">
      <w:pPr>
        <w:rPr>
          <w:lang w:eastAsia="en-AU"/>
        </w:rPr>
      </w:pPr>
      <w:r>
        <w:rPr>
          <w:lang w:eastAsia="en-AU"/>
        </w:rPr>
        <w:t>The main datasets presented were:</w:t>
      </w:r>
    </w:p>
    <w:p w14:paraId="3A9B1EAC" w14:textId="34537F38" w:rsidR="00CA4FEB" w:rsidRDefault="00CA4FEB" w:rsidP="00C21B12">
      <w:pPr>
        <w:pStyle w:val="ListBullet"/>
        <w:rPr>
          <w:lang w:eastAsia="en-AU"/>
        </w:rPr>
      </w:pPr>
      <w:r>
        <w:rPr>
          <w:lang w:eastAsia="en-AU"/>
        </w:rPr>
        <w:t xml:space="preserve">S1A – </w:t>
      </w:r>
      <w:r w:rsidRPr="00C21B12">
        <w:t>placebo</w:t>
      </w:r>
      <w:r>
        <w:rPr>
          <w:lang w:eastAsia="en-AU"/>
        </w:rPr>
        <w:t xml:space="preserve">-controlled safety pool in subjects with </w:t>
      </w:r>
      <w:proofErr w:type="spellStart"/>
      <w:r>
        <w:rPr>
          <w:lang w:eastAsia="en-AU"/>
        </w:rPr>
        <w:t>gMG</w:t>
      </w:r>
      <w:proofErr w:type="spellEnd"/>
      <w:r>
        <w:rPr>
          <w:lang w:eastAsia="en-AU"/>
        </w:rPr>
        <w:t xml:space="preserve"> (MG0009, MG0010)</w:t>
      </w:r>
    </w:p>
    <w:p w14:paraId="6BF48965" w14:textId="1023C9DC" w:rsidR="00CA4FEB" w:rsidRDefault="00CA4FEB" w:rsidP="00A97C37">
      <w:pPr>
        <w:pStyle w:val="ListBullet"/>
        <w:rPr>
          <w:lang w:eastAsia="en-AU"/>
        </w:rPr>
      </w:pPr>
      <w:r>
        <w:rPr>
          <w:lang w:eastAsia="en-AU"/>
        </w:rPr>
        <w:t xml:space="preserve">S1B – long term safety pool in subjects with </w:t>
      </w:r>
      <w:proofErr w:type="spellStart"/>
      <w:r>
        <w:rPr>
          <w:lang w:eastAsia="en-AU"/>
        </w:rPr>
        <w:t>gMG</w:t>
      </w:r>
      <w:proofErr w:type="spellEnd"/>
      <w:r>
        <w:rPr>
          <w:lang w:eastAsia="en-AU"/>
        </w:rPr>
        <w:t xml:space="preserve"> (MG0009, MG0010, MG0011)</w:t>
      </w:r>
    </w:p>
    <w:p w14:paraId="1F47CA86" w14:textId="50486517" w:rsidR="00CA4FEB" w:rsidRDefault="00CA4FEB" w:rsidP="00A97C37">
      <w:pPr>
        <w:pStyle w:val="ListBullet"/>
        <w:rPr>
          <w:lang w:eastAsia="en-AU"/>
        </w:rPr>
      </w:pPr>
      <w:r>
        <w:rPr>
          <w:lang w:eastAsia="en-AU"/>
        </w:rPr>
        <w:t xml:space="preserve">S2A – placebo-controlled safety pool in subjects with either </w:t>
      </w:r>
      <w:proofErr w:type="spellStart"/>
      <w:r>
        <w:rPr>
          <w:lang w:eastAsia="en-AU"/>
        </w:rPr>
        <w:t>gMG</w:t>
      </w:r>
      <w:proofErr w:type="spellEnd"/>
      <w:r>
        <w:rPr>
          <w:lang w:eastAsia="en-AU"/>
        </w:rPr>
        <w:t xml:space="preserve"> or IMNM (MG0009, IMNM01)</w:t>
      </w:r>
    </w:p>
    <w:p w14:paraId="203140A3" w14:textId="3CF16B84" w:rsidR="00CA4FEB" w:rsidRDefault="00CA4FEB" w:rsidP="00C21B12">
      <w:pPr>
        <w:pStyle w:val="ListBullet"/>
        <w:rPr>
          <w:lang w:eastAsia="en-AU"/>
        </w:rPr>
      </w:pPr>
      <w:r>
        <w:rPr>
          <w:lang w:eastAsia="en-AU"/>
        </w:rPr>
        <w:t xml:space="preserve">S2B – </w:t>
      </w:r>
      <w:r w:rsidRPr="00C21B12">
        <w:t>long</w:t>
      </w:r>
      <w:r>
        <w:rPr>
          <w:lang w:eastAsia="en-AU"/>
        </w:rPr>
        <w:t xml:space="preserve">-term safety pool in subjects with </w:t>
      </w:r>
      <w:proofErr w:type="spellStart"/>
      <w:r>
        <w:rPr>
          <w:lang w:eastAsia="en-AU"/>
        </w:rPr>
        <w:t>gMG</w:t>
      </w:r>
      <w:proofErr w:type="spellEnd"/>
      <w:r>
        <w:rPr>
          <w:lang w:eastAsia="en-AU"/>
        </w:rPr>
        <w:t xml:space="preserve"> or IMNM (MG0009, MG0010, MG0011, IMNM01)</w:t>
      </w:r>
      <w:r w:rsidR="00C21B12">
        <w:rPr>
          <w:lang w:eastAsia="en-AU"/>
        </w:rPr>
        <w:t>.</w:t>
      </w:r>
    </w:p>
    <w:p w14:paraId="1C896B68" w14:textId="77777777" w:rsidR="00CA4FEB" w:rsidRDefault="00CA4FEB" w:rsidP="00C21B12">
      <w:pPr>
        <w:rPr>
          <w:lang w:eastAsia="en-AU"/>
        </w:rPr>
      </w:pPr>
      <w:r>
        <w:rPr>
          <w:lang w:eastAsia="en-AU"/>
        </w:rPr>
        <w:t xml:space="preserve">The </w:t>
      </w:r>
      <w:proofErr w:type="spellStart"/>
      <w:r>
        <w:rPr>
          <w:lang w:eastAsia="en-AU"/>
        </w:rPr>
        <w:t>gMG</w:t>
      </w:r>
      <w:proofErr w:type="spellEnd"/>
      <w:r>
        <w:rPr>
          <w:lang w:eastAsia="en-AU"/>
        </w:rPr>
        <w:t xml:space="preserve"> and IMNM indications were considered by the Sponsor as sufficiently </w:t>
      </w:r>
      <w:proofErr w:type="gramStart"/>
      <w:r>
        <w:rPr>
          <w:lang w:eastAsia="en-AU"/>
        </w:rPr>
        <w:t>similar to</w:t>
      </w:r>
      <w:proofErr w:type="gramEnd"/>
      <w:r>
        <w:rPr>
          <w:lang w:eastAsia="en-AU"/>
        </w:rPr>
        <w:t xml:space="preserve"> allow pooled analyses.</w:t>
      </w:r>
    </w:p>
    <w:p w14:paraId="5EEA457A" w14:textId="77777777" w:rsidR="00CA4FEB" w:rsidRDefault="00CA4FEB" w:rsidP="00C21B12">
      <w:pPr>
        <w:rPr>
          <w:lang w:eastAsia="en-AU"/>
        </w:rPr>
      </w:pPr>
      <w:r>
        <w:rPr>
          <w:lang w:eastAsia="en-AU"/>
        </w:rPr>
        <w:t xml:space="preserve">The dossier included the main integrated safety summary (up to 18 Feb 2022) and an update (up to 8 Sep 2022). The update is only relevant to the </w:t>
      </w:r>
      <w:proofErr w:type="gramStart"/>
      <w:r>
        <w:rPr>
          <w:lang w:eastAsia="en-AU"/>
        </w:rPr>
        <w:t>long term</w:t>
      </w:r>
      <w:proofErr w:type="gramEnd"/>
      <w:r>
        <w:rPr>
          <w:lang w:eastAsia="en-AU"/>
        </w:rPr>
        <w:t xml:space="preserve"> data sets (i.e. S1B and S2B). As the datasets presented in the update did not always parallel those initially presented, the following information is derived from both. Unless specified, the data in S1B and S2B should relate to the later data cutoff date of 18 Feb 2022.</w:t>
      </w:r>
    </w:p>
    <w:p w14:paraId="5C784B36" w14:textId="480EEE29" w:rsidR="00CA4FEB" w:rsidRDefault="00CA4FEB" w:rsidP="00C21B12">
      <w:pPr>
        <w:rPr>
          <w:lang w:eastAsia="en-AU"/>
        </w:rPr>
      </w:pPr>
      <w:r>
        <w:rPr>
          <w:lang w:eastAsia="en-AU"/>
        </w:rPr>
        <w:t xml:space="preserve">In terms of exposure in the </w:t>
      </w:r>
      <w:proofErr w:type="spellStart"/>
      <w:r>
        <w:rPr>
          <w:lang w:eastAsia="en-AU"/>
        </w:rPr>
        <w:t>gMG</w:t>
      </w:r>
      <w:proofErr w:type="spellEnd"/>
      <w:r>
        <w:rPr>
          <w:lang w:eastAsia="en-AU"/>
        </w:rPr>
        <w:t xml:space="preserve"> only studies, 15 subjects were treated with 0.1mg/kg and 100 with 0.3mg/kg, during the placebo-controlled study periods (S1A). The mean duration of treatment was 82 days (range 15 to 94 days</w:t>
      </w:r>
      <w:proofErr w:type="gramStart"/>
      <w:r>
        <w:rPr>
          <w:lang w:eastAsia="en-AU"/>
        </w:rPr>
        <w:t>)</w:t>
      </w:r>
      <w:proofErr w:type="gramEnd"/>
      <w:r>
        <w:rPr>
          <w:lang w:eastAsia="en-AU"/>
        </w:rPr>
        <w:t xml:space="preserve"> and total exposure was 25.8 participant-years. In long term studies (S1B-data cutoff 8 Sep 2022), the mean duration of treatment was 600.7 days (range 14 to 1707</w:t>
      </w:r>
      <w:proofErr w:type="gramStart"/>
      <w:r>
        <w:rPr>
          <w:lang w:eastAsia="en-AU"/>
        </w:rPr>
        <w:t>)</w:t>
      </w:r>
      <w:proofErr w:type="gramEnd"/>
      <w:r>
        <w:rPr>
          <w:lang w:eastAsia="en-AU"/>
        </w:rPr>
        <w:t xml:space="preserve"> and total exposure was 350.3 participant-years (&gt;93% of this exposure was at the clinical dose of 0.3mg/kg/day). One hundred and thirty-five were exposed for 12 or more months (131 at the proposed clinical dose) and 54 for 24 or more months. </w:t>
      </w:r>
      <w:r w:rsidR="00ED56F6">
        <w:rPr>
          <w:lang w:eastAsia="en-AU"/>
        </w:rPr>
        <w:t>Overall,</w:t>
      </w:r>
      <w:r>
        <w:rPr>
          <w:lang w:eastAsia="en-AU"/>
        </w:rPr>
        <w:t xml:space="preserve"> 213 subjects were exposed to </w:t>
      </w:r>
      <w:proofErr w:type="spellStart"/>
      <w:r>
        <w:rPr>
          <w:lang w:eastAsia="en-AU"/>
        </w:rPr>
        <w:t>zilucoplan</w:t>
      </w:r>
      <w:proofErr w:type="spellEnd"/>
      <w:r>
        <w:rPr>
          <w:lang w:eastAsia="en-AU"/>
        </w:rPr>
        <w:t xml:space="preserve"> across the </w:t>
      </w:r>
      <w:proofErr w:type="spellStart"/>
      <w:r>
        <w:rPr>
          <w:lang w:eastAsia="en-AU"/>
        </w:rPr>
        <w:t>gMG</w:t>
      </w:r>
      <w:proofErr w:type="spellEnd"/>
      <w:r>
        <w:rPr>
          <w:lang w:eastAsia="en-AU"/>
        </w:rPr>
        <w:t xml:space="preserve"> studies.</w:t>
      </w:r>
    </w:p>
    <w:p w14:paraId="0DEA340E" w14:textId="77777777" w:rsidR="00CA4FEB" w:rsidRDefault="00CA4FEB" w:rsidP="00C21B12">
      <w:pPr>
        <w:pStyle w:val="Heading5"/>
        <w:rPr>
          <w:lang w:eastAsia="en-AU"/>
        </w:rPr>
      </w:pPr>
      <w:r>
        <w:rPr>
          <w:lang w:eastAsia="en-AU"/>
        </w:rPr>
        <w:t xml:space="preserve">S1A </w:t>
      </w:r>
      <w:r w:rsidRPr="00C21B12">
        <w:t>dataset</w:t>
      </w:r>
    </w:p>
    <w:p w14:paraId="6CDBC3F7" w14:textId="77777777" w:rsidR="00CA4FEB" w:rsidRDefault="00CA4FEB" w:rsidP="00C21B12">
      <w:pPr>
        <w:rPr>
          <w:lang w:eastAsia="en-AU"/>
        </w:rPr>
      </w:pPr>
      <w:r>
        <w:rPr>
          <w:lang w:eastAsia="en-AU"/>
        </w:rPr>
        <w:t xml:space="preserve">There were slightly more treatment emergent adverse events (TEAEs) with </w:t>
      </w:r>
      <w:proofErr w:type="spellStart"/>
      <w:r>
        <w:rPr>
          <w:lang w:eastAsia="en-AU"/>
        </w:rPr>
        <w:t>zilucoplan</w:t>
      </w:r>
      <w:proofErr w:type="spellEnd"/>
      <w:r>
        <w:rPr>
          <w:lang w:eastAsia="en-AU"/>
        </w:rPr>
        <w:t xml:space="preserve"> compared with placebo, mainly driven by mild events. Serious adverse events were similar in each arm and there was one death with placebo and one with </w:t>
      </w:r>
      <w:proofErr w:type="spellStart"/>
      <w:r>
        <w:rPr>
          <w:lang w:eastAsia="en-AU"/>
        </w:rPr>
        <w:t>zilucoplan</w:t>
      </w:r>
      <w:proofErr w:type="spellEnd"/>
      <w:r>
        <w:rPr>
          <w:lang w:eastAsia="en-AU"/>
        </w:rPr>
        <w:t xml:space="preserve"> (Table 7).</w:t>
      </w:r>
    </w:p>
    <w:p w14:paraId="52F1C16B" w14:textId="4572AC18" w:rsidR="00C21B12" w:rsidRDefault="00C21B12" w:rsidP="00C21B12">
      <w:pPr>
        <w:pStyle w:val="TableTitle"/>
      </w:pPr>
      <w:r>
        <w:rPr>
          <w:lang w:eastAsia="en-AU"/>
        </w:rPr>
        <w:t xml:space="preserve">Table 7.  S1A incidence of </w:t>
      </w:r>
      <w:r w:rsidRPr="00C21B12">
        <w:t>TEAEs</w:t>
      </w:r>
    </w:p>
    <w:p w14:paraId="5F3CFCB0" w14:textId="5BE92189" w:rsidR="00C21B12" w:rsidRDefault="00667680" w:rsidP="00C21B12">
      <w:pPr>
        <w:rPr>
          <w:lang w:eastAsia="en-AU"/>
        </w:rPr>
      </w:pPr>
      <w:r>
        <w:rPr>
          <w:noProof/>
        </w:rPr>
        <w:lastRenderedPageBreak/>
        <w:drawing>
          <wp:inline distT="0" distB="0" distL="0" distR="0" wp14:anchorId="58D473D9" wp14:editId="75B28018">
            <wp:extent cx="5755640" cy="2687320"/>
            <wp:effectExtent l="0" t="0" r="0" b="0"/>
            <wp:docPr id="24" name="Image 24" descr="Table 7.  S1A incidence of TEA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Table 7.  S1A incidence of TEAEs"/>
                    <pic:cNvPicPr/>
                  </pic:nvPicPr>
                  <pic:blipFill rotWithShape="1">
                    <a:blip r:embed="rId42" cstate="print">
                      <a:extLst>
                        <a:ext uri="{28A0092B-C50C-407E-A947-70E740481C1C}">
                          <a14:useLocalDpi xmlns:a14="http://schemas.microsoft.com/office/drawing/2010/main" val="0"/>
                        </a:ext>
                      </a:extLst>
                    </a:blip>
                    <a:srcRect b="24559"/>
                    <a:stretch/>
                  </pic:blipFill>
                  <pic:spPr bwMode="auto">
                    <a:xfrm>
                      <a:off x="0" y="0"/>
                      <a:ext cx="5755640" cy="2687320"/>
                    </a:xfrm>
                    <a:prstGeom prst="rect">
                      <a:avLst/>
                    </a:prstGeom>
                    <a:ln>
                      <a:noFill/>
                    </a:ln>
                    <a:extLst>
                      <a:ext uri="{53640926-AAD7-44D8-BBD7-CCE9431645EC}">
                        <a14:shadowObscured xmlns:a14="http://schemas.microsoft.com/office/drawing/2010/main"/>
                      </a:ext>
                    </a:extLst>
                  </pic:spPr>
                </pic:pic>
              </a:graphicData>
            </a:graphic>
          </wp:inline>
        </w:drawing>
      </w:r>
    </w:p>
    <w:p w14:paraId="0BF102E2" w14:textId="31F2475C" w:rsidR="00667680" w:rsidRDefault="00667680" w:rsidP="00C21B12">
      <w:pPr>
        <w:pStyle w:val="TableDescription"/>
        <w:rPr>
          <w:lang w:eastAsia="en-AU"/>
        </w:rPr>
      </w:pPr>
      <w:r w:rsidRPr="00667680">
        <w:rPr>
          <w:lang w:eastAsia="en-AU"/>
        </w:rPr>
        <w:t>AE=adverse event; ISS=</w:t>
      </w:r>
      <w:r w:rsidRPr="00C21B12">
        <w:t>Integrated</w:t>
      </w:r>
      <w:r w:rsidRPr="00667680">
        <w:rPr>
          <w:lang w:eastAsia="en-AU"/>
        </w:rPr>
        <w:t xml:space="preserve"> Summary of Safety; TEAE--treatment-emergent adverse event; ZLP=</w:t>
      </w:r>
      <w:proofErr w:type="spellStart"/>
      <w:r w:rsidRPr="00667680">
        <w:rPr>
          <w:lang w:eastAsia="en-AU"/>
        </w:rPr>
        <w:t>zilucoplan</w:t>
      </w:r>
      <w:proofErr w:type="spellEnd"/>
      <w:r w:rsidRPr="00667680">
        <w:rPr>
          <w:lang w:eastAsia="en-AU"/>
        </w:rPr>
        <w:t xml:space="preserve"> Note: n=</w:t>
      </w:r>
      <w:r w:rsidRPr="00C21B12">
        <w:t>number</w:t>
      </w:r>
      <w:r w:rsidRPr="00667680">
        <w:rPr>
          <w:lang w:eastAsia="en-AU"/>
        </w:rPr>
        <w:t xml:space="preserve"> of participants reporting at least 1 TEAE in that category.</w:t>
      </w:r>
    </w:p>
    <w:p w14:paraId="3392A40E" w14:textId="1FFD2FF6" w:rsidR="00667680" w:rsidRDefault="00667680" w:rsidP="00C21B12">
      <w:pPr>
        <w:pStyle w:val="TableDescription"/>
        <w:rPr>
          <w:lang w:eastAsia="en-AU"/>
        </w:rPr>
      </w:pPr>
      <w:r w:rsidRPr="00667680">
        <w:rPr>
          <w:lang w:eastAsia="en-AU"/>
        </w:rPr>
        <w:t xml:space="preserve">Note: [#] is the number of individual occurrences of the TEAE in that </w:t>
      </w:r>
      <w:r w:rsidRPr="00C21B12">
        <w:t>category</w:t>
      </w:r>
      <w:r w:rsidRPr="00667680">
        <w:rPr>
          <w:lang w:eastAsia="en-AU"/>
        </w:rPr>
        <w:t>.</w:t>
      </w:r>
    </w:p>
    <w:p w14:paraId="452E3EDB" w14:textId="17367A44" w:rsidR="00667680" w:rsidRDefault="00667680" w:rsidP="00C21B12">
      <w:pPr>
        <w:pStyle w:val="TableDescription"/>
        <w:rPr>
          <w:lang w:eastAsia="en-AU"/>
        </w:rPr>
      </w:pPr>
      <w:r w:rsidRPr="00667680">
        <w:rPr>
          <w:lang w:eastAsia="en-AU"/>
        </w:rPr>
        <w:t xml:space="preserve">Note: Treatment-related TEAEs are those defined as related by the </w:t>
      </w:r>
      <w:r w:rsidRPr="00C21B12">
        <w:t>Investigator</w:t>
      </w:r>
      <w:r w:rsidRPr="00667680">
        <w:rPr>
          <w:lang w:eastAsia="en-AU"/>
        </w:rPr>
        <w:t>.</w:t>
      </w:r>
    </w:p>
    <w:p w14:paraId="2CB38522" w14:textId="3DD03E31" w:rsidR="00AD0F08" w:rsidRDefault="00667680" w:rsidP="00AD0F08">
      <w:pPr>
        <w:pStyle w:val="TableDescription"/>
        <w:rPr>
          <w:lang w:eastAsia="en-AU"/>
        </w:rPr>
      </w:pPr>
      <w:r w:rsidRPr="00667680">
        <w:rPr>
          <w:lang w:eastAsia="en-AU"/>
        </w:rPr>
        <w:t>Note: There were no additional nontreatment-emergent AEs leading to death</w:t>
      </w:r>
      <w:r>
        <w:rPr>
          <w:lang w:eastAsia="en-AU"/>
        </w:rPr>
        <w:t>.</w:t>
      </w:r>
    </w:p>
    <w:p w14:paraId="422396C7" w14:textId="0548CA2B" w:rsidR="00AD0F08" w:rsidRDefault="00AD0F08" w:rsidP="00C21B12">
      <w:pPr>
        <w:rPr>
          <w:lang w:eastAsia="en-AU"/>
        </w:rPr>
      </w:pPr>
      <w:r>
        <w:rPr>
          <w:lang w:eastAsia="en-AU"/>
        </w:rPr>
        <w:t xml:space="preserve">Of the severe AEs experienced during the placebo-controlled periods, only COVID19 and myasthenia gravis occurred in at least 1% of </w:t>
      </w:r>
      <w:proofErr w:type="spellStart"/>
      <w:r>
        <w:rPr>
          <w:lang w:eastAsia="en-AU"/>
        </w:rPr>
        <w:t>zilucoplan</w:t>
      </w:r>
      <w:proofErr w:type="spellEnd"/>
      <w:r>
        <w:rPr>
          <w:lang w:eastAsia="en-AU"/>
        </w:rPr>
        <w:t xml:space="preserve"> participants (0.9 and 3.5% respectively) and this was less frequent than in the placebo arm.</w:t>
      </w:r>
    </w:p>
    <w:p w14:paraId="6A5C1C58" w14:textId="77777777" w:rsidR="00AD0F08" w:rsidRDefault="00AD0F08" w:rsidP="00C21B12">
      <w:pPr>
        <w:rPr>
          <w:lang w:eastAsia="en-AU"/>
        </w:rPr>
      </w:pPr>
      <w:r>
        <w:rPr>
          <w:lang w:eastAsia="en-AU"/>
        </w:rPr>
        <w:t xml:space="preserve">There was 1 death in the placebo arm (cerebral haemorrhage) and 1 death in the </w:t>
      </w:r>
      <w:proofErr w:type="spellStart"/>
      <w:r>
        <w:rPr>
          <w:lang w:eastAsia="en-AU"/>
        </w:rPr>
        <w:t>zilucoplan</w:t>
      </w:r>
      <w:proofErr w:type="spellEnd"/>
      <w:r>
        <w:rPr>
          <w:lang w:eastAsia="en-AU"/>
        </w:rPr>
        <w:t xml:space="preserve"> arm (COVID-19, not considered treatment related). Serious AEs during the </w:t>
      </w:r>
      <w:proofErr w:type="gramStart"/>
      <w:r>
        <w:rPr>
          <w:lang w:eastAsia="en-AU"/>
        </w:rPr>
        <w:t>placebo controlled</w:t>
      </w:r>
      <w:proofErr w:type="gramEnd"/>
      <w:r>
        <w:rPr>
          <w:lang w:eastAsia="en-AU"/>
        </w:rPr>
        <w:t xml:space="preserve"> period were generally balanced between </w:t>
      </w:r>
      <w:proofErr w:type="spellStart"/>
      <w:r>
        <w:rPr>
          <w:lang w:eastAsia="en-AU"/>
        </w:rPr>
        <w:t>zilucoplan</w:t>
      </w:r>
      <w:proofErr w:type="spellEnd"/>
      <w:r>
        <w:rPr>
          <w:lang w:eastAsia="en-AU"/>
        </w:rPr>
        <w:t xml:space="preserve"> and placebo. All events except for myasthenia gravis were single events, although serious infections overall did appear more frequent with </w:t>
      </w:r>
      <w:proofErr w:type="spellStart"/>
      <w:r>
        <w:rPr>
          <w:lang w:eastAsia="en-AU"/>
        </w:rPr>
        <w:t>zilucoplan</w:t>
      </w:r>
      <w:proofErr w:type="spellEnd"/>
      <w:r>
        <w:rPr>
          <w:lang w:eastAsia="en-AU"/>
        </w:rPr>
        <w:t xml:space="preserve"> (Table 8).</w:t>
      </w:r>
    </w:p>
    <w:p w14:paraId="664EB90B" w14:textId="575AECD3" w:rsidR="00AD0F08" w:rsidRPr="001814D7" w:rsidRDefault="00AD0F08" w:rsidP="001814D7">
      <w:pPr>
        <w:pStyle w:val="TableTitle"/>
      </w:pPr>
      <w:r w:rsidRPr="001814D7">
        <w:lastRenderedPageBreak/>
        <w:t>Table 8. SAEs in pool S1A</w:t>
      </w:r>
    </w:p>
    <w:p w14:paraId="13261F9E" w14:textId="061296CB" w:rsidR="007D0D2C" w:rsidRDefault="007D0D2C" w:rsidP="001814D7">
      <w:pPr>
        <w:rPr>
          <w:lang w:eastAsia="en-AU"/>
        </w:rPr>
      </w:pPr>
      <w:r>
        <w:rPr>
          <w:noProof/>
        </w:rPr>
        <w:drawing>
          <wp:inline distT="0" distB="0" distL="0" distR="0" wp14:anchorId="122F8C5E" wp14:editId="5EA009AA">
            <wp:extent cx="4765040" cy="8062400"/>
            <wp:effectExtent l="0" t="0" r="0" b="0"/>
            <wp:docPr id="173508040" name="Picture 1" descr="Table 8. SAEs in pool S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8040" name="Picture 1" descr="Table 8. SAEs in pool S1A"/>
                    <pic:cNvPicPr/>
                  </pic:nvPicPr>
                  <pic:blipFill>
                    <a:blip r:embed="rId43"/>
                    <a:stretch>
                      <a:fillRect/>
                    </a:stretch>
                  </pic:blipFill>
                  <pic:spPr>
                    <a:xfrm>
                      <a:off x="0" y="0"/>
                      <a:ext cx="4781738" cy="8090653"/>
                    </a:xfrm>
                    <a:prstGeom prst="rect">
                      <a:avLst/>
                    </a:prstGeom>
                  </pic:spPr>
                </pic:pic>
              </a:graphicData>
            </a:graphic>
          </wp:inline>
        </w:drawing>
      </w:r>
    </w:p>
    <w:p w14:paraId="3544D865" w14:textId="260547B5" w:rsidR="00EC61D2" w:rsidRDefault="003B7AD2" w:rsidP="001814D7">
      <w:pPr>
        <w:pStyle w:val="TableDescription"/>
        <w:rPr>
          <w:lang w:eastAsia="en-AU"/>
        </w:rPr>
      </w:pPr>
      <w:r w:rsidRPr="003B7AD2">
        <w:rPr>
          <w:lang w:eastAsia="en-AU"/>
        </w:rPr>
        <w:t>COVID-19=</w:t>
      </w:r>
      <w:r w:rsidRPr="001814D7">
        <w:t>coronavirus</w:t>
      </w:r>
      <w:r w:rsidRPr="003B7AD2">
        <w:rPr>
          <w:lang w:eastAsia="en-AU"/>
        </w:rPr>
        <w:t xml:space="preserve"> disease 2019; incl.=</w:t>
      </w:r>
      <w:proofErr w:type="gramStart"/>
      <w:r w:rsidRPr="003B7AD2">
        <w:rPr>
          <w:lang w:eastAsia="en-AU"/>
        </w:rPr>
        <w:t>including;</w:t>
      </w:r>
      <w:proofErr w:type="gramEnd"/>
      <w:r w:rsidRPr="003B7AD2">
        <w:rPr>
          <w:lang w:eastAsia="en-AU"/>
        </w:rPr>
        <w:t xml:space="preserve"> ISS=Integrated Summary of Safety; MedDRA=Medical Dictionary for Regulatory Activities; PT=Preferred Term; SAE=serious adverse event; SOC=System Organ Class; ZLP=</w:t>
      </w:r>
      <w:proofErr w:type="spellStart"/>
      <w:r w:rsidRPr="003B7AD2">
        <w:rPr>
          <w:lang w:eastAsia="en-AU"/>
        </w:rPr>
        <w:t>zilucoplan</w:t>
      </w:r>
      <w:proofErr w:type="spellEnd"/>
      <w:r w:rsidRPr="003B7AD2">
        <w:rPr>
          <w:lang w:eastAsia="en-AU"/>
        </w:rPr>
        <w:t xml:space="preserve"> Note: number of participants reporting at least 1 serious TEAE. Note: [#] is the number of individual occurrences of the serious TEAE. Note: No serious TEAEs were reported in the ZLP 0.1</w:t>
      </w:r>
      <w:r>
        <w:rPr>
          <w:lang w:eastAsia="en-AU"/>
        </w:rPr>
        <w:t xml:space="preserve"> m</w:t>
      </w:r>
      <w:r w:rsidRPr="003B7AD2">
        <w:rPr>
          <w:lang w:eastAsia="en-AU"/>
        </w:rPr>
        <w:t>g/kg group</w:t>
      </w:r>
    </w:p>
    <w:p w14:paraId="7FEB3409" w14:textId="77777777" w:rsidR="00FA466E" w:rsidRDefault="00FA466E" w:rsidP="001814D7">
      <w:pPr>
        <w:rPr>
          <w:lang w:eastAsia="en-AU"/>
        </w:rPr>
      </w:pPr>
      <w:r>
        <w:rPr>
          <w:lang w:eastAsia="en-AU"/>
        </w:rPr>
        <w:lastRenderedPageBreak/>
        <w:t xml:space="preserve">Considering TEAEs reported in ≥ 5% of participants in S1A, the events more frequent with </w:t>
      </w:r>
      <w:proofErr w:type="spellStart"/>
      <w:r>
        <w:rPr>
          <w:lang w:eastAsia="en-AU"/>
        </w:rPr>
        <w:t>zilucoplan</w:t>
      </w:r>
      <w:proofErr w:type="spellEnd"/>
      <w:r>
        <w:rPr>
          <w:lang w:eastAsia="en-AU"/>
        </w:rPr>
        <w:t xml:space="preserve"> than placebo were diarrhoea, nausea, injection site bruising/pain, peripheral oedema, nasopharyngitis, urinary tract infection, confusion, lipase </w:t>
      </w:r>
      <w:proofErr w:type="gramStart"/>
      <w:r>
        <w:rPr>
          <w:lang w:eastAsia="en-AU"/>
        </w:rPr>
        <w:t>increased</w:t>
      </w:r>
      <w:proofErr w:type="gramEnd"/>
      <w:r>
        <w:rPr>
          <w:lang w:eastAsia="en-AU"/>
        </w:rPr>
        <w:t xml:space="preserve"> and amylase increased. Headache was frequent and higher with </w:t>
      </w:r>
      <w:proofErr w:type="spellStart"/>
      <w:r>
        <w:rPr>
          <w:lang w:eastAsia="en-AU"/>
        </w:rPr>
        <w:t>zilucoplan</w:t>
      </w:r>
      <w:proofErr w:type="spellEnd"/>
      <w:r>
        <w:rPr>
          <w:lang w:eastAsia="en-AU"/>
        </w:rPr>
        <w:t xml:space="preserve"> than placebo, but this appeared to be driven by a high frequency in the 0.1mg/kg/arm (i.e. in MG009).</w:t>
      </w:r>
    </w:p>
    <w:p w14:paraId="19ACA38F" w14:textId="7D384C74" w:rsidR="00AD0F08" w:rsidRDefault="00FA466E" w:rsidP="001814D7">
      <w:pPr>
        <w:rPr>
          <w:lang w:eastAsia="en-AU"/>
        </w:rPr>
      </w:pPr>
      <w:r>
        <w:rPr>
          <w:lang w:eastAsia="en-AU"/>
        </w:rPr>
        <w:t xml:space="preserve">TEAEs occurring in &gt;5% in the pivotal </w:t>
      </w:r>
      <w:proofErr w:type="spellStart"/>
      <w:r>
        <w:rPr>
          <w:lang w:eastAsia="en-AU"/>
        </w:rPr>
        <w:t>gMG</w:t>
      </w:r>
      <w:proofErr w:type="spellEnd"/>
      <w:r>
        <w:rPr>
          <w:lang w:eastAsia="en-AU"/>
        </w:rPr>
        <w:t xml:space="preserve"> study are shown in Table 9.</w:t>
      </w:r>
    </w:p>
    <w:p w14:paraId="11F24DC7" w14:textId="77777777" w:rsidR="001814D7" w:rsidRDefault="00801814" w:rsidP="00801814">
      <w:pPr>
        <w:pStyle w:val="TableTitle"/>
        <w:rPr>
          <w:lang w:eastAsia="en-AU"/>
        </w:rPr>
      </w:pPr>
      <w:r w:rsidRPr="00801814">
        <w:rPr>
          <w:lang w:eastAsia="en-AU"/>
        </w:rPr>
        <w:t>Table 9</w:t>
      </w:r>
      <w:r>
        <w:rPr>
          <w:lang w:eastAsia="en-AU"/>
        </w:rPr>
        <w:t>.</w:t>
      </w:r>
      <w:r w:rsidRPr="00801814">
        <w:rPr>
          <w:lang w:eastAsia="en-AU"/>
        </w:rPr>
        <w:t xml:space="preserve"> Common TEAEs reported in &gt;5% of study participants in MG0010 study</w:t>
      </w:r>
    </w:p>
    <w:p w14:paraId="06C3F908" w14:textId="14FB90E5" w:rsidR="00FB3B27" w:rsidRDefault="00FB3B27" w:rsidP="001814D7">
      <w:pPr>
        <w:rPr>
          <w:lang w:eastAsia="en-AU"/>
        </w:rPr>
      </w:pPr>
      <w:r>
        <w:rPr>
          <w:noProof/>
        </w:rPr>
        <w:drawing>
          <wp:inline distT="0" distB="0" distL="0" distR="0" wp14:anchorId="47723415" wp14:editId="562EDFEE">
            <wp:extent cx="5138543" cy="6611493"/>
            <wp:effectExtent l="0" t="0" r="5080" b="0"/>
            <wp:docPr id="27" name="Image 27" descr="Table 9. Common TEAEs reported in &gt;5% of study participants in MG0010 stud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Table 9. Common TEAEs reported in &gt;5% of study participants in MG0010 study"/>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38543" cy="6611493"/>
                    </a:xfrm>
                    <a:prstGeom prst="rect">
                      <a:avLst/>
                    </a:prstGeom>
                  </pic:spPr>
                </pic:pic>
              </a:graphicData>
            </a:graphic>
          </wp:inline>
        </w:drawing>
      </w:r>
    </w:p>
    <w:p w14:paraId="42E7B7DC" w14:textId="77777777" w:rsidR="00940465" w:rsidRDefault="00940465" w:rsidP="001814D7">
      <w:pPr>
        <w:rPr>
          <w:lang w:eastAsia="en-AU"/>
        </w:rPr>
      </w:pPr>
      <w:r>
        <w:rPr>
          <w:lang w:eastAsia="en-AU"/>
        </w:rPr>
        <w:t>When adding the subjects in IMNM01 to pool S1A (making pool S2A), a similar frequency distribution of TEAEs was observed.</w:t>
      </w:r>
    </w:p>
    <w:p w14:paraId="4E855587" w14:textId="77777777" w:rsidR="00940465" w:rsidRDefault="00940465" w:rsidP="001814D7">
      <w:pPr>
        <w:pStyle w:val="Heading5"/>
        <w:rPr>
          <w:lang w:eastAsia="en-AU"/>
        </w:rPr>
      </w:pPr>
      <w:r>
        <w:rPr>
          <w:lang w:eastAsia="en-AU"/>
        </w:rPr>
        <w:lastRenderedPageBreak/>
        <w:t xml:space="preserve">S1B </w:t>
      </w:r>
      <w:r w:rsidRPr="001814D7">
        <w:t>dataset</w:t>
      </w:r>
    </w:p>
    <w:p w14:paraId="6C2EF761" w14:textId="77777777" w:rsidR="00940465" w:rsidRDefault="00940465" w:rsidP="001814D7">
      <w:pPr>
        <w:rPr>
          <w:lang w:eastAsia="en-AU"/>
        </w:rPr>
      </w:pPr>
      <w:r>
        <w:rPr>
          <w:lang w:eastAsia="en-AU"/>
        </w:rPr>
        <w:t xml:space="preserve">Of the 213 subjects who continued </w:t>
      </w:r>
      <w:proofErr w:type="spellStart"/>
      <w:r>
        <w:rPr>
          <w:lang w:eastAsia="en-AU"/>
        </w:rPr>
        <w:t>zilucoplan</w:t>
      </w:r>
      <w:proofErr w:type="spellEnd"/>
      <w:r>
        <w:rPr>
          <w:lang w:eastAsia="en-AU"/>
        </w:rPr>
        <w:t xml:space="preserve"> after the </w:t>
      </w:r>
      <w:proofErr w:type="gramStart"/>
      <w:r>
        <w:rPr>
          <w:lang w:eastAsia="en-AU"/>
        </w:rPr>
        <w:t>12 week</w:t>
      </w:r>
      <w:proofErr w:type="gramEnd"/>
      <w:r>
        <w:rPr>
          <w:lang w:eastAsia="en-AU"/>
        </w:rPr>
        <w:t xml:space="preserve"> placebo controlled period, 43 (20.2%) discontinued, for reasons of adverse event (3.8%), death (4.2%), COVID19 (0.9%), withdrawal by participant (6.6%), investigator or sponsor decision based on safety or study interests (0.5%) and other (4.2%). Most (77.9%) of subjects who entered the extension studies were continuing at time of data cutoff.</w:t>
      </w:r>
    </w:p>
    <w:p w14:paraId="60D52E2F" w14:textId="77777777" w:rsidR="00940465" w:rsidRDefault="00940465" w:rsidP="001814D7">
      <w:pPr>
        <w:rPr>
          <w:lang w:eastAsia="en-AU"/>
        </w:rPr>
      </w:pPr>
      <w:r>
        <w:rPr>
          <w:lang w:eastAsia="en-AU"/>
        </w:rPr>
        <w:t>In S1B incidences of subjects with TEAEs were common (EAIR/exposure adjusted incidence rate 510.6 per 100 participant-years), as were serious AEs (EAIR 28.6 per 100 participant- years) and severe AEs (EAIR 26.3 per 100 participant-years). Subject discontinuation due to TEAEs were less common (EAIR 6.9 per 100 participant-years), as were deaths (2.3 per 100 patient-years).</w:t>
      </w:r>
    </w:p>
    <w:p w14:paraId="6D59BB48" w14:textId="77777777" w:rsidR="00940465" w:rsidRDefault="00940465" w:rsidP="001814D7">
      <w:pPr>
        <w:rPr>
          <w:lang w:eastAsia="en-AU"/>
        </w:rPr>
      </w:pPr>
      <w:proofErr w:type="gramStart"/>
      <w:r>
        <w:rPr>
          <w:lang w:eastAsia="en-AU"/>
        </w:rPr>
        <w:t>A large number of</w:t>
      </w:r>
      <w:proofErr w:type="gramEnd"/>
      <w:r>
        <w:rPr>
          <w:lang w:eastAsia="en-AU"/>
        </w:rPr>
        <w:t xml:space="preserve"> AE types were reported for the extension MG studies. Individual TEAEs that occurred with an incidence (EAIR) greater than 10 per 100 patient-years were diarrhoea (13.8), nausea (12.8), injection site bruising (13.7), COVID19 (12.2), nasopharyngitis (15.2), upper respiratory tract infection (10.3), urinary tract infection (10.1), headache (24.8) and myasthenia gravis (20.0). (These EAIRs relate to the 18 Feb 2022 data cut off as the EAIR data for the 8 Sep 2022 was not summarised in study report tables. The additional reporting period did not reveal substantial differences in safety.)</w:t>
      </w:r>
    </w:p>
    <w:p w14:paraId="26729CD0" w14:textId="77777777" w:rsidR="00940465" w:rsidRDefault="00940465" w:rsidP="001814D7">
      <w:pPr>
        <w:rPr>
          <w:lang w:eastAsia="en-AU"/>
        </w:rPr>
      </w:pPr>
      <w:r>
        <w:rPr>
          <w:lang w:eastAsia="en-AU"/>
        </w:rPr>
        <w:t>In terms of TEAEs that were considered severe in S1B, there were infrequent events of myocardial infarction (EAIR 1.2), cardiac arrest (EAIR 1.1), COVID19/COVID19 pneumonia/pneumonia (each of these TEAEs had EAIR 1.5), sepsis (EAIR 1.2) and myasthenia gravis (EAIR 5.6). (These EAIRs relate to the 18 Feb 2022 data cut off as the EAIR data for the 8 Sep 2022 was not summarised in study report tables. The additional reporting period did not reveal substantial differences in safety.)</w:t>
      </w:r>
    </w:p>
    <w:p w14:paraId="420830ED" w14:textId="50263DF2" w:rsidR="00940465" w:rsidRDefault="00940465" w:rsidP="001814D7">
      <w:pPr>
        <w:rPr>
          <w:lang w:eastAsia="en-AU"/>
        </w:rPr>
      </w:pPr>
      <w:r>
        <w:rPr>
          <w:lang w:eastAsia="en-AU"/>
        </w:rPr>
        <w:t>In S1B, 36.6% of participants reported serious AEs. Serious AEs that occurred in more than 2 subject were myasthenia gravis (8.9%), COVID19 pneumonia (2.8%), pneumonia (2.8%), COVID19 (2.3%), myocardial infarction (1.4%), cardiac arrest (1.4%), sepsis (1.4%),</w:t>
      </w:r>
      <w:r w:rsidR="000E3712">
        <w:rPr>
          <w:lang w:eastAsia="en-AU"/>
        </w:rPr>
        <w:t xml:space="preserve"> </w:t>
      </w:r>
      <w:r>
        <w:rPr>
          <w:lang w:eastAsia="en-AU"/>
        </w:rPr>
        <w:t xml:space="preserve">cholecystitis (1.4%), cellulitis (1.9%), diverticulitis (1.4%). No serious AE reported in &gt; 1 subject was considered treatment related by the investigator. There was 1 serious and severe injection site infection, considered related, occurring in a </w:t>
      </w:r>
      <w:proofErr w:type="gramStart"/>
      <w:r>
        <w:rPr>
          <w:lang w:eastAsia="en-AU"/>
        </w:rPr>
        <w:t>63 year old</w:t>
      </w:r>
      <w:proofErr w:type="gramEnd"/>
      <w:r>
        <w:rPr>
          <w:lang w:eastAsia="en-AU"/>
        </w:rPr>
        <w:t xml:space="preserve"> female 536 days after the first </w:t>
      </w:r>
      <w:proofErr w:type="spellStart"/>
      <w:r>
        <w:rPr>
          <w:lang w:eastAsia="en-AU"/>
        </w:rPr>
        <w:t>zilucoplan</w:t>
      </w:r>
      <w:proofErr w:type="spellEnd"/>
      <w:r>
        <w:rPr>
          <w:lang w:eastAsia="en-AU"/>
        </w:rPr>
        <w:t xml:space="preserve"> dose.</w:t>
      </w:r>
    </w:p>
    <w:p w14:paraId="4F49BFA0" w14:textId="77777777" w:rsidR="00940465" w:rsidRDefault="00940465" w:rsidP="001814D7">
      <w:pPr>
        <w:rPr>
          <w:lang w:eastAsia="en-AU"/>
        </w:rPr>
      </w:pPr>
      <w:r>
        <w:rPr>
          <w:lang w:eastAsia="en-AU"/>
        </w:rPr>
        <w:t xml:space="preserve">Of note, in S1B there were 17 serious AEs of cardiac disorders in 13 subjects. The EAIR was 3.80 per 100 participant-years and this compared with 0 during the </w:t>
      </w:r>
      <w:proofErr w:type="gramStart"/>
      <w:r>
        <w:rPr>
          <w:lang w:eastAsia="en-AU"/>
        </w:rPr>
        <w:t>12 week</w:t>
      </w:r>
      <w:proofErr w:type="gramEnd"/>
      <w:r>
        <w:rPr>
          <w:lang w:eastAsia="en-AU"/>
        </w:rPr>
        <w:t xml:space="preserve"> placebo-controlled phase. The 3 deaths associated with SAEs in this category are discussed below. Six cases involved ischaemic heart disease and 2 involved cardiac failure. There were “major and multiple cardiovascular risk factors” in all of them. Two of these participants experienced atrial fibrillation/flutter and were on amiodarone. The other 2 subjects had sinus bradycardia with a history of the same and pulseless electrical activity due to tracheostomy bleeding during treatment for severe COVID19 infection. Except for the 3 deaths, all events were resolved or resolving. The Sponsor commented in the safety summary that all serious AEs of cardiac disorders had “major predisposing factors and/or strong alternative explanations and none of these events were considered related by the investigator”.</w:t>
      </w:r>
    </w:p>
    <w:p w14:paraId="5B493A8F" w14:textId="77777777" w:rsidR="00940465" w:rsidRDefault="00940465" w:rsidP="001814D7">
      <w:pPr>
        <w:rPr>
          <w:lang w:eastAsia="en-AU"/>
        </w:rPr>
      </w:pPr>
      <w:r>
        <w:rPr>
          <w:lang w:eastAsia="en-AU"/>
        </w:rPr>
        <w:t xml:space="preserve">There were 8 deaths in the open label extension studies (3 in MG0009 and 5 in MG0011). One of the deaths in MG0011 was non-treatment emergent. None of the deaths were considered treatment related and all cases had predisposing factors and/or strong alternative explanations. Five deaths were reported as cardiac arrest or unknown cause and had either significant preceding medical events such as infection or major cardiovascular risk factors. The non- </w:t>
      </w:r>
      <w:r>
        <w:rPr>
          <w:lang w:eastAsia="en-AU"/>
        </w:rPr>
        <w:lastRenderedPageBreak/>
        <w:t>treatment emergent death was likely due to underlying malignancy. The other deaths were due to COVID19, pancreatic cancer and head injury.</w:t>
      </w:r>
    </w:p>
    <w:p w14:paraId="23586D32" w14:textId="77777777" w:rsidR="00940465" w:rsidRDefault="00940465" w:rsidP="001814D7">
      <w:pPr>
        <w:rPr>
          <w:lang w:eastAsia="en-AU"/>
        </w:rPr>
      </w:pPr>
      <w:r>
        <w:rPr>
          <w:lang w:eastAsia="en-AU"/>
        </w:rPr>
        <w:t xml:space="preserve">Adding the patients who were enrolled in the immune-mediated necrotizing myopathy study (IMNM01), i.e. pool S2B, did not change the pattern of AEs seen with longer term use. There was one death in this </w:t>
      </w:r>
      <w:proofErr w:type="gramStart"/>
      <w:r>
        <w:rPr>
          <w:lang w:eastAsia="en-AU"/>
        </w:rPr>
        <w:t>study</w:t>
      </w:r>
      <w:proofErr w:type="gramEnd"/>
      <w:r>
        <w:rPr>
          <w:lang w:eastAsia="en-AU"/>
        </w:rPr>
        <w:t xml:space="preserve"> and it was due to COVID19.</w:t>
      </w:r>
    </w:p>
    <w:p w14:paraId="1261EA90" w14:textId="77777777" w:rsidR="00940465" w:rsidRDefault="00940465" w:rsidP="001814D7">
      <w:pPr>
        <w:pStyle w:val="Heading5"/>
        <w:rPr>
          <w:lang w:eastAsia="en-AU"/>
        </w:rPr>
      </w:pPr>
      <w:r>
        <w:rPr>
          <w:lang w:eastAsia="en-AU"/>
        </w:rPr>
        <w:t xml:space="preserve">Adverse events of special </w:t>
      </w:r>
      <w:r w:rsidRPr="001814D7">
        <w:t>interest</w:t>
      </w:r>
    </w:p>
    <w:p w14:paraId="51705028" w14:textId="77777777" w:rsidR="00940465" w:rsidRDefault="00940465" w:rsidP="001814D7">
      <w:pPr>
        <w:rPr>
          <w:lang w:eastAsia="en-AU"/>
        </w:rPr>
      </w:pPr>
      <w:r w:rsidRPr="000E6126">
        <w:rPr>
          <w:i/>
          <w:iCs/>
          <w:lang w:eastAsia="en-AU"/>
        </w:rPr>
        <w:t>Neisseria</w:t>
      </w:r>
      <w:r>
        <w:rPr>
          <w:lang w:eastAsia="en-AU"/>
        </w:rPr>
        <w:t xml:space="preserve"> infections – no infections were reported in the </w:t>
      </w:r>
      <w:proofErr w:type="spellStart"/>
      <w:r>
        <w:rPr>
          <w:lang w:eastAsia="en-AU"/>
        </w:rPr>
        <w:t>zilucoplan</w:t>
      </w:r>
      <w:proofErr w:type="spellEnd"/>
      <w:r>
        <w:rPr>
          <w:lang w:eastAsia="en-AU"/>
        </w:rPr>
        <w:t xml:space="preserve"> development program during which all participants were required to be vaccinated and/or using prophylactic antibiotics.</w:t>
      </w:r>
    </w:p>
    <w:p w14:paraId="5CBFF10F" w14:textId="77777777" w:rsidR="00940465" w:rsidRDefault="00940465" w:rsidP="001814D7">
      <w:pPr>
        <w:rPr>
          <w:lang w:eastAsia="en-AU"/>
        </w:rPr>
      </w:pPr>
      <w:r>
        <w:rPr>
          <w:lang w:eastAsia="en-AU"/>
        </w:rPr>
        <w:t xml:space="preserve">Serious infections – as mentioned above, there were slightly more serious infection with </w:t>
      </w:r>
      <w:proofErr w:type="spellStart"/>
      <w:r>
        <w:rPr>
          <w:lang w:eastAsia="en-AU"/>
        </w:rPr>
        <w:t>zilucoplan</w:t>
      </w:r>
      <w:proofErr w:type="spellEnd"/>
      <w:r>
        <w:rPr>
          <w:lang w:eastAsia="en-AU"/>
        </w:rPr>
        <w:t xml:space="preserve"> compared with placebo in S1A. In terms of opportunistic infection, there was one event of oesophageal candidiasis with </w:t>
      </w:r>
      <w:proofErr w:type="spellStart"/>
      <w:r>
        <w:rPr>
          <w:lang w:eastAsia="en-AU"/>
        </w:rPr>
        <w:t>zilucoplan</w:t>
      </w:r>
      <w:proofErr w:type="spellEnd"/>
      <w:r>
        <w:rPr>
          <w:lang w:eastAsia="en-AU"/>
        </w:rPr>
        <w:t xml:space="preserve"> in S1A (balanced by a herpes simplex meningoencephalitis in the placebo arm during the same period). In the open label period, endocarditis (other risk factors central line, total parenteral nutrition, cardiac pacemaker), liver abscesses (other risk factors ERCP, pancreatitis), Legionella pneumonia, MRSA infection, polymicrobial cholecystitis with cholangitis and sepsis and Enterococcal bacteraemia could have represented opportunistic infections.</w:t>
      </w:r>
    </w:p>
    <w:p w14:paraId="4A8FC72E" w14:textId="77777777" w:rsidR="00940465" w:rsidRDefault="00940465" w:rsidP="00940465">
      <w:pPr>
        <w:rPr>
          <w:lang w:eastAsia="en-AU"/>
        </w:rPr>
      </w:pPr>
      <w:r>
        <w:rPr>
          <w:lang w:eastAsia="en-AU"/>
        </w:rPr>
        <w:t xml:space="preserve">Injection site reactions – in the </w:t>
      </w:r>
      <w:proofErr w:type="gramStart"/>
      <w:r>
        <w:rPr>
          <w:lang w:eastAsia="en-AU"/>
        </w:rPr>
        <w:t>placebo controlled</w:t>
      </w:r>
      <w:proofErr w:type="gramEnd"/>
      <w:r>
        <w:rPr>
          <w:lang w:eastAsia="en-AU"/>
        </w:rPr>
        <w:t xml:space="preserve"> period of the </w:t>
      </w:r>
      <w:proofErr w:type="spellStart"/>
      <w:r>
        <w:rPr>
          <w:lang w:eastAsia="en-AU"/>
        </w:rPr>
        <w:t>gMG</w:t>
      </w:r>
      <w:proofErr w:type="spellEnd"/>
      <w:r>
        <w:rPr>
          <w:lang w:eastAsia="en-AU"/>
        </w:rPr>
        <w:t xml:space="preserve"> trials these occurred in 26.7% of subjects receiving </w:t>
      </w:r>
      <w:proofErr w:type="spellStart"/>
      <w:r>
        <w:rPr>
          <w:lang w:eastAsia="en-AU"/>
        </w:rPr>
        <w:t>zilucoplan</w:t>
      </w:r>
      <w:proofErr w:type="spellEnd"/>
      <w:r>
        <w:rPr>
          <w:lang w:eastAsia="en-AU"/>
        </w:rPr>
        <w:t xml:space="preserve"> and 14.8% receiving placebo. Most of these reactions were characterised as bruising and pain. None were serious or severe.</w:t>
      </w:r>
    </w:p>
    <w:p w14:paraId="08D91DC9" w14:textId="630E2363" w:rsidR="00940465" w:rsidRDefault="00940465" w:rsidP="001814D7">
      <w:pPr>
        <w:rPr>
          <w:lang w:eastAsia="en-AU"/>
        </w:rPr>
      </w:pPr>
      <w:r>
        <w:rPr>
          <w:lang w:eastAsia="en-AU"/>
        </w:rPr>
        <w:t xml:space="preserve">Hypersensitivity reactions – there was one serious hypersensitivity reaction of angio-oedema with </w:t>
      </w:r>
      <w:proofErr w:type="spellStart"/>
      <w:r>
        <w:rPr>
          <w:lang w:eastAsia="en-AU"/>
        </w:rPr>
        <w:t>zilucoplan</w:t>
      </w:r>
      <w:proofErr w:type="spellEnd"/>
      <w:r>
        <w:rPr>
          <w:lang w:eastAsia="en-AU"/>
        </w:rPr>
        <w:t xml:space="preserve"> in S1A. This event of angio-oedema was mild in intensity, did not recur with rechallenge and timing was not suggestive of an acute allergy. </w:t>
      </w:r>
      <w:r w:rsidR="00ED56F6">
        <w:rPr>
          <w:lang w:eastAsia="en-AU"/>
        </w:rPr>
        <w:t>Overall,</w:t>
      </w:r>
      <w:r>
        <w:rPr>
          <w:lang w:eastAsia="en-AU"/>
        </w:rPr>
        <w:t xml:space="preserve"> there were more frequent non-serious reactions with </w:t>
      </w:r>
      <w:proofErr w:type="spellStart"/>
      <w:r>
        <w:rPr>
          <w:lang w:eastAsia="en-AU"/>
        </w:rPr>
        <w:t>zilucoplan</w:t>
      </w:r>
      <w:proofErr w:type="spellEnd"/>
      <w:r>
        <w:rPr>
          <w:lang w:eastAsia="en-AU"/>
        </w:rPr>
        <w:t xml:space="preserve"> compared with placebo, mainly driven by dermatitis and urticaria (Table 10). In S2A there was more frequent stomatitis and ulceration with </w:t>
      </w:r>
      <w:proofErr w:type="spellStart"/>
      <w:r>
        <w:rPr>
          <w:lang w:eastAsia="en-AU"/>
        </w:rPr>
        <w:t>zilucoplan</w:t>
      </w:r>
      <w:proofErr w:type="spellEnd"/>
      <w:r>
        <w:rPr>
          <w:lang w:eastAsia="en-AU"/>
        </w:rPr>
        <w:t xml:space="preserve"> compared to placebo (3.9% vs. 1.7%, respectively).</w:t>
      </w:r>
    </w:p>
    <w:p w14:paraId="2D84E838" w14:textId="55098B3C" w:rsidR="00801814" w:rsidRPr="001814D7" w:rsidRDefault="00940465" w:rsidP="001814D7">
      <w:pPr>
        <w:pStyle w:val="TableTitle"/>
      </w:pPr>
      <w:r w:rsidRPr="001814D7">
        <w:lastRenderedPageBreak/>
        <w:t>Table 10. Incidence of hypersensitivity reaction TEAEs in pool S1A and S1B</w:t>
      </w:r>
    </w:p>
    <w:p w14:paraId="59072F6B" w14:textId="21EE0967" w:rsidR="00940465" w:rsidRDefault="00F850AB" w:rsidP="001814D7">
      <w:pPr>
        <w:rPr>
          <w:lang w:eastAsia="en-AU"/>
        </w:rPr>
      </w:pPr>
      <w:r>
        <w:rPr>
          <w:noProof/>
          <w:lang w:eastAsia="en-AU"/>
        </w:rPr>
        <w:drawing>
          <wp:inline distT="0" distB="0" distL="0" distR="0" wp14:anchorId="07D32B23" wp14:editId="39CD7E09">
            <wp:extent cx="5316108" cy="3432028"/>
            <wp:effectExtent l="0" t="0" r="0" b="0"/>
            <wp:docPr id="688942170" name="Picture 7" descr="Table 10. Incidence of hypersensitivity reaction TEAEs in pool S1A and S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42170" name="Picture 7" descr="Table 10. Incidence of hypersensitivity reaction TEAEs in pool S1A and S1B"/>
                    <pic:cNvPicPr>
                      <a:picLocks noChangeAspect="1" noChangeArrowheads="1"/>
                    </pic:cNvPicPr>
                  </pic:nvPicPr>
                  <pic:blipFill rotWithShape="1">
                    <a:blip r:embed="rId45">
                      <a:extLst>
                        <a:ext uri="{28A0092B-C50C-407E-A947-70E740481C1C}">
                          <a14:useLocalDpi xmlns:a14="http://schemas.microsoft.com/office/drawing/2010/main" val="0"/>
                        </a:ext>
                      </a:extLst>
                    </a:blip>
                    <a:srcRect t="1917" b="17891"/>
                    <a:stretch/>
                  </pic:blipFill>
                  <pic:spPr bwMode="auto">
                    <a:xfrm>
                      <a:off x="0" y="0"/>
                      <a:ext cx="5316220" cy="3432100"/>
                    </a:xfrm>
                    <a:prstGeom prst="rect">
                      <a:avLst/>
                    </a:prstGeom>
                    <a:noFill/>
                    <a:ln>
                      <a:noFill/>
                    </a:ln>
                    <a:extLst>
                      <a:ext uri="{53640926-AAD7-44D8-BBD7-CCE9431645EC}">
                        <a14:shadowObscured xmlns:a14="http://schemas.microsoft.com/office/drawing/2010/main"/>
                      </a:ext>
                    </a:extLst>
                  </pic:spPr>
                </pic:pic>
              </a:graphicData>
            </a:graphic>
          </wp:inline>
        </w:drawing>
      </w:r>
    </w:p>
    <w:p w14:paraId="377479CF" w14:textId="3542D908" w:rsidR="002578E9" w:rsidRDefault="002578E9" w:rsidP="001814D7">
      <w:pPr>
        <w:pStyle w:val="TableDescription"/>
        <w:rPr>
          <w:lang w:eastAsia="en-AU"/>
        </w:rPr>
      </w:pPr>
      <w:r w:rsidRPr="002578E9">
        <w:rPr>
          <w:lang w:eastAsia="en-AU"/>
        </w:rPr>
        <w:t xml:space="preserve">ISS=Integrated Summary of Safety; </w:t>
      </w:r>
      <w:r w:rsidRPr="001814D7">
        <w:t>MedDRA</w:t>
      </w:r>
      <w:r w:rsidRPr="002578E9">
        <w:rPr>
          <w:lang w:eastAsia="en-AU"/>
        </w:rPr>
        <w:t>=Medical Dictionary for Regulatory Activities; PT=Prefe</w:t>
      </w:r>
      <w:r>
        <w:rPr>
          <w:lang w:eastAsia="en-AU"/>
        </w:rPr>
        <w:t>rr</w:t>
      </w:r>
      <w:r w:rsidRPr="002578E9">
        <w:rPr>
          <w:lang w:eastAsia="en-AU"/>
        </w:rPr>
        <w:t>ed Term; SMQ=Standard MedDRA Query; TEAE=treatment-emergent adverse event; ZLP=</w:t>
      </w:r>
      <w:proofErr w:type="spellStart"/>
      <w:r w:rsidRPr="002578E9">
        <w:rPr>
          <w:lang w:eastAsia="en-AU"/>
        </w:rPr>
        <w:t>zilucoplan</w:t>
      </w:r>
      <w:proofErr w:type="spellEnd"/>
      <w:r w:rsidRPr="002578E9">
        <w:rPr>
          <w:lang w:eastAsia="en-AU"/>
        </w:rPr>
        <w:t xml:space="preserve"> Note: Defined as TEAEs in MedDRA SMQ 'Hypersensitivity (narrow scope)'. Note: n=number of study participants reporting at least 1 TEAE within PT. </w:t>
      </w:r>
    </w:p>
    <w:p w14:paraId="51A7096D" w14:textId="2DEB504E" w:rsidR="00FA466E" w:rsidRDefault="002578E9" w:rsidP="001814D7">
      <w:pPr>
        <w:pStyle w:val="TableDescription"/>
        <w:rPr>
          <w:lang w:eastAsia="en-AU"/>
        </w:rPr>
      </w:pPr>
      <w:r w:rsidRPr="002578E9">
        <w:rPr>
          <w:lang w:eastAsia="en-AU"/>
        </w:rPr>
        <w:t xml:space="preserve">Note: [#] is the </w:t>
      </w:r>
      <w:r w:rsidRPr="001814D7">
        <w:t>number</w:t>
      </w:r>
      <w:r w:rsidRPr="002578E9">
        <w:rPr>
          <w:lang w:eastAsia="en-AU"/>
        </w:rPr>
        <w:t xml:space="preserve"> of individual occurrences of the TEAE.</w:t>
      </w:r>
    </w:p>
    <w:p w14:paraId="74029A60" w14:textId="69F6F59C" w:rsidR="00AF4A2C" w:rsidRDefault="00AF4A2C" w:rsidP="001814D7">
      <w:pPr>
        <w:pStyle w:val="Heading6"/>
        <w:rPr>
          <w:lang w:eastAsia="en-AU"/>
        </w:rPr>
      </w:pPr>
      <w:r>
        <w:rPr>
          <w:lang w:eastAsia="en-AU"/>
        </w:rPr>
        <w:t xml:space="preserve">Hepatic </w:t>
      </w:r>
      <w:r w:rsidRPr="001814D7">
        <w:t>events</w:t>
      </w:r>
    </w:p>
    <w:p w14:paraId="29D1AE9B" w14:textId="4CD07418" w:rsidR="00AF4A2C" w:rsidRDefault="00AF4A2C" w:rsidP="001814D7">
      <w:pPr>
        <w:rPr>
          <w:lang w:eastAsia="en-AU"/>
        </w:rPr>
      </w:pPr>
      <w:r>
        <w:rPr>
          <w:lang w:eastAsia="en-AU"/>
        </w:rPr>
        <w:t xml:space="preserve">No serious hepatic events were reported in S1A and there were 2 non-serious events (hepatic pain and hepatic enzyme increased). The hepatic enzyme increased TEAE resulted in withdrawal of </w:t>
      </w:r>
      <w:proofErr w:type="spellStart"/>
      <w:r>
        <w:rPr>
          <w:lang w:eastAsia="en-AU"/>
        </w:rPr>
        <w:t>zilucoplan</w:t>
      </w:r>
      <w:proofErr w:type="spellEnd"/>
      <w:r>
        <w:rPr>
          <w:lang w:eastAsia="en-AU"/>
        </w:rPr>
        <w:t xml:space="preserve"> but was considered to not be treatment related (other risk factors of multiple medications, morbid obesity and potential fluid overload). Hepatic events were infrequent during the open label study periods. There was one event of serious transaminase increase. No Hy’s law cases were reported. The most frequent non-serious event was alanine aminotransferase increase (1.9% of subjects).</w:t>
      </w:r>
    </w:p>
    <w:p w14:paraId="22B61428" w14:textId="554AF3F5" w:rsidR="00AF4A2C" w:rsidRDefault="00AF4A2C" w:rsidP="001814D7">
      <w:pPr>
        <w:pStyle w:val="Heading6"/>
        <w:rPr>
          <w:lang w:eastAsia="en-AU"/>
        </w:rPr>
      </w:pPr>
      <w:r w:rsidRPr="001814D7">
        <w:t>Malignancy</w:t>
      </w:r>
    </w:p>
    <w:p w14:paraId="6C2434F1" w14:textId="52760B75" w:rsidR="00AF4A2C" w:rsidRDefault="00AF4A2C" w:rsidP="001814D7">
      <w:pPr>
        <w:rPr>
          <w:lang w:eastAsia="en-AU"/>
        </w:rPr>
      </w:pPr>
      <w:r>
        <w:rPr>
          <w:lang w:eastAsia="en-AU"/>
        </w:rPr>
        <w:t>There were 2 basal cell carcinomas and 2 squamous cell carcinomas in S1A (</w:t>
      </w:r>
      <w:proofErr w:type="spellStart"/>
      <w:r>
        <w:rPr>
          <w:lang w:eastAsia="en-AU"/>
        </w:rPr>
        <w:t>zilucoplan</w:t>
      </w:r>
      <w:proofErr w:type="spellEnd"/>
      <w:r>
        <w:rPr>
          <w:lang w:eastAsia="en-AU"/>
        </w:rPr>
        <w:t xml:space="preserve"> 3 subjects; placebo 0 subjects). In S1B there were 15 malignant or unspecified tumours in 5.6% of subjects. Six of these were non-melanoma skins cancers and the others all occurred as single tumour types (except for 2 bone neoplasms that occurred in the same subject). In S2A the EAIR for malignant or unspecified tumours was 10.76 per 100 participant- years.</w:t>
      </w:r>
    </w:p>
    <w:p w14:paraId="440FEA13" w14:textId="77777777" w:rsidR="00AF4A2C" w:rsidRDefault="00AF4A2C" w:rsidP="001814D7">
      <w:pPr>
        <w:pStyle w:val="Heading6"/>
        <w:rPr>
          <w:lang w:eastAsia="en-AU"/>
        </w:rPr>
      </w:pPr>
      <w:r w:rsidRPr="001814D7">
        <w:t>Laboratory</w:t>
      </w:r>
      <w:r>
        <w:rPr>
          <w:lang w:eastAsia="en-AU"/>
        </w:rPr>
        <w:t xml:space="preserve"> results</w:t>
      </w:r>
    </w:p>
    <w:p w14:paraId="3193C3BA" w14:textId="77777777" w:rsidR="00AF4A2C" w:rsidRDefault="00AF4A2C" w:rsidP="001814D7">
      <w:pPr>
        <w:rPr>
          <w:lang w:eastAsia="en-AU"/>
        </w:rPr>
      </w:pPr>
      <w:r>
        <w:rPr>
          <w:lang w:eastAsia="en-AU"/>
        </w:rPr>
        <w:t>In the S2A pool there were increases in both amylase and lipase (more frequently for the latter) (Table 11).</w:t>
      </w:r>
    </w:p>
    <w:p w14:paraId="57669795" w14:textId="055EF44D" w:rsidR="007C43E7" w:rsidRDefault="007C43E7" w:rsidP="001814D7">
      <w:pPr>
        <w:pStyle w:val="TableTitle"/>
        <w:rPr>
          <w:lang w:eastAsia="en-AU"/>
        </w:rPr>
      </w:pPr>
      <w:r w:rsidRPr="007C43E7">
        <w:rPr>
          <w:lang w:eastAsia="en-AU"/>
        </w:rPr>
        <w:lastRenderedPageBreak/>
        <w:t>Table 11. Shift from baseline to maximum post-baseline results for amylase and lipase (pool S2A)</w:t>
      </w:r>
    </w:p>
    <w:p w14:paraId="76245DB6" w14:textId="748C3CC1" w:rsidR="007C43E7" w:rsidRDefault="00AF4A2C" w:rsidP="001814D7">
      <w:pPr>
        <w:rPr>
          <w:lang w:eastAsia="en-AU"/>
        </w:rPr>
      </w:pPr>
      <w:r>
        <w:rPr>
          <w:lang w:eastAsia="en-AU"/>
        </w:rPr>
        <w:t xml:space="preserve"> </w:t>
      </w:r>
      <w:r w:rsidR="007C43E7">
        <w:rPr>
          <w:noProof/>
        </w:rPr>
        <w:drawing>
          <wp:inline distT="0" distB="0" distL="0" distR="0" wp14:anchorId="6E01B4D0" wp14:editId="3C2AB4C7">
            <wp:extent cx="5692140" cy="1699260"/>
            <wp:effectExtent l="0" t="0" r="3810" b="0"/>
            <wp:docPr id="29" name="Image 29" descr="Table 11. Shift from baseline to maximum post-baseline results for amylase and lipase (pool S2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Table 11. Shift from baseline to maximum post-baseline results for amylase and lipase (pool S2A)"/>
                    <pic:cNvPicPr/>
                  </pic:nvPicPr>
                  <pic:blipFill rotWithShape="1">
                    <a:blip r:embed="rId46" cstate="print">
                      <a:extLst>
                        <a:ext uri="{28A0092B-C50C-407E-A947-70E740481C1C}">
                          <a14:useLocalDpi xmlns:a14="http://schemas.microsoft.com/office/drawing/2010/main" val="0"/>
                        </a:ext>
                      </a:extLst>
                    </a:blip>
                    <a:srcRect b="13127"/>
                    <a:stretch/>
                  </pic:blipFill>
                  <pic:spPr bwMode="auto">
                    <a:xfrm>
                      <a:off x="0" y="0"/>
                      <a:ext cx="5692140" cy="1699260"/>
                    </a:xfrm>
                    <a:prstGeom prst="rect">
                      <a:avLst/>
                    </a:prstGeom>
                    <a:ln>
                      <a:noFill/>
                    </a:ln>
                    <a:extLst>
                      <a:ext uri="{53640926-AAD7-44D8-BBD7-CCE9431645EC}">
                        <a14:shadowObscured xmlns:a14="http://schemas.microsoft.com/office/drawing/2010/main"/>
                      </a:ext>
                    </a:extLst>
                  </pic:spPr>
                </pic:pic>
              </a:graphicData>
            </a:graphic>
          </wp:inline>
        </w:drawing>
      </w:r>
    </w:p>
    <w:p w14:paraId="4D769B2F" w14:textId="4EE20DCB" w:rsidR="001D4805" w:rsidRDefault="001D4805" w:rsidP="001814D7">
      <w:pPr>
        <w:rPr>
          <w:lang w:eastAsia="en-AU"/>
        </w:rPr>
      </w:pPr>
      <w:r>
        <w:rPr>
          <w:lang w:eastAsia="en-AU"/>
        </w:rPr>
        <w:t xml:space="preserve">In S2A the incidence of grade 3 and 4 amylase elevations was higher with </w:t>
      </w:r>
      <w:proofErr w:type="spellStart"/>
      <w:r>
        <w:rPr>
          <w:lang w:eastAsia="en-AU"/>
        </w:rPr>
        <w:t>zilucoplan</w:t>
      </w:r>
      <w:proofErr w:type="spellEnd"/>
      <w:r>
        <w:rPr>
          <w:lang w:eastAsia="en-AU"/>
        </w:rPr>
        <w:t xml:space="preserve"> than placebo (6.3% vs. 0%), as was the case with lipase (11.8% vs. 5.1% respectively). Most elevations were not associated with significant changes in liver function, had one or more confounding risk factors and improved or resolved. Amylase and lipase improved for patients regardless of whether treatment was interrupted.</w:t>
      </w:r>
    </w:p>
    <w:p w14:paraId="5A2C26A6" w14:textId="77777777" w:rsidR="001D4805" w:rsidRDefault="001D4805" w:rsidP="001814D7">
      <w:pPr>
        <w:rPr>
          <w:lang w:eastAsia="en-AU"/>
        </w:rPr>
      </w:pPr>
      <w:r>
        <w:rPr>
          <w:lang w:eastAsia="en-AU"/>
        </w:rPr>
        <w:t xml:space="preserve">Pool S2B (up to 18 Feb 2022) was searched for events consistent with acute pancreatitis or pancreas pathologies. Ten events were found, including pancreatitis (3) and other pancreas pathologies (7). All occurred in the myasthenia gravis trials. For the events of pancreatitis there were other likely causes (e.g. post ERCP, COVID vaccination). </w:t>
      </w:r>
      <w:proofErr w:type="gramStart"/>
      <w:r>
        <w:rPr>
          <w:lang w:eastAsia="en-AU"/>
        </w:rPr>
        <w:t>All of</w:t>
      </w:r>
      <w:proofErr w:type="gramEnd"/>
      <w:r>
        <w:rPr>
          <w:lang w:eastAsia="en-AU"/>
        </w:rPr>
        <w:t xml:space="preserve"> the events of pancreas pathology were considered as not related, </w:t>
      </w:r>
      <w:proofErr w:type="spellStart"/>
      <w:r>
        <w:rPr>
          <w:lang w:eastAsia="en-AU"/>
        </w:rPr>
        <w:t>zilucoplan</w:t>
      </w:r>
      <w:proofErr w:type="spellEnd"/>
      <w:r>
        <w:rPr>
          <w:lang w:eastAsia="en-AU"/>
        </w:rPr>
        <w:t xml:space="preserve"> was continued in all but one, and they nearly all resolved (except for a pancreatic cyst and a pancreatic mass).</w:t>
      </w:r>
    </w:p>
    <w:p w14:paraId="6AD3A091" w14:textId="77777777" w:rsidR="001D4805" w:rsidRDefault="001D4805" w:rsidP="001D4805">
      <w:pPr>
        <w:rPr>
          <w:lang w:eastAsia="en-AU"/>
        </w:rPr>
      </w:pPr>
      <w:r>
        <w:rPr>
          <w:lang w:eastAsia="en-AU"/>
        </w:rPr>
        <w:t xml:space="preserve">In S1B (up to 8 Sep 2022) the maximum post-baseline CTCAE graded increases in amylase and lipase are shown in Table 12. </w:t>
      </w:r>
      <w:proofErr w:type="gramStart"/>
      <w:r>
        <w:rPr>
          <w:lang w:eastAsia="en-AU"/>
        </w:rPr>
        <w:t>The majority of</w:t>
      </w:r>
      <w:proofErr w:type="gramEnd"/>
      <w:r>
        <w:rPr>
          <w:lang w:eastAsia="en-AU"/>
        </w:rPr>
        <w:t xml:space="preserve"> affected subjects only experienced a grade 1 increase and grade 4 increases were uncommon.</w:t>
      </w:r>
    </w:p>
    <w:p w14:paraId="49E5AA20" w14:textId="379A59A4" w:rsidR="007C43E7" w:rsidRDefault="001D4805" w:rsidP="001814D7">
      <w:pPr>
        <w:pStyle w:val="TableTitle"/>
        <w:rPr>
          <w:lang w:eastAsia="en-AU"/>
        </w:rPr>
      </w:pPr>
      <w:r>
        <w:rPr>
          <w:lang w:eastAsia="en-AU"/>
        </w:rPr>
        <w:t>Table 12. Exposure-</w:t>
      </w:r>
      <w:r w:rsidRPr="001814D7">
        <w:t>adjusted</w:t>
      </w:r>
      <w:r>
        <w:rPr>
          <w:lang w:eastAsia="en-AU"/>
        </w:rPr>
        <w:t xml:space="preserve"> incidence rates of increases in amylase/lipase by CTCAE grade</w:t>
      </w:r>
    </w:p>
    <w:p w14:paraId="3C74437F" w14:textId="534E330E" w:rsidR="00CC192A" w:rsidRDefault="00CC192A" w:rsidP="001814D7">
      <w:pPr>
        <w:rPr>
          <w:lang w:eastAsia="en-AU"/>
        </w:rPr>
      </w:pPr>
      <w:r>
        <w:rPr>
          <w:noProof/>
        </w:rPr>
        <w:drawing>
          <wp:inline distT="0" distB="0" distL="0" distR="0" wp14:anchorId="7A098AB5" wp14:editId="344A6BBF">
            <wp:extent cx="5699760" cy="3024554"/>
            <wp:effectExtent l="0" t="0" r="0" b="4445"/>
            <wp:docPr id="30" name="Image 30" descr="Table 12. Exposure-adjusted incidence rates of increases in amylase/lipase by CTCAE gra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Table 12. Exposure-adjusted incidence rates of increases in amylase/lipase by CTCAE grade"/>
                    <pic:cNvPicPr/>
                  </pic:nvPicPr>
                  <pic:blipFill rotWithShape="1">
                    <a:blip r:embed="rId47" cstate="print">
                      <a:extLst>
                        <a:ext uri="{28A0092B-C50C-407E-A947-70E740481C1C}">
                          <a14:useLocalDpi xmlns:a14="http://schemas.microsoft.com/office/drawing/2010/main" val="0"/>
                        </a:ext>
                      </a:extLst>
                    </a:blip>
                    <a:srcRect t="1786" b="11584"/>
                    <a:stretch/>
                  </pic:blipFill>
                  <pic:spPr bwMode="auto">
                    <a:xfrm>
                      <a:off x="0" y="0"/>
                      <a:ext cx="5700837" cy="3025126"/>
                    </a:xfrm>
                    <a:prstGeom prst="rect">
                      <a:avLst/>
                    </a:prstGeom>
                    <a:ln>
                      <a:noFill/>
                    </a:ln>
                    <a:extLst>
                      <a:ext uri="{53640926-AAD7-44D8-BBD7-CCE9431645EC}">
                        <a14:shadowObscured xmlns:a14="http://schemas.microsoft.com/office/drawing/2010/main"/>
                      </a:ext>
                    </a:extLst>
                  </pic:spPr>
                </pic:pic>
              </a:graphicData>
            </a:graphic>
          </wp:inline>
        </w:drawing>
      </w:r>
    </w:p>
    <w:p w14:paraId="7C842193" w14:textId="2BCE342D" w:rsidR="005B2821" w:rsidRDefault="005B2821" w:rsidP="001814D7">
      <w:pPr>
        <w:pStyle w:val="TableDescription"/>
        <w:rPr>
          <w:lang w:eastAsia="en-AU"/>
        </w:rPr>
      </w:pPr>
      <w:r w:rsidRPr="005B2821">
        <w:rPr>
          <w:lang w:eastAsia="en-AU"/>
        </w:rPr>
        <w:t>CI=confidence interval; EAIR=</w:t>
      </w:r>
      <w:r w:rsidRPr="001814D7">
        <w:t>exposure</w:t>
      </w:r>
      <w:r w:rsidRPr="005B2821">
        <w:rPr>
          <w:lang w:eastAsia="en-AU"/>
        </w:rPr>
        <w:t xml:space="preserve"> adjusted incidence rate; CTCAE=Common Terminology Criteria for Adverse Events; ISS=Integrated Summary of Safety; ZLP=</w:t>
      </w:r>
      <w:proofErr w:type="spellStart"/>
      <w:r w:rsidRPr="005B2821">
        <w:rPr>
          <w:lang w:eastAsia="en-AU"/>
        </w:rPr>
        <w:t>zilucoplan</w:t>
      </w:r>
      <w:proofErr w:type="spellEnd"/>
      <w:r>
        <w:rPr>
          <w:lang w:eastAsia="en-AU"/>
        </w:rPr>
        <w:t>.</w:t>
      </w:r>
    </w:p>
    <w:p w14:paraId="2A048C23" w14:textId="4B7AADB3" w:rsidR="009A39D0" w:rsidRDefault="009A39D0" w:rsidP="001814D7">
      <w:pPr>
        <w:rPr>
          <w:lang w:eastAsia="en-AU"/>
        </w:rPr>
      </w:pPr>
      <w:r>
        <w:rPr>
          <w:lang w:eastAsia="en-AU"/>
        </w:rPr>
        <w:lastRenderedPageBreak/>
        <w:t xml:space="preserve">Eosinophilia occurred more frequently with </w:t>
      </w:r>
      <w:proofErr w:type="spellStart"/>
      <w:r>
        <w:rPr>
          <w:lang w:eastAsia="en-AU"/>
        </w:rPr>
        <w:t>zilucoplan</w:t>
      </w:r>
      <w:proofErr w:type="spellEnd"/>
      <w:r>
        <w:rPr>
          <w:lang w:eastAsia="en-AU"/>
        </w:rPr>
        <w:t xml:space="preserve"> than with placebo (pool S2A; 16.5% vs. 1.7%, respectively) and nearly always from a normal baseline value. Six </w:t>
      </w:r>
      <w:proofErr w:type="spellStart"/>
      <w:r>
        <w:rPr>
          <w:lang w:eastAsia="en-AU"/>
        </w:rPr>
        <w:t>zilucoplan</w:t>
      </w:r>
      <w:proofErr w:type="spellEnd"/>
      <w:r>
        <w:rPr>
          <w:lang w:eastAsia="en-AU"/>
        </w:rPr>
        <w:t xml:space="preserve"> subjects experienced eosinophils ≥ 1.5 X 10</w:t>
      </w:r>
      <w:r w:rsidRPr="00F3216B">
        <w:rPr>
          <w:vertAlign w:val="superscript"/>
          <w:lang w:eastAsia="en-AU"/>
        </w:rPr>
        <w:t>9</w:t>
      </w:r>
      <w:r>
        <w:rPr>
          <w:lang w:eastAsia="en-AU"/>
        </w:rPr>
        <w:t xml:space="preserve">/L, all at the day 57 visit and all returned to normal. None of the participants experienced fever or clinically significant organ dysfunction and in 3 there was concomitant use of other potential drugs (cephalosporins). In the </w:t>
      </w:r>
      <w:proofErr w:type="gramStart"/>
      <w:r>
        <w:rPr>
          <w:lang w:eastAsia="en-AU"/>
        </w:rPr>
        <w:t>long term</w:t>
      </w:r>
      <w:proofErr w:type="gramEnd"/>
      <w:r>
        <w:rPr>
          <w:lang w:eastAsia="en-AU"/>
        </w:rPr>
        <w:t xml:space="preserve"> studies (pool S1B) the EAIR for elevated eosinophils was 16.89. The elevations tended to resolve over time even with continued </w:t>
      </w:r>
      <w:proofErr w:type="spellStart"/>
      <w:r>
        <w:rPr>
          <w:lang w:eastAsia="en-AU"/>
        </w:rPr>
        <w:t>zilucoplan</w:t>
      </w:r>
      <w:proofErr w:type="spellEnd"/>
      <w:r>
        <w:rPr>
          <w:lang w:eastAsia="en-AU"/>
        </w:rPr>
        <w:t xml:space="preserve"> exposure. The pattern of elevation appears to be a maximal rise around day 50 and then improvements/fluctuations beyond that stage (including values still above the normal range), as seen in Figure 10. All except 1 of the eosinophil elevations in S2A were NOT reported as AEs.</w:t>
      </w:r>
    </w:p>
    <w:p w14:paraId="0B80DFF4" w14:textId="77777777" w:rsidR="009A39D0" w:rsidRDefault="009A39D0" w:rsidP="001814D7">
      <w:pPr>
        <w:rPr>
          <w:lang w:eastAsia="en-AU"/>
        </w:rPr>
      </w:pPr>
      <w:r>
        <w:rPr>
          <w:lang w:eastAsia="en-AU"/>
        </w:rPr>
        <w:t xml:space="preserve">Although a variety of mild to moderate skin and oral mucosal ulcerations events were reported (aphthous ulceration, mouth ulceration, lip ulceration, stomatitis), there were relevant confounding factors and evidence was not suggestive of a causal relationship to </w:t>
      </w:r>
      <w:proofErr w:type="spellStart"/>
      <w:r>
        <w:rPr>
          <w:lang w:eastAsia="en-AU"/>
        </w:rPr>
        <w:t>zilucoplan</w:t>
      </w:r>
      <w:proofErr w:type="spellEnd"/>
      <w:r>
        <w:rPr>
          <w:lang w:eastAsia="en-AU"/>
        </w:rPr>
        <w:t>. The EAIR in S1B was 3.10 per 100 participant-years for this group of events.</w:t>
      </w:r>
    </w:p>
    <w:p w14:paraId="45890091" w14:textId="7EDAEECF" w:rsidR="005B2821" w:rsidRDefault="009A39D0" w:rsidP="001814D7">
      <w:pPr>
        <w:pStyle w:val="FigureTitle"/>
        <w:rPr>
          <w:lang w:eastAsia="en-AU"/>
        </w:rPr>
      </w:pPr>
      <w:r>
        <w:rPr>
          <w:lang w:eastAsia="en-AU"/>
        </w:rPr>
        <w:t xml:space="preserve">Figure 10. Eosinophil values over </w:t>
      </w:r>
      <w:r w:rsidRPr="001814D7">
        <w:t>time</w:t>
      </w:r>
      <w:r>
        <w:rPr>
          <w:lang w:eastAsia="en-AU"/>
        </w:rPr>
        <w:t xml:space="preserve"> for </w:t>
      </w:r>
      <w:proofErr w:type="spellStart"/>
      <w:r>
        <w:rPr>
          <w:lang w:eastAsia="en-AU"/>
        </w:rPr>
        <w:t>gMG</w:t>
      </w:r>
      <w:proofErr w:type="spellEnd"/>
      <w:r>
        <w:rPr>
          <w:lang w:eastAsia="en-AU"/>
        </w:rPr>
        <w:t xml:space="preserve"> subjects treated only with </w:t>
      </w:r>
      <w:proofErr w:type="spellStart"/>
      <w:r>
        <w:rPr>
          <w:lang w:eastAsia="en-AU"/>
        </w:rPr>
        <w:t>zilucoplan</w:t>
      </w:r>
      <w:proofErr w:type="spellEnd"/>
    </w:p>
    <w:p w14:paraId="4F2412EB" w14:textId="35F69B3F" w:rsidR="004C131B" w:rsidRDefault="004C131B" w:rsidP="001814D7">
      <w:pPr>
        <w:rPr>
          <w:lang w:eastAsia="en-AU"/>
        </w:rPr>
      </w:pPr>
      <w:r>
        <w:rPr>
          <w:noProof/>
        </w:rPr>
        <w:drawing>
          <wp:inline distT="0" distB="0" distL="0" distR="0" wp14:anchorId="50AE9142" wp14:editId="582A2568">
            <wp:extent cx="5732585" cy="2625970"/>
            <wp:effectExtent l="0" t="0" r="1905" b="3175"/>
            <wp:docPr id="31" name="Image 31" descr="Figure 10. Eosinophil values over time for gMG subjects treated only with zilucop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Figure 10. Eosinophil values over time for gMG subjects treated only with zilucoplan"/>
                    <pic:cNvPicPr/>
                  </pic:nvPicPr>
                  <pic:blipFill rotWithShape="1">
                    <a:blip r:embed="rId48" cstate="print">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rcRect b="11675"/>
                    <a:stretch/>
                  </pic:blipFill>
                  <pic:spPr bwMode="auto">
                    <a:xfrm>
                      <a:off x="0" y="0"/>
                      <a:ext cx="5743191" cy="2630828"/>
                    </a:xfrm>
                    <a:prstGeom prst="rect">
                      <a:avLst/>
                    </a:prstGeom>
                    <a:ln>
                      <a:noFill/>
                    </a:ln>
                    <a:extLst>
                      <a:ext uri="{53640926-AAD7-44D8-BBD7-CCE9431645EC}">
                        <a14:shadowObscured xmlns:a14="http://schemas.microsoft.com/office/drawing/2010/main"/>
                      </a:ext>
                    </a:extLst>
                  </pic:spPr>
                </pic:pic>
              </a:graphicData>
            </a:graphic>
          </wp:inline>
        </w:drawing>
      </w:r>
    </w:p>
    <w:p w14:paraId="5BCD4008" w14:textId="49F38914" w:rsidR="004C131B" w:rsidRDefault="004C131B" w:rsidP="001814D7">
      <w:pPr>
        <w:pStyle w:val="FigureDescription"/>
        <w:rPr>
          <w:lang w:eastAsia="en-AU"/>
        </w:rPr>
      </w:pPr>
      <w:proofErr w:type="spellStart"/>
      <w:r>
        <w:rPr>
          <w:lang w:eastAsia="en-AU"/>
        </w:rPr>
        <w:t>gMG</w:t>
      </w:r>
      <w:proofErr w:type="spellEnd"/>
      <w:r>
        <w:rPr>
          <w:lang w:eastAsia="en-AU"/>
        </w:rPr>
        <w:t>=generalised myasthenia gravis; ULN=upper limit of normal; ZLP=</w:t>
      </w:r>
      <w:proofErr w:type="spellStart"/>
      <w:r w:rsidR="00307918">
        <w:rPr>
          <w:lang w:eastAsia="en-AU"/>
        </w:rPr>
        <w:t>zilucoplan</w:t>
      </w:r>
      <w:proofErr w:type="spellEnd"/>
    </w:p>
    <w:p w14:paraId="1DD9D9B8" w14:textId="77777777" w:rsidR="00400053" w:rsidRDefault="00400053" w:rsidP="001814D7">
      <w:pPr>
        <w:pStyle w:val="Heading5"/>
        <w:rPr>
          <w:lang w:eastAsia="en-AU"/>
        </w:rPr>
      </w:pPr>
      <w:r>
        <w:rPr>
          <w:lang w:eastAsia="en-AU"/>
        </w:rPr>
        <w:t>Non-myasthenia gravis studies</w:t>
      </w:r>
    </w:p>
    <w:p w14:paraId="49821B18" w14:textId="77777777" w:rsidR="00400053" w:rsidRDefault="00400053" w:rsidP="001814D7">
      <w:pPr>
        <w:rPr>
          <w:lang w:eastAsia="en-AU"/>
        </w:rPr>
      </w:pPr>
      <w:r>
        <w:rPr>
          <w:lang w:eastAsia="en-AU"/>
        </w:rPr>
        <w:t xml:space="preserve">During these studies (listed above) 378 subjects were exposed to at least one dose of </w:t>
      </w:r>
      <w:proofErr w:type="spellStart"/>
      <w:r>
        <w:rPr>
          <w:lang w:eastAsia="en-AU"/>
        </w:rPr>
        <w:t>zilucoplan</w:t>
      </w:r>
      <w:proofErr w:type="spellEnd"/>
      <w:r>
        <w:rPr>
          <w:lang w:eastAsia="en-AU"/>
        </w:rPr>
        <w:t>. Most of these were in studies for either ALS (153 subjects) or COVID19 (171 subjects). In terms of duration, 139 subjects in the non-</w:t>
      </w:r>
      <w:proofErr w:type="spellStart"/>
      <w:r>
        <w:rPr>
          <w:lang w:eastAsia="en-AU"/>
        </w:rPr>
        <w:t>gMG</w:t>
      </w:r>
      <w:proofErr w:type="spellEnd"/>
      <w:r>
        <w:rPr>
          <w:lang w:eastAsia="en-AU"/>
        </w:rPr>
        <w:t xml:space="preserve"> studies were exposed for a period of at least 6 months.</w:t>
      </w:r>
    </w:p>
    <w:p w14:paraId="1F564ADA" w14:textId="77777777" w:rsidR="00400053" w:rsidRDefault="00400053" w:rsidP="001814D7">
      <w:pPr>
        <w:rPr>
          <w:lang w:eastAsia="en-AU"/>
        </w:rPr>
      </w:pPr>
      <w:r>
        <w:rPr>
          <w:lang w:eastAsia="en-AU"/>
        </w:rPr>
        <w:t>PNH002 was a phase 2, multicentre, uncontrolled study in adults with PNH. The study utilised 0.1mg/kg/day for the first 12 weeks, with an option for continuing treatment with 0.3mg/kg/day. Nearly all subjects experienced TEAEs, with headache and haemolysis being the most frequent. There were no deaths. The serious AEs were not considered treatment related and consisted of febrile non-haemolytic transfusion reaction, pyrexia and urinary tract infection. AEs leading to discontinuation were breakthrough haemolysis, worsening PNH, upper abdominal pain and increased LDH. One subject had a TEAE of increased LFTs that was moderate in severity and not considered related.</w:t>
      </w:r>
    </w:p>
    <w:p w14:paraId="4C824C96" w14:textId="77777777" w:rsidR="00400053" w:rsidRDefault="00400053" w:rsidP="001814D7">
      <w:pPr>
        <w:rPr>
          <w:lang w:eastAsia="en-AU"/>
        </w:rPr>
      </w:pPr>
      <w:r>
        <w:rPr>
          <w:lang w:eastAsia="en-AU"/>
        </w:rPr>
        <w:t xml:space="preserve">PNH003 was a phase 2, multicentre, uncontrolled study in adults with PNH who had responded inadequately to eculizumab. The study utilised a dose of 0.1mg/kg/day with an option to </w:t>
      </w:r>
      <w:r>
        <w:rPr>
          <w:lang w:eastAsia="en-AU"/>
        </w:rPr>
        <w:lastRenderedPageBreak/>
        <w:t>increase to 0.3mg/kg/day after as soon as 2 weeks if the response was inadequate. Only 3 subjects were treated and there were no SAEs, deaths or TEAEs leading to discontinuation.</w:t>
      </w:r>
    </w:p>
    <w:p w14:paraId="3DC0E398" w14:textId="77777777" w:rsidR="00400053" w:rsidRDefault="00400053" w:rsidP="00400053">
      <w:pPr>
        <w:rPr>
          <w:lang w:eastAsia="en-AU"/>
        </w:rPr>
      </w:pPr>
      <w:r>
        <w:rPr>
          <w:lang w:eastAsia="en-AU"/>
        </w:rPr>
        <w:t xml:space="preserve">There was one grade 3 lipase increase, which recovered despite ongoing </w:t>
      </w:r>
      <w:proofErr w:type="spellStart"/>
      <w:r>
        <w:rPr>
          <w:lang w:eastAsia="en-AU"/>
        </w:rPr>
        <w:t>zilucoplan</w:t>
      </w:r>
      <w:proofErr w:type="spellEnd"/>
      <w:r>
        <w:rPr>
          <w:lang w:eastAsia="en-AU"/>
        </w:rPr>
        <w:t>.</w:t>
      </w:r>
    </w:p>
    <w:p w14:paraId="281612CB" w14:textId="4301B2CC" w:rsidR="00400053" w:rsidRDefault="00400053" w:rsidP="001814D7">
      <w:pPr>
        <w:rPr>
          <w:lang w:eastAsia="en-AU"/>
        </w:rPr>
      </w:pPr>
      <w:r>
        <w:rPr>
          <w:lang w:eastAsia="en-AU"/>
        </w:rPr>
        <w:t>PNH001 was a phase 2, multicentre, uncontrolled, extension study for subjects completing PNH002 and PNH003. The most common TEAEs were fatigue, diarrhoea, nasopharyngitis, upper respiratory tract infection and headache. There were no deaths. There were 12 SAEs in 6</w:t>
      </w:r>
      <w:r w:rsidR="000E6126">
        <w:rPr>
          <w:lang w:eastAsia="en-AU"/>
        </w:rPr>
        <w:t xml:space="preserve"> </w:t>
      </w:r>
      <w:r>
        <w:rPr>
          <w:lang w:eastAsia="en-AU"/>
        </w:rPr>
        <w:t>subjects: anaemia (</w:t>
      </w:r>
      <w:r w:rsidR="00A60C4E">
        <w:rPr>
          <w:lang w:eastAsia="en-AU"/>
        </w:rPr>
        <w:t>X</w:t>
      </w:r>
      <w:r>
        <w:rPr>
          <w:lang w:eastAsia="en-AU"/>
        </w:rPr>
        <w:t>2), headache, nausea, osteoarthritis, rotator cuff injury, tongue haematoma, enterocolitis infectious, DVT, encephalopathy, pneumococcal pneumonia and suicide attempt.</w:t>
      </w:r>
    </w:p>
    <w:p w14:paraId="71DBB25D" w14:textId="77777777" w:rsidR="00400053" w:rsidRDefault="00400053" w:rsidP="00400053">
      <w:pPr>
        <w:rPr>
          <w:lang w:eastAsia="en-AU"/>
        </w:rPr>
      </w:pPr>
      <w:r>
        <w:rPr>
          <w:lang w:eastAsia="en-AU"/>
        </w:rPr>
        <w:t xml:space="preserve">UP0108 was a phase 2, adaptive, randomised, placebo-controlled platform study of hospitalized COVID19 patients. </w:t>
      </w:r>
      <w:proofErr w:type="spellStart"/>
      <w:r>
        <w:rPr>
          <w:lang w:eastAsia="en-AU"/>
        </w:rPr>
        <w:t>Zilucoplan</w:t>
      </w:r>
      <w:proofErr w:type="spellEnd"/>
      <w:r>
        <w:rPr>
          <w:lang w:eastAsia="en-AU"/>
        </w:rPr>
        <w:t xml:space="preserve"> was dosed for 14 days or stopped at the time of hospital discharge. Twenty-two subjects were in the </w:t>
      </w:r>
      <w:proofErr w:type="spellStart"/>
      <w:r>
        <w:rPr>
          <w:lang w:eastAsia="en-AU"/>
        </w:rPr>
        <w:t>zilucoplan</w:t>
      </w:r>
      <w:proofErr w:type="spellEnd"/>
      <w:r>
        <w:rPr>
          <w:lang w:eastAsia="en-AU"/>
        </w:rPr>
        <w:t xml:space="preserve"> plus standard of care arm. Two (9.1%) of these died (compared with 21.7% in the standard of care only arm). A preliminary review of the safety did not identify any safety signals.</w:t>
      </w:r>
    </w:p>
    <w:p w14:paraId="14567D1B" w14:textId="77777777" w:rsidR="00400053" w:rsidRDefault="00400053" w:rsidP="001814D7">
      <w:pPr>
        <w:rPr>
          <w:lang w:eastAsia="en-AU"/>
        </w:rPr>
      </w:pPr>
      <w:r>
        <w:rPr>
          <w:lang w:eastAsia="en-AU"/>
        </w:rPr>
        <w:t xml:space="preserve">UP0107 was a phase 2, open-label study of </w:t>
      </w:r>
      <w:proofErr w:type="spellStart"/>
      <w:r>
        <w:rPr>
          <w:lang w:eastAsia="en-AU"/>
        </w:rPr>
        <w:t>zilucoplan</w:t>
      </w:r>
      <w:proofErr w:type="spellEnd"/>
      <w:r>
        <w:rPr>
          <w:lang w:eastAsia="en-AU"/>
        </w:rPr>
        <w:t xml:space="preserve"> in subjects with COVID-19 related hypoxic respiratory failure. Fifty-four subjects received </w:t>
      </w:r>
      <w:proofErr w:type="spellStart"/>
      <w:r>
        <w:rPr>
          <w:lang w:eastAsia="en-AU"/>
        </w:rPr>
        <w:t>zilucoplan</w:t>
      </w:r>
      <w:proofErr w:type="spellEnd"/>
      <w:r>
        <w:rPr>
          <w:lang w:eastAsia="en-AU"/>
        </w:rPr>
        <w:t xml:space="preserve"> 32.4mg (i.e. 0.3mg/kg dosed for the highest weight category) plus prophylactic antibiotics. The control arm received prophylactic antibiotics. </w:t>
      </w:r>
      <w:proofErr w:type="spellStart"/>
      <w:r>
        <w:rPr>
          <w:lang w:eastAsia="en-AU"/>
        </w:rPr>
        <w:t>Zilucoplan</w:t>
      </w:r>
      <w:proofErr w:type="spellEnd"/>
      <w:r>
        <w:rPr>
          <w:lang w:eastAsia="en-AU"/>
        </w:rPr>
        <w:t xml:space="preserve"> did not lead to an increase in overall or infectious SAEs.</w:t>
      </w:r>
    </w:p>
    <w:p w14:paraId="550A3279" w14:textId="77777777" w:rsidR="00400053" w:rsidRDefault="00400053" w:rsidP="00400053">
      <w:pPr>
        <w:rPr>
          <w:lang w:eastAsia="en-AU"/>
        </w:rPr>
      </w:pPr>
      <w:r>
        <w:rPr>
          <w:lang w:eastAsia="en-AU"/>
        </w:rPr>
        <w:t xml:space="preserve">UP0109 was a phase 3, adaptive, randomised, placebo-controlled platform study of various treatments for COVID19 in hospitalised patients. </w:t>
      </w:r>
      <w:proofErr w:type="spellStart"/>
      <w:r>
        <w:rPr>
          <w:lang w:eastAsia="en-AU"/>
        </w:rPr>
        <w:t>Zilucoplan</w:t>
      </w:r>
      <w:proofErr w:type="spellEnd"/>
      <w:r>
        <w:rPr>
          <w:lang w:eastAsia="en-AU"/>
        </w:rPr>
        <w:t xml:space="preserve"> was dosed at 32.4mg/day for 14 days and given together with standard of care treatment. One hundred subjects were randomised to receive </w:t>
      </w:r>
      <w:proofErr w:type="spellStart"/>
      <w:r>
        <w:rPr>
          <w:lang w:eastAsia="en-AU"/>
        </w:rPr>
        <w:t>zilucoplan</w:t>
      </w:r>
      <w:proofErr w:type="spellEnd"/>
      <w:r>
        <w:rPr>
          <w:lang w:eastAsia="en-AU"/>
        </w:rPr>
        <w:t xml:space="preserve">. The most frequent TEAEs with </w:t>
      </w:r>
      <w:proofErr w:type="spellStart"/>
      <w:r>
        <w:rPr>
          <w:lang w:eastAsia="en-AU"/>
        </w:rPr>
        <w:t>zilucoplan</w:t>
      </w:r>
      <w:proofErr w:type="spellEnd"/>
      <w:r>
        <w:rPr>
          <w:lang w:eastAsia="en-AU"/>
        </w:rPr>
        <w:t xml:space="preserve"> were constipation, hypotension, respiratory failure and hypertension. There were less deaths in the </w:t>
      </w:r>
      <w:proofErr w:type="spellStart"/>
      <w:r>
        <w:rPr>
          <w:lang w:eastAsia="en-AU"/>
        </w:rPr>
        <w:t>zilucoplan</w:t>
      </w:r>
      <w:proofErr w:type="spellEnd"/>
      <w:r>
        <w:rPr>
          <w:lang w:eastAsia="en-AU"/>
        </w:rPr>
        <w:t xml:space="preserve"> arm (21.1% of subjects vs. 28.8% with placebo). Overall, the safety profile revealed no new safety signals.</w:t>
      </w:r>
    </w:p>
    <w:p w14:paraId="033F389B" w14:textId="77777777" w:rsidR="00400053" w:rsidRDefault="00400053" w:rsidP="001814D7">
      <w:pPr>
        <w:rPr>
          <w:lang w:eastAsia="en-AU"/>
        </w:rPr>
      </w:pPr>
      <w:r>
        <w:rPr>
          <w:lang w:eastAsia="en-AU"/>
        </w:rPr>
        <w:t xml:space="preserve">ALS001 is a multicentre, perpetual, multi-regimen, randomised, placebo-controlled adaptive platform clinical study in patients with ALS. Regimen A consisted of 24 weeks of placebo- controlled </w:t>
      </w:r>
      <w:proofErr w:type="spellStart"/>
      <w:r>
        <w:rPr>
          <w:lang w:eastAsia="en-AU"/>
        </w:rPr>
        <w:t>zilucoplan</w:t>
      </w:r>
      <w:proofErr w:type="spellEnd"/>
      <w:r>
        <w:rPr>
          <w:lang w:eastAsia="en-AU"/>
        </w:rPr>
        <w:t xml:space="preserve"> dosed at 0.3mg/kg/day, followed by an open label extension. Regimen A was stopped as it did not meet the required efficacy threshold at interim analysis. One hundred and </w:t>
      </w:r>
      <w:proofErr w:type="gramStart"/>
      <w:r>
        <w:rPr>
          <w:lang w:eastAsia="en-AU"/>
        </w:rPr>
        <w:t>sixty two</w:t>
      </w:r>
      <w:proofErr w:type="gramEnd"/>
      <w:r>
        <w:rPr>
          <w:lang w:eastAsia="en-AU"/>
        </w:rPr>
        <w:t xml:space="preserve"> patients were randomised in the </w:t>
      </w:r>
      <w:proofErr w:type="gramStart"/>
      <w:r>
        <w:rPr>
          <w:lang w:eastAsia="en-AU"/>
        </w:rPr>
        <w:t>placebo controlled</w:t>
      </w:r>
      <w:proofErr w:type="gramEnd"/>
      <w:r>
        <w:rPr>
          <w:lang w:eastAsia="en-AU"/>
        </w:rPr>
        <w:t xml:space="preserve"> portion (approximately ¾ of whom were randomised to </w:t>
      </w:r>
      <w:proofErr w:type="spellStart"/>
      <w:r>
        <w:rPr>
          <w:lang w:eastAsia="en-AU"/>
        </w:rPr>
        <w:t>zilucoplan</w:t>
      </w:r>
      <w:proofErr w:type="spellEnd"/>
      <w:r>
        <w:rPr>
          <w:lang w:eastAsia="en-AU"/>
        </w:rPr>
        <w:t>) and 101 continued in the open label extension. Common TEAEs were falls, muscular weakness and injection site bruising. The most common serious AEs were respiratory failure, pneumonia aspiration and pulmonary embolism. Many of these AEs were consistent with ALS.</w:t>
      </w:r>
    </w:p>
    <w:p w14:paraId="2B6B5452" w14:textId="77777777" w:rsidR="00400053" w:rsidRDefault="00400053" w:rsidP="001814D7">
      <w:pPr>
        <w:pStyle w:val="Heading5"/>
        <w:rPr>
          <w:lang w:eastAsia="en-AU"/>
        </w:rPr>
      </w:pPr>
      <w:r>
        <w:rPr>
          <w:lang w:eastAsia="en-AU"/>
        </w:rPr>
        <w:t>Safety update 26 Feb 2024</w:t>
      </w:r>
    </w:p>
    <w:p w14:paraId="4F8EA89B" w14:textId="629F5107" w:rsidR="00400053" w:rsidRDefault="00A60C4E" w:rsidP="001814D7">
      <w:pPr>
        <w:rPr>
          <w:lang w:eastAsia="en-AU"/>
        </w:rPr>
      </w:pPr>
      <w:r>
        <w:rPr>
          <w:lang w:eastAsia="en-AU"/>
        </w:rPr>
        <w:t>T</w:t>
      </w:r>
      <w:r w:rsidR="00400053">
        <w:rPr>
          <w:lang w:eastAsia="en-AU"/>
        </w:rPr>
        <w:t>he TGA was notified of an update to the Company Core Data Sheet to include a newly identified adverse drug reaction, morphea. Morphea is considered a “</w:t>
      </w:r>
      <w:proofErr w:type="spellStart"/>
      <w:r w:rsidR="00400053">
        <w:rPr>
          <w:lang w:eastAsia="en-AU"/>
        </w:rPr>
        <w:t>non important</w:t>
      </w:r>
      <w:proofErr w:type="spellEnd"/>
      <w:r w:rsidR="00400053">
        <w:rPr>
          <w:lang w:eastAsia="en-AU"/>
        </w:rPr>
        <w:t xml:space="preserve">” risk for </w:t>
      </w:r>
      <w:proofErr w:type="spellStart"/>
      <w:r w:rsidR="00400053">
        <w:rPr>
          <w:lang w:eastAsia="en-AU"/>
        </w:rPr>
        <w:t>zilucoplan</w:t>
      </w:r>
      <w:proofErr w:type="spellEnd"/>
      <w:r w:rsidR="00400053">
        <w:rPr>
          <w:lang w:eastAsia="en-AU"/>
        </w:rPr>
        <w:t>. Safety signal assessment involved cumulative review through to 10 Feb 2023 of occurrences of the preferred terms “morphea” and “scleroderma” in the Sponsor’s database. A systematic search of the literature was also undertaken.</w:t>
      </w:r>
    </w:p>
    <w:p w14:paraId="2EE7127C" w14:textId="53E61E01" w:rsidR="00400053" w:rsidRDefault="00ED56F6" w:rsidP="001814D7">
      <w:pPr>
        <w:rPr>
          <w:lang w:eastAsia="en-AU"/>
        </w:rPr>
      </w:pPr>
      <w:r>
        <w:rPr>
          <w:lang w:eastAsia="en-AU"/>
        </w:rPr>
        <w:t>Overall,</w:t>
      </w:r>
      <w:r w:rsidR="00400053">
        <w:rPr>
          <w:lang w:eastAsia="en-AU"/>
        </w:rPr>
        <w:t xml:space="preserve"> in the </w:t>
      </w:r>
      <w:proofErr w:type="spellStart"/>
      <w:r w:rsidR="00400053">
        <w:rPr>
          <w:lang w:eastAsia="en-AU"/>
        </w:rPr>
        <w:t>zilucoplan</w:t>
      </w:r>
      <w:proofErr w:type="spellEnd"/>
      <w:r w:rsidR="00400053">
        <w:rPr>
          <w:lang w:eastAsia="en-AU"/>
        </w:rPr>
        <w:t xml:space="preserve"> clinical development program 11 events of morphea (i.e. localised scleroderma) were reported in 10 study participants (7 female). All events were in the open- label extension </w:t>
      </w:r>
      <w:proofErr w:type="spellStart"/>
      <w:r w:rsidR="00400053">
        <w:rPr>
          <w:lang w:eastAsia="en-AU"/>
        </w:rPr>
        <w:t>gMG</w:t>
      </w:r>
      <w:proofErr w:type="spellEnd"/>
      <w:r w:rsidR="00400053">
        <w:rPr>
          <w:lang w:eastAsia="en-AU"/>
        </w:rPr>
        <w:t xml:space="preserve"> study MG0011. The time to onset ranged from 430 to 1262 days. This latency was considered consistent with morphea. All events were non-serious and mild- moderate (except for 1 severe). The severe event related to morphea on both upper and lower arms, thighs and shins, and was treated with methotrexate with unknown outcome. </w:t>
      </w:r>
      <w:proofErr w:type="spellStart"/>
      <w:r w:rsidR="00400053">
        <w:rPr>
          <w:lang w:eastAsia="en-AU"/>
        </w:rPr>
        <w:t>Zilucoplan</w:t>
      </w:r>
      <w:proofErr w:type="spellEnd"/>
      <w:r w:rsidR="00400053">
        <w:rPr>
          <w:lang w:eastAsia="en-AU"/>
        </w:rPr>
        <w:t xml:space="preserve"> </w:t>
      </w:r>
      <w:r w:rsidR="00400053">
        <w:rPr>
          <w:lang w:eastAsia="en-AU"/>
        </w:rPr>
        <w:lastRenderedPageBreak/>
        <w:t>was continued in all but 1 subject. Overall, 8 events were not resolved. No extracutaneous manifestations were reported.</w:t>
      </w:r>
    </w:p>
    <w:p w14:paraId="71BCE028" w14:textId="77777777" w:rsidR="00400053" w:rsidRDefault="00400053" w:rsidP="00400053">
      <w:pPr>
        <w:rPr>
          <w:lang w:eastAsia="en-AU"/>
        </w:rPr>
      </w:pPr>
      <w:r>
        <w:rPr>
          <w:lang w:eastAsia="en-AU"/>
        </w:rPr>
        <w:t xml:space="preserve">Nine out of the 10 subjects had a skin </w:t>
      </w:r>
      <w:proofErr w:type="gramStart"/>
      <w:r>
        <w:rPr>
          <w:lang w:eastAsia="en-AU"/>
        </w:rPr>
        <w:t>biopsy</w:t>
      </w:r>
      <w:proofErr w:type="gramEnd"/>
      <w:r>
        <w:rPr>
          <w:lang w:eastAsia="en-AU"/>
        </w:rPr>
        <w:t xml:space="preserve"> and all were consistent with morphea (although in 2, other pathologies could not be excluded). In nearly all cases other possible triggers for morphea were identified (Borrelia burgdorferi infection, COVID19 vaccination, COVID19 infection, concomitant autoimmune thyroiditis).</w:t>
      </w:r>
    </w:p>
    <w:p w14:paraId="75F058D0" w14:textId="77777777" w:rsidR="00400053" w:rsidRDefault="00400053" w:rsidP="00400053">
      <w:pPr>
        <w:rPr>
          <w:lang w:eastAsia="en-AU"/>
        </w:rPr>
      </w:pPr>
      <w:r>
        <w:rPr>
          <w:lang w:eastAsia="en-AU"/>
        </w:rPr>
        <w:t>The EAIR for morphea has been calculated at 1.9 per 100-patient years. The incidence (note, not the incidence rate) of morphea in the literature has been reported between 0.34 and 2.7.</w:t>
      </w:r>
    </w:p>
    <w:p w14:paraId="4E4C1520" w14:textId="31F248CB" w:rsidR="00400053" w:rsidRDefault="00400053" w:rsidP="001814D7">
      <w:pPr>
        <w:rPr>
          <w:lang w:eastAsia="en-AU"/>
        </w:rPr>
      </w:pPr>
      <w:r>
        <w:rPr>
          <w:lang w:eastAsia="en-AU"/>
        </w:rPr>
        <w:t>Despite the difficulties in comparing the EAIR from the open-label studies with the literature,</w:t>
      </w:r>
      <w:r w:rsidR="00A60C4E">
        <w:rPr>
          <w:lang w:eastAsia="en-AU"/>
        </w:rPr>
        <w:t xml:space="preserve"> </w:t>
      </w:r>
      <w:r>
        <w:rPr>
          <w:lang w:eastAsia="en-AU"/>
        </w:rPr>
        <w:t xml:space="preserve">the Sponsor believes the incidence of morphea in the </w:t>
      </w:r>
      <w:proofErr w:type="spellStart"/>
      <w:r>
        <w:rPr>
          <w:lang w:eastAsia="en-AU"/>
        </w:rPr>
        <w:t>zilucoplan</w:t>
      </w:r>
      <w:proofErr w:type="spellEnd"/>
      <w:r>
        <w:rPr>
          <w:lang w:eastAsia="en-AU"/>
        </w:rPr>
        <w:t xml:space="preserve"> program “appears to be significantly higher compared to an expected background incidence in the MG population”.</w:t>
      </w:r>
    </w:p>
    <w:p w14:paraId="57D33DEC" w14:textId="77777777" w:rsidR="00400053" w:rsidRDefault="00400053" w:rsidP="00A60C4E">
      <w:pPr>
        <w:pStyle w:val="Heading5"/>
        <w:rPr>
          <w:lang w:eastAsia="en-AU"/>
        </w:rPr>
      </w:pPr>
      <w:r>
        <w:rPr>
          <w:lang w:eastAsia="en-AU"/>
        </w:rPr>
        <w:t>Immunogenicity</w:t>
      </w:r>
    </w:p>
    <w:p w14:paraId="5DFB63A5" w14:textId="77777777" w:rsidR="00400053" w:rsidRDefault="00400053" w:rsidP="00400053">
      <w:pPr>
        <w:rPr>
          <w:lang w:eastAsia="en-AU"/>
        </w:rPr>
      </w:pPr>
      <w:r>
        <w:rPr>
          <w:lang w:eastAsia="en-AU"/>
        </w:rPr>
        <w:t xml:space="preserve">In MG0010 the incidence of antidrug antibodies (ADAs) was low. At baseline 1 subject in the </w:t>
      </w:r>
      <w:proofErr w:type="spellStart"/>
      <w:r>
        <w:rPr>
          <w:lang w:eastAsia="en-AU"/>
        </w:rPr>
        <w:t>zilucoplan</w:t>
      </w:r>
      <w:proofErr w:type="spellEnd"/>
      <w:r>
        <w:rPr>
          <w:lang w:eastAsia="en-AU"/>
        </w:rPr>
        <w:t xml:space="preserve"> arm was ADA positive and following 12 weeks of treatment, 2 subjects in the </w:t>
      </w:r>
      <w:proofErr w:type="spellStart"/>
      <w:r>
        <w:rPr>
          <w:lang w:eastAsia="en-AU"/>
        </w:rPr>
        <w:t>zilucoplan</w:t>
      </w:r>
      <w:proofErr w:type="spellEnd"/>
      <w:r>
        <w:rPr>
          <w:lang w:eastAsia="en-AU"/>
        </w:rPr>
        <w:t xml:space="preserve"> arm and 2 in placebo were positive. No differences were found in terms of pharmacodynamic effects (RBC lysis assay) between ADA positive and negative subjects.</w:t>
      </w:r>
    </w:p>
    <w:p w14:paraId="102A93C6" w14:textId="51E90B8B" w:rsidR="00400053" w:rsidRDefault="00400053" w:rsidP="00400053">
      <w:pPr>
        <w:rPr>
          <w:lang w:eastAsia="en-AU"/>
        </w:rPr>
      </w:pPr>
      <w:proofErr w:type="spellStart"/>
      <w:r>
        <w:rPr>
          <w:lang w:eastAsia="en-AU"/>
        </w:rPr>
        <w:t>Zilucoplan</w:t>
      </w:r>
      <w:proofErr w:type="spellEnd"/>
      <w:r>
        <w:rPr>
          <w:lang w:eastAsia="en-AU"/>
        </w:rPr>
        <w:t xml:space="preserve"> concentration was modestly lower in ADA positive subjects and the mean in change in MG-ADL was greater (i.e. greater clinical effect). Given the low number of ADA positive </w:t>
      </w:r>
      <w:r w:rsidR="00ED56F6">
        <w:rPr>
          <w:lang w:eastAsia="en-AU"/>
        </w:rPr>
        <w:t>subjects,</w:t>
      </w:r>
      <w:r>
        <w:rPr>
          <w:lang w:eastAsia="en-AU"/>
        </w:rPr>
        <w:t xml:space="preserve"> it is difficult to draw any conclusions.</w:t>
      </w:r>
    </w:p>
    <w:p w14:paraId="4C73DCCF" w14:textId="77777777" w:rsidR="00400053" w:rsidRDefault="00400053" w:rsidP="001814D7">
      <w:pPr>
        <w:rPr>
          <w:lang w:eastAsia="en-AU"/>
        </w:rPr>
      </w:pPr>
      <w:r>
        <w:rPr>
          <w:lang w:eastAsia="en-AU"/>
        </w:rPr>
        <w:t xml:space="preserve">Anti-PEG antibodies were also assessed. In MG0010 5 </w:t>
      </w:r>
      <w:proofErr w:type="spellStart"/>
      <w:r>
        <w:rPr>
          <w:lang w:eastAsia="en-AU"/>
        </w:rPr>
        <w:t>zilucoplan</w:t>
      </w:r>
      <w:proofErr w:type="spellEnd"/>
      <w:r>
        <w:rPr>
          <w:lang w:eastAsia="en-AU"/>
        </w:rPr>
        <w:t xml:space="preserve"> subjects and 7 placebo subjects were positive at baseline. Following 12 weeks of treatment, 8 </w:t>
      </w:r>
      <w:proofErr w:type="spellStart"/>
      <w:r>
        <w:rPr>
          <w:lang w:eastAsia="en-AU"/>
        </w:rPr>
        <w:t>zilucoplan</w:t>
      </w:r>
      <w:proofErr w:type="spellEnd"/>
      <w:r>
        <w:rPr>
          <w:lang w:eastAsia="en-AU"/>
        </w:rPr>
        <w:t xml:space="preserve"> subjects developed antibodies, as did 6 placebo subjects. Two subjects in the open label study developed anti-PEG antibodies. Two subjects who developed anti-PEG antibodies experienced 4 TEAEs in the category of hypersensitivity/injection site reaction (rash, rash pruritic, urticaria, injection site lump).</w:t>
      </w:r>
    </w:p>
    <w:p w14:paraId="320BC9D7" w14:textId="77777777" w:rsidR="00400053" w:rsidRDefault="00400053" w:rsidP="001814D7">
      <w:pPr>
        <w:pStyle w:val="Heading5"/>
        <w:rPr>
          <w:lang w:eastAsia="en-AU"/>
        </w:rPr>
      </w:pPr>
      <w:r>
        <w:rPr>
          <w:lang w:eastAsia="en-AU"/>
        </w:rPr>
        <w:t xml:space="preserve">Clinical evaluator’s </w:t>
      </w:r>
      <w:r w:rsidRPr="001814D7">
        <w:t>opinion</w:t>
      </w:r>
    </w:p>
    <w:p w14:paraId="02C8568D" w14:textId="094B0843" w:rsidR="00307918" w:rsidRDefault="00400053" w:rsidP="001814D7">
      <w:pPr>
        <w:rPr>
          <w:lang w:eastAsia="en-AU"/>
        </w:rPr>
      </w:pPr>
      <w:r>
        <w:rPr>
          <w:lang w:eastAsia="en-AU"/>
        </w:rPr>
        <w:t xml:space="preserve">The clinical dataset was considered consistent with the guidelines on utilisation of a single pivotal study, as well as adequate extent of exposure. Despite this, the evaluator did note that the single pivotal trial was somewhat short for assessment of a complex chronic condition and that the supportive trial was underpowered and statistically weak. The safety data set was noted to be of borderline quality (mainly due to number of subjects and short duration of placebo-controlled data), however ultimately considered adequate. The clinical evaluator recommended approval of </w:t>
      </w:r>
      <w:proofErr w:type="spellStart"/>
      <w:r>
        <w:rPr>
          <w:lang w:eastAsia="en-AU"/>
        </w:rPr>
        <w:t>zilucoplan</w:t>
      </w:r>
      <w:proofErr w:type="spellEnd"/>
      <w:r>
        <w:rPr>
          <w:lang w:eastAsia="en-AU"/>
        </w:rPr>
        <w:t xml:space="preserve"> for the proposed indication.</w:t>
      </w:r>
    </w:p>
    <w:p w14:paraId="2858B006" w14:textId="303A127E" w:rsidR="00C22214" w:rsidRDefault="00C22214" w:rsidP="001814D7">
      <w:pPr>
        <w:pStyle w:val="Heading3"/>
        <w:rPr>
          <w:lang w:eastAsia="en-AU"/>
        </w:rPr>
      </w:pPr>
      <w:bookmarkStart w:id="38" w:name="_Toc204004342"/>
      <w:r>
        <w:rPr>
          <w:lang w:eastAsia="en-AU"/>
        </w:rPr>
        <w:t>Risk management plan</w:t>
      </w:r>
      <w:bookmarkEnd w:id="35"/>
      <w:bookmarkEnd w:id="36"/>
      <w:r w:rsidR="00CD7F97">
        <w:rPr>
          <w:lang w:eastAsia="en-AU"/>
        </w:rPr>
        <w:t xml:space="preserve"> evaluation </w:t>
      </w:r>
      <w:r w:rsidR="00CD7F97" w:rsidRPr="001814D7">
        <w:t>summary</w:t>
      </w:r>
      <w:bookmarkEnd w:id="38"/>
    </w:p>
    <w:p w14:paraId="5143F277" w14:textId="4D879D04" w:rsidR="00BC5F87" w:rsidRDefault="00BC5F87" w:rsidP="001814D7">
      <w:bookmarkStart w:id="39" w:name="_Ref97629131"/>
      <w:bookmarkStart w:id="40" w:name="_Toc247691531"/>
      <w:bookmarkStart w:id="41" w:name="_Toc314842515"/>
      <w:r>
        <w:t>The summary of safety concerns is outlined in Table 13.</w:t>
      </w:r>
    </w:p>
    <w:p w14:paraId="56B51A93" w14:textId="14EAA380" w:rsidR="006A277A" w:rsidRDefault="00C22214" w:rsidP="001814D7">
      <w:pPr>
        <w:pStyle w:val="TableTitle"/>
      </w:pPr>
      <w:r>
        <w:lastRenderedPageBreak/>
        <w:t>Table</w:t>
      </w:r>
      <w:bookmarkEnd w:id="39"/>
      <w:r w:rsidR="00C665D9">
        <w:t xml:space="preserve"> </w:t>
      </w:r>
      <w:r w:rsidR="00BC5F87">
        <w:t>13</w:t>
      </w:r>
      <w:r w:rsidR="007502F0">
        <w:t>.</w:t>
      </w:r>
      <w:r>
        <w:t xml:space="preserve"> Summary of safety </w:t>
      </w:r>
      <w:r w:rsidRPr="001814D7">
        <w:t>concerns</w:t>
      </w:r>
    </w:p>
    <w:tbl>
      <w:tblPr>
        <w:tblStyle w:val="TableTGAblue2023"/>
        <w:tblW w:w="9254" w:type="dxa"/>
        <w:tblLayout w:type="fixed"/>
        <w:tblLook w:val="04A0" w:firstRow="1" w:lastRow="0" w:firstColumn="1" w:lastColumn="0" w:noHBand="0" w:noVBand="1"/>
      </w:tblPr>
      <w:tblGrid>
        <w:gridCol w:w="1615"/>
        <w:gridCol w:w="2520"/>
        <w:gridCol w:w="16"/>
        <w:gridCol w:w="1118"/>
        <w:gridCol w:w="16"/>
        <w:gridCol w:w="1402"/>
        <w:gridCol w:w="16"/>
        <w:gridCol w:w="1118"/>
        <w:gridCol w:w="16"/>
        <w:gridCol w:w="1401"/>
        <w:gridCol w:w="16"/>
      </w:tblGrid>
      <w:tr w:rsidR="006179CB" w:rsidRPr="007A1992" w14:paraId="359A0C59" w14:textId="77777777" w:rsidTr="00CA4036">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151" w:type="dxa"/>
            <w:gridSpan w:val="3"/>
            <w:vMerge w:val="restart"/>
          </w:tcPr>
          <w:p w14:paraId="24B1F090" w14:textId="77777777" w:rsidR="00127A74" w:rsidRPr="00127A74" w:rsidRDefault="00127A74" w:rsidP="00127A74">
            <w:r w:rsidRPr="00127A74">
              <w:t>Summary of safety concerns</w:t>
            </w:r>
          </w:p>
        </w:tc>
        <w:tc>
          <w:tcPr>
            <w:tcW w:w="2552" w:type="dxa"/>
            <w:gridSpan w:val="4"/>
          </w:tcPr>
          <w:p w14:paraId="596694C9" w14:textId="77777777" w:rsidR="00127A74" w:rsidRPr="00127A74" w:rsidRDefault="00127A74" w:rsidP="00127A74">
            <w:pPr>
              <w:cnfStyle w:val="100000000000" w:firstRow="1" w:lastRow="0" w:firstColumn="0" w:lastColumn="0" w:oddVBand="0" w:evenVBand="0" w:oddHBand="0" w:evenHBand="0" w:firstRowFirstColumn="0" w:firstRowLastColumn="0" w:lastRowFirstColumn="0" w:lastRowLastColumn="0"/>
            </w:pPr>
            <w:r w:rsidRPr="00127A74">
              <w:t>Pharmacovigilance</w:t>
            </w:r>
          </w:p>
        </w:tc>
        <w:tc>
          <w:tcPr>
            <w:tcW w:w="2551" w:type="dxa"/>
            <w:gridSpan w:val="4"/>
          </w:tcPr>
          <w:p w14:paraId="4F66CB82" w14:textId="77777777" w:rsidR="00127A74" w:rsidRPr="00127A74" w:rsidRDefault="00127A74" w:rsidP="00127A74">
            <w:pPr>
              <w:cnfStyle w:val="100000000000" w:firstRow="1" w:lastRow="0" w:firstColumn="0" w:lastColumn="0" w:oddVBand="0" w:evenVBand="0" w:oddHBand="0" w:evenHBand="0" w:firstRowFirstColumn="0" w:firstRowLastColumn="0" w:lastRowFirstColumn="0" w:lastRowLastColumn="0"/>
            </w:pPr>
            <w:r w:rsidRPr="00127A74">
              <w:t>Risk minimisation</w:t>
            </w:r>
          </w:p>
        </w:tc>
      </w:tr>
      <w:tr w:rsidR="00127A74" w:rsidRPr="007A1992" w14:paraId="12411E68" w14:textId="77777777" w:rsidTr="00CA4036">
        <w:trPr>
          <w:trHeight w:val="150"/>
        </w:trPr>
        <w:tc>
          <w:tcPr>
            <w:cnfStyle w:val="001000000000" w:firstRow="0" w:lastRow="0" w:firstColumn="1" w:lastColumn="0" w:oddVBand="0" w:evenVBand="0" w:oddHBand="0" w:evenHBand="0" w:firstRowFirstColumn="0" w:firstRowLastColumn="0" w:lastRowFirstColumn="0" w:lastRowLastColumn="0"/>
            <w:tcW w:w="4151" w:type="dxa"/>
            <w:gridSpan w:val="3"/>
            <w:vMerge/>
          </w:tcPr>
          <w:p w14:paraId="71D88F2A" w14:textId="77777777" w:rsidR="00127A74" w:rsidRPr="00127A74" w:rsidRDefault="00127A74" w:rsidP="00127A74"/>
        </w:tc>
        <w:tc>
          <w:tcPr>
            <w:tcW w:w="1134" w:type="dxa"/>
            <w:gridSpan w:val="2"/>
            <w:shd w:val="clear" w:color="auto" w:fill="DEEAF6"/>
          </w:tcPr>
          <w:p w14:paraId="1BF9407C"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8" w:type="dxa"/>
            <w:gridSpan w:val="2"/>
            <w:shd w:val="clear" w:color="auto" w:fill="DEEAF6"/>
          </w:tcPr>
          <w:p w14:paraId="442BA332"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c>
          <w:tcPr>
            <w:tcW w:w="1134" w:type="dxa"/>
            <w:gridSpan w:val="2"/>
            <w:shd w:val="clear" w:color="auto" w:fill="DEEAF6"/>
          </w:tcPr>
          <w:p w14:paraId="5920A04F"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7" w:type="dxa"/>
            <w:gridSpan w:val="2"/>
            <w:shd w:val="clear" w:color="auto" w:fill="DEEAF6"/>
          </w:tcPr>
          <w:p w14:paraId="53B2ED29"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r>
      <w:tr w:rsidR="00127A74" w:rsidRPr="007A1992" w14:paraId="05599231" w14:textId="77777777" w:rsidTr="00CA4036">
        <w:trPr>
          <w:gridAfter w:val="1"/>
          <w:wAfter w:w="16" w:type="dxa"/>
          <w:trHeight w:val="137"/>
        </w:trPr>
        <w:tc>
          <w:tcPr>
            <w:cnfStyle w:val="001000000000" w:firstRow="0" w:lastRow="0" w:firstColumn="1" w:lastColumn="0" w:oddVBand="0" w:evenVBand="0" w:oddHBand="0" w:evenHBand="0" w:firstRowFirstColumn="0" w:firstRowLastColumn="0" w:lastRowFirstColumn="0" w:lastRowLastColumn="0"/>
            <w:tcW w:w="1615" w:type="dxa"/>
          </w:tcPr>
          <w:p w14:paraId="67382D75" w14:textId="77777777" w:rsidR="00127A74" w:rsidRPr="00127A74" w:rsidRDefault="00127A74" w:rsidP="00127A74">
            <w:pPr>
              <w:rPr>
                <w:b/>
                <w:bCs/>
              </w:rPr>
            </w:pPr>
            <w:r w:rsidRPr="00127A74">
              <w:rPr>
                <w:b/>
                <w:bCs/>
              </w:rPr>
              <w:t>Important identified risks</w:t>
            </w:r>
          </w:p>
        </w:tc>
        <w:tc>
          <w:tcPr>
            <w:tcW w:w="2520" w:type="dxa"/>
          </w:tcPr>
          <w:p w14:paraId="7134CBC0" w14:textId="4C4F3FBE" w:rsidR="00127A74" w:rsidRPr="00127A74" w:rsidRDefault="00BC5F87" w:rsidP="00127A74">
            <w:pPr>
              <w:cnfStyle w:val="000000000000" w:firstRow="0" w:lastRow="0" w:firstColumn="0" w:lastColumn="0" w:oddVBand="0" w:evenVBand="0" w:oddHBand="0" w:evenHBand="0" w:firstRowFirstColumn="0" w:firstRowLastColumn="0" w:lastRowFirstColumn="0" w:lastRowLastColumn="0"/>
            </w:pPr>
            <w:r>
              <w:t>None</w:t>
            </w:r>
          </w:p>
        </w:tc>
        <w:tc>
          <w:tcPr>
            <w:tcW w:w="1134" w:type="dxa"/>
            <w:gridSpan w:val="2"/>
          </w:tcPr>
          <w:p w14:paraId="11797452" w14:textId="174D3F62" w:rsidR="00127A74" w:rsidRPr="00127A74" w:rsidRDefault="00BC5F87" w:rsidP="00127A74">
            <w:pPr>
              <w:cnfStyle w:val="000000000000" w:firstRow="0" w:lastRow="0" w:firstColumn="0" w:lastColumn="0" w:oddVBand="0" w:evenVBand="0" w:oddHBand="0" w:evenHBand="0" w:firstRowFirstColumn="0" w:firstRowLastColumn="0" w:lastRowFirstColumn="0" w:lastRowLastColumn="0"/>
            </w:pPr>
            <w:r>
              <w:t>-</w:t>
            </w:r>
          </w:p>
        </w:tc>
        <w:tc>
          <w:tcPr>
            <w:tcW w:w="1418" w:type="dxa"/>
            <w:gridSpan w:val="2"/>
          </w:tcPr>
          <w:p w14:paraId="7B703318" w14:textId="09854089" w:rsidR="00127A74" w:rsidRPr="00127A74" w:rsidRDefault="00BC5F87" w:rsidP="00127A74">
            <w:pPr>
              <w:cnfStyle w:val="000000000000" w:firstRow="0" w:lastRow="0" w:firstColumn="0" w:lastColumn="0" w:oddVBand="0" w:evenVBand="0" w:oddHBand="0" w:evenHBand="0" w:firstRowFirstColumn="0" w:firstRowLastColumn="0" w:lastRowFirstColumn="0" w:lastRowLastColumn="0"/>
            </w:pPr>
            <w:r>
              <w:t>-</w:t>
            </w:r>
          </w:p>
        </w:tc>
        <w:tc>
          <w:tcPr>
            <w:tcW w:w="1134" w:type="dxa"/>
            <w:gridSpan w:val="2"/>
          </w:tcPr>
          <w:p w14:paraId="1A652099" w14:textId="58098882" w:rsidR="00127A74" w:rsidRPr="00127A74" w:rsidRDefault="00BC5F87" w:rsidP="00127A74">
            <w:pPr>
              <w:cnfStyle w:val="000000000000" w:firstRow="0" w:lastRow="0" w:firstColumn="0" w:lastColumn="0" w:oddVBand="0" w:evenVBand="0" w:oddHBand="0" w:evenHBand="0" w:firstRowFirstColumn="0" w:firstRowLastColumn="0" w:lastRowFirstColumn="0" w:lastRowLastColumn="0"/>
            </w:pPr>
            <w:r>
              <w:t>-</w:t>
            </w:r>
          </w:p>
        </w:tc>
        <w:tc>
          <w:tcPr>
            <w:tcW w:w="1417" w:type="dxa"/>
            <w:gridSpan w:val="2"/>
          </w:tcPr>
          <w:p w14:paraId="34A0513E" w14:textId="00C6BAAC" w:rsidR="00127A74" w:rsidRPr="00127A74" w:rsidRDefault="00BC5F87" w:rsidP="00127A74">
            <w:pPr>
              <w:cnfStyle w:val="000000000000" w:firstRow="0" w:lastRow="0" w:firstColumn="0" w:lastColumn="0" w:oddVBand="0" w:evenVBand="0" w:oddHBand="0" w:evenHBand="0" w:firstRowFirstColumn="0" w:firstRowLastColumn="0" w:lastRowFirstColumn="0" w:lastRowLastColumn="0"/>
            </w:pPr>
            <w:r>
              <w:t>-</w:t>
            </w:r>
          </w:p>
        </w:tc>
      </w:tr>
      <w:tr w:rsidR="00127A74" w:rsidRPr="007A1992" w14:paraId="176B93B3" w14:textId="77777777" w:rsidTr="00CA4036">
        <w:trPr>
          <w:gridAfter w:val="1"/>
          <w:wAfter w:w="16" w:type="dxa"/>
          <w:trHeight w:val="159"/>
        </w:trPr>
        <w:tc>
          <w:tcPr>
            <w:cnfStyle w:val="001000000000" w:firstRow="0" w:lastRow="0" w:firstColumn="1" w:lastColumn="0" w:oddVBand="0" w:evenVBand="0" w:oddHBand="0" w:evenHBand="0" w:firstRowFirstColumn="0" w:firstRowLastColumn="0" w:lastRowFirstColumn="0" w:lastRowLastColumn="0"/>
            <w:tcW w:w="1615" w:type="dxa"/>
          </w:tcPr>
          <w:p w14:paraId="77F0DB3E" w14:textId="77777777" w:rsidR="00127A74" w:rsidRPr="00127A74" w:rsidRDefault="00127A74" w:rsidP="00127A74">
            <w:pPr>
              <w:rPr>
                <w:b/>
                <w:bCs/>
              </w:rPr>
            </w:pPr>
            <w:r w:rsidRPr="00127A74">
              <w:rPr>
                <w:b/>
                <w:bCs/>
              </w:rPr>
              <w:t>Important potential risks</w:t>
            </w:r>
          </w:p>
        </w:tc>
        <w:tc>
          <w:tcPr>
            <w:tcW w:w="2520" w:type="dxa"/>
          </w:tcPr>
          <w:p w14:paraId="6E17E14A" w14:textId="2AF518C4" w:rsidR="00127A74" w:rsidRPr="00127A74" w:rsidRDefault="0006455B" w:rsidP="00127A74">
            <w:pPr>
              <w:cnfStyle w:val="000000000000" w:firstRow="0" w:lastRow="0" w:firstColumn="0" w:lastColumn="0" w:oddVBand="0" w:evenVBand="0" w:oddHBand="0" w:evenHBand="0" w:firstRowFirstColumn="0" w:firstRowLastColumn="0" w:lastRowFirstColumn="0" w:lastRowLastColumn="0"/>
            </w:pPr>
            <w:r>
              <w:t xml:space="preserve">Neisseria infection, particularly meningococcal infections </w:t>
            </w:r>
          </w:p>
        </w:tc>
        <w:tc>
          <w:tcPr>
            <w:tcW w:w="1134" w:type="dxa"/>
            <w:gridSpan w:val="2"/>
          </w:tcPr>
          <w:p w14:paraId="252AD92F" w14:textId="7D1DEEED" w:rsidR="00127A74" w:rsidRPr="00127A74" w:rsidRDefault="00707501" w:rsidP="00127A74">
            <w:pPr>
              <w:cnfStyle w:val="000000000000" w:firstRow="0" w:lastRow="0" w:firstColumn="0" w:lastColumn="0" w:oddVBand="0" w:evenVBand="0" w:oddHBand="0" w:evenHBand="0" w:firstRowFirstColumn="0" w:firstRowLastColumn="0" w:lastRowFirstColumn="0" w:lastRowLastColumn="0"/>
            </w:pPr>
            <w:r>
              <w:sym w:font="Wingdings 2" w:char="F050"/>
            </w:r>
            <w:r>
              <w:t>†</w:t>
            </w:r>
          </w:p>
        </w:tc>
        <w:tc>
          <w:tcPr>
            <w:tcW w:w="1418" w:type="dxa"/>
            <w:gridSpan w:val="2"/>
          </w:tcPr>
          <w:p w14:paraId="77DA98F1" w14:textId="4BC69472" w:rsidR="00127A74" w:rsidRPr="00127A74" w:rsidRDefault="00707501" w:rsidP="00127A74">
            <w:pPr>
              <w:cnfStyle w:val="000000000000" w:firstRow="0" w:lastRow="0" w:firstColumn="0" w:lastColumn="0" w:oddVBand="0" w:evenVBand="0" w:oddHBand="0" w:evenHBand="0" w:firstRowFirstColumn="0" w:firstRowLastColumn="0" w:lastRowFirstColumn="0" w:lastRowLastColumn="0"/>
            </w:pPr>
            <w:r w:rsidRPr="00707501">
              <w:sym w:font="Wingdings 2" w:char="F050"/>
            </w:r>
            <w:r>
              <w:t>*</w:t>
            </w:r>
          </w:p>
        </w:tc>
        <w:tc>
          <w:tcPr>
            <w:tcW w:w="1134" w:type="dxa"/>
            <w:gridSpan w:val="2"/>
          </w:tcPr>
          <w:p w14:paraId="182A5096" w14:textId="26B404EF" w:rsidR="00127A74" w:rsidRPr="00127A74" w:rsidRDefault="00707501" w:rsidP="00127A74">
            <w:pPr>
              <w:cnfStyle w:val="000000000000" w:firstRow="0" w:lastRow="0" w:firstColumn="0" w:lastColumn="0" w:oddVBand="0" w:evenVBand="0" w:oddHBand="0" w:evenHBand="0" w:firstRowFirstColumn="0" w:firstRowLastColumn="0" w:lastRowFirstColumn="0" w:lastRowLastColumn="0"/>
            </w:pPr>
            <w:r w:rsidRPr="00707501">
              <w:sym w:font="Wingdings 2" w:char="F050"/>
            </w:r>
          </w:p>
        </w:tc>
        <w:tc>
          <w:tcPr>
            <w:tcW w:w="1417" w:type="dxa"/>
            <w:gridSpan w:val="2"/>
          </w:tcPr>
          <w:p w14:paraId="2A6247DC" w14:textId="6D47F8BA" w:rsidR="00127A74" w:rsidRPr="00127A74" w:rsidRDefault="00707501" w:rsidP="00127A74">
            <w:pPr>
              <w:cnfStyle w:val="000000000000" w:firstRow="0" w:lastRow="0" w:firstColumn="0" w:lastColumn="0" w:oddVBand="0" w:evenVBand="0" w:oddHBand="0" w:evenHBand="0" w:firstRowFirstColumn="0" w:firstRowLastColumn="0" w:lastRowFirstColumn="0" w:lastRowLastColumn="0"/>
            </w:pPr>
            <w:r>
              <w:sym w:font="Wingdings 2" w:char="F050"/>
            </w:r>
            <w:r>
              <w:t>‡</w:t>
            </w:r>
          </w:p>
        </w:tc>
      </w:tr>
      <w:tr w:rsidR="00127A74" w:rsidRPr="007A1992" w14:paraId="74C5E610" w14:textId="77777777" w:rsidTr="00CA4036">
        <w:trPr>
          <w:gridAfter w:val="1"/>
          <w:wAfter w:w="16" w:type="dxa"/>
          <w:trHeight w:val="178"/>
        </w:trPr>
        <w:tc>
          <w:tcPr>
            <w:cnfStyle w:val="001000000000" w:firstRow="0" w:lastRow="0" w:firstColumn="1" w:lastColumn="0" w:oddVBand="0" w:evenVBand="0" w:oddHBand="0" w:evenHBand="0" w:firstRowFirstColumn="0" w:firstRowLastColumn="0" w:lastRowFirstColumn="0" w:lastRowLastColumn="0"/>
            <w:tcW w:w="1615" w:type="dxa"/>
            <w:vMerge w:val="restart"/>
          </w:tcPr>
          <w:p w14:paraId="262C65E3" w14:textId="77777777" w:rsidR="00127A74" w:rsidRPr="00127A74" w:rsidRDefault="00127A74" w:rsidP="00127A74">
            <w:pPr>
              <w:rPr>
                <w:b/>
                <w:bCs/>
              </w:rPr>
            </w:pPr>
            <w:r w:rsidRPr="00127A74">
              <w:rPr>
                <w:b/>
                <w:bCs/>
              </w:rPr>
              <w:t>Missing information</w:t>
            </w:r>
          </w:p>
        </w:tc>
        <w:tc>
          <w:tcPr>
            <w:tcW w:w="2520" w:type="dxa"/>
          </w:tcPr>
          <w:p w14:paraId="104D79CD" w14:textId="50A2494B" w:rsidR="00127A74" w:rsidRPr="00127A74" w:rsidRDefault="00CA4036" w:rsidP="00127A74">
            <w:pPr>
              <w:cnfStyle w:val="000000000000" w:firstRow="0" w:lastRow="0" w:firstColumn="0" w:lastColumn="0" w:oddVBand="0" w:evenVBand="0" w:oddHBand="0" w:evenHBand="0" w:firstRowFirstColumn="0" w:firstRowLastColumn="0" w:lastRowFirstColumn="0" w:lastRowLastColumn="0"/>
            </w:pPr>
            <w:r>
              <w:t>Use during pregnancy and lactation</w:t>
            </w:r>
          </w:p>
        </w:tc>
        <w:tc>
          <w:tcPr>
            <w:tcW w:w="1134" w:type="dxa"/>
            <w:gridSpan w:val="2"/>
          </w:tcPr>
          <w:p w14:paraId="07467A21" w14:textId="12EA7E11" w:rsidR="00127A74" w:rsidRPr="00127A74" w:rsidRDefault="00707501" w:rsidP="00127A74">
            <w:pPr>
              <w:cnfStyle w:val="000000000000" w:firstRow="0" w:lastRow="0" w:firstColumn="0" w:lastColumn="0" w:oddVBand="0" w:evenVBand="0" w:oddHBand="0" w:evenHBand="0" w:firstRowFirstColumn="0" w:firstRowLastColumn="0" w:lastRowFirstColumn="0" w:lastRowLastColumn="0"/>
            </w:pPr>
            <w:r w:rsidRPr="00707501">
              <w:sym w:font="Wingdings 2" w:char="F050"/>
            </w:r>
          </w:p>
        </w:tc>
        <w:tc>
          <w:tcPr>
            <w:tcW w:w="1418" w:type="dxa"/>
            <w:gridSpan w:val="2"/>
          </w:tcPr>
          <w:p w14:paraId="35C7F07F" w14:textId="1C39C324" w:rsidR="00127A74" w:rsidRPr="00127A74" w:rsidRDefault="00707501" w:rsidP="00127A74">
            <w:pPr>
              <w:cnfStyle w:val="000000000000" w:firstRow="0" w:lastRow="0" w:firstColumn="0" w:lastColumn="0" w:oddVBand="0" w:evenVBand="0" w:oddHBand="0" w:evenHBand="0" w:firstRowFirstColumn="0" w:firstRowLastColumn="0" w:lastRowFirstColumn="0" w:lastRowLastColumn="0"/>
            </w:pPr>
            <w:r w:rsidRPr="00707501">
              <w:sym w:font="Wingdings 2" w:char="F050"/>
            </w:r>
            <w:r>
              <w:t>*</w:t>
            </w:r>
          </w:p>
        </w:tc>
        <w:tc>
          <w:tcPr>
            <w:tcW w:w="1134" w:type="dxa"/>
            <w:gridSpan w:val="2"/>
          </w:tcPr>
          <w:p w14:paraId="52620DEE" w14:textId="7DB61331" w:rsidR="00127A74" w:rsidRPr="00127A74" w:rsidRDefault="00707501" w:rsidP="00127A74">
            <w:pPr>
              <w:cnfStyle w:val="000000000000" w:firstRow="0" w:lastRow="0" w:firstColumn="0" w:lastColumn="0" w:oddVBand="0" w:evenVBand="0" w:oddHBand="0" w:evenHBand="0" w:firstRowFirstColumn="0" w:firstRowLastColumn="0" w:lastRowFirstColumn="0" w:lastRowLastColumn="0"/>
            </w:pPr>
            <w:r w:rsidRPr="00707501">
              <w:sym w:font="Wingdings 2" w:char="F050"/>
            </w:r>
          </w:p>
        </w:tc>
        <w:tc>
          <w:tcPr>
            <w:tcW w:w="1417" w:type="dxa"/>
            <w:gridSpan w:val="2"/>
          </w:tcPr>
          <w:p w14:paraId="16BD3C7B" w14:textId="41978F53" w:rsidR="00127A74" w:rsidRPr="00127A74" w:rsidRDefault="00707501" w:rsidP="00127A74">
            <w:pPr>
              <w:cnfStyle w:val="000000000000" w:firstRow="0" w:lastRow="0" w:firstColumn="0" w:lastColumn="0" w:oddVBand="0" w:evenVBand="0" w:oddHBand="0" w:evenHBand="0" w:firstRowFirstColumn="0" w:firstRowLastColumn="0" w:lastRowFirstColumn="0" w:lastRowLastColumn="0"/>
            </w:pPr>
            <w:r>
              <w:t>-</w:t>
            </w:r>
          </w:p>
        </w:tc>
      </w:tr>
      <w:tr w:rsidR="00127A74" w:rsidRPr="007A1992" w14:paraId="0E5AEFE4" w14:textId="77777777" w:rsidTr="00CA4036">
        <w:trPr>
          <w:gridAfter w:val="1"/>
          <w:wAfter w:w="16" w:type="dxa"/>
          <w:trHeight w:val="103"/>
        </w:trPr>
        <w:tc>
          <w:tcPr>
            <w:cnfStyle w:val="001000000000" w:firstRow="0" w:lastRow="0" w:firstColumn="1" w:lastColumn="0" w:oddVBand="0" w:evenVBand="0" w:oddHBand="0" w:evenHBand="0" w:firstRowFirstColumn="0" w:firstRowLastColumn="0" w:lastRowFirstColumn="0" w:lastRowLastColumn="0"/>
            <w:tcW w:w="1615" w:type="dxa"/>
            <w:vMerge/>
          </w:tcPr>
          <w:p w14:paraId="6717FA88" w14:textId="77777777" w:rsidR="00127A74" w:rsidRPr="00127A74" w:rsidRDefault="00127A74" w:rsidP="00127A74"/>
        </w:tc>
        <w:tc>
          <w:tcPr>
            <w:tcW w:w="2520" w:type="dxa"/>
          </w:tcPr>
          <w:p w14:paraId="1DF32407" w14:textId="1394B597" w:rsidR="00127A74" w:rsidRPr="00127A74" w:rsidRDefault="00CA4036" w:rsidP="00127A74">
            <w:pPr>
              <w:cnfStyle w:val="000000000000" w:firstRow="0" w:lastRow="0" w:firstColumn="0" w:lastColumn="0" w:oddVBand="0" w:evenVBand="0" w:oddHBand="0" w:evenHBand="0" w:firstRowFirstColumn="0" w:firstRowLastColumn="0" w:lastRowFirstColumn="0" w:lastRowLastColumn="0"/>
            </w:pPr>
            <w:r>
              <w:t>Long-term safety</w:t>
            </w:r>
          </w:p>
        </w:tc>
        <w:tc>
          <w:tcPr>
            <w:tcW w:w="1134" w:type="dxa"/>
            <w:gridSpan w:val="2"/>
          </w:tcPr>
          <w:p w14:paraId="13B9D43F" w14:textId="4718CCFC" w:rsidR="00127A74" w:rsidRPr="00127A74" w:rsidRDefault="00707501" w:rsidP="00127A74">
            <w:pPr>
              <w:cnfStyle w:val="000000000000" w:firstRow="0" w:lastRow="0" w:firstColumn="0" w:lastColumn="0" w:oddVBand="0" w:evenVBand="0" w:oddHBand="0" w:evenHBand="0" w:firstRowFirstColumn="0" w:firstRowLastColumn="0" w:lastRowFirstColumn="0" w:lastRowLastColumn="0"/>
            </w:pPr>
            <w:r w:rsidRPr="00707501">
              <w:sym w:font="Wingdings 2" w:char="F050"/>
            </w:r>
          </w:p>
        </w:tc>
        <w:tc>
          <w:tcPr>
            <w:tcW w:w="1418" w:type="dxa"/>
            <w:gridSpan w:val="2"/>
          </w:tcPr>
          <w:p w14:paraId="5B103519" w14:textId="6EFFFADE" w:rsidR="00127A74" w:rsidRPr="00127A74" w:rsidRDefault="00707501" w:rsidP="00127A74">
            <w:pPr>
              <w:cnfStyle w:val="000000000000" w:firstRow="0" w:lastRow="0" w:firstColumn="0" w:lastColumn="0" w:oddVBand="0" w:evenVBand="0" w:oddHBand="0" w:evenHBand="0" w:firstRowFirstColumn="0" w:firstRowLastColumn="0" w:lastRowFirstColumn="0" w:lastRowLastColumn="0"/>
            </w:pPr>
            <w:r w:rsidRPr="00707501">
              <w:sym w:font="Wingdings 2" w:char="F050"/>
            </w:r>
            <w:r>
              <w:t>*</w:t>
            </w:r>
          </w:p>
        </w:tc>
        <w:tc>
          <w:tcPr>
            <w:tcW w:w="1134" w:type="dxa"/>
            <w:gridSpan w:val="2"/>
          </w:tcPr>
          <w:p w14:paraId="17D1F379" w14:textId="06BCE6B9" w:rsidR="00127A74" w:rsidRPr="00127A74" w:rsidRDefault="00707501" w:rsidP="00127A74">
            <w:pPr>
              <w:cnfStyle w:val="000000000000" w:firstRow="0" w:lastRow="0" w:firstColumn="0" w:lastColumn="0" w:oddVBand="0" w:evenVBand="0" w:oddHBand="0" w:evenHBand="0" w:firstRowFirstColumn="0" w:firstRowLastColumn="0" w:lastRowFirstColumn="0" w:lastRowLastColumn="0"/>
            </w:pPr>
            <w:r w:rsidRPr="00707501">
              <w:sym w:font="Wingdings 2" w:char="F050"/>
            </w:r>
          </w:p>
        </w:tc>
        <w:tc>
          <w:tcPr>
            <w:tcW w:w="1417" w:type="dxa"/>
            <w:gridSpan w:val="2"/>
          </w:tcPr>
          <w:p w14:paraId="6C76384E" w14:textId="6E622B02" w:rsidR="00127A74" w:rsidRPr="00127A74" w:rsidRDefault="00707501" w:rsidP="00127A74">
            <w:pPr>
              <w:cnfStyle w:val="000000000000" w:firstRow="0" w:lastRow="0" w:firstColumn="0" w:lastColumn="0" w:oddVBand="0" w:evenVBand="0" w:oddHBand="0" w:evenHBand="0" w:firstRowFirstColumn="0" w:firstRowLastColumn="0" w:lastRowFirstColumn="0" w:lastRowLastColumn="0"/>
            </w:pPr>
            <w:r>
              <w:t>-</w:t>
            </w:r>
          </w:p>
        </w:tc>
      </w:tr>
    </w:tbl>
    <w:p w14:paraId="1891562F" w14:textId="717F66A8" w:rsidR="00707501" w:rsidRDefault="00707501" w:rsidP="001814D7">
      <w:pPr>
        <w:pStyle w:val="TableDescription"/>
      </w:pPr>
      <w:bookmarkStart w:id="42" w:name="_Toc103679299"/>
      <w:r>
        <w:t>*</w:t>
      </w:r>
      <w:proofErr w:type="gramStart"/>
      <w:r>
        <w:t>post</w:t>
      </w:r>
      <w:proofErr w:type="gramEnd"/>
      <w:r>
        <w:t xml:space="preserve"> </w:t>
      </w:r>
      <w:r w:rsidRPr="001814D7">
        <w:t>authorisation</w:t>
      </w:r>
      <w:r>
        <w:t xml:space="preserve"> safety study</w:t>
      </w:r>
    </w:p>
    <w:p w14:paraId="6470A726" w14:textId="70681DFA" w:rsidR="00707501" w:rsidRDefault="00707501" w:rsidP="001814D7">
      <w:pPr>
        <w:pStyle w:val="TableDescription"/>
      </w:pPr>
      <w:r>
        <w:t>†</w:t>
      </w:r>
      <w:proofErr w:type="gramStart"/>
      <w:r>
        <w:t>follow</w:t>
      </w:r>
      <w:proofErr w:type="gramEnd"/>
      <w:r>
        <w:t xml:space="preserve"> up </w:t>
      </w:r>
      <w:r w:rsidRPr="001814D7">
        <w:t>questionnaire</w:t>
      </w:r>
    </w:p>
    <w:p w14:paraId="38EA7DE5" w14:textId="4F214E47" w:rsidR="00707501" w:rsidRDefault="00707501" w:rsidP="001814D7">
      <w:pPr>
        <w:pStyle w:val="TableDescription"/>
      </w:pPr>
      <w:r>
        <w:t xml:space="preserve">‡HCP </w:t>
      </w:r>
      <w:r w:rsidR="001229D0">
        <w:t>g</w:t>
      </w:r>
      <w:r>
        <w:t xml:space="preserve">uide, </w:t>
      </w:r>
      <w:r w:rsidR="001229D0">
        <w:t>p</w:t>
      </w:r>
      <w:r>
        <w:t>atient/</w:t>
      </w:r>
      <w:r w:rsidR="001229D0">
        <w:t>c</w:t>
      </w:r>
      <w:r>
        <w:t>arer guide</w:t>
      </w:r>
      <w:r w:rsidR="001229D0">
        <w:t xml:space="preserve">, patient alert card, </w:t>
      </w:r>
      <w:r w:rsidR="001229D0" w:rsidRPr="001814D7">
        <w:t>annual</w:t>
      </w:r>
      <w:r w:rsidR="001229D0">
        <w:t xml:space="preserve"> vaccination reminder</w:t>
      </w:r>
    </w:p>
    <w:p w14:paraId="236C9123" w14:textId="006407F1" w:rsidR="006179CB" w:rsidRPr="006179CB" w:rsidRDefault="006179CB" w:rsidP="001814D7">
      <w:r w:rsidRPr="006179CB">
        <w:t>The RMP evaluator considered the summary of safety concerns acceptable from an RMP perspective.</w:t>
      </w:r>
    </w:p>
    <w:p w14:paraId="1708B7EB" w14:textId="77777777" w:rsidR="006179CB" w:rsidRPr="006179CB" w:rsidRDefault="006179CB" w:rsidP="006179CB">
      <w:pPr>
        <w:rPr>
          <w:szCs w:val="22"/>
        </w:rPr>
      </w:pPr>
      <w:r w:rsidRPr="006179CB">
        <w:rPr>
          <w:szCs w:val="22"/>
        </w:rPr>
        <w:t>Additional risk minimisation activities include a healthcare professional guide, annual vaccination reminder for prescribers, patient / carer guide and patient alert card.</w:t>
      </w:r>
    </w:p>
    <w:p w14:paraId="456C7934" w14:textId="2A743744" w:rsidR="00FA1BC9" w:rsidRDefault="006179CB" w:rsidP="001814D7">
      <w:r w:rsidRPr="006179CB">
        <w:t xml:space="preserve">The RMP evaluator has also requested the implementation of a controlled access program, which aims to ensure that only patients vaccinated against Neisseria meningitidis are able to receive </w:t>
      </w:r>
      <w:proofErr w:type="spellStart"/>
      <w:r w:rsidRPr="006179CB">
        <w:t>zilucoplan</w:t>
      </w:r>
      <w:proofErr w:type="spellEnd"/>
      <w:r w:rsidRPr="006179CB">
        <w:t>. This is consistent with other C5 inhibitors available in Australia.</w:t>
      </w:r>
    </w:p>
    <w:p w14:paraId="74A4F87F" w14:textId="77777777" w:rsidR="00C22214" w:rsidRDefault="00C22214" w:rsidP="001814D7">
      <w:pPr>
        <w:pStyle w:val="Heading3"/>
      </w:pPr>
      <w:bookmarkStart w:id="43" w:name="_Toc204004343"/>
      <w:r>
        <w:t>Risk-</w:t>
      </w:r>
      <w:r w:rsidRPr="001814D7">
        <w:t>benefit</w:t>
      </w:r>
      <w:r>
        <w:t xml:space="preserve"> analysis</w:t>
      </w:r>
      <w:bookmarkEnd w:id="40"/>
      <w:bookmarkEnd w:id="41"/>
      <w:bookmarkEnd w:id="42"/>
      <w:bookmarkEnd w:id="43"/>
    </w:p>
    <w:p w14:paraId="60586256" w14:textId="77777777" w:rsidR="00A178E5" w:rsidRPr="00A178E5" w:rsidRDefault="00A178E5" w:rsidP="001814D7">
      <w:pPr>
        <w:pStyle w:val="Heading4"/>
        <w:rPr>
          <w:lang w:val="en-US"/>
        </w:rPr>
      </w:pPr>
      <w:bookmarkStart w:id="44" w:name="_Toc204004344"/>
      <w:r w:rsidRPr="00A178E5">
        <w:rPr>
          <w:lang w:val="en-US"/>
        </w:rPr>
        <w:t>Efficacy</w:t>
      </w:r>
      <w:bookmarkEnd w:id="44"/>
    </w:p>
    <w:p w14:paraId="39C16E29" w14:textId="77777777" w:rsidR="00A178E5" w:rsidRPr="00A178E5" w:rsidRDefault="00A178E5" w:rsidP="001814D7">
      <w:pPr>
        <w:rPr>
          <w:lang w:val="en-US"/>
        </w:rPr>
      </w:pPr>
      <w:r w:rsidRPr="00A178E5">
        <w:rPr>
          <w:lang w:val="en-US"/>
        </w:rPr>
        <w:t xml:space="preserve">The primary efficacy outcome in pivotal study MG0010 - i.e. a </w:t>
      </w:r>
      <w:proofErr w:type="gramStart"/>
      <w:r w:rsidRPr="00A178E5">
        <w:rPr>
          <w:lang w:val="en-US"/>
        </w:rPr>
        <w:t>2.09 point</w:t>
      </w:r>
      <w:proofErr w:type="gramEnd"/>
      <w:r w:rsidRPr="00A178E5">
        <w:rPr>
          <w:lang w:val="en-US"/>
        </w:rPr>
        <w:t xml:space="preserve"> difference in MG-ADL between </w:t>
      </w:r>
      <w:proofErr w:type="spellStart"/>
      <w:r w:rsidRPr="00A178E5">
        <w:rPr>
          <w:lang w:val="en-US"/>
        </w:rPr>
        <w:t>zilucoplan</w:t>
      </w:r>
      <w:proofErr w:type="spellEnd"/>
      <w:r w:rsidRPr="00A178E5">
        <w:rPr>
          <w:lang w:val="en-US"/>
        </w:rPr>
        <w:t xml:space="preserve"> and placebo – was highly statistically significant and within the magnitude that is generally considered as clinically significant.</w:t>
      </w:r>
    </w:p>
    <w:p w14:paraId="4CABEA78" w14:textId="77777777" w:rsidR="00A178E5" w:rsidRPr="00A178E5" w:rsidRDefault="00A178E5" w:rsidP="001814D7">
      <w:pPr>
        <w:rPr>
          <w:lang w:val="en-US"/>
        </w:rPr>
      </w:pPr>
      <w:r w:rsidRPr="00A178E5">
        <w:rPr>
          <w:lang w:val="en-US"/>
        </w:rPr>
        <w:t xml:space="preserve">Despite the achievement of the primary efficacy outcome in the pivotal trial, it should be noted that the data </w:t>
      </w:r>
      <w:proofErr w:type="gramStart"/>
      <w:r w:rsidRPr="00A178E5">
        <w:rPr>
          <w:lang w:val="en-US"/>
        </w:rPr>
        <w:t>actually suggests</w:t>
      </w:r>
      <w:proofErr w:type="gramEnd"/>
      <w:r w:rsidRPr="00A178E5">
        <w:rPr>
          <w:lang w:val="en-US"/>
        </w:rPr>
        <w:t xml:space="preserve"> a somewhat limited magnitude of effect. In this regard, the absolute changes in MG-ADL (just over 2 points </w:t>
      </w:r>
      <w:proofErr w:type="gramStart"/>
      <w:r w:rsidRPr="00A178E5">
        <w:rPr>
          <w:lang w:val="en-US"/>
        </w:rPr>
        <w:t>in</w:t>
      </w:r>
      <w:proofErr w:type="gramEnd"/>
      <w:r w:rsidRPr="00A178E5">
        <w:rPr>
          <w:lang w:val="en-US"/>
        </w:rPr>
        <w:t xml:space="preserve"> a scale that goes up to 24 points) and other scoring </w:t>
      </w:r>
      <w:proofErr w:type="gramStart"/>
      <w:r w:rsidRPr="00A178E5">
        <w:rPr>
          <w:lang w:val="en-US"/>
        </w:rPr>
        <w:t>system</w:t>
      </w:r>
      <w:proofErr w:type="gramEnd"/>
      <w:r w:rsidRPr="00A178E5">
        <w:rPr>
          <w:lang w:val="en-US"/>
        </w:rPr>
        <w:t xml:space="preserve"> were relatively modest. Furthermore, the achievement of remission or near remission was not common (e.g. minimal symptom expression was achieved by 14.0%).</w:t>
      </w:r>
    </w:p>
    <w:p w14:paraId="7A4ED3AF" w14:textId="77777777" w:rsidR="00A178E5" w:rsidRPr="00A178E5" w:rsidRDefault="00A178E5" w:rsidP="00A178E5">
      <w:pPr>
        <w:rPr>
          <w:lang w:val="en-US"/>
        </w:rPr>
      </w:pPr>
      <w:r w:rsidRPr="00A178E5">
        <w:rPr>
          <w:lang w:val="en-US"/>
        </w:rPr>
        <w:t xml:space="preserve">The study was in a relatively refractory population as subjects were still significantly symptomatic at baseline despite treatment with standard therapies, which included pyridostigmine, corticosteroids, azathioprine/mycophenolate, IVIG and to a lesser extent plasma exchange. Achieving benefit in this population, even if incremental, is worthwhile. </w:t>
      </w:r>
      <w:proofErr w:type="gramStart"/>
      <w:r w:rsidRPr="00A178E5">
        <w:rPr>
          <w:lang w:val="en-US"/>
        </w:rPr>
        <w:t>Overall</w:t>
      </w:r>
      <w:proofErr w:type="gramEnd"/>
      <w:r w:rsidRPr="00A178E5">
        <w:rPr>
          <w:lang w:val="en-US"/>
        </w:rPr>
        <w:t xml:space="preserve"> </w:t>
      </w:r>
      <w:proofErr w:type="gramStart"/>
      <w:r w:rsidRPr="00A178E5">
        <w:rPr>
          <w:lang w:val="en-US"/>
        </w:rPr>
        <w:t>the efficacy</w:t>
      </w:r>
      <w:proofErr w:type="gramEnd"/>
      <w:r w:rsidRPr="00A178E5">
        <w:rPr>
          <w:lang w:val="en-US"/>
        </w:rPr>
        <w:t xml:space="preserve"> is considered established.</w:t>
      </w:r>
    </w:p>
    <w:p w14:paraId="3D1BD576" w14:textId="77777777" w:rsidR="00A178E5" w:rsidRPr="00A178E5" w:rsidRDefault="00A178E5" w:rsidP="001814D7">
      <w:pPr>
        <w:pStyle w:val="Heading4"/>
        <w:rPr>
          <w:lang w:val="en-US"/>
        </w:rPr>
      </w:pPr>
      <w:bookmarkStart w:id="45" w:name="_Toc204004345"/>
      <w:r w:rsidRPr="00A178E5">
        <w:rPr>
          <w:lang w:val="en-US"/>
        </w:rPr>
        <w:t>Proposed indication</w:t>
      </w:r>
      <w:bookmarkEnd w:id="45"/>
    </w:p>
    <w:p w14:paraId="7555C904" w14:textId="4882AD4A" w:rsidR="00A178E5" w:rsidRPr="00A178E5" w:rsidRDefault="00A178E5" w:rsidP="001814D7">
      <w:pPr>
        <w:rPr>
          <w:lang w:val="en-US"/>
        </w:rPr>
      </w:pPr>
      <w:r w:rsidRPr="00A178E5">
        <w:rPr>
          <w:lang w:val="en-US"/>
        </w:rPr>
        <w:t xml:space="preserve">The current indication does not specify what line of therapy </w:t>
      </w:r>
      <w:proofErr w:type="spellStart"/>
      <w:r w:rsidRPr="00A178E5">
        <w:rPr>
          <w:lang w:val="en-US"/>
        </w:rPr>
        <w:t>zilucoplan</w:t>
      </w:r>
      <w:proofErr w:type="spellEnd"/>
      <w:r w:rsidRPr="00A178E5">
        <w:rPr>
          <w:lang w:val="en-US"/>
        </w:rPr>
        <w:t xml:space="preserve"> should be considered. </w:t>
      </w:r>
      <w:proofErr w:type="spellStart"/>
      <w:r w:rsidRPr="00A178E5">
        <w:rPr>
          <w:lang w:val="en-US"/>
        </w:rPr>
        <w:t>Generalised</w:t>
      </w:r>
      <w:proofErr w:type="spellEnd"/>
      <w:r w:rsidRPr="00A178E5">
        <w:rPr>
          <w:lang w:val="en-US"/>
        </w:rPr>
        <w:t xml:space="preserve"> MG has several established treatments that have better understood safety profiles </w:t>
      </w:r>
      <w:r w:rsidRPr="00A178E5">
        <w:rPr>
          <w:lang w:val="en-US"/>
        </w:rPr>
        <w:lastRenderedPageBreak/>
        <w:t xml:space="preserve">and simpler administration (i.e. oral compared to subcutaneous). In the clinical development program for </w:t>
      </w:r>
      <w:proofErr w:type="spellStart"/>
      <w:r w:rsidRPr="00A178E5">
        <w:rPr>
          <w:lang w:val="en-US"/>
        </w:rPr>
        <w:t>zilucoplan</w:t>
      </w:r>
      <w:proofErr w:type="spellEnd"/>
      <w:r w:rsidRPr="00A178E5">
        <w:rPr>
          <w:lang w:val="en-US"/>
        </w:rPr>
        <w:t xml:space="preserve"> subjects were generally somewhat refractory to those established</w:t>
      </w:r>
      <w:r>
        <w:rPr>
          <w:lang w:val="en-US"/>
        </w:rPr>
        <w:t xml:space="preserve"> </w:t>
      </w:r>
      <w:r w:rsidRPr="00A178E5">
        <w:rPr>
          <w:lang w:val="en-US"/>
        </w:rPr>
        <w:t xml:space="preserve">treatments. </w:t>
      </w:r>
      <w:proofErr w:type="gramStart"/>
      <w:r w:rsidRPr="00A178E5">
        <w:rPr>
          <w:lang w:val="en-US"/>
        </w:rPr>
        <w:t>Therefore</w:t>
      </w:r>
      <w:proofErr w:type="gramEnd"/>
      <w:r w:rsidRPr="00A178E5">
        <w:rPr>
          <w:lang w:val="en-US"/>
        </w:rPr>
        <w:t xml:space="preserve"> the Delegate</w:t>
      </w:r>
      <w:r w:rsidR="00E00575">
        <w:rPr>
          <w:rStyle w:val="FootnoteReference"/>
          <w:lang w:val="en-US"/>
        </w:rPr>
        <w:footnoteReference w:id="3"/>
      </w:r>
      <w:r w:rsidRPr="00A178E5">
        <w:rPr>
          <w:lang w:val="en-US"/>
        </w:rPr>
        <w:t xml:space="preserve"> considers it appropriate to limit </w:t>
      </w:r>
      <w:proofErr w:type="spellStart"/>
      <w:r w:rsidRPr="00A178E5">
        <w:rPr>
          <w:lang w:val="en-US"/>
        </w:rPr>
        <w:t>zilucoplan</w:t>
      </w:r>
      <w:proofErr w:type="spellEnd"/>
      <w:r w:rsidRPr="00A178E5">
        <w:rPr>
          <w:lang w:val="en-US"/>
        </w:rPr>
        <w:t xml:space="preserve"> to patients who have not responded adequately to standard immune suppressive treatments.</w:t>
      </w:r>
    </w:p>
    <w:p w14:paraId="770D9942" w14:textId="77777777" w:rsidR="00A178E5" w:rsidRPr="00A178E5" w:rsidRDefault="00A178E5" w:rsidP="001814D7">
      <w:pPr>
        <w:pStyle w:val="Heading4"/>
        <w:rPr>
          <w:lang w:val="en-US"/>
        </w:rPr>
      </w:pPr>
      <w:bookmarkStart w:id="46" w:name="_Toc204004346"/>
      <w:r w:rsidRPr="00A178E5">
        <w:rPr>
          <w:lang w:val="en-US"/>
        </w:rPr>
        <w:t>Safety</w:t>
      </w:r>
      <w:bookmarkEnd w:id="46"/>
    </w:p>
    <w:p w14:paraId="5FBD6E16" w14:textId="77777777" w:rsidR="00A178E5" w:rsidRPr="00A178E5" w:rsidRDefault="00A178E5" w:rsidP="001814D7">
      <w:pPr>
        <w:rPr>
          <w:lang w:val="en-US"/>
        </w:rPr>
      </w:pPr>
      <w:r w:rsidRPr="00A178E5">
        <w:rPr>
          <w:lang w:val="en-US"/>
        </w:rPr>
        <w:t xml:space="preserve">There is considerable experience with terminal complement inhibitors in both </w:t>
      </w:r>
      <w:proofErr w:type="spellStart"/>
      <w:r w:rsidRPr="00A178E5">
        <w:rPr>
          <w:lang w:val="en-US"/>
        </w:rPr>
        <w:t>gMG</w:t>
      </w:r>
      <w:proofErr w:type="spellEnd"/>
      <w:r w:rsidRPr="00A178E5">
        <w:rPr>
          <w:lang w:val="en-US"/>
        </w:rPr>
        <w:t xml:space="preserve"> (i.e. eculizumab, </w:t>
      </w:r>
      <w:proofErr w:type="spellStart"/>
      <w:r w:rsidRPr="00A178E5">
        <w:rPr>
          <w:lang w:val="en-US"/>
        </w:rPr>
        <w:t>ravulizumab</w:t>
      </w:r>
      <w:proofErr w:type="spellEnd"/>
      <w:r w:rsidRPr="00A178E5">
        <w:rPr>
          <w:lang w:val="en-US"/>
        </w:rPr>
        <w:t xml:space="preserve">) and other diseases and the issue of meningococcal risk is relatively well defined. Management of this risk with mandatory meningococcal vaccination, prophylactic antibiotics and risk </w:t>
      </w:r>
      <w:proofErr w:type="spellStart"/>
      <w:r w:rsidRPr="00A178E5">
        <w:rPr>
          <w:lang w:val="en-US"/>
        </w:rPr>
        <w:t>minimisation</w:t>
      </w:r>
      <w:proofErr w:type="spellEnd"/>
      <w:r w:rsidRPr="00A178E5">
        <w:rPr>
          <w:lang w:val="en-US"/>
        </w:rPr>
        <w:t xml:space="preserve"> activities, is planned to follow a similar framework as the already registered complement inhibitors. This is considered acceptable. It will be important to define the rate of meningococcal infection with </w:t>
      </w:r>
      <w:proofErr w:type="spellStart"/>
      <w:r w:rsidRPr="00A178E5">
        <w:rPr>
          <w:lang w:val="en-US"/>
        </w:rPr>
        <w:t>zilucoplan</w:t>
      </w:r>
      <w:proofErr w:type="spellEnd"/>
      <w:r w:rsidRPr="00A178E5">
        <w:rPr>
          <w:lang w:val="en-US"/>
        </w:rPr>
        <w:t xml:space="preserve"> to better understand how it compares to the other agents (i.e. eculizumab, </w:t>
      </w:r>
      <w:proofErr w:type="spellStart"/>
      <w:r w:rsidRPr="00A178E5">
        <w:rPr>
          <w:lang w:val="en-US"/>
        </w:rPr>
        <w:t>ravulizumab</w:t>
      </w:r>
      <w:proofErr w:type="spellEnd"/>
      <w:r w:rsidRPr="00A178E5">
        <w:rPr>
          <w:lang w:val="en-US"/>
        </w:rPr>
        <w:t>).</w:t>
      </w:r>
    </w:p>
    <w:p w14:paraId="01353E9A" w14:textId="77777777" w:rsidR="00A178E5" w:rsidRPr="00A178E5" w:rsidRDefault="00A178E5" w:rsidP="001814D7">
      <w:pPr>
        <w:rPr>
          <w:lang w:val="en-US"/>
        </w:rPr>
      </w:pPr>
      <w:r w:rsidRPr="00A178E5">
        <w:rPr>
          <w:lang w:val="en-US"/>
        </w:rPr>
        <w:t xml:space="preserve">There did appear to be an increase in the risk of infections with </w:t>
      </w:r>
      <w:proofErr w:type="spellStart"/>
      <w:r w:rsidRPr="00A178E5">
        <w:rPr>
          <w:lang w:val="en-US"/>
        </w:rPr>
        <w:t>zilucoplan</w:t>
      </w:r>
      <w:proofErr w:type="spellEnd"/>
      <w:r w:rsidRPr="00A178E5">
        <w:rPr>
          <w:lang w:val="en-US"/>
        </w:rPr>
        <w:t xml:space="preserve">, including serious infections. This is not unexpected and must be presented adequately in the PI. Currently the Delegate considers the PI as generally too brief on safety issues and </w:t>
      </w:r>
      <w:proofErr w:type="gramStart"/>
      <w:r w:rsidRPr="00A178E5">
        <w:rPr>
          <w:lang w:val="en-US"/>
        </w:rPr>
        <w:t>not providing</w:t>
      </w:r>
      <w:proofErr w:type="gramEnd"/>
      <w:r w:rsidRPr="00A178E5">
        <w:rPr>
          <w:lang w:val="en-US"/>
        </w:rPr>
        <w:t xml:space="preserve"> adequate information for prescribers.</w:t>
      </w:r>
    </w:p>
    <w:p w14:paraId="72AF500A" w14:textId="77777777" w:rsidR="00A178E5" w:rsidRPr="00A178E5" w:rsidRDefault="00A178E5" w:rsidP="001814D7">
      <w:pPr>
        <w:rPr>
          <w:lang w:val="en-US"/>
        </w:rPr>
      </w:pPr>
      <w:r w:rsidRPr="00A178E5">
        <w:rPr>
          <w:lang w:val="en-US"/>
        </w:rPr>
        <w:t xml:space="preserve">Increases in </w:t>
      </w:r>
      <w:proofErr w:type="gramStart"/>
      <w:r w:rsidRPr="00A178E5">
        <w:rPr>
          <w:lang w:val="en-US"/>
        </w:rPr>
        <w:t>amylase</w:t>
      </w:r>
      <w:proofErr w:type="gramEnd"/>
      <w:r w:rsidRPr="00A178E5">
        <w:rPr>
          <w:lang w:val="en-US"/>
        </w:rPr>
        <w:t xml:space="preserve"> and lipase were seen more frequently in </w:t>
      </w:r>
      <w:proofErr w:type="spellStart"/>
      <w:r w:rsidRPr="00A178E5">
        <w:rPr>
          <w:lang w:val="en-US"/>
        </w:rPr>
        <w:t>zilucoplan</w:t>
      </w:r>
      <w:proofErr w:type="spellEnd"/>
      <w:r w:rsidRPr="00A178E5">
        <w:rPr>
          <w:lang w:val="en-US"/>
        </w:rPr>
        <w:t xml:space="preserve"> treated subjects. These tended to improve despite ongoing treatment and were not clearly associated with events of drug-induced pancreatitis. However, the safety data set is relatively small at this stage and the signal was clearly seen in the preclinical studies as well. There remains the possibility that </w:t>
      </w:r>
      <w:proofErr w:type="spellStart"/>
      <w:r w:rsidRPr="00A178E5">
        <w:rPr>
          <w:lang w:val="en-US"/>
        </w:rPr>
        <w:t>zilucoplan</w:t>
      </w:r>
      <w:proofErr w:type="spellEnd"/>
      <w:r w:rsidRPr="00A178E5">
        <w:rPr>
          <w:lang w:val="en-US"/>
        </w:rPr>
        <w:t xml:space="preserve"> could lead to clinically important pancreatitis. The US drug label is noted to list pancreatitis as a risk. The Sponsor and ACM will be asked further about this (including its absence from the RMP) and the PI must adequately present this information.</w:t>
      </w:r>
    </w:p>
    <w:p w14:paraId="4A9E9561" w14:textId="77777777" w:rsidR="00A178E5" w:rsidRPr="00A178E5" w:rsidRDefault="00A178E5" w:rsidP="00A178E5">
      <w:pPr>
        <w:rPr>
          <w:lang w:val="en-US"/>
        </w:rPr>
      </w:pPr>
      <w:r w:rsidRPr="00A178E5">
        <w:rPr>
          <w:lang w:val="en-US"/>
        </w:rPr>
        <w:t xml:space="preserve">In addition to pancreatitis, other pancreas related events also occurred in the </w:t>
      </w:r>
      <w:proofErr w:type="spellStart"/>
      <w:r w:rsidRPr="00A178E5">
        <w:rPr>
          <w:lang w:val="en-US"/>
        </w:rPr>
        <w:t>gMG</w:t>
      </w:r>
      <w:proofErr w:type="spellEnd"/>
      <w:r w:rsidRPr="00A178E5">
        <w:rPr>
          <w:lang w:val="en-US"/>
        </w:rPr>
        <w:t xml:space="preserve"> trials and should be included in the PI.</w:t>
      </w:r>
    </w:p>
    <w:p w14:paraId="40D59875" w14:textId="77777777" w:rsidR="00A178E5" w:rsidRPr="00A178E5" w:rsidRDefault="00A178E5" w:rsidP="001814D7">
      <w:pPr>
        <w:rPr>
          <w:lang w:val="en-US"/>
        </w:rPr>
      </w:pPr>
      <w:r w:rsidRPr="00A178E5">
        <w:rPr>
          <w:lang w:val="en-US"/>
        </w:rPr>
        <w:t xml:space="preserve">The increase in eosinophils is noted and was markedly elevated in some subjects. Although not clearly seen </w:t>
      </w:r>
      <w:proofErr w:type="gramStart"/>
      <w:r w:rsidRPr="00A178E5">
        <w:rPr>
          <w:lang w:val="en-US"/>
        </w:rPr>
        <w:t>as yet</w:t>
      </w:r>
      <w:proofErr w:type="gramEnd"/>
      <w:r w:rsidRPr="00A178E5">
        <w:rPr>
          <w:lang w:val="en-US"/>
        </w:rPr>
        <w:t xml:space="preserve">, there is the possibility of it being associated with eosinophilic inflammation (e.g. of the lung, </w:t>
      </w:r>
      <w:proofErr w:type="spellStart"/>
      <w:r w:rsidRPr="00A178E5">
        <w:rPr>
          <w:lang w:val="en-US"/>
        </w:rPr>
        <w:t>oesophagus</w:t>
      </w:r>
      <w:proofErr w:type="spellEnd"/>
      <w:r w:rsidRPr="00A178E5">
        <w:rPr>
          <w:lang w:val="en-US"/>
        </w:rPr>
        <w:t>, skin), which can be serious.</w:t>
      </w:r>
    </w:p>
    <w:p w14:paraId="5D46A1C2" w14:textId="77777777" w:rsidR="00A178E5" w:rsidRPr="00A178E5" w:rsidRDefault="00A178E5" w:rsidP="00A178E5">
      <w:pPr>
        <w:rPr>
          <w:lang w:val="en-US"/>
        </w:rPr>
      </w:pPr>
      <w:r w:rsidRPr="00A178E5">
        <w:rPr>
          <w:lang w:val="en-US"/>
        </w:rPr>
        <w:t>The newly detected safety signal for morphea is noted.</w:t>
      </w:r>
    </w:p>
    <w:p w14:paraId="79B886D6" w14:textId="77777777" w:rsidR="00A178E5" w:rsidRPr="00A178E5" w:rsidRDefault="00A178E5" w:rsidP="001814D7">
      <w:pPr>
        <w:rPr>
          <w:lang w:val="en-US"/>
        </w:rPr>
      </w:pPr>
      <w:r w:rsidRPr="00A178E5">
        <w:rPr>
          <w:lang w:val="en-US"/>
        </w:rPr>
        <w:t xml:space="preserve">The imbalance in malignancy occurrence during the </w:t>
      </w:r>
      <w:proofErr w:type="gramStart"/>
      <w:r w:rsidRPr="00A178E5">
        <w:rPr>
          <w:lang w:val="en-US"/>
        </w:rPr>
        <w:t>placebo controlled</w:t>
      </w:r>
      <w:proofErr w:type="gramEnd"/>
      <w:r w:rsidRPr="00A178E5">
        <w:rPr>
          <w:lang w:val="en-US"/>
        </w:rPr>
        <w:t xml:space="preserve"> period (4 skin cancers with </w:t>
      </w:r>
      <w:proofErr w:type="spellStart"/>
      <w:r w:rsidRPr="00A178E5">
        <w:rPr>
          <w:lang w:val="en-US"/>
        </w:rPr>
        <w:t>zilucoplan</w:t>
      </w:r>
      <w:proofErr w:type="spellEnd"/>
      <w:r w:rsidRPr="00A178E5">
        <w:rPr>
          <w:lang w:val="en-US"/>
        </w:rPr>
        <w:t xml:space="preserve">, 0 with placebo) is noted. However, it seems </w:t>
      </w:r>
      <w:proofErr w:type="gramStart"/>
      <w:r w:rsidRPr="00A178E5">
        <w:rPr>
          <w:lang w:val="en-US"/>
        </w:rPr>
        <w:t>unlikely for</w:t>
      </w:r>
      <w:proofErr w:type="gramEnd"/>
      <w:r w:rsidRPr="00A178E5">
        <w:rPr>
          <w:lang w:val="en-US"/>
        </w:rPr>
        <w:t xml:space="preserve"> skin cancer development to be influenced during a </w:t>
      </w:r>
      <w:proofErr w:type="gramStart"/>
      <w:r w:rsidRPr="00A178E5">
        <w:rPr>
          <w:lang w:val="en-US"/>
        </w:rPr>
        <w:t>12 week</w:t>
      </w:r>
      <w:proofErr w:type="gramEnd"/>
      <w:r w:rsidRPr="00A178E5">
        <w:rPr>
          <w:lang w:val="en-US"/>
        </w:rPr>
        <w:t xml:space="preserve"> period. In S1B 5.6% of subjects experienced a malignancy, leading to an EAIR of 4.78 per 100 patient-years. Whilst this seems somewhat higher than expected, the dataset is small, the latency was not particularly long and there did not appear to be a trend in </w:t>
      </w:r>
      <w:proofErr w:type="spellStart"/>
      <w:r w:rsidRPr="00A178E5">
        <w:rPr>
          <w:lang w:val="en-US"/>
        </w:rPr>
        <w:t>tumour</w:t>
      </w:r>
      <w:proofErr w:type="spellEnd"/>
      <w:r w:rsidRPr="00A178E5">
        <w:rPr>
          <w:lang w:val="en-US"/>
        </w:rPr>
        <w:t xml:space="preserve"> type. The Sponsor will be asked about this.</w:t>
      </w:r>
    </w:p>
    <w:p w14:paraId="3719A725" w14:textId="77777777" w:rsidR="00A178E5" w:rsidRPr="00A178E5" w:rsidRDefault="00A178E5" w:rsidP="00A178E5">
      <w:pPr>
        <w:rPr>
          <w:lang w:val="en-US"/>
        </w:rPr>
      </w:pPr>
      <w:r w:rsidRPr="00A178E5">
        <w:rPr>
          <w:lang w:val="en-US"/>
        </w:rPr>
        <w:t>In addition to the risks raised by the clinical dataset, the nonclinical dataset has identified risks that require consideration and management. Of particular concern are the potential effects on both female and male fertility that do not seem to have been addressed in any clinical study.</w:t>
      </w:r>
    </w:p>
    <w:p w14:paraId="6E2E0364" w14:textId="08DDC6EF" w:rsidR="00A178E5" w:rsidRPr="00A178E5" w:rsidRDefault="00A178E5" w:rsidP="00A178E5">
      <w:pPr>
        <w:rPr>
          <w:lang w:val="en-US"/>
        </w:rPr>
      </w:pPr>
      <w:r w:rsidRPr="00A178E5">
        <w:rPr>
          <w:lang w:val="en-US"/>
        </w:rPr>
        <w:t>Female monkeys experienced dose-</w:t>
      </w:r>
      <w:r w:rsidR="00ED56F6" w:rsidRPr="00A178E5">
        <w:rPr>
          <w:lang w:val="en-US"/>
        </w:rPr>
        <w:t>dependent</w:t>
      </w:r>
      <w:r w:rsidRPr="00A178E5">
        <w:rPr>
          <w:lang w:val="en-US"/>
        </w:rPr>
        <w:t xml:space="preserve"> endometrial degeneration and males experienced testicular and germ cell effects (slight to minimal). There was increased pregnancy loss at all doses in the relevant monkey study. The </w:t>
      </w:r>
      <w:proofErr w:type="gramStart"/>
      <w:r w:rsidRPr="00A178E5">
        <w:rPr>
          <w:lang w:val="en-US"/>
        </w:rPr>
        <w:t>nonclinical</w:t>
      </w:r>
      <w:proofErr w:type="gramEnd"/>
      <w:r w:rsidRPr="00A178E5">
        <w:rPr>
          <w:lang w:val="en-US"/>
        </w:rPr>
        <w:t xml:space="preserve"> evaluator considered </w:t>
      </w:r>
      <w:proofErr w:type="gramStart"/>
      <w:r w:rsidRPr="00A178E5">
        <w:rPr>
          <w:lang w:val="en-US"/>
        </w:rPr>
        <w:t>all of</w:t>
      </w:r>
      <w:proofErr w:type="gramEnd"/>
      <w:r w:rsidRPr="00A178E5">
        <w:rPr>
          <w:lang w:val="en-US"/>
        </w:rPr>
        <w:t xml:space="preserve"> these issues as </w:t>
      </w:r>
      <w:r w:rsidRPr="00A178E5">
        <w:rPr>
          <w:lang w:val="en-US"/>
        </w:rPr>
        <w:lastRenderedPageBreak/>
        <w:t>potentially clinically relevant and has requested updates to the PI. At the current time these are not resolved.</w:t>
      </w:r>
    </w:p>
    <w:p w14:paraId="76450212" w14:textId="77777777" w:rsidR="00A178E5" w:rsidRPr="00A178E5" w:rsidRDefault="00A178E5" w:rsidP="001814D7">
      <w:pPr>
        <w:pStyle w:val="Heading4"/>
        <w:rPr>
          <w:lang w:val="en-US"/>
        </w:rPr>
      </w:pPr>
      <w:bookmarkStart w:id="47" w:name="_Toc204004347"/>
      <w:r w:rsidRPr="00A178E5">
        <w:rPr>
          <w:lang w:val="en-US"/>
        </w:rPr>
        <w:t>Deficiencies in the data</w:t>
      </w:r>
      <w:bookmarkEnd w:id="47"/>
    </w:p>
    <w:p w14:paraId="506D585C" w14:textId="77777777" w:rsidR="00A178E5" w:rsidRPr="00A178E5" w:rsidRDefault="00A178E5" w:rsidP="001814D7">
      <w:pPr>
        <w:rPr>
          <w:lang w:val="en-US"/>
        </w:rPr>
      </w:pPr>
      <w:r w:rsidRPr="00A178E5">
        <w:rPr>
          <w:lang w:val="en-US"/>
        </w:rPr>
        <w:t xml:space="preserve">The major deficiency in the dataset relates to the number of subjects included in the clinical development program. Efficacy, at least out to a year, is reasonably well defined. The size of the safety </w:t>
      </w:r>
      <w:proofErr w:type="gramStart"/>
      <w:r w:rsidRPr="00A178E5">
        <w:rPr>
          <w:lang w:val="en-US"/>
        </w:rPr>
        <w:t>dataset</w:t>
      </w:r>
      <w:proofErr w:type="gramEnd"/>
      <w:r w:rsidRPr="00A178E5">
        <w:rPr>
          <w:lang w:val="en-US"/>
        </w:rPr>
        <w:t xml:space="preserve">, whilst meeting guideline standards, is relatively small and the post-market pharmacovigilance will be important. Whilst </w:t>
      </w:r>
      <w:proofErr w:type="spellStart"/>
      <w:r w:rsidRPr="00A178E5">
        <w:rPr>
          <w:lang w:val="en-US"/>
        </w:rPr>
        <w:t>zilucoplan</w:t>
      </w:r>
      <w:proofErr w:type="spellEnd"/>
      <w:r w:rsidRPr="00A178E5">
        <w:rPr>
          <w:lang w:val="en-US"/>
        </w:rPr>
        <w:t xml:space="preserve"> is not the first terminal complement inhibitor, it is sufficiently dissimilar from the monoclonal antibodies (in terms of molecular size, structure and current safety signals) to expect a different safety profile.</w:t>
      </w:r>
    </w:p>
    <w:p w14:paraId="5C454108" w14:textId="77777777" w:rsidR="00A178E5" w:rsidRDefault="00A178E5" w:rsidP="001814D7">
      <w:pPr>
        <w:pStyle w:val="Heading4"/>
        <w:rPr>
          <w:lang w:val="en-US"/>
        </w:rPr>
      </w:pPr>
      <w:bookmarkStart w:id="48" w:name="_Toc204004348"/>
      <w:r w:rsidRPr="00A178E5">
        <w:rPr>
          <w:lang w:val="en-US"/>
        </w:rPr>
        <w:t>Risk-benefit-uncertainty assessment</w:t>
      </w:r>
      <w:bookmarkEnd w:id="48"/>
    </w:p>
    <w:p w14:paraId="5B0FFE0C" w14:textId="72C07494" w:rsidR="00A178E5" w:rsidRPr="00A178E5" w:rsidRDefault="00A178E5" w:rsidP="001814D7">
      <w:pPr>
        <w:rPr>
          <w:lang w:val="en-US"/>
        </w:rPr>
      </w:pPr>
      <w:r w:rsidRPr="00A178E5">
        <w:rPr>
          <w:lang w:val="en-US"/>
        </w:rPr>
        <w:t>Currently, the risk-benefit, in an appropriately targeted population of patients with refractory myasthenia gravis, remains positive and supportive of registration.</w:t>
      </w:r>
    </w:p>
    <w:p w14:paraId="6FA5C997" w14:textId="56CEA389" w:rsidR="00A178E5" w:rsidRPr="00A178E5" w:rsidRDefault="00A178E5" w:rsidP="00A60C4E">
      <w:pPr>
        <w:pStyle w:val="Heading4"/>
        <w:rPr>
          <w:lang w:val="en-US"/>
        </w:rPr>
      </w:pPr>
      <w:bookmarkStart w:id="49" w:name="Conclusions"/>
      <w:bookmarkStart w:id="50" w:name="_Toc204004349"/>
      <w:bookmarkEnd w:id="49"/>
      <w:r w:rsidRPr="00A178E5">
        <w:rPr>
          <w:lang w:val="en-US"/>
        </w:rPr>
        <w:t>Proposed action</w:t>
      </w:r>
      <w:bookmarkEnd w:id="50"/>
    </w:p>
    <w:p w14:paraId="46338996" w14:textId="77777777" w:rsidR="00A178E5" w:rsidRPr="00A178E5" w:rsidRDefault="00A178E5" w:rsidP="001814D7">
      <w:pPr>
        <w:rPr>
          <w:lang w:val="en-US"/>
        </w:rPr>
      </w:pPr>
      <w:r w:rsidRPr="00A178E5">
        <w:rPr>
          <w:lang w:val="en-US"/>
        </w:rPr>
        <w:t>The safety concerns raised by the non-clinical and clinical datasets require further clarification by the Sponsor and input from ACM. Modifications are required to the PI (and potentially the RMP and other aspects of the registration) and the listed quality issues must be resolved before approval can be granted.</w:t>
      </w:r>
    </w:p>
    <w:p w14:paraId="318CFABC" w14:textId="77777777" w:rsidR="00C22214" w:rsidRPr="00F73346" w:rsidRDefault="00C22214" w:rsidP="001814D7">
      <w:pPr>
        <w:pStyle w:val="Heading4"/>
      </w:pPr>
      <w:bookmarkStart w:id="51" w:name="_Toc98931936"/>
      <w:bookmarkStart w:id="52" w:name="_Toc247691532"/>
      <w:bookmarkStart w:id="53" w:name="_Toc314842516"/>
      <w:bookmarkStart w:id="54" w:name="_Toc204004350"/>
      <w:r w:rsidRPr="00F73346">
        <w:t xml:space="preserve">Advisory Committee </w:t>
      </w:r>
      <w:r w:rsidRPr="001814D7">
        <w:t>considerations</w:t>
      </w:r>
      <w:bookmarkEnd w:id="51"/>
      <w:bookmarkEnd w:id="54"/>
    </w:p>
    <w:p w14:paraId="087BB9CB" w14:textId="0FE9DB1E" w:rsidR="00C22214" w:rsidRDefault="00C22214" w:rsidP="001814D7">
      <w:r w:rsidRPr="00BD5DBD">
        <w:t xml:space="preserve">The </w:t>
      </w:r>
      <w:hyperlink r:id="rId50" w:history="1">
        <w:r w:rsidRPr="00BD5DBD">
          <w:rPr>
            <w:rStyle w:val="Hyperlink"/>
            <w:szCs w:val="22"/>
          </w:rPr>
          <w:t>Advisory Committee on Medicines (ACM)</w:t>
        </w:r>
      </w:hyperlink>
      <w:r w:rsidRPr="00BD5DBD">
        <w:t>, having considered the evaluations and the Delegate’s overview, as well as the sponsor’s response to these documents, advised the following.</w:t>
      </w:r>
    </w:p>
    <w:p w14:paraId="2F7FF733" w14:textId="77777777" w:rsidR="00884196" w:rsidRPr="00884196" w:rsidRDefault="00884196" w:rsidP="001814D7">
      <w:r w:rsidRPr="00884196">
        <w:t>The ACM advised the following in response to the Delegate’s specific request for advice:</w:t>
      </w:r>
    </w:p>
    <w:p w14:paraId="5B3B262F" w14:textId="77777777" w:rsidR="00884196" w:rsidRPr="001814D7" w:rsidRDefault="00884196" w:rsidP="001814D7">
      <w:pPr>
        <w:pStyle w:val="Numberbullet0"/>
        <w:rPr>
          <w:b/>
          <w:bCs/>
          <w:i/>
          <w:iCs/>
        </w:rPr>
      </w:pPr>
      <w:r w:rsidRPr="001814D7">
        <w:rPr>
          <w:b/>
          <w:bCs/>
          <w:i/>
          <w:iCs/>
        </w:rPr>
        <w:t xml:space="preserve">The Delegate is inclined toward the indication specifying that </w:t>
      </w:r>
      <w:proofErr w:type="spellStart"/>
      <w:r w:rsidRPr="001814D7">
        <w:rPr>
          <w:b/>
          <w:bCs/>
          <w:i/>
          <w:iCs/>
        </w:rPr>
        <w:t>zilucoplan</w:t>
      </w:r>
      <w:proofErr w:type="spellEnd"/>
      <w:r w:rsidRPr="001814D7">
        <w:rPr>
          <w:b/>
          <w:bCs/>
          <w:i/>
          <w:iCs/>
        </w:rPr>
        <w:t xml:space="preserve"> is intended “as an add on to standard immune suppressing therapy when symptoms have not adequately responded” or similar. What is ACM’s view of this issue and wording of the indication?</w:t>
      </w:r>
    </w:p>
    <w:p w14:paraId="0734BDEE" w14:textId="4AAF690B" w:rsidR="00884196" w:rsidRPr="00884196" w:rsidRDefault="00884196" w:rsidP="001814D7">
      <w:r w:rsidRPr="00884196">
        <w:t xml:space="preserve">The ACM noted that patients in MG0010 had extensive prior treatment, and that entry criteria included stability of corticosteroid and immunosuppressants for 30 days, with no IVIG, </w:t>
      </w:r>
      <w:r w:rsidR="00ED56F6" w:rsidRPr="00884196">
        <w:t>SC</w:t>
      </w:r>
      <w:r w:rsidRPr="00884196">
        <w:t xml:space="preserve"> IVIG or plasma exchange four weeks before treatment. With these restrictions, the ACM considered that the results indicated recent clinical stability rather than specifically failure of other therapies.</w:t>
      </w:r>
    </w:p>
    <w:p w14:paraId="0D6719AC" w14:textId="1E1DC406" w:rsidR="00884196" w:rsidRPr="00884196" w:rsidRDefault="00884196" w:rsidP="001814D7">
      <w:r w:rsidRPr="00884196">
        <w:t>The ACM discussed whether the study demonstrated that the drug was an add-on, given the pre-requisite that patients had to be stable and have not taken IVIG, but that many patients were on other treatments. For the 70% of patients were on steroids, it was likely they would have to remain on the same dose of steroids.</w:t>
      </w:r>
    </w:p>
    <w:p w14:paraId="47509687" w14:textId="77777777" w:rsidR="00884196" w:rsidRPr="00884196" w:rsidRDefault="00884196" w:rsidP="001814D7">
      <w:r w:rsidRPr="00884196">
        <w:t xml:space="preserve">The ACM discussed when it would be appropriate to start </w:t>
      </w:r>
      <w:proofErr w:type="spellStart"/>
      <w:r w:rsidRPr="00884196">
        <w:t>zilucoplan</w:t>
      </w:r>
      <w:proofErr w:type="spellEnd"/>
      <w:r w:rsidRPr="00884196">
        <w:t xml:space="preserve">, in the context of a broader treatment plan. Standard therapy commences with pyridostigmine and steroids, in addition to plasma exchange or IVIG to stabilise the patient. In the longer term, plasma exchange and IVIG are </w:t>
      </w:r>
      <w:proofErr w:type="gramStart"/>
      <w:r w:rsidRPr="00884196">
        <w:t>impractical</w:t>
      </w:r>
      <w:proofErr w:type="gramEnd"/>
      <w:r w:rsidRPr="00884196">
        <w:t xml:space="preserve"> and long-term steroids have known side effects. As such, once stable, patients are weaned off steroids with azathioprine, methotrexate or ciclosporin. The ACM was of the view that </w:t>
      </w:r>
      <w:proofErr w:type="spellStart"/>
      <w:r w:rsidRPr="00884196">
        <w:t>zilucoplan</w:t>
      </w:r>
      <w:proofErr w:type="spellEnd"/>
      <w:r w:rsidRPr="00884196">
        <w:t xml:space="preserve"> would not be first line treatment. </w:t>
      </w:r>
    </w:p>
    <w:p w14:paraId="79AB97F9" w14:textId="77777777" w:rsidR="00884196" w:rsidRPr="00884196" w:rsidRDefault="00884196" w:rsidP="001814D7">
      <w:r w:rsidRPr="00884196">
        <w:lastRenderedPageBreak/>
        <w:t>The ACM considered the sponsor’s suggestion of aligning with the EU’s indication:</w:t>
      </w:r>
    </w:p>
    <w:p w14:paraId="46F230FB" w14:textId="0A722768" w:rsidR="00884196" w:rsidRPr="001814D7" w:rsidRDefault="00AF1F4B" w:rsidP="001814D7">
      <w:pPr>
        <w:ind w:left="720"/>
        <w:rPr>
          <w:i/>
          <w:iCs/>
        </w:rPr>
      </w:pPr>
      <w:r w:rsidRPr="001814D7">
        <w:rPr>
          <w:i/>
          <w:iCs/>
        </w:rPr>
        <w:t>ZILBRYSQ</w:t>
      </w:r>
      <w:r w:rsidR="00884196" w:rsidRPr="001814D7">
        <w:rPr>
          <w:i/>
          <w:iCs/>
        </w:rPr>
        <w:t xml:space="preserve"> is indicated as add-on to standard therapy for the treatment of </w:t>
      </w:r>
      <w:proofErr w:type="spellStart"/>
      <w:r w:rsidR="00884196" w:rsidRPr="001814D7">
        <w:rPr>
          <w:i/>
          <w:iCs/>
        </w:rPr>
        <w:t>gMG</w:t>
      </w:r>
      <w:proofErr w:type="spellEnd"/>
      <w:r w:rsidR="00884196" w:rsidRPr="001814D7">
        <w:rPr>
          <w:i/>
          <w:iCs/>
        </w:rPr>
        <w:t xml:space="preserve"> in adult patients who are </w:t>
      </w:r>
      <w:proofErr w:type="spellStart"/>
      <w:r w:rsidR="00884196" w:rsidRPr="001814D7">
        <w:rPr>
          <w:i/>
          <w:iCs/>
        </w:rPr>
        <w:t>ACh</w:t>
      </w:r>
      <w:proofErr w:type="spellEnd"/>
      <w:r w:rsidR="00884196" w:rsidRPr="001814D7">
        <w:rPr>
          <w:i/>
          <w:iCs/>
        </w:rPr>
        <w:t xml:space="preserve"> antibody positive.</w:t>
      </w:r>
    </w:p>
    <w:p w14:paraId="544DDB08" w14:textId="2E483C86" w:rsidR="00884196" w:rsidRPr="00884196" w:rsidRDefault="00884196" w:rsidP="001814D7">
      <w:r w:rsidRPr="00884196">
        <w:t xml:space="preserve">The ACM also considered the ARTG listing of </w:t>
      </w:r>
      <w:proofErr w:type="spellStart"/>
      <w:r w:rsidRPr="00884196">
        <w:t>ravulizumab</w:t>
      </w:r>
      <w:proofErr w:type="spellEnd"/>
      <w:r w:rsidRPr="00884196">
        <w:t xml:space="preserve">, a similar C5-inhibiting monoclonal </w:t>
      </w:r>
      <w:r w:rsidR="00AF1F4B">
        <w:t>antibody</w:t>
      </w:r>
      <w:r w:rsidRPr="00884196">
        <w:t>:</w:t>
      </w:r>
    </w:p>
    <w:p w14:paraId="49D8B78B" w14:textId="77777777" w:rsidR="00884196" w:rsidRPr="001814D7" w:rsidRDefault="00884196" w:rsidP="001814D7">
      <w:pPr>
        <w:ind w:left="720"/>
        <w:rPr>
          <w:i/>
          <w:iCs/>
        </w:rPr>
      </w:pPr>
      <w:r w:rsidRPr="001814D7">
        <w:rPr>
          <w:i/>
          <w:iCs/>
        </w:rPr>
        <w:t xml:space="preserve">…as an add-on to standard therapy for the treatment of adult patients with </w:t>
      </w:r>
      <w:proofErr w:type="spellStart"/>
      <w:r w:rsidRPr="001814D7">
        <w:rPr>
          <w:i/>
          <w:iCs/>
        </w:rPr>
        <w:t>gMG</w:t>
      </w:r>
      <w:proofErr w:type="spellEnd"/>
      <w:r w:rsidRPr="001814D7">
        <w:rPr>
          <w:i/>
          <w:iCs/>
        </w:rPr>
        <w:t xml:space="preserve"> who are </w:t>
      </w:r>
      <w:proofErr w:type="spellStart"/>
      <w:r w:rsidRPr="001814D7">
        <w:rPr>
          <w:i/>
          <w:iCs/>
        </w:rPr>
        <w:t>AChR</w:t>
      </w:r>
      <w:proofErr w:type="spellEnd"/>
      <w:r w:rsidRPr="001814D7">
        <w:rPr>
          <w:i/>
          <w:iCs/>
        </w:rPr>
        <w:t xml:space="preserve"> antibody positive.</w:t>
      </w:r>
    </w:p>
    <w:p w14:paraId="1A063015" w14:textId="77777777" w:rsidR="00884196" w:rsidRPr="00884196" w:rsidRDefault="00884196" w:rsidP="001814D7">
      <w:r w:rsidRPr="00884196">
        <w:t>The ACM expressed concern that the Delegate’s proposed wording might unnecessarily restrict prescribing. The ACM noted that consensus guidelines from 2016 and 2020 were vague, being more permissive than prescriptive, and considered the concept of “standard therapy” as not meaningful. The ACM considered that this definition would be unlikely to achieve the intended goal of limiting use to refractory cases. Instead, the restriction may put patients at risk by allowing them to be placed on combination immunosuppressants unnecessarily. Overall, the ACM concluded that aligning with other regulators/comparable agents would be the most reasonable outcome.</w:t>
      </w:r>
    </w:p>
    <w:p w14:paraId="7A6F4E45" w14:textId="77777777" w:rsidR="00884196" w:rsidRPr="00884196" w:rsidRDefault="00884196" w:rsidP="001814D7">
      <w:r w:rsidRPr="00884196">
        <w:t xml:space="preserve">To clarify the issue of “standard therapy”, the ACM suggested an alternative descriptor of </w:t>
      </w:r>
      <w:r w:rsidRPr="001814D7">
        <w:rPr>
          <w:i/>
          <w:iCs/>
        </w:rPr>
        <w:t>“inadequately controlled by oral medications”</w:t>
      </w:r>
      <w:r w:rsidRPr="00884196">
        <w:t xml:space="preserve"> or </w:t>
      </w:r>
      <w:r w:rsidRPr="001814D7">
        <w:rPr>
          <w:i/>
          <w:iCs/>
        </w:rPr>
        <w:t>“when symptoms have not responded adequately to standard immunomodulatory therapy”</w:t>
      </w:r>
      <w:r w:rsidRPr="00884196">
        <w:t>.</w:t>
      </w:r>
    </w:p>
    <w:p w14:paraId="1B1AB98F" w14:textId="77777777" w:rsidR="00884196" w:rsidRPr="001814D7" w:rsidRDefault="00884196" w:rsidP="001814D7">
      <w:pPr>
        <w:pStyle w:val="Numberbullet0"/>
        <w:rPr>
          <w:b/>
          <w:bCs/>
          <w:i/>
          <w:iCs/>
        </w:rPr>
      </w:pPr>
      <w:r w:rsidRPr="001814D7">
        <w:rPr>
          <w:b/>
          <w:bCs/>
          <w:i/>
          <w:iCs/>
        </w:rPr>
        <w:t xml:space="preserve">Whilst the </w:t>
      </w:r>
      <w:proofErr w:type="gramStart"/>
      <w:r w:rsidRPr="001814D7">
        <w:rPr>
          <w:b/>
          <w:bCs/>
          <w:i/>
          <w:iCs/>
        </w:rPr>
        <w:t>risk :</w:t>
      </w:r>
      <w:proofErr w:type="gramEnd"/>
      <w:r w:rsidRPr="001814D7">
        <w:rPr>
          <w:b/>
          <w:bCs/>
          <w:i/>
          <w:iCs/>
        </w:rPr>
        <w:t xml:space="preserve"> benefit appears to favour </w:t>
      </w:r>
      <w:proofErr w:type="spellStart"/>
      <w:r w:rsidRPr="001814D7">
        <w:rPr>
          <w:b/>
          <w:bCs/>
          <w:i/>
          <w:iCs/>
        </w:rPr>
        <w:t>zilucoplan</w:t>
      </w:r>
      <w:proofErr w:type="spellEnd"/>
      <w:r w:rsidRPr="001814D7">
        <w:rPr>
          <w:b/>
          <w:bCs/>
          <w:i/>
          <w:iCs/>
        </w:rPr>
        <w:t>, what is ACM’s view of the safety signals for this drug based on the non-clinical and clinical data sets?</w:t>
      </w:r>
    </w:p>
    <w:p w14:paraId="6B4D6C9A" w14:textId="5FCAF61C" w:rsidR="00884196" w:rsidRPr="00884196" w:rsidRDefault="00884196" w:rsidP="001814D7">
      <w:r w:rsidRPr="00884196">
        <w:t xml:space="preserve">The ACM considered that the limited data of one study, with limited supporting studies, showed clinical significance for efficacy but that its effect size was small. This suggested a marginally positive risk: benefit ratio. However, the ACM noted that pre-clinical safety concerns around both female and male fertility remain unsolved by the limited real world safety data available for consideration, and that this is of concern given that young women &lt; 40 yrs are a key patient group affected by MG. Early safety signals with limited post-marketing experience suggest that </w:t>
      </w:r>
      <w:proofErr w:type="spellStart"/>
      <w:r w:rsidRPr="00884196">
        <w:t>zilucoplan</w:t>
      </w:r>
      <w:proofErr w:type="spellEnd"/>
      <w:r w:rsidRPr="00884196">
        <w:t xml:space="preserve"> should not be first-line treatment, and that post market surveillance for </w:t>
      </w:r>
      <w:r w:rsidR="00ED56F6" w:rsidRPr="00884196">
        <w:t>pancreatic</w:t>
      </w:r>
      <w:r w:rsidRPr="00884196">
        <w:t xml:space="preserve"> disorders is necessary.</w:t>
      </w:r>
    </w:p>
    <w:p w14:paraId="144C3EFE" w14:textId="77777777" w:rsidR="00884196" w:rsidRPr="001814D7" w:rsidRDefault="00884196" w:rsidP="001814D7">
      <w:pPr>
        <w:pStyle w:val="Numberbullet0"/>
        <w:rPr>
          <w:b/>
          <w:bCs/>
          <w:i/>
          <w:iCs/>
        </w:rPr>
      </w:pPr>
      <w:r w:rsidRPr="001814D7">
        <w:rPr>
          <w:b/>
          <w:bCs/>
          <w:i/>
          <w:iCs/>
        </w:rPr>
        <w:t>Are the safety data, related clinical restrictions and recommendations adequate in the PI? Any further advice on these?</w:t>
      </w:r>
    </w:p>
    <w:p w14:paraId="4C19513E" w14:textId="77777777" w:rsidR="00884196" w:rsidRPr="00884196" w:rsidRDefault="00884196" w:rsidP="001814D7">
      <w:r w:rsidRPr="00884196">
        <w:t>The ACM suggested adding “morphea (localised scleroderma)” to further explain the term, which is infrequently encountered.</w:t>
      </w:r>
    </w:p>
    <w:p w14:paraId="024E8F7E" w14:textId="77777777" w:rsidR="00884196" w:rsidRPr="00884196" w:rsidRDefault="00884196" w:rsidP="001814D7">
      <w:r w:rsidRPr="00884196">
        <w:t xml:space="preserve">The ACM suggested the revision of sections 4.6 and 5.3 of the PI to reflect concerns around female and male fertility, with the risk of increased embryofetal loss shown at all doses in the relevant monkey study. The ACM considered the current wording of the pre-clinical data in the PI to be misleading and recommended revision of this text </w:t>
      </w:r>
      <w:proofErr w:type="gramStart"/>
      <w:r w:rsidRPr="00884196">
        <w:t>in order to</w:t>
      </w:r>
      <w:proofErr w:type="gramEnd"/>
      <w:r w:rsidRPr="00884196">
        <w:t xml:space="preserve"> more accurately describe currently available data and adequately convey the safety concerns regarding fertility. The ACM recommended a change from pregnancy category B1 to at least B3.</w:t>
      </w:r>
    </w:p>
    <w:p w14:paraId="1AE391B1" w14:textId="40E4CCCC" w:rsidR="00884196" w:rsidRPr="00884196" w:rsidRDefault="00884196" w:rsidP="001814D7">
      <w:r w:rsidRPr="00884196">
        <w:t>Aside from this concern, the ACM considered that the adverse effects were otherwise well presented in the table with balanced descriptions in the text. The ACM also praised the repeated and up-front meningococcal warning.</w:t>
      </w:r>
    </w:p>
    <w:p w14:paraId="275900A2" w14:textId="77777777" w:rsidR="00884196" w:rsidRPr="001814D7" w:rsidRDefault="00884196" w:rsidP="001814D7">
      <w:pPr>
        <w:pStyle w:val="Numberbullet0"/>
        <w:rPr>
          <w:b/>
          <w:bCs/>
          <w:i/>
          <w:iCs/>
        </w:rPr>
      </w:pPr>
      <w:r w:rsidRPr="001814D7">
        <w:rPr>
          <w:b/>
          <w:bCs/>
          <w:i/>
          <w:iCs/>
        </w:rPr>
        <w:t>Does ACM have any comments about how the potential risk for pancreatitis and pancreas related events are dealt with in the PI?</w:t>
      </w:r>
    </w:p>
    <w:p w14:paraId="1C79FC5A" w14:textId="77777777" w:rsidR="00884196" w:rsidRPr="00884196" w:rsidRDefault="00884196" w:rsidP="001814D7">
      <w:r w:rsidRPr="00884196">
        <w:t xml:space="preserve">The ACM considered the Australian PI sufficient, containing the relevant facts regarding elevations of lipase and amylase and their possible link to pancreatitis. The ACM noted that there </w:t>
      </w:r>
      <w:r w:rsidRPr="00884196">
        <w:lastRenderedPageBreak/>
        <w:t xml:space="preserve">was only one case each of cysts and pancreatitis, and that there were other possible reasons for the pancreatitis. </w:t>
      </w:r>
    </w:p>
    <w:p w14:paraId="0ED2D6B3" w14:textId="3BF93BC9" w:rsidR="00884196" w:rsidRPr="00884196" w:rsidRDefault="00BC60E1" w:rsidP="008C5236">
      <w:pPr>
        <w:pStyle w:val="Heading5"/>
      </w:pPr>
      <w:r w:rsidRPr="008C5236">
        <w:t>Advisory committee conclusion</w:t>
      </w:r>
    </w:p>
    <w:p w14:paraId="4FA9CABF" w14:textId="3311959C" w:rsidR="00AF1F4B" w:rsidRPr="008C5236" w:rsidRDefault="00884196" w:rsidP="008C5236">
      <w:r w:rsidRPr="00884196">
        <w:t>The ACM considered this product to have an overall positive benefit-risk profile for the indication:</w:t>
      </w:r>
    </w:p>
    <w:p w14:paraId="4C6934B7" w14:textId="39CFEE76" w:rsidR="00884196" w:rsidRPr="008C5236" w:rsidRDefault="00AF1F4B" w:rsidP="008C5236">
      <w:pPr>
        <w:ind w:left="720"/>
        <w:rPr>
          <w:i/>
          <w:iCs/>
        </w:rPr>
      </w:pPr>
      <w:r w:rsidRPr="008C5236">
        <w:rPr>
          <w:i/>
          <w:iCs/>
        </w:rPr>
        <w:t>ZILBRYSQ</w:t>
      </w:r>
      <w:r w:rsidR="00884196" w:rsidRPr="008C5236">
        <w:rPr>
          <w:i/>
          <w:iCs/>
        </w:rPr>
        <w:t xml:space="preserve"> is indicated as an add-on to standard therapy for the treatment of generalized myasthe</w:t>
      </w:r>
      <w:r w:rsidR="00BC60E1" w:rsidRPr="008C5236">
        <w:rPr>
          <w:i/>
          <w:iCs/>
        </w:rPr>
        <w:t>n</w:t>
      </w:r>
      <w:r w:rsidR="00884196" w:rsidRPr="008C5236">
        <w:rPr>
          <w:i/>
          <w:iCs/>
        </w:rPr>
        <w:t>ia gravis (</w:t>
      </w:r>
      <w:proofErr w:type="spellStart"/>
      <w:r w:rsidR="00884196" w:rsidRPr="008C5236">
        <w:rPr>
          <w:i/>
          <w:iCs/>
        </w:rPr>
        <w:t>gMG</w:t>
      </w:r>
      <w:proofErr w:type="spellEnd"/>
      <w:r w:rsidR="00884196" w:rsidRPr="008C5236">
        <w:rPr>
          <w:i/>
          <w:iCs/>
        </w:rPr>
        <w:t>) in adult patients who are anti-acetylcholine receptor (</w:t>
      </w:r>
      <w:proofErr w:type="spellStart"/>
      <w:r w:rsidR="00884196" w:rsidRPr="008C5236">
        <w:rPr>
          <w:i/>
          <w:iCs/>
        </w:rPr>
        <w:t>AChR</w:t>
      </w:r>
      <w:proofErr w:type="spellEnd"/>
      <w:r w:rsidR="00884196" w:rsidRPr="008C5236">
        <w:rPr>
          <w:i/>
          <w:iCs/>
        </w:rPr>
        <w:t>) antibody positive.</w:t>
      </w:r>
    </w:p>
    <w:p w14:paraId="307F236C" w14:textId="5BA0D35D" w:rsidR="00C22214" w:rsidRPr="002E238E" w:rsidRDefault="0046285C" w:rsidP="008C5236">
      <w:pPr>
        <w:pStyle w:val="Heading2"/>
      </w:pPr>
      <w:bookmarkStart w:id="55" w:name="_Toc103679300"/>
      <w:bookmarkStart w:id="56" w:name="_Toc204004351"/>
      <w:r>
        <w:t>Assessment</w:t>
      </w:r>
      <w:r w:rsidR="00190853">
        <w:t xml:space="preserve"> </w:t>
      </w:r>
      <w:r w:rsidRPr="008C5236">
        <w:t>o</w:t>
      </w:r>
      <w:r w:rsidR="00C22214" w:rsidRPr="008C5236">
        <w:t>utcome</w:t>
      </w:r>
      <w:bookmarkEnd w:id="52"/>
      <w:bookmarkEnd w:id="53"/>
      <w:bookmarkEnd w:id="55"/>
      <w:bookmarkEnd w:id="56"/>
    </w:p>
    <w:p w14:paraId="4EF22939" w14:textId="76FF9092" w:rsidR="00C22214" w:rsidRDefault="00C22214" w:rsidP="008C5236">
      <w:r w:rsidRPr="0017005C">
        <w:t xml:space="preserve">Based on a review of quality, safety, and efficacy, the TGA </w:t>
      </w:r>
      <w:r w:rsidR="00B46DFB">
        <w:t>decided to</w:t>
      </w:r>
      <w:r w:rsidRPr="0017005C">
        <w:t xml:space="preserve"> regist</w:t>
      </w:r>
      <w:r w:rsidR="00B46DFB">
        <w:t>er</w:t>
      </w:r>
      <w:r w:rsidRPr="0017005C">
        <w:t xml:space="preserve"> </w:t>
      </w:r>
      <w:r w:rsidR="00AF1F4B">
        <w:t>ZILBRYSQ</w:t>
      </w:r>
      <w:r w:rsidRPr="0017005C">
        <w:t xml:space="preserve"> (</w:t>
      </w:r>
      <w:proofErr w:type="spellStart"/>
      <w:r w:rsidR="00AF1F4B" w:rsidRPr="00AF1F4B">
        <w:t>zilucoplan</w:t>
      </w:r>
      <w:proofErr w:type="spellEnd"/>
      <w:r w:rsidRPr="0017005C">
        <w:t>) for the following indication</w:t>
      </w:r>
      <w:r w:rsidR="00D23D3E">
        <w:t>:</w:t>
      </w:r>
    </w:p>
    <w:p w14:paraId="4644E7D2" w14:textId="2C1517D4" w:rsidR="006C2D05" w:rsidRPr="008C5236" w:rsidRDefault="00AF1F4B" w:rsidP="008C5236">
      <w:pPr>
        <w:ind w:left="720"/>
        <w:rPr>
          <w:i/>
          <w:iCs/>
        </w:rPr>
      </w:pPr>
      <w:r w:rsidRPr="008C5236">
        <w:rPr>
          <w:i/>
          <w:iCs/>
          <w:lang w:val="en-US"/>
        </w:rPr>
        <w:t>ZILBRYSQ</w:t>
      </w:r>
      <w:r w:rsidR="006C2D05" w:rsidRPr="008C5236">
        <w:rPr>
          <w:i/>
          <w:iCs/>
          <w:lang w:val="en-US"/>
        </w:rPr>
        <w:t xml:space="preserve"> is indicated as an add-on to standard therapy for the treatment of </w:t>
      </w:r>
      <w:proofErr w:type="spellStart"/>
      <w:r w:rsidR="006C2D05" w:rsidRPr="008C5236">
        <w:rPr>
          <w:i/>
          <w:iCs/>
          <w:lang w:val="en-US"/>
        </w:rPr>
        <w:t>generalised</w:t>
      </w:r>
      <w:proofErr w:type="spellEnd"/>
      <w:r w:rsidR="006C2D05" w:rsidRPr="008C5236">
        <w:rPr>
          <w:i/>
          <w:iCs/>
          <w:lang w:val="en-US"/>
        </w:rPr>
        <w:t xml:space="preserve"> myasthenia gravis (</w:t>
      </w:r>
      <w:proofErr w:type="spellStart"/>
      <w:r w:rsidR="006C2D05" w:rsidRPr="008C5236">
        <w:rPr>
          <w:i/>
          <w:iCs/>
          <w:lang w:val="en-US"/>
        </w:rPr>
        <w:t>gMG</w:t>
      </w:r>
      <w:proofErr w:type="spellEnd"/>
      <w:r w:rsidR="006C2D05" w:rsidRPr="008C5236">
        <w:rPr>
          <w:i/>
          <w:iCs/>
          <w:lang w:val="en-US"/>
        </w:rPr>
        <w:t>) in adult patients who are anti-acetylcholine receptor (</w:t>
      </w:r>
      <w:proofErr w:type="spellStart"/>
      <w:r w:rsidR="006C2D05" w:rsidRPr="008C5236">
        <w:rPr>
          <w:i/>
          <w:iCs/>
          <w:lang w:val="en-US"/>
        </w:rPr>
        <w:t>AChR</w:t>
      </w:r>
      <w:proofErr w:type="spellEnd"/>
      <w:r w:rsidR="006C2D05" w:rsidRPr="008C5236">
        <w:rPr>
          <w:i/>
          <w:iCs/>
          <w:lang w:val="en-US"/>
        </w:rPr>
        <w:t>) antibody positive.</w:t>
      </w:r>
    </w:p>
    <w:p w14:paraId="0D732DA4" w14:textId="3AC472FB" w:rsidR="00854D98" w:rsidRPr="00D23139" w:rsidRDefault="00854D98" w:rsidP="008C5236">
      <w:pPr>
        <w:pStyle w:val="Heading3"/>
      </w:pPr>
      <w:bookmarkStart w:id="57" w:name="_Toc103679301"/>
      <w:bookmarkStart w:id="58" w:name="_Toc204004352"/>
      <w:r w:rsidRPr="00D23139">
        <w:t>Specific conditions of registration</w:t>
      </w:r>
      <w:bookmarkEnd w:id="57"/>
      <w:bookmarkEnd w:id="58"/>
    </w:p>
    <w:p w14:paraId="42D0D366" w14:textId="7C0AED12" w:rsidR="00763BE4" w:rsidRPr="00763BE4" w:rsidRDefault="00AF1F4B" w:rsidP="008C5236">
      <w:r>
        <w:t>ZILBRYSQ</w:t>
      </w:r>
      <w:r w:rsidR="00763BE4" w:rsidRPr="00763BE4">
        <w:t xml:space="preserve"> (</w:t>
      </w:r>
      <w:proofErr w:type="spellStart"/>
      <w:r w:rsidR="00763BE4" w:rsidRPr="00763BE4">
        <w:t>zilucoplan</w:t>
      </w:r>
      <w:proofErr w:type="spellEnd"/>
      <w:r w:rsidR="00763BE4" w:rsidRPr="00763BE4">
        <w:t xml:space="preserve">) is to be included in the Black Triangle Scheme. The PI and CMI for </w:t>
      </w:r>
      <w:r>
        <w:t>ZILBRYSQ</w:t>
      </w:r>
      <w:r w:rsidR="00763BE4" w:rsidRPr="00763BE4">
        <w:t xml:space="preserve"> must include the black triangle symbol and mandatory accompanying text for five years, which starts from the date of first supply of the product.</w:t>
      </w:r>
    </w:p>
    <w:p w14:paraId="30A322B1" w14:textId="228098D4" w:rsidR="00763BE4" w:rsidRPr="00763BE4" w:rsidRDefault="00763BE4" w:rsidP="008C5236">
      <w:r w:rsidRPr="00763BE4">
        <w:t>Submission to the TGA of the Post Approval Safety Study (PASS) interim and final reports when they become available.</w:t>
      </w:r>
    </w:p>
    <w:p w14:paraId="04DFEC6B" w14:textId="0AA2A31F" w:rsidR="00763BE4" w:rsidRPr="00763BE4" w:rsidRDefault="00763BE4" w:rsidP="008C5236">
      <w:r w:rsidRPr="00763BE4">
        <w:t xml:space="preserve">The </w:t>
      </w:r>
      <w:r w:rsidR="00AF1F4B">
        <w:t>ZILBRYSQ</w:t>
      </w:r>
      <w:r w:rsidRPr="00763BE4">
        <w:t xml:space="preserve"> EU-Risk Management Plan (RMP) (version 0.4, date 1 September 2023;</w:t>
      </w:r>
      <w:r>
        <w:t xml:space="preserve"> </w:t>
      </w:r>
      <w:r w:rsidRPr="00763BE4">
        <w:t>DLP 31 March 2022), with Australia-Specific Annex (version 2.0, date 22 February 2024), included with submission PM-2023-02775-1-1, and any subsequent revisions, as agreed with the TGA will be implemented in Australia.</w:t>
      </w:r>
    </w:p>
    <w:p w14:paraId="7261D5C9" w14:textId="0D6D3E86" w:rsidR="00763BE4" w:rsidRPr="00763BE4" w:rsidRDefault="00763BE4" w:rsidP="008C5236">
      <w:r w:rsidRPr="00763BE4">
        <w:t xml:space="preserve"> An obligatory component of risk management plans is routine pharmacovigilance. Routine pharmacovigilance includes the submission of periodic safety update reports (PSURs).</w:t>
      </w:r>
    </w:p>
    <w:p w14:paraId="518DDD5B" w14:textId="77777777" w:rsidR="00763BE4" w:rsidRPr="00763BE4" w:rsidRDefault="00763BE4" w:rsidP="008C5236">
      <w:r w:rsidRPr="00763BE4">
        <w:t>Reports are to be provided in line with the current published list of EU reference dates and frequency of submission of PSURs until the period covered by such reports is not less than three years from the date of this approval letter. Each report must be submitted within ninety calendar days of the data lock point for that report.</w:t>
      </w:r>
    </w:p>
    <w:p w14:paraId="7C967F1B" w14:textId="69B4AA1B" w:rsidR="00854D98" w:rsidRPr="00854D98" w:rsidRDefault="00763BE4" w:rsidP="008C5236">
      <w:r w:rsidRPr="00763BE4">
        <w:t>The reports are to at least meet the requirements for PSURs as described in the</w:t>
      </w:r>
      <w:r>
        <w:t xml:space="preserve"> </w:t>
      </w:r>
      <w:r w:rsidRPr="00763BE4">
        <w:t>European Medicines Agency’s Guideline on good pharmacovigilance practices (GVP) Module VII-periodic safety update report (Rev 1), Part VII.B Structures and processes. Note that submission of a PSUR does not constitute an application to vary the registration.</w:t>
      </w:r>
    </w:p>
    <w:p w14:paraId="0F9C1952" w14:textId="597561E2" w:rsidR="00BA657C" w:rsidRPr="00BA657C" w:rsidRDefault="00BA657C" w:rsidP="008C5236">
      <w:pPr>
        <w:pStyle w:val="Heading2"/>
      </w:pPr>
      <w:bookmarkStart w:id="59" w:name="_Toc196738290"/>
      <w:bookmarkStart w:id="60" w:name="_Toc204004353"/>
      <w:r w:rsidRPr="00BA657C">
        <w:t>Product Information and Consumer Medicines Information</w:t>
      </w:r>
      <w:bookmarkEnd w:id="59"/>
      <w:bookmarkEnd w:id="60"/>
    </w:p>
    <w:p w14:paraId="5F276616" w14:textId="77777777" w:rsidR="004D0933" w:rsidRPr="004D0933" w:rsidRDefault="004D0933" w:rsidP="004D0933">
      <w:r w:rsidRPr="004D0933">
        <w:t xml:space="preserve">For the most recent Product Information (PI) and Consumer Medicines Information (CMI), please refer to the TGA </w:t>
      </w:r>
      <w:hyperlink r:id="rId51" w:history="1">
        <w:r w:rsidRPr="004D0933">
          <w:rPr>
            <w:rStyle w:val="Hyperlink"/>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DD4E2E">
          <w:headerReference w:type="default" r:id="rId52"/>
          <w:footerReference w:type="default" r:id="rId53"/>
          <w:pgSz w:w="11906" w:h="16838" w:code="9"/>
          <w:pgMar w:top="1134" w:right="1418" w:bottom="1560"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763BE4" w14:paraId="3C0C07BF" w14:textId="77777777" w:rsidTr="007452E8">
        <w:trPr>
          <w:trHeight w:hRule="exact" w:val="565"/>
          <w:jc w:val="center"/>
        </w:trPr>
        <w:tc>
          <w:tcPr>
            <w:tcW w:w="9145" w:type="dxa"/>
          </w:tcPr>
          <w:bookmarkEnd w:id="2"/>
          <w:bookmarkEnd w:id="3"/>
          <w:p w14:paraId="7E090B86" w14:textId="77777777" w:rsidR="00F02AEC" w:rsidRPr="00763BE4" w:rsidRDefault="00F02AEC" w:rsidP="007452E8">
            <w:pPr>
              <w:pStyle w:val="TGASignoff"/>
              <w:rPr>
                <w:rFonts w:cs="Arial"/>
              </w:rPr>
            </w:pPr>
            <w:r w:rsidRPr="00763BE4">
              <w:rPr>
                <w:rFonts w:cs="Arial"/>
              </w:rPr>
              <w:lastRenderedPageBreak/>
              <w:t>Therapeutic Goods Administration</w:t>
            </w:r>
          </w:p>
        </w:tc>
      </w:tr>
      <w:tr w:rsidR="00F02AEC" w:rsidRPr="00763BE4" w14:paraId="70F47EA1" w14:textId="77777777" w:rsidTr="007452E8">
        <w:trPr>
          <w:trHeight w:val="963"/>
          <w:jc w:val="center"/>
        </w:trPr>
        <w:tc>
          <w:tcPr>
            <w:tcW w:w="9145" w:type="dxa"/>
            <w:tcMar>
              <w:top w:w="28" w:type="dxa"/>
            </w:tcMar>
          </w:tcPr>
          <w:p w14:paraId="3491EBCD" w14:textId="77777777" w:rsidR="00F02AEC" w:rsidRPr="00763BE4" w:rsidRDefault="00F02AEC" w:rsidP="007452E8">
            <w:pPr>
              <w:pStyle w:val="Address"/>
              <w:jc w:val="center"/>
              <w:rPr>
                <w:rFonts w:cs="Arial"/>
              </w:rPr>
            </w:pPr>
            <w:r w:rsidRPr="00763BE4">
              <w:rPr>
                <w:rFonts w:cs="Arial"/>
              </w:rPr>
              <w:t>PO Box 100 Woden ACT 2606 Australia</w:t>
            </w:r>
          </w:p>
          <w:p w14:paraId="5D0FE0E7" w14:textId="53CB9479" w:rsidR="00F02AEC" w:rsidRPr="00763BE4" w:rsidRDefault="00F02AEC">
            <w:pPr>
              <w:pStyle w:val="Address"/>
              <w:jc w:val="center"/>
              <w:rPr>
                <w:rFonts w:cs="Arial"/>
                <w:sz w:val="22"/>
                <w:szCs w:val="22"/>
              </w:rPr>
            </w:pPr>
            <w:r w:rsidRPr="00763BE4">
              <w:rPr>
                <w:rFonts w:cs="Arial"/>
              </w:rPr>
              <w:t xml:space="preserve">Email: </w:t>
            </w:r>
            <w:hyperlink r:id="rId54" w:history="1">
              <w:r w:rsidRPr="00763BE4">
                <w:rPr>
                  <w:rStyle w:val="Hyperlink"/>
                  <w:rFonts w:ascii="Arial" w:hAnsi="Arial" w:cs="Arial"/>
                </w:rPr>
                <w:t>info@tga.gov.au</w:t>
              </w:r>
            </w:hyperlink>
            <w:r w:rsidRPr="00763BE4">
              <w:rPr>
                <w:rFonts w:cs="Arial"/>
              </w:rPr>
              <w:t xml:space="preserve">  Phone: 1800 020 </w:t>
            </w:r>
            <w:proofErr w:type="gramStart"/>
            <w:r w:rsidRPr="00763BE4">
              <w:rPr>
                <w:rFonts w:cs="Arial"/>
              </w:rPr>
              <w:t>653  Fax</w:t>
            </w:r>
            <w:proofErr w:type="gramEnd"/>
            <w:r w:rsidRPr="00763BE4">
              <w:rPr>
                <w:rFonts w:cs="Arial"/>
              </w:rPr>
              <w:t>: 02 6203 1605</w:t>
            </w:r>
          </w:p>
          <w:p w14:paraId="4533D80F" w14:textId="1519D7A3" w:rsidR="00F02AEC" w:rsidRPr="00763BE4" w:rsidRDefault="00F02AEC">
            <w:pPr>
              <w:pStyle w:val="Address"/>
              <w:jc w:val="center"/>
              <w:rPr>
                <w:rStyle w:val="Hyperlink"/>
                <w:rFonts w:ascii="Arial" w:hAnsi="Arial" w:cs="Arial"/>
                <w:b/>
                <w:color w:val="auto"/>
                <w:sz w:val="22"/>
              </w:rPr>
            </w:pPr>
            <w:hyperlink r:id="rId55" w:history="1">
              <w:r w:rsidRPr="00763BE4">
                <w:rPr>
                  <w:rStyle w:val="Hyperlink"/>
                  <w:rFonts w:ascii="Arial" w:hAnsi="Arial" w:cs="Arial"/>
                  <w:b/>
                </w:rPr>
                <w:t>https://www.tga.gov.au</w:t>
              </w:r>
            </w:hyperlink>
          </w:p>
        </w:tc>
      </w:tr>
    </w:tbl>
    <w:p w14:paraId="788B80FD" w14:textId="77777777" w:rsidR="007452E8" w:rsidRDefault="007452E8"/>
    <w:sectPr w:rsidR="007452E8" w:rsidSect="007452E8">
      <w:headerReference w:type="first" r:id="rId56"/>
      <w:footerReference w:type="first" r:id="rId57"/>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337D2" w14:textId="77777777" w:rsidR="00864627" w:rsidRDefault="00864627" w:rsidP="00F02AEC">
      <w:pPr>
        <w:spacing w:after="0" w:line="240" w:lineRule="auto"/>
      </w:pPr>
      <w:r>
        <w:separator/>
      </w:r>
    </w:p>
  </w:endnote>
  <w:endnote w:type="continuationSeparator" w:id="0">
    <w:p w14:paraId="2DEABA7B" w14:textId="77777777" w:rsidR="00864627" w:rsidRDefault="00864627"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MS Gothic"/>
    <w:panose1 w:val="00000000000000000000"/>
    <w:charset w:val="00"/>
    <w:family w:val="roman"/>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7A5002F9" w:rsidR="007452E8" w:rsidRPr="004A3084" w:rsidRDefault="00D91D67" w:rsidP="007452E8">
          <w:pPr>
            <w:pStyle w:val="Footer"/>
          </w:pPr>
          <w:proofErr w:type="spellStart"/>
          <w:r w:rsidRPr="00D91D67">
            <w:t>AusPAR</w:t>
          </w:r>
          <w:proofErr w:type="spellEnd"/>
          <w:r w:rsidRPr="00D91D67">
            <w:t xml:space="preserve"> - ZILBRYSQ - </w:t>
          </w:r>
          <w:proofErr w:type="spellStart"/>
          <w:r w:rsidRPr="00D91D67">
            <w:t>zilucoplan</w:t>
          </w:r>
          <w:proofErr w:type="spellEnd"/>
          <w:r w:rsidRPr="00D91D67">
            <w:t xml:space="preserve"> tetrasodium - PM-2023-02775-1-1 - UCB </w:t>
          </w:r>
          <w:r>
            <w:t>Australia Pty Ltd</w:t>
          </w:r>
          <w:r w:rsidR="007452E8">
            <w:br/>
          </w:r>
          <w:r w:rsidR="007452E8" w:rsidRPr="00ED56F6">
            <w:t>Date of Finalisation</w:t>
          </w:r>
          <w:r w:rsidR="00ED56F6" w:rsidRPr="00ED56F6">
            <w:t>:</w:t>
          </w:r>
          <w:r w:rsidR="00ED56F6">
            <w:t xml:space="preserve"> 7 July 2025</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7F1E37">
                <w:fldChar w:fldCharType="begin"/>
              </w:r>
              <w:r w:rsidR="007F1E37">
                <w:instrText xml:space="preserve"> NUMPAGES  </w:instrText>
              </w:r>
              <w:r w:rsidR="007F1E37">
                <w:fldChar w:fldCharType="separate"/>
              </w:r>
              <w:r w:rsidR="006D6B44">
                <w:rPr>
                  <w:noProof/>
                </w:rPr>
                <w:t>17</w:t>
              </w:r>
              <w:r w:rsidR="007F1E37">
                <w:rPr>
                  <w:noProof/>
                </w:rPr>
                <w:fldChar w:fldCharType="end"/>
              </w:r>
            </w:p>
          </w:sdtContent>
        </w:sdt>
      </w:tc>
    </w:tr>
  </w:tbl>
  <w:p w14:paraId="78692EA2" w14:textId="77777777" w:rsidR="00B869EB" w:rsidRDefault="00B869EB" w:rsidP="00DD4E2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E98A3" w14:textId="77777777" w:rsidR="00864627" w:rsidRDefault="00864627" w:rsidP="00F02AEC">
      <w:pPr>
        <w:spacing w:after="0" w:line="240" w:lineRule="auto"/>
      </w:pPr>
      <w:r>
        <w:separator/>
      </w:r>
    </w:p>
  </w:footnote>
  <w:footnote w:type="continuationSeparator" w:id="0">
    <w:p w14:paraId="0B6E6834" w14:textId="77777777" w:rsidR="00864627" w:rsidRDefault="00864627" w:rsidP="00F02AEC">
      <w:pPr>
        <w:spacing w:after="0" w:line="240" w:lineRule="auto"/>
      </w:pPr>
      <w:r>
        <w:continuationSeparator/>
      </w:r>
    </w:p>
  </w:footnote>
  <w:footnote w:id="1">
    <w:p w14:paraId="28487D52" w14:textId="16AFCC42" w:rsidR="007E50E2" w:rsidRDefault="007E50E2" w:rsidP="00FD4B9D">
      <w:pPr>
        <w:pStyle w:val="FootnoteText"/>
      </w:pPr>
      <w:r>
        <w:rPr>
          <w:rStyle w:val="FootnoteReference"/>
        </w:rPr>
        <w:footnoteRef/>
      </w:r>
      <w:r>
        <w:t xml:space="preserve"> </w:t>
      </w:r>
      <w:r w:rsidRPr="007E50E2">
        <w:t>A sponsor is a person or company who does one or more of the following: a) exports therapeutic goods from Australia, b) imports therapeutic goods into Australia, c) manufactures therapeutic goods for supply in Australia or d) elsewhere arranges for another party to import, export or manufacture therapeutic goods</w:t>
      </w:r>
      <w:r w:rsidR="00FD4B9D">
        <w:t>.</w:t>
      </w:r>
    </w:p>
  </w:footnote>
  <w:footnote w:id="2">
    <w:p w14:paraId="55113921" w14:textId="7B8B79FB" w:rsidR="000333D3" w:rsidRDefault="000333D3">
      <w:pPr>
        <w:pStyle w:val="FootnoteText"/>
      </w:pPr>
      <w:r>
        <w:rPr>
          <w:rStyle w:val="FootnoteReference"/>
        </w:rPr>
        <w:footnoteRef/>
      </w:r>
      <w:r>
        <w:t xml:space="preserve"> Evaluator</w:t>
      </w:r>
      <w:r w:rsidRPr="000333D3">
        <w:t>s are TGA experts, or external experts engaged by the TGA, that assess the safety, quality, and efficacy of therapeutic goods before they can be registered and supplied in Australia.</w:t>
      </w:r>
    </w:p>
  </w:footnote>
  <w:footnote w:id="3">
    <w:p w14:paraId="583EDB54" w14:textId="1380B240" w:rsidR="00E00575" w:rsidRDefault="00E00575">
      <w:pPr>
        <w:pStyle w:val="FootnoteText"/>
      </w:pPr>
      <w:r>
        <w:rPr>
          <w:rStyle w:val="FootnoteReference"/>
        </w:rPr>
        <w:footnoteRef/>
      </w:r>
      <w:r>
        <w:t xml:space="preserve"> </w:t>
      </w:r>
      <w:r w:rsidRPr="00E00575">
        <w:t>A "Delegate" refers to a person within the TGA who has been conferred the authority to make decisions about the approval of therapeutic goods for supply in Australia, under section 25 of the Therapeutic Goods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8C5236"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60288"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Default="007452E8" w:rsidP="007452E8">
    <w:pPr>
      <w:pStyle w:val="Header"/>
    </w:pPr>
    <w:r w:rsidRPr="000F5176">
      <w:t>Therapeutic Goods Administration</w:t>
    </w:r>
  </w:p>
  <w:p w14:paraId="625E2C4C" w14:textId="77777777" w:rsidR="00B869EB" w:rsidRDefault="00B869EB" w:rsidP="006179C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7"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9"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1"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3"/>
  </w:num>
  <w:num w:numId="2" w16cid:durableId="1856573705">
    <w:abstractNumId w:val="0"/>
  </w:num>
  <w:num w:numId="3" w16cid:durableId="357703499">
    <w:abstractNumId w:val="2"/>
  </w:num>
  <w:num w:numId="4" w16cid:durableId="1869176708">
    <w:abstractNumId w:val="9"/>
  </w:num>
  <w:num w:numId="5" w16cid:durableId="1652950129">
    <w:abstractNumId w:val="5"/>
  </w:num>
  <w:num w:numId="6" w16cid:durableId="1053193207">
    <w:abstractNumId w:val="7"/>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8"/>
  </w:num>
  <w:num w:numId="9" w16cid:durableId="173421270">
    <w:abstractNumId w:val="1"/>
  </w:num>
  <w:num w:numId="10" w16cid:durableId="2108043357">
    <w:abstractNumId w:val="4"/>
  </w:num>
  <w:num w:numId="11" w16cid:durableId="1725904230">
    <w:abstractNumId w:val="6"/>
  </w:num>
  <w:num w:numId="12" w16cid:durableId="141579354">
    <w:abstractNumId w:val="10"/>
  </w:num>
  <w:num w:numId="13" w16cid:durableId="283735081">
    <w:abstractNumId w:val="11"/>
  </w:num>
  <w:num w:numId="14" w16cid:durableId="877937006">
    <w:abstractNumId w:val="0"/>
    <w:lvlOverride w:ilvl="0">
      <w:lvl w:ilvl="0">
        <w:start w:val="1"/>
        <w:numFmt w:val="decimal"/>
        <w:pStyle w:val="Numberbullet0"/>
        <w:lvlText w:val="%1."/>
        <w:lvlJc w:val="left"/>
        <w:pPr>
          <w:ind w:left="567" w:hanging="425"/>
        </w:pPr>
        <w:rPr>
          <w:rFonts w:ascii="Cambria" w:hAnsi="Cambria" w:hint="default"/>
          <w:b/>
          <w:bCs/>
          <w:i/>
          <w:iCs/>
        </w:rPr>
      </w:lvl>
    </w:lvlOverride>
  </w:num>
  <w:num w:numId="15" w16cid:durableId="8584717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1064C"/>
    <w:rsid w:val="0001384A"/>
    <w:rsid w:val="00014A18"/>
    <w:rsid w:val="00021C13"/>
    <w:rsid w:val="00023A86"/>
    <w:rsid w:val="00032A0F"/>
    <w:rsid w:val="000333D3"/>
    <w:rsid w:val="000354EC"/>
    <w:rsid w:val="00040D8D"/>
    <w:rsid w:val="00046423"/>
    <w:rsid w:val="000477F5"/>
    <w:rsid w:val="0006104E"/>
    <w:rsid w:val="000640BD"/>
    <w:rsid w:val="0006455B"/>
    <w:rsid w:val="00065839"/>
    <w:rsid w:val="00065FDF"/>
    <w:rsid w:val="0006693A"/>
    <w:rsid w:val="0007027B"/>
    <w:rsid w:val="00071E94"/>
    <w:rsid w:val="00077844"/>
    <w:rsid w:val="00083763"/>
    <w:rsid w:val="00090510"/>
    <w:rsid w:val="00090FDF"/>
    <w:rsid w:val="000917AE"/>
    <w:rsid w:val="00094B81"/>
    <w:rsid w:val="00095C6A"/>
    <w:rsid w:val="000975AA"/>
    <w:rsid w:val="000A125C"/>
    <w:rsid w:val="000A3653"/>
    <w:rsid w:val="000B6B15"/>
    <w:rsid w:val="000C25A7"/>
    <w:rsid w:val="000C52B1"/>
    <w:rsid w:val="000C5513"/>
    <w:rsid w:val="000D07E5"/>
    <w:rsid w:val="000D78EC"/>
    <w:rsid w:val="000D7934"/>
    <w:rsid w:val="000E2434"/>
    <w:rsid w:val="000E258F"/>
    <w:rsid w:val="000E2597"/>
    <w:rsid w:val="000E3712"/>
    <w:rsid w:val="000E504E"/>
    <w:rsid w:val="000E6126"/>
    <w:rsid w:val="000E6746"/>
    <w:rsid w:val="000F6D53"/>
    <w:rsid w:val="000F7B51"/>
    <w:rsid w:val="00101BEE"/>
    <w:rsid w:val="00101CE6"/>
    <w:rsid w:val="00101FB1"/>
    <w:rsid w:val="00103DBC"/>
    <w:rsid w:val="0010558A"/>
    <w:rsid w:val="001101FF"/>
    <w:rsid w:val="00111989"/>
    <w:rsid w:val="00113F9F"/>
    <w:rsid w:val="00114025"/>
    <w:rsid w:val="001229D0"/>
    <w:rsid w:val="0012473C"/>
    <w:rsid w:val="0012604A"/>
    <w:rsid w:val="00127A74"/>
    <w:rsid w:val="0013132F"/>
    <w:rsid w:val="00131B1B"/>
    <w:rsid w:val="0013306D"/>
    <w:rsid w:val="00133123"/>
    <w:rsid w:val="00133F91"/>
    <w:rsid w:val="00134A3F"/>
    <w:rsid w:val="0013528C"/>
    <w:rsid w:val="001376DE"/>
    <w:rsid w:val="001442A2"/>
    <w:rsid w:val="001468CA"/>
    <w:rsid w:val="001500A8"/>
    <w:rsid w:val="00155D85"/>
    <w:rsid w:val="001659BE"/>
    <w:rsid w:val="00165D28"/>
    <w:rsid w:val="0017005C"/>
    <w:rsid w:val="00172CB9"/>
    <w:rsid w:val="00175CD8"/>
    <w:rsid w:val="001768BE"/>
    <w:rsid w:val="001814D7"/>
    <w:rsid w:val="00182BD8"/>
    <w:rsid w:val="00183A66"/>
    <w:rsid w:val="00185646"/>
    <w:rsid w:val="00190612"/>
    <w:rsid w:val="00190853"/>
    <w:rsid w:val="001926BB"/>
    <w:rsid w:val="001951F3"/>
    <w:rsid w:val="001A4208"/>
    <w:rsid w:val="001A716C"/>
    <w:rsid w:val="001A76F9"/>
    <w:rsid w:val="001B06FF"/>
    <w:rsid w:val="001B1703"/>
    <w:rsid w:val="001B5CA6"/>
    <w:rsid w:val="001C1C2E"/>
    <w:rsid w:val="001C31A1"/>
    <w:rsid w:val="001C3FA2"/>
    <w:rsid w:val="001C5EE2"/>
    <w:rsid w:val="001C7CC0"/>
    <w:rsid w:val="001D0077"/>
    <w:rsid w:val="001D09D7"/>
    <w:rsid w:val="001D3728"/>
    <w:rsid w:val="001D45D7"/>
    <w:rsid w:val="001D4805"/>
    <w:rsid w:val="001E407B"/>
    <w:rsid w:val="001E7FC6"/>
    <w:rsid w:val="001F2502"/>
    <w:rsid w:val="001F6EE3"/>
    <w:rsid w:val="001F70A5"/>
    <w:rsid w:val="0020235D"/>
    <w:rsid w:val="0020369B"/>
    <w:rsid w:val="00205334"/>
    <w:rsid w:val="00207B4D"/>
    <w:rsid w:val="0021007C"/>
    <w:rsid w:val="00210F9B"/>
    <w:rsid w:val="002117B1"/>
    <w:rsid w:val="00212DC0"/>
    <w:rsid w:val="00217CCE"/>
    <w:rsid w:val="002203B1"/>
    <w:rsid w:val="002227C6"/>
    <w:rsid w:val="00226F39"/>
    <w:rsid w:val="002334AD"/>
    <w:rsid w:val="002339A9"/>
    <w:rsid w:val="00235545"/>
    <w:rsid w:val="00235F4B"/>
    <w:rsid w:val="00241B60"/>
    <w:rsid w:val="00256193"/>
    <w:rsid w:val="0025785B"/>
    <w:rsid w:val="002578E9"/>
    <w:rsid w:val="00257969"/>
    <w:rsid w:val="00263256"/>
    <w:rsid w:val="00264B66"/>
    <w:rsid w:val="00265CD1"/>
    <w:rsid w:val="00276ED0"/>
    <w:rsid w:val="00280048"/>
    <w:rsid w:val="0028489E"/>
    <w:rsid w:val="002848DE"/>
    <w:rsid w:val="002852B6"/>
    <w:rsid w:val="00286C95"/>
    <w:rsid w:val="0028794E"/>
    <w:rsid w:val="0029733B"/>
    <w:rsid w:val="002A41A8"/>
    <w:rsid w:val="002A44FC"/>
    <w:rsid w:val="002A5841"/>
    <w:rsid w:val="002A6B7A"/>
    <w:rsid w:val="002B1EDF"/>
    <w:rsid w:val="002B2061"/>
    <w:rsid w:val="002C1232"/>
    <w:rsid w:val="002C1E44"/>
    <w:rsid w:val="002C5C92"/>
    <w:rsid w:val="002C5E29"/>
    <w:rsid w:val="002D0478"/>
    <w:rsid w:val="002D517B"/>
    <w:rsid w:val="002D7127"/>
    <w:rsid w:val="002F116C"/>
    <w:rsid w:val="002F599E"/>
    <w:rsid w:val="003008D8"/>
    <w:rsid w:val="00301D9A"/>
    <w:rsid w:val="00303959"/>
    <w:rsid w:val="003057DE"/>
    <w:rsid w:val="00306E72"/>
    <w:rsid w:val="00307918"/>
    <w:rsid w:val="00312AC3"/>
    <w:rsid w:val="00314430"/>
    <w:rsid w:val="003163BC"/>
    <w:rsid w:val="00317CE3"/>
    <w:rsid w:val="00320E96"/>
    <w:rsid w:val="003212D9"/>
    <w:rsid w:val="0032351A"/>
    <w:rsid w:val="00324B33"/>
    <w:rsid w:val="00327488"/>
    <w:rsid w:val="0033169F"/>
    <w:rsid w:val="00336FE1"/>
    <w:rsid w:val="00342D56"/>
    <w:rsid w:val="003454A6"/>
    <w:rsid w:val="003456E7"/>
    <w:rsid w:val="00345A8D"/>
    <w:rsid w:val="00346EC2"/>
    <w:rsid w:val="003477F9"/>
    <w:rsid w:val="00351DE5"/>
    <w:rsid w:val="0035444D"/>
    <w:rsid w:val="003547B9"/>
    <w:rsid w:val="00356D62"/>
    <w:rsid w:val="00363EE3"/>
    <w:rsid w:val="00372EA8"/>
    <w:rsid w:val="003735F3"/>
    <w:rsid w:val="00374729"/>
    <w:rsid w:val="00375F49"/>
    <w:rsid w:val="00381038"/>
    <w:rsid w:val="003847AF"/>
    <w:rsid w:val="00386D06"/>
    <w:rsid w:val="00387298"/>
    <w:rsid w:val="00387984"/>
    <w:rsid w:val="003933CB"/>
    <w:rsid w:val="003936E6"/>
    <w:rsid w:val="00395140"/>
    <w:rsid w:val="003A2422"/>
    <w:rsid w:val="003B149C"/>
    <w:rsid w:val="003B7AD2"/>
    <w:rsid w:val="003C0FDB"/>
    <w:rsid w:val="003C1192"/>
    <w:rsid w:val="003C1E6E"/>
    <w:rsid w:val="003C541D"/>
    <w:rsid w:val="003C55E2"/>
    <w:rsid w:val="003C63D5"/>
    <w:rsid w:val="003C7AA8"/>
    <w:rsid w:val="003D71A1"/>
    <w:rsid w:val="003E4C3A"/>
    <w:rsid w:val="003E4FBE"/>
    <w:rsid w:val="003E7D63"/>
    <w:rsid w:val="003F38C3"/>
    <w:rsid w:val="00400053"/>
    <w:rsid w:val="00402A67"/>
    <w:rsid w:val="0041688F"/>
    <w:rsid w:val="00421D79"/>
    <w:rsid w:val="0042376F"/>
    <w:rsid w:val="004246B8"/>
    <w:rsid w:val="004248F1"/>
    <w:rsid w:val="00433318"/>
    <w:rsid w:val="0043485C"/>
    <w:rsid w:val="00435E3E"/>
    <w:rsid w:val="004411D9"/>
    <w:rsid w:val="00442A56"/>
    <w:rsid w:val="004444B0"/>
    <w:rsid w:val="004456E7"/>
    <w:rsid w:val="00446390"/>
    <w:rsid w:val="0044709A"/>
    <w:rsid w:val="00450315"/>
    <w:rsid w:val="0045060B"/>
    <w:rsid w:val="00456362"/>
    <w:rsid w:val="004626FF"/>
    <w:rsid w:val="0046285C"/>
    <w:rsid w:val="00470A52"/>
    <w:rsid w:val="00471BD5"/>
    <w:rsid w:val="00477C4E"/>
    <w:rsid w:val="00477F07"/>
    <w:rsid w:val="00480A4C"/>
    <w:rsid w:val="00481503"/>
    <w:rsid w:val="00481D12"/>
    <w:rsid w:val="004854A6"/>
    <w:rsid w:val="00491851"/>
    <w:rsid w:val="00491A55"/>
    <w:rsid w:val="00494C3E"/>
    <w:rsid w:val="004960BD"/>
    <w:rsid w:val="00497DF1"/>
    <w:rsid w:val="004A318E"/>
    <w:rsid w:val="004A45D4"/>
    <w:rsid w:val="004A57E8"/>
    <w:rsid w:val="004A5A16"/>
    <w:rsid w:val="004B3081"/>
    <w:rsid w:val="004B4A09"/>
    <w:rsid w:val="004B4B7B"/>
    <w:rsid w:val="004C131B"/>
    <w:rsid w:val="004C41CE"/>
    <w:rsid w:val="004C631B"/>
    <w:rsid w:val="004D0933"/>
    <w:rsid w:val="004D2F00"/>
    <w:rsid w:val="004D31D8"/>
    <w:rsid w:val="004D35D1"/>
    <w:rsid w:val="004D50F8"/>
    <w:rsid w:val="004D5388"/>
    <w:rsid w:val="004E2767"/>
    <w:rsid w:val="004E7F16"/>
    <w:rsid w:val="004F18EC"/>
    <w:rsid w:val="00500D68"/>
    <w:rsid w:val="00501950"/>
    <w:rsid w:val="005042C7"/>
    <w:rsid w:val="00512176"/>
    <w:rsid w:val="00522665"/>
    <w:rsid w:val="0053377D"/>
    <w:rsid w:val="00535DFE"/>
    <w:rsid w:val="005373B5"/>
    <w:rsid w:val="00537AB7"/>
    <w:rsid w:val="00543610"/>
    <w:rsid w:val="0054669B"/>
    <w:rsid w:val="005573D4"/>
    <w:rsid w:val="00557684"/>
    <w:rsid w:val="005610D1"/>
    <w:rsid w:val="00562F42"/>
    <w:rsid w:val="00565739"/>
    <w:rsid w:val="00566A78"/>
    <w:rsid w:val="0056766D"/>
    <w:rsid w:val="00573795"/>
    <w:rsid w:val="00574BAB"/>
    <w:rsid w:val="00575215"/>
    <w:rsid w:val="005775D0"/>
    <w:rsid w:val="00581138"/>
    <w:rsid w:val="0058575E"/>
    <w:rsid w:val="0058783C"/>
    <w:rsid w:val="005911AE"/>
    <w:rsid w:val="005926E2"/>
    <w:rsid w:val="0059313A"/>
    <w:rsid w:val="005A2167"/>
    <w:rsid w:val="005A30B3"/>
    <w:rsid w:val="005A54EA"/>
    <w:rsid w:val="005B023F"/>
    <w:rsid w:val="005B02A2"/>
    <w:rsid w:val="005B1417"/>
    <w:rsid w:val="005B2821"/>
    <w:rsid w:val="005B69CF"/>
    <w:rsid w:val="005C3F07"/>
    <w:rsid w:val="005C4B46"/>
    <w:rsid w:val="005C5DC5"/>
    <w:rsid w:val="005D2089"/>
    <w:rsid w:val="005D5F54"/>
    <w:rsid w:val="005D7514"/>
    <w:rsid w:val="005E0FC6"/>
    <w:rsid w:val="005E1A7B"/>
    <w:rsid w:val="005E231F"/>
    <w:rsid w:val="005E6F79"/>
    <w:rsid w:val="00602D6E"/>
    <w:rsid w:val="00604080"/>
    <w:rsid w:val="00605C05"/>
    <w:rsid w:val="00611351"/>
    <w:rsid w:val="0061217D"/>
    <w:rsid w:val="006129AE"/>
    <w:rsid w:val="006179CB"/>
    <w:rsid w:val="006277A1"/>
    <w:rsid w:val="006302B4"/>
    <w:rsid w:val="00633BD7"/>
    <w:rsid w:val="00634580"/>
    <w:rsid w:val="00634884"/>
    <w:rsid w:val="006351D9"/>
    <w:rsid w:val="00637130"/>
    <w:rsid w:val="00637F0E"/>
    <w:rsid w:val="006423F2"/>
    <w:rsid w:val="006428C5"/>
    <w:rsid w:val="00650234"/>
    <w:rsid w:val="0066044B"/>
    <w:rsid w:val="006630AA"/>
    <w:rsid w:val="00663544"/>
    <w:rsid w:val="00666539"/>
    <w:rsid w:val="00666911"/>
    <w:rsid w:val="00667680"/>
    <w:rsid w:val="00675F81"/>
    <w:rsid w:val="00680D08"/>
    <w:rsid w:val="0068143E"/>
    <w:rsid w:val="0068507D"/>
    <w:rsid w:val="00691AF2"/>
    <w:rsid w:val="00692B80"/>
    <w:rsid w:val="00692CCD"/>
    <w:rsid w:val="00692D51"/>
    <w:rsid w:val="00694DD7"/>
    <w:rsid w:val="0069636B"/>
    <w:rsid w:val="006A0E0B"/>
    <w:rsid w:val="006A1762"/>
    <w:rsid w:val="006A19CE"/>
    <w:rsid w:val="006A1F0B"/>
    <w:rsid w:val="006A277A"/>
    <w:rsid w:val="006A5973"/>
    <w:rsid w:val="006B04F3"/>
    <w:rsid w:val="006B7126"/>
    <w:rsid w:val="006C170D"/>
    <w:rsid w:val="006C2D05"/>
    <w:rsid w:val="006C6B86"/>
    <w:rsid w:val="006D0E86"/>
    <w:rsid w:val="006D4553"/>
    <w:rsid w:val="006D4A35"/>
    <w:rsid w:val="006D6B44"/>
    <w:rsid w:val="006E0F71"/>
    <w:rsid w:val="006E27FE"/>
    <w:rsid w:val="00701110"/>
    <w:rsid w:val="00702E91"/>
    <w:rsid w:val="0070330F"/>
    <w:rsid w:val="00703624"/>
    <w:rsid w:val="007046ED"/>
    <w:rsid w:val="007072A1"/>
    <w:rsid w:val="00707501"/>
    <w:rsid w:val="00707C2B"/>
    <w:rsid w:val="0071060C"/>
    <w:rsid w:val="00710BC5"/>
    <w:rsid w:val="007121CA"/>
    <w:rsid w:val="00715675"/>
    <w:rsid w:val="0072003B"/>
    <w:rsid w:val="00721059"/>
    <w:rsid w:val="007211E6"/>
    <w:rsid w:val="007220C4"/>
    <w:rsid w:val="00722DC6"/>
    <w:rsid w:val="007305ED"/>
    <w:rsid w:val="00732361"/>
    <w:rsid w:val="007357B9"/>
    <w:rsid w:val="00736E5C"/>
    <w:rsid w:val="00741AB9"/>
    <w:rsid w:val="00742D03"/>
    <w:rsid w:val="00744216"/>
    <w:rsid w:val="007452E8"/>
    <w:rsid w:val="00746990"/>
    <w:rsid w:val="00746F91"/>
    <w:rsid w:val="00747093"/>
    <w:rsid w:val="00747B42"/>
    <w:rsid w:val="007502F0"/>
    <w:rsid w:val="00750D70"/>
    <w:rsid w:val="007575D0"/>
    <w:rsid w:val="00763BE4"/>
    <w:rsid w:val="007662E0"/>
    <w:rsid w:val="00772EFC"/>
    <w:rsid w:val="00776E9C"/>
    <w:rsid w:val="0078125A"/>
    <w:rsid w:val="007816D8"/>
    <w:rsid w:val="00784150"/>
    <w:rsid w:val="00793272"/>
    <w:rsid w:val="0079499A"/>
    <w:rsid w:val="00794B64"/>
    <w:rsid w:val="007967C3"/>
    <w:rsid w:val="007A0A33"/>
    <w:rsid w:val="007A223D"/>
    <w:rsid w:val="007A48DD"/>
    <w:rsid w:val="007B04DE"/>
    <w:rsid w:val="007B0AE6"/>
    <w:rsid w:val="007C0F0B"/>
    <w:rsid w:val="007C153A"/>
    <w:rsid w:val="007C43E7"/>
    <w:rsid w:val="007C57BC"/>
    <w:rsid w:val="007D04CA"/>
    <w:rsid w:val="007D0A2B"/>
    <w:rsid w:val="007D0D2C"/>
    <w:rsid w:val="007D12A1"/>
    <w:rsid w:val="007D40E5"/>
    <w:rsid w:val="007D4138"/>
    <w:rsid w:val="007E4178"/>
    <w:rsid w:val="007E50E2"/>
    <w:rsid w:val="007E6443"/>
    <w:rsid w:val="007F028E"/>
    <w:rsid w:val="007F0A77"/>
    <w:rsid w:val="007F1E37"/>
    <w:rsid w:val="007F50D3"/>
    <w:rsid w:val="007F6B1F"/>
    <w:rsid w:val="008013F0"/>
    <w:rsid w:val="00801814"/>
    <w:rsid w:val="00802B51"/>
    <w:rsid w:val="00803926"/>
    <w:rsid w:val="00804897"/>
    <w:rsid w:val="0082753F"/>
    <w:rsid w:val="008329DB"/>
    <w:rsid w:val="00832BC7"/>
    <w:rsid w:val="00833619"/>
    <w:rsid w:val="008350B3"/>
    <w:rsid w:val="008361C5"/>
    <w:rsid w:val="0083628F"/>
    <w:rsid w:val="00837AB9"/>
    <w:rsid w:val="00850637"/>
    <w:rsid w:val="00852129"/>
    <w:rsid w:val="00854D98"/>
    <w:rsid w:val="00855C41"/>
    <w:rsid w:val="0085751E"/>
    <w:rsid w:val="00860B29"/>
    <w:rsid w:val="008622E8"/>
    <w:rsid w:val="008645EE"/>
    <w:rsid w:val="00864627"/>
    <w:rsid w:val="00870144"/>
    <w:rsid w:val="0087072C"/>
    <w:rsid w:val="00870A26"/>
    <w:rsid w:val="00871312"/>
    <w:rsid w:val="00873D7A"/>
    <w:rsid w:val="0087612D"/>
    <w:rsid w:val="00877CB3"/>
    <w:rsid w:val="008804CF"/>
    <w:rsid w:val="00882D58"/>
    <w:rsid w:val="00882F19"/>
    <w:rsid w:val="00883D35"/>
    <w:rsid w:val="00884196"/>
    <w:rsid w:val="00884569"/>
    <w:rsid w:val="00884704"/>
    <w:rsid w:val="00887A51"/>
    <w:rsid w:val="0089038A"/>
    <w:rsid w:val="00890D9B"/>
    <w:rsid w:val="00891C6C"/>
    <w:rsid w:val="00893CCD"/>
    <w:rsid w:val="008964B3"/>
    <w:rsid w:val="008A0AD4"/>
    <w:rsid w:val="008A2EAB"/>
    <w:rsid w:val="008A6D28"/>
    <w:rsid w:val="008A74CC"/>
    <w:rsid w:val="008B1CB5"/>
    <w:rsid w:val="008C2D69"/>
    <w:rsid w:val="008C49C6"/>
    <w:rsid w:val="008C4F4D"/>
    <w:rsid w:val="008C5236"/>
    <w:rsid w:val="008C754C"/>
    <w:rsid w:val="008D56C9"/>
    <w:rsid w:val="008D56CA"/>
    <w:rsid w:val="008D6A54"/>
    <w:rsid w:val="008E2585"/>
    <w:rsid w:val="008E2D7A"/>
    <w:rsid w:val="008E3678"/>
    <w:rsid w:val="008F3215"/>
    <w:rsid w:val="008F4A62"/>
    <w:rsid w:val="008F53A3"/>
    <w:rsid w:val="008F7256"/>
    <w:rsid w:val="0090424C"/>
    <w:rsid w:val="0090605E"/>
    <w:rsid w:val="0090732E"/>
    <w:rsid w:val="009108CE"/>
    <w:rsid w:val="00915A9F"/>
    <w:rsid w:val="00915D9A"/>
    <w:rsid w:val="00923E77"/>
    <w:rsid w:val="009265B5"/>
    <w:rsid w:val="00930D58"/>
    <w:rsid w:val="00935AAA"/>
    <w:rsid w:val="00935B82"/>
    <w:rsid w:val="00937E7A"/>
    <w:rsid w:val="00940465"/>
    <w:rsid w:val="00946A76"/>
    <w:rsid w:val="0095031E"/>
    <w:rsid w:val="00954297"/>
    <w:rsid w:val="00960A56"/>
    <w:rsid w:val="00966EF1"/>
    <w:rsid w:val="00967223"/>
    <w:rsid w:val="009751F7"/>
    <w:rsid w:val="009759D8"/>
    <w:rsid w:val="0098244D"/>
    <w:rsid w:val="0098350E"/>
    <w:rsid w:val="00984C40"/>
    <w:rsid w:val="00990C12"/>
    <w:rsid w:val="0099404F"/>
    <w:rsid w:val="00996FA5"/>
    <w:rsid w:val="009A39D0"/>
    <w:rsid w:val="009A51E2"/>
    <w:rsid w:val="009B40A9"/>
    <w:rsid w:val="009B5662"/>
    <w:rsid w:val="009C2211"/>
    <w:rsid w:val="009C40E8"/>
    <w:rsid w:val="009C45C5"/>
    <w:rsid w:val="009E17E1"/>
    <w:rsid w:val="009E65C8"/>
    <w:rsid w:val="009E6858"/>
    <w:rsid w:val="009E6F8C"/>
    <w:rsid w:val="009F405F"/>
    <w:rsid w:val="009F5F16"/>
    <w:rsid w:val="00A01C56"/>
    <w:rsid w:val="00A178E5"/>
    <w:rsid w:val="00A32C50"/>
    <w:rsid w:val="00A33622"/>
    <w:rsid w:val="00A358E7"/>
    <w:rsid w:val="00A4380B"/>
    <w:rsid w:val="00A463FC"/>
    <w:rsid w:val="00A51A2D"/>
    <w:rsid w:val="00A5596B"/>
    <w:rsid w:val="00A60C4E"/>
    <w:rsid w:val="00A63C07"/>
    <w:rsid w:val="00A63D9B"/>
    <w:rsid w:val="00A704DC"/>
    <w:rsid w:val="00A756AF"/>
    <w:rsid w:val="00A87E88"/>
    <w:rsid w:val="00A93DC6"/>
    <w:rsid w:val="00A9411A"/>
    <w:rsid w:val="00A9475D"/>
    <w:rsid w:val="00A97C37"/>
    <w:rsid w:val="00AA1564"/>
    <w:rsid w:val="00AA4A4B"/>
    <w:rsid w:val="00AA6682"/>
    <w:rsid w:val="00AA7003"/>
    <w:rsid w:val="00AA7396"/>
    <w:rsid w:val="00AB0613"/>
    <w:rsid w:val="00AB7238"/>
    <w:rsid w:val="00AB7C5C"/>
    <w:rsid w:val="00AB7CBF"/>
    <w:rsid w:val="00AC605C"/>
    <w:rsid w:val="00AC6B6D"/>
    <w:rsid w:val="00AD0111"/>
    <w:rsid w:val="00AD0B68"/>
    <w:rsid w:val="00AD0F08"/>
    <w:rsid w:val="00AD4C72"/>
    <w:rsid w:val="00AD5451"/>
    <w:rsid w:val="00AE1947"/>
    <w:rsid w:val="00AE3C26"/>
    <w:rsid w:val="00AF1C8B"/>
    <w:rsid w:val="00AF1F4B"/>
    <w:rsid w:val="00AF299B"/>
    <w:rsid w:val="00AF4A2C"/>
    <w:rsid w:val="00AF7E43"/>
    <w:rsid w:val="00B02AE0"/>
    <w:rsid w:val="00B035BA"/>
    <w:rsid w:val="00B03F25"/>
    <w:rsid w:val="00B05326"/>
    <w:rsid w:val="00B14545"/>
    <w:rsid w:val="00B14E60"/>
    <w:rsid w:val="00B17BA2"/>
    <w:rsid w:val="00B17E18"/>
    <w:rsid w:val="00B2530F"/>
    <w:rsid w:val="00B26DC3"/>
    <w:rsid w:val="00B27E5F"/>
    <w:rsid w:val="00B30B9D"/>
    <w:rsid w:val="00B4574D"/>
    <w:rsid w:val="00B468E1"/>
    <w:rsid w:val="00B46BC0"/>
    <w:rsid w:val="00B46DFB"/>
    <w:rsid w:val="00B5141B"/>
    <w:rsid w:val="00B55681"/>
    <w:rsid w:val="00B57AAD"/>
    <w:rsid w:val="00B6374E"/>
    <w:rsid w:val="00B65117"/>
    <w:rsid w:val="00B674D7"/>
    <w:rsid w:val="00B72B16"/>
    <w:rsid w:val="00B76819"/>
    <w:rsid w:val="00B80408"/>
    <w:rsid w:val="00B81397"/>
    <w:rsid w:val="00B861F0"/>
    <w:rsid w:val="00B869EB"/>
    <w:rsid w:val="00B92554"/>
    <w:rsid w:val="00B925DB"/>
    <w:rsid w:val="00B967FF"/>
    <w:rsid w:val="00B974B9"/>
    <w:rsid w:val="00BA3F6D"/>
    <w:rsid w:val="00BA4BE6"/>
    <w:rsid w:val="00BA4FC0"/>
    <w:rsid w:val="00BA61E0"/>
    <w:rsid w:val="00BA657C"/>
    <w:rsid w:val="00BA6909"/>
    <w:rsid w:val="00BA7E42"/>
    <w:rsid w:val="00BA7F7D"/>
    <w:rsid w:val="00BB1C14"/>
    <w:rsid w:val="00BB25A3"/>
    <w:rsid w:val="00BB6847"/>
    <w:rsid w:val="00BB76A6"/>
    <w:rsid w:val="00BB7F8F"/>
    <w:rsid w:val="00BC5C31"/>
    <w:rsid w:val="00BC5F87"/>
    <w:rsid w:val="00BC60E1"/>
    <w:rsid w:val="00BC716A"/>
    <w:rsid w:val="00BD07DF"/>
    <w:rsid w:val="00BD26F4"/>
    <w:rsid w:val="00BD5DBD"/>
    <w:rsid w:val="00BD5DF6"/>
    <w:rsid w:val="00BD7BEA"/>
    <w:rsid w:val="00BE0041"/>
    <w:rsid w:val="00BE4688"/>
    <w:rsid w:val="00BE640F"/>
    <w:rsid w:val="00BE6D2A"/>
    <w:rsid w:val="00BE77E1"/>
    <w:rsid w:val="00BF4638"/>
    <w:rsid w:val="00BF5130"/>
    <w:rsid w:val="00BF5761"/>
    <w:rsid w:val="00C00844"/>
    <w:rsid w:val="00C0525F"/>
    <w:rsid w:val="00C059D0"/>
    <w:rsid w:val="00C07551"/>
    <w:rsid w:val="00C1109F"/>
    <w:rsid w:val="00C12D65"/>
    <w:rsid w:val="00C133AB"/>
    <w:rsid w:val="00C202BA"/>
    <w:rsid w:val="00C20B56"/>
    <w:rsid w:val="00C21B12"/>
    <w:rsid w:val="00C22214"/>
    <w:rsid w:val="00C26F72"/>
    <w:rsid w:val="00C30070"/>
    <w:rsid w:val="00C30080"/>
    <w:rsid w:val="00C309A7"/>
    <w:rsid w:val="00C335AB"/>
    <w:rsid w:val="00C36CAA"/>
    <w:rsid w:val="00C40428"/>
    <w:rsid w:val="00C407AB"/>
    <w:rsid w:val="00C46ECF"/>
    <w:rsid w:val="00C52B3A"/>
    <w:rsid w:val="00C52B7B"/>
    <w:rsid w:val="00C53560"/>
    <w:rsid w:val="00C547CD"/>
    <w:rsid w:val="00C570FF"/>
    <w:rsid w:val="00C57B82"/>
    <w:rsid w:val="00C57CEA"/>
    <w:rsid w:val="00C60FEC"/>
    <w:rsid w:val="00C61C01"/>
    <w:rsid w:val="00C61D69"/>
    <w:rsid w:val="00C62B1C"/>
    <w:rsid w:val="00C6574E"/>
    <w:rsid w:val="00C663D1"/>
    <w:rsid w:val="00C665D9"/>
    <w:rsid w:val="00C707FD"/>
    <w:rsid w:val="00C72158"/>
    <w:rsid w:val="00C748CB"/>
    <w:rsid w:val="00C75443"/>
    <w:rsid w:val="00C76DEB"/>
    <w:rsid w:val="00C816C6"/>
    <w:rsid w:val="00C863A7"/>
    <w:rsid w:val="00C912F4"/>
    <w:rsid w:val="00C9156F"/>
    <w:rsid w:val="00C91F7B"/>
    <w:rsid w:val="00C9581A"/>
    <w:rsid w:val="00C96AC5"/>
    <w:rsid w:val="00C97D29"/>
    <w:rsid w:val="00CA4036"/>
    <w:rsid w:val="00CA449C"/>
    <w:rsid w:val="00CA4FEB"/>
    <w:rsid w:val="00CB0550"/>
    <w:rsid w:val="00CB6813"/>
    <w:rsid w:val="00CC192A"/>
    <w:rsid w:val="00CD778D"/>
    <w:rsid w:val="00CD7F97"/>
    <w:rsid w:val="00CF652C"/>
    <w:rsid w:val="00CF6A55"/>
    <w:rsid w:val="00CF6DC6"/>
    <w:rsid w:val="00CF6DCF"/>
    <w:rsid w:val="00D01DDB"/>
    <w:rsid w:val="00D078BE"/>
    <w:rsid w:val="00D13F8A"/>
    <w:rsid w:val="00D16F60"/>
    <w:rsid w:val="00D22981"/>
    <w:rsid w:val="00D23D3E"/>
    <w:rsid w:val="00D32B41"/>
    <w:rsid w:val="00D3349B"/>
    <w:rsid w:val="00D33BDF"/>
    <w:rsid w:val="00D424A8"/>
    <w:rsid w:val="00D42CB9"/>
    <w:rsid w:val="00D6036F"/>
    <w:rsid w:val="00D62877"/>
    <w:rsid w:val="00D63760"/>
    <w:rsid w:val="00D64CD2"/>
    <w:rsid w:val="00D6703F"/>
    <w:rsid w:val="00D71AFC"/>
    <w:rsid w:val="00D734EB"/>
    <w:rsid w:val="00D73E29"/>
    <w:rsid w:val="00D82713"/>
    <w:rsid w:val="00D8506B"/>
    <w:rsid w:val="00D86F00"/>
    <w:rsid w:val="00D87C3C"/>
    <w:rsid w:val="00D918D5"/>
    <w:rsid w:val="00D91D67"/>
    <w:rsid w:val="00D94007"/>
    <w:rsid w:val="00D94290"/>
    <w:rsid w:val="00D94C8E"/>
    <w:rsid w:val="00DB1372"/>
    <w:rsid w:val="00DB192C"/>
    <w:rsid w:val="00DB1CF3"/>
    <w:rsid w:val="00DB5425"/>
    <w:rsid w:val="00DB72A6"/>
    <w:rsid w:val="00DC6611"/>
    <w:rsid w:val="00DD2255"/>
    <w:rsid w:val="00DD4E2E"/>
    <w:rsid w:val="00DD5AFB"/>
    <w:rsid w:val="00DD7E46"/>
    <w:rsid w:val="00DE1344"/>
    <w:rsid w:val="00DE4F22"/>
    <w:rsid w:val="00DF5623"/>
    <w:rsid w:val="00DF5BFE"/>
    <w:rsid w:val="00E00575"/>
    <w:rsid w:val="00E032E1"/>
    <w:rsid w:val="00E0523F"/>
    <w:rsid w:val="00E21868"/>
    <w:rsid w:val="00E22701"/>
    <w:rsid w:val="00E232B2"/>
    <w:rsid w:val="00E23E50"/>
    <w:rsid w:val="00E26213"/>
    <w:rsid w:val="00E274DF"/>
    <w:rsid w:val="00E34D66"/>
    <w:rsid w:val="00E362C4"/>
    <w:rsid w:val="00E37046"/>
    <w:rsid w:val="00E42C20"/>
    <w:rsid w:val="00E46799"/>
    <w:rsid w:val="00E46CC2"/>
    <w:rsid w:val="00E47E0C"/>
    <w:rsid w:val="00E51813"/>
    <w:rsid w:val="00E52C0B"/>
    <w:rsid w:val="00E53833"/>
    <w:rsid w:val="00E53D3F"/>
    <w:rsid w:val="00E5579B"/>
    <w:rsid w:val="00E57FF4"/>
    <w:rsid w:val="00E679D1"/>
    <w:rsid w:val="00E67C1C"/>
    <w:rsid w:val="00E918F0"/>
    <w:rsid w:val="00E91F11"/>
    <w:rsid w:val="00E920BB"/>
    <w:rsid w:val="00E9706D"/>
    <w:rsid w:val="00EA3AF4"/>
    <w:rsid w:val="00EA6592"/>
    <w:rsid w:val="00EB12C1"/>
    <w:rsid w:val="00EB303F"/>
    <w:rsid w:val="00EC61D2"/>
    <w:rsid w:val="00ED4EB1"/>
    <w:rsid w:val="00ED56F6"/>
    <w:rsid w:val="00EE4B01"/>
    <w:rsid w:val="00EE7F95"/>
    <w:rsid w:val="00EF3F0B"/>
    <w:rsid w:val="00EF5583"/>
    <w:rsid w:val="00F02523"/>
    <w:rsid w:val="00F0289D"/>
    <w:rsid w:val="00F02AEC"/>
    <w:rsid w:val="00F07304"/>
    <w:rsid w:val="00F07572"/>
    <w:rsid w:val="00F157FC"/>
    <w:rsid w:val="00F256A7"/>
    <w:rsid w:val="00F30AF3"/>
    <w:rsid w:val="00F3216B"/>
    <w:rsid w:val="00F43CD1"/>
    <w:rsid w:val="00F45AE0"/>
    <w:rsid w:val="00F5794B"/>
    <w:rsid w:val="00F60CF2"/>
    <w:rsid w:val="00F61DB3"/>
    <w:rsid w:val="00F637FA"/>
    <w:rsid w:val="00F657B4"/>
    <w:rsid w:val="00F7055D"/>
    <w:rsid w:val="00F74561"/>
    <w:rsid w:val="00F7649F"/>
    <w:rsid w:val="00F76EA2"/>
    <w:rsid w:val="00F8083B"/>
    <w:rsid w:val="00F82D1B"/>
    <w:rsid w:val="00F850AB"/>
    <w:rsid w:val="00F8568E"/>
    <w:rsid w:val="00F865A7"/>
    <w:rsid w:val="00F87955"/>
    <w:rsid w:val="00FA0754"/>
    <w:rsid w:val="00FA1BC9"/>
    <w:rsid w:val="00FA1C1E"/>
    <w:rsid w:val="00FA29A8"/>
    <w:rsid w:val="00FA466E"/>
    <w:rsid w:val="00FA49C3"/>
    <w:rsid w:val="00FB236E"/>
    <w:rsid w:val="00FB3B27"/>
    <w:rsid w:val="00FB3F7B"/>
    <w:rsid w:val="00FB4C2A"/>
    <w:rsid w:val="00FC2107"/>
    <w:rsid w:val="00FC2817"/>
    <w:rsid w:val="00FC48FE"/>
    <w:rsid w:val="00FC6B5E"/>
    <w:rsid w:val="00FC6F56"/>
    <w:rsid w:val="00FD3AB7"/>
    <w:rsid w:val="00FD4B9D"/>
    <w:rsid w:val="00FE0145"/>
    <w:rsid w:val="00FE087C"/>
    <w:rsid w:val="00FE122A"/>
    <w:rsid w:val="00FE6E6E"/>
    <w:rsid w:val="00FE79A0"/>
    <w:rsid w:val="00FF0939"/>
    <w:rsid w:val="00FF67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236"/>
    <w:rPr>
      <w:rFonts w:ascii="Cambria" w:hAnsi="Cambria"/>
      <w:sz w:val="22"/>
    </w:rPr>
  </w:style>
  <w:style w:type="paragraph" w:styleId="Heading1">
    <w:name w:val="heading 1"/>
    <w:basedOn w:val="Normal"/>
    <w:next w:val="Normal"/>
    <w:link w:val="Heading1Char"/>
    <w:uiPriority w:val="9"/>
    <w:qFormat/>
    <w:rsid w:val="00F256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456362"/>
    <w:pPr>
      <w:keepNext/>
      <w:keepLines/>
      <w:spacing w:before="240" w:line="240" w:lineRule="atLeast"/>
      <w:outlineLvl w:val="4"/>
    </w:pPr>
    <w:rPr>
      <w:rFonts w:ascii="Arial" w:eastAsia="Times New Roman" w:hAnsi="Arial" w:cs="Times New Roman"/>
      <w:b/>
      <w:bCs/>
      <w:i/>
      <w:color w:val="001871"/>
      <w:sz w:val="24"/>
      <w:szCs w:val="26"/>
    </w:rPr>
  </w:style>
  <w:style w:type="paragraph" w:styleId="Heading6">
    <w:name w:val="heading 6"/>
    <w:basedOn w:val="Normal"/>
    <w:next w:val="Normal"/>
    <w:link w:val="Heading6Char"/>
    <w:uiPriority w:val="9"/>
    <w:rsid w:val="00456362"/>
    <w:pPr>
      <w:keepNext/>
      <w:keepLines/>
      <w:spacing w:before="240" w:line="240" w:lineRule="atLeast"/>
      <w:outlineLvl w:val="5"/>
    </w:pPr>
    <w:rPr>
      <w:rFonts w:ascii="Arial" w:eastAsia="Times New Roman" w:hAnsi="Arial" w:cs="Times New Roman"/>
      <w:b/>
      <w:bCs/>
      <w:i/>
      <w:color w:val="00187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456362"/>
    <w:rPr>
      <w:rFonts w:ascii="Arial" w:eastAsia="Times New Roman" w:hAnsi="Arial" w:cs="Times New Roman"/>
      <w:b/>
      <w:bCs/>
      <w:i/>
      <w:color w:val="001871"/>
      <w:sz w:val="24"/>
      <w:szCs w:val="26"/>
    </w:rPr>
  </w:style>
  <w:style w:type="character" w:customStyle="1" w:styleId="Heading6Char">
    <w:name w:val="Heading 6 Char"/>
    <w:basedOn w:val="DefaultParagraphFont"/>
    <w:link w:val="Heading6"/>
    <w:uiPriority w:val="9"/>
    <w:rsid w:val="00456362"/>
    <w:rPr>
      <w:rFonts w:ascii="Arial" w:eastAsia="Times New Roman" w:hAnsi="Arial" w:cs="Times New Roman"/>
      <w:b/>
      <w:bCs/>
      <w:i/>
      <w:color w:val="001871"/>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3"/>
    <w:qFormat/>
    <w:rsid w:val="00FC6F56"/>
    <w:pPr>
      <w:numPr>
        <w:numId w:val="2"/>
      </w:numPr>
    </w:pPr>
  </w:style>
  <w:style w:type="paragraph" w:customStyle="1" w:styleId="Numberbullet2">
    <w:name w:val="Number bullet 2"/>
    <w:basedOn w:val="ListBullet2"/>
    <w:uiPriority w:val="3"/>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F256A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329209">
      <w:bodyDiv w:val="1"/>
      <w:marLeft w:val="0"/>
      <w:marRight w:val="0"/>
      <w:marTop w:val="0"/>
      <w:marBottom w:val="0"/>
      <w:divBdr>
        <w:top w:val="none" w:sz="0" w:space="0" w:color="auto"/>
        <w:left w:val="none" w:sz="0" w:space="0" w:color="auto"/>
        <w:bottom w:val="none" w:sz="0" w:space="0" w:color="auto"/>
        <w:right w:val="none" w:sz="0" w:space="0" w:color="auto"/>
      </w:divBdr>
    </w:div>
    <w:div w:id="566190994">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873735507">
      <w:bodyDiv w:val="1"/>
      <w:marLeft w:val="0"/>
      <w:marRight w:val="0"/>
      <w:marTop w:val="0"/>
      <w:marBottom w:val="0"/>
      <w:divBdr>
        <w:top w:val="none" w:sz="0" w:space="0" w:color="auto"/>
        <w:left w:val="none" w:sz="0" w:space="0" w:color="auto"/>
        <w:bottom w:val="none" w:sz="0" w:space="0" w:color="auto"/>
        <w:right w:val="none" w:sz="0" w:space="0" w:color="auto"/>
      </w:divBdr>
      <w:divsChild>
        <w:div w:id="1266769658">
          <w:marLeft w:val="0"/>
          <w:marRight w:val="0"/>
          <w:marTop w:val="0"/>
          <w:marBottom w:val="0"/>
          <w:divBdr>
            <w:top w:val="none" w:sz="0" w:space="0" w:color="auto"/>
            <w:left w:val="none" w:sz="0" w:space="0" w:color="auto"/>
            <w:bottom w:val="none" w:sz="0" w:space="0" w:color="auto"/>
            <w:right w:val="none" w:sz="0" w:space="0" w:color="auto"/>
          </w:divBdr>
        </w:div>
      </w:divsChild>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499299752">
      <w:bodyDiv w:val="1"/>
      <w:marLeft w:val="0"/>
      <w:marRight w:val="0"/>
      <w:marTop w:val="0"/>
      <w:marBottom w:val="0"/>
      <w:divBdr>
        <w:top w:val="none" w:sz="0" w:space="0" w:color="auto"/>
        <w:left w:val="none" w:sz="0" w:space="0" w:color="auto"/>
        <w:bottom w:val="none" w:sz="0" w:space="0" w:color="auto"/>
        <w:right w:val="none" w:sz="0" w:space="0" w:color="auto"/>
      </w:divBdr>
      <w:divsChild>
        <w:div w:id="8745809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black-triangle-scheme" TargetMode="External"/><Relationship Id="rId26" Type="http://schemas.openxmlformats.org/officeDocument/2006/relationships/image" Target="media/image6.png"/><Relationship Id="rId39" Type="http://schemas.openxmlformats.org/officeDocument/2006/relationships/image" Target="media/image16.png"/><Relationship Id="rId21" Type="http://schemas.openxmlformats.org/officeDocument/2006/relationships/hyperlink" Target="https://www.tga.gov.au/obstetric-drug-information-services" TargetMode="External"/><Relationship Id="rId34" Type="http://schemas.openxmlformats.org/officeDocument/2006/relationships/image" Target="media/image11.jpeg"/><Relationship Id="rId42" Type="http://schemas.openxmlformats.org/officeDocument/2006/relationships/image" Target="media/image18.jpeg"/><Relationship Id="rId47" Type="http://schemas.openxmlformats.org/officeDocument/2006/relationships/image" Target="media/image23.png"/><Relationship Id="rId50" Type="http://schemas.openxmlformats.org/officeDocument/2006/relationships/hyperlink" Target="https://www.tga.gov.au/committee/advisory-committee-medicines-acm" TargetMode="External"/><Relationship Id="rId55" Type="http://schemas.openxmlformats.org/officeDocument/2006/relationships/hyperlink" Target="https://www.tga.gov.au" TargetMode="Externa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hyperlink" Target="https://www.tga.gov.au/resources/artg/414649" TargetMode="External"/><Relationship Id="rId25" Type="http://schemas.microsoft.com/office/2007/relationships/hdphoto" Target="media/hdphoto1.wdp"/><Relationship Id="rId33" Type="http://schemas.microsoft.com/office/2007/relationships/hdphoto" Target="media/hdphoto4.wdp"/><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tga.gov.au/resources/artg/414648" TargetMode="External"/><Relationship Id="rId20" Type="http://schemas.openxmlformats.org/officeDocument/2006/relationships/hyperlink" Target="https://www.tga.gov.au/products/medicines/find-information-about-medicine/prescribing-medicines-pregnancy-database" TargetMode="External"/><Relationship Id="rId29" Type="http://schemas.openxmlformats.org/officeDocument/2006/relationships/image" Target="media/image8.png"/><Relationship Id="rId41" Type="http://schemas.openxmlformats.org/officeDocument/2006/relationships/image" Target="media/image17.jpeg"/><Relationship Id="rId54"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image" Target="media/image14.png"/><Relationship Id="rId40" Type="http://schemas.microsoft.com/office/2007/relationships/hdphoto" Target="media/hdphoto5.wdp"/><Relationship Id="rId45" Type="http://schemas.openxmlformats.org/officeDocument/2006/relationships/image" Target="media/image21.png"/><Relationship Id="rId53" Type="http://schemas.openxmlformats.org/officeDocument/2006/relationships/footer" Target="footer3.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ga.gov.au/resources/artg/410994" TargetMode="External"/><Relationship Id="rId23" Type="http://schemas.openxmlformats.org/officeDocument/2006/relationships/image" Target="media/image4.png"/><Relationship Id="rId28" Type="http://schemas.microsoft.com/office/2007/relationships/hdphoto" Target="media/hdphoto2.wdp"/><Relationship Id="rId36" Type="http://schemas.openxmlformats.org/officeDocument/2006/relationships/image" Target="media/image13.jpeg"/><Relationship Id="rId49" Type="http://schemas.microsoft.com/office/2007/relationships/hdphoto" Target="media/hdphoto6.wdp"/><Relationship Id="rId57"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s://www.ebs.tga.gov.au/" TargetMode="External"/><Relationship Id="rId31" Type="http://schemas.microsoft.com/office/2007/relationships/hdphoto" Target="media/hdphoto3.wdp"/><Relationship Id="rId44" Type="http://schemas.openxmlformats.org/officeDocument/2006/relationships/image" Target="media/image20.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hyperlink" Target="https://www.tga.gov.au/how-we-regulate/supply-therapeutic-good-0/supply-prescription-medicine/application-process/prescription-medicines-registration-process"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header" Target="header4.xml"/><Relationship Id="rId8" Type="http://schemas.openxmlformats.org/officeDocument/2006/relationships/header" Target="header1.xml"/><Relationship Id="rId51" Type="http://schemas.openxmlformats.org/officeDocument/2006/relationships/hyperlink" Target="https://www.ebs.tga.gov.au/"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44</Pages>
  <Words>14009</Words>
  <Characters>79854</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Australian Public Assessment Report for ZILBRYSQ</vt:lpstr>
    </vt:vector>
  </TitlesOfParts>
  <Company>Department of Health, Disability and Ageing</Company>
  <LinksUpToDate>false</LinksUpToDate>
  <CharactersWithSpaces>93676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ZILBRYSQ</dc:title>
  <dc:subject>Prescription medicines</dc:subject>
  <dc:creator>Therapeutic Goods Administration</dc:creator>
  <cp:keywords/>
  <dc:description/>
  <dcterms:created xsi:type="dcterms:W3CDTF">2025-07-17T00:10:00Z</dcterms:created>
  <dcterms:modified xsi:type="dcterms:W3CDTF">2025-07-21T05:32:00Z</dcterms:modified>
</cp:coreProperties>
</file>