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1B98A" w14:textId="77777777" w:rsidR="00F02AEC" w:rsidRDefault="00F02AEC" w:rsidP="007452E8">
      <w:pPr>
        <w:pStyle w:val="ListBullet"/>
        <w:numPr>
          <w:ilvl w:val="0"/>
          <w:numId w:val="0"/>
        </w:numPr>
      </w:pPr>
    </w:p>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3B4B41" w:rsidRPr="00215D48" w14:paraId="1C2D89F4" w14:textId="77777777">
        <w:trPr>
          <w:trHeight w:val="1558"/>
        </w:trPr>
        <w:tc>
          <w:tcPr>
            <w:tcW w:w="8720" w:type="dxa"/>
          </w:tcPr>
          <w:p w14:paraId="4A46E0DE" w14:textId="064D9EC8" w:rsidR="003B4B41" w:rsidRPr="00215D48" w:rsidRDefault="003B4B41">
            <w:pPr>
              <w:pStyle w:val="Title"/>
            </w:pPr>
            <w:r w:rsidRPr="00346EC2">
              <w:t xml:space="preserve">Australian Public Assessment Report for </w:t>
            </w:r>
            <w:r>
              <w:t>Opsynvi</w:t>
            </w:r>
          </w:p>
        </w:tc>
      </w:tr>
      <w:tr w:rsidR="003B4B41" w:rsidRPr="00215D48" w14:paraId="44476F4A" w14:textId="77777777">
        <w:trPr>
          <w:trHeight w:val="995"/>
        </w:trPr>
        <w:tc>
          <w:tcPr>
            <w:tcW w:w="8720" w:type="dxa"/>
          </w:tcPr>
          <w:p w14:paraId="1A121F4C" w14:textId="69559EED" w:rsidR="003B4B41" w:rsidRPr="00215D48" w:rsidRDefault="003B4B41">
            <w:pPr>
              <w:pStyle w:val="Subtitle"/>
              <w:ind w:left="0"/>
            </w:pPr>
            <w:r w:rsidRPr="00346EC2">
              <w:t xml:space="preserve">Active ingredient/s: </w:t>
            </w:r>
            <w:r w:rsidRPr="003B4B41">
              <w:t>Macitentan,</w:t>
            </w:r>
            <w:r>
              <w:t xml:space="preserve"> </w:t>
            </w:r>
            <w:r w:rsidRPr="003B4B41">
              <w:t>tadalafil</w:t>
            </w:r>
          </w:p>
        </w:tc>
      </w:tr>
      <w:tr w:rsidR="003B4B41" w:rsidRPr="008F75EF" w14:paraId="2B9D9535" w14:textId="77777777">
        <w:trPr>
          <w:trHeight w:val="1916"/>
        </w:trPr>
        <w:tc>
          <w:tcPr>
            <w:tcW w:w="8720" w:type="dxa"/>
          </w:tcPr>
          <w:p w14:paraId="03854B12" w14:textId="5E5B2050" w:rsidR="003B4B41" w:rsidRPr="001A7B76" w:rsidRDefault="003B4B41">
            <w:pPr>
              <w:pStyle w:val="Subtitle"/>
              <w:ind w:left="0"/>
              <w:rPr>
                <w:lang w:val="nl-BE"/>
              </w:rPr>
            </w:pPr>
            <w:r w:rsidRPr="001A7B76">
              <w:rPr>
                <w:lang w:val="nl-BE"/>
              </w:rPr>
              <w:t xml:space="preserve">Sponsor: </w:t>
            </w:r>
            <w:r w:rsidR="00EF0C40" w:rsidRPr="001A7B76">
              <w:rPr>
                <w:lang w:val="nl-BE"/>
              </w:rPr>
              <w:t>Janssen-Cilag Pty Ltd</w:t>
            </w:r>
          </w:p>
        </w:tc>
      </w:tr>
      <w:tr w:rsidR="003B4B41" w:rsidRPr="00215D48" w14:paraId="4561CA16" w14:textId="77777777">
        <w:tc>
          <w:tcPr>
            <w:tcW w:w="8720" w:type="dxa"/>
          </w:tcPr>
          <w:p w14:paraId="5771D769" w14:textId="3CC41B94" w:rsidR="003B4B41" w:rsidRPr="00215D48" w:rsidRDefault="00CB0C9C">
            <w:pPr>
              <w:pStyle w:val="Date"/>
            </w:pPr>
            <w:r>
              <w:t>June</w:t>
            </w:r>
            <w:r w:rsidR="003B4B41" w:rsidRPr="00215D48">
              <w:t xml:space="preserve"> </w:t>
            </w:r>
            <w:r w:rsidR="00A63BE9">
              <w:t>2025</w:t>
            </w:r>
          </w:p>
        </w:tc>
      </w:tr>
    </w:tbl>
    <w:p w14:paraId="73752706" w14:textId="77777777" w:rsidR="005934EE" w:rsidRPr="005934EE" w:rsidRDefault="005934EE" w:rsidP="005934EE">
      <w:pPr>
        <w:sectPr w:rsidR="005934EE" w:rsidRPr="005934EE"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468DCE9F"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6C16EF">
        <w:t>,</w:t>
      </w:r>
      <w:r w:rsidRPr="00C22214">
        <w:t xml:space="preserve"> </w:t>
      </w:r>
      <w:r w:rsidR="006C16EF" w:rsidRPr="006C16EF">
        <w:t>Disability and Ageing</w:t>
      </w:r>
      <w:r w:rsidR="006C16EF">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717CEF1" w:rsidR="00175CD8" w:rsidRPr="00346EC2" w:rsidRDefault="00F02AEC" w:rsidP="00346EC2">
      <w:pPr>
        <w:pStyle w:val="LegalCopy"/>
        <w:rPr>
          <w:rFonts w:cs="Arial"/>
        </w:rPr>
      </w:pPr>
      <w:r w:rsidRPr="00215D48">
        <w:rPr>
          <w:rFonts w:cs="Arial"/>
        </w:rPr>
        <w:t>© Commonwealth of Australia 20</w:t>
      </w:r>
      <w:r>
        <w:rPr>
          <w:rFonts w:cs="Arial"/>
        </w:rPr>
        <w:t>2</w:t>
      </w:r>
      <w:r w:rsidR="00995FD3">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4873713" w14:textId="00313870" w:rsidR="00A34D0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1577329" w:history="1">
            <w:r w:rsidR="00A34D08" w:rsidRPr="00F206E8">
              <w:rPr>
                <w:rStyle w:val="Hyperlink"/>
                <w:noProof/>
              </w:rPr>
              <w:t>Product submission</w:t>
            </w:r>
            <w:r w:rsidR="00A34D08">
              <w:rPr>
                <w:noProof/>
                <w:webHidden/>
              </w:rPr>
              <w:tab/>
            </w:r>
            <w:r w:rsidR="00A34D08">
              <w:rPr>
                <w:noProof/>
                <w:webHidden/>
              </w:rPr>
              <w:fldChar w:fldCharType="begin"/>
            </w:r>
            <w:r w:rsidR="00A34D08">
              <w:rPr>
                <w:noProof/>
                <w:webHidden/>
              </w:rPr>
              <w:instrText xml:space="preserve"> PAGEREF _Toc201577329 \h </w:instrText>
            </w:r>
            <w:r w:rsidR="00A34D08">
              <w:rPr>
                <w:noProof/>
                <w:webHidden/>
              </w:rPr>
            </w:r>
            <w:r w:rsidR="00A34D08">
              <w:rPr>
                <w:noProof/>
                <w:webHidden/>
              </w:rPr>
              <w:fldChar w:fldCharType="separate"/>
            </w:r>
            <w:r w:rsidR="00A34D08">
              <w:rPr>
                <w:noProof/>
                <w:webHidden/>
              </w:rPr>
              <w:t>6</w:t>
            </w:r>
            <w:r w:rsidR="00A34D08">
              <w:rPr>
                <w:noProof/>
                <w:webHidden/>
              </w:rPr>
              <w:fldChar w:fldCharType="end"/>
            </w:r>
          </w:hyperlink>
        </w:p>
        <w:p w14:paraId="3258CA4A" w14:textId="1BED257D"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30" w:history="1">
            <w:r w:rsidRPr="00F206E8">
              <w:rPr>
                <w:rStyle w:val="Hyperlink"/>
                <w:noProof/>
              </w:rPr>
              <w:t>Submission details</w:t>
            </w:r>
            <w:r>
              <w:rPr>
                <w:noProof/>
                <w:webHidden/>
              </w:rPr>
              <w:tab/>
            </w:r>
            <w:r>
              <w:rPr>
                <w:noProof/>
                <w:webHidden/>
              </w:rPr>
              <w:fldChar w:fldCharType="begin"/>
            </w:r>
            <w:r>
              <w:rPr>
                <w:noProof/>
                <w:webHidden/>
              </w:rPr>
              <w:instrText xml:space="preserve"> PAGEREF _Toc201577330 \h </w:instrText>
            </w:r>
            <w:r>
              <w:rPr>
                <w:noProof/>
                <w:webHidden/>
              </w:rPr>
            </w:r>
            <w:r>
              <w:rPr>
                <w:noProof/>
                <w:webHidden/>
              </w:rPr>
              <w:fldChar w:fldCharType="separate"/>
            </w:r>
            <w:r>
              <w:rPr>
                <w:noProof/>
                <w:webHidden/>
              </w:rPr>
              <w:t>6</w:t>
            </w:r>
            <w:r>
              <w:rPr>
                <w:noProof/>
                <w:webHidden/>
              </w:rPr>
              <w:fldChar w:fldCharType="end"/>
            </w:r>
          </w:hyperlink>
        </w:p>
        <w:p w14:paraId="1355526D" w14:textId="43C58ED6"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31" w:history="1">
            <w:r w:rsidRPr="00F206E8">
              <w:rPr>
                <w:rStyle w:val="Hyperlink"/>
                <w:noProof/>
              </w:rPr>
              <w:t>Product background</w:t>
            </w:r>
            <w:r>
              <w:rPr>
                <w:noProof/>
                <w:webHidden/>
              </w:rPr>
              <w:tab/>
            </w:r>
            <w:r>
              <w:rPr>
                <w:noProof/>
                <w:webHidden/>
              </w:rPr>
              <w:fldChar w:fldCharType="begin"/>
            </w:r>
            <w:r>
              <w:rPr>
                <w:noProof/>
                <w:webHidden/>
              </w:rPr>
              <w:instrText xml:space="preserve"> PAGEREF _Toc201577331 \h </w:instrText>
            </w:r>
            <w:r>
              <w:rPr>
                <w:noProof/>
                <w:webHidden/>
              </w:rPr>
            </w:r>
            <w:r>
              <w:rPr>
                <w:noProof/>
                <w:webHidden/>
              </w:rPr>
              <w:fldChar w:fldCharType="separate"/>
            </w:r>
            <w:r>
              <w:rPr>
                <w:noProof/>
                <w:webHidden/>
              </w:rPr>
              <w:t>7</w:t>
            </w:r>
            <w:r>
              <w:rPr>
                <w:noProof/>
                <w:webHidden/>
              </w:rPr>
              <w:fldChar w:fldCharType="end"/>
            </w:r>
          </w:hyperlink>
        </w:p>
        <w:p w14:paraId="4B47D565" w14:textId="1019AED7"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32" w:history="1">
            <w:r w:rsidRPr="00F206E8">
              <w:rPr>
                <w:rStyle w:val="Hyperlink"/>
                <w:noProof/>
              </w:rPr>
              <w:t>The disease</w:t>
            </w:r>
            <w:r>
              <w:rPr>
                <w:noProof/>
                <w:webHidden/>
              </w:rPr>
              <w:tab/>
            </w:r>
            <w:r>
              <w:rPr>
                <w:noProof/>
                <w:webHidden/>
              </w:rPr>
              <w:fldChar w:fldCharType="begin"/>
            </w:r>
            <w:r>
              <w:rPr>
                <w:noProof/>
                <w:webHidden/>
              </w:rPr>
              <w:instrText xml:space="preserve"> PAGEREF _Toc201577332 \h </w:instrText>
            </w:r>
            <w:r>
              <w:rPr>
                <w:noProof/>
                <w:webHidden/>
              </w:rPr>
            </w:r>
            <w:r>
              <w:rPr>
                <w:noProof/>
                <w:webHidden/>
              </w:rPr>
              <w:fldChar w:fldCharType="separate"/>
            </w:r>
            <w:r>
              <w:rPr>
                <w:noProof/>
                <w:webHidden/>
              </w:rPr>
              <w:t>7</w:t>
            </w:r>
            <w:r>
              <w:rPr>
                <w:noProof/>
                <w:webHidden/>
              </w:rPr>
              <w:fldChar w:fldCharType="end"/>
            </w:r>
          </w:hyperlink>
        </w:p>
        <w:p w14:paraId="1DD26D91" w14:textId="6D0915BD"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33" w:history="1">
            <w:r w:rsidRPr="00F206E8">
              <w:rPr>
                <w:rStyle w:val="Hyperlink"/>
                <w:noProof/>
              </w:rPr>
              <w:t>Current treatment options</w:t>
            </w:r>
            <w:r>
              <w:rPr>
                <w:noProof/>
                <w:webHidden/>
              </w:rPr>
              <w:tab/>
            </w:r>
            <w:r>
              <w:rPr>
                <w:noProof/>
                <w:webHidden/>
              </w:rPr>
              <w:fldChar w:fldCharType="begin"/>
            </w:r>
            <w:r>
              <w:rPr>
                <w:noProof/>
                <w:webHidden/>
              </w:rPr>
              <w:instrText xml:space="preserve"> PAGEREF _Toc201577333 \h </w:instrText>
            </w:r>
            <w:r>
              <w:rPr>
                <w:noProof/>
                <w:webHidden/>
              </w:rPr>
            </w:r>
            <w:r>
              <w:rPr>
                <w:noProof/>
                <w:webHidden/>
              </w:rPr>
              <w:fldChar w:fldCharType="separate"/>
            </w:r>
            <w:r>
              <w:rPr>
                <w:noProof/>
                <w:webHidden/>
              </w:rPr>
              <w:t>8</w:t>
            </w:r>
            <w:r>
              <w:rPr>
                <w:noProof/>
                <w:webHidden/>
              </w:rPr>
              <w:fldChar w:fldCharType="end"/>
            </w:r>
          </w:hyperlink>
        </w:p>
        <w:p w14:paraId="2CC22067" w14:textId="237A1AB5"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34" w:history="1">
            <w:r w:rsidRPr="00F206E8">
              <w:rPr>
                <w:rStyle w:val="Hyperlink"/>
                <w:noProof/>
              </w:rPr>
              <w:t>Clinical rationale</w:t>
            </w:r>
            <w:r>
              <w:rPr>
                <w:noProof/>
                <w:webHidden/>
              </w:rPr>
              <w:tab/>
            </w:r>
            <w:r>
              <w:rPr>
                <w:noProof/>
                <w:webHidden/>
              </w:rPr>
              <w:fldChar w:fldCharType="begin"/>
            </w:r>
            <w:r>
              <w:rPr>
                <w:noProof/>
                <w:webHidden/>
              </w:rPr>
              <w:instrText xml:space="preserve"> PAGEREF _Toc201577334 \h </w:instrText>
            </w:r>
            <w:r>
              <w:rPr>
                <w:noProof/>
                <w:webHidden/>
              </w:rPr>
            </w:r>
            <w:r>
              <w:rPr>
                <w:noProof/>
                <w:webHidden/>
              </w:rPr>
              <w:fldChar w:fldCharType="separate"/>
            </w:r>
            <w:r>
              <w:rPr>
                <w:noProof/>
                <w:webHidden/>
              </w:rPr>
              <w:t>10</w:t>
            </w:r>
            <w:r>
              <w:rPr>
                <w:noProof/>
                <w:webHidden/>
              </w:rPr>
              <w:fldChar w:fldCharType="end"/>
            </w:r>
          </w:hyperlink>
        </w:p>
        <w:p w14:paraId="2E61E942" w14:textId="4809DFCF"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35" w:history="1">
            <w:r w:rsidRPr="00F206E8">
              <w:rPr>
                <w:rStyle w:val="Hyperlink"/>
                <w:noProof/>
              </w:rPr>
              <w:t>Regulatory status</w:t>
            </w:r>
            <w:r>
              <w:rPr>
                <w:noProof/>
                <w:webHidden/>
              </w:rPr>
              <w:tab/>
            </w:r>
            <w:r>
              <w:rPr>
                <w:noProof/>
                <w:webHidden/>
              </w:rPr>
              <w:fldChar w:fldCharType="begin"/>
            </w:r>
            <w:r>
              <w:rPr>
                <w:noProof/>
                <w:webHidden/>
              </w:rPr>
              <w:instrText xml:space="preserve"> PAGEREF _Toc201577335 \h </w:instrText>
            </w:r>
            <w:r>
              <w:rPr>
                <w:noProof/>
                <w:webHidden/>
              </w:rPr>
            </w:r>
            <w:r>
              <w:rPr>
                <w:noProof/>
                <w:webHidden/>
              </w:rPr>
              <w:fldChar w:fldCharType="separate"/>
            </w:r>
            <w:r>
              <w:rPr>
                <w:noProof/>
                <w:webHidden/>
              </w:rPr>
              <w:t>11</w:t>
            </w:r>
            <w:r>
              <w:rPr>
                <w:noProof/>
                <w:webHidden/>
              </w:rPr>
              <w:fldChar w:fldCharType="end"/>
            </w:r>
          </w:hyperlink>
        </w:p>
        <w:p w14:paraId="7D3E5AA5" w14:textId="673F36A7"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36" w:history="1">
            <w:r w:rsidRPr="00F206E8">
              <w:rPr>
                <w:rStyle w:val="Hyperlink"/>
                <w:noProof/>
              </w:rPr>
              <w:t>Australian regulatory status</w:t>
            </w:r>
            <w:r>
              <w:rPr>
                <w:noProof/>
                <w:webHidden/>
              </w:rPr>
              <w:tab/>
            </w:r>
            <w:r>
              <w:rPr>
                <w:noProof/>
                <w:webHidden/>
              </w:rPr>
              <w:fldChar w:fldCharType="begin"/>
            </w:r>
            <w:r>
              <w:rPr>
                <w:noProof/>
                <w:webHidden/>
              </w:rPr>
              <w:instrText xml:space="preserve"> PAGEREF _Toc201577336 \h </w:instrText>
            </w:r>
            <w:r>
              <w:rPr>
                <w:noProof/>
                <w:webHidden/>
              </w:rPr>
            </w:r>
            <w:r>
              <w:rPr>
                <w:noProof/>
                <w:webHidden/>
              </w:rPr>
              <w:fldChar w:fldCharType="separate"/>
            </w:r>
            <w:r>
              <w:rPr>
                <w:noProof/>
                <w:webHidden/>
              </w:rPr>
              <w:t>11</w:t>
            </w:r>
            <w:r>
              <w:rPr>
                <w:noProof/>
                <w:webHidden/>
              </w:rPr>
              <w:fldChar w:fldCharType="end"/>
            </w:r>
          </w:hyperlink>
        </w:p>
        <w:p w14:paraId="5C286BB1" w14:textId="5B6FFBA8"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37" w:history="1">
            <w:r w:rsidRPr="00F206E8">
              <w:rPr>
                <w:rStyle w:val="Hyperlink"/>
                <w:noProof/>
              </w:rPr>
              <w:t>Foreign regulatory status</w:t>
            </w:r>
            <w:r>
              <w:rPr>
                <w:noProof/>
                <w:webHidden/>
              </w:rPr>
              <w:tab/>
            </w:r>
            <w:r>
              <w:rPr>
                <w:noProof/>
                <w:webHidden/>
              </w:rPr>
              <w:fldChar w:fldCharType="begin"/>
            </w:r>
            <w:r>
              <w:rPr>
                <w:noProof/>
                <w:webHidden/>
              </w:rPr>
              <w:instrText xml:space="preserve"> PAGEREF _Toc201577337 \h </w:instrText>
            </w:r>
            <w:r>
              <w:rPr>
                <w:noProof/>
                <w:webHidden/>
              </w:rPr>
            </w:r>
            <w:r>
              <w:rPr>
                <w:noProof/>
                <w:webHidden/>
              </w:rPr>
              <w:fldChar w:fldCharType="separate"/>
            </w:r>
            <w:r>
              <w:rPr>
                <w:noProof/>
                <w:webHidden/>
              </w:rPr>
              <w:t>11</w:t>
            </w:r>
            <w:r>
              <w:rPr>
                <w:noProof/>
                <w:webHidden/>
              </w:rPr>
              <w:fldChar w:fldCharType="end"/>
            </w:r>
          </w:hyperlink>
        </w:p>
        <w:p w14:paraId="15B859F8" w14:textId="2B76F17A" w:rsidR="00A34D08" w:rsidRDefault="00A34D0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77338" w:history="1">
            <w:r w:rsidRPr="00F206E8">
              <w:rPr>
                <w:rStyle w:val="Hyperlink"/>
                <w:noProof/>
              </w:rPr>
              <w:t>Registration timeline</w:t>
            </w:r>
            <w:r>
              <w:rPr>
                <w:noProof/>
                <w:webHidden/>
              </w:rPr>
              <w:tab/>
            </w:r>
            <w:r>
              <w:rPr>
                <w:noProof/>
                <w:webHidden/>
              </w:rPr>
              <w:fldChar w:fldCharType="begin"/>
            </w:r>
            <w:r>
              <w:rPr>
                <w:noProof/>
                <w:webHidden/>
              </w:rPr>
              <w:instrText xml:space="preserve"> PAGEREF _Toc201577338 \h </w:instrText>
            </w:r>
            <w:r>
              <w:rPr>
                <w:noProof/>
                <w:webHidden/>
              </w:rPr>
            </w:r>
            <w:r>
              <w:rPr>
                <w:noProof/>
                <w:webHidden/>
              </w:rPr>
              <w:fldChar w:fldCharType="separate"/>
            </w:r>
            <w:r>
              <w:rPr>
                <w:noProof/>
                <w:webHidden/>
              </w:rPr>
              <w:t>11</w:t>
            </w:r>
            <w:r>
              <w:rPr>
                <w:noProof/>
                <w:webHidden/>
              </w:rPr>
              <w:fldChar w:fldCharType="end"/>
            </w:r>
          </w:hyperlink>
        </w:p>
        <w:p w14:paraId="5C602B73" w14:textId="778CDEF1" w:rsidR="00A34D08" w:rsidRDefault="00A34D0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77339" w:history="1">
            <w:r w:rsidRPr="00F206E8">
              <w:rPr>
                <w:rStyle w:val="Hyperlink"/>
                <w:noProof/>
              </w:rPr>
              <w:t>Submission overview and risk/benefit assessment</w:t>
            </w:r>
            <w:r>
              <w:rPr>
                <w:noProof/>
                <w:webHidden/>
              </w:rPr>
              <w:tab/>
            </w:r>
            <w:r>
              <w:rPr>
                <w:noProof/>
                <w:webHidden/>
              </w:rPr>
              <w:fldChar w:fldCharType="begin"/>
            </w:r>
            <w:r>
              <w:rPr>
                <w:noProof/>
                <w:webHidden/>
              </w:rPr>
              <w:instrText xml:space="preserve"> PAGEREF _Toc201577339 \h </w:instrText>
            </w:r>
            <w:r>
              <w:rPr>
                <w:noProof/>
                <w:webHidden/>
              </w:rPr>
            </w:r>
            <w:r>
              <w:rPr>
                <w:noProof/>
                <w:webHidden/>
              </w:rPr>
              <w:fldChar w:fldCharType="separate"/>
            </w:r>
            <w:r>
              <w:rPr>
                <w:noProof/>
                <w:webHidden/>
              </w:rPr>
              <w:t>12</w:t>
            </w:r>
            <w:r>
              <w:rPr>
                <w:noProof/>
                <w:webHidden/>
              </w:rPr>
              <w:fldChar w:fldCharType="end"/>
            </w:r>
          </w:hyperlink>
        </w:p>
        <w:p w14:paraId="706FC8FF" w14:textId="70B674C3"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40" w:history="1">
            <w:r w:rsidRPr="00F206E8">
              <w:rPr>
                <w:rStyle w:val="Hyperlink"/>
                <w:noProof/>
              </w:rPr>
              <w:t>Quality</w:t>
            </w:r>
            <w:r>
              <w:rPr>
                <w:noProof/>
                <w:webHidden/>
              </w:rPr>
              <w:tab/>
            </w:r>
            <w:r>
              <w:rPr>
                <w:noProof/>
                <w:webHidden/>
              </w:rPr>
              <w:fldChar w:fldCharType="begin"/>
            </w:r>
            <w:r>
              <w:rPr>
                <w:noProof/>
                <w:webHidden/>
              </w:rPr>
              <w:instrText xml:space="preserve"> PAGEREF _Toc201577340 \h </w:instrText>
            </w:r>
            <w:r>
              <w:rPr>
                <w:noProof/>
                <w:webHidden/>
              </w:rPr>
            </w:r>
            <w:r>
              <w:rPr>
                <w:noProof/>
                <w:webHidden/>
              </w:rPr>
              <w:fldChar w:fldCharType="separate"/>
            </w:r>
            <w:r>
              <w:rPr>
                <w:noProof/>
                <w:webHidden/>
              </w:rPr>
              <w:t>12</w:t>
            </w:r>
            <w:r>
              <w:rPr>
                <w:noProof/>
                <w:webHidden/>
              </w:rPr>
              <w:fldChar w:fldCharType="end"/>
            </w:r>
          </w:hyperlink>
        </w:p>
        <w:p w14:paraId="0B7EBFE6" w14:textId="5142C656"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41" w:history="1">
            <w:r w:rsidRPr="00F206E8">
              <w:rPr>
                <w:rStyle w:val="Hyperlink"/>
                <w:noProof/>
              </w:rPr>
              <w:t>Nonclinical</w:t>
            </w:r>
            <w:r>
              <w:rPr>
                <w:noProof/>
                <w:webHidden/>
              </w:rPr>
              <w:tab/>
            </w:r>
            <w:r>
              <w:rPr>
                <w:noProof/>
                <w:webHidden/>
              </w:rPr>
              <w:fldChar w:fldCharType="begin"/>
            </w:r>
            <w:r>
              <w:rPr>
                <w:noProof/>
                <w:webHidden/>
              </w:rPr>
              <w:instrText xml:space="preserve"> PAGEREF _Toc201577341 \h </w:instrText>
            </w:r>
            <w:r>
              <w:rPr>
                <w:noProof/>
                <w:webHidden/>
              </w:rPr>
            </w:r>
            <w:r>
              <w:rPr>
                <w:noProof/>
                <w:webHidden/>
              </w:rPr>
              <w:fldChar w:fldCharType="separate"/>
            </w:r>
            <w:r>
              <w:rPr>
                <w:noProof/>
                <w:webHidden/>
              </w:rPr>
              <w:t>13</w:t>
            </w:r>
            <w:r>
              <w:rPr>
                <w:noProof/>
                <w:webHidden/>
              </w:rPr>
              <w:fldChar w:fldCharType="end"/>
            </w:r>
          </w:hyperlink>
        </w:p>
        <w:p w14:paraId="18948557" w14:textId="76E3203B"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42" w:history="1">
            <w:r w:rsidRPr="00F206E8">
              <w:rPr>
                <w:rStyle w:val="Hyperlink"/>
                <w:noProof/>
              </w:rPr>
              <w:t>Clinical</w:t>
            </w:r>
            <w:r>
              <w:rPr>
                <w:noProof/>
                <w:webHidden/>
              </w:rPr>
              <w:tab/>
            </w:r>
            <w:r>
              <w:rPr>
                <w:noProof/>
                <w:webHidden/>
              </w:rPr>
              <w:fldChar w:fldCharType="begin"/>
            </w:r>
            <w:r>
              <w:rPr>
                <w:noProof/>
                <w:webHidden/>
              </w:rPr>
              <w:instrText xml:space="preserve"> PAGEREF _Toc201577342 \h </w:instrText>
            </w:r>
            <w:r>
              <w:rPr>
                <w:noProof/>
                <w:webHidden/>
              </w:rPr>
            </w:r>
            <w:r>
              <w:rPr>
                <w:noProof/>
                <w:webHidden/>
              </w:rPr>
              <w:fldChar w:fldCharType="separate"/>
            </w:r>
            <w:r>
              <w:rPr>
                <w:noProof/>
                <w:webHidden/>
              </w:rPr>
              <w:t>13</w:t>
            </w:r>
            <w:r>
              <w:rPr>
                <w:noProof/>
                <w:webHidden/>
              </w:rPr>
              <w:fldChar w:fldCharType="end"/>
            </w:r>
          </w:hyperlink>
        </w:p>
        <w:p w14:paraId="14CC2995" w14:textId="4C63382C"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43" w:history="1">
            <w:r w:rsidRPr="00F206E8">
              <w:rPr>
                <w:rStyle w:val="Hyperlink"/>
                <w:noProof/>
              </w:rPr>
              <w:t>Summary of clinical studies</w:t>
            </w:r>
            <w:r>
              <w:rPr>
                <w:noProof/>
                <w:webHidden/>
              </w:rPr>
              <w:tab/>
            </w:r>
            <w:r>
              <w:rPr>
                <w:noProof/>
                <w:webHidden/>
              </w:rPr>
              <w:fldChar w:fldCharType="begin"/>
            </w:r>
            <w:r>
              <w:rPr>
                <w:noProof/>
                <w:webHidden/>
              </w:rPr>
              <w:instrText xml:space="preserve"> PAGEREF _Toc201577343 \h </w:instrText>
            </w:r>
            <w:r>
              <w:rPr>
                <w:noProof/>
                <w:webHidden/>
              </w:rPr>
            </w:r>
            <w:r>
              <w:rPr>
                <w:noProof/>
                <w:webHidden/>
              </w:rPr>
              <w:fldChar w:fldCharType="separate"/>
            </w:r>
            <w:r>
              <w:rPr>
                <w:noProof/>
                <w:webHidden/>
              </w:rPr>
              <w:t>13</w:t>
            </w:r>
            <w:r>
              <w:rPr>
                <w:noProof/>
                <w:webHidden/>
              </w:rPr>
              <w:fldChar w:fldCharType="end"/>
            </w:r>
          </w:hyperlink>
        </w:p>
        <w:p w14:paraId="7763FDD6" w14:textId="1A52FC90"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44" w:history="1">
            <w:r w:rsidRPr="00F206E8">
              <w:rPr>
                <w:rStyle w:val="Hyperlink"/>
                <w:noProof/>
              </w:rPr>
              <w:t>Pharmacology</w:t>
            </w:r>
            <w:r>
              <w:rPr>
                <w:noProof/>
                <w:webHidden/>
              </w:rPr>
              <w:tab/>
            </w:r>
            <w:r>
              <w:rPr>
                <w:noProof/>
                <w:webHidden/>
              </w:rPr>
              <w:fldChar w:fldCharType="begin"/>
            </w:r>
            <w:r>
              <w:rPr>
                <w:noProof/>
                <w:webHidden/>
              </w:rPr>
              <w:instrText xml:space="preserve"> PAGEREF _Toc201577344 \h </w:instrText>
            </w:r>
            <w:r>
              <w:rPr>
                <w:noProof/>
                <w:webHidden/>
              </w:rPr>
            </w:r>
            <w:r>
              <w:rPr>
                <w:noProof/>
                <w:webHidden/>
              </w:rPr>
              <w:fldChar w:fldCharType="separate"/>
            </w:r>
            <w:r>
              <w:rPr>
                <w:noProof/>
                <w:webHidden/>
              </w:rPr>
              <w:t>13</w:t>
            </w:r>
            <w:r>
              <w:rPr>
                <w:noProof/>
                <w:webHidden/>
              </w:rPr>
              <w:fldChar w:fldCharType="end"/>
            </w:r>
          </w:hyperlink>
        </w:p>
        <w:p w14:paraId="520DEA3C" w14:textId="76B6D583"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45" w:history="1">
            <w:r w:rsidRPr="00F206E8">
              <w:rPr>
                <w:rStyle w:val="Hyperlink"/>
                <w:noProof/>
              </w:rPr>
              <w:t>Efficacy</w:t>
            </w:r>
            <w:r>
              <w:rPr>
                <w:noProof/>
                <w:webHidden/>
              </w:rPr>
              <w:tab/>
            </w:r>
            <w:r>
              <w:rPr>
                <w:noProof/>
                <w:webHidden/>
              </w:rPr>
              <w:fldChar w:fldCharType="begin"/>
            </w:r>
            <w:r>
              <w:rPr>
                <w:noProof/>
                <w:webHidden/>
              </w:rPr>
              <w:instrText xml:space="preserve"> PAGEREF _Toc201577345 \h </w:instrText>
            </w:r>
            <w:r>
              <w:rPr>
                <w:noProof/>
                <w:webHidden/>
              </w:rPr>
            </w:r>
            <w:r>
              <w:rPr>
                <w:noProof/>
                <w:webHidden/>
              </w:rPr>
              <w:fldChar w:fldCharType="separate"/>
            </w:r>
            <w:r>
              <w:rPr>
                <w:noProof/>
                <w:webHidden/>
              </w:rPr>
              <w:t>16</w:t>
            </w:r>
            <w:r>
              <w:rPr>
                <w:noProof/>
                <w:webHidden/>
              </w:rPr>
              <w:fldChar w:fldCharType="end"/>
            </w:r>
          </w:hyperlink>
        </w:p>
        <w:p w14:paraId="7ADFE46C" w14:textId="104F9989"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46" w:history="1">
            <w:r w:rsidRPr="00F206E8">
              <w:rPr>
                <w:rStyle w:val="Hyperlink"/>
                <w:noProof/>
              </w:rPr>
              <w:t>Safety</w:t>
            </w:r>
            <w:r>
              <w:rPr>
                <w:noProof/>
                <w:webHidden/>
              </w:rPr>
              <w:tab/>
            </w:r>
            <w:r>
              <w:rPr>
                <w:noProof/>
                <w:webHidden/>
              </w:rPr>
              <w:fldChar w:fldCharType="begin"/>
            </w:r>
            <w:r>
              <w:rPr>
                <w:noProof/>
                <w:webHidden/>
              </w:rPr>
              <w:instrText xml:space="preserve"> PAGEREF _Toc201577346 \h </w:instrText>
            </w:r>
            <w:r>
              <w:rPr>
                <w:noProof/>
                <w:webHidden/>
              </w:rPr>
            </w:r>
            <w:r>
              <w:rPr>
                <w:noProof/>
                <w:webHidden/>
              </w:rPr>
              <w:fldChar w:fldCharType="separate"/>
            </w:r>
            <w:r>
              <w:rPr>
                <w:noProof/>
                <w:webHidden/>
              </w:rPr>
              <w:t>19</w:t>
            </w:r>
            <w:r>
              <w:rPr>
                <w:noProof/>
                <w:webHidden/>
              </w:rPr>
              <w:fldChar w:fldCharType="end"/>
            </w:r>
          </w:hyperlink>
        </w:p>
        <w:p w14:paraId="7A4B0143" w14:textId="404305A9"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47" w:history="1">
            <w:r w:rsidRPr="00F206E8">
              <w:rPr>
                <w:rStyle w:val="Hyperlink"/>
                <w:noProof/>
              </w:rPr>
              <w:t>Recommendation following the clinical evaluation</w:t>
            </w:r>
            <w:r>
              <w:rPr>
                <w:noProof/>
                <w:webHidden/>
              </w:rPr>
              <w:tab/>
            </w:r>
            <w:r>
              <w:rPr>
                <w:noProof/>
                <w:webHidden/>
              </w:rPr>
              <w:fldChar w:fldCharType="begin"/>
            </w:r>
            <w:r>
              <w:rPr>
                <w:noProof/>
                <w:webHidden/>
              </w:rPr>
              <w:instrText xml:space="preserve"> PAGEREF _Toc201577347 \h </w:instrText>
            </w:r>
            <w:r>
              <w:rPr>
                <w:noProof/>
                <w:webHidden/>
              </w:rPr>
            </w:r>
            <w:r>
              <w:rPr>
                <w:noProof/>
                <w:webHidden/>
              </w:rPr>
              <w:fldChar w:fldCharType="separate"/>
            </w:r>
            <w:r>
              <w:rPr>
                <w:noProof/>
                <w:webHidden/>
              </w:rPr>
              <w:t>23</w:t>
            </w:r>
            <w:r>
              <w:rPr>
                <w:noProof/>
                <w:webHidden/>
              </w:rPr>
              <w:fldChar w:fldCharType="end"/>
            </w:r>
          </w:hyperlink>
        </w:p>
        <w:p w14:paraId="2A7C5543" w14:textId="4F710E7D"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48" w:history="1">
            <w:r w:rsidRPr="00F206E8">
              <w:rPr>
                <w:rStyle w:val="Hyperlink"/>
                <w:noProof/>
                <w:lang w:eastAsia="en-AU"/>
              </w:rPr>
              <w:t>Risk management plan</w:t>
            </w:r>
            <w:r>
              <w:rPr>
                <w:noProof/>
                <w:webHidden/>
              </w:rPr>
              <w:tab/>
            </w:r>
            <w:r>
              <w:rPr>
                <w:noProof/>
                <w:webHidden/>
              </w:rPr>
              <w:fldChar w:fldCharType="begin"/>
            </w:r>
            <w:r>
              <w:rPr>
                <w:noProof/>
                <w:webHidden/>
              </w:rPr>
              <w:instrText xml:space="preserve"> PAGEREF _Toc201577348 \h </w:instrText>
            </w:r>
            <w:r>
              <w:rPr>
                <w:noProof/>
                <w:webHidden/>
              </w:rPr>
            </w:r>
            <w:r>
              <w:rPr>
                <w:noProof/>
                <w:webHidden/>
              </w:rPr>
              <w:fldChar w:fldCharType="separate"/>
            </w:r>
            <w:r>
              <w:rPr>
                <w:noProof/>
                <w:webHidden/>
              </w:rPr>
              <w:t>23</w:t>
            </w:r>
            <w:r>
              <w:rPr>
                <w:noProof/>
                <w:webHidden/>
              </w:rPr>
              <w:fldChar w:fldCharType="end"/>
            </w:r>
          </w:hyperlink>
        </w:p>
        <w:p w14:paraId="7EDFB0CB" w14:textId="6FDC77A7"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49" w:history="1">
            <w:r w:rsidRPr="00F206E8">
              <w:rPr>
                <w:rStyle w:val="Hyperlink"/>
                <w:noProof/>
              </w:rPr>
              <w:t>Risk-benefit analysis</w:t>
            </w:r>
            <w:r>
              <w:rPr>
                <w:noProof/>
                <w:webHidden/>
              </w:rPr>
              <w:tab/>
            </w:r>
            <w:r>
              <w:rPr>
                <w:noProof/>
                <w:webHidden/>
              </w:rPr>
              <w:fldChar w:fldCharType="begin"/>
            </w:r>
            <w:r>
              <w:rPr>
                <w:noProof/>
                <w:webHidden/>
              </w:rPr>
              <w:instrText xml:space="preserve"> PAGEREF _Toc201577349 \h </w:instrText>
            </w:r>
            <w:r>
              <w:rPr>
                <w:noProof/>
                <w:webHidden/>
              </w:rPr>
            </w:r>
            <w:r>
              <w:rPr>
                <w:noProof/>
                <w:webHidden/>
              </w:rPr>
              <w:fldChar w:fldCharType="separate"/>
            </w:r>
            <w:r>
              <w:rPr>
                <w:noProof/>
                <w:webHidden/>
              </w:rPr>
              <w:t>24</w:t>
            </w:r>
            <w:r>
              <w:rPr>
                <w:noProof/>
                <w:webHidden/>
              </w:rPr>
              <w:fldChar w:fldCharType="end"/>
            </w:r>
          </w:hyperlink>
        </w:p>
        <w:p w14:paraId="668E6A8F" w14:textId="38D02067"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50" w:history="1">
            <w:r w:rsidRPr="00F206E8">
              <w:rPr>
                <w:rStyle w:val="Hyperlink"/>
                <w:noProof/>
              </w:rPr>
              <w:t>Delegate’s considerations</w:t>
            </w:r>
            <w:r>
              <w:rPr>
                <w:noProof/>
                <w:webHidden/>
              </w:rPr>
              <w:tab/>
            </w:r>
            <w:r>
              <w:rPr>
                <w:noProof/>
                <w:webHidden/>
              </w:rPr>
              <w:fldChar w:fldCharType="begin"/>
            </w:r>
            <w:r>
              <w:rPr>
                <w:noProof/>
                <w:webHidden/>
              </w:rPr>
              <w:instrText xml:space="preserve"> PAGEREF _Toc201577350 \h </w:instrText>
            </w:r>
            <w:r>
              <w:rPr>
                <w:noProof/>
                <w:webHidden/>
              </w:rPr>
            </w:r>
            <w:r>
              <w:rPr>
                <w:noProof/>
                <w:webHidden/>
              </w:rPr>
              <w:fldChar w:fldCharType="separate"/>
            </w:r>
            <w:r>
              <w:rPr>
                <w:noProof/>
                <w:webHidden/>
              </w:rPr>
              <w:t>24</w:t>
            </w:r>
            <w:r>
              <w:rPr>
                <w:noProof/>
                <w:webHidden/>
              </w:rPr>
              <w:fldChar w:fldCharType="end"/>
            </w:r>
          </w:hyperlink>
        </w:p>
        <w:p w14:paraId="009AD1E2" w14:textId="361EBAE0"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51" w:history="1">
            <w:r w:rsidRPr="00F206E8">
              <w:rPr>
                <w:rStyle w:val="Hyperlink"/>
                <w:noProof/>
              </w:rPr>
              <w:t>Proposed action</w:t>
            </w:r>
            <w:r>
              <w:rPr>
                <w:noProof/>
                <w:webHidden/>
              </w:rPr>
              <w:tab/>
            </w:r>
            <w:r>
              <w:rPr>
                <w:noProof/>
                <w:webHidden/>
              </w:rPr>
              <w:fldChar w:fldCharType="begin"/>
            </w:r>
            <w:r>
              <w:rPr>
                <w:noProof/>
                <w:webHidden/>
              </w:rPr>
              <w:instrText xml:space="preserve"> PAGEREF _Toc201577351 \h </w:instrText>
            </w:r>
            <w:r>
              <w:rPr>
                <w:noProof/>
                <w:webHidden/>
              </w:rPr>
            </w:r>
            <w:r>
              <w:rPr>
                <w:noProof/>
                <w:webHidden/>
              </w:rPr>
              <w:fldChar w:fldCharType="separate"/>
            </w:r>
            <w:r>
              <w:rPr>
                <w:noProof/>
                <w:webHidden/>
              </w:rPr>
              <w:t>25</w:t>
            </w:r>
            <w:r>
              <w:rPr>
                <w:noProof/>
                <w:webHidden/>
              </w:rPr>
              <w:fldChar w:fldCharType="end"/>
            </w:r>
          </w:hyperlink>
        </w:p>
        <w:p w14:paraId="4E728E16" w14:textId="1AD7F6F1" w:rsidR="00A34D08" w:rsidRDefault="00A34D0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77352" w:history="1">
            <w:r w:rsidRPr="00F206E8">
              <w:rPr>
                <w:rStyle w:val="Hyperlink"/>
                <w:noProof/>
              </w:rPr>
              <w:t>Advisory Committee considerations</w:t>
            </w:r>
            <w:r>
              <w:rPr>
                <w:noProof/>
                <w:webHidden/>
              </w:rPr>
              <w:tab/>
            </w:r>
            <w:r>
              <w:rPr>
                <w:noProof/>
                <w:webHidden/>
              </w:rPr>
              <w:fldChar w:fldCharType="begin"/>
            </w:r>
            <w:r>
              <w:rPr>
                <w:noProof/>
                <w:webHidden/>
              </w:rPr>
              <w:instrText xml:space="preserve"> PAGEREF _Toc201577352 \h </w:instrText>
            </w:r>
            <w:r>
              <w:rPr>
                <w:noProof/>
                <w:webHidden/>
              </w:rPr>
            </w:r>
            <w:r>
              <w:rPr>
                <w:noProof/>
                <w:webHidden/>
              </w:rPr>
              <w:fldChar w:fldCharType="separate"/>
            </w:r>
            <w:r>
              <w:rPr>
                <w:noProof/>
                <w:webHidden/>
              </w:rPr>
              <w:t>25</w:t>
            </w:r>
            <w:r>
              <w:rPr>
                <w:noProof/>
                <w:webHidden/>
              </w:rPr>
              <w:fldChar w:fldCharType="end"/>
            </w:r>
          </w:hyperlink>
        </w:p>
        <w:p w14:paraId="1BC1CAAC" w14:textId="5247D9CB" w:rsidR="00A34D08" w:rsidRDefault="00A34D0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77353" w:history="1">
            <w:r w:rsidRPr="00F206E8">
              <w:rPr>
                <w:rStyle w:val="Hyperlink"/>
                <w:noProof/>
              </w:rPr>
              <w:t>Outcome</w:t>
            </w:r>
            <w:r>
              <w:rPr>
                <w:noProof/>
                <w:webHidden/>
              </w:rPr>
              <w:tab/>
            </w:r>
            <w:r>
              <w:rPr>
                <w:noProof/>
                <w:webHidden/>
              </w:rPr>
              <w:fldChar w:fldCharType="begin"/>
            </w:r>
            <w:r>
              <w:rPr>
                <w:noProof/>
                <w:webHidden/>
              </w:rPr>
              <w:instrText xml:space="preserve"> PAGEREF _Toc201577353 \h </w:instrText>
            </w:r>
            <w:r>
              <w:rPr>
                <w:noProof/>
                <w:webHidden/>
              </w:rPr>
            </w:r>
            <w:r>
              <w:rPr>
                <w:noProof/>
                <w:webHidden/>
              </w:rPr>
              <w:fldChar w:fldCharType="separate"/>
            </w:r>
            <w:r>
              <w:rPr>
                <w:noProof/>
                <w:webHidden/>
              </w:rPr>
              <w:t>26</w:t>
            </w:r>
            <w:r>
              <w:rPr>
                <w:noProof/>
                <w:webHidden/>
              </w:rPr>
              <w:fldChar w:fldCharType="end"/>
            </w:r>
          </w:hyperlink>
        </w:p>
        <w:p w14:paraId="7488DDE8" w14:textId="1BF2F8A2" w:rsidR="00A34D08" w:rsidRDefault="00A34D0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77354" w:history="1">
            <w:r w:rsidRPr="00F206E8">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_Toc201577354 \h </w:instrText>
            </w:r>
            <w:r>
              <w:rPr>
                <w:noProof/>
                <w:webHidden/>
              </w:rPr>
            </w:r>
            <w:r>
              <w:rPr>
                <w:noProof/>
                <w:webHidden/>
              </w:rPr>
              <w:fldChar w:fldCharType="separate"/>
            </w:r>
            <w:r>
              <w:rPr>
                <w:noProof/>
                <w:webHidden/>
              </w:rPr>
              <w:t>27</w:t>
            </w:r>
            <w:r>
              <w:rPr>
                <w:noProof/>
                <w:webHidden/>
              </w:rPr>
              <w:fldChar w:fldCharType="end"/>
            </w:r>
          </w:hyperlink>
        </w:p>
        <w:p w14:paraId="41B5FAAD" w14:textId="2EA4A5B4" w:rsidR="00A34D08" w:rsidRDefault="00A34D0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77355" w:history="1">
            <w:r w:rsidRPr="00F206E8">
              <w:rPr>
                <w:rStyle w:val="Hyperlink"/>
                <w:noProof/>
              </w:rPr>
              <w:t>Attachment 1. Product Information</w:t>
            </w:r>
            <w:r>
              <w:rPr>
                <w:noProof/>
                <w:webHidden/>
              </w:rPr>
              <w:tab/>
            </w:r>
            <w:r>
              <w:rPr>
                <w:noProof/>
                <w:webHidden/>
              </w:rPr>
              <w:fldChar w:fldCharType="begin"/>
            </w:r>
            <w:r>
              <w:rPr>
                <w:noProof/>
                <w:webHidden/>
              </w:rPr>
              <w:instrText xml:space="preserve"> PAGEREF _Toc201577355 \h </w:instrText>
            </w:r>
            <w:r>
              <w:rPr>
                <w:noProof/>
                <w:webHidden/>
              </w:rPr>
            </w:r>
            <w:r>
              <w:rPr>
                <w:noProof/>
                <w:webHidden/>
              </w:rPr>
              <w:fldChar w:fldCharType="separate"/>
            </w:r>
            <w:r>
              <w:rPr>
                <w:noProof/>
                <w:webHidden/>
              </w:rPr>
              <w:t>27</w:t>
            </w:r>
            <w:r>
              <w:rPr>
                <w:noProof/>
                <w:webHidden/>
              </w:rPr>
              <w:fldChar w:fldCharType="end"/>
            </w:r>
          </w:hyperlink>
        </w:p>
        <w:p w14:paraId="77659F2D" w14:textId="7D5EA02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Pr="00114D1C" w:rsidRDefault="00324B33" w:rsidP="00114D1C">
      <w:pPr>
        <w:rPr>
          <w:rFonts w:ascii="Arial" w:hAnsi="Arial" w:cs="Arial"/>
          <w:b/>
          <w:bCs/>
          <w:color w:val="001871"/>
          <w:sz w:val="32"/>
          <w:szCs w:val="28"/>
        </w:rPr>
      </w:pPr>
      <w:bookmarkStart w:id="0" w:name="_Toc98931917"/>
      <w:bookmarkStart w:id="1" w:name="_Toc103679287"/>
      <w:bookmarkStart w:id="2" w:name="_Toc323739589"/>
      <w:bookmarkStart w:id="3" w:name="_Toc356305216"/>
      <w:r w:rsidRPr="00114D1C">
        <w:rPr>
          <w:rFonts w:ascii="Arial" w:hAnsi="Arial" w:cs="Arial"/>
          <w:b/>
          <w:bCs/>
          <w:color w:val="001871"/>
          <w:sz w:val="32"/>
          <w:szCs w:val="28"/>
        </w:rPr>
        <w:lastRenderedPageBreak/>
        <w:t>List of abbreviations</w:t>
      </w:r>
      <w:bookmarkEnd w:id="0"/>
      <w:bookmarkEnd w:id="1"/>
    </w:p>
    <w:tbl>
      <w:tblPr>
        <w:tblStyle w:val="TableTGAblue2023"/>
        <w:tblW w:w="4978" w:type="pct"/>
        <w:tblLayout w:type="fixed"/>
        <w:tblLook w:val="04A0" w:firstRow="1" w:lastRow="0" w:firstColumn="1" w:lastColumn="0" w:noHBand="0" w:noVBand="1"/>
      </w:tblPr>
      <w:tblGrid>
        <w:gridCol w:w="1838"/>
        <w:gridCol w:w="7182"/>
      </w:tblGrid>
      <w:tr w:rsidR="00DB0476" w:rsidRPr="00D01DDB" w14:paraId="4BC9003D" w14:textId="77777777" w:rsidTr="00263DD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019" w:type="pct"/>
          </w:tcPr>
          <w:p w14:paraId="6EA7032E" w14:textId="77777777" w:rsidR="00DB0476" w:rsidRPr="00D01DDB" w:rsidRDefault="00DB0476">
            <w:pPr>
              <w:rPr>
                <w:szCs w:val="22"/>
              </w:rPr>
            </w:pPr>
            <w:r w:rsidRPr="00D01DDB">
              <w:rPr>
                <w:szCs w:val="22"/>
              </w:rPr>
              <w:t>Abbreviation</w:t>
            </w:r>
          </w:p>
        </w:tc>
        <w:tc>
          <w:tcPr>
            <w:tcW w:w="3981" w:type="pct"/>
          </w:tcPr>
          <w:p w14:paraId="1831DBC6" w14:textId="77777777" w:rsidR="00DB0476" w:rsidRPr="00D01DDB" w:rsidRDefault="00DB0476">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DB0476" w:rsidRPr="00D01DDB" w14:paraId="3C05B3F7" w14:textId="77777777" w:rsidTr="00263DD1">
        <w:trPr>
          <w:trHeight w:val="386"/>
        </w:trPr>
        <w:tc>
          <w:tcPr>
            <w:cnfStyle w:val="001000000000" w:firstRow="0" w:lastRow="0" w:firstColumn="1" w:lastColumn="0" w:oddVBand="0" w:evenVBand="0" w:oddHBand="0" w:evenHBand="0" w:firstRowFirstColumn="0" w:firstRowLastColumn="0" w:lastRowFirstColumn="0" w:lastRowLastColumn="0"/>
            <w:tcW w:w="1019" w:type="pct"/>
          </w:tcPr>
          <w:p w14:paraId="791AFEAC" w14:textId="77777777" w:rsidR="00DB0476" w:rsidRPr="005A7D56" w:rsidRDefault="00DB0476">
            <w:pPr>
              <w:rPr>
                <w:szCs w:val="22"/>
              </w:rPr>
            </w:pPr>
            <w:r w:rsidRPr="005A7D56">
              <w:rPr>
                <w:szCs w:val="22"/>
              </w:rPr>
              <w:t>6MWD</w:t>
            </w:r>
          </w:p>
        </w:tc>
        <w:tc>
          <w:tcPr>
            <w:tcW w:w="3981" w:type="pct"/>
          </w:tcPr>
          <w:p w14:paraId="1BA8F683"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szCs w:val="22"/>
              </w:rPr>
            </w:pPr>
            <w:r w:rsidRPr="005A7D56">
              <w:t>6-minute walk distance</w:t>
            </w:r>
          </w:p>
        </w:tc>
      </w:tr>
      <w:tr w:rsidR="00DB0476" w:rsidRPr="00D01DDB" w14:paraId="00C5C55F" w14:textId="77777777" w:rsidTr="00263DD1">
        <w:trPr>
          <w:trHeight w:val="386"/>
        </w:trPr>
        <w:tc>
          <w:tcPr>
            <w:cnfStyle w:val="001000000000" w:firstRow="0" w:lastRow="0" w:firstColumn="1" w:lastColumn="0" w:oddVBand="0" w:evenVBand="0" w:oddHBand="0" w:evenHBand="0" w:firstRowFirstColumn="0" w:firstRowLastColumn="0" w:lastRowFirstColumn="0" w:lastRowLastColumn="0"/>
            <w:tcW w:w="1019" w:type="pct"/>
          </w:tcPr>
          <w:p w14:paraId="41D5E34C" w14:textId="77777777" w:rsidR="00DB0476" w:rsidRPr="005A7D56" w:rsidRDefault="00DB0476">
            <w:pPr>
              <w:rPr>
                <w:szCs w:val="22"/>
              </w:rPr>
            </w:pPr>
            <w:r w:rsidRPr="005A7D56">
              <w:rPr>
                <w:szCs w:val="22"/>
              </w:rPr>
              <w:t>ACM</w:t>
            </w:r>
          </w:p>
        </w:tc>
        <w:tc>
          <w:tcPr>
            <w:tcW w:w="3981" w:type="pct"/>
          </w:tcPr>
          <w:p w14:paraId="457DA8E9"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szCs w:val="22"/>
              </w:rPr>
            </w:pPr>
            <w:r w:rsidRPr="005A7D56">
              <w:rPr>
                <w:szCs w:val="22"/>
              </w:rPr>
              <w:t>Advisory Committee on Medicines</w:t>
            </w:r>
          </w:p>
        </w:tc>
      </w:tr>
      <w:tr w:rsidR="00DB0476" w:rsidRPr="00455290" w14:paraId="02AD623A"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3E316F01" w14:textId="77777777" w:rsidR="00DB0476" w:rsidRPr="005A7D56" w:rsidRDefault="00DB0476">
            <w:pPr>
              <w:rPr>
                <w:rFonts w:eastAsia="Times New Roman" w:cs="Calibri"/>
              </w:rPr>
            </w:pPr>
            <w:r w:rsidRPr="005A7D56">
              <w:rPr>
                <w:rFonts w:eastAsia="Times New Roman" w:cs="Calibri"/>
              </w:rPr>
              <w:t>ADRs</w:t>
            </w:r>
          </w:p>
        </w:tc>
        <w:tc>
          <w:tcPr>
            <w:tcW w:w="3981" w:type="pct"/>
            <w:noWrap/>
            <w:hideMark/>
          </w:tcPr>
          <w:p w14:paraId="097C5AA0"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Adverse drug reactions</w:t>
            </w:r>
          </w:p>
        </w:tc>
      </w:tr>
      <w:tr w:rsidR="00DB0476" w:rsidRPr="00455290" w14:paraId="4D9D77B5"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509E0417" w14:textId="77777777" w:rsidR="00DB0476" w:rsidRPr="005A7D56" w:rsidRDefault="00DB0476">
            <w:pPr>
              <w:rPr>
                <w:rFonts w:eastAsia="Times New Roman" w:cs="Calibri"/>
              </w:rPr>
            </w:pPr>
            <w:r w:rsidRPr="005A7D56">
              <w:rPr>
                <w:rFonts w:eastAsia="Times New Roman" w:cs="Calibri"/>
              </w:rPr>
              <w:t>AE(s)</w:t>
            </w:r>
          </w:p>
        </w:tc>
        <w:tc>
          <w:tcPr>
            <w:tcW w:w="3981" w:type="pct"/>
            <w:noWrap/>
            <w:hideMark/>
          </w:tcPr>
          <w:p w14:paraId="590FC8F6"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Adverse event(s)</w:t>
            </w:r>
          </w:p>
        </w:tc>
      </w:tr>
      <w:tr w:rsidR="00DB0476" w:rsidRPr="00455290" w14:paraId="77CAF1F0"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2D063BA3" w14:textId="77777777" w:rsidR="00DB0476" w:rsidRPr="005A7D56" w:rsidRDefault="00DB0476">
            <w:pPr>
              <w:rPr>
                <w:rFonts w:eastAsia="Times New Roman" w:cs="Calibri"/>
              </w:rPr>
            </w:pPr>
            <w:r w:rsidRPr="005A7D56">
              <w:rPr>
                <w:rFonts w:eastAsia="Times New Roman" w:cs="Calibri"/>
              </w:rPr>
              <w:t>AESI</w:t>
            </w:r>
          </w:p>
        </w:tc>
        <w:tc>
          <w:tcPr>
            <w:tcW w:w="3981" w:type="pct"/>
            <w:noWrap/>
          </w:tcPr>
          <w:p w14:paraId="632AB0BB"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Adverse events of special interest</w:t>
            </w:r>
          </w:p>
        </w:tc>
      </w:tr>
      <w:tr w:rsidR="00DB0476" w:rsidRPr="00455290" w14:paraId="079C96AD"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3FB075A1" w14:textId="77777777" w:rsidR="00DB0476" w:rsidRPr="005A7D56" w:rsidRDefault="00DB0476">
            <w:pPr>
              <w:rPr>
                <w:rFonts w:eastAsia="Times New Roman" w:cs="Calibri"/>
              </w:rPr>
            </w:pPr>
            <w:r w:rsidRPr="005A7D56">
              <w:rPr>
                <w:szCs w:val="22"/>
              </w:rPr>
              <w:t>ARTG</w:t>
            </w:r>
          </w:p>
        </w:tc>
        <w:tc>
          <w:tcPr>
            <w:tcW w:w="3981" w:type="pct"/>
            <w:noWrap/>
          </w:tcPr>
          <w:p w14:paraId="6F9D7BA0"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szCs w:val="22"/>
              </w:rPr>
              <w:t>Australian Register of Therapeutic Goods</w:t>
            </w:r>
          </w:p>
        </w:tc>
      </w:tr>
      <w:tr w:rsidR="00DB0476" w:rsidRPr="00455290" w14:paraId="0814FB89"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1D4D0D8B" w14:textId="77777777" w:rsidR="00DB0476" w:rsidRPr="005A7D56" w:rsidRDefault="00DB0476">
            <w:pPr>
              <w:rPr>
                <w:szCs w:val="22"/>
              </w:rPr>
            </w:pPr>
            <w:r w:rsidRPr="005A7D56">
              <w:rPr>
                <w:szCs w:val="22"/>
              </w:rPr>
              <w:t>ASA</w:t>
            </w:r>
          </w:p>
        </w:tc>
        <w:tc>
          <w:tcPr>
            <w:tcW w:w="3981" w:type="pct"/>
            <w:noWrap/>
          </w:tcPr>
          <w:p w14:paraId="300D44CB"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szCs w:val="22"/>
              </w:rPr>
            </w:pPr>
            <w:r w:rsidRPr="005A7D56">
              <w:rPr>
                <w:szCs w:val="22"/>
              </w:rPr>
              <w:t>Australia</w:t>
            </w:r>
            <w:r w:rsidRPr="005A7D56">
              <w:rPr>
                <w:szCs w:val="22"/>
              </w:rPr>
              <w:noBreakHyphen/>
              <w:t>specific annex</w:t>
            </w:r>
          </w:p>
        </w:tc>
      </w:tr>
      <w:tr w:rsidR="00DB0476" w:rsidRPr="00455290" w14:paraId="75F570CC"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28027DCE" w14:textId="77777777" w:rsidR="00DB0476" w:rsidRPr="005A7D56" w:rsidRDefault="00DB0476">
            <w:pPr>
              <w:rPr>
                <w:rFonts w:eastAsia="Times New Roman" w:cs="Calibri"/>
              </w:rPr>
            </w:pPr>
            <w:r w:rsidRPr="005A7D56">
              <w:rPr>
                <w:rFonts w:eastAsia="Times New Roman" w:cs="Calibri"/>
              </w:rPr>
              <w:t>AUC</w:t>
            </w:r>
          </w:p>
        </w:tc>
        <w:tc>
          <w:tcPr>
            <w:tcW w:w="3981" w:type="pct"/>
            <w:noWrap/>
            <w:hideMark/>
          </w:tcPr>
          <w:p w14:paraId="02A102CF"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Area under the concentration-time curve</w:t>
            </w:r>
          </w:p>
        </w:tc>
      </w:tr>
      <w:tr w:rsidR="00DB0476" w:rsidRPr="00455290" w14:paraId="37254435"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63F54BC1" w14:textId="77777777" w:rsidR="00DB0476" w:rsidRPr="005A7D56" w:rsidRDefault="00DB0476">
            <w:pPr>
              <w:rPr>
                <w:rFonts w:eastAsia="Times New Roman" w:cs="Calibri"/>
              </w:rPr>
            </w:pPr>
            <w:r w:rsidRPr="005A7D56">
              <w:rPr>
                <w:rFonts w:eastAsia="Times New Roman" w:cs="Calibri"/>
              </w:rPr>
              <w:t>AUC</w:t>
            </w:r>
            <w:r w:rsidRPr="005A7D56">
              <w:rPr>
                <w:rFonts w:eastAsia="Times New Roman" w:cs="Calibri"/>
                <w:vertAlign w:val="subscript"/>
              </w:rPr>
              <w:t>0-t</w:t>
            </w:r>
          </w:p>
        </w:tc>
        <w:tc>
          <w:tcPr>
            <w:tcW w:w="3981" w:type="pct"/>
            <w:noWrap/>
            <w:hideMark/>
          </w:tcPr>
          <w:p w14:paraId="54680F71"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Area under concentration-time curve from time zero to the time of last measurable concentration</w:t>
            </w:r>
          </w:p>
        </w:tc>
      </w:tr>
      <w:tr w:rsidR="00DB0476" w:rsidRPr="00455290" w14:paraId="7BB44D8F"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2BB67D25" w14:textId="77777777" w:rsidR="00DB0476" w:rsidRPr="005A7D56" w:rsidRDefault="00DB0476">
            <w:pPr>
              <w:rPr>
                <w:rFonts w:eastAsia="Times New Roman" w:cs="Calibri"/>
              </w:rPr>
            </w:pPr>
            <w:r w:rsidRPr="005A7D56">
              <w:rPr>
                <w:rFonts w:eastAsia="Times New Roman" w:cs="Calibri"/>
              </w:rPr>
              <w:t>AUC</w:t>
            </w:r>
            <w:r w:rsidRPr="005A7D56">
              <w:rPr>
                <w:rFonts w:eastAsia="Times New Roman" w:cs="Calibri"/>
                <w:vertAlign w:val="subscript"/>
              </w:rPr>
              <w:t>0-inf</w:t>
            </w:r>
          </w:p>
        </w:tc>
        <w:tc>
          <w:tcPr>
            <w:tcW w:w="3981" w:type="pct"/>
            <w:noWrap/>
            <w:hideMark/>
          </w:tcPr>
          <w:p w14:paraId="12EBD0C2"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t>Area under the concentration time curve from time zero to infinity</w:t>
            </w:r>
          </w:p>
        </w:tc>
      </w:tr>
      <w:tr w:rsidR="00DB0476" w:rsidRPr="00283D36" w14:paraId="7A983265"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4F1051CC" w14:textId="77777777" w:rsidR="00DB0476" w:rsidRPr="005A7D56" w:rsidRDefault="00DB0476">
            <w:pPr>
              <w:rPr>
                <w:rFonts w:eastAsia="Times New Roman" w:cs="Calibri"/>
              </w:rPr>
            </w:pPr>
            <w:r w:rsidRPr="005A7D56">
              <w:rPr>
                <w:rFonts w:eastAsia="Times New Roman" w:cs="Calibri"/>
              </w:rPr>
              <w:t>CI</w:t>
            </w:r>
          </w:p>
        </w:tc>
        <w:tc>
          <w:tcPr>
            <w:tcW w:w="3981" w:type="pct"/>
            <w:noWrap/>
            <w:hideMark/>
          </w:tcPr>
          <w:p w14:paraId="401ED9D9"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Confidence interval(s)</w:t>
            </w:r>
          </w:p>
        </w:tc>
      </w:tr>
      <w:tr w:rsidR="00DB0476" w:rsidRPr="00283D36" w14:paraId="123A2A63"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3BD2415B" w14:textId="77777777" w:rsidR="00DB0476" w:rsidRPr="005A7D56" w:rsidRDefault="00DB0476">
            <w:pPr>
              <w:rPr>
                <w:rFonts w:eastAsia="Times New Roman" w:cs="Calibri"/>
              </w:rPr>
            </w:pPr>
            <w:r w:rsidRPr="005A7D56">
              <w:rPr>
                <w:rFonts w:eastAsia="Times New Roman" w:cs="Calibri"/>
              </w:rPr>
              <w:t>C</w:t>
            </w:r>
            <w:r w:rsidRPr="005A7D56">
              <w:rPr>
                <w:rFonts w:eastAsia="Times New Roman" w:cs="Calibri"/>
                <w:vertAlign w:val="subscript"/>
              </w:rPr>
              <w:t>max</w:t>
            </w:r>
          </w:p>
        </w:tc>
        <w:tc>
          <w:tcPr>
            <w:tcW w:w="3981" w:type="pct"/>
            <w:noWrap/>
            <w:hideMark/>
          </w:tcPr>
          <w:p w14:paraId="0C2212DC"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Maximum concentration</w:t>
            </w:r>
          </w:p>
        </w:tc>
      </w:tr>
      <w:tr w:rsidR="00DB0476" w:rsidRPr="00283D36" w14:paraId="1147E8CA"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5C78CEBC" w14:textId="77777777" w:rsidR="00DB0476" w:rsidRPr="005A7D56" w:rsidRDefault="00DB0476">
            <w:pPr>
              <w:rPr>
                <w:rFonts w:eastAsia="Times New Roman" w:cs="Calibri"/>
              </w:rPr>
            </w:pPr>
            <w:r w:rsidRPr="005A7D56">
              <w:rPr>
                <w:szCs w:val="22"/>
              </w:rPr>
              <w:t>CMI</w:t>
            </w:r>
          </w:p>
        </w:tc>
        <w:tc>
          <w:tcPr>
            <w:tcW w:w="3981" w:type="pct"/>
            <w:noWrap/>
          </w:tcPr>
          <w:p w14:paraId="219FFA09"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szCs w:val="22"/>
              </w:rPr>
              <w:t>Consumer Medicine Information</w:t>
            </w:r>
          </w:p>
        </w:tc>
      </w:tr>
      <w:tr w:rsidR="00DB0476" w:rsidRPr="00283D36" w14:paraId="17F8C881"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0EBA45BB" w14:textId="77777777" w:rsidR="00DB0476" w:rsidRPr="005A7D56" w:rsidRDefault="00DB0476">
            <w:pPr>
              <w:rPr>
                <w:szCs w:val="22"/>
              </w:rPr>
            </w:pPr>
            <w:r w:rsidRPr="005A7D56">
              <w:rPr>
                <w:szCs w:val="22"/>
              </w:rPr>
              <w:t>DLP</w:t>
            </w:r>
          </w:p>
        </w:tc>
        <w:tc>
          <w:tcPr>
            <w:tcW w:w="3981" w:type="pct"/>
            <w:noWrap/>
          </w:tcPr>
          <w:p w14:paraId="1B11E131"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szCs w:val="22"/>
              </w:rPr>
            </w:pPr>
            <w:r w:rsidRPr="005A7D56">
              <w:rPr>
                <w:szCs w:val="22"/>
              </w:rPr>
              <w:t>Data lock point</w:t>
            </w:r>
          </w:p>
        </w:tc>
      </w:tr>
      <w:tr w:rsidR="00DB0476" w:rsidRPr="00283D36" w14:paraId="1AEA8D99"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3E30BD14" w14:textId="77777777" w:rsidR="00DB0476" w:rsidRPr="005A7D56" w:rsidRDefault="00DB0476">
            <w:pPr>
              <w:rPr>
                <w:rFonts w:eastAsia="Times New Roman" w:cs="Calibri"/>
              </w:rPr>
            </w:pPr>
            <w:r w:rsidRPr="005A7D56">
              <w:rPr>
                <w:rFonts w:eastAsia="Times New Roman" w:cs="Calibri"/>
              </w:rPr>
              <w:t>ERA</w:t>
            </w:r>
          </w:p>
        </w:tc>
        <w:tc>
          <w:tcPr>
            <w:tcW w:w="3981" w:type="pct"/>
            <w:noWrap/>
          </w:tcPr>
          <w:p w14:paraId="6ED2754A"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pPr>
            <w:r w:rsidRPr="005A7D56">
              <w:t>Endothelin receptor antagonists</w:t>
            </w:r>
          </w:p>
        </w:tc>
      </w:tr>
      <w:tr w:rsidR="00DB0476" w:rsidRPr="00283D36" w14:paraId="263FF189"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3346E7D8" w14:textId="77777777" w:rsidR="00DB0476" w:rsidRPr="005A7D56" w:rsidRDefault="00DB0476">
            <w:pPr>
              <w:rPr>
                <w:rFonts w:eastAsia="Times New Roman" w:cs="Calibri"/>
              </w:rPr>
            </w:pPr>
            <w:r w:rsidRPr="005A7D56">
              <w:rPr>
                <w:rFonts w:eastAsia="Times New Roman" w:cs="Calibri"/>
              </w:rPr>
              <w:t>ERS</w:t>
            </w:r>
          </w:p>
        </w:tc>
        <w:tc>
          <w:tcPr>
            <w:tcW w:w="3981" w:type="pct"/>
            <w:noWrap/>
          </w:tcPr>
          <w:p w14:paraId="42392B53"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pPr>
            <w:r w:rsidRPr="005A7D56">
              <w:t>European Respiratory Society</w:t>
            </w:r>
          </w:p>
        </w:tc>
      </w:tr>
      <w:tr w:rsidR="00DB0476" w:rsidRPr="00283D36" w14:paraId="6CC8EFC0"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7E21DB33" w14:textId="77777777" w:rsidR="00DB0476" w:rsidRPr="005A7D56" w:rsidRDefault="00DB0476">
            <w:pPr>
              <w:rPr>
                <w:rFonts w:eastAsia="Times New Roman" w:cs="Calibri"/>
              </w:rPr>
            </w:pPr>
            <w:r w:rsidRPr="005A7D56">
              <w:rPr>
                <w:rFonts w:eastAsia="Times New Roman" w:cs="Calibri"/>
              </w:rPr>
              <w:t>ESC</w:t>
            </w:r>
          </w:p>
        </w:tc>
        <w:tc>
          <w:tcPr>
            <w:tcW w:w="3981" w:type="pct"/>
            <w:noWrap/>
          </w:tcPr>
          <w:p w14:paraId="73E329D6"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t>European Society of Cardiology</w:t>
            </w:r>
          </w:p>
        </w:tc>
      </w:tr>
      <w:tr w:rsidR="00DB0476" w:rsidRPr="00283D36" w14:paraId="0A2854B3"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73A28013" w14:textId="77777777" w:rsidR="00DB0476" w:rsidRPr="005A7D56" w:rsidRDefault="00DB0476">
            <w:pPr>
              <w:rPr>
                <w:rFonts w:eastAsia="Times New Roman" w:cs="Calibri"/>
              </w:rPr>
            </w:pPr>
            <w:r w:rsidRPr="005A7D56">
              <w:rPr>
                <w:rFonts w:eastAsia="Times New Roman" w:cs="Calibri"/>
              </w:rPr>
              <w:t>EU</w:t>
            </w:r>
          </w:p>
        </w:tc>
        <w:tc>
          <w:tcPr>
            <w:tcW w:w="3981" w:type="pct"/>
            <w:noWrap/>
          </w:tcPr>
          <w:p w14:paraId="3C184553"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European Union</w:t>
            </w:r>
          </w:p>
        </w:tc>
      </w:tr>
      <w:tr w:rsidR="00DB0476" w:rsidRPr="00283D36" w14:paraId="625D2187"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48461ECF" w14:textId="77777777" w:rsidR="00DB0476" w:rsidRPr="005A7D56" w:rsidRDefault="00DB0476">
            <w:pPr>
              <w:rPr>
                <w:rFonts w:eastAsia="Times New Roman" w:cs="Calibri"/>
              </w:rPr>
            </w:pPr>
            <w:r w:rsidRPr="005A7D56">
              <w:rPr>
                <w:rFonts w:eastAsia="Times New Roman" w:cs="Calibri"/>
              </w:rPr>
              <w:t>FC</w:t>
            </w:r>
          </w:p>
        </w:tc>
        <w:tc>
          <w:tcPr>
            <w:tcW w:w="3981" w:type="pct"/>
            <w:noWrap/>
          </w:tcPr>
          <w:p w14:paraId="4518C57D"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Functional class</w:t>
            </w:r>
          </w:p>
        </w:tc>
      </w:tr>
      <w:tr w:rsidR="00DB0476" w:rsidRPr="00283D36" w14:paraId="3ED93E14"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29DC1F12" w14:textId="77777777" w:rsidR="00DB0476" w:rsidRPr="005A7D56" w:rsidRDefault="00DB0476">
            <w:pPr>
              <w:rPr>
                <w:rFonts w:eastAsia="Times New Roman" w:cs="Calibri"/>
              </w:rPr>
            </w:pPr>
            <w:r w:rsidRPr="005A7D56">
              <w:rPr>
                <w:rFonts w:eastAsia="Times New Roman" w:cs="Calibri"/>
              </w:rPr>
              <w:t>FDC</w:t>
            </w:r>
          </w:p>
        </w:tc>
        <w:tc>
          <w:tcPr>
            <w:tcW w:w="3981" w:type="pct"/>
            <w:noWrap/>
          </w:tcPr>
          <w:p w14:paraId="7CA0C602"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pPr>
            <w:r w:rsidRPr="005A7D56">
              <w:t>Fixed dose combination</w:t>
            </w:r>
          </w:p>
        </w:tc>
      </w:tr>
      <w:tr w:rsidR="00DB0476" w:rsidRPr="00283D36" w14:paraId="796AE4A7"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2F2F48C7" w14:textId="77777777" w:rsidR="00DB0476" w:rsidRPr="005A7D56" w:rsidRDefault="00DB0476">
            <w:pPr>
              <w:rPr>
                <w:rFonts w:eastAsia="Times New Roman" w:cs="Calibri"/>
              </w:rPr>
            </w:pPr>
            <w:r w:rsidRPr="005A7D56">
              <w:rPr>
                <w:rFonts w:eastAsia="Times New Roman" w:cs="Calibri"/>
              </w:rPr>
              <w:t>FDC2</w:t>
            </w:r>
          </w:p>
        </w:tc>
        <w:tc>
          <w:tcPr>
            <w:tcW w:w="3981" w:type="pct"/>
            <w:noWrap/>
          </w:tcPr>
          <w:p w14:paraId="4407C705"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pPr>
            <w:r w:rsidRPr="005A7D56">
              <w:t>Fixed dose combination 2</w:t>
            </w:r>
          </w:p>
        </w:tc>
      </w:tr>
      <w:tr w:rsidR="00DB0476" w:rsidRPr="00283D36" w14:paraId="0E64B2A0"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14D2D2B5" w14:textId="77777777" w:rsidR="00DB0476" w:rsidRPr="005A7D56" w:rsidRDefault="00DB0476">
            <w:pPr>
              <w:rPr>
                <w:rFonts w:eastAsia="Times New Roman" w:cs="Calibri"/>
              </w:rPr>
            </w:pPr>
            <w:r w:rsidRPr="005A7D56">
              <w:rPr>
                <w:rFonts w:eastAsia="Times New Roman" w:cs="Calibri"/>
              </w:rPr>
              <w:t>HIV</w:t>
            </w:r>
          </w:p>
        </w:tc>
        <w:tc>
          <w:tcPr>
            <w:tcW w:w="3981" w:type="pct"/>
            <w:noWrap/>
          </w:tcPr>
          <w:p w14:paraId="76EA1CED"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t>Human immunodeficiency virus</w:t>
            </w:r>
          </w:p>
        </w:tc>
      </w:tr>
      <w:tr w:rsidR="00DB0476" w:rsidRPr="00283D36" w14:paraId="76225F2B"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482567C9" w14:textId="77777777" w:rsidR="00DB0476" w:rsidRPr="005A7D56" w:rsidRDefault="00DB0476">
            <w:pPr>
              <w:rPr>
                <w:rFonts w:eastAsia="Times New Roman" w:cs="Calibri"/>
              </w:rPr>
            </w:pPr>
            <w:r w:rsidRPr="005A7D56">
              <w:rPr>
                <w:rFonts w:eastAsia="Times New Roman" w:cs="Calibri"/>
              </w:rPr>
              <w:t>PAH</w:t>
            </w:r>
          </w:p>
        </w:tc>
        <w:tc>
          <w:tcPr>
            <w:tcW w:w="3981" w:type="pct"/>
            <w:noWrap/>
          </w:tcPr>
          <w:p w14:paraId="5E0B64AE"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Pulmonary arterial hypertension</w:t>
            </w:r>
          </w:p>
        </w:tc>
      </w:tr>
      <w:tr w:rsidR="00DB0476" w:rsidRPr="00283D36" w14:paraId="4F379A5E"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1FA9ED68" w14:textId="77777777" w:rsidR="00DB0476" w:rsidRPr="005A7D56" w:rsidRDefault="00DB0476">
            <w:pPr>
              <w:rPr>
                <w:rFonts w:eastAsia="Times New Roman" w:cs="Calibri"/>
              </w:rPr>
            </w:pPr>
            <w:r w:rsidRPr="005A7D56">
              <w:rPr>
                <w:rFonts w:eastAsia="Times New Roman" w:cs="Calibri"/>
              </w:rPr>
              <w:t>PDE5i</w:t>
            </w:r>
          </w:p>
        </w:tc>
        <w:tc>
          <w:tcPr>
            <w:tcW w:w="3981" w:type="pct"/>
            <w:noWrap/>
          </w:tcPr>
          <w:p w14:paraId="55058120"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t>Phosphodiesterase-5 inhibitors</w:t>
            </w:r>
          </w:p>
        </w:tc>
      </w:tr>
      <w:tr w:rsidR="00DB0476" w:rsidRPr="00283D36" w14:paraId="785CB09B"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2329D7A6" w14:textId="77777777" w:rsidR="00DB0476" w:rsidRPr="005A7D56" w:rsidRDefault="00DB0476">
            <w:pPr>
              <w:rPr>
                <w:rFonts w:eastAsia="Times New Roman" w:cs="Calibri"/>
              </w:rPr>
            </w:pPr>
            <w:r w:rsidRPr="005A7D56">
              <w:rPr>
                <w:szCs w:val="22"/>
              </w:rPr>
              <w:t>PI</w:t>
            </w:r>
          </w:p>
        </w:tc>
        <w:tc>
          <w:tcPr>
            <w:tcW w:w="3981" w:type="pct"/>
            <w:noWrap/>
          </w:tcPr>
          <w:p w14:paraId="1742CA6F"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szCs w:val="22"/>
              </w:rPr>
              <w:t>Product Information</w:t>
            </w:r>
          </w:p>
        </w:tc>
      </w:tr>
      <w:tr w:rsidR="00DB0476" w:rsidRPr="00283D36" w14:paraId="7CF3A6E0"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16F01190" w14:textId="77777777" w:rsidR="00DB0476" w:rsidRPr="005A7D56" w:rsidRDefault="00DB0476">
            <w:pPr>
              <w:rPr>
                <w:rFonts w:eastAsia="Times New Roman" w:cs="Calibri"/>
              </w:rPr>
            </w:pPr>
            <w:r w:rsidRPr="005A7D56">
              <w:rPr>
                <w:rFonts w:eastAsia="Times New Roman" w:cs="Calibri"/>
              </w:rPr>
              <w:t>PK</w:t>
            </w:r>
          </w:p>
        </w:tc>
        <w:tc>
          <w:tcPr>
            <w:tcW w:w="3981" w:type="pct"/>
            <w:noWrap/>
            <w:hideMark/>
          </w:tcPr>
          <w:p w14:paraId="12DE807B"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Pharmacokinetic(s)</w:t>
            </w:r>
          </w:p>
        </w:tc>
      </w:tr>
      <w:tr w:rsidR="00DB0476" w:rsidRPr="00283D36" w14:paraId="01350B0D"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2A55E86C" w14:textId="77777777" w:rsidR="00DB0476" w:rsidRPr="005A7D56" w:rsidRDefault="00DB0476">
            <w:pPr>
              <w:rPr>
                <w:szCs w:val="22"/>
              </w:rPr>
            </w:pPr>
            <w:r w:rsidRPr="005A7D56">
              <w:rPr>
                <w:szCs w:val="22"/>
              </w:rPr>
              <w:t>RMP</w:t>
            </w:r>
          </w:p>
        </w:tc>
        <w:tc>
          <w:tcPr>
            <w:tcW w:w="3981" w:type="pct"/>
            <w:noWrap/>
          </w:tcPr>
          <w:p w14:paraId="3CC23341"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szCs w:val="22"/>
              </w:rPr>
            </w:pPr>
            <w:r w:rsidRPr="005A7D56">
              <w:rPr>
                <w:szCs w:val="22"/>
              </w:rPr>
              <w:t>Risk management plan</w:t>
            </w:r>
          </w:p>
        </w:tc>
      </w:tr>
      <w:tr w:rsidR="00DB0476" w:rsidRPr="00283D36" w14:paraId="0F685AE4"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hideMark/>
          </w:tcPr>
          <w:p w14:paraId="6AF59B4E" w14:textId="77777777" w:rsidR="00DB0476" w:rsidRPr="005A7D56" w:rsidRDefault="00DB0476">
            <w:pPr>
              <w:rPr>
                <w:rFonts w:eastAsia="Times New Roman" w:cs="Calibri"/>
              </w:rPr>
            </w:pPr>
            <w:r w:rsidRPr="005A7D56">
              <w:rPr>
                <w:rFonts w:eastAsia="Times New Roman" w:cs="Calibri"/>
              </w:rPr>
              <w:t>TEAE(s)</w:t>
            </w:r>
          </w:p>
        </w:tc>
        <w:tc>
          <w:tcPr>
            <w:tcW w:w="3981" w:type="pct"/>
            <w:noWrap/>
            <w:hideMark/>
          </w:tcPr>
          <w:p w14:paraId="6B53F845"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Treatment emergent adverse event(s)</w:t>
            </w:r>
          </w:p>
        </w:tc>
      </w:tr>
      <w:tr w:rsidR="00DB0476" w:rsidRPr="00283D36" w14:paraId="193582B0"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31739EFE" w14:textId="77777777" w:rsidR="00DB0476" w:rsidRPr="005A7D56" w:rsidRDefault="00DB0476">
            <w:pPr>
              <w:rPr>
                <w:rFonts w:eastAsia="Times New Roman" w:cs="Calibri"/>
              </w:rPr>
            </w:pPr>
            <w:r w:rsidRPr="005A7D56">
              <w:rPr>
                <w:szCs w:val="22"/>
              </w:rPr>
              <w:t>TGA</w:t>
            </w:r>
          </w:p>
        </w:tc>
        <w:tc>
          <w:tcPr>
            <w:tcW w:w="3981" w:type="pct"/>
            <w:noWrap/>
          </w:tcPr>
          <w:p w14:paraId="3BA738A9"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szCs w:val="22"/>
              </w:rPr>
              <w:t>Therapeutic Goods Administration</w:t>
            </w:r>
          </w:p>
        </w:tc>
      </w:tr>
      <w:tr w:rsidR="00DB0476" w:rsidRPr="00283D36" w14:paraId="54A10EE1"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34E364DE" w14:textId="77777777" w:rsidR="00DB0476" w:rsidRPr="005A7D56" w:rsidRDefault="00DB0476">
            <w:pPr>
              <w:rPr>
                <w:rFonts w:eastAsia="Times New Roman" w:cs="Calibri"/>
              </w:rPr>
            </w:pPr>
            <w:r w:rsidRPr="005A7D56">
              <w:rPr>
                <w:rFonts w:eastAsia="Times New Roman" w:cs="Calibri"/>
              </w:rPr>
              <w:t>USA</w:t>
            </w:r>
          </w:p>
        </w:tc>
        <w:tc>
          <w:tcPr>
            <w:tcW w:w="3981" w:type="pct"/>
            <w:noWrap/>
          </w:tcPr>
          <w:p w14:paraId="12A164B4"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United States of America</w:t>
            </w:r>
          </w:p>
        </w:tc>
      </w:tr>
      <w:tr w:rsidR="00DB0476" w:rsidRPr="00283D36" w14:paraId="4DB845DA" w14:textId="77777777" w:rsidTr="00263DD1">
        <w:trPr>
          <w:trHeight w:val="416"/>
        </w:trPr>
        <w:tc>
          <w:tcPr>
            <w:cnfStyle w:val="001000000000" w:firstRow="0" w:lastRow="0" w:firstColumn="1" w:lastColumn="0" w:oddVBand="0" w:evenVBand="0" w:oddHBand="0" w:evenHBand="0" w:firstRowFirstColumn="0" w:firstRowLastColumn="0" w:lastRowFirstColumn="0" w:lastRowLastColumn="0"/>
            <w:tcW w:w="1019" w:type="pct"/>
            <w:noWrap/>
          </w:tcPr>
          <w:p w14:paraId="41C49E23" w14:textId="77777777" w:rsidR="00DB0476" w:rsidRPr="005A7D56" w:rsidRDefault="00DB0476">
            <w:pPr>
              <w:rPr>
                <w:rFonts w:eastAsia="Times New Roman" w:cs="Calibri"/>
              </w:rPr>
            </w:pPr>
            <w:r w:rsidRPr="005A7D56">
              <w:rPr>
                <w:rFonts w:eastAsia="Times New Roman" w:cs="Calibri"/>
              </w:rPr>
              <w:lastRenderedPageBreak/>
              <w:t>WHO</w:t>
            </w:r>
          </w:p>
        </w:tc>
        <w:tc>
          <w:tcPr>
            <w:tcW w:w="3981" w:type="pct"/>
            <w:noWrap/>
          </w:tcPr>
          <w:p w14:paraId="2EF37ABC" w14:textId="77777777" w:rsidR="00DB0476" w:rsidRPr="005A7D56" w:rsidRDefault="00DB0476">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A7D56">
              <w:rPr>
                <w:rFonts w:eastAsia="Times New Roman" w:cs="Calibri"/>
              </w:rPr>
              <w:t>World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B64AA44" w:rsidR="00324B33" w:rsidRDefault="009968BD" w:rsidP="00324B33">
      <w:pPr>
        <w:pStyle w:val="Heading2"/>
      </w:pPr>
      <w:bookmarkStart w:id="4" w:name="_Toc201577329"/>
      <w:r>
        <w:lastRenderedPageBreak/>
        <w:t>Product</w:t>
      </w:r>
      <w:r w:rsidR="001E3FF7">
        <w:t xml:space="preserve"> </w:t>
      </w:r>
      <w:r w:rsidR="00E02122" w:rsidRPr="00E02122">
        <w:t>submission</w:t>
      </w:r>
      <w:bookmarkEnd w:id="4"/>
    </w:p>
    <w:p w14:paraId="08F40B3F" w14:textId="0EC77763" w:rsidR="00E02122" w:rsidRPr="00E02122" w:rsidRDefault="0025072F" w:rsidP="0025072F">
      <w:pPr>
        <w:pStyle w:val="Heading3"/>
      </w:pPr>
      <w:bookmarkStart w:id="5" w:name="_Toc201577330"/>
      <w:r>
        <w:t>Submission details</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26B440B" w:rsidR="00324B33" w:rsidRPr="00BD5DBD" w:rsidRDefault="00324B33" w:rsidP="007452E8">
            <w:pPr>
              <w:rPr>
                <w:i/>
                <w:szCs w:val="22"/>
              </w:rPr>
            </w:pPr>
            <w:r w:rsidRPr="00BD5DBD">
              <w:rPr>
                <w:i/>
                <w:szCs w:val="22"/>
              </w:rPr>
              <w:t>Type</w:t>
            </w:r>
            <w:r w:rsidR="00E02122">
              <w:rPr>
                <w:i/>
                <w:szCs w:val="22"/>
              </w:rPr>
              <w:t xml:space="preserve"> </w:t>
            </w:r>
            <w:r w:rsidRPr="00BD5DBD">
              <w:rPr>
                <w:i/>
                <w:szCs w:val="22"/>
              </w:rPr>
              <w:t>of submission:</w:t>
            </w:r>
          </w:p>
        </w:tc>
        <w:tc>
          <w:tcPr>
            <w:tcW w:w="3423" w:type="pct"/>
          </w:tcPr>
          <w:p w14:paraId="4F07C303" w14:textId="6CD31639" w:rsidR="00324B33" w:rsidRPr="00BD5DBD" w:rsidRDefault="00324B33" w:rsidP="007452E8">
            <w:pPr>
              <w:rPr>
                <w:szCs w:val="22"/>
              </w:rPr>
            </w:pPr>
            <w:bookmarkStart w:id="6" w:name="_Hlk202275362"/>
            <w:r w:rsidRPr="00BD5DBD">
              <w:rPr>
                <w:szCs w:val="22"/>
              </w:rPr>
              <w:t xml:space="preserve">New </w:t>
            </w:r>
            <w:r w:rsidR="00447187">
              <w:rPr>
                <w:szCs w:val="22"/>
              </w:rPr>
              <w:t>combination of active ingredients</w:t>
            </w:r>
            <w:bookmarkEnd w:id="6"/>
          </w:p>
        </w:tc>
      </w:tr>
      <w:tr w:rsidR="00324B33" w:rsidRPr="00BD5DBD" w14:paraId="13482B61" w14:textId="77777777" w:rsidTr="00F865A7">
        <w:tc>
          <w:tcPr>
            <w:tcW w:w="1577" w:type="pct"/>
          </w:tcPr>
          <w:p w14:paraId="2C427FCF" w14:textId="134434A4" w:rsidR="00324B33" w:rsidRPr="00BD5DBD" w:rsidRDefault="00324B33" w:rsidP="007452E8">
            <w:pPr>
              <w:rPr>
                <w:i/>
                <w:szCs w:val="22"/>
              </w:rPr>
            </w:pPr>
            <w:r w:rsidRPr="00BD5DBD">
              <w:rPr>
                <w:i/>
                <w:szCs w:val="22"/>
              </w:rPr>
              <w:t>Product name:</w:t>
            </w:r>
          </w:p>
        </w:tc>
        <w:tc>
          <w:tcPr>
            <w:tcW w:w="3423" w:type="pct"/>
          </w:tcPr>
          <w:p w14:paraId="0E2DEF76" w14:textId="0F003DBD" w:rsidR="00324B33" w:rsidRPr="00BD5DBD" w:rsidRDefault="00447187" w:rsidP="007452E8">
            <w:pPr>
              <w:rPr>
                <w:szCs w:val="22"/>
              </w:rPr>
            </w:pPr>
            <w:r>
              <w:rPr>
                <w:szCs w:val="22"/>
              </w:rPr>
              <w:t>O</w:t>
            </w:r>
            <w:r w:rsidR="00CA1527">
              <w:rPr>
                <w:szCs w:val="22"/>
              </w:rPr>
              <w:t>psynvi</w:t>
            </w:r>
          </w:p>
        </w:tc>
      </w:tr>
      <w:tr w:rsidR="00324B33" w:rsidRPr="00BD5DBD" w14:paraId="01255B5B" w14:textId="77777777" w:rsidTr="00F865A7">
        <w:tc>
          <w:tcPr>
            <w:tcW w:w="1577" w:type="pct"/>
          </w:tcPr>
          <w:p w14:paraId="52B4F3D7" w14:textId="174D27CC" w:rsidR="00324B33" w:rsidRPr="00BD5DBD" w:rsidRDefault="00324B33" w:rsidP="007452E8">
            <w:pPr>
              <w:rPr>
                <w:i/>
                <w:szCs w:val="22"/>
              </w:rPr>
            </w:pPr>
            <w:r w:rsidRPr="00BD5DBD">
              <w:rPr>
                <w:i/>
                <w:szCs w:val="22"/>
              </w:rPr>
              <w:t>Active ingredient</w:t>
            </w:r>
            <w:r w:rsidR="00CA1527">
              <w:rPr>
                <w:i/>
                <w:szCs w:val="22"/>
              </w:rPr>
              <w:t>s</w:t>
            </w:r>
            <w:r w:rsidRPr="00BD5DBD">
              <w:rPr>
                <w:i/>
                <w:szCs w:val="22"/>
              </w:rPr>
              <w:t>:</w:t>
            </w:r>
          </w:p>
        </w:tc>
        <w:tc>
          <w:tcPr>
            <w:tcW w:w="3423" w:type="pct"/>
          </w:tcPr>
          <w:p w14:paraId="02FB6383" w14:textId="564108CB" w:rsidR="00324B33" w:rsidRPr="00BD5DBD" w:rsidRDefault="00B86AED" w:rsidP="007452E8">
            <w:pPr>
              <w:rPr>
                <w:szCs w:val="22"/>
              </w:rPr>
            </w:pPr>
            <w:r>
              <w:rPr>
                <w:szCs w:val="22"/>
              </w:rPr>
              <w:t>Macitentan, tadalafil</w:t>
            </w:r>
          </w:p>
        </w:tc>
      </w:tr>
      <w:tr w:rsidR="00324B33" w:rsidRPr="00BD5DBD" w14:paraId="219A281B" w14:textId="77777777" w:rsidTr="00F865A7">
        <w:tc>
          <w:tcPr>
            <w:tcW w:w="1577" w:type="pct"/>
          </w:tcPr>
          <w:p w14:paraId="112E5F78" w14:textId="18C94F73" w:rsidR="00324B33" w:rsidRPr="00BD5DBD" w:rsidRDefault="00324B33" w:rsidP="007452E8">
            <w:pPr>
              <w:rPr>
                <w:i/>
                <w:szCs w:val="22"/>
              </w:rPr>
            </w:pPr>
            <w:r w:rsidRPr="00BD5DBD">
              <w:rPr>
                <w:i/>
                <w:szCs w:val="22"/>
              </w:rPr>
              <w:t>Decision</w:t>
            </w:r>
          </w:p>
        </w:tc>
        <w:tc>
          <w:tcPr>
            <w:tcW w:w="3423" w:type="pct"/>
          </w:tcPr>
          <w:p w14:paraId="3B114BEA" w14:textId="4F8B0B2F"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4E8F47F5" w:rsidR="00AE1947" w:rsidRPr="00BD5DBD" w:rsidRDefault="00E14459" w:rsidP="007F1E37">
            <w:r w:rsidRPr="00995FD3">
              <w:rPr>
                <w:i/>
                <w:szCs w:val="22"/>
              </w:rPr>
              <w:t>Date of decision</w:t>
            </w:r>
          </w:p>
        </w:tc>
        <w:tc>
          <w:tcPr>
            <w:tcW w:w="3423" w:type="pct"/>
          </w:tcPr>
          <w:p w14:paraId="7B381CD6" w14:textId="2606AA4E" w:rsidR="00AE1947" w:rsidRPr="00BD5DBD" w:rsidRDefault="009E6E79">
            <w:pPr>
              <w:rPr>
                <w:szCs w:val="22"/>
              </w:rPr>
            </w:pPr>
            <w:r>
              <w:rPr>
                <w:szCs w:val="22"/>
              </w:rPr>
              <w:t>11 September 2024</w:t>
            </w:r>
          </w:p>
        </w:tc>
      </w:tr>
      <w:tr w:rsidR="00995FD3" w:rsidRPr="00BD5DBD" w14:paraId="60A25F5A" w14:textId="77777777" w:rsidTr="00F865A7">
        <w:tc>
          <w:tcPr>
            <w:tcW w:w="1577" w:type="pct"/>
          </w:tcPr>
          <w:p w14:paraId="5C5E4CBA" w14:textId="77777777" w:rsidR="00995FD3" w:rsidRPr="00BD5DBD" w:rsidRDefault="00995FD3" w:rsidP="00995FD3">
            <w:pPr>
              <w:rPr>
                <w:i/>
                <w:szCs w:val="22"/>
              </w:rPr>
            </w:pPr>
            <w:r w:rsidRPr="00BD5DBD">
              <w:rPr>
                <w:i/>
                <w:szCs w:val="22"/>
              </w:rPr>
              <w:t>Date of entry onto ARTG:</w:t>
            </w:r>
          </w:p>
        </w:tc>
        <w:tc>
          <w:tcPr>
            <w:tcW w:w="3423" w:type="pct"/>
          </w:tcPr>
          <w:p w14:paraId="28B270E9" w14:textId="351115DE" w:rsidR="00995FD3" w:rsidRPr="00BD5DBD" w:rsidRDefault="0080163D" w:rsidP="00995FD3">
            <w:pPr>
              <w:rPr>
                <w:szCs w:val="22"/>
              </w:rPr>
            </w:pPr>
            <w:r>
              <w:rPr>
                <w:szCs w:val="22"/>
              </w:rPr>
              <w:t>16 September 2024</w:t>
            </w:r>
          </w:p>
        </w:tc>
      </w:tr>
      <w:tr w:rsidR="00995FD3" w:rsidRPr="00BD5DBD" w14:paraId="547E08D7" w14:textId="77777777" w:rsidTr="00F865A7">
        <w:tc>
          <w:tcPr>
            <w:tcW w:w="1577" w:type="pct"/>
          </w:tcPr>
          <w:p w14:paraId="5030EF30" w14:textId="78B1380F" w:rsidR="00995FD3" w:rsidRPr="00BD5DBD" w:rsidRDefault="00995FD3" w:rsidP="00995FD3">
            <w:pPr>
              <w:rPr>
                <w:i/>
                <w:szCs w:val="22"/>
              </w:rPr>
            </w:pPr>
            <w:r w:rsidRPr="00BD5DBD">
              <w:rPr>
                <w:i/>
                <w:szCs w:val="22"/>
              </w:rPr>
              <w:t>ARTG number:</w:t>
            </w:r>
          </w:p>
        </w:tc>
        <w:tc>
          <w:tcPr>
            <w:tcW w:w="3423" w:type="pct"/>
          </w:tcPr>
          <w:p w14:paraId="0054E912" w14:textId="7931EF30" w:rsidR="00995FD3" w:rsidRPr="00BD5DBD" w:rsidRDefault="0080163D" w:rsidP="00995FD3">
            <w:pPr>
              <w:rPr>
                <w:szCs w:val="22"/>
              </w:rPr>
            </w:pPr>
            <w:r w:rsidRPr="0080163D">
              <w:rPr>
                <w:szCs w:val="22"/>
              </w:rPr>
              <w:t>420130</w:t>
            </w:r>
          </w:p>
        </w:tc>
      </w:tr>
      <w:tr w:rsidR="00995FD3" w:rsidRPr="00BD5DBD" w14:paraId="7618393F" w14:textId="77777777" w:rsidTr="00F865A7">
        <w:tc>
          <w:tcPr>
            <w:tcW w:w="1577" w:type="pct"/>
          </w:tcPr>
          <w:p w14:paraId="02260DE2" w14:textId="6E3B0593" w:rsidR="00995FD3" w:rsidRPr="00BD5DBD" w:rsidRDefault="00995FD3" w:rsidP="00995FD3">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5EB5CD39" w:rsidR="00995FD3" w:rsidRPr="00BD5DBD" w:rsidRDefault="00995FD3" w:rsidP="00995FD3">
            <w:pPr>
              <w:rPr>
                <w:szCs w:val="22"/>
              </w:rPr>
            </w:pPr>
            <w:r w:rsidRPr="00BD5DBD">
              <w:rPr>
                <w:szCs w:val="22"/>
              </w:rPr>
              <w:t>No</w:t>
            </w:r>
          </w:p>
        </w:tc>
      </w:tr>
      <w:tr w:rsidR="00995FD3" w:rsidRPr="00BD5DBD" w14:paraId="179E09FE" w14:textId="77777777" w:rsidTr="00F865A7">
        <w:tc>
          <w:tcPr>
            <w:tcW w:w="1577" w:type="pct"/>
          </w:tcPr>
          <w:p w14:paraId="1A592498" w14:textId="77777777" w:rsidR="00995FD3" w:rsidRPr="00BD5DBD" w:rsidRDefault="00995FD3" w:rsidP="00995FD3">
            <w:pPr>
              <w:rPr>
                <w:i/>
                <w:szCs w:val="22"/>
              </w:rPr>
            </w:pPr>
            <w:r w:rsidRPr="00BD5DBD">
              <w:rPr>
                <w:i/>
                <w:szCs w:val="22"/>
              </w:rPr>
              <w:t>Sponsor’s name and address:</w:t>
            </w:r>
          </w:p>
        </w:tc>
        <w:tc>
          <w:tcPr>
            <w:tcW w:w="3423" w:type="pct"/>
          </w:tcPr>
          <w:p w14:paraId="68A31417" w14:textId="77777777" w:rsidR="00995FD3" w:rsidRDefault="005A6A12" w:rsidP="00995FD3">
            <w:pPr>
              <w:rPr>
                <w:szCs w:val="22"/>
              </w:rPr>
            </w:pPr>
            <w:r>
              <w:rPr>
                <w:szCs w:val="22"/>
              </w:rPr>
              <w:t>Janssen-Cilag Pty Ltd</w:t>
            </w:r>
          </w:p>
          <w:p w14:paraId="2BD1FCBC" w14:textId="072A880B" w:rsidR="00EA4921" w:rsidRPr="00EA4921" w:rsidRDefault="00EA4921" w:rsidP="00EA4921">
            <w:pPr>
              <w:rPr>
                <w:szCs w:val="22"/>
              </w:rPr>
            </w:pPr>
            <w:r w:rsidRPr="00EA4921">
              <w:rPr>
                <w:szCs w:val="22"/>
              </w:rPr>
              <w:t>Locked Bag 2070, N</w:t>
            </w:r>
            <w:r>
              <w:rPr>
                <w:szCs w:val="22"/>
              </w:rPr>
              <w:t>orth</w:t>
            </w:r>
            <w:r w:rsidRPr="00EA4921">
              <w:rPr>
                <w:szCs w:val="22"/>
              </w:rPr>
              <w:t xml:space="preserve"> R</w:t>
            </w:r>
            <w:r>
              <w:rPr>
                <w:szCs w:val="22"/>
              </w:rPr>
              <w:t>yde</w:t>
            </w:r>
            <w:r w:rsidRPr="00EA4921">
              <w:rPr>
                <w:szCs w:val="22"/>
              </w:rPr>
              <w:t>, NSW, 1670</w:t>
            </w:r>
          </w:p>
          <w:p w14:paraId="68DD94B0" w14:textId="31D990DD" w:rsidR="005A6A12" w:rsidRPr="00BD5DBD" w:rsidRDefault="00EA4921" w:rsidP="00EA4921">
            <w:pPr>
              <w:rPr>
                <w:szCs w:val="22"/>
              </w:rPr>
            </w:pPr>
            <w:r w:rsidRPr="00EA4921">
              <w:rPr>
                <w:szCs w:val="22"/>
              </w:rPr>
              <w:t>Australia</w:t>
            </w:r>
          </w:p>
        </w:tc>
      </w:tr>
      <w:tr w:rsidR="00995FD3" w:rsidRPr="00BD5DBD" w14:paraId="5322B989" w14:textId="77777777" w:rsidTr="00F865A7">
        <w:tc>
          <w:tcPr>
            <w:tcW w:w="1577" w:type="pct"/>
          </w:tcPr>
          <w:p w14:paraId="24F217E3" w14:textId="713F8107" w:rsidR="00995FD3" w:rsidRPr="00BD5DBD" w:rsidRDefault="00995FD3" w:rsidP="00995FD3">
            <w:pPr>
              <w:rPr>
                <w:i/>
                <w:szCs w:val="22"/>
              </w:rPr>
            </w:pPr>
            <w:r w:rsidRPr="00BD5DBD">
              <w:rPr>
                <w:i/>
                <w:szCs w:val="22"/>
              </w:rPr>
              <w:t>Dose form:</w:t>
            </w:r>
          </w:p>
        </w:tc>
        <w:tc>
          <w:tcPr>
            <w:tcW w:w="3423" w:type="pct"/>
          </w:tcPr>
          <w:p w14:paraId="768B254C" w14:textId="6DFCB331" w:rsidR="00995FD3" w:rsidRPr="00BD5DBD" w:rsidRDefault="00825D92" w:rsidP="00995FD3">
            <w:pPr>
              <w:rPr>
                <w:szCs w:val="22"/>
              </w:rPr>
            </w:pPr>
            <w:r>
              <w:rPr>
                <w:szCs w:val="22"/>
              </w:rPr>
              <w:t>Film</w:t>
            </w:r>
            <w:r w:rsidR="005C70B9">
              <w:rPr>
                <w:szCs w:val="22"/>
              </w:rPr>
              <w:t>-</w:t>
            </w:r>
            <w:r>
              <w:rPr>
                <w:szCs w:val="22"/>
              </w:rPr>
              <w:t>coated tablet</w:t>
            </w:r>
          </w:p>
        </w:tc>
      </w:tr>
      <w:tr w:rsidR="00995FD3" w:rsidRPr="00BD5DBD" w14:paraId="115243E6" w14:textId="77777777" w:rsidTr="00F865A7">
        <w:tc>
          <w:tcPr>
            <w:tcW w:w="1577" w:type="pct"/>
          </w:tcPr>
          <w:p w14:paraId="7634B062" w14:textId="29D9562C" w:rsidR="00995FD3" w:rsidRPr="00BD5DBD" w:rsidRDefault="00995FD3" w:rsidP="00995FD3">
            <w:pPr>
              <w:rPr>
                <w:i/>
                <w:szCs w:val="22"/>
              </w:rPr>
            </w:pPr>
            <w:r w:rsidRPr="00BD5DBD">
              <w:rPr>
                <w:i/>
                <w:szCs w:val="22"/>
              </w:rPr>
              <w:t>Strength:</w:t>
            </w:r>
          </w:p>
        </w:tc>
        <w:tc>
          <w:tcPr>
            <w:tcW w:w="3423" w:type="pct"/>
          </w:tcPr>
          <w:p w14:paraId="5E5F83DB" w14:textId="130C1D09" w:rsidR="00995FD3" w:rsidRPr="00BD5DBD" w:rsidRDefault="005C70B9" w:rsidP="00995FD3">
            <w:pPr>
              <w:rPr>
                <w:szCs w:val="22"/>
              </w:rPr>
            </w:pPr>
            <w:r>
              <w:rPr>
                <w:szCs w:val="22"/>
              </w:rPr>
              <w:t>10 mg macitentan/40 mg tadalafil</w:t>
            </w:r>
          </w:p>
        </w:tc>
      </w:tr>
      <w:tr w:rsidR="00995FD3" w:rsidRPr="00BD5DBD" w14:paraId="34B07BA6" w14:textId="77777777" w:rsidTr="00F865A7">
        <w:tc>
          <w:tcPr>
            <w:tcW w:w="1577" w:type="pct"/>
          </w:tcPr>
          <w:p w14:paraId="1C039224" w14:textId="4015F0DA" w:rsidR="00995FD3" w:rsidRPr="00BD5DBD" w:rsidRDefault="00995FD3" w:rsidP="00995FD3">
            <w:pPr>
              <w:rPr>
                <w:i/>
                <w:szCs w:val="22"/>
              </w:rPr>
            </w:pPr>
            <w:r w:rsidRPr="00BD5DBD">
              <w:rPr>
                <w:i/>
                <w:szCs w:val="22"/>
              </w:rPr>
              <w:t>Container:</w:t>
            </w:r>
          </w:p>
        </w:tc>
        <w:tc>
          <w:tcPr>
            <w:tcW w:w="3423" w:type="pct"/>
          </w:tcPr>
          <w:p w14:paraId="500A42C6" w14:textId="5E8981BB" w:rsidR="00995FD3" w:rsidRPr="00BD5DBD" w:rsidRDefault="00735D7B" w:rsidP="00995FD3">
            <w:pPr>
              <w:rPr>
                <w:szCs w:val="22"/>
              </w:rPr>
            </w:pPr>
            <w:r>
              <w:rPr>
                <w:szCs w:val="22"/>
              </w:rPr>
              <w:t>Blister pack</w:t>
            </w:r>
          </w:p>
        </w:tc>
      </w:tr>
      <w:tr w:rsidR="00995FD3" w:rsidRPr="00BD5DBD" w14:paraId="176B6773" w14:textId="77777777" w:rsidTr="00F865A7">
        <w:tc>
          <w:tcPr>
            <w:tcW w:w="1577" w:type="pct"/>
          </w:tcPr>
          <w:p w14:paraId="71846159" w14:textId="021AD276" w:rsidR="00995FD3" w:rsidRPr="00BD5DBD" w:rsidRDefault="00995FD3" w:rsidP="00995FD3">
            <w:pPr>
              <w:rPr>
                <w:i/>
                <w:szCs w:val="22"/>
              </w:rPr>
            </w:pPr>
            <w:r w:rsidRPr="00BD5DBD">
              <w:rPr>
                <w:i/>
                <w:szCs w:val="22"/>
              </w:rPr>
              <w:t>Pack size:</w:t>
            </w:r>
          </w:p>
        </w:tc>
        <w:tc>
          <w:tcPr>
            <w:tcW w:w="3423" w:type="pct"/>
          </w:tcPr>
          <w:p w14:paraId="7E978F8F" w14:textId="0D330A06" w:rsidR="00995FD3" w:rsidRPr="00BD5DBD" w:rsidRDefault="00735D7B" w:rsidP="00995FD3">
            <w:pPr>
              <w:rPr>
                <w:szCs w:val="22"/>
              </w:rPr>
            </w:pPr>
            <w:r>
              <w:rPr>
                <w:szCs w:val="22"/>
              </w:rPr>
              <w:t>30</w:t>
            </w:r>
          </w:p>
        </w:tc>
      </w:tr>
      <w:tr w:rsidR="00DF1813" w:rsidRPr="00BD5DBD" w14:paraId="4CC94965" w14:textId="77777777" w:rsidTr="00F865A7">
        <w:tc>
          <w:tcPr>
            <w:tcW w:w="1577" w:type="pct"/>
          </w:tcPr>
          <w:p w14:paraId="19CDEF10" w14:textId="0D9FE436" w:rsidR="00DF1813" w:rsidRPr="00DF1813" w:rsidRDefault="00DF1813" w:rsidP="00DF1813">
            <w:pPr>
              <w:rPr>
                <w:i/>
                <w:szCs w:val="22"/>
              </w:rPr>
            </w:pPr>
            <w:r w:rsidRPr="00DF1813">
              <w:rPr>
                <w:i/>
                <w:szCs w:val="22"/>
              </w:rPr>
              <w:t>Approved therapeutic use for the current submission:</w:t>
            </w:r>
          </w:p>
        </w:tc>
        <w:tc>
          <w:tcPr>
            <w:tcW w:w="3423" w:type="pct"/>
          </w:tcPr>
          <w:p w14:paraId="4A029F05" w14:textId="77777777" w:rsidR="00DF1813" w:rsidRPr="00DF1813" w:rsidRDefault="00DF1813" w:rsidP="00DF1813">
            <w:pPr>
              <w:rPr>
                <w:i/>
                <w:iCs/>
                <w:szCs w:val="22"/>
              </w:rPr>
            </w:pPr>
            <w:r w:rsidRPr="00DF1813">
              <w:rPr>
                <w:i/>
                <w:iCs/>
                <w:szCs w:val="22"/>
              </w:rPr>
              <w:t>Opsynvi is indicated for the maintenance treatment of pulmonary arterial hypertension (PAH, World Health Organization [WHO] Group 1) in adult patients of WHO functional class (FC) II and III whose PAH is idiopathic, heritable or associated with connective tissue disease or congenital heart disease with repaired shunts.</w:t>
            </w:r>
          </w:p>
          <w:p w14:paraId="0C58FC07" w14:textId="619B6485" w:rsidR="00DF1813" w:rsidRPr="00DF1813" w:rsidRDefault="00DF1813" w:rsidP="00DF1813">
            <w:pPr>
              <w:rPr>
                <w:szCs w:val="22"/>
              </w:rPr>
            </w:pPr>
            <w:r w:rsidRPr="00DF1813">
              <w:rPr>
                <w:i/>
                <w:iCs/>
                <w:szCs w:val="22"/>
              </w:rPr>
              <w:t>Opsynvi is intended as substitution treatment only for patients currently treated concomitantly with stable doses of macitentan 10 mg and tadalafil 40 mg (20 mg x 2) as separate tablets.</w:t>
            </w:r>
          </w:p>
        </w:tc>
      </w:tr>
      <w:tr w:rsidR="00DF1813" w:rsidRPr="00BD5DBD" w14:paraId="5AFDEED3" w14:textId="77777777" w:rsidTr="00F865A7">
        <w:tc>
          <w:tcPr>
            <w:tcW w:w="1577" w:type="pct"/>
          </w:tcPr>
          <w:p w14:paraId="03884BD1" w14:textId="6D453E7D" w:rsidR="00DF1813" w:rsidRPr="00BD5DBD" w:rsidRDefault="00DF1813" w:rsidP="00DF1813">
            <w:pPr>
              <w:rPr>
                <w:i/>
                <w:szCs w:val="22"/>
              </w:rPr>
            </w:pPr>
            <w:r w:rsidRPr="00BD5DBD">
              <w:rPr>
                <w:i/>
                <w:szCs w:val="22"/>
              </w:rPr>
              <w:t>Route of administration:</w:t>
            </w:r>
          </w:p>
        </w:tc>
        <w:tc>
          <w:tcPr>
            <w:tcW w:w="3423" w:type="pct"/>
          </w:tcPr>
          <w:p w14:paraId="1ED1357E" w14:textId="497E2A1F" w:rsidR="00DF1813" w:rsidRPr="00BD5DBD" w:rsidRDefault="00DF1813" w:rsidP="00DF1813">
            <w:pPr>
              <w:rPr>
                <w:szCs w:val="22"/>
              </w:rPr>
            </w:pPr>
            <w:r>
              <w:rPr>
                <w:szCs w:val="22"/>
              </w:rPr>
              <w:t>Oral</w:t>
            </w:r>
          </w:p>
        </w:tc>
      </w:tr>
      <w:tr w:rsidR="00DF1813" w:rsidRPr="00BD5DBD" w14:paraId="70D7E9FA" w14:textId="77777777" w:rsidTr="00F865A7">
        <w:tc>
          <w:tcPr>
            <w:tcW w:w="1577" w:type="pct"/>
          </w:tcPr>
          <w:p w14:paraId="5ABFFC80" w14:textId="77777777" w:rsidR="00DF1813" w:rsidRPr="00BD5DBD" w:rsidRDefault="00DF1813" w:rsidP="00DF1813">
            <w:pPr>
              <w:rPr>
                <w:i/>
                <w:szCs w:val="22"/>
              </w:rPr>
            </w:pPr>
            <w:r w:rsidRPr="00BD5DBD">
              <w:rPr>
                <w:i/>
                <w:szCs w:val="22"/>
              </w:rPr>
              <w:t>Dosage:</w:t>
            </w:r>
          </w:p>
        </w:tc>
        <w:tc>
          <w:tcPr>
            <w:tcW w:w="3423" w:type="pct"/>
          </w:tcPr>
          <w:p w14:paraId="7BFFBFD8" w14:textId="22C13289" w:rsidR="00DF1813" w:rsidRPr="00897B23" w:rsidRDefault="00DF1813" w:rsidP="00DF1813">
            <w:pPr>
              <w:rPr>
                <w:szCs w:val="22"/>
              </w:rPr>
            </w:pPr>
            <w:r w:rsidRPr="00897B23">
              <w:rPr>
                <w:szCs w:val="22"/>
              </w:rPr>
              <w:t>Treatment with O</w:t>
            </w:r>
            <w:r>
              <w:rPr>
                <w:szCs w:val="22"/>
              </w:rPr>
              <w:t>psynvi</w:t>
            </w:r>
            <w:r w:rsidRPr="00897B23">
              <w:rPr>
                <w:szCs w:val="22"/>
              </w:rPr>
              <w:t xml:space="preserve"> should only be initiated and monitored by a physician experienced in the treatment of </w:t>
            </w:r>
            <w:r w:rsidR="00D93531">
              <w:rPr>
                <w:szCs w:val="22"/>
              </w:rPr>
              <w:t xml:space="preserve">pulmonary </w:t>
            </w:r>
            <w:r w:rsidR="002B385C">
              <w:rPr>
                <w:szCs w:val="22"/>
              </w:rPr>
              <w:t>arterial hypertension (PAH)</w:t>
            </w:r>
            <w:r w:rsidRPr="00897B23">
              <w:rPr>
                <w:szCs w:val="22"/>
              </w:rPr>
              <w:t>.</w:t>
            </w:r>
          </w:p>
          <w:p w14:paraId="1D6FCF16" w14:textId="6667A730" w:rsidR="00DF1813" w:rsidRPr="00AE3B71" w:rsidRDefault="00DF1813" w:rsidP="00DF1813">
            <w:pPr>
              <w:rPr>
                <w:b/>
                <w:bCs/>
                <w:szCs w:val="22"/>
              </w:rPr>
            </w:pPr>
            <w:r w:rsidRPr="00AE3B71">
              <w:rPr>
                <w:b/>
                <w:bCs/>
                <w:szCs w:val="22"/>
              </w:rPr>
              <w:t>Dosage in adults 18 years of age and older</w:t>
            </w:r>
          </w:p>
          <w:p w14:paraId="4BD4ECF7" w14:textId="0FC3816E" w:rsidR="00DF1813" w:rsidRDefault="00DF1813" w:rsidP="00DF1813">
            <w:pPr>
              <w:rPr>
                <w:szCs w:val="22"/>
              </w:rPr>
            </w:pPr>
            <w:r w:rsidRPr="00897B23">
              <w:rPr>
                <w:szCs w:val="22"/>
              </w:rPr>
              <w:t>The recommended dose of O</w:t>
            </w:r>
            <w:r>
              <w:rPr>
                <w:szCs w:val="22"/>
              </w:rPr>
              <w:t xml:space="preserve">psynvi </w:t>
            </w:r>
            <w:r w:rsidRPr="00897B23">
              <w:rPr>
                <w:szCs w:val="22"/>
              </w:rPr>
              <w:t>is one tablet taken once daily</w:t>
            </w:r>
            <w:r>
              <w:rPr>
                <w:szCs w:val="22"/>
              </w:rPr>
              <w:t>.</w:t>
            </w:r>
          </w:p>
          <w:p w14:paraId="3D0B2D5C" w14:textId="6E29920D" w:rsidR="00DF1813" w:rsidRPr="00BD5DBD" w:rsidRDefault="00DF1813" w:rsidP="00DF1813">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DF1813" w:rsidRPr="00BD5DBD" w14:paraId="7B7BB6AE" w14:textId="77777777" w:rsidTr="00F865A7">
        <w:tc>
          <w:tcPr>
            <w:tcW w:w="1577" w:type="pct"/>
          </w:tcPr>
          <w:p w14:paraId="3A76AFF7" w14:textId="7C436DD9" w:rsidR="00DF1813" w:rsidRPr="00F8083B" w:rsidRDefault="00DF1813" w:rsidP="00DF1813">
            <w:r w:rsidRPr="00BD5DBD">
              <w:rPr>
                <w:i/>
                <w:szCs w:val="22"/>
              </w:rPr>
              <w:t>Pregnancy category:</w:t>
            </w:r>
          </w:p>
        </w:tc>
        <w:tc>
          <w:tcPr>
            <w:tcW w:w="3423" w:type="pct"/>
          </w:tcPr>
          <w:p w14:paraId="48057781" w14:textId="77777777" w:rsidR="00DF1813" w:rsidRPr="00995FD3" w:rsidRDefault="00DF1813" w:rsidP="00DF1813">
            <w:r w:rsidRPr="00995FD3">
              <w:t>Category X</w:t>
            </w:r>
          </w:p>
          <w:p w14:paraId="14C67E03" w14:textId="77777777" w:rsidR="00DF1813" w:rsidRPr="00995FD3" w:rsidRDefault="00DF1813" w:rsidP="00DF1813">
            <w:pPr>
              <w:rPr>
                <w:iCs/>
                <w:color w:val="007099"/>
              </w:rPr>
            </w:pPr>
            <w:r w:rsidRPr="00995FD3">
              <w:lastRenderedPageBreak/>
              <w:t xml:space="preserve">Drugs which have such a high risk of causing permanent damage to the </w:t>
            </w:r>
            <w:proofErr w:type="spellStart"/>
            <w:r w:rsidRPr="00995FD3">
              <w:t>fetus</w:t>
            </w:r>
            <w:proofErr w:type="spellEnd"/>
            <w:r w:rsidRPr="00995FD3">
              <w:t xml:space="preserve"> that they should not be used in pregnancy or when there is a possibility of pregnancy.</w:t>
            </w:r>
          </w:p>
          <w:p w14:paraId="76497789" w14:textId="634DC28C" w:rsidR="00DF1813" w:rsidRPr="00BD5DBD" w:rsidRDefault="00DF1813" w:rsidP="00DF1813">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508451E4" w:rsidR="00324B33" w:rsidRDefault="005D09C5" w:rsidP="00324B33">
      <w:pPr>
        <w:pStyle w:val="Heading3"/>
      </w:pPr>
      <w:bookmarkStart w:id="7" w:name="_Toc201577331"/>
      <w:r>
        <w:lastRenderedPageBreak/>
        <w:t>Product background</w:t>
      </w:r>
      <w:bookmarkEnd w:id="7"/>
    </w:p>
    <w:p w14:paraId="59BF31D1" w14:textId="71639CBE" w:rsidR="001500A8" w:rsidRPr="00065839" w:rsidRDefault="00324B33" w:rsidP="00065839">
      <w:r w:rsidRPr="00065839">
        <w:t xml:space="preserve">This AusPAR describes the submission by </w:t>
      </w:r>
      <w:r w:rsidR="00014A91">
        <w:t>Janssen-Cilag Pty Ltd</w:t>
      </w:r>
      <w:r w:rsidRPr="00065839">
        <w:t xml:space="preserve"> (the sponsor) to register </w:t>
      </w:r>
      <w:r w:rsidR="00014A91">
        <w:t>Opsynvi</w:t>
      </w:r>
      <w:r w:rsidRPr="00065839">
        <w:t xml:space="preserve"> (</w:t>
      </w:r>
      <w:r w:rsidR="00014A91">
        <w:t>macitentan</w:t>
      </w:r>
      <w:r w:rsidR="008279F6">
        <w:t>/</w:t>
      </w:r>
      <w:r w:rsidR="00014A91">
        <w:t>tadalafil</w:t>
      </w:r>
      <w:r w:rsidRPr="00065839">
        <w:t xml:space="preserve">) </w:t>
      </w:r>
      <w:r w:rsidR="00014A91">
        <w:t>10 mg/40</w:t>
      </w:r>
      <w:r w:rsidR="008279F6">
        <w:t> mg</w:t>
      </w:r>
      <w:r w:rsidRPr="00065839">
        <w:t xml:space="preserve">, </w:t>
      </w:r>
      <w:r w:rsidR="008279F6">
        <w:t>film-coated tablet, blister pack</w:t>
      </w:r>
      <w:r w:rsidRPr="00065839">
        <w:t xml:space="preserve"> for the following proposed indication:</w:t>
      </w:r>
      <w:r w:rsidR="00D63760" w:rsidRPr="00065839">
        <w:rPr>
          <w:vertAlign w:val="superscript"/>
        </w:rPr>
        <w:footnoteReference w:id="2"/>
      </w:r>
    </w:p>
    <w:p w14:paraId="179021B3" w14:textId="5B4681E7" w:rsidR="007E7591" w:rsidRPr="007E7591" w:rsidRDefault="007E7591" w:rsidP="007E7591">
      <w:pPr>
        <w:ind w:left="720"/>
        <w:rPr>
          <w:i/>
        </w:rPr>
      </w:pPr>
      <w:r w:rsidRPr="007E7591">
        <w:rPr>
          <w:i/>
        </w:rPr>
        <w:t>Opsynvi is indicated for the maintenance treatment of pulmonary arterial hypertension (PAH, World Health Organization [WHO] Group 1) in adult patients of WHO functional class (FC) II, III and IV who are on stable doses of macitentan 10 mg and tadalafil 40 mg (20 mg x 2) as separate tablets.</w:t>
      </w:r>
    </w:p>
    <w:p w14:paraId="1E63A2AE" w14:textId="18405443" w:rsidR="00CB6813" w:rsidRDefault="005D09C5" w:rsidP="00CB6813">
      <w:pPr>
        <w:pStyle w:val="Heading4"/>
      </w:pPr>
      <w:bookmarkStart w:id="8" w:name="_Toc201577332"/>
      <w:bookmarkStart w:id="9" w:name="_Toc314842485"/>
      <w:bookmarkStart w:id="10" w:name="_Toc247691504"/>
      <w:r>
        <w:t>The disease</w:t>
      </w:r>
      <w:bookmarkEnd w:id="8"/>
    </w:p>
    <w:p w14:paraId="661EEF3A" w14:textId="77777777" w:rsidR="000731CD" w:rsidRDefault="000731CD" w:rsidP="000731CD">
      <w:r>
        <w:t>Pulmonary arterial hypertension (</w:t>
      </w:r>
      <w:r w:rsidRPr="00D57DDE">
        <w:t>PAH</w:t>
      </w:r>
      <w:r>
        <w:t>) is characterised by vasculopathy and remodelling of the pulmonary circulation leading to increased pulmonary arterial resistance and pressure. Initial symptoms are exertional dyspnoea and fatigue. As the disease progresses, right heart failure develops and then worsens, with its associated burden of morbidity and mortality.</w:t>
      </w:r>
    </w:p>
    <w:p w14:paraId="4BCC8459" w14:textId="6B4CC00F" w:rsidR="000731CD" w:rsidRDefault="000731CD" w:rsidP="000731CD">
      <w:r>
        <w:t xml:space="preserve">Pulmonary arterial hypertension defines </w:t>
      </w:r>
      <w:r w:rsidR="00786394">
        <w:t>c</w:t>
      </w:r>
      <w:r>
        <w:t xml:space="preserve">lass I </w:t>
      </w:r>
      <w:r w:rsidR="00786394">
        <w:t>p</w:t>
      </w:r>
      <w:r>
        <w:t xml:space="preserve">ulmonary </w:t>
      </w:r>
      <w:r w:rsidR="00786394">
        <w:t>h</w:t>
      </w:r>
      <w:r>
        <w:t xml:space="preserve">ypertension in the </w:t>
      </w:r>
      <w:r w:rsidR="00786394">
        <w:t>World Health Organi</w:t>
      </w:r>
      <w:r w:rsidR="00987418">
        <w:t>z</w:t>
      </w:r>
      <w:r w:rsidR="00786394">
        <w:t>ation (</w:t>
      </w:r>
      <w:r w:rsidRPr="003350FA">
        <w:t>WHO</w:t>
      </w:r>
      <w:r w:rsidR="00AF2AD6">
        <w:t>)</w:t>
      </w:r>
      <w:r>
        <w:t xml:space="preserve"> system. It has </w:t>
      </w:r>
      <w:proofErr w:type="gramStart"/>
      <w:r>
        <w:t>a number of</w:t>
      </w:r>
      <w:proofErr w:type="gramEnd"/>
      <w:r>
        <w:t xml:space="preserve"> recognised aetiologies, with idiopathic being the most common (this reflects available registry data which are generally from areas without endemic schistosomiasis). Other aetiologies include heritable and associated with congenital heart disease, liver disease, </w:t>
      </w:r>
      <w:r w:rsidR="00AF2AD6">
        <w:t xml:space="preserve">human immunodeficiency virus </w:t>
      </w:r>
      <w:r w:rsidR="00AF2AD6" w:rsidRPr="00DE676B">
        <w:t>(</w:t>
      </w:r>
      <w:r w:rsidRPr="00DE676B">
        <w:t>HIV</w:t>
      </w:r>
      <w:r w:rsidR="00AF2AD6" w:rsidRPr="00DE676B">
        <w:t>)</w:t>
      </w:r>
      <w:r w:rsidRPr="00DE676B">
        <w:t>, connective tissue disease and use of certain drugs (such as anorectics).</w:t>
      </w:r>
    </w:p>
    <w:p w14:paraId="7FFE22F8" w14:textId="5C47AEF7" w:rsidR="000731CD" w:rsidRDefault="6B14E4D5" w:rsidP="000731CD">
      <w:r>
        <w:t xml:space="preserve">Pulmonary arterial hypertension </w:t>
      </w:r>
      <w:r w:rsidR="3130B2FD">
        <w:t>may be suspected on testing such as echocardiography or cross</w:t>
      </w:r>
      <w:r w:rsidR="09072227">
        <w:t>-</w:t>
      </w:r>
      <w:r w:rsidR="3130B2FD">
        <w:t>sectional imaging. It is confirmed by invasive haemodynamic testing (</w:t>
      </w:r>
      <w:r w:rsidR="7CDDCAE4">
        <w:t>that is,</w:t>
      </w:r>
      <w:r w:rsidR="3130B2FD">
        <w:t xml:space="preserve"> measurement of an elevated pulmonary artery pressure and resistance,</w:t>
      </w:r>
      <w:r w:rsidR="00C71DEB">
        <w:t xml:space="preserve"> together with a normal or insufficiently high left sided pressure/pulmonary capillary wedge pressure</w:t>
      </w:r>
      <w:r w:rsidR="3130B2FD">
        <w:t xml:space="preserve">). Current haemodynamic definitions </w:t>
      </w:r>
      <w:r w:rsidR="1BCCF7ED">
        <w:t>f</w:t>
      </w:r>
      <w:r w:rsidR="3130B2FD">
        <w:t>or PAH are a mean pulmonary artery pressure of &gt;</w:t>
      </w:r>
      <w:r w:rsidR="209691EB">
        <w:t> </w:t>
      </w:r>
      <w:r w:rsidR="3130B2FD">
        <w:t>20</w:t>
      </w:r>
      <w:r w:rsidR="209691EB">
        <w:t> </w:t>
      </w:r>
      <w:r w:rsidR="3130B2FD">
        <w:t>mmHg, pulmonary artery wedge pressure</w:t>
      </w:r>
      <w:r w:rsidR="209691EB">
        <w:t> </w:t>
      </w:r>
      <w:r w:rsidR="3130B2FD">
        <w:t>≤</w:t>
      </w:r>
      <w:r w:rsidR="209691EB">
        <w:t> </w:t>
      </w:r>
      <w:r w:rsidR="3130B2FD">
        <w:t>15</w:t>
      </w:r>
      <w:r w:rsidR="209691EB">
        <w:t> </w:t>
      </w:r>
      <w:r w:rsidR="3130B2FD">
        <w:t>mmHg and pulmonary vascular resistance &gt;</w:t>
      </w:r>
      <w:r w:rsidR="750FFC9C">
        <w:t> </w:t>
      </w:r>
      <w:r w:rsidR="3130B2FD">
        <w:t>2</w:t>
      </w:r>
      <w:r w:rsidR="750FFC9C">
        <w:t> </w:t>
      </w:r>
      <w:r w:rsidR="3130B2FD">
        <w:t>Wood units.</w:t>
      </w:r>
      <w:bookmarkStart w:id="11" w:name="_Ref194914400"/>
      <w:r w:rsidR="0013418D">
        <w:rPr>
          <w:rStyle w:val="FootnoteReference"/>
        </w:rPr>
        <w:footnoteReference w:id="3"/>
      </w:r>
      <w:bookmarkEnd w:id="11"/>
    </w:p>
    <w:p w14:paraId="53907FB9" w14:textId="23A85773" w:rsidR="000731CD" w:rsidRDefault="000731CD" w:rsidP="000731CD">
      <w:r>
        <w:lastRenderedPageBreak/>
        <w:t>Current medical therapies for PAH are mainly pulmonary vasodilators, although some may have pleotropic actions (</w:t>
      </w:r>
      <w:r w:rsidR="00A3263F">
        <w:t xml:space="preserve">for example, </w:t>
      </w:r>
      <w:r>
        <w:t>antiproliferative activity). Heart and lung transplant is the only potentially curative option.</w:t>
      </w:r>
    </w:p>
    <w:p w14:paraId="255E083A" w14:textId="062E0A2C" w:rsidR="00CB6813" w:rsidRDefault="00995FD3" w:rsidP="00CB6813">
      <w:pPr>
        <w:pStyle w:val="Heading4"/>
      </w:pPr>
      <w:bookmarkStart w:id="12" w:name="_Toc201577333"/>
      <w:r w:rsidRPr="00995FD3">
        <w:t>Current treatment options</w:t>
      </w:r>
      <w:bookmarkEnd w:id="12"/>
    </w:p>
    <w:p w14:paraId="611C766D" w14:textId="6C760D83" w:rsidR="00AA6BEE" w:rsidRPr="00AA6BEE" w:rsidRDefault="00AA6BEE" w:rsidP="00AA6BEE">
      <w:r w:rsidRPr="00AA6BEE">
        <w:t xml:space="preserve">The following drugs and indications appear in the </w:t>
      </w:r>
      <w:r w:rsidR="00E47C37">
        <w:t xml:space="preserve">Australian </w:t>
      </w:r>
      <w:r w:rsidR="00CD7FC5">
        <w:t xml:space="preserve">Register of Therapeutic Goods </w:t>
      </w:r>
      <w:r w:rsidR="00CD7FC5" w:rsidRPr="00753B02">
        <w:t>(</w:t>
      </w:r>
      <w:r w:rsidRPr="00753B02">
        <w:t>ARTG</w:t>
      </w:r>
      <w:r w:rsidR="00CD7FC5" w:rsidRPr="00753B02">
        <w:t>)</w:t>
      </w:r>
      <w:r w:rsidR="00AA786F" w:rsidRPr="00753B02">
        <w:t>.</w:t>
      </w:r>
    </w:p>
    <w:p w14:paraId="1BF81322" w14:textId="3E639D21" w:rsidR="00AA6BEE" w:rsidRPr="00AA6BEE" w:rsidRDefault="00AA6BEE" w:rsidP="00AA6BEE">
      <w:pPr>
        <w:pStyle w:val="Heading5"/>
      </w:pPr>
      <w:r w:rsidRPr="00AA6BEE">
        <w:t>Phosphodiesterase-5 inhibitors</w:t>
      </w:r>
    </w:p>
    <w:p w14:paraId="1702C989" w14:textId="4432C4E2" w:rsidR="00AA6BEE" w:rsidRPr="00AA6BEE" w:rsidRDefault="00AA6BEE" w:rsidP="00AA6BEE">
      <w:r w:rsidRPr="00AA6BEE">
        <w:t>Sildenafil</w:t>
      </w:r>
      <w:r w:rsidR="00445C3C">
        <w:rPr>
          <w:rStyle w:val="FootnoteReference"/>
        </w:rPr>
        <w:footnoteReference w:id="4"/>
      </w:r>
      <w:r w:rsidRPr="00AA6BEE">
        <w:t xml:space="preserve"> </w:t>
      </w:r>
      <w:r w:rsidR="00445C3C">
        <w:t>is</w:t>
      </w:r>
      <w:r w:rsidRPr="00AA6BEE">
        <w:t xml:space="preserve"> used to treat patients with pulmonary arterial hypertension classified as WHO functional class</w:t>
      </w:r>
      <w:r w:rsidR="005F19B8">
        <w:t xml:space="preserve"> (FC)</w:t>
      </w:r>
      <w:r w:rsidRPr="00AA6BEE">
        <w:t xml:space="preserve"> II and III, to improve exercise capacity. Efficacy has been shown in primary pulmonary hypertension and pulmonary hypertension associated with connective tissue disease. The efficacy of sildenafil has not been evaluated in patients currently on </w:t>
      </w:r>
      <w:proofErr w:type="spellStart"/>
      <w:r w:rsidR="00287298">
        <w:t>B</w:t>
      </w:r>
      <w:r w:rsidRPr="00AA6BEE">
        <w:t>osentan</w:t>
      </w:r>
      <w:proofErr w:type="spellEnd"/>
      <w:r w:rsidRPr="00AA6BEE">
        <w:t xml:space="preserve"> therapy.</w:t>
      </w:r>
    </w:p>
    <w:p w14:paraId="60FA3980" w14:textId="578E3F61" w:rsidR="00AA6BEE" w:rsidRPr="00AA6BEE" w:rsidRDefault="00AA6BEE" w:rsidP="00AA6BEE">
      <w:r w:rsidRPr="00AA6BEE">
        <w:t>Tadalafil</w:t>
      </w:r>
      <w:bookmarkStart w:id="13" w:name="_Ref194916858"/>
      <w:r w:rsidR="006A024B">
        <w:rPr>
          <w:rStyle w:val="FootnoteReference"/>
        </w:rPr>
        <w:footnoteReference w:id="5"/>
      </w:r>
      <w:bookmarkEnd w:id="13"/>
      <w:r w:rsidRPr="00AA6BEE">
        <w:t xml:space="preserve"> is indicated in adults for the treatment of PAH classified as WHO </w:t>
      </w:r>
      <w:r w:rsidR="002412D9">
        <w:t>FC</w:t>
      </w:r>
      <w:r w:rsidRPr="00AA6BEE">
        <w:t xml:space="preserve"> II and III, to improve exercise capacity. Efficacy has been shown in idiopathic PAH and in PAH related to collagen vascular disease.</w:t>
      </w:r>
    </w:p>
    <w:p w14:paraId="7A7CCE32" w14:textId="1CE1308C" w:rsidR="00AA6BEE" w:rsidRPr="003551C4" w:rsidRDefault="00AA6BEE" w:rsidP="003551C4">
      <w:pPr>
        <w:pStyle w:val="Heading5"/>
      </w:pPr>
      <w:r w:rsidRPr="003551C4">
        <w:t>Endothelin receptor antagonists</w:t>
      </w:r>
    </w:p>
    <w:p w14:paraId="20FF472E" w14:textId="15B46BBF" w:rsidR="00AA6BEE" w:rsidRPr="003551C4" w:rsidRDefault="00AA6BEE" w:rsidP="003551C4">
      <w:proofErr w:type="spellStart"/>
      <w:r w:rsidRPr="003551C4">
        <w:t>Ambrisentan</w:t>
      </w:r>
      <w:proofErr w:type="spellEnd"/>
      <w:r w:rsidR="003551C4">
        <w:rPr>
          <w:rStyle w:val="FootnoteReference"/>
        </w:rPr>
        <w:footnoteReference w:id="6"/>
      </w:r>
      <w:r w:rsidRPr="003551C4">
        <w:t xml:space="preserve"> is indicated for the treatment of idiopathic pulmonary arterial hypertension</w:t>
      </w:r>
      <w:r w:rsidR="00A61597">
        <w:t xml:space="preserve"> and</w:t>
      </w:r>
      <w:r w:rsidRPr="003551C4">
        <w:t xml:space="preserve">, </w:t>
      </w:r>
      <w:r w:rsidR="000B5E00">
        <w:t>PAH</w:t>
      </w:r>
      <w:r w:rsidRPr="003551C4">
        <w:t xml:space="preserve"> associated with connective tissue disease, in patients with WHO </w:t>
      </w:r>
      <w:r w:rsidR="00287298">
        <w:t>FC</w:t>
      </w:r>
      <w:r w:rsidRPr="003551C4">
        <w:t xml:space="preserve"> II, III or IV symptoms.</w:t>
      </w:r>
    </w:p>
    <w:p w14:paraId="7C5A82A7" w14:textId="73C87E7C" w:rsidR="00AA6BEE" w:rsidRPr="003551C4" w:rsidRDefault="00AA6BEE" w:rsidP="003551C4">
      <w:proofErr w:type="spellStart"/>
      <w:r w:rsidRPr="003551C4">
        <w:t>Bosentan</w:t>
      </w:r>
      <w:proofErr w:type="spellEnd"/>
      <w:r w:rsidR="00A61597">
        <w:rPr>
          <w:rStyle w:val="FootnoteReference"/>
        </w:rPr>
        <w:footnoteReference w:id="7"/>
      </w:r>
      <w:r w:rsidRPr="003551C4">
        <w:t xml:space="preserve"> is indicated for the treatment of</w:t>
      </w:r>
      <w:r w:rsidR="0080472E">
        <w:t xml:space="preserve"> </w:t>
      </w:r>
      <w:r w:rsidRPr="003551C4">
        <w:t>idiopathic</w:t>
      </w:r>
      <w:r w:rsidR="00287298">
        <w:t xml:space="preserve"> PAH</w:t>
      </w:r>
      <w:r w:rsidRPr="003551C4">
        <w:t xml:space="preserve">, familial </w:t>
      </w:r>
      <w:r w:rsidR="00287298">
        <w:t>PAH,</w:t>
      </w:r>
      <w:r w:rsidRPr="003551C4">
        <w:t xml:space="preserve"> </w:t>
      </w:r>
      <w:r w:rsidR="00287298">
        <w:t>PAH</w:t>
      </w:r>
      <w:r w:rsidRPr="003551C4">
        <w:t xml:space="preserve"> associated with scleroderma,</w:t>
      </w:r>
      <w:r w:rsidR="005825D7">
        <w:t xml:space="preserve"> and</w:t>
      </w:r>
      <w:r w:rsidRPr="003551C4">
        <w:t xml:space="preserve"> </w:t>
      </w:r>
      <w:r w:rsidR="007C5B0D">
        <w:t xml:space="preserve">PAH </w:t>
      </w:r>
      <w:r w:rsidRPr="003551C4">
        <w:t xml:space="preserve">associated with congenital systemic to pulmonary shunts including Eisenmenger’s physiology in patients with WHO </w:t>
      </w:r>
      <w:r w:rsidR="007C5B0D">
        <w:t xml:space="preserve">FC </w:t>
      </w:r>
      <w:r w:rsidRPr="003551C4">
        <w:t>II, III or IV symptoms.</w:t>
      </w:r>
    </w:p>
    <w:p w14:paraId="375343CB" w14:textId="65AAE7C2" w:rsidR="00AA6BEE" w:rsidRPr="003551C4" w:rsidRDefault="00AA6BEE" w:rsidP="003551C4">
      <w:r w:rsidRPr="003551C4">
        <w:t>Macitentan</w:t>
      </w:r>
      <w:bookmarkStart w:id="14" w:name="_Ref194916847"/>
      <w:r w:rsidR="005825D7">
        <w:rPr>
          <w:rStyle w:val="FootnoteReference"/>
        </w:rPr>
        <w:footnoteReference w:id="8"/>
      </w:r>
      <w:bookmarkEnd w:id="14"/>
      <w:r w:rsidRPr="003551C4">
        <w:t xml:space="preserve"> as monotherapy or in combination with approved PAH treatments (phosphodiesterase-5 inhibitors or inhaled </w:t>
      </w:r>
      <w:proofErr w:type="spellStart"/>
      <w:r w:rsidRPr="003551C4">
        <w:t>prostanoids</w:t>
      </w:r>
      <w:proofErr w:type="spellEnd"/>
      <w:r w:rsidRPr="003551C4">
        <w:t>), is indicated for the treatment of</w:t>
      </w:r>
      <w:r w:rsidR="00B4603C">
        <w:t xml:space="preserve"> </w:t>
      </w:r>
      <w:r w:rsidRPr="003551C4">
        <w:t xml:space="preserve">idiopathic </w:t>
      </w:r>
      <w:r w:rsidR="007C5B0D">
        <w:t>PAH</w:t>
      </w:r>
      <w:r w:rsidRPr="003551C4">
        <w:t xml:space="preserve">, heritable </w:t>
      </w:r>
      <w:r w:rsidR="007C5B0D">
        <w:t>PAH</w:t>
      </w:r>
      <w:r w:rsidRPr="003551C4">
        <w:t xml:space="preserve">, </w:t>
      </w:r>
      <w:r w:rsidR="007C5B0D">
        <w:t>PAH</w:t>
      </w:r>
      <w:r w:rsidRPr="003551C4">
        <w:t xml:space="preserve"> associated with connective tissue disease, </w:t>
      </w:r>
      <w:r w:rsidR="00B4603C">
        <w:t xml:space="preserve">and </w:t>
      </w:r>
      <w:r w:rsidR="0081038F">
        <w:t>PAH</w:t>
      </w:r>
      <w:r w:rsidRPr="003551C4">
        <w:t xml:space="preserve"> associated with congenital heart disease with repaired shunts in patients with WHO </w:t>
      </w:r>
      <w:r w:rsidR="0081038F">
        <w:t>FC</w:t>
      </w:r>
      <w:r w:rsidRPr="003551C4">
        <w:t xml:space="preserve"> II, III or IV symptoms.</w:t>
      </w:r>
    </w:p>
    <w:p w14:paraId="105C97CB" w14:textId="77777777" w:rsidR="00AA6BEE" w:rsidRPr="008C2E63" w:rsidRDefault="00AA6BEE" w:rsidP="008C2E63">
      <w:pPr>
        <w:pStyle w:val="Heading5"/>
      </w:pPr>
      <w:r w:rsidRPr="008C2E63">
        <w:t>Prostacyclin receptor agonists</w:t>
      </w:r>
    </w:p>
    <w:p w14:paraId="4B380071" w14:textId="2297BB8A" w:rsidR="00AA6BEE" w:rsidRPr="008C2E63" w:rsidRDefault="00AA6BEE" w:rsidP="008C2E63">
      <w:proofErr w:type="spellStart"/>
      <w:r w:rsidRPr="008C2E63">
        <w:t>Iloprost</w:t>
      </w:r>
      <w:proofErr w:type="spellEnd"/>
      <w:r w:rsidR="008C2E63">
        <w:rPr>
          <w:rStyle w:val="FootnoteReference"/>
        </w:rPr>
        <w:footnoteReference w:id="9"/>
      </w:r>
      <w:r w:rsidRPr="008C2E63">
        <w:t xml:space="preserve"> </w:t>
      </w:r>
      <w:r w:rsidR="00474BE3">
        <w:t>is indicated for</w:t>
      </w:r>
      <w:r w:rsidRPr="008C2E63">
        <w:t xml:space="preserve"> treatment of patients with primary </w:t>
      </w:r>
      <w:r w:rsidR="0081038F">
        <w:t>PAH</w:t>
      </w:r>
      <w:r w:rsidRPr="008C2E63">
        <w:t xml:space="preserve"> or secondary </w:t>
      </w:r>
      <w:r w:rsidR="0081038F">
        <w:t>PAH</w:t>
      </w:r>
      <w:r w:rsidRPr="008C2E63">
        <w:t xml:space="preserve"> due to connective tissue disease or drug-induced, in moderate or severe stages of the disease.</w:t>
      </w:r>
    </w:p>
    <w:p w14:paraId="3E75C3A5" w14:textId="5661C487" w:rsidR="00AA6BEE" w:rsidRPr="008C2E63" w:rsidRDefault="00AA6BEE" w:rsidP="008C2E63">
      <w:proofErr w:type="spellStart"/>
      <w:r w:rsidRPr="008C2E63">
        <w:t>Epoprostenol</w:t>
      </w:r>
      <w:proofErr w:type="spellEnd"/>
      <w:r w:rsidR="008C2E63">
        <w:rPr>
          <w:rStyle w:val="FootnoteReference"/>
        </w:rPr>
        <w:footnoteReference w:id="10"/>
      </w:r>
      <w:r w:rsidRPr="008C2E63">
        <w:t xml:space="preserve"> is indicated for the long-term treatment, via continuous intravenous infusion, in WHO </w:t>
      </w:r>
      <w:r w:rsidR="00263054">
        <w:t>FC</w:t>
      </w:r>
      <w:r w:rsidRPr="008C2E63">
        <w:t xml:space="preserve"> III or IV patients with idiopathic </w:t>
      </w:r>
      <w:r w:rsidR="00263054">
        <w:t>PAH</w:t>
      </w:r>
      <w:r w:rsidRPr="008C2E63">
        <w:t xml:space="preserve">, familial </w:t>
      </w:r>
      <w:r w:rsidR="00263054">
        <w:t>PAH</w:t>
      </w:r>
      <w:r w:rsidRPr="008C2E63">
        <w:t xml:space="preserve"> and </w:t>
      </w:r>
      <w:r w:rsidR="00263054">
        <w:t>PAH</w:t>
      </w:r>
      <w:r w:rsidRPr="008C2E63">
        <w:t xml:space="preserve"> associated with the scleroderma spectrum of diseases.</w:t>
      </w:r>
    </w:p>
    <w:p w14:paraId="46DF6D8D" w14:textId="3CFBFF8E" w:rsidR="00AA6BEE" w:rsidRPr="008C2E63" w:rsidRDefault="00AA6BEE" w:rsidP="008C2E63">
      <w:r w:rsidRPr="008C2E63">
        <w:t>Selexipag</w:t>
      </w:r>
      <w:r w:rsidR="008C2E63">
        <w:rPr>
          <w:rStyle w:val="FootnoteReference"/>
        </w:rPr>
        <w:footnoteReference w:id="11"/>
      </w:r>
      <w:r w:rsidRPr="008C2E63">
        <w:t xml:space="preserve"> is indicated for the treatment of</w:t>
      </w:r>
      <w:r w:rsidR="00B04AB1">
        <w:t xml:space="preserve"> </w:t>
      </w:r>
      <w:r w:rsidRPr="008C2E63">
        <w:t>idiopathic</w:t>
      </w:r>
      <w:r w:rsidR="00263054">
        <w:t xml:space="preserve"> PAH</w:t>
      </w:r>
      <w:r w:rsidRPr="008C2E63">
        <w:t xml:space="preserve">, heritable </w:t>
      </w:r>
      <w:r w:rsidR="00263054">
        <w:t>PAH</w:t>
      </w:r>
      <w:r w:rsidRPr="008C2E63">
        <w:t xml:space="preserve">, </w:t>
      </w:r>
      <w:r w:rsidR="00263054">
        <w:t>PAH</w:t>
      </w:r>
      <w:r w:rsidRPr="008C2E63">
        <w:t xml:space="preserve"> associated with connective tissue disease,</w:t>
      </w:r>
      <w:r w:rsidR="00263054">
        <w:t xml:space="preserve"> PAH</w:t>
      </w:r>
      <w:r w:rsidRPr="008C2E63">
        <w:t xml:space="preserve"> associated with congenital heart disease with repaired shunts,</w:t>
      </w:r>
      <w:r w:rsidR="00625C37">
        <w:t xml:space="preserve"> and </w:t>
      </w:r>
      <w:r w:rsidR="00215BE8">
        <w:t>PAH</w:t>
      </w:r>
      <w:r w:rsidRPr="008C2E63">
        <w:t xml:space="preserve"> associated with drugs and toxins, in patients with WHO </w:t>
      </w:r>
      <w:r w:rsidR="00215BE8">
        <w:t>FC</w:t>
      </w:r>
      <w:r w:rsidRPr="008C2E63">
        <w:t xml:space="preserve"> II, III or IV symptoms.</w:t>
      </w:r>
    </w:p>
    <w:p w14:paraId="047AA78C" w14:textId="77777777" w:rsidR="00AA6BEE" w:rsidRPr="00625C37" w:rsidRDefault="00AA6BEE" w:rsidP="00625C37">
      <w:pPr>
        <w:pStyle w:val="Heading5"/>
      </w:pPr>
      <w:r w:rsidRPr="00625C37">
        <w:lastRenderedPageBreak/>
        <w:t>Soluble guanylate cyclase stimulator</w:t>
      </w:r>
    </w:p>
    <w:p w14:paraId="707A59DB" w14:textId="68EAB8BC" w:rsidR="00AA6BEE" w:rsidRDefault="00AA6BEE" w:rsidP="00625C37">
      <w:proofErr w:type="spellStart"/>
      <w:r w:rsidRPr="00625C37">
        <w:t>Riociguat</w:t>
      </w:r>
      <w:proofErr w:type="spellEnd"/>
      <w:r w:rsidR="00625C37">
        <w:rPr>
          <w:rStyle w:val="FootnoteReference"/>
        </w:rPr>
        <w:footnoteReference w:id="12"/>
      </w:r>
      <w:r w:rsidRPr="00625C37">
        <w:t xml:space="preserve"> </w:t>
      </w:r>
      <w:r w:rsidR="00625C37">
        <w:t>is indicated for</w:t>
      </w:r>
      <w:r w:rsidRPr="00625C37">
        <w:t xml:space="preserve"> </w:t>
      </w:r>
      <w:r w:rsidR="00215BE8">
        <w:t>PA</w:t>
      </w:r>
      <w:r w:rsidR="006D5DE5">
        <w:t>H</w:t>
      </w:r>
      <w:r w:rsidR="0083377C">
        <w:t xml:space="preserve">. </w:t>
      </w:r>
      <w:proofErr w:type="spellStart"/>
      <w:r w:rsidR="0083377C">
        <w:t>R</w:t>
      </w:r>
      <w:r w:rsidRPr="00625C37">
        <w:t>iociguat</w:t>
      </w:r>
      <w:proofErr w:type="spellEnd"/>
      <w:r w:rsidRPr="00625C37">
        <w:t xml:space="preserve">, as monotherapy or in combination with approved PAH treatments (endothelin receptor antagonists or inhaled or subcutaneous </w:t>
      </w:r>
      <w:proofErr w:type="spellStart"/>
      <w:r w:rsidRPr="00625C37">
        <w:t>prostanoids</w:t>
      </w:r>
      <w:proofErr w:type="spellEnd"/>
      <w:r w:rsidRPr="00625C37">
        <w:t>), is indicated for the treatment of</w:t>
      </w:r>
      <w:r w:rsidR="0083377C">
        <w:t xml:space="preserve"> </w:t>
      </w:r>
      <w:r w:rsidRPr="00625C37">
        <w:t xml:space="preserve">idiopathic </w:t>
      </w:r>
      <w:r w:rsidR="000157C7">
        <w:t>PAH</w:t>
      </w:r>
      <w:r w:rsidRPr="00625C37">
        <w:t xml:space="preserve">, heritable </w:t>
      </w:r>
      <w:r w:rsidR="000157C7">
        <w:t>PAH</w:t>
      </w:r>
      <w:r w:rsidRPr="00625C37">
        <w:t xml:space="preserve">, </w:t>
      </w:r>
      <w:r w:rsidR="000157C7">
        <w:t>PAH</w:t>
      </w:r>
      <w:r w:rsidRPr="00625C37">
        <w:t xml:space="preserve"> associated with connective tissue diseases or, </w:t>
      </w:r>
      <w:r w:rsidR="000157C7">
        <w:t>PAH</w:t>
      </w:r>
      <w:r w:rsidRPr="00625C37">
        <w:t xml:space="preserve"> associated with congenital heart disease in adult patients with WHO </w:t>
      </w:r>
      <w:r w:rsidR="000157C7">
        <w:t>FC</w:t>
      </w:r>
      <w:r w:rsidR="00153491">
        <w:t xml:space="preserve"> </w:t>
      </w:r>
      <w:r w:rsidRPr="00625C37">
        <w:t>II, III or IV symptoms.</w:t>
      </w:r>
    </w:p>
    <w:p w14:paraId="19EF2E79" w14:textId="591317FF" w:rsidR="006E12EF" w:rsidRPr="00625C37" w:rsidRDefault="00F63F1D" w:rsidP="006E12EF">
      <w:pPr>
        <w:pStyle w:val="Heading5"/>
      </w:pPr>
      <w:r>
        <w:t>Treatment g</w:t>
      </w:r>
      <w:r w:rsidR="00166951">
        <w:t>uidelines</w:t>
      </w:r>
    </w:p>
    <w:p w14:paraId="20D62903" w14:textId="6E4725E8" w:rsidR="00AA6BEE" w:rsidRPr="008B22EA" w:rsidRDefault="00AA6BEE" w:rsidP="00625C37">
      <w:r w:rsidRPr="001F2B8A">
        <w:t xml:space="preserve">International guidelines have been published by </w:t>
      </w:r>
      <w:r w:rsidR="00182075" w:rsidRPr="001F2B8A">
        <w:t>the European Society of Ca</w:t>
      </w:r>
      <w:r w:rsidR="00A43B0E" w:rsidRPr="001F2B8A">
        <w:t xml:space="preserve">rdiology </w:t>
      </w:r>
      <w:r w:rsidR="00A43B0E" w:rsidRPr="00420187">
        <w:t>(</w:t>
      </w:r>
      <w:r w:rsidRPr="00420187">
        <w:t>ESC</w:t>
      </w:r>
      <w:r w:rsidR="00A43B0E" w:rsidRPr="00420187">
        <w:t>) and the European Respiratory Society (E</w:t>
      </w:r>
      <w:r w:rsidRPr="00420187">
        <w:t>RS</w:t>
      </w:r>
      <w:r w:rsidR="00A43B0E" w:rsidRPr="00420187">
        <w:t>)</w:t>
      </w:r>
      <w:r w:rsidR="00011D73" w:rsidRPr="00420187">
        <w:t>,</w:t>
      </w:r>
      <w:r w:rsidR="00011D73" w:rsidRPr="00420187">
        <w:fldChar w:fldCharType="begin"/>
      </w:r>
      <w:r w:rsidR="00011D73" w:rsidRPr="00420187">
        <w:instrText xml:space="preserve"> NOTEREF _Ref194914400 \f \h </w:instrText>
      </w:r>
      <w:r w:rsidR="00420187">
        <w:instrText xml:space="preserve"> \* MERGEFORMAT </w:instrText>
      </w:r>
      <w:r w:rsidR="00011D73" w:rsidRPr="00420187">
        <w:fldChar w:fldCharType="separate"/>
      </w:r>
      <w:r w:rsidR="00011D73" w:rsidRPr="00420187">
        <w:rPr>
          <w:rStyle w:val="FootnoteReference"/>
        </w:rPr>
        <w:t>2</w:t>
      </w:r>
      <w:r w:rsidR="00011D73" w:rsidRPr="00420187">
        <w:fldChar w:fldCharType="end"/>
      </w:r>
      <w:r w:rsidR="00011D73" w:rsidRPr="00420187">
        <w:t xml:space="preserve"> </w:t>
      </w:r>
      <w:r w:rsidRPr="00420187">
        <w:t>and the American College of Chest Phys</w:t>
      </w:r>
      <w:r w:rsidRPr="001F2B8A">
        <w:t>icians</w:t>
      </w:r>
      <w:r w:rsidR="00011D73">
        <w:t>.</w:t>
      </w:r>
      <w:r w:rsidR="00011D73">
        <w:rPr>
          <w:rStyle w:val="FootnoteReference"/>
        </w:rPr>
        <w:footnoteReference w:id="13"/>
      </w:r>
      <w:r w:rsidRPr="00625C37">
        <w:t xml:space="preserve"> </w:t>
      </w:r>
      <w:r w:rsidRPr="008B22EA">
        <w:t xml:space="preserve">Both guidelines are detailed and complex and what follows is a high-level summary. As only a very small proportion of patients are </w:t>
      </w:r>
      <w:proofErr w:type="spellStart"/>
      <w:r w:rsidRPr="008B22EA">
        <w:t>vasoreactive</w:t>
      </w:r>
      <w:proofErr w:type="spellEnd"/>
      <w:r w:rsidRPr="008B22EA">
        <w:t xml:space="preserve"> (</w:t>
      </w:r>
      <w:r w:rsidR="00542C20" w:rsidRPr="008B22EA">
        <w:t xml:space="preserve">that is, </w:t>
      </w:r>
      <w:r w:rsidRPr="008B22EA">
        <w:t>on invasive testing) and can be initially trialled on calcium channel blockers, this treatment is not discussed further.</w:t>
      </w:r>
    </w:p>
    <w:p w14:paraId="52F014B5" w14:textId="725CC7D7" w:rsidR="00AA6BEE" w:rsidRPr="008B22EA" w:rsidRDefault="00F30898" w:rsidP="008B22EA">
      <w:r w:rsidRPr="008B22EA">
        <w:t>European Society of Cardiology</w:t>
      </w:r>
      <w:r w:rsidR="00377B82">
        <w:t xml:space="preserve"> </w:t>
      </w:r>
      <w:r w:rsidR="00805072">
        <w:t>(ESC)</w:t>
      </w:r>
      <w:r w:rsidRPr="008B22EA">
        <w:t>/ European Respiratory Society</w:t>
      </w:r>
      <w:r w:rsidR="00AA6BEE" w:rsidRPr="008B22EA">
        <w:t xml:space="preserve"> </w:t>
      </w:r>
      <w:r w:rsidR="00805072">
        <w:t xml:space="preserve">(ERS) </w:t>
      </w:r>
      <w:r w:rsidR="00AA6BEE" w:rsidRPr="008B22EA">
        <w:t>guideline:</w:t>
      </w:r>
    </w:p>
    <w:p w14:paraId="5F573B91" w14:textId="57148E0C" w:rsidR="00AA6BEE" w:rsidRPr="008B22EA" w:rsidRDefault="00AA6BEE" w:rsidP="0038400F">
      <w:pPr>
        <w:pStyle w:val="ListBullet"/>
      </w:pPr>
      <w:r w:rsidRPr="008B22EA">
        <w:t xml:space="preserve">Patients with low or intermediate risk, initial combination of an </w:t>
      </w:r>
      <w:r w:rsidR="008B22EA">
        <w:t>e</w:t>
      </w:r>
      <w:r w:rsidR="008B22EA" w:rsidRPr="008B22EA">
        <w:t>ndothelin receptor antagonis</w:t>
      </w:r>
      <w:r w:rsidR="008B22EA" w:rsidRPr="00B30F22">
        <w:t>ts (</w:t>
      </w:r>
      <w:r w:rsidRPr="00B30F22">
        <w:t>ERA</w:t>
      </w:r>
      <w:r w:rsidR="008B22EA" w:rsidRPr="00B30F22">
        <w:t>)</w:t>
      </w:r>
      <w:r w:rsidRPr="00B30F22">
        <w:t xml:space="preserve"> and</w:t>
      </w:r>
      <w:r w:rsidRPr="008B22EA">
        <w:t xml:space="preserve"> </w:t>
      </w:r>
      <w:r w:rsidR="0084026D">
        <w:t>p</w:t>
      </w:r>
      <w:r w:rsidR="0084026D" w:rsidRPr="0084026D">
        <w:t>hosphodiesterase-5 inhibitors</w:t>
      </w:r>
      <w:r w:rsidR="0084026D">
        <w:t xml:space="preserve"> (</w:t>
      </w:r>
      <w:r w:rsidRPr="003127C1">
        <w:t>PDE5i</w:t>
      </w:r>
      <w:r w:rsidR="0084026D" w:rsidRPr="003127C1">
        <w:t>)</w:t>
      </w:r>
      <w:r w:rsidRPr="008B22EA">
        <w:t xml:space="preserve"> is recommended</w:t>
      </w:r>
      <w:r w:rsidR="0084026D">
        <w:t>.</w:t>
      </w:r>
    </w:p>
    <w:p w14:paraId="30952562" w14:textId="3FFDAFA5" w:rsidR="00AA6BEE" w:rsidRPr="008B22EA" w:rsidRDefault="00AA6BEE" w:rsidP="0038400F">
      <w:pPr>
        <w:pStyle w:val="ListBullet"/>
      </w:pPr>
      <w:r w:rsidRPr="008B22EA">
        <w:t>Patients who present with high risk, initial combination with a PDE5i, ERA and parenteral prostacyclin analogues should be considered</w:t>
      </w:r>
      <w:r w:rsidR="0038400F">
        <w:t>.</w:t>
      </w:r>
    </w:p>
    <w:p w14:paraId="64C7F62B" w14:textId="02482D3A" w:rsidR="00AA6BEE" w:rsidRPr="008B22EA" w:rsidRDefault="00AA6BEE" w:rsidP="0038400F">
      <w:pPr>
        <w:pStyle w:val="ListBullet"/>
      </w:pPr>
      <w:r w:rsidRPr="008B22EA">
        <w:t xml:space="preserve">Patients who present at low or intermediate risk while on combination ERA/PDE5i should be considered for </w:t>
      </w:r>
      <w:proofErr w:type="spellStart"/>
      <w:r w:rsidRPr="008B22EA">
        <w:t>selexipag</w:t>
      </w:r>
      <w:proofErr w:type="spellEnd"/>
      <w:r w:rsidRPr="008B22EA">
        <w:t xml:space="preserve"> or may be considered for </w:t>
      </w:r>
      <w:proofErr w:type="spellStart"/>
      <w:r w:rsidRPr="008B22EA">
        <w:t>riociguat</w:t>
      </w:r>
      <w:proofErr w:type="spellEnd"/>
      <w:r w:rsidRPr="008B22EA">
        <w:t xml:space="preserve"> (in latter case, will need to cease PDE5i)</w:t>
      </w:r>
      <w:r w:rsidR="0038400F">
        <w:t>.</w:t>
      </w:r>
    </w:p>
    <w:p w14:paraId="663BBA18" w14:textId="325D45F3" w:rsidR="00AA6BEE" w:rsidRPr="008B22EA" w:rsidRDefault="00AA6BEE" w:rsidP="0038400F">
      <w:pPr>
        <w:pStyle w:val="ListBullet"/>
      </w:pPr>
      <w:r w:rsidRPr="008B22EA">
        <w:t>In patients who present at intermediate or high risk while on combination ERA/PDE5i should be considered for parenteral prostacyclin analogues</w:t>
      </w:r>
      <w:r w:rsidR="0038400F">
        <w:t>.</w:t>
      </w:r>
    </w:p>
    <w:p w14:paraId="1C5F08D5" w14:textId="76287056" w:rsidR="00AA6BEE" w:rsidRPr="008B22EA" w:rsidRDefault="00AA6BEE" w:rsidP="0038400F">
      <w:pPr>
        <w:pStyle w:val="ListBullet"/>
      </w:pPr>
      <w:r w:rsidRPr="008B22EA">
        <w:t>The recommended combination ERA</w:t>
      </w:r>
      <w:r w:rsidR="0038400F">
        <w:t>/</w:t>
      </w:r>
      <w:r w:rsidRPr="008B22EA">
        <w:t xml:space="preserve">PDE5i combinations are </w:t>
      </w:r>
      <w:proofErr w:type="spellStart"/>
      <w:r w:rsidRPr="008B22EA">
        <w:t>ambrisentan</w:t>
      </w:r>
      <w:proofErr w:type="spellEnd"/>
      <w:r w:rsidRPr="008B22EA">
        <w:t xml:space="preserve"> and tadalafil</w:t>
      </w:r>
      <w:r w:rsidR="0038400F">
        <w:t xml:space="preserve">, </w:t>
      </w:r>
      <w:r w:rsidRPr="008B22EA">
        <w:t>and macitentan and tadalafil</w:t>
      </w:r>
      <w:r w:rsidR="0038400F">
        <w:t>.</w:t>
      </w:r>
    </w:p>
    <w:p w14:paraId="04E28C41" w14:textId="42EB4BAE" w:rsidR="00AA6BEE" w:rsidRPr="008B22EA" w:rsidRDefault="00AA6BEE" w:rsidP="008B22EA">
      <w:r>
        <w:t>American College of Chest Physicians:</w:t>
      </w:r>
    </w:p>
    <w:p w14:paraId="022B47EC" w14:textId="29209809" w:rsidR="00AA6BEE" w:rsidRPr="008B22EA" w:rsidRDefault="00AA6BEE" w:rsidP="008C69B6">
      <w:pPr>
        <w:pStyle w:val="ListBullet"/>
      </w:pPr>
      <w:r w:rsidRPr="008B22EA">
        <w:t>Patients who are treatment</w:t>
      </w:r>
      <w:r w:rsidR="00FC254B">
        <w:t xml:space="preserve"> </w:t>
      </w:r>
      <w:r w:rsidRPr="008B22EA">
        <w:t xml:space="preserve">naïve and with WHO </w:t>
      </w:r>
      <w:r w:rsidRPr="008A15E5">
        <w:t>FC</w:t>
      </w:r>
      <w:r w:rsidRPr="008B22EA">
        <w:t xml:space="preserve"> I symptoms should be monitored for disease progression</w:t>
      </w:r>
      <w:r w:rsidR="000A1F63">
        <w:t>.</w:t>
      </w:r>
    </w:p>
    <w:p w14:paraId="5172E5F3" w14:textId="49BFAC96" w:rsidR="00AA6BEE" w:rsidRPr="008B22EA" w:rsidRDefault="00AA6BEE" w:rsidP="008C69B6">
      <w:pPr>
        <w:pStyle w:val="ListBullet"/>
      </w:pPr>
      <w:r w:rsidRPr="008B22EA">
        <w:t>Patients who are treatment</w:t>
      </w:r>
      <w:r w:rsidR="00FC254B">
        <w:t xml:space="preserve"> </w:t>
      </w:r>
      <w:r w:rsidRPr="008B22EA">
        <w:t xml:space="preserve">naïve and with WHO FC II and III symptoms should be treated with a combination of tadalafil and </w:t>
      </w:r>
      <w:proofErr w:type="spellStart"/>
      <w:r w:rsidRPr="008B22EA">
        <w:t>ambrisentan</w:t>
      </w:r>
      <w:proofErr w:type="spellEnd"/>
      <w:r w:rsidR="00D47B09">
        <w:t>.</w:t>
      </w:r>
    </w:p>
    <w:p w14:paraId="3FEC847B" w14:textId="1DAB89C1" w:rsidR="00AA6BEE" w:rsidRPr="008B22EA" w:rsidRDefault="00AA6BEE" w:rsidP="008C69B6">
      <w:pPr>
        <w:pStyle w:val="ListBullet"/>
      </w:pPr>
      <w:r w:rsidRPr="008B22EA">
        <w:t xml:space="preserve">If monotherapy is preferred, options include PDE5i, ERA or </w:t>
      </w:r>
      <w:proofErr w:type="spellStart"/>
      <w:r w:rsidRPr="008B22EA">
        <w:t>riociguat</w:t>
      </w:r>
      <w:proofErr w:type="spellEnd"/>
      <w:r w:rsidRPr="008B22EA">
        <w:t xml:space="preserve"> (</w:t>
      </w:r>
      <w:r w:rsidR="00D47B09">
        <w:t xml:space="preserve">the Delegate </w:t>
      </w:r>
      <w:r w:rsidRPr="008B22EA">
        <w:t>note</w:t>
      </w:r>
      <w:r w:rsidR="00D47B09">
        <w:t>d</w:t>
      </w:r>
      <w:r w:rsidRPr="008B22EA">
        <w:t xml:space="preserve"> that </w:t>
      </w:r>
      <w:proofErr w:type="spellStart"/>
      <w:r w:rsidRPr="008B22EA">
        <w:t>selexipag</w:t>
      </w:r>
      <w:proofErr w:type="spellEnd"/>
      <w:r w:rsidRPr="008B22EA">
        <w:t xml:space="preserve"> is discussed in the guideline, but no recommendations are given)</w:t>
      </w:r>
      <w:r w:rsidR="00D47B09">
        <w:t>.</w:t>
      </w:r>
    </w:p>
    <w:p w14:paraId="6FA32E0F" w14:textId="77777777" w:rsidR="00AA6BEE" w:rsidRPr="008B22EA" w:rsidRDefault="00AA6BEE" w:rsidP="008C69B6">
      <w:pPr>
        <w:pStyle w:val="ListBullet"/>
      </w:pPr>
      <w:r w:rsidRPr="008B22EA">
        <w:t xml:space="preserve">Patients who are treatment naïve with WHO FC III symptoms and rapid disease progression or markers of poor prognosis should initially be treated with parenteral </w:t>
      </w:r>
      <w:proofErr w:type="spellStart"/>
      <w:r w:rsidRPr="008B22EA">
        <w:t>prostanoid</w:t>
      </w:r>
      <w:proofErr w:type="spellEnd"/>
      <w:r w:rsidRPr="008B22EA">
        <w:t>.</w:t>
      </w:r>
    </w:p>
    <w:p w14:paraId="622AEB4F" w14:textId="77777777" w:rsidR="00AA6BEE" w:rsidRPr="008B22EA" w:rsidRDefault="00AA6BEE" w:rsidP="008C69B6">
      <w:pPr>
        <w:pStyle w:val="ListBullet"/>
      </w:pPr>
      <w:r w:rsidRPr="008B22EA">
        <w:t xml:space="preserve">Patients who are WHO FC III despite treatment with one or two oral agents and who have disease progression or markers of poor prognosis should be treated with parenteral or inhaled </w:t>
      </w:r>
      <w:proofErr w:type="spellStart"/>
      <w:r w:rsidRPr="008B22EA">
        <w:t>prostanoid</w:t>
      </w:r>
      <w:proofErr w:type="spellEnd"/>
      <w:r w:rsidRPr="008B22EA">
        <w:t>.</w:t>
      </w:r>
    </w:p>
    <w:p w14:paraId="23922B44" w14:textId="01BB4160" w:rsidR="00AA6BEE" w:rsidRPr="008B22EA" w:rsidRDefault="00AA6BEE" w:rsidP="008C69B6">
      <w:pPr>
        <w:pStyle w:val="ListBullet"/>
      </w:pPr>
      <w:r w:rsidRPr="008B22EA">
        <w:t>Patients who are treatment</w:t>
      </w:r>
      <w:r w:rsidR="00FC254B">
        <w:t xml:space="preserve"> </w:t>
      </w:r>
      <w:r w:rsidRPr="008B22EA">
        <w:t xml:space="preserve">naïve and with WHO FC IV symptoms should be treated with parenteral </w:t>
      </w:r>
      <w:proofErr w:type="spellStart"/>
      <w:r w:rsidRPr="008B22EA">
        <w:t>prostanoid</w:t>
      </w:r>
      <w:proofErr w:type="spellEnd"/>
      <w:r w:rsidRPr="008B22EA">
        <w:t>.</w:t>
      </w:r>
    </w:p>
    <w:p w14:paraId="399282F4" w14:textId="045BFA0B" w:rsidR="00AA6BEE" w:rsidRPr="008B22EA" w:rsidRDefault="008C69B6" w:rsidP="008B22EA">
      <w:r>
        <w:lastRenderedPageBreak/>
        <w:t>The Delegate n</w:t>
      </w:r>
      <w:r w:rsidR="00AA6BEE" w:rsidRPr="008B22EA">
        <w:t>ote</w:t>
      </w:r>
      <w:r>
        <w:t>d</w:t>
      </w:r>
      <w:r w:rsidR="00AA6BEE" w:rsidRPr="008B22EA">
        <w:t xml:space="preserve"> the intersection in both guidelines of assessing patients based on symptoms (</w:t>
      </w:r>
      <w:r w:rsidR="0072349C">
        <w:t>that is,</w:t>
      </w:r>
      <w:r w:rsidR="00AA6BEE" w:rsidRPr="008B22EA">
        <w:t xml:space="preserve"> WHO </w:t>
      </w:r>
      <w:r w:rsidR="00A77B55">
        <w:t>FC</w:t>
      </w:r>
      <w:r w:rsidR="00AA6BEE" w:rsidRPr="008B22EA">
        <w:t>) and prognostic markers/risk.</w:t>
      </w:r>
    </w:p>
    <w:p w14:paraId="44B6ADC5" w14:textId="4E437555" w:rsidR="00AA6BEE" w:rsidRDefault="00AA6BEE" w:rsidP="008B22EA">
      <w:r w:rsidRPr="008B22EA">
        <w:t>Aside from these standard drug therapies, other important medical treatments include oxygen, diuretics, other supportive care and heart-lung transplantation.</w:t>
      </w:r>
    </w:p>
    <w:p w14:paraId="37C47E09" w14:textId="75DAA384" w:rsidR="00CB6813" w:rsidRDefault="00995FD3" w:rsidP="00CB6813">
      <w:pPr>
        <w:pStyle w:val="Heading4"/>
      </w:pPr>
      <w:bookmarkStart w:id="15" w:name="_Toc201577334"/>
      <w:r w:rsidRPr="00995FD3">
        <w:t>Clinical rationale</w:t>
      </w:r>
      <w:bookmarkEnd w:id="15"/>
    </w:p>
    <w:p w14:paraId="44E776EA" w14:textId="40272040" w:rsidR="00D3523D" w:rsidRPr="00D3523D" w:rsidRDefault="00D3523D" w:rsidP="00D3523D">
      <w:r w:rsidRPr="00D3523D">
        <w:t>O</w:t>
      </w:r>
      <w:r>
        <w:t>psynvi</w:t>
      </w:r>
      <w:r w:rsidRPr="00D3523D">
        <w:t xml:space="preserve"> </w:t>
      </w:r>
      <w:r w:rsidR="00FE58B5">
        <w:t>macitentan/tadalafil</w:t>
      </w:r>
      <w:r w:rsidRPr="00D3523D">
        <w:t xml:space="preserve"> is a single tablet fixed dose </w:t>
      </w:r>
      <w:r w:rsidRPr="00C5132F">
        <w:t>combination (FDC)</w:t>
      </w:r>
      <w:r w:rsidRPr="00D3523D">
        <w:t xml:space="preserve"> containing macitentan</w:t>
      </w:r>
      <w:r w:rsidR="004E20AC">
        <w:t xml:space="preserve"> </w:t>
      </w:r>
      <w:r w:rsidRPr="00D3523D">
        <w:t>10</w:t>
      </w:r>
      <w:r w:rsidR="004E20AC">
        <w:t> </w:t>
      </w:r>
      <w:r w:rsidRPr="00D3523D">
        <w:t>mg and tadalafil 40</w:t>
      </w:r>
      <w:r w:rsidR="004E20AC">
        <w:t> </w:t>
      </w:r>
      <w:r w:rsidRPr="00D3523D">
        <w:t xml:space="preserve">mg. The original proposed indication was </w:t>
      </w:r>
      <w:r w:rsidR="004E20AC">
        <w:t>‘</w:t>
      </w:r>
      <w:r w:rsidRPr="00D3523D">
        <w:t>for the maintenance treatment of pulmonary arterial hypertension (PAH, World Health Organization [WHO] Group 1) in adult patients of WHO functional class (FC) II, III and IV who are on stable doses of macitentan 10</w:t>
      </w:r>
      <w:r w:rsidR="004E20AC">
        <w:t> </w:t>
      </w:r>
      <w:r w:rsidRPr="00D3523D">
        <w:t>mg and tadalafil 40</w:t>
      </w:r>
      <w:r w:rsidR="004E20AC">
        <w:t> </w:t>
      </w:r>
      <w:r w:rsidRPr="00D3523D">
        <w:t>mg (20</w:t>
      </w:r>
      <w:r w:rsidR="004E20AC">
        <w:t> </w:t>
      </w:r>
      <w:r w:rsidRPr="00D3523D">
        <w:t>mg x 2) as separate tablets.</w:t>
      </w:r>
      <w:r w:rsidR="004E20AC">
        <w:t>’</w:t>
      </w:r>
    </w:p>
    <w:p w14:paraId="7EC9BCEE" w14:textId="199FEF8D" w:rsidR="00D3523D" w:rsidRPr="00D3523D" w:rsidRDefault="00D3523D" w:rsidP="00D3523D">
      <w:r w:rsidRPr="00D3523D">
        <w:t xml:space="preserve">The justification for this FDC </w:t>
      </w:r>
      <w:r w:rsidRPr="005F06FF">
        <w:t>(note that justification is required per the Guideline on clinical development of fixed combination medicinal products</w:t>
      </w:r>
      <w:r w:rsidRPr="00D3523D">
        <w:t xml:space="preserve">) is based on its intended use as </w:t>
      </w:r>
      <w:r w:rsidR="009135DB">
        <w:t>‘</w:t>
      </w:r>
      <w:r w:rsidRPr="00D3523D">
        <w:t>substitution indication only</w:t>
      </w:r>
      <w:r w:rsidR="009135DB">
        <w:t>’</w:t>
      </w:r>
      <w:r w:rsidRPr="00D3523D">
        <w:t xml:space="preserve">, </w:t>
      </w:r>
      <w:r w:rsidR="009135DB">
        <w:t>that is,</w:t>
      </w:r>
      <w:r w:rsidRPr="00D3523D">
        <w:t xml:space="preserve"> patients already stabilised on macitentan 10</w:t>
      </w:r>
      <w:r w:rsidR="00B625F5">
        <w:t> </w:t>
      </w:r>
      <w:r w:rsidRPr="00D3523D">
        <w:t>mg and tadalafil 40</w:t>
      </w:r>
      <w:r w:rsidR="00B625F5">
        <w:t> </w:t>
      </w:r>
      <w:r w:rsidRPr="00D3523D">
        <w:t xml:space="preserve">mg can switch over to the fixed dose combination. The </w:t>
      </w:r>
      <w:r w:rsidR="00B625F5">
        <w:t>s</w:t>
      </w:r>
      <w:r w:rsidRPr="00D3523D">
        <w:t>ponsor put forward that the FDC could address suboptimal adherence to drug therapy, which is known to occur in PAH, and can relate to the use of dose regimens involving multiple medications with frequent administration times. Also, the PAH population is ageing and has a burden of comorbidities, which can contribute to reduced adherence. In addition</w:t>
      </w:r>
      <w:r w:rsidR="00B625F5">
        <w:t>,</w:t>
      </w:r>
      <w:r w:rsidRPr="00D3523D">
        <w:t xml:space="preserve"> the </w:t>
      </w:r>
      <w:r w:rsidR="00B625F5">
        <w:t>s</w:t>
      </w:r>
      <w:r w:rsidRPr="00D3523D">
        <w:t>ponsor suggested there may be a safety benefit to using a FDC by reducing the risk of medication errors.</w:t>
      </w:r>
    </w:p>
    <w:p w14:paraId="1C61F312" w14:textId="77777777" w:rsidR="00D3523D" w:rsidRPr="00D3523D" w:rsidRDefault="00D3523D" w:rsidP="00D3523D">
      <w:r w:rsidRPr="00D3523D">
        <w:t>The original proposed indication was questioned by the TGA as it is broader than the indications for each of the component medicines and that this is not consistent with a substitution indication. The original proposed indication was questioned on the basis that:</w:t>
      </w:r>
    </w:p>
    <w:p w14:paraId="74B6AFB6" w14:textId="5B99AF39" w:rsidR="00D3523D" w:rsidRPr="00E47C37" w:rsidRDefault="00D3523D" w:rsidP="00E47C37">
      <w:pPr>
        <w:pStyle w:val="ListBullet"/>
      </w:pPr>
      <w:r w:rsidRPr="00E47C37">
        <w:t>Macitentan is only indicated for 4 subtypes of PAH (idiopathic, heritable, associated with connective tissue disease, associated with congenital heart disease with repaired shunts). O</w:t>
      </w:r>
      <w:r w:rsidR="00E47C37">
        <w:t>psynvi</w:t>
      </w:r>
      <w:r w:rsidRPr="00E47C37">
        <w:t xml:space="preserve"> is proposed for use broadly in PAH (</w:t>
      </w:r>
      <w:r w:rsidR="00E47C37">
        <w:t>that is,</w:t>
      </w:r>
      <w:r w:rsidRPr="00E47C37">
        <w:t xml:space="preserve"> potentially all subgroups).</w:t>
      </w:r>
    </w:p>
    <w:p w14:paraId="1F7FBF79" w14:textId="4183E06B" w:rsidR="00D3523D" w:rsidRPr="00E47C37" w:rsidRDefault="00D3523D" w:rsidP="00E47C37">
      <w:pPr>
        <w:pStyle w:val="ListBullet"/>
      </w:pPr>
      <w:r w:rsidRPr="00E47C37">
        <w:t>Tadalafil is only indicated in WHO FC II and III. O</w:t>
      </w:r>
      <w:r w:rsidR="00E47C37">
        <w:t>psynvi</w:t>
      </w:r>
      <w:r w:rsidRPr="00E47C37">
        <w:t xml:space="preserve"> is proposed for use in FC IV as well.</w:t>
      </w:r>
    </w:p>
    <w:p w14:paraId="02E13D3B" w14:textId="19C5C399" w:rsidR="00D3523D" w:rsidRPr="008F1179" w:rsidRDefault="054AD466" w:rsidP="008F1179">
      <w:r>
        <w:t xml:space="preserve">The </w:t>
      </w:r>
      <w:r w:rsidR="2EC3D060">
        <w:t>s</w:t>
      </w:r>
      <w:r>
        <w:t>ponsor was asked to align the indication with the individual ARTG indications for macitentan and tadalafil</w:t>
      </w:r>
      <w:r w:rsidR="5229E629">
        <w:t xml:space="preserve"> </w:t>
      </w:r>
      <w:r>
        <w:t xml:space="preserve">but decided to proceed with the submission without changes. Following the </w:t>
      </w:r>
      <w:r w:rsidR="55DC25A8">
        <w:t>TGA e</w:t>
      </w:r>
      <w:r>
        <w:t>valuation the proposed indication was changed to:</w:t>
      </w:r>
    </w:p>
    <w:p w14:paraId="058266EE" w14:textId="77777777" w:rsidR="00692116" w:rsidRDefault="00D3523D" w:rsidP="008F1179">
      <w:pPr>
        <w:pStyle w:val="ListBullet"/>
      </w:pPr>
      <w:r w:rsidRPr="008F1179">
        <w:t>The long-term maintenance treatment of pulmonary arterial hypertension (PAH, World Health Organization [WHO] Group 1) in adult patients of WHO functional class (FC) II, III and IV whose PAH is idiopathic, heritable or associated with connective tissue disease or congenital heart disease</w:t>
      </w:r>
      <w:r w:rsidR="00692116">
        <w:t>.</w:t>
      </w:r>
    </w:p>
    <w:p w14:paraId="36BF4808" w14:textId="22B499F1" w:rsidR="00D3523D" w:rsidRPr="008F1179" w:rsidRDefault="00D3523D" w:rsidP="008F1179">
      <w:pPr>
        <w:pStyle w:val="ListBullet"/>
      </w:pPr>
      <w:r w:rsidRPr="008F1179">
        <w:t>O</w:t>
      </w:r>
      <w:r w:rsidR="00486419">
        <w:t>psynvi</w:t>
      </w:r>
      <w:r w:rsidRPr="008F1179">
        <w:t xml:space="preserve"> should be used in patients who are currently treated concomitantly with stable doses of macitentan 10</w:t>
      </w:r>
      <w:r w:rsidR="00486419">
        <w:t> </w:t>
      </w:r>
      <w:r w:rsidRPr="008F1179">
        <w:t>mg and tadalafil 40</w:t>
      </w:r>
      <w:r w:rsidR="00486419">
        <w:t> </w:t>
      </w:r>
      <w:r w:rsidRPr="008F1179">
        <w:t>mg (20</w:t>
      </w:r>
      <w:r w:rsidR="00486419">
        <w:t> </w:t>
      </w:r>
      <w:r w:rsidRPr="008F1179">
        <w:t>mg x 2) as separate tablets.</w:t>
      </w:r>
    </w:p>
    <w:p w14:paraId="633B31BF" w14:textId="5EECFD5D" w:rsidR="00D3523D" w:rsidRPr="008F1179" w:rsidRDefault="00D3523D" w:rsidP="008F1179">
      <w:r w:rsidRPr="008F1179">
        <w:t>This indication is more aligned with the individual indications for tadalafil and macitentan. There is a remaining discrepancy with O</w:t>
      </w:r>
      <w:r w:rsidR="00486419">
        <w:t>psynvi</w:t>
      </w:r>
      <w:r w:rsidRPr="008F1179">
        <w:t xml:space="preserve"> being proposed for use in WHO FC IV, whereas tadalafil is not indicated in FC IV. This issue was addressed further </w:t>
      </w:r>
      <w:proofErr w:type="gramStart"/>
      <w:r w:rsidRPr="008F1179">
        <w:t>during the course of</w:t>
      </w:r>
      <w:proofErr w:type="gramEnd"/>
      <w:r w:rsidRPr="008F1179">
        <w:t xml:space="preserve"> the evaluation and is discussed in this </w:t>
      </w:r>
      <w:r w:rsidR="000D2E5B">
        <w:t>AusPAR</w:t>
      </w:r>
      <w:r w:rsidRPr="008F1179">
        <w:t>.</w:t>
      </w:r>
    </w:p>
    <w:p w14:paraId="518DC5E4" w14:textId="6748EB9D" w:rsidR="00D3523D" w:rsidRPr="00D3523D" w:rsidRDefault="00D3523D" w:rsidP="00D3523D">
      <w:r w:rsidRPr="008F1179">
        <w:t>The Delegate acknowledge</w:t>
      </w:r>
      <w:r w:rsidR="000D2E5B">
        <w:t>d</w:t>
      </w:r>
      <w:r w:rsidRPr="008F1179">
        <w:t xml:space="preserve"> the phrasing of the tadalafil indication that </w:t>
      </w:r>
      <w:r w:rsidR="000D2E5B">
        <w:t>‘</w:t>
      </w:r>
      <w:r w:rsidRPr="008F1179">
        <w:t>efficacy has been shown in idiopathic PAH and in PAH related to collagen vascular disease</w:t>
      </w:r>
      <w:r w:rsidR="000D2E5B">
        <w:t>’</w:t>
      </w:r>
      <w:r w:rsidRPr="008F1179">
        <w:t xml:space="preserve">. This is considered as relevant information for making a prescribing decision </w:t>
      </w:r>
      <w:proofErr w:type="gramStart"/>
      <w:r w:rsidRPr="008F1179">
        <w:t>with regard to</w:t>
      </w:r>
      <w:proofErr w:type="gramEnd"/>
      <w:r w:rsidRPr="008F1179">
        <w:t xml:space="preserve"> tadalafil, but not as limiting its indication to these group 1 subtypes (by contrast, the language in the macitentan indication is direct, </w:t>
      </w:r>
      <w:r w:rsidR="00715907">
        <w:t>that is,</w:t>
      </w:r>
      <w:r w:rsidRPr="008F1179">
        <w:t xml:space="preserve"> </w:t>
      </w:r>
      <w:r w:rsidR="00715907">
        <w:t>‘</w:t>
      </w:r>
      <w:r w:rsidRPr="008F1179">
        <w:t>indicated for the treatment of</w:t>
      </w:r>
      <w:r w:rsidR="00715907">
        <w:t>’</w:t>
      </w:r>
      <w:r w:rsidRPr="008F1179">
        <w:t xml:space="preserve"> the four subtypes </w:t>
      </w:r>
      <w:r w:rsidR="00715907">
        <w:t>as above</w:t>
      </w:r>
      <w:r w:rsidRPr="008F1179">
        <w:t>).</w:t>
      </w:r>
    </w:p>
    <w:p w14:paraId="0D615854" w14:textId="77777777" w:rsidR="00324B33" w:rsidRPr="003F31A2" w:rsidRDefault="00324B33" w:rsidP="00324B33">
      <w:pPr>
        <w:pStyle w:val="Heading3"/>
      </w:pPr>
      <w:bookmarkStart w:id="16" w:name="_Toc103679291"/>
      <w:bookmarkStart w:id="17" w:name="_Toc201577335"/>
      <w:r>
        <w:lastRenderedPageBreak/>
        <w:t>Regulatory status</w:t>
      </w:r>
      <w:bookmarkEnd w:id="9"/>
      <w:bookmarkEnd w:id="10"/>
      <w:bookmarkEnd w:id="16"/>
      <w:bookmarkEnd w:id="17"/>
    </w:p>
    <w:p w14:paraId="72C889D6" w14:textId="7E200950" w:rsidR="0017005C" w:rsidRPr="00BD5DBD" w:rsidRDefault="0017005C" w:rsidP="00741AB9">
      <w:pPr>
        <w:pStyle w:val="Heading4"/>
      </w:pPr>
      <w:bookmarkStart w:id="18" w:name="_Toc201577336"/>
      <w:r w:rsidRPr="00BD5DBD">
        <w:t>Australian regulatory</w:t>
      </w:r>
      <w:r>
        <w:t xml:space="preserve"> sta</w:t>
      </w:r>
      <w:r w:rsidR="0025785B">
        <w:t>t</w:t>
      </w:r>
      <w:r>
        <w:t>us</w:t>
      </w:r>
      <w:bookmarkEnd w:id="18"/>
    </w:p>
    <w:p w14:paraId="570C8DC8" w14:textId="61B2AEB4" w:rsidR="00C456E4" w:rsidRDefault="00324B33" w:rsidP="00324B33">
      <w:pPr>
        <w:rPr>
          <w:szCs w:val="22"/>
        </w:rPr>
      </w:pPr>
      <w:r w:rsidRPr="00BD5DBD">
        <w:rPr>
          <w:szCs w:val="22"/>
        </w:rPr>
        <w:t xml:space="preserve">This product is considered a </w:t>
      </w:r>
      <w:r w:rsidR="00C456E4">
        <w:rPr>
          <w:szCs w:val="22"/>
        </w:rPr>
        <w:t>n</w:t>
      </w:r>
      <w:r w:rsidR="00C456E4" w:rsidRPr="00C456E4">
        <w:rPr>
          <w:szCs w:val="22"/>
        </w:rPr>
        <w:t>ew combination of active ingredients</w:t>
      </w:r>
      <w:r w:rsidR="00B57AC5">
        <w:rPr>
          <w:szCs w:val="22"/>
        </w:rPr>
        <w:t xml:space="preserve">. </w:t>
      </w:r>
      <w:r w:rsidR="00C7429E">
        <w:rPr>
          <w:szCs w:val="22"/>
        </w:rPr>
        <w:t xml:space="preserve">The </w:t>
      </w:r>
      <w:r w:rsidR="00632CDD">
        <w:rPr>
          <w:szCs w:val="22"/>
        </w:rPr>
        <w:t xml:space="preserve">component drugs </w:t>
      </w:r>
      <w:r w:rsidR="00C7429E">
        <w:rPr>
          <w:szCs w:val="22"/>
        </w:rPr>
        <w:t xml:space="preserve">of Opsynvi, </w:t>
      </w:r>
      <w:r w:rsidR="00D22889">
        <w:rPr>
          <w:szCs w:val="22"/>
        </w:rPr>
        <w:t>macitentan</w:t>
      </w:r>
      <w:r w:rsidR="00D75631">
        <w:rPr>
          <w:szCs w:val="22"/>
        </w:rPr>
        <w:fldChar w:fldCharType="begin"/>
      </w:r>
      <w:r w:rsidR="00D75631">
        <w:rPr>
          <w:szCs w:val="22"/>
        </w:rPr>
        <w:instrText xml:space="preserve"> NOTEREF _Ref194916847 \f \h </w:instrText>
      </w:r>
      <w:r w:rsidR="00D75631">
        <w:rPr>
          <w:szCs w:val="22"/>
        </w:rPr>
      </w:r>
      <w:r w:rsidR="00D75631">
        <w:rPr>
          <w:szCs w:val="22"/>
        </w:rPr>
        <w:fldChar w:fldCharType="separate"/>
      </w:r>
      <w:r w:rsidR="00D75631" w:rsidRPr="00D75631">
        <w:rPr>
          <w:rStyle w:val="FootnoteReference"/>
        </w:rPr>
        <w:t>7</w:t>
      </w:r>
      <w:r w:rsidR="00D75631">
        <w:rPr>
          <w:szCs w:val="22"/>
        </w:rPr>
        <w:fldChar w:fldCharType="end"/>
      </w:r>
      <w:r w:rsidR="00D22889">
        <w:rPr>
          <w:szCs w:val="22"/>
        </w:rPr>
        <w:t xml:space="preserve"> and tadalafil</w:t>
      </w:r>
      <w:r w:rsidR="00D75631">
        <w:rPr>
          <w:szCs w:val="22"/>
        </w:rPr>
        <w:fldChar w:fldCharType="begin"/>
      </w:r>
      <w:r w:rsidR="00D75631">
        <w:rPr>
          <w:szCs w:val="22"/>
        </w:rPr>
        <w:instrText xml:space="preserve"> NOTEREF _Ref194916858 \f \h </w:instrText>
      </w:r>
      <w:r w:rsidR="00D75631">
        <w:rPr>
          <w:szCs w:val="22"/>
        </w:rPr>
      </w:r>
      <w:r w:rsidR="00D75631">
        <w:rPr>
          <w:szCs w:val="22"/>
        </w:rPr>
        <w:fldChar w:fldCharType="separate"/>
      </w:r>
      <w:r w:rsidR="00D75631" w:rsidRPr="00D75631">
        <w:rPr>
          <w:rStyle w:val="FootnoteReference"/>
        </w:rPr>
        <w:t>4</w:t>
      </w:r>
      <w:r w:rsidR="00D75631">
        <w:rPr>
          <w:szCs w:val="22"/>
        </w:rPr>
        <w:fldChar w:fldCharType="end"/>
      </w:r>
      <w:r w:rsidR="00D22889">
        <w:rPr>
          <w:szCs w:val="22"/>
        </w:rPr>
        <w:t xml:space="preserve"> </w:t>
      </w:r>
      <w:r w:rsidR="00D860C6">
        <w:rPr>
          <w:szCs w:val="22"/>
        </w:rPr>
        <w:t>were previously</w:t>
      </w:r>
      <w:r w:rsidR="00D22889">
        <w:rPr>
          <w:szCs w:val="22"/>
        </w:rPr>
        <w:t xml:space="preserve"> registered</w:t>
      </w:r>
      <w:r w:rsidR="00C7429E">
        <w:rPr>
          <w:szCs w:val="22"/>
        </w:rPr>
        <w:t xml:space="preserve"> on the ARTG</w:t>
      </w:r>
      <w:r w:rsidR="00B541A7">
        <w:rPr>
          <w:szCs w:val="22"/>
        </w:rPr>
        <w:t xml:space="preserve"> individually</w:t>
      </w:r>
      <w:r w:rsidR="00D22889">
        <w:rPr>
          <w:szCs w:val="22"/>
        </w:rPr>
        <w:t>.</w:t>
      </w:r>
    </w:p>
    <w:p w14:paraId="2CB6E797" w14:textId="09F3E1EF" w:rsidR="008F4A62" w:rsidRDefault="008A3239" w:rsidP="00EE4ACE">
      <w:pPr>
        <w:pStyle w:val="Heading4"/>
      </w:pPr>
      <w:bookmarkStart w:id="19" w:name="_Toc201577337"/>
      <w:r>
        <w:t>Foreign</w:t>
      </w:r>
      <w:r w:rsidR="00995FD3" w:rsidRPr="00995FD3">
        <w:t xml:space="preserve"> </w:t>
      </w:r>
      <w:r w:rsidR="0017005C" w:rsidRPr="00BD5DBD">
        <w:t>regulatory</w:t>
      </w:r>
      <w:r w:rsidR="0017005C">
        <w:t xml:space="preserve"> status</w:t>
      </w:r>
      <w:bookmarkEnd w:id="19"/>
    </w:p>
    <w:p w14:paraId="7FDF4A0B" w14:textId="35C12BD2"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562D9AE1" w:rsidR="00324B33" w:rsidRDefault="00324B33" w:rsidP="00324B33">
      <w:pPr>
        <w:pStyle w:val="TableTitle"/>
      </w:pPr>
      <w:bookmarkStart w:id="20" w:name="_Ref99705479"/>
      <w:r>
        <w:t xml:space="preserve">Table </w:t>
      </w:r>
      <w:r w:rsidR="007F1E37">
        <w:fldChar w:fldCharType="begin"/>
      </w:r>
      <w:r w:rsidR="007F1E37">
        <w:instrText xml:space="preserve"> SEQ Table \* ARABIC </w:instrText>
      </w:r>
      <w:r w:rsidR="007F1E37">
        <w:fldChar w:fldCharType="separate"/>
      </w:r>
      <w:r w:rsidR="002F55C7">
        <w:rPr>
          <w:noProof/>
        </w:rPr>
        <w:t>1</w:t>
      </w:r>
      <w:r w:rsidR="007F1E37">
        <w:rPr>
          <w:noProof/>
        </w:rPr>
        <w:fldChar w:fldCharType="end"/>
      </w:r>
      <w:bookmarkEnd w:id="20"/>
      <w:r>
        <w:t>: International regulatory status</w:t>
      </w:r>
      <w:r w:rsidR="00995FD3">
        <w:t xml:space="preserve"> for </w:t>
      </w:r>
      <w:r w:rsidR="00C005CB">
        <w:t>Opsynvi</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5352BD"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6F5086F8" w:rsidR="005352BD" w:rsidRPr="00470BA2" w:rsidRDefault="005352BD" w:rsidP="005352BD">
            <w:pPr>
              <w:rPr>
                <w:sz w:val="20"/>
                <w:szCs w:val="20"/>
              </w:rPr>
            </w:pPr>
            <w:r w:rsidRPr="00470BA2">
              <w:rPr>
                <w:sz w:val="20"/>
                <w:szCs w:val="20"/>
              </w:rPr>
              <w:t>Canada</w:t>
            </w:r>
          </w:p>
        </w:tc>
        <w:tc>
          <w:tcPr>
            <w:tcW w:w="1018" w:type="pct"/>
          </w:tcPr>
          <w:p w14:paraId="4FA5DDA9" w14:textId="7F56D166"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470BA2">
              <w:rPr>
                <w:sz w:val="20"/>
                <w:szCs w:val="20"/>
              </w:rPr>
              <w:t>29 October 2020</w:t>
            </w:r>
          </w:p>
        </w:tc>
        <w:tc>
          <w:tcPr>
            <w:tcW w:w="1173" w:type="pct"/>
          </w:tcPr>
          <w:p w14:paraId="29358393" w14:textId="40AC3941"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Approved on </w:t>
            </w:r>
            <w:r w:rsidRPr="00470BA2">
              <w:rPr>
                <w:sz w:val="20"/>
                <w:szCs w:val="20"/>
              </w:rPr>
              <w:t>14 October 2021</w:t>
            </w:r>
          </w:p>
        </w:tc>
        <w:tc>
          <w:tcPr>
            <w:tcW w:w="1795" w:type="pct"/>
          </w:tcPr>
          <w:p w14:paraId="05055674" w14:textId="2A1D4E8D"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i/>
                <w:iCs/>
                <w:sz w:val="20"/>
                <w:szCs w:val="20"/>
              </w:rPr>
            </w:pPr>
            <w:r w:rsidRPr="00470BA2">
              <w:rPr>
                <w:i/>
                <w:iCs/>
                <w:sz w:val="20"/>
                <w:szCs w:val="20"/>
              </w:rPr>
              <w:t xml:space="preserve">Long-term treatment of </w:t>
            </w:r>
            <w:r>
              <w:rPr>
                <w:i/>
                <w:iCs/>
                <w:sz w:val="20"/>
                <w:szCs w:val="20"/>
              </w:rPr>
              <w:t>p</w:t>
            </w:r>
            <w:r w:rsidRPr="00470BA2">
              <w:rPr>
                <w:i/>
                <w:iCs/>
                <w:sz w:val="20"/>
                <w:szCs w:val="20"/>
              </w:rPr>
              <w:t>ulmonary arterial hypertension (PAH, World Health Organization [WHO] Group 1) to reduce morbidity in patients of WHO functional class (FC) II or III whose PAH is idiopathic, heritable or associated with connective tissue disease or congenital heart disease. Opsynvi should be used in patients who are currently treated concomitantly with stable doses of macitentan 10 mg and tadalafil 40 mg (20 mg x 2) as separate tablets.</w:t>
            </w:r>
          </w:p>
        </w:tc>
      </w:tr>
      <w:tr w:rsidR="005352BD"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1C1F31FA" w:rsidR="005352BD" w:rsidRPr="00470BA2" w:rsidRDefault="005352BD" w:rsidP="005352BD">
            <w:pPr>
              <w:rPr>
                <w:sz w:val="20"/>
                <w:szCs w:val="20"/>
              </w:rPr>
            </w:pPr>
            <w:r w:rsidRPr="00470BA2">
              <w:rPr>
                <w:sz w:val="20"/>
                <w:szCs w:val="20"/>
              </w:rPr>
              <w:t>United States of America</w:t>
            </w:r>
          </w:p>
        </w:tc>
        <w:tc>
          <w:tcPr>
            <w:tcW w:w="1018" w:type="pct"/>
          </w:tcPr>
          <w:p w14:paraId="1D871E57" w14:textId="73CD0887"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470BA2">
              <w:rPr>
                <w:sz w:val="20"/>
                <w:szCs w:val="20"/>
              </w:rPr>
              <w:t>24 May 2023</w:t>
            </w:r>
          </w:p>
        </w:tc>
        <w:tc>
          <w:tcPr>
            <w:tcW w:w="1173" w:type="pct"/>
          </w:tcPr>
          <w:p w14:paraId="63A3A9D3" w14:textId="1BCD128A"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470BA2">
              <w:rPr>
                <w:sz w:val="20"/>
                <w:szCs w:val="20"/>
              </w:rPr>
              <w:t>Approved on 22 March 2024</w:t>
            </w:r>
          </w:p>
        </w:tc>
        <w:tc>
          <w:tcPr>
            <w:tcW w:w="1795" w:type="pct"/>
          </w:tcPr>
          <w:p w14:paraId="17C650B8" w14:textId="254CF666"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470BA2">
              <w:rPr>
                <w:i/>
                <w:iCs/>
                <w:sz w:val="20"/>
                <w:szCs w:val="20"/>
                <w:lang w:val="en-US"/>
              </w:rPr>
              <w:t>Chronic treatment of pulmonary arterial hypertension (PAH, WHO Group 1) in adult patients of WHO functional class (FC) II – III.</w:t>
            </w:r>
          </w:p>
        </w:tc>
      </w:tr>
      <w:tr w:rsidR="005352BD" w:rsidRPr="002350A6" w14:paraId="70688931" w14:textId="77777777" w:rsidTr="002350A6">
        <w:tc>
          <w:tcPr>
            <w:cnfStyle w:val="001000000000" w:firstRow="0" w:lastRow="0" w:firstColumn="1" w:lastColumn="0" w:oddVBand="0" w:evenVBand="0" w:oddHBand="0" w:evenHBand="0" w:firstRowFirstColumn="0" w:firstRowLastColumn="0" w:lastRowFirstColumn="0" w:lastRowLastColumn="0"/>
            <w:tcW w:w="1014" w:type="pct"/>
          </w:tcPr>
          <w:p w14:paraId="4EE75B8B" w14:textId="70D987EC" w:rsidR="005352BD" w:rsidRPr="002350A6" w:rsidRDefault="005352BD" w:rsidP="005352BD">
            <w:pPr>
              <w:rPr>
                <w:sz w:val="20"/>
                <w:szCs w:val="20"/>
              </w:rPr>
            </w:pPr>
            <w:r w:rsidRPr="002350A6">
              <w:rPr>
                <w:sz w:val="20"/>
                <w:szCs w:val="20"/>
              </w:rPr>
              <w:t>European Union</w:t>
            </w:r>
          </w:p>
        </w:tc>
        <w:tc>
          <w:tcPr>
            <w:tcW w:w="1018" w:type="pct"/>
          </w:tcPr>
          <w:p w14:paraId="1CAFB58C" w14:textId="64405CCC"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22 June 2023</w:t>
            </w:r>
          </w:p>
        </w:tc>
        <w:tc>
          <w:tcPr>
            <w:tcW w:w="1173" w:type="pct"/>
          </w:tcPr>
          <w:p w14:paraId="1BD46B5E" w14:textId="1434E5E3"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Under consideration</w:t>
            </w:r>
          </w:p>
        </w:tc>
        <w:tc>
          <w:tcPr>
            <w:tcW w:w="1795" w:type="pct"/>
          </w:tcPr>
          <w:p w14:paraId="3F27AEC5" w14:textId="4C63FEE5"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i/>
                <w:iCs/>
                <w:sz w:val="20"/>
                <w:szCs w:val="20"/>
              </w:rPr>
            </w:pPr>
            <w:r w:rsidRPr="002350A6">
              <w:rPr>
                <w:sz w:val="20"/>
                <w:szCs w:val="20"/>
              </w:rPr>
              <w:t>Under consideration</w:t>
            </w:r>
          </w:p>
        </w:tc>
      </w:tr>
      <w:tr w:rsidR="005352BD" w:rsidRPr="002350A6" w14:paraId="090CC6A2" w14:textId="77777777" w:rsidTr="002350A6">
        <w:tc>
          <w:tcPr>
            <w:cnfStyle w:val="001000000000" w:firstRow="0" w:lastRow="0" w:firstColumn="1" w:lastColumn="0" w:oddVBand="0" w:evenVBand="0" w:oddHBand="0" w:evenHBand="0" w:firstRowFirstColumn="0" w:firstRowLastColumn="0" w:lastRowFirstColumn="0" w:lastRowLastColumn="0"/>
            <w:tcW w:w="1014" w:type="pct"/>
          </w:tcPr>
          <w:p w14:paraId="7563FD88" w14:textId="00F904B9" w:rsidR="005352BD" w:rsidRPr="002350A6" w:rsidRDefault="005352BD" w:rsidP="005352BD">
            <w:pPr>
              <w:rPr>
                <w:sz w:val="20"/>
                <w:szCs w:val="20"/>
              </w:rPr>
            </w:pPr>
            <w:r w:rsidRPr="002350A6">
              <w:rPr>
                <w:sz w:val="20"/>
                <w:szCs w:val="20"/>
              </w:rPr>
              <w:t>Switzerland</w:t>
            </w:r>
          </w:p>
        </w:tc>
        <w:tc>
          <w:tcPr>
            <w:tcW w:w="1018" w:type="pct"/>
          </w:tcPr>
          <w:p w14:paraId="1802376E" w14:textId="2281BEA1"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14 July 2023</w:t>
            </w:r>
          </w:p>
        </w:tc>
        <w:tc>
          <w:tcPr>
            <w:tcW w:w="1173" w:type="pct"/>
          </w:tcPr>
          <w:p w14:paraId="28153587" w14:textId="528CB3AB"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Under consideration</w:t>
            </w:r>
          </w:p>
        </w:tc>
        <w:tc>
          <w:tcPr>
            <w:tcW w:w="1795" w:type="pct"/>
          </w:tcPr>
          <w:p w14:paraId="50B34938" w14:textId="6C7C06A1"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Under consideration</w:t>
            </w:r>
          </w:p>
        </w:tc>
      </w:tr>
      <w:tr w:rsidR="005352BD" w:rsidRPr="00D01DDB" w14:paraId="3FE919C7" w14:textId="77777777" w:rsidTr="002350A6">
        <w:tc>
          <w:tcPr>
            <w:cnfStyle w:val="001000000000" w:firstRow="0" w:lastRow="0" w:firstColumn="1" w:lastColumn="0" w:oddVBand="0" w:evenVBand="0" w:oddHBand="0" w:evenHBand="0" w:firstRowFirstColumn="0" w:firstRowLastColumn="0" w:lastRowFirstColumn="0" w:lastRowLastColumn="0"/>
            <w:tcW w:w="1014" w:type="pct"/>
          </w:tcPr>
          <w:p w14:paraId="01D53B67" w14:textId="3D07A95C" w:rsidR="005352BD" w:rsidRPr="002350A6" w:rsidRDefault="005352BD" w:rsidP="005352BD">
            <w:pPr>
              <w:rPr>
                <w:sz w:val="20"/>
                <w:szCs w:val="20"/>
              </w:rPr>
            </w:pPr>
            <w:r w:rsidRPr="002350A6">
              <w:rPr>
                <w:sz w:val="20"/>
                <w:szCs w:val="20"/>
              </w:rPr>
              <w:t>Singapore</w:t>
            </w:r>
          </w:p>
        </w:tc>
        <w:tc>
          <w:tcPr>
            <w:tcW w:w="1018" w:type="pct"/>
          </w:tcPr>
          <w:p w14:paraId="6C5481C8" w14:textId="6AD6D417"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24 April 2024</w:t>
            </w:r>
          </w:p>
        </w:tc>
        <w:tc>
          <w:tcPr>
            <w:tcW w:w="1173" w:type="pct"/>
          </w:tcPr>
          <w:p w14:paraId="0103CBAD" w14:textId="7AD585D4" w:rsidR="005352BD" w:rsidRPr="002350A6"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Under consideration</w:t>
            </w:r>
          </w:p>
        </w:tc>
        <w:tc>
          <w:tcPr>
            <w:tcW w:w="1795" w:type="pct"/>
          </w:tcPr>
          <w:p w14:paraId="09A95330" w14:textId="6D174EFD" w:rsidR="005352BD" w:rsidRPr="00470BA2" w:rsidRDefault="005352BD" w:rsidP="005352BD">
            <w:pPr>
              <w:cnfStyle w:val="000000000000" w:firstRow="0" w:lastRow="0" w:firstColumn="0" w:lastColumn="0" w:oddVBand="0" w:evenVBand="0" w:oddHBand="0" w:evenHBand="0" w:firstRowFirstColumn="0" w:firstRowLastColumn="0" w:lastRowFirstColumn="0" w:lastRowLastColumn="0"/>
              <w:rPr>
                <w:sz w:val="20"/>
                <w:szCs w:val="20"/>
              </w:rPr>
            </w:pPr>
            <w:r w:rsidRPr="002350A6">
              <w:rPr>
                <w:sz w:val="20"/>
                <w:szCs w:val="20"/>
              </w:rPr>
              <w:t>Under consideration</w:t>
            </w:r>
          </w:p>
        </w:tc>
      </w:tr>
    </w:tbl>
    <w:p w14:paraId="6D92589C" w14:textId="09786CEF" w:rsidR="00324B33" w:rsidRDefault="00324B33" w:rsidP="00324B33">
      <w:pPr>
        <w:pStyle w:val="Heading2"/>
      </w:pPr>
      <w:bookmarkStart w:id="21" w:name="_Toc504480011"/>
      <w:bookmarkStart w:id="22" w:name="_Toc103679293"/>
      <w:bookmarkStart w:id="23" w:name="_Toc201577338"/>
      <w:r>
        <w:t>Registration timeline</w:t>
      </w:r>
      <w:bookmarkEnd w:id="21"/>
      <w:bookmarkEnd w:id="22"/>
      <w:bookmarkEnd w:id="23"/>
    </w:p>
    <w:p w14:paraId="20644ED4" w14:textId="482ABBE4" w:rsidR="00477C4E" w:rsidRPr="00CE052E" w:rsidRDefault="00311DAD" w:rsidP="00CE052E">
      <w:pPr>
        <w:rPr>
          <w:szCs w:val="22"/>
        </w:rPr>
      </w:pPr>
      <w:r>
        <w:rPr>
          <w:szCs w:val="22"/>
        </w:rPr>
        <w:t>The following table</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263E729" w14:textId="241D6017" w:rsidR="005B02A2" w:rsidRDefault="00324B33" w:rsidP="000C77D3">
      <w:pPr>
        <w:pStyle w:val="TableTitle"/>
        <w:rPr>
          <w:iCs/>
        </w:rPr>
      </w:pPr>
      <w:r w:rsidRPr="002C1232">
        <w:t xml:space="preserve">Table </w:t>
      </w:r>
      <w:r w:rsidR="007F1E37">
        <w:fldChar w:fldCharType="begin"/>
      </w:r>
      <w:r w:rsidR="007F1E37">
        <w:instrText xml:space="preserve"> SEQ Table \* ARABIC </w:instrText>
      </w:r>
      <w:r w:rsidR="007F1E37">
        <w:fldChar w:fldCharType="separate"/>
      </w:r>
      <w:r w:rsidR="002F55C7">
        <w:rPr>
          <w:noProof/>
        </w:rPr>
        <w:t>2</w:t>
      </w:r>
      <w:r w:rsidR="007F1E37">
        <w:fldChar w:fldCharType="end"/>
      </w:r>
      <w:r w:rsidRPr="002C1232">
        <w:t>: Timeline for</w:t>
      </w:r>
      <w:r w:rsidR="00CE052E">
        <w:t xml:space="preserve"> </w:t>
      </w:r>
      <w:r w:rsidRPr="002C1232">
        <w:t xml:space="preserve">Submission </w:t>
      </w:r>
      <w:r w:rsidR="00CE052E" w:rsidRPr="00CE052E">
        <w:t>PM-2023-03702-1-3</w:t>
      </w:r>
    </w:p>
    <w:tbl>
      <w:tblPr>
        <w:tblStyle w:val="TableTGAblue2023"/>
        <w:tblW w:w="8642" w:type="dxa"/>
        <w:tblLook w:val="04A0" w:firstRow="1" w:lastRow="0" w:firstColumn="1" w:lastColumn="0" w:noHBand="0" w:noVBand="1"/>
      </w:tblPr>
      <w:tblGrid>
        <w:gridCol w:w="6374"/>
        <w:gridCol w:w="2268"/>
      </w:tblGrid>
      <w:tr w:rsidR="000E5FD5" w:rsidRPr="00D01DDB" w14:paraId="5167164E" w14:textId="77777777" w:rsidTr="00263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69F521A" w14:textId="77777777" w:rsidR="000E5FD5" w:rsidRPr="00D01DDB" w:rsidRDefault="000E5FD5">
            <w:pPr>
              <w:rPr>
                <w:szCs w:val="22"/>
              </w:rPr>
            </w:pPr>
            <w:r w:rsidRPr="00D01DDB">
              <w:rPr>
                <w:szCs w:val="22"/>
              </w:rPr>
              <w:t>Description</w:t>
            </w:r>
          </w:p>
        </w:tc>
        <w:tc>
          <w:tcPr>
            <w:tcW w:w="2268" w:type="dxa"/>
          </w:tcPr>
          <w:p w14:paraId="091DA59C" w14:textId="77777777" w:rsidR="000E5FD5" w:rsidRPr="00D01DDB" w:rsidRDefault="000E5FD5">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0E5FD5" w:rsidRPr="00D01DDB" w14:paraId="2D63D169"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2D41B1A7" w14:textId="77777777" w:rsidR="000E5FD5" w:rsidRPr="00E679D1" w:rsidRDefault="000E5FD5">
            <w:r w:rsidRPr="00E679D1">
              <w:t>Submission dossier accepted and first round evaluation commenced</w:t>
            </w:r>
          </w:p>
        </w:tc>
        <w:tc>
          <w:tcPr>
            <w:tcW w:w="2268" w:type="dxa"/>
          </w:tcPr>
          <w:p w14:paraId="4C4926D7" w14:textId="33B37CAD" w:rsidR="000E5FD5" w:rsidRPr="00D01DDB" w:rsidRDefault="002B357F">
            <w:pPr>
              <w:cnfStyle w:val="000000000000" w:firstRow="0" w:lastRow="0" w:firstColumn="0" w:lastColumn="0" w:oddVBand="0" w:evenVBand="0" w:oddHBand="0" w:evenHBand="0" w:firstRowFirstColumn="0" w:firstRowLastColumn="0" w:lastRowFirstColumn="0" w:lastRowLastColumn="0"/>
              <w:rPr>
                <w:szCs w:val="22"/>
              </w:rPr>
            </w:pPr>
            <w:r>
              <w:rPr>
                <w:szCs w:val="22"/>
              </w:rPr>
              <w:t>5 October 2023</w:t>
            </w:r>
          </w:p>
        </w:tc>
      </w:tr>
      <w:tr w:rsidR="000E5FD5" w:rsidRPr="00D01DDB" w14:paraId="2CB6E3FE"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696571AC" w14:textId="77777777" w:rsidR="000E5FD5" w:rsidRPr="00E679D1" w:rsidRDefault="000E5FD5">
            <w:r w:rsidRPr="00E679D1">
              <w:t>First round evaluation completed</w:t>
            </w:r>
          </w:p>
        </w:tc>
        <w:tc>
          <w:tcPr>
            <w:tcW w:w="2268" w:type="dxa"/>
          </w:tcPr>
          <w:p w14:paraId="73C6CD17" w14:textId="62E217D3" w:rsidR="000E5FD5" w:rsidRPr="00D01DDB" w:rsidRDefault="009C00C8">
            <w:pPr>
              <w:cnfStyle w:val="000000000000" w:firstRow="0" w:lastRow="0" w:firstColumn="0" w:lastColumn="0" w:oddVBand="0" w:evenVBand="0" w:oddHBand="0" w:evenHBand="0" w:firstRowFirstColumn="0" w:firstRowLastColumn="0" w:lastRowFirstColumn="0" w:lastRowLastColumn="0"/>
              <w:rPr>
                <w:szCs w:val="22"/>
              </w:rPr>
            </w:pPr>
            <w:r>
              <w:rPr>
                <w:szCs w:val="22"/>
              </w:rPr>
              <w:t>18</w:t>
            </w:r>
            <w:r w:rsidR="00AE265F">
              <w:rPr>
                <w:szCs w:val="22"/>
              </w:rPr>
              <w:t xml:space="preserve"> March 2024</w:t>
            </w:r>
          </w:p>
        </w:tc>
      </w:tr>
      <w:tr w:rsidR="000E5FD5" w:rsidRPr="00D01DDB" w14:paraId="0815BCD9"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7F554BD4" w14:textId="77777777" w:rsidR="000E5FD5" w:rsidRPr="00E679D1" w:rsidRDefault="000E5FD5">
            <w:r w:rsidRPr="00E679D1">
              <w:t>Sponsor provides responses on questions raised in first round evaluation</w:t>
            </w:r>
          </w:p>
        </w:tc>
        <w:tc>
          <w:tcPr>
            <w:tcW w:w="2268" w:type="dxa"/>
          </w:tcPr>
          <w:p w14:paraId="064B0BF0" w14:textId="2437F48B" w:rsidR="000E5FD5" w:rsidRPr="00D01DDB" w:rsidRDefault="005E2CCD">
            <w:pP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D828FA">
              <w:rPr>
                <w:szCs w:val="22"/>
              </w:rPr>
              <w:t>8</w:t>
            </w:r>
            <w:r>
              <w:rPr>
                <w:szCs w:val="22"/>
              </w:rPr>
              <w:t xml:space="preserve"> April 2024</w:t>
            </w:r>
          </w:p>
        </w:tc>
      </w:tr>
      <w:tr w:rsidR="000E5FD5" w:rsidRPr="00D01DDB" w14:paraId="06948FD5"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44FA8F52" w14:textId="77777777" w:rsidR="000E5FD5" w:rsidRPr="00E679D1" w:rsidRDefault="000E5FD5">
            <w:r w:rsidRPr="00E679D1">
              <w:t>Second round evaluation completed</w:t>
            </w:r>
          </w:p>
        </w:tc>
        <w:tc>
          <w:tcPr>
            <w:tcW w:w="2268" w:type="dxa"/>
          </w:tcPr>
          <w:p w14:paraId="5B59295C" w14:textId="1D7876C8" w:rsidR="000E5FD5" w:rsidRPr="00D01DDB" w:rsidRDefault="000E5FD5">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0E5FD5" w:rsidRPr="00D01DDB" w14:paraId="41DCE163"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0C5E96F4" w14:textId="65E2F9B5" w:rsidR="000E5FD5" w:rsidRPr="00D01DDB" w:rsidRDefault="000E5FD5">
            <w:pPr>
              <w:rPr>
                <w:szCs w:val="22"/>
              </w:rPr>
            </w:pPr>
            <w:r w:rsidRPr="00D01DDB">
              <w:rPr>
                <w:szCs w:val="22"/>
              </w:rPr>
              <w:t>Delegate’s</w:t>
            </w:r>
            <w:r>
              <w:rPr>
                <w:rStyle w:val="FootnoteReference"/>
                <w:szCs w:val="22"/>
              </w:rPr>
              <w:footnoteReference w:id="14"/>
            </w:r>
            <w:r w:rsidRPr="00D01DDB">
              <w:rPr>
                <w:szCs w:val="22"/>
              </w:rPr>
              <w:t xml:space="preserve"> Overall benefit-risk assessment </w:t>
            </w:r>
            <w:r w:rsidRPr="00E40404">
              <w:rPr>
                <w:color w:val="auto"/>
                <w:szCs w:val="22"/>
              </w:rPr>
              <w:t>and request for Advisory Committee advice</w:t>
            </w:r>
          </w:p>
        </w:tc>
        <w:tc>
          <w:tcPr>
            <w:tcW w:w="2268" w:type="dxa"/>
          </w:tcPr>
          <w:p w14:paraId="23D1C770" w14:textId="34189136" w:rsidR="000E5FD5" w:rsidRPr="00D01DDB" w:rsidRDefault="00CF5D89">
            <w:pPr>
              <w:cnfStyle w:val="000000000000" w:firstRow="0" w:lastRow="0" w:firstColumn="0" w:lastColumn="0" w:oddVBand="0" w:evenVBand="0" w:oddHBand="0" w:evenHBand="0" w:firstRowFirstColumn="0" w:firstRowLastColumn="0" w:lastRowFirstColumn="0" w:lastRowLastColumn="0"/>
              <w:rPr>
                <w:szCs w:val="22"/>
              </w:rPr>
            </w:pPr>
            <w:r>
              <w:rPr>
                <w:szCs w:val="22"/>
              </w:rPr>
              <w:t>2 July 2024</w:t>
            </w:r>
          </w:p>
        </w:tc>
      </w:tr>
      <w:tr w:rsidR="000E5FD5" w:rsidRPr="00D01DDB" w14:paraId="3D099664"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51BF7AAA" w14:textId="77777777" w:rsidR="000E5FD5" w:rsidRPr="00E679D1" w:rsidRDefault="000E5FD5">
            <w:r w:rsidRPr="00E679D1">
              <w:t>Sponsor’s pre-Advisory Committee response</w:t>
            </w:r>
          </w:p>
        </w:tc>
        <w:tc>
          <w:tcPr>
            <w:tcW w:w="2268" w:type="dxa"/>
          </w:tcPr>
          <w:p w14:paraId="39D1B495" w14:textId="2B3D77BE" w:rsidR="000E5FD5" w:rsidRPr="00D01DDB" w:rsidRDefault="00DD01EB">
            <w:pPr>
              <w:cnfStyle w:val="000000000000" w:firstRow="0" w:lastRow="0" w:firstColumn="0" w:lastColumn="0" w:oddVBand="0" w:evenVBand="0" w:oddHBand="0" w:evenHBand="0" w:firstRowFirstColumn="0" w:firstRowLastColumn="0" w:lastRowFirstColumn="0" w:lastRowLastColumn="0"/>
              <w:rPr>
                <w:szCs w:val="22"/>
              </w:rPr>
            </w:pPr>
            <w:r>
              <w:rPr>
                <w:szCs w:val="22"/>
              </w:rPr>
              <w:t>12 July 2024</w:t>
            </w:r>
          </w:p>
        </w:tc>
      </w:tr>
      <w:tr w:rsidR="000E5FD5" w:rsidRPr="00D01DDB" w14:paraId="33655169"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33DB4123" w14:textId="77777777" w:rsidR="000E5FD5" w:rsidRPr="00E679D1" w:rsidRDefault="000E5FD5">
            <w:r w:rsidRPr="00E679D1">
              <w:t>Advisory Committee meeting</w:t>
            </w:r>
          </w:p>
        </w:tc>
        <w:tc>
          <w:tcPr>
            <w:tcW w:w="2268" w:type="dxa"/>
          </w:tcPr>
          <w:p w14:paraId="7D5EA823" w14:textId="4EFACB92" w:rsidR="000E5FD5" w:rsidRPr="00D01DDB" w:rsidRDefault="00E40404">
            <w:pPr>
              <w:cnfStyle w:val="000000000000" w:firstRow="0" w:lastRow="0" w:firstColumn="0" w:lastColumn="0" w:oddVBand="0" w:evenVBand="0" w:oddHBand="0" w:evenHBand="0" w:firstRowFirstColumn="0" w:firstRowLastColumn="0" w:lastRowFirstColumn="0" w:lastRowLastColumn="0"/>
              <w:rPr>
                <w:szCs w:val="22"/>
              </w:rPr>
            </w:pPr>
            <w:r>
              <w:rPr>
                <w:szCs w:val="22"/>
              </w:rPr>
              <w:t>1 and 2 August 2024</w:t>
            </w:r>
          </w:p>
        </w:tc>
      </w:tr>
      <w:tr w:rsidR="000E5FD5" w:rsidRPr="00D01DDB" w14:paraId="2A427C78"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50F0E503" w14:textId="77777777" w:rsidR="000E5FD5" w:rsidRPr="00E679D1" w:rsidRDefault="000E5FD5">
            <w:r w:rsidRPr="00E679D1">
              <w:t>Registration decision (Outcome)</w:t>
            </w:r>
          </w:p>
        </w:tc>
        <w:tc>
          <w:tcPr>
            <w:tcW w:w="2268" w:type="dxa"/>
          </w:tcPr>
          <w:p w14:paraId="448E82F3" w14:textId="17D5D5D5" w:rsidR="000E5FD5" w:rsidRPr="00D01DDB" w:rsidRDefault="00E40404">
            <w:pPr>
              <w:cnfStyle w:val="000000000000" w:firstRow="0" w:lastRow="0" w:firstColumn="0" w:lastColumn="0" w:oddVBand="0" w:evenVBand="0" w:oddHBand="0" w:evenHBand="0" w:firstRowFirstColumn="0" w:firstRowLastColumn="0" w:lastRowFirstColumn="0" w:lastRowLastColumn="0"/>
              <w:rPr>
                <w:szCs w:val="22"/>
              </w:rPr>
            </w:pPr>
            <w:r>
              <w:rPr>
                <w:szCs w:val="22"/>
              </w:rPr>
              <w:t>11 September 2024</w:t>
            </w:r>
          </w:p>
        </w:tc>
      </w:tr>
      <w:tr w:rsidR="000E5FD5" w:rsidRPr="00D01DDB" w14:paraId="2E2C3DBA"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53ADD96A" w14:textId="77777777" w:rsidR="000E5FD5" w:rsidRPr="00E679D1" w:rsidRDefault="000E5FD5">
            <w:r w:rsidRPr="00E679D1">
              <w:t>Administrative activities and registration in the ARTG completed</w:t>
            </w:r>
          </w:p>
        </w:tc>
        <w:tc>
          <w:tcPr>
            <w:tcW w:w="2268" w:type="dxa"/>
          </w:tcPr>
          <w:p w14:paraId="4F7A9ED5" w14:textId="5E9885B8" w:rsidR="000E5FD5" w:rsidRPr="00D01DDB" w:rsidRDefault="00DD01EB">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16 </w:t>
            </w:r>
            <w:r w:rsidR="00EC3052">
              <w:rPr>
                <w:szCs w:val="22"/>
              </w:rPr>
              <w:t>September 2024</w:t>
            </w:r>
          </w:p>
        </w:tc>
      </w:tr>
      <w:tr w:rsidR="000E5FD5" w:rsidRPr="00D01DDB" w14:paraId="2C9735C7" w14:textId="77777777" w:rsidTr="00263DD1">
        <w:tc>
          <w:tcPr>
            <w:cnfStyle w:val="001000000000" w:firstRow="0" w:lastRow="0" w:firstColumn="1" w:lastColumn="0" w:oddVBand="0" w:evenVBand="0" w:oddHBand="0" w:evenHBand="0" w:firstRowFirstColumn="0" w:firstRowLastColumn="0" w:lastRowFirstColumn="0" w:lastRowLastColumn="0"/>
            <w:tcW w:w="6374" w:type="dxa"/>
          </w:tcPr>
          <w:p w14:paraId="7248D512" w14:textId="77777777" w:rsidR="000E5FD5" w:rsidRPr="00E679D1" w:rsidRDefault="000E5FD5">
            <w:r w:rsidRPr="00E679D1">
              <w:t>Number of working days from submission dossier acceptance to registration decision*</w:t>
            </w:r>
          </w:p>
        </w:tc>
        <w:tc>
          <w:tcPr>
            <w:tcW w:w="2268" w:type="dxa"/>
          </w:tcPr>
          <w:p w14:paraId="6F22FED5" w14:textId="4CF102CF" w:rsidR="000E5FD5" w:rsidRPr="00D01DDB" w:rsidRDefault="00E40404">
            <w:pPr>
              <w:cnfStyle w:val="000000000000" w:firstRow="0" w:lastRow="0" w:firstColumn="0" w:lastColumn="0" w:oddVBand="0" w:evenVBand="0" w:oddHBand="0" w:evenHBand="0" w:firstRowFirstColumn="0" w:firstRowLastColumn="0" w:lastRowFirstColumn="0" w:lastRowLastColumn="0"/>
              <w:rPr>
                <w:szCs w:val="22"/>
              </w:rPr>
            </w:pPr>
            <w:r>
              <w:rPr>
                <w:szCs w:val="22"/>
              </w:rPr>
              <w:t>187</w:t>
            </w:r>
          </w:p>
        </w:tc>
      </w:tr>
    </w:tbl>
    <w:p w14:paraId="47E88CFC" w14:textId="1F00AB4F" w:rsidR="00433318" w:rsidRDefault="00433318" w:rsidP="000C77D3">
      <w:pPr>
        <w:pStyle w:val="TableDescription"/>
      </w:pPr>
      <w:r>
        <w:t>*</w:t>
      </w:r>
      <w:r w:rsidRPr="00BF3774">
        <w:t xml:space="preserve">Statutory </w:t>
      </w:r>
      <w:r>
        <w:t>timeframe for standard submissions is 255 working days</w:t>
      </w:r>
    </w:p>
    <w:p w14:paraId="220925F1" w14:textId="1FE7CF1B" w:rsidR="00C22214" w:rsidRPr="00792A32" w:rsidRDefault="007870F8" w:rsidP="00C22214">
      <w:pPr>
        <w:pStyle w:val="Heading2"/>
      </w:pPr>
      <w:bookmarkStart w:id="24" w:name="_Toc201577339"/>
      <w:r>
        <w:t>Submission overview and risk/benefit assessment</w:t>
      </w:r>
      <w:bookmarkEnd w:id="24"/>
    </w:p>
    <w:p w14:paraId="540151FC" w14:textId="77777777" w:rsidR="00C22214" w:rsidRPr="00BD5DBD" w:rsidRDefault="00C22214" w:rsidP="00BD5DBD">
      <w:pPr>
        <w:rPr>
          <w:szCs w:val="22"/>
        </w:rPr>
      </w:pPr>
      <w:bookmarkStart w:id="25" w:name="_Toc247691528"/>
      <w:bookmarkStart w:id="26" w:name="_Toc314842511"/>
      <w:r w:rsidRPr="00BD5DBD">
        <w:rPr>
          <w:szCs w:val="22"/>
        </w:rPr>
        <w:t>A summary of the TGA’s assessment for this submission is provided below.</w:t>
      </w:r>
    </w:p>
    <w:p w14:paraId="58CBF77F" w14:textId="77777777" w:rsidR="00C377D6" w:rsidRDefault="007072A1" w:rsidP="00966EF1">
      <w:pPr>
        <w:rPr>
          <w:szCs w:val="22"/>
        </w:rPr>
      </w:pPr>
      <w:r w:rsidRPr="00BD5DBD">
        <w:rPr>
          <w:szCs w:val="22"/>
        </w:rPr>
        <w:t>Relevant guidelines or guidance documents referred to by the Delegate are listed below:</w:t>
      </w:r>
    </w:p>
    <w:p w14:paraId="1D103C01" w14:textId="77777777" w:rsidR="00CE3EEA" w:rsidRDefault="00CE3EEA" w:rsidP="00CE3EEA">
      <w:pPr>
        <w:pStyle w:val="ListBullet"/>
        <w:numPr>
          <w:ilvl w:val="0"/>
          <w:numId w:val="18"/>
        </w:numPr>
        <w:spacing w:after="120"/>
        <w:ind w:left="357" w:hanging="357"/>
      </w:pPr>
      <w:r>
        <w:t xml:space="preserve">EMA: </w:t>
      </w:r>
      <w:hyperlink r:id="rId22" w:history="1">
        <w:r w:rsidRPr="003F3D14">
          <w:rPr>
            <w:rStyle w:val="Hyperlink"/>
          </w:rPr>
          <w:t>Guideline on the clinical investigations of medicinal products for the treatment of pulmonary arterial hypertension</w:t>
        </w:r>
      </w:hyperlink>
      <w:r>
        <w:t xml:space="preserve"> (EMEA/CHMP/EWP/356954/2008)</w:t>
      </w:r>
    </w:p>
    <w:p w14:paraId="12DAC6F6" w14:textId="77777777" w:rsidR="00CE3EEA" w:rsidRDefault="00CE3EEA" w:rsidP="00CE3EEA">
      <w:pPr>
        <w:pStyle w:val="ListBullet"/>
        <w:numPr>
          <w:ilvl w:val="0"/>
          <w:numId w:val="0"/>
        </w:numPr>
        <w:ind w:left="357"/>
      </w:pPr>
      <w:r>
        <w:t>TGA-adopted, effective date: 1 May 2010</w:t>
      </w:r>
    </w:p>
    <w:p w14:paraId="6E0F819D" w14:textId="77777777" w:rsidR="00CE3EEA" w:rsidRDefault="00CE3EEA" w:rsidP="00CE3EEA">
      <w:pPr>
        <w:pStyle w:val="ListBullet"/>
        <w:numPr>
          <w:ilvl w:val="0"/>
          <w:numId w:val="18"/>
        </w:numPr>
        <w:spacing w:after="120"/>
        <w:ind w:left="357" w:hanging="357"/>
      </w:pPr>
      <w:r>
        <w:t xml:space="preserve">EMA: </w:t>
      </w:r>
      <w:hyperlink r:id="rId23" w:history="1">
        <w:r w:rsidRPr="00241357">
          <w:rPr>
            <w:rStyle w:val="Hyperlink"/>
          </w:rPr>
          <w:t>Guideline on clinical development of fixed combination medicinal products</w:t>
        </w:r>
      </w:hyperlink>
      <w:r>
        <w:t xml:space="preserve"> (</w:t>
      </w:r>
      <w:r w:rsidRPr="00547BD0">
        <w:t>EMA/CHMP/158268/2017</w:t>
      </w:r>
      <w:r>
        <w:t>)</w:t>
      </w:r>
    </w:p>
    <w:p w14:paraId="668E3E84" w14:textId="3D725D3B" w:rsidR="007072A1" w:rsidRPr="00BD5DBD" w:rsidRDefault="00CE3EEA" w:rsidP="00CE3EEA">
      <w:pPr>
        <w:pStyle w:val="ListBullet"/>
        <w:numPr>
          <w:ilvl w:val="0"/>
          <w:numId w:val="0"/>
        </w:numPr>
        <w:ind w:left="357"/>
        <w:rPr>
          <w:szCs w:val="22"/>
        </w:rPr>
      </w:pPr>
      <w:r>
        <w:t>TGA-adopted, effective date: 1 October 2017</w:t>
      </w:r>
    </w:p>
    <w:p w14:paraId="37F5A1C0" w14:textId="43C10135" w:rsidR="00C22214" w:rsidRDefault="00995FD3" w:rsidP="00C22214">
      <w:pPr>
        <w:pStyle w:val="Heading3"/>
      </w:pPr>
      <w:bookmarkStart w:id="27" w:name="_Toc201577340"/>
      <w:bookmarkEnd w:id="25"/>
      <w:bookmarkEnd w:id="26"/>
      <w:r w:rsidRPr="00E2658F">
        <w:t>Quality</w:t>
      </w:r>
      <w:bookmarkEnd w:id="27"/>
    </w:p>
    <w:p w14:paraId="7CF0B6AD" w14:textId="4A05DB78" w:rsidR="00CE7AD5" w:rsidRPr="00F965B8" w:rsidRDefault="00CE7AD5" w:rsidP="00F965B8">
      <w:r w:rsidRPr="00F965B8">
        <w:t>The drug product is an immediate release, oblong-shaped, film-coated tablet for oral administration.</w:t>
      </w:r>
    </w:p>
    <w:p w14:paraId="399D0F66" w14:textId="298EA1A1" w:rsidR="00CE7AD5" w:rsidRPr="00F965B8" w:rsidRDefault="00CE7AD5" w:rsidP="00F965B8">
      <w:r>
        <w:t>During O</w:t>
      </w:r>
      <w:r w:rsidR="00F965B8">
        <w:t xml:space="preserve">psynvi </w:t>
      </w:r>
      <w:r>
        <w:t>development, the reference products were O</w:t>
      </w:r>
      <w:r w:rsidR="00E30E27">
        <w:t xml:space="preserve">psumit </w:t>
      </w:r>
      <w:r>
        <w:t>10</w:t>
      </w:r>
      <w:r w:rsidR="00E30E27">
        <w:t> </w:t>
      </w:r>
      <w:r>
        <w:t>mg (macitentan; AUST</w:t>
      </w:r>
      <w:r w:rsidR="000C3D96">
        <w:t> </w:t>
      </w:r>
      <w:r>
        <w:t>R</w:t>
      </w:r>
      <w:r w:rsidR="00BB6824">
        <w:t> </w:t>
      </w:r>
      <w:r>
        <w:t>205624) and A</w:t>
      </w:r>
      <w:r w:rsidR="00E47963">
        <w:t>dcirca</w:t>
      </w:r>
      <w:r>
        <w:t xml:space="preserve"> 20</w:t>
      </w:r>
      <w:r w:rsidR="00E47963">
        <w:t> </w:t>
      </w:r>
      <w:r>
        <w:t xml:space="preserve">mg (tadalafil; AUST R 172882). The </w:t>
      </w:r>
      <w:r w:rsidRPr="06EE5CE0">
        <w:rPr>
          <w:i/>
          <w:iCs/>
        </w:rPr>
        <w:t>in vitro</w:t>
      </w:r>
      <w:r>
        <w:t xml:space="preserve"> dissolution profiles were similar for O</w:t>
      </w:r>
      <w:r w:rsidR="00E47963">
        <w:t>psynvi</w:t>
      </w:r>
      <w:r>
        <w:t xml:space="preserve"> and its respective components. The finalised manufacturing process</w:t>
      </w:r>
      <w:r w:rsidR="166BF586" w:rsidRPr="00922D5C">
        <w:rPr>
          <w:rFonts w:eastAsia="Cambria" w:cs="Cambria"/>
          <w:szCs w:val="22"/>
          <w:lang w:val="en-GB"/>
        </w:rPr>
        <w:t xml:space="preserve"> </w:t>
      </w:r>
      <w:proofErr w:type="gramStart"/>
      <w:r w:rsidR="166BF586" w:rsidRPr="00922D5C">
        <w:rPr>
          <w:rFonts w:eastAsia="Cambria" w:cs="Cambria"/>
          <w:szCs w:val="22"/>
          <w:lang w:val="en-GB"/>
        </w:rPr>
        <w:t>is considered to be</w:t>
      </w:r>
      <w:proofErr w:type="gramEnd"/>
      <w:r w:rsidR="166BF586" w:rsidRPr="00922D5C">
        <w:rPr>
          <w:rFonts w:eastAsia="Cambria" w:cs="Cambria"/>
          <w:szCs w:val="22"/>
          <w:lang w:val="en-GB"/>
        </w:rPr>
        <w:t xml:space="preserve"> a standard manufacturing process</w:t>
      </w:r>
      <w:r>
        <w:t>. All excipients are typical and comply with compendial monographs.</w:t>
      </w:r>
    </w:p>
    <w:p w14:paraId="59647BF8" w14:textId="62B1BCB3" w:rsidR="00CE7AD5" w:rsidRPr="00F965B8" w:rsidRDefault="00CE7AD5" w:rsidP="00F965B8">
      <w:r w:rsidRPr="00F965B8">
        <w:lastRenderedPageBreak/>
        <w:t>Drug product specifications were described and deemed acceptable. The risk for nitrosamine formation is considered negligible. The primary container system is aluminium blister</w:t>
      </w:r>
      <w:r w:rsidR="00E2658F">
        <w:t xml:space="preserve"> </w:t>
      </w:r>
      <w:r w:rsidR="00E2658F" w:rsidRPr="00F965B8">
        <w:t>pack,</w:t>
      </w:r>
      <w:r w:rsidRPr="00F965B8">
        <w:t xml:space="preserve"> and the recommended shelf life is 24 months when stored below 30</w:t>
      </w:r>
      <w:r w:rsidR="008A1089">
        <w:t> ℃</w:t>
      </w:r>
      <w:r w:rsidRPr="00F965B8">
        <w:t>.</w:t>
      </w:r>
    </w:p>
    <w:p w14:paraId="7EF4B09B" w14:textId="3FA24E18" w:rsidR="00CE7AD5" w:rsidRPr="00F965B8" w:rsidRDefault="00CE7AD5" w:rsidP="00F965B8">
      <w:r w:rsidRPr="00F965B8">
        <w:t>The use of</w:t>
      </w:r>
      <w:r w:rsidR="003B0C63">
        <w:t xml:space="preserve"> European Unio</w:t>
      </w:r>
      <w:r w:rsidR="003B0C63" w:rsidRPr="00DC553D">
        <w:t>n</w:t>
      </w:r>
      <w:r w:rsidRPr="00DC553D">
        <w:t xml:space="preserve"> </w:t>
      </w:r>
      <w:r w:rsidR="003B0C63" w:rsidRPr="00DC553D">
        <w:t>(</w:t>
      </w:r>
      <w:r w:rsidRPr="00DC553D">
        <w:t>EU</w:t>
      </w:r>
      <w:r w:rsidR="003B0C63" w:rsidRPr="00DC553D">
        <w:t>)</w:t>
      </w:r>
      <w:r w:rsidRPr="00F965B8">
        <w:t xml:space="preserve"> and Canadian reference products in the bioequivalence (and food effect) trials described (</w:t>
      </w:r>
      <w:r w:rsidR="003B0C63">
        <w:t xml:space="preserve">Study </w:t>
      </w:r>
      <w:r w:rsidRPr="00F965B8">
        <w:t xml:space="preserve">AC-077-103 and </w:t>
      </w:r>
      <w:r w:rsidR="003B0C63">
        <w:t xml:space="preserve">Study </w:t>
      </w:r>
      <w:r w:rsidRPr="00F965B8">
        <w:t>67896062PAH1006) was considered acceptable</w:t>
      </w:r>
      <w:r w:rsidR="0096186D">
        <w:t xml:space="preserve">. </w:t>
      </w:r>
      <w:r w:rsidRPr="00F965B8">
        <w:t xml:space="preserve">The </w:t>
      </w:r>
      <w:r w:rsidR="00A67DBD">
        <w:t>quality evaluation</w:t>
      </w:r>
      <w:r w:rsidRPr="00F965B8">
        <w:t xml:space="preserve"> considered </w:t>
      </w:r>
      <w:proofErr w:type="gramStart"/>
      <w:r w:rsidRPr="00F965B8">
        <w:t>both of these</w:t>
      </w:r>
      <w:proofErr w:type="gramEnd"/>
      <w:r w:rsidRPr="00F965B8">
        <w:t xml:space="preserve"> trials as showing bioequivalence between the proposed fixed dose combination and loose tadalafil and macitentan.</w:t>
      </w:r>
    </w:p>
    <w:p w14:paraId="66FD4C89" w14:textId="5058EF3D" w:rsidR="00A67DBD" w:rsidRPr="00A67DBD" w:rsidRDefault="00CE7AD5" w:rsidP="00A67DBD">
      <w:r w:rsidRPr="00A67DBD">
        <w:t xml:space="preserve">Approval was recommended from a </w:t>
      </w:r>
      <w:r w:rsidR="00A67DBD">
        <w:t>quality</w:t>
      </w:r>
      <w:r w:rsidRPr="00A67DBD">
        <w:t xml:space="preserve"> perspective.</w:t>
      </w:r>
    </w:p>
    <w:p w14:paraId="35B580A5" w14:textId="3F6E2BE3" w:rsidR="00C22214" w:rsidRDefault="00544F90" w:rsidP="00CE7AD5">
      <w:pPr>
        <w:pStyle w:val="Heading3"/>
      </w:pPr>
      <w:bookmarkStart w:id="28" w:name="_Toc201577341"/>
      <w:r w:rsidRPr="00544F90">
        <w:t>Nonclinical</w:t>
      </w:r>
      <w:bookmarkEnd w:id="28"/>
    </w:p>
    <w:p w14:paraId="037D1C77" w14:textId="002A0E92" w:rsidR="00B63E33" w:rsidRPr="00F4430D" w:rsidRDefault="00B63E33" w:rsidP="00F4430D">
      <w:r w:rsidRPr="00F4430D">
        <w:t xml:space="preserve">The </w:t>
      </w:r>
      <w:r w:rsidR="00E46B7A">
        <w:t>nonclinica</w:t>
      </w:r>
      <w:r w:rsidR="006733CB">
        <w:t>l</w:t>
      </w:r>
      <w:r w:rsidRPr="00F4430D">
        <w:t xml:space="preserve"> dossier was as expected for a fixed combination where the combination is already approved for use in free combination. No nonclinical data on potential pharmacokinetic or toxicological interactions were submitted and none were warranted. The pregnancy category</w:t>
      </w:r>
      <w:r w:rsidR="006733CB">
        <w:t> </w:t>
      </w:r>
      <w:r w:rsidRPr="00F4430D">
        <w:t>X is considered appropriate. Some minor amendments to the</w:t>
      </w:r>
      <w:r w:rsidR="00DD6761">
        <w:t xml:space="preserve"> Product </w:t>
      </w:r>
      <w:r w:rsidR="00DD6761" w:rsidRPr="00F02F6E">
        <w:t>Information (</w:t>
      </w:r>
      <w:r w:rsidRPr="00F02F6E">
        <w:t>PI</w:t>
      </w:r>
      <w:r w:rsidR="00DD6761" w:rsidRPr="00F02F6E">
        <w:t>)</w:t>
      </w:r>
      <w:r w:rsidRPr="00F4430D">
        <w:t xml:space="preserve"> were requested and resolved.</w:t>
      </w:r>
    </w:p>
    <w:p w14:paraId="71B9BFDE" w14:textId="218CF1D8" w:rsidR="00B63E33" w:rsidRPr="00F4430D" w:rsidRDefault="00B63E33" w:rsidP="00F4430D">
      <w:r w:rsidRPr="00F4430D">
        <w:t xml:space="preserve">Two </w:t>
      </w:r>
      <w:r w:rsidRPr="006733CB">
        <w:rPr>
          <w:i/>
          <w:iCs/>
        </w:rPr>
        <w:t>in vivo</w:t>
      </w:r>
      <w:r w:rsidRPr="00F4430D">
        <w:t xml:space="preserve"> pharmacology studies were submitted to support efficacy. The </w:t>
      </w:r>
      <w:r w:rsidR="002069A9">
        <w:t xml:space="preserve">nonclinical </w:t>
      </w:r>
      <w:r w:rsidRPr="00F4430D">
        <w:t>evaluat</w:t>
      </w:r>
      <w:r w:rsidR="002069A9">
        <w:t>ion</w:t>
      </w:r>
      <w:r w:rsidRPr="00F4430D">
        <w:t xml:space="preserve"> noted that such studies are not generally warranted when the free combination is already approved.</w:t>
      </w:r>
    </w:p>
    <w:p w14:paraId="7E02A227" w14:textId="4BCC850F" w:rsidR="00B63E33" w:rsidRPr="00F4430D" w:rsidRDefault="3DAC1820" w:rsidP="00F4430D">
      <w:r>
        <w:t xml:space="preserve">The first study looked at the antihypertensive effects of combined macitentan and tadalafil in rat models of systemic hypertension (Dahl salt-sensitive rats and spontaneously hypertensive rats). The combination led to </w:t>
      </w:r>
      <w:r w:rsidR="00B63E33">
        <w:t xml:space="preserve">additive effects on mean arterial pressure and </w:t>
      </w:r>
      <w:r>
        <w:t>synergistic effects on mean arterial pressure v</w:t>
      </w:r>
      <w:r w:rsidR="2D1DA5D8">
        <w:t>ersus</w:t>
      </w:r>
      <w:r>
        <w:t xml:space="preserve"> time in both models.</w:t>
      </w:r>
    </w:p>
    <w:p w14:paraId="4613B1C5" w14:textId="0EA55109" w:rsidR="00B63E33" w:rsidRPr="00F4430D" w:rsidRDefault="00B63E33" w:rsidP="00F4430D">
      <w:r>
        <w:t>The second study looked at the effects of the combination treatment on pulmonary pressure in rat models of pulmonary hypertension. The combination led to additive effects on mean pulmonary arterial blood pressure and synergistic effects on mean pulmonary arterial pressure v</w:t>
      </w:r>
      <w:r w:rsidR="001A02DB">
        <w:t>ersus</w:t>
      </w:r>
      <w:r>
        <w:t xml:space="preserve"> time.</w:t>
      </w:r>
    </w:p>
    <w:p w14:paraId="7F3F1ED2" w14:textId="0332709F" w:rsidR="005F1230" w:rsidRPr="00F4430D" w:rsidRDefault="00B63E33" w:rsidP="00F4430D">
      <w:r w:rsidRPr="00F4430D">
        <w:t>There were no objections on nonclinical grounds to the registration of O</w:t>
      </w:r>
      <w:r w:rsidR="001A02DB">
        <w:t>psynvi</w:t>
      </w:r>
      <w:r w:rsidR="00F4430D" w:rsidRPr="00F4430D">
        <w:t>.</w:t>
      </w:r>
    </w:p>
    <w:p w14:paraId="652C1FA4" w14:textId="274C56C7" w:rsidR="00544F90" w:rsidRDefault="00544F90" w:rsidP="00DB3B45">
      <w:pPr>
        <w:pStyle w:val="Heading3"/>
      </w:pPr>
      <w:bookmarkStart w:id="29" w:name="_Toc201577342"/>
      <w:r w:rsidRPr="00544F90">
        <w:t>Clinical</w:t>
      </w:r>
      <w:bookmarkEnd w:id="29"/>
    </w:p>
    <w:p w14:paraId="22A0ECBC" w14:textId="77777777" w:rsidR="00C63D2E" w:rsidRPr="00C63D2E" w:rsidRDefault="00C63D2E" w:rsidP="00E905B0">
      <w:pPr>
        <w:pStyle w:val="Heading4"/>
      </w:pPr>
      <w:bookmarkStart w:id="30" w:name="_Toc98931928"/>
      <w:bookmarkStart w:id="31" w:name="_Toc201577343"/>
      <w:r w:rsidRPr="00C63D2E">
        <w:t>Summary of clinical studies</w:t>
      </w:r>
      <w:bookmarkEnd w:id="30"/>
      <w:bookmarkEnd w:id="31"/>
    </w:p>
    <w:p w14:paraId="1E61F934" w14:textId="77777777" w:rsidR="00C63D2E" w:rsidRPr="00B40A84" w:rsidRDefault="00C63D2E" w:rsidP="00C63D2E">
      <w:pPr>
        <w:rPr>
          <w:szCs w:val="22"/>
        </w:rPr>
      </w:pPr>
      <w:r w:rsidRPr="00B40A84">
        <w:rPr>
          <w:szCs w:val="22"/>
        </w:rPr>
        <w:t xml:space="preserve">The clinical dossier consisted of: </w:t>
      </w:r>
    </w:p>
    <w:p w14:paraId="2FA214F0" w14:textId="27EAC214" w:rsidR="00C63D2E" w:rsidRPr="00B40A84" w:rsidRDefault="007C04E2" w:rsidP="00C63D2E">
      <w:pPr>
        <w:numPr>
          <w:ilvl w:val="0"/>
          <w:numId w:val="1"/>
        </w:numPr>
        <w:spacing w:before="120" w:after="180" w:line="240" w:lineRule="atLeast"/>
        <w:rPr>
          <w:rFonts w:eastAsia="Cambria" w:cs="Times New Roman"/>
          <w:color w:val="000000" w:themeColor="text1"/>
          <w:szCs w:val="22"/>
        </w:rPr>
      </w:pPr>
      <w:r w:rsidRPr="00B40A84">
        <w:rPr>
          <w:rFonts w:eastAsia="Cambria" w:cs="Times New Roman"/>
          <w:color w:val="000000" w:themeColor="text1"/>
          <w:szCs w:val="22"/>
        </w:rPr>
        <w:t>Five</w:t>
      </w:r>
      <w:r w:rsidR="00C63D2E" w:rsidRPr="00B40A84">
        <w:rPr>
          <w:rFonts w:eastAsia="Cambria" w:cs="Times New Roman"/>
          <w:color w:val="000000" w:themeColor="text1"/>
          <w:szCs w:val="22"/>
        </w:rPr>
        <w:t xml:space="preserve"> Phase I studies</w:t>
      </w:r>
    </w:p>
    <w:p w14:paraId="7809F4E1" w14:textId="0EBFC795" w:rsidR="00C63D2E" w:rsidRPr="00B40A84" w:rsidRDefault="00B40A84" w:rsidP="00C63D2E">
      <w:pPr>
        <w:numPr>
          <w:ilvl w:val="0"/>
          <w:numId w:val="1"/>
        </w:numPr>
        <w:spacing w:before="120" w:after="180" w:line="240" w:lineRule="atLeast"/>
        <w:rPr>
          <w:rFonts w:eastAsia="Cambria" w:cs="Times New Roman"/>
          <w:color w:val="000000" w:themeColor="text1"/>
          <w:szCs w:val="22"/>
        </w:rPr>
      </w:pPr>
      <w:r w:rsidRPr="00B40A84">
        <w:rPr>
          <w:rFonts w:eastAsia="Cambria" w:cs="Times New Roman"/>
          <w:color w:val="000000" w:themeColor="text1"/>
          <w:szCs w:val="22"/>
        </w:rPr>
        <w:t>Five</w:t>
      </w:r>
      <w:r w:rsidR="00C63D2E" w:rsidRPr="00B40A84">
        <w:rPr>
          <w:rFonts w:eastAsia="Cambria" w:cs="Times New Roman"/>
          <w:color w:val="000000" w:themeColor="text1"/>
          <w:szCs w:val="22"/>
        </w:rPr>
        <w:t xml:space="preserve"> Phase II</w:t>
      </w:r>
      <w:r w:rsidRPr="00B40A84">
        <w:rPr>
          <w:rFonts w:eastAsia="Cambria" w:cs="Times New Roman"/>
          <w:color w:val="000000" w:themeColor="text1"/>
          <w:szCs w:val="22"/>
        </w:rPr>
        <w:t>I</w:t>
      </w:r>
      <w:r w:rsidR="00C63D2E" w:rsidRPr="00B40A84">
        <w:rPr>
          <w:rFonts w:eastAsia="Cambria" w:cs="Times New Roman"/>
          <w:color w:val="000000" w:themeColor="text1"/>
          <w:szCs w:val="22"/>
        </w:rPr>
        <w:t xml:space="preserve"> studies</w:t>
      </w:r>
    </w:p>
    <w:p w14:paraId="50F7ECDB" w14:textId="197ADE81" w:rsidR="00B40A84" w:rsidRPr="00B40A84" w:rsidRDefault="00B40A84" w:rsidP="00C63D2E">
      <w:pPr>
        <w:numPr>
          <w:ilvl w:val="0"/>
          <w:numId w:val="1"/>
        </w:numPr>
        <w:spacing w:before="120" w:after="180" w:line="240" w:lineRule="atLeast"/>
        <w:rPr>
          <w:rFonts w:eastAsia="Cambria" w:cs="Times New Roman"/>
          <w:color w:val="000000" w:themeColor="text1"/>
          <w:szCs w:val="22"/>
        </w:rPr>
      </w:pPr>
      <w:r w:rsidRPr="00B40A84">
        <w:rPr>
          <w:rFonts w:eastAsia="Cambria" w:cs="Times New Roman"/>
          <w:color w:val="000000" w:themeColor="text1"/>
          <w:szCs w:val="22"/>
        </w:rPr>
        <w:t>Three Phase IV studies</w:t>
      </w:r>
    </w:p>
    <w:p w14:paraId="1D83A64F" w14:textId="77777777" w:rsidR="00185C16" w:rsidRPr="00901283" w:rsidRDefault="00185C16" w:rsidP="00185C16">
      <w:pPr>
        <w:pStyle w:val="Heading4"/>
        <w:rPr>
          <w:rFonts w:eastAsia="Times New Roman"/>
          <w:b w:val="0"/>
          <w:i/>
          <w:color w:val="7295D2" w:themeColor="accent1" w:themeTint="BF"/>
        </w:rPr>
      </w:pPr>
      <w:bookmarkStart w:id="32" w:name="_Toc201577344"/>
      <w:r w:rsidRPr="00AA53F4">
        <w:t>Pharmacology</w:t>
      </w:r>
      <w:bookmarkEnd w:id="32"/>
    </w:p>
    <w:p w14:paraId="5E8FF5D8" w14:textId="05194CCD" w:rsidR="00185C16" w:rsidRDefault="00185C16" w:rsidP="00185C16">
      <w:pPr>
        <w:pStyle w:val="Heading5"/>
      </w:pPr>
      <w:r w:rsidRPr="00AA53F4">
        <w:t>Pharmacokinetics</w:t>
      </w:r>
    </w:p>
    <w:p w14:paraId="53D754CE" w14:textId="3CA0554B" w:rsidR="00185C16" w:rsidRPr="00D442B8" w:rsidRDefault="00185C16" w:rsidP="00D442B8">
      <w:r>
        <w:t xml:space="preserve">Overseas products were used in the bioequivalence and other </w:t>
      </w:r>
      <w:r w:rsidR="00D442B8">
        <w:t>pharmacokinetic (</w:t>
      </w:r>
      <w:r>
        <w:t>PK</w:t>
      </w:r>
      <w:r w:rsidR="00D442B8">
        <w:t>)</w:t>
      </w:r>
      <w:r>
        <w:t xml:space="preserve"> studies. For the macitentan component the </w:t>
      </w:r>
      <w:r w:rsidR="007C76BB">
        <w:t>s</w:t>
      </w:r>
      <w:r>
        <w:t>ponsor confirmed that the overseas reference and the Australian product are identical in all respects (Janssen</w:t>
      </w:r>
      <w:r w:rsidR="007C76BB">
        <w:t>-Cilag Pty Ltd</w:t>
      </w:r>
      <w:r>
        <w:t xml:space="preserve"> manufactures both). For the tadalafil component, the TGA has advised that the Australian product A</w:t>
      </w:r>
      <w:r w:rsidR="00307497">
        <w:t>dcirca</w:t>
      </w:r>
      <w:r>
        <w:t xml:space="preserve"> 20</w:t>
      </w:r>
      <w:r w:rsidR="00307497">
        <w:t> </w:t>
      </w:r>
      <w:r>
        <w:t>m</w:t>
      </w:r>
      <w:r w:rsidR="00663695">
        <w:t>g</w:t>
      </w:r>
      <w:r>
        <w:t xml:space="preserve"> is </w:t>
      </w:r>
      <w:r>
        <w:lastRenderedPageBreak/>
        <w:t xml:space="preserve">considered identical to the EU, </w:t>
      </w:r>
      <w:r w:rsidR="00DE3644">
        <w:t>United States of America (</w:t>
      </w:r>
      <w:r>
        <w:t>US</w:t>
      </w:r>
      <w:r w:rsidR="008008AA">
        <w:t>A</w:t>
      </w:r>
      <w:r w:rsidR="00DE3644">
        <w:t>)</w:t>
      </w:r>
      <w:r>
        <w:t xml:space="preserve"> and Canad</w:t>
      </w:r>
      <w:r w:rsidR="0025633B">
        <w:t>a</w:t>
      </w:r>
      <w:r>
        <w:t xml:space="preserve"> sourced A</w:t>
      </w:r>
      <w:r w:rsidR="000C307A">
        <w:t>dcirca</w:t>
      </w:r>
      <w:r>
        <w:t xml:space="preserve"> 20</w:t>
      </w:r>
      <w:r w:rsidR="00307497">
        <w:t> </w:t>
      </w:r>
      <w:r>
        <w:t>mg tablets. Therefore</w:t>
      </w:r>
      <w:r w:rsidR="00307497">
        <w:t>,</w:t>
      </w:r>
      <w:r>
        <w:t xml:space="preserve"> the reference products used in the clinical studies have been adequately bridged to the products appearing in the ARTG.</w:t>
      </w:r>
    </w:p>
    <w:p w14:paraId="06DD4DEA" w14:textId="36A88C3B" w:rsidR="00185C16" w:rsidRPr="007F0A3D" w:rsidRDefault="00185C16" w:rsidP="007F0A3D">
      <w:r w:rsidRPr="000E012F">
        <w:t xml:space="preserve">The dossier contained </w:t>
      </w:r>
      <w:r w:rsidR="00307497" w:rsidRPr="000E012F">
        <w:t>three</w:t>
      </w:r>
      <w:r w:rsidRPr="000E012F">
        <w:t xml:space="preserve"> main studies supporting bioequivalence of the proposed FDC</w:t>
      </w:r>
      <w:r w:rsidRPr="007F0A3D">
        <w:t xml:space="preserve"> and the loose combination of macitentan 10</w:t>
      </w:r>
      <w:r w:rsidR="007F0A3D" w:rsidRPr="007F0A3D">
        <w:t> </w:t>
      </w:r>
      <w:r w:rsidRPr="007F0A3D">
        <w:t>mg and tadalafil 40</w:t>
      </w:r>
      <w:r w:rsidR="007F0A3D" w:rsidRPr="007F0A3D">
        <w:t> </w:t>
      </w:r>
      <w:r w:rsidRPr="007F0A3D">
        <w:t>mg.</w:t>
      </w:r>
    </w:p>
    <w:p w14:paraId="7302ACC6" w14:textId="37CB4054" w:rsidR="00185C16" w:rsidRDefault="00185C16" w:rsidP="00185C16">
      <w:r>
        <w:t xml:space="preserve">Study AC-077-101 was a single dose, </w:t>
      </w:r>
      <w:r w:rsidR="00436322">
        <w:t>two</w:t>
      </w:r>
      <w:r>
        <w:t xml:space="preserve"> period crossover </w:t>
      </w:r>
      <w:r w:rsidR="007F0A3D">
        <w:t>P</w:t>
      </w:r>
      <w:r>
        <w:t xml:space="preserve">hase </w:t>
      </w:r>
      <w:r w:rsidR="007F0A3D">
        <w:t>I</w:t>
      </w:r>
      <w:r>
        <w:t xml:space="preserve"> study to demonstrate the bioequivalence of </w:t>
      </w:r>
      <w:r w:rsidR="007F0A3D">
        <w:t>two</w:t>
      </w:r>
      <w:r>
        <w:t xml:space="preserve"> FDC formulations (each given to a different group, </w:t>
      </w:r>
      <w:r w:rsidR="003B5979">
        <w:t>G</w:t>
      </w:r>
      <w:r>
        <w:t>roups 1 and 2) and the free combination of macitentan 10</w:t>
      </w:r>
      <w:r w:rsidR="000A46EE">
        <w:t> </w:t>
      </w:r>
      <w:r>
        <w:t xml:space="preserve">mg and </w:t>
      </w:r>
      <w:r w:rsidR="75B0A6E4">
        <w:t xml:space="preserve">USA sourced </w:t>
      </w:r>
      <w:r>
        <w:t>tadalafil 40</w:t>
      </w:r>
      <w:r w:rsidR="000A46EE">
        <w:t> </w:t>
      </w:r>
      <w:r>
        <w:t>mg (</w:t>
      </w:r>
      <w:r w:rsidR="003B5979">
        <w:t>G</w:t>
      </w:r>
      <w:r>
        <w:t>roups 1 and 2) in healthy volunteers. The primary objective was to demonstrate bioequivalence (</w:t>
      </w:r>
      <w:r w:rsidR="000A46EE">
        <w:t xml:space="preserve">that is, </w:t>
      </w:r>
      <w:r>
        <w:t xml:space="preserve">90% confidence interval </w:t>
      </w:r>
      <w:r w:rsidR="00761145">
        <w:t xml:space="preserve">(CI) </w:t>
      </w:r>
      <w:r>
        <w:t xml:space="preserve">of geometric mean ratio between -0.80 to 1.25) of </w:t>
      </w:r>
      <w:r w:rsidR="00946793">
        <w:t>maximum concentration (</w:t>
      </w:r>
      <w:r>
        <w:t>C</w:t>
      </w:r>
      <w:r w:rsidRPr="06EE5CE0">
        <w:rPr>
          <w:vertAlign w:val="subscript"/>
        </w:rPr>
        <w:t>max</w:t>
      </w:r>
      <w:r w:rsidR="00946793">
        <w:t>)</w:t>
      </w:r>
      <w:r>
        <w:t xml:space="preserve">, </w:t>
      </w:r>
      <w:r w:rsidR="0072153F">
        <w:t>area under concentration-time curve from time zero to the time of last measurable concentration (</w:t>
      </w:r>
      <w:r>
        <w:t>AUC</w:t>
      </w:r>
      <w:r w:rsidRPr="06EE5CE0">
        <w:rPr>
          <w:vertAlign w:val="subscript"/>
        </w:rPr>
        <w:t>0-t</w:t>
      </w:r>
      <w:r w:rsidR="0072153F">
        <w:t>)</w:t>
      </w:r>
      <w:r>
        <w:t xml:space="preserve"> and </w:t>
      </w:r>
      <w:r w:rsidR="003B5979">
        <w:t>area under the concentration time curve from time zero to infinity (</w:t>
      </w:r>
      <w:r>
        <w:t>AUC</w:t>
      </w:r>
      <w:r w:rsidRPr="06EE5CE0">
        <w:rPr>
          <w:vertAlign w:val="subscript"/>
        </w:rPr>
        <w:t>0-inf</w:t>
      </w:r>
      <w:r w:rsidR="003B5979">
        <w:t>)</w:t>
      </w:r>
      <w:r>
        <w:t>. Tadalafil, macitentan and its metabolite</w:t>
      </w:r>
      <w:r w:rsidR="001244D4">
        <w:t>,</w:t>
      </w:r>
      <w:r>
        <w:t xml:space="preserve"> ACT-132577</w:t>
      </w:r>
      <w:r w:rsidR="001244D4">
        <w:t>,</w:t>
      </w:r>
      <w:r>
        <w:t xml:space="preserve"> were examined. A total of 57</w:t>
      </w:r>
      <w:r w:rsidR="003B5979">
        <w:t xml:space="preserve"> out of </w:t>
      </w:r>
      <w:r>
        <w:t xml:space="preserve">62 of </w:t>
      </w:r>
      <w:r w:rsidR="003B5979">
        <w:t>G</w:t>
      </w:r>
      <w:r>
        <w:t>roup 1 subjects and 58</w:t>
      </w:r>
      <w:r w:rsidR="003B5979">
        <w:t xml:space="preserve"> out of </w:t>
      </w:r>
      <w:r>
        <w:t xml:space="preserve">62 of </w:t>
      </w:r>
      <w:r w:rsidR="003B5979">
        <w:t>G</w:t>
      </w:r>
      <w:r>
        <w:t xml:space="preserve">roup 2 subjects had evaluable PK. </w:t>
      </w:r>
      <w:r w:rsidR="000820B8">
        <w:t xml:space="preserve">Fixed dose combination </w:t>
      </w:r>
      <w:r>
        <w:t>1 did not demonstrate bioequivalence due to the lower limit of the geometric mean ratio 90% confidence interval for C</w:t>
      </w:r>
      <w:r w:rsidRPr="06EE5CE0">
        <w:rPr>
          <w:vertAlign w:val="subscript"/>
        </w:rPr>
        <w:t>max</w:t>
      </w:r>
      <w:r>
        <w:t xml:space="preserve"> being 0.7167 (for tadalafil). </w:t>
      </w:r>
      <w:r w:rsidR="000820B8">
        <w:t xml:space="preserve">Fixed dose combination </w:t>
      </w:r>
      <w:r>
        <w:t xml:space="preserve">2 </w:t>
      </w:r>
      <w:r w:rsidR="00CB0D70">
        <w:t xml:space="preserve">(FDC2) </w:t>
      </w:r>
      <w:r>
        <w:t>was bioequivalent to the free combination for C</w:t>
      </w:r>
      <w:r w:rsidRPr="06EE5CE0">
        <w:rPr>
          <w:vertAlign w:val="subscript"/>
        </w:rPr>
        <w:t>max</w:t>
      </w:r>
      <w:r>
        <w:t>, AUC</w:t>
      </w:r>
      <w:r w:rsidRPr="06EE5CE0">
        <w:rPr>
          <w:vertAlign w:val="subscript"/>
        </w:rPr>
        <w:t>0-t</w:t>
      </w:r>
      <w:r>
        <w:t xml:space="preserve"> and AUC</w:t>
      </w:r>
      <w:r w:rsidRPr="06EE5CE0">
        <w:rPr>
          <w:vertAlign w:val="subscript"/>
        </w:rPr>
        <w:t xml:space="preserve">0-inf </w:t>
      </w:r>
      <w:r>
        <w:t>(</w:t>
      </w:r>
      <w:r w:rsidR="000820B8">
        <w:t xml:space="preserve">that is, </w:t>
      </w:r>
      <w:r>
        <w:t xml:space="preserve">90% </w:t>
      </w:r>
      <w:r w:rsidR="00DF52AC">
        <w:t>CI</w:t>
      </w:r>
      <w:r>
        <w:t xml:space="preserve"> of the geometric mean ratios FDC2 v</w:t>
      </w:r>
      <w:r w:rsidR="000820B8">
        <w:t>ersus</w:t>
      </w:r>
      <w:r>
        <w:t xml:space="preserve"> free combination were within -0.80 to 1.25).</w:t>
      </w:r>
    </w:p>
    <w:p w14:paraId="48AB0C8F" w14:textId="6C963CBE" w:rsidR="00185C16" w:rsidRPr="000820B8" w:rsidRDefault="00185C16" w:rsidP="000820B8">
      <w:r>
        <w:t xml:space="preserve">Study AC-077-103 was a single dose, </w:t>
      </w:r>
      <w:r w:rsidR="000820B8">
        <w:t>two</w:t>
      </w:r>
      <w:r>
        <w:t xml:space="preserve"> period, crossover </w:t>
      </w:r>
      <w:r w:rsidR="000820B8">
        <w:t>P</w:t>
      </w:r>
      <w:r>
        <w:t xml:space="preserve">hase </w:t>
      </w:r>
      <w:r w:rsidR="000820B8">
        <w:t>I</w:t>
      </w:r>
      <w:r>
        <w:t xml:space="preserve"> study to demonstrate the bioequivalence of FDC2 and free combination of macitentan 10</w:t>
      </w:r>
      <w:r w:rsidR="000820B8">
        <w:t> </w:t>
      </w:r>
      <w:r>
        <w:t xml:space="preserve">mg and </w:t>
      </w:r>
      <w:r w:rsidR="4475A22A" w:rsidRPr="06EE5CE0">
        <w:rPr>
          <w:rFonts w:eastAsia="Cambria" w:cs="Cambria"/>
          <w:color w:val="000000" w:themeColor="text1"/>
          <w:szCs w:val="22"/>
        </w:rPr>
        <w:t>EU sourced</w:t>
      </w:r>
      <w:r w:rsidR="4475A22A" w:rsidRPr="06EE5CE0">
        <w:rPr>
          <w:rFonts w:eastAsia="Cambria" w:cs="Cambria"/>
          <w:szCs w:val="22"/>
        </w:rPr>
        <w:t xml:space="preserve"> </w:t>
      </w:r>
      <w:r>
        <w:t>tadalafil 40</w:t>
      </w:r>
      <w:r w:rsidR="000820B8">
        <w:t> </w:t>
      </w:r>
      <w:r>
        <w:t>mg in healthy volunteers. The primary objective was to demonstrate bioequivalence by showing that the 90% confidence interval of the ratio of geometric means of AUC</w:t>
      </w:r>
      <w:r w:rsidRPr="06EE5CE0">
        <w:rPr>
          <w:vertAlign w:val="subscript"/>
        </w:rPr>
        <w:t>0-t</w:t>
      </w:r>
      <w:r>
        <w:t xml:space="preserve"> and AUC</w:t>
      </w:r>
      <w:r w:rsidRPr="06EE5CE0">
        <w:rPr>
          <w:vertAlign w:val="subscript"/>
        </w:rPr>
        <w:t xml:space="preserve">0-inf </w:t>
      </w:r>
      <w:r>
        <w:t>was within the range -0.80 to 1.25. Tadalafil, macitentan and its metabolite</w:t>
      </w:r>
      <w:r w:rsidR="000820B8">
        <w:t>,</w:t>
      </w:r>
      <w:r>
        <w:t xml:space="preserve"> ACT-132577</w:t>
      </w:r>
      <w:r w:rsidR="000820B8">
        <w:t>,</w:t>
      </w:r>
      <w:r>
        <w:t xml:space="preserve"> were examined (only macitentan and tadalafil</w:t>
      </w:r>
      <w:r w:rsidR="0095238B">
        <w:t xml:space="preserve"> were</w:t>
      </w:r>
      <w:r>
        <w:t xml:space="preserve"> included in the primary outcome). Treatments were given under fasting </w:t>
      </w:r>
      <w:r w:rsidR="00154D89">
        <w:t>conditions,</w:t>
      </w:r>
      <w:r>
        <w:t xml:space="preserve"> and randomisation determined the treatment sequence for subjects (</w:t>
      </w:r>
      <w:r w:rsidR="00154D89">
        <w:t>that is,</w:t>
      </w:r>
      <w:r>
        <w:t xml:space="preserve"> FDC or loose combination </w:t>
      </w:r>
      <w:r w:rsidR="008C5FEE">
        <w:t xml:space="preserve">1 </w:t>
      </w:r>
      <w:r>
        <w:t xml:space="preserve">or </w:t>
      </w:r>
      <w:r w:rsidR="008C5FEE">
        <w:t>2</w:t>
      </w:r>
      <w:r>
        <w:t xml:space="preserve">). </w:t>
      </w:r>
      <w:r>
        <w:fldChar w:fldCharType="begin"/>
      </w:r>
      <w:r>
        <w:instrText xml:space="preserve"> REF _Ref197077252 \h </w:instrText>
      </w:r>
      <w:r>
        <w:fldChar w:fldCharType="separate"/>
      </w:r>
      <w:r w:rsidR="00483CCD">
        <w:t xml:space="preserve">Table </w:t>
      </w:r>
      <w:r w:rsidR="00483CCD" w:rsidRPr="06EE5CE0">
        <w:rPr>
          <w:noProof/>
        </w:rPr>
        <w:t>3</w:t>
      </w:r>
      <w:r>
        <w:fldChar w:fldCharType="end"/>
      </w:r>
      <w:r w:rsidR="002F55C7">
        <w:t xml:space="preserve"> </w:t>
      </w:r>
      <w:r>
        <w:t>shows the exposure and PK parameters from this study. Bioequivalence of the FDC to the free combination was found.</w:t>
      </w:r>
    </w:p>
    <w:p w14:paraId="1E413D3D" w14:textId="14E419BD" w:rsidR="0060713F" w:rsidRDefault="002F55C7" w:rsidP="0060713F">
      <w:pPr>
        <w:pStyle w:val="TableTitle"/>
      </w:pPr>
      <w:bookmarkStart w:id="33" w:name="_Ref197077252"/>
      <w:bookmarkStart w:id="34" w:name="_Ref165040421"/>
      <w:r>
        <w:lastRenderedPageBreak/>
        <w:t xml:space="preserve">Table </w:t>
      </w:r>
      <w:r>
        <w:fldChar w:fldCharType="begin"/>
      </w:r>
      <w:r>
        <w:instrText xml:space="preserve"> SEQ Table \* ARABIC </w:instrText>
      </w:r>
      <w:r>
        <w:fldChar w:fldCharType="separate"/>
      </w:r>
      <w:r>
        <w:rPr>
          <w:noProof/>
        </w:rPr>
        <w:t>3</w:t>
      </w:r>
      <w:r>
        <w:fldChar w:fldCharType="end"/>
      </w:r>
      <w:bookmarkEnd w:id="33"/>
      <w:r>
        <w:t xml:space="preserve">: </w:t>
      </w:r>
      <w:bookmarkEnd w:id="34"/>
      <w:r w:rsidR="00185C16">
        <w:t xml:space="preserve">Summary of </w:t>
      </w:r>
      <w:r>
        <w:t>pharmacokinetic p</w:t>
      </w:r>
      <w:r w:rsidR="00185C16">
        <w:t>arameters for macitentan</w:t>
      </w:r>
      <w:r w:rsidR="00795B5B">
        <w:t>,</w:t>
      </w:r>
      <w:r w:rsidR="00185C16">
        <w:t xml:space="preserve"> tadalafil</w:t>
      </w:r>
      <w:r w:rsidR="00795B5B">
        <w:t xml:space="preserve"> and metabolite AT-132577</w:t>
      </w:r>
      <w:r w:rsidR="00185C16">
        <w:t xml:space="preserve"> by treatment</w:t>
      </w:r>
    </w:p>
    <w:p w14:paraId="1DDE8349" w14:textId="14A61C14" w:rsidR="0060713F" w:rsidRDefault="0060713F" w:rsidP="00263DD1">
      <w:r>
        <w:rPr>
          <w:noProof/>
        </w:rPr>
        <w:drawing>
          <wp:inline distT="0" distB="0" distL="0" distR="0" wp14:anchorId="438FDC0B" wp14:editId="274892F1">
            <wp:extent cx="4606506" cy="2601381"/>
            <wp:effectExtent l="0" t="0" r="3810" b="8890"/>
            <wp:docPr id="1808592946" name="Picture 1" descr="A table comparing pharmacokinetic parameters of three treatments: macitentan, tadalafil, and metabolite ACT-132577. The table includes columns for parameter, statistics, macitentan (treatment A and B), tadalafil (treatment A and B), and metabolite ACT-132577. Rows list parameters such as Cmax, AUC0-t, AUC0-inf, tmax, and t1/2, with corresponding statistics including geometric mean, 95% confidence interval of geometric mean, median, minimum and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2946" name="Picture 1" descr="A table comparing pharmacokinetic parameters of three treatments: macitentan, tadalafil, and metabolite ACT-132577. The table includes columns for parameter, statistics, macitentan (treatment A and B), tadalafil (treatment A and B), and metabolite ACT-132577. Rows list parameters such as Cmax, AUC0-t, AUC0-inf, tmax, and t1/2, with corresponding statistics including geometric mean, 95% confidence interval of geometric mean, median, minimum and maximum."/>
                    <pic:cNvPicPr/>
                  </pic:nvPicPr>
                  <pic:blipFill>
                    <a:blip r:embed="rId24"/>
                    <a:stretch>
                      <a:fillRect/>
                    </a:stretch>
                  </pic:blipFill>
                  <pic:spPr>
                    <a:xfrm>
                      <a:off x="0" y="0"/>
                      <a:ext cx="4618144" cy="2607953"/>
                    </a:xfrm>
                    <a:prstGeom prst="rect">
                      <a:avLst/>
                    </a:prstGeom>
                  </pic:spPr>
                </pic:pic>
              </a:graphicData>
            </a:graphic>
          </wp:inline>
        </w:drawing>
      </w:r>
    </w:p>
    <w:p w14:paraId="7015EFE3" w14:textId="79A21060" w:rsidR="0060713F" w:rsidRPr="00CF1D1F" w:rsidRDefault="00CF1D1F" w:rsidP="00A42A58">
      <w:pPr>
        <w:pStyle w:val="TableDescription"/>
      </w:pPr>
      <w:r w:rsidRPr="00CF1D1F">
        <w:t xml:space="preserve">Treatment (Treat.) A = </w:t>
      </w:r>
      <w:r w:rsidR="00A664B2">
        <w:t>f</w:t>
      </w:r>
      <w:r w:rsidRPr="00CF1D1F">
        <w:t xml:space="preserve">ixed dose combination (FDC) of macitentan and tadalafil (test), </w:t>
      </w:r>
      <w:r w:rsidR="00BF7D73">
        <w:t xml:space="preserve">Treatment (Treat.) </w:t>
      </w:r>
      <w:r w:rsidRPr="00CF1D1F">
        <w:t>B = free combination of macitentan and tadalafil (reference)</w:t>
      </w:r>
      <w:r w:rsidR="00A55DE0">
        <w:t>,</w:t>
      </w:r>
      <w:r>
        <w:t xml:space="preserve"> </w:t>
      </w:r>
      <w:r w:rsidRPr="00CF1D1F">
        <w:t>AUC</w:t>
      </w:r>
      <w:r w:rsidRPr="00CF1D1F">
        <w:rPr>
          <w:vertAlign w:val="subscript"/>
        </w:rPr>
        <w:t xml:space="preserve">0-t </w:t>
      </w:r>
      <w:r w:rsidRPr="00CF1D1F">
        <w:t xml:space="preserve">= AUC from zero to time of the last measured concentration above the </w:t>
      </w:r>
      <w:r w:rsidR="00A55DE0">
        <w:t>lower limit of quantification (</w:t>
      </w:r>
      <w:r w:rsidRPr="00CF1D1F">
        <w:t>LLOQ</w:t>
      </w:r>
      <w:r w:rsidR="00A55DE0">
        <w:t>),</w:t>
      </w:r>
      <w:r w:rsidRPr="00CF1D1F">
        <w:t xml:space="preserve"> AUC</w:t>
      </w:r>
      <w:r w:rsidRPr="00CF1D1F">
        <w:rPr>
          <w:vertAlign w:val="subscript"/>
        </w:rPr>
        <w:t>0-∞</w:t>
      </w:r>
      <w:r w:rsidRPr="00CF1D1F">
        <w:t xml:space="preserve"> = AUC from zero to infinity</w:t>
      </w:r>
      <w:r w:rsidR="00A55DE0">
        <w:t xml:space="preserve">. </w:t>
      </w:r>
      <w:r w:rsidRPr="00CF1D1F">
        <w:t>C</w:t>
      </w:r>
      <w:r w:rsidRPr="00CF1D1F">
        <w:rPr>
          <w:vertAlign w:val="subscript"/>
        </w:rPr>
        <w:t>max</w:t>
      </w:r>
      <w:r w:rsidRPr="00CF1D1F">
        <w:t xml:space="preserve"> = maximum plasma</w:t>
      </w:r>
      <w:r>
        <w:t xml:space="preserve"> </w:t>
      </w:r>
      <w:r w:rsidRPr="00CF1D1F">
        <w:t>concentration</w:t>
      </w:r>
      <w:r w:rsidR="00A55DE0">
        <w:t>,</w:t>
      </w:r>
      <w:r w:rsidRPr="00CF1D1F">
        <w:t xml:space="preserve"> CI</w:t>
      </w:r>
      <w:r w:rsidR="00A42A58">
        <w:t> </w:t>
      </w:r>
      <w:r w:rsidRPr="00CF1D1F">
        <w:t>=</w:t>
      </w:r>
      <w:r w:rsidR="00A42A58">
        <w:t> </w:t>
      </w:r>
      <w:r w:rsidRPr="00CF1D1F">
        <w:t>confidence interval</w:t>
      </w:r>
      <w:r w:rsidR="00A55DE0">
        <w:t>,</w:t>
      </w:r>
      <w:r w:rsidRPr="00CF1D1F">
        <w:t xml:space="preserve"> t</w:t>
      </w:r>
      <w:r w:rsidRPr="00CF1D1F">
        <w:rPr>
          <w:vertAlign w:val="subscript"/>
        </w:rPr>
        <w:t>½</w:t>
      </w:r>
      <w:r w:rsidRPr="00CF1D1F">
        <w:t xml:space="preserve"> = </w:t>
      </w:r>
      <w:r w:rsidR="00A55DE0">
        <w:t>t</w:t>
      </w:r>
      <w:r w:rsidRPr="00CF1D1F">
        <w:t>erminal half-life</w:t>
      </w:r>
      <w:r w:rsidR="00A55DE0">
        <w:t>,</w:t>
      </w:r>
      <w:r w:rsidRPr="00CF1D1F">
        <w:t xml:space="preserve"> </w:t>
      </w:r>
      <w:proofErr w:type="spellStart"/>
      <w:r w:rsidRPr="00CF1D1F">
        <w:t>t</w:t>
      </w:r>
      <w:r w:rsidRPr="00CF1D1F">
        <w:rPr>
          <w:vertAlign w:val="subscript"/>
        </w:rPr>
        <w:t>max</w:t>
      </w:r>
      <w:proofErr w:type="spellEnd"/>
      <w:r w:rsidRPr="00CF1D1F">
        <w:t xml:space="preserve"> = </w:t>
      </w:r>
      <w:r w:rsidR="00A42A58">
        <w:t>t</w:t>
      </w:r>
      <w:r w:rsidRPr="00CF1D1F">
        <w:t>ime to reach maximum plasma concentration.</w:t>
      </w:r>
    </w:p>
    <w:p w14:paraId="62E30921" w14:textId="414E667F" w:rsidR="00185C16" w:rsidRPr="00710CF6" w:rsidRDefault="00185C16" w:rsidP="00710CF6">
      <w:r w:rsidRPr="00710CF6">
        <w:t xml:space="preserve">Study 67896062PAH1006 was a single dose, </w:t>
      </w:r>
      <w:r w:rsidR="00710CF6">
        <w:t>two</w:t>
      </w:r>
      <w:r w:rsidRPr="00710CF6">
        <w:t xml:space="preserve"> period crossover </w:t>
      </w:r>
      <w:r w:rsidR="00710CF6">
        <w:t>P</w:t>
      </w:r>
      <w:r w:rsidRPr="00710CF6">
        <w:t xml:space="preserve">hase </w:t>
      </w:r>
      <w:r w:rsidR="00710CF6">
        <w:t>I</w:t>
      </w:r>
      <w:r w:rsidRPr="00710CF6">
        <w:t xml:space="preserve"> study to demonstrate the bioequivalence of tadalafil when administered as part of FDC2 or as loose combination of macitentan 10</w:t>
      </w:r>
      <w:r w:rsidR="00710CF6">
        <w:t> </w:t>
      </w:r>
      <w:r w:rsidRPr="00710CF6">
        <w:t>mg and tadalafil 40</w:t>
      </w:r>
      <w:r w:rsidR="00710CF6">
        <w:t> </w:t>
      </w:r>
      <w:r w:rsidRPr="00710CF6">
        <w:t>mg (Canada sourced) in healthy volunteers. Whilst the primary objective concerned bioequivalence of tadalafil, macitentan was studied as a secondary objective. Thirty-three participants completed both treatment periods with evaluable PK. Bioequivalence of the FDC and the loose combination, for both tadalafil and macitentan was shown (</w:t>
      </w:r>
      <w:r w:rsidRPr="00710CF6">
        <w:fldChar w:fldCharType="begin"/>
      </w:r>
      <w:r w:rsidRPr="00710CF6">
        <w:instrText xml:space="preserve"> REF _Ref165042315 \h </w:instrText>
      </w:r>
      <w:r w:rsidR="00710CF6" w:rsidRPr="00710CF6">
        <w:instrText xml:space="preserve"> \* MERGEFORMAT </w:instrText>
      </w:r>
      <w:r w:rsidRPr="00710CF6">
        <w:fldChar w:fldCharType="separate"/>
      </w:r>
      <w:r w:rsidR="00483CCD" w:rsidRPr="00710CF6">
        <w:t>Table 4</w:t>
      </w:r>
      <w:r w:rsidRPr="00710CF6">
        <w:fldChar w:fldCharType="end"/>
      </w:r>
      <w:r w:rsidRPr="00710CF6">
        <w:t>).</w:t>
      </w:r>
    </w:p>
    <w:p w14:paraId="3AE21420" w14:textId="07FD2170" w:rsidR="00185C16" w:rsidRDefault="00185C16" w:rsidP="00166F80">
      <w:pPr>
        <w:pStyle w:val="TableTitle"/>
      </w:pPr>
      <w:bookmarkStart w:id="35" w:name="_Ref165042315"/>
      <w:r>
        <w:t xml:space="preserve">Table </w:t>
      </w:r>
      <w:r>
        <w:fldChar w:fldCharType="begin"/>
      </w:r>
      <w:r>
        <w:instrText xml:space="preserve"> SEQ Table \* ARABIC </w:instrText>
      </w:r>
      <w:r>
        <w:fldChar w:fldCharType="separate"/>
      </w:r>
      <w:r w:rsidR="00483CCD">
        <w:rPr>
          <w:noProof/>
        </w:rPr>
        <w:t>4</w:t>
      </w:r>
      <w:r>
        <w:rPr>
          <w:noProof/>
        </w:rPr>
        <w:fldChar w:fldCharType="end"/>
      </w:r>
      <w:bookmarkEnd w:id="35"/>
      <w:r w:rsidR="00276B7E">
        <w:rPr>
          <w:noProof/>
        </w:rPr>
        <w:t>:</w:t>
      </w:r>
      <w:r>
        <w:t xml:space="preserve"> Exposure ratios comparing the </w:t>
      </w:r>
      <w:r w:rsidR="00166F80">
        <w:t>fixed dose combination</w:t>
      </w:r>
      <w:r>
        <w:t xml:space="preserve"> (treatment A) and the free combination (treatment B) in fasted conditions in healthy volunteers</w:t>
      </w:r>
    </w:p>
    <w:p w14:paraId="0E2AE100" w14:textId="77777777" w:rsidR="00185C16" w:rsidRDefault="00185C16" w:rsidP="00185C16">
      <w:r>
        <w:rPr>
          <w:noProof/>
        </w:rPr>
        <w:drawing>
          <wp:inline distT="0" distB="0" distL="0" distR="0" wp14:anchorId="3D39326F" wp14:editId="3B441A4C">
            <wp:extent cx="5084193" cy="1864204"/>
            <wp:effectExtent l="0" t="0" r="2540" b="3175"/>
            <wp:docPr id="2" name="Picture 2" descr="A table comparing two treatments, tadalafil and macitentan. It includes measurements including maximum concentration (Cmax) and area under the curve (AUC) for both treatments. The table shows values for each treatment, the ratio of geometric means, confidence intervals (CI), and intra-participant variability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comparing two treatments, tadalafil and macitentan. It includes measurements including maximum concentration (Cmax) and area under the curve (AUC) for both treatments. The table shows values for each treatment, the ratio of geometric means, confidence intervals (CI), and intra-participant variability (CV)."/>
                    <pic:cNvPicPr/>
                  </pic:nvPicPr>
                  <pic:blipFill rotWithShape="1">
                    <a:blip r:embed="rId25"/>
                    <a:srcRect l="3656" r="1617" b="3981"/>
                    <a:stretch/>
                  </pic:blipFill>
                  <pic:spPr bwMode="auto">
                    <a:xfrm>
                      <a:off x="0" y="0"/>
                      <a:ext cx="5091037" cy="1866714"/>
                    </a:xfrm>
                    <a:prstGeom prst="rect">
                      <a:avLst/>
                    </a:prstGeom>
                    <a:ln>
                      <a:noFill/>
                    </a:ln>
                    <a:extLst>
                      <a:ext uri="{53640926-AAD7-44D8-BBD7-CCE9431645EC}">
                        <a14:shadowObscured xmlns:a14="http://schemas.microsoft.com/office/drawing/2010/main"/>
                      </a:ext>
                    </a:extLst>
                  </pic:spPr>
                </pic:pic>
              </a:graphicData>
            </a:graphic>
          </wp:inline>
        </w:drawing>
      </w:r>
    </w:p>
    <w:p w14:paraId="574A0CA9" w14:textId="3F125E11" w:rsidR="001A7A3E" w:rsidRPr="001A7A3E" w:rsidRDefault="001A7A3E" w:rsidP="00D25A07">
      <w:pPr>
        <w:pStyle w:val="TableDescription"/>
      </w:pPr>
      <w:r w:rsidRPr="001A7A3E">
        <w:rPr>
          <w:vertAlign w:val="superscript"/>
        </w:rPr>
        <w:t>a</w:t>
      </w:r>
      <w:r w:rsidRPr="001A7A3E">
        <w:t xml:space="preserve"> N=34 </w:t>
      </w:r>
      <w:proofErr w:type="spellStart"/>
      <w:r w:rsidRPr="001A7A3E">
        <w:t>C</w:t>
      </w:r>
      <w:r w:rsidRPr="001A7A3E">
        <w:rPr>
          <w:vertAlign w:val="subscript"/>
        </w:rPr>
        <w:t>max</w:t>
      </w:r>
      <w:proofErr w:type="spellEnd"/>
      <w:r w:rsidR="00263DD1">
        <w:rPr>
          <w:vertAlign w:val="subscript"/>
        </w:rPr>
        <w:t xml:space="preserve"> </w:t>
      </w:r>
      <w:r w:rsidRPr="001A7A3E">
        <w:rPr>
          <w:vertAlign w:val="superscript"/>
        </w:rPr>
        <w:t>b</w:t>
      </w:r>
      <w:r w:rsidRPr="001A7A3E">
        <w:t xml:space="preserve"> N=33 </w:t>
      </w:r>
      <w:proofErr w:type="spellStart"/>
      <w:r w:rsidRPr="001A7A3E">
        <w:t>AUC</w:t>
      </w:r>
      <w:r w:rsidRPr="001A7A3E">
        <w:rPr>
          <w:vertAlign w:val="subscript"/>
        </w:rPr>
        <w:t>last</w:t>
      </w:r>
      <w:proofErr w:type="spellEnd"/>
      <w:r w:rsidRPr="001A7A3E">
        <w:t xml:space="preserve"> and AUC</w:t>
      </w:r>
      <w:r w:rsidRPr="001A7A3E">
        <w:rPr>
          <w:vertAlign w:val="subscript"/>
        </w:rPr>
        <w:t>∞</w:t>
      </w:r>
    </w:p>
    <w:p w14:paraId="4ED49F56" w14:textId="77777777" w:rsidR="001A7A3E" w:rsidRPr="001A7A3E" w:rsidRDefault="001A7A3E" w:rsidP="00D25A07">
      <w:pPr>
        <w:pStyle w:val="TableDescription"/>
      </w:pPr>
      <w:r w:rsidRPr="001A7A3E">
        <w:t xml:space="preserve">Note: Analysis done on log transformed data and the results were </w:t>
      </w:r>
      <w:proofErr w:type="gramStart"/>
      <w:r w:rsidRPr="001A7A3E">
        <w:t>back-transformed</w:t>
      </w:r>
      <w:proofErr w:type="gramEnd"/>
      <w:r w:rsidRPr="001A7A3E">
        <w:t xml:space="preserve"> using anti-logarithm.</w:t>
      </w:r>
    </w:p>
    <w:p w14:paraId="4DF18E51" w14:textId="77777777" w:rsidR="001A7A3E" w:rsidRPr="001A7A3E" w:rsidRDefault="001A7A3E" w:rsidP="00D25A07">
      <w:pPr>
        <w:pStyle w:val="TableDescription"/>
      </w:pPr>
      <w:r w:rsidRPr="001A7A3E">
        <w:lastRenderedPageBreak/>
        <w:t>Participants who have completed both treatment periods and have PK parameter estimated are included in the analysis.</w:t>
      </w:r>
    </w:p>
    <w:p w14:paraId="46ED9EBB" w14:textId="687B363D" w:rsidR="001A7A3E" w:rsidRPr="001A7A3E" w:rsidRDefault="001A7A3E" w:rsidP="00D25A07">
      <w:pPr>
        <w:pStyle w:val="TableDescription"/>
      </w:pPr>
      <w:r w:rsidRPr="001A7A3E">
        <w:t>Treatment A: Single oral dose of FDC of macitentan/tadalafil (10</w:t>
      </w:r>
      <w:r w:rsidR="00D25A07">
        <w:t> </w:t>
      </w:r>
      <w:r w:rsidRPr="001A7A3E">
        <w:t>mg/40</w:t>
      </w:r>
      <w:r w:rsidR="00D25A07">
        <w:t> </w:t>
      </w:r>
      <w:r w:rsidRPr="001A7A3E">
        <w:t>mg) in fasted conditions (test)</w:t>
      </w:r>
    </w:p>
    <w:p w14:paraId="07E7AA8A" w14:textId="46E58DDA" w:rsidR="001A7A3E" w:rsidRPr="001A7A3E" w:rsidRDefault="001A7A3E" w:rsidP="00D25A07">
      <w:pPr>
        <w:pStyle w:val="TableDescription"/>
      </w:pPr>
      <w:r w:rsidRPr="001A7A3E">
        <w:t>Treatment B: Single oral dose of a free combination of 10</w:t>
      </w:r>
      <w:r w:rsidR="00D25A07">
        <w:t> </w:t>
      </w:r>
      <w:r w:rsidRPr="001A7A3E">
        <w:t>mg macitentan and 40</w:t>
      </w:r>
      <w:r w:rsidR="00D25A07">
        <w:t> </w:t>
      </w:r>
      <w:r w:rsidRPr="001A7A3E">
        <w:t>mg Canada-sourced tadalafil</w:t>
      </w:r>
      <w:r w:rsidR="00D25A07">
        <w:t xml:space="preserve"> </w:t>
      </w:r>
      <w:r w:rsidRPr="001A7A3E">
        <w:t>in fasted conditions (reference)</w:t>
      </w:r>
    </w:p>
    <w:p w14:paraId="37137C6C" w14:textId="5D862AF3" w:rsidR="00927503" w:rsidRPr="00B541F4" w:rsidRDefault="001A7A3E" w:rsidP="00D25A07">
      <w:pPr>
        <w:pStyle w:val="TableDescription"/>
        <w:rPr>
          <w:lang w:val="fr-CH"/>
        </w:rPr>
      </w:pPr>
      <w:r w:rsidRPr="00B541F4">
        <w:rPr>
          <w:lang w:val="fr-CH"/>
        </w:rPr>
        <w:t xml:space="preserve">Intra-participant </w:t>
      </w:r>
      <w:proofErr w:type="gramStart"/>
      <w:r w:rsidRPr="00B541F4">
        <w:rPr>
          <w:lang w:val="fr-CH"/>
        </w:rPr>
        <w:t>CV(</w:t>
      </w:r>
      <w:proofErr w:type="gramEnd"/>
      <w:r w:rsidRPr="00B541F4">
        <w:rPr>
          <w:lang w:val="fr-CH"/>
        </w:rPr>
        <w:t>%) = 100* (</w:t>
      </w:r>
      <w:proofErr w:type="spellStart"/>
      <w:r w:rsidRPr="00B541F4">
        <w:rPr>
          <w:lang w:val="fr-CH"/>
        </w:rPr>
        <w:t>sqrt</w:t>
      </w:r>
      <w:proofErr w:type="spellEnd"/>
      <w:r w:rsidRPr="00B541F4">
        <w:rPr>
          <w:lang w:val="fr-CH"/>
        </w:rPr>
        <w:t>(</w:t>
      </w:r>
      <w:proofErr w:type="spellStart"/>
      <w:proofErr w:type="gramStart"/>
      <w:r w:rsidRPr="00B541F4">
        <w:rPr>
          <w:lang w:val="fr-CH"/>
        </w:rPr>
        <w:t>exp</w:t>
      </w:r>
      <w:proofErr w:type="spellEnd"/>
      <w:r w:rsidRPr="00B541F4">
        <w:rPr>
          <w:lang w:val="fr-CH"/>
        </w:rPr>
        <w:t>(</w:t>
      </w:r>
      <w:proofErr w:type="gramEnd"/>
      <w:r w:rsidRPr="00B541F4">
        <w:rPr>
          <w:lang w:val="fr-CH"/>
        </w:rPr>
        <w:t>MSE)-1).</w:t>
      </w:r>
    </w:p>
    <w:p w14:paraId="1E067A85" w14:textId="47027535" w:rsidR="00185C16" w:rsidRPr="00927503" w:rsidRDefault="00185C16" w:rsidP="00927503">
      <w:r w:rsidRPr="00927503">
        <w:t>In the food effect part of the study</w:t>
      </w:r>
      <w:r w:rsidR="00AA7FEC">
        <w:t xml:space="preserve"> </w:t>
      </w:r>
      <w:r w:rsidR="00AA7FEC" w:rsidRPr="00927503">
        <w:t>(high fat breakfast 30 minutes before dosing)</w:t>
      </w:r>
      <w:r w:rsidRPr="00927503">
        <w:t xml:space="preserve"> a positive effect of food was noted on the C</w:t>
      </w:r>
      <w:r w:rsidRPr="00927503">
        <w:rPr>
          <w:vertAlign w:val="subscript"/>
        </w:rPr>
        <w:t>max</w:t>
      </w:r>
      <w:r w:rsidRPr="00927503">
        <w:t xml:space="preserve"> of both macitentan and tadalafil. Macitentan C</w:t>
      </w:r>
      <w:r w:rsidRPr="00927503">
        <w:rPr>
          <w:vertAlign w:val="subscript"/>
        </w:rPr>
        <w:t>max</w:t>
      </w:r>
      <w:r w:rsidRPr="00927503">
        <w:t xml:space="preserve"> increased from 207</w:t>
      </w:r>
      <w:r w:rsidR="00927503">
        <w:t> </w:t>
      </w:r>
      <w:r w:rsidRPr="00927503">
        <w:t>ng/mL to 240</w:t>
      </w:r>
      <w:r w:rsidR="00927503">
        <w:t> </w:t>
      </w:r>
      <w:r w:rsidRPr="00927503">
        <w:t>ng/mL (ratio of geometric means 116%; 90% CI 107.1-125.8%). Tadalafil C</w:t>
      </w:r>
      <w:r w:rsidRPr="00E67729">
        <w:rPr>
          <w:vertAlign w:val="subscript"/>
        </w:rPr>
        <w:t>max</w:t>
      </w:r>
      <w:r w:rsidRPr="00927503">
        <w:t xml:space="preserve"> increased from 454 ng/mL to 659 ng/mL (ratio of geometric means 145%; 90% CI 129</w:t>
      </w:r>
      <w:r w:rsidR="00B275BC">
        <w:noBreakHyphen/>
      </w:r>
      <w:r w:rsidRPr="00927503">
        <w:t xml:space="preserve">163%). </w:t>
      </w:r>
      <w:r w:rsidR="00E67729">
        <w:t>Maximum concentration (C</w:t>
      </w:r>
      <w:r w:rsidR="00E67729" w:rsidRPr="00E67729">
        <w:rPr>
          <w:vertAlign w:val="subscript"/>
        </w:rPr>
        <w:t>max</w:t>
      </w:r>
      <w:r w:rsidR="00E67729">
        <w:t>)</w:t>
      </w:r>
      <w:r w:rsidRPr="00927503">
        <w:t xml:space="preserve"> for </w:t>
      </w:r>
      <w:r w:rsidR="00755758">
        <w:t xml:space="preserve">metabolite </w:t>
      </w:r>
      <w:r w:rsidRPr="00927503">
        <w:t xml:space="preserve">ACT-132577 and </w:t>
      </w:r>
      <w:r w:rsidR="00C36C77">
        <w:t>a</w:t>
      </w:r>
      <w:r w:rsidR="00C36C77" w:rsidRPr="00C36C77">
        <w:t xml:space="preserve">rea under the concentration-time curve </w:t>
      </w:r>
      <w:r w:rsidR="00C36C77">
        <w:t>(</w:t>
      </w:r>
      <w:r w:rsidRPr="00927503">
        <w:t>AUC</w:t>
      </w:r>
      <w:r w:rsidR="00C36C77">
        <w:t>)</w:t>
      </w:r>
      <w:r w:rsidRPr="00927503">
        <w:t xml:space="preserve"> exposures for tadalafil, macitentan and </w:t>
      </w:r>
      <w:r w:rsidR="00755758">
        <w:t xml:space="preserve">metabolite </w:t>
      </w:r>
      <w:r w:rsidRPr="00927503">
        <w:t>ACT-132577 showed bioequivalence.</w:t>
      </w:r>
    </w:p>
    <w:p w14:paraId="7996F8A9" w14:textId="20BAE479" w:rsidR="00185C16" w:rsidRPr="00927503" w:rsidRDefault="00185C16" w:rsidP="00927503">
      <w:r w:rsidRPr="00927503">
        <w:t xml:space="preserve">In addition to the above </w:t>
      </w:r>
      <w:r w:rsidR="00755758">
        <w:t>three</w:t>
      </w:r>
      <w:r w:rsidRPr="00927503">
        <w:t xml:space="preserve"> studies, the dossier contained </w:t>
      </w:r>
      <w:r w:rsidR="00755758">
        <w:t>two</w:t>
      </w:r>
      <w:r w:rsidRPr="00927503">
        <w:t xml:space="preserve"> studies of a macitentan 10</w:t>
      </w:r>
      <w:r w:rsidR="00C91E14">
        <w:t> </w:t>
      </w:r>
      <w:r w:rsidRPr="00927503">
        <w:t>mg/ tadalafil 20</w:t>
      </w:r>
      <w:r w:rsidR="00C91E14">
        <w:t> </w:t>
      </w:r>
      <w:r w:rsidRPr="00927503">
        <w:t>mg FDC, which has not been put forward for registration in this submission.</w:t>
      </w:r>
    </w:p>
    <w:p w14:paraId="2FCE5C03" w14:textId="0A79C606" w:rsidR="00185C16" w:rsidRPr="00927503" w:rsidRDefault="00185C16" w:rsidP="00927503">
      <w:r w:rsidRPr="00927503">
        <w:t xml:space="preserve">Study 67896062PAH1001 was a single dose, randomised, </w:t>
      </w:r>
      <w:r w:rsidR="00C91E14">
        <w:t>two</w:t>
      </w:r>
      <w:r w:rsidRPr="00927503">
        <w:t xml:space="preserve"> way-crossover </w:t>
      </w:r>
      <w:r w:rsidR="00C91E14">
        <w:t>P</w:t>
      </w:r>
      <w:r w:rsidRPr="00927503">
        <w:t xml:space="preserve">hase </w:t>
      </w:r>
      <w:r w:rsidR="00C91E14">
        <w:t>I</w:t>
      </w:r>
      <w:r w:rsidRPr="00927503">
        <w:t xml:space="preserve"> study in healthy volunteers to assess the relative bioavailability of a FDC containing macitentan 10</w:t>
      </w:r>
      <w:r w:rsidR="00C91E14">
        <w:t> </w:t>
      </w:r>
      <w:r w:rsidRPr="00927503">
        <w:t>mg/ tadalafil 20</w:t>
      </w:r>
      <w:r w:rsidR="00C91E14">
        <w:t> </w:t>
      </w:r>
      <w:r w:rsidRPr="00927503">
        <w:t>mg and the loose combination of macitentan 10</w:t>
      </w:r>
      <w:r w:rsidR="0045098E">
        <w:t> </w:t>
      </w:r>
      <w:r w:rsidRPr="00927503">
        <w:t xml:space="preserve">mg and </w:t>
      </w:r>
      <w:r w:rsidR="006A53BA">
        <w:t xml:space="preserve">EU sourced </w:t>
      </w:r>
      <w:r w:rsidRPr="00927503">
        <w:t>tadalafil 20</w:t>
      </w:r>
      <w:r w:rsidR="0045098E">
        <w:t> </w:t>
      </w:r>
      <w:r w:rsidRPr="00927503">
        <w:t xml:space="preserve">mg, all under fasting conditions. Sixteen participants completed both treatment periods (two provided PK data for only </w:t>
      </w:r>
      <w:r w:rsidR="0045098E">
        <w:t>one</w:t>
      </w:r>
      <w:r w:rsidRPr="00927503">
        <w:t xml:space="preserve"> of the periods). The exposure was similar for the FDC and the loose combination, although tended to be slightly higher for tadalafil as part of the FDC.</w:t>
      </w:r>
    </w:p>
    <w:p w14:paraId="1AACB93B" w14:textId="2D176A0B" w:rsidR="00185C16" w:rsidRPr="00927503" w:rsidRDefault="00185C16" w:rsidP="00927503">
      <w:r w:rsidRPr="00927503">
        <w:t xml:space="preserve">Study 67896062PAH1002 was a single dose, randomised </w:t>
      </w:r>
      <w:r w:rsidR="0045098E">
        <w:t>three</w:t>
      </w:r>
      <w:r w:rsidR="009B386E">
        <w:t>-</w:t>
      </w:r>
      <w:r w:rsidRPr="00927503">
        <w:t>way crossover in healthy volunteers to assess the bioequivalence of a FDC containing macitentan 10</w:t>
      </w:r>
      <w:r w:rsidR="0045098E">
        <w:t> </w:t>
      </w:r>
      <w:r w:rsidRPr="00927503">
        <w:t>mg/</w:t>
      </w:r>
      <w:r w:rsidR="00042D48">
        <w:t>EU sourced</w:t>
      </w:r>
      <w:r w:rsidRPr="00927503">
        <w:t xml:space="preserve"> tadalafil 20</w:t>
      </w:r>
      <w:r w:rsidR="0045098E">
        <w:t> </w:t>
      </w:r>
      <w:r w:rsidRPr="00927503">
        <w:t xml:space="preserve">mg and the loose combination of each drug under fasting conditions and the FDC under fed conditions. Participants were randomised to one of six treatment sequences. The primary objective was to demonstrate bioequivalence of the FDC and loose combination under fasting conditions and to evaluate the PK under fed conditions. The FDC was shown to be bioequivalent to the loose combination for macitentan, </w:t>
      </w:r>
      <w:r w:rsidR="007E762D">
        <w:t xml:space="preserve">metabolite </w:t>
      </w:r>
      <w:r w:rsidRPr="00927503">
        <w:t>ACT-132577 and tadalafil (</w:t>
      </w:r>
      <w:r w:rsidR="007E762D">
        <w:t>that is,</w:t>
      </w:r>
      <w:r w:rsidRPr="00927503">
        <w:t xml:space="preserve"> geometric mean ratio 90% confidence interval was contained within the -0.80 to 1.25 bounds). No significant food effect was detected.</w:t>
      </w:r>
    </w:p>
    <w:p w14:paraId="6F4AD39D" w14:textId="6358F121" w:rsidR="00185C16" w:rsidRPr="00927503" w:rsidRDefault="37B9CF26" w:rsidP="00927503">
      <w:r w:rsidRPr="6B4E1874">
        <w:t>In summary, FDC2 containing macitentan 10</w:t>
      </w:r>
      <w:r w:rsidR="0305EE61" w:rsidRPr="6B4E1874">
        <w:t> </w:t>
      </w:r>
      <w:r w:rsidRPr="6B4E1874">
        <w:t>mg/ tadalafil 40</w:t>
      </w:r>
      <w:r w:rsidR="0305EE61" w:rsidRPr="6B4E1874">
        <w:t> </w:t>
      </w:r>
      <w:r w:rsidRPr="6B4E1874">
        <w:t>mg was bioequivalent to a loose combination of macitentan 10</w:t>
      </w:r>
      <w:r w:rsidR="0305EE61" w:rsidRPr="6B4E1874">
        <w:t> </w:t>
      </w:r>
      <w:r w:rsidRPr="6B4E1874">
        <w:t xml:space="preserve">mg and tadalafil 2 </w:t>
      </w:r>
      <w:r w:rsidR="5AF06AA6" w:rsidRPr="6B4E1874">
        <w:t xml:space="preserve">x </w:t>
      </w:r>
      <w:r w:rsidRPr="6B4E1874">
        <w:t>20</w:t>
      </w:r>
      <w:r w:rsidR="0305EE61" w:rsidRPr="6B4E1874">
        <w:t> </w:t>
      </w:r>
      <w:r w:rsidRPr="6B4E1874">
        <w:t>mg (US</w:t>
      </w:r>
      <w:r w:rsidR="0305EE61" w:rsidRPr="6B4E1874">
        <w:t>A</w:t>
      </w:r>
      <w:r w:rsidRPr="6B4E1874">
        <w:t>, EU and Canada sourced). A food effect was seen for FDC2 whereby the C</w:t>
      </w:r>
      <w:r w:rsidRPr="6B4E1874">
        <w:rPr>
          <w:vertAlign w:val="subscript"/>
        </w:rPr>
        <w:t>max</w:t>
      </w:r>
      <w:r w:rsidRPr="6B4E1874">
        <w:t xml:space="preserve"> increased by 45% for tadalafil following a high-fast meal. The AUC remained unchanged (suggesting that it was the rate of absorption, rather than extent of absorption, that was affected).</w:t>
      </w:r>
      <w:r w:rsidR="2A408331" w:rsidRPr="6B4E1874">
        <w:t xml:space="preserve"> </w:t>
      </w:r>
      <w:r w:rsidRPr="6B4E1874">
        <w:t>No food effect was seen for the FDC containing macitentan 10</w:t>
      </w:r>
      <w:r w:rsidR="69FA432B" w:rsidRPr="6B4E1874">
        <w:t> </w:t>
      </w:r>
      <w:r w:rsidRPr="6B4E1874">
        <w:t>mg/ tadalafil 20</w:t>
      </w:r>
      <w:r w:rsidR="69FA432B" w:rsidRPr="6B4E1874">
        <w:t> </w:t>
      </w:r>
      <w:r w:rsidRPr="6B4E1874">
        <w:t>mg.</w:t>
      </w:r>
    </w:p>
    <w:p w14:paraId="24A51D4E" w14:textId="77777777" w:rsidR="00185C16" w:rsidRDefault="00185C16" w:rsidP="00185C16">
      <w:pPr>
        <w:pStyle w:val="Heading4"/>
      </w:pPr>
      <w:bookmarkStart w:id="36" w:name="_Toc201577345"/>
      <w:r w:rsidRPr="00AA53F4">
        <w:t>Efficacy</w:t>
      </w:r>
      <w:bookmarkEnd w:id="36"/>
    </w:p>
    <w:p w14:paraId="6D620922" w14:textId="5EB90C8C" w:rsidR="00185C16" w:rsidRPr="0073747E" w:rsidRDefault="00185C16" w:rsidP="003F343F">
      <w:r w:rsidRPr="0073747E">
        <w:t xml:space="preserve">Study AC-077A301 (A DUE) was a multicentre, double-blind, randomised, active-controlled, triple-dummy, parallel group, adaptive </w:t>
      </w:r>
      <w:r w:rsidR="001A2FB9">
        <w:t>P</w:t>
      </w:r>
      <w:r w:rsidRPr="0073747E">
        <w:t xml:space="preserve">hase </w:t>
      </w:r>
      <w:r w:rsidR="001A2FB9">
        <w:t>III</w:t>
      </w:r>
      <w:r w:rsidRPr="0073747E">
        <w:t xml:space="preserve"> clinical trial comparing FDC macitentan 10</w:t>
      </w:r>
      <w:r w:rsidR="001A2FB9">
        <w:t> </w:t>
      </w:r>
      <w:r w:rsidRPr="0073747E">
        <w:t>mg/ tadalafil 40</w:t>
      </w:r>
      <w:r w:rsidR="001A2FB9">
        <w:t> </w:t>
      </w:r>
      <w:r w:rsidRPr="0073747E">
        <w:t xml:space="preserve">mg to monotherapy with its components in patients with PAH (WHO </w:t>
      </w:r>
      <w:r w:rsidR="001A2FB9">
        <w:t>G</w:t>
      </w:r>
      <w:r w:rsidRPr="0073747E">
        <w:t>roup 1, WHO FC II and III)</w:t>
      </w:r>
      <w:r w:rsidR="003F5C2D">
        <w:t>.</w:t>
      </w:r>
    </w:p>
    <w:p w14:paraId="65054859" w14:textId="25E273F1" w:rsidR="00185C16" w:rsidRPr="0073747E" w:rsidRDefault="35D28AF2" w:rsidP="0073747E">
      <w:r>
        <w:t>The trial (</w:t>
      </w:r>
      <w:r w:rsidR="00185C16">
        <w:fldChar w:fldCharType="begin"/>
      </w:r>
      <w:r w:rsidR="00185C16">
        <w:instrText xml:space="preserve"> REF _Ref165631343 \h  \* MERGEFORMAT </w:instrText>
      </w:r>
      <w:r w:rsidR="00185C16">
        <w:fldChar w:fldCharType="separate"/>
      </w:r>
      <w:r w:rsidR="56B3DCD5">
        <w:t>Figure 1</w:t>
      </w:r>
      <w:r w:rsidR="00185C16">
        <w:fldChar w:fldCharType="end"/>
      </w:r>
      <w:r>
        <w:t xml:space="preserve">) included a </w:t>
      </w:r>
      <w:r w:rsidR="56B3DCD5">
        <w:t>2-</w:t>
      </w:r>
      <w:r>
        <w:t>week titration period for participants not on a stable dose of PDE-5i. An open</w:t>
      </w:r>
      <w:r w:rsidR="4F0B7D09">
        <w:t>-</w:t>
      </w:r>
      <w:r>
        <w:t xml:space="preserve">label period followed the </w:t>
      </w:r>
      <w:proofErr w:type="gramStart"/>
      <w:r>
        <w:t>16 week</w:t>
      </w:r>
      <w:proofErr w:type="gramEnd"/>
      <w:r>
        <w:t xml:space="preserve"> double</w:t>
      </w:r>
      <w:r w:rsidR="0CD5ADD4">
        <w:t>-</w:t>
      </w:r>
      <w:r>
        <w:t>blind period. The open</w:t>
      </w:r>
      <w:r w:rsidR="4F0B7D09">
        <w:t>-</w:t>
      </w:r>
      <w:r>
        <w:t xml:space="preserve">label period </w:t>
      </w:r>
      <w:r w:rsidR="49A88672">
        <w:t>included</w:t>
      </w:r>
      <w:r>
        <w:t xml:space="preserve"> a 14</w:t>
      </w:r>
      <w:r w:rsidR="652E33EB">
        <w:t>-</w:t>
      </w:r>
      <w:r>
        <w:t>day titration</w:t>
      </w:r>
      <w:r w:rsidR="1CA8CC1E">
        <w:t xml:space="preserve"> phase</w:t>
      </w:r>
      <w:r>
        <w:t xml:space="preserve">, during which participants had therapy titrated towards to FDC </w:t>
      </w:r>
      <w:r w:rsidR="5F577B54">
        <w:t xml:space="preserve">macitentan </w:t>
      </w:r>
      <w:r>
        <w:t>10</w:t>
      </w:r>
      <w:r w:rsidR="5F577B54">
        <w:t> mg</w:t>
      </w:r>
      <w:r>
        <w:t>/</w:t>
      </w:r>
      <w:r w:rsidR="5F577B54">
        <w:t xml:space="preserve">tadalafil </w:t>
      </w:r>
      <w:r>
        <w:t>40</w:t>
      </w:r>
      <w:r w:rsidR="5F577B54">
        <w:t> mg</w:t>
      </w:r>
      <w:r>
        <w:t xml:space="preserve"> using loose combination therapy.</w:t>
      </w:r>
    </w:p>
    <w:p w14:paraId="4837C84F" w14:textId="1D688EEC" w:rsidR="00185C16" w:rsidRPr="00E214F3" w:rsidRDefault="00185C16" w:rsidP="00E214F3">
      <w:pPr>
        <w:pStyle w:val="FigureTitle"/>
      </w:pPr>
      <w:bookmarkStart w:id="37" w:name="_Ref165631343"/>
      <w:r>
        <w:lastRenderedPageBreak/>
        <w:t xml:space="preserve">Figure </w:t>
      </w:r>
      <w:r>
        <w:fldChar w:fldCharType="begin"/>
      </w:r>
      <w:r>
        <w:instrText xml:space="preserve"> SEQ Figure \* ARABIC </w:instrText>
      </w:r>
      <w:r>
        <w:fldChar w:fldCharType="separate"/>
      </w:r>
      <w:r w:rsidR="001A2FB9">
        <w:rPr>
          <w:noProof/>
        </w:rPr>
        <w:t>1</w:t>
      </w:r>
      <w:r>
        <w:rPr>
          <w:noProof/>
        </w:rPr>
        <w:fldChar w:fldCharType="end"/>
      </w:r>
      <w:bookmarkEnd w:id="37"/>
      <w:r w:rsidR="00E214F3">
        <w:rPr>
          <w:noProof/>
        </w:rPr>
        <w:t>:</w:t>
      </w:r>
      <w:r>
        <w:t xml:space="preserve"> Study design</w:t>
      </w:r>
    </w:p>
    <w:p w14:paraId="1F0C55FE" w14:textId="77777777" w:rsidR="00185C16" w:rsidRDefault="00185C16" w:rsidP="00185C16">
      <w:r>
        <w:rPr>
          <w:noProof/>
        </w:rPr>
        <w:drawing>
          <wp:inline distT="0" distB="0" distL="0" distR="0" wp14:anchorId="6FB882C8" wp14:editId="02D397C6">
            <wp:extent cx="5731510" cy="3164205"/>
            <wp:effectExtent l="0" t="0" r="2540" b="0"/>
            <wp:docPr id="3" name="Picture 3" descr="A timeline diagram of a clinical trial with phases: screening (&lt; 30 days), double-blind treatment (16 weeks), open label treatment (24 months), and safety follow-up (30 days). It shows randomisation before the double-blind treatment, titration in the first 2 weeks, and different treatment groups including macitentan, tadalafil, and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imeline diagram of a clinical trial with phases: screening (&lt; 30 days), double-blind treatment (16 weeks), open label treatment (24 months), and safety follow-up (30 days). It shows randomisation before the double-blind treatment, titration in the first 2 weeks, and different treatment groups including macitentan, tadalafil, and combinations."/>
                    <pic:cNvPicPr/>
                  </pic:nvPicPr>
                  <pic:blipFill>
                    <a:blip r:embed="rId26"/>
                    <a:stretch>
                      <a:fillRect/>
                    </a:stretch>
                  </pic:blipFill>
                  <pic:spPr>
                    <a:xfrm>
                      <a:off x="0" y="0"/>
                      <a:ext cx="5731510" cy="3164205"/>
                    </a:xfrm>
                    <a:prstGeom prst="rect">
                      <a:avLst/>
                    </a:prstGeom>
                  </pic:spPr>
                </pic:pic>
              </a:graphicData>
            </a:graphic>
          </wp:inline>
        </w:drawing>
      </w:r>
    </w:p>
    <w:p w14:paraId="7B40BCC1" w14:textId="39947FE6" w:rsidR="000A20D1" w:rsidRDefault="00236C12" w:rsidP="00D820D4">
      <w:pPr>
        <w:pStyle w:val="FigureDescription"/>
      </w:pPr>
      <w:r>
        <w:t>Abbre</w:t>
      </w:r>
      <w:r w:rsidR="005B162F">
        <w:t xml:space="preserve">viations: </w:t>
      </w:r>
      <w:r w:rsidR="006965B6" w:rsidRPr="006965B6">
        <w:t>BL</w:t>
      </w:r>
      <w:r w:rsidR="006965B6">
        <w:t xml:space="preserve"> </w:t>
      </w:r>
      <w:r w:rsidR="006965B6" w:rsidRPr="006965B6">
        <w:t>=</w:t>
      </w:r>
      <w:r w:rsidR="006965B6">
        <w:t xml:space="preserve"> B</w:t>
      </w:r>
      <w:r w:rsidR="006965B6" w:rsidRPr="006965B6">
        <w:t>aseline</w:t>
      </w:r>
      <w:r w:rsidR="006965B6">
        <w:t xml:space="preserve">, </w:t>
      </w:r>
      <w:r w:rsidR="006965B6" w:rsidRPr="006965B6">
        <w:t>EDBT</w:t>
      </w:r>
      <w:r w:rsidR="006965B6">
        <w:t xml:space="preserve"> </w:t>
      </w:r>
      <w:r w:rsidR="006965B6" w:rsidRPr="006965B6">
        <w:t>=</w:t>
      </w:r>
      <w:r w:rsidR="006965B6">
        <w:t xml:space="preserve"> e</w:t>
      </w:r>
      <w:r w:rsidR="006965B6" w:rsidRPr="006965B6">
        <w:t xml:space="preserve">nd of </w:t>
      </w:r>
      <w:r w:rsidR="006965B6">
        <w:t>d</w:t>
      </w:r>
      <w:r w:rsidR="006965B6" w:rsidRPr="006965B6">
        <w:t xml:space="preserve">ouble-blind </w:t>
      </w:r>
      <w:r w:rsidR="006965B6">
        <w:t>t</w:t>
      </w:r>
      <w:r w:rsidR="006965B6" w:rsidRPr="006965B6">
        <w:t>reatment</w:t>
      </w:r>
      <w:r w:rsidR="006965B6">
        <w:t>,</w:t>
      </w:r>
      <w:r w:rsidR="006965B6" w:rsidRPr="006965B6">
        <w:t xml:space="preserve"> EOLT</w:t>
      </w:r>
      <w:r w:rsidR="006965B6">
        <w:t xml:space="preserve"> </w:t>
      </w:r>
      <w:r w:rsidR="006965B6" w:rsidRPr="006965B6">
        <w:t>=</w:t>
      </w:r>
      <w:r w:rsidR="006965B6">
        <w:t xml:space="preserve"> e</w:t>
      </w:r>
      <w:r w:rsidR="006965B6" w:rsidRPr="006965B6">
        <w:t xml:space="preserve">nd of </w:t>
      </w:r>
      <w:r w:rsidR="006965B6">
        <w:t>o</w:t>
      </w:r>
      <w:r w:rsidR="006965B6" w:rsidRPr="006965B6">
        <w:t>pen-</w:t>
      </w:r>
      <w:r w:rsidR="006965B6">
        <w:t>l</w:t>
      </w:r>
      <w:r w:rsidR="006965B6" w:rsidRPr="006965B6">
        <w:t xml:space="preserve">abel </w:t>
      </w:r>
      <w:r w:rsidR="006965B6">
        <w:t>t</w:t>
      </w:r>
      <w:r w:rsidR="006965B6" w:rsidRPr="006965B6">
        <w:t>reatment</w:t>
      </w:r>
      <w:r w:rsidR="006965B6">
        <w:t xml:space="preserve">, </w:t>
      </w:r>
      <w:r w:rsidR="006965B6" w:rsidRPr="006965B6">
        <w:t>EOS</w:t>
      </w:r>
      <w:r w:rsidR="001F2C1B">
        <w:t> </w:t>
      </w:r>
      <w:r w:rsidR="006965B6" w:rsidRPr="006965B6">
        <w:t>=</w:t>
      </w:r>
      <w:r w:rsidR="001F2C1B">
        <w:t> </w:t>
      </w:r>
      <w:r w:rsidR="006965B6">
        <w:t>e</w:t>
      </w:r>
      <w:r w:rsidR="006965B6" w:rsidRPr="006965B6">
        <w:t xml:space="preserve">nd of </w:t>
      </w:r>
      <w:r w:rsidR="006965B6">
        <w:t>s</w:t>
      </w:r>
      <w:r w:rsidR="006965B6" w:rsidRPr="006965B6">
        <w:t>tudy</w:t>
      </w:r>
      <w:r w:rsidR="006965B6">
        <w:t xml:space="preserve">, </w:t>
      </w:r>
      <w:r w:rsidR="006965B6" w:rsidRPr="006965B6">
        <w:t>ERA</w:t>
      </w:r>
      <w:r w:rsidR="006965B6">
        <w:t xml:space="preserve"> </w:t>
      </w:r>
      <w:r w:rsidR="006965B6" w:rsidRPr="006965B6">
        <w:t>=</w:t>
      </w:r>
      <w:r w:rsidR="006965B6">
        <w:t xml:space="preserve"> </w:t>
      </w:r>
      <w:r w:rsidR="006965B6" w:rsidRPr="006965B6">
        <w:t>endothelin receptor antagonist</w:t>
      </w:r>
      <w:r w:rsidR="006965B6">
        <w:t xml:space="preserve">, </w:t>
      </w:r>
      <w:r w:rsidR="006965B6" w:rsidRPr="006965B6">
        <w:t>FDC</w:t>
      </w:r>
      <w:r w:rsidR="006965B6">
        <w:t xml:space="preserve"> </w:t>
      </w:r>
      <w:r w:rsidR="006965B6" w:rsidRPr="006965B6">
        <w:t>=</w:t>
      </w:r>
      <w:r w:rsidR="006965B6">
        <w:t xml:space="preserve"> </w:t>
      </w:r>
      <w:r w:rsidR="006965B6" w:rsidRPr="006965B6">
        <w:t>fixed dose combination</w:t>
      </w:r>
      <w:r w:rsidR="006965B6">
        <w:t>,</w:t>
      </w:r>
      <w:r w:rsidR="006965B6" w:rsidRPr="006965B6">
        <w:t xml:space="preserve"> IRT</w:t>
      </w:r>
      <w:r w:rsidR="006965B6">
        <w:t xml:space="preserve"> </w:t>
      </w:r>
      <w:r w:rsidR="006965B6" w:rsidRPr="006965B6">
        <w:t>=</w:t>
      </w:r>
      <w:r w:rsidR="006965B6">
        <w:t xml:space="preserve"> </w:t>
      </w:r>
      <w:r w:rsidR="006965B6" w:rsidRPr="006965B6">
        <w:t>Interactive Response Technology</w:t>
      </w:r>
      <w:r w:rsidR="000A20D1">
        <w:t>,</w:t>
      </w:r>
      <w:r w:rsidR="006965B6" w:rsidRPr="006965B6">
        <w:t xml:space="preserve"> LC</w:t>
      </w:r>
      <w:r w:rsidR="000A20D1">
        <w:t xml:space="preserve"> </w:t>
      </w:r>
      <w:r w:rsidR="006965B6" w:rsidRPr="006965B6">
        <w:t>=</w:t>
      </w:r>
      <w:r w:rsidR="000A20D1">
        <w:t xml:space="preserve"> </w:t>
      </w:r>
      <w:r w:rsidR="006965B6" w:rsidRPr="006965B6">
        <w:t>loose</w:t>
      </w:r>
      <w:r w:rsidR="006965B6">
        <w:t xml:space="preserve"> </w:t>
      </w:r>
      <w:r w:rsidR="006965B6" w:rsidRPr="006965B6">
        <w:t>combination</w:t>
      </w:r>
      <w:r w:rsidR="000A20D1">
        <w:t>,</w:t>
      </w:r>
      <w:r w:rsidR="006965B6" w:rsidRPr="006965B6">
        <w:t xml:space="preserve"> M/T FDC</w:t>
      </w:r>
      <w:r w:rsidR="000A20D1">
        <w:t xml:space="preserve"> </w:t>
      </w:r>
      <w:r w:rsidR="006965B6" w:rsidRPr="006965B6">
        <w:t>=</w:t>
      </w:r>
      <w:r w:rsidR="000A20D1">
        <w:t xml:space="preserve"> </w:t>
      </w:r>
      <w:r w:rsidR="006965B6" w:rsidRPr="006965B6">
        <w:t>macitentan/tadalafil FDC</w:t>
      </w:r>
      <w:r w:rsidR="000A20D1">
        <w:t>,</w:t>
      </w:r>
      <w:r w:rsidR="006965B6" w:rsidRPr="006965B6">
        <w:t xml:space="preserve"> PDE-5i</w:t>
      </w:r>
      <w:r w:rsidR="000A20D1">
        <w:t xml:space="preserve"> </w:t>
      </w:r>
      <w:r w:rsidR="006965B6" w:rsidRPr="006965B6">
        <w:t>=</w:t>
      </w:r>
      <w:r w:rsidR="000A20D1">
        <w:t xml:space="preserve"> </w:t>
      </w:r>
      <w:r w:rsidR="00AF169B">
        <w:t>p</w:t>
      </w:r>
      <w:r w:rsidR="006965B6" w:rsidRPr="006965B6">
        <w:t>hosphodiesterase type-5 inhibitor</w:t>
      </w:r>
      <w:r w:rsidR="000A20D1">
        <w:t>,</w:t>
      </w:r>
      <w:r w:rsidR="006965B6" w:rsidRPr="006965B6">
        <w:t xml:space="preserve"> V</w:t>
      </w:r>
      <w:r w:rsidR="00D820D4">
        <w:t> </w:t>
      </w:r>
      <w:r w:rsidR="006965B6" w:rsidRPr="006965B6">
        <w:t>=</w:t>
      </w:r>
      <w:r w:rsidR="00D820D4">
        <w:t> </w:t>
      </w:r>
      <w:r w:rsidR="006965B6" w:rsidRPr="006965B6">
        <w:t>visit.</w:t>
      </w:r>
    </w:p>
    <w:p w14:paraId="374BBC34" w14:textId="13310F64" w:rsidR="00185C16" w:rsidRPr="0098090C" w:rsidRDefault="35D28AF2" w:rsidP="002D65F0">
      <w:r>
        <w:t>The primary objectives were to evaluate the effects of the FDC v</w:t>
      </w:r>
      <w:r w:rsidR="151CDF00">
        <w:t>ersus</w:t>
      </w:r>
      <w:r>
        <w:t xml:space="preserve"> either macitentan</w:t>
      </w:r>
      <w:r w:rsidR="151CDF00">
        <w:t xml:space="preserve"> </w:t>
      </w:r>
      <w:r>
        <w:t>10</w:t>
      </w:r>
      <w:r w:rsidR="151CDF00">
        <w:t> </w:t>
      </w:r>
      <w:r>
        <w:t>mg or tadalafil 40</w:t>
      </w:r>
      <w:r w:rsidR="151CDF00">
        <w:t> </w:t>
      </w:r>
      <w:r>
        <w:t>mg on pulmonary vascular resistance (PVR) at the end</w:t>
      </w:r>
      <w:r w:rsidR="49096DDC">
        <w:t xml:space="preserve"> of</w:t>
      </w:r>
      <w:r>
        <w:t xml:space="preserve"> double</w:t>
      </w:r>
      <w:r w:rsidR="0B05BD8D">
        <w:t>-</w:t>
      </w:r>
      <w:r>
        <w:t xml:space="preserve">blind treatment in participants who were either treatment naïve or being treated </w:t>
      </w:r>
      <w:r w:rsidR="65697699">
        <w:t xml:space="preserve">for at least 3 months before </w:t>
      </w:r>
      <w:r w:rsidR="5BD96E9A">
        <w:t>B</w:t>
      </w:r>
      <w:r>
        <w:t>aseline with ERA or PDE5i monotherapy. The secondary objectives were to evaluate the effects of the FDC compared with the respective monotherapies on exercise capacity, PAH symptoms</w:t>
      </w:r>
      <w:r w:rsidR="0DD0C7FC">
        <w:t xml:space="preserve"> and </w:t>
      </w:r>
      <w:r w:rsidR="00922D5C">
        <w:t>i</w:t>
      </w:r>
      <w:r w:rsidR="0DD0C7FC">
        <w:t>mpact</w:t>
      </w:r>
      <w:r>
        <w:t xml:space="preserve">, WHO </w:t>
      </w:r>
      <w:r w:rsidR="530BE446">
        <w:t>FC</w:t>
      </w:r>
      <w:r>
        <w:t xml:space="preserve">, safety and tolerability. The primary outcome was change in PVR expressed as the ratio of geometric means from end </w:t>
      </w:r>
      <w:r w:rsidR="013FDE8F">
        <w:t xml:space="preserve">of </w:t>
      </w:r>
      <w:r>
        <w:t>double</w:t>
      </w:r>
      <w:r w:rsidR="013FDE8F">
        <w:t>-</w:t>
      </w:r>
      <w:r>
        <w:t>blind treatment</w:t>
      </w:r>
      <w:r w:rsidR="00922D5C">
        <w:t xml:space="preserve"> </w:t>
      </w:r>
      <w:r>
        <w:t xml:space="preserve">to </w:t>
      </w:r>
      <w:r w:rsidR="55EE115F">
        <w:t>B</w:t>
      </w:r>
      <w:r>
        <w:t xml:space="preserve">aseline. The secondary outcomes were change from </w:t>
      </w:r>
      <w:r w:rsidR="55EE115F">
        <w:t>B</w:t>
      </w:r>
      <w:r>
        <w:t xml:space="preserve">aseline </w:t>
      </w:r>
      <w:r w:rsidR="4CED8C53">
        <w:t xml:space="preserve">to </w:t>
      </w:r>
      <w:r w:rsidR="00922D5C">
        <w:t xml:space="preserve">end of double-blind treatment </w:t>
      </w:r>
      <w:r>
        <w:t>in 6</w:t>
      </w:r>
      <w:r w:rsidR="55EE115F">
        <w:t>-</w:t>
      </w:r>
      <w:r>
        <w:t xml:space="preserve">minute walk distance (6MWD), </w:t>
      </w:r>
      <w:r w:rsidR="1D72A0C0">
        <w:t>pulmonary arterial hypertension-symptoms and impact questionnaire (</w:t>
      </w:r>
      <w:r>
        <w:t>PAH-SYMPACT</w:t>
      </w:r>
      <w:r w:rsidR="1D72A0C0">
        <w:t>)</w:t>
      </w:r>
      <w:r>
        <w:t xml:space="preserve"> cardiopulmonary </w:t>
      </w:r>
      <w:r w:rsidR="56035EBD">
        <w:t xml:space="preserve">symptom </w:t>
      </w:r>
      <w:r>
        <w:t xml:space="preserve">domain score, and </w:t>
      </w:r>
      <w:r w:rsidR="7F1F3087">
        <w:t>c</w:t>
      </w:r>
      <w:r w:rsidR="43219C5F">
        <w:t>ardiovascular symptom</w:t>
      </w:r>
      <w:r w:rsidR="748B6466">
        <w:t xml:space="preserve"> domain score and </w:t>
      </w:r>
      <w:r>
        <w:t xml:space="preserve">proportion of participants with no worsening of WHO </w:t>
      </w:r>
      <w:r w:rsidR="13921CB2">
        <w:t>FC</w:t>
      </w:r>
      <w:r>
        <w:t>.</w:t>
      </w:r>
    </w:p>
    <w:p w14:paraId="6F7FE2F1" w14:textId="77777777" w:rsidR="00185C16" w:rsidRPr="0098090C" w:rsidRDefault="00185C16" w:rsidP="0098090C">
      <w:r w:rsidRPr="0098090C">
        <w:t>The study was conducted in 76 centres in Asia, Africa, Europe, North America and South America.</w:t>
      </w:r>
    </w:p>
    <w:p w14:paraId="18321F67" w14:textId="77777777" w:rsidR="00185C16" w:rsidRPr="00D166E0" w:rsidRDefault="00185C16" w:rsidP="00D166E0">
      <w:r w:rsidRPr="00D166E0">
        <w:t>The final analysis was based on 187 randomised participants (this number was reached after the sponsor stopped recruitment following the planned interim analysis due to crossing of efficacy thresholds).</w:t>
      </w:r>
    </w:p>
    <w:p w14:paraId="55EB82F7" w14:textId="2B153F6E" w:rsidR="00185C16" w:rsidRPr="00D166E0" w:rsidRDefault="00185C16" w:rsidP="00D166E0">
      <w:r w:rsidRPr="00D166E0">
        <w:t>The major inclusion criteria include being 18 year</w:t>
      </w:r>
      <w:r w:rsidR="0047605C">
        <w:t>s</w:t>
      </w:r>
      <w:r w:rsidRPr="00D166E0">
        <w:t xml:space="preserve"> or older with a confirmed diagnosis of symptomatic PAH in WHO FC II or III. Acceptable aetiologies were idiopathic, heritable, drug/toxin</w:t>
      </w:r>
      <w:r w:rsidR="0047605C">
        <w:t xml:space="preserve"> </w:t>
      </w:r>
      <w:r w:rsidRPr="00D166E0">
        <w:t xml:space="preserve">induced, or associated with connective tissue disease, HIV infection, portal hypertension and congenital heart disease. Major exclusion criteria include treatment with a soluble guanyl acetylase stimulator, L-arginine, </w:t>
      </w:r>
      <w:proofErr w:type="spellStart"/>
      <w:r w:rsidRPr="00D166E0">
        <w:t>prostanoid</w:t>
      </w:r>
      <w:proofErr w:type="spellEnd"/>
      <w:r w:rsidRPr="00D166E0">
        <w:t xml:space="preserve"> or prostacyclin agonist within 3</w:t>
      </w:r>
      <w:r w:rsidR="00154C87">
        <w:noBreakHyphen/>
      </w:r>
      <w:r w:rsidRPr="00D166E0">
        <w:t>months</w:t>
      </w:r>
      <w:r w:rsidR="00CA02EA">
        <w:t xml:space="preserve"> </w:t>
      </w:r>
      <w:r w:rsidR="00CA02EA" w:rsidRPr="00CA02EA">
        <w:t>prior to start of treatment</w:t>
      </w:r>
      <w:r w:rsidRPr="00D166E0">
        <w:t xml:space="preserve"> and treatment with or intolerance to combination ERA/PDE5i within 3</w:t>
      </w:r>
      <w:r w:rsidR="00154C87">
        <w:noBreakHyphen/>
      </w:r>
      <w:r w:rsidRPr="00D166E0">
        <w:t>months</w:t>
      </w:r>
      <w:r w:rsidR="00CA02EA">
        <w:t xml:space="preserve"> </w:t>
      </w:r>
      <w:r w:rsidR="00CA02EA" w:rsidRPr="00CA02EA">
        <w:t>prior to start of treatment</w:t>
      </w:r>
      <w:r w:rsidRPr="00D166E0">
        <w:t>.</w:t>
      </w:r>
    </w:p>
    <w:p w14:paraId="470C21AF" w14:textId="143CF98F" w:rsidR="00185C16" w:rsidRPr="00D166E0" w:rsidRDefault="00185C16" w:rsidP="00D166E0">
      <w:r w:rsidRPr="00D166E0">
        <w:t>Subjects were stratified as treatment naïve, on ERA therapy or on PDE5i therapy. The treatment naïve subjects were randomised 2:1:1 to the FDC, macitentan 10</w:t>
      </w:r>
      <w:r w:rsidR="000C7DFA">
        <w:t> </w:t>
      </w:r>
      <w:r w:rsidRPr="00D166E0">
        <w:t>mg or tadalafil 40</w:t>
      </w:r>
      <w:r w:rsidR="000C7DFA">
        <w:t> </w:t>
      </w:r>
      <w:r w:rsidRPr="00D166E0">
        <w:t xml:space="preserve">mg. Subjects </w:t>
      </w:r>
      <w:r w:rsidRPr="00D166E0">
        <w:lastRenderedPageBreak/>
        <w:t>on ERA therapy were randomised 2:1 to the FDC or macitentan</w:t>
      </w:r>
      <w:r w:rsidR="000C7DFA">
        <w:t xml:space="preserve"> </w:t>
      </w:r>
      <w:r w:rsidRPr="00D166E0">
        <w:t>10</w:t>
      </w:r>
      <w:r w:rsidR="000C7DFA">
        <w:t> </w:t>
      </w:r>
      <w:r w:rsidRPr="00D166E0">
        <w:t>mg. Subjects on PDE5i were randomised 2:1 to FDC or tadalafil 40</w:t>
      </w:r>
      <w:r w:rsidR="000C7DFA">
        <w:t> </w:t>
      </w:r>
      <w:r w:rsidRPr="00D166E0">
        <w:t>mg daily.</w:t>
      </w:r>
    </w:p>
    <w:p w14:paraId="37751C41" w14:textId="047A54DD" w:rsidR="00185C16" w:rsidRPr="00D166E0" w:rsidRDefault="35D28AF2" w:rsidP="00D166E0">
      <w:r>
        <w:t xml:space="preserve">The full analysis set included all randomised participants who received at least one dose of study treatment. The </w:t>
      </w:r>
      <w:r w:rsidR="2673DD51">
        <w:t xml:space="preserve">full analysis set </w:t>
      </w:r>
      <w:r>
        <w:t xml:space="preserve">was analysed by intention to treat. The safety set also included all randomised participants who received at least one dose of study treatment but were analysed according to treatment received. </w:t>
      </w:r>
      <w:proofErr w:type="gramStart"/>
      <w:r>
        <w:t>In regard to</w:t>
      </w:r>
      <w:proofErr w:type="gramEnd"/>
      <w:r>
        <w:t xml:space="preserve"> participant flow, a total of 187 were randomised and 186 received treatment (107 with FDC, 44 with tadalafil and 35 with macitentan). There were 9 subjects (8.3%) in the FDC arm who were withdrawn </w:t>
      </w:r>
      <w:r w:rsidR="7331A6BE">
        <w:t xml:space="preserve">from the study </w:t>
      </w:r>
      <w:r>
        <w:t>due to withdrawal by subject (n</w:t>
      </w:r>
      <w:r w:rsidR="068B1177">
        <w:t> </w:t>
      </w:r>
      <w:r>
        <w:t>=</w:t>
      </w:r>
      <w:r w:rsidR="068B1177">
        <w:t> </w:t>
      </w:r>
      <w:r>
        <w:t>4), death (n</w:t>
      </w:r>
      <w:r w:rsidR="068B1177">
        <w:t> </w:t>
      </w:r>
      <w:r>
        <w:t>=</w:t>
      </w:r>
      <w:r w:rsidR="068B1177">
        <w:t> </w:t>
      </w:r>
      <w:r>
        <w:t>3) and physician decision</w:t>
      </w:r>
      <w:r w:rsidR="31734B87">
        <w:t xml:space="preserve"> (n = 2)</w:t>
      </w:r>
      <w:r>
        <w:t xml:space="preserve">. Only </w:t>
      </w:r>
      <w:r w:rsidR="068B1177">
        <w:t>one</w:t>
      </w:r>
      <w:r>
        <w:t xml:space="preserve"> monotherapy subject (tadalafil; 2.3%) terminated </w:t>
      </w:r>
      <w:r w:rsidR="13A90B2C">
        <w:t xml:space="preserve">the study </w:t>
      </w:r>
      <w:r>
        <w:t>prematurely due to withdrawal by subject.</w:t>
      </w:r>
    </w:p>
    <w:p w14:paraId="22C9AFC0" w14:textId="39FCE328" w:rsidR="00185C16" w:rsidRPr="00D166E0" w:rsidRDefault="00185C16" w:rsidP="00D166E0">
      <w:r w:rsidRPr="00D166E0">
        <w:t xml:space="preserve">Median age in the arms ranged from 48 </w:t>
      </w:r>
      <w:r w:rsidR="001F4B9B">
        <w:t>to</w:t>
      </w:r>
      <w:r w:rsidRPr="00D166E0">
        <w:t xml:space="preserve"> 54.5 years. Females represented 76.3</w:t>
      </w:r>
      <w:r w:rsidR="001F4B9B">
        <w:t xml:space="preserve"> to </w:t>
      </w:r>
      <w:r w:rsidRPr="00D166E0">
        <w:t>82.9% of participants. All were in WHO FC II or III and the two commonest aetiologies were idiopathic and associated with connective tissue disease. Some imbalance was noted in the proportion of participants in WHO FC II between groups (higher for the FDC compared to the monotherapy groups).</w:t>
      </w:r>
    </w:p>
    <w:p w14:paraId="2E680CD4" w14:textId="3863C4A5" w:rsidR="00185C16" w:rsidRPr="00D166E0" w:rsidRDefault="35D28AF2" w:rsidP="00D166E0">
      <w:r>
        <w:t xml:space="preserve">For the primary efficacy outcome, there was a decrease in PVR at </w:t>
      </w:r>
      <w:r w:rsidR="530BE446">
        <w:t>end of double-blind treatment</w:t>
      </w:r>
      <w:r>
        <w:t xml:space="preserve"> in all arms (</w:t>
      </w:r>
      <w:r w:rsidR="50953798">
        <w:t>that is,</w:t>
      </w:r>
      <w:r>
        <w:t xml:space="preserve"> with FDC and both monotherapies)</w:t>
      </w:r>
      <w:r w:rsidR="00185C16">
        <w:t xml:space="preserve"> and this was statistically significan</w:t>
      </w:r>
      <w:r>
        <w:t>t. For the treatment effect, there was a statistically significant greater effect with FDC compared to each monotherapy. The adjusted geometric mean ratio for FDC v</w:t>
      </w:r>
      <w:r w:rsidR="50953798">
        <w:t xml:space="preserve">ersus </w:t>
      </w:r>
      <w:r>
        <w:t>monotherapy was 0.71 (p</w:t>
      </w:r>
      <w:r w:rsidR="50953798">
        <w:t> </w:t>
      </w:r>
      <w:r>
        <w:t>&lt;0.001) for macitentan and 0.72 (p</w:t>
      </w:r>
      <w:r w:rsidR="50953798">
        <w:t> </w:t>
      </w:r>
      <w:r>
        <w:t>&lt;0.0001) for tadalafil. This was consistent with the effect size being similar whether the comparator was tadalafil or macitentan. Significant effects were seen for the predefined subgroups of treatment naïve and monotherapy experienced.</w:t>
      </w:r>
    </w:p>
    <w:p w14:paraId="68C0DDB5" w14:textId="39D133A7" w:rsidR="00185C16" w:rsidRPr="00D166E0" w:rsidRDefault="00185C16" w:rsidP="00D166E0">
      <w:r w:rsidRPr="00D166E0">
        <w:t>In terms of secondary outcomes, there was no statistically significant difference between treatment arms in the 6MWD (nominal increase with FDC of 16</w:t>
      </w:r>
      <w:r w:rsidR="003A3806">
        <w:t> </w:t>
      </w:r>
      <w:r w:rsidRPr="00036A19">
        <w:t>m</w:t>
      </w:r>
      <w:r w:rsidR="00036A19" w:rsidRPr="00036A19">
        <w:t>etres</w:t>
      </w:r>
      <w:r w:rsidRPr="00D166E0">
        <w:t xml:space="preserve"> compared with macitentan and 25</w:t>
      </w:r>
      <w:r w:rsidR="00AC01B9">
        <w:t> </w:t>
      </w:r>
      <w:r w:rsidRPr="00036A19">
        <w:t>m</w:t>
      </w:r>
      <w:r w:rsidR="00036A19" w:rsidRPr="00036A19">
        <w:t>et</w:t>
      </w:r>
      <w:r w:rsidR="00BB4C9A">
        <w:t>res</w:t>
      </w:r>
      <w:r w:rsidRPr="00D166E0">
        <w:t xml:space="preserve"> compared with tadalafil). There was a nominally greater proportion of patients experiencing clinical worsening with the FDC compared to each monotherapy (measured by change in WHO FC). There was a statistically significant decrease in </w:t>
      </w:r>
      <w:r w:rsidR="00E45345" w:rsidRPr="00E45345">
        <w:t>N-terminal prohormone of brain natriuretic peptide</w:t>
      </w:r>
      <w:r w:rsidR="00E45345">
        <w:t xml:space="preserve"> </w:t>
      </w:r>
      <w:r w:rsidRPr="00D166E0">
        <w:t>in the FDC groups compared to their respective monotherapy arms.</w:t>
      </w:r>
    </w:p>
    <w:p w14:paraId="4A06478A" w14:textId="05C42CDC" w:rsidR="00185C16" w:rsidRPr="00D166E0" w:rsidRDefault="599AFCAB" w:rsidP="00D166E0">
      <w:r>
        <w:t xml:space="preserve">Study </w:t>
      </w:r>
      <w:r w:rsidR="389AE3AC" w:rsidRPr="00D166E0">
        <w:t>A DUE is an ongoing open</w:t>
      </w:r>
      <w:r w:rsidR="61D7F272">
        <w:t>-</w:t>
      </w:r>
      <w:r w:rsidR="389AE3AC" w:rsidRPr="00D166E0">
        <w:t xml:space="preserve">label single arm study </w:t>
      </w:r>
      <w:r w:rsidR="00185C16" w:rsidRPr="00D166E0">
        <w:t>of the FDC to evaluate its long</w:t>
      </w:r>
      <w:r w:rsidR="002C36F0">
        <w:noBreakHyphen/>
      </w:r>
      <w:r w:rsidR="00185C16" w:rsidRPr="00D166E0">
        <w:t>term safety and effect on exercise capacity, WHO FC, time to first morbidity/mortality event and time to death due to PAH</w:t>
      </w:r>
      <w:r w:rsidR="002C36F0">
        <w:t>/</w:t>
      </w:r>
      <w:r w:rsidR="00185C16" w:rsidRPr="00D166E0">
        <w:t>PAH-related hospitalisation. There were 177 participants enrolled for the open</w:t>
      </w:r>
      <w:r w:rsidR="003B40D9">
        <w:t>-</w:t>
      </w:r>
      <w:r w:rsidR="00185C16" w:rsidRPr="00D166E0">
        <w:t>label period. A combination safety set included 185 participants from the double</w:t>
      </w:r>
      <w:r w:rsidR="003B40D9">
        <w:t>-</w:t>
      </w:r>
      <w:r w:rsidR="00185C16" w:rsidRPr="00D166E0">
        <w:t>blind and open</w:t>
      </w:r>
      <w:r w:rsidR="003B40D9">
        <w:t>-</w:t>
      </w:r>
      <w:r w:rsidR="00185C16" w:rsidRPr="00D166E0">
        <w:t>label periods taking the FDC.</w:t>
      </w:r>
    </w:p>
    <w:p w14:paraId="6DF34A5A" w14:textId="03486DE2" w:rsidR="00185C16" w:rsidRPr="00D166E0" w:rsidRDefault="35D28AF2">
      <w:r w:rsidRPr="00D166E0">
        <w:t>In terms of efficacy, the mean change from double</w:t>
      </w:r>
      <w:r w:rsidR="58B063CB">
        <w:t>-</w:t>
      </w:r>
      <w:r w:rsidRPr="00D166E0">
        <w:t xml:space="preserve">blind </w:t>
      </w:r>
      <w:r w:rsidR="60C2E641">
        <w:t>B</w:t>
      </w:r>
      <w:r w:rsidRPr="00D166E0">
        <w:t>aseline to open</w:t>
      </w:r>
      <w:r w:rsidR="58B063CB">
        <w:t>-</w:t>
      </w:r>
      <w:r w:rsidRPr="00D166E0">
        <w:t xml:space="preserve">label </w:t>
      </w:r>
      <w:r w:rsidR="6AAEB61C">
        <w:t>M</w:t>
      </w:r>
      <w:r w:rsidRPr="00D166E0">
        <w:t>onth 12 in the 6</w:t>
      </w:r>
      <w:r w:rsidR="00112A3E">
        <w:noBreakHyphen/>
      </w:r>
      <w:r w:rsidRPr="00D166E0">
        <w:t>minute walk distance was 76.1</w:t>
      </w:r>
      <w:r w:rsidR="7192585F">
        <w:t> </w:t>
      </w:r>
      <w:r w:rsidRPr="00036A19">
        <w:t>m</w:t>
      </w:r>
      <w:r w:rsidR="72D4BFC8" w:rsidRPr="00036A19">
        <w:t>et</w:t>
      </w:r>
      <w:r w:rsidR="6F26D6D0">
        <w:t>res</w:t>
      </w:r>
      <w:r w:rsidRPr="00D166E0">
        <w:t xml:space="preserve"> in those originally randomised to macitentan, 33.9</w:t>
      </w:r>
      <w:r w:rsidR="7192585F">
        <w:t> </w:t>
      </w:r>
      <w:r w:rsidRPr="00BB4C9A">
        <w:t>m</w:t>
      </w:r>
      <w:r w:rsidR="72D4BFC8">
        <w:t>etres</w:t>
      </w:r>
      <w:r w:rsidRPr="00D166E0">
        <w:t xml:space="preserve"> in those originally randomised to tadalafil and 71.8</w:t>
      </w:r>
      <w:r w:rsidR="7192585F">
        <w:t> </w:t>
      </w:r>
      <w:r w:rsidRPr="00036A19">
        <w:t>m</w:t>
      </w:r>
      <w:r w:rsidR="72D4BFC8" w:rsidRPr="00036A19">
        <w:t>etres</w:t>
      </w:r>
      <w:r w:rsidRPr="00D166E0">
        <w:t xml:space="preserve"> in those originally randomised to FDC. Amongst those originally randomised to the FDC, the greatest difference in 6MWD was seen in treatment naïve rather than monotherapy experienced participants. </w:t>
      </w:r>
      <w:r w:rsidR="00185C16" w:rsidRPr="00D166E0">
        <w:fldChar w:fldCharType="begin"/>
      </w:r>
      <w:r w:rsidR="00185C16" w:rsidRPr="00D166E0">
        <w:instrText xml:space="preserve"> REF _Ref166075701 \h </w:instrText>
      </w:r>
      <w:r w:rsidR="00D166E0">
        <w:instrText xml:space="preserve"> \* MERGEFORMAT </w:instrText>
      </w:r>
      <w:r w:rsidR="00185C16" w:rsidRPr="00D166E0">
        <w:fldChar w:fldCharType="separate"/>
      </w:r>
      <w:r w:rsidRPr="00D166E0">
        <w:t>Figure 2</w:t>
      </w:r>
      <w:r w:rsidR="00185C16" w:rsidRPr="00D166E0">
        <w:fldChar w:fldCharType="end"/>
      </w:r>
      <w:r w:rsidRPr="00D166E0">
        <w:t xml:space="preserve"> shows the 6MWD over time (note that after </w:t>
      </w:r>
      <w:r w:rsidR="052E5674">
        <w:t>W</w:t>
      </w:r>
      <w:r w:rsidRPr="00D166E0">
        <w:t>eek 16 all participants were receiving the FDC, treatment was open</w:t>
      </w:r>
      <w:r w:rsidR="1E88C6E3">
        <w:t>-</w:t>
      </w:r>
      <w:r w:rsidRPr="00D166E0">
        <w:t>label and the</w:t>
      </w:r>
      <w:r w:rsidR="00F17E17">
        <w:t xml:space="preserve"> numbers in the study steadily reduced.</w:t>
      </w:r>
      <w:r w:rsidR="00F17E17">
        <w:rPr>
          <w:rStyle w:val="FootnoteReference"/>
        </w:rPr>
        <w:footnoteReference w:id="15"/>
      </w:r>
    </w:p>
    <w:p w14:paraId="29785B01" w14:textId="628903BC" w:rsidR="00185C16" w:rsidRPr="00F12853" w:rsidRDefault="00185C16" w:rsidP="000F5A77">
      <w:pPr>
        <w:pStyle w:val="FigureTitle"/>
      </w:pPr>
      <w:bookmarkStart w:id="38" w:name="_Ref166075701"/>
      <w:r>
        <w:lastRenderedPageBreak/>
        <w:t xml:space="preserve">Figure </w:t>
      </w:r>
      <w:r>
        <w:fldChar w:fldCharType="begin"/>
      </w:r>
      <w:r>
        <w:instrText xml:space="preserve"> SEQ Figure \* ARABIC </w:instrText>
      </w:r>
      <w:r>
        <w:fldChar w:fldCharType="separate"/>
      </w:r>
      <w:r>
        <w:rPr>
          <w:noProof/>
        </w:rPr>
        <w:t>2</w:t>
      </w:r>
      <w:r>
        <w:rPr>
          <w:noProof/>
        </w:rPr>
        <w:fldChar w:fldCharType="end"/>
      </w:r>
      <w:bookmarkEnd w:id="38"/>
      <w:r w:rsidR="00F12853">
        <w:rPr>
          <w:noProof/>
        </w:rPr>
        <w:t>:</w:t>
      </w:r>
      <w:r>
        <w:t xml:space="preserve"> </w:t>
      </w:r>
      <w:r w:rsidR="00026DE8">
        <w:t>Mean change from Baseline in 6-</w:t>
      </w:r>
      <w:r w:rsidR="00F12853">
        <w:t xml:space="preserve">minute walking distance </w:t>
      </w:r>
      <w:r>
        <w:t>for double</w:t>
      </w:r>
      <w:r w:rsidR="00361F1A">
        <w:t>-</w:t>
      </w:r>
      <w:r>
        <w:t>blind and open</w:t>
      </w:r>
      <w:r w:rsidR="00361F1A">
        <w:t>-</w:t>
      </w:r>
      <w:r>
        <w:t>label periods</w:t>
      </w:r>
    </w:p>
    <w:p w14:paraId="0947F608" w14:textId="77777777" w:rsidR="00185C16" w:rsidRDefault="00185C16" w:rsidP="00185C16">
      <w:r>
        <w:rPr>
          <w:noProof/>
        </w:rPr>
        <w:drawing>
          <wp:inline distT="0" distB="0" distL="0" distR="0" wp14:anchorId="43F70732" wp14:editId="529B2989">
            <wp:extent cx="5407660" cy="3108325"/>
            <wp:effectExtent l="0" t="0" r="2540" b="0"/>
            <wp:docPr id="4" name="Picture 4" descr="Figure 2 is a line graph that shows the mean change in 6-minute walk distance (in metres) from Baseline over time for three treatment groups, double-blind macitentan, double-blind tadalafil and double-blind macitentan/tadalafil fixed dose combination. The X-axis shows time points from Baseline to Week 120/open label Month 24. The Y axis shows the change in 6-minute walking distance (metres). The sample sizes of each treatment group at each time point is shown below the x-axis. Time points include Baseline, Week 8, Week 16, Week 42/open label Month 6, Week 68/open label Month 12, Week 94/open label Month 18, Week 120/open label Mont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 line graph that shows the mean change in 6-minute walk distance (in metres) from Baseline over time for three treatment groups, double-blind macitentan, double-blind tadalafil and double-blind macitentan/tadalafil fixed dose combination. The X-axis shows time points from Baseline to Week 120/open label Month 24. The Y axis shows the change in 6-minute walking distance (metres). The sample sizes of each treatment group at each time point is shown below the x-axis. Time points include Baseline, Week 8, Week 16, Week 42/open label Month 6, Week 68/open label Month 12, Week 94/open label Month 18, Week 120/open label Month 24."/>
                    <pic:cNvPicPr/>
                  </pic:nvPicPr>
                  <pic:blipFill rotWithShape="1">
                    <a:blip r:embed="rId27"/>
                    <a:srcRect l="5650"/>
                    <a:stretch/>
                  </pic:blipFill>
                  <pic:spPr bwMode="auto">
                    <a:xfrm>
                      <a:off x="0" y="0"/>
                      <a:ext cx="5407660" cy="3108325"/>
                    </a:xfrm>
                    <a:prstGeom prst="rect">
                      <a:avLst/>
                    </a:prstGeom>
                    <a:ln>
                      <a:noFill/>
                    </a:ln>
                    <a:extLst>
                      <a:ext uri="{53640926-AAD7-44D8-BBD7-CCE9431645EC}">
                        <a14:shadowObscured xmlns:a14="http://schemas.microsoft.com/office/drawing/2010/main"/>
                      </a:ext>
                    </a:extLst>
                  </pic:spPr>
                </pic:pic>
              </a:graphicData>
            </a:graphic>
          </wp:inline>
        </w:drawing>
      </w:r>
    </w:p>
    <w:p w14:paraId="2B722816" w14:textId="735D55B5" w:rsidR="00222949" w:rsidRDefault="000C30BB" w:rsidP="008A6E1B">
      <w:pPr>
        <w:pStyle w:val="FigureDescription"/>
      </w:pPr>
      <w:r>
        <w:t xml:space="preserve">Abbreviations: </w:t>
      </w:r>
      <w:r w:rsidR="0020715E">
        <w:t>DB = double-blind,</w:t>
      </w:r>
      <w:r w:rsidR="0020715E" w:rsidRPr="0020715E">
        <w:t xml:space="preserve"> </w:t>
      </w:r>
      <w:r w:rsidR="008A6E1B">
        <w:t xml:space="preserve">FDC = fixed dose combination, </w:t>
      </w:r>
      <w:r w:rsidR="0020715E">
        <w:t xml:space="preserve">m = metres, </w:t>
      </w:r>
      <w:r w:rsidR="004326D5">
        <w:t>M/T</w:t>
      </w:r>
      <w:r w:rsidR="008A6E1B">
        <w:t> </w:t>
      </w:r>
      <w:r w:rsidR="004326D5">
        <w:t>=</w:t>
      </w:r>
      <w:r w:rsidR="008A6E1B">
        <w:t> </w:t>
      </w:r>
      <w:r w:rsidR="004326D5">
        <w:t xml:space="preserve">macitentan/tadalafil, </w:t>
      </w:r>
      <w:r w:rsidR="001E07FF">
        <w:t>OL</w:t>
      </w:r>
      <w:r w:rsidR="0061285C">
        <w:t> </w:t>
      </w:r>
      <w:r w:rsidR="001E07FF">
        <w:t>=</w:t>
      </w:r>
      <w:r w:rsidR="0061285C">
        <w:t> </w:t>
      </w:r>
      <w:proofErr w:type="gramStart"/>
      <w:r w:rsidR="001E07FF">
        <w:t>open</w:t>
      </w:r>
      <w:r w:rsidR="00361F1A">
        <w:t>-</w:t>
      </w:r>
      <w:r w:rsidR="001E07FF">
        <w:t>label</w:t>
      </w:r>
      <w:proofErr w:type="gramEnd"/>
      <w:r w:rsidR="001E07FF">
        <w:t>.</w:t>
      </w:r>
    </w:p>
    <w:p w14:paraId="28B63B05" w14:textId="18D46596" w:rsidR="00185C16" w:rsidRPr="008A6E1B" w:rsidRDefault="00185C16" w:rsidP="008A6E1B">
      <w:proofErr w:type="gramStart"/>
      <w:r w:rsidRPr="008A6E1B">
        <w:t>A number of</w:t>
      </w:r>
      <w:proofErr w:type="gramEnd"/>
      <w:r w:rsidRPr="008A6E1B">
        <w:t xml:space="preserve"> indirect treatment comparisons (supportive study A and B) from previous clinical trials of combination and monotherapies of tadalafil and macitentan were included in the dossier. These trials are TRITON, REPAIR, SERAPHIN, ORCHESTRA and SYMPHONY. The clinical evaluat</w:t>
      </w:r>
      <w:r w:rsidR="00DB1A6F" w:rsidRPr="008A6E1B">
        <w:t>ion</w:t>
      </w:r>
      <w:r w:rsidRPr="008A6E1B">
        <w:t xml:space="preserve"> noted that due to the nature of the studies, lack of randomisation, complexities of stratifying for covariates and the different population groups, the data does not provide much more guidance in terms of efficacy of the FDC </w:t>
      </w:r>
      <w:r w:rsidR="00DB1A6F" w:rsidRPr="008A6E1B">
        <w:t>versus</w:t>
      </w:r>
      <w:r w:rsidRPr="008A6E1B">
        <w:t xml:space="preserve"> the different components taken sequentially.</w:t>
      </w:r>
    </w:p>
    <w:p w14:paraId="7202E570" w14:textId="77777777" w:rsidR="00185C16" w:rsidRDefault="00185C16" w:rsidP="00185C16">
      <w:pPr>
        <w:pStyle w:val="Heading4"/>
      </w:pPr>
      <w:bookmarkStart w:id="39" w:name="_Toc201577346"/>
      <w:r w:rsidRPr="00AA53F4">
        <w:t>Safety</w:t>
      </w:r>
      <w:bookmarkEnd w:id="39"/>
    </w:p>
    <w:p w14:paraId="7428E37C" w14:textId="4649905B" w:rsidR="00185C16" w:rsidRPr="00A97FE0" w:rsidRDefault="00185C16" w:rsidP="00A97FE0">
      <w:r w:rsidRPr="00A97FE0">
        <w:t>The main dataset is derived from the A DUE study. During the double</w:t>
      </w:r>
      <w:r w:rsidR="00056EFD" w:rsidRPr="00A97FE0">
        <w:t>-</w:t>
      </w:r>
      <w:r w:rsidRPr="00A97FE0">
        <w:t>blind period 107</w:t>
      </w:r>
      <w:r w:rsidR="00E542D6">
        <w:t> </w:t>
      </w:r>
      <w:r w:rsidRPr="00A97FE0">
        <w:t>participants were exposed to the FDC macitentan 10</w:t>
      </w:r>
      <w:r w:rsidR="00E542D6">
        <w:t> </w:t>
      </w:r>
      <w:r w:rsidRPr="00A97FE0">
        <w:t>mg/tadalafil 40</w:t>
      </w:r>
      <w:r w:rsidR="00E542D6">
        <w:t> </w:t>
      </w:r>
      <w:r w:rsidRPr="00A97FE0">
        <w:t>mg. The median duration of exposure was 16.1 weeks and 64.5% were exposed for 16 weeks or longer.</w:t>
      </w:r>
      <w:r w:rsidR="00E542D6">
        <w:t xml:space="preserve"> </w:t>
      </w:r>
      <w:r w:rsidRPr="00A97FE0">
        <w:t>Considering both the double</w:t>
      </w:r>
      <w:r w:rsidR="00E542D6">
        <w:t>-</w:t>
      </w:r>
      <w:r w:rsidRPr="00A97FE0">
        <w:t>blind and open</w:t>
      </w:r>
      <w:r w:rsidR="00E542D6">
        <w:t>-</w:t>
      </w:r>
      <w:r w:rsidRPr="00A97FE0">
        <w:t>label periods, 185 were exposed to the FDC at any time, the median exposure was 59.86 weeks and 65.4% (n</w:t>
      </w:r>
      <w:r w:rsidR="00E542D6">
        <w:t> </w:t>
      </w:r>
      <w:r w:rsidRPr="00A97FE0">
        <w:t>=</w:t>
      </w:r>
      <w:r w:rsidR="00E542D6">
        <w:t> </w:t>
      </w:r>
      <w:r w:rsidRPr="00A97FE0">
        <w:t>121) were exposed for 42 weeks or longer. In addition to the A DUE data the dossier contained safety data based on the supportive trials (TRITON, SYMPHONY, ORCHESTRA, REPAIR) and two observational studies (OPUS/</w:t>
      </w:r>
      <w:proofErr w:type="spellStart"/>
      <w:r w:rsidRPr="00A97FE0">
        <w:t>OrPHeUS</w:t>
      </w:r>
      <w:proofErr w:type="spellEnd"/>
      <w:r w:rsidRPr="00A97FE0">
        <w:t>, EXPOSURE). These supportive and observational studies included 1071</w:t>
      </w:r>
      <w:r w:rsidR="00AF02B4">
        <w:t> </w:t>
      </w:r>
      <w:r w:rsidRPr="00A97FE0">
        <w:t>participants who were treated with the macitentan/tadalafil combination for at least 12</w:t>
      </w:r>
      <w:r w:rsidR="00AF02B4">
        <w:t> </w:t>
      </w:r>
      <w:r w:rsidRPr="00A97FE0">
        <w:t>months (</w:t>
      </w:r>
      <w:r w:rsidRPr="00A97FE0">
        <w:fldChar w:fldCharType="begin"/>
      </w:r>
      <w:r w:rsidRPr="00A97FE0">
        <w:instrText xml:space="preserve"> REF _Ref166158685 \h </w:instrText>
      </w:r>
      <w:r w:rsidR="00A97FE0" w:rsidRPr="00A97FE0">
        <w:instrText xml:space="preserve"> \* MERGEFORMAT </w:instrText>
      </w:r>
      <w:r w:rsidRPr="00A97FE0">
        <w:fldChar w:fldCharType="separate"/>
      </w:r>
      <w:r w:rsidR="008A6EA9" w:rsidRPr="00A97FE0">
        <w:t>Table 5</w:t>
      </w:r>
      <w:r w:rsidRPr="00A97FE0">
        <w:fldChar w:fldCharType="end"/>
      </w:r>
      <w:r w:rsidRPr="00A97FE0">
        <w:t>).</w:t>
      </w:r>
    </w:p>
    <w:p w14:paraId="635C67A7" w14:textId="2588FB7B" w:rsidR="00185C16" w:rsidRPr="00D820D4" w:rsidRDefault="00185C16" w:rsidP="00D820D4">
      <w:pPr>
        <w:pStyle w:val="TableTitle"/>
      </w:pPr>
      <w:bookmarkStart w:id="40" w:name="_Ref166158685"/>
      <w:r w:rsidRPr="00D820D4">
        <w:t xml:space="preserve">Table </w:t>
      </w:r>
      <w:r w:rsidRPr="00D820D4">
        <w:fldChar w:fldCharType="begin"/>
      </w:r>
      <w:r w:rsidRPr="00D820D4">
        <w:instrText xml:space="preserve"> SEQ Table \* ARABIC </w:instrText>
      </w:r>
      <w:r w:rsidRPr="00D820D4">
        <w:fldChar w:fldCharType="separate"/>
      </w:r>
      <w:r w:rsidR="00D820D4" w:rsidRPr="00D820D4">
        <w:t>5</w:t>
      </w:r>
      <w:r w:rsidRPr="00D820D4">
        <w:fldChar w:fldCharType="end"/>
      </w:r>
      <w:bookmarkEnd w:id="40"/>
      <w:r w:rsidR="00D820D4" w:rsidRPr="00D820D4">
        <w:t xml:space="preserve">: </w:t>
      </w:r>
      <w:r w:rsidRPr="00D820D4">
        <w:t>Exposure to</w:t>
      </w:r>
      <w:r w:rsidR="00D820D4" w:rsidRPr="00D820D4">
        <w:t xml:space="preserve"> fixed dose combination</w:t>
      </w:r>
      <w:r w:rsidRPr="00D820D4">
        <w:t xml:space="preserve"> or macitentan/tadalafil loose combination in clinical studies</w:t>
      </w:r>
    </w:p>
    <w:p w14:paraId="6B01704B" w14:textId="77777777" w:rsidR="00185C16" w:rsidRDefault="00185C16" w:rsidP="00185C16">
      <w:r>
        <w:rPr>
          <w:noProof/>
        </w:rPr>
        <w:drawing>
          <wp:inline distT="0" distB="0" distL="0" distR="0" wp14:anchorId="6BC318FE" wp14:editId="5C4C6CA4">
            <wp:extent cx="5723890" cy="3019153"/>
            <wp:effectExtent l="0" t="0" r="0" b="0"/>
            <wp:docPr id="5" name="Picture 5" descr="Table 5 shows data on the median and cumulative duration of exposure to macitentan, tadalafil and the fixed dose combination across the different clinical studies. It is organised into three sections including the pivotal study, supportive trials and observational studies. Each row includes the study name, intervention received, number of participants, median duration of exposure and cumulative duration of exposure (at 4 weeks, 16 weeks, 42 weeks and 6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5 shows data on the median and cumulative duration of exposure to macitentan, tadalafil and the fixed dose combination across the different clinical studies. It is organised into three sections including the pivotal study, supportive trials and observational studies. Each row includes the study name, intervention received, number of participants, median duration of exposure and cumulative duration of exposure (at 4 weeks, 16 weeks, 42 weeks and 68 weeks)."/>
                    <pic:cNvPicPr/>
                  </pic:nvPicPr>
                  <pic:blipFill rotWithShape="1">
                    <a:blip r:embed="rId28"/>
                    <a:srcRect l="2825" t="1788" r="1783" b="3735"/>
                    <a:stretch/>
                  </pic:blipFill>
                  <pic:spPr bwMode="auto">
                    <a:xfrm>
                      <a:off x="0" y="0"/>
                      <a:ext cx="5733114" cy="3024018"/>
                    </a:xfrm>
                    <a:prstGeom prst="rect">
                      <a:avLst/>
                    </a:prstGeom>
                    <a:ln>
                      <a:noFill/>
                    </a:ln>
                    <a:extLst>
                      <a:ext uri="{53640926-AAD7-44D8-BBD7-CCE9431645EC}">
                        <a14:shadowObscured xmlns:a14="http://schemas.microsoft.com/office/drawing/2010/main"/>
                      </a:ext>
                    </a:extLst>
                  </pic:spPr>
                </pic:pic>
              </a:graphicData>
            </a:graphic>
          </wp:inline>
        </w:drawing>
      </w:r>
    </w:p>
    <w:p w14:paraId="61B809D5" w14:textId="4D827099" w:rsidR="00236C12" w:rsidRPr="00236C12" w:rsidRDefault="00A1736E" w:rsidP="008C0E9E">
      <w:pPr>
        <w:pStyle w:val="TableDescription"/>
      </w:pPr>
      <w:r w:rsidRPr="008C0E9E">
        <w:t>Abbreviations</w:t>
      </w:r>
      <w:r w:rsidR="00236C12" w:rsidRPr="00236C12">
        <w:t>: CSS</w:t>
      </w:r>
      <w:r w:rsidRPr="008C0E9E">
        <w:t xml:space="preserve"> </w:t>
      </w:r>
      <w:r w:rsidR="00236C12" w:rsidRPr="00236C12">
        <w:t>=</w:t>
      </w:r>
      <w:r w:rsidRPr="008C0E9E">
        <w:t xml:space="preserve"> </w:t>
      </w:r>
      <w:r w:rsidR="00236C12" w:rsidRPr="00236C12">
        <w:t>A DUE combined safety set, DB</w:t>
      </w:r>
      <w:r w:rsidRPr="008C0E9E">
        <w:t xml:space="preserve"> </w:t>
      </w:r>
      <w:r w:rsidR="00236C12" w:rsidRPr="00236C12">
        <w:t>=</w:t>
      </w:r>
      <w:r w:rsidRPr="008C0E9E">
        <w:t xml:space="preserve"> </w:t>
      </w:r>
      <w:r w:rsidR="00236C12" w:rsidRPr="00236C12">
        <w:t>double-blind, FDC</w:t>
      </w:r>
      <w:r w:rsidRPr="008C0E9E">
        <w:t xml:space="preserve"> </w:t>
      </w:r>
      <w:r w:rsidR="00236C12" w:rsidRPr="00236C12">
        <w:t>=</w:t>
      </w:r>
      <w:r w:rsidRPr="008C0E9E">
        <w:t xml:space="preserve"> </w:t>
      </w:r>
      <w:r w:rsidR="00236C12" w:rsidRPr="00236C12">
        <w:t>fixed dose combination, M</w:t>
      </w:r>
      <w:r w:rsidRPr="008C0E9E">
        <w:t xml:space="preserve"> </w:t>
      </w:r>
      <w:r w:rsidR="00236C12" w:rsidRPr="00236C12">
        <w:t>=</w:t>
      </w:r>
      <w:r w:rsidRPr="008C0E9E">
        <w:t xml:space="preserve"> </w:t>
      </w:r>
      <w:r w:rsidR="00236C12" w:rsidRPr="00236C12">
        <w:t>macitentan, OL</w:t>
      </w:r>
      <w:r w:rsidRPr="008C0E9E">
        <w:t xml:space="preserve"> </w:t>
      </w:r>
      <w:r w:rsidR="00236C12" w:rsidRPr="00236C12">
        <w:t>=</w:t>
      </w:r>
      <w:r w:rsidRPr="008C0E9E">
        <w:t xml:space="preserve"> </w:t>
      </w:r>
      <w:r w:rsidR="00236C12" w:rsidRPr="00236C12">
        <w:t>open-label, PBO</w:t>
      </w:r>
      <w:r w:rsidRPr="008C0E9E">
        <w:t xml:space="preserve"> </w:t>
      </w:r>
      <w:r w:rsidR="00236C12" w:rsidRPr="00236C12">
        <w:t>=</w:t>
      </w:r>
      <w:r w:rsidRPr="008C0E9E">
        <w:t xml:space="preserve"> </w:t>
      </w:r>
      <w:r w:rsidR="00236C12" w:rsidRPr="00236C12">
        <w:t>placebo, SS</w:t>
      </w:r>
      <w:r w:rsidRPr="008C0E9E">
        <w:t xml:space="preserve"> </w:t>
      </w:r>
      <w:r w:rsidR="00236C12" w:rsidRPr="00236C12">
        <w:t>=</w:t>
      </w:r>
      <w:r w:rsidRPr="008C0E9E">
        <w:t xml:space="preserve"> </w:t>
      </w:r>
      <w:r w:rsidR="00236C12" w:rsidRPr="00236C12">
        <w:t>A DUE safety set, T</w:t>
      </w:r>
      <w:r w:rsidRPr="008C0E9E">
        <w:t xml:space="preserve"> </w:t>
      </w:r>
      <w:r w:rsidR="00236C12" w:rsidRPr="00236C12">
        <w:t>=</w:t>
      </w:r>
      <w:r w:rsidRPr="008C0E9E">
        <w:t xml:space="preserve"> </w:t>
      </w:r>
      <w:r w:rsidR="00236C12" w:rsidRPr="00236C12">
        <w:t>tadalafil</w:t>
      </w:r>
      <w:r w:rsidRPr="008C0E9E">
        <w:t>.</w:t>
      </w:r>
    </w:p>
    <w:p w14:paraId="6C5E2557" w14:textId="07FDEFFE" w:rsidR="00236C12" w:rsidRPr="00236C12" w:rsidRDefault="00236C12" w:rsidP="008C0E9E">
      <w:pPr>
        <w:pStyle w:val="TableDescription"/>
      </w:pPr>
      <w:r w:rsidRPr="00236C12">
        <w:t>a. Data are presented up to a cut-off date of 31 Dec</w:t>
      </w:r>
      <w:r w:rsidR="00A1736E" w:rsidRPr="008C0E9E">
        <w:t>ember</w:t>
      </w:r>
      <w:r w:rsidRPr="00236C12">
        <w:t xml:space="preserve"> 2022 for the </w:t>
      </w:r>
      <w:r w:rsidR="00636E77" w:rsidRPr="008C0E9E">
        <w:t>c</w:t>
      </w:r>
      <w:r w:rsidRPr="00236C12">
        <w:t xml:space="preserve">ombination </w:t>
      </w:r>
      <w:r w:rsidR="00636E77" w:rsidRPr="008C0E9E">
        <w:t>s</w:t>
      </w:r>
      <w:r w:rsidRPr="00236C12">
        <w:t xml:space="preserve">afety </w:t>
      </w:r>
      <w:r w:rsidR="00636E77" w:rsidRPr="008C0E9E">
        <w:t>s</w:t>
      </w:r>
      <w:r w:rsidRPr="00236C12">
        <w:t>et</w:t>
      </w:r>
      <w:r w:rsidR="00636E77" w:rsidRPr="008C0E9E">
        <w:t>.</w:t>
      </w:r>
    </w:p>
    <w:p w14:paraId="008FA744" w14:textId="3D9A0F34" w:rsidR="00236C12" w:rsidRPr="00236C12" w:rsidRDefault="00236C12" w:rsidP="008C0E9E">
      <w:pPr>
        <w:pStyle w:val="TableDescription"/>
      </w:pPr>
      <w:r w:rsidRPr="00236C12">
        <w:t>b. In addition to the 69 participants who titrated with macitentan 10</w:t>
      </w:r>
      <w:r w:rsidR="00636E77" w:rsidRPr="008C0E9E">
        <w:t> </w:t>
      </w:r>
      <w:r w:rsidRPr="00236C12">
        <w:t xml:space="preserve">mg </w:t>
      </w:r>
      <w:r w:rsidR="00636E77" w:rsidRPr="008C0E9E">
        <w:t>and</w:t>
      </w:r>
      <w:r w:rsidRPr="00236C12">
        <w:t xml:space="preserve"> tadalafil 20</w:t>
      </w:r>
      <w:r w:rsidR="00636E77" w:rsidRPr="008C0E9E">
        <w:t> </w:t>
      </w:r>
      <w:r w:rsidRPr="00236C12">
        <w:t xml:space="preserve">mg at start of </w:t>
      </w:r>
      <w:r w:rsidR="00636E77" w:rsidRPr="008C0E9E">
        <w:t>double-blind</w:t>
      </w:r>
      <w:r w:rsidRPr="00236C12">
        <w:t xml:space="preserve"> period, this cohort includes</w:t>
      </w:r>
      <w:r w:rsidR="00255D89" w:rsidRPr="008C0E9E">
        <w:t xml:space="preserve"> a</w:t>
      </w:r>
      <w:r w:rsidRPr="00236C12">
        <w:t xml:space="preserve"> further 35 participants randomi</w:t>
      </w:r>
      <w:r w:rsidR="00255D89" w:rsidRPr="008C0E9E">
        <w:t>s</w:t>
      </w:r>
      <w:r w:rsidRPr="00236C12">
        <w:t>ed to macitentan</w:t>
      </w:r>
      <w:r w:rsidR="00255D89" w:rsidRPr="008C0E9E">
        <w:t xml:space="preserve"> </w:t>
      </w:r>
      <w:r w:rsidRPr="00236C12">
        <w:t>monotherapy arm who received a loose combination of macitentan 10</w:t>
      </w:r>
      <w:r w:rsidR="00255D89" w:rsidRPr="008C0E9E">
        <w:t> </w:t>
      </w:r>
      <w:r w:rsidRPr="00236C12">
        <w:t xml:space="preserve">mg </w:t>
      </w:r>
      <w:r w:rsidR="00255D89" w:rsidRPr="008C0E9E">
        <w:t>and</w:t>
      </w:r>
      <w:r w:rsidRPr="00236C12">
        <w:t xml:space="preserve"> tadalafil 20</w:t>
      </w:r>
      <w:r w:rsidR="00255D89" w:rsidRPr="008C0E9E">
        <w:t> </w:t>
      </w:r>
      <w:r w:rsidRPr="00236C12">
        <w:t xml:space="preserve">mg over a 7-day titration period at start of </w:t>
      </w:r>
      <w:r w:rsidR="00720EE5" w:rsidRPr="008C0E9E">
        <w:t xml:space="preserve">the </w:t>
      </w:r>
      <w:r w:rsidR="00255D89" w:rsidRPr="008C0E9E">
        <w:t xml:space="preserve">open-label </w:t>
      </w:r>
      <w:r w:rsidRPr="00236C12">
        <w:t>period.</w:t>
      </w:r>
    </w:p>
    <w:p w14:paraId="71AA99DD" w14:textId="556E5A81" w:rsidR="00236C12" w:rsidRPr="00236C12" w:rsidRDefault="00236C12" w:rsidP="008C0E9E">
      <w:pPr>
        <w:pStyle w:val="TableDescription"/>
      </w:pPr>
      <w:r w:rsidRPr="00236C12">
        <w:t>c. Per TRITON protocol, participants received macitentan 10</w:t>
      </w:r>
      <w:r w:rsidR="0081246E" w:rsidRPr="008C0E9E">
        <w:t> </w:t>
      </w:r>
      <w:r w:rsidRPr="00236C12">
        <w:t xml:space="preserve">mg </w:t>
      </w:r>
      <w:r w:rsidR="0081246E" w:rsidRPr="008C0E9E">
        <w:t>and</w:t>
      </w:r>
      <w:r w:rsidRPr="00236C12">
        <w:t xml:space="preserve"> tadalafil 20</w:t>
      </w:r>
      <w:r w:rsidR="0081246E" w:rsidRPr="008C0E9E">
        <w:t> </w:t>
      </w:r>
      <w:r w:rsidRPr="00236C12">
        <w:t>mg from Day 1 to Day 7 (1 week). On Day 8 (</w:t>
      </w:r>
      <w:r w:rsidRPr="00236C12">
        <w:rPr>
          <w:rFonts w:hint="eastAsia"/>
        </w:rPr>
        <w:t>±</w:t>
      </w:r>
      <w:r w:rsidRPr="00236C12">
        <w:t>3 days), the dosage of tadalafil were increased to 40</w:t>
      </w:r>
      <w:r w:rsidR="008C0E9E" w:rsidRPr="008C0E9E">
        <w:t> </w:t>
      </w:r>
      <w:r w:rsidRPr="00236C12">
        <w:t>mg</w:t>
      </w:r>
      <w:r w:rsidR="008C0E9E" w:rsidRPr="008C0E9E">
        <w:t xml:space="preserve"> </w:t>
      </w:r>
      <w:r w:rsidRPr="00236C12">
        <w:t>depending on individual tolerability</w:t>
      </w:r>
    </w:p>
    <w:p w14:paraId="313DEC67" w14:textId="77777777" w:rsidR="00185C16" w:rsidRDefault="00185C16" w:rsidP="00185C16">
      <w:r>
        <w:t>In addition to the clinical trials in patients with PAH, 272 healthy volunteers received the FDC during the development program.</w:t>
      </w:r>
    </w:p>
    <w:p w14:paraId="2FA2E856" w14:textId="11E532A1" w:rsidR="00185C16" w:rsidRPr="00AF02B4" w:rsidRDefault="00185C16" w:rsidP="00AF02B4">
      <w:r w:rsidRPr="00AF02B4">
        <w:t xml:space="preserve">In the A DUE </w:t>
      </w:r>
      <w:r w:rsidR="00AF02B4">
        <w:t>double-blind</w:t>
      </w:r>
      <w:r w:rsidRPr="00AF02B4">
        <w:t xml:space="preserve"> period, </w:t>
      </w:r>
      <w:r w:rsidR="00AF02B4">
        <w:t>adverse ev</w:t>
      </w:r>
      <w:r w:rsidR="00AF02B4" w:rsidRPr="00954F45">
        <w:t>ents (AEs)</w:t>
      </w:r>
      <w:r w:rsidRPr="00AF02B4">
        <w:t xml:space="preserve"> were more frequent with the FDC (82.2%) than with macitentan (71.4%) or tadalafil (79.5%), considering all strata. Serious AEs were also more frequent with FDC (14%) than monotherapy (macitentan 8.6%; tadalafil 9.1%). Two deaths occurred in the FDC arm and none in the monotherapy arms.</w:t>
      </w:r>
    </w:p>
    <w:p w14:paraId="17B7F892" w14:textId="228F63F5" w:rsidR="00185C16" w:rsidRPr="00AF02B4" w:rsidRDefault="00185C16" w:rsidP="00AF02B4">
      <w:r>
        <w:t xml:space="preserve">It is noteworthy that certain safety signals appeared worse for treatment naïve participants in the FDC arm compared to those with previous monotherapy experience. For example, during the </w:t>
      </w:r>
      <w:r w:rsidR="00CD2B75">
        <w:t>double-blind</w:t>
      </w:r>
      <w:r>
        <w:t xml:space="preserve"> period, more than half of FDC participants discontinuing </w:t>
      </w:r>
      <w:r w:rsidR="6E50D9E1">
        <w:t xml:space="preserve">due to an adverse event </w:t>
      </w:r>
      <w:r>
        <w:t>were treatment</w:t>
      </w:r>
      <w:r w:rsidR="00CD2B75">
        <w:t xml:space="preserve"> </w:t>
      </w:r>
      <w:r>
        <w:t>naïve (12.2%) compared with prior ERA (4.8%) and prior PDE5i (5.4%).</w:t>
      </w:r>
    </w:p>
    <w:p w14:paraId="07C7BDE7" w14:textId="0BC7D319" w:rsidR="00185C16" w:rsidRPr="00AF02B4" w:rsidRDefault="00185C16" w:rsidP="00AF02B4">
      <w:r w:rsidRPr="00AF02B4">
        <w:t xml:space="preserve">The imbalance in </w:t>
      </w:r>
      <w:r w:rsidR="00CD2B75">
        <w:t>se</w:t>
      </w:r>
      <w:r w:rsidR="00CD2B75" w:rsidRPr="006F716B">
        <w:t xml:space="preserve">rious </w:t>
      </w:r>
      <w:r w:rsidRPr="006F716B">
        <w:t>AEs between</w:t>
      </w:r>
      <w:r w:rsidRPr="00AF02B4">
        <w:t xml:space="preserve"> FDC and monotherapy was mainly driven by heart failure. Regarding the treatment-emergent deaths, one participant died 2 weeks after discontinuing treatment due to hypotension (had resumed </w:t>
      </w:r>
      <w:proofErr w:type="spellStart"/>
      <w:r w:rsidRPr="00AF02B4">
        <w:t>ambrisentan</w:t>
      </w:r>
      <w:proofErr w:type="spellEnd"/>
      <w:r w:rsidRPr="00AF02B4">
        <w:t xml:space="preserve"> treatment in the intervening period). The cause of death was worsening heart failure. One participant died on </w:t>
      </w:r>
      <w:r w:rsidR="00866368">
        <w:t>D</w:t>
      </w:r>
      <w:r w:rsidRPr="00AF02B4">
        <w:t>ay</w:t>
      </w:r>
      <w:r w:rsidR="00866368">
        <w:t> </w:t>
      </w:r>
      <w:r w:rsidRPr="00AF02B4">
        <w:t>105 after developing multi-organ failure due to Clostridium difficile gastroenteritis.</w:t>
      </w:r>
      <w:r w:rsidR="00595D34">
        <w:rPr>
          <w:rStyle w:val="FootnoteReference"/>
        </w:rPr>
        <w:footnoteReference w:id="16"/>
      </w:r>
    </w:p>
    <w:p w14:paraId="14CCF7A0" w14:textId="6267E4CA" w:rsidR="00185C16" w:rsidRPr="00AF02B4" w:rsidRDefault="00185C16" w:rsidP="00AF02B4">
      <w:r w:rsidRPr="00AF02B4">
        <w:fldChar w:fldCharType="begin"/>
      </w:r>
      <w:r w:rsidRPr="00AF02B4">
        <w:instrText xml:space="preserve"> REF _Ref166229293 \h </w:instrText>
      </w:r>
      <w:r w:rsidR="00AF02B4">
        <w:instrText xml:space="preserve"> \* MERGEFORMAT </w:instrText>
      </w:r>
      <w:r w:rsidRPr="00AF02B4">
        <w:fldChar w:fldCharType="separate"/>
      </w:r>
      <w:r w:rsidR="00D75F19">
        <w:t>Table 6</w:t>
      </w:r>
      <w:r w:rsidRPr="00AF02B4">
        <w:fldChar w:fldCharType="end"/>
      </w:r>
      <w:r w:rsidRPr="00AF02B4">
        <w:t xml:space="preserve"> shows </w:t>
      </w:r>
      <w:r w:rsidR="00866368">
        <w:t xml:space="preserve">treatment-emergent </w:t>
      </w:r>
      <w:r w:rsidR="00866368" w:rsidRPr="00D438C8">
        <w:t>adverse events (</w:t>
      </w:r>
      <w:r w:rsidRPr="00D438C8">
        <w:t>TEAEs</w:t>
      </w:r>
      <w:r w:rsidR="00866368" w:rsidRPr="00D438C8">
        <w:t>)</w:t>
      </w:r>
      <w:r w:rsidRPr="00D438C8">
        <w:t xml:space="preserve"> occurring</w:t>
      </w:r>
      <w:r w:rsidRPr="00AF02B4">
        <w:t xml:space="preserve"> in at least 2% of participants. Noteworthy TEAEs that were significantly more frequent in the FDC arm include anaemia, haemoglobin decrease</w:t>
      </w:r>
      <w:r w:rsidR="00E8778F">
        <w:t>d</w:t>
      </w:r>
      <w:r w:rsidRPr="00AF02B4">
        <w:t>, hypotension and peripheral swelling.</w:t>
      </w:r>
    </w:p>
    <w:p w14:paraId="16446B27" w14:textId="393072E6" w:rsidR="00185C16" w:rsidRDefault="00185C16" w:rsidP="00D75F19">
      <w:pPr>
        <w:pStyle w:val="TableTitle"/>
      </w:pPr>
      <w:bookmarkStart w:id="41" w:name="_Ref166229293"/>
      <w:bookmarkStart w:id="42" w:name="_Ref170312681"/>
      <w:r w:rsidRPr="00D75F19">
        <w:lastRenderedPageBreak/>
        <w:t xml:space="preserve">Table </w:t>
      </w:r>
      <w:r w:rsidRPr="00D75F19">
        <w:fldChar w:fldCharType="begin"/>
      </w:r>
      <w:r w:rsidRPr="00D75F19">
        <w:instrText xml:space="preserve"> SEQ Table \* ARABIC </w:instrText>
      </w:r>
      <w:r w:rsidRPr="00D75F19">
        <w:fldChar w:fldCharType="separate"/>
      </w:r>
      <w:r w:rsidR="00D75F19" w:rsidRPr="00D75F19">
        <w:t>6</w:t>
      </w:r>
      <w:r w:rsidRPr="00D75F19">
        <w:fldChar w:fldCharType="end"/>
      </w:r>
      <w:bookmarkEnd w:id="41"/>
      <w:r w:rsidR="00D75F19" w:rsidRPr="00D75F19">
        <w:t>:</w:t>
      </w:r>
      <w:r w:rsidRPr="00D75F19">
        <w:t xml:space="preserve"> </w:t>
      </w:r>
      <w:r w:rsidR="00D75F19" w:rsidRPr="00D75F19">
        <w:t xml:space="preserve">treatment-emergent adverse events </w:t>
      </w:r>
      <w:r w:rsidRPr="00D75F19">
        <w:t xml:space="preserve">occurring in at least 2% during A DUE </w:t>
      </w:r>
      <w:r w:rsidR="00D75F19" w:rsidRPr="00D75F19">
        <w:t>double-blind</w:t>
      </w:r>
      <w:r w:rsidRPr="00D75F19">
        <w:t xml:space="preserve"> period</w:t>
      </w:r>
      <w:bookmarkEnd w:id="42"/>
    </w:p>
    <w:p w14:paraId="791DEEC8" w14:textId="284D666D" w:rsidR="00E06C88" w:rsidRDefault="00E13BE5" w:rsidP="00263DD1">
      <w:r>
        <w:rPr>
          <w:noProof/>
        </w:rPr>
        <w:drawing>
          <wp:inline distT="0" distB="0" distL="0" distR="0" wp14:anchorId="391B2765" wp14:editId="294F6B32">
            <wp:extent cx="5429250" cy="4889500"/>
            <wp:effectExtent l="0" t="0" r="0" b="6350"/>
            <wp:docPr id="1835959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1814"/>
                    <a:stretch/>
                  </pic:blipFill>
                  <pic:spPr bwMode="auto">
                    <a:xfrm>
                      <a:off x="0" y="0"/>
                      <a:ext cx="5429250" cy="4889500"/>
                    </a:xfrm>
                    <a:prstGeom prst="rect">
                      <a:avLst/>
                    </a:prstGeom>
                    <a:noFill/>
                    <a:ln>
                      <a:noFill/>
                    </a:ln>
                    <a:extLst>
                      <a:ext uri="{53640926-AAD7-44D8-BBD7-CCE9431645EC}">
                        <a14:shadowObscured xmlns:a14="http://schemas.microsoft.com/office/drawing/2010/main"/>
                      </a:ext>
                    </a:extLst>
                  </pic:spPr>
                </pic:pic>
              </a:graphicData>
            </a:graphic>
          </wp:inline>
        </w:drawing>
      </w:r>
    </w:p>
    <w:p w14:paraId="10510DD7" w14:textId="27EF2C0F" w:rsidR="00977E2D" w:rsidRPr="00AD26E5" w:rsidRDefault="001E4161" w:rsidP="00AD26E5">
      <w:pPr>
        <w:pStyle w:val="TableDescription"/>
      </w:pPr>
      <w:r w:rsidRPr="00AD26E5">
        <w:t>Abbreviations</w:t>
      </w:r>
      <w:r w:rsidR="00977E2D" w:rsidRPr="00AD26E5">
        <w:t>: AE</w:t>
      </w:r>
      <w:r w:rsidRPr="00AD26E5">
        <w:t xml:space="preserve"> </w:t>
      </w:r>
      <w:r w:rsidR="00977E2D" w:rsidRPr="00AD26E5">
        <w:t>=</w:t>
      </w:r>
      <w:r w:rsidRPr="00AD26E5">
        <w:t xml:space="preserve"> a</w:t>
      </w:r>
      <w:r w:rsidR="00977E2D" w:rsidRPr="00AD26E5">
        <w:t>dverse event</w:t>
      </w:r>
      <w:r w:rsidRPr="00AD26E5">
        <w:t>,</w:t>
      </w:r>
      <w:r w:rsidR="00977E2D" w:rsidRPr="00AD26E5">
        <w:t xml:space="preserve"> EOT-DB</w:t>
      </w:r>
      <w:r w:rsidRPr="00AD26E5">
        <w:t xml:space="preserve"> </w:t>
      </w:r>
      <w:r w:rsidR="00977E2D" w:rsidRPr="00AD26E5">
        <w:t>=</w:t>
      </w:r>
      <w:r w:rsidRPr="00AD26E5">
        <w:t xml:space="preserve"> e</w:t>
      </w:r>
      <w:r w:rsidR="00977E2D" w:rsidRPr="00AD26E5">
        <w:t>nd of treatment in double-blind treatment period</w:t>
      </w:r>
      <w:r w:rsidRPr="00AD26E5">
        <w:t>,</w:t>
      </w:r>
      <w:r w:rsidR="00977E2D" w:rsidRPr="00AD26E5">
        <w:t xml:space="preserve"> ERA</w:t>
      </w:r>
      <w:r w:rsidRPr="00AD26E5">
        <w:t xml:space="preserve"> </w:t>
      </w:r>
      <w:r w:rsidR="00977E2D" w:rsidRPr="00AD26E5">
        <w:t>=</w:t>
      </w:r>
      <w:r w:rsidRPr="00AD26E5">
        <w:t xml:space="preserve"> e</w:t>
      </w:r>
      <w:r w:rsidR="00977E2D" w:rsidRPr="00AD26E5">
        <w:t>ndothelin receptor antagonist</w:t>
      </w:r>
      <w:r w:rsidRPr="00AD26E5">
        <w:t xml:space="preserve">, </w:t>
      </w:r>
      <w:r w:rsidR="00977E2D" w:rsidRPr="00AD26E5">
        <w:t>M/T FDC</w:t>
      </w:r>
      <w:r w:rsidRPr="00AD26E5">
        <w:t xml:space="preserve"> </w:t>
      </w:r>
      <w:r w:rsidR="00977E2D" w:rsidRPr="00AD26E5">
        <w:t>=</w:t>
      </w:r>
      <w:r w:rsidRPr="00AD26E5">
        <w:t xml:space="preserve"> m</w:t>
      </w:r>
      <w:r w:rsidR="00977E2D" w:rsidRPr="00AD26E5">
        <w:t>acitentan/tadalafil fixed dose combination</w:t>
      </w:r>
      <w:r w:rsidRPr="00AD26E5">
        <w:t xml:space="preserve">, </w:t>
      </w:r>
      <w:r w:rsidR="00977E2D" w:rsidRPr="00AD26E5">
        <w:t>PDE-5i</w:t>
      </w:r>
      <w:r w:rsidRPr="00AD26E5">
        <w:t xml:space="preserve"> </w:t>
      </w:r>
      <w:r w:rsidR="00977E2D" w:rsidRPr="00AD26E5">
        <w:t>=</w:t>
      </w:r>
      <w:r w:rsidRPr="00AD26E5">
        <w:t xml:space="preserve"> p</w:t>
      </w:r>
      <w:r w:rsidR="00977E2D" w:rsidRPr="00AD26E5">
        <w:t>hosphodiesterase type-5 inhibitor.</w:t>
      </w:r>
    </w:p>
    <w:p w14:paraId="7EF47566" w14:textId="01792A20" w:rsidR="00977E2D" w:rsidRPr="00AD26E5" w:rsidRDefault="00977E2D" w:rsidP="00AD26E5">
      <w:pPr>
        <w:pStyle w:val="TableDescription"/>
      </w:pPr>
      <w:r w:rsidRPr="00AD26E5">
        <w:t>Note: Treatment-emergent period is defined from first intake of study treatment in the double-blind period up to and including</w:t>
      </w:r>
      <w:r w:rsidR="00AF169B" w:rsidRPr="00AD26E5">
        <w:t xml:space="preserve"> </w:t>
      </w:r>
      <w:r w:rsidRPr="00AD26E5">
        <w:t>min</w:t>
      </w:r>
      <w:r w:rsidR="00A90B9F" w:rsidRPr="00AD26E5">
        <w:t xml:space="preserve"> </w:t>
      </w:r>
      <w:r w:rsidRPr="00AD26E5">
        <w:t>(EOT-DB+30 days, start date of open-label treatment).</w:t>
      </w:r>
    </w:p>
    <w:p w14:paraId="1C72817B" w14:textId="6449D7E9" w:rsidR="00977E2D" w:rsidRPr="00AD26E5" w:rsidRDefault="00977E2D" w:rsidP="00AD26E5">
      <w:pPr>
        <w:pStyle w:val="TableDescription"/>
      </w:pPr>
      <w:r w:rsidRPr="00AD26E5">
        <w:t xml:space="preserve">Note: Subjects are counted only once for any given event, regardless of the number of times they </w:t>
      </w:r>
      <w:proofErr w:type="gramStart"/>
      <w:r w:rsidRPr="00AD26E5">
        <w:t>actually experienced</w:t>
      </w:r>
      <w:proofErr w:type="gramEnd"/>
      <w:r w:rsidRPr="00AD26E5">
        <w:t xml:space="preserve"> the</w:t>
      </w:r>
      <w:r w:rsidR="00A90B9F" w:rsidRPr="00AD26E5">
        <w:t xml:space="preserve"> </w:t>
      </w:r>
      <w:r w:rsidRPr="00AD26E5">
        <w:t>event. Adverse events are coded using MedDRA Version 25.0.</w:t>
      </w:r>
    </w:p>
    <w:p w14:paraId="57887056" w14:textId="3F569D1F" w:rsidR="00E13BE5" w:rsidRPr="00AD26E5" w:rsidRDefault="00977E2D" w:rsidP="00AD26E5">
      <w:pPr>
        <w:pStyle w:val="TableDescription"/>
      </w:pPr>
      <w:r w:rsidRPr="00AD26E5">
        <w:t>Note: Treatment-naïve participants randomi</w:t>
      </w:r>
      <w:r w:rsidR="00A90B9F" w:rsidRPr="00AD26E5">
        <w:t>s</w:t>
      </w:r>
      <w:r w:rsidRPr="00AD26E5">
        <w:t xml:space="preserve">ed to M/T FDC are counted in each M/T FDC arm and as such contribute twice </w:t>
      </w:r>
      <w:proofErr w:type="gramStart"/>
      <w:r w:rsidRPr="00AD26E5">
        <w:t>in</w:t>
      </w:r>
      <w:proofErr w:type="gramEnd"/>
      <w:r w:rsidR="00AD26E5" w:rsidRPr="00AD26E5">
        <w:t xml:space="preserve"> </w:t>
      </w:r>
      <w:r w:rsidRPr="00AD26E5">
        <w:t>the display.</w:t>
      </w:r>
    </w:p>
    <w:p w14:paraId="05047013" w14:textId="5305F895" w:rsidR="00185C16" w:rsidRPr="00AD26E5" w:rsidRDefault="00185C16" w:rsidP="00AD26E5">
      <w:r w:rsidRPr="00AD26E5">
        <w:t>During the open</w:t>
      </w:r>
      <w:r w:rsidR="00361F1A">
        <w:t>-</w:t>
      </w:r>
      <w:r w:rsidRPr="00AD26E5">
        <w:t xml:space="preserve">label period there was </w:t>
      </w:r>
      <w:r w:rsidR="00AD26E5">
        <w:t>one</w:t>
      </w:r>
      <w:r w:rsidRPr="00AD26E5">
        <w:t xml:space="preserve"> further death due to right ventricular failure (in addition to the PAH, there was hepatic cirrhosis, portal hypertension with oesophageal varices and acute kidney injury). No new safety signals were observed.</w:t>
      </w:r>
    </w:p>
    <w:p w14:paraId="164C3D81" w14:textId="24CADEF9" w:rsidR="00185C16" w:rsidRPr="00AD26E5" w:rsidRDefault="00185C16" w:rsidP="00AD26E5">
      <w:r w:rsidRPr="00AD26E5">
        <w:t>Four adverse events of specia</w:t>
      </w:r>
      <w:r w:rsidRPr="00A107DE">
        <w:t>l interest (AESI) were</w:t>
      </w:r>
      <w:r w:rsidRPr="00AD26E5">
        <w:t xml:space="preserve"> looked at in the A DUE dataset:</w:t>
      </w:r>
    </w:p>
    <w:p w14:paraId="05E044F9" w14:textId="1A49CBF7" w:rsidR="00185C16" w:rsidRPr="00AD26E5" w:rsidRDefault="00185C16" w:rsidP="00BA7FCC">
      <w:pPr>
        <w:pStyle w:val="ListBullet"/>
      </w:pPr>
      <w:r w:rsidRPr="00AD26E5">
        <w:t xml:space="preserve">Oedema – oedema was observed more frequently with the FDC (20.6%) compared to macitentan (14.3%) and tadalafil (15.9%) during the </w:t>
      </w:r>
      <w:r w:rsidR="00450A99">
        <w:t>double-blind</w:t>
      </w:r>
      <w:r w:rsidRPr="00AD26E5">
        <w:t xml:space="preserve"> period. Most of the oedema was mild to moderate intensity.</w:t>
      </w:r>
    </w:p>
    <w:p w14:paraId="07C2C666" w14:textId="50F60C59" w:rsidR="00185C16" w:rsidRPr="00AD26E5" w:rsidRDefault="35D28AF2" w:rsidP="00450A99">
      <w:pPr>
        <w:pStyle w:val="ListBullet"/>
      </w:pPr>
      <w:r>
        <w:t xml:space="preserve">Anaemia – anaemia and decreased haemoglobin were more frequent with FDC (18.7%) than with macitentan (2.9%) and tadalafil (2.3%) during the </w:t>
      </w:r>
      <w:r w:rsidR="159AC40C">
        <w:t xml:space="preserve">double-blind </w:t>
      </w:r>
      <w:r>
        <w:t xml:space="preserve">period. Most of the anaemia was mild to moderate intensity. </w:t>
      </w:r>
      <w:r w:rsidR="64B3F191">
        <w:t>Two</w:t>
      </w:r>
      <w:r>
        <w:t xml:space="preserve"> participants discontinued treatment due to </w:t>
      </w:r>
      <w:r>
        <w:lastRenderedPageBreak/>
        <w:t>anaemia</w:t>
      </w:r>
      <w:r w:rsidR="7D5C867E">
        <w:t xml:space="preserve"> during the double-blind period</w:t>
      </w:r>
      <w:r>
        <w:t>.</w:t>
      </w:r>
      <w:r w:rsidR="00595D34" w:rsidRPr="00595D34">
        <w:t xml:space="preserve"> One participant discontinued treatment due to anaemia during the open-label period.</w:t>
      </w:r>
    </w:p>
    <w:p w14:paraId="5641E489" w14:textId="2E2F2DD3" w:rsidR="00185C16" w:rsidRPr="004060DF" w:rsidRDefault="00185C16" w:rsidP="004060DF">
      <w:pPr>
        <w:pStyle w:val="ListBullet"/>
      </w:pPr>
      <w:r w:rsidRPr="004060DF">
        <w:t xml:space="preserve">Hypotension – hypotension only occurred in the FDC arm (7.5%) during the </w:t>
      </w:r>
      <w:r w:rsidR="004060DF">
        <w:t>double-blind</w:t>
      </w:r>
      <w:r w:rsidRPr="004060DF">
        <w:t xml:space="preserve"> period and in general was considered manageable.</w:t>
      </w:r>
    </w:p>
    <w:p w14:paraId="38E93F6D" w14:textId="60514969" w:rsidR="00185C16" w:rsidRPr="004060DF" w:rsidRDefault="00185C16" w:rsidP="004060DF">
      <w:pPr>
        <w:pStyle w:val="ListBullet"/>
      </w:pPr>
      <w:r w:rsidRPr="004060DF">
        <w:t xml:space="preserve">Hepatic events – liver aminotransferase elevation occurred in FDC (0.9%), macitentan (2.9%) and tadalafil (9.1%) arms during the </w:t>
      </w:r>
      <w:r w:rsidR="005353A0">
        <w:t>double-blind</w:t>
      </w:r>
      <w:r w:rsidRPr="004060DF">
        <w:t xml:space="preserve"> period and led to </w:t>
      </w:r>
      <w:r w:rsidR="005353A0">
        <w:t>two</w:t>
      </w:r>
      <w:r w:rsidRPr="004060DF">
        <w:t xml:space="preserve"> participants discontinuing treatment. No Hy’s cases were reported. In the </w:t>
      </w:r>
      <w:r w:rsidR="005353A0">
        <w:t>open-label</w:t>
      </w:r>
      <w:r w:rsidRPr="004060DF">
        <w:t xml:space="preserve"> period, hepatic AESI occurred at a frequency of 4.9%.</w:t>
      </w:r>
    </w:p>
    <w:p w14:paraId="67330266" w14:textId="52D7CC91" w:rsidR="00185C16" w:rsidRPr="006C5933" w:rsidRDefault="35D28AF2" w:rsidP="006C5933">
      <w:r w:rsidRPr="006C5933">
        <w:t xml:space="preserve">Cardiac disorders were considered as an additional </w:t>
      </w:r>
      <w:r w:rsidR="649E9A0A">
        <w:t>adverse event of interest</w:t>
      </w:r>
      <w:r w:rsidRPr="006C5933">
        <w:t xml:space="preserve">. Cardiac disorders were reported more frequently with the FDC (15%) than macitentan (5.7%) and tadalafil (9.1%) during the </w:t>
      </w:r>
      <w:r w:rsidR="3856ED64">
        <w:t>double</w:t>
      </w:r>
      <w:r w:rsidR="00056A5A">
        <w:noBreakHyphen/>
      </w:r>
      <w:r w:rsidR="3856ED64">
        <w:t>blind</w:t>
      </w:r>
      <w:r w:rsidRPr="006C5933">
        <w:t xml:space="preserve"> period. This was driven by AEs of cardiac failure, which occurred within one month of treatment initiation </w:t>
      </w:r>
      <w:r w:rsidR="10ACABCD">
        <w:t xml:space="preserve">and </w:t>
      </w:r>
      <w:r w:rsidRPr="006C5933">
        <w:t xml:space="preserve">were generally manageable. These AEs tended to occur in participants 65 years or older, treatment naïve and with pre-existing relevant comorbidities. Participants transitioning from monotherapy to FDC (during </w:t>
      </w:r>
      <w:proofErr w:type="gramStart"/>
      <w:r w:rsidR="5E0F8306" w:rsidRPr="006C5933">
        <w:t>open</w:t>
      </w:r>
      <w:r w:rsidR="7B87CFDD">
        <w:t>-</w:t>
      </w:r>
      <w:r w:rsidR="5E0F8306">
        <w:t>label</w:t>
      </w:r>
      <w:proofErr w:type="gramEnd"/>
      <w:r w:rsidRPr="006C5933">
        <w:t>) experienced an incidence of</w:t>
      </w:r>
      <w:r w:rsidR="65F38AF6">
        <w:t xml:space="preserve"> 2.</w:t>
      </w:r>
      <w:r w:rsidR="14BCC60D">
        <w:t>6</w:t>
      </w:r>
      <w:r w:rsidR="65F38AF6">
        <w:t>%</w:t>
      </w:r>
      <w:r w:rsidRPr="006C5933">
        <w:t xml:space="preserve"> </w:t>
      </w:r>
      <w:r w:rsidR="368097DC">
        <w:t xml:space="preserve">of </w:t>
      </w:r>
      <w:r w:rsidRPr="006C5933">
        <w:t>these AEs.</w:t>
      </w:r>
    </w:p>
    <w:p w14:paraId="543E3235" w14:textId="22F57B66" w:rsidR="00185C16" w:rsidRPr="006C5933" w:rsidRDefault="00185C16" w:rsidP="006C5933">
      <w:r>
        <w:t xml:space="preserve">Menstrual disorders were considered as an additional </w:t>
      </w:r>
      <w:r w:rsidR="1D622DC9">
        <w:t>adverse event of interest</w:t>
      </w:r>
      <w:r>
        <w:t>. Amongst female participants, menstrual disorders were more frequent (driven by menstrual/vaginal haemorrhage) with the FDC (6.1%) than with macitentan (3.4%) or tadalafil (2.9%) monotherapies. Participants with these AEs generally had additional risk factors for menstrual disorders. Menstrual disorders were reported infrequently during the open</w:t>
      </w:r>
      <w:r w:rsidR="00F225E6">
        <w:t>-</w:t>
      </w:r>
      <w:r>
        <w:t>label period of A</w:t>
      </w:r>
      <w:r w:rsidR="00A1683D">
        <w:t> </w:t>
      </w:r>
      <w:r>
        <w:t>DUE and were mainly heavy or abnormal menstrual bleeding.</w:t>
      </w:r>
      <w:r w:rsidR="00A1683D">
        <w:t xml:space="preserve"> </w:t>
      </w:r>
      <w:r>
        <w:t>The frequency and nature of menstrual disorders in A DUE was consistent with the supportive trials that utilised the loose combination of macitentan and tadalafil.</w:t>
      </w:r>
    </w:p>
    <w:p w14:paraId="71190C65" w14:textId="77777777" w:rsidR="00185C16" w:rsidRPr="00805250" w:rsidRDefault="00185C16" w:rsidP="00805250">
      <w:r w:rsidRPr="00805250">
        <w:t>The supportive studies were a combination of clinical trials and observational studies, summarised as follows:</w:t>
      </w:r>
    </w:p>
    <w:p w14:paraId="68FD632B" w14:textId="704770A3" w:rsidR="00185C16" w:rsidRPr="00805250" w:rsidRDefault="00185C16" w:rsidP="00805250">
      <w:pPr>
        <w:pStyle w:val="ListBullet"/>
      </w:pPr>
      <w:r w:rsidRPr="00805250">
        <w:t xml:space="preserve">TRITON – </w:t>
      </w:r>
      <w:r w:rsidR="00805250">
        <w:t>P</w:t>
      </w:r>
      <w:r w:rsidRPr="00805250">
        <w:t xml:space="preserve">hase </w:t>
      </w:r>
      <w:proofErr w:type="spellStart"/>
      <w:r w:rsidR="00805250">
        <w:t>III</w:t>
      </w:r>
      <w:r w:rsidRPr="00805250">
        <w:t>b</w:t>
      </w:r>
      <w:proofErr w:type="spellEnd"/>
      <w:r w:rsidRPr="00805250">
        <w:t xml:space="preserve"> </w:t>
      </w:r>
      <w:r w:rsidR="00B52219">
        <w:t>randomised controlled trial</w:t>
      </w:r>
      <w:r w:rsidRPr="00805250">
        <w:t xml:space="preserve"> which included a macitentan 10</w:t>
      </w:r>
      <w:r w:rsidR="00B52219">
        <w:t> </w:t>
      </w:r>
      <w:r w:rsidRPr="00805250">
        <w:t>mg/</w:t>
      </w:r>
      <w:r w:rsidR="00B52219">
        <w:t xml:space="preserve"> </w:t>
      </w:r>
      <w:r w:rsidRPr="00805250">
        <w:t>tadalafil 40</w:t>
      </w:r>
      <w:r w:rsidR="00B52219">
        <w:t> </w:t>
      </w:r>
      <w:r w:rsidRPr="00805250">
        <w:t>mg arm.</w:t>
      </w:r>
    </w:p>
    <w:p w14:paraId="5BD258CA" w14:textId="50971F72" w:rsidR="00185C16" w:rsidRPr="00805250" w:rsidRDefault="00185C16" w:rsidP="00805250">
      <w:pPr>
        <w:pStyle w:val="ListBullet"/>
      </w:pPr>
      <w:r w:rsidRPr="00805250">
        <w:t xml:space="preserve">SYMPHONY – </w:t>
      </w:r>
      <w:r w:rsidR="00B52219">
        <w:t>P</w:t>
      </w:r>
      <w:r w:rsidRPr="00805250">
        <w:t xml:space="preserve">hase </w:t>
      </w:r>
      <w:proofErr w:type="spellStart"/>
      <w:r w:rsidR="00B52219">
        <w:t>III</w:t>
      </w:r>
      <w:r w:rsidRPr="00805250">
        <w:t>b</w:t>
      </w:r>
      <w:proofErr w:type="spellEnd"/>
      <w:r w:rsidRPr="00805250">
        <w:t xml:space="preserve"> open</w:t>
      </w:r>
      <w:r w:rsidR="00361F1A">
        <w:t>-</w:t>
      </w:r>
      <w:r w:rsidRPr="00805250">
        <w:t>label study of macitentan 10</w:t>
      </w:r>
      <w:r w:rsidR="00632A68">
        <w:t> </w:t>
      </w:r>
      <w:r w:rsidRPr="00805250">
        <w:t>mg in which a proportion of participants were receiving background tadalafil therapy.</w:t>
      </w:r>
    </w:p>
    <w:p w14:paraId="2FA51400" w14:textId="5F8A9E54" w:rsidR="00185C16" w:rsidRPr="00805250" w:rsidRDefault="00185C16" w:rsidP="00805250">
      <w:pPr>
        <w:pStyle w:val="ListBullet"/>
      </w:pPr>
      <w:r w:rsidRPr="00805250">
        <w:t xml:space="preserve">ORCHESTRA – </w:t>
      </w:r>
      <w:r w:rsidR="00632A68">
        <w:t>P</w:t>
      </w:r>
      <w:r w:rsidRPr="00805250">
        <w:t xml:space="preserve">hase </w:t>
      </w:r>
      <w:proofErr w:type="spellStart"/>
      <w:r w:rsidR="00632A68">
        <w:t>III</w:t>
      </w:r>
      <w:r w:rsidRPr="00805250">
        <w:t>b</w:t>
      </w:r>
      <w:proofErr w:type="spellEnd"/>
      <w:r w:rsidRPr="00805250">
        <w:t xml:space="preserve"> open</w:t>
      </w:r>
      <w:r w:rsidR="00361F1A">
        <w:t>-</w:t>
      </w:r>
      <w:r w:rsidRPr="00805250">
        <w:t>label study of macitentan 10</w:t>
      </w:r>
      <w:r w:rsidR="00632A68">
        <w:t> </w:t>
      </w:r>
      <w:r w:rsidRPr="00805250">
        <w:t>mg in which a proportion of participants were receiving background tadalafil therapy.</w:t>
      </w:r>
    </w:p>
    <w:p w14:paraId="6AFD1CF0" w14:textId="7779C6F5" w:rsidR="00185C16" w:rsidRPr="00805250" w:rsidRDefault="00185C16" w:rsidP="00805250">
      <w:pPr>
        <w:pStyle w:val="ListBullet"/>
      </w:pPr>
      <w:r w:rsidRPr="00805250">
        <w:t xml:space="preserve">REPAIR – </w:t>
      </w:r>
      <w:r w:rsidR="00632A68">
        <w:t>P</w:t>
      </w:r>
      <w:r w:rsidRPr="00805250">
        <w:t xml:space="preserve">hase </w:t>
      </w:r>
      <w:r w:rsidR="00632A68">
        <w:t>IV</w:t>
      </w:r>
      <w:r w:rsidRPr="00805250">
        <w:t xml:space="preserve"> open</w:t>
      </w:r>
      <w:r w:rsidR="00361F1A">
        <w:t>-</w:t>
      </w:r>
      <w:r w:rsidRPr="00805250">
        <w:t>label study of macitentan 10</w:t>
      </w:r>
      <w:r w:rsidR="00632A68">
        <w:t> </w:t>
      </w:r>
      <w:r w:rsidRPr="00805250">
        <w:t>mg in which a proportion of participants were receiving background tadalafil therapy.</w:t>
      </w:r>
    </w:p>
    <w:p w14:paraId="0B4C1455" w14:textId="6705F867" w:rsidR="00185C16" w:rsidRPr="00805250" w:rsidRDefault="00185C16" w:rsidP="00805250">
      <w:pPr>
        <w:pStyle w:val="ListBullet"/>
      </w:pPr>
      <w:r w:rsidRPr="00805250">
        <w:t>OPUS/</w:t>
      </w:r>
      <w:proofErr w:type="spellStart"/>
      <w:r w:rsidRPr="00805250">
        <w:t>OrPHeUS</w:t>
      </w:r>
      <w:proofErr w:type="spellEnd"/>
      <w:r w:rsidRPr="00805250">
        <w:t xml:space="preserve"> – drug registry of new macitentan users in the US</w:t>
      </w:r>
      <w:r w:rsidR="003E5937">
        <w:t>A</w:t>
      </w:r>
      <w:r w:rsidRPr="00805250">
        <w:t>, some of whom were treated concomitantly with tadalafil.</w:t>
      </w:r>
    </w:p>
    <w:p w14:paraId="00B4BF26" w14:textId="61D694E9" w:rsidR="00185C16" w:rsidRPr="00805250" w:rsidRDefault="00185C16" w:rsidP="00805250">
      <w:pPr>
        <w:pStyle w:val="ListBullet"/>
      </w:pPr>
      <w:r w:rsidRPr="00805250">
        <w:t>EXPOSURE – observational cohort study of patients with PAH newly treated with PAH</w:t>
      </w:r>
      <w:r w:rsidR="00200800">
        <w:t xml:space="preserve"> </w:t>
      </w:r>
      <w:r w:rsidRPr="00805250">
        <w:t>specific drug therapy, some of whom were using combination macitentan and tadalafil.</w:t>
      </w:r>
    </w:p>
    <w:p w14:paraId="3115C61C" w14:textId="4A9CABC0" w:rsidR="00185C16" w:rsidRPr="00200800" w:rsidRDefault="00185C16" w:rsidP="00200800">
      <w:r w:rsidRPr="00200800">
        <w:t>The supportive studies generally showed safety results consistent with the A DUE study. The most frequent AEs seen were headache, oedema and gastrointestinal A</w:t>
      </w:r>
      <w:r w:rsidR="00E740C5">
        <w:t>E</w:t>
      </w:r>
      <w:r w:rsidRPr="00200800">
        <w:t>s. Vasodilatory A</w:t>
      </w:r>
      <w:r w:rsidR="00BE710B">
        <w:t>E</w:t>
      </w:r>
      <w:r w:rsidRPr="00200800">
        <w:t>s and A</w:t>
      </w:r>
      <w:r w:rsidR="00BE710B">
        <w:t>E</w:t>
      </w:r>
      <w:r w:rsidRPr="00200800">
        <w:t>s associated with tadalafil (back pain, myalgia, arthralgia) were frequently reported.</w:t>
      </w:r>
    </w:p>
    <w:p w14:paraId="2B5DE795" w14:textId="40FD408B" w:rsidR="00185C16" w:rsidRPr="00200800" w:rsidRDefault="00185C16" w:rsidP="00200800">
      <w:r w:rsidRPr="00200800">
        <w:t>In the OPUS observational study (n</w:t>
      </w:r>
      <w:r w:rsidR="005B77D3">
        <w:t> </w:t>
      </w:r>
      <w:r w:rsidRPr="00200800">
        <w:t>=</w:t>
      </w:r>
      <w:r w:rsidR="005B77D3">
        <w:t> </w:t>
      </w:r>
      <w:r w:rsidRPr="00200800">
        <w:t>604), events reported with a frequency &gt;</w:t>
      </w:r>
      <w:r w:rsidR="005B77D3">
        <w:t> </w:t>
      </w:r>
      <w:r w:rsidRPr="00200800">
        <w:t xml:space="preserve">10% were dyspnoea (21.2%), headache (12.3%) and nausea (10.9%). </w:t>
      </w:r>
      <w:r w:rsidR="005B77D3">
        <w:t>Adverse events</w:t>
      </w:r>
      <w:r w:rsidRPr="00200800">
        <w:t xml:space="preserve"> reported with a frequency &gt;</w:t>
      </w:r>
      <w:r w:rsidR="005B77D3">
        <w:t> </w:t>
      </w:r>
      <w:r w:rsidRPr="00200800">
        <w:t xml:space="preserve">5% were diarrhea (9.8%), peripheral oedema (9.6%), dizziness (8.1%), anaemia (7.8%), cough (7.6%), hypoxia (7.6%), pneumonia (7.1%), fatigue (6.6%), oedema (6.3%), </w:t>
      </w:r>
      <w:r w:rsidRPr="00200800">
        <w:lastRenderedPageBreak/>
        <w:t>vomiting (6.3%), condition aggravated (6.0%), chest pain (5.8%), hypervolemia (5.8%), nasal congestion (5.6%), and pyrexia (5.1%).</w:t>
      </w:r>
    </w:p>
    <w:p w14:paraId="208692E8" w14:textId="44D6D963" w:rsidR="00185C16" w:rsidRPr="008F40E2" w:rsidRDefault="00F32018" w:rsidP="008F40E2">
      <w:r>
        <w:t>D</w:t>
      </w:r>
      <w:r w:rsidR="00185C16" w:rsidRPr="005B77D3">
        <w:t>uring the double</w:t>
      </w:r>
      <w:r w:rsidR="00EF3E88">
        <w:t>-</w:t>
      </w:r>
      <w:r w:rsidR="00185C16" w:rsidRPr="005B77D3">
        <w:t>blind period AEs were more frequent in participants ≥</w:t>
      </w:r>
      <w:r w:rsidR="00EF3E88">
        <w:t> </w:t>
      </w:r>
      <w:r w:rsidR="00185C16" w:rsidRPr="005B77D3">
        <w:t>65 years old (n</w:t>
      </w:r>
      <w:r w:rsidR="00EF3E88">
        <w:t> </w:t>
      </w:r>
      <w:r w:rsidR="00185C16" w:rsidRPr="005B77D3">
        <w:t>=</w:t>
      </w:r>
      <w:r w:rsidR="00EF3E88">
        <w:t> </w:t>
      </w:r>
      <w:r w:rsidR="00185C16" w:rsidRPr="005B77D3">
        <w:t xml:space="preserve">20), </w:t>
      </w:r>
      <w:proofErr w:type="gramStart"/>
      <w:r w:rsidR="00185C16" w:rsidRPr="005B77D3">
        <w:t>in particular peripheral</w:t>
      </w:r>
      <w:proofErr w:type="gramEnd"/>
      <w:r w:rsidR="00185C16" w:rsidRPr="005B77D3">
        <w:t xml:space="preserve"> oedema, anaemia and headache.</w:t>
      </w:r>
    </w:p>
    <w:p w14:paraId="2F54408F" w14:textId="73258726" w:rsidR="00C22214" w:rsidRDefault="008C49C6" w:rsidP="00E905B0">
      <w:pPr>
        <w:pStyle w:val="Heading4"/>
      </w:pPr>
      <w:bookmarkStart w:id="43" w:name="_Toc201577347"/>
      <w:bookmarkStart w:id="44" w:name="_Toc314842514"/>
      <w:r>
        <w:t>R</w:t>
      </w:r>
      <w:r w:rsidR="00C22214" w:rsidRPr="007B6132">
        <w:t>ecommendation</w:t>
      </w:r>
      <w:r>
        <w:t xml:space="preserve"> following the clinical evaluation</w:t>
      </w:r>
      <w:bookmarkEnd w:id="43"/>
    </w:p>
    <w:p w14:paraId="399250E7" w14:textId="22F9DA6C" w:rsidR="007437E7" w:rsidRPr="007437E7" w:rsidRDefault="007437E7" w:rsidP="007437E7">
      <w:r w:rsidRPr="007437E7">
        <w:t xml:space="preserve">The </w:t>
      </w:r>
      <w:r>
        <w:t xml:space="preserve">clinical evaluation </w:t>
      </w:r>
      <w:r w:rsidRPr="007437E7">
        <w:t>support</w:t>
      </w:r>
      <w:r w:rsidR="00BA602F">
        <w:t>ed</w:t>
      </w:r>
      <w:r w:rsidRPr="007437E7">
        <w:t xml:space="preserve"> registration of the FDC as a long</w:t>
      </w:r>
      <w:r w:rsidR="00F32018">
        <w:t>-</w:t>
      </w:r>
      <w:r w:rsidRPr="007437E7">
        <w:t xml:space="preserve">term treatment for adults who are stabilised on both </w:t>
      </w:r>
      <w:r w:rsidR="00D93F10">
        <w:t xml:space="preserve">macitentan and tadalafil </w:t>
      </w:r>
      <w:r w:rsidRPr="007437E7">
        <w:t xml:space="preserve">as individual </w:t>
      </w:r>
      <w:r w:rsidR="00D93F10">
        <w:t>treatment</w:t>
      </w:r>
      <w:r w:rsidRPr="007437E7">
        <w:t>s at the relevant doses. The benefits in terms of adherence are both not immediately obvious (for example, only reducing tablet burden by two tablets), not supported by any direct data, and balanced by risks such as the inability to modify each component drug (</w:t>
      </w:r>
      <w:r w:rsidR="00B30A75">
        <w:t>for example,</w:t>
      </w:r>
      <w:r w:rsidRPr="007437E7">
        <w:t xml:space="preserve"> temporarily during an acute infection or more long term in case of intolerable adverse effects at the FDC doses). The dossier contained evidence suggesting a worsened safety profile with combination therapy, although this would also occur with use of the loose combination.</w:t>
      </w:r>
    </w:p>
    <w:p w14:paraId="3A7C7953" w14:textId="1C4A4AED" w:rsidR="007437E7" w:rsidRPr="007437E7" w:rsidRDefault="007437E7" w:rsidP="007437E7">
      <w:r w:rsidRPr="007437E7">
        <w:t>Overall, the evaluat</w:t>
      </w:r>
      <w:r w:rsidR="00E70C90">
        <w:t>ion</w:t>
      </w:r>
      <w:r w:rsidRPr="007437E7">
        <w:t xml:space="preserve"> supported a substitution indication for macitentan 10</w:t>
      </w:r>
      <w:r w:rsidR="00E70C90">
        <w:t> </w:t>
      </w:r>
      <w:r w:rsidRPr="007437E7">
        <w:t>mg/tadalafil 40</w:t>
      </w:r>
      <w:r w:rsidR="00E70C90">
        <w:t> </w:t>
      </w:r>
      <w:r w:rsidRPr="007437E7">
        <w:t>mg FDC for the maintenance treatment of pulmonary arterial hypertension (PAH, World Health Organi</w:t>
      </w:r>
      <w:r w:rsidR="0021721E">
        <w:t>z</w:t>
      </w:r>
      <w:r w:rsidRPr="007437E7">
        <w:t>ation [WHO] Group 1) in adult patients of WHO functional class (FC) II, III who are on stable doses of macitentan 10</w:t>
      </w:r>
      <w:r w:rsidR="00E70C90">
        <w:t> </w:t>
      </w:r>
      <w:r w:rsidRPr="007437E7">
        <w:t>mg and tadalafil 40</w:t>
      </w:r>
      <w:r w:rsidR="00E70C90">
        <w:t> </w:t>
      </w:r>
      <w:r w:rsidRPr="007437E7">
        <w:t>mg (20</w:t>
      </w:r>
      <w:r w:rsidR="00E70C90">
        <w:t> </w:t>
      </w:r>
      <w:r w:rsidRPr="007437E7">
        <w:t xml:space="preserve">mg x 2) as separate tablets. From the evidence submitted the only evidence-based Group 1 subtypes would be the idiopathic, heritable, </w:t>
      </w:r>
      <w:r w:rsidR="000C715F">
        <w:t>connective tissue disease</w:t>
      </w:r>
      <w:r w:rsidRPr="007437E7">
        <w:t xml:space="preserve">, congenital heart disease groups </w:t>
      </w:r>
      <w:r w:rsidR="00956F88">
        <w:t>that is,</w:t>
      </w:r>
      <w:r w:rsidRPr="007437E7">
        <w:t xml:space="preserve"> the same as the Canadian indication.</w:t>
      </w:r>
    </w:p>
    <w:p w14:paraId="2858B006" w14:textId="2E2C272D" w:rsidR="00C22214" w:rsidRDefault="00544F90" w:rsidP="00C22214">
      <w:pPr>
        <w:pStyle w:val="Heading3"/>
        <w:rPr>
          <w:lang w:eastAsia="en-AU"/>
        </w:rPr>
      </w:pPr>
      <w:bookmarkStart w:id="45" w:name="_Toc201577348"/>
      <w:bookmarkEnd w:id="44"/>
      <w:r w:rsidRPr="00544F90">
        <w:rPr>
          <w:lang w:eastAsia="en-AU"/>
        </w:rPr>
        <w:t>Risk management plan</w:t>
      </w:r>
      <w:bookmarkEnd w:id="45"/>
    </w:p>
    <w:p w14:paraId="3D06D2AC" w14:textId="5FA7E1F6" w:rsidR="00E86B3D" w:rsidRPr="00D024AA" w:rsidRDefault="00E86B3D" w:rsidP="00D024AA">
      <w:bookmarkStart w:id="46" w:name="_Toc247691531"/>
      <w:bookmarkStart w:id="47" w:name="_Toc314842515"/>
      <w:r w:rsidRPr="00D024AA">
        <w:t xml:space="preserve">Janssen-Cilag Pty </w:t>
      </w:r>
      <w:r w:rsidRPr="00625EC4">
        <w:t>Ltd has submitted EU</w:t>
      </w:r>
      <w:r w:rsidR="00726A35" w:rsidRPr="00625EC4">
        <w:t xml:space="preserve"> risk management plan (</w:t>
      </w:r>
      <w:r w:rsidRPr="00625EC4">
        <w:t>RMP</w:t>
      </w:r>
      <w:r w:rsidR="00726A35" w:rsidRPr="00625EC4">
        <w:t>)</w:t>
      </w:r>
      <w:r w:rsidRPr="00625EC4">
        <w:t xml:space="preserve"> version 1.1 (dated 15</w:t>
      </w:r>
      <w:r w:rsidR="00726A35" w:rsidRPr="00625EC4">
        <w:t> </w:t>
      </w:r>
      <w:r w:rsidRPr="00625EC4">
        <w:t>June</w:t>
      </w:r>
      <w:r w:rsidR="00726A35" w:rsidRPr="00625EC4">
        <w:t> </w:t>
      </w:r>
      <w:r w:rsidRPr="00625EC4">
        <w:t xml:space="preserve">2023; </w:t>
      </w:r>
      <w:r w:rsidR="00726A35" w:rsidRPr="00625EC4">
        <w:t>data lock point (</w:t>
      </w:r>
      <w:r w:rsidRPr="00625EC4">
        <w:t>DLP</w:t>
      </w:r>
      <w:r w:rsidR="00726A35" w:rsidRPr="00625EC4">
        <w:t>)</w:t>
      </w:r>
      <w:r w:rsidRPr="00625EC4">
        <w:t xml:space="preserve"> 05 February 2023) and </w:t>
      </w:r>
      <w:r w:rsidR="00726A35" w:rsidRPr="00625EC4">
        <w:t>Aust</w:t>
      </w:r>
      <w:r w:rsidR="00CD464B" w:rsidRPr="00625EC4">
        <w:t>ralia</w:t>
      </w:r>
      <w:r w:rsidR="00625EC4" w:rsidRPr="00625EC4">
        <w:t>-</w:t>
      </w:r>
      <w:r w:rsidR="00CD464B" w:rsidRPr="00625EC4">
        <w:t>specific annex (</w:t>
      </w:r>
      <w:r w:rsidRPr="00625EC4">
        <w:t>ASA</w:t>
      </w:r>
      <w:r w:rsidR="00CD464B" w:rsidRPr="00625EC4">
        <w:t>)</w:t>
      </w:r>
      <w:r w:rsidRPr="00625EC4">
        <w:t xml:space="preserve"> version 1.0 (dated 21 August 2023) in support of this application.</w:t>
      </w:r>
    </w:p>
    <w:p w14:paraId="49CCD7D1" w14:textId="0D980BEB" w:rsidR="00E86B3D" w:rsidRPr="00D024AA" w:rsidRDefault="00E86B3D" w:rsidP="00D024AA">
      <w:r w:rsidRPr="00D024AA">
        <w:t xml:space="preserve">In </w:t>
      </w:r>
      <w:r w:rsidR="00CD464B">
        <w:t>the response to TGA questions</w:t>
      </w:r>
      <w:r w:rsidRPr="00D024AA">
        <w:t>, the sponsor has submitted EU-RMP version 1.2 (dated 13</w:t>
      </w:r>
      <w:r w:rsidR="00CD464B">
        <w:t> </w:t>
      </w:r>
      <w:r w:rsidRPr="00D024AA">
        <w:t>February</w:t>
      </w:r>
      <w:r w:rsidR="00CD464B">
        <w:t> </w:t>
      </w:r>
      <w:r w:rsidRPr="00D024AA">
        <w:t>2024; DLP 5 February 2023) in association with ASA version 2.0 (dated 20</w:t>
      </w:r>
      <w:r w:rsidR="00CD464B">
        <w:t> </w:t>
      </w:r>
      <w:r w:rsidRPr="00D024AA">
        <w:t>March</w:t>
      </w:r>
      <w:r w:rsidR="00CD464B">
        <w:t> </w:t>
      </w:r>
      <w:r w:rsidRPr="00D024AA">
        <w:t>2024) in support of this application.</w:t>
      </w:r>
    </w:p>
    <w:p w14:paraId="339E2A50" w14:textId="7CAF41CF" w:rsidR="00D024AA" w:rsidRPr="00BD5DBD" w:rsidRDefault="00D024AA" w:rsidP="00D024AA">
      <w:pPr>
        <w:rPr>
          <w:szCs w:val="22"/>
        </w:rPr>
      </w:pPr>
      <w:r w:rsidRPr="00BD5DBD">
        <w:rPr>
          <w:szCs w:val="22"/>
        </w:rPr>
        <w:t>The summary of safety concerns and their associated risk monitoring and mitigation strategies are summarised in</w:t>
      </w:r>
      <w:r>
        <w:rPr>
          <w:szCs w:val="22"/>
        </w:rPr>
        <w:t xml:space="preserve"> </w:t>
      </w:r>
      <w:r w:rsidRPr="003B149C">
        <w:rPr>
          <w:szCs w:val="22"/>
        </w:rPr>
        <w:fldChar w:fldCharType="begin"/>
      </w:r>
      <w:r w:rsidRPr="003B149C">
        <w:rPr>
          <w:szCs w:val="22"/>
        </w:rPr>
        <w:instrText xml:space="preserve"> REF _Ref97629131 \h </w:instrText>
      </w:r>
      <w:r>
        <w:rPr>
          <w:szCs w:val="22"/>
        </w:rPr>
        <w:instrText xml:space="preserve"> \* MERGEFORMAT </w:instrText>
      </w:r>
      <w:r w:rsidRPr="003B149C">
        <w:rPr>
          <w:szCs w:val="22"/>
        </w:rPr>
      </w:r>
      <w:r w:rsidRPr="003B149C">
        <w:rPr>
          <w:szCs w:val="22"/>
        </w:rPr>
        <w:fldChar w:fldCharType="separate"/>
      </w:r>
      <w:r w:rsidR="00903514" w:rsidRPr="00903514">
        <w:rPr>
          <w:szCs w:val="22"/>
        </w:rPr>
        <w:t xml:space="preserve">Table </w:t>
      </w:r>
      <w:r w:rsidR="00903514" w:rsidRPr="00903514">
        <w:rPr>
          <w:noProof/>
          <w:szCs w:val="22"/>
        </w:rPr>
        <w:t>7</w:t>
      </w:r>
      <w:r w:rsidRPr="003B149C">
        <w:rPr>
          <w:szCs w:val="22"/>
        </w:rPr>
        <w:fldChar w:fldCharType="end"/>
      </w:r>
      <w:r w:rsidRPr="003B149C">
        <w:rPr>
          <w:szCs w:val="22"/>
        </w:rPr>
        <w:t>.</w:t>
      </w:r>
      <w:r w:rsidRPr="00BD5DBD">
        <w:rPr>
          <w:szCs w:val="22"/>
        </w:rPr>
        <w:t xml:space="preserve"> The TGA may request an updated RMP at any stage of a product's life</w:t>
      </w:r>
      <w:r w:rsidR="0096336C">
        <w:rPr>
          <w:szCs w:val="22"/>
        </w:rPr>
        <w:t xml:space="preserve"> </w:t>
      </w:r>
      <w:r w:rsidRPr="00BD5DBD">
        <w:rPr>
          <w:szCs w:val="22"/>
        </w:rPr>
        <w:t>cycle, during both the pre-approval and post-approval phases.</w:t>
      </w:r>
    </w:p>
    <w:p w14:paraId="5C9C218C" w14:textId="5A9AE087" w:rsidR="00D024AA" w:rsidRDefault="00D024AA" w:rsidP="00D024AA">
      <w:pPr>
        <w:pStyle w:val="TableTitle"/>
      </w:pPr>
      <w:bookmarkStart w:id="48" w:name="_Ref97629131"/>
      <w:r>
        <w:t xml:space="preserve">Table </w:t>
      </w:r>
      <w:r>
        <w:fldChar w:fldCharType="begin"/>
      </w:r>
      <w:r>
        <w:instrText xml:space="preserve"> SEQ Table \* ARABIC </w:instrText>
      </w:r>
      <w:r>
        <w:fldChar w:fldCharType="separate"/>
      </w:r>
      <w:r w:rsidR="00903514">
        <w:rPr>
          <w:noProof/>
        </w:rPr>
        <w:t>7</w:t>
      </w:r>
      <w:r>
        <w:rPr>
          <w:noProof/>
        </w:rPr>
        <w:fldChar w:fldCharType="end"/>
      </w:r>
      <w:bookmarkEnd w:id="48"/>
      <w:r>
        <w:t>: Summary of safety concerns</w:t>
      </w:r>
    </w:p>
    <w:tbl>
      <w:tblPr>
        <w:tblStyle w:val="TableTGAblue2023"/>
        <w:tblW w:w="9469" w:type="dxa"/>
        <w:tblLayout w:type="fixed"/>
        <w:tblLook w:val="04A0" w:firstRow="1" w:lastRow="0" w:firstColumn="1" w:lastColumn="0" w:noHBand="0" w:noVBand="1"/>
      </w:tblPr>
      <w:tblGrid>
        <w:gridCol w:w="1413"/>
        <w:gridCol w:w="3544"/>
        <w:gridCol w:w="992"/>
        <w:gridCol w:w="1276"/>
        <w:gridCol w:w="992"/>
        <w:gridCol w:w="1252"/>
      </w:tblGrid>
      <w:tr w:rsidR="00263DD1" w:rsidRPr="00001DF6" w14:paraId="21D7521A" w14:textId="77777777" w:rsidTr="00437BAD">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623ABEA6" w14:textId="77777777" w:rsidR="00263DD1" w:rsidRPr="00D9182D" w:rsidRDefault="00263DD1" w:rsidP="00437BAD">
            <w:pPr>
              <w:rPr>
                <w:b w:val="0"/>
              </w:rPr>
            </w:pPr>
            <w:r w:rsidRPr="00D9182D">
              <w:t>Summary of safety concerns</w:t>
            </w:r>
          </w:p>
        </w:tc>
        <w:tc>
          <w:tcPr>
            <w:tcW w:w="2268" w:type="dxa"/>
            <w:gridSpan w:val="2"/>
          </w:tcPr>
          <w:p w14:paraId="02B0DEDE" w14:textId="77777777" w:rsidR="00263DD1" w:rsidRPr="00D9182D" w:rsidRDefault="00263DD1" w:rsidP="00437BAD">
            <w:pPr>
              <w:cnfStyle w:val="100000000000" w:firstRow="1" w:lastRow="0" w:firstColumn="0" w:lastColumn="0" w:oddVBand="0" w:evenVBand="0" w:oddHBand="0" w:evenHBand="0" w:firstRowFirstColumn="0" w:firstRowLastColumn="0" w:lastRowFirstColumn="0" w:lastRowLastColumn="0"/>
              <w:rPr>
                <w:b w:val="0"/>
              </w:rPr>
            </w:pPr>
            <w:r w:rsidRPr="00D9182D">
              <w:t>Pharmacovigilance</w:t>
            </w:r>
          </w:p>
        </w:tc>
        <w:tc>
          <w:tcPr>
            <w:tcW w:w="2244" w:type="dxa"/>
            <w:gridSpan w:val="2"/>
          </w:tcPr>
          <w:p w14:paraId="5662A817" w14:textId="77777777" w:rsidR="00263DD1" w:rsidRPr="00D9182D" w:rsidRDefault="00263DD1" w:rsidP="00437BAD">
            <w:pPr>
              <w:cnfStyle w:val="100000000000" w:firstRow="1" w:lastRow="0" w:firstColumn="0" w:lastColumn="0" w:oddVBand="0" w:evenVBand="0" w:oddHBand="0" w:evenHBand="0" w:firstRowFirstColumn="0" w:firstRowLastColumn="0" w:lastRowFirstColumn="0" w:lastRowLastColumn="0"/>
              <w:rPr>
                <w:b w:val="0"/>
              </w:rPr>
            </w:pPr>
            <w:r w:rsidRPr="00D9182D">
              <w:t>Risk Minimisation</w:t>
            </w:r>
          </w:p>
        </w:tc>
      </w:tr>
      <w:tr w:rsidR="00263DD1" w:rsidRPr="00001DF6" w14:paraId="609A1927" w14:textId="77777777" w:rsidTr="00437BAD">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5C756E75" w14:textId="77777777" w:rsidR="00263DD1" w:rsidRPr="00D9182D" w:rsidRDefault="00263DD1" w:rsidP="00437BAD"/>
        </w:tc>
        <w:tc>
          <w:tcPr>
            <w:tcW w:w="992" w:type="dxa"/>
            <w:shd w:val="clear" w:color="auto" w:fill="DEEAF6" w:themeFill="accent5" w:themeFillTint="33"/>
          </w:tcPr>
          <w:p w14:paraId="201B757E"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Routine</w:t>
            </w:r>
          </w:p>
        </w:tc>
        <w:tc>
          <w:tcPr>
            <w:tcW w:w="1276" w:type="dxa"/>
            <w:shd w:val="clear" w:color="auto" w:fill="DEEAF6" w:themeFill="accent5" w:themeFillTint="33"/>
          </w:tcPr>
          <w:p w14:paraId="58772755"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Additional</w:t>
            </w:r>
          </w:p>
        </w:tc>
        <w:tc>
          <w:tcPr>
            <w:tcW w:w="992" w:type="dxa"/>
            <w:shd w:val="clear" w:color="auto" w:fill="DEEAF6" w:themeFill="accent5" w:themeFillTint="33"/>
          </w:tcPr>
          <w:p w14:paraId="6E2CC96F"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Routine</w:t>
            </w:r>
          </w:p>
        </w:tc>
        <w:tc>
          <w:tcPr>
            <w:tcW w:w="1252" w:type="dxa"/>
            <w:shd w:val="clear" w:color="auto" w:fill="DEEAF6" w:themeFill="accent5" w:themeFillTint="33"/>
          </w:tcPr>
          <w:p w14:paraId="47389432"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Additional</w:t>
            </w:r>
          </w:p>
        </w:tc>
      </w:tr>
      <w:tr w:rsidR="00263DD1" w:rsidRPr="00001DF6" w14:paraId="427A66AF" w14:textId="77777777" w:rsidTr="00437BAD">
        <w:trPr>
          <w:trHeight w:val="13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2C3E8F4" w14:textId="77777777" w:rsidR="00263DD1" w:rsidRPr="00D9182D" w:rsidRDefault="00263DD1" w:rsidP="00437BAD">
            <w:r w:rsidRPr="00D9182D">
              <w:t>Important identified risks</w:t>
            </w:r>
          </w:p>
        </w:tc>
        <w:tc>
          <w:tcPr>
            <w:tcW w:w="3544" w:type="dxa"/>
          </w:tcPr>
          <w:p w14:paraId="00CC8ED1"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proofErr w:type="spellStart"/>
            <w:r w:rsidRPr="00D9182D">
              <w:t>Anemia</w:t>
            </w:r>
            <w:proofErr w:type="spellEnd"/>
            <w:r w:rsidRPr="00D9182D">
              <w:t xml:space="preserve">/decrease in </w:t>
            </w:r>
            <w:proofErr w:type="spellStart"/>
            <w:r w:rsidRPr="00D9182D">
              <w:t>hemoglobin</w:t>
            </w:r>
            <w:proofErr w:type="spellEnd"/>
            <w:r w:rsidRPr="00D9182D">
              <w:t xml:space="preserve"> concentration</w:t>
            </w:r>
          </w:p>
        </w:tc>
        <w:tc>
          <w:tcPr>
            <w:tcW w:w="992" w:type="dxa"/>
          </w:tcPr>
          <w:p w14:paraId="428FA7EA"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76" w:type="dxa"/>
          </w:tcPr>
          <w:p w14:paraId="1C299A7F"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0318BAF4"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66C8DAAF"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04C23E96" w14:textId="77777777" w:rsidTr="00437BAD">
        <w:trPr>
          <w:trHeight w:val="94"/>
        </w:trPr>
        <w:tc>
          <w:tcPr>
            <w:cnfStyle w:val="001000000000" w:firstRow="0" w:lastRow="0" w:firstColumn="1" w:lastColumn="0" w:oddVBand="0" w:evenVBand="0" w:oddHBand="0" w:evenHBand="0" w:firstRowFirstColumn="0" w:firstRowLastColumn="0" w:lastRowFirstColumn="0" w:lastRowLastColumn="0"/>
            <w:tcW w:w="1413" w:type="dxa"/>
            <w:vMerge/>
          </w:tcPr>
          <w:p w14:paraId="6CC222C2" w14:textId="77777777" w:rsidR="00263DD1" w:rsidRPr="00D9182D" w:rsidRDefault="00263DD1" w:rsidP="00437BAD"/>
        </w:tc>
        <w:tc>
          <w:tcPr>
            <w:tcW w:w="3544" w:type="dxa"/>
          </w:tcPr>
          <w:p w14:paraId="6EBC6ED9"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Hepatotoxicity</w:t>
            </w:r>
          </w:p>
        </w:tc>
        <w:tc>
          <w:tcPr>
            <w:tcW w:w="992" w:type="dxa"/>
          </w:tcPr>
          <w:p w14:paraId="4DF57D22"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c>
          <w:tcPr>
            <w:tcW w:w="1276" w:type="dxa"/>
          </w:tcPr>
          <w:p w14:paraId="5DCE5665"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4FD540C0"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4321DA5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r>
      <w:tr w:rsidR="00263DD1" w:rsidRPr="00001DF6" w14:paraId="1617F48B" w14:textId="77777777" w:rsidTr="00437BAD">
        <w:trPr>
          <w:trHeight w:val="94"/>
        </w:trPr>
        <w:tc>
          <w:tcPr>
            <w:cnfStyle w:val="001000000000" w:firstRow="0" w:lastRow="0" w:firstColumn="1" w:lastColumn="0" w:oddVBand="0" w:evenVBand="0" w:oddHBand="0" w:evenHBand="0" w:firstRowFirstColumn="0" w:firstRowLastColumn="0" w:lastRowFirstColumn="0" w:lastRowLastColumn="0"/>
            <w:tcW w:w="1413" w:type="dxa"/>
            <w:vMerge/>
          </w:tcPr>
          <w:p w14:paraId="2AE7A116" w14:textId="77777777" w:rsidR="00263DD1" w:rsidRPr="00D9182D" w:rsidRDefault="00263DD1" w:rsidP="00437BAD"/>
        </w:tc>
        <w:tc>
          <w:tcPr>
            <w:tcW w:w="3544" w:type="dxa"/>
          </w:tcPr>
          <w:p w14:paraId="131BA35C"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Teratogenicity</w:t>
            </w:r>
          </w:p>
        </w:tc>
        <w:tc>
          <w:tcPr>
            <w:tcW w:w="992" w:type="dxa"/>
          </w:tcPr>
          <w:p w14:paraId="2656B626"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c>
          <w:tcPr>
            <w:tcW w:w="1276" w:type="dxa"/>
          </w:tcPr>
          <w:p w14:paraId="67968C5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1593032F"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c>
          <w:tcPr>
            <w:tcW w:w="1252" w:type="dxa"/>
          </w:tcPr>
          <w:p w14:paraId="43EDD52D"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r>
      <w:tr w:rsidR="00263DD1" w:rsidRPr="00001DF6" w14:paraId="2A018D30" w14:textId="77777777" w:rsidTr="00437BAD">
        <w:trPr>
          <w:trHeight w:val="187"/>
        </w:trPr>
        <w:tc>
          <w:tcPr>
            <w:cnfStyle w:val="001000000000" w:firstRow="0" w:lastRow="0" w:firstColumn="1" w:lastColumn="0" w:oddVBand="0" w:evenVBand="0" w:oddHBand="0" w:evenHBand="0" w:firstRowFirstColumn="0" w:firstRowLastColumn="0" w:lastRowFirstColumn="0" w:lastRowLastColumn="0"/>
            <w:tcW w:w="1413" w:type="dxa"/>
            <w:vMerge/>
          </w:tcPr>
          <w:p w14:paraId="300D4021" w14:textId="77777777" w:rsidR="00263DD1" w:rsidRPr="00D9182D" w:rsidRDefault="00263DD1" w:rsidP="00437BAD"/>
        </w:tc>
        <w:tc>
          <w:tcPr>
            <w:tcW w:w="3544" w:type="dxa"/>
          </w:tcPr>
          <w:p w14:paraId="0761FE5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Hypotension</w:t>
            </w:r>
          </w:p>
        </w:tc>
        <w:tc>
          <w:tcPr>
            <w:tcW w:w="992" w:type="dxa"/>
          </w:tcPr>
          <w:p w14:paraId="55672CF7"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76" w:type="dxa"/>
          </w:tcPr>
          <w:p w14:paraId="7234E601"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7268B23D"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358AD45C"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1027EB8E" w14:textId="77777777" w:rsidTr="00437BAD">
        <w:trPr>
          <w:trHeight w:val="159"/>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8923405" w14:textId="77777777" w:rsidR="00263DD1" w:rsidRPr="00D9182D" w:rsidRDefault="00263DD1" w:rsidP="00437BAD">
            <w:r w:rsidRPr="00D9182D">
              <w:t>Important potential risks</w:t>
            </w:r>
          </w:p>
        </w:tc>
        <w:tc>
          <w:tcPr>
            <w:tcW w:w="3544" w:type="dxa"/>
          </w:tcPr>
          <w:p w14:paraId="3BE26587"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Menstrual disorders (primarily bleeding)</w:t>
            </w:r>
          </w:p>
        </w:tc>
        <w:tc>
          <w:tcPr>
            <w:tcW w:w="992" w:type="dxa"/>
          </w:tcPr>
          <w:p w14:paraId="775DD15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rPr>
                <w:color w:val="00B050"/>
              </w:rPr>
            </w:pPr>
            <w:r w:rsidRPr="00D9182D">
              <w:rPr>
                <w:rFonts w:ascii="Wingdings" w:eastAsia="Wingdings" w:hAnsi="Wingdings" w:cs="Wingdings"/>
              </w:rPr>
              <w:t>ü</w:t>
            </w:r>
            <w:r w:rsidRPr="00D9182D">
              <w:rPr>
                <w:rFonts w:asciiTheme="majorHAnsi" w:hAnsiTheme="majorHAnsi"/>
                <w:vertAlign w:val="superscript"/>
              </w:rPr>
              <w:t>†</w:t>
            </w:r>
          </w:p>
        </w:tc>
        <w:tc>
          <w:tcPr>
            <w:tcW w:w="1276" w:type="dxa"/>
          </w:tcPr>
          <w:p w14:paraId="65350CFC"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3F400EAA"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177F77E9"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08DB024F" w14:textId="77777777" w:rsidTr="00437BAD">
        <w:trPr>
          <w:trHeight w:val="122"/>
        </w:trPr>
        <w:tc>
          <w:tcPr>
            <w:cnfStyle w:val="001000000000" w:firstRow="0" w:lastRow="0" w:firstColumn="1" w:lastColumn="0" w:oddVBand="0" w:evenVBand="0" w:oddHBand="0" w:evenHBand="0" w:firstRowFirstColumn="0" w:firstRowLastColumn="0" w:lastRowFirstColumn="0" w:lastRowLastColumn="0"/>
            <w:tcW w:w="1413" w:type="dxa"/>
            <w:vMerge/>
          </w:tcPr>
          <w:p w14:paraId="66846C1E" w14:textId="77777777" w:rsidR="00263DD1" w:rsidRPr="00D9182D" w:rsidRDefault="00263DD1" w:rsidP="00437BAD"/>
        </w:tc>
        <w:tc>
          <w:tcPr>
            <w:tcW w:w="3544" w:type="dxa"/>
          </w:tcPr>
          <w:p w14:paraId="0134AA52"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Ovarian cysts</w:t>
            </w:r>
          </w:p>
        </w:tc>
        <w:tc>
          <w:tcPr>
            <w:tcW w:w="992" w:type="dxa"/>
          </w:tcPr>
          <w:p w14:paraId="5C76C316"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r w:rsidRPr="00D9182D">
              <w:rPr>
                <w:rFonts w:asciiTheme="majorHAnsi" w:hAnsiTheme="majorHAnsi"/>
                <w:vertAlign w:val="superscript"/>
              </w:rPr>
              <w:t>†</w:t>
            </w:r>
          </w:p>
        </w:tc>
        <w:tc>
          <w:tcPr>
            <w:tcW w:w="1276" w:type="dxa"/>
          </w:tcPr>
          <w:p w14:paraId="5326FEC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1A09112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68E3DE7B"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44AB6C19" w14:textId="77777777" w:rsidTr="00437BAD">
        <w:trPr>
          <w:trHeight w:val="122"/>
        </w:trPr>
        <w:tc>
          <w:tcPr>
            <w:cnfStyle w:val="001000000000" w:firstRow="0" w:lastRow="0" w:firstColumn="1" w:lastColumn="0" w:oddVBand="0" w:evenVBand="0" w:oddHBand="0" w:evenHBand="0" w:firstRowFirstColumn="0" w:firstRowLastColumn="0" w:lastRowFirstColumn="0" w:lastRowLastColumn="0"/>
            <w:tcW w:w="1413" w:type="dxa"/>
            <w:vMerge/>
          </w:tcPr>
          <w:p w14:paraId="54F43A35" w14:textId="77777777" w:rsidR="00263DD1" w:rsidRPr="00D9182D" w:rsidRDefault="00263DD1" w:rsidP="00437BAD"/>
        </w:tc>
        <w:tc>
          <w:tcPr>
            <w:tcW w:w="3544" w:type="dxa"/>
          </w:tcPr>
          <w:p w14:paraId="3869F538"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 xml:space="preserve">Pulmonary </w:t>
            </w:r>
            <w:proofErr w:type="spellStart"/>
            <w:r w:rsidRPr="00D9182D">
              <w:t>edema</w:t>
            </w:r>
            <w:proofErr w:type="spellEnd"/>
            <w:r w:rsidRPr="00D9182D">
              <w:t xml:space="preserve"> associated with PVOD</w:t>
            </w:r>
          </w:p>
        </w:tc>
        <w:tc>
          <w:tcPr>
            <w:tcW w:w="992" w:type="dxa"/>
          </w:tcPr>
          <w:p w14:paraId="53F149BF"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76" w:type="dxa"/>
          </w:tcPr>
          <w:p w14:paraId="6AA70D82"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25BE2E5D"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0C055C1D"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545B8AD1" w14:textId="77777777" w:rsidTr="00437BAD">
        <w:trPr>
          <w:trHeight w:val="112"/>
        </w:trPr>
        <w:tc>
          <w:tcPr>
            <w:cnfStyle w:val="001000000000" w:firstRow="0" w:lastRow="0" w:firstColumn="1" w:lastColumn="0" w:oddVBand="0" w:evenVBand="0" w:oddHBand="0" w:evenHBand="0" w:firstRowFirstColumn="0" w:firstRowLastColumn="0" w:lastRowFirstColumn="0" w:lastRowLastColumn="0"/>
            <w:tcW w:w="1413" w:type="dxa"/>
            <w:vMerge/>
          </w:tcPr>
          <w:p w14:paraId="7F5ED152" w14:textId="77777777" w:rsidR="00263DD1" w:rsidRPr="00D9182D" w:rsidRDefault="00263DD1" w:rsidP="00437BAD"/>
        </w:tc>
        <w:tc>
          <w:tcPr>
            <w:tcW w:w="3544" w:type="dxa"/>
          </w:tcPr>
          <w:p w14:paraId="7391399C"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Testicular disorders and male infertility</w:t>
            </w:r>
          </w:p>
        </w:tc>
        <w:tc>
          <w:tcPr>
            <w:tcW w:w="992" w:type="dxa"/>
          </w:tcPr>
          <w:p w14:paraId="255C1B92"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76" w:type="dxa"/>
          </w:tcPr>
          <w:p w14:paraId="599A7A4B"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c>
          <w:tcPr>
            <w:tcW w:w="992" w:type="dxa"/>
          </w:tcPr>
          <w:p w14:paraId="16526950"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729EE246"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tc>
      </w:tr>
      <w:tr w:rsidR="00263DD1" w:rsidRPr="00001DF6" w14:paraId="1C86D95B" w14:textId="77777777" w:rsidTr="00437BAD">
        <w:trPr>
          <w:trHeight w:val="339"/>
        </w:trPr>
        <w:tc>
          <w:tcPr>
            <w:cnfStyle w:val="001000000000" w:firstRow="0" w:lastRow="0" w:firstColumn="1" w:lastColumn="0" w:oddVBand="0" w:evenVBand="0" w:oddHBand="0" w:evenHBand="0" w:firstRowFirstColumn="0" w:firstRowLastColumn="0" w:lastRowFirstColumn="0" w:lastRowLastColumn="0"/>
            <w:tcW w:w="1413" w:type="dxa"/>
          </w:tcPr>
          <w:p w14:paraId="56E969A3" w14:textId="77777777" w:rsidR="00263DD1" w:rsidRPr="00D9182D" w:rsidRDefault="00263DD1" w:rsidP="00437BAD">
            <w:r w:rsidRPr="00D9182D">
              <w:t>Missing information</w:t>
            </w:r>
          </w:p>
        </w:tc>
        <w:tc>
          <w:tcPr>
            <w:tcW w:w="3544" w:type="dxa"/>
          </w:tcPr>
          <w:p w14:paraId="538679C4"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PAH patients with HIV infection</w:t>
            </w:r>
            <w:r w:rsidRPr="00D9182D">
              <w:rPr>
                <w:rFonts w:asciiTheme="majorHAnsi" w:hAnsiTheme="majorHAnsi"/>
              </w:rPr>
              <w:t>*</w:t>
            </w:r>
          </w:p>
        </w:tc>
        <w:tc>
          <w:tcPr>
            <w:tcW w:w="992" w:type="dxa"/>
          </w:tcPr>
          <w:p w14:paraId="68FA2F17"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rPr>
                <w:color w:val="00B050"/>
              </w:rPr>
            </w:pPr>
            <w:r w:rsidRPr="00D9182D">
              <w:rPr>
                <w:rFonts w:ascii="Wingdings" w:eastAsia="Wingdings" w:hAnsi="Wingdings" w:cs="Wingdings"/>
              </w:rPr>
              <w:t>ü</w:t>
            </w:r>
          </w:p>
        </w:tc>
        <w:tc>
          <w:tcPr>
            <w:tcW w:w="1276" w:type="dxa"/>
          </w:tcPr>
          <w:p w14:paraId="60ED6BDB"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p w14:paraId="0F4F9CFC"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p>
        </w:tc>
        <w:tc>
          <w:tcPr>
            <w:tcW w:w="992" w:type="dxa"/>
          </w:tcPr>
          <w:p w14:paraId="7C461CA6"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rPr>
                <w:rFonts w:ascii="Wingdings" w:eastAsia="Wingdings" w:hAnsi="Wingdings" w:cs="Wingdings"/>
              </w:rPr>
              <w:t>ü</w:t>
            </w:r>
          </w:p>
        </w:tc>
        <w:tc>
          <w:tcPr>
            <w:tcW w:w="1252" w:type="dxa"/>
          </w:tcPr>
          <w:p w14:paraId="28C619D9"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r w:rsidRPr="00D9182D">
              <w:t>–</w:t>
            </w:r>
          </w:p>
          <w:p w14:paraId="52DA51F4" w14:textId="77777777" w:rsidR="00263DD1" w:rsidRPr="00D9182D" w:rsidRDefault="00263DD1" w:rsidP="00437BAD">
            <w:pPr>
              <w:cnfStyle w:val="000000000000" w:firstRow="0" w:lastRow="0" w:firstColumn="0" w:lastColumn="0" w:oddVBand="0" w:evenVBand="0" w:oddHBand="0" w:evenHBand="0" w:firstRowFirstColumn="0" w:firstRowLastColumn="0" w:lastRowFirstColumn="0" w:lastRowLastColumn="0"/>
            </w:pPr>
          </w:p>
        </w:tc>
      </w:tr>
    </w:tbl>
    <w:p w14:paraId="49DA8BD0" w14:textId="7423EE1B" w:rsidR="00E86B3D" w:rsidRPr="00D9182D" w:rsidRDefault="1B389F57" w:rsidP="00D9182D">
      <w:pPr>
        <w:pStyle w:val="TableDescription"/>
      </w:pPr>
      <w:r>
        <w:t>*</w:t>
      </w:r>
      <w:r w:rsidR="1E5ACAA6">
        <w:t>Australian specific safety concern</w:t>
      </w:r>
    </w:p>
    <w:p w14:paraId="6032817A" w14:textId="39031F48" w:rsidR="00E86B3D" w:rsidRPr="00D9182D" w:rsidRDefault="00E86B3D" w:rsidP="00D9182D">
      <w:pPr>
        <w:pStyle w:val="TableDescription"/>
      </w:pPr>
      <w:r w:rsidRPr="00D9182D">
        <w:t>†</w:t>
      </w:r>
      <w:r w:rsidR="00D9182D">
        <w:t xml:space="preserve"> </w:t>
      </w:r>
      <w:r w:rsidRPr="00D9182D">
        <w:t xml:space="preserve">Targeted questionnaires </w:t>
      </w:r>
    </w:p>
    <w:p w14:paraId="0C9E1A23" w14:textId="5996F767" w:rsidR="00E86B3D" w:rsidRPr="00D9182D" w:rsidRDefault="00E86B3D" w:rsidP="00D9182D">
      <w:pPr>
        <w:pStyle w:val="TableDescription"/>
      </w:pPr>
      <w:r w:rsidRPr="00D9182D">
        <w:t>§</w:t>
      </w:r>
      <w:r w:rsidR="00D9182D">
        <w:t xml:space="preserve"> </w:t>
      </w:r>
      <w:r w:rsidRPr="00D9182D">
        <w:t>Patient Card</w:t>
      </w:r>
    </w:p>
    <w:p w14:paraId="285D6B03" w14:textId="72C184BF" w:rsidR="00E86B3D" w:rsidRPr="00D9182D" w:rsidRDefault="00E86B3D" w:rsidP="00D9182D">
      <w:pPr>
        <w:pStyle w:val="TableDescription"/>
      </w:pPr>
      <w:r w:rsidRPr="00D9182D">
        <w:t>‡</w:t>
      </w:r>
      <w:r w:rsidR="00D9182D">
        <w:t xml:space="preserve"> </w:t>
      </w:r>
      <w:r w:rsidRPr="00D9182D">
        <w:t>Boxed warning</w:t>
      </w:r>
    </w:p>
    <w:p w14:paraId="4C5A3269" w14:textId="77777777" w:rsidR="00692116" w:rsidRDefault="00E86B3D" w:rsidP="00B03A18">
      <w:r w:rsidRPr="00B03A18">
        <w:t>The summary of safety concerns for macitentan/tadalafil have been identified based on the known safety concerns of the separate components (macitentan and tadalafil), as reported in their respective EU‐RMPs and ASAs. The summary of safety concerns aligns with the EU</w:t>
      </w:r>
      <w:r w:rsidR="00B03A18" w:rsidRPr="00B03A18">
        <w:t>-</w:t>
      </w:r>
      <w:r w:rsidRPr="00B03A18">
        <w:t xml:space="preserve">RMP and is acceptable from an RMP </w:t>
      </w:r>
      <w:r w:rsidR="00B03A18" w:rsidRPr="00B03A18">
        <w:t>perspective</w:t>
      </w:r>
      <w:r w:rsidR="00692116">
        <w:t>.</w:t>
      </w:r>
    </w:p>
    <w:p w14:paraId="15F32D50" w14:textId="77777777" w:rsidR="00692116" w:rsidRDefault="00E86B3D" w:rsidP="001969F7">
      <w:r w:rsidRPr="001969F7">
        <w:t>Routine pharmacovigilance activities have been proposed for all safety concerns, which includes Targeted Follow‐up Questionnaires (TFUQs) for ‘Teratogenicity’, ‘Menstrual disorders’, ‘Ovarian cysts’, and ‘Hepatotoxicity’. TFUQ for Hepatic Events is a commitment in the ASA and is not included in the EU‐RMP</w:t>
      </w:r>
      <w:r w:rsidR="00692116">
        <w:t>.</w:t>
      </w:r>
    </w:p>
    <w:p w14:paraId="105B0B8A" w14:textId="77777777" w:rsidR="00692116" w:rsidRDefault="00E86B3D" w:rsidP="001969F7">
      <w:r w:rsidRPr="001969F7">
        <w:t>Routine pharmacovigilance activities are acceptable from an RMP perspective</w:t>
      </w:r>
      <w:r w:rsidR="00692116">
        <w:t>.</w:t>
      </w:r>
    </w:p>
    <w:p w14:paraId="582EEF16" w14:textId="3D26B0D7" w:rsidR="00E86B3D" w:rsidRPr="00FA3A47" w:rsidRDefault="00E86B3D" w:rsidP="00FA3A47">
      <w:r w:rsidRPr="005E3049">
        <w:t xml:space="preserve">Routine risk minimisation activities have been proposed in the form of the </w:t>
      </w:r>
      <w:r w:rsidR="003E0A84" w:rsidRPr="005E3049">
        <w:t>Product Information (</w:t>
      </w:r>
      <w:r w:rsidRPr="005E3049">
        <w:t>PI</w:t>
      </w:r>
      <w:r w:rsidR="003E0A84" w:rsidRPr="005E3049">
        <w:t>)</w:t>
      </w:r>
      <w:r w:rsidRPr="005E3049">
        <w:t xml:space="preserve"> and </w:t>
      </w:r>
      <w:r w:rsidR="003E0A84" w:rsidRPr="005E3049">
        <w:t>Consumer Medicine Information (</w:t>
      </w:r>
      <w:r w:rsidRPr="005E3049">
        <w:t>CMI</w:t>
      </w:r>
      <w:r w:rsidR="003E0A84" w:rsidRPr="005E3049">
        <w:t>)</w:t>
      </w:r>
      <w:r w:rsidRPr="005E3049">
        <w:t xml:space="preserve"> for all safety concerns. It consists of a boxed warning in the PI and CMI for the risk of teratogenicity (pregnancy). The sponsor has been</w:t>
      </w:r>
      <w:r w:rsidR="00B4671F" w:rsidRPr="005E3049">
        <w:t xml:space="preserve"> requested to</w:t>
      </w:r>
      <w:r w:rsidRPr="005E3049">
        <w:t xml:space="preserve"> include </w:t>
      </w:r>
      <w:r w:rsidR="00B4671F" w:rsidRPr="005E3049">
        <w:t xml:space="preserve">the CMI </w:t>
      </w:r>
      <w:r w:rsidRPr="005E3049">
        <w:t>it as a pack insert.</w:t>
      </w:r>
    </w:p>
    <w:p w14:paraId="0A5ECED9" w14:textId="08539A79" w:rsidR="00E86B3D" w:rsidRPr="00FA3A47" w:rsidRDefault="00E86B3D" w:rsidP="00FA3A47">
      <w:r w:rsidRPr="00FA3A47">
        <w:t>Additional risk minimisation activities have been proposed in the form of a Patient Card to address the important identified risks of ‘Teratogenicity’ and ‘Hepatotoxicity’.</w:t>
      </w:r>
    </w:p>
    <w:p w14:paraId="16E5DFAA" w14:textId="2306EF0A" w:rsidR="00032A0F" w:rsidRDefault="00032A0F" w:rsidP="003B149C">
      <w:pPr>
        <w:rPr>
          <w:rFonts w:eastAsia="Cambria" w:cs="Times New Roman"/>
          <w:i/>
          <w:color w:val="007099"/>
          <w:szCs w:val="22"/>
        </w:rPr>
      </w:pPr>
      <w:r>
        <w:t>The RMP evaluation recommended conditions of registration relating to the versions of the risk management plan</w:t>
      </w:r>
      <w:r w:rsidR="00FC2560">
        <w:t>.</w:t>
      </w:r>
    </w:p>
    <w:p w14:paraId="74A4F87F" w14:textId="77777777" w:rsidR="00C22214" w:rsidRDefault="00C22214" w:rsidP="00C22214">
      <w:pPr>
        <w:pStyle w:val="Heading3"/>
      </w:pPr>
      <w:bookmarkStart w:id="49" w:name="_Toc103679299"/>
      <w:bookmarkStart w:id="50" w:name="_Toc201577349"/>
      <w:r>
        <w:t>Risk-benefit analysis</w:t>
      </w:r>
      <w:bookmarkEnd w:id="46"/>
      <w:bookmarkEnd w:id="47"/>
      <w:bookmarkEnd w:id="49"/>
      <w:bookmarkEnd w:id="50"/>
    </w:p>
    <w:p w14:paraId="77DE2655" w14:textId="77777777" w:rsidR="00C22214" w:rsidRDefault="00C22214" w:rsidP="00C22214">
      <w:pPr>
        <w:pStyle w:val="Heading4"/>
      </w:pPr>
      <w:bookmarkStart w:id="51" w:name="_Toc98931932"/>
      <w:bookmarkStart w:id="52" w:name="_Toc201577350"/>
      <w:r>
        <w:t>Delegate’s considerations</w:t>
      </w:r>
      <w:bookmarkEnd w:id="51"/>
      <w:bookmarkEnd w:id="52"/>
    </w:p>
    <w:p w14:paraId="3C2453FD" w14:textId="6A42966F" w:rsidR="00637B8E" w:rsidRDefault="00637B8E" w:rsidP="00C525C8">
      <w:pPr>
        <w:pStyle w:val="Heading5"/>
      </w:pPr>
      <w:r>
        <w:t>Bioequivalence</w:t>
      </w:r>
    </w:p>
    <w:p w14:paraId="58B6DE76" w14:textId="01976165" w:rsidR="00637B8E" w:rsidRPr="00C525C8" w:rsidRDefault="00637B8E" w:rsidP="00C525C8">
      <w:r w:rsidRPr="00C525C8">
        <w:t>The bioequivalence (C</w:t>
      </w:r>
      <w:r w:rsidRPr="00C525C8">
        <w:rPr>
          <w:vertAlign w:val="subscript"/>
        </w:rPr>
        <w:t>max</w:t>
      </w:r>
      <w:r w:rsidRPr="00C525C8">
        <w:t>, AUC) of the FDC macitentan 10</w:t>
      </w:r>
      <w:r w:rsidR="00C525C8">
        <w:t> </w:t>
      </w:r>
      <w:r w:rsidRPr="00C525C8">
        <w:t>mg/tadalafil 40</w:t>
      </w:r>
      <w:r w:rsidR="00C525C8">
        <w:t> </w:t>
      </w:r>
      <w:r w:rsidRPr="00C525C8">
        <w:t>mg and the macitentan 10</w:t>
      </w:r>
      <w:r w:rsidR="001C25A8">
        <w:t> </w:t>
      </w:r>
      <w:r w:rsidRPr="00C525C8">
        <w:t>mg/tadalafil 40</w:t>
      </w:r>
      <w:r w:rsidR="001C25A8">
        <w:t> </w:t>
      </w:r>
      <w:r w:rsidRPr="00C525C8">
        <w:t>mg loose combination has been demonstrated.</w:t>
      </w:r>
    </w:p>
    <w:p w14:paraId="7A812EA1" w14:textId="277FFF03" w:rsidR="00637B8E" w:rsidRDefault="00637B8E" w:rsidP="001C25A8">
      <w:pPr>
        <w:pStyle w:val="Heading5"/>
      </w:pPr>
      <w:r>
        <w:t>Efficacy data</w:t>
      </w:r>
    </w:p>
    <w:p w14:paraId="48E6C78E" w14:textId="233D84CB" w:rsidR="00637B8E" w:rsidRPr="008C22C4" w:rsidRDefault="00637B8E" w:rsidP="008C22C4">
      <w:r w:rsidRPr="008C22C4">
        <w:t xml:space="preserve">There is a reasonably </w:t>
      </w:r>
      <w:proofErr w:type="gramStart"/>
      <w:r w:rsidRPr="008C22C4">
        <w:t>well defined</w:t>
      </w:r>
      <w:proofErr w:type="gramEnd"/>
      <w:r w:rsidRPr="008C22C4">
        <w:t xml:space="preserve"> role for combination therapy with PDE5i and ERA in patients with PAH. Both major international guidelines (</w:t>
      </w:r>
      <w:r w:rsidR="008C22C4">
        <w:t xml:space="preserve">that is, </w:t>
      </w:r>
      <w:r w:rsidRPr="008C22C4">
        <w:t>ESC</w:t>
      </w:r>
      <w:r w:rsidR="008C22C4">
        <w:t>/</w:t>
      </w:r>
      <w:r w:rsidRPr="008C22C4">
        <w:t xml:space="preserve">ERS and the American College of Chest Physicians) advocate combination therapy, although in somewhat different populations. It is noted that the American College of Chest Physicians prefer the </w:t>
      </w:r>
      <w:r w:rsidR="008C22C4">
        <w:t>‘</w:t>
      </w:r>
      <w:proofErr w:type="spellStart"/>
      <w:r w:rsidRPr="008C22C4">
        <w:t>ambrisentan</w:t>
      </w:r>
      <w:proofErr w:type="spellEnd"/>
      <w:r w:rsidRPr="008C22C4">
        <w:t>/tadalafil</w:t>
      </w:r>
      <w:r w:rsidR="008C22C4">
        <w:t xml:space="preserve">’ </w:t>
      </w:r>
      <w:r w:rsidRPr="008C22C4">
        <w:t xml:space="preserve">combination, whereas ESC/ERS puts forward either that combination or </w:t>
      </w:r>
      <w:r w:rsidR="008C22C4">
        <w:t>‘</w:t>
      </w:r>
      <w:r w:rsidRPr="008C22C4">
        <w:t>macitentan/tadalafil</w:t>
      </w:r>
      <w:r w:rsidR="008C22C4">
        <w:t>’</w:t>
      </w:r>
      <w:r w:rsidRPr="008C22C4">
        <w:t>.</w:t>
      </w:r>
    </w:p>
    <w:p w14:paraId="5882702C" w14:textId="04CD0292" w:rsidR="00637B8E" w:rsidRPr="008C22C4" w:rsidRDefault="00637B8E" w:rsidP="008C22C4">
      <w:r w:rsidRPr="008C22C4">
        <w:t>These major guidelines are based, in part, on various clinical trials exploring PDE5i and ERA combination therapy. Th</w:t>
      </w:r>
      <w:r w:rsidR="00530C67">
        <w:t>e</w:t>
      </w:r>
      <w:r w:rsidRPr="008C22C4">
        <w:t xml:space="preserve"> dossier includes data from an original trial (A DUE) as well as supportive studies which investigated the safety and efficacy of the combination. Furthermore, the ARTG already allows such combination therapy (</w:t>
      </w:r>
      <w:r w:rsidR="00530C67">
        <w:t xml:space="preserve">that is, </w:t>
      </w:r>
      <w:r w:rsidRPr="008C22C4">
        <w:t>macitentan is indicated for use in combination with PDE5i).</w:t>
      </w:r>
    </w:p>
    <w:p w14:paraId="1F161CCE" w14:textId="7458EFFB" w:rsidR="00637B8E" w:rsidRPr="008C22C4" w:rsidRDefault="00637B8E" w:rsidP="008C22C4">
      <w:r w:rsidRPr="008C22C4">
        <w:t>The pivotal clinical study A DUE (</w:t>
      </w:r>
      <w:r w:rsidR="00530C67">
        <w:t xml:space="preserve">Study </w:t>
      </w:r>
      <w:r w:rsidRPr="008C22C4">
        <w:t xml:space="preserve">AC-077A301) excluded participants in WHO FC IV. Current guidelines emphasise the use of prostacyclin therapy in WHO FC IV and consideration for transplant. The dossier did not include data specifically supporting use of a </w:t>
      </w:r>
      <w:r w:rsidRPr="008C22C4">
        <w:lastRenderedPageBreak/>
        <w:t>macitentan</w:t>
      </w:r>
      <w:r w:rsidR="0060418A">
        <w:t>/</w:t>
      </w:r>
      <w:r w:rsidRPr="008C22C4">
        <w:t>tadalafil FDC in FC IV. Although beyond the scope of a substitution indication, there is insufficient support to consider extending the indication based on the submitted data.</w:t>
      </w:r>
    </w:p>
    <w:p w14:paraId="2E5BD5FE" w14:textId="5C3B81C7" w:rsidR="00637B8E" w:rsidRPr="0060418A" w:rsidRDefault="00637B8E" w:rsidP="0060418A">
      <w:r w:rsidRPr="0060418A">
        <w:t>The A DUE study is considered supportive when considering the substitution indication. It provides data on the safety and efficacy of combined treatment which is consistent with the established and ongoing use of the combination of macitentan 10</w:t>
      </w:r>
      <w:r w:rsidR="00CC0D47">
        <w:t> </w:t>
      </w:r>
      <w:r w:rsidRPr="0060418A">
        <w:t>mg and tadalafil 40</w:t>
      </w:r>
      <w:r w:rsidR="00CC0D47">
        <w:t> </w:t>
      </w:r>
      <w:r w:rsidRPr="0060418A">
        <w:t>mg in clinical practice.</w:t>
      </w:r>
    </w:p>
    <w:p w14:paraId="142D2BDF" w14:textId="71EE8DC6" w:rsidR="00637B8E" w:rsidRPr="0060418A" w:rsidRDefault="00637B8E" w:rsidP="00CC0D47">
      <w:pPr>
        <w:pStyle w:val="Heading5"/>
      </w:pPr>
      <w:r w:rsidRPr="0060418A">
        <w:t>Safety</w:t>
      </w:r>
    </w:p>
    <w:p w14:paraId="23F8BF23" w14:textId="205884B7" w:rsidR="00637B8E" w:rsidRPr="0060418A" w:rsidRDefault="00637B8E" w:rsidP="0060418A">
      <w:r w:rsidRPr="0060418A">
        <w:t>Although no new safety signals were detected when comparing treatment with the FDC (in A</w:t>
      </w:r>
      <w:r w:rsidR="00CC0D47">
        <w:t> </w:t>
      </w:r>
      <w:r w:rsidRPr="0060418A">
        <w:t xml:space="preserve">DUE or loose combination in the supportive studies), there were more frequent AEs with combination therapy rather than monotherapy. Of note were hypotension, heart failure, anaemia, oedema and mortality. These issues would be the same whether the patient is taking a FDC or a loose combination. It is important that </w:t>
      </w:r>
      <w:proofErr w:type="spellStart"/>
      <w:r w:rsidRPr="0060418A">
        <w:t>O</w:t>
      </w:r>
      <w:r w:rsidR="001E3547">
        <w:t>psynvi’s</w:t>
      </w:r>
      <w:proofErr w:type="spellEnd"/>
      <w:r w:rsidRPr="0060418A">
        <w:t xml:space="preserve"> indication and any </w:t>
      </w:r>
      <w:r w:rsidR="001E3547">
        <w:t>s</w:t>
      </w:r>
      <w:r w:rsidRPr="0060418A">
        <w:t>ponsor prepared materials for prescribers do not encourage use of macitentan 10</w:t>
      </w:r>
      <w:r w:rsidR="001E3547">
        <w:t> </w:t>
      </w:r>
      <w:r w:rsidRPr="0060418A">
        <w:t>mg/tadalafil 40</w:t>
      </w:r>
      <w:r w:rsidR="001E3547">
        <w:t> </w:t>
      </w:r>
      <w:r w:rsidRPr="0060418A">
        <w:t>mg beyond the confines of a substitution indication FDC.</w:t>
      </w:r>
    </w:p>
    <w:p w14:paraId="18C9733D" w14:textId="6B36BF5A" w:rsidR="00637B8E" w:rsidRPr="0060418A" w:rsidRDefault="00637B8E" w:rsidP="0060418A">
      <w:r w:rsidRPr="0060418A">
        <w:t>As there appears to be increased risk early after commencement of the FDC</w:t>
      </w:r>
      <w:r w:rsidR="00DF0ECA">
        <w:t>,</w:t>
      </w:r>
      <w:r w:rsidRPr="0060418A">
        <w:t xml:space="preserve"> especially for haemodynamic problems such as heart failure</w:t>
      </w:r>
      <w:r w:rsidR="00DF0ECA">
        <w:t>,</w:t>
      </w:r>
      <w:r w:rsidRPr="0060418A">
        <w:t xml:space="preserve"> in the group that was treatment naïve, this should be mitigated in the PI. The PI should </w:t>
      </w:r>
      <w:r w:rsidRPr="00E85DA4">
        <w:t>warn</w:t>
      </w:r>
      <w:r w:rsidRPr="0060418A">
        <w:t xml:space="preserve"> that the FDC is not intended for initial macitentan/tadalafil combination therapy in treatment naïve or monotherapy patients and that using it in this way may increase the risk for adverse effects.</w:t>
      </w:r>
    </w:p>
    <w:p w14:paraId="0356B69E" w14:textId="34285724" w:rsidR="00637B8E" w:rsidRPr="0060418A" w:rsidRDefault="00637B8E" w:rsidP="00E3793D">
      <w:pPr>
        <w:pStyle w:val="Heading5"/>
      </w:pPr>
      <w:r w:rsidRPr="0060418A">
        <w:t>Deficiencies in data</w:t>
      </w:r>
    </w:p>
    <w:p w14:paraId="20717102" w14:textId="40CB9BB3" w:rsidR="00C22214" w:rsidRPr="00456765" w:rsidRDefault="00637B8E" w:rsidP="00362B68">
      <w:r>
        <w:t>There was no data to support there being a benefit to patients (in terms of adherence, convenience, quality of life) being able to take macitentan and tadalafil as a single tablet. The risks of a FDC</w:t>
      </w:r>
      <w:r w:rsidR="0039439B">
        <w:t>,</w:t>
      </w:r>
      <w:r>
        <w:t xml:space="preserve"> </w:t>
      </w:r>
      <w:proofErr w:type="gramStart"/>
      <w:r>
        <w:t>in particular in</w:t>
      </w:r>
      <w:proofErr w:type="gramEnd"/>
      <w:r>
        <w:t xml:space="preserve"> reducing the flexibility to alter the dose of one of the two drugs</w:t>
      </w:r>
      <w:r w:rsidR="007C47F8">
        <w:t>,</w:t>
      </w:r>
      <w:r>
        <w:t xml:space="preserve"> have not been addressed, including by any </w:t>
      </w:r>
      <w:proofErr w:type="gramStart"/>
      <w:r>
        <w:t>particular data</w:t>
      </w:r>
      <w:proofErr w:type="gramEnd"/>
      <w:r>
        <w:t xml:space="preserve"> sets</w:t>
      </w:r>
      <w:r w:rsidR="0039439B">
        <w:t>.</w:t>
      </w:r>
    </w:p>
    <w:p w14:paraId="3916F296" w14:textId="77777777" w:rsidR="00C22214" w:rsidRDefault="00C22214" w:rsidP="00C22214">
      <w:pPr>
        <w:pStyle w:val="Heading4"/>
      </w:pPr>
      <w:bookmarkStart w:id="53" w:name="_Toc98931933"/>
      <w:bookmarkStart w:id="54" w:name="_Toc201577351"/>
      <w:r w:rsidRPr="00D23139">
        <w:t>Proposed action</w:t>
      </w:r>
      <w:bookmarkEnd w:id="53"/>
      <w:bookmarkEnd w:id="54"/>
    </w:p>
    <w:p w14:paraId="5D1EAA24" w14:textId="38E97CAB" w:rsidR="0039439B" w:rsidRPr="00362B68" w:rsidRDefault="0039439B" w:rsidP="00362B68">
      <w:r w:rsidRPr="00362B68">
        <w:t>The Delegate supports approval of the proposed macitentan/tadalafil FDC for a substitution indication. The substitution indication should cover the overlap of the individual indications for tadalafil and macitentan as well as being clear about the substitution purpose.</w:t>
      </w:r>
    </w:p>
    <w:p w14:paraId="318CFABC" w14:textId="77777777" w:rsidR="00C22214" w:rsidRPr="00F73346" w:rsidRDefault="00C22214" w:rsidP="00C22214">
      <w:pPr>
        <w:pStyle w:val="Heading4"/>
      </w:pPr>
      <w:bookmarkStart w:id="55" w:name="_Toc98931936"/>
      <w:bookmarkStart w:id="56" w:name="_Toc201577352"/>
      <w:bookmarkStart w:id="57" w:name="_Toc247691532"/>
      <w:bookmarkStart w:id="58" w:name="_Toc314842516"/>
      <w:r w:rsidRPr="00F73346">
        <w:t>Advisory Committee considerations</w:t>
      </w:r>
      <w:bookmarkEnd w:id="55"/>
      <w:bookmarkEnd w:id="56"/>
    </w:p>
    <w:p w14:paraId="087BB9CB" w14:textId="7A3ADF2D" w:rsidR="00C22214" w:rsidRPr="00BD5DBD" w:rsidRDefault="00C22214" w:rsidP="00C22214">
      <w:pPr>
        <w:rPr>
          <w:bCs/>
          <w:szCs w:val="22"/>
        </w:rPr>
      </w:pPr>
      <w:r w:rsidRPr="00BD5DBD">
        <w:rPr>
          <w:bCs/>
          <w:szCs w:val="22"/>
        </w:rPr>
        <w:t xml:space="preserve">The </w:t>
      </w:r>
      <w:hyperlink r:id="rId3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36EB9846" w14:textId="3D4194E1" w:rsidR="00FF18B5" w:rsidRPr="009B7AC0" w:rsidRDefault="00FF18B5" w:rsidP="009B7AC0">
      <w:pPr>
        <w:pStyle w:val="Numberbullet0"/>
        <w:rPr>
          <w:b/>
          <w:bCs/>
          <w:i/>
          <w:iCs/>
        </w:rPr>
      </w:pPr>
      <w:r w:rsidRPr="009B7AC0">
        <w:rPr>
          <w:b/>
          <w:bCs/>
          <w:i/>
          <w:iCs/>
        </w:rPr>
        <w:t xml:space="preserve">Provide comment on </w:t>
      </w:r>
      <w:proofErr w:type="spellStart"/>
      <w:r w:rsidRPr="009B7AC0">
        <w:rPr>
          <w:b/>
          <w:bCs/>
          <w:i/>
          <w:iCs/>
        </w:rPr>
        <w:t>O</w:t>
      </w:r>
      <w:r w:rsidR="009B7AC0">
        <w:rPr>
          <w:b/>
          <w:bCs/>
          <w:i/>
          <w:iCs/>
        </w:rPr>
        <w:t>psynvi’s</w:t>
      </w:r>
      <w:proofErr w:type="spellEnd"/>
      <w:r w:rsidRPr="009B7AC0">
        <w:rPr>
          <w:b/>
          <w:bCs/>
          <w:i/>
          <w:iCs/>
        </w:rPr>
        <w:t xml:space="preserve"> indication, including reference to inclusion of functional class IV which is not consistent with a substitution indication FDC.</w:t>
      </w:r>
    </w:p>
    <w:p w14:paraId="5D77D537" w14:textId="1FD6F9DF" w:rsidR="00FF18B5" w:rsidRPr="00FF18B5" w:rsidRDefault="00FF18B5" w:rsidP="00FF18B5">
      <w:r w:rsidRPr="00FF18B5">
        <w:t>The ACM was of the view that efficacy data has not been provided to support the use of O</w:t>
      </w:r>
      <w:r w:rsidR="009B7AC0">
        <w:t xml:space="preserve">psynvi </w:t>
      </w:r>
      <w:r w:rsidRPr="00FF18B5">
        <w:t>in the treatment of functional class IV PAH patients. The ACM advised that while in practice, many class IV patients are treated with tadalafil and it is likely that this will continue to be the case with this FDC, that is not a sufficient basis to support registration of this indication. The ACM agreed that restriction of the indication to class II and III patients in line with the US</w:t>
      </w:r>
      <w:r w:rsidR="002875B1">
        <w:t>A</w:t>
      </w:r>
      <w:r w:rsidRPr="00FF18B5">
        <w:t xml:space="preserve"> and Canada was appropriate. The ACM noted that addition of the words </w:t>
      </w:r>
      <w:r w:rsidR="002875B1">
        <w:t>‘</w:t>
      </w:r>
      <w:r w:rsidRPr="00FF18B5">
        <w:t>with repaired shunts</w:t>
      </w:r>
      <w:r w:rsidR="002875B1">
        <w:t>’</w:t>
      </w:r>
      <w:r w:rsidRPr="00FF18B5">
        <w:t xml:space="preserve"> to the </w:t>
      </w:r>
      <w:r w:rsidRPr="00FF18B5">
        <w:lastRenderedPageBreak/>
        <w:t xml:space="preserve">end of the congenital heart disease indication would align with the macitentan indication for </w:t>
      </w:r>
      <w:r w:rsidR="00F6302F" w:rsidRPr="00FF18B5">
        <w:t>congenital heart disease</w:t>
      </w:r>
      <w:r w:rsidRPr="00FF18B5">
        <w:t>.</w:t>
      </w:r>
    </w:p>
    <w:p w14:paraId="5A743800" w14:textId="075D3CD2" w:rsidR="00FF18B5" w:rsidRPr="00F6302F" w:rsidRDefault="00FF18B5" w:rsidP="00F6302F">
      <w:pPr>
        <w:pStyle w:val="Numberbullet0"/>
        <w:rPr>
          <w:b/>
          <w:bCs/>
          <w:i/>
          <w:iCs/>
        </w:rPr>
      </w:pPr>
      <w:r w:rsidRPr="00F6302F">
        <w:rPr>
          <w:b/>
          <w:bCs/>
          <w:i/>
          <w:iCs/>
        </w:rPr>
        <w:t>Comment on this new FDC for the indications specified, including risks, and whether the PI is adequate in this regard.</w:t>
      </w:r>
    </w:p>
    <w:p w14:paraId="75C4C750" w14:textId="128C6274" w:rsidR="00FF18B5" w:rsidRPr="00F6302F" w:rsidRDefault="00FF18B5" w:rsidP="00F6302F">
      <w:r w:rsidRPr="00F6302F">
        <w:t>The ACM noted that in its pre-ACM response, the sponsor has agreed to include a s</w:t>
      </w:r>
      <w:r w:rsidR="004A4925">
        <w:t xml:space="preserve">ection </w:t>
      </w:r>
      <w:r w:rsidRPr="00F6302F">
        <w:t>4.4 warning that O</w:t>
      </w:r>
      <w:r w:rsidR="004A4925">
        <w:t>psynvi</w:t>
      </w:r>
      <w:r w:rsidRPr="00F6302F">
        <w:t xml:space="preserve"> is not indicated as initial combination therapy in treatment naïve patients or as a step-up therapy in patients already taking either an ERA or PED5i as monotherapy. It was agreed that this is sufficient guidance for prescribers.</w:t>
      </w:r>
    </w:p>
    <w:p w14:paraId="5014F280" w14:textId="77777777" w:rsidR="00692116" w:rsidRDefault="00FF18B5" w:rsidP="00F6302F">
      <w:r w:rsidRPr="00F6302F">
        <w:t xml:space="preserve">The ACM noted there was a typo in the PI </w:t>
      </w:r>
      <w:r w:rsidR="00CC7849">
        <w:t>‘</w:t>
      </w:r>
      <w:r w:rsidRPr="00F6302F">
        <w:t>decreased or sudden hearing loss… including tadalafil which contains tadalafil</w:t>
      </w:r>
      <w:r w:rsidR="00CC7849">
        <w:t>’</w:t>
      </w:r>
      <w:r w:rsidR="00692116">
        <w:t>.</w:t>
      </w:r>
    </w:p>
    <w:p w14:paraId="24D0E7B7" w14:textId="5A176F48" w:rsidR="00FF18B5" w:rsidRPr="00F6302F" w:rsidRDefault="00FF18B5" w:rsidP="00F6302F">
      <w:r w:rsidRPr="00F6302F">
        <w:t>The ACM also noted that the PI is inconsistent throughout regarding advice on the use of the drug in the elderly.</w:t>
      </w:r>
    </w:p>
    <w:p w14:paraId="698783D2" w14:textId="1EA6F431" w:rsidR="00FF18B5" w:rsidRPr="00CC7849" w:rsidRDefault="00FF18B5" w:rsidP="00CC7849">
      <w:pPr>
        <w:pStyle w:val="Numberbullet0"/>
        <w:rPr>
          <w:b/>
          <w:bCs/>
          <w:i/>
          <w:iCs/>
        </w:rPr>
      </w:pPr>
      <w:r w:rsidRPr="00CC7849">
        <w:rPr>
          <w:b/>
          <w:bCs/>
          <w:i/>
          <w:iCs/>
        </w:rPr>
        <w:t xml:space="preserve">Comment on the additional </w:t>
      </w:r>
      <w:r w:rsidR="00140001">
        <w:rPr>
          <w:b/>
          <w:bCs/>
          <w:i/>
          <w:iCs/>
        </w:rPr>
        <w:t xml:space="preserve">adverse drug reactions </w:t>
      </w:r>
      <w:r w:rsidRPr="00CC7849">
        <w:rPr>
          <w:b/>
          <w:bCs/>
          <w:i/>
          <w:iCs/>
        </w:rPr>
        <w:t>for tadalafil 40</w:t>
      </w:r>
      <w:r w:rsidR="00D35D82">
        <w:rPr>
          <w:b/>
          <w:bCs/>
          <w:i/>
          <w:iCs/>
        </w:rPr>
        <w:t> </w:t>
      </w:r>
      <w:r w:rsidRPr="00CC7849">
        <w:rPr>
          <w:b/>
          <w:bCs/>
          <w:i/>
          <w:iCs/>
        </w:rPr>
        <w:t>mg from the company core data sheet?</w:t>
      </w:r>
    </w:p>
    <w:p w14:paraId="1B694519" w14:textId="023103AF" w:rsidR="00FF18B5" w:rsidRPr="00FF18B5" w:rsidRDefault="00FF18B5" w:rsidP="00FF18B5">
      <w:r>
        <w:t xml:space="preserve">The ACM observed that it was unusual to see new </w:t>
      </w:r>
      <w:r w:rsidR="00577A72">
        <w:t xml:space="preserve">adverse </w:t>
      </w:r>
      <w:r w:rsidR="00577A72" w:rsidRPr="006D1CA7">
        <w:t>drug reactions (</w:t>
      </w:r>
      <w:r w:rsidRPr="006D1CA7">
        <w:t>ADRs</w:t>
      </w:r>
      <w:r w:rsidR="00577A72" w:rsidRPr="006D1CA7">
        <w:t>)</w:t>
      </w:r>
      <w:r>
        <w:t xml:space="preserve"> presented in the PI for this FDC. These new ADRs have come from the European tadalafil </w:t>
      </w:r>
      <w:r w:rsidR="00450B98">
        <w:t>summary of product characteristics</w:t>
      </w:r>
      <w:r>
        <w:t xml:space="preserve"> and are not present in the Australian originator tadalafil PI. </w:t>
      </w:r>
      <w:r w:rsidRPr="00D57EE8">
        <w:t xml:space="preserve">The ACM agreed that there should be consistency in the Australian PI for tadalafil ADRs between both the FDC and monotherapy products and that simply removing the additional ADRs that had originated from the EU </w:t>
      </w:r>
      <w:r w:rsidR="00CA2C44" w:rsidRPr="00D57EE8">
        <w:t>summary of product characteristics</w:t>
      </w:r>
      <w:r w:rsidRPr="00D57EE8">
        <w:t xml:space="preserve"> to achieve this, as the sponsor has proposed, is not the ideal way to address the problem.</w:t>
      </w:r>
      <w:r>
        <w:t xml:space="preserve"> However, it was the view of the ACM that the majority of the additional ADRs in question were more likely to be related to the disease or co-morbidities rather than being true drug reactions from tadalafil and on that basis could reasonably be left out if felt appropriate by the TGA </w:t>
      </w:r>
      <w:proofErr w:type="gramStart"/>
      <w:r>
        <w:t>in order to</w:t>
      </w:r>
      <w:proofErr w:type="gramEnd"/>
      <w:r>
        <w:t xml:space="preserve"> ensure consistency between the Australia PIs.</w:t>
      </w:r>
    </w:p>
    <w:p w14:paraId="5291EA2A" w14:textId="77777777" w:rsidR="00C22214" w:rsidRDefault="00C22214" w:rsidP="00C22214">
      <w:pPr>
        <w:pStyle w:val="Heading5"/>
      </w:pPr>
      <w:r w:rsidRPr="00F73346">
        <w:t>Conclusion</w:t>
      </w:r>
    </w:p>
    <w:p w14:paraId="27FE7723" w14:textId="77777777" w:rsidR="00E523A8" w:rsidRPr="00E523A8" w:rsidRDefault="00E523A8" w:rsidP="00E523A8">
      <w:r w:rsidRPr="00E523A8">
        <w:t>The ACM considered this product to have an overall positive benefit-risk profile for the indication:</w:t>
      </w:r>
    </w:p>
    <w:p w14:paraId="2A8013BE" w14:textId="77777777" w:rsidR="00692116" w:rsidRDefault="00E523A8" w:rsidP="00E523A8">
      <w:r w:rsidRPr="00E523A8">
        <w:t>O</w:t>
      </w:r>
      <w:r>
        <w:t>psynvi</w:t>
      </w:r>
      <w:r w:rsidRPr="00E523A8">
        <w:t xml:space="preserve"> is indicated for the long-term maintenance treatment of pulmonary arterial hypertension (PAH, World Health Organization [WHO] Group 1) in adult patients of WHO functional class (FC) II and III whose PAH is idiopathic, heritable or associated with connective tissue disease or congenital heart disease with repaired shunts</w:t>
      </w:r>
      <w:r w:rsidR="00692116">
        <w:t>.</w:t>
      </w:r>
    </w:p>
    <w:p w14:paraId="1B56A625" w14:textId="09D77A6B" w:rsidR="000D7DF1" w:rsidRPr="00E523A8" w:rsidRDefault="00E523A8" w:rsidP="00E523A8">
      <w:r w:rsidRPr="00E523A8">
        <w:t>O</w:t>
      </w:r>
      <w:r>
        <w:t>psynvi</w:t>
      </w:r>
      <w:r w:rsidRPr="00E523A8">
        <w:t xml:space="preserve"> should be used in patients who are currently treated concomitantly with stable doses of macitentan 10</w:t>
      </w:r>
      <w:r>
        <w:t> </w:t>
      </w:r>
      <w:r w:rsidRPr="00E523A8">
        <w:t>mg and tadalafil 40</w:t>
      </w:r>
      <w:r>
        <w:t> </w:t>
      </w:r>
      <w:r w:rsidRPr="00E523A8">
        <w:t>mg (20</w:t>
      </w:r>
      <w:r>
        <w:t> </w:t>
      </w:r>
      <w:r w:rsidRPr="00E523A8">
        <w:t>mg X 2) as separate tablets.</w:t>
      </w:r>
    </w:p>
    <w:p w14:paraId="307F236C" w14:textId="28774E29" w:rsidR="00C22214" w:rsidRPr="002E238E" w:rsidRDefault="008B3C22" w:rsidP="00C22214">
      <w:pPr>
        <w:pStyle w:val="Heading2"/>
      </w:pPr>
      <w:bookmarkStart w:id="59" w:name="_Toc103679300"/>
      <w:bookmarkStart w:id="60" w:name="_Toc201577353"/>
      <w:r>
        <w:t>O</w:t>
      </w:r>
      <w:r w:rsidR="00C22214">
        <w:t>utcome</w:t>
      </w:r>
      <w:bookmarkEnd w:id="57"/>
      <w:bookmarkEnd w:id="58"/>
      <w:bookmarkEnd w:id="59"/>
      <w:bookmarkEnd w:id="60"/>
    </w:p>
    <w:p w14:paraId="4EF22939" w14:textId="4B79734B"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E523A8">
        <w:t>Opsynvi</w:t>
      </w:r>
      <w:r w:rsidRPr="0017005C">
        <w:t xml:space="preserve"> </w:t>
      </w:r>
      <w:r w:rsidR="005850E2" w:rsidRPr="005850E2">
        <w:t>(macitentan/tadalafil) 10 mg/40 mg, film-coated tablet, blister pack</w:t>
      </w:r>
      <w:r w:rsidRPr="0017005C">
        <w:t>, indicated for:</w:t>
      </w:r>
    </w:p>
    <w:p w14:paraId="7A7981FD" w14:textId="58CE4164" w:rsidR="00716282" w:rsidRPr="00263DD1" w:rsidRDefault="00716282" w:rsidP="00263DD1">
      <w:pPr>
        <w:ind w:left="720"/>
        <w:rPr>
          <w:i/>
          <w:iCs/>
        </w:rPr>
      </w:pPr>
      <w:r w:rsidRPr="00263DD1">
        <w:rPr>
          <w:i/>
          <w:iCs/>
        </w:rPr>
        <w:t>Opsynvi is indicated for the maintenance treatment of pulmonary arterial hypertension</w:t>
      </w:r>
    </w:p>
    <w:p w14:paraId="227CC2C5" w14:textId="77777777" w:rsidR="00716282" w:rsidRPr="00263DD1" w:rsidRDefault="00716282" w:rsidP="00263DD1">
      <w:pPr>
        <w:ind w:left="720"/>
        <w:rPr>
          <w:i/>
          <w:iCs/>
        </w:rPr>
      </w:pPr>
      <w:r w:rsidRPr="00263DD1">
        <w:rPr>
          <w:i/>
          <w:iCs/>
        </w:rPr>
        <w:t>(PAH, World Health Organization [WHO] Group 1) in adult patients of WHO functional</w:t>
      </w:r>
    </w:p>
    <w:p w14:paraId="2748BCC9" w14:textId="77777777" w:rsidR="00716282" w:rsidRPr="00263DD1" w:rsidRDefault="00716282" w:rsidP="00263DD1">
      <w:pPr>
        <w:ind w:left="720"/>
        <w:rPr>
          <w:i/>
          <w:iCs/>
        </w:rPr>
      </w:pPr>
      <w:r w:rsidRPr="00263DD1">
        <w:rPr>
          <w:i/>
          <w:iCs/>
        </w:rPr>
        <w:t>class (FC) II and III whose PAH is idiopathic, heritable or associated with connective</w:t>
      </w:r>
    </w:p>
    <w:p w14:paraId="2C7F2DDB" w14:textId="77777777" w:rsidR="00716282" w:rsidRPr="00263DD1" w:rsidRDefault="00716282" w:rsidP="00263DD1">
      <w:pPr>
        <w:ind w:left="720"/>
        <w:rPr>
          <w:i/>
          <w:iCs/>
        </w:rPr>
      </w:pPr>
      <w:r w:rsidRPr="00263DD1">
        <w:rPr>
          <w:i/>
          <w:iCs/>
        </w:rPr>
        <w:t>tissue disease or congenital heart disease with repaired shunts.</w:t>
      </w:r>
    </w:p>
    <w:p w14:paraId="260F054C" w14:textId="410E10D8" w:rsidR="00716282" w:rsidRPr="00263DD1" w:rsidRDefault="00716282" w:rsidP="00263DD1">
      <w:pPr>
        <w:ind w:left="720"/>
        <w:rPr>
          <w:i/>
          <w:iCs/>
        </w:rPr>
      </w:pPr>
      <w:r w:rsidRPr="00263DD1">
        <w:rPr>
          <w:i/>
          <w:iCs/>
        </w:rPr>
        <w:t>Opsynvi is intended as substitution treatment only for patients currently treated</w:t>
      </w:r>
    </w:p>
    <w:p w14:paraId="294B0D2D" w14:textId="21FC5E4D" w:rsidR="00716282" w:rsidRPr="00263DD1" w:rsidRDefault="00716282" w:rsidP="00263DD1">
      <w:pPr>
        <w:ind w:left="720"/>
        <w:rPr>
          <w:i/>
          <w:iCs/>
        </w:rPr>
      </w:pPr>
      <w:r w:rsidRPr="00263DD1">
        <w:rPr>
          <w:i/>
          <w:iCs/>
        </w:rPr>
        <w:t>concomitantly with stable doses of macitentan 10 mg and tadalafil 40 mg (20 mg x 2) as</w:t>
      </w:r>
    </w:p>
    <w:p w14:paraId="3FD715CD" w14:textId="314E88EA" w:rsidR="005850E2" w:rsidRPr="00263DD1" w:rsidRDefault="00716282" w:rsidP="00263DD1">
      <w:pPr>
        <w:ind w:left="720"/>
        <w:rPr>
          <w:i/>
          <w:iCs/>
          <w:szCs w:val="22"/>
        </w:rPr>
      </w:pPr>
      <w:r w:rsidRPr="00263DD1">
        <w:rPr>
          <w:i/>
          <w:iCs/>
        </w:rPr>
        <w:t>separate tablets.</w:t>
      </w:r>
    </w:p>
    <w:p w14:paraId="0D732DA4" w14:textId="77777777" w:rsidR="00854D98" w:rsidRPr="00D23139" w:rsidRDefault="00854D98" w:rsidP="00854D98">
      <w:pPr>
        <w:pStyle w:val="Heading3"/>
      </w:pPr>
      <w:bookmarkStart w:id="61" w:name="_Toc103679301"/>
      <w:bookmarkStart w:id="62" w:name="_Toc201577354"/>
      <w:r w:rsidRPr="00D23139">
        <w:lastRenderedPageBreak/>
        <w:t>Specific conditions of registration applying to these goods</w:t>
      </w:r>
      <w:bookmarkEnd w:id="61"/>
      <w:bookmarkEnd w:id="62"/>
    </w:p>
    <w:p w14:paraId="783BC77A" w14:textId="356876C2" w:rsidR="006646A7" w:rsidRPr="006646A7" w:rsidRDefault="006646A7">
      <w:pPr>
        <w:pStyle w:val="ListBullet"/>
      </w:pPr>
      <w:bookmarkStart w:id="63" w:name="_Toc103679303"/>
      <w:r w:rsidRPr="006646A7">
        <w:t>The O</w:t>
      </w:r>
      <w:r>
        <w:t>psynvi</w:t>
      </w:r>
      <w:r w:rsidRPr="006646A7">
        <w:t xml:space="preserve"> EU-Risk Management Plan (RMP) (version 1.2, dated 13 February 2024,</w:t>
      </w:r>
      <w:r>
        <w:t xml:space="preserve"> </w:t>
      </w:r>
      <w:r w:rsidRPr="006646A7">
        <w:t>data lock point 5 February 2023), with Australia</w:t>
      </w:r>
      <w:r w:rsidR="00115AFF">
        <w:t>-s</w:t>
      </w:r>
      <w:r w:rsidRPr="006646A7">
        <w:t>pecific Annex (version 2.0, dated 20</w:t>
      </w:r>
      <w:r w:rsidR="00851C7A">
        <w:t> </w:t>
      </w:r>
      <w:r w:rsidRPr="006646A7">
        <w:t>March</w:t>
      </w:r>
      <w:r w:rsidR="00851C7A">
        <w:t> </w:t>
      </w:r>
      <w:r w:rsidRPr="006646A7">
        <w:t>2024), included with submission PM-2023-03702-1-3, and any subsequent</w:t>
      </w:r>
      <w:r>
        <w:t xml:space="preserve"> </w:t>
      </w:r>
      <w:r w:rsidRPr="006646A7">
        <w:t>revisions, as agreed with the TGA will be implemented in Australia.</w:t>
      </w:r>
    </w:p>
    <w:p w14:paraId="451DC3FC" w14:textId="710057FB" w:rsidR="00C22214" w:rsidRPr="00943145" w:rsidRDefault="009F75D3" w:rsidP="00B94039">
      <w:pPr>
        <w:pStyle w:val="Heading2"/>
      </w:pPr>
      <w:bookmarkStart w:id="64" w:name="_Toc201577355"/>
      <w:r>
        <w:t xml:space="preserve">Attachment 1. </w:t>
      </w:r>
      <w:r w:rsidR="00C22214" w:rsidRPr="00943145">
        <w:t>Product Information</w:t>
      </w:r>
      <w:bookmarkEnd w:id="63"/>
      <w:bookmarkEnd w:id="64"/>
    </w:p>
    <w:p w14:paraId="76C3AF22" w14:textId="15B55D65" w:rsidR="00544F90" w:rsidRDefault="00544F90" w:rsidP="00675F81">
      <w:pPr>
        <w:rPr>
          <w:szCs w:val="22"/>
        </w:rPr>
      </w:pPr>
      <w:r w:rsidRPr="00BD5DBD">
        <w:rPr>
          <w:szCs w:val="22"/>
        </w:rPr>
        <w:t xml:space="preserve">The </w:t>
      </w:r>
      <w:hyperlink r:id="rId31" w:history="1">
        <w:r w:rsidRPr="00BD5DBD">
          <w:rPr>
            <w:rStyle w:val="Hyperlink"/>
            <w:szCs w:val="22"/>
          </w:rPr>
          <w:t>Product Information</w:t>
        </w:r>
      </w:hyperlink>
      <w:r w:rsidRPr="00BD5DBD">
        <w:rPr>
          <w:szCs w:val="22"/>
        </w:rPr>
        <w:t xml:space="preserve"> (</w:t>
      </w:r>
      <w:hyperlink r:id="rId32" w:history="1">
        <w:r w:rsidRPr="00BD5DBD">
          <w:rPr>
            <w:rStyle w:val="Hyperlink"/>
            <w:szCs w:val="22"/>
          </w:rPr>
          <w:t>PI</w:t>
        </w:r>
      </w:hyperlink>
      <w:r w:rsidRPr="00BD5DBD">
        <w:rPr>
          <w:szCs w:val="22"/>
        </w:rPr>
        <w:t xml:space="preserve">) </w:t>
      </w:r>
      <w:r>
        <w:rPr>
          <w:szCs w:val="22"/>
        </w:rPr>
        <w:t xml:space="preserve">associated with </w:t>
      </w:r>
      <w:r w:rsidRPr="00BD5DBD">
        <w:rPr>
          <w:szCs w:val="22"/>
        </w:rPr>
        <w:t>th</w:t>
      </w:r>
      <w:r>
        <w:rPr>
          <w:szCs w:val="22"/>
        </w:rPr>
        <w:t>is</w:t>
      </w:r>
      <w:r w:rsidRPr="00BD5DBD">
        <w:rPr>
          <w:szCs w:val="22"/>
        </w:rPr>
        <w:t xml:space="preserve"> submission</w:t>
      </w:r>
      <w:r w:rsidRPr="0017005C">
        <w:rPr>
          <w:szCs w:val="22"/>
        </w:rPr>
        <w:t xml:space="preserve"> </w:t>
      </w:r>
      <w:r w:rsidRPr="00BD5DBD">
        <w:rPr>
          <w:szCs w:val="22"/>
        </w:rPr>
        <w:t xml:space="preserve">for </w:t>
      </w:r>
      <w:r w:rsidR="00851C7A">
        <w:t>Opsynvi</w:t>
      </w:r>
      <w:r>
        <w:t xml:space="preserve"> </w:t>
      </w:r>
      <w:r>
        <w:rPr>
          <w:szCs w:val="22"/>
        </w:rPr>
        <w:t>is available via the link on this AusPAR webpage.</w:t>
      </w:r>
    </w:p>
    <w:p w14:paraId="657BC207" w14:textId="0C40E48C" w:rsidR="00544F90" w:rsidRDefault="00544F90" w:rsidP="00675F81">
      <w:pPr>
        <w:rPr>
          <w:szCs w:val="22"/>
        </w:rPr>
      </w:pPr>
      <w:r w:rsidRPr="00433158">
        <w:rPr>
          <w:lang w:eastAsia="ja-JP"/>
        </w:rPr>
        <w:t xml:space="preserve">For the most recent PI and </w:t>
      </w:r>
      <w:hyperlink r:id="rId33" w:history="1">
        <w:r w:rsidRPr="005D2E9A">
          <w:rPr>
            <w:rStyle w:val="Hyperlink"/>
            <w:lang w:eastAsia="ja-JP"/>
          </w:rPr>
          <w:t>Consumer Medicines Information</w:t>
        </w:r>
      </w:hyperlink>
      <w:r w:rsidRPr="00433158">
        <w:rPr>
          <w:lang w:eastAsia="ja-JP"/>
        </w:rPr>
        <w:t xml:space="preserve"> (CMI)</w:t>
      </w:r>
      <w:r>
        <w:rPr>
          <w:lang w:eastAsia="ja-JP"/>
        </w:rPr>
        <w:t xml:space="preserve"> associated with this medicine</w:t>
      </w:r>
      <w:r w:rsidRPr="00433158">
        <w:rPr>
          <w:lang w:eastAsia="ja-JP"/>
        </w:rPr>
        <w:t xml:space="preserve">, </w:t>
      </w:r>
      <w:r>
        <w:rPr>
          <w:lang w:eastAsia="ja-JP"/>
        </w:rPr>
        <w:t xml:space="preserve">query the </w:t>
      </w:r>
      <w:r w:rsidR="00E42C4A">
        <w:rPr>
          <w:lang w:eastAsia="ja-JP"/>
        </w:rPr>
        <w:t>medicine</w:t>
      </w:r>
      <w:r>
        <w:rPr>
          <w:lang w:eastAsia="ja-JP"/>
        </w:rPr>
        <w:t xml:space="preserve"> in the</w:t>
      </w:r>
      <w:r w:rsidRPr="00433158">
        <w:rPr>
          <w:lang w:eastAsia="ja-JP"/>
        </w:rPr>
        <w:t xml:space="preserve"> </w:t>
      </w:r>
      <w:hyperlink r:id="rId34" w:history="1">
        <w:r w:rsidRPr="00433158">
          <w:rPr>
            <w:rStyle w:val="Hyperlink"/>
            <w:lang w:eastAsia="ja-JP"/>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5"/>
          <w:footerReference w:type="default" r:id="rId3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544F90" w14:paraId="3C0C07BF" w14:textId="77777777" w:rsidTr="007452E8">
        <w:trPr>
          <w:trHeight w:hRule="exact" w:val="565"/>
          <w:jc w:val="center"/>
        </w:trPr>
        <w:tc>
          <w:tcPr>
            <w:tcW w:w="9145" w:type="dxa"/>
          </w:tcPr>
          <w:bookmarkEnd w:id="2"/>
          <w:bookmarkEnd w:id="3"/>
          <w:p w14:paraId="7E090B86" w14:textId="77777777" w:rsidR="00F02AEC" w:rsidRPr="00544F90" w:rsidRDefault="00F02AEC" w:rsidP="007452E8">
            <w:pPr>
              <w:pStyle w:val="TGASignoff"/>
              <w:rPr>
                <w:rFonts w:cs="Arial"/>
              </w:rPr>
            </w:pPr>
            <w:r w:rsidRPr="00544F90">
              <w:rPr>
                <w:rFonts w:cs="Arial"/>
              </w:rPr>
              <w:lastRenderedPageBreak/>
              <w:t>Therapeutic Goods Administration</w:t>
            </w:r>
          </w:p>
        </w:tc>
      </w:tr>
      <w:tr w:rsidR="00F02AEC" w:rsidRPr="00544F90" w14:paraId="70F47EA1" w14:textId="77777777" w:rsidTr="007452E8">
        <w:trPr>
          <w:trHeight w:val="963"/>
          <w:jc w:val="center"/>
        </w:trPr>
        <w:tc>
          <w:tcPr>
            <w:tcW w:w="9145" w:type="dxa"/>
            <w:tcMar>
              <w:top w:w="28" w:type="dxa"/>
            </w:tcMar>
          </w:tcPr>
          <w:p w14:paraId="3491EBCD" w14:textId="77777777" w:rsidR="00F02AEC" w:rsidRPr="00544F90" w:rsidRDefault="00F02AEC" w:rsidP="007452E8">
            <w:pPr>
              <w:pStyle w:val="Address"/>
              <w:jc w:val="center"/>
              <w:rPr>
                <w:rFonts w:cs="Arial"/>
              </w:rPr>
            </w:pPr>
            <w:r w:rsidRPr="00544F90">
              <w:rPr>
                <w:rFonts w:cs="Arial"/>
              </w:rPr>
              <w:t>PO Box 100 Woden ACT 2606 Australia</w:t>
            </w:r>
          </w:p>
          <w:p w14:paraId="5D0FE0E7" w14:textId="3EAC2BBC" w:rsidR="00F02AEC" w:rsidRPr="00544F90" w:rsidRDefault="00F02AEC">
            <w:pPr>
              <w:pStyle w:val="Address"/>
              <w:jc w:val="center"/>
              <w:rPr>
                <w:rFonts w:cs="Arial"/>
                <w:sz w:val="22"/>
                <w:szCs w:val="22"/>
              </w:rPr>
            </w:pPr>
            <w:r w:rsidRPr="00544F90">
              <w:rPr>
                <w:rFonts w:cs="Arial"/>
              </w:rPr>
              <w:t xml:space="preserve">Email: </w:t>
            </w:r>
            <w:hyperlink r:id="rId37" w:history="1">
              <w:r w:rsidRPr="00544F90">
                <w:rPr>
                  <w:rStyle w:val="Hyperlink"/>
                  <w:rFonts w:ascii="Arial" w:hAnsi="Arial" w:cs="Arial"/>
                </w:rPr>
                <w:t>info@tga.gov.au</w:t>
              </w:r>
            </w:hyperlink>
            <w:r w:rsidR="00692116">
              <w:rPr>
                <w:rFonts w:cs="Arial"/>
              </w:rPr>
              <w:t xml:space="preserve"> </w:t>
            </w:r>
            <w:r w:rsidRPr="00544F90">
              <w:rPr>
                <w:rFonts w:cs="Arial"/>
              </w:rPr>
              <w:t>Phone: 1800 020 653</w:t>
            </w:r>
            <w:r w:rsidR="00692116">
              <w:rPr>
                <w:rFonts w:cs="Arial"/>
              </w:rPr>
              <w:t xml:space="preserve"> </w:t>
            </w:r>
            <w:r w:rsidRPr="00544F90">
              <w:rPr>
                <w:rFonts w:cs="Arial"/>
              </w:rPr>
              <w:t>Fax: 02 6203 1605</w:t>
            </w:r>
          </w:p>
          <w:p w14:paraId="4533D80F" w14:textId="1519D7A3" w:rsidR="00F02AEC" w:rsidRPr="00544F90" w:rsidRDefault="00F02AEC">
            <w:pPr>
              <w:pStyle w:val="Address"/>
              <w:jc w:val="center"/>
              <w:rPr>
                <w:rStyle w:val="Hyperlink"/>
                <w:rFonts w:ascii="Arial" w:hAnsi="Arial" w:cs="Arial"/>
                <w:b/>
                <w:color w:val="auto"/>
                <w:sz w:val="22"/>
              </w:rPr>
            </w:pPr>
            <w:hyperlink r:id="rId38" w:history="1">
              <w:r w:rsidRPr="00544F90">
                <w:rPr>
                  <w:rStyle w:val="Hyperlink"/>
                  <w:rFonts w:ascii="Arial" w:hAnsi="Arial" w:cs="Arial"/>
                  <w:b/>
                </w:rPr>
                <w:t>https://www.tga.gov.au</w:t>
              </w:r>
            </w:hyperlink>
          </w:p>
        </w:tc>
      </w:tr>
      <w:tr w:rsidR="00F02AEC" w:rsidRPr="00544F90" w14:paraId="2AD74347" w14:textId="77777777" w:rsidTr="007452E8">
        <w:trPr>
          <w:trHeight w:val="251"/>
          <w:jc w:val="center"/>
        </w:trPr>
        <w:tc>
          <w:tcPr>
            <w:tcW w:w="9145" w:type="dxa"/>
            <w:tcMar>
              <w:top w:w="28" w:type="dxa"/>
            </w:tcMar>
          </w:tcPr>
          <w:p w14:paraId="6EAAD5C1" w14:textId="645287FA" w:rsidR="00F02AEC" w:rsidRPr="00544F90" w:rsidRDefault="00F02AEC" w:rsidP="007452E8">
            <w:pPr>
              <w:pStyle w:val="Address"/>
              <w:jc w:val="center"/>
              <w:rPr>
                <w:rFonts w:cs="Arial"/>
              </w:rPr>
            </w:pPr>
          </w:p>
        </w:tc>
      </w:tr>
    </w:tbl>
    <w:p w14:paraId="788B80FD" w14:textId="77777777" w:rsidR="007452E8" w:rsidRDefault="007452E8"/>
    <w:sectPr w:rsidR="007452E8" w:rsidSect="007452E8">
      <w:headerReference w:type="first" r:id="rId39"/>
      <w:footerReference w:type="first" r:id="rId4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2CB28" w14:textId="77777777" w:rsidR="00374508" w:rsidRDefault="00374508" w:rsidP="00F02AEC">
      <w:pPr>
        <w:spacing w:after="0" w:line="240" w:lineRule="auto"/>
      </w:pPr>
      <w:r>
        <w:separator/>
      </w:r>
    </w:p>
  </w:endnote>
  <w:endnote w:type="continuationSeparator" w:id="0">
    <w:p w14:paraId="20606794" w14:textId="77777777" w:rsidR="00374508" w:rsidRDefault="00374508" w:rsidP="00F02AEC">
      <w:pPr>
        <w:spacing w:after="0" w:line="240" w:lineRule="auto"/>
      </w:pPr>
      <w:r>
        <w:continuationSeparator/>
      </w:r>
    </w:p>
  </w:endnote>
  <w:endnote w:type="continuationNotice" w:id="1">
    <w:p w14:paraId="1639C8CF" w14:textId="77777777" w:rsidR="00374508" w:rsidRDefault="00374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95BDA43" w:rsidR="007452E8" w:rsidRPr="003C49E8" w:rsidRDefault="007452E8" w:rsidP="007452E8">
          <w:pPr>
            <w:pStyle w:val="Footer"/>
            <w:rPr>
              <w:lang w:val="nl-NL"/>
            </w:rPr>
          </w:pPr>
          <w:r w:rsidRPr="003C49E8">
            <w:rPr>
              <w:lang w:val="nl-NL"/>
            </w:rPr>
            <w:t xml:space="preserve">AusPAR - </w:t>
          </w:r>
          <w:r w:rsidR="00DE7EFF" w:rsidRPr="003C49E8">
            <w:rPr>
              <w:lang w:val="nl-NL"/>
            </w:rPr>
            <w:t>Opsynvi</w:t>
          </w:r>
          <w:r w:rsidRPr="003C49E8">
            <w:rPr>
              <w:lang w:val="nl-NL"/>
            </w:rPr>
            <w:t xml:space="preserve"> </w:t>
          </w:r>
          <w:r w:rsidR="00DE7EFF" w:rsidRPr="003C49E8">
            <w:rPr>
              <w:lang w:val="nl-NL"/>
            </w:rPr>
            <w:t>–</w:t>
          </w:r>
          <w:r w:rsidRPr="003C49E8">
            <w:rPr>
              <w:lang w:val="nl-NL"/>
            </w:rPr>
            <w:t xml:space="preserve"> </w:t>
          </w:r>
          <w:r w:rsidR="00DE7EFF" w:rsidRPr="003C49E8">
            <w:rPr>
              <w:lang w:val="nl-NL"/>
            </w:rPr>
            <w:t xml:space="preserve">macitentan/tadalafil </w:t>
          </w:r>
          <w:r w:rsidR="008C754C" w:rsidRPr="003C49E8">
            <w:rPr>
              <w:lang w:val="nl-NL"/>
            </w:rPr>
            <w:t>-</w:t>
          </w:r>
          <w:r w:rsidRPr="003C49E8">
            <w:rPr>
              <w:lang w:val="nl-NL"/>
            </w:rPr>
            <w:t xml:space="preserve"> </w:t>
          </w:r>
          <w:r w:rsidR="00DE7EFF" w:rsidRPr="003C49E8">
            <w:rPr>
              <w:lang w:val="nl-NL"/>
            </w:rPr>
            <w:t xml:space="preserve">Janssen-Cilag Pty Ltd </w:t>
          </w:r>
          <w:r w:rsidRPr="003C49E8">
            <w:rPr>
              <w:lang w:val="nl-NL"/>
            </w:rPr>
            <w:t xml:space="preserve">- </w:t>
          </w:r>
          <w:bookmarkStart w:id="65" w:name="_Hlk194927257"/>
          <w:r w:rsidR="00C07A03" w:rsidRPr="003C49E8">
            <w:rPr>
              <w:lang w:val="nl-NL"/>
            </w:rPr>
            <w:t>PM-2023-03702-1-3</w:t>
          </w:r>
          <w:bookmarkEnd w:id="65"/>
          <w:r w:rsidRPr="003C49E8">
            <w:rPr>
              <w:lang w:val="nl-NL"/>
            </w:rPr>
            <w:br/>
          </w:r>
          <w:r w:rsidR="00922D5C">
            <w:rPr>
              <w:lang w:val="nl-NL"/>
            </w:rPr>
            <w:t>Final</w:t>
          </w:r>
          <w:r w:rsidR="007D47E2" w:rsidRPr="003C49E8">
            <w:rPr>
              <w:lang w:val="nl-NL"/>
            </w:rPr>
            <w:t xml:space="preserve"> </w:t>
          </w:r>
          <w:r w:rsidR="00922D5C">
            <w:rPr>
              <w:lang w:val="nl-NL"/>
            </w:rPr>
            <w:t>23</w:t>
          </w:r>
          <w:r w:rsidR="00CB0C9C">
            <w:rPr>
              <w:lang w:val="nl-NL"/>
            </w:rPr>
            <w:t xml:space="preserve"> June </w:t>
          </w:r>
          <w:r w:rsidR="007D47E2" w:rsidRPr="003C49E8">
            <w:rPr>
              <w:lang w:val="nl-NL"/>
            </w:rPr>
            <w:t>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9D26" w14:textId="77777777" w:rsidR="00374508" w:rsidRDefault="00374508" w:rsidP="00F02AEC">
      <w:pPr>
        <w:spacing w:after="0" w:line="240" w:lineRule="auto"/>
      </w:pPr>
      <w:r>
        <w:separator/>
      </w:r>
    </w:p>
  </w:footnote>
  <w:footnote w:type="continuationSeparator" w:id="0">
    <w:p w14:paraId="40E3DAAA" w14:textId="77777777" w:rsidR="00374508" w:rsidRDefault="00374508" w:rsidP="00F02AEC">
      <w:pPr>
        <w:spacing w:after="0" w:line="240" w:lineRule="auto"/>
      </w:pPr>
      <w:r>
        <w:continuationSeparator/>
      </w:r>
    </w:p>
  </w:footnote>
  <w:footnote w:type="continuationNotice" w:id="1">
    <w:p w14:paraId="79F4E7D8" w14:textId="77777777" w:rsidR="00374508" w:rsidRDefault="00374508">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6FBB3C06" w14:textId="509BAA9B" w:rsidR="0013418D" w:rsidRDefault="0013418D">
      <w:pPr>
        <w:pStyle w:val="FootnoteText"/>
      </w:pPr>
      <w:r>
        <w:rPr>
          <w:rStyle w:val="FootnoteReference"/>
        </w:rPr>
        <w:footnoteRef/>
      </w:r>
      <w:r>
        <w:t xml:space="preserve"> </w:t>
      </w:r>
      <w:r w:rsidR="00053D2D" w:rsidRPr="00053D2D">
        <w:t xml:space="preserve">Humbert, M. (2022). 2022 ESC/ERS Guidelines for the diagnosis and treatment of pulmonary hypertension. </w:t>
      </w:r>
      <w:proofErr w:type="spellStart"/>
      <w:r w:rsidR="00053D2D" w:rsidRPr="00053D2D">
        <w:t>Eur</w:t>
      </w:r>
      <w:proofErr w:type="spellEnd"/>
      <w:r w:rsidR="00053D2D" w:rsidRPr="00053D2D">
        <w:t xml:space="preserve"> Respir J, 1-141.</w:t>
      </w:r>
    </w:p>
  </w:footnote>
  <w:footnote w:id="4">
    <w:p w14:paraId="01301BF8" w14:textId="1014E1E5" w:rsidR="00445C3C" w:rsidRDefault="00445C3C">
      <w:pPr>
        <w:pStyle w:val="FootnoteText"/>
      </w:pPr>
      <w:r>
        <w:rPr>
          <w:rStyle w:val="FootnoteReference"/>
        </w:rPr>
        <w:footnoteRef/>
      </w:r>
      <w:r>
        <w:t xml:space="preserve"> </w:t>
      </w:r>
      <w:r w:rsidRPr="00AA6BEE">
        <w:t>Sildenafil</w:t>
      </w:r>
      <w:r>
        <w:t xml:space="preserve"> </w:t>
      </w:r>
      <w:r w:rsidR="001A4883">
        <w:t xml:space="preserve">was first </w:t>
      </w:r>
      <w:r w:rsidR="00BE666C">
        <w:t xml:space="preserve">registered in Australia on </w:t>
      </w:r>
      <w:r w:rsidR="007A5F54">
        <w:t>4 September 1998</w:t>
      </w:r>
      <w:r w:rsidR="00FD3CF2">
        <w:t>.</w:t>
      </w:r>
    </w:p>
  </w:footnote>
  <w:footnote w:id="5">
    <w:p w14:paraId="23BBF8F1" w14:textId="0B5A3834" w:rsidR="006A024B" w:rsidRDefault="006A024B">
      <w:pPr>
        <w:pStyle w:val="FootnoteText"/>
      </w:pPr>
      <w:r>
        <w:rPr>
          <w:rStyle w:val="FootnoteReference"/>
        </w:rPr>
        <w:footnoteRef/>
      </w:r>
      <w:r>
        <w:t xml:space="preserve"> Tadalafil</w:t>
      </w:r>
      <w:r w:rsidR="007A2AB7">
        <w:t xml:space="preserve"> was first registered in Australia on 23 October 2002.</w:t>
      </w:r>
    </w:p>
  </w:footnote>
  <w:footnote w:id="6">
    <w:p w14:paraId="3E1E439D" w14:textId="16F2DE1C" w:rsidR="003551C4" w:rsidRDefault="003551C4">
      <w:pPr>
        <w:pStyle w:val="FootnoteText"/>
      </w:pPr>
      <w:r>
        <w:rPr>
          <w:rStyle w:val="FootnoteReference"/>
        </w:rPr>
        <w:footnoteRef/>
      </w:r>
      <w:r>
        <w:t xml:space="preserve"> </w:t>
      </w:r>
      <w:proofErr w:type="spellStart"/>
      <w:r w:rsidR="003771D4" w:rsidRPr="003551C4">
        <w:t>Ambrisentan</w:t>
      </w:r>
      <w:proofErr w:type="spellEnd"/>
      <w:r w:rsidR="003771D4">
        <w:t xml:space="preserve"> was first registered in Australia on </w:t>
      </w:r>
      <w:r w:rsidR="00B43D70">
        <w:t>24 November 200</w:t>
      </w:r>
      <w:r w:rsidR="00327EFC">
        <w:t>8</w:t>
      </w:r>
      <w:r w:rsidR="00B43D70">
        <w:t>.</w:t>
      </w:r>
    </w:p>
  </w:footnote>
  <w:footnote w:id="7">
    <w:p w14:paraId="6E9EEF84" w14:textId="2568B6AB" w:rsidR="00A61597" w:rsidRDefault="00A61597">
      <w:pPr>
        <w:pStyle w:val="FootnoteText"/>
      </w:pPr>
      <w:r>
        <w:rPr>
          <w:rStyle w:val="FootnoteReference"/>
        </w:rPr>
        <w:footnoteRef/>
      </w:r>
      <w:r>
        <w:t xml:space="preserve"> </w:t>
      </w:r>
      <w:proofErr w:type="spellStart"/>
      <w:r w:rsidR="00DD5211" w:rsidRPr="003551C4">
        <w:t>Bosentan</w:t>
      </w:r>
      <w:proofErr w:type="spellEnd"/>
      <w:r w:rsidR="00DD5211">
        <w:t xml:space="preserve"> was first registered in Australia on </w:t>
      </w:r>
      <w:r w:rsidR="00327EFC">
        <w:t>20 November 2002.</w:t>
      </w:r>
    </w:p>
  </w:footnote>
  <w:footnote w:id="8">
    <w:p w14:paraId="78561E1F" w14:textId="19E09037" w:rsidR="005825D7" w:rsidRDefault="005825D7">
      <w:pPr>
        <w:pStyle w:val="FootnoteText"/>
      </w:pPr>
      <w:r>
        <w:rPr>
          <w:rStyle w:val="FootnoteReference"/>
        </w:rPr>
        <w:footnoteRef/>
      </w:r>
      <w:r>
        <w:t xml:space="preserve"> </w:t>
      </w:r>
      <w:r w:rsidR="00FA69E2">
        <w:t xml:space="preserve">Macitentan was first registered in Australia on </w:t>
      </w:r>
      <w:r w:rsidR="00425C28">
        <w:t>5 February 2014.</w:t>
      </w:r>
    </w:p>
  </w:footnote>
  <w:footnote w:id="9">
    <w:p w14:paraId="5A45C47A" w14:textId="5372D89B" w:rsidR="008C2E63" w:rsidRDefault="008C2E63">
      <w:pPr>
        <w:pStyle w:val="FootnoteText"/>
      </w:pPr>
      <w:r>
        <w:rPr>
          <w:rStyle w:val="FootnoteReference"/>
        </w:rPr>
        <w:footnoteRef/>
      </w:r>
      <w:r>
        <w:t xml:space="preserve"> </w:t>
      </w:r>
      <w:proofErr w:type="spellStart"/>
      <w:r w:rsidR="00C0388E" w:rsidRPr="008C2E63">
        <w:t>Iloprost</w:t>
      </w:r>
      <w:proofErr w:type="spellEnd"/>
      <w:r w:rsidR="00C0388E">
        <w:t xml:space="preserve"> was first registered in Australia on </w:t>
      </w:r>
      <w:r w:rsidR="00D87403">
        <w:t>21 January 2004.</w:t>
      </w:r>
    </w:p>
  </w:footnote>
  <w:footnote w:id="10">
    <w:p w14:paraId="0914F268" w14:textId="227E599D" w:rsidR="008C2E63" w:rsidRDefault="008C2E63">
      <w:pPr>
        <w:pStyle w:val="FootnoteText"/>
      </w:pPr>
      <w:r>
        <w:rPr>
          <w:rStyle w:val="FootnoteReference"/>
        </w:rPr>
        <w:footnoteRef/>
      </w:r>
      <w:r>
        <w:t xml:space="preserve"> </w:t>
      </w:r>
      <w:proofErr w:type="spellStart"/>
      <w:r w:rsidR="003F2205" w:rsidRPr="008C2E63">
        <w:t>Epoprostenol</w:t>
      </w:r>
      <w:proofErr w:type="spellEnd"/>
      <w:r w:rsidR="003F2205">
        <w:t xml:space="preserve"> was first registered in Australia on 28 February 2014.</w:t>
      </w:r>
    </w:p>
  </w:footnote>
  <w:footnote w:id="11">
    <w:p w14:paraId="1BC8E5C6" w14:textId="5F8AEFA3" w:rsidR="008C2E63" w:rsidRDefault="008C2E63">
      <w:pPr>
        <w:pStyle w:val="FootnoteText"/>
      </w:pPr>
      <w:r>
        <w:rPr>
          <w:rStyle w:val="FootnoteReference"/>
        </w:rPr>
        <w:footnoteRef/>
      </w:r>
      <w:r>
        <w:t xml:space="preserve"> </w:t>
      </w:r>
      <w:r w:rsidR="00B04AB1" w:rsidRPr="008C2E63">
        <w:t>Selexipag</w:t>
      </w:r>
      <w:r w:rsidR="00B04AB1">
        <w:t xml:space="preserve"> was first registered in Australia on 24 March 2016.</w:t>
      </w:r>
    </w:p>
  </w:footnote>
  <w:footnote w:id="12">
    <w:p w14:paraId="72F85FFD" w14:textId="0BAEAB2D" w:rsidR="00625C37" w:rsidRDefault="00625C37">
      <w:pPr>
        <w:pStyle w:val="FootnoteText"/>
      </w:pPr>
      <w:r>
        <w:rPr>
          <w:rStyle w:val="FootnoteReference"/>
        </w:rPr>
        <w:footnoteRef/>
      </w:r>
      <w:r>
        <w:t xml:space="preserve"> </w:t>
      </w:r>
      <w:proofErr w:type="spellStart"/>
      <w:r w:rsidR="000D408F" w:rsidRPr="00625C37">
        <w:t>Riociguat</w:t>
      </w:r>
      <w:proofErr w:type="spellEnd"/>
      <w:r w:rsidR="000D408F">
        <w:t xml:space="preserve"> was first registered in Australia on 14 April 2014.</w:t>
      </w:r>
    </w:p>
  </w:footnote>
  <w:footnote w:id="13">
    <w:p w14:paraId="03623F02" w14:textId="560FAB17" w:rsidR="00011D73" w:rsidRDefault="00011D73">
      <w:pPr>
        <w:pStyle w:val="FootnoteText"/>
      </w:pPr>
      <w:r>
        <w:rPr>
          <w:rStyle w:val="FootnoteReference"/>
        </w:rPr>
        <w:footnoteRef/>
      </w:r>
      <w:r>
        <w:t xml:space="preserve"> </w:t>
      </w:r>
      <w:r w:rsidR="0001205A" w:rsidRPr="0001205A">
        <w:t>Klinger, J. (2019). Therapy for Pulmonary Arterial Hypertension in Adults. CHEST, 155(3), 565-586.</w:t>
      </w:r>
    </w:p>
  </w:footnote>
  <w:footnote w:id="14">
    <w:p w14:paraId="3FF6EBA2" w14:textId="62B07F55" w:rsidR="000E5FD5" w:rsidRDefault="000E5FD5" w:rsidP="000E5FD5">
      <w:pPr>
        <w:pStyle w:val="FootnoteText"/>
      </w:pPr>
      <w:r>
        <w:rPr>
          <w:rStyle w:val="FootnoteReference"/>
        </w:rPr>
        <w:footnoteRef/>
      </w:r>
      <w:r>
        <w:t xml:space="preserve"> </w:t>
      </w:r>
      <w:r w:rsidRPr="00AD0111">
        <w:t xml:space="preserve"> </w:t>
      </w:r>
      <w:r>
        <w:t>In this report the ‘</w:t>
      </w:r>
      <w:r w:rsidRPr="00C133A3">
        <w:t>Delegate</w:t>
      </w:r>
      <w:r>
        <w:t>’</w:t>
      </w:r>
      <w:r w:rsidRPr="00C133A3">
        <w:t xml:space="preserve"> </w:t>
      </w:r>
      <w:r>
        <w:t xml:space="preserve">is the </w:t>
      </w:r>
      <w:r w:rsidRPr="00C133A3">
        <w:t>Delegate of the Secretary of the Department of Health</w:t>
      </w:r>
      <w:r w:rsidR="004D2086">
        <w:t>, Disability</w:t>
      </w:r>
      <w:r w:rsidRPr="00C133A3">
        <w:t xml:space="preserve"> and Age</w:t>
      </w:r>
      <w:r w:rsidR="004D2086">
        <w:t>ing</w:t>
      </w:r>
      <w:r w:rsidRPr="00C133A3">
        <w:t xml:space="preserve"> who </w:t>
      </w:r>
      <w:r>
        <w:t>decided the submission</w:t>
      </w:r>
      <w:r w:rsidRPr="00C133A3">
        <w:t xml:space="preserve"> under section 25 of the Act.</w:t>
      </w:r>
    </w:p>
  </w:footnote>
  <w:footnote w:id="15">
    <w:p w14:paraId="4C34FB98" w14:textId="3445BABD" w:rsidR="00F17E17" w:rsidRDefault="00F17E17">
      <w:pPr>
        <w:pStyle w:val="FootnoteText"/>
      </w:pPr>
      <w:r>
        <w:rPr>
          <w:rStyle w:val="FootnoteReference"/>
        </w:rPr>
        <w:footnoteRef/>
      </w:r>
      <w:r>
        <w:t xml:space="preserve"> Sponsor clarification: results should be considered in the context that the A DUE open-label period of the study is ongoing, and the duration of follow-up is variable</w:t>
      </w:r>
      <w:r w:rsidRPr="00D166E0">
        <w:t>.</w:t>
      </w:r>
    </w:p>
  </w:footnote>
  <w:footnote w:id="16">
    <w:p w14:paraId="5C50556C" w14:textId="33617122" w:rsidR="00595D34" w:rsidRDefault="00595D34">
      <w:pPr>
        <w:pStyle w:val="FootnoteText"/>
      </w:pPr>
      <w:r>
        <w:rPr>
          <w:rStyle w:val="FootnoteReference"/>
        </w:rPr>
        <w:footnoteRef/>
      </w:r>
      <w:r>
        <w:t xml:space="preserve"> Sponsor clarification: neither death was assessed by investigators as related to study treatment.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63DD1"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703898737" name="Picture 70389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29A413D3" w:rsidR="007452E8" w:rsidRDefault="001D647F" w:rsidP="007452E8">
    <w:pPr>
      <w:rPr>
        <w:noProof/>
      </w:rPr>
    </w:pPr>
    <w:r>
      <w:rPr>
        <w:noProof/>
      </w:rPr>
      <w:drawing>
        <wp:inline distT="0" distB="0" distL="0" distR="0" wp14:anchorId="7275465B" wp14:editId="03F6D82B">
          <wp:extent cx="3344545" cy="694055"/>
          <wp:effectExtent l="0" t="0" r="8255" b="0"/>
          <wp:docPr id="1596027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EE23F8" w:rsidRPr="002B29B2">
      <w:rPr>
        <w:noProof/>
        <w:lang w:val="en-GB" w:eastAsia="en-GB"/>
      </w:rPr>
      <w:drawing>
        <wp:anchor distT="0" distB="0" distL="114300" distR="114300" simplePos="0" relativeHeight="251658240" behindDoc="0" locked="0" layoutInCell="0" allowOverlap="1" wp14:anchorId="14BBEAC1" wp14:editId="673F61C7">
          <wp:simplePos x="0" y="0"/>
          <wp:positionH relativeFrom="page">
            <wp:posOffset>0</wp:posOffset>
          </wp:positionH>
          <wp:positionV relativeFrom="page">
            <wp:posOffset>3677285</wp:posOffset>
          </wp:positionV>
          <wp:extent cx="7663815" cy="4323091"/>
          <wp:effectExtent l="0" t="0" r="0" b="1270"/>
          <wp:wrapNone/>
          <wp:docPr id="681064148" name="Picture 68106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08CD"/>
    <w:multiLevelType w:val="hybridMultilevel"/>
    <w:tmpl w:val="FE941B9A"/>
    <w:lvl w:ilvl="0" w:tplc="0A40BC96">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9F4494F"/>
    <w:multiLevelType w:val="hybridMultilevel"/>
    <w:tmpl w:val="E80CBAF2"/>
    <w:lvl w:ilvl="0" w:tplc="6C268DA2">
      <w:numFmt w:val="bullet"/>
      <w:lvlText w:val="*"/>
      <w:lvlJc w:val="left"/>
      <w:pPr>
        <w:ind w:left="720" w:hanging="360"/>
      </w:pPr>
      <w:rPr>
        <w:rFonts w:ascii="Cambria" w:eastAsia="Times New Roman" w:hAnsi="Cambria"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300C0938"/>
    <w:multiLevelType w:val="hybridMultilevel"/>
    <w:tmpl w:val="8CAAC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567C03"/>
    <w:multiLevelType w:val="hybridMultilevel"/>
    <w:tmpl w:val="B8BA4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026F3C"/>
    <w:multiLevelType w:val="hybridMultilevel"/>
    <w:tmpl w:val="E940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62E1248D"/>
    <w:multiLevelType w:val="hybridMultilevel"/>
    <w:tmpl w:val="6C3A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8" w15:restartNumberingAfterBreak="0">
    <w:nsid w:val="7E1C57B3"/>
    <w:multiLevelType w:val="hybridMultilevel"/>
    <w:tmpl w:val="D0E0D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4"/>
  </w:num>
  <w:num w:numId="2" w16cid:durableId="1856573705">
    <w:abstractNumId w:val="1"/>
  </w:num>
  <w:num w:numId="3" w16cid:durableId="357703499">
    <w:abstractNumId w:val="3"/>
  </w:num>
  <w:num w:numId="4" w16cid:durableId="1869176708">
    <w:abstractNumId w:val="13"/>
  </w:num>
  <w:num w:numId="5" w16cid:durableId="1652950129">
    <w:abstractNumId w:val="7"/>
  </w:num>
  <w:num w:numId="6" w16cid:durableId="1053193207">
    <w:abstractNumId w:val="11"/>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2"/>
  </w:num>
  <w:num w:numId="9" w16cid:durableId="173421270">
    <w:abstractNumId w:val="2"/>
  </w:num>
  <w:num w:numId="10" w16cid:durableId="2108043357">
    <w:abstractNumId w:val="5"/>
  </w:num>
  <w:num w:numId="11" w16cid:durableId="1725904230">
    <w:abstractNumId w:val="10"/>
  </w:num>
  <w:num w:numId="12" w16cid:durableId="141579354">
    <w:abstractNumId w:val="15"/>
  </w:num>
  <w:num w:numId="13" w16cid:durableId="283735081">
    <w:abstractNumId w:val="17"/>
  </w:num>
  <w:num w:numId="14" w16cid:durableId="1319310109">
    <w:abstractNumId w:val="16"/>
  </w:num>
  <w:num w:numId="15" w16cid:durableId="1746415413">
    <w:abstractNumId w:val="9"/>
  </w:num>
  <w:num w:numId="16" w16cid:durableId="1010332916">
    <w:abstractNumId w:val="18"/>
  </w:num>
  <w:num w:numId="17" w16cid:durableId="1684942419">
    <w:abstractNumId w:val="14"/>
  </w:num>
  <w:num w:numId="18" w16cid:durableId="430703796">
    <w:abstractNumId w:val="8"/>
  </w:num>
  <w:num w:numId="19" w16cid:durableId="178393912">
    <w:abstractNumId w:val="0"/>
  </w:num>
  <w:num w:numId="20" w16cid:durableId="19037116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DF6"/>
    <w:rsid w:val="00002EA9"/>
    <w:rsid w:val="0000389E"/>
    <w:rsid w:val="00004431"/>
    <w:rsid w:val="00005062"/>
    <w:rsid w:val="0001064C"/>
    <w:rsid w:val="00011D73"/>
    <w:rsid w:val="0001205A"/>
    <w:rsid w:val="0001384A"/>
    <w:rsid w:val="00014A91"/>
    <w:rsid w:val="000157C7"/>
    <w:rsid w:val="000160F8"/>
    <w:rsid w:val="00026734"/>
    <w:rsid w:val="00026DE8"/>
    <w:rsid w:val="00032A0F"/>
    <w:rsid w:val="00033F83"/>
    <w:rsid w:val="00036A19"/>
    <w:rsid w:val="00040D8D"/>
    <w:rsid w:val="00041D4B"/>
    <w:rsid w:val="00042D48"/>
    <w:rsid w:val="00046423"/>
    <w:rsid w:val="00053D2D"/>
    <w:rsid w:val="00056404"/>
    <w:rsid w:val="00056A5A"/>
    <w:rsid w:val="00056EFD"/>
    <w:rsid w:val="0006104E"/>
    <w:rsid w:val="000640BD"/>
    <w:rsid w:val="00065839"/>
    <w:rsid w:val="00065FDF"/>
    <w:rsid w:val="000660DA"/>
    <w:rsid w:val="000731CD"/>
    <w:rsid w:val="00073B38"/>
    <w:rsid w:val="000761A4"/>
    <w:rsid w:val="00077844"/>
    <w:rsid w:val="000820B8"/>
    <w:rsid w:val="0008329B"/>
    <w:rsid w:val="00090510"/>
    <w:rsid w:val="000917AE"/>
    <w:rsid w:val="00094B81"/>
    <w:rsid w:val="000971FC"/>
    <w:rsid w:val="000975AA"/>
    <w:rsid w:val="000A1F63"/>
    <w:rsid w:val="000A20D1"/>
    <w:rsid w:val="000A46EE"/>
    <w:rsid w:val="000B212A"/>
    <w:rsid w:val="000B5E00"/>
    <w:rsid w:val="000B6B15"/>
    <w:rsid w:val="000C0493"/>
    <w:rsid w:val="000C25A7"/>
    <w:rsid w:val="000C2F6A"/>
    <w:rsid w:val="000C307A"/>
    <w:rsid w:val="000C30BB"/>
    <w:rsid w:val="000C3D96"/>
    <w:rsid w:val="000C4021"/>
    <w:rsid w:val="000C715F"/>
    <w:rsid w:val="000C77D3"/>
    <w:rsid w:val="000C7DFA"/>
    <w:rsid w:val="000D0946"/>
    <w:rsid w:val="000D2E5B"/>
    <w:rsid w:val="000D408F"/>
    <w:rsid w:val="000D4EE3"/>
    <w:rsid w:val="000D5369"/>
    <w:rsid w:val="000D78EC"/>
    <w:rsid w:val="000D7934"/>
    <w:rsid w:val="000D7DF1"/>
    <w:rsid w:val="000E012F"/>
    <w:rsid w:val="000E0D7C"/>
    <w:rsid w:val="000E2597"/>
    <w:rsid w:val="000E28B5"/>
    <w:rsid w:val="000E5892"/>
    <w:rsid w:val="000E5FD5"/>
    <w:rsid w:val="000E60CA"/>
    <w:rsid w:val="000E6746"/>
    <w:rsid w:val="000F5A77"/>
    <w:rsid w:val="000F6307"/>
    <w:rsid w:val="000F682D"/>
    <w:rsid w:val="000F7130"/>
    <w:rsid w:val="000F7B51"/>
    <w:rsid w:val="00101BEE"/>
    <w:rsid w:val="00101CE6"/>
    <w:rsid w:val="00101FB1"/>
    <w:rsid w:val="0010558A"/>
    <w:rsid w:val="001101FF"/>
    <w:rsid w:val="00111FEE"/>
    <w:rsid w:val="00112A3E"/>
    <w:rsid w:val="00113F9F"/>
    <w:rsid w:val="00114025"/>
    <w:rsid w:val="00114D1C"/>
    <w:rsid w:val="00115AFF"/>
    <w:rsid w:val="00120340"/>
    <w:rsid w:val="00122710"/>
    <w:rsid w:val="00123418"/>
    <w:rsid w:val="001244D4"/>
    <w:rsid w:val="0012473C"/>
    <w:rsid w:val="001248EA"/>
    <w:rsid w:val="0012539A"/>
    <w:rsid w:val="00127A74"/>
    <w:rsid w:val="0013132F"/>
    <w:rsid w:val="0013306D"/>
    <w:rsid w:val="00133A28"/>
    <w:rsid w:val="0013418D"/>
    <w:rsid w:val="0013528C"/>
    <w:rsid w:val="00135D27"/>
    <w:rsid w:val="00140001"/>
    <w:rsid w:val="001417F2"/>
    <w:rsid w:val="001442A2"/>
    <w:rsid w:val="0014681F"/>
    <w:rsid w:val="001468CA"/>
    <w:rsid w:val="001500A8"/>
    <w:rsid w:val="00153491"/>
    <w:rsid w:val="00154C87"/>
    <w:rsid w:val="00154D89"/>
    <w:rsid w:val="001559A2"/>
    <w:rsid w:val="00155D85"/>
    <w:rsid w:val="00165091"/>
    <w:rsid w:val="00165D28"/>
    <w:rsid w:val="001667AA"/>
    <w:rsid w:val="00166951"/>
    <w:rsid w:val="00166F80"/>
    <w:rsid w:val="0017005C"/>
    <w:rsid w:val="00170315"/>
    <w:rsid w:val="00175CD8"/>
    <w:rsid w:val="00180011"/>
    <w:rsid w:val="00180202"/>
    <w:rsid w:val="00182075"/>
    <w:rsid w:val="00182171"/>
    <w:rsid w:val="00182BD8"/>
    <w:rsid w:val="00185C16"/>
    <w:rsid w:val="00191CFA"/>
    <w:rsid w:val="00191DC6"/>
    <w:rsid w:val="00194822"/>
    <w:rsid w:val="001961FA"/>
    <w:rsid w:val="001969F7"/>
    <w:rsid w:val="00197046"/>
    <w:rsid w:val="001A02DB"/>
    <w:rsid w:val="001A13D7"/>
    <w:rsid w:val="001A1B2B"/>
    <w:rsid w:val="001A20C2"/>
    <w:rsid w:val="001A2FB9"/>
    <w:rsid w:val="001A3A98"/>
    <w:rsid w:val="001A4883"/>
    <w:rsid w:val="001A749E"/>
    <w:rsid w:val="001A76F9"/>
    <w:rsid w:val="001A7A3E"/>
    <w:rsid w:val="001A7A99"/>
    <w:rsid w:val="001A7B76"/>
    <w:rsid w:val="001B06FF"/>
    <w:rsid w:val="001B1703"/>
    <w:rsid w:val="001B287B"/>
    <w:rsid w:val="001B4F33"/>
    <w:rsid w:val="001B653E"/>
    <w:rsid w:val="001B7E5A"/>
    <w:rsid w:val="001C19C9"/>
    <w:rsid w:val="001C1A65"/>
    <w:rsid w:val="001C1C2E"/>
    <w:rsid w:val="001C25A8"/>
    <w:rsid w:val="001C31A1"/>
    <w:rsid w:val="001C3FA2"/>
    <w:rsid w:val="001C5CF5"/>
    <w:rsid w:val="001C5EE2"/>
    <w:rsid w:val="001D0077"/>
    <w:rsid w:val="001D1B6F"/>
    <w:rsid w:val="001D647F"/>
    <w:rsid w:val="001D7F9E"/>
    <w:rsid w:val="001E07FF"/>
    <w:rsid w:val="001E3547"/>
    <w:rsid w:val="001E3FF7"/>
    <w:rsid w:val="001E407B"/>
    <w:rsid w:val="001E4161"/>
    <w:rsid w:val="001E7FC6"/>
    <w:rsid w:val="001F1BCB"/>
    <w:rsid w:val="001F2502"/>
    <w:rsid w:val="001F2B8A"/>
    <w:rsid w:val="001F2C1B"/>
    <w:rsid w:val="001F4B9B"/>
    <w:rsid w:val="001F70A5"/>
    <w:rsid w:val="00200800"/>
    <w:rsid w:val="0020235D"/>
    <w:rsid w:val="0020369B"/>
    <w:rsid w:val="002037EC"/>
    <w:rsid w:val="00206955"/>
    <w:rsid w:val="002069A9"/>
    <w:rsid w:val="0020715E"/>
    <w:rsid w:val="00207B4D"/>
    <w:rsid w:val="002117B1"/>
    <w:rsid w:val="002144EE"/>
    <w:rsid w:val="00215BE8"/>
    <w:rsid w:val="0021721E"/>
    <w:rsid w:val="00217CCE"/>
    <w:rsid w:val="002203B1"/>
    <w:rsid w:val="00222949"/>
    <w:rsid w:val="00226F39"/>
    <w:rsid w:val="002334AD"/>
    <w:rsid w:val="002334EE"/>
    <w:rsid w:val="00234428"/>
    <w:rsid w:val="002350A6"/>
    <w:rsid w:val="00236C12"/>
    <w:rsid w:val="002412D9"/>
    <w:rsid w:val="00241B60"/>
    <w:rsid w:val="00246302"/>
    <w:rsid w:val="00246B92"/>
    <w:rsid w:val="0025072F"/>
    <w:rsid w:val="00250D28"/>
    <w:rsid w:val="00255D89"/>
    <w:rsid w:val="0025633B"/>
    <w:rsid w:val="0025785B"/>
    <w:rsid w:val="00257969"/>
    <w:rsid w:val="0026040B"/>
    <w:rsid w:val="00262CA9"/>
    <w:rsid w:val="00263054"/>
    <w:rsid w:val="00263DD1"/>
    <w:rsid w:val="00264275"/>
    <w:rsid w:val="002652CE"/>
    <w:rsid w:val="00270931"/>
    <w:rsid w:val="002756A2"/>
    <w:rsid w:val="00276B7E"/>
    <w:rsid w:val="002770A1"/>
    <w:rsid w:val="00280048"/>
    <w:rsid w:val="00281A6B"/>
    <w:rsid w:val="00282BD3"/>
    <w:rsid w:val="0028489E"/>
    <w:rsid w:val="002848DE"/>
    <w:rsid w:val="00287298"/>
    <w:rsid w:val="002875B1"/>
    <w:rsid w:val="0028794E"/>
    <w:rsid w:val="00293A22"/>
    <w:rsid w:val="0029447C"/>
    <w:rsid w:val="002956D7"/>
    <w:rsid w:val="0029661F"/>
    <w:rsid w:val="002A15BF"/>
    <w:rsid w:val="002A436B"/>
    <w:rsid w:val="002A5841"/>
    <w:rsid w:val="002B1EDF"/>
    <w:rsid w:val="002B2061"/>
    <w:rsid w:val="002B314E"/>
    <w:rsid w:val="002B357F"/>
    <w:rsid w:val="002B385C"/>
    <w:rsid w:val="002B3D67"/>
    <w:rsid w:val="002B7378"/>
    <w:rsid w:val="002B77BD"/>
    <w:rsid w:val="002C1232"/>
    <w:rsid w:val="002C1E09"/>
    <w:rsid w:val="002C1E44"/>
    <w:rsid w:val="002C36F0"/>
    <w:rsid w:val="002C51A2"/>
    <w:rsid w:val="002C5AF1"/>
    <w:rsid w:val="002C5C92"/>
    <w:rsid w:val="002C5E29"/>
    <w:rsid w:val="002C6A75"/>
    <w:rsid w:val="002D0478"/>
    <w:rsid w:val="002D130F"/>
    <w:rsid w:val="002D13E8"/>
    <w:rsid w:val="002D30F2"/>
    <w:rsid w:val="002D315B"/>
    <w:rsid w:val="002D39BB"/>
    <w:rsid w:val="002D65F0"/>
    <w:rsid w:val="002D689C"/>
    <w:rsid w:val="002D7127"/>
    <w:rsid w:val="002E21C4"/>
    <w:rsid w:val="002E272C"/>
    <w:rsid w:val="002E61B1"/>
    <w:rsid w:val="002F0A97"/>
    <w:rsid w:val="002F55C7"/>
    <w:rsid w:val="002F599E"/>
    <w:rsid w:val="003006C0"/>
    <w:rsid w:val="0030074B"/>
    <w:rsid w:val="003008D8"/>
    <w:rsid w:val="00301D9A"/>
    <w:rsid w:val="00303959"/>
    <w:rsid w:val="00306E72"/>
    <w:rsid w:val="0030705D"/>
    <w:rsid w:val="00307497"/>
    <w:rsid w:val="00310A70"/>
    <w:rsid w:val="00310E6C"/>
    <w:rsid w:val="00311DAD"/>
    <w:rsid w:val="003127C1"/>
    <w:rsid w:val="00312A01"/>
    <w:rsid w:val="00312AC3"/>
    <w:rsid w:val="00314430"/>
    <w:rsid w:val="003163BC"/>
    <w:rsid w:val="0032012A"/>
    <w:rsid w:val="0032351A"/>
    <w:rsid w:val="00324B33"/>
    <w:rsid w:val="0032611D"/>
    <w:rsid w:val="00327488"/>
    <w:rsid w:val="00327EFC"/>
    <w:rsid w:val="003350FA"/>
    <w:rsid w:val="00335153"/>
    <w:rsid w:val="00336FE1"/>
    <w:rsid w:val="003427BF"/>
    <w:rsid w:val="00342D56"/>
    <w:rsid w:val="00343073"/>
    <w:rsid w:val="00343AAE"/>
    <w:rsid w:val="003448DC"/>
    <w:rsid w:val="00344DBD"/>
    <w:rsid w:val="003456E7"/>
    <w:rsid w:val="00346EC2"/>
    <w:rsid w:val="003477F9"/>
    <w:rsid w:val="0035183F"/>
    <w:rsid w:val="0035444D"/>
    <w:rsid w:val="003551C4"/>
    <w:rsid w:val="00355B74"/>
    <w:rsid w:val="00356D62"/>
    <w:rsid w:val="00361B46"/>
    <w:rsid w:val="00361F1A"/>
    <w:rsid w:val="003621ED"/>
    <w:rsid w:val="00362B68"/>
    <w:rsid w:val="00363EE3"/>
    <w:rsid w:val="00371356"/>
    <w:rsid w:val="003735F3"/>
    <w:rsid w:val="00374508"/>
    <w:rsid w:val="00374729"/>
    <w:rsid w:val="00374BCD"/>
    <w:rsid w:val="003771D4"/>
    <w:rsid w:val="00377B82"/>
    <w:rsid w:val="00382850"/>
    <w:rsid w:val="0038400F"/>
    <w:rsid w:val="003866E0"/>
    <w:rsid w:val="00387298"/>
    <w:rsid w:val="00387984"/>
    <w:rsid w:val="00392C88"/>
    <w:rsid w:val="0039439B"/>
    <w:rsid w:val="00395140"/>
    <w:rsid w:val="003A0940"/>
    <w:rsid w:val="003A2422"/>
    <w:rsid w:val="003A3806"/>
    <w:rsid w:val="003A5259"/>
    <w:rsid w:val="003A5510"/>
    <w:rsid w:val="003B0C63"/>
    <w:rsid w:val="003B0C82"/>
    <w:rsid w:val="003B13D0"/>
    <w:rsid w:val="003B149C"/>
    <w:rsid w:val="003B40D9"/>
    <w:rsid w:val="003B4B41"/>
    <w:rsid w:val="003B5343"/>
    <w:rsid w:val="003B5979"/>
    <w:rsid w:val="003B6222"/>
    <w:rsid w:val="003C06FA"/>
    <w:rsid w:val="003C0FDB"/>
    <w:rsid w:val="003C1192"/>
    <w:rsid w:val="003C49E8"/>
    <w:rsid w:val="003C55E2"/>
    <w:rsid w:val="003C63D5"/>
    <w:rsid w:val="003C71E5"/>
    <w:rsid w:val="003C72FF"/>
    <w:rsid w:val="003C7AA8"/>
    <w:rsid w:val="003D4CDD"/>
    <w:rsid w:val="003D5858"/>
    <w:rsid w:val="003D71A1"/>
    <w:rsid w:val="003E0A84"/>
    <w:rsid w:val="003E2C2E"/>
    <w:rsid w:val="003E559B"/>
    <w:rsid w:val="003E5937"/>
    <w:rsid w:val="003F2205"/>
    <w:rsid w:val="003F2ACE"/>
    <w:rsid w:val="003F343F"/>
    <w:rsid w:val="003F5C2D"/>
    <w:rsid w:val="003F5D43"/>
    <w:rsid w:val="00402603"/>
    <w:rsid w:val="00404A2A"/>
    <w:rsid w:val="004060DF"/>
    <w:rsid w:val="00410CB2"/>
    <w:rsid w:val="00416299"/>
    <w:rsid w:val="0041688F"/>
    <w:rsid w:val="0041798A"/>
    <w:rsid w:val="0042015B"/>
    <w:rsid w:val="00420187"/>
    <w:rsid w:val="0042376F"/>
    <w:rsid w:val="004246B8"/>
    <w:rsid w:val="004248F1"/>
    <w:rsid w:val="004253E8"/>
    <w:rsid w:val="00425C28"/>
    <w:rsid w:val="00427AD6"/>
    <w:rsid w:val="00427F10"/>
    <w:rsid w:val="004326D5"/>
    <w:rsid w:val="00433318"/>
    <w:rsid w:val="004349B0"/>
    <w:rsid w:val="00434BE1"/>
    <w:rsid w:val="004352F0"/>
    <w:rsid w:val="00436322"/>
    <w:rsid w:val="00440330"/>
    <w:rsid w:val="0044047F"/>
    <w:rsid w:val="00442A56"/>
    <w:rsid w:val="004444B0"/>
    <w:rsid w:val="00445697"/>
    <w:rsid w:val="00445C3C"/>
    <w:rsid w:val="00447187"/>
    <w:rsid w:val="0045060B"/>
    <w:rsid w:val="0045098E"/>
    <w:rsid w:val="00450A99"/>
    <w:rsid w:val="00450B98"/>
    <w:rsid w:val="00454C29"/>
    <w:rsid w:val="004626FF"/>
    <w:rsid w:val="00464FD3"/>
    <w:rsid w:val="00466979"/>
    <w:rsid w:val="004677CF"/>
    <w:rsid w:val="00470A52"/>
    <w:rsid w:val="00470BA2"/>
    <w:rsid w:val="00471BD5"/>
    <w:rsid w:val="004724FA"/>
    <w:rsid w:val="00474833"/>
    <w:rsid w:val="00474BE3"/>
    <w:rsid w:val="0047605C"/>
    <w:rsid w:val="00477C4E"/>
    <w:rsid w:val="00477CF7"/>
    <w:rsid w:val="00477F07"/>
    <w:rsid w:val="004800E1"/>
    <w:rsid w:val="00480522"/>
    <w:rsid w:val="00481503"/>
    <w:rsid w:val="00481D12"/>
    <w:rsid w:val="004825BE"/>
    <w:rsid w:val="00483CCD"/>
    <w:rsid w:val="004854A6"/>
    <w:rsid w:val="00486419"/>
    <w:rsid w:val="004864F4"/>
    <w:rsid w:val="00490ABE"/>
    <w:rsid w:val="00491A55"/>
    <w:rsid w:val="00493E68"/>
    <w:rsid w:val="00494C3E"/>
    <w:rsid w:val="00495AA7"/>
    <w:rsid w:val="00497DF1"/>
    <w:rsid w:val="004A2100"/>
    <w:rsid w:val="004A318E"/>
    <w:rsid w:val="004A4925"/>
    <w:rsid w:val="004A57E8"/>
    <w:rsid w:val="004B3081"/>
    <w:rsid w:val="004B4A09"/>
    <w:rsid w:val="004B5F30"/>
    <w:rsid w:val="004C41CE"/>
    <w:rsid w:val="004C631B"/>
    <w:rsid w:val="004C63DD"/>
    <w:rsid w:val="004C662A"/>
    <w:rsid w:val="004C77B8"/>
    <w:rsid w:val="004D0A10"/>
    <w:rsid w:val="004D2086"/>
    <w:rsid w:val="004D2F00"/>
    <w:rsid w:val="004D31D8"/>
    <w:rsid w:val="004D3A50"/>
    <w:rsid w:val="004D4EC8"/>
    <w:rsid w:val="004D5388"/>
    <w:rsid w:val="004E070D"/>
    <w:rsid w:val="004E20AC"/>
    <w:rsid w:val="004E456C"/>
    <w:rsid w:val="004E7F16"/>
    <w:rsid w:val="004F18EC"/>
    <w:rsid w:val="004F5DFC"/>
    <w:rsid w:val="00500046"/>
    <w:rsid w:val="00500D68"/>
    <w:rsid w:val="00501D84"/>
    <w:rsid w:val="005025EB"/>
    <w:rsid w:val="005027C0"/>
    <w:rsid w:val="00512C86"/>
    <w:rsid w:val="00514FD8"/>
    <w:rsid w:val="00520AAB"/>
    <w:rsid w:val="005214BB"/>
    <w:rsid w:val="00522E45"/>
    <w:rsid w:val="00524BCD"/>
    <w:rsid w:val="00526902"/>
    <w:rsid w:val="005308B2"/>
    <w:rsid w:val="00530C67"/>
    <w:rsid w:val="0053377D"/>
    <w:rsid w:val="005347DB"/>
    <w:rsid w:val="00534D5A"/>
    <w:rsid w:val="005352BD"/>
    <w:rsid w:val="005353A0"/>
    <w:rsid w:val="00535DFE"/>
    <w:rsid w:val="005373B5"/>
    <w:rsid w:val="00537AB7"/>
    <w:rsid w:val="00542C20"/>
    <w:rsid w:val="00542D1E"/>
    <w:rsid w:val="00544F90"/>
    <w:rsid w:val="0054669B"/>
    <w:rsid w:val="005536E7"/>
    <w:rsid w:val="00560654"/>
    <w:rsid w:val="00560A8B"/>
    <w:rsid w:val="005610D1"/>
    <w:rsid w:val="00562F42"/>
    <w:rsid w:val="005631EF"/>
    <w:rsid w:val="00565739"/>
    <w:rsid w:val="0056766D"/>
    <w:rsid w:val="0057004A"/>
    <w:rsid w:val="005705AF"/>
    <w:rsid w:val="005749A7"/>
    <w:rsid w:val="00575215"/>
    <w:rsid w:val="00577A72"/>
    <w:rsid w:val="005813D8"/>
    <w:rsid w:val="005825D7"/>
    <w:rsid w:val="005850E2"/>
    <w:rsid w:val="0058575E"/>
    <w:rsid w:val="0058783C"/>
    <w:rsid w:val="005911AE"/>
    <w:rsid w:val="0059157B"/>
    <w:rsid w:val="00592193"/>
    <w:rsid w:val="005926E2"/>
    <w:rsid w:val="0059313A"/>
    <w:rsid w:val="005934EE"/>
    <w:rsid w:val="00595D34"/>
    <w:rsid w:val="005A0BEC"/>
    <w:rsid w:val="005A303E"/>
    <w:rsid w:val="005A4E98"/>
    <w:rsid w:val="005A54EA"/>
    <w:rsid w:val="005A6A12"/>
    <w:rsid w:val="005B023F"/>
    <w:rsid w:val="005B02A2"/>
    <w:rsid w:val="005B1417"/>
    <w:rsid w:val="005B162F"/>
    <w:rsid w:val="005B60B1"/>
    <w:rsid w:val="005B6236"/>
    <w:rsid w:val="005B69CF"/>
    <w:rsid w:val="005B77D3"/>
    <w:rsid w:val="005C32B4"/>
    <w:rsid w:val="005C3F07"/>
    <w:rsid w:val="005C4B46"/>
    <w:rsid w:val="005C4DFF"/>
    <w:rsid w:val="005C5DC5"/>
    <w:rsid w:val="005C70B9"/>
    <w:rsid w:val="005D09C5"/>
    <w:rsid w:val="005D0D5D"/>
    <w:rsid w:val="005D2089"/>
    <w:rsid w:val="005D2E9A"/>
    <w:rsid w:val="005D7514"/>
    <w:rsid w:val="005E0FC6"/>
    <w:rsid w:val="005E1A7B"/>
    <w:rsid w:val="005E231F"/>
    <w:rsid w:val="005E27D4"/>
    <w:rsid w:val="005E2CCD"/>
    <w:rsid w:val="005E3049"/>
    <w:rsid w:val="005E56CC"/>
    <w:rsid w:val="005F06FF"/>
    <w:rsid w:val="005F0E17"/>
    <w:rsid w:val="005F1230"/>
    <w:rsid w:val="005F19B8"/>
    <w:rsid w:val="005F2A16"/>
    <w:rsid w:val="005F5FD6"/>
    <w:rsid w:val="005F7BB4"/>
    <w:rsid w:val="005F7F33"/>
    <w:rsid w:val="00602D6E"/>
    <w:rsid w:val="00603261"/>
    <w:rsid w:val="0060418A"/>
    <w:rsid w:val="006046EF"/>
    <w:rsid w:val="00604FE2"/>
    <w:rsid w:val="00605606"/>
    <w:rsid w:val="00605C05"/>
    <w:rsid w:val="0060713F"/>
    <w:rsid w:val="006076CC"/>
    <w:rsid w:val="00607D31"/>
    <w:rsid w:val="00611351"/>
    <w:rsid w:val="0061217D"/>
    <w:rsid w:val="0061268A"/>
    <w:rsid w:val="0061285C"/>
    <w:rsid w:val="00612D86"/>
    <w:rsid w:val="00617B3C"/>
    <w:rsid w:val="00617D18"/>
    <w:rsid w:val="006220A9"/>
    <w:rsid w:val="006223F9"/>
    <w:rsid w:val="00623336"/>
    <w:rsid w:val="00625267"/>
    <w:rsid w:val="0062546F"/>
    <w:rsid w:val="00625C37"/>
    <w:rsid w:val="00625EC4"/>
    <w:rsid w:val="006277A1"/>
    <w:rsid w:val="00632A68"/>
    <w:rsid w:val="00632CDD"/>
    <w:rsid w:val="00633BD7"/>
    <w:rsid w:val="00634580"/>
    <w:rsid w:val="00634884"/>
    <w:rsid w:val="006351D9"/>
    <w:rsid w:val="00636E77"/>
    <w:rsid w:val="00637130"/>
    <w:rsid w:val="00637B8E"/>
    <w:rsid w:val="00637F0E"/>
    <w:rsid w:val="006423F2"/>
    <w:rsid w:val="00643CEC"/>
    <w:rsid w:val="006441A4"/>
    <w:rsid w:val="00650234"/>
    <w:rsid w:val="00650412"/>
    <w:rsid w:val="006539A5"/>
    <w:rsid w:val="0066044B"/>
    <w:rsid w:val="006630AA"/>
    <w:rsid w:val="00663544"/>
    <w:rsid w:val="00663695"/>
    <w:rsid w:val="006646A7"/>
    <w:rsid w:val="00666539"/>
    <w:rsid w:val="00666911"/>
    <w:rsid w:val="006733CB"/>
    <w:rsid w:val="00675B43"/>
    <w:rsid w:val="00675F81"/>
    <w:rsid w:val="00677531"/>
    <w:rsid w:val="0068143E"/>
    <w:rsid w:val="0068507D"/>
    <w:rsid w:val="00691432"/>
    <w:rsid w:val="00691AF2"/>
    <w:rsid w:val="00692116"/>
    <w:rsid w:val="00692207"/>
    <w:rsid w:val="00692B80"/>
    <w:rsid w:val="00692CCD"/>
    <w:rsid w:val="00692D51"/>
    <w:rsid w:val="00694DD7"/>
    <w:rsid w:val="0069636B"/>
    <w:rsid w:val="006965B6"/>
    <w:rsid w:val="00696CA9"/>
    <w:rsid w:val="006A024B"/>
    <w:rsid w:val="006A0F7E"/>
    <w:rsid w:val="006A1762"/>
    <w:rsid w:val="006A1F0B"/>
    <w:rsid w:val="006A277A"/>
    <w:rsid w:val="006A3DC9"/>
    <w:rsid w:val="006A53BA"/>
    <w:rsid w:val="006A5973"/>
    <w:rsid w:val="006A6922"/>
    <w:rsid w:val="006B7126"/>
    <w:rsid w:val="006C16EF"/>
    <w:rsid w:val="006C5933"/>
    <w:rsid w:val="006C6B86"/>
    <w:rsid w:val="006D1CA7"/>
    <w:rsid w:val="006D2B1F"/>
    <w:rsid w:val="006D4553"/>
    <w:rsid w:val="006D4A35"/>
    <w:rsid w:val="006D5DE5"/>
    <w:rsid w:val="006D6B44"/>
    <w:rsid w:val="006E12EF"/>
    <w:rsid w:val="006E27FE"/>
    <w:rsid w:val="006E545F"/>
    <w:rsid w:val="006F716B"/>
    <w:rsid w:val="00701110"/>
    <w:rsid w:val="00702E91"/>
    <w:rsid w:val="0070330F"/>
    <w:rsid w:val="00703624"/>
    <w:rsid w:val="007046ED"/>
    <w:rsid w:val="007072A1"/>
    <w:rsid w:val="00710BC5"/>
    <w:rsid w:val="00710CF6"/>
    <w:rsid w:val="007121CA"/>
    <w:rsid w:val="00715907"/>
    <w:rsid w:val="00716282"/>
    <w:rsid w:val="0072003B"/>
    <w:rsid w:val="00720EE5"/>
    <w:rsid w:val="00721059"/>
    <w:rsid w:val="007211E6"/>
    <w:rsid w:val="0072153F"/>
    <w:rsid w:val="007220C4"/>
    <w:rsid w:val="0072349C"/>
    <w:rsid w:val="00725ED8"/>
    <w:rsid w:val="00726A35"/>
    <w:rsid w:val="00732361"/>
    <w:rsid w:val="007357B9"/>
    <w:rsid w:val="00735D7B"/>
    <w:rsid w:val="007368B3"/>
    <w:rsid w:val="0073747E"/>
    <w:rsid w:val="00741AB9"/>
    <w:rsid w:val="00742D03"/>
    <w:rsid w:val="007437E7"/>
    <w:rsid w:val="00744216"/>
    <w:rsid w:val="007452E8"/>
    <w:rsid w:val="00746990"/>
    <w:rsid w:val="00747093"/>
    <w:rsid w:val="00747CC0"/>
    <w:rsid w:val="007507C5"/>
    <w:rsid w:val="00750D70"/>
    <w:rsid w:val="007532EC"/>
    <w:rsid w:val="00753B02"/>
    <w:rsid w:val="00755758"/>
    <w:rsid w:val="007575D0"/>
    <w:rsid w:val="00761145"/>
    <w:rsid w:val="007662E0"/>
    <w:rsid w:val="00775183"/>
    <w:rsid w:val="00776E9C"/>
    <w:rsid w:val="00781576"/>
    <w:rsid w:val="007816D8"/>
    <w:rsid w:val="00784150"/>
    <w:rsid w:val="00786394"/>
    <w:rsid w:val="007870F8"/>
    <w:rsid w:val="00793272"/>
    <w:rsid w:val="0079499A"/>
    <w:rsid w:val="00794B64"/>
    <w:rsid w:val="00795B5B"/>
    <w:rsid w:val="007967C3"/>
    <w:rsid w:val="007A0A33"/>
    <w:rsid w:val="007A2AB7"/>
    <w:rsid w:val="007A2DD3"/>
    <w:rsid w:val="007A3D57"/>
    <w:rsid w:val="007A5F54"/>
    <w:rsid w:val="007B04DE"/>
    <w:rsid w:val="007B0AE6"/>
    <w:rsid w:val="007B30C6"/>
    <w:rsid w:val="007B35C2"/>
    <w:rsid w:val="007B5C3B"/>
    <w:rsid w:val="007C04E2"/>
    <w:rsid w:val="007C0F0B"/>
    <w:rsid w:val="007C47F8"/>
    <w:rsid w:val="007C57BC"/>
    <w:rsid w:val="007C5B0D"/>
    <w:rsid w:val="007C6B2B"/>
    <w:rsid w:val="007C76BB"/>
    <w:rsid w:val="007C792E"/>
    <w:rsid w:val="007D04CA"/>
    <w:rsid w:val="007D0A2B"/>
    <w:rsid w:val="007D0C4C"/>
    <w:rsid w:val="007D12A1"/>
    <w:rsid w:val="007D214D"/>
    <w:rsid w:val="007D3862"/>
    <w:rsid w:val="007D40E5"/>
    <w:rsid w:val="007D4138"/>
    <w:rsid w:val="007D47E2"/>
    <w:rsid w:val="007E4178"/>
    <w:rsid w:val="007E7591"/>
    <w:rsid w:val="007E762D"/>
    <w:rsid w:val="007F0A3D"/>
    <w:rsid w:val="007F0A77"/>
    <w:rsid w:val="007F1E37"/>
    <w:rsid w:val="007F3C4B"/>
    <w:rsid w:val="007F50D3"/>
    <w:rsid w:val="007F6B1F"/>
    <w:rsid w:val="008008AA"/>
    <w:rsid w:val="0080163D"/>
    <w:rsid w:val="00802644"/>
    <w:rsid w:val="0080472E"/>
    <w:rsid w:val="00804897"/>
    <w:rsid w:val="00805072"/>
    <w:rsid w:val="00805250"/>
    <w:rsid w:val="008102C0"/>
    <w:rsid w:val="0081038F"/>
    <w:rsid w:val="0081246E"/>
    <w:rsid w:val="00825D68"/>
    <w:rsid w:val="00825D92"/>
    <w:rsid w:val="008263E7"/>
    <w:rsid w:val="008279F6"/>
    <w:rsid w:val="008301F2"/>
    <w:rsid w:val="00831D2D"/>
    <w:rsid w:val="008329DB"/>
    <w:rsid w:val="00832F51"/>
    <w:rsid w:val="0083377C"/>
    <w:rsid w:val="008361C5"/>
    <w:rsid w:val="0083628F"/>
    <w:rsid w:val="00837AB9"/>
    <w:rsid w:val="00837F16"/>
    <w:rsid w:val="0084026D"/>
    <w:rsid w:val="0084264D"/>
    <w:rsid w:val="00850637"/>
    <w:rsid w:val="00851C7A"/>
    <w:rsid w:val="00854D98"/>
    <w:rsid w:val="00856959"/>
    <w:rsid w:val="00856A4F"/>
    <w:rsid w:val="0085751E"/>
    <w:rsid w:val="00860B29"/>
    <w:rsid w:val="008614E8"/>
    <w:rsid w:val="00861D1E"/>
    <w:rsid w:val="008622E8"/>
    <w:rsid w:val="008645EE"/>
    <w:rsid w:val="00866368"/>
    <w:rsid w:val="00866D31"/>
    <w:rsid w:val="00870144"/>
    <w:rsid w:val="00873701"/>
    <w:rsid w:val="00873D7A"/>
    <w:rsid w:val="00875908"/>
    <w:rsid w:val="00876A50"/>
    <w:rsid w:val="00877CB3"/>
    <w:rsid w:val="00877E60"/>
    <w:rsid w:val="0088017D"/>
    <w:rsid w:val="008804CF"/>
    <w:rsid w:val="00882C62"/>
    <w:rsid w:val="00882D58"/>
    <w:rsid w:val="00882F19"/>
    <w:rsid w:val="00883D35"/>
    <w:rsid w:val="00884569"/>
    <w:rsid w:val="008862F5"/>
    <w:rsid w:val="00887A51"/>
    <w:rsid w:val="00890D9B"/>
    <w:rsid w:val="00891C6C"/>
    <w:rsid w:val="0089340E"/>
    <w:rsid w:val="00893CCD"/>
    <w:rsid w:val="008964B3"/>
    <w:rsid w:val="00897B23"/>
    <w:rsid w:val="008A0943"/>
    <w:rsid w:val="008A1089"/>
    <w:rsid w:val="008A15E5"/>
    <w:rsid w:val="008A3239"/>
    <w:rsid w:val="008A6E1B"/>
    <w:rsid w:val="008A6EA9"/>
    <w:rsid w:val="008B0B24"/>
    <w:rsid w:val="008B1CB5"/>
    <w:rsid w:val="008B22EA"/>
    <w:rsid w:val="008B3315"/>
    <w:rsid w:val="008B3C22"/>
    <w:rsid w:val="008C0E9E"/>
    <w:rsid w:val="008C22C4"/>
    <w:rsid w:val="008C2D69"/>
    <w:rsid w:val="008C2E63"/>
    <w:rsid w:val="008C3B4A"/>
    <w:rsid w:val="008C49C6"/>
    <w:rsid w:val="008C53D7"/>
    <w:rsid w:val="008C5F06"/>
    <w:rsid w:val="008C5FEE"/>
    <w:rsid w:val="008C64C1"/>
    <w:rsid w:val="008C69B6"/>
    <w:rsid w:val="008C754C"/>
    <w:rsid w:val="008D0DC4"/>
    <w:rsid w:val="008D0F11"/>
    <w:rsid w:val="008D56C9"/>
    <w:rsid w:val="008D6836"/>
    <w:rsid w:val="008D6A54"/>
    <w:rsid w:val="008E1237"/>
    <w:rsid w:val="008E2585"/>
    <w:rsid w:val="008E2D7A"/>
    <w:rsid w:val="008E2FD5"/>
    <w:rsid w:val="008F1179"/>
    <w:rsid w:val="008F3215"/>
    <w:rsid w:val="008F40E2"/>
    <w:rsid w:val="008F4A62"/>
    <w:rsid w:val="008F534E"/>
    <w:rsid w:val="008F7256"/>
    <w:rsid w:val="008F75EF"/>
    <w:rsid w:val="00903514"/>
    <w:rsid w:val="0090424C"/>
    <w:rsid w:val="0090605E"/>
    <w:rsid w:val="009108CE"/>
    <w:rsid w:val="009135DB"/>
    <w:rsid w:val="00913A41"/>
    <w:rsid w:val="00915A9F"/>
    <w:rsid w:val="00922A8E"/>
    <w:rsid w:val="00922D5C"/>
    <w:rsid w:val="009234B0"/>
    <w:rsid w:val="00927503"/>
    <w:rsid w:val="00930D58"/>
    <w:rsid w:val="00934273"/>
    <w:rsid w:val="00935AAA"/>
    <w:rsid w:val="0094308B"/>
    <w:rsid w:val="00943145"/>
    <w:rsid w:val="00943BB6"/>
    <w:rsid w:val="00946793"/>
    <w:rsid w:val="0095031E"/>
    <w:rsid w:val="0095238B"/>
    <w:rsid w:val="009538CB"/>
    <w:rsid w:val="00954297"/>
    <w:rsid w:val="00954F45"/>
    <w:rsid w:val="00956AAB"/>
    <w:rsid w:val="00956F88"/>
    <w:rsid w:val="00960A56"/>
    <w:rsid w:val="0096186D"/>
    <w:rsid w:val="009623A2"/>
    <w:rsid w:val="0096336C"/>
    <w:rsid w:val="009669BA"/>
    <w:rsid w:val="00966EF1"/>
    <w:rsid w:val="00967223"/>
    <w:rsid w:val="00972359"/>
    <w:rsid w:val="00973CC1"/>
    <w:rsid w:val="00973EEB"/>
    <w:rsid w:val="009751F7"/>
    <w:rsid w:val="00977E2D"/>
    <w:rsid w:val="0098090C"/>
    <w:rsid w:val="0098350E"/>
    <w:rsid w:val="00987418"/>
    <w:rsid w:val="00991D62"/>
    <w:rsid w:val="00992D5A"/>
    <w:rsid w:val="0099404F"/>
    <w:rsid w:val="00994EBD"/>
    <w:rsid w:val="0099540F"/>
    <w:rsid w:val="00995FD3"/>
    <w:rsid w:val="009968BD"/>
    <w:rsid w:val="00996FA5"/>
    <w:rsid w:val="009A528B"/>
    <w:rsid w:val="009B1155"/>
    <w:rsid w:val="009B386E"/>
    <w:rsid w:val="009B48DE"/>
    <w:rsid w:val="009B5662"/>
    <w:rsid w:val="009B5EBC"/>
    <w:rsid w:val="009B709B"/>
    <w:rsid w:val="009B7AC0"/>
    <w:rsid w:val="009C00C8"/>
    <w:rsid w:val="009C0910"/>
    <w:rsid w:val="009C1CAC"/>
    <w:rsid w:val="009C2211"/>
    <w:rsid w:val="009C3FBC"/>
    <w:rsid w:val="009C40E8"/>
    <w:rsid w:val="009C42CD"/>
    <w:rsid w:val="009C45C5"/>
    <w:rsid w:val="009C7647"/>
    <w:rsid w:val="009C7651"/>
    <w:rsid w:val="009D0BFF"/>
    <w:rsid w:val="009D0E5A"/>
    <w:rsid w:val="009E6858"/>
    <w:rsid w:val="009E6E79"/>
    <w:rsid w:val="009E6F8C"/>
    <w:rsid w:val="009F2CB9"/>
    <w:rsid w:val="009F35A5"/>
    <w:rsid w:val="009F405F"/>
    <w:rsid w:val="009F5575"/>
    <w:rsid w:val="009F75D3"/>
    <w:rsid w:val="00A01C56"/>
    <w:rsid w:val="00A0601A"/>
    <w:rsid w:val="00A101E6"/>
    <w:rsid w:val="00A107DE"/>
    <w:rsid w:val="00A11BAA"/>
    <w:rsid w:val="00A127C6"/>
    <w:rsid w:val="00A12B6B"/>
    <w:rsid w:val="00A1683D"/>
    <w:rsid w:val="00A1736E"/>
    <w:rsid w:val="00A17EF8"/>
    <w:rsid w:val="00A3263F"/>
    <w:rsid w:val="00A32C50"/>
    <w:rsid w:val="00A34D08"/>
    <w:rsid w:val="00A34E39"/>
    <w:rsid w:val="00A358E7"/>
    <w:rsid w:val="00A36C47"/>
    <w:rsid w:val="00A42274"/>
    <w:rsid w:val="00A42A58"/>
    <w:rsid w:val="00A4380B"/>
    <w:rsid w:val="00A43B0E"/>
    <w:rsid w:val="00A4653A"/>
    <w:rsid w:val="00A46BCA"/>
    <w:rsid w:val="00A47816"/>
    <w:rsid w:val="00A50898"/>
    <w:rsid w:val="00A51A2D"/>
    <w:rsid w:val="00A52190"/>
    <w:rsid w:val="00A5596B"/>
    <w:rsid w:val="00A55DE0"/>
    <w:rsid w:val="00A60238"/>
    <w:rsid w:val="00A61597"/>
    <w:rsid w:val="00A63BE9"/>
    <w:rsid w:val="00A63C07"/>
    <w:rsid w:val="00A63D9B"/>
    <w:rsid w:val="00A64777"/>
    <w:rsid w:val="00A6594C"/>
    <w:rsid w:val="00A65B5E"/>
    <w:rsid w:val="00A664B2"/>
    <w:rsid w:val="00A671DA"/>
    <w:rsid w:val="00A67DBD"/>
    <w:rsid w:val="00A704DC"/>
    <w:rsid w:val="00A70B66"/>
    <w:rsid w:val="00A71A4B"/>
    <w:rsid w:val="00A72782"/>
    <w:rsid w:val="00A75768"/>
    <w:rsid w:val="00A77B55"/>
    <w:rsid w:val="00A83069"/>
    <w:rsid w:val="00A850C6"/>
    <w:rsid w:val="00A85B73"/>
    <w:rsid w:val="00A90B9F"/>
    <w:rsid w:val="00A92801"/>
    <w:rsid w:val="00A93DC6"/>
    <w:rsid w:val="00A9411A"/>
    <w:rsid w:val="00A94EF4"/>
    <w:rsid w:val="00A95946"/>
    <w:rsid w:val="00A97FE0"/>
    <w:rsid w:val="00AA10D9"/>
    <w:rsid w:val="00AA4A4B"/>
    <w:rsid w:val="00AA6682"/>
    <w:rsid w:val="00AA6BEE"/>
    <w:rsid w:val="00AA786F"/>
    <w:rsid w:val="00AA7FEC"/>
    <w:rsid w:val="00AB0500"/>
    <w:rsid w:val="00AB0613"/>
    <w:rsid w:val="00AB4CC3"/>
    <w:rsid w:val="00AB7C5C"/>
    <w:rsid w:val="00AB7CBF"/>
    <w:rsid w:val="00AC01B9"/>
    <w:rsid w:val="00AC05FA"/>
    <w:rsid w:val="00AD0111"/>
    <w:rsid w:val="00AD26E5"/>
    <w:rsid w:val="00AD4C72"/>
    <w:rsid w:val="00AD5451"/>
    <w:rsid w:val="00AE1947"/>
    <w:rsid w:val="00AE265F"/>
    <w:rsid w:val="00AE3B71"/>
    <w:rsid w:val="00AE4222"/>
    <w:rsid w:val="00AF02B4"/>
    <w:rsid w:val="00AF06E2"/>
    <w:rsid w:val="00AF169B"/>
    <w:rsid w:val="00AF1C8B"/>
    <w:rsid w:val="00AF292E"/>
    <w:rsid w:val="00AF299B"/>
    <w:rsid w:val="00AF2AD6"/>
    <w:rsid w:val="00AF413F"/>
    <w:rsid w:val="00AF6D90"/>
    <w:rsid w:val="00AF7E43"/>
    <w:rsid w:val="00B02AE0"/>
    <w:rsid w:val="00B03A18"/>
    <w:rsid w:val="00B04AB1"/>
    <w:rsid w:val="00B05326"/>
    <w:rsid w:val="00B1045C"/>
    <w:rsid w:val="00B12BD8"/>
    <w:rsid w:val="00B14545"/>
    <w:rsid w:val="00B14E60"/>
    <w:rsid w:val="00B17BA2"/>
    <w:rsid w:val="00B211E3"/>
    <w:rsid w:val="00B22B20"/>
    <w:rsid w:val="00B2359F"/>
    <w:rsid w:val="00B26DC3"/>
    <w:rsid w:val="00B2704C"/>
    <w:rsid w:val="00B275BC"/>
    <w:rsid w:val="00B30A75"/>
    <w:rsid w:val="00B30B9D"/>
    <w:rsid w:val="00B30F22"/>
    <w:rsid w:val="00B40A84"/>
    <w:rsid w:val="00B43D70"/>
    <w:rsid w:val="00B4574D"/>
    <w:rsid w:val="00B4603C"/>
    <w:rsid w:val="00B4671F"/>
    <w:rsid w:val="00B468E1"/>
    <w:rsid w:val="00B46BC0"/>
    <w:rsid w:val="00B46DFB"/>
    <w:rsid w:val="00B5141B"/>
    <w:rsid w:val="00B514AE"/>
    <w:rsid w:val="00B52219"/>
    <w:rsid w:val="00B541A7"/>
    <w:rsid w:val="00B541F4"/>
    <w:rsid w:val="00B55681"/>
    <w:rsid w:val="00B57AAD"/>
    <w:rsid w:val="00B57AC5"/>
    <w:rsid w:val="00B60E2B"/>
    <w:rsid w:val="00B625F5"/>
    <w:rsid w:val="00B63E33"/>
    <w:rsid w:val="00B72B16"/>
    <w:rsid w:val="00B761EB"/>
    <w:rsid w:val="00B76CB8"/>
    <w:rsid w:val="00B80408"/>
    <w:rsid w:val="00B81397"/>
    <w:rsid w:val="00B83565"/>
    <w:rsid w:val="00B85191"/>
    <w:rsid w:val="00B86AED"/>
    <w:rsid w:val="00B87E75"/>
    <w:rsid w:val="00B925DB"/>
    <w:rsid w:val="00B94039"/>
    <w:rsid w:val="00B967FF"/>
    <w:rsid w:val="00B974B9"/>
    <w:rsid w:val="00BA0B90"/>
    <w:rsid w:val="00BA3F6D"/>
    <w:rsid w:val="00BA4BE6"/>
    <w:rsid w:val="00BA4FC0"/>
    <w:rsid w:val="00BA602F"/>
    <w:rsid w:val="00BA61E0"/>
    <w:rsid w:val="00BA7F7D"/>
    <w:rsid w:val="00BA7FCC"/>
    <w:rsid w:val="00BB1C14"/>
    <w:rsid w:val="00BB2796"/>
    <w:rsid w:val="00BB307B"/>
    <w:rsid w:val="00BB4C9A"/>
    <w:rsid w:val="00BB6824"/>
    <w:rsid w:val="00BB6847"/>
    <w:rsid w:val="00BB7F8F"/>
    <w:rsid w:val="00BC4CE4"/>
    <w:rsid w:val="00BC716A"/>
    <w:rsid w:val="00BD07DF"/>
    <w:rsid w:val="00BD0E01"/>
    <w:rsid w:val="00BD26F4"/>
    <w:rsid w:val="00BD396B"/>
    <w:rsid w:val="00BD5DBD"/>
    <w:rsid w:val="00BD5DF6"/>
    <w:rsid w:val="00BD7D1D"/>
    <w:rsid w:val="00BE0041"/>
    <w:rsid w:val="00BE01BA"/>
    <w:rsid w:val="00BE0605"/>
    <w:rsid w:val="00BE435A"/>
    <w:rsid w:val="00BE640F"/>
    <w:rsid w:val="00BE666C"/>
    <w:rsid w:val="00BE710B"/>
    <w:rsid w:val="00BF016F"/>
    <w:rsid w:val="00BF1352"/>
    <w:rsid w:val="00BF1B4B"/>
    <w:rsid w:val="00BF4638"/>
    <w:rsid w:val="00BF7D73"/>
    <w:rsid w:val="00C005CB"/>
    <w:rsid w:val="00C0388E"/>
    <w:rsid w:val="00C059D0"/>
    <w:rsid w:val="00C06D69"/>
    <w:rsid w:val="00C07551"/>
    <w:rsid w:val="00C077ED"/>
    <w:rsid w:val="00C07A03"/>
    <w:rsid w:val="00C10055"/>
    <w:rsid w:val="00C1109F"/>
    <w:rsid w:val="00C12D65"/>
    <w:rsid w:val="00C133AB"/>
    <w:rsid w:val="00C15272"/>
    <w:rsid w:val="00C20B56"/>
    <w:rsid w:val="00C22214"/>
    <w:rsid w:val="00C23D0C"/>
    <w:rsid w:val="00C24461"/>
    <w:rsid w:val="00C26F72"/>
    <w:rsid w:val="00C3004B"/>
    <w:rsid w:val="00C309A7"/>
    <w:rsid w:val="00C31FDE"/>
    <w:rsid w:val="00C335AB"/>
    <w:rsid w:val="00C34B0E"/>
    <w:rsid w:val="00C36C77"/>
    <w:rsid w:val="00C377D6"/>
    <w:rsid w:val="00C37FD7"/>
    <w:rsid w:val="00C407AB"/>
    <w:rsid w:val="00C41E62"/>
    <w:rsid w:val="00C43FAC"/>
    <w:rsid w:val="00C454CC"/>
    <w:rsid w:val="00C456E4"/>
    <w:rsid w:val="00C4636C"/>
    <w:rsid w:val="00C5132F"/>
    <w:rsid w:val="00C525C8"/>
    <w:rsid w:val="00C52B7B"/>
    <w:rsid w:val="00C532ED"/>
    <w:rsid w:val="00C547CD"/>
    <w:rsid w:val="00C570FF"/>
    <w:rsid w:val="00C57CEA"/>
    <w:rsid w:val="00C57EED"/>
    <w:rsid w:val="00C60FEC"/>
    <w:rsid w:val="00C631CF"/>
    <w:rsid w:val="00C63D2E"/>
    <w:rsid w:val="00C646B5"/>
    <w:rsid w:val="00C6574E"/>
    <w:rsid w:val="00C707FD"/>
    <w:rsid w:val="00C71DEB"/>
    <w:rsid w:val="00C7429E"/>
    <w:rsid w:val="00C76267"/>
    <w:rsid w:val="00C76DEB"/>
    <w:rsid w:val="00C77B3C"/>
    <w:rsid w:val="00C816C6"/>
    <w:rsid w:val="00C81752"/>
    <w:rsid w:val="00C81AE7"/>
    <w:rsid w:val="00C8298A"/>
    <w:rsid w:val="00C863A7"/>
    <w:rsid w:val="00C912F4"/>
    <w:rsid w:val="00C9156F"/>
    <w:rsid w:val="00C91E14"/>
    <w:rsid w:val="00C929DE"/>
    <w:rsid w:val="00C93B69"/>
    <w:rsid w:val="00C9581A"/>
    <w:rsid w:val="00C96760"/>
    <w:rsid w:val="00C97D29"/>
    <w:rsid w:val="00CA02EA"/>
    <w:rsid w:val="00CA0BBB"/>
    <w:rsid w:val="00CA1527"/>
    <w:rsid w:val="00CA2C44"/>
    <w:rsid w:val="00CA2C77"/>
    <w:rsid w:val="00CA63A9"/>
    <w:rsid w:val="00CA6668"/>
    <w:rsid w:val="00CA68AD"/>
    <w:rsid w:val="00CA7ED4"/>
    <w:rsid w:val="00CB0550"/>
    <w:rsid w:val="00CB0C9C"/>
    <w:rsid w:val="00CB0D70"/>
    <w:rsid w:val="00CB0D8D"/>
    <w:rsid w:val="00CB1000"/>
    <w:rsid w:val="00CB368F"/>
    <w:rsid w:val="00CB4FBA"/>
    <w:rsid w:val="00CB5C12"/>
    <w:rsid w:val="00CB6813"/>
    <w:rsid w:val="00CC0D47"/>
    <w:rsid w:val="00CC3186"/>
    <w:rsid w:val="00CC4611"/>
    <w:rsid w:val="00CC7849"/>
    <w:rsid w:val="00CD2B75"/>
    <w:rsid w:val="00CD464B"/>
    <w:rsid w:val="00CD4FF4"/>
    <w:rsid w:val="00CD5572"/>
    <w:rsid w:val="00CD60D1"/>
    <w:rsid w:val="00CD7FC5"/>
    <w:rsid w:val="00CE052E"/>
    <w:rsid w:val="00CE05BD"/>
    <w:rsid w:val="00CE3EEA"/>
    <w:rsid w:val="00CE7AD5"/>
    <w:rsid w:val="00CE7D4C"/>
    <w:rsid w:val="00CF0982"/>
    <w:rsid w:val="00CF17CE"/>
    <w:rsid w:val="00CF1D1F"/>
    <w:rsid w:val="00CF3F77"/>
    <w:rsid w:val="00CF53C7"/>
    <w:rsid w:val="00CF5D89"/>
    <w:rsid w:val="00CF6A55"/>
    <w:rsid w:val="00CF6DC6"/>
    <w:rsid w:val="00CF6DCF"/>
    <w:rsid w:val="00CF79F8"/>
    <w:rsid w:val="00D01DDB"/>
    <w:rsid w:val="00D024AA"/>
    <w:rsid w:val="00D046CA"/>
    <w:rsid w:val="00D078BE"/>
    <w:rsid w:val="00D11E43"/>
    <w:rsid w:val="00D13F8A"/>
    <w:rsid w:val="00D1422D"/>
    <w:rsid w:val="00D163D7"/>
    <w:rsid w:val="00D166E0"/>
    <w:rsid w:val="00D16F60"/>
    <w:rsid w:val="00D203C2"/>
    <w:rsid w:val="00D22889"/>
    <w:rsid w:val="00D22981"/>
    <w:rsid w:val="00D25A07"/>
    <w:rsid w:val="00D31193"/>
    <w:rsid w:val="00D330F1"/>
    <w:rsid w:val="00D3349B"/>
    <w:rsid w:val="00D3523D"/>
    <w:rsid w:val="00D35D82"/>
    <w:rsid w:val="00D424A8"/>
    <w:rsid w:val="00D438C8"/>
    <w:rsid w:val="00D44132"/>
    <w:rsid w:val="00D442B8"/>
    <w:rsid w:val="00D46DF1"/>
    <w:rsid w:val="00D47B09"/>
    <w:rsid w:val="00D53231"/>
    <w:rsid w:val="00D57DDE"/>
    <w:rsid w:val="00D57EE8"/>
    <w:rsid w:val="00D57FB6"/>
    <w:rsid w:val="00D57FBE"/>
    <w:rsid w:val="00D6036F"/>
    <w:rsid w:val="00D62877"/>
    <w:rsid w:val="00D63760"/>
    <w:rsid w:val="00D6382D"/>
    <w:rsid w:val="00D65479"/>
    <w:rsid w:val="00D6658E"/>
    <w:rsid w:val="00D6703F"/>
    <w:rsid w:val="00D734EB"/>
    <w:rsid w:val="00D75631"/>
    <w:rsid w:val="00D75F19"/>
    <w:rsid w:val="00D7734A"/>
    <w:rsid w:val="00D820D4"/>
    <w:rsid w:val="00D82713"/>
    <w:rsid w:val="00D828FA"/>
    <w:rsid w:val="00D82EE8"/>
    <w:rsid w:val="00D84B3D"/>
    <w:rsid w:val="00D860C6"/>
    <w:rsid w:val="00D86F00"/>
    <w:rsid w:val="00D87403"/>
    <w:rsid w:val="00D9182D"/>
    <w:rsid w:val="00D918D5"/>
    <w:rsid w:val="00D920B9"/>
    <w:rsid w:val="00D93531"/>
    <w:rsid w:val="00D93AD9"/>
    <w:rsid w:val="00D93F10"/>
    <w:rsid w:val="00D94C8E"/>
    <w:rsid w:val="00D971FF"/>
    <w:rsid w:val="00DA3EA5"/>
    <w:rsid w:val="00DA6B07"/>
    <w:rsid w:val="00DB0476"/>
    <w:rsid w:val="00DB1372"/>
    <w:rsid w:val="00DB192C"/>
    <w:rsid w:val="00DB1A6F"/>
    <w:rsid w:val="00DB1CF3"/>
    <w:rsid w:val="00DB3B45"/>
    <w:rsid w:val="00DB4EC9"/>
    <w:rsid w:val="00DB5425"/>
    <w:rsid w:val="00DB72A6"/>
    <w:rsid w:val="00DC22C9"/>
    <w:rsid w:val="00DC2BCB"/>
    <w:rsid w:val="00DC553D"/>
    <w:rsid w:val="00DC6611"/>
    <w:rsid w:val="00DD01EB"/>
    <w:rsid w:val="00DD3AD3"/>
    <w:rsid w:val="00DD5211"/>
    <w:rsid w:val="00DD57C3"/>
    <w:rsid w:val="00DD630B"/>
    <w:rsid w:val="00DD6761"/>
    <w:rsid w:val="00DE097A"/>
    <w:rsid w:val="00DE1344"/>
    <w:rsid w:val="00DE3644"/>
    <w:rsid w:val="00DE676B"/>
    <w:rsid w:val="00DE75D8"/>
    <w:rsid w:val="00DE7EFF"/>
    <w:rsid w:val="00DF0ECA"/>
    <w:rsid w:val="00DF1813"/>
    <w:rsid w:val="00DF1F8E"/>
    <w:rsid w:val="00DF52AC"/>
    <w:rsid w:val="00DF5BFE"/>
    <w:rsid w:val="00DF7E06"/>
    <w:rsid w:val="00E02122"/>
    <w:rsid w:val="00E02BB1"/>
    <w:rsid w:val="00E0523F"/>
    <w:rsid w:val="00E06C88"/>
    <w:rsid w:val="00E11C8F"/>
    <w:rsid w:val="00E13BE5"/>
    <w:rsid w:val="00E14459"/>
    <w:rsid w:val="00E20536"/>
    <w:rsid w:val="00E214F3"/>
    <w:rsid w:val="00E23E50"/>
    <w:rsid w:val="00E26213"/>
    <w:rsid w:val="00E2658F"/>
    <w:rsid w:val="00E274DF"/>
    <w:rsid w:val="00E30C9D"/>
    <w:rsid w:val="00E30E27"/>
    <w:rsid w:val="00E33839"/>
    <w:rsid w:val="00E34D66"/>
    <w:rsid w:val="00E362C4"/>
    <w:rsid w:val="00E362CF"/>
    <w:rsid w:val="00E367A0"/>
    <w:rsid w:val="00E3793D"/>
    <w:rsid w:val="00E40404"/>
    <w:rsid w:val="00E419D9"/>
    <w:rsid w:val="00E428A6"/>
    <w:rsid w:val="00E42C4A"/>
    <w:rsid w:val="00E45345"/>
    <w:rsid w:val="00E46B7A"/>
    <w:rsid w:val="00E46CC2"/>
    <w:rsid w:val="00E47963"/>
    <w:rsid w:val="00E47C37"/>
    <w:rsid w:val="00E47E0C"/>
    <w:rsid w:val="00E50665"/>
    <w:rsid w:val="00E51813"/>
    <w:rsid w:val="00E523A8"/>
    <w:rsid w:val="00E52C0B"/>
    <w:rsid w:val="00E53D3F"/>
    <w:rsid w:val="00E542B3"/>
    <w:rsid w:val="00E542D6"/>
    <w:rsid w:val="00E5579B"/>
    <w:rsid w:val="00E57A8A"/>
    <w:rsid w:val="00E57FF4"/>
    <w:rsid w:val="00E6376B"/>
    <w:rsid w:val="00E63CF5"/>
    <w:rsid w:val="00E6426C"/>
    <w:rsid w:val="00E67729"/>
    <w:rsid w:val="00E679D1"/>
    <w:rsid w:val="00E67C1C"/>
    <w:rsid w:val="00E70C90"/>
    <w:rsid w:val="00E740C5"/>
    <w:rsid w:val="00E822C9"/>
    <w:rsid w:val="00E830DC"/>
    <w:rsid w:val="00E85DA4"/>
    <w:rsid w:val="00E86250"/>
    <w:rsid w:val="00E86B3D"/>
    <w:rsid w:val="00E8778F"/>
    <w:rsid w:val="00E905B0"/>
    <w:rsid w:val="00E90F1D"/>
    <w:rsid w:val="00E91F11"/>
    <w:rsid w:val="00E96BE2"/>
    <w:rsid w:val="00E96C67"/>
    <w:rsid w:val="00E9706D"/>
    <w:rsid w:val="00EA1A37"/>
    <w:rsid w:val="00EA3933"/>
    <w:rsid w:val="00EA3AF4"/>
    <w:rsid w:val="00EA41B5"/>
    <w:rsid w:val="00EA4921"/>
    <w:rsid w:val="00EA5693"/>
    <w:rsid w:val="00EA6285"/>
    <w:rsid w:val="00EA62C3"/>
    <w:rsid w:val="00EA7D8D"/>
    <w:rsid w:val="00EB282C"/>
    <w:rsid w:val="00EB5964"/>
    <w:rsid w:val="00EC1C7B"/>
    <w:rsid w:val="00EC3052"/>
    <w:rsid w:val="00EC594B"/>
    <w:rsid w:val="00ED1C9D"/>
    <w:rsid w:val="00EE23F8"/>
    <w:rsid w:val="00EE4ACE"/>
    <w:rsid w:val="00EE5FE8"/>
    <w:rsid w:val="00EF0C40"/>
    <w:rsid w:val="00EF3A96"/>
    <w:rsid w:val="00EF3E88"/>
    <w:rsid w:val="00EF3F0B"/>
    <w:rsid w:val="00EF5583"/>
    <w:rsid w:val="00EF6B33"/>
    <w:rsid w:val="00F00B2E"/>
    <w:rsid w:val="00F00C77"/>
    <w:rsid w:val="00F01017"/>
    <w:rsid w:val="00F0289D"/>
    <w:rsid w:val="00F02AEC"/>
    <w:rsid w:val="00F02F6E"/>
    <w:rsid w:val="00F07572"/>
    <w:rsid w:val="00F12853"/>
    <w:rsid w:val="00F140FC"/>
    <w:rsid w:val="00F14125"/>
    <w:rsid w:val="00F157FC"/>
    <w:rsid w:val="00F17E17"/>
    <w:rsid w:val="00F225E6"/>
    <w:rsid w:val="00F22E41"/>
    <w:rsid w:val="00F30898"/>
    <w:rsid w:val="00F30AF3"/>
    <w:rsid w:val="00F310D3"/>
    <w:rsid w:val="00F32018"/>
    <w:rsid w:val="00F32FC7"/>
    <w:rsid w:val="00F437FF"/>
    <w:rsid w:val="00F43CD1"/>
    <w:rsid w:val="00F4401F"/>
    <w:rsid w:val="00F4430D"/>
    <w:rsid w:val="00F448D6"/>
    <w:rsid w:val="00F45AE0"/>
    <w:rsid w:val="00F474A0"/>
    <w:rsid w:val="00F60CF2"/>
    <w:rsid w:val="00F61D21"/>
    <w:rsid w:val="00F61EEB"/>
    <w:rsid w:val="00F6302F"/>
    <w:rsid w:val="00F63F1D"/>
    <w:rsid w:val="00F657B4"/>
    <w:rsid w:val="00F6681C"/>
    <w:rsid w:val="00F67823"/>
    <w:rsid w:val="00F7649F"/>
    <w:rsid w:val="00F8083B"/>
    <w:rsid w:val="00F861AD"/>
    <w:rsid w:val="00F865A7"/>
    <w:rsid w:val="00F93AA1"/>
    <w:rsid w:val="00F952AD"/>
    <w:rsid w:val="00F965B8"/>
    <w:rsid w:val="00F97233"/>
    <w:rsid w:val="00FA0754"/>
    <w:rsid w:val="00FA1BC9"/>
    <w:rsid w:val="00FA3A47"/>
    <w:rsid w:val="00FA46AE"/>
    <w:rsid w:val="00FA49C3"/>
    <w:rsid w:val="00FA69E2"/>
    <w:rsid w:val="00FB236E"/>
    <w:rsid w:val="00FB3F7B"/>
    <w:rsid w:val="00FB4C2A"/>
    <w:rsid w:val="00FB5B9E"/>
    <w:rsid w:val="00FB6CEF"/>
    <w:rsid w:val="00FC2107"/>
    <w:rsid w:val="00FC254B"/>
    <w:rsid w:val="00FC2560"/>
    <w:rsid w:val="00FC3637"/>
    <w:rsid w:val="00FC48FE"/>
    <w:rsid w:val="00FC4BA5"/>
    <w:rsid w:val="00FC62EE"/>
    <w:rsid w:val="00FC6C8C"/>
    <w:rsid w:val="00FC6F56"/>
    <w:rsid w:val="00FD08EF"/>
    <w:rsid w:val="00FD158B"/>
    <w:rsid w:val="00FD176F"/>
    <w:rsid w:val="00FD3CF2"/>
    <w:rsid w:val="00FD747B"/>
    <w:rsid w:val="00FD7B71"/>
    <w:rsid w:val="00FE087C"/>
    <w:rsid w:val="00FE1346"/>
    <w:rsid w:val="00FE38F2"/>
    <w:rsid w:val="00FE58B5"/>
    <w:rsid w:val="00FE731B"/>
    <w:rsid w:val="00FE7890"/>
    <w:rsid w:val="00FE79A0"/>
    <w:rsid w:val="00FF0939"/>
    <w:rsid w:val="00FF18B5"/>
    <w:rsid w:val="00FF373C"/>
    <w:rsid w:val="00FF4AC8"/>
    <w:rsid w:val="00FF769C"/>
    <w:rsid w:val="00FF79FC"/>
    <w:rsid w:val="013FDE8F"/>
    <w:rsid w:val="024E7C6E"/>
    <w:rsid w:val="0305EE61"/>
    <w:rsid w:val="052E5674"/>
    <w:rsid w:val="054AD466"/>
    <w:rsid w:val="068B1177"/>
    <w:rsid w:val="06B86313"/>
    <w:rsid w:val="06EE5CE0"/>
    <w:rsid w:val="08AED480"/>
    <w:rsid w:val="09072227"/>
    <w:rsid w:val="09D02384"/>
    <w:rsid w:val="0A5F6528"/>
    <w:rsid w:val="0B05BD8D"/>
    <w:rsid w:val="0B7CB2E5"/>
    <w:rsid w:val="0BEB0527"/>
    <w:rsid w:val="0CD5ADD4"/>
    <w:rsid w:val="0DD0C7FC"/>
    <w:rsid w:val="10ACABCD"/>
    <w:rsid w:val="13921CB2"/>
    <w:rsid w:val="13A90B2C"/>
    <w:rsid w:val="1401A94C"/>
    <w:rsid w:val="1449D342"/>
    <w:rsid w:val="14BCC60D"/>
    <w:rsid w:val="151CDF00"/>
    <w:rsid w:val="1574AA7B"/>
    <w:rsid w:val="159AC40C"/>
    <w:rsid w:val="15B527C1"/>
    <w:rsid w:val="166BF586"/>
    <w:rsid w:val="17A1395C"/>
    <w:rsid w:val="17E38C09"/>
    <w:rsid w:val="19DEAE6B"/>
    <w:rsid w:val="1B389F57"/>
    <w:rsid w:val="1B5B0827"/>
    <w:rsid w:val="1BCCF7ED"/>
    <w:rsid w:val="1CA8CC1E"/>
    <w:rsid w:val="1D38ECB6"/>
    <w:rsid w:val="1D622DC9"/>
    <w:rsid w:val="1D6D7D70"/>
    <w:rsid w:val="1D72A0C0"/>
    <w:rsid w:val="1E48CABB"/>
    <w:rsid w:val="1E5ACAA6"/>
    <w:rsid w:val="1E88C6E3"/>
    <w:rsid w:val="1EF2F1D8"/>
    <w:rsid w:val="209691EB"/>
    <w:rsid w:val="220B1C2C"/>
    <w:rsid w:val="25FFFB83"/>
    <w:rsid w:val="2673DD51"/>
    <w:rsid w:val="26B0221E"/>
    <w:rsid w:val="26E2EB13"/>
    <w:rsid w:val="2A0E5FDA"/>
    <w:rsid w:val="2A408331"/>
    <w:rsid w:val="2B48C1AB"/>
    <w:rsid w:val="2B49A963"/>
    <w:rsid w:val="2C227384"/>
    <w:rsid w:val="2C4AEDEA"/>
    <w:rsid w:val="2C9DFD04"/>
    <w:rsid w:val="2CD428C9"/>
    <w:rsid w:val="2D1DA5D8"/>
    <w:rsid w:val="2E056584"/>
    <w:rsid w:val="2EC3D060"/>
    <w:rsid w:val="2EDA6431"/>
    <w:rsid w:val="2EE035E0"/>
    <w:rsid w:val="2FD8FDAD"/>
    <w:rsid w:val="304FF88A"/>
    <w:rsid w:val="30B2396D"/>
    <w:rsid w:val="3130B2FD"/>
    <w:rsid w:val="31734B87"/>
    <w:rsid w:val="3241D92A"/>
    <w:rsid w:val="3387DF89"/>
    <w:rsid w:val="33ACB1A5"/>
    <w:rsid w:val="35AB6FB0"/>
    <w:rsid w:val="35D28AF2"/>
    <w:rsid w:val="3615BDD6"/>
    <w:rsid w:val="368097DC"/>
    <w:rsid w:val="37B9CF26"/>
    <w:rsid w:val="3856ED64"/>
    <w:rsid w:val="389AE3AC"/>
    <w:rsid w:val="3BEAA906"/>
    <w:rsid w:val="3CB02BDD"/>
    <w:rsid w:val="3D3D9CDC"/>
    <w:rsid w:val="3DAC1820"/>
    <w:rsid w:val="3E3EF45E"/>
    <w:rsid w:val="3E8AB848"/>
    <w:rsid w:val="3E9AA1DC"/>
    <w:rsid w:val="3F4A4B14"/>
    <w:rsid w:val="41191C8D"/>
    <w:rsid w:val="41301401"/>
    <w:rsid w:val="43219C5F"/>
    <w:rsid w:val="43E44560"/>
    <w:rsid w:val="4475A22A"/>
    <w:rsid w:val="44B73F78"/>
    <w:rsid w:val="44F7A7EF"/>
    <w:rsid w:val="46717ADC"/>
    <w:rsid w:val="476394D6"/>
    <w:rsid w:val="49096DDC"/>
    <w:rsid w:val="492B760C"/>
    <w:rsid w:val="49A88672"/>
    <w:rsid w:val="4AB73BD3"/>
    <w:rsid w:val="4CED8C53"/>
    <w:rsid w:val="4E6BCE8F"/>
    <w:rsid w:val="4F0B7D09"/>
    <w:rsid w:val="50953798"/>
    <w:rsid w:val="5229E629"/>
    <w:rsid w:val="52E356DA"/>
    <w:rsid w:val="530BE446"/>
    <w:rsid w:val="531AA559"/>
    <w:rsid w:val="53677452"/>
    <w:rsid w:val="5481CE1C"/>
    <w:rsid w:val="55DC25A8"/>
    <w:rsid w:val="55EE115F"/>
    <w:rsid w:val="56035EBD"/>
    <w:rsid w:val="5658F793"/>
    <w:rsid w:val="56B3DCD5"/>
    <w:rsid w:val="58B063CB"/>
    <w:rsid w:val="5970C390"/>
    <w:rsid w:val="599AFCAB"/>
    <w:rsid w:val="5ADA1BB9"/>
    <w:rsid w:val="5AF06AA6"/>
    <w:rsid w:val="5BD96E9A"/>
    <w:rsid w:val="5C3285D4"/>
    <w:rsid w:val="5C90E244"/>
    <w:rsid w:val="5E0F8306"/>
    <w:rsid w:val="5E7EFFA6"/>
    <w:rsid w:val="5ECD9BE1"/>
    <w:rsid w:val="5F577B54"/>
    <w:rsid w:val="60C2E641"/>
    <w:rsid w:val="61D7F272"/>
    <w:rsid w:val="633C6A3F"/>
    <w:rsid w:val="639A4C9F"/>
    <w:rsid w:val="649E9A0A"/>
    <w:rsid w:val="64B3F191"/>
    <w:rsid w:val="64B463B3"/>
    <w:rsid w:val="652E33EB"/>
    <w:rsid w:val="65697699"/>
    <w:rsid w:val="65F38AF6"/>
    <w:rsid w:val="66534C2A"/>
    <w:rsid w:val="669310B8"/>
    <w:rsid w:val="678AB70A"/>
    <w:rsid w:val="69F77279"/>
    <w:rsid w:val="69FA432B"/>
    <w:rsid w:val="6A1F4CE2"/>
    <w:rsid w:val="6A275625"/>
    <w:rsid w:val="6A3AF9E5"/>
    <w:rsid w:val="6AAEB61C"/>
    <w:rsid w:val="6B14E4D5"/>
    <w:rsid w:val="6B4E1874"/>
    <w:rsid w:val="6DB3E292"/>
    <w:rsid w:val="6E50D9E1"/>
    <w:rsid w:val="6F26D6D0"/>
    <w:rsid w:val="7167B4F8"/>
    <w:rsid w:val="7192585F"/>
    <w:rsid w:val="72D4BFC8"/>
    <w:rsid w:val="7331A6BE"/>
    <w:rsid w:val="73763A7F"/>
    <w:rsid w:val="748B6466"/>
    <w:rsid w:val="750FFC9C"/>
    <w:rsid w:val="75B0A6E4"/>
    <w:rsid w:val="75D20D17"/>
    <w:rsid w:val="75ED1712"/>
    <w:rsid w:val="76ACDF3C"/>
    <w:rsid w:val="7855AFAB"/>
    <w:rsid w:val="79602C84"/>
    <w:rsid w:val="7B1F2B11"/>
    <w:rsid w:val="7B87CFDD"/>
    <w:rsid w:val="7CDDCAE4"/>
    <w:rsid w:val="7D5C867E"/>
    <w:rsid w:val="7F1F308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10E912B9-8D0F-4884-8F38-97CAB7B4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numbering" w:customStyle="1" w:styleId="ListBullets1">
    <w:name w:val="ListBullets1"/>
    <w:uiPriority w:val="99"/>
    <w:locked/>
    <w:rsid w:val="00C63D2E"/>
  </w:style>
  <w:style w:type="paragraph" w:customStyle="1" w:styleId="Standard">
    <w:name w:val="Standard"/>
    <w:basedOn w:val="Normal"/>
    <w:link w:val="StandardChar"/>
    <w:qFormat/>
    <w:rsid w:val="00E86B3D"/>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E86B3D"/>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E86B3D"/>
    <w:pPr>
      <w:spacing w:before="20" w:after="20"/>
    </w:pPr>
  </w:style>
  <w:style w:type="paragraph" w:customStyle="1" w:styleId="Bulletlist">
    <w:name w:val="Bullet list"/>
    <w:basedOn w:val="Standard"/>
    <w:link w:val="BulletlistChar"/>
    <w:qFormat/>
    <w:rsid w:val="00E86B3D"/>
    <w:pPr>
      <w:numPr>
        <w:numId w:val="19"/>
      </w:numPr>
      <w:spacing w:after="180"/>
    </w:pPr>
    <w:rPr>
      <w:kern w:val="2"/>
      <w:szCs w:val="22"/>
    </w:rPr>
  </w:style>
  <w:style w:type="character" w:customStyle="1" w:styleId="TabletextChar">
    <w:name w:val="Table text Char"/>
    <w:basedOn w:val="StandardChar"/>
    <w:link w:val="Tabletext0"/>
    <w:rsid w:val="00E86B3D"/>
    <w:rPr>
      <w:rFonts w:ascii="Cambria" w:eastAsia="Times New Roman" w:hAnsi="Cambria" w:cs="Times New Roman"/>
      <w:snapToGrid w:val="0"/>
      <w:kern w:val="16"/>
      <w:sz w:val="23"/>
      <w:szCs w:val="24"/>
    </w:rPr>
  </w:style>
  <w:style w:type="character" w:customStyle="1" w:styleId="BulletlistChar">
    <w:name w:val="Bullet list Char"/>
    <w:basedOn w:val="StandardChar"/>
    <w:link w:val="Bulletlist"/>
    <w:rsid w:val="00E86B3D"/>
    <w:rPr>
      <w:rFonts w:ascii="Cambria" w:eastAsia="Times New Roman" w:hAnsi="Cambria" w:cs="Times New Roman"/>
      <w:snapToGrid w:val="0"/>
      <w:kern w:val="2"/>
      <w:sz w:val="23"/>
      <w:szCs w:val="22"/>
    </w:rPr>
  </w:style>
  <w:style w:type="character" w:styleId="Mention">
    <w:name w:val="Mention"/>
    <w:basedOn w:val="DefaultParagraphFont"/>
    <w:uiPriority w:val="99"/>
    <w:unhideWhenUsed/>
    <w:rsid w:val="009F55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4717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hyperlink" Target="https://www.ebs.tga.gov.au/"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hyperlink" Target="https://www.tga.gov.au/products/australian-register-therapeutic-goods-artg/consumer-medicines-information-cmi" TargetMode="External"/><Relationship Id="rId38"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tga.gov.au/products/australian-register-therapeutic-goods-artg/product-information-one" TargetMode="External"/><Relationship Id="rId37" Type="http://schemas.openxmlformats.org/officeDocument/2006/relationships/hyperlink" Target="mailto:info@tga.gov.au"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sites/default/files/2024-05/EMACHMP1582682017%20Guideline%20on%20clinical%20development%20of%20fixed%20combination%20medicinal%20products%20CURRENT.PDF"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hyperlink" Target="https://www.tga.gov.au/products/australian-register-therapeutic-goods-artg/product-information-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sites/default/files/2024-07/guideline_on_the_clinical_investigations_of_medicinal_products_for_the_treatment_of_pulmonary_arterial_hypertension.pdf" TargetMode="External"/><Relationship Id="rId27" Type="http://schemas.openxmlformats.org/officeDocument/2006/relationships/image" Target="media/image7.png"/><Relationship Id="rId30" Type="http://schemas.openxmlformats.org/officeDocument/2006/relationships/hyperlink" Target="https://www.tga.gov.au/committee/advisory-committee-medicines-acm"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MHu221</b:Tag>
    <b:SourceType>JournalArticle</b:SourceType>
    <b:Guid>{75C71599-2C6E-4698-96D1-BDF8312CD94C}</b:Guid>
    <b:Author>
      <b:Author>
        <b:NameList>
          <b:Person>
            <b:Last>Humbert</b:Last>
            <b:First>M</b:First>
          </b:Person>
        </b:NameList>
      </b:Author>
    </b:Author>
    <b:Title>2022 ESC/ERS Guidelines for the diagnosis and treatment of pulmonary hypertension</b:Title>
    <b:JournalName>Eur Respir J</b:JournalName>
    <b:Year>2022</b:Year>
    <b:Pages>1-141</b:Pages>
    <b:RefOrder>1</b:RefOrder>
  </b:Source>
  <b:Source>
    <b:Tag>Kli19</b:Tag>
    <b:SourceType>JournalArticle</b:SourceType>
    <b:Guid>{5D978579-16A5-49CF-A0E4-8FD82A0D6F46}</b:Guid>
    <b:Author>
      <b:Author>
        <b:NameList>
          <b:Person>
            <b:Last>Klinger</b:Last>
            <b:First>J</b:First>
          </b:Person>
        </b:NameList>
      </b:Author>
    </b:Author>
    <b:Title>Therapy for Pulmonary Arterial Hypertension in Adults</b:Title>
    <b:JournalName>CHEST</b:JournalName>
    <b:Year>2019</b:Year>
    <b:Pages>565-586</b:Pages>
    <b:Volume>155</b:Volume>
    <b:Issue>3</b:Issue>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7B070F512E8F469F3179BAF9C98926" ma:contentTypeVersion="6" ma:contentTypeDescription="Create a new document." ma:contentTypeScope="" ma:versionID="6db2ee1a61ff2118d07fc81a1b96d88c">
  <xsd:schema xmlns:xsd="http://www.w3.org/2001/XMLSchema" xmlns:xs="http://www.w3.org/2001/XMLSchema" xmlns:p="http://schemas.microsoft.com/office/2006/metadata/properties" xmlns:ns2="9d484f8e-15f4-4b91-8a8e-bcff91c057ab" xmlns:ns3="2e8284f6-8e48-4e90-b1b5-cd940ba40c9e" targetNamespace="http://schemas.microsoft.com/office/2006/metadata/properties" ma:root="true" ma:fieldsID="98ef9b6d108280483d0f899c9cdad9f4" ns2:_="" ns3:_="">
    <xsd:import namespace="9d484f8e-15f4-4b91-8a8e-bcff91c057ab"/>
    <xsd:import namespace="2e8284f6-8e48-4e90-b1b5-cd940ba40c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84f8e-15f4-4b91-8a8e-bcff91c05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8284f6-8e48-4e90-b1b5-cd940ba40c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F2F99-D953-4A87-8C1F-E680A331C110}">
  <ds:schemaRefs>
    <ds:schemaRef ds:uri="http://schemas.openxmlformats.org/officeDocument/2006/bibliography"/>
  </ds:schemaRefs>
</ds:datastoreItem>
</file>

<file path=customXml/itemProps2.xml><?xml version="1.0" encoding="utf-8"?>
<ds:datastoreItem xmlns:ds="http://schemas.openxmlformats.org/officeDocument/2006/customXml" ds:itemID="{56E222D2-0068-4173-A30A-79679EFA12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D5A4FB-E0F8-49DA-8B7F-B318CAA0A65B}">
  <ds:schemaRefs>
    <ds:schemaRef ds:uri="http://schemas.microsoft.com/sharepoint/v3/contenttype/forms"/>
  </ds:schemaRefs>
</ds:datastoreItem>
</file>

<file path=customXml/itemProps4.xml><?xml version="1.0" encoding="utf-8"?>
<ds:datastoreItem xmlns:ds="http://schemas.openxmlformats.org/officeDocument/2006/customXml" ds:itemID="{0DAB4828-46D4-4D28-99C4-4DBB1CB4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84f8e-15f4-4b91-8a8e-bcff91c057ab"/>
    <ds:schemaRef ds:uri="2e8284f6-8e48-4e90-b1b5-cd940ba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27</Pages>
  <Words>9661</Words>
  <Characters>53138</Characters>
  <Application>Microsoft Office Word</Application>
  <DocSecurity>0</DocSecurity>
  <Lines>2415</Lines>
  <Paragraphs>2025</Paragraphs>
  <ScaleCrop>false</ScaleCrop>
  <HeadingPairs>
    <vt:vector size="2" baseType="variant">
      <vt:variant>
        <vt:lpstr>Title</vt:lpstr>
      </vt:variant>
      <vt:variant>
        <vt:i4>1</vt:i4>
      </vt:variant>
    </vt:vector>
  </HeadingPairs>
  <TitlesOfParts>
    <vt:vector size="1" baseType="lpstr">
      <vt:lpstr>Australian public assessment report for Opsynvi</vt:lpstr>
    </vt:vector>
  </TitlesOfParts>
  <Company>Department of Health, Disability and Ageing</Company>
  <LinksUpToDate>false</LinksUpToDate>
  <CharactersWithSpaces>60774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Opsynvi</dc:title>
  <dc:subject>Prescription medicines</dc:subject>
  <dc:creator>Therapeutic Goods Administration</dc:creator>
  <cp:keywords/>
  <dc:description/>
  <cp:lastModifiedBy>LACK, Janet</cp:lastModifiedBy>
  <cp:revision>3</cp:revision>
  <dcterms:created xsi:type="dcterms:W3CDTF">2025-07-01T02:11:00Z</dcterms:created>
  <dcterms:modified xsi:type="dcterms:W3CDTF">2025-07-01T05:24:00Z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0x010100187B070F512E8F469F3179BAF9C98926</vt:lpwstr>
  </property>
</Properties>
</file>