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8173" w14:textId="5AC65AE9" w:rsidR="004C5E7A" w:rsidRPr="00A700E7" w:rsidRDefault="004C5E7A" w:rsidP="007A6B1F">
      <w:pPr>
        <w:jc w:val="left"/>
        <w:rPr>
          <w:rStyle w:val="BookTitle"/>
          <w:i w:val="0"/>
          <w:iCs w:val="0"/>
          <w:caps/>
          <w:sz w:val="28"/>
          <w:szCs w:val="28"/>
        </w:rPr>
      </w:pPr>
    </w:p>
    <w:p w14:paraId="1D3C8EB0" w14:textId="373AA55E" w:rsidR="007A6B1F" w:rsidRDefault="007A6B1F" w:rsidP="007A6B1F">
      <w:pPr>
        <w:pBdr>
          <w:top w:val="single" w:sz="4" w:space="1" w:color="auto"/>
        </w:pBdr>
        <w:spacing w:line="360" w:lineRule="auto"/>
        <w:jc w:val="left"/>
        <w:rPr>
          <w:rStyle w:val="BookTitle"/>
          <w:i w:val="0"/>
          <w:iCs w:val="0"/>
          <w:caps/>
          <w:sz w:val="40"/>
          <w:szCs w:val="40"/>
        </w:rPr>
      </w:pPr>
      <w:r w:rsidRPr="00D60E1D">
        <w:rPr>
          <w:noProof/>
          <w:lang w:eastAsia="en-AU"/>
        </w:rPr>
        <w:drawing>
          <wp:inline distT="0" distB="0" distL="0" distR="0" wp14:anchorId="5FE6E029" wp14:editId="37327D01">
            <wp:extent cx="1794294" cy="803695"/>
            <wp:effectExtent l="0" t="0" r="0" b="0"/>
            <wp:docPr id="1282465679" name="Picture 1282465679"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ssen_Cons_RGB"/>
                    <pic:cNvPicPr>
                      <a:picLocks noChangeAspect="1" noChangeArrowheads="1"/>
                    </pic:cNvPicPr>
                  </pic:nvPicPr>
                  <pic:blipFill>
                    <a:blip r:embed="rId11">
                      <a:extLst>
                        <a:ext uri="{28A0092B-C50C-407E-A947-70E740481C1C}">
                          <a14:useLocalDpi xmlns:a14="http://schemas.microsoft.com/office/drawing/2010/main" val="0"/>
                        </a:ext>
                      </a:extLst>
                    </a:blip>
                    <a:srcRect t="23622" b="31496"/>
                    <a:stretch>
                      <a:fillRect/>
                    </a:stretch>
                  </pic:blipFill>
                  <pic:spPr bwMode="auto">
                    <a:xfrm>
                      <a:off x="0" y="0"/>
                      <a:ext cx="1813815" cy="812439"/>
                    </a:xfrm>
                    <a:prstGeom prst="rect">
                      <a:avLst/>
                    </a:prstGeom>
                    <a:noFill/>
                    <a:ln>
                      <a:noFill/>
                    </a:ln>
                  </pic:spPr>
                </pic:pic>
              </a:graphicData>
            </a:graphic>
          </wp:inline>
        </w:drawing>
      </w:r>
    </w:p>
    <w:p w14:paraId="61A7F070" w14:textId="4EA14E10" w:rsidR="00DD0E66" w:rsidRPr="00A700E7" w:rsidRDefault="00DD0E66" w:rsidP="007A6B1F">
      <w:pPr>
        <w:pBdr>
          <w:top w:val="single" w:sz="4" w:space="1" w:color="auto"/>
        </w:pBdr>
        <w:spacing w:line="360" w:lineRule="auto"/>
        <w:jc w:val="left"/>
        <w:rPr>
          <w:rStyle w:val="BookTitle"/>
          <w:i w:val="0"/>
          <w:iCs w:val="0"/>
          <w:caps/>
          <w:sz w:val="40"/>
          <w:szCs w:val="40"/>
        </w:rPr>
      </w:pPr>
      <w:r w:rsidRPr="00A700E7">
        <w:rPr>
          <w:rStyle w:val="BookTitle"/>
          <w:i w:val="0"/>
          <w:iCs w:val="0"/>
          <w:caps/>
          <w:sz w:val="40"/>
          <w:szCs w:val="40"/>
        </w:rPr>
        <w:t>AUSTRALIAN PRODUCT INFORMATION</w:t>
      </w:r>
    </w:p>
    <w:p w14:paraId="737C1522" w14:textId="0AE3DEB3" w:rsidR="000A0312" w:rsidRPr="00A700E7" w:rsidRDefault="00DD0E66" w:rsidP="007A6B1F">
      <w:pPr>
        <w:spacing w:line="360" w:lineRule="auto"/>
        <w:jc w:val="left"/>
        <w:rPr>
          <w:rStyle w:val="BookTitle"/>
          <w:i w:val="0"/>
          <w:iCs w:val="0"/>
          <w:caps/>
          <w:sz w:val="56"/>
          <w:szCs w:val="56"/>
        </w:rPr>
      </w:pPr>
      <w:r w:rsidRPr="00A700E7">
        <w:rPr>
          <w:rStyle w:val="BookTitle"/>
          <w:i w:val="0"/>
          <w:iCs w:val="0"/>
          <w:caps/>
          <w:sz w:val="56"/>
          <w:szCs w:val="56"/>
        </w:rPr>
        <w:t>OPSYNVI</w:t>
      </w:r>
      <w:r w:rsidR="00357F71" w:rsidRPr="00A700E7">
        <w:rPr>
          <w:rStyle w:val="BookTitle"/>
          <w:i w:val="0"/>
          <w:iCs w:val="0"/>
          <w:caps/>
          <w:sz w:val="56"/>
          <w:szCs w:val="56"/>
          <w:vertAlign w:val="superscript"/>
        </w:rPr>
        <w:t>®</w:t>
      </w:r>
      <w:r w:rsidR="007E7E57" w:rsidRPr="00A700E7">
        <w:rPr>
          <w:rStyle w:val="BookTitle"/>
          <w:i w:val="0"/>
          <w:iCs w:val="0"/>
          <w:caps/>
          <w:sz w:val="56"/>
          <w:szCs w:val="56"/>
        </w:rPr>
        <w:t xml:space="preserve"> 10/40</w:t>
      </w:r>
    </w:p>
    <w:p w14:paraId="60E8251F" w14:textId="6E059E21" w:rsidR="004032BD" w:rsidRPr="00A700E7" w:rsidRDefault="00DD0E66" w:rsidP="007A6B1F">
      <w:pPr>
        <w:pBdr>
          <w:bottom w:val="single" w:sz="4" w:space="1" w:color="auto"/>
        </w:pBdr>
        <w:spacing w:line="360" w:lineRule="auto"/>
        <w:jc w:val="left"/>
        <w:rPr>
          <w:rStyle w:val="BookTitle"/>
          <w:i w:val="0"/>
          <w:iCs w:val="0"/>
          <w:caps/>
          <w:sz w:val="36"/>
          <w:szCs w:val="36"/>
        </w:rPr>
      </w:pPr>
      <w:r w:rsidRPr="00A700E7">
        <w:rPr>
          <w:rStyle w:val="BookTitle"/>
          <w:i w:val="0"/>
          <w:iCs w:val="0"/>
          <w:caps/>
          <w:sz w:val="36"/>
          <w:szCs w:val="36"/>
        </w:rPr>
        <w:t>(</w:t>
      </w:r>
      <w:r w:rsidR="00DC7078" w:rsidRPr="00A700E7">
        <w:rPr>
          <w:rStyle w:val="BookTitle"/>
          <w:i w:val="0"/>
          <w:iCs w:val="0"/>
          <w:caps/>
          <w:sz w:val="36"/>
          <w:szCs w:val="36"/>
        </w:rPr>
        <w:t>macitentan</w:t>
      </w:r>
      <w:r w:rsidR="0035796E" w:rsidRPr="00A700E7">
        <w:rPr>
          <w:rStyle w:val="BookTitle"/>
          <w:i w:val="0"/>
          <w:iCs w:val="0"/>
          <w:caps/>
          <w:sz w:val="36"/>
          <w:szCs w:val="36"/>
        </w:rPr>
        <w:t>/ TADALAFIL</w:t>
      </w:r>
      <w:r w:rsidRPr="00A700E7">
        <w:rPr>
          <w:rStyle w:val="BookTitle"/>
          <w:i w:val="0"/>
          <w:iCs w:val="0"/>
          <w:caps/>
          <w:sz w:val="36"/>
          <w:szCs w:val="36"/>
        </w:rPr>
        <w:t>)</w:t>
      </w:r>
    </w:p>
    <w:p w14:paraId="68905B1C" w14:textId="77777777" w:rsidR="00433E7D" w:rsidRPr="00A700E7" w:rsidRDefault="00433E7D" w:rsidP="007A6B1F">
      <w:pPr>
        <w:jc w:val="left"/>
        <w:rPr>
          <w:rStyle w:val="BookTitle"/>
          <w:i w:val="0"/>
          <w:iCs w:val="0"/>
          <w:caps/>
          <w:sz w:val="40"/>
          <w:szCs w:val="40"/>
        </w:rPr>
      </w:pPr>
    </w:p>
    <w:tbl>
      <w:tblPr>
        <w:tblStyle w:val="TableGrid"/>
        <w:tblW w:w="0" w:type="auto"/>
        <w:tblLook w:val="04A0" w:firstRow="1" w:lastRow="0" w:firstColumn="1" w:lastColumn="0" w:noHBand="0" w:noVBand="1"/>
      </w:tblPr>
      <w:tblGrid>
        <w:gridCol w:w="9016"/>
      </w:tblGrid>
      <w:tr w:rsidR="004C5E7A" w:rsidRPr="00A700E7" w14:paraId="4871A173" w14:textId="77777777" w:rsidTr="0048218A">
        <w:trPr>
          <w:trHeight w:val="424"/>
        </w:trPr>
        <w:tc>
          <w:tcPr>
            <w:tcW w:w="9016" w:type="dxa"/>
          </w:tcPr>
          <w:p w14:paraId="559B78AE" w14:textId="16322B98" w:rsidR="004C5E7A" w:rsidRPr="00A700E7" w:rsidRDefault="004C5E7A" w:rsidP="007A6B1F">
            <w:pPr>
              <w:jc w:val="left"/>
              <w:rPr>
                <w:rStyle w:val="BookTitle"/>
                <w:b w:val="0"/>
                <w:bCs w:val="0"/>
                <w:i w:val="0"/>
                <w:iCs w:val="0"/>
              </w:rPr>
            </w:pPr>
            <w:r w:rsidRPr="00A700E7">
              <w:rPr>
                <w:rStyle w:val="BookTitle"/>
                <w:b w:val="0"/>
                <w:bCs w:val="0"/>
                <w:i w:val="0"/>
                <w:iCs w:val="0"/>
              </w:rPr>
              <w:t>OPSYNVI</w:t>
            </w:r>
            <w:r w:rsidR="0084105F" w:rsidRPr="00A700E7">
              <w:rPr>
                <w:rStyle w:val="BookTitle"/>
                <w:b w:val="0"/>
                <w:bCs w:val="0"/>
                <w:i w:val="0"/>
                <w:iCs w:val="0"/>
                <w:vertAlign w:val="superscript"/>
              </w:rPr>
              <w:t>®</w:t>
            </w:r>
            <w:r w:rsidRPr="00A700E7">
              <w:rPr>
                <w:rStyle w:val="BookTitle"/>
                <w:b w:val="0"/>
                <w:bCs w:val="0"/>
                <w:i w:val="0"/>
                <w:iCs w:val="0"/>
              </w:rPr>
              <w:t xml:space="preserve"> may cause birth defects and is contraindicated in pregnancy.</w:t>
            </w:r>
            <w:r w:rsidR="0036127F" w:rsidRPr="00A700E7">
              <w:rPr>
                <w:rStyle w:val="BookTitle"/>
                <w:b w:val="0"/>
                <w:bCs w:val="0"/>
                <w:i w:val="0"/>
                <w:iCs w:val="0"/>
              </w:rPr>
              <w:t xml:space="preserve"> </w:t>
            </w:r>
            <w:r w:rsidRPr="00A700E7">
              <w:rPr>
                <w:rStyle w:val="BookTitle"/>
                <w:b w:val="0"/>
                <w:bCs w:val="0"/>
                <w:i w:val="0"/>
                <w:iCs w:val="0"/>
              </w:rPr>
              <w:t>See section 4.3 CONTRAINDICATIONS and Section 4.6 FERTILITY, PREGNANCY and LACTATION.</w:t>
            </w:r>
          </w:p>
        </w:tc>
      </w:tr>
    </w:tbl>
    <w:p w14:paraId="029F6A72" w14:textId="77777777" w:rsidR="004C5E7A" w:rsidRPr="00A700E7" w:rsidRDefault="004C5E7A" w:rsidP="007A6B1F">
      <w:pPr>
        <w:jc w:val="left"/>
        <w:rPr>
          <w:rStyle w:val="BookTitle"/>
          <w:i w:val="0"/>
          <w:iCs w:val="0"/>
          <w:caps/>
          <w:sz w:val="28"/>
          <w:szCs w:val="28"/>
        </w:rPr>
      </w:pPr>
    </w:p>
    <w:p w14:paraId="21400010" w14:textId="77777777" w:rsidR="001A3992" w:rsidRPr="00A700E7" w:rsidRDefault="001A3992" w:rsidP="007A6B1F">
      <w:pPr>
        <w:pStyle w:val="Heading1"/>
        <w:jc w:val="left"/>
      </w:pPr>
      <w:r w:rsidRPr="00A700E7">
        <w:t>Name of the medicine</w:t>
      </w:r>
    </w:p>
    <w:p w14:paraId="21C24B0B" w14:textId="5ADAC9D7" w:rsidR="00A5316C" w:rsidRPr="00A700E7" w:rsidRDefault="00DB1B86" w:rsidP="007A6B1F">
      <w:pPr>
        <w:jc w:val="left"/>
      </w:pPr>
      <w:r w:rsidRPr="00A700E7">
        <w:t>m</w:t>
      </w:r>
      <w:r w:rsidR="001E5086" w:rsidRPr="00A700E7">
        <w:t>acitentan</w:t>
      </w:r>
      <w:r w:rsidRPr="00A700E7">
        <w:t xml:space="preserve">/ </w:t>
      </w:r>
      <w:r w:rsidR="00DD0E66" w:rsidRPr="00A700E7">
        <w:t>tadalafil</w:t>
      </w:r>
    </w:p>
    <w:p w14:paraId="167E23E9" w14:textId="77777777" w:rsidR="003302B2" w:rsidRPr="00A700E7" w:rsidRDefault="003302B2" w:rsidP="007A6B1F">
      <w:pPr>
        <w:jc w:val="left"/>
      </w:pPr>
    </w:p>
    <w:p w14:paraId="0BAED959" w14:textId="77777777" w:rsidR="001A3992" w:rsidRPr="00A700E7" w:rsidRDefault="001A3992" w:rsidP="007A6B1F">
      <w:pPr>
        <w:pStyle w:val="Heading1"/>
        <w:jc w:val="left"/>
      </w:pPr>
      <w:r w:rsidRPr="00A700E7">
        <w:t>Qualitative and quantitative composition</w:t>
      </w:r>
    </w:p>
    <w:p w14:paraId="007F3BDD" w14:textId="7CFB5CED" w:rsidR="002F3CB8" w:rsidRPr="00A700E7" w:rsidRDefault="002F3CB8" w:rsidP="007A6B1F">
      <w:pPr>
        <w:jc w:val="left"/>
      </w:pPr>
      <w:r w:rsidRPr="00A700E7">
        <w:t>OPSYNVI 10</w:t>
      </w:r>
      <w:r w:rsidR="007E7E57" w:rsidRPr="00A700E7" w:rsidDel="007E7E57">
        <w:t xml:space="preserve"> </w:t>
      </w:r>
      <w:r w:rsidRPr="00A700E7">
        <w:t>/40 contains 10 mg macitentan and 40 mg tadalafil.</w:t>
      </w:r>
    </w:p>
    <w:p w14:paraId="73E8C9F7" w14:textId="77777777" w:rsidR="003302B2" w:rsidRPr="00A700E7" w:rsidRDefault="003302B2" w:rsidP="007A6B1F">
      <w:pPr>
        <w:jc w:val="left"/>
      </w:pPr>
    </w:p>
    <w:p w14:paraId="7E39ABB1" w14:textId="4498F168" w:rsidR="0082740D" w:rsidRPr="00A700E7" w:rsidRDefault="0082740D" w:rsidP="007A6B1F">
      <w:pPr>
        <w:jc w:val="left"/>
      </w:pPr>
      <w:r w:rsidRPr="00A700E7">
        <w:t>Excipients with know</w:t>
      </w:r>
      <w:r w:rsidR="00BF1A53" w:rsidRPr="00A700E7">
        <w:t>n</w:t>
      </w:r>
      <w:r w:rsidRPr="00A700E7">
        <w:t xml:space="preserve"> effects: sugars as lactose</w:t>
      </w:r>
    </w:p>
    <w:p w14:paraId="3A720191" w14:textId="77777777" w:rsidR="003302B2" w:rsidRPr="00A700E7" w:rsidRDefault="003302B2" w:rsidP="007A6B1F">
      <w:pPr>
        <w:jc w:val="left"/>
      </w:pPr>
    </w:p>
    <w:p w14:paraId="1140496F" w14:textId="42B2E8E6" w:rsidR="001A074D" w:rsidRPr="00A700E7" w:rsidRDefault="008D6924" w:rsidP="007A6B1F">
      <w:pPr>
        <w:jc w:val="left"/>
      </w:pPr>
      <w:r w:rsidRPr="00A700E7">
        <w:t xml:space="preserve">For the full list of excipients, see </w:t>
      </w:r>
      <w:r w:rsidR="001A074D" w:rsidRPr="00A700E7">
        <w:t xml:space="preserve">Section 6.1 </w:t>
      </w:r>
      <w:r w:rsidR="00C820B7" w:rsidRPr="00A700E7">
        <w:t>LIST OF EXCIPIENTS</w:t>
      </w:r>
      <w:r w:rsidR="001A074D" w:rsidRPr="00A700E7">
        <w:t>.</w:t>
      </w:r>
      <w:r w:rsidR="00DC37D3" w:rsidRPr="00A700E7">
        <w:t xml:space="preserve"> </w:t>
      </w:r>
    </w:p>
    <w:p w14:paraId="649D957F" w14:textId="77777777" w:rsidR="003302B2" w:rsidRPr="00A700E7" w:rsidRDefault="003302B2" w:rsidP="007A6B1F">
      <w:pPr>
        <w:jc w:val="left"/>
      </w:pPr>
    </w:p>
    <w:p w14:paraId="6A4DE463" w14:textId="77777777" w:rsidR="001A3992" w:rsidRPr="00A700E7" w:rsidRDefault="001A3992" w:rsidP="007A6B1F">
      <w:pPr>
        <w:pStyle w:val="Heading1"/>
        <w:jc w:val="left"/>
      </w:pPr>
      <w:r w:rsidRPr="00A700E7">
        <w:t>Pharmaceutical form</w:t>
      </w:r>
    </w:p>
    <w:p w14:paraId="46560AB7" w14:textId="0C7D1017" w:rsidR="00B963B6" w:rsidRPr="00A700E7" w:rsidRDefault="000A0312" w:rsidP="007A6B1F">
      <w:pPr>
        <w:jc w:val="left"/>
      </w:pPr>
      <w:r w:rsidRPr="00A700E7">
        <w:t>F</w:t>
      </w:r>
      <w:r w:rsidR="00DC7078" w:rsidRPr="00A700E7">
        <w:t xml:space="preserve">ilm-coated </w:t>
      </w:r>
      <w:r w:rsidRPr="00A700E7">
        <w:t xml:space="preserve">tablet. </w:t>
      </w:r>
    </w:p>
    <w:p w14:paraId="34DF0BDC" w14:textId="77777777" w:rsidR="003302B2" w:rsidRPr="00A700E7" w:rsidRDefault="003302B2" w:rsidP="007A6B1F">
      <w:pPr>
        <w:jc w:val="left"/>
      </w:pPr>
    </w:p>
    <w:p w14:paraId="5744A422" w14:textId="53DF03F2" w:rsidR="00A5316C" w:rsidRPr="00A700E7" w:rsidRDefault="008012C9" w:rsidP="007A6B1F">
      <w:pPr>
        <w:jc w:val="left"/>
      </w:pPr>
      <w:r w:rsidRPr="00A700E7">
        <w:t>W</w:t>
      </w:r>
      <w:r w:rsidR="00A5316C" w:rsidRPr="00A700E7">
        <w:t>hite to almost-white, oblong, film-coated tablet debossed with “1040” on one side and “MT” on the other side.</w:t>
      </w:r>
    </w:p>
    <w:p w14:paraId="391DEAF3" w14:textId="77777777" w:rsidR="003302B2" w:rsidRPr="00A700E7" w:rsidRDefault="003302B2" w:rsidP="007A6B1F">
      <w:pPr>
        <w:jc w:val="left"/>
        <w:rPr>
          <w:b/>
        </w:rPr>
      </w:pPr>
    </w:p>
    <w:p w14:paraId="2AA6A2D6" w14:textId="77777777" w:rsidR="001A3992" w:rsidRPr="00A700E7" w:rsidRDefault="001A3992" w:rsidP="007A6B1F">
      <w:pPr>
        <w:pStyle w:val="Heading1"/>
        <w:jc w:val="left"/>
      </w:pPr>
      <w:r w:rsidRPr="00A700E7">
        <w:t>Clinical particulars</w:t>
      </w:r>
    </w:p>
    <w:p w14:paraId="55C1C38F" w14:textId="77777777" w:rsidR="001A3992" w:rsidRPr="00A700E7" w:rsidRDefault="001A3992" w:rsidP="007A6B1F">
      <w:pPr>
        <w:pStyle w:val="Heading2"/>
        <w:jc w:val="left"/>
      </w:pPr>
      <w:r w:rsidRPr="00A700E7">
        <w:t xml:space="preserve">Therapeutic indications </w:t>
      </w:r>
    </w:p>
    <w:p w14:paraId="05A9007E" w14:textId="68C29E7B" w:rsidR="001831C0" w:rsidRPr="00A700E7" w:rsidRDefault="009F7E67" w:rsidP="007A6B1F">
      <w:pPr>
        <w:jc w:val="left"/>
      </w:pPr>
      <w:bookmarkStart w:id="1" w:name="_Hlk170856070"/>
      <w:r w:rsidRPr="00A700E7">
        <w:t>OPSYNVI is indicated for</w:t>
      </w:r>
      <w:r w:rsidR="001831C0" w:rsidRPr="00A700E7">
        <w:t xml:space="preserve"> </w:t>
      </w:r>
      <w:r w:rsidRPr="00A700E7">
        <w:t>the maintenance treatment of pulmonary arterial hypertension (PAH, World Health Organization [WHO] Group 1) in adult patients of WHO functional class (FC) II</w:t>
      </w:r>
      <w:r w:rsidR="001A372D" w:rsidRPr="00A700E7">
        <w:t xml:space="preserve"> and </w:t>
      </w:r>
      <w:r w:rsidRPr="00A700E7">
        <w:t>III who</w:t>
      </w:r>
      <w:r w:rsidR="00106571" w:rsidRPr="00A700E7">
        <w:t>se PAH is idiopathic, heritable or associated with connective tissue disease or congenital heart disease</w:t>
      </w:r>
      <w:r w:rsidR="001831C0" w:rsidRPr="00A700E7">
        <w:t xml:space="preserve"> with repaired shunts</w:t>
      </w:r>
      <w:r w:rsidR="00106571" w:rsidRPr="00A700E7">
        <w:t>.</w:t>
      </w:r>
    </w:p>
    <w:p w14:paraId="5ADD70F0" w14:textId="77777777" w:rsidR="001831C0" w:rsidRPr="00A700E7" w:rsidRDefault="001831C0" w:rsidP="007A6B1F">
      <w:pPr>
        <w:jc w:val="left"/>
      </w:pPr>
    </w:p>
    <w:p w14:paraId="51C78984" w14:textId="10DD6DE0" w:rsidR="00736E94" w:rsidRPr="00A700E7" w:rsidRDefault="00106571" w:rsidP="007A6B1F">
      <w:pPr>
        <w:jc w:val="left"/>
      </w:pPr>
      <w:r w:rsidRPr="00A700E7">
        <w:t xml:space="preserve">OPSYNVI </w:t>
      </w:r>
      <w:r w:rsidR="006910B9" w:rsidRPr="00A700E7">
        <w:t xml:space="preserve">is intended as substitution treatment only for </w:t>
      </w:r>
      <w:r w:rsidRPr="00A700E7">
        <w:t>patients currently treated concomitantly</w:t>
      </w:r>
      <w:r w:rsidR="009F7E67" w:rsidRPr="00A700E7">
        <w:t xml:space="preserve"> </w:t>
      </w:r>
      <w:r w:rsidRPr="00A700E7">
        <w:t xml:space="preserve">with </w:t>
      </w:r>
      <w:r w:rsidR="009F7E67" w:rsidRPr="00A700E7">
        <w:t xml:space="preserve">stable doses of </w:t>
      </w:r>
      <w:bookmarkStart w:id="2" w:name="_Hlk171375905"/>
      <w:r w:rsidR="009F7E67" w:rsidRPr="00A700E7">
        <w:t>macitentan 10 mg and tadalafil 40 mg (20 mg x 2) as separate tablets</w:t>
      </w:r>
      <w:bookmarkEnd w:id="2"/>
      <w:r w:rsidR="009F7E67" w:rsidRPr="00A700E7">
        <w:t>.</w:t>
      </w:r>
      <w:bookmarkEnd w:id="1"/>
      <w:r w:rsidR="00485CDC" w:rsidRPr="00A700E7">
        <w:rPr>
          <w:szCs w:val="24"/>
        </w:rPr>
        <w:tab/>
      </w:r>
    </w:p>
    <w:p w14:paraId="6EF370E8" w14:textId="77777777" w:rsidR="00736E94" w:rsidRPr="00A700E7" w:rsidRDefault="00736E94" w:rsidP="007A6B1F">
      <w:pPr>
        <w:jc w:val="left"/>
      </w:pPr>
    </w:p>
    <w:p w14:paraId="0C3F59F6" w14:textId="77777777" w:rsidR="001A3992" w:rsidRPr="00A700E7" w:rsidRDefault="001A3992" w:rsidP="007A6B1F">
      <w:pPr>
        <w:pStyle w:val="Heading2"/>
        <w:jc w:val="left"/>
      </w:pPr>
      <w:r w:rsidRPr="00A700E7">
        <w:t xml:space="preserve">Dose and method of administration </w:t>
      </w:r>
    </w:p>
    <w:p w14:paraId="756AF892" w14:textId="27E1FBD6" w:rsidR="001A074D" w:rsidRPr="00A700E7" w:rsidRDefault="001A074D" w:rsidP="007A6B1F">
      <w:pPr>
        <w:jc w:val="left"/>
      </w:pPr>
      <w:r w:rsidRPr="00A700E7">
        <w:lastRenderedPageBreak/>
        <w:t xml:space="preserve">Treatment with </w:t>
      </w:r>
      <w:r w:rsidR="00A5316C" w:rsidRPr="00A700E7">
        <w:rPr>
          <w:kern w:val="24"/>
        </w:rPr>
        <w:t>OPSYNVI</w:t>
      </w:r>
      <w:r w:rsidRPr="00A700E7">
        <w:t xml:space="preserve"> should only be initiated and monitored by a physician experienced in the treatment of PAH.</w:t>
      </w:r>
    </w:p>
    <w:p w14:paraId="0F8F8943" w14:textId="21CEFD7E" w:rsidR="00A5316C" w:rsidRPr="00A700E7" w:rsidRDefault="00150775" w:rsidP="007A6B1F">
      <w:pPr>
        <w:pStyle w:val="Heading3"/>
        <w:jc w:val="left"/>
      </w:pPr>
      <w:bookmarkStart w:id="3" w:name="_Hlk171343186"/>
      <w:r w:rsidRPr="00A700E7">
        <w:t>Dosage – Adults 18 years of age and older</w:t>
      </w:r>
    </w:p>
    <w:p w14:paraId="1CDF9195" w14:textId="19CCDA42" w:rsidR="00150775" w:rsidRPr="00A700E7" w:rsidRDefault="00150775" w:rsidP="007A6B1F">
      <w:pPr>
        <w:jc w:val="left"/>
      </w:pPr>
      <w:r w:rsidRPr="00A700E7">
        <w:t>The recommended dose of OPSYNVI is one tablet taken once daily.</w:t>
      </w:r>
    </w:p>
    <w:p w14:paraId="3F6F2FDF" w14:textId="4C47A323" w:rsidR="00150775" w:rsidRPr="00A700E7" w:rsidRDefault="00C04D5E" w:rsidP="007A6B1F">
      <w:pPr>
        <w:pStyle w:val="Heading3"/>
        <w:jc w:val="left"/>
      </w:pPr>
      <w:r w:rsidRPr="00A700E7">
        <w:t>Switch from macitentan and tadalafil as individual components to OPSYNVI</w:t>
      </w:r>
    </w:p>
    <w:p w14:paraId="72DBA232" w14:textId="39549275" w:rsidR="00150775" w:rsidRPr="00A700E7" w:rsidRDefault="00C04D5E" w:rsidP="007A6B1F">
      <w:pPr>
        <w:jc w:val="left"/>
      </w:pPr>
      <w:r w:rsidRPr="00A700E7">
        <w:t>Patients who are currently treated with macitentan 10 mg and tadalafil 40 mg (20 mg x 2) once daily as individual components may be switched to OPSYNVI</w:t>
      </w:r>
      <w:r w:rsidR="00150775" w:rsidRPr="00A700E7">
        <w:t>.</w:t>
      </w:r>
    </w:p>
    <w:p w14:paraId="32A5CD07" w14:textId="609FA0C2" w:rsidR="00150775" w:rsidRPr="00A700E7" w:rsidRDefault="00150775" w:rsidP="007A6B1F">
      <w:pPr>
        <w:pStyle w:val="Heading3"/>
        <w:jc w:val="left"/>
        <w:rPr>
          <w:rStyle w:val="Heading3Char"/>
          <w:b/>
          <w:bCs/>
        </w:rPr>
      </w:pPr>
      <w:r w:rsidRPr="00A700E7">
        <w:rPr>
          <w:rStyle w:val="Heading3Char"/>
          <w:b/>
          <w:bCs/>
        </w:rPr>
        <w:t>Special Populations</w:t>
      </w:r>
    </w:p>
    <w:p w14:paraId="7EF7550A" w14:textId="09104180" w:rsidR="00151584" w:rsidRPr="00A700E7" w:rsidRDefault="00095754" w:rsidP="007A6B1F">
      <w:pPr>
        <w:pStyle w:val="Heading4"/>
        <w:jc w:val="left"/>
        <w:rPr>
          <w:rStyle w:val="Heading3Char"/>
          <w:b/>
          <w:bCs/>
        </w:rPr>
      </w:pPr>
      <w:r w:rsidRPr="00A700E7">
        <w:rPr>
          <w:rStyle w:val="Heading3Char"/>
          <w:b/>
          <w:bCs/>
        </w:rPr>
        <w:t xml:space="preserve"> </w:t>
      </w:r>
      <w:r w:rsidR="00DF5FD5" w:rsidRPr="00A700E7">
        <w:rPr>
          <w:rStyle w:val="Heading3Char"/>
          <w:b/>
          <w:bCs/>
        </w:rPr>
        <w:t>E</w:t>
      </w:r>
      <w:r w:rsidR="001A074D" w:rsidRPr="00A700E7">
        <w:rPr>
          <w:rStyle w:val="Heading3Char"/>
          <w:b/>
          <w:bCs/>
        </w:rPr>
        <w:t xml:space="preserve">lderly </w:t>
      </w:r>
      <w:r w:rsidR="00DF5FD5" w:rsidRPr="00A700E7">
        <w:rPr>
          <w:rStyle w:val="Heading3Char"/>
          <w:b/>
          <w:bCs/>
        </w:rPr>
        <w:t>(65 years of age and older)</w:t>
      </w:r>
    </w:p>
    <w:p w14:paraId="575EE422" w14:textId="58DED720" w:rsidR="001A074D" w:rsidRPr="00A700E7" w:rsidRDefault="001A074D" w:rsidP="007A6B1F">
      <w:pPr>
        <w:pStyle w:val="BodyText12"/>
        <w:jc w:val="left"/>
        <w:rPr>
          <w:rFonts w:ascii="Arial" w:hAnsi="Arial" w:cs="Arial"/>
          <w:sz w:val="22"/>
          <w:szCs w:val="22"/>
        </w:rPr>
      </w:pPr>
      <w:r w:rsidRPr="00A700E7">
        <w:rPr>
          <w:rFonts w:ascii="Arial" w:hAnsi="Arial" w:cs="Arial"/>
          <w:sz w:val="22"/>
          <w:szCs w:val="22"/>
        </w:rPr>
        <w:t>No dose adjustment is required in patients over the age of 65 years.</w:t>
      </w:r>
      <w:r w:rsidRPr="00A700E7">
        <w:t xml:space="preserve"> </w:t>
      </w:r>
    </w:p>
    <w:p w14:paraId="6E208A31" w14:textId="7449F9B8" w:rsidR="00976E48" w:rsidRPr="00A700E7" w:rsidRDefault="00DF5FD5" w:rsidP="007A6B1F">
      <w:pPr>
        <w:pStyle w:val="Heading4"/>
        <w:jc w:val="left"/>
      </w:pPr>
      <w:r w:rsidRPr="00A700E7">
        <w:t xml:space="preserve">Renal impairment </w:t>
      </w:r>
    </w:p>
    <w:p w14:paraId="0C446C43" w14:textId="1FBF2182" w:rsidR="00DF5FD5" w:rsidRPr="00A700E7" w:rsidRDefault="00DA3442" w:rsidP="007A6B1F">
      <w:pPr>
        <w:jc w:val="left"/>
      </w:pPr>
      <w:r w:rsidRPr="00A700E7">
        <w:t xml:space="preserve">In </w:t>
      </w:r>
      <w:r w:rsidR="00DF5FD5" w:rsidRPr="00A700E7">
        <w:t>patients with mild to moderate renal impairment</w:t>
      </w:r>
      <w:r w:rsidR="00A94790" w:rsidRPr="00A700E7">
        <w:t>,</w:t>
      </w:r>
      <w:r w:rsidR="00DF5FD5" w:rsidRPr="00A700E7">
        <w:t xml:space="preserve"> </w:t>
      </w:r>
      <w:r w:rsidRPr="00A700E7">
        <w:t>OPSYNVI may be used based on individual efficacy and tolerability. OPSYNVI is not recommended for patients with severe renal impairment due to limited clinical experience in these patients. OPSYNVI is not recommended in patient</w:t>
      </w:r>
      <w:r w:rsidR="00664AD5" w:rsidRPr="00A700E7">
        <w:t>s</w:t>
      </w:r>
      <w:r w:rsidRPr="00A700E7">
        <w:t xml:space="preserve"> undergoing dialysis</w:t>
      </w:r>
      <w:r w:rsidR="00664AD5" w:rsidRPr="00A700E7">
        <w:t>.</w:t>
      </w:r>
    </w:p>
    <w:p w14:paraId="3A24B14E" w14:textId="77777777" w:rsidR="00DA3442" w:rsidRPr="00A700E7" w:rsidRDefault="00DA3442" w:rsidP="007A6B1F">
      <w:pPr>
        <w:jc w:val="left"/>
      </w:pPr>
    </w:p>
    <w:p w14:paraId="1CFC214B" w14:textId="67CCF356" w:rsidR="00DA3442" w:rsidRPr="00A700E7" w:rsidRDefault="00DA3442" w:rsidP="007A6B1F">
      <w:pPr>
        <w:jc w:val="left"/>
        <w:rPr>
          <w:i/>
          <w:iCs/>
        </w:rPr>
      </w:pPr>
      <w:r w:rsidRPr="00A700E7">
        <w:rPr>
          <w:i/>
          <w:iCs/>
        </w:rPr>
        <w:t>Macitentan</w:t>
      </w:r>
    </w:p>
    <w:p w14:paraId="5C0A4A03" w14:textId="51C611C9" w:rsidR="00DA3442" w:rsidRPr="00A700E7" w:rsidRDefault="00DA3442" w:rsidP="007A6B1F">
      <w:pPr>
        <w:jc w:val="left"/>
      </w:pPr>
      <w:r w:rsidRPr="00A700E7">
        <w:t xml:space="preserve">Based on </w:t>
      </w:r>
      <w:r w:rsidR="00664AD5" w:rsidRPr="00A700E7">
        <w:t>pharmacokinetic</w:t>
      </w:r>
      <w:r w:rsidRPr="00A700E7">
        <w:t xml:space="preserve"> data, no dose adjustment is required in patients with renal impairment. There is no clinical experience with the use of </w:t>
      </w:r>
      <w:r w:rsidR="00664AD5" w:rsidRPr="00A700E7">
        <w:t>m</w:t>
      </w:r>
      <w:r w:rsidR="0097691F" w:rsidRPr="00A700E7">
        <w:t>a</w:t>
      </w:r>
      <w:r w:rsidR="00664AD5" w:rsidRPr="00A700E7">
        <w:t>citentan</w:t>
      </w:r>
      <w:r w:rsidRPr="00A700E7">
        <w:t xml:space="preserve"> in PAH patients with severe renal impairment. The use of </w:t>
      </w:r>
      <w:r w:rsidR="00664AD5" w:rsidRPr="00A700E7">
        <w:t>macitentan</w:t>
      </w:r>
      <w:r w:rsidRPr="00A700E7">
        <w:t xml:space="preserve"> is not recommended in patients undergoing dialysis</w:t>
      </w:r>
      <w:r w:rsidR="00B2462B" w:rsidRPr="00A700E7">
        <w:t xml:space="preserve"> (</w:t>
      </w:r>
      <w:r w:rsidR="005D14D8" w:rsidRPr="00A700E7">
        <w:t>S</w:t>
      </w:r>
      <w:r w:rsidR="00B2462B" w:rsidRPr="00A700E7">
        <w:t xml:space="preserve">ee section 4.4 </w:t>
      </w:r>
      <w:r w:rsidR="00B2462B" w:rsidRPr="00A700E7">
        <w:rPr>
          <w:caps/>
        </w:rPr>
        <w:t>Special Warnings and Precautions for Use</w:t>
      </w:r>
      <w:r w:rsidR="00B2462B" w:rsidRPr="00A700E7">
        <w:t xml:space="preserve">, </w:t>
      </w:r>
      <w:bookmarkStart w:id="4" w:name="_Hlk171082634"/>
      <w:r w:rsidR="005D03DF" w:rsidRPr="00A700E7">
        <w:t>Special warnings and precautions related to m</w:t>
      </w:r>
      <w:r w:rsidR="00B2462B" w:rsidRPr="00A700E7">
        <w:t xml:space="preserve">acitentan - </w:t>
      </w:r>
      <w:bookmarkEnd w:id="4"/>
      <w:r w:rsidR="00B2462B" w:rsidRPr="00A700E7">
        <w:t xml:space="preserve">Use in renal impairment and section 5.2 </w:t>
      </w:r>
      <w:r w:rsidR="00B2462B" w:rsidRPr="00A700E7">
        <w:rPr>
          <w:caps/>
        </w:rPr>
        <w:t xml:space="preserve">Pharmacokinetic properties, </w:t>
      </w:r>
      <w:r w:rsidR="00B2462B" w:rsidRPr="00A700E7">
        <w:t>Macitentan - Renal impairment).</w:t>
      </w:r>
    </w:p>
    <w:p w14:paraId="3A1BE519" w14:textId="77777777" w:rsidR="00664AD5" w:rsidRPr="00A700E7" w:rsidRDefault="00664AD5" w:rsidP="007A6B1F">
      <w:pPr>
        <w:jc w:val="left"/>
      </w:pPr>
    </w:p>
    <w:p w14:paraId="59FFAE27" w14:textId="1AA287A5" w:rsidR="00664AD5" w:rsidRPr="00A700E7" w:rsidRDefault="00664AD5" w:rsidP="007A6B1F">
      <w:pPr>
        <w:jc w:val="left"/>
        <w:rPr>
          <w:i/>
          <w:iCs/>
        </w:rPr>
      </w:pPr>
      <w:r w:rsidRPr="00A700E7">
        <w:rPr>
          <w:i/>
          <w:iCs/>
        </w:rPr>
        <w:t>Tadalafil</w:t>
      </w:r>
    </w:p>
    <w:p w14:paraId="4333019F" w14:textId="5B71BBF4" w:rsidR="00664AD5" w:rsidRPr="00A700E7" w:rsidRDefault="00664AD5" w:rsidP="007A6B1F">
      <w:pPr>
        <w:jc w:val="left"/>
      </w:pPr>
      <w:r w:rsidRPr="00A700E7">
        <w:t>Although clinical pharmacology studies in patients with renal impairment have not been performed with 40mg the dose may be increased to 40 mg once per day, based on individual efficacy and tolerability. In patients with severe renal impairment the use of tadalafil is not recommended due to limited clinical experience in these patients (</w:t>
      </w:r>
      <w:r w:rsidR="005D14D8" w:rsidRPr="00A700E7">
        <w:t>S</w:t>
      </w:r>
      <w:r w:rsidRPr="00A700E7">
        <w:t xml:space="preserve">ee section 4.4 </w:t>
      </w:r>
      <w:r w:rsidRPr="00A700E7">
        <w:rPr>
          <w:caps/>
        </w:rPr>
        <w:t>Special Warnings and Precautions for Use</w:t>
      </w:r>
      <w:r w:rsidRPr="00A700E7">
        <w:t xml:space="preserve">, </w:t>
      </w:r>
      <w:r w:rsidR="005D03DF" w:rsidRPr="00A700E7">
        <w:t>Special warning and precautions related to t</w:t>
      </w:r>
      <w:r w:rsidR="00B2462B" w:rsidRPr="00A700E7">
        <w:t xml:space="preserve">adalafil - </w:t>
      </w:r>
      <w:r w:rsidRPr="00A700E7">
        <w:t xml:space="preserve">Use in renal impairment and section 5.2 </w:t>
      </w:r>
      <w:r w:rsidRPr="00A700E7">
        <w:rPr>
          <w:caps/>
        </w:rPr>
        <w:t>Pharmacokinetic properties</w:t>
      </w:r>
      <w:r w:rsidR="00B2462B" w:rsidRPr="00A700E7">
        <w:rPr>
          <w:caps/>
        </w:rPr>
        <w:t xml:space="preserve">, </w:t>
      </w:r>
      <w:r w:rsidR="00B2462B" w:rsidRPr="00A700E7">
        <w:t>Tadalafil - Renal impairment</w:t>
      </w:r>
      <w:r w:rsidRPr="00A700E7">
        <w:t>).</w:t>
      </w:r>
    </w:p>
    <w:p w14:paraId="5F262E4A" w14:textId="2900379C" w:rsidR="001A074D" w:rsidRPr="00A700E7" w:rsidRDefault="00DF5FD5" w:rsidP="007A6B1F">
      <w:pPr>
        <w:pStyle w:val="Heading4"/>
        <w:jc w:val="left"/>
      </w:pPr>
      <w:r w:rsidRPr="00A700E7">
        <w:t>H</w:t>
      </w:r>
      <w:r w:rsidR="001A074D" w:rsidRPr="00A700E7">
        <w:t>epatic impairment</w:t>
      </w:r>
      <w:r w:rsidR="00606247" w:rsidRPr="00A700E7">
        <w:t xml:space="preserve"> </w:t>
      </w:r>
    </w:p>
    <w:p w14:paraId="32BA96B0" w14:textId="4378067C" w:rsidR="007B1879" w:rsidRPr="00A700E7" w:rsidRDefault="00DD1E7D" w:rsidP="007A6B1F">
      <w:pPr>
        <w:jc w:val="left"/>
      </w:pPr>
      <w:r w:rsidRPr="00A700E7">
        <w:t xml:space="preserve">No dose adjustment is required in patients with mild to moderate hepatic impairment (Child Pugh Class A or B), although a careful individual benefit/risk evaluation should be undertaken by the prescribing physician. </w:t>
      </w:r>
      <w:r w:rsidR="00DF5FD5" w:rsidRPr="00A700E7">
        <w:t xml:space="preserve">OPSYNVI </w:t>
      </w:r>
      <w:r w:rsidR="001A074D" w:rsidRPr="00A700E7">
        <w:t>is contraindicated in patients with severe hepatic</w:t>
      </w:r>
      <w:r w:rsidR="00990492" w:rsidRPr="00A700E7">
        <w:t xml:space="preserve"> impairment</w:t>
      </w:r>
      <w:r w:rsidR="001A074D" w:rsidRPr="00A700E7">
        <w:t xml:space="preserve">, </w:t>
      </w:r>
      <w:r w:rsidR="00442682" w:rsidRPr="00A700E7">
        <w:t>with or without cirrhosis</w:t>
      </w:r>
      <w:r w:rsidR="001A3541" w:rsidRPr="00A700E7">
        <w:t xml:space="preserve"> </w:t>
      </w:r>
      <w:r w:rsidR="00707DCB" w:rsidRPr="00A700E7">
        <w:t>(</w:t>
      </w:r>
      <w:r w:rsidR="001A3541" w:rsidRPr="00A700E7">
        <w:t>Child-Pugh Class C)</w:t>
      </w:r>
      <w:r w:rsidR="00442682" w:rsidRPr="00A700E7">
        <w:t xml:space="preserve">, </w:t>
      </w:r>
      <w:r w:rsidR="001A074D" w:rsidRPr="00A700E7">
        <w:t>or clinically significant elevated hepatic aminotransferases (greater than 3 times the Upper Limit of Normal (&gt; 3 × ULN).</w:t>
      </w:r>
    </w:p>
    <w:p w14:paraId="107B80ED" w14:textId="1E2D9363" w:rsidR="00DD1E7D" w:rsidRPr="00A700E7" w:rsidRDefault="00DD1E7D" w:rsidP="007A6B1F">
      <w:pPr>
        <w:jc w:val="left"/>
      </w:pPr>
    </w:p>
    <w:p w14:paraId="1A35660B" w14:textId="1F6C1558" w:rsidR="005D14D8" w:rsidRPr="00A700E7" w:rsidRDefault="005D14D8" w:rsidP="007A6B1F">
      <w:pPr>
        <w:jc w:val="left"/>
        <w:rPr>
          <w:i/>
          <w:iCs/>
        </w:rPr>
      </w:pPr>
      <w:r w:rsidRPr="00A700E7">
        <w:rPr>
          <w:i/>
          <w:iCs/>
        </w:rPr>
        <w:t>Macitentan</w:t>
      </w:r>
    </w:p>
    <w:p w14:paraId="4D58A97C" w14:textId="657F4F07" w:rsidR="005D14D8" w:rsidRPr="00A700E7" w:rsidRDefault="00911658" w:rsidP="007A6B1F">
      <w:pPr>
        <w:jc w:val="left"/>
      </w:pPr>
      <w:r w:rsidRPr="00A700E7">
        <w:t xml:space="preserve">Based on pharmacokinetic data, no dose adjustment is required in patients with mild or moderate hepatic impairment. There is no clinical experience with the use of macitentan in PAH patients with moderate or severe hepatic impairment. Macitentan is contraindicated in patients with severe hepatic impairment, or clinically significant elevated hepatic </w:t>
      </w:r>
      <w:r w:rsidRPr="00A700E7">
        <w:lastRenderedPageBreak/>
        <w:t>aminotransferases (greater than 3 times the Upper Limit of Normal (&gt; 3 × ULN)</w:t>
      </w:r>
      <w:r w:rsidR="0011633D" w:rsidRPr="00A700E7">
        <w:t>)</w:t>
      </w:r>
      <w:r w:rsidRPr="00A700E7">
        <w:t xml:space="preserve"> (See Section 4.3 CONTRAINDICATIONS).</w:t>
      </w:r>
    </w:p>
    <w:p w14:paraId="178D41F8" w14:textId="77777777" w:rsidR="00911658" w:rsidRPr="00A700E7" w:rsidRDefault="00911658" w:rsidP="007A6B1F">
      <w:pPr>
        <w:jc w:val="left"/>
      </w:pPr>
    </w:p>
    <w:p w14:paraId="3D6959BB" w14:textId="77777777" w:rsidR="005D14D8" w:rsidRPr="00A700E7" w:rsidRDefault="005D14D8" w:rsidP="007A6B1F">
      <w:pPr>
        <w:jc w:val="left"/>
        <w:rPr>
          <w:i/>
          <w:iCs/>
        </w:rPr>
      </w:pPr>
      <w:r w:rsidRPr="00A700E7">
        <w:rPr>
          <w:i/>
          <w:iCs/>
        </w:rPr>
        <w:t>Tadalafil</w:t>
      </w:r>
    </w:p>
    <w:p w14:paraId="65F0F810" w14:textId="14EB66B1" w:rsidR="005D14D8" w:rsidRPr="00A700E7" w:rsidRDefault="005D14D8" w:rsidP="007A6B1F">
      <w:pPr>
        <w:jc w:val="left"/>
      </w:pPr>
      <w:r w:rsidRPr="00A700E7">
        <w:t>If tadalafil is prescribed</w:t>
      </w:r>
      <w:r w:rsidR="00E24A01" w:rsidRPr="00A700E7">
        <w:t xml:space="preserve"> for patients with mild to moderate cirrhosis (Child Pugh A and B)</w:t>
      </w:r>
      <w:r w:rsidRPr="00A700E7">
        <w:t xml:space="preserve">, a careful individual benefit/risk evaluation should be undertaken by the prescribing physician. Patients with severe hepatic cirrhosis (Child-Pugh Class C) have not been studied and therefore dosing of tadalafil is not recommended. (See section 4.4 </w:t>
      </w:r>
      <w:r w:rsidRPr="00A700E7">
        <w:rPr>
          <w:caps/>
        </w:rPr>
        <w:t>Special Warnings and Precautions for Use</w:t>
      </w:r>
      <w:r w:rsidRPr="00A700E7">
        <w:t xml:space="preserve">, </w:t>
      </w:r>
      <w:r w:rsidR="0011633D" w:rsidRPr="00A700E7">
        <w:t>Special warning and precautions related to tadalafil</w:t>
      </w:r>
      <w:r w:rsidR="00911658" w:rsidRPr="00A700E7">
        <w:t xml:space="preserve"> - </w:t>
      </w:r>
      <w:r w:rsidRPr="00A700E7">
        <w:t xml:space="preserve">Use in hepatic impairment and section 5.2 </w:t>
      </w:r>
      <w:r w:rsidRPr="00A700E7">
        <w:rPr>
          <w:caps/>
        </w:rPr>
        <w:t>Pharmacokinetic properties</w:t>
      </w:r>
      <w:r w:rsidR="00911658" w:rsidRPr="00A700E7">
        <w:rPr>
          <w:caps/>
        </w:rPr>
        <w:t>, T</w:t>
      </w:r>
      <w:r w:rsidR="00911658" w:rsidRPr="00A700E7">
        <w:t>adalafil – Hepatic Impairment</w:t>
      </w:r>
      <w:r w:rsidRPr="00A700E7">
        <w:t>).</w:t>
      </w:r>
    </w:p>
    <w:p w14:paraId="4EE67FFB" w14:textId="46B312D7" w:rsidR="00F16976" w:rsidRPr="00A700E7" w:rsidRDefault="00F16976" w:rsidP="007A6B1F">
      <w:pPr>
        <w:pStyle w:val="Heading4"/>
        <w:jc w:val="left"/>
      </w:pPr>
      <w:proofErr w:type="spellStart"/>
      <w:r w:rsidRPr="00A700E7">
        <w:t>Paediatrics</w:t>
      </w:r>
      <w:proofErr w:type="spellEnd"/>
      <w:r w:rsidRPr="00A700E7">
        <w:t xml:space="preserve"> (below 18 years of age)</w:t>
      </w:r>
    </w:p>
    <w:p w14:paraId="7BC8B2AC" w14:textId="34DCC676" w:rsidR="00F16976" w:rsidRPr="00A700E7" w:rsidRDefault="00F16976" w:rsidP="007A6B1F">
      <w:pPr>
        <w:jc w:val="left"/>
        <w:rPr>
          <w:rStyle w:val="Heading3Char"/>
          <w:rFonts w:eastAsia="Times New Roman"/>
          <w:b w:val="0"/>
          <w:bCs w:val="0"/>
          <w:shd w:val="clear" w:color="auto" w:fill="B6DDE8"/>
        </w:rPr>
      </w:pPr>
      <w:r w:rsidRPr="00A700E7">
        <w:t xml:space="preserve">OPSYNVI should not be used in individuals below 18 years of age. Safety and </w:t>
      </w:r>
      <w:proofErr w:type="gramStart"/>
      <w:r w:rsidRPr="00A700E7">
        <w:t>efficacy  have</w:t>
      </w:r>
      <w:proofErr w:type="gramEnd"/>
      <w:r w:rsidRPr="00A700E7">
        <w:t xml:space="preserve"> not been established in this population.</w:t>
      </w:r>
    </w:p>
    <w:bookmarkEnd w:id="3"/>
    <w:p w14:paraId="296C2FF6" w14:textId="77777777" w:rsidR="00DF5FD5" w:rsidRPr="00A700E7" w:rsidRDefault="00DF5FD5" w:rsidP="007A6B1F">
      <w:pPr>
        <w:pStyle w:val="Heading3"/>
        <w:jc w:val="left"/>
      </w:pPr>
      <w:r w:rsidRPr="00A700E7">
        <w:t>Administration</w:t>
      </w:r>
    </w:p>
    <w:p w14:paraId="511EED55" w14:textId="14D95E77" w:rsidR="00DF5FD5" w:rsidRPr="00A700E7" w:rsidRDefault="00DF5FD5" w:rsidP="007A6B1F">
      <w:pPr>
        <w:jc w:val="left"/>
      </w:pPr>
      <w:r w:rsidRPr="00A700E7">
        <w:rPr>
          <w:szCs w:val="24"/>
        </w:rPr>
        <w:t>OPSYNVI</w:t>
      </w:r>
      <w:r w:rsidRPr="00A700E7">
        <w:t xml:space="preserve"> should be taken orally once daily with or without food. The film-coated tablets must be swallowed whole, with water, and must not be chewed, divided or crushed.</w:t>
      </w:r>
    </w:p>
    <w:p w14:paraId="7209B692" w14:textId="77777777" w:rsidR="0048218A" w:rsidRPr="00A700E7" w:rsidRDefault="0048218A" w:rsidP="007A6B1F">
      <w:pPr>
        <w:jc w:val="left"/>
      </w:pPr>
    </w:p>
    <w:p w14:paraId="6E72C6DF" w14:textId="77777777" w:rsidR="001A3992" w:rsidRPr="00A700E7" w:rsidRDefault="001A3992" w:rsidP="007A6B1F">
      <w:pPr>
        <w:pStyle w:val="Heading2"/>
        <w:jc w:val="left"/>
      </w:pPr>
      <w:r w:rsidRPr="00A700E7">
        <w:t>Contraindications</w:t>
      </w:r>
    </w:p>
    <w:p w14:paraId="4AD2B06E" w14:textId="13C1F9DD" w:rsidR="0073660C" w:rsidRPr="00A700E7" w:rsidRDefault="00DF5FD5" w:rsidP="007A6B1F">
      <w:pPr>
        <w:jc w:val="left"/>
        <w:rPr>
          <w:noProof/>
        </w:rPr>
      </w:pPr>
      <w:r w:rsidRPr="00A700E7">
        <w:t xml:space="preserve">OPSYNVI </w:t>
      </w:r>
      <w:r w:rsidR="001A074D" w:rsidRPr="00A700E7">
        <w:t>is contraindicated</w:t>
      </w:r>
      <w:r w:rsidR="0073660C" w:rsidRPr="00A700E7">
        <w:t xml:space="preserve"> in patients who </w:t>
      </w:r>
      <w:r w:rsidR="00865B8A" w:rsidRPr="00A700E7">
        <w:t>have</w:t>
      </w:r>
      <w:r w:rsidR="0073660C" w:rsidRPr="00A700E7">
        <w:t xml:space="preserve"> </w:t>
      </w:r>
      <w:r w:rsidR="0073660C" w:rsidRPr="00A700E7">
        <w:rPr>
          <w:noProof/>
        </w:rPr>
        <w:t>hypersensitivity to the active substance</w:t>
      </w:r>
      <w:r w:rsidR="00E53AE8" w:rsidRPr="00A700E7">
        <w:rPr>
          <w:noProof/>
        </w:rPr>
        <w:t>s</w:t>
      </w:r>
      <w:r w:rsidR="0073660C" w:rsidRPr="00A700E7">
        <w:rPr>
          <w:noProof/>
        </w:rPr>
        <w:t xml:space="preserve"> or to any of the excipients listed in Section 6.1 LIST OF EXCIPIENTS. </w:t>
      </w:r>
    </w:p>
    <w:p w14:paraId="44443D0B" w14:textId="139B5A2C" w:rsidR="001A074D" w:rsidRPr="00A700E7" w:rsidRDefault="001A074D" w:rsidP="007A6B1F">
      <w:pPr>
        <w:jc w:val="left"/>
      </w:pPr>
    </w:p>
    <w:p w14:paraId="0B1CB6F3" w14:textId="2F086E24" w:rsidR="0073660C" w:rsidRPr="00A700E7" w:rsidRDefault="0073660C" w:rsidP="007A6B1F">
      <w:pPr>
        <w:jc w:val="left"/>
      </w:pPr>
      <w:r w:rsidRPr="00A700E7">
        <w:t>As OPSYNVI contains macitentan and tadalafil, the contraindications associated with each component are applicable.</w:t>
      </w:r>
    </w:p>
    <w:p w14:paraId="37FE810B" w14:textId="21868659" w:rsidR="00E30152" w:rsidRPr="00A700E7" w:rsidRDefault="002B0867" w:rsidP="007A6B1F">
      <w:pPr>
        <w:pStyle w:val="Heading3"/>
        <w:jc w:val="left"/>
      </w:pPr>
      <w:r w:rsidRPr="00A700E7">
        <w:t xml:space="preserve">Contraindications related to </w:t>
      </w:r>
      <w:r w:rsidR="002D1728" w:rsidRPr="00A700E7">
        <w:t>m</w:t>
      </w:r>
      <w:r w:rsidR="0073660C" w:rsidRPr="00A700E7">
        <w:t>acitentan</w:t>
      </w:r>
      <w:r w:rsidR="002D1728" w:rsidRPr="00A700E7">
        <w:t xml:space="preserve"> </w:t>
      </w:r>
    </w:p>
    <w:p w14:paraId="194FF08B" w14:textId="6F1E7BB7" w:rsidR="00E30152" w:rsidRPr="00A700E7" w:rsidRDefault="00E30152" w:rsidP="007A6B1F">
      <w:pPr>
        <w:jc w:val="left"/>
      </w:pPr>
      <w:r w:rsidRPr="00A700E7">
        <w:t>Macitentan is contraindicated in:</w:t>
      </w:r>
    </w:p>
    <w:p w14:paraId="4E25D766" w14:textId="67135C4C" w:rsidR="003302B2" w:rsidRPr="00A700E7" w:rsidRDefault="00865B8A" w:rsidP="007A6B1F">
      <w:pPr>
        <w:pStyle w:val="ListParagraph"/>
        <w:numPr>
          <w:ilvl w:val="0"/>
          <w:numId w:val="34"/>
        </w:numPr>
        <w:jc w:val="left"/>
        <w:rPr>
          <w:rFonts w:ascii="Arial" w:hAnsi="Arial"/>
        </w:rPr>
      </w:pPr>
      <w:r w:rsidRPr="00A700E7">
        <w:rPr>
          <w:rFonts w:ascii="Arial" w:hAnsi="Arial"/>
        </w:rPr>
        <w:t>Wo</w:t>
      </w:r>
      <w:r w:rsidR="001A074D" w:rsidRPr="00A700E7">
        <w:rPr>
          <w:rFonts w:ascii="Arial" w:hAnsi="Arial"/>
        </w:rPr>
        <w:t xml:space="preserve">men who are or may become pregnant (See Boxed Warning and </w:t>
      </w:r>
      <w:r w:rsidR="00C820B7" w:rsidRPr="00A700E7">
        <w:rPr>
          <w:rFonts w:ascii="Arial" w:hAnsi="Arial"/>
        </w:rPr>
        <w:t>Section 4.6</w:t>
      </w:r>
      <w:r w:rsidR="001E5086" w:rsidRPr="00A700E7">
        <w:rPr>
          <w:rFonts w:ascii="Arial" w:hAnsi="Arial"/>
        </w:rPr>
        <w:t xml:space="preserve"> FERTILITY, PREGNANCY AND LACTATION</w:t>
      </w:r>
      <w:r w:rsidR="001A074D" w:rsidRPr="00A700E7">
        <w:rPr>
          <w:rFonts w:ascii="Arial" w:hAnsi="Arial"/>
        </w:rPr>
        <w:t xml:space="preserve">). </w:t>
      </w:r>
    </w:p>
    <w:p w14:paraId="49BBB8BE" w14:textId="232E4AC7" w:rsidR="003302B2" w:rsidRPr="00A700E7" w:rsidRDefault="001A074D" w:rsidP="007A6B1F">
      <w:pPr>
        <w:pStyle w:val="ListParagraph"/>
        <w:numPr>
          <w:ilvl w:val="0"/>
          <w:numId w:val="34"/>
        </w:numPr>
        <w:jc w:val="left"/>
        <w:rPr>
          <w:rFonts w:ascii="Arial" w:hAnsi="Arial"/>
        </w:rPr>
      </w:pPr>
      <w:r w:rsidRPr="00A700E7">
        <w:rPr>
          <w:rFonts w:ascii="Arial" w:hAnsi="Arial"/>
        </w:rPr>
        <w:t xml:space="preserve">Women of child-bearing potential who are not using reliable contraception (See </w:t>
      </w:r>
      <w:r w:rsidR="00C820B7" w:rsidRPr="00A700E7">
        <w:rPr>
          <w:rFonts w:ascii="Arial" w:hAnsi="Arial"/>
        </w:rPr>
        <w:t>Section</w:t>
      </w:r>
      <w:r w:rsidR="00B2053E" w:rsidRPr="00A700E7">
        <w:rPr>
          <w:rFonts w:ascii="Arial" w:hAnsi="Arial"/>
        </w:rPr>
        <w:t xml:space="preserve"> </w:t>
      </w:r>
      <w:r w:rsidR="00C820B7" w:rsidRPr="00A700E7">
        <w:rPr>
          <w:rFonts w:ascii="Arial" w:hAnsi="Arial"/>
        </w:rPr>
        <w:t xml:space="preserve">4.6 </w:t>
      </w:r>
      <w:r w:rsidR="00686822" w:rsidRPr="00A700E7">
        <w:rPr>
          <w:rFonts w:ascii="Arial" w:hAnsi="Arial"/>
        </w:rPr>
        <w:t>FERTILITY, PREGNANCY AND LACTATION</w:t>
      </w:r>
      <w:r w:rsidRPr="00A700E7">
        <w:rPr>
          <w:rFonts w:ascii="Arial" w:hAnsi="Arial"/>
        </w:rPr>
        <w:t xml:space="preserve">). </w:t>
      </w:r>
      <w:r w:rsidR="00C820B7" w:rsidRPr="00A700E7">
        <w:rPr>
          <w:rFonts w:ascii="Arial" w:hAnsi="Arial"/>
        </w:rPr>
        <w:t xml:space="preserve"> </w:t>
      </w:r>
      <w:r w:rsidRPr="00A700E7">
        <w:rPr>
          <w:rFonts w:ascii="Arial" w:hAnsi="Arial"/>
        </w:rPr>
        <w:t xml:space="preserve">Women must not become pregnant for at least 3 months after stopping treatment with </w:t>
      </w:r>
      <w:r w:rsidR="00E30152" w:rsidRPr="00A700E7">
        <w:rPr>
          <w:rFonts w:ascii="Arial" w:hAnsi="Arial"/>
        </w:rPr>
        <w:t>macitentan</w:t>
      </w:r>
      <w:r w:rsidRPr="00A700E7">
        <w:rPr>
          <w:rFonts w:ascii="Arial" w:hAnsi="Arial"/>
        </w:rPr>
        <w:t xml:space="preserve">. </w:t>
      </w:r>
    </w:p>
    <w:p w14:paraId="5D843E5F" w14:textId="4B82C02B" w:rsidR="003302B2" w:rsidRPr="00A700E7" w:rsidRDefault="00B164AA" w:rsidP="007A6B1F">
      <w:pPr>
        <w:pStyle w:val="ListParagraph"/>
        <w:numPr>
          <w:ilvl w:val="0"/>
          <w:numId w:val="34"/>
        </w:numPr>
        <w:jc w:val="left"/>
        <w:rPr>
          <w:rFonts w:ascii="Arial" w:hAnsi="Arial"/>
        </w:rPr>
      </w:pPr>
      <w:r w:rsidRPr="00A700E7">
        <w:rPr>
          <w:rFonts w:ascii="Arial" w:hAnsi="Arial"/>
          <w:noProof/>
        </w:rPr>
        <w:t>Patients with severe hepatic impairment (with or without cirrhosis) (See Section 4.4 SPECIAL WARNINGS AND PRECAUTIONS FOR USE</w:t>
      </w:r>
      <w:r w:rsidR="007E3305" w:rsidRPr="00A700E7">
        <w:rPr>
          <w:rFonts w:ascii="Arial" w:hAnsi="Arial"/>
          <w:noProof/>
        </w:rPr>
        <w:t xml:space="preserve">, Special warnings and precautions related to macitentan </w:t>
      </w:r>
      <w:r w:rsidRPr="00A700E7">
        <w:rPr>
          <w:rFonts w:ascii="Arial" w:hAnsi="Arial"/>
          <w:noProof/>
        </w:rPr>
        <w:t>– Liver function).</w:t>
      </w:r>
    </w:p>
    <w:p w14:paraId="54AC7E9C" w14:textId="37431FA2" w:rsidR="00B164AA" w:rsidRPr="00A700E7" w:rsidRDefault="00B164AA" w:rsidP="007A6B1F">
      <w:pPr>
        <w:pStyle w:val="ListParagraph"/>
        <w:numPr>
          <w:ilvl w:val="0"/>
          <w:numId w:val="34"/>
        </w:numPr>
        <w:jc w:val="left"/>
        <w:rPr>
          <w:rFonts w:ascii="Arial" w:hAnsi="Arial"/>
          <w:noProof/>
        </w:rPr>
      </w:pPr>
      <w:r w:rsidRPr="00A700E7">
        <w:rPr>
          <w:rFonts w:ascii="Arial" w:hAnsi="Arial"/>
          <w:noProof/>
        </w:rPr>
        <w:t>Patients with baseline values of hepatic aminotransferases (aspartate aminotransferase [AST] and/or alanine aminotransferase [ALT]) greater than 3 times the Upper Limit of Normal (ULN) (See Section 4.4 SPECIAL WARNINGS AND PRECAUTIONS FOR USE</w:t>
      </w:r>
      <w:r w:rsidR="007E3305" w:rsidRPr="00A700E7">
        <w:rPr>
          <w:rFonts w:ascii="Arial" w:hAnsi="Arial"/>
          <w:noProof/>
        </w:rPr>
        <w:t xml:space="preserve">, </w:t>
      </w:r>
      <w:r w:rsidRPr="00A700E7">
        <w:rPr>
          <w:rFonts w:ascii="Arial" w:hAnsi="Arial"/>
          <w:noProof/>
        </w:rPr>
        <w:t xml:space="preserve"> </w:t>
      </w:r>
      <w:r w:rsidR="007E3305" w:rsidRPr="00A700E7">
        <w:rPr>
          <w:rFonts w:ascii="Arial" w:hAnsi="Arial"/>
          <w:noProof/>
        </w:rPr>
        <w:t xml:space="preserve">Special warnings and precautions related to macitentan  </w:t>
      </w:r>
      <w:r w:rsidRPr="00A700E7">
        <w:rPr>
          <w:rFonts w:ascii="Arial" w:hAnsi="Arial"/>
          <w:noProof/>
        </w:rPr>
        <w:t>– Liver function).</w:t>
      </w:r>
    </w:p>
    <w:p w14:paraId="0CA8F7BA" w14:textId="4934456E" w:rsidR="00D12548" w:rsidRPr="00A700E7" w:rsidRDefault="00D12548" w:rsidP="007A6B1F">
      <w:pPr>
        <w:jc w:val="left"/>
        <w:rPr>
          <w:noProof/>
        </w:rPr>
      </w:pPr>
    </w:p>
    <w:p w14:paraId="1C73C0DE" w14:textId="327D05D7" w:rsidR="00E30152" w:rsidRPr="00A700E7" w:rsidRDefault="002B0867" w:rsidP="007A6B1F">
      <w:pPr>
        <w:pStyle w:val="Heading3"/>
        <w:jc w:val="left"/>
        <w:rPr>
          <w:noProof/>
        </w:rPr>
      </w:pPr>
      <w:r w:rsidRPr="00A700E7">
        <w:t xml:space="preserve">Contraindications related to </w:t>
      </w:r>
      <w:r w:rsidRPr="00A700E7">
        <w:rPr>
          <w:noProof/>
        </w:rPr>
        <w:t>t</w:t>
      </w:r>
      <w:r w:rsidR="00E30152" w:rsidRPr="00A700E7">
        <w:rPr>
          <w:noProof/>
        </w:rPr>
        <w:t>adalafil</w:t>
      </w:r>
      <w:r w:rsidRPr="00A700E7">
        <w:rPr>
          <w:noProof/>
        </w:rPr>
        <w:t xml:space="preserve"> </w:t>
      </w:r>
    </w:p>
    <w:p w14:paraId="5AD71EDE" w14:textId="3CBC4A56" w:rsidR="00D12548" w:rsidRPr="00A700E7" w:rsidRDefault="00B2649B" w:rsidP="007A6B1F">
      <w:pPr>
        <w:jc w:val="left"/>
      </w:pPr>
      <w:r w:rsidRPr="00A700E7">
        <w:t>Nitrates and tadalafil must not be used concomitantly.</w:t>
      </w:r>
      <w:r w:rsidR="00D12548" w:rsidRPr="00A700E7">
        <w:t xml:space="preserve"> Co-administration of tadalafil</w:t>
      </w:r>
      <w:r w:rsidRPr="00A700E7">
        <w:t xml:space="preserve"> </w:t>
      </w:r>
      <w:r w:rsidR="00D12548" w:rsidRPr="00A700E7">
        <w:t xml:space="preserve">with nitric oxide donors, organic nitrates or organic nitrites in any form either regularly or intermittently is contraindicated. Drugs which must not be used concomitantly include, but are not limited to, glyceryl trinitrate (injection, tablets, sprays or patches), isosorbide salts, sodium nitroprusside, amyl nitrite, nicorandil or organic nitrates in any form. In clinical </w:t>
      </w:r>
      <w:r w:rsidR="00D12548" w:rsidRPr="00A700E7">
        <w:lastRenderedPageBreak/>
        <w:t>studies, tadalafil was shown to potentiate the hypotensive effects of both acute and chronic nitrate administration. This is thought to result from the combined effects of nitrates and tadalafil on the nitric oxide/cGMP pathway.</w:t>
      </w:r>
    </w:p>
    <w:p w14:paraId="09C81AAB" w14:textId="77777777" w:rsidR="00D12548" w:rsidRPr="00A700E7" w:rsidRDefault="00D12548" w:rsidP="007A6B1F">
      <w:pPr>
        <w:jc w:val="left"/>
      </w:pPr>
    </w:p>
    <w:p w14:paraId="755862E7" w14:textId="614736E6" w:rsidR="00D12548" w:rsidRPr="00A700E7" w:rsidRDefault="00D12548" w:rsidP="007A6B1F">
      <w:pPr>
        <w:jc w:val="left"/>
      </w:pPr>
      <w:r w:rsidRPr="00A700E7">
        <w:t xml:space="preserve">Administration of tadalafil to patients who are using any form of organic nitrate is contraindicated. In a patient prescribed tadalafil where nitrate administration is deemed medically necessary in a life-threatening situation, at least 48 hours in most patients and 4-5 days in the elderly (approximately 4-5 half-lives) should have elapsed after the last dose of tadalafil before nitrate administration is considered. In such circumstances, nitrates should only be administered under close medical supervision with appropriate </w:t>
      </w:r>
      <w:proofErr w:type="spellStart"/>
      <w:r w:rsidRPr="00A700E7">
        <w:t>haemodynamic</w:t>
      </w:r>
      <w:proofErr w:type="spellEnd"/>
      <w:r w:rsidRPr="00A700E7">
        <w:t xml:space="preserve"> monitoring (see section 4.5 </w:t>
      </w:r>
      <w:r w:rsidRPr="00A700E7">
        <w:rPr>
          <w:caps/>
        </w:rPr>
        <w:t>Interactions with other medicines and other forms of interactions</w:t>
      </w:r>
      <w:r w:rsidR="00F43F05" w:rsidRPr="00A700E7">
        <w:rPr>
          <w:caps/>
        </w:rPr>
        <w:t>, T</w:t>
      </w:r>
      <w:r w:rsidR="00F43F05" w:rsidRPr="00A700E7">
        <w:t>adalafil</w:t>
      </w:r>
      <w:r w:rsidRPr="00A700E7">
        <w:t>).</w:t>
      </w:r>
    </w:p>
    <w:p w14:paraId="2256C895" w14:textId="77777777" w:rsidR="0048218A" w:rsidRPr="00A700E7" w:rsidRDefault="0048218A" w:rsidP="007A6B1F">
      <w:pPr>
        <w:jc w:val="left"/>
      </w:pPr>
    </w:p>
    <w:p w14:paraId="22AD29D1" w14:textId="0411FB16" w:rsidR="00E30152" w:rsidRPr="00A700E7" w:rsidRDefault="00B2649B" w:rsidP="007A6B1F">
      <w:pPr>
        <w:jc w:val="left"/>
      </w:pPr>
      <w:r w:rsidRPr="00A700E7">
        <w:t>Tadalafil is contraindicated i</w:t>
      </w:r>
      <w:r w:rsidR="00E30152" w:rsidRPr="00A700E7">
        <w:t>n patients who have loss of vision in one eye because of non-</w:t>
      </w:r>
      <w:proofErr w:type="spellStart"/>
      <w:r w:rsidR="00E30152" w:rsidRPr="00A700E7">
        <w:t>arteritic</w:t>
      </w:r>
      <w:proofErr w:type="spellEnd"/>
      <w:r w:rsidR="00E30152" w:rsidRPr="00A700E7">
        <w:t xml:space="preserve"> anterior ischemic optic neuropathy (NAION), regardless of whether this episode was in connection or not with previous PDE5 inhibitor exposure</w:t>
      </w:r>
      <w:r w:rsidRPr="00A700E7">
        <w:t xml:space="preserve"> (See Section 4.4 </w:t>
      </w:r>
      <w:r w:rsidRPr="00A700E7">
        <w:rPr>
          <w:noProof/>
        </w:rPr>
        <w:t>SPECIAL WARNINGS AND PRECAUTIONS FOR USE</w:t>
      </w:r>
      <w:r w:rsidR="00F43F05" w:rsidRPr="00A700E7">
        <w:rPr>
          <w:noProof/>
        </w:rPr>
        <w:t xml:space="preserve">, </w:t>
      </w:r>
      <w:r w:rsidR="00F43F05" w:rsidRPr="00A700E7">
        <w:t>Special warning and precautions related to tadalafil</w:t>
      </w:r>
      <w:r w:rsidRPr="00A700E7">
        <w:rPr>
          <w:noProof/>
        </w:rPr>
        <w:t>)</w:t>
      </w:r>
      <w:r w:rsidR="00E30152" w:rsidRPr="00A700E7">
        <w:t>.</w:t>
      </w:r>
    </w:p>
    <w:p w14:paraId="78D5D9B6" w14:textId="77777777" w:rsidR="00E30152" w:rsidRPr="00A700E7" w:rsidRDefault="00E30152" w:rsidP="007A6B1F">
      <w:pPr>
        <w:jc w:val="left"/>
      </w:pPr>
    </w:p>
    <w:p w14:paraId="70EB83EA" w14:textId="0DEA9B1F" w:rsidR="00577937" w:rsidRPr="00A700E7" w:rsidRDefault="00D34616" w:rsidP="007A6B1F">
      <w:pPr>
        <w:jc w:val="left"/>
      </w:pPr>
      <w:r w:rsidRPr="00A700E7">
        <w:t>T</w:t>
      </w:r>
      <w:r w:rsidR="00577937" w:rsidRPr="00A700E7">
        <w:t xml:space="preserve">he following groups of patients with cardiovascular disease </w:t>
      </w:r>
      <w:r w:rsidRPr="00A700E7">
        <w:t>were not included in tadalafil clinical trial and the use of tadalafil</w:t>
      </w:r>
      <w:r w:rsidR="00F12B68" w:rsidRPr="00A700E7">
        <w:t xml:space="preserve"> </w:t>
      </w:r>
      <w:r w:rsidR="00577937" w:rsidRPr="00A700E7">
        <w:t>is</w:t>
      </w:r>
      <w:r w:rsidRPr="00A700E7">
        <w:t xml:space="preserve"> therefore</w:t>
      </w:r>
      <w:r w:rsidR="00577937" w:rsidRPr="00A700E7">
        <w:t xml:space="preserve"> contraindicated:</w:t>
      </w:r>
    </w:p>
    <w:p w14:paraId="446DC1D9" w14:textId="0A83B996" w:rsidR="00B164AA" w:rsidRPr="00A700E7" w:rsidRDefault="00577937" w:rsidP="007A6B1F">
      <w:pPr>
        <w:pStyle w:val="ListParagraph"/>
        <w:numPr>
          <w:ilvl w:val="0"/>
          <w:numId w:val="21"/>
        </w:numPr>
        <w:jc w:val="left"/>
        <w:rPr>
          <w:rFonts w:ascii="Arial" w:hAnsi="Arial"/>
        </w:rPr>
      </w:pPr>
      <w:r w:rsidRPr="00A700E7">
        <w:rPr>
          <w:rFonts w:ascii="Arial" w:hAnsi="Arial"/>
        </w:rPr>
        <w:t>P</w:t>
      </w:r>
      <w:r w:rsidR="00B164AA" w:rsidRPr="00A700E7">
        <w:rPr>
          <w:rFonts w:ascii="Arial" w:hAnsi="Arial"/>
        </w:rPr>
        <w:t>atients who had acute myocardial infarction within the last 90 days.</w:t>
      </w:r>
    </w:p>
    <w:p w14:paraId="41B286C3" w14:textId="15B1EFD5" w:rsidR="00B164AA" w:rsidRPr="00A700E7" w:rsidRDefault="00577937" w:rsidP="007A6B1F">
      <w:pPr>
        <w:pStyle w:val="ListParagraph"/>
        <w:numPr>
          <w:ilvl w:val="0"/>
          <w:numId w:val="21"/>
        </w:numPr>
        <w:jc w:val="left"/>
        <w:rPr>
          <w:rFonts w:ascii="Arial" w:hAnsi="Arial"/>
        </w:rPr>
      </w:pPr>
      <w:r w:rsidRPr="00A700E7">
        <w:rPr>
          <w:rFonts w:ascii="Arial" w:hAnsi="Arial"/>
        </w:rPr>
        <w:t>P</w:t>
      </w:r>
      <w:r w:rsidR="00B164AA" w:rsidRPr="00A700E7">
        <w:rPr>
          <w:rFonts w:ascii="Arial" w:hAnsi="Arial"/>
        </w:rPr>
        <w:t>atients with severe hypotension (&lt; 90/50 mmHg).</w:t>
      </w:r>
    </w:p>
    <w:p w14:paraId="2A0E0FFB" w14:textId="781BC9CF" w:rsidR="00577937" w:rsidRPr="00A700E7" w:rsidRDefault="00577937" w:rsidP="007A6B1F">
      <w:pPr>
        <w:pStyle w:val="ListParagraph"/>
        <w:numPr>
          <w:ilvl w:val="0"/>
          <w:numId w:val="21"/>
        </w:numPr>
        <w:jc w:val="left"/>
        <w:rPr>
          <w:rFonts w:ascii="Arial" w:hAnsi="Arial"/>
        </w:rPr>
      </w:pPr>
      <w:r w:rsidRPr="00A700E7">
        <w:rPr>
          <w:rFonts w:ascii="Arial" w:hAnsi="Arial"/>
        </w:rPr>
        <w:t>Patients with unstable angina</w:t>
      </w:r>
    </w:p>
    <w:p w14:paraId="3C3D0720" w14:textId="77777777" w:rsidR="00577937" w:rsidRPr="00A700E7" w:rsidRDefault="00577937" w:rsidP="007A6B1F">
      <w:pPr>
        <w:pStyle w:val="ListParagraph"/>
        <w:numPr>
          <w:ilvl w:val="0"/>
          <w:numId w:val="21"/>
        </w:numPr>
        <w:jc w:val="left"/>
        <w:rPr>
          <w:rFonts w:ascii="Arial" w:hAnsi="Arial"/>
        </w:rPr>
      </w:pPr>
      <w:r w:rsidRPr="00A700E7">
        <w:rPr>
          <w:rFonts w:ascii="Arial" w:hAnsi="Arial"/>
        </w:rPr>
        <w:t xml:space="preserve">Patients with uncontrolled </w:t>
      </w:r>
      <w:proofErr w:type="gramStart"/>
      <w:r w:rsidRPr="00A700E7">
        <w:rPr>
          <w:rFonts w:ascii="Arial" w:hAnsi="Arial"/>
        </w:rPr>
        <w:t>arrhythmias</w:t>
      </w:r>
      <w:proofErr w:type="gramEnd"/>
    </w:p>
    <w:p w14:paraId="4A0EE5BB" w14:textId="38D9B904" w:rsidR="00577937" w:rsidRPr="00A700E7" w:rsidRDefault="00577937" w:rsidP="007A6B1F">
      <w:pPr>
        <w:pStyle w:val="ListParagraph"/>
        <w:numPr>
          <w:ilvl w:val="0"/>
          <w:numId w:val="21"/>
        </w:numPr>
        <w:jc w:val="left"/>
        <w:rPr>
          <w:rFonts w:ascii="Arial" w:hAnsi="Arial"/>
        </w:rPr>
      </w:pPr>
      <w:r w:rsidRPr="00A700E7">
        <w:rPr>
          <w:rFonts w:ascii="Arial" w:hAnsi="Arial"/>
        </w:rPr>
        <w:t>Patients with uncontrolled hypertension</w:t>
      </w:r>
    </w:p>
    <w:p w14:paraId="5D19FC8A" w14:textId="6A59AAEB" w:rsidR="00577937" w:rsidRPr="00A700E7" w:rsidRDefault="00577937" w:rsidP="007A6B1F">
      <w:pPr>
        <w:pStyle w:val="ListParagraph"/>
        <w:numPr>
          <w:ilvl w:val="0"/>
          <w:numId w:val="21"/>
        </w:numPr>
        <w:jc w:val="left"/>
        <w:rPr>
          <w:rFonts w:ascii="Arial" w:hAnsi="Arial"/>
        </w:rPr>
      </w:pPr>
      <w:r w:rsidRPr="00A700E7">
        <w:rPr>
          <w:rFonts w:ascii="Arial" w:hAnsi="Arial"/>
        </w:rPr>
        <w:t>Patients with a stroke within the last 6 months</w:t>
      </w:r>
    </w:p>
    <w:p w14:paraId="566BD9FD" w14:textId="77777777" w:rsidR="003302B2" w:rsidRPr="00A700E7" w:rsidRDefault="003302B2" w:rsidP="007A6B1F">
      <w:pPr>
        <w:jc w:val="left"/>
      </w:pPr>
    </w:p>
    <w:p w14:paraId="124EDABE" w14:textId="1F09F525" w:rsidR="00B164AA" w:rsidRPr="00A700E7" w:rsidRDefault="00D12548" w:rsidP="007A6B1F">
      <w:pPr>
        <w:jc w:val="left"/>
      </w:pPr>
      <w:r w:rsidRPr="00A700E7">
        <w:t>G</w:t>
      </w:r>
      <w:r w:rsidR="00B164AA" w:rsidRPr="00A700E7">
        <w:t>uanylate cyclase stimulators</w:t>
      </w:r>
      <w:r w:rsidRPr="00A700E7">
        <w:t xml:space="preserve"> – The combination of tadalafil and guanylate cyclase stimulators </w:t>
      </w:r>
      <w:r w:rsidR="00B164AA" w:rsidRPr="00A700E7">
        <w:t xml:space="preserve">such as </w:t>
      </w:r>
      <w:proofErr w:type="spellStart"/>
      <w:r w:rsidR="00B164AA" w:rsidRPr="00A700E7">
        <w:t>riociguat</w:t>
      </w:r>
      <w:proofErr w:type="spellEnd"/>
      <w:r w:rsidR="00B164AA" w:rsidRPr="00A700E7">
        <w:t xml:space="preserve">, </w:t>
      </w:r>
      <w:r w:rsidR="00B2649B" w:rsidRPr="00A700E7">
        <w:t xml:space="preserve">is contraindicated, </w:t>
      </w:r>
      <w:r w:rsidR="00B164AA" w:rsidRPr="00A700E7">
        <w:t>as it may potentially lead to symptomatic hypotension.</w:t>
      </w:r>
    </w:p>
    <w:p w14:paraId="677A2364" w14:textId="77777777" w:rsidR="003302B2" w:rsidRPr="00A700E7" w:rsidRDefault="003302B2" w:rsidP="007A6B1F">
      <w:pPr>
        <w:jc w:val="left"/>
      </w:pPr>
    </w:p>
    <w:p w14:paraId="1E96D414" w14:textId="77777777" w:rsidR="00941D46" w:rsidRPr="00A700E7" w:rsidRDefault="00941D46" w:rsidP="007A6B1F">
      <w:pPr>
        <w:jc w:val="left"/>
      </w:pPr>
    </w:p>
    <w:p w14:paraId="7502073F" w14:textId="77777777" w:rsidR="00941D46" w:rsidRPr="00A700E7" w:rsidRDefault="00E74A56" w:rsidP="007A6B1F">
      <w:pPr>
        <w:pStyle w:val="Heading2"/>
        <w:jc w:val="left"/>
      </w:pPr>
      <w:bookmarkStart w:id="5" w:name="_Hlk72921228"/>
      <w:r w:rsidRPr="00A700E7">
        <w:t>Special warnings and p</w:t>
      </w:r>
      <w:r w:rsidR="001A3992" w:rsidRPr="00A700E7">
        <w:t xml:space="preserve">recautions </w:t>
      </w:r>
      <w:r w:rsidRPr="00A700E7">
        <w:t>for use</w:t>
      </w:r>
      <w:bookmarkEnd w:id="5"/>
    </w:p>
    <w:p w14:paraId="64A9ACD7" w14:textId="00367114" w:rsidR="00305172" w:rsidRPr="00A700E7" w:rsidRDefault="00A74E85" w:rsidP="007A6B1F">
      <w:pPr>
        <w:jc w:val="left"/>
      </w:pPr>
      <w:bookmarkStart w:id="6" w:name="_Hlk176508512"/>
      <w:r w:rsidRPr="00A700E7">
        <w:t>OPS</w:t>
      </w:r>
      <w:r w:rsidR="00EB0989" w:rsidRPr="00A700E7">
        <w:t>YN</w:t>
      </w:r>
      <w:r w:rsidRPr="00A700E7">
        <w:t xml:space="preserve">VI </w:t>
      </w:r>
      <w:r w:rsidR="004D4D0B" w:rsidRPr="00A700E7">
        <w:t xml:space="preserve">is not indicated as initial combination therapy in </w:t>
      </w:r>
      <w:r w:rsidRPr="00A700E7">
        <w:t>treatment-naïve patients or as a step-up therapy in patients already taking ERA or PDE5i monotherapies.</w:t>
      </w:r>
      <w:r w:rsidR="00095754" w:rsidRPr="00A700E7">
        <w:t xml:space="preserve"> </w:t>
      </w:r>
    </w:p>
    <w:p w14:paraId="65D6CDAE" w14:textId="77777777" w:rsidR="00305172" w:rsidRPr="00A700E7" w:rsidRDefault="00305172" w:rsidP="007A6B1F">
      <w:pPr>
        <w:jc w:val="left"/>
      </w:pPr>
    </w:p>
    <w:p w14:paraId="4C886973" w14:textId="7CEEA791" w:rsidR="0022148D" w:rsidRPr="00A700E7" w:rsidRDefault="00AA49AC" w:rsidP="007A6B1F">
      <w:pPr>
        <w:jc w:val="left"/>
      </w:pPr>
      <w:r w:rsidRPr="00A700E7">
        <w:t>In the A DUE study</w:t>
      </w:r>
      <w:r w:rsidR="0068071B" w:rsidRPr="00A700E7">
        <w:t>,</w:t>
      </w:r>
      <w:r w:rsidRPr="00A700E7">
        <w:t xml:space="preserve"> which included treatment</w:t>
      </w:r>
      <w:r w:rsidR="00A04580" w:rsidRPr="00A700E7">
        <w:t>-</w:t>
      </w:r>
      <w:r w:rsidRPr="00A700E7">
        <w:t>naïve</w:t>
      </w:r>
      <w:r w:rsidR="00161BAB">
        <w:t xml:space="preserve"> patients</w:t>
      </w:r>
      <w:r w:rsidR="0068071B" w:rsidRPr="00A700E7">
        <w:t>,</w:t>
      </w:r>
      <w:r w:rsidRPr="00A700E7">
        <w:t xml:space="preserve"> as well as </w:t>
      </w:r>
      <w:r w:rsidR="00DF2193" w:rsidRPr="00A700E7">
        <w:t xml:space="preserve">patients </w:t>
      </w:r>
      <w:r w:rsidRPr="00A700E7">
        <w:t>pre-treated</w:t>
      </w:r>
      <w:r w:rsidR="00DC6CC3" w:rsidRPr="00A700E7">
        <w:t xml:space="preserve"> with either</w:t>
      </w:r>
      <w:r w:rsidR="004D4D0B" w:rsidRPr="00A700E7">
        <w:t xml:space="preserve"> ERA or PDE5i</w:t>
      </w:r>
      <w:r w:rsidR="00DC6CC3" w:rsidRPr="00A700E7">
        <w:t xml:space="preserve"> monotherapies</w:t>
      </w:r>
      <w:r w:rsidRPr="00A700E7">
        <w:t>, c</w:t>
      </w:r>
      <w:r w:rsidR="0022148D" w:rsidRPr="00A700E7">
        <w:t xml:space="preserve">ombination therapy with macitentan and tadalafil (as in OPSYNVI) </w:t>
      </w:r>
      <w:r w:rsidR="0049798C" w:rsidRPr="00A700E7">
        <w:t>was</w:t>
      </w:r>
      <w:r w:rsidR="0022148D" w:rsidRPr="00A700E7">
        <w:t xml:space="preserve"> associated with increased adverse events, in particular hypotension, oedema and </w:t>
      </w:r>
      <w:proofErr w:type="spellStart"/>
      <w:r w:rsidR="0022148D" w:rsidRPr="00A700E7">
        <w:t>anaemi</w:t>
      </w:r>
      <w:r w:rsidR="00DC6CC3" w:rsidRPr="00A700E7">
        <w:t>a</w:t>
      </w:r>
      <w:proofErr w:type="spellEnd"/>
      <w:r w:rsidR="0068071B" w:rsidRPr="00A700E7">
        <w:t xml:space="preserve"> compared to mo</w:t>
      </w:r>
      <w:r w:rsidR="00A25DBE" w:rsidRPr="00A700E7">
        <w:t>no</w:t>
      </w:r>
      <w:r w:rsidR="0068071B" w:rsidRPr="00A700E7">
        <w:t>therapies</w:t>
      </w:r>
      <w:r w:rsidR="00DC6CC3" w:rsidRPr="00A700E7">
        <w:t xml:space="preserve">. </w:t>
      </w:r>
    </w:p>
    <w:bookmarkEnd w:id="6"/>
    <w:p w14:paraId="36C97F0B" w14:textId="77777777" w:rsidR="00095754" w:rsidRPr="00A700E7" w:rsidRDefault="00095754" w:rsidP="007A6B1F">
      <w:pPr>
        <w:jc w:val="left"/>
      </w:pPr>
    </w:p>
    <w:p w14:paraId="6A75850E" w14:textId="693489C2" w:rsidR="00095754" w:rsidRPr="00A700E7" w:rsidRDefault="00095754" w:rsidP="007A6B1F">
      <w:pPr>
        <w:jc w:val="left"/>
      </w:pPr>
      <w:r w:rsidRPr="00A700E7">
        <w:t xml:space="preserve">Elderly patients (&gt;65 years) may be at increased risk of adverse events when using combination therapy. </w:t>
      </w:r>
    </w:p>
    <w:p w14:paraId="272B60D4" w14:textId="7B2848F5" w:rsidR="0048218A" w:rsidRPr="00A700E7" w:rsidRDefault="0048218A" w:rsidP="007A6B1F">
      <w:pPr>
        <w:pStyle w:val="Heading3"/>
        <w:jc w:val="left"/>
      </w:pPr>
      <w:bookmarkStart w:id="7" w:name="_Hlk171344146"/>
      <w:bookmarkStart w:id="8" w:name="_Hlk171344216"/>
      <w:r w:rsidRPr="00A700E7">
        <w:t xml:space="preserve">Pulmonary </w:t>
      </w:r>
      <w:proofErr w:type="spellStart"/>
      <w:r w:rsidRPr="00A700E7">
        <w:t>veno</w:t>
      </w:r>
      <w:proofErr w:type="spellEnd"/>
      <w:r w:rsidRPr="00A700E7">
        <w:t xml:space="preserve">-occlusive disease </w:t>
      </w:r>
    </w:p>
    <w:bookmarkEnd w:id="7"/>
    <w:p w14:paraId="51B3D6D9" w14:textId="2AE0906B" w:rsidR="00A74E85" w:rsidRPr="00A700E7" w:rsidRDefault="0048218A" w:rsidP="007A6B1F">
      <w:pPr>
        <w:spacing w:line="276" w:lineRule="auto"/>
        <w:jc w:val="left"/>
      </w:pPr>
      <w:r w:rsidRPr="00A700E7">
        <w:t xml:space="preserve">Cases of pulmonary oedema have been reported with vasodilators (mainly </w:t>
      </w:r>
      <w:proofErr w:type="spellStart"/>
      <w:r w:rsidRPr="00A700E7">
        <w:t>prostacyclins</w:t>
      </w:r>
      <w:proofErr w:type="spellEnd"/>
      <w:r w:rsidRPr="00A700E7">
        <w:t xml:space="preserve">) when used in patients with pulmonary </w:t>
      </w:r>
      <w:proofErr w:type="spellStart"/>
      <w:r w:rsidRPr="00A700E7">
        <w:t>veno</w:t>
      </w:r>
      <w:proofErr w:type="spellEnd"/>
      <w:r w:rsidRPr="00A700E7">
        <w:t xml:space="preserve">-occlusive disease. Consequently, if signs of pulmonary </w:t>
      </w:r>
      <w:proofErr w:type="gramStart"/>
      <w:r w:rsidRPr="00A700E7">
        <w:t>oedema</w:t>
      </w:r>
      <w:proofErr w:type="gramEnd"/>
      <w:r w:rsidRPr="00A700E7">
        <w:t xml:space="preserve"> occur when OPSYNVI is administered in patients with PAH, the </w:t>
      </w:r>
      <w:r w:rsidRPr="00A700E7">
        <w:lastRenderedPageBreak/>
        <w:t xml:space="preserve">possibility of pulmonary </w:t>
      </w:r>
      <w:proofErr w:type="spellStart"/>
      <w:r w:rsidRPr="00A700E7">
        <w:t>veno</w:t>
      </w:r>
      <w:proofErr w:type="spellEnd"/>
      <w:r w:rsidRPr="00A700E7">
        <w:t xml:space="preserve">-occlusive disease should be considered. </w:t>
      </w:r>
      <w:r w:rsidR="000E66F4" w:rsidRPr="00A700E7">
        <w:t xml:space="preserve">Discontinuation of OPSYNVI should be considered in patients with treatment-related pulmonary </w:t>
      </w:r>
      <w:proofErr w:type="spellStart"/>
      <w:r w:rsidR="000E66F4" w:rsidRPr="00A700E7">
        <w:t>veno</w:t>
      </w:r>
      <w:proofErr w:type="spellEnd"/>
      <w:r w:rsidR="000E66F4" w:rsidRPr="00A700E7">
        <w:t xml:space="preserve">-occlusive disease </w:t>
      </w:r>
      <w:r w:rsidRPr="00A700E7">
        <w:t xml:space="preserve">Since there </w:t>
      </w:r>
      <w:proofErr w:type="gramStart"/>
      <w:r w:rsidRPr="00A700E7">
        <w:t>are</w:t>
      </w:r>
      <w:proofErr w:type="gramEnd"/>
      <w:r w:rsidRPr="00A700E7">
        <w:t xml:space="preserve"> no clinical data on administration of tadalafil to patients with </w:t>
      </w:r>
      <w:proofErr w:type="spellStart"/>
      <w:r w:rsidRPr="00A700E7">
        <w:t>veno</w:t>
      </w:r>
      <w:proofErr w:type="spellEnd"/>
      <w:r w:rsidRPr="00A700E7">
        <w:t xml:space="preserve">-occlusive disease, administration of OPSYNVI to such patients is not recommended. </w:t>
      </w:r>
    </w:p>
    <w:bookmarkEnd w:id="8"/>
    <w:p w14:paraId="0287C478" w14:textId="18264010" w:rsidR="00CE2210" w:rsidRPr="00A700E7" w:rsidRDefault="00CE2210" w:rsidP="007A6B1F">
      <w:pPr>
        <w:pStyle w:val="Heading3"/>
        <w:jc w:val="left"/>
      </w:pPr>
      <w:r w:rsidRPr="00A700E7">
        <w:t>Cardiac failure</w:t>
      </w:r>
    </w:p>
    <w:p w14:paraId="25F44C0C" w14:textId="27BC83F2" w:rsidR="0022148D" w:rsidRPr="00A700E7" w:rsidRDefault="00CE2210" w:rsidP="007A6B1F">
      <w:pPr>
        <w:spacing w:after="200" w:line="276" w:lineRule="auto"/>
        <w:jc w:val="left"/>
      </w:pPr>
      <w:r w:rsidRPr="00A700E7">
        <w:t xml:space="preserve">In the double-blind portion of the A DUE study (See Section 5.1 PHARMACODYNAMICS PROPERTIES, Clinical trials), which included treatment-naïve patients, patients on ERA monotherapy or PDE5i monotherapy, cardiac failure events (n=4) were reported within one month of treatment initiation with OPSYNVI in patients over 65 years of age not previously treated with PAH-specific medications (n=16).  Two cases out of four resolved while on treatment, whereas the other two were discontinued due to other adverse events [a newly established diagnosis of Pulmonary Veno-Occlusive Disease (exclusionary as per study protocol) and </w:t>
      </w:r>
      <w:proofErr w:type="spellStart"/>
      <w:r w:rsidRPr="00A700E7">
        <w:t>anaemia</w:t>
      </w:r>
      <w:proofErr w:type="spellEnd"/>
      <w:r w:rsidRPr="00A700E7">
        <w:t>].</w:t>
      </w:r>
    </w:p>
    <w:p w14:paraId="71051F96" w14:textId="77777777" w:rsidR="00340661" w:rsidRPr="00A700E7" w:rsidRDefault="00340661" w:rsidP="007A6B1F">
      <w:pPr>
        <w:jc w:val="left"/>
      </w:pPr>
    </w:p>
    <w:p w14:paraId="566FB9CB" w14:textId="2D9209FC" w:rsidR="00A74E85" w:rsidRPr="00A700E7" w:rsidRDefault="00A74E85" w:rsidP="007A6B1F">
      <w:pPr>
        <w:jc w:val="left"/>
      </w:pPr>
      <w:r w:rsidRPr="00A700E7">
        <w:rPr>
          <w:lang w:val="fr-FR"/>
        </w:rPr>
        <w:t xml:space="preserve">As OPSYNVI </w:t>
      </w:r>
      <w:proofErr w:type="spellStart"/>
      <w:r w:rsidRPr="00A700E7">
        <w:rPr>
          <w:lang w:val="fr-FR"/>
        </w:rPr>
        <w:t>contains</w:t>
      </w:r>
      <w:proofErr w:type="spellEnd"/>
      <w:r w:rsidRPr="00A700E7">
        <w:rPr>
          <w:lang w:val="fr-FR"/>
        </w:rPr>
        <w:t xml:space="preserve"> macitentan and </w:t>
      </w:r>
      <w:proofErr w:type="spellStart"/>
      <w:r w:rsidRPr="00A700E7">
        <w:rPr>
          <w:lang w:val="fr-FR"/>
        </w:rPr>
        <w:t>tadalafil</w:t>
      </w:r>
      <w:proofErr w:type="spellEnd"/>
      <w:r w:rsidRPr="00A700E7">
        <w:rPr>
          <w:lang w:val="fr-FR"/>
        </w:rPr>
        <w:t xml:space="preserve">, the </w:t>
      </w:r>
      <w:proofErr w:type="spellStart"/>
      <w:r w:rsidRPr="00A700E7">
        <w:rPr>
          <w:lang w:val="fr-FR"/>
        </w:rPr>
        <w:t>Special</w:t>
      </w:r>
      <w:proofErr w:type="spellEnd"/>
      <w:r w:rsidRPr="00A700E7">
        <w:rPr>
          <w:lang w:val="fr-FR"/>
        </w:rPr>
        <w:t xml:space="preserve"> Warnings and </w:t>
      </w:r>
      <w:proofErr w:type="spellStart"/>
      <w:r w:rsidRPr="00A700E7">
        <w:rPr>
          <w:lang w:val="fr-FR"/>
        </w:rPr>
        <w:t>Precautions</w:t>
      </w:r>
      <w:proofErr w:type="spellEnd"/>
      <w:r w:rsidRPr="00A700E7">
        <w:rPr>
          <w:lang w:val="fr-FR"/>
        </w:rPr>
        <w:t xml:space="preserve"> for Use </w:t>
      </w:r>
      <w:proofErr w:type="spellStart"/>
      <w:r w:rsidRPr="00A700E7">
        <w:rPr>
          <w:lang w:val="fr-FR"/>
        </w:rPr>
        <w:t>associated</w:t>
      </w:r>
      <w:proofErr w:type="spellEnd"/>
      <w:r w:rsidRPr="00A700E7">
        <w:rPr>
          <w:lang w:val="fr-FR"/>
        </w:rPr>
        <w:t xml:space="preserve"> </w:t>
      </w:r>
      <w:proofErr w:type="spellStart"/>
      <w:r w:rsidRPr="00A700E7">
        <w:rPr>
          <w:lang w:val="fr-FR"/>
        </w:rPr>
        <w:t>with</w:t>
      </w:r>
      <w:proofErr w:type="spellEnd"/>
      <w:r w:rsidRPr="00A700E7">
        <w:rPr>
          <w:lang w:val="fr-FR"/>
        </w:rPr>
        <w:t xml:space="preserve"> </w:t>
      </w:r>
      <w:proofErr w:type="spellStart"/>
      <w:r w:rsidRPr="00A700E7">
        <w:rPr>
          <w:lang w:val="fr-FR"/>
        </w:rPr>
        <w:t>each</w:t>
      </w:r>
      <w:proofErr w:type="spellEnd"/>
      <w:r w:rsidRPr="00A700E7">
        <w:rPr>
          <w:lang w:val="fr-FR"/>
        </w:rPr>
        <w:t xml:space="preserve"> component </w:t>
      </w:r>
      <w:proofErr w:type="spellStart"/>
      <w:r w:rsidRPr="00A700E7">
        <w:rPr>
          <w:lang w:val="fr-FR"/>
        </w:rPr>
        <w:t>should</w:t>
      </w:r>
      <w:proofErr w:type="spellEnd"/>
      <w:r w:rsidRPr="00A700E7">
        <w:rPr>
          <w:lang w:val="fr-FR"/>
        </w:rPr>
        <w:t xml:space="preserve"> </w:t>
      </w:r>
      <w:proofErr w:type="spellStart"/>
      <w:r w:rsidRPr="00A700E7">
        <w:rPr>
          <w:lang w:val="fr-FR"/>
        </w:rPr>
        <w:t>be</w:t>
      </w:r>
      <w:proofErr w:type="spellEnd"/>
      <w:r w:rsidRPr="00A700E7">
        <w:rPr>
          <w:lang w:val="fr-FR"/>
        </w:rPr>
        <w:t xml:space="preserve"> </w:t>
      </w:r>
      <w:proofErr w:type="spellStart"/>
      <w:r w:rsidRPr="00A700E7">
        <w:rPr>
          <w:lang w:val="fr-FR"/>
        </w:rPr>
        <w:t>considered</w:t>
      </w:r>
      <w:proofErr w:type="spellEnd"/>
      <w:r w:rsidRPr="00A700E7">
        <w:rPr>
          <w:lang w:val="fr-FR"/>
        </w:rPr>
        <w:t xml:space="preserve">. </w:t>
      </w:r>
    </w:p>
    <w:p w14:paraId="6BE49E7F" w14:textId="061EA014" w:rsidR="00D742C7" w:rsidRPr="00A700E7" w:rsidRDefault="00A74E85" w:rsidP="007A6B1F">
      <w:pPr>
        <w:pStyle w:val="Heading3"/>
        <w:jc w:val="left"/>
      </w:pPr>
      <w:r w:rsidRPr="00A700E7">
        <w:t>Special warnings and precautions related to m</w:t>
      </w:r>
      <w:r w:rsidR="0048218A" w:rsidRPr="00A700E7">
        <w:t>acitentan</w:t>
      </w:r>
    </w:p>
    <w:p w14:paraId="704BD49E" w14:textId="77777777" w:rsidR="004D6AA3" w:rsidRPr="00A700E7" w:rsidRDefault="004D6AA3" w:rsidP="007A6B1F">
      <w:pPr>
        <w:jc w:val="left"/>
      </w:pPr>
    </w:p>
    <w:p w14:paraId="469E2614" w14:textId="77777777" w:rsidR="0048218A" w:rsidRPr="00A700E7" w:rsidRDefault="0048218A" w:rsidP="007A6B1F">
      <w:pPr>
        <w:spacing w:after="200" w:line="276" w:lineRule="auto"/>
        <w:jc w:val="left"/>
      </w:pPr>
      <w:r w:rsidRPr="00A700E7">
        <w:t>Macitentan has only been studied in a limited number of patients with PAH due to HIV, drugs or toxins.</w:t>
      </w:r>
    </w:p>
    <w:p w14:paraId="3C27B5B7" w14:textId="77777777" w:rsidR="0048218A" w:rsidRPr="00A700E7" w:rsidRDefault="0048218A" w:rsidP="007A6B1F">
      <w:pPr>
        <w:spacing w:after="200" w:line="276" w:lineRule="auto"/>
        <w:jc w:val="left"/>
      </w:pPr>
      <w:r w:rsidRPr="00A700E7">
        <w:t xml:space="preserve">The efficacy and safety of macitentan when co-administered with </w:t>
      </w:r>
      <w:proofErr w:type="spellStart"/>
      <w:r w:rsidRPr="00A700E7">
        <w:t>epoprostenol</w:t>
      </w:r>
      <w:proofErr w:type="spellEnd"/>
      <w:r w:rsidRPr="00A700E7">
        <w:t xml:space="preserve"> has not been specifically studied in controlled clinical trials.</w:t>
      </w:r>
    </w:p>
    <w:p w14:paraId="5A730F43" w14:textId="77777777" w:rsidR="0048218A" w:rsidRPr="00A700E7" w:rsidRDefault="0048218A" w:rsidP="007A6B1F">
      <w:pPr>
        <w:pStyle w:val="Heading4"/>
        <w:jc w:val="left"/>
      </w:pPr>
      <w:r w:rsidRPr="00A700E7">
        <w:t xml:space="preserve">Liver function </w:t>
      </w:r>
    </w:p>
    <w:p w14:paraId="0B1D58C2" w14:textId="77777777" w:rsidR="0048218A" w:rsidRPr="00A700E7" w:rsidRDefault="0048218A" w:rsidP="007A6B1F">
      <w:pPr>
        <w:spacing w:after="200" w:line="276" w:lineRule="auto"/>
        <w:jc w:val="left"/>
      </w:pPr>
      <w:r w:rsidRPr="00A700E7">
        <w:t>Hepatic enzyme elevations, and in some cases serious hepatic events, potentially related to therapy have been observed with endothelin receptor antagonists (ERAs).</w:t>
      </w:r>
    </w:p>
    <w:p w14:paraId="7FE2AEAA" w14:textId="77777777" w:rsidR="0048218A" w:rsidRPr="00A700E7" w:rsidRDefault="0048218A" w:rsidP="007A6B1F">
      <w:pPr>
        <w:spacing w:after="200" w:line="276" w:lineRule="auto"/>
        <w:jc w:val="left"/>
      </w:pPr>
      <w:r w:rsidRPr="00A700E7">
        <w:t xml:space="preserve">The incidence of aminotransferase elevations (ALT/AST) &gt; 3 × ULN was 3.4% on macitentan 10 mg and 4.5% on placebo in a double-blind study in patients with PAH. The incidence of elevations in ALT &gt; 3 × ULN were 3.4% on macitentan 10 mg and 1.6% on placebo (see Section 4.8 ADVERSE EFFECTS (UNDESIRABLE EFFECTS)). The incidence of ALT &gt; 8 × ULN </w:t>
      </w:r>
      <w:proofErr w:type="gramStart"/>
      <w:r w:rsidRPr="00A700E7">
        <w:t>were</w:t>
      </w:r>
      <w:proofErr w:type="gramEnd"/>
      <w:r w:rsidRPr="00A700E7">
        <w:t xml:space="preserve"> 2.1% on macitentan 10 mg and 0.4% on placebo.</w:t>
      </w:r>
    </w:p>
    <w:p w14:paraId="3653A5B2" w14:textId="39983456" w:rsidR="0048218A" w:rsidRPr="00A700E7" w:rsidRDefault="0071495C" w:rsidP="007A6B1F">
      <w:pPr>
        <w:spacing w:after="200" w:line="276" w:lineRule="auto"/>
        <w:jc w:val="left"/>
      </w:pPr>
      <w:r w:rsidRPr="00A700E7">
        <w:t xml:space="preserve">Macitentan </w:t>
      </w:r>
      <w:r w:rsidR="0048218A" w:rsidRPr="00A700E7">
        <w:t xml:space="preserve">is not to be initiated in patients with severe hepatic impairment or elevated aminotransferases (&gt; 3 × ULN) (see Section 4.3 CONTRAINDICATIONS) and is not recommended in patients with moderate hepatic impairment. Liver enzyme tests should be obtained prior to initiation of </w:t>
      </w:r>
      <w:r w:rsidRPr="00A700E7">
        <w:t>macitentan</w:t>
      </w:r>
      <w:r w:rsidRPr="00A700E7" w:rsidDel="0012257E">
        <w:t xml:space="preserve"> </w:t>
      </w:r>
      <w:r w:rsidR="0048218A" w:rsidRPr="00A700E7">
        <w:t xml:space="preserve">and monthly monitoring of aminotransferases during treatment with </w:t>
      </w:r>
      <w:r w:rsidRPr="00A700E7">
        <w:t xml:space="preserve">macitentan </w:t>
      </w:r>
      <w:r w:rsidR="0048218A" w:rsidRPr="00A700E7">
        <w:t xml:space="preserve">is recommended. Patients should be monitored for signs of hepatic injury. </w:t>
      </w:r>
    </w:p>
    <w:p w14:paraId="420873E8" w14:textId="251AD9CF" w:rsidR="0048218A" w:rsidRPr="00A700E7" w:rsidRDefault="0048218A" w:rsidP="007A6B1F">
      <w:pPr>
        <w:spacing w:after="200" w:line="276" w:lineRule="auto"/>
        <w:jc w:val="left"/>
      </w:pPr>
      <w:r w:rsidRPr="00A700E7">
        <w:t xml:space="preserve">If clinically relevant aminotransferase elevations occur, or if elevations are accompanied by an increase in bilirubin &gt;2 </w:t>
      </w:r>
      <w:r w:rsidRPr="00A700E7">
        <w:sym w:font="Symbol" w:char="F0B4"/>
      </w:r>
      <w:r w:rsidRPr="00A700E7">
        <w:t xml:space="preserve"> ULN, or by clinical symptoms of hepatic injury (e.g. jaundice), </w:t>
      </w:r>
      <w:r w:rsidR="0012257E" w:rsidRPr="00A700E7">
        <w:t>OPSYNVI</w:t>
      </w:r>
      <w:r w:rsidRPr="00A700E7">
        <w:t xml:space="preserve"> treatment should be discontinued. Re-initiation of </w:t>
      </w:r>
      <w:r w:rsidR="0071495C" w:rsidRPr="00A700E7">
        <w:t xml:space="preserve">macitentan </w:t>
      </w:r>
      <w:r w:rsidRPr="00A700E7">
        <w:t xml:space="preserve">may be considered </w:t>
      </w:r>
      <w:r w:rsidRPr="00A700E7">
        <w:lastRenderedPageBreak/>
        <w:t>following the return of hepatic enzyme levels to within the normal range in patients who have not experienced clinical symptoms of hepatic injury and following the advice of a liver specialist.</w:t>
      </w:r>
    </w:p>
    <w:p w14:paraId="595367BE" w14:textId="5370EE35" w:rsidR="0048218A" w:rsidRPr="00A700E7" w:rsidRDefault="0048218A" w:rsidP="007A6B1F">
      <w:pPr>
        <w:spacing w:after="200" w:line="276" w:lineRule="auto"/>
        <w:jc w:val="left"/>
      </w:pPr>
      <w:r w:rsidRPr="00A700E7">
        <w:t xml:space="preserve">Caution should be exercised when </w:t>
      </w:r>
      <w:r w:rsidR="0071495C" w:rsidRPr="00A700E7">
        <w:t xml:space="preserve">macitentan </w:t>
      </w:r>
      <w:r w:rsidRPr="00A700E7">
        <w:t>is used concomitantly with medicinal products known to be associated with hepatic injury as the additive effects of macitentan with these agents are not known.</w:t>
      </w:r>
    </w:p>
    <w:p w14:paraId="6FBFC368" w14:textId="2E6F4AD6" w:rsidR="0048218A" w:rsidRPr="00A700E7" w:rsidRDefault="0048218A" w:rsidP="007A6B1F">
      <w:pPr>
        <w:pStyle w:val="Heading4"/>
        <w:jc w:val="left"/>
      </w:pPr>
      <w:proofErr w:type="spellStart"/>
      <w:r w:rsidRPr="00A700E7">
        <w:t>Haematological</w:t>
      </w:r>
      <w:proofErr w:type="spellEnd"/>
      <w:r w:rsidRPr="00A700E7">
        <w:t xml:space="preserve"> </w:t>
      </w:r>
      <w:r w:rsidR="006C6D57" w:rsidRPr="00A700E7">
        <w:t xml:space="preserve">changes </w:t>
      </w:r>
    </w:p>
    <w:p w14:paraId="2AB84F63" w14:textId="77777777" w:rsidR="0048218A" w:rsidRPr="00A700E7" w:rsidRDefault="0048218A" w:rsidP="007A6B1F">
      <w:pPr>
        <w:spacing w:after="200" w:line="276" w:lineRule="auto"/>
        <w:jc w:val="left"/>
      </w:pPr>
      <w:r w:rsidRPr="00A700E7">
        <w:t xml:space="preserve">Decreases in </w:t>
      </w:r>
      <w:proofErr w:type="spellStart"/>
      <w:r w:rsidRPr="00A700E7">
        <w:t>haemoglobin</w:t>
      </w:r>
      <w:proofErr w:type="spellEnd"/>
      <w:r w:rsidRPr="00A700E7">
        <w:t xml:space="preserve"> concentration and </w:t>
      </w:r>
      <w:proofErr w:type="spellStart"/>
      <w:r w:rsidRPr="00A700E7">
        <w:t>haematocrit</w:t>
      </w:r>
      <w:proofErr w:type="spellEnd"/>
      <w:r w:rsidRPr="00A700E7">
        <w:t xml:space="preserve"> have occurred following </w:t>
      </w:r>
      <w:proofErr w:type="gramStart"/>
      <w:r w:rsidRPr="00A700E7">
        <w:t>administration</w:t>
      </w:r>
      <w:proofErr w:type="gramEnd"/>
      <w:r w:rsidRPr="00A700E7">
        <w:t xml:space="preserve"> of other ERAs and were observed in clinical studies with macitentan (see Section 4.8 ADVERSE EFFECTS (UNDESIRABLE EFFECTS)).</w:t>
      </w:r>
    </w:p>
    <w:p w14:paraId="7BCA644D" w14:textId="7E96B693" w:rsidR="0048218A" w:rsidRPr="00A700E7" w:rsidRDefault="0048218A" w:rsidP="007A6B1F">
      <w:pPr>
        <w:spacing w:after="200" w:line="276" w:lineRule="auto"/>
        <w:jc w:val="left"/>
      </w:pPr>
      <w:r w:rsidRPr="00A700E7">
        <w:t xml:space="preserve">In placebo-controlled studies, macitentan-related decreases in </w:t>
      </w:r>
      <w:proofErr w:type="spellStart"/>
      <w:r w:rsidRPr="00A700E7">
        <w:t>haemoglobin</w:t>
      </w:r>
      <w:proofErr w:type="spellEnd"/>
      <w:r w:rsidRPr="00A700E7">
        <w:t xml:space="preserve"> concentration were not progressive, </w:t>
      </w:r>
      <w:proofErr w:type="spellStart"/>
      <w:r w:rsidRPr="00A700E7">
        <w:t>stabilised</w:t>
      </w:r>
      <w:proofErr w:type="spellEnd"/>
      <w:r w:rsidRPr="00A700E7">
        <w:t xml:space="preserve"> after the first 4-12 weeks of treatment and remained stable during chronic treatment. Cases of </w:t>
      </w:r>
      <w:proofErr w:type="spellStart"/>
      <w:r w:rsidRPr="00A700E7">
        <w:t>anaemia</w:t>
      </w:r>
      <w:proofErr w:type="spellEnd"/>
      <w:r w:rsidRPr="00A700E7">
        <w:t xml:space="preserve"> requiring blood cell transfusion have been reported with macitentan and other ERAs. Initiation of </w:t>
      </w:r>
      <w:r w:rsidR="0071495C" w:rsidRPr="00A700E7">
        <w:t>macitentan</w:t>
      </w:r>
      <w:r w:rsidRPr="00A700E7">
        <w:t xml:space="preserve"> is not recommended in patients with clinically significant </w:t>
      </w:r>
      <w:proofErr w:type="spellStart"/>
      <w:r w:rsidRPr="00A700E7">
        <w:t>anaemia</w:t>
      </w:r>
      <w:proofErr w:type="spellEnd"/>
      <w:r w:rsidRPr="00A700E7">
        <w:t xml:space="preserve">. It is recommended that </w:t>
      </w:r>
      <w:proofErr w:type="spellStart"/>
      <w:r w:rsidRPr="00A700E7">
        <w:t>haemoglobin</w:t>
      </w:r>
      <w:proofErr w:type="spellEnd"/>
      <w:r w:rsidRPr="00A700E7">
        <w:t xml:space="preserve"> concentrations be measured prior to initiation of treatment and tests repeated during treatment as clinically indicated.</w:t>
      </w:r>
    </w:p>
    <w:p w14:paraId="1E76C7EC" w14:textId="77777777" w:rsidR="0048218A" w:rsidRPr="00A700E7" w:rsidRDefault="0048218A" w:rsidP="007A6B1F">
      <w:pPr>
        <w:pStyle w:val="Heading4"/>
        <w:jc w:val="left"/>
      </w:pPr>
      <w:r w:rsidRPr="00A700E7">
        <w:t xml:space="preserve">Fluid retention </w:t>
      </w:r>
    </w:p>
    <w:p w14:paraId="4DE07C94" w14:textId="6D2A59CC" w:rsidR="0048218A" w:rsidRPr="00A700E7" w:rsidRDefault="0048218A" w:rsidP="007A6B1F">
      <w:pPr>
        <w:spacing w:after="200" w:line="276" w:lineRule="auto"/>
        <w:jc w:val="left"/>
      </w:pPr>
      <w:r w:rsidRPr="00A700E7">
        <w:t xml:space="preserve">Oedema or fluid retention has been observed with ERAs and may also be a clinical consequence of PAH. Macitentan 10 mg was not associated with increased incidences of treatment-emergent oedema or fluid retention in </w:t>
      </w:r>
      <w:r w:rsidR="00E957BD" w:rsidRPr="00A700E7">
        <w:t xml:space="preserve">SERAPHIN, </w:t>
      </w:r>
      <w:r w:rsidRPr="00A700E7">
        <w:t>a long-term placebo-controlled trial (see Section 4.8 ADVERSE EFFECTS (UNDESIRABLE EFFECTS)).</w:t>
      </w:r>
    </w:p>
    <w:p w14:paraId="38181D6C" w14:textId="76E72680" w:rsidR="0048218A" w:rsidRPr="00A700E7" w:rsidRDefault="0048218A" w:rsidP="007A6B1F">
      <w:pPr>
        <w:spacing w:after="200" w:line="276" w:lineRule="auto"/>
        <w:jc w:val="left"/>
      </w:pPr>
      <w:r w:rsidRPr="00A700E7">
        <w:t xml:space="preserve">If clinically significant fluid retention develops during therapy with </w:t>
      </w:r>
      <w:r w:rsidR="0071495C" w:rsidRPr="00A700E7">
        <w:t>macitentan</w:t>
      </w:r>
      <w:r w:rsidRPr="00A700E7">
        <w:t>, with or without associated weight gain, further evaluation should be undertaken to determine the cause, such as underlying heart failure, and the possible need for specific treatment should be considered.</w:t>
      </w:r>
    </w:p>
    <w:p w14:paraId="102D820B" w14:textId="77777777" w:rsidR="0048218A" w:rsidRPr="00A700E7" w:rsidRDefault="0048218A" w:rsidP="007A6B1F">
      <w:pPr>
        <w:pStyle w:val="Heading4"/>
        <w:jc w:val="left"/>
      </w:pPr>
      <w:r w:rsidRPr="00A700E7">
        <w:t xml:space="preserve">Use in renal impairment </w:t>
      </w:r>
    </w:p>
    <w:p w14:paraId="3CE29040" w14:textId="7D2831C2" w:rsidR="0048218A" w:rsidRPr="00A700E7" w:rsidRDefault="0048218A" w:rsidP="007A6B1F">
      <w:pPr>
        <w:spacing w:after="200" w:line="276" w:lineRule="auto"/>
        <w:jc w:val="left"/>
      </w:pPr>
      <w:r w:rsidRPr="00A700E7">
        <w:t xml:space="preserve">Patients with renal impairment may run a higher risk of experiencing hypotension and </w:t>
      </w:r>
      <w:proofErr w:type="spellStart"/>
      <w:r w:rsidRPr="00A700E7">
        <w:t>anaemia</w:t>
      </w:r>
      <w:proofErr w:type="spellEnd"/>
      <w:r w:rsidRPr="00A700E7">
        <w:t xml:space="preserve"> during treatment with macitentan. Therefore, monitoring of blood pressure and </w:t>
      </w:r>
      <w:proofErr w:type="spellStart"/>
      <w:r w:rsidRPr="00A700E7">
        <w:t>haemoglobin</w:t>
      </w:r>
      <w:proofErr w:type="spellEnd"/>
      <w:r w:rsidRPr="00A700E7">
        <w:t xml:space="preserve"> should be considered. There is no clinical experience with the use of macitentan in patients with severe renal impairment. </w:t>
      </w:r>
      <w:r w:rsidR="0071495C" w:rsidRPr="00A700E7">
        <w:t>Caution is recommended in this population</w:t>
      </w:r>
      <w:r w:rsidRPr="00A700E7">
        <w:t xml:space="preserve">. There is no experience with the use of macitentan in </w:t>
      </w:r>
      <w:proofErr w:type="gramStart"/>
      <w:r w:rsidRPr="00A700E7">
        <w:t>patient</w:t>
      </w:r>
      <w:proofErr w:type="gramEnd"/>
      <w:r w:rsidRPr="00A700E7">
        <w:t xml:space="preserve"> undergoing dialysis, therefore </w:t>
      </w:r>
      <w:r w:rsidR="0071495C" w:rsidRPr="00A700E7">
        <w:t xml:space="preserve">macitentan </w:t>
      </w:r>
      <w:r w:rsidRPr="00A700E7">
        <w:t>is not recommended in this population.</w:t>
      </w:r>
    </w:p>
    <w:p w14:paraId="5AC4C030" w14:textId="0A09E3F4" w:rsidR="0048218A" w:rsidRPr="00A700E7" w:rsidRDefault="0048218A" w:rsidP="007A6B1F">
      <w:pPr>
        <w:pStyle w:val="Heading4"/>
        <w:jc w:val="left"/>
        <w:rPr>
          <w:rStyle w:val="Heading4Char"/>
        </w:rPr>
      </w:pPr>
      <w:r w:rsidRPr="00A700E7">
        <w:t xml:space="preserve">Use in </w:t>
      </w:r>
      <w:r w:rsidR="006C6D57" w:rsidRPr="00A700E7">
        <w:t xml:space="preserve">patients </w:t>
      </w:r>
      <w:r w:rsidRPr="00A700E7">
        <w:t xml:space="preserve">with pre-existing hypotension </w:t>
      </w:r>
    </w:p>
    <w:p w14:paraId="490DE294" w14:textId="58383642" w:rsidR="0048218A" w:rsidRPr="00A700E7" w:rsidRDefault="0048218A" w:rsidP="007A6B1F">
      <w:pPr>
        <w:spacing w:after="200" w:line="276" w:lineRule="auto"/>
        <w:jc w:val="left"/>
      </w:pPr>
      <w:r w:rsidRPr="00A700E7">
        <w:rPr>
          <w:lang w:val="en-GB"/>
        </w:rPr>
        <w:t xml:space="preserve">Hypotension has been associated with the use of ERAs. </w:t>
      </w:r>
      <w:r w:rsidRPr="00A700E7">
        <w:t xml:space="preserve">Caution should be exercised when initiating </w:t>
      </w:r>
      <w:r w:rsidR="0071495C" w:rsidRPr="00A700E7">
        <w:t xml:space="preserve">macitentan </w:t>
      </w:r>
      <w:r w:rsidRPr="00A700E7">
        <w:t>in patients with pre-existing hypotension and blood pressure in such patients should be monitored closely.</w:t>
      </w:r>
    </w:p>
    <w:p w14:paraId="0ED73BA9" w14:textId="2F7B4A3D" w:rsidR="0071495C" w:rsidRPr="00A700E7" w:rsidRDefault="0071495C" w:rsidP="007A6B1F">
      <w:pPr>
        <w:pStyle w:val="Heading4"/>
        <w:jc w:val="left"/>
      </w:pPr>
      <w:r w:rsidRPr="00A700E7">
        <w:lastRenderedPageBreak/>
        <w:t xml:space="preserve">Use in the </w:t>
      </w:r>
      <w:r w:rsidR="00223B34" w:rsidRPr="00A700E7">
        <w:t>e</w:t>
      </w:r>
      <w:r w:rsidRPr="00A700E7">
        <w:t>lderly</w:t>
      </w:r>
    </w:p>
    <w:p w14:paraId="5041D682" w14:textId="63C52B4F" w:rsidR="0071495C" w:rsidRPr="00A700E7" w:rsidRDefault="0071495C" w:rsidP="007A6B1F">
      <w:pPr>
        <w:spacing w:after="200" w:line="276" w:lineRule="auto"/>
        <w:jc w:val="left"/>
      </w:pPr>
      <w:r w:rsidRPr="00A700E7">
        <w:t>Of the total number of subjects in the clinical study of macitentan for PAH, 14% were 65 and over. No overall differences in safety or effectiveness were observed between these subjects and younger subjects. Limited data are available in those &gt;75 years of age, therefore caution is recommended.</w:t>
      </w:r>
    </w:p>
    <w:p w14:paraId="341D1CDA" w14:textId="7F86658D" w:rsidR="00997141" w:rsidRPr="00A700E7" w:rsidRDefault="005E61CF" w:rsidP="007A6B1F">
      <w:pPr>
        <w:pStyle w:val="Heading3"/>
        <w:jc w:val="left"/>
      </w:pPr>
      <w:r w:rsidRPr="00A700E7">
        <w:t>Special warnings and precautions related to t</w:t>
      </w:r>
      <w:r w:rsidR="0048218A" w:rsidRPr="00A700E7">
        <w:t>adalafil</w:t>
      </w:r>
    </w:p>
    <w:p w14:paraId="6540369D" w14:textId="55286B67" w:rsidR="0048218A" w:rsidRPr="00A700E7" w:rsidRDefault="0048218A" w:rsidP="007A6B1F">
      <w:pPr>
        <w:pStyle w:val="Heading4"/>
        <w:jc w:val="left"/>
      </w:pPr>
      <w:r w:rsidRPr="00A700E7">
        <w:t>Cardiovascular</w:t>
      </w:r>
    </w:p>
    <w:p w14:paraId="6B7C1B0B" w14:textId="77777777" w:rsidR="0048218A" w:rsidRPr="00A700E7" w:rsidRDefault="0048218A" w:rsidP="007A6B1F">
      <w:pPr>
        <w:spacing w:line="276" w:lineRule="auto"/>
        <w:jc w:val="left"/>
      </w:pPr>
      <w:r w:rsidRPr="00A700E7">
        <w:t>The following groups of patients with cardiovascular disease treated with tadalafil were not included in PAH clinical studies:</w:t>
      </w:r>
    </w:p>
    <w:p w14:paraId="1326786C" w14:textId="77777777" w:rsidR="0048218A" w:rsidRPr="00A700E7" w:rsidRDefault="0048218A" w:rsidP="007A6B1F">
      <w:pPr>
        <w:numPr>
          <w:ilvl w:val="0"/>
          <w:numId w:val="24"/>
        </w:numPr>
        <w:spacing w:after="200" w:line="276" w:lineRule="auto"/>
        <w:contextualSpacing/>
        <w:jc w:val="left"/>
      </w:pPr>
      <w:r w:rsidRPr="00A700E7">
        <w:t>Patients with clinically significant aortic and mitral valve disease</w:t>
      </w:r>
    </w:p>
    <w:p w14:paraId="45E691CA" w14:textId="77777777" w:rsidR="0048218A" w:rsidRPr="00A700E7" w:rsidRDefault="0048218A" w:rsidP="007A6B1F">
      <w:pPr>
        <w:numPr>
          <w:ilvl w:val="0"/>
          <w:numId w:val="24"/>
        </w:numPr>
        <w:spacing w:after="200" w:line="276" w:lineRule="auto"/>
        <w:contextualSpacing/>
        <w:jc w:val="left"/>
      </w:pPr>
      <w:r w:rsidRPr="00A700E7">
        <w:t>Patients with pericardial constriction</w:t>
      </w:r>
    </w:p>
    <w:p w14:paraId="3973C1F5" w14:textId="77777777" w:rsidR="0048218A" w:rsidRPr="00A700E7" w:rsidRDefault="0048218A" w:rsidP="007A6B1F">
      <w:pPr>
        <w:numPr>
          <w:ilvl w:val="0"/>
          <w:numId w:val="24"/>
        </w:numPr>
        <w:spacing w:after="200" w:line="276" w:lineRule="auto"/>
        <w:contextualSpacing/>
        <w:jc w:val="left"/>
      </w:pPr>
      <w:r w:rsidRPr="00A700E7">
        <w:t>Patients with restrictive or congestive cardiomyopathy</w:t>
      </w:r>
    </w:p>
    <w:p w14:paraId="28E4AA19" w14:textId="77777777" w:rsidR="0048218A" w:rsidRPr="00A700E7" w:rsidRDefault="0048218A" w:rsidP="007A6B1F">
      <w:pPr>
        <w:numPr>
          <w:ilvl w:val="0"/>
          <w:numId w:val="24"/>
        </w:numPr>
        <w:spacing w:after="200" w:line="276" w:lineRule="auto"/>
        <w:contextualSpacing/>
        <w:jc w:val="left"/>
      </w:pPr>
      <w:r w:rsidRPr="00A700E7">
        <w:t>Patients with significant left ventricular dysfunction</w:t>
      </w:r>
    </w:p>
    <w:p w14:paraId="675E4F9B" w14:textId="77777777" w:rsidR="0048218A" w:rsidRPr="00A700E7" w:rsidRDefault="0048218A" w:rsidP="007A6B1F">
      <w:pPr>
        <w:numPr>
          <w:ilvl w:val="0"/>
          <w:numId w:val="24"/>
        </w:numPr>
        <w:spacing w:after="200" w:line="276" w:lineRule="auto"/>
        <w:contextualSpacing/>
        <w:jc w:val="left"/>
      </w:pPr>
      <w:r w:rsidRPr="00A700E7">
        <w:t xml:space="preserve">Patients with life-threatening </w:t>
      </w:r>
      <w:proofErr w:type="gramStart"/>
      <w:r w:rsidRPr="00A700E7">
        <w:t>arrhythmias</w:t>
      </w:r>
      <w:proofErr w:type="gramEnd"/>
    </w:p>
    <w:p w14:paraId="2820D4F0" w14:textId="77777777" w:rsidR="0048218A" w:rsidRPr="00A700E7" w:rsidRDefault="0048218A" w:rsidP="007A6B1F">
      <w:pPr>
        <w:numPr>
          <w:ilvl w:val="0"/>
          <w:numId w:val="24"/>
        </w:numPr>
        <w:spacing w:after="200" w:line="276" w:lineRule="auto"/>
        <w:contextualSpacing/>
        <w:jc w:val="left"/>
      </w:pPr>
      <w:r w:rsidRPr="00A700E7">
        <w:t>Patients with symptomatic coronary artery disease</w:t>
      </w:r>
    </w:p>
    <w:p w14:paraId="0E95B6AF" w14:textId="77777777" w:rsidR="0048218A" w:rsidRPr="00A700E7" w:rsidRDefault="0048218A" w:rsidP="007A6B1F">
      <w:pPr>
        <w:spacing w:line="276" w:lineRule="auto"/>
        <w:jc w:val="left"/>
      </w:pPr>
    </w:p>
    <w:p w14:paraId="208E1398" w14:textId="34076E72" w:rsidR="0048218A" w:rsidRPr="00A700E7" w:rsidRDefault="0048218A" w:rsidP="007A6B1F">
      <w:pPr>
        <w:spacing w:after="200" w:line="276" w:lineRule="auto"/>
        <w:jc w:val="left"/>
      </w:pPr>
      <w:r w:rsidRPr="00A700E7">
        <w:t xml:space="preserve">Since there </w:t>
      </w:r>
      <w:proofErr w:type="gramStart"/>
      <w:r w:rsidRPr="00A700E7">
        <w:t>are</w:t>
      </w:r>
      <w:proofErr w:type="gramEnd"/>
      <w:r w:rsidRPr="00A700E7">
        <w:t xml:space="preserve"> no clinical data on the safety of tadalafil in these patients, the use of </w:t>
      </w:r>
      <w:r w:rsidR="005E61CF" w:rsidRPr="00A700E7">
        <w:t xml:space="preserve">tadalafil </w:t>
      </w:r>
      <w:r w:rsidRPr="00A700E7">
        <w:t>is not recommended.</w:t>
      </w:r>
    </w:p>
    <w:p w14:paraId="059274A8" w14:textId="1C24DCCA" w:rsidR="0048218A" w:rsidRPr="00A700E7" w:rsidRDefault="0048218A" w:rsidP="007A6B1F">
      <w:pPr>
        <w:spacing w:after="200" w:line="276" w:lineRule="auto"/>
        <w:jc w:val="left"/>
      </w:pPr>
      <w:r w:rsidRPr="00A700E7">
        <w:t xml:space="preserve">As with other PDE5 inhibitors, tadalafil has systemic vasodilatory properties that may result in transient decreases in blood pressure. Prior to prescribing </w:t>
      </w:r>
      <w:r w:rsidR="005E61CF" w:rsidRPr="00A700E7">
        <w:t>tadalafil</w:t>
      </w:r>
      <w:r w:rsidRPr="00A700E7">
        <w:t>, physicians should carefully consider whether their patients with certain underlying conditions, such as severe left ventricular outflow obstruction, fluid depletion, autonomic hypotension or patients with resting hypotension, could be adversely affected by such vasodilatory effects.</w:t>
      </w:r>
    </w:p>
    <w:p w14:paraId="5E91FA9D" w14:textId="41E416F5" w:rsidR="0048218A" w:rsidRPr="00A700E7" w:rsidRDefault="0048218A" w:rsidP="007A6B1F">
      <w:pPr>
        <w:spacing w:after="200" w:line="276" w:lineRule="auto"/>
        <w:jc w:val="left"/>
      </w:pPr>
      <w:r w:rsidRPr="00A700E7">
        <w:t xml:space="preserve">Tadalafil potentiates the hypotensive effect of nitrates. Therefore, </w:t>
      </w:r>
      <w:proofErr w:type="gramStart"/>
      <w:r w:rsidRPr="00A700E7">
        <w:t>coadministration</w:t>
      </w:r>
      <w:proofErr w:type="gramEnd"/>
      <w:r w:rsidRPr="00A700E7">
        <w:t xml:space="preserve"> of </w:t>
      </w:r>
      <w:r w:rsidR="00EF23D1" w:rsidRPr="00A700E7">
        <w:t xml:space="preserve">tadalafil </w:t>
      </w:r>
      <w:r w:rsidRPr="00A700E7">
        <w:t>and nitrates is contraindicated (see Section</w:t>
      </w:r>
      <w:r w:rsidRPr="00A700E7">
        <w:rPr>
          <w:caps/>
        </w:rPr>
        <w:t xml:space="preserve"> 4.3 Contraindications</w:t>
      </w:r>
      <w:r w:rsidRPr="00A700E7">
        <w:t xml:space="preserve">). Tadalafil also potentiates the effect of some classes of antihypertensive medications, and this may be clinically important in some individuals. When initiating daily treatment with </w:t>
      </w:r>
      <w:r w:rsidR="005E61CF" w:rsidRPr="00A700E7">
        <w:t>tadalafil</w:t>
      </w:r>
      <w:r w:rsidRPr="00A700E7">
        <w:t xml:space="preserve">, appropriate clinical considerations should be given to a possible dose adjustment of the antihypertensive therapy (see </w:t>
      </w:r>
      <w:r w:rsidRPr="00A700E7">
        <w:rPr>
          <w:caps/>
        </w:rPr>
        <w:t>S</w:t>
      </w:r>
      <w:r w:rsidRPr="00A700E7">
        <w:t>ection</w:t>
      </w:r>
      <w:r w:rsidRPr="00A700E7">
        <w:rPr>
          <w:caps/>
        </w:rPr>
        <w:t xml:space="preserve"> 4.5 Interactions with other medicines and other forms of interactions</w:t>
      </w:r>
      <w:r w:rsidRPr="00A700E7">
        <w:t>).</w:t>
      </w:r>
    </w:p>
    <w:p w14:paraId="214851F9" w14:textId="784E6A23" w:rsidR="0048218A" w:rsidRPr="00A700E7" w:rsidRDefault="004E3D4F" w:rsidP="007A6B1F">
      <w:pPr>
        <w:spacing w:after="200" w:line="276" w:lineRule="auto"/>
        <w:jc w:val="left"/>
      </w:pPr>
      <w:r w:rsidRPr="00A700E7">
        <w:t>Caution should be exercised when prescribing tadalafil to</w:t>
      </w:r>
      <w:r w:rsidR="0048218A" w:rsidRPr="00A700E7">
        <w:t xml:space="preserve"> patients who are taking </w:t>
      </w:r>
      <w:proofErr w:type="gramStart"/>
      <w:r w:rsidR="0048218A" w:rsidRPr="00A700E7">
        <w:t>alpha[</w:t>
      </w:r>
      <w:proofErr w:type="gramEnd"/>
      <w:r w:rsidR="0048218A" w:rsidRPr="00A700E7">
        <w:t xml:space="preserve">1] blockers, such as doxazosin, </w:t>
      </w:r>
      <w:r w:rsidRPr="00A700E7">
        <w:t xml:space="preserve">as </w:t>
      </w:r>
      <w:r w:rsidR="0048218A" w:rsidRPr="00A700E7">
        <w:t xml:space="preserve">simultaneous administration may lead to symptomatic hypotension in some patients (see </w:t>
      </w:r>
      <w:r w:rsidR="0048218A" w:rsidRPr="00A700E7">
        <w:rPr>
          <w:caps/>
        </w:rPr>
        <w:t>S</w:t>
      </w:r>
      <w:r w:rsidR="0048218A" w:rsidRPr="00A700E7">
        <w:t>ection</w:t>
      </w:r>
      <w:r w:rsidR="0048218A" w:rsidRPr="00A700E7">
        <w:rPr>
          <w:caps/>
        </w:rPr>
        <w:t xml:space="preserve"> 4.5 Interactions with other medicines and other forms of interactions</w:t>
      </w:r>
      <w:r w:rsidR="0048218A" w:rsidRPr="00A700E7">
        <w:t>).</w:t>
      </w:r>
      <w:r w:rsidR="00896B3D" w:rsidRPr="00A700E7">
        <w:t xml:space="preserve"> </w:t>
      </w:r>
    </w:p>
    <w:p w14:paraId="5E59875F" w14:textId="77777777" w:rsidR="0048218A" w:rsidRPr="00A700E7" w:rsidRDefault="0048218A" w:rsidP="007A6B1F">
      <w:pPr>
        <w:pStyle w:val="Heading4"/>
        <w:jc w:val="left"/>
      </w:pPr>
      <w:r w:rsidRPr="00A700E7">
        <w:t>Vision</w:t>
      </w:r>
    </w:p>
    <w:p w14:paraId="2BAB3E20" w14:textId="3BF7B33C" w:rsidR="0048218A" w:rsidRPr="00A700E7" w:rsidRDefault="0048218A" w:rsidP="007A6B1F">
      <w:pPr>
        <w:spacing w:after="200" w:line="276" w:lineRule="auto"/>
        <w:jc w:val="left"/>
      </w:pPr>
      <w:r w:rsidRPr="00A700E7">
        <w:t xml:space="preserve">Physicians should advise patients to stop use of all PDE5 inhibitors, including </w:t>
      </w:r>
      <w:r w:rsidR="005E61CF" w:rsidRPr="00A700E7">
        <w:t>tadalafil</w:t>
      </w:r>
      <w:r w:rsidRPr="00A700E7">
        <w:t xml:space="preserve">, and seek medical attention in the event of any sudden visual defect including loss of vision in one or both eyes (see Section </w:t>
      </w:r>
      <w:r w:rsidRPr="00A700E7">
        <w:rPr>
          <w:caps/>
        </w:rPr>
        <w:t>4.3 Contraindications</w:t>
      </w:r>
      <w:r w:rsidRPr="00A700E7">
        <w:t>). Such an event may be a sign of non-</w:t>
      </w:r>
      <w:proofErr w:type="spellStart"/>
      <w:r w:rsidRPr="00A700E7">
        <w:t>arteritic</w:t>
      </w:r>
      <w:proofErr w:type="spellEnd"/>
      <w:r w:rsidRPr="00A700E7">
        <w:t xml:space="preserve"> anterior </w:t>
      </w:r>
      <w:proofErr w:type="spellStart"/>
      <w:r w:rsidRPr="00A700E7">
        <w:t>ischaemic</w:t>
      </w:r>
      <w:proofErr w:type="spellEnd"/>
      <w:r w:rsidRPr="00A700E7">
        <w:t xml:space="preserve"> optic neuropathy (NAION), a cause of decreased vision, </w:t>
      </w:r>
      <w:r w:rsidRPr="00A700E7">
        <w:lastRenderedPageBreak/>
        <w:t xml:space="preserve">including permanent loss of vision that has been reported rarely </w:t>
      </w:r>
      <w:proofErr w:type="spellStart"/>
      <w:r w:rsidRPr="00A700E7">
        <w:t>postmarketing</w:t>
      </w:r>
      <w:proofErr w:type="spellEnd"/>
      <w:r w:rsidRPr="00A700E7">
        <w:t xml:space="preserve"> in temporal association with the use of all PDE5 inhibitors. An increased risk of acute NAION has been suggested from analyses of observational data in men with erectile dysfunction within 1 to 4 days of episodic PDE5 inhibitor use. Patients with known hereditary degenerative retinal disorders, including retinitis pigmentosa, were not included in the clinical trials, and use in these patients is not recommended.</w:t>
      </w:r>
      <w:r w:rsidR="000E66F4" w:rsidRPr="00A700E7">
        <w:t xml:space="preserve"> </w:t>
      </w:r>
    </w:p>
    <w:p w14:paraId="637B19B4" w14:textId="77777777" w:rsidR="0048218A" w:rsidRPr="00A700E7" w:rsidRDefault="0048218A" w:rsidP="007A6B1F">
      <w:pPr>
        <w:pStyle w:val="Heading4"/>
        <w:jc w:val="left"/>
      </w:pPr>
      <w:r w:rsidRPr="00A700E7">
        <w:t>Decreased or sudden hearing loss</w:t>
      </w:r>
    </w:p>
    <w:p w14:paraId="0496048E" w14:textId="70BBCF95" w:rsidR="0048218A" w:rsidRPr="00A700E7" w:rsidRDefault="0048218A" w:rsidP="007A6B1F">
      <w:pPr>
        <w:spacing w:after="200" w:line="276" w:lineRule="auto"/>
        <w:jc w:val="left"/>
      </w:pPr>
      <w:r w:rsidRPr="00A700E7">
        <w:t xml:space="preserve">Physicians should advise patients to stop taking PDE5 inhibitors, including </w:t>
      </w:r>
      <w:r w:rsidR="005E61CF" w:rsidRPr="00A700E7">
        <w:t>tadalafil</w:t>
      </w:r>
      <w:r w:rsidRPr="00A700E7">
        <w:t xml:space="preserve">, and seek prompt medical attention in the event of sudden decrease or loss of hearing. This may be accompanied by tinnitus, which has been reported in association with the use of PDE5 inhibitors, including tadalafil. It is not possible to determine whether these events are related directly to the use of PDE5 inhibitors or to other factors (see Section 4.8 ADVERSE EFFECTS (UNDESIRABLE </w:t>
      </w:r>
      <w:proofErr w:type="gramStart"/>
      <w:r w:rsidRPr="00A700E7">
        <w:t>EFFECTS))</w:t>
      </w:r>
      <w:proofErr w:type="gramEnd"/>
      <w:r w:rsidRPr="00A700E7">
        <w:t>.</w:t>
      </w:r>
    </w:p>
    <w:p w14:paraId="0A398039" w14:textId="77777777" w:rsidR="0048218A" w:rsidRPr="00A700E7" w:rsidRDefault="0048218A" w:rsidP="007A6B1F">
      <w:pPr>
        <w:pStyle w:val="Heading4"/>
        <w:jc w:val="left"/>
      </w:pPr>
      <w:r w:rsidRPr="00A700E7">
        <w:t>Priapism and anatomical deformation of the penis</w:t>
      </w:r>
    </w:p>
    <w:p w14:paraId="5AF8CCDE" w14:textId="77777777" w:rsidR="0048218A" w:rsidRPr="00A700E7" w:rsidRDefault="0048218A" w:rsidP="007A6B1F">
      <w:pPr>
        <w:spacing w:after="200" w:line="276" w:lineRule="auto"/>
        <w:jc w:val="left"/>
      </w:pPr>
      <w:r w:rsidRPr="00A700E7">
        <w:t xml:space="preserve">Priapism has been reported in men treated with PDE5 inhibitors, including tadalafil. Patients who experience erections lasting 4 hours or more should be instructed to seek immediate medical assistance. If priapism is not treated immediately, penile tissue damage and permanent loss of potency may result. </w:t>
      </w:r>
    </w:p>
    <w:p w14:paraId="15D84967" w14:textId="21EFC825" w:rsidR="0048218A" w:rsidRPr="00A700E7" w:rsidRDefault="005E61CF" w:rsidP="007A6B1F">
      <w:pPr>
        <w:spacing w:after="200" w:line="276" w:lineRule="auto"/>
        <w:jc w:val="left"/>
      </w:pPr>
      <w:r w:rsidRPr="00A700E7">
        <w:t xml:space="preserve">Tadalafil </w:t>
      </w:r>
      <w:r w:rsidR="0048218A" w:rsidRPr="00A700E7">
        <w:t xml:space="preserve">should be used with caution in patients who have conditions that might predispose them to priapism (such as sickle cell </w:t>
      </w:r>
      <w:proofErr w:type="spellStart"/>
      <w:r w:rsidR="0048218A" w:rsidRPr="00A700E7">
        <w:t>an</w:t>
      </w:r>
      <w:r w:rsidR="004A2F61" w:rsidRPr="00A700E7">
        <w:t>a</w:t>
      </w:r>
      <w:r w:rsidR="0048218A" w:rsidRPr="00A700E7">
        <w:t>emia</w:t>
      </w:r>
      <w:proofErr w:type="spellEnd"/>
      <w:r w:rsidR="0048218A" w:rsidRPr="00A700E7">
        <w:t xml:space="preserve">, multiple myeloma or leukemia), or in patients with anatomical deformation of the penis (such as angulation, </w:t>
      </w:r>
      <w:proofErr w:type="spellStart"/>
      <w:r w:rsidR="0048218A" w:rsidRPr="00A700E7">
        <w:t>cavernosal</w:t>
      </w:r>
      <w:proofErr w:type="spellEnd"/>
      <w:r w:rsidR="0048218A" w:rsidRPr="00A700E7">
        <w:t xml:space="preserve"> fibrosis or </w:t>
      </w:r>
      <w:proofErr w:type="spellStart"/>
      <w:r w:rsidR="0048218A" w:rsidRPr="00A700E7">
        <w:t>Peyronie’s</w:t>
      </w:r>
      <w:proofErr w:type="spellEnd"/>
      <w:r w:rsidR="0048218A" w:rsidRPr="00A700E7">
        <w:t xml:space="preserve"> disease)</w:t>
      </w:r>
      <w:r w:rsidR="000A08E8" w:rsidRPr="00A700E7">
        <w:t>.</w:t>
      </w:r>
    </w:p>
    <w:p w14:paraId="2584A559" w14:textId="77777777" w:rsidR="0048218A" w:rsidRPr="00A700E7" w:rsidRDefault="0048218A" w:rsidP="007A6B1F">
      <w:pPr>
        <w:pStyle w:val="Heading4"/>
        <w:jc w:val="left"/>
      </w:pPr>
      <w:r w:rsidRPr="00A700E7">
        <w:t>Use with CYP3A4 inducers or inhibitors</w:t>
      </w:r>
    </w:p>
    <w:p w14:paraId="6CC81242" w14:textId="10F52F49" w:rsidR="0048218A" w:rsidRPr="00A700E7" w:rsidRDefault="0048218A" w:rsidP="007A6B1F">
      <w:pPr>
        <w:spacing w:after="200" w:line="276" w:lineRule="auto"/>
        <w:jc w:val="left"/>
      </w:pPr>
      <w:r w:rsidRPr="00A700E7">
        <w:t xml:space="preserve">For patients chronically taking potent inducers of CYP3A4, such as rifampicin, the </w:t>
      </w:r>
      <w:r w:rsidR="00EF23D1" w:rsidRPr="00A700E7">
        <w:t>use of tadalafil is not recommended</w:t>
      </w:r>
      <w:r w:rsidRPr="00A700E7">
        <w:t xml:space="preserve"> (see section 4.5 </w:t>
      </w:r>
      <w:r w:rsidRPr="00A700E7">
        <w:rPr>
          <w:caps/>
        </w:rPr>
        <w:t>Interactions with other medicines and other forms of interactions</w:t>
      </w:r>
      <w:r w:rsidRPr="00A700E7">
        <w:t>)</w:t>
      </w:r>
    </w:p>
    <w:p w14:paraId="52716064" w14:textId="29D96302" w:rsidR="0048218A" w:rsidRPr="00A700E7" w:rsidRDefault="0048218A" w:rsidP="007A6B1F">
      <w:pPr>
        <w:spacing w:after="200" w:line="276" w:lineRule="auto"/>
        <w:jc w:val="left"/>
      </w:pPr>
      <w:r w:rsidRPr="00A700E7">
        <w:t xml:space="preserve">For patients taking concomitant potent inhibitors of CYP3A4, such as ketoconazole or ritonavir, the </w:t>
      </w:r>
      <w:r w:rsidR="00EF23D1" w:rsidRPr="00A700E7">
        <w:t xml:space="preserve">use of tadalafil is not recommended </w:t>
      </w:r>
      <w:r w:rsidRPr="00A700E7">
        <w:t xml:space="preserve">(see section 4.5 </w:t>
      </w:r>
      <w:r w:rsidRPr="00A700E7">
        <w:rPr>
          <w:caps/>
        </w:rPr>
        <w:t>Interactions with other medicines and other forms of interactions</w:t>
      </w:r>
      <w:r w:rsidRPr="00A700E7">
        <w:t>).</w:t>
      </w:r>
    </w:p>
    <w:p w14:paraId="628BC440" w14:textId="77777777" w:rsidR="0048218A" w:rsidRPr="00A700E7" w:rsidRDefault="0048218A" w:rsidP="007A6B1F">
      <w:pPr>
        <w:pStyle w:val="Heading4"/>
        <w:jc w:val="left"/>
      </w:pPr>
      <w:r w:rsidRPr="00A700E7">
        <w:t>Treatments for erectile dysfunction</w:t>
      </w:r>
    </w:p>
    <w:p w14:paraId="26F4C8FB" w14:textId="152B8533" w:rsidR="0048218A" w:rsidRPr="00A700E7" w:rsidRDefault="0048218A" w:rsidP="007A6B1F">
      <w:pPr>
        <w:spacing w:after="200" w:line="276" w:lineRule="auto"/>
        <w:jc w:val="left"/>
      </w:pPr>
      <w:r w:rsidRPr="00A700E7">
        <w:t xml:space="preserve">The safety and efficacy of combinations of tadalafil and other PDE5 inhibitors or other treatments for erectile dysfunction have not been studied. Patients should be informed not to take </w:t>
      </w:r>
      <w:r w:rsidR="005E61CF" w:rsidRPr="00A700E7">
        <w:t xml:space="preserve">tadalafil </w:t>
      </w:r>
      <w:r w:rsidRPr="00A700E7">
        <w:t>with these medicinal products.</w:t>
      </w:r>
    </w:p>
    <w:p w14:paraId="17CF1715" w14:textId="77777777" w:rsidR="0048218A" w:rsidRPr="00A700E7" w:rsidRDefault="0048218A" w:rsidP="007A6B1F">
      <w:pPr>
        <w:pStyle w:val="Heading4"/>
        <w:jc w:val="left"/>
      </w:pPr>
      <w:r w:rsidRPr="00A700E7">
        <w:t>Prostacyclin and its analogues</w:t>
      </w:r>
    </w:p>
    <w:p w14:paraId="7EB5488E" w14:textId="41A1C52D" w:rsidR="0048218A" w:rsidRPr="00A700E7" w:rsidRDefault="0048218A" w:rsidP="007A6B1F">
      <w:pPr>
        <w:spacing w:after="200" w:line="276" w:lineRule="auto"/>
        <w:jc w:val="left"/>
      </w:pPr>
      <w:r w:rsidRPr="00A700E7">
        <w:t xml:space="preserve">The efficacy and safety of tadalafil co-administered with prostacyclin or its analogues has not been studied in controlled clinical studies. Therefore, caution is recommended in case of co- administration with </w:t>
      </w:r>
      <w:r w:rsidR="005E61CF" w:rsidRPr="00A700E7">
        <w:t>tadalafil</w:t>
      </w:r>
      <w:r w:rsidRPr="00A700E7">
        <w:t>.</w:t>
      </w:r>
    </w:p>
    <w:p w14:paraId="2909FEEF" w14:textId="75BAD777" w:rsidR="003F7DAD" w:rsidRPr="00A700E7" w:rsidRDefault="003F7DAD" w:rsidP="007A6B1F">
      <w:pPr>
        <w:pStyle w:val="Heading4"/>
        <w:jc w:val="left"/>
      </w:pPr>
      <w:r w:rsidRPr="00A700E7">
        <w:lastRenderedPageBreak/>
        <w:t xml:space="preserve">Use in </w:t>
      </w:r>
      <w:r w:rsidR="00223B34" w:rsidRPr="00A700E7">
        <w:t>h</w:t>
      </w:r>
      <w:r w:rsidRPr="00A700E7">
        <w:t xml:space="preserve">epatic </w:t>
      </w:r>
      <w:r w:rsidR="001109B8" w:rsidRPr="00A700E7">
        <w:t>i</w:t>
      </w:r>
      <w:r w:rsidRPr="00A700E7">
        <w:t>mpairment</w:t>
      </w:r>
    </w:p>
    <w:p w14:paraId="7C6CCADA" w14:textId="6A7E543B" w:rsidR="003F7DAD" w:rsidRPr="00A700E7" w:rsidRDefault="003F7DAD" w:rsidP="007A6B1F">
      <w:pPr>
        <w:spacing w:after="200" w:line="276" w:lineRule="auto"/>
        <w:jc w:val="left"/>
      </w:pPr>
      <w:r w:rsidRPr="00A700E7">
        <w:t>Patients with severe hepatic cirrhosis (Child-Pugh Class C) have not been studied and therefore dosing of tadalafil is not recommended.</w:t>
      </w:r>
    </w:p>
    <w:p w14:paraId="1116EAA8" w14:textId="77777777" w:rsidR="003F7DAD" w:rsidRPr="00A700E7" w:rsidRDefault="003F7DAD" w:rsidP="007A6B1F">
      <w:pPr>
        <w:pStyle w:val="Heading4"/>
        <w:jc w:val="left"/>
      </w:pPr>
      <w:r w:rsidRPr="00A700E7">
        <w:t>Use in renal impairment</w:t>
      </w:r>
    </w:p>
    <w:p w14:paraId="3734F8B0" w14:textId="77777777" w:rsidR="003F7DAD" w:rsidRPr="00A700E7" w:rsidRDefault="003F7DAD" w:rsidP="007A6B1F">
      <w:pPr>
        <w:spacing w:after="200" w:line="276" w:lineRule="auto"/>
        <w:jc w:val="left"/>
      </w:pPr>
      <w:r w:rsidRPr="00A700E7">
        <w:t>Due to increased tadalafil exposure (AUC), limited clinical experience, and the lack of ability to influence clearance by dialysis, tadalafil is not recommended in patients with severe renal impairment.</w:t>
      </w:r>
    </w:p>
    <w:p w14:paraId="06354EFD" w14:textId="0F07A1A7" w:rsidR="003F7DAD" w:rsidRPr="00A700E7" w:rsidRDefault="003F7DAD" w:rsidP="007A6B1F">
      <w:pPr>
        <w:pStyle w:val="Heading4"/>
        <w:jc w:val="left"/>
      </w:pPr>
      <w:r w:rsidRPr="00A700E7">
        <w:t xml:space="preserve">Use in the </w:t>
      </w:r>
      <w:r w:rsidR="00223B34" w:rsidRPr="00A700E7">
        <w:t>e</w:t>
      </w:r>
      <w:r w:rsidRPr="00A700E7">
        <w:t>lderly</w:t>
      </w:r>
    </w:p>
    <w:p w14:paraId="4623FDCD" w14:textId="77777777" w:rsidR="003F7DAD" w:rsidRPr="00A700E7" w:rsidRDefault="003F7DAD" w:rsidP="007A6B1F">
      <w:pPr>
        <w:spacing w:after="200" w:line="276" w:lineRule="auto"/>
        <w:jc w:val="left"/>
      </w:pPr>
      <w:r w:rsidRPr="00A700E7">
        <w:t>No data available.</w:t>
      </w:r>
    </w:p>
    <w:p w14:paraId="6DCC7CA8" w14:textId="12ABA51D" w:rsidR="003F7DAD" w:rsidRPr="00A700E7" w:rsidRDefault="003F7DAD" w:rsidP="007A6B1F">
      <w:pPr>
        <w:pStyle w:val="Heading4"/>
        <w:jc w:val="left"/>
      </w:pPr>
      <w:proofErr w:type="spellStart"/>
      <w:r w:rsidRPr="00A700E7">
        <w:t>Paediatric</w:t>
      </w:r>
      <w:proofErr w:type="spellEnd"/>
      <w:r w:rsidRPr="00A700E7">
        <w:t xml:space="preserve"> </w:t>
      </w:r>
      <w:r w:rsidR="00223B34" w:rsidRPr="00A700E7">
        <w:t>u</w:t>
      </w:r>
      <w:r w:rsidRPr="00A700E7">
        <w:t>se</w:t>
      </w:r>
    </w:p>
    <w:p w14:paraId="58D73B68" w14:textId="77777777" w:rsidR="003F7DAD" w:rsidRPr="00A700E7" w:rsidRDefault="003F7DAD" w:rsidP="007A6B1F">
      <w:pPr>
        <w:spacing w:after="200" w:line="276" w:lineRule="auto"/>
        <w:jc w:val="left"/>
      </w:pPr>
      <w:r w:rsidRPr="00A700E7">
        <w:t>No data available.</w:t>
      </w:r>
    </w:p>
    <w:p w14:paraId="540EE0B8" w14:textId="1EBBCAE2" w:rsidR="003F7DAD" w:rsidRPr="00A700E7" w:rsidRDefault="003F7DAD" w:rsidP="007A6B1F">
      <w:pPr>
        <w:pStyle w:val="Heading4"/>
        <w:jc w:val="left"/>
      </w:pPr>
      <w:r w:rsidRPr="00A700E7">
        <w:t xml:space="preserve">Effects on </w:t>
      </w:r>
      <w:r w:rsidR="00223B34" w:rsidRPr="00A700E7">
        <w:t>l</w:t>
      </w:r>
      <w:r w:rsidRPr="00A700E7">
        <w:t xml:space="preserve">aboratory </w:t>
      </w:r>
      <w:r w:rsidR="00223B34" w:rsidRPr="00A700E7">
        <w:t>t</w:t>
      </w:r>
      <w:r w:rsidRPr="00A700E7">
        <w:t>ests</w:t>
      </w:r>
    </w:p>
    <w:p w14:paraId="3327A2C1" w14:textId="59CFC7D0" w:rsidR="003F7DAD" w:rsidRPr="00A700E7" w:rsidRDefault="003F7DAD" w:rsidP="007A6B1F">
      <w:pPr>
        <w:spacing w:after="200" w:line="276" w:lineRule="auto"/>
        <w:jc w:val="left"/>
      </w:pPr>
      <w:r w:rsidRPr="00A700E7">
        <w:t>No data available.</w:t>
      </w:r>
    </w:p>
    <w:p w14:paraId="18317059" w14:textId="373EB177" w:rsidR="0048218A" w:rsidRPr="00A700E7" w:rsidRDefault="0048218A" w:rsidP="007A6B1F">
      <w:pPr>
        <w:numPr>
          <w:ilvl w:val="1"/>
          <w:numId w:val="1"/>
        </w:numPr>
        <w:spacing w:after="120" w:line="276" w:lineRule="auto"/>
        <w:ind w:left="578" w:hanging="578"/>
        <w:jc w:val="left"/>
        <w:outlineLvl w:val="1"/>
        <w:rPr>
          <w:rFonts w:ascii="Arial Bold" w:hAnsi="Arial Bold"/>
          <w:b/>
          <w:caps/>
          <w:sz w:val="24"/>
        </w:rPr>
      </w:pPr>
      <w:bookmarkStart w:id="9" w:name="_Hlk72921142"/>
      <w:r w:rsidRPr="00A700E7">
        <w:rPr>
          <w:rFonts w:ascii="Arial Bold" w:hAnsi="Arial Bold"/>
          <w:b/>
          <w:caps/>
          <w:sz w:val="24"/>
        </w:rPr>
        <w:t>Interactions with other medicines and other forms of interactions</w:t>
      </w:r>
    </w:p>
    <w:p w14:paraId="3BAFBDDB" w14:textId="1E3C7A85" w:rsidR="0048218A" w:rsidRPr="00A700E7" w:rsidRDefault="0048218A" w:rsidP="007A6B1F">
      <w:pPr>
        <w:spacing w:after="200" w:line="276" w:lineRule="auto"/>
        <w:jc w:val="left"/>
      </w:pPr>
      <w:r w:rsidRPr="00A700E7">
        <w:t>Based on the known characteristics of macitentan and tadalafil, no pharmacokinetic interaction is expected between these individual components in the OPSYNVI.</w:t>
      </w:r>
      <w:r w:rsidR="007D68C4" w:rsidRPr="00A700E7">
        <w:t xml:space="preserve"> </w:t>
      </w:r>
    </w:p>
    <w:p w14:paraId="601344E3" w14:textId="38718E9A" w:rsidR="0048218A" w:rsidRPr="00A700E7" w:rsidRDefault="0048218A" w:rsidP="007A6B1F">
      <w:pPr>
        <w:spacing w:after="200" w:line="276" w:lineRule="auto"/>
        <w:jc w:val="left"/>
      </w:pPr>
      <w:r w:rsidRPr="00A700E7">
        <w:t xml:space="preserve">Based on the information of the individual components, in the presence of strong CYP3A4 inhibitors, exposure </w:t>
      </w:r>
      <w:r w:rsidR="00060DE0" w:rsidRPr="00A700E7">
        <w:t xml:space="preserve">to macitentan and tadalafil </w:t>
      </w:r>
      <w:r w:rsidRPr="00A700E7">
        <w:t>could be increased. Co-administration of OPSYNVI with strong CYP3A4 inhibitors (e.g., itraconazole, ketoconazole, ritonavir, voriconazole, clarithromycin, and saquinavir) should be avoided.</w:t>
      </w:r>
    </w:p>
    <w:p w14:paraId="5E46997F" w14:textId="4B171003" w:rsidR="0048218A" w:rsidRPr="00A700E7" w:rsidRDefault="0048218A" w:rsidP="007A6B1F">
      <w:pPr>
        <w:spacing w:after="200" w:line="276" w:lineRule="auto"/>
        <w:jc w:val="left"/>
      </w:pPr>
      <w:r w:rsidRPr="00A700E7">
        <w:t xml:space="preserve">Based on the information of the individual components, in the presence of strong CYP3A4 inducers, exposure </w:t>
      </w:r>
      <w:r w:rsidR="00060DE0" w:rsidRPr="00A700E7">
        <w:t xml:space="preserve">to macitentan and tadalafil </w:t>
      </w:r>
      <w:r w:rsidRPr="00A700E7">
        <w:t>and efficacy of OPSYNVI could be reduced. Co-administration of OPSYNVI with strong CYP3A4 inducers (e.g., rifampicin, St. John’s Wort, carbamazepine, and phenytoin) should be avoided.</w:t>
      </w:r>
    </w:p>
    <w:p w14:paraId="7308D6F7" w14:textId="66BD782C" w:rsidR="000167FB" w:rsidRPr="00A700E7" w:rsidRDefault="0048218A" w:rsidP="007A6B1F">
      <w:pPr>
        <w:jc w:val="left"/>
      </w:pPr>
      <w:r w:rsidRPr="00A700E7">
        <w:t xml:space="preserve">As OPSYNVI contains macitentan and tadalafil, the interactions associated with each component should be considered.  </w:t>
      </w:r>
    </w:p>
    <w:bookmarkEnd w:id="9"/>
    <w:p w14:paraId="4C1FA27E" w14:textId="0ADB8F45" w:rsidR="006F15CB" w:rsidRPr="00A700E7" w:rsidRDefault="0048218A" w:rsidP="007A6B1F">
      <w:pPr>
        <w:pStyle w:val="Heading3"/>
        <w:jc w:val="left"/>
      </w:pPr>
      <w:r w:rsidRPr="00A700E7">
        <w:t>Macitentan</w:t>
      </w:r>
    </w:p>
    <w:p w14:paraId="4AC31A97" w14:textId="77777777" w:rsidR="0048218A" w:rsidRPr="00A700E7" w:rsidRDefault="0048218A" w:rsidP="007A6B1F">
      <w:pPr>
        <w:pStyle w:val="Heading4"/>
        <w:jc w:val="left"/>
      </w:pPr>
      <w:r w:rsidRPr="00A700E7">
        <w:t xml:space="preserve">In </w:t>
      </w:r>
      <w:proofErr w:type="gramStart"/>
      <w:r w:rsidRPr="00A700E7">
        <w:t>vitro studies</w:t>
      </w:r>
      <w:proofErr w:type="gramEnd"/>
      <w:r w:rsidRPr="00A700E7">
        <w:t xml:space="preserve"> </w:t>
      </w:r>
    </w:p>
    <w:p w14:paraId="39DFE5CD" w14:textId="77777777" w:rsidR="0048218A" w:rsidRPr="00A700E7" w:rsidRDefault="0048218A" w:rsidP="007A6B1F">
      <w:pPr>
        <w:spacing w:after="200" w:line="276" w:lineRule="auto"/>
        <w:jc w:val="left"/>
      </w:pPr>
      <w:r w:rsidRPr="00A700E7">
        <w:t xml:space="preserve">The metabolism of macitentan to its active metabolite is </w:t>
      </w:r>
      <w:proofErr w:type="spellStart"/>
      <w:r w:rsidRPr="00A700E7">
        <w:t>catalysed</w:t>
      </w:r>
      <w:proofErr w:type="spellEnd"/>
      <w:r w:rsidRPr="00A700E7">
        <w:t xml:space="preserve"> by CYP3A with minor contributions from CYP2C8, CYP2C9 and CYP2C19. </w:t>
      </w:r>
    </w:p>
    <w:p w14:paraId="5D7FC63B" w14:textId="77777777" w:rsidR="0048218A" w:rsidRPr="00A700E7" w:rsidRDefault="0048218A" w:rsidP="007A6B1F">
      <w:pPr>
        <w:spacing w:after="200" w:line="276" w:lineRule="auto"/>
        <w:jc w:val="left"/>
      </w:pPr>
      <w:r w:rsidRPr="00A700E7">
        <w:t xml:space="preserve">Macitentan and its active metabolite do not have clinically relevant inhibitory or inducing effects on CYP enzymes. </w:t>
      </w:r>
    </w:p>
    <w:p w14:paraId="09E4C0B2" w14:textId="77777777" w:rsidR="0048218A" w:rsidRPr="00A700E7" w:rsidRDefault="0048218A" w:rsidP="007A6B1F">
      <w:pPr>
        <w:spacing w:after="200" w:line="276" w:lineRule="auto"/>
        <w:jc w:val="left"/>
      </w:pPr>
      <w:r w:rsidRPr="00A700E7">
        <w:t>Macitentan and its active metabolite are not substrates of the multi-drug resistance protein (P-</w:t>
      </w:r>
      <w:proofErr w:type="spellStart"/>
      <w:r w:rsidRPr="00A700E7">
        <w:t>gp</w:t>
      </w:r>
      <w:proofErr w:type="spellEnd"/>
      <w:r w:rsidRPr="00A700E7">
        <w:t>, MDR-1) or organic anion transporting polypeptides (OATP1B1 and OATP1B3).</w:t>
      </w:r>
    </w:p>
    <w:p w14:paraId="27C1186D" w14:textId="77777777" w:rsidR="0048218A" w:rsidRPr="00A700E7" w:rsidRDefault="0048218A" w:rsidP="007A6B1F">
      <w:pPr>
        <w:spacing w:after="200" w:line="276" w:lineRule="auto"/>
        <w:jc w:val="left"/>
      </w:pPr>
      <w:r w:rsidRPr="00A700E7">
        <w:lastRenderedPageBreak/>
        <w:t>Macitentan and its active metabolite are unlikely to inhibit hepatic or renal drug transporters at clinically relevant concentrations, including the multi-drug resistance protein (P</w:t>
      </w:r>
      <w:r w:rsidRPr="00A700E7">
        <w:noBreakHyphen/>
      </w:r>
      <w:proofErr w:type="spellStart"/>
      <w:r w:rsidRPr="00A700E7">
        <w:t>gp</w:t>
      </w:r>
      <w:proofErr w:type="spellEnd"/>
      <w:r w:rsidRPr="00A700E7">
        <w:t>, MDR-1), the multidrug and toxin extrusion transporters (MATE1 and MATE2-K), the organic anion transporters (OAT1 and OAT2), the organic cation transporters (OCT1 and OCT2), the bile salt export pump (BSEP), the sodium-dependent co-transporting polypeptide (NTCP), and the organic anion transporting polypeptides (OATP1B1 and OATP1B3).</w:t>
      </w:r>
      <w:r w:rsidRPr="00A700E7" w:rsidDel="00C26307">
        <w:t xml:space="preserve"> </w:t>
      </w:r>
    </w:p>
    <w:p w14:paraId="35D2C412" w14:textId="77777777" w:rsidR="0048218A" w:rsidRPr="00A700E7" w:rsidRDefault="0048218A" w:rsidP="007A6B1F">
      <w:pPr>
        <w:pStyle w:val="Heading4"/>
        <w:jc w:val="left"/>
      </w:pPr>
      <w:r w:rsidRPr="00A700E7">
        <w:t xml:space="preserve">In vivo studies </w:t>
      </w:r>
    </w:p>
    <w:p w14:paraId="71B8C266" w14:textId="1CCF4729" w:rsidR="0048218A" w:rsidRPr="00A700E7" w:rsidRDefault="0048218A" w:rsidP="007A6B1F">
      <w:pPr>
        <w:spacing w:after="200" w:line="276" w:lineRule="auto"/>
        <w:jc w:val="left"/>
        <w:rPr>
          <w:bCs/>
          <w:i/>
          <w:lang w:val="en-GB"/>
        </w:rPr>
      </w:pPr>
      <w:r w:rsidRPr="00A700E7">
        <w:rPr>
          <w:bCs/>
          <w:i/>
          <w:lang w:val="en-GB"/>
        </w:rPr>
        <w:t>Warfarin:</w:t>
      </w:r>
      <w:r w:rsidRPr="00A700E7">
        <w:rPr>
          <w:bCs/>
          <w:lang w:val="en-GB"/>
        </w:rPr>
        <w:t xml:space="preserve"> Macitentan given as multiple doses of 10 mg once daily had no effect on exposure to S</w:t>
      </w:r>
      <w:r w:rsidRPr="00A700E7">
        <w:rPr>
          <w:bCs/>
          <w:lang w:val="en-GB"/>
        </w:rPr>
        <w:noBreakHyphen/>
        <w:t xml:space="preserve">warfarin (CYP2C9 substrate) or R-warfarin (CYP3A4 substrate) after a single dose of 25 mg warfarin. The pharmacodynamic effect of warfarin on International </w:t>
      </w:r>
      <w:r w:rsidR="00094FDB" w:rsidRPr="00A700E7">
        <w:rPr>
          <w:bCs/>
          <w:lang w:val="en-GB"/>
        </w:rPr>
        <w:t xml:space="preserve">Normalised </w:t>
      </w:r>
      <w:r w:rsidRPr="00A700E7">
        <w:rPr>
          <w:bCs/>
          <w:lang w:val="en-GB"/>
        </w:rPr>
        <w:t>Ratio (INR) was not affected by macitentan. The pharmacokinetics of macitentan and its active metabolite were not affected by warfarin.</w:t>
      </w:r>
    </w:p>
    <w:p w14:paraId="5806B76B" w14:textId="77777777" w:rsidR="0048218A" w:rsidRPr="00A700E7" w:rsidRDefault="0048218A" w:rsidP="007A6B1F">
      <w:pPr>
        <w:spacing w:after="200" w:line="276" w:lineRule="auto"/>
        <w:jc w:val="left"/>
        <w:rPr>
          <w:bCs/>
          <w:szCs w:val="24"/>
        </w:rPr>
      </w:pPr>
      <w:r w:rsidRPr="00A700E7">
        <w:rPr>
          <w:bCs/>
          <w:i/>
          <w:szCs w:val="24"/>
        </w:rPr>
        <w:t>Sildenafil:</w:t>
      </w:r>
      <w:r w:rsidRPr="00A700E7">
        <w:rPr>
          <w:bCs/>
          <w:szCs w:val="24"/>
        </w:rPr>
        <w:t xml:space="preserve"> </w:t>
      </w:r>
      <w:r w:rsidRPr="00A700E7">
        <w:rPr>
          <w:bCs/>
          <w:lang w:val="en-GB"/>
        </w:rPr>
        <w:t xml:space="preserve">At </w:t>
      </w:r>
      <w:proofErr w:type="gramStart"/>
      <w:r w:rsidRPr="00A700E7">
        <w:rPr>
          <w:bCs/>
          <w:lang w:val="en-GB"/>
        </w:rPr>
        <w:t>steady-state</w:t>
      </w:r>
      <w:proofErr w:type="gramEnd"/>
      <w:r w:rsidRPr="00A700E7">
        <w:rPr>
          <w:bCs/>
          <w:lang w:val="en-GB"/>
        </w:rPr>
        <w:t>, the exposure to sildenafil 20 mg three times daily was increased by 15% during concomitant administration of macitentan 10 mg once daily. Sildenafil, a CYP3A4 substrate, did not affect the pharmacokinetics of macitentan, while there was a 15% reduction in the exposure to the active metabolite of macitentan. These changes are not considered clinically relevant. In a placebo-controlled trial in patients with PAH, the efficacy and safety of macitentan in combination with sildenafil were demonstrated</w:t>
      </w:r>
      <w:r w:rsidRPr="00A700E7">
        <w:rPr>
          <w:bCs/>
          <w:szCs w:val="24"/>
        </w:rPr>
        <w:t>.</w:t>
      </w:r>
    </w:p>
    <w:p w14:paraId="14B76129" w14:textId="77777777" w:rsidR="0048218A" w:rsidRPr="00A700E7" w:rsidRDefault="0048218A" w:rsidP="007A6B1F">
      <w:pPr>
        <w:spacing w:after="200" w:line="276" w:lineRule="auto"/>
        <w:jc w:val="left"/>
        <w:rPr>
          <w:bCs/>
          <w:highlight w:val="yellow"/>
        </w:rPr>
      </w:pPr>
      <w:r w:rsidRPr="00A700E7">
        <w:rPr>
          <w:bCs/>
          <w:i/>
          <w:szCs w:val="24"/>
        </w:rPr>
        <w:t>Strong CYP3A4 inhibitors:</w:t>
      </w:r>
      <w:r w:rsidRPr="00A700E7">
        <w:rPr>
          <w:bCs/>
          <w:szCs w:val="24"/>
        </w:rPr>
        <w:t xml:space="preserve"> </w:t>
      </w:r>
      <w:r w:rsidRPr="00A700E7">
        <w:rPr>
          <w:bCs/>
          <w:lang w:val="en-GB"/>
        </w:rPr>
        <w:t xml:space="preserve">In the presence of ketoconazole 400 mg once daily, a strong CYP3A4 inhibitor, exposure to macitentan increased approximately 2-fold. The predicted increase was approximately 3-fold in the presence of ketoconazole 200 mg twice daily using physiologically based pharmacokinetic (PBPK) modelling. Exposure to the active metabolite of macitentan was reduced by 26%. </w:t>
      </w:r>
    </w:p>
    <w:p w14:paraId="5A171AD7" w14:textId="77777777" w:rsidR="0048218A" w:rsidRPr="00A700E7" w:rsidRDefault="0048218A" w:rsidP="007A6B1F">
      <w:pPr>
        <w:spacing w:after="200" w:line="276" w:lineRule="auto"/>
        <w:jc w:val="left"/>
        <w:rPr>
          <w:bCs/>
          <w:noProof/>
          <w:shd w:val="clear" w:color="auto" w:fill="BDD6EE"/>
        </w:rPr>
      </w:pPr>
      <w:r w:rsidRPr="00A700E7">
        <w:rPr>
          <w:bCs/>
          <w:i/>
          <w:szCs w:val="24"/>
        </w:rPr>
        <w:t>Fluconazole:</w:t>
      </w:r>
      <w:bookmarkStart w:id="10" w:name="_Hlk45889721"/>
      <w:r w:rsidRPr="00A700E7">
        <w:rPr>
          <w:bCs/>
        </w:rPr>
        <w:t xml:space="preserve"> In the presence of fluconazole 400 mg daily, a moderate dual inhibitor of CYP3A4 and CYP2C9, exposure to macitentan may increase approximately 3.8-fold based on physiologically based pharmacokinetic (PBPK) modelling. Caution should be exercised when macitentan is administered concomitantly with moderate dual inhibitors of CYP3A4 and CYP2C9 (e.g., fluconazole and amiodarone</w:t>
      </w:r>
      <w:bookmarkEnd w:id="10"/>
      <w:r w:rsidRPr="00A700E7">
        <w:rPr>
          <w:bCs/>
        </w:rPr>
        <w:t xml:space="preserve">). </w:t>
      </w:r>
    </w:p>
    <w:p w14:paraId="436D85BE" w14:textId="77777777" w:rsidR="0048218A" w:rsidRPr="00A700E7" w:rsidRDefault="0048218A" w:rsidP="007A6B1F">
      <w:pPr>
        <w:spacing w:after="200" w:line="276" w:lineRule="auto"/>
        <w:jc w:val="left"/>
        <w:rPr>
          <w:bCs/>
          <w:i/>
          <w:szCs w:val="24"/>
        </w:rPr>
      </w:pPr>
      <w:r w:rsidRPr="00A700E7">
        <w:rPr>
          <w:bCs/>
        </w:rPr>
        <w:t xml:space="preserve">Caution should also be exercised when macitentan is administered concomitantly with both a moderate CYP3A4 inhibitor (e.g., ciprofloxacin, ciclosporin, diltiazem, erythromycin, verapamil) and moderate CYP2C9 inhibitor (e.g., miconazole, </w:t>
      </w:r>
      <w:proofErr w:type="spellStart"/>
      <w:r w:rsidRPr="00A700E7">
        <w:rPr>
          <w:bCs/>
        </w:rPr>
        <w:t>piperine</w:t>
      </w:r>
      <w:proofErr w:type="spellEnd"/>
      <w:r w:rsidRPr="00A700E7">
        <w:rPr>
          <w:bCs/>
        </w:rPr>
        <w:t xml:space="preserve">). </w:t>
      </w:r>
    </w:p>
    <w:p w14:paraId="5BB0A97B" w14:textId="77777777" w:rsidR="0048218A" w:rsidRPr="00A700E7" w:rsidRDefault="0048218A" w:rsidP="007A6B1F">
      <w:pPr>
        <w:spacing w:after="200" w:line="276" w:lineRule="auto"/>
        <w:jc w:val="left"/>
        <w:rPr>
          <w:bCs/>
          <w:szCs w:val="24"/>
        </w:rPr>
      </w:pPr>
      <w:r w:rsidRPr="00A700E7">
        <w:rPr>
          <w:bCs/>
          <w:i/>
          <w:szCs w:val="24"/>
        </w:rPr>
        <w:t>HIV drugs</w:t>
      </w:r>
      <w:r w:rsidRPr="00A700E7">
        <w:rPr>
          <w:bCs/>
          <w:szCs w:val="24"/>
        </w:rPr>
        <w:t xml:space="preserve">: </w:t>
      </w:r>
      <w:r w:rsidRPr="00A700E7">
        <w:rPr>
          <w:bCs/>
          <w:lang w:val="en-GB"/>
        </w:rPr>
        <w:t xml:space="preserve">Effects of other strong CYP3A4 inhibitors such as ritonavir on macitentan were not </w:t>
      </w:r>
      <w:proofErr w:type="gramStart"/>
      <w:r w:rsidRPr="00A700E7">
        <w:rPr>
          <w:bCs/>
          <w:lang w:val="en-GB"/>
        </w:rPr>
        <w:t>studied, but</w:t>
      </w:r>
      <w:proofErr w:type="gramEnd"/>
      <w:r w:rsidRPr="00A700E7">
        <w:rPr>
          <w:bCs/>
          <w:lang w:val="en-GB"/>
        </w:rPr>
        <w:t xml:space="preserve"> are likely to result in an increase in macitentan exposure at steady state </w:t>
      </w:r>
      <w:proofErr w:type="gramStart"/>
      <w:r w:rsidRPr="00A700E7">
        <w:rPr>
          <w:bCs/>
          <w:lang w:val="en-GB"/>
        </w:rPr>
        <w:t>similar to</w:t>
      </w:r>
      <w:proofErr w:type="gramEnd"/>
      <w:r w:rsidRPr="00A700E7">
        <w:rPr>
          <w:bCs/>
          <w:lang w:val="en-GB"/>
        </w:rPr>
        <w:t xml:space="preserve"> that seen with ketoconazole</w:t>
      </w:r>
      <w:r w:rsidRPr="00A700E7">
        <w:rPr>
          <w:bCs/>
          <w:szCs w:val="24"/>
        </w:rPr>
        <w:t>.</w:t>
      </w:r>
    </w:p>
    <w:p w14:paraId="2362BD42" w14:textId="77777777" w:rsidR="0048218A" w:rsidRPr="00A700E7" w:rsidRDefault="0048218A" w:rsidP="007A6B1F">
      <w:pPr>
        <w:spacing w:after="200" w:line="276" w:lineRule="auto"/>
        <w:jc w:val="left"/>
        <w:rPr>
          <w:bCs/>
        </w:rPr>
      </w:pPr>
      <w:r w:rsidRPr="00A700E7">
        <w:rPr>
          <w:bCs/>
          <w:i/>
        </w:rPr>
        <w:t>Ciclosporin A:</w:t>
      </w:r>
      <w:r w:rsidRPr="00A700E7">
        <w:rPr>
          <w:bCs/>
        </w:rPr>
        <w:t xml:space="preserve"> Concomitant treatment with </w:t>
      </w:r>
      <w:proofErr w:type="gramStart"/>
      <w:r w:rsidRPr="00A700E7">
        <w:rPr>
          <w:bCs/>
        </w:rPr>
        <w:t>ciclosporin A 100 mg</w:t>
      </w:r>
      <w:proofErr w:type="gramEnd"/>
      <w:r w:rsidRPr="00A700E7">
        <w:rPr>
          <w:bCs/>
        </w:rPr>
        <w:t xml:space="preserve"> twice daily, </w:t>
      </w:r>
      <w:proofErr w:type="gramStart"/>
      <w:r w:rsidRPr="00A700E7">
        <w:rPr>
          <w:bCs/>
        </w:rPr>
        <w:t>combined</w:t>
      </w:r>
      <w:proofErr w:type="gramEnd"/>
      <w:r w:rsidRPr="00A700E7">
        <w:rPr>
          <w:bCs/>
        </w:rPr>
        <w:t xml:space="preserve"> CYP3A4 and OATP inhibitor, did not alter the steady-state exposure to macitentan and its active metabolite to a clinically relevant extent.</w:t>
      </w:r>
    </w:p>
    <w:p w14:paraId="1E036432" w14:textId="714C31F6" w:rsidR="0048218A" w:rsidRPr="00A700E7" w:rsidRDefault="0048218A" w:rsidP="007A6B1F">
      <w:pPr>
        <w:spacing w:after="200" w:line="276" w:lineRule="auto"/>
        <w:jc w:val="left"/>
        <w:rPr>
          <w:bCs/>
        </w:rPr>
      </w:pPr>
      <w:r w:rsidRPr="00A700E7">
        <w:rPr>
          <w:bCs/>
          <w:i/>
        </w:rPr>
        <w:lastRenderedPageBreak/>
        <w:t>Strong CYP3A4 inducers:</w:t>
      </w:r>
      <w:r w:rsidRPr="00A700E7">
        <w:rPr>
          <w:bCs/>
        </w:rPr>
        <w:t xml:space="preserve"> Concomitant treatment with rifampicin 600 mg daily, a potent inducer of CYP3A4, reduced the steady-state exposure to macitentan by 79% but did not affect the exposure to the active metabolite. Reduced efficacy of macitentan in the presence of a potent inducer of CYP3A4 such as rifampicin should be considered. The combination of </w:t>
      </w:r>
      <w:r w:rsidR="009C7815" w:rsidRPr="00A700E7">
        <w:t>OPSYNVI</w:t>
      </w:r>
      <w:r w:rsidRPr="00A700E7">
        <w:rPr>
          <w:bCs/>
        </w:rPr>
        <w:t xml:space="preserve"> with strong CYP3A4 inducers (e.g., rifampicin, St. John’s Wort, carbamazepine, and phenytoin) should be avoided</w:t>
      </w:r>
      <w:r w:rsidRPr="00A700E7">
        <w:rPr>
          <w:bCs/>
          <w:szCs w:val="24"/>
        </w:rPr>
        <w:t>.</w:t>
      </w:r>
    </w:p>
    <w:p w14:paraId="03279621" w14:textId="77777777" w:rsidR="0048218A" w:rsidRPr="00A700E7" w:rsidRDefault="0048218A" w:rsidP="007A6B1F">
      <w:pPr>
        <w:spacing w:after="200" w:line="276" w:lineRule="auto"/>
        <w:jc w:val="left"/>
        <w:rPr>
          <w:bCs/>
        </w:rPr>
      </w:pPr>
      <w:r w:rsidRPr="00A700E7">
        <w:rPr>
          <w:bCs/>
          <w:i/>
        </w:rPr>
        <w:t>Hormonal contraceptives:</w:t>
      </w:r>
      <w:r w:rsidRPr="00A700E7">
        <w:rPr>
          <w:bCs/>
        </w:rPr>
        <w:t xml:space="preserve"> Macitentan does not affect the exposure to CYP3A4 substrates.  In healthy subjects, macitentan 10 mg once daily did not affect the pharmacokinetics of a single dose of an oral contraceptive (norethisterone 1 mg and ethinyl estradiol 35 micrograms).</w:t>
      </w:r>
    </w:p>
    <w:p w14:paraId="20B719CD" w14:textId="77777777" w:rsidR="0048218A" w:rsidRPr="00A700E7" w:rsidRDefault="0048218A" w:rsidP="007A6B1F">
      <w:pPr>
        <w:spacing w:after="200" w:line="276" w:lineRule="auto"/>
        <w:jc w:val="left"/>
      </w:pPr>
      <w:r w:rsidRPr="00A700E7">
        <w:rPr>
          <w:bCs/>
          <w:i/>
        </w:rPr>
        <w:t>Breast cancer resistance protein (BCRP) substrate drugs</w:t>
      </w:r>
      <w:r w:rsidRPr="00A700E7">
        <w:rPr>
          <w:bCs/>
        </w:rPr>
        <w:t xml:space="preserve">: </w:t>
      </w:r>
      <w:r w:rsidRPr="00A700E7">
        <w:t xml:space="preserve">Macitentan 10 mg once daily did not affect the pharmacokinetics of oral </w:t>
      </w:r>
      <w:proofErr w:type="spellStart"/>
      <w:r w:rsidRPr="00A700E7">
        <w:t>riociguat</w:t>
      </w:r>
      <w:proofErr w:type="spellEnd"/>
      <w:r w:rsidRPr="00A700E7">
        <w:t xml:space="preserve"> or rosuvastatin (</w:t>
      </w:r>
      <w:proofErr w:type="spellStart"/>
      <w:r w:rsidRPr="00A700E7">
        <w:t>riociguat</w:t>
      </w:r>
      <w:proofErr w:type="spellEnd"/>
      <w:r w:rsidRPr="00A700E7">
        <w:t xml:space="preserve"> 1 mg, rosuvastatin 10 mg).</w:t>
      </w:r>
      <w:r w:rsidRPr="00A700E7">
        <w:tab/>
      </w:r>
    </w:p>
    <w:p w14:paraId="4666730E" w14:textId="5EAAB8CD" w:rsidR="00E77744" w:rsidRPr="00A700E7" w:rsidRDefault="0048218A" w:rsidP="007A6B1F">
      <w:pPr>
        <w:pStyle w:val="Heading3"/>
        <w:jc w:val="left"/>
      </w:pPr>
      <w:r w:rsidRPr="00A700E7">
        <w:t>Tadalafil</w:t>
      </w:r>
    </w:p>
    <w:p w14:paraId="568079AC" w14:textId="77777777" w:rsidR="00C032BE" w:rsidRPr="00A700E7" w:rsidRDefault="00C032BE" w:rsidP="007A6B1F">
      <w:pPr>
        <w:jc w:val="left"/>
      </w:pPr>
    </w:p>
    <w:p w14:paraId="721BFB6A" w14:textId="75456EA8" w:rsidR="0048218A" w:rsidRPr="00A700E7" w:rsidRDefault="0048218A" w:rsidP="007A6B1F">
      <w:pPr>
        <w:spacing w:after="200" w:line="276" w:lineRule="auto"/>
        <w:jc w:val="left"/>
      </w:pPr>
      <w:r w:rsidRPr="00A700E7">
        <w:t xml:space="preserve">Tadalafil is not expected to cause clinically significant inhibition or induction of the clearance of drugs </w:t>
      </w:r>
      <w:proofErr w:type="spellStart"/>
      <w:r w:rsidRPr="00A700E7">
        <w:t>metabolised</w:t>
      </w:r>
      <w:proofErr w:type="spellEnd"/>
      <w:r w:rsidRPr="00A700E7">
        <w:t xml:space="preserve"> by CYP450 isoforms. </w:t>
      </w:r>
      <w:r w:rsidRPr="00A700E7" w:rsidDel="00CB113F">
        <w:t>Studies have confirmed that tadalafil does not inhibit or induce CYP450 isoforms, including CYP1A2, CYP3A4, CYP2C9, CYP2C19, CYP2D6 and CYP2E1.</w:t>
      </w:r>
    </w:p>
    <w:p w14:paraId="4E9C3542" w14:textId="17F1DA77" w:rsidR="00C621D2" w:rsidRPr="00A700E7" w:rsidRDefault="0048218A" w:rsidP="007A6B1F">
      <w:pPr>
        <w:pStyle w:val="Heading4"/>
        <w:jc w:val="left"/>
      </w:pPr>
      <w:r w:rsidRPr="00A700E7">
        <w:t>Effects of other substances on tadalafil</w:t>
      </w:r>
    </w:p>
    <w:p w14:paraId="3EE199D5" w14:textId="2A3F3B3A" w:rsidR="0048218A" w:rsidRPr="00A700E7" w:rsidRDefault="0048218A" w:rsidP="007A6B1F">
      <w:pPr>
        <w:pStyle w:val="Heading4"/>
        <w:jc w:val="left"/>
        <w:rPr>
          <w:b w:val="0"/>
          <w:bCs w:val="0"/>
          <w:sz w:val="22"/>
          <w:szCs w:val="22"/>
        </w:rPr>
      </w:pPr>
      <w:r w:rsidRPr="00A700E7">
        <w:rPr>
          <w:b w:val="0"/>
          <w:bCs w:val="0"/>
          <w:sz w:val="22"/>
          <w:szCs w:val="22"/>
        </w:rPr>
        <w:t>Cytochrome P450 Inhibitors</w:t>
      </w:r>
    </w:p>
    <w:p w14:paraId="6FD7653B" w14:textId="77777777" w:rsidR="0048218A" w:rsidRPr="00A700E7" w:rsidRDefault="0048218A" w:rsidP="007A6B1F">
      <w:pPr>
        <w:jc w:val="left"/>
        <w:rPr>
          <w:i/>
          <w:iCs/>
          <w:lang w:val="en-AU"/>
        </w:rPr>
      </w:pPr>
      <w:r w:rsidRPr="00A700E7">
        <w:rPr>
          <w:i/>
          <w:iCs/>
          <w:lang w:val="en-AU"/>
        </w:rPr>
        <w:t>Azole Antifungals (e.g. ketoconazole)</w:t>
      </w:r>
    </w:p>
    <w:p w14:paraId="35537501" w14:textId="56E9C144" w:rsidR="0048218A" w:rsidRPr="00A700E7" w:rsidRDefault="0048218A" w:rsidP="007A6B1F">
      <w:pPr>
        <w:jc w:val="left"/>
      </w:pPr>
      <w:r w:rsidRPr="00A700E7">
        <w:t xml:space="preserve">Tadalafil is principally </w:t>
      </w:r>
      <w:proofErr w:type="spellStart"/>
      <w:r w:rsidR="00094FDB" w:rsidRPr="00A700E7">
        <w:t>metabolised</w:t>
      </w:r>
      <w:proofErr w:type="spellEnd"/>
      <w:r w:rsidR="00094FDB" w:rsidRPr="00A700E7">
        <w:t xml:space="preserve"> </w:t>
      </w:r>
      <w:r w:rsidRPr="00A700E7">
        <w:t xml:space="preserve">by CYP3A4. A selective inhibitor of CYP3A4, ketoconazole (400 mg daily), increased tadalafil (20 mg) single-dose exposure (AUC) by 312% and </w:t>
      </w:r>
      <w:proofErr w:type="spellStart"/>
      <w:r w:rsidRPr="00A700E7">
        <w:t>C</w:t>
      </w:r>
      <w:r w:rsidRPr="00A700E7">
        <w:rPr>
          <w:vertAlign w:val="subscript"/>
        </w:rPr>
        <w:t>max</w:t>
      </w:r>
      <w:proofErr w:type="spellEnd"/>
      <w:r w:rsidRPr="00A700E7">
        <w:rPr>
          <w:vertAlign w:val="subscript"/>
        </w:rPr>
        <w:t xml:space="preserve"> </w:t>
      </w:r>
      <w:r w:rsidRPr="00A700E7">
        <w:t xml:space="preserve">by 22%, and ketoconazole (200 mg daily) increased tadalafil (10 mg) single-dose exposure (AUC) by 107% and </w:t>
      </w:r>
      <w:proofErr w:type="spellStart"/>
      <w:r w:rsidRPr="00A700E7">
        <w:t>C</w:t>
      </w:r>
      <w:r w:rsidRPr="00A700E7">
        <w:rPr>
          <w:vertAlign w:val="subscript"/>
        </w:rPr>
        <w:t>max</w:t>
      </w:r>
      <w:proofErr w:type="spellEnd"/>
      <w:r w:rsidRPr="00A700E7">
        <w:t xml:space="preserve"> by 15% relative to the AUC and </w:t>
      </w:r>
      <w:proofErr w:type="spellStart"/>
      <w:r w:rsidRPr="00A700E7">
        <w:t>C</w:t>
      </w:r>
      <w:r w:rsidRPr="00A700E7">
        <w:rPr>
          <w:vertAlign w:val="subscript"/>
        </w:rPr>
        <w:t>max</w:t>
      </w:r>
      <w:proofErr w:type="spellEnd"/>
      <w:r w:rsidRPr="00A700E7">
        <w:t xml:space="preserve"> values.</w:t>
      </w:r>
    </w:p>
    <w:p w14:paraId="5DBC88D8" w14:textId="77777777" w:rsidR="0048218A" w:rsidRPr="00A700E7" w:rsidRDefault="0048218A" w:rsidP="007A6B1F">
      <w:pPr>
        <w:jc w:val="left"/>
        <w:rPr>
          <w:i/>
          <w:iCs/>
        </w:rPr>
      </w:pPr>
    </w:p>
    <w:p w14:paraId="24DAAC60" w14:textId="77777777" w:rsidR="0048218A" w:rsidRPr="00A700E7" w:rsidRDefault="0048218A" w:rsidP="007A6B1F">
      <w:pPr>
        <w:jc w:val="left"/>
        <w:rPr>
          <w:i/>
          <w:iCs/>
        </w:rPr>
      </w:pPr>
      <w:r w:rsidRPr="00A700E7">
        <w:rPr>
          <w:i/>
          <w:iCs/>
        </w:rPr>
        <w:t>Protease inhibitors (e.g. ritonavir)</w:t>
      </w:r>
    </w:p>
    <w:p w14:paraId="7413938C" w14:textId="1325B091" w:rsidR="0048218A" w:rsidRPr="00A700E7" w:rsidRDefault="0048218A" w:rsidP="007A6B1F">
      <w:pPr>
        <w:jc w:val="left"/>
      </w:pPr>
      <w:r w:rsidRPr="00A700E7">
        <w:t xml:space="preserve">Ritonavir (200 mg twice daily), which is an inhibitor of CYP3A4, CYP2C9, CYP2C19, and CYP2D6, increased tadalafil (20 mg) single-dose exposure (AUC) by 124% with no change in </w:t>
      </w:r>
      <w:proofErr w:type="spellStart"/>
      <w:r w:rsidRPr="00A700E7">
        <w:t>C</w:t>
      </w:r>
      <w:r w:rsidRPr="00A700E7">
        <w:rPr>
          <w:vertAlign w:val="subscript"/>
        </w:rPr>
        <w:t>max</w:t>
      </w:r>
      <w:proofErr w:type="spellEnd"/>
      <w:r w:rsidRPr="00A700E7">
        <w:t xml:space="preserve">. Ritonavir (500 mg or 600 mg twice daily) increased tadalafil (20 mg) single-dose exposure (AUC) by 32% and decreased </w:t>
      </w:r>
      <w:proofErr w:type="spellStart"/>
      <w:r w:rsidRPr="00A700E7">
        <w:t>C</w:t>
      </w:r>
      <w:r w:rsidRPr="00A700E7">
        <w:rPr>
          <w:vertAlign w:val="subscript"/>
        </w:rPr>
        <w:t>max</w:t>
      </w:r>
      <w:proofErr w:type="spellEnd"/>
      <w:r w:rsidRPr="00A700E7">
        <w:t xml:space="preserve"> by 30%.</w:t>
      </w:r>
      <w:r w:rsidR="00780B48" w:rsidRPr="00A700E7">
        <w:t xml:space="preserve"> Although specific interactions have not been studied, other HIV protease inhibitors such as saquinavir, and other CYP3A4 inhibitors, such as erythromycin, clarithromycin, itraconazole and grapefruit juice should be </w:t>
      </w:r>
      <w:r w:rsidR="0072136C" w:rsidRPr="00A700E7">
        <w:t xml:space="preserve">avoided </w:t>
      </w:r>
      <w:r w:rsidR="00780B48" w:rsidRPr="00A700E7">
        <w:t>because they would be expected to increase plasma concentrations of tadalafil.</w:t>
      </w:r>
    </w:p>
    <w:p w14:paraId="64A37261" w14:textId="77777777" w:rsidR="00D90C4B" w:rsidRPr="00A700E7" w:rsidRDefault="00D90C4B" w:rsidP="007A6B1F">
      <w:pPr>
        <w:jc w:val="left"/>
      </w:pPr>
    </w:p>
    <w:p w14:paraId="43CB85F0" w14:textId="77777777" w:rsidR="0048218A" w:rsidRPr="00A700E7" w:rsidRDefault="0048218A" w:rsidP="007A6B1F">
      <w:pPr>
        <w:jc w:val="left"/>
        <w:rPr>
          <w:i/>
          <w:iCs/>
        </w:rPr>
      </w:pPr>
      <w:r w:rsidRPr="00A700E7">
        <w:rPr>
          <w:i/>
          <w:iCs/>
        </w:rPr>
        <w:t>Cytochrome P450 Inducers</w:t>
      </w:r>
    </w:p>
    <w:p w14:paraId="71DE2A57" w14:textId="77777777" w:rsidR="0048218A" w:rsidRPr="00A700E7" w:rsidRDefault="0048218A" w:rsidP="007A6B1F">
      <w:pPr>
        <w:jc w:val="left"/>
        <w:rPr>
          <w:i/>
          <w:iCs/>
        </w:rPr>
      </w:pPr>
      <w:r w:rsidRPr="00A700E7">
        <w:rPr>
          <w:i/>
          <w:iCs/>
        </w:rPr>
        <w:t xml:space="preserve">Endothelin-1 receptor antagonists (e.g. </w:t>
      </w:r>
      <w:proofErr w:type="spellStart"/>
      <w:r w:rsidRPr="00A700E7">
        <w:rPr>
          <w:i/>
          <w:iCs/>
        </w:rPr>
        <w:t>bosentan</w:t>
      </w:r>
      <w:proofErr w:type="spellEnd"/>
      <w:r w:rsidRPr="00A700E7">
        <w:rPr>
          <w:i/>
          <w:iCs/>
        </w:rPr>
        <w:t>)</w:t>
      </w:r>
    </w:p>
    <w:p w14:paraId="730B49DB" w14:textId="40473AA1" w:rsidR="0048218A" w:rsidRPr="00A700E7" w:rsidRDefault="0048218A" w:rsidP="007A6B1F">
      <w:pPr>
        <w:spacing w:after="200" w:line="276" w:lineRule="auto"/>
        <w:jc w:val="left"/>
      </w:pPr>
      <w:proofErr w:type="spellStart"/>
      <w:r w:rsidRPr="00A700E7">
        <w:t>Bosentan</w:t>
      </w:r>
      <w:proofErr w:type="spellEnd"/>
      <w:r w:rsidRPr="00A700E7">
        <w:t xml:space="preserve"> (125 mg twice daily), a substrate of CYP2C9 and CYP3A4 and a moderate inducer of CYP3A4, CYP2C9 and possibly CYP2C19, reduced tadalafil (40 mg once per day) systemic exposure by 42% and </w:t>
      </w:r>
      <w:proofErr w:type="spellStart"/>
      <w:r w:rsidRPr="00A700E7">
        <w:t>C</w:t>
      </w:r>
      <w:r w:rsidRPr="00A700E7">
        <w:rPr>
          <w:vertAlign w:val="subscript"/>
        </w:rPr>
        <w:t>max</w:t>
      </w:r>
      <w:proofErr w:type="spellEnd"/>
      <w:r w:rsidRPr="00A700E7">
        <w:t xml:space="preserve"> by 27% following multiple dose co-administration. </w:t>
      </w:r>
    </w:p>
    <w:p w14:paraId="131D5950" w14:textId="07A11A91" w:rsidR="0048218A" w:rsidRPr="00A700E7" w:rsidRDefault="0048218A" w:rsidP="007A6B1F">
      <w:pPr>
        <w:jc w:val="left"/>
      </w:pPr>
      <w:r w:rsidRPr="00A700E7">
        <w:lastRenderedPageBreak/>
        <w:t xml:space="preserve">The efficacy of tadalafil in patients already on </w:t>
      </w:r>
      <w:proofErr w:type="spellStart"/>
      <w:r w:rsidRPr="00A700E7">
        <w:t>bosentan</w:t>
      </w:r>
      <w:proofErr w:type="spellEnd"/>
      <w:r w:rsidRPr="00A700E7">
        <w:t xml:space="preserve"> therapy has not been conclusively demonstrated. Tadalafil did not affect the exposure (AUC and </w:t>
      </w:r>
      <w:proofErr w:type="spellStart"/>
      <w:r w:rsidRPr="00A700E7">
        <w:t>C</w:t>
      </w:r>
      <w:r w:rsidRPr="00A700E7">
        <w:rPr>
          <w:vertAlign w:val="subscript"/>
        </w:rPr>
        <w:t>max</w:t>
      </w:r>
      <w:proofErr w:type="spellEnd"/>
      <w:r w:rsidRPr="00A700E7">
        <w:t xml:space="preserve">) of </w:t>
      </w:r>
      <w:proofErr w:type="spellStart"/>
      <w:r w:rsidRPr="00A700E7">
        <w:t>bosentan</w:t>
      </w:r>
      <w:proofErr w:type="spellEnd"/>
      <w:r w:rsidRPr="00A700E7">
        <w:t xml:space="preserve"> or its metabolites. </w:t>
      </w:r>
    </w:p>
    <w:p w14:paraId="67F80430" w14:textId="77777777" w:rsidR="0048218A" w:rsidRPr="00A700E7" w:rsidRDefault="0048218A" w:rsidP="007A6B1F">
      <w:pPr>
        <w:jc w:val="left"/>
      </w:pPr>
    </w:p>
    <w:p w14:paraId="30C59322" w14:textId="77777777" w:rsidR="0048218A" w:rsidRPr="00A700E7" w:rsidRDefault="0048218A" w:rsidP="007A6B1F">
      <w:pPr>
        <w:jc w:val="left"/>
        <w:rPr>
          <w:i/>
          <w:iCs/>
        </w:rPr>
      </w:pPr>
      <w:r w:rsidRPr="00A700E7">
        <w:rPr>
          <w:i/>
          <w:iCs/>
        </w:rPr>
        <w:t>Antimicrobial medicinal products (e.g. rifampicin)</w:t>
      </w:r>
    </w:p>
    <w:p w14:paraId="26AA5632" w14:textId="77777777" w:rsidR="0048218A" w:rsidRPr="00A700E7" w:rsidRDefault="0048218A" w:rsidP="007A6B1F">
      <w:pPr>
        <w:jc w:val="left"/>
      </w:pPr>
      <w:r w:rsidRPr="00A700E7">
        <w:t xml:space="preserve">A selective CYP3A4 inducer, rifampicin (600 mg daily), reduced tadalafil single-dose exposure (AUC) by 88% and </w:t>
      </w:r>
      <w:proofErr w:type="spellStart"/>
      <w:r w:rsidRPr="00A700E7">
        <w:t>C</w:t>
      </w:r>
      <w:r w:rsidRPr="00A700E7">
        <w:rPr>
          <w:vertAlign w:val="subscript"/>
        </w:rPr>
        <w:t>max</w:t>
      </w:r>
      <w:proofErr w:type="spellEnd"/>
      <w:r w:rsidRPr="00A700E7">
        <w:rPr>
          <w:vertAlign w:val="subscript"/>
        </w:rPr>
        <w:t xml:space="preserve"> </w:t>
      </w:r>
      <w:r w:rsidRPr="00A700E7">
        <w:t xml:space="preserve">by 46% relative to the AUC and </w:t>
      </w:r>
      <w:proofErr w:type="spellStart"/>
      <w:r w:rsidRPr="00A700E7">
        <w:t>C</w:t>
      </w:r>
      <w:r w:rsidRPr="00A700E7">
        <w:rPr>
          <w:vertAlign w:val="subscript"/>
        </w:rPr>
        <w:t>max</w:t>
      </w:r>
      <w:proofErr w:type="spellEnd"/>
      <w:r w:rsidRPr="00A700E7">
        <w:t xml:space="preserve"> values for tadalafil alone (10 mg). This reduced exposure can be anticipated to decrease the efficacy of once-a-day-dosed tadalafil; the magnitude of decreased efficacy is unknown. It can be expected that concomitant administration of other CYP3A4 inducers such as phenobarbitone, phenytoin and carbamazepine would also decrease plasma concentrations of tadalafil.</w:t>
      </w:r>
    </w:p>
    <w:p w14:paraId="6FB983A5" w14:textId="77777777" w:rsidR="0048218A" w:rsidRPr="00A700E7" w:rsidRDefault="0048218A" w:rsidP="007A6B1F">
      <w:pPr>
        <w:jc w:val="left"/>
      </w:pPr>
    </w:p>
    <w:p w14:paraId="3AFC35B8" w14:textId="77777777" w:rsidR="0048218A" w:rsidRPr="00A700E7" w:rsidRDefault="0048218A" w:rsidP="007A6B1F">
      <w:pPr>
        <w:jc w:val="left"/>
        <w:rPr>
          <w:i/>
          <w:iCs/>
        </w:rPr>
      </w:pPr>
      <w:r w:rsidRPr="00A700E7">
        <w:rPr>
          <w:i/>
          <w:iCs/>
        </w:rPr>
        <w:t>Cytochrome P450 Substrates</w:t>
      </w:r>
    </w:p>
    <w:p w14:paraId="78A5B985" w14:textId="77777777" w:rsidR="0048218A" w:rsidRPr="00A700E7" w:rsidRDefault="0048218A" w:rsidP="007A6B1F">
      <w:pPr>
        <w:jc w:val="left"/>
      </w:pPr>
      <w:r w:rsidRPr="00A700E7">
        <w:t>Studies with the CYP3A4 probe substrates midazolam with tadalafil 10 mg and lovastatin with tadalafil 20 mg showed little alteration in the kinetics suggesting that tadalafil is unlikely to have interactions with CYP3A4 substrates.</w:t>
      </w:r>
    </w:p>
    <w:p w14:paraId="08CB0FD1" w14:textId="77777777" w:rsidR="0048218A" w:rsidRPr="00A700E7" w:rsidRDefault="0048218A" w:rsidP="007A6B1F">
      <w:pPr>
        <w:jc w:val="left"/>
      </w:pPr>
    </w:p>
    <w:p w14:paraId="712A7900" w14:textId="77777777" w:rsidR="0048218A" w:rsidRPr="00A700E7" w:rsidRDefault="0048218A" w:rsidP="007A6B1F">
      <w:pPr>
        <w:jc w:val="left"/>
        <w:rPr>
          <w:i/>
          <w:iCs/>
          <w:lang w:val="pt-PT"/>
        </w:rPr>
      </w:pPr>
      <w:r w:rsidRPr="00A700E7">
        <w:rPr>
          <w:i/>
          <w:iCs/>
          <w:lang w:val="pt-PT"/>
        </w:rPr>
        <w:t>Antacids (magnesium hydroxide/aluminium hydroxide)</w:t>
      </w:r>
    </w:p>
    <w:p w14:paraId="0570D80F" w14:textId="77777777" w:rsidR="0048218A" w:rsidRPr="00A700E7" w:rsidRDefault="0048218A" w:rsidP="007A6B1F">
      <w:pPr>
        <w:jc w:val="left"/>
      </w:pPr>
      <w:r w:rsidRPr="00A700E7">
        <w:t>Simultaneous administration of an antacid (magnesium hydroxide/</w:t>
      </w:r>
      <w:proofErr w:type="spellStart"/>
      <w:r w:rsidRPr="00A700E7">
        <w:t>aluminium</w:t>
      </w:r>
      <w:proofErr w:type="spellEnd"/>
      <w:r w:rsidRPr="00A700E7">
        <w:t xml:space="preserve"> hydroxide) and tadalafil reduced the apparent rate of absorption of tadalafil without altering exposure (AUC) to tadalafil (10 mg).</w:t>
      </w:r>
    </w:p>
    <w:p w14:paraId="551D7005" w14:textId="77777777" w:rsidR="0048218A" w:rsidRPr="00A700E7" w:rsidRDefault="0048218A" w:rsidP="007A6B1F">
      <w:pPr>
        <w:jc w:val="left"/>
      </w:pPr>
    </w:p>
    <w:p w14:paraId="655F4EF9" w14:textId="77777777" w:rsidR="0048218A" w:rsidRPr="00A700E7" w:rsidRDefault="0048218A" w:rsidP="007A6B1F">
      <w:pPr>
        <w:jc w:val="left"/>
        <w:rPr>
          <w:i/>
          <w:iCs/>
        </w:rPr>
      </w:pPr>
      <w:r w:rsidRPr="00A700E7">
        <w:rPr>
          <w:i/>
          <w:iCs/>
        </w:rPr>
        <w:t>H2 antagonists</w:t>
      </w:r>
    </w:p>
    <w:p w14:paraId="14659A86" w14:textId="77777777" w:rsidR="0048218A" w:rsidRPr="00A700E7" w:rsidRDefault="0048218A" w:rsidP="007A6B1F">
      <w:pPr>
        <w:jc w:val="left"/>
      </w:pPr>
      <w:r w:rsidRPr="00A700E7">
        <w:t xml:space="preserve">An increase in gastric pH resulting from </w:t>
      </w:r>
      <w:proofErr w:type="gramStart"/>
      <w:r w:rsidRPr="00A700E7">
        <w:t>administration</w:t>
      </w:r>
      <w:proofErr w:type="gramEnd"/>
      <w:r w:rsidRPr="00A700E7">
        <w:t xml:space="preserve"> of nizatidine had no significant effect on tadalafil (10 mg) pharmacokinetics.</w:t>
      </w:r>
    </w:p>
    <w:p w14:paraId="18E5C805" w14:textId="77777777" w:rsidR="0048218A" w:rsidRPr="00A700E7" w:rsidRDefault="0048218A" w:rsidP="007A6B1F">
      <w:pPr>
        <w:jc w:val="left"/>
      </w:pPr>
    </w:p>
    <w:p w14:paraId="42372A47" w14:textId="77777777" w:rsidR="0048218A" w:rsidRPr="00A700E7" w:rsidRDefault="0048218A" w:rsidP="007A6B1F">
      <w:pPr>
        <w:pStyle w:val="Heading4"/>
        <w:jc w:val="left"/>
      </w:pPr>
      <w:r w:rsidRPr="00A700E7">
        <w:t>Effects of tadalafil on other medicinal products</w:t>
      </w:r>
    </w:p>
    <w:p w14:paraId="595DC40D" w14:textId="77777777" w:rsidR="0048218A" w:rsidRPr="00A700E7" w:rsidRDefault="0048218A" w:rsidP="007A6B1F">
      <w:pPr>
        <w:jc w:val="left"/>
        <w:rPr>
          <w:i/>
          <w:iCs/>
        </w:rPr>
      </w:pPr>
      <w:r w:rsidRPr="00A700E7">
        <w:rPr>
          <w:i/>
          <w:iCs/>
        </w:rPr>
        <w:t>Nitrates</w:t>
      </w:r>
    </w:p>
    <w:p w14:paraId="7D3713E4" w14:textId="4E9FCB05" w:rsidR="0048218A" w:rsidRPr="00A700E7" w:rsidRDefault="0048218A" w:rsidP="007A6B1F">
      <w:pPr>
        <w:jc w:val="left"/>
        <w:rPr>
          <w:caps/>
        </w:rPr>
      </w:pPr>
      <w:r w:rsidRPr="00A700E7">
        <w:t xml:space="preserve">In clinical pharmacology studies, tadalafil 10 mg was shown to potentiate the hypotensive effects of nitrates. Therefore, </w:t>
      </w:r>
      <w:proofErr w:type="gramStart"/>
      <w:r w:rsidRPr="00A700E7">
        <w:t>administration</w:t>
      </w:r>
      <w:proofErr w:type="gramEnd"/>
      <w:r w:rsidRPr="00A700E7">
        <w:t xml:space="preserve"> of tadalafil to patients who are using any form of organic nitrate is contraindicated. A placebo-controlled study was conducted to assess the degree of interaction between nitroglycerine and tadalafil. One hundred and fifty subjects received daily doses of tadalafil 20 mg for 7 days. On the 7th day, 0.4 mg sublingual nitroglycerine was given at various times following the daily dose of tadalafil. This interaction lasted for more than 24 hours and was no longer detectable when 48 hours had elapsed after the last tadalafil dose (see Section 4.3 </w:t>
      </w:r>
      <w:r w:rsidRPr="00A700E7">
        <w:rPr>
          <w:caps/>
        </w:rPr>
        <w:t>Contraindications).</w:t>
      </w:r>
    </w:p>
    <w:p w14:paraId="4503049E" w14:textId="77777777" w:rsidR="0048218A" w:rsidRPr="00A700E7" w:rsidRDefault="0048218A" w:rsidP="007A6B1F">
      <w:pPr>
        <w:jc w:val="left"/>
      </w:pPr>
    </w:p>
    <w:p w14:paraId="1FD505BB" w14:textId="77777777" w:rsidR="0048218A" w:rsidRPr="00A700E7" w:rsidRDefault="0048218A" w:rsidP="007A6B1F">
      <w:pPr>
        <w:jc w:val="left"/>
        <w:rPr>
          <w:i/>
          <w:iCs/>
        </w:rPr>
      </w:pPr>
      <w:r w:rsidRPr="00A700E7">
        <w:rPr>
          <w:i/>
          <w:iCs/>
        </w:rPr>
        <w:t>Recreational Drugs called “poppers” or “amyl”</w:t>
      </w:r>
    </w:p>
    <w:p w14:paraId="4A4992BA" w14:textId="77777777" w:rsidR="0048218A" w:rsidRPr="00A700E7" w:rsidRDefault="0048218A" w:rsidP="007A6B1F">
      <w:pPr>
        <w:jc w:val="left"/>
      </w:pPr>
      <w:r w:rsidRPr="00A700E7">
        <w:t>Due to the known interaction between tadalafil and nitrates or other nitric oxide donors on nitrogen monoxide/cGMP metabolism, patients must be expressly informed that they should never use recreational drugs called “poppers” or “amyl”, typically taken through inhalation. These drugs represent various alkyl nitrites including amyl nitrite, butyl nitrite and isobutyl nitrite.</w:t>
      </w:r>
    </w:p>
    <w:p w14:paraId="038EC177" w14:textId="77777777" w:rsidR="0048218A" w:rsidRPr="00A700E7" w:rsidRDefault="0048218A" w:rsidP="007A6B1F">
      <w:pPr>
        <w:jc w:val="left"/>
      </w:pPr>
    </w:p>
    <w:p w14:paraId="16A0A82F" w14:textId="77777777" w:rsidR="0048218A" w:rsidRPr="00A700E7" w:rsidRDefault="0048218A" w:rsidP="007A6B1F">
      <w:pPr>
        <w:jc w:val="left"/>
        <w:rPr>
          <w:i/>
          <w:iCs/>
        </w:rPr>
      </w:pPr>
      <w:r w:rsidRPr="00A700E7">
        <w:rPr>
          <w:i/>
          <w:iCs/>
        </w:rPr>
        <w:t>Anti-hypertensives</w:t>
      </w:r>
    </w:p>
    <w:p w14:paraId="2C60BE29" w14:textId="2413F826" w:rsidR="0048218A" w:rsidRPr="00A700E7" w:rsidRDefault="0048218A" w:rsidP="007A6B1F">
      <w:pPr>
        <w:jc w:val="left"/>
      </w:pPr>
      <w:r w:rsidRPr="00A700E7">
        <w:t xml:space="preserve">Tadalafil has systemic vasodilatory properties and may augment the blood pressure lowering effects of antihypertensive agents. Patients should be advised of this possibility. In a clinical pharmacology study measuring ambulatory blood pressure, when tadalafil (20 mg) was administered to 17 hypertensive patients treated with angiotensin II receptor blockers, </w:t>
      </w:r>
      <w:r w:rsidRPr="00A700E7">
        <w:lastRenderedPageBreak/>
        <w:t xml:space="preserve">ambulatory systolic blood pressure fell by 30 mmHg or more in 9 (53%) subjects on tadalafil treatment and in 5 (29%) subjects on placebo treatment, with a maximum fall of 57 mmHg following tadalafil compared to 37 mmHg following placebo. None of the decreases were associated with any hypotensive symptoms. Additionally, in patients taking multiple antihypertensive agents whose hypertension was not well controlled compared to subjects whose blood pressure was well controlled, greater reductions in blood pressure were observed. These reductions were not associated with hypotensive symptoms in </w:t>
      </w:r>
      <w:proofErr w:type="gramStart"/>
      <w:r w:rsidRPr="00A700E7">
        <w:t>the vast majority of</w:t>
      </w:r>
      <w:proofErr w:type="gramEnd"/>
      <w:r w:rsidRPr="00A700E7">
        <w:t xml:space="preserve"> patients. Appropriate clinical advice should be given to patients when they are treated with antihypertensive medications and </w:t>
      </w:r>
      <w:r w:rsidR="00700BED" w:rsidRPr="00A700E7">
        <w:t>tadalafil</w:t>
      </w:r>
      <w:r w:rsidRPr="00A700E7">
        <w:t>.</w:t>
      </w:r>
    </w:p>
    <w:p w14:paraId="166BEF62" w14:textId="77777777" w:rsidR="0048218A" w:rsidRPr="00A700E7" w:rsidRDefault="0048218A" w:rsidP="007A6B1F">
      <w:pPr>
        <w:jc w:val="left"/>
      </w:pPr>
    </w:p>
    <w:p w14:paraId="45CB36D4" w14:textId="2D23987B" w:rsidR="0048218A" w:rsidRPr="00A700E7" w:rsidRDefault="0048218A" w:rsidP="007A6B1F">
      <w:pPr>
        <w:jc w:val="left"/>
      </w:pPr>
      <w:r w:rsidRPr="00A700E7">
        <w:t xml:space="preserve">When initiating daily treatment with </w:t>
      </w:r>
      <w:r w:rsidR="00700BED" w:rsidRPr="00A700E7">
        <w:t>tadalafil</w:t>
      </w:r>
      <w:r w:rsidRPr="00A700E7">
        <w:t>, appropriate clinical considerations should be given to a possible dose adjustment of the antihypertensive therapy.</w:t>
      </w:r>
    </w:p>
    <w:p w14:paraId="20032DA5" w14:textId="77777777" w:rsidR="0048218A" w:rsidRPr="00A700E7" w:rsidRDefault="0048218A" w:rsidP="007A6B1F">
      <w:pPr>
        <w:jc w:val="left"/>
      </w:pPr>
    </w:p>
    <w:p w14:paraId="34FAE97C" w14:textId="77777777" w:rsidR="0048218A" w:rsidRPr="00A700E7" w:rsidRDefault="0048218A" w:rsidP="007A6B1F">
      <w:pPr>
        <w:jc w:val="left"/>
      </w:pPr>
      <w:r w:rsidRPr="00A700E7">
        <w:t>In other clinical pharmacology studies, tadalafil 10 mg was added to angiotensin converting enzyme (ACE) inhibitors (enalapril), beta blockers (metoprolol) or thiazide diuretics (</w:t>
      </w:r>
      <w:proofErr w:type="spellStart"/>
      <w:r w:rsidRPr="00A700E7">
        <w:t>bendrofluazide</w:t>
      </w:r>
      <w:proofErr w:type="spellEnd"/>
      <w:r w:rsidRPr="00A700E7">
        <w:t>). Tadalafil 10 mg and 20 mg was added to calcium channel blockers (amlodipine) or alpha-blockers (tamsulosin). In all these studies, tadalafil did not produce a significant additional reduction in mean systolic or diastolic blood pressure. However, potentially significant blood pressure reductions occurred in some individuals. Analysis of phase 3 clinical trial data showed no difference in the overall incidence of adverse events in patients taking tadalafil with or without hypertensive medications.</w:t>
      </w:r>
    </w:p>
    <w:p w14:paraId="18DC0C05" w14:textId="77777777" w:rsidR="0048218A" w:rsidRPr="00A700E7" w:rsidRDefault="0048218A" w:rsidP="007A6B1F">
      <w:pPr>
        <w:jc w:val="left"/>
      </w:pPr>
    </w:p>
    <w:p w14:paraId="4CC5EAB7" w14:textId="77777777" w:rsidR="0048218A" w:rsidRPr="00A700E7" w:rsidRDefault="0048218A" w:rsidP="007A6B1F">
      <w:pPr>
        <w:jc w:val="left"/>
      </w:pPr>
      <w:r w:rsidRPr="00A700E7">
        <w:t>In two clinical pharmacology studies, no significant decreases in blood pressure were observed when tadalafil was co-administered to healthy subjects taking the selective alpha[1A]-adrenergic blocker, tamsulosin.</w:t>
      </w:r>
    </w:p>
    <w:p w14:paraId="5FCA5295" w14:textId="77777777" w:rsidR="0048218A" w:rsidRPr="00A700E7" w:rsidRDefault="0048218A" w:rsidP="007A6B1F">
      <w:pPr>
        <w:jc w:val="left"/>
      </w:pPr>
    </w:p>
    <w:p w14:paraId="6FCF11BE" w14:textId="414CA79C" w:rsidR="0048218A" w:rsidRPr="00A700E7" w:rsidRDefault="0048218A" w:rsidP="007A6B1F">
      <w:pPr>
        <w:jc w:val="left"/>
      </w:pPr>
      <w:r w:rsidRPr="00A700E7">
        <w:t xml:space="preserve">In three clinical pharmacology studies when tadalafil was co-administered to healthy subjects taking doxazosin (4-8 mg daily), an </w:t>
      </w:r>
      <w:proofErr w:type="gramStart"/>
      <w:r w:rsidRPr="00A700E7">
        <w:t>alpha[</w:t>
      </w:r>
      <w:proofErr w:type="gramEnd"/>
      <w:r w:rsidRPr="00A700E7">
        <w:t xml:space="preserve">1]-adrenergic blocker, there was an augmentation of the blood-pressure-lowering effect of doxazosin. The number of patients with potentially clinically significant standing-blood-pressure decreases was greater for the combination. In these clinical pharmacology </w:t>
      </w:r>
      <w:proofErr w:type="gramStart"/>
      <w:r w:rsidRPr="00A700E7">
        <w:t>studies</w:t>
      </w:r>
      <w:proofErr w:type="gramEnd"/>
      <w:r w:rsidRPr="00A700E7">
        <w:t xml:space="preserve"> there were symptoms associated with the decrease in blood pressure including syncope.</w:t>
      </w:r>
      <w:r w:rsidR="008F533D" w:rsidRPr="00A700E7">
        <w:t xml:space="preserve"> </w:t>
      </w:r>
    </w:p>
    <w:p w14:paraId="75E88A46" w14:textId="77777777" w:rsidR="0048218A" w:rsidRPr="00A700E7" w:rsidRDefault="0048218A" w:rsidP="007A6B1F">
      <w:pPr>
        <w:jc w:val="left"/>
      </w:pPr>
    </w:p>
    <w:p w14:paraId="750DA121" w14:textId="77777777" w:rsidR="0048218A" w:rsidRPr="00A700E7" w:rsidRDefault="0048218A" w:rsidP="007A6B1F">
      <w:pPr>
        <w:jc w:val="left"/>
      </w:pPr>
      <w:r w:rsidRPr="00A700E7">
        <w:t>Caution is advised when PDE5 inhibitors are co-administered with nonselective alpha (α1)-blockers. PDE5 inhibitors, including tadalafil, and alpha-adrenergic blocking agents are both vasodilators with blood-pressure-lowering effects. When vasodilators are used in combination, an additive effect on blood pressure may be anticipated. In some patients, concomitant use of these two drug classes can lower blood pressure significantly, which may lead to symptomatic hypotension (e.g., fainting). Consideration should be given to the following:</w:t>
      </w:r>
    </w:p>
    <w:p w14:paraId="26EB5904" w14:textId="77777777" w:rsidR="0048218A" w:rsidRPr="00A700E7" w:rsidRDefault="0048218A" w:rsidP="007A6B1F">
      <w:pPr>
        <w:jc w:val="left"/>
      </w:pPr>
    </w:p>
    <w:p w14:paraId="2DC2A2D4" w14:textId="77777777" w:rsidR="0048218A" w:rsidRPr="00A700E7" w:rsidRDefault="0048218A" w:rsidP="007A6B1F">
      <w:pPr>
        <w:numPr>
          <w:ilvl w:val="0"/>
          <w:numId w:val="27"/>
        </w:numPr>
        <w:spacing w:after="200" w:line="276" w:lineRule="auto"/>
        <w:contextualSpacing/>
        <w:jc w:val="left"/>
      </w:pPr>
      <w:r w:rsidRPr="00A700E7">
        <w:t xml:space="preserve">Patients should be stable on alpha-blocker therapy prior to initiating a PDE5 inhibitor. Patients who demonstrate </w:t>
      </w:r>
      <w:proofErr w:type="spellStart"/>
      <w:r w:rsidRPr="00A700E7">
        <w:t>haemodynamic</w:t>
      </w:r>
      <w:proofErr w:type="spellEnd"/>
      <w:r w:rsidRPr="00A700E7">
        <w:t xml:space="preserve"> instability on alpha-blocker therapy alone are at increased risk of symptomatic hypotension with concomitant use of PDE5 inhibitors.</w:t>
      </w:r>
    </w:p>
    <w:p w14:paraId="1EED7795" w14:textId="77777777" w:rsidR="0048218A" w:rsidRPr="00A700E7" w:rsidRDefault="0048218A" w:rsidP="007A6B1F">
      <w:pPr>
        <w:numPr>
          <w:ilvl w:val="0"/>
          <w:numId w:val="27"/>
        </w:numPr>
        <w:spacing w:after="200" w:line="276" w:lineRule="auto"/>
        <w:contextualSpacing/>
        <w:jc w:val="left"/>
        <w:rPr>
          <w:lang w:val="en-AU"/>
        </w:rPr>
      </w:pPr>
      <w:r w:rsidRPr="00A700E7">
        <w:t xml:space="preserve">In those patients who are stable on alpha-blocker therapy, PDE5 inhibitors should be initiated at the lowest recommended dose. </w:t>
      </w:r>
    </w:p>
    <w:p w14:paraId="17115D6F" w14:textId="2F82FFD7" w:rsidR="0048218A" w:rsidRPr="00A700E7" w:rsidRDefault="0048218A" w:rsidP="007A6B1F">
      <w:pPr>
        <w:numPr>
          <w:ilvl w:val="0"/>
          <w:numId w:val="27"/>
        </w:numPr>
        <w:spacing w:after="200" w:line="276" w:lineRule="auto"/>
        <w:contextualSpacing/>
        <w:jc w:val="left"/>
        <w:rPr>
          <w:lang w:val="en-AU"/>
        </w:rPr>
      </w:pPr>
      <w:r w:rsidRPr="00A700E7">
        <w:rPr>
          <w:lang w:val="en-AU"/>
        </w:rPr>
        <w:t xml:space="preserve">In those patients already taking an </w:t>
      </w:r>
      <w:r w:rsidR="00094FDB" w:rsidRPr="00A700E7">
        <w:rPr>
          <w:lang w:val="en-AU"/>
        </w:rPr>
        <w:t xml:space="preserve">optimised </w:t>
      </w:r>
      <w:r w:rsidRPr="00A700E7">
        <w:rPr>
          <w:lang w:val="en-AU"/>
        </w:rPr>
        <w:t xml:space="preserve">dose of PDE5 inhibitor, alpha-blocker therapy should be initiated at the lowest dose. Stepwise increase in alpha-blocker </w:t>
      </w:r>
      <w:r w:rsidRPr="00A700E7">
        <w:rPr>
          <w:lang w:val="en-AU"/>
        </w:rPr>
        <w:lastRenderedPageBreak/>
        <w:t xml:space="preserve">dose may be associated with further lowering of blood pressure when taking a PDE5 inhibitor. </w:t>
      </w:r>
    </w:p>
    <w:p w14:paraId="103A17AF" w14:textId="55F6AF46" w:rsidR="0048218A" w:rsidRPr="00A700E7" w:rsidRDefault="0048218A" w:rsidP="007A6B1F">
      <w:pPr>
        <w:numPr>
          <w:ilvl w:val="0"/>
          <w:numId w:val="27"/>
        </w:numPr>
        <w:spacing w:after="200" w:line="276" w:lineRule="auto"/>
        <w:contextualSpacing/>
        <w:jc w:val="left"/>
        <w:rPr>
          <w:lang w:val="en-AU"/>
        </w:rPr>
      </w:pPr>
      <w:r w:rsidRPr="00A700E7">
        <w:rPr>
          <w:lang w:val="en-AU"/>
        </w:rPr>
        <w:t xml:space="preserve">Safety of combined use of PDE5 inhibitors and alpha-blockers may be affected by other variables, including intravascular volume depletion and other anti-hypertensive drugs. </w:t>
      </w:r>
    </w:p>
    <w:p w14:paraId="73AEE28C" w14:textId="77777777" w:rsidR="006C56DF" w:rsidRPr="00A700E7" w:rsidRDefault="006C56DF" w:rsidP="007A6B1F">
      <w:pPr>
        <w:spacing w:after="200" w:line="276" w:lineRule="auto"/>
        <w:ind w:left="720"/>
        <w:contextualSpacing/>
        <w:jc w:val="left"/>
        <w:rPr>
          <w:lang w:val="en-AU"/>
        </w:rPr>
      </w:pPr>
    </w:p>
    <w:p w14:paraId="1FAB5C6F" w14:textId="77777777" w:rsidR="0048218A" w:rsidRPr="00A700E7" w:rsidRDefault="0048218A" w:rsidP="007A6B1F">
      <w:pPr>
        <w:jc w:val="left"/>
      </w:pPr>
      <w:r w:rsidRPr="00A700E7">
        <w:t>Human platelets contain the PDE5 enzyme system. Tadalafil, in limited studies, did not affect platelet function</w:t>
      </w:r>
      <w:r w:rsidRPr="00A700E7">
        <w:rPr>
          <w:i/>
          <w:iCs/>
        </w:rPr>
        <w:t xml:space="preserve"> in vivo</w:t>
      </w:r>
      <w:r w:rsidRPr="00A700E7">
        <w:t>. In in</w:t>
      </w:r>
      <w:r w:rsidRPr="00A700E7">
        <w:rPr>
          <w:i/>
          <w:iCs/>
        </w:rPr>
        <w:t xml:space="preserve"> vitro</w:t>
      </w:r>
      <w:r w:rsidRPr="00A700E7">
        <w:t xml:space="preserve"> studies tadalafil was shown to potentiate the antiaggregatory effect of sodium nitroprusside (a nitric oxide donor).</w:t>
      </w:r>
    </w:p>
    <w:p w14:paraId="0C05C939" w14:textId="77777777" w:rsidR="0048218A" w:rsidRPr="00A700E7" w:rsidRDefault="0048218A" w:rsidP="007A6B1F">
      <w:pPr>
        <w:jc w:val="left"/>
      </w:pPr>
    </w:p>
    <w:p w14:paraId="55053A57" w14:textId="77777777" w:rsidR="0048218A" w:rsidRPr="00A700E7" w:rsidRDefault="0048218A" w:rsidP="007A6B1F">
      <w:pPr>
        <w:jc w:val="left"/>
        <w:rPr>
          <w:i/>
          <w:iCs/>
        </w:rPr>
      </w:pPr>
      <w:proofErr w:type="spellStart"/>
      <w:r w:rsidRPr="00A700E7">
        <w:rPr>
          <w:i/>
          <w:iCs/>
        </w:rPr>
        <w:t>Riociguat</w:t>
      </w:r>
      <w:proofErr w:type="spellEnd"/>
    </w:p>
    <w:p w14:paraId="449C0302" w14:textId="77777777" w:rsidR="0048218A" w:rsidRPr="00A700E7" w:rsidRDefault="0048218A" w:rsidP="007A6B1F">
      <w:pPr>
        <w:jc w:val="left"/>
      </w:pPr>
      <w:r w:rsidRPr="00A700E7">
        <w:t xml:space="preserve">Preclinical studies showed an additive systemic blood pressure lowering effect when PDE5 inhibitors were combined with </w:t>
      </w:r>
      <w:proofErr w:type="spellStart"/>
      <w:r w:rsidRPr="00A700E7">
        <w:t>riociguat</w:t>
      </w:r>
      <w:proofErr w:type="spellEnd"/>
      <w:r w:rsidRPr="00A700E7">
        <w:t xml:space="preserve">. In clinical studies, </w:t>
      </w:r>
      <w:proofErr w:type="spellStart"/>
      <w:r w:rsidRPr="00A700E7">
        <w:t>riociguat</w:t>
      </w:r>
      <w:proofErr w:type="spellEnd"/>
      <w:r w:rsidRPr="00A700E7">
        <w:t xml:space="preserve"> has been shown to augment the hypotensive effects of PDE5 inhibitors. There was no evidence of </w:t>
      </w:r>
      <w:proofErr w:type="spellStart"/>
      <w:r w:rsidRPr="00A700E7">
        <w:t>favourable</w:t>
      </w:r>
      <w:proofErr w:type="spellEnd"/>
      <w:r w:rsidRPr="00A700E7">
        <w:t xml:space="preserve"> clinical effect of the combination in the population studied. Concomitant use of </w:t>
      </w:r>
      <w:proofErr w:type="spellStart"/>
      <w:r w:rsidRPr="00A700E7">
        <w:t>riociguat</w:t>
      </w:r>
      <w:proofErr w:type="spellEnd"/>
      <w:r w:rsidRPr="00A700E7">
        <w:t xml:space="preserve"> with PDE5 inhibitors, including tadalafil, is contraindicated as it may potentially lead to symptomatic hypotension (see Section 4.3 </w:t>
      </w:r>
      <w:r w:rsidRPr="00A700E7">
        <w:rPr>
          <w:caps/>
        </w:rPr>
        <w:t>Contraindications</w:t>
      </w:r>
      <w:r w:rsidRPr="00A700E7">
        <w:t>).</w:t>
      </w:r>
    </w:p>
    <w:p w14:paraId="302C30AE" w14:textId="77777777" w:rsidR="0048218A" w:rsidRPr="00A700E7" w:rsidRDefault="0048218A" w:rsidP="007A6B1F">
      <w:pPr>
        <w:jc w:val="left"/>
      </w:pPr>
    </w:p>
    <w:p w14:paraId="2A544B98" w14:textId="77777777" w:rsidR="0048218A" w:rsidRPr="00A700E7" w:rsidRDefault="0048218A" w:rsidP="007A6B1F">
      <w:pPr>
        <w:jc w:val="left"/>
        <w:rPr>
          <w:i/>
          <w:iCs/>
        </w:rPr>
      </w:pPr>
      <w:r w:rsidRPr="00A700E7">
        <w:rPr>
          <w:i/>
          <w:iCs/>
        </w:rPr>
        <w:t>Alcohol</w:t>
      </w:r>
    </w:p>
    <w:p w14:paraId="7EE4CB86" w14:textId="77777777" w:rsidR="0048218A" w:rsidRPr="00A700E7" w:rsidRDefault="0048218A" w:rsidP="007A6B1F">
      <w:pPr>
        <w:jc w:val="left"/>
      </w:pPr>
      <w:r w:rsidRPr="00A700E7">
        <w:t xml:space="preserve">Tadalafil did not affect alcohol concentrations, and alcohol did not affect tadalafil concentrations. At high doses of alcohol (0.7 g/kg), the addition of tadalafil 20 mg did not induce statistically significant mean blood pressure decreases. In some subjects, postural dizziness and orthostatic hypotension were observed. When tadalafil was administered with lower doses of alcohol (0.6 g/kg), hypotension was not </w:t>
      </w:r>
      <w:proofErr w:type="gramStart"/>
      <w:r w:rsidRPr="00A700E7">
        <w:t>observed</w:t>
      </w:r>
      <w:proofErr w:type="gramEnd"/>
      <w:r w:rsidRPr="00A700E7">
        <w:t xml:space="preserve"> and dizziness occurred with similar frequency to alcohol alone.</w:t>
      </w:r>
    </w:p>
    <w:p w14:paraId="2A60D48F" w14:textId="77777777" w:rsidR="0048218A" w:rsidRPr="00A700E7" w:rsidRDefault="0048218A" w:rsidP="007A6B1F">
      <w:pPr>
        <w:jc w:val="left"/>
      </w:pPr>
    </w:p>
    <w:p w14:paraId="5FC7359C" w14:textId="77777777" w:rsidR="0048218A" w:rsidRPr="00A700E7" w:rsidRDefault="0048218A" w:rsidP="007A6B1F">
      <w:pPr>
        <w:jc w:val="left"/>
        <w:rPr>
          <w:i/>
          <w:iCs/>
        </w:rPr>
      </w:pPr>
      <w:r w:rsidRPr="00A700E7">
        <w:rPr>
          <w:i/>
          <w:iCs/>
        </w:rPr>
        <w:t>CYP1A2 substrates (e.g. theophylline)</w:t>
      </w:r>
    </w:p>
    <w:p w14:paraId="78607C55" w14:textId="77777777" w:rsidR="0048218A" w:rsidRPr="00A700E7" w:rsidRDefault="0048218A" w:rsidP="007A6B1F">
      <w:pPr>
        <w:jc w:val="left"/>
      </w:pPr>
      <w:r w:rsidRPr="00A700E7">
        <w:t>Tadalafil (10 mg) had no clinically significant effect on the pharmacokinetics or pharmacodynamics of theophylline (CYP1A2 substrate). The only pharmacodynamic effect was a small (3.5 bpm) increase in heart rate.</w:t>
      </w:r>
    </w:p>
    <w:p w14:paraId="288EC0D7" w14:textId="77777777" w:rsidR="0048218A" w:rsidRPr="00A700E7" w:rsidRDefault="0048218A" w:rsidP="007A6B1F">
      <w:pPr>
        <w:jc w:val="left"/>
      </w:pPr>
    </w:p>
    <w:p w14:paraId="0788CA9B" w14:textId="77777777" w:rsidR="0048218A" w:rsidRPr="00A700E7" w:rsidRDefault="0048218A" w:rsidP="007A6B1F">
      <w:pPr>
        <w:jc w:val="left"/>
        <w:rPr>
          <w:i/>
          <w:iCs/>
        </w:rPr>
      </w:pPr>
      <w:r w:rsidRPr="00A700E7">
        <w:rPr>
          <w:i/>
          <w:iCs/>
        </w:rPr>
        <w:t>CYP2C9 substrates (e.g. R-warfarin)</w:t>
      </w:r>
    </w:p>
    <w:p w14:paraId="25D14F43" w14:textId="77777777" w:rsidR="0048218A" w:rsidRPr="00A700E7" w:rsidRDefault="0048218A" w:rsidP="007A6B1F">
      <w:pPr>
        <w:jc w:val="left"/>
      </w:pPr>
      <w:r w:rsidRPr="00A700E7">
        <w:t xml:space="preserve">In a crossover study, 12 healthy volunteers received a single dose of warfarin 25 mg after taking tadalafil 10 mg or placebo once daily for 6 days. Tadalafil reduced the exposure (AUC) to R- and S-warfarin by 11% and 13%, respectively but did not alter the effect of warfarin on prothrombin time (PT). The clinical implications of these findings are unclear. The possibility of an increase or decrease in PT and/or international </w:t>
      </w:r>
      <w:proofErr w:type="spellStart"/>
      <w:r w:rsidRPr="00A700E7">
        <w:t>normalised</w:t>
      </w:r>
      <w:proofErr w:type="spellEnd"/>
      <w:r w:rsidRPr="00A700E7">
        <w:t xml:space="preserve"> ratio (INR) should be considered when patients begin taking or cease taking tadalafil.</w:t>
      </w:r>
    </w:p>
    <w:p w14:paraId="69DA8498" w14:textId="77777777" w:rsidR="0048218A" w:rsidRPr="00A700E7" w:rsidRDefault="0048218A" w:rsidP="007A6B1F">
      <w:pPr>
        <w:jc w:val="left"/>
      </w:pPr>
    </w:p>
    <w:p w14:paraId="7F1DB174" w14:textId="77777777" w:rsidR="0048218A" w:rsidRPr="00A700E7" w:rsidRDefault="0048218A" w:rsidP="007A6B1F">
      <w:pPr>
        <w:jc w:val="left"/>
        <w:rPr>
          <w:i/>
          <w:iCs/>
        </w:rPr>
      </w:pPr>
      <w:r w:rsidRPr="00A700E7">
        <w:rPr>
          <w:i/>
          <w:iCs/>
        </w:rPr>
        <w:t>Aspirin (Acetylsalicylic acid)</w:t>
      </w:r>
    </w:p>
    <w:p w14:paraId="312DA11C" w14:textId="77777777" w:rsidR="0048218A" w:rsidRPr="00A700E7" w:rsidRDefault="0048218A" w:rsidP="007A6B1F">
      <w:pPr>
        <w:jc w:val="left"/>
      </w:pPr>
      <w:r w:rsidRPr="00A700E7">
        <w:t>When administered in combination with aspirin, tadalafil 20 mg did not prolong bleeding time, relative to aspirin alone. Tadalafil has not been administered to patients with bleeding disorders or significant active peptic ulceration. Although tadalafil has not been shown to increase bleeding times in healthy subjects, use in patients with bleeding disorders or significant active peptic ulceration should be based upon a careful risk-benefit assessment.</w:t>
      </w:r>
    </w:p>
    <w:p w14:paraId="3E8A6D4A" w14:textId="77777777" w:rsidR="0048218A" w:rsidRPr="00A700E7" w:rsidRDefault="0048218A" w:rsidP="007A6B1F">
      <w:pPr>
        <w:jc w:val="left"/>
        <w:rPr>
          <w:i/>
          <w:iCs/>
        </w:rPr>
      </w:pPr>
    </w:p>
    <w:p w14:paraId="5F8F799C" w14:textId="77777777" w:rsidR="0048218A" w:rsidRPr="00A700E7" w:rsidRDefault="0048218A" w:rsidP="007A6B1F">
      <w:pPr>
        <w:jc w:val="left"/>
        <w:rPr>
          <w:i/>
          <w:iCs/>
        </w:rPr>
      </w:pPr>
      <w:r w:rsidRPr="00A700E7">
        <w:rPr>
          <w:i/>
          <w:iCs/>
        </w:rPr>
        <w:t>P-glycoprotein substrates (e.g. digoxin)</w:t>
      </w:r>
    </w:p>
    <w:p w14:paraId="1E394BB0" w14:textId="77777777" w:rsidR="0048218A" w:rsidRPr="00A700E7" w:rsidRDefault="0048218A" w:rsidP="007A6B1F">
      <w:pPr>
        <w:jc w:val="left"/>
      </w:pPr>
      <w:r w:rsidRPr="00A700E7">
        <w:t>Tadalafil (40 mg once per day) had no clinically significant effect on the pharmacokinetics of digoxin.</w:t>
      </w:r>
    </w:p>
    <w:p w14:paraId="05AAAE8B" w14:textId="77777777" w:rsidR="00E77744" w:rsidRPr="00A700E7" w:rsidRDefault="00E77744" w:rsidP="007A6B1F">
      <w:pPr>
        <w:jc w:val="left"/>
      </w:pPr>
    </w:p>
    <w:p w14:paraId="41F7189E" w14:textId="77777777" w:rsidR="0048218A" w:rsidRPr="00A700E7" w:rsidRDefault="0048218A" w:rsidP="007A6B1F">
      <w:pPr>
        <w:jc w:val="left"/>
        <w:rPr>
          <w:i/>
          <w:iCs/>
        </w:rPr>
      </w:pPr>
      <w:r w:rsidRPr="00A700E7">
        <w:rPr>
          <w:i/>
          <w:iCs/>
        </w:rPr>
        <w:t>Oral contraceptive pill</w:t>
      </w:r>
    </w:p>
    <w:p w14:paraId="3F784D66" w14:textId="77777777" w:rsidR="0048218A" w:rsidRPr="00A700E7" w:rsidRDefault="0048218A" w:rsidP="007A6B1F">
      <w:pPr>
        <w:jc w:val="left"/>
      </w:pPr>
      <w:r w:rsidRPr="00A700E7">
        <w:t xml:space="preserve">At </w:t>
      </w:r>
      <w:proofErr w:type="gramStart"/>
      <w:r w:rsidRPr="00A700E7">
        <w:t>steady-state</w:t>
      </w:r>
      <w:proofErr w:type="gramEnd"/>
      <w:r w:rsidRPr="00A700E7">
        <w:t xml:space="preserve">, tadalafil (40 mg once per day) increased </w:t>
      </w:r>
      <w:proofErr w:type="spellStart"/>
      <w:r w:rsidRPr="00A700E7">
        <w:t>ethinylestradiol</w:t>
      </w:r>
      <w:proofErr w:type="spellEnd"/>
      <w:r w:rsidRPr="00A700E7">
        <w:t xml:space="preserve"> exposure (AUC) by 26% and </w:t>
      </w:r>
      <w:proofErr w:type="spellStart"/>
      <w:r w:rsidRPr="00A700E7">
        <w:t>C</w:t>
      </w:r>
      <w:r w:rsidRPr="00A700E7">
        <w:rPr>
          <w:vertAlign w:val="subscript"/>
        </w:rPr>
        <w:t>max</w:t>
      </w:r>
      <w:proofErr w:type="spellEnd"/>
      <w:r w:rsidRPr="00A700E7">
        <w:t xml:space="preserve"> by 70% relative to oral contraceptive administered with placebo. There was no statistically significant effect of tadalafil on levonorgestrel which suggests the effect of </w:t>
      </w:r>
      <w:proofErr w:type="spellStart"/>
      <w:r w:rsidRPr="00A700E7">
        <w:t>ethinylestradiol</w:t>
      </w:r>
      <w:proofErr w:type="spellEnd"/>
      <w:r w:rsidRPr="00A700E7">
        <w:t xml:space="preserve"> is due to inhibition of gut sulphation by tadalafil. The clinical relevance of this finding is uncertain.</w:t>
      </w:r>
    </w:p>
    <w:p w14:paraId="053E2065" w14:textId="77777777" w:rsidR="0048218A" w:rsidRPr="00A700E7" w:rsidRDefault="0048218A" w:rsidP="007A6B1F">
      <w:pPr>
        <w:jc w:val="left"/>
      </w:pPr>
    </w:p>
    <w:p w14:paraId="3B6D6A1B" w14:textId="77777777" w:rsidR="0048218A" w:rsidRPr="00A700E7" w:rsidRDefault="0048218A" w:rsidP="007A6B1F">
      <w:pPr>
        <w:jc w:val="left"/>
        <w:rPr>
          <w:i/>
          <w:iCs/>
        </w:rPr>
      </w:pPr>
      <w:r w:rsidRPr="00A700E7">
        <w:rPr>
          <w:i/>
          <w:iCs/>
        </w:rPr>
        <w:t>Terbutaline</w:t>
      </w:r>
    </w:p>
    <w:p w14:paraId="6F8C561D" w14:textId="77777777" w:rsidR="0048218A" w:rsidRPr="00A700E7" w:rsidRDefault="0048218A" w:rsidP="007A6B1F">
      <w:pPr>
        <w:jc w:val="left"/>
      </w:pPr>
      <w:r w:rsidRPr="00A700E7">
        <w:t xml:space="preserve">A similar increase in AUC and </w:t>
      </w:r>
      <w:proofErr w:type="spellStart"/>
      <w:r w:rsidRPr="00A700E7">
        <w:t>C</w:t>
      </w:r>
      <w:r w:rsidRPr="00A700E7">
        <w:rPr>
          <w:vertAlign w:val="subscript"/>
        </w:rPr>
        <w:t>max</w:t>
      </w:r>
      <w:proofErr w:type="spellEnd"/>
      <w:r w:rsidRPr="00A700E7">
        <w:t xml:space="preserve"> seen with </w:t>
      </w:r>
      <w:proofErr w:type="spellStart"/>
      <w:r w:rsidRPr="00A700E7">
        <w:t>ethinylestradiol</w:t>
      </w:r>
      <w:proofErr w:type="spellEnd"/>
      <w:r w:rsidRPr="00A700E7">
        <w:t xml:space="preserve"> may be expected with oral administration of terbutaline, probably due to inhibition of gut sulphation by tadalafil. The clinical relevance of this finding is uncertain.</w:t>
      </w:r>
    </w:p>
    <w:p w14:paraId="75D07B3C" w14:textId="77777777" w:rsidR="0048218A" w:rsidRPr="00A700E7" w:rsidRDefault="0048218A" w:rsidP="007A6B1F">
      <w:pPr>
        <w:jc w:val="left"/>
      </w:pPr>
    </w:p>
    <w:p w14:paraId="5A14B1CB" w14:textId="77777777" w:rsidR="0048218A" w:rsidRPr="00A700E7" w:rsidRDefault="0048218A" w:rsidP="007A6B1F">
      <w:pPr>
        <w:jc w:val="left"/>
        <w:rPr>
          <w:i/>
          <w:iCs/>
        </w:rPr>
      </w:pPr>
      <w:r w:rsidRPr="00A700E7">
        <w:rPr>
          <w:i/>
          <w:iCs/>
        </w:rPr>
        <w:t>Other PDE5 inhibitors</w:t>
      </w:r>
    </w:p>
    <w:p w14:paraId="66F5A278" w14:textId="684FD60D" w:rsidR="0048218A" w:rsidRPr="00A700E7" w:rsidRDefault="0048218A" w:rsidP="007A6B1F">
      <w:pPr>
        <w:jc w:val="left"/>
      </w:pPr>
      <w:r w:rsidRPr="00A700E7">
        <w:t xml:space="preserve">The safety and efficacy of combinations of </w:t>
      </w:r>
      <w:r w:rsidR="001D1197" w:rsidRPr="00A700E7">
        <w:t xml:space="preserve">tadalafil </w:t>
      </w:r>
      <w:r w:rsidRPr="00A700E7">
        <w:t>and other PDE5 inhibitors have not been studied. Therefore, the use of such combinations is not recommended.</w:t>
      </w:r>
    </w:p>
    <w:p w14:paraId="098BC192" w14:textId="77777777" w:rsidR="0048218A" w:rsidRPr="00A700E7" w:rsidRDefault="0048218A" w:rsidP="007A6B1F">
      <w:pPr>
        <w:jc w:val="left"/>
      </w:pPr>
    </w:p>
    <w:p w14:paraId="2977271F" w14:textId="77777777" w:rsidR="001A3992" w:rsidRPr="00A700E7" w:rsidRDefault="001A3992" w:rsidP="007A6B1F">
      <w:pPr>
        <w:pStyle w:val="Heading2"/>
        <w:jc w:val="left"/>
      </w:pPr>
      <w:r w:rsidRPr="00A700E7">
        <w:t xml:space="preserve">Fertility, pregnancy and lactation </w:t>
      </w:r>
    </w:p>
    <w:p w14:paraId="5B24920C" w14:textId="6D37440D" w:rsidR="001A3992" w:rsidRPr="00A700E7" w:rsidRDefault="001A3992" w:rsidP="007A6B1F">
      <w:pPr>
        <w:pStyle w:val="Heading3"/>
        <w:jc w:val="left"/>
      </w:pPr>
      <w:r w:rsidRPr="00A700E7">
        <w:t>Effects on fertility</w:t>
      </w:r>
    </w:p>
    <w:p w14:paraId="0D36C827" w14:textId="6D31AA7C" w:rsidR="0083760A" w:rsidRPr="00A700E7" w:rsidRDefault="0083760A" w:rsidP="007A6B1F">
      <w:pPr>
        <w:jc w:val="left"/>
      </w:pPr>
      <w:r w:rsidRPr="00A700E7">
        <w:t>The effect of OPSYNVI on human fertility has not been evaluated.</w:t>
      </w:r>
    </w:p>
    <w:p w14:paraId="256654B4" w14:textId="77777777" w:rsidR="00B96689" w:rsidRPr="00A700E7" w:rsidRDefault="00B96689" w:rsidP="007A6B1F">
      <w:pPr>
        <w:jc w:val="left"/>
      </w:pPr>
    </w:p>
    <w:p w14:paraId="33D89FD5" w14:textId="27509910" w:rsidR="0083760A" w:rsidRPr="00A700E7" w:rsidRDefault="0083760A" w:rsidP="007A6B1F">
      <w:pPr>
        <w:jc w:val="left"/>
      </w:pPr>
      <w:r w:rsidRPr="00A700E7">
        <w:t>As OPSYNVI contains macitentan and tadalafil, the fertility information associated with each component should be considered.</w:t>
      </w:r>
    </w:p>
    <w:p w14:paraId="245B0630" w14:textId="25E53379" w:rsidR="0083760A" w:rsidRPr="00A700E7" w:rsidRDefault="0083760A" w:rsidP="007A6B1F">
      <w:pPr>
        <w:pStyle w:val="Heading4"/>
        <w:jc w:val="left"/>
        <w:rPr>
          <w:noProof/>
        </w:rPr>
      </w:pPr>
      <w:r w:rsidRPr="00A700E7">
        <w:rPr>
          <w:noProof/>
        </w:rPr>
        <w:t>Macitentan</w:t>
      </w:r>
    </w:p>
    <w:p w14:paraId="2503C2A2" w14:textId="08544801" w:rsidR="000533C3" w:rsidRPr="00A700E7" w:rsidRDefault="00CE7FB8" w:rsidP="007A6B1F">
      <w:pPr>
        <w:jc w:val="left"/>
        <w:rPr>
          <w:noProof/>
        </w:rPr>
      </w:pPr>
      <w:r w:rsidRPr="00A700E7">
        <w:rPr>
          <w:noProof/>
        </w:rPr>
        <w:t>Male fertility</w:t>
      </w:r>
      <w:r w:rsidR="000533C3" w:rsidRPr="00A700E7">
        <w:rPr>
          <w:noProof/>
        </w:rPr>
        <w:t xml:space="preserve"> </w:t>
      </w:r>
    </w:p>
    <w:p w14:paraId="53AF05C0" w14:textId="76D06938" w:rsidR="00C53AA2" w:rsidRPr="00A700E7" w:rsidRDefault="00CE7FB8" w:rsidP="007A6B1F">
      <w:pPr>
        <w:jc w:val="left"/>
        <w:rPr>
          <w:sz w:val="17"/>
          <w:szCs w:val="17"/>
        </w:rPr>
      </w:pPr>
      <w:r w:rsidRPr="00A700E7">
        <w:t xml:space="preserve">Reversible testicular tubular dilatation was observed in chronic toxicity studies at exposures greater than 7- fold and 23 - fold the human exposure in rats and dogs, respectively. After 2 years of treatment, tubular atrophy was seen in rats at 4-fold the human exposure. Macitentan did not affect male or female fertility in rats at exposures ranging from approximately 18- to 44-fold the human exposure, respectively. In a 26-week study in male rats treated with macitentan, there was no effect on sperm count or motility but there was a dose-dependent increase in the incidence of morphologically abnormal sperm at or above 7-fold the human exposure. No testicular findings were noted in mice after </w:t>
      </w:r>
      <w:proofErr w:type="gramStart"/>
      <w:r w:rsidRPr="00A700E7">
        <w:t>treatment</w:t>
      </w:r>
      <w:proofErr w:type="gramEnd"/>
      <w:r w:rsidRPr="00A700E7">
        <w:t xml:space="preserve"> up to 2 years.</w:t>
      </w:r>
      <w:r w:rsidR="00F60341" w:rsidRPr="00A700E7">
        <w:rPr>
          <w:sz w:val="17"/>
          <w:szCs w:val="17"/>
        </w:rPr>
        <w:t xml:space="preserve"> </w:t>
      </w:r>
    </w:p>
    <w:p w14:paraId="34616F06" w14:textId="77777777" w:rsidR="00506D8A" w:rsidRPr="00A700E7" w:rsidRDefault="00506D8A" w:rsidP="007A6B1F">
      <w:pPr>
        <w:jc w:val="left"/>
        <w:rPr>
          <w:sz w:val="17"/>
          <w:szCs w:val="17"/>
        </w:rPr>
      </w:pPr>
    </w:p>
    <w:p w14:paraId="6452082E" w14:textId="15E08613" w:rsidR="00C53AA2" w:rsidRPr="00A700E7" w:rsidRDefault="00F60341" w:rsidP="007A6B1F">
      <w:pPr>
        <w:jc w:val="left"/>
      </w:pPr>
      <w:r w:rsidRPr="00A700E7">
        <w:t xml:space="preserve">Decreases in sperm count have been observed in patients taking ERAs. </w:t>
      </w:r>
      <w:r w:rsidR="0083760A" w:rsidRPr="00A700E7">
        <w:t>Macitentan</w:t>
      </w:r>
      <w:r w:rsidRPr="00A700E7">
        <w:t>, like other ERAs, may have an adverse effect on spermatogenesis.</w:t>
      </w:r>
    </w:p>
    <w:p w14:paraId="6485C9C6" w14:textId="06086363" w:rsidR="0083760A" w:rsidRPr="00A700E7" w:rsidRDefault="0083760A" w:rsidP="007A6B1F">
      <w:pPr>
        <w:pStyle w:val="Heading4"/>
        <w:jc w:val="left"/>
      </w:pPr>
      <w:r w:rsidRPr="00A700E7">
        <w:t>Tadalafil</w:t>
      </w:r>
    </w:p>
    <w:p w14:paraId="618437AE" w14:textId="622DC7C0" w:rsidR="0083760A" w:rsidRPr="00A700E7" w:rsidRDefault="0083760A" w:rsidP="007A6B1F">
      <w:pPr>
        <w:jc w:val="left"/>
      </w:pPr>
      <w:r w:rsidRPr="00A700E7">
        <w:t xml:space="preserve">There were no effects on fertility, reproductive performance or reproductive organ morphology in male or female rats given oral doses of tadalafil up to 400 mg/kg/day (a dose producing AUCs for unbound tadalafil of 7-fold for males or 18-fold for females the exposures at the recommended human dose of 40 mg). However, regression of the seminiferous tubular epithelium of the testes resulting in oligospermia or aspermia in the epididymides was observed in dogs treated for 3, 6 or 12 months with oral tadalafil doses </w:t>
      </w:r>
      <w:r w:rsidRPr="00A700E7">
        <w:rPr>
          <w:rFonts w:eastAsia="Arial"/>
        </w:rPr>
        <w:t xml:space="preserve">≥ </w:t>
      </w:r>
      <w:r w:rsidRPr="00A700E7">
        <w:t xml:space="preserve">10 mg/kg/day. AUC-based exposure approximately 0.3 to 3-fold the exposure at the recommended human dose of 40 mg). A no-effect level for these effects in dogs was not established. Similar findings were not observed in mice in a carcinogenicity study at AUC-based exposures </w:t>
      </w:r>
      <w:proofErr w:type="gramStart"/>
      <w:r w:rsidRPr="00A700E7">
        <w:t>similar to</w:t>
      </w:r>
      <w:proofErr w:type="gramEnd"/>
      <w:r w:rsidRPr="00A700E7">
        <w:t xml:space="preserve"> exposure at the recommended human dose of 40 mg. The </w:t>
      </w:r>
      <w:r w:rsidRPr="00A700E7">
        <w:lastRenderedPageBreak/>
        <w:t>potential relevance of the male reproductive-toxicity findings to humans treated chronically with tadalafil is unknown.</w:t>
      </w:r>
    </w:p>
    <w:p w14:paraId="4E887668" w14:textId="2021349F" w:rsidR="002C21C2" w:rsidRPr="00A700E7" w:rsidRDefault="001A3992" w:rsidP="007A6B1F">
      <w:pPr>
        <w:pStyle w:val="Heading3"/>
        <w:jc w:val="left"/>
        <w:rPr>
          <w:lang w:val="en"/>
        </w:rPr>
      </w:pPr>
      <w:r w:rsidRPr="00A700E7">
        <w:rPr>
          <w:rStyle w:val="Heading3Char"/>
          <w:b/>
        </w:rPr>
        <w:t xml:space="preserve">Use in pregnancy </w:t>
      </w:r>
      <w:r w:rsidR="002C21C2" w:rsidRPr="00A700E7">
        <w:rPr>
          <w:rStyle w:val="Heading3Char"/>
          <w:b/>
          <w:bCs/>
        </w:rPr>
        <w:t xml:space="preserve">- </w:t>
      </w:r>
      <w:r w:rsidR="00CE7FB8" w:rsidRPr="00A700E7">
        <w:rPr>
          <w:lang w:val="en"/>
        </w:rPr>
        <w:t>Category X</w:t>
      </w:r>
    </w:p>
    <w:p w14:paraId="140BE4B7" w14:textId="00AC3A9A" w:rsidR="002C21C2" w:rsidRPr="00A700E7" w:rsidRDefault="00BB0E81" w:rsidP="007A6B1F">
      <w:pPr>
        <w:jc w:val="left"/>
        <w:rPr>
          <w:highlight w:val="yellow"/>
          <w:lang w:val="en"/>
        </w:rPr>
      </w:pPr>
      <w:r w:rsidRPr="00A700E7">
        <w:rPr>
          <w:lang w:val="en"/>
        </w:rPr>
        <w:t xml:space="preserve">There </w:t>
      </w:r>
      <w:proofErr w:type="gramStart"/>
      <w:r w:rsidR="00A94790" w:rsidRPr="00A700E7">
        <w:rPr>
          <w:lang w:val="en"/>
        </w:rPr>
        <w:t>are</w:t>
      </w:r>
      <w:proofErr w:type="gramEnd"/>
      <w:r w:rsidR="00A94790" w:rsidRPr="00A700E7">
        <w:rPr>
          <w:lang w:val="en"/>
        </w:rPr>
        <w:t xml:space="preserve"> </w:t>
      </w:r>
      <w:r w:rsidRPr="00A700E7">
        <w:rPr>
          <w:lang w:val="en"/>
        </w:rPr>
        <w:t xml:space="preserve">no data on the use of OPSYNVI during pregnancy. </w:t>
      </w:r>
      <w:r w:rsidRPr="00A700E7">
        <w:rPr>
          <w:caps/>
          <w:lang w:val="en"/>
        </w:rPr>
        <w:t xml:space="preserve"> </w:t>
      </w:r>
      <w:r w:rsidR="002C21C2" w:rsidRPr="00A700E7">
        <w:rPr>
          <w:lang w:val="en"/>
        </w:rPr>
        <w:t xml:space="preserve">OPSYNVI is contraindicated during pregnancy </w:t>
      </w:r>
      <w:r w:rsidR="002C21C2" w:rsidRPr="00A700E7">
        <w:rPr>
          <w:noProof/>
        </w:rPr>
        <w:t>and in women of childbearing potential who are not using reliable contraception</w:t>
      </w:r>
      <w:r w:rsidR="002C21C2" w:rsidRPr="00A700E7">
        <w:rPr>
          <w:lang w:val="en"/>
        </w:rPr>
        <w:t xml:space="preserve"> due to teratogenicity identified in the animal studies with macitentan</w:t>
      </w:r>
      <w:r w:rsidR="002C21C2" w:rsidRPr="00A700E7">
        <w:rPr>
          <w:caps/>
          <w:lang w:val="en"/>
        </w:rPr>
        <w:t>.</w:t>
      </w:r>
      <w:r w:rsidRPr="00A700E7">
        <w:rPr>
          <w:caps/>
          <w:lang w:val="en"/>
        </w:rPr>
        <w:t xml:space="preserve"> </w:t>
      </w:r>
      <w:r w:rsidR="002C21C2" w:rsidRPr="00A700E7">
        <w:rPr>
          <w:lang w:val="en"/>
        </w:rPr>
        <w:t>As OPSYNVI contains macitentan and tadalafil, the pregnancy information associated with each component should be considered.</w:t>
      </w:r>
    </w:p>
    <w:p w14:paraId="1CA2E2FD" w14:textId="5F1EEDDF" w:rsidR="002C21C2" w:rsidRPr="00A700E7" w:rsidRDefault="002C21C2" w:rsidP="007A6B1F">
      <w:pPr>
        <w:pStyle w:val="Heading4"/>
        <w:jc w:val="left"/>
        <w:rPr>
          <w:noProof/>
        </w:rPr>
      </w:pPr>
      <w:r w:rsidRPr="00A700E7">
        <w:rPr>
          <w:noProof/>
        </w:rPr>
        <w:t>Macitentan</w:t>
      </w:r>
    </w:p>
    <w:p w14:paraId="1AAAA21C" w14:textId="6B8F8674" w:rsidR="00CE7FB8" w:rsidRPr="00A700E7" w:rsidRDefault="00CE7FB8" w:rsidP="007A6B1F">
      <w:pPr>
        <w:jc w:val="left"/>
      </w:pPr>
      <w:r w:rsidRPr="00A700E7">
        <w:t xml:space="preserve">Due to a high mortality risk to both mother and fetus, pregnancy is considered contraindicated in PAH. </w:t>
      </w:r>
    </w:p>
    <w:p w14:paraId="1FCF1BB7" w14:textId="77777777" w:rsidR="001D5103" w:rsidRPr="00A700E7" w:rsidRDefault="001D5103" w:rsidP="007A6B1F">
      <w:pPr>
        <w:jc w:val="left"/>
      </w:pPr>
    </w:p>
    <w:p w14:paraId="1F19D335" w14:textId="676701B0" w:rsidR="00CE7FB8" w:rsidRPr="00A700E7" w:rsidRDefault="00CE7FB8" w:rsidP="007A6B1F">
      <w:pPr>
        <w:jc w:val="left"/>
      </w:pPr>
      <w:r w:rsidRPr="00A700E7">
        <w:t xml:space="preserve">Teratogenicity is a class effect of endothelin receptor antagonists. </w:t>
      </w:r>
    </w:p>
    <w:p w14:paraId="75B89E57" w14:textId="77777777" w:rsidR="001D5103" w:rsidRPr="00A700E7" w:rsidRDefault="001D5103" w:rsidP="007A6B1F">
      <w:pPr>
        <w:jc w:val="left"/>
      </w:pPr>
    </w:p>
    <w:p w14:paraId="3CC85339" w14:textId="2F183B8E" w:rsidR="00CE7FB8" w:rsidRPr="00A700E7" w:rsidRDefault="00CE7FB8" w:rsidP="007A6B1F">
      <w:pPr>
        <w:jc w:val="left"/>
        <w:rPr>
          <w:noProof/>
        </w:rPr>
      </w:pPr>
      <w:r w:rsidRPr="00A700E7">
        <w:rPr>
          <w:noProof/>
        </w:rPr>
        <w:t xml:space="preserve">There are no data on the use of macitentan in pregnant women. </w:t>
      </w:r>
      <w:r w:rsidR="002C21C2" w:rsidRPr="00A700E7">
        <w:rPr>
          <w:noProof/>
        </w:rPr>
        <w:t>Macitentan</w:t>
      </w:r>
      <w:r w:rsidR="00DF5FD5" w:rsidRPr="00A700E7">
        <w:rPr>
          <w:noProof/>
        </w:rPr>
        <w:t xml:space="preserve"> </w:t>
      </w:r>
      <w:r w:rsidRPr="00A700E7">
        <w:rPr>
          <w:noProof/>
        </w:rPr>
        <w:t xml:space="preserve"> is contraindicated during pregnancy </w:t>
      </w:r>
      <w:bookmarkStart w:id="11" w:name="_Hlk137311538"/>
      <w:r w:rsidRPr="00A700E7">
        <w:rPr>
          <w:noProof/>
        </w:rPr>
        <w:t>and in women of child</w:t>
      </w:r>
      <w:r w:rsidR="003E5220" w:rsidRPr="00A700E7">
        <w:rPr>
          <w:noProof/>
        </w:rPr>
        <w:t>-</w:t>
      </w:r>
      <w:r w:rsidRPr="00A700E7">
        <w:rPr>
          <w:noProof/>
        </w:rPr>
        <w:t>bearing potential who are not using reliable contraception</w:t>
      </w:r>
      <w:bookmarkEnd w:id="11"/>
      <w:r w:rsidRPr="00A700E7">
        <w:rPr>
          <w:noProof/>
        </w:rPr>
        <w:t xml:space="preserve">. If </w:t>
      </w:r>
      <w:r w:rsidR="002C21C2" w:rsidRPr="00A700E7">
        <w:rPr>
          <w:noProof/>
        </w:rPr>
        <w:t>macitentan</w:t>
      </w:r>
      <w:r w:rsidR="00DF5FD5" w:rsidRPr="00A700E7">
        <w:rPr>
          <w:noProof/>
        </w:rPr>
        <w:t xml:space="preserve"> </w:t>
      </w:r>
      <w:r w:rsidRPr="00A700E7">
        <w:rPr>
          <w:noProof/>
        </w:rPr>
        <w:t xml:space="preserve"> is used during pregnancy, or if the patient becomes pregnant while taking </w:t>
      </w:r>
      <w:r w:rsidR="002C21C2" w:rsidRPr="00A700E7">
        <w:rPr>
          <w:noProof/>
        </w:rPr>
        <w:t>macitentan</w:t>
      </w:r>
      <w:r w:rsidRPr="00A700E7">
        <w:rPr>
          <w:noProof/>
        </w:rPr>
        <w:t xml:space="preserve">, advise the patient of the potential harm to the fetus. </w:t>
      </w:r>
    </w:p>
    <w:p w14:paraId="6E54A126" w14:textId="77777777" w:rsidR="001D5103" w:rsidRPr="00A700E7" w:rsidRDefault="001D5103" w:rsidP="007A6B1F">
      <w:pPr>
        <w:jc w:val="left"/>
        <w:rPr>
          <w:noProof/>
        </w:rPr>
      </w:pPr>
    </w:p>
    <w:p w14:paraId="6C2D89AC" w14:textId="4A25C473" w:rsidR="00CE7FB8" w:rsidRPr="00A700E7" w:rsidRDefault="00CE7FB8" w:rsidP="007A6B1F">
      <w:pPr>
        <w:jc w:val="left"/>
        <w:rPr>
          <w:noProof/>
        </w:rPr>
      </w:pPr>
      <w:r w:rsidRPr="00A700E7">
        <w:rPr>
          <w:noProof/>
        </w:rPr>
        <w:t xml:space="preserve">Macitentan was teratogenic in rabbits and rats at all doses tested. In both rabbits and rats, there were cardiovascular and mandibular arch fusion abnormalities. A no effect level for teratogenicity has not been established. Administration of macitentan to female rats from late pregnancy through lactation caused reduced pup survival and impairment of the male fertility of the offspring at all dose levels tested. </w:t>
      </w:r>
    </w:p>
    <w:p w14:paraId="41DB8073" w14:textId="77777777" w:rsidR="00BB0E81" w:rsidRPr="00A700E7" w:rsidRDefault="00BB0E81" w:rsidP="007A6B1F">
      <w:pPr>
        <w:pStyle w:val="Heading4"/>
        <w:jc w:val="left"/>
      </w:pPr>
      <w:r w:rsidRPr="00A700E7">
        <w:t>Tadalafil</w:t>
      </w:r>
    </w:p>
    <w:p w14:paraId="25EE4BB7" w14:textId="135EBE5F" w:rsidR="00BB0E81" w:rsidRPr="00A700E7" w:rsidRDefault="00BB0E81" w:rsidP="007A6B1F">
      <w:pPr>
        <w:jc w:val="left"/>
        <w:rPr>
          <w:noProof/>
        </w:rPr>
      </w:pPr>
      <w:r w:rsidRPr="00A700E7">
        <w:rPr>
          <w:noProof/>
        </w:rPr>
        <w:t xml:space="preserve">Studies in rats have shown that tadalafil and/or its metabolites cross the placenta and distribute to the fetus. No evidence of embryofetal toxicity or teratogenicity was observed in pregnant rats or mice given oral doses of tadalafil up to 1000 mg/kg/day. These doses were associated with systemic exposure to tadalafil ca 7-8-fold that expected at the recommended dose of 40 mg taken once daily, based on AUC for unbound drug at steady state. Increased postnatal pup mortality was observed in rats after oral treatment with tadalafil doses </w:t>
      </w:r>
      <w:r w:rsidR="00DB7199" w:rsidRPr="00A700E7">
        <w:rPr>
          <w:rFonts w:eastAsia="Arial"/>
          <w:noProof/>
        </w:rPr>
        <w:t>≥</w:t>
      </w:r>
      <w:r w:rsidRPr="00A700E7">
        <w:rPr>
          <w:noProof/>
        </w:rPr>
        <w:t xml:space="preserve">60 mg/kg/day during gestation and lactation. The no-effect dose of 30 mg/kg/day was associated with systemic exposure ca 5-fold that expected in humans at the recommended dose of 40 mg tadalafil taken once daily, based on AUC for unbound drug at steady state. There are no studies of tadalafil in pregnant women. </w:t>
      </w:r>
    </w:p>
    <w:p w14:paraId="2A076EC4" w14:textId="02F8FD70" w:rsidR="000533C3" w:rsidRPr="00A700E7" w:rsidRDefault="00CE7FB8" w:rsidP="007A6B1F">
      <w:pPr>
        <w:pStyle w:val="Heading3"/>
        <w:jc w:val="left"/>
      </w:pPr>
      <w:r w:rsidRPr="00A700E7">
        <w:t>Use in women of child-bearing potential</w:t>
      </w:r>
      <w:r w:rsidR="000533C3" w:rsidRPr="00A700E7">
        <w:t xml:space="preserve"> </w:t>
      </w:r>
    </w:p>
    <w:p w14:paraId="7A31229A" w14:textId="3FB729D6" w:rsidR="00CE7FB8" w:rsidRPr="00A700E7" w:rsidRDefault="00CE7FB8" w:rsidP="007A6B1F">
      <w:pPr>
        <w:jc w:val="left"/>
      </w:pPr>
      <w:r w:rsidRPr="00A700E7">
        <w:t>In females of child</w:t>
      </w:r>
      <w:r w:rsidR="006A067C" w:rsidRPr="00A700E7">
        <w:t>-</w:t>
      </w:r>
      <w:r w:rsidRPr="00A700E7">
        <w:t xml:space="preserve">bearing potential, pregnancy should be excluded before the start of treatment with </w:t>
      </w:r>
      <w:r w:rsidR="008F2F9C" w:rsidRPr="00A700E7">
        <w:t>OPSYNVI</w:t>
      </w:r>
      <w:r w:rsidRPr="00A700E7">
        <w:t xml:space="preserve"> and prevented thereafter </w:t>
      </w:r>
      <w:proofErr w:type="gramStart"/>
      <w:r w:rsidRPr="00A700E7">
        <w:t>by the use of</w:t>
      </w:r>
      <w:proofErr w:type="gramEnd"/>
      <w:r w:rsidRPr="00A700E7">
        <w:t xml:space="preserve"> two reliable methods of contraception. If necessary, patients should discuss with their doctor or </w:t>
      </w:r>
      <w:proofErr w:type="spellStart"/>
      <w:r w:rsidRPr="00A700E7">
        <w:t>gynaecologist</w:t>
      </w:r>
      <w:proofErr w:type="spellEnd"/>
      <w:r w:rsidRPr="00A700E7">
        <w:t xml:space="preserve"> which methods would be most suitable for them. </w:t>
      </w:r>
      <w:r w:rsidRPr="00A700E7">
        <w:rPr>
          <w:szCs w:val="24"/>
        </w:rPr>
        <w:t xml:space="preserve">Given the teratogenic nature of </w:t>
      </w:r>
      <w:r w:rsidR="006A067C" w:rsidRPr="00A700E7">
        <w:rPr>
          <w:szCs w:val="24"/>
        </w:rPr>
        <w:t>the drug</w:t>
      </w:r>
      <w:r w:rsidRPr="00A700E7">
        <w:rPr>
          <w:szCs w:val="24"/>
        </w:rPr>
        <w:t xml:space="preserve">, women should not become pregnant for 3 months after discontinuation of </w:t>
      </w:r>
      <w:r w:rsidR="00DF5FD5" w:rsidRPr="00A700E7">
        <w:rPr>
          <w:szCs w:val="24"/>
        </w:rPr>
        <w:t>OPSYNVI</w:t>
      </w:r>
      <w:r w:rsidRPr="00A700E7">
        <w:rPr>
          <w:szCs w:val="24"/>
        </w:rPr>
        <w:t xml:space="preserve">. </w:t>
      </w:r>
      <w:r w:rsidRPr="00A700E7">
        <w:rPr>
          <w:bCs/>
        </w:rPr>
        <w:t>M</w:t>
      </w:r>
      <w:r w:rsidRPr="00A700E7">
        <w:t xml:space="preserve">onthly pregnancy tests during treatment with </w:t>
      </w:r>
      <w:r w:rsidR="00DF5FD5" w:rsidRPr="00A700E7">
        <w:rPr>
          <w:szCs w:val="24"/>
        </w:rPr>
        <w:t xml:space="preserve">OPSYNVI </w:t>
      </w:r>
      <w:r w:rsidRPr="00A700E7">
        <w:t>are recommended to allow the early detection of pregnancy.</w:t>
      </w:r>
    </w:p>
    <w:p w14:paraId="011BEC95" w14:textId="51B31313" w:rsidR="001D5103" w:rsidRPr="00A700E7" w:rsidRDefault="001D5103" w:rsidP="007A6B1F">
      <w:pPr>
        <w:jc w:val="left"/>
      </w:pPr>
    </w:p>
    <w:p w14:paraId="4A096023" w14:textId="2A0DB96E" w:rsidR="00CE7FB8" w:rsidRPr="00A700E7" w:rsidRDefault="00CE7FB8" w:rsidP="007A6B1F">
      <w:pPr>
        <w:jc w:val="left"/>
      </w:pPr>
      <w:r w:rsidRPr="00A700E7">
        <w:t>It is not known whether macitentan is present in semen. It is therefore not known whether there is the potential for fetal harm (teratogenicity) resulting from transfer of macitentan via semen.</w:t>
      </w:r>
    </w:p>
    <w:p w14:paraId="64B9F1A9" w14:textId="2089E59F" w:rsidR="000533C3" w:rsidRPr="00A700E7" w:rsidRDefault="001A3992" w:rsidP="007A6B1F">
      <w:pPr>
        <w:pStyle w:val="Heading3"/>
        <w:jc w:val="left"/>
      </w:pPr>
      <w:r w:rsidRPr="00A700E7">
        <w:lastRenderedPageBreak/>
        <w:t xml:space="preserve">Use in lactation </w:t>
      </w:r>
    </w:p>
    <w:p w14:paraId="061C1118" w14:textId="38681CC5" w:rsidR="006A067C" w:rsidRPr="00A700E7" w:rsidRDefault="006A067C" w:rsidP="007A6B1F">
      <w:pPr>
        <w:jc w:val="left"/>
      </w:pPr>
      <w:r w:rsidRPr="00A700E7">
        <w:t>OPSYNVI should not be used during breast-feeding based on the macitentan and tadalafil individual component data.</w:t>
      </w:r>
    </w:p>
    <w:p w14:paraId="24B4EC8B" w14:textId="3642F00E" w:rsidR="006A067C" w:rsidRPr="00A700E7" w:rsidRDefault="006A067C" w:rsidP="007A6B1F">
      <w:pPr>
        <w:pStyle w:val="Heading4"/>
        <w:jc w:val="left"/>
        <w:rPr>
          <w:noProof/>
        </w:rPr>
      </w:pPr>
      <w:r w:rsidRPr="00A700E7">
        <w:rPr>
          <w:noProof/>
        </w:rPr>
        <w:t>Macitentan</w:t>
      </w:r>
    </w:p>
    <w:p w14:paraId="4C78BD28" w14:textId="5D051038" w:rsidR="00CE7FB8" w:rsidRPr="00A700E7" w:rsidRDefault="00CE7FB8" w:rsidP="007A6B1F">
      <w:pPr>
        <w:jc w:val="left"/>
        <w:rPr>
          <w:lang w:eastAsia="zh-CN"/>
        </w:rPr>
      </w:pPr>
      <w:r w:rsidRPr="00A700E7">
        <w:t xml:space="preserve">In rats, </w:t>
      </w:r>
      <w:r w:rsidR="006A067C" w:rsidRPr="00A700E7">
        <w:t>macitentan</w:t>
      </w:r>
      <w:r w:rsidR="003E5220" w:rsidRPr="00A700E7">
        <w:t xml:space="preserve"> </w:t>
      </w:r>
      <w:r w:rsidRPr="00A700E7">
        <w:t>and its metabolites were excreted into milk during lactation. Breast-feeding is not recommended during treatment with</w:t>
      </w:r>
      <w:r w:rsidR="006A067C" w:rsidRPr="00A700E7">
        <w:t xml:space="preserve"> macitentan</w:t>
      </w:r>
      <w:r w:rsidRPr="00A700E7">
        <w:t xml:space="preserve">. </w:t>
      </w:r>
      <w:proofErr w:type="gramStart"/>
      <w:r w:rsidRPr="00A700E7">
        <w:rPr>
          <w:lang w:eastAsia="zh-CN"/>
        </w:rPr>
        <w:t>A risk</w:t>
      </w:r>
      <w:proofErr w:type="gramEnd"/>
      <w:r w:rsidRPr="00A700E7">
        <w:rPr>
          <w:lang w:eastAsia="zh-CN"/>
        </w:rPr>
        <w:t xml:space="preserve"> to newborns/infants cannot be excluded. </w:t>
      </w:r>
    </w:p>
    <w:p w14:paraId="318AFE8C" w14:textId="6D8B5C62" w:rsidR="006A067C" w:rsidRPr="00A700E7" w:rsidRDefault="006A067C" w:rsidP="007A6B1F">
      <w:pPr>
        <w:pStyle w:val="Heading4"/>
        <w:jc w:val="left"/>
      </w:pPr>
      <w:r w:rsidRPr="00A700E7">
        <w:t>Tadalafil</w:t>
      </w:r>
    </w:p>
    <w:p w14:paraId="5CE9A3D0" w14:textId="274FD118" w:rsidR="006A067C" w:rsidRPr="00A700E7" w:rsidRDefault="006A067C" w:rsidP="007A6B1F">
      <w:pPr>
        <w:jc w:val="left"/>
      </w:pPr>
      <w:r w:rsidRPr="00A700E7">
        <w:t xml:space="preserve">Tadalafil and/or its metabolites are excreted in the milk of lactating rats at concentrations up to 2.4-fold higher than the maximal maternal plasma concentration. Increased postnatal pup mortality was observed in rats after treatment with oral tadalafil doses </w:t>
      </w:r>
      <w:r w:rsidRPr="00A700E7">
        <w:rPr>
          <w:rFonts w:eastAsia="Arial"/>
        </w:rPr>
        <w:t>≥</w:t>
      </w:r>
      <w:r w:rsidRPr="00A700E7">
        <w:t xml:space="preserve">60 mg/kg/day during gestation and lactation (see </w:t>
      </w:r>
      <w:r w:rsidR="00DB7199" w:rsidRPr="00A700E7">
        <w:t>S</w:t>
      </w:r>
      <w:r w:rsidRPr="00A700E7">
        <w:t xml:space="preserve">ection 4.6 </w:t>
      </w:r>
      <w:r w:rsidRPr="00A700E7">
        <w:rPr>
          <w:caps/>
        </w:rPr>
        <w:t>Fertility, pregnancy and lactation</w:t>
      </w:r>
      <w:r w:rsidR="00DB7199" w:rsidRPr="00A700E7">
        <w:t xml:space="preserve"> -</w:t>
      </w:r>
      <w:r w:rsidRPr="00A700E7">
        <w:t xml:space="preserve"> Use in pregnancy).</w:t>
      </w:r>
    </w:p>
    <w:p w14:paraId="3C154BB4" w14:textId="77777777" w:rsidR="001D5103" w:rsidRPr="00A700E7" w:rsidRDefault="001D5103" w:rsidP="007A6B1F">
      <w:pPr>
        <w:jc w:val="left"/>
      </w:pPr>
    </w:p>
    <w:p w14:paraId="44D43F67" w14:textId="7A4D5695" w:rsidR="006A067C" w:rsidRPr="00A700E7" w:rsidRDefault="006A067C" w:rsidP="007A6B1F">
      <w:pPr>
        <w:jc w:val="left"/>
      </w:pPr>
      <w:r w:rsidRPr="00A700E7">
        <w:t xml:space="preserve">There </w:t>
      </w:r>
      <w:proofErr w:type="gramStart"/>
      <w:r w:rsidRPr="00A700E7">
        <w:t>are</w:t>
      </w:r>
      <w:proofErr w:type="gramEnd"/>
      <w:r w:rsidRPr="00A700E7">
        <w:t xml:space="preserve"> no human data on the excretion of tadalafil into breast milk or on the safety of tadalafil exposure in infants</w:t>
      </w:r>
      <w:r w:rsidR="001109B8" w:rsidRPr="00A700E7">
        <w:t>.</w:t>
      </w:r>
    </w:p>
    <w:p w14:paraId="3BAFC650" w14:textId="77777777" w:rsidR="001D5103" w:rsidRPr="00A700E7" w:rsidRDefault="001D5103" w:rsidP="007A6B1F">
      <w:pPr>
        <w:jc w:val="left"/>
      </w:pPr>
    </w:p>
    <w:p w14:paraId="4EFD7C6D" w14:textId="77777777" w:rsidR="001A3992" w:rsidRPr="00A700E7" w:rsidRDefault="001A3992" w:rsidP="007A6B1F">
      <w:pPr>
        <w:pStyle w:val="Heading2"/>
        <w:jc w:val="left"/>
      </w:pPr>
      <w:r w:rsidRPr="00A700E7">
        <w:t xml:space="preserve">Effects on ability to drive and use machines </w:t>
      </w:r>
    </w:p>
    <w:p w14:paraId="773CB288" w14:textId="0B1F9FBA" w:rsidR="003A5619" w:rsidRPr="00A700E7" w:rsidRDefault="003A5619" w:rsidP="007A6B1F">
      <w:pPr>
        <w:jc w:val="left"/>
      </w:pPr>
      <w:r w:rsidRPr="00A700E7">
        <w:t xml:space="preserve">No studies on the effect of </w:t>
      </w:r>
      <w:r w:rsidRPr="00A700E7">
        <w:rPr>
          <w:caps/>
        </w:rPr>
        <w:t xml:space="preserve">OPSYNVI </w:t>
      </w:r>
      <w:r w:rsidRPr="00A700E7">
        <w:t xml:space="preserve">on the ability to drive and use machines have been performed. However, as </w:t>
      </w:r>
      <w:r w:rsidRPr="00A700E7">
        <w:rPr>
          <w:caps/>
        </w:rPr>
        <w:t>OPSYNVI</w:t>
      </w:r>
      <w:r w:rsidRPr="00A700E7">
        <w:t xml:space="preserve"> contains macitentan and tadalafil, the patient should be informed of the individual component data before driving vehicles or operating machinery.</w:t>
      </w:r>
    </w:p>
    <w:p w14:paraId="573F4F9A" w14:textId="77777777" w:rsidR="003E5220" w:rsidRPr="00A700E7" w:rsidRDefault="003E5220" w:rsidP="007A6B1F">
      <w:pPr>
        <w:jc w:val="left"/>
      </w:pPr>
    </w:p>
    <w:p w14:paraId="62FB2775" w14:textId="6157B9CF" w:rsidR="003A5619" w:rsidRPr="00A700E7" w:rsidRDefault="003A5619" w:rsidP="007A6B1F">
      <w:pPr>
        <w:jc w:val="left"/>
      </w:pPr>
      <w:r w:rsidRPr="00A700E7">
        <w:t>Although the frequency of reports of dizziness in placebo and tadalafil arms in clinical trials was similar, patients should be aware of how they react to tadalafil before driving or operating machinery.</w:t>
      </w:r>
    </w:p>
    <w:p w14:paraId="7D8036BA" w14:textId="77777777" w:rsidR="001D5103" w:rsidRPr="00A700E7" w:rsidRDefault="001D5103" w:rsidP="007A6B1F">
      <w:pPr>
        <w:jc w:val="left"/>
      </w:pPr>
    </w:p>
    <w:p w14:paraId="04FF2E2E" w14:textId="467E6C5C" w:rsidR="001D5103" w:rsidRPr="00A700E7" w:rsidRDefault="001A3992" w:rsidP="007A6B1F">
      <w:pPr>
        <w:pStyle w:val="Heading2"/>
        <w:jc w:val="left"/>
      </w:pPr>
      <w:r w:rsidRPr="00A700E7">
        <w:t>Adverse effects (Undesirable effects)</w:t>
      </w:r>
      <w:bookmarkStart w:id="12" w:name="_Hlk171346001"/>
    </w:p>
    <w:p w14:paraId="5E2420FF" w14:textId="4C9B5D8C" w:rsidR="003A5619" w:rsidRPr="00A700E7" w:rsidRDefault="003A5619" w:rsidP="007A6B1F">
      <w:pPr>
        <w:jc w:val="left"/>
      </w:pPr>
      <w:r w:rsidRPr="00A700E7">
        <w:t>The overall safety profile of OPSYNVI is based on the data from the pivotal study for OPSYNVI as well as the individual component safety data.</w:t>
      </w:r>
    </w:p>
    <w:p w14:paraId="7F609E98" w14:textId="77777777" w:rsidR="001D5103" w:rsidRPr="00A700E7" w:rsidRDefault="001D5103" w:rsidP="007A6B1F">
      <w:pPr>
        <w:jc w:val="left"/>
      </w:pPr>
    </w:p>
    <w:p w14:paraId="28D52607" w14:textId="2BF51E53" w:rsidR="00AA3595" w:rsidRPr="00A700E7" w:rsidRDefault="003A5619" w:rsidP="007A6B1F">
      <w:pPr>
        <w:jc w:val="left"/>
      </w:pPr>
      <w:r w:rsidRPr="00A700E7">
        <w:t xml:space="preserve">As OPSYNVI contains macitentan and tadalafil, the adverse reactions associated with each component may be expected. </w:t>
      </w:r>
      <w:bookmarkEnd w:id="12"/>
    </w:p>
    <w:p w14:paraId="7E6FC8BD" w14:textId="1420A82C" w:rsidR="003A5619" w:rsidRPr="00A700E7" w:rsidRDefault="003A5619" w:rsidP="007A6B1F">
      <w:pPr>
        <w:jc w:val="left"/>
      </w:pPr>
    </w:p>
    <w:p w14:paraId="21FFF7BC" w14:textId="5546F10C" w:rsidR="00C0302B" w:rsidRPr="00A700E7" w:rsidRDefault="00C0302B" w:rsidP="007A6B1F">
      <w:pPr>
        <w:pStyle w:val="Heading3"/>
        <w:jc w:val="left"/>
      </w:pPr>
      <w:r w:rsidRPr="00A700E7">
        <w:t>OPSYNVI</w:t>
      </w:r>
    </w:p>
    <w:p w14:paraId="73CFA6C2" w14:textId="77777777" w:rsidR="00C0302B" w:rsidRPr="00A700E7" w:rsidRDefault="00C0302B" w:rsidP="007A6B1F">
      <w:pPr>
        <w:pStyle w:val="Heading4"/>
        <w:jc w:val="left"/>
      </w:pPr>
      <w:bookmarkStart w:id="13" w:name="_Hlk171422723"/>
      <w:r w:rsidRPr="00A700E7">
        <w:t>Experience from A DUE clinical study [PAH]</w:t>
      </w:r>
    </w:p>
    <w:p w14:paraId="003D5AEA" w14:textId="40D389F9" w:rsidR="00C0302B" w:rsidRPr="00A700E7" w:rsidRDefault="00C0302B" w:rsidP="007A6B1F">
      <w:pPr>
        <w:jc w:val="left"/>
      </w:pPr>
      <w:r w:rsidRPr="00A700E7">
        <w:t xml:space="preserve">The overall safety profile of </w:t>
      </w:r>
      <w:r w:rsidR="00673D18" w:rsidRPr="00A700E7">
        <w:t>OPSYNVI</w:t>
      </w:r>
      <w:r w:rsidRPr="00A700E7">
        <w:t xml:space="preserve"> is based on data from a double-blind, active-controlled, Phase 3 clinical study (A DUE) and an open-label </w:t>
      </w:r>
      <w:r w:rsidR="000E21CE" w:rsidRPr="00A700E7">
        <w:t xml:space="preserve">(OL) </w:t>
      </w:r>
      <w:r w:rsidRPr="00A700E7">
        <w:t xml:space="preserve">extension study, in patients with PAH. In the double-blind </w:t>
      </w:r>
      <w:r w:rsidR="0019160D" w:rsidRPr="00A700E7">
        <w:t xml:space="preserve">(DB) </w:t>
      </w:r>
      <w:r w:rsidRPr="00A700E7">
        <w:t xml:space="preserve">portion of the study, a total of 107 patients were treated with </w:t>
      </w:r>
      <w:r w:rsidR="00673D18" w:rsidRPr="00A700E7">
        <w:t>OPSYNVI</w:t>
      </w:r>
      <w:r w:rsidRPr="00A700E7">
        <w:t xml:space="preserve"> 10 mg/40 mg, 35 patients were treated with 10 mg macitentan monotherapy, and 44 patients were treated with 40 mg tadalafil monotherapy. The duration of exposure to </w:t>
      </w:r>
      <w:r w:rsidR="00673D18" w:rsidRPr="00A700E7">
        <w:t>OPSYNVI</w:t>
      </w:r>
      <w:r w:rsidRPr="00A700E7">
        <w:t xml:space="preserve"> during the double-blind portion was 16 weeks. </w:t>
      </w:r>
      <w:bookmarkStart w:id="14" w:name="_Hlk171422743"/>
      <w:proofErr w:type="gramStart"/>
      <w:r w:rsidRPr="00A700E7">
        <w:t>One-hundred</w:t>
      </w:r>
      <w:proofErr w:type="gramEnd"/>
      <w:r w:rsidRPr="00A700E7">
        <w:t xml:space="preserve"> eighty-five patients received </w:t>
      </w:r>
      <w:r w:rsidR="00673D18" w:rsidRPr="00A700E7">
        <w:t>OPSYNVI</w:t>
      </w:r>
      <w:r w:rsidRPr="00A700E7">
        <w:t xml:space="preserve"> in the double-blind</w:t>
      </w:r>
      <w:r w:rsidR="00B518CA" w:rsidRPr="00A700E7">
        <w:t>/</w:t>
      </w:r>
      <w:r w:rsidRPr="00A700E7">
        <w:t>open-label</w:t>
      </w:r>
      <w:r w:rsidR="004B0C4E" w:rsidRPr="00A700E7">
        <w:t xml:space="preserve"> </w:t>
      </w:r>
      <w:r w:rsidR="00B518CA" w:rsidRPr="00A700E7">
        <w:t>combined period</w:t>
      </w:r>
      <w:r w:rsidRPr="00A700E7">
        <w:t xml:space="preserve">. The median exposure to </w:t>
      </w:r>
      <w:r w:rsidR="00673D18" w:rsidRPr="00A700E7">
        <w:t>OPSYNVI</w:t>
      </w:r>
      <w:r w:rsidRPr="00A700E7">
        <w:t xml:space="preserve"> during the combined double-blind/open-label </w:t>
      </w:r>
      <w:r w:rsidR="00B518CA" w:rsidRPr="00A700E7">
        <w:t xml:space="preserve">period </w:t>
      </w:r>
      <w:r w:rsidRPr="00A700E7">
        <w:t>was 59.9 weeks with a mean exposure of 63.2 weeks.</w:t>
      </w:r>
    </w:p>
    <w:bookmarkEnd w:id="14"/>
    <w:p w14:paraId="123B6396" w14:textId="77777777" w:rsidR="00E617CC" w:rsidRPr="00A700E7" w:rsidRDefault="00E617CC" w:rsidP="007A6B1F">
      <w:pPr>
        <w:jc w:val="left"/>
      </w:pPr>
    </w:p>
    <w:p w14:paraId="3A3AE939" w14:textId="77777777" w:rsidR="007F1182" w:rsidRPr="00A700E7" w:rsidRDefault="007F1182" w:rsidP="007A6B1F">
      <w:pPr>
        <w:jc w:val="left"/>
      </w:pPr>
    </w:p>
    <w:p w14:paraId="5B709E72" w14:textId="21A28AC7" w:rsidR="006D1641" w:rsidRPr="00A700E7" w:rsidRDefault="006D1641" w:rsidP="007A6B1F">
      <w:pPr>
        <w:jc w:val="left"/>
        <w:rPr>
          <w:b/>
          <w:bCs/>
          <w:sz w:val="20"/>
          <w:szCs w:val="20"/>
        </w:rPr>
      </w:pPr>
      <w:bookmarkStart w:id="15" w:name="_Hlk171422155"/>
      <w:bookmarkEnd w:id="13"/>
      <w:r w:rsidRPr="00A700E7">
        <w:rPr>
          <w:b/>
          <w:bCs/>
          <w:sz w:val="20"/>
          <w:szCs w:val="20"/>
        </w:rPr>
        <w:t xml:space="preserve">Table 1 </w:t>
      </w:r>
      <w:r w:rsidR="00CD2C6E" w:rsidRPr="00A700E7">
        <w:rPr>
          <w:b/>
          <w:bCs/>
          <w:sz w:val="20"/>
          <w:szCs w:val="20"/>
        </w:rPr>
        <w:t xml:space="preserve">Adverse events occurring in </w:t>
      </w:r>
      <w:bookmarkStart w:id="16" w:name="_Hlk171422215"/>
      <w:r w:rsidR="00CD2C6E" w:rsidRPr="00A700E7">
        <w:rPr>
          <w:b/>
          <w:bCs/>
          <w:sz w:val="20"/>
          <w:szCs w:val="20"/>
        </w:rPr>
        <w:t>≥</w:t>
      </w:r>
      <w:bookmarkEnd w:id="16"/>
      <w:r w:rsidR="00CD2C6E" w:rsidRPr="00A700E7">
        <w:rPr>
          <w:b/>
          <w:bCs/>
          <w:sz w:val="20"/>
          <w:szCs w:val="20"/>
        </w:rPr>
        <w:t xml:space="preserve"> </w:t>
      </w:r>
      <w:r w:rsidR="00F61F09" w:rsidRPr="00A700E7">
        <w:rPr>
          <w:b/>
          <w:bCs/>
          <w:sz w:val="20"/>
          <w:szCs w:val="20"/>
        </w:rPr>
        <w:t>3</w:t>
      </w:r>
      <w:r w:rsidR="00CD2C6E" w:rsidRPr="00A700E7">
        <w:rPr>
          <w:b/>
          <w:bCs/>
          <w:sz w:val="20"/>
          <w:szCs w:val="20"/>
        </w:rPr>
        <w:t>%</w:t>
      </w:r>
      <w:r w:rsidR="00F61F09" w:rsidRPr="00A700E7">
        <w:rPr>
          <w:b/>
          <w:bCs/>
          <w:sz w:val="20"/>
          <w:szCs w:val="20"/>
        </w:rPr>
        <w:t xml:space="preserve"> patients treated with OPSYNVI in A DUE</w:t>
      </w:r>
      <w:r w:rsidRPr="00A700E7">
        <w:rPr>
          <w:b/>
          <w:bCs/>
          <w:sz w:val="20"/>
          <w:szCs w:val="20"/>
        </w:rPr>
        <w:t xml:space="preserve"> during </w:t>
      </w:r>
      <w:r w:rsidR="00F61F09" w:rsidRPr="00A700E7">
        <w:rPr>
          <w:b/>
          <w:bCs/>
          <w:sz w:val="20"/>
          <w:szCs w:val="20"/>
        </w:rPr>
        <w:t xml:space="preserve">DB </w:t>
      </w:r>
      <w:r w:rsidRPr="00A700E7">
        <w:rPr>
          <w:b/>
          <w:bCs/>
          <w:sz w:val="20"/>
          <w:szCs w:val="20"/>
        </w:rPr>
        <w:t>period</w:t>
      </w:r>
    </w:p>
    <w:bookmarkEnd w:id="15"/>
    <w:p w14:paraId="1FA5BDE8" w14:textId="77777777" w:rsidR="00CD2C6E" w:rsidRPr="00A700E7" w:rsidRDefault="00CD2C6E" w:rsidP="007A6B1F">
      <w:pPr>
        <w:jc w:val="left"/>
      </w:pPr>
    </w:p>
    <w:tbl>
      <w:tblPr>
        <w:tblStyle w:val="TableGrid4"/>
        <w:tblW w:w="8363" w:type="dxa"/>
        <w:tblInd w:w="279" w:type="dxa"/>
        <w:tblLook w:val="04A0" w:firstRow="1" w:lastRow="0" w:firstColumn="1" w:lastColumn="0" w:noHBand="0" w:noVBand="1"/>
      </w:tblPr>
      <w:tblGrid>
        <w:gridCol w:w="2036"/>
        <w:gridCol w:w="825"/>
        <w:gridCol w:w="1108"/>
        <w:gridCol w:w="24"/>
        <w:gridCol w:w="826"/>
        <w:gridCol w:w="1418"/>
        <w:gridCol w:w="709"/>
        <w:gridCol w:w="1417"/>
      </w:tblGrid>
      <w:tr w:rsidR="00A700E7" w:rsidRPr="00A700E7" w14:paraId="05222F99" w14:textId="77777777" w:rsidTr="00A378B6">
        <w:trPr>
          <w:tblHeader/>
        </w:trPr>
        <w:tc>
          <w:tcPr>
            <w:tcW w:w="2036" w:type="dxa"/>
            <w:shd w:val="clear" w:color="auto" w:fill="auto"/>
            <w:vAlign w:val="bottom"/>
          </w:tcPr>
          <w:p w14:paraId="5D71EEB7" w14:textId="77777777" w:rsidR="00E617CC" w:rsidRPr="00A700E7" w:rsidRDefault="00E617CC" w:rsidP="007A6B1F">
            <w:pPr>
              <w:jc w:val="left"/>
              <w:rPr>
                <w:sz w:val="20"/>
                <w:szCs w:val="20"/>
              </w:rPr>
            </w:pPr>
            <w:bookmarkStart w:id="17" w:name="_Hlk171346670"/>
          </w:p>
        </w:tc>
        <w:tc>
          <w:tcPr>
            <w:tcW w:w="6327" w:type="dxa"/>
            <w:gridSpan w:val="7"/>
            <w:vAlign w:val="bottom"/>
          </w:tcPr>
          <w:p w14:paraId="76DFDCAF" w14:textId="77777777" w:rsidR="00E617CC" w:rsidRPr="00A700E7" w:rsidRDefault="00E617CC" w:rsidP="007A6B1F">
            <w:pPr>
              <w:jc w:val="left"/>
              <w:rPr>
                <w:sz w:val="20"/>
                <w:szCs w:val="20"/>
              </w:rPr>
            </w:pPr>
            <w:r w:rsidRPr="00A700E7">
              <w:rPr>
                <w:sz w:val="20"/>
                <w:szCs w:val="20"/>
              </w:rPr>
              <w:t>A DUE DB</w:t>
            </w:r>
          </w:p>
        </w:tc>
      </w:tr>
      <w:tr w:rsidR="00A700E7" w:rsidRPr="00A700E7" w14:paraId="2DF3FD2C" w14:textId="77777777" w:rsidTr="00A378B6">
        <w:trPr>
          <w:tblHeader/>
        </w:trPr>
        <w:tc>
          <w:tcPr>
            <w:tcW w:w="2036" w:type="dxa"/>
            <w:shd w:val="clear" w:color="auto" w:fill="auto"/>
            <w:vAlign w:val="bottom"/>
          </w:tcPr>
          <w:p w14:paraId="0B88A42D" w14:textId="77777777" w:rsidR="00E617CC" w:rsidRPr="00A700E7" w:rsidRDefault="00E617CC" w:rsidP="007A6B1F">
            <w:pPr>
              <w:jc w:val="left"/>
              <w:rPr>
                <w:sz w:val="20"/>
                <w:szCs w:val="20"/>
              </w:rPr>
            </w:pPr>
          </w:p>
        </w:tc>
        <w:tc>
          <w:tcPr>
            <w:tcW w:w="1957" w:type="dxa"/>
            <w:gridSpan w:val="3"/>
            <w:vAlign w:val="bottom"/>
          </w:tcPr>
          <w:p w14:paraId="140F108B" w14:textId="77777777" w:rsidR="00E617CC" w:rsidRPr="00A700E7" w:rsidRDefault="00E617CC" w:rsidP="007A6B1F">
            <w:pPr>
              <w:jc w:val="left"/>
              <w:rPr>
                <w:sz w:val="20"/>
                <w:szCs w:val="20"/>
              </w:rPr>
            </w:pPr>
            <w:r w:rsidRPr="00A700E7">
              <w:rPr>
                <w:sz w:val="20"/>
                <w:szCs w:val="20"/>
              </w:rPr>
              <w:t>OPSYNVI N=107</w:t>
            </w:r>
          </w:p>
        </w:tc>
        <w:tc>
          <w:tcPr>
            <w:tcW w:w="2244" w:type="dxa"/>
            <w:gridSpan w:val="2"/>
            <w:vAlign w:val="bottom"/>
          </w:tcPr>
          <w:p w14:paraId="20FA4ED5" w14:textId="77777777" w:rsidR="00E617CC" w:rsidRPr="00A700E7" w:rsidRDefault="00E617CC" w:rsidP="007A6B1F">
            <w:pPr>
              <w:jc w:val="left"/>
              <w:rPr>
                <w:sz w:val="20"/>
                <w:szCs w:val="20"/>
              </w:rPr>
            </w:pPr>
            <w:r w:rsidRPr="00A700E7">
              <w:rPr>
                <w:sz w:val="20"/>
                <w:szCs w:val="20"/>
              </w:rPr>
              <w:t>Macitentan N=35</w:t>
            </w:r>
          </w:p>
        </w:tc>
        <w:tc>
          <w:tcPr>
            <w:tcW w:w="2126" w:type="dxa"/>
            <w:gridSpan w:val="2"/>
            <w:vAlign w:val="bottom"/>
          </w:tcPr>
          <w:p w14:paraId="3DAF0CE8" w14:textId="77777777" w:rsidR="00E617CC" w:rsidRPr="00A700E7" w:rsidRDefault="00E617CC" w:rsidP="007A6B1F">
            <w:pPr>
              <w:jc w:val="left"/>
              <w:rPr>
                <w:sz w:val="20"/>
                <w:szCs w:val="20"/>
              </w:rPr>
            </w:pPr>
            <w:r w:rsidRPr="00A700E7">
              <w:rPr>
                <w:sz w:val="20"/>
                <w:szCs w:val="20"/>
              </w:rPr>
              <w:t>Tadalafil N=44</w:t>
            </w:r>
          </w:p>
        </w:tc>
      </w:tr>
      <w:tr w:rsidR="00A700E7" w:rsidRPr="00A700E7" w14:paraId="14A05F36" w14:textId="77777777" w:rsidTr="00A378B6">
        <w:trPr>
          <w:tblHeader/>
        </w:trPr>
        <w:tc>
          <w:tcPr>
            <w:tcW w:w="2036" w:type="dxa"/>
            <w:shd w:val="clear" w:color="auto" w:fill="auto"/>
          </w:tcPr>
          <w:p w14:paraId="2BA842BA" w14:textId="77777777" w:rsidR="00E617CC" w:rsidRPr="00A700E7" w:rsidRDefault="00E617CC" w:rsidP="007A6B1F">
            <w:pPr>
              <w:jc w:val="left"/>
              <w:rPr>
                <w:sz w:val="20"/>
                <w:szCs w:val="20"/>
                <w:vertAlign w:val="superscript"/>
              </w:rPr>
            </w:pPr>
            <w:r w:rsidRPr="00A700E7">
              <w:rPr>
                <w:sz w:val="20"/>
                <w:szCs w:val="20"/>
              </w:rPr>
              <w:t>System/Organ Class</w:t>
            </w:r>
          </w:p>
        </w:tc>
        <w:tc>
          <w:tcPr>
            <w:tcW w:w="825" w:type="dxa"/>
          </w:tcPr>
          <w:p w14:paraId="7114AD1D" w14:textId="77777777" w:rsidR="00E617CC" w:rsidRPr="00A700E7" w:rsidRDefault="00E617CC" w:rsidP="007A6B1F">
            <w:pPr>
              <w:jc w:val="left"/>
              <w:rPr>
                <w:sz w:val="20"/>
                <w:szCs w:val="20"/>
              </w:rPr>
            </w:pPr>
            <w:r w:rsidRPr="00A700E7">
              <w:rPr>
                <w:sz w:val="20"/>
                <w:szCs w:val="20"/>
              </w:rPr>
              <w:t>No.</w:t>
            </w:r>
          </w:p>
        </w:tc>
        <w:tc>
          <w:tcPr>
            <w:tcW w:w="1132" w:type="dxa"/>
            <w:gridSpan w:val="2"/>
          </w:tcPr>
          <w:p w14:paraId="41421FAE" w14:textId="77777777" w:rsidR="00E617CC" w:rsidRPr="00A700E7" w:rsidRDefault="00E617CC" w:rsidP="007A6B1F">
            <w:pPr>
              <w:jc w:val="left"/>
              <w:rPr>
                <w:sz w:val="20"/>
                <w:szCs w:val="20"/>
              </w:rPr>
            </w:pPr>
            <w:r w:rsidRPr="00A700E7">
              <w:rPr>
                <w:sz w:val="20"/>
                <w:szCs w:val="20"/>
              </w:rPr>
              <w:t>%</w:t>
            </w:r>
          </w:p>
        </w:tc>
        <w:tc>
          <w:tcPr>
            <w:tcW w:w="826" w:type="dxa"/>
          </w:tcPr>
          <w:p w14:paraId="20C630A7" w14:textId="77777777" w:rsidR="00E617CC" w:rsidRPr="00A700E7" w:rsidRDefault="00E617CC" w:rsidP="007A6B1F">
            <w:pPr>
              <w:jc w:val="left"/>
              <w:rPr>
                <w:sz w:val="20"/>
                <w:szCs w:val="20"/>
              </w:rPr>
            </w:pPr>
            <w:r w:rsidRPr="00A700E7">
              <w:rPr>
                <w:sz w:val="20"/>
                <w:szCs w:val="20"/>
              </w:rPr>
              <w:t>No.</w:t>
            </w:r>
          </w:p>
        </w:tc>
        <w:tc>
          <w:tcPr>
            <w:tcW w:w="1418" w:type="dxa"/>
          </w:tcPr>
          <w:p w14:paraId="6E45335B" w14:textId="77777777" w:rsidR="00E617CC" w:rsidRPr="00A700E7" w:rsidRDefault="00E617CC" w:rsidP="007A6B1F">
            <w:pPr>
              <w:jc w:val="left"/>
              <w:rPr>
                <w:sz w:val="20"/>
                <w:szCs w:val="20"/>
              </w:rPr>
            </w:pPr>
            <w:r w:rsidRPr="00A700E7">
              <w:rPr>
                <w:sz w:val="20"/>
                <w:szCs w:val="20"/>
              </w:rPr>
              <w:t>%</w:t>
            </w:r>
          </w:p>
        </w:tc>
        <w:tc>
          <w:tcPr>
            <w:tcW w:w="709" w:type="dxa"/>
          </w:tcPr>
          <w:p w14:paraId="6FD02F34" w14:textId="77777777" w:rsidR="00E617CC" w:rsidRPr="00A700E7" w:rsidRDefault="00E617CC" w:rsidP="007A6B1F">
            <w:pPr>
              <w:jc w:val="left"/>
              <w:rPr>
                <w:sz w:val="20"/>
                <w:szCs w:val="20"/>
              </w:rPr>
            </w:pPr>
            <w:r w:rsidRPr="00A700E7">
              <w:rPr>
                <w:sz w:val="20"/>
                <w:szCs w:val="20"/>
              </w:rPr>
              <w:t>No.</w:t>
            </w:r>
          </w:p>
        </w:tc>
        <w:tc>
          <w:tcPr>
            <w:tcW w:w="1417" w:type="dxa"/>
          </w:tcPr>
          <w:p w14:paraId="20AFD58E" w14:textId="77777777" w:rsidR="00E617CC" w:rsidRPr="00A700E7" w:rsidRDefault="00E617CC" w:rsidP="007A6B1F">
            <w:pPr>
              <w:jc w:val="left"/>
              <w:rPr>
                <w:sz w:val="20"/>
                <w:szCs w:val="20"/>
              </w:rPr>
            </w:pPr>
            <w:r w:rsidRPr="00A700E7">
              <w:rPr>
                <w:sz w:val="20"/>
                <w:szCs w:val="20"/>
              </w:rPr>
              <w:t>%</w:t>
            </w:r>
          </w:p>
        </w:tc>
      </w:tr>
      <w:tr w:rsidR="00A700E7" w:rsidRPr="00A700E7" w14:paraId="033204D9" w14:textId="77777777" w:rsidTr="00A378B6">
        <w:tc>
          <w:tcPr>
            <w:tcW w:w="8363" w:type="dxa"/>
            <w:gridSpan w:val="8"/>
            <w:shd w:val="clear" w:color="auto" w:fill="D9D9D9" w:themeFill="background1" w:themeFillShade="D9"/>
          </w:tcPr>
          <w:p w14:paraId="67715E0D" w14:textId="77777777" w:rsidR="00E617CC" w:rsidRPr="00A700E7" w:rsidRDefault="00E617CC" w:rsidP="007A6B1F">
            <w:pPr>
              <w:jc w:val="left"/>
              <w:rPr>
                <w:sz w:val="20"/>
                <w:szCs w:val="20"/>
              </w:rPr>
            </w:pPr>
            <w:r w:rsidRPr="00A700E7">
              <w:rPr>
                <w:sz w:val="20"/>
                <w:szCs w:val="20"/>
              </w:rPr>
              <w:t>General disorders and administration site conditions</w:t>
            </w:r>
          </w:p>
        </w:tc>
      </w:tr>
      <w:tr w:rsidR="00A700E7" w:rsidRPr="00A700E7" w14:paraId="645B13EF" w14:textId="77777777" w:rsidTr="00A378B6">
        <w:tc>
          <w:tcPr>
            <w:tcW w:w="2036" w:type="dxa"/>
            <w:shd w:val="clear" w:color="auto" w:fill="auto"/>
          </w:tcPr>
          <w:p w14:paraId="30F0B06E" w14:textId="77777777" w:rsidR="00E617CC" w:rsidRPr="00A700E7" w:rsidRDefault="00E617CC" w:rsidP="007A6B1F">
            <w:pPr>
              <w:jc w:val="left"/>
              <w:rPr>
                <w:sz w:val="20"/>
                <w:szCs w:val="20"/>
                <w:vertAlign w:val="superscript"/>
              </w:rPr>
            </w:pPr>
            <w:r w:rsidRPr="00A700E7">
              <w:rPr>
                <w:sz w:val="20"/>
                <w:szCs w:val="20"/>
              </w:rPr>
              <w:t>Oedema peripheral</w:t>
            </w:r>
          </w:p>
        </w:tc>
        <w:tc>
          <w:tcPr>
            <w:tcW w:w="825" w:type="dxa"/>
          </w:tcPr>
          <w:p w14:paraId="1CAD3D43" w14:textId="77777777" w:rsidR="00E617CC" w:rsidRPr="00A700E7" w:rsidRDefault="00E617CC" w:rsidP="007A6B1F">
            <w:pPr>
              <w:jc w:val="left"/>
              <w:rPr>
                <w:sz w:val="20"/>
                <w:szCs w:val="20"/>
              </w:rPr>
            </w:pPr>
            <w:r w:rsidRPr="00A700E7">
              <w:rPr>
                <w:sz w:val="20"/>
                <w:szCs w:val="20"/>
              </w:rPr>
              <w:t>14</w:t>
            </w:r>
          </w:p>
        </w:tc>
        <w:tc>
          <w:tcPr>
            <w:tcW w:w="1132" w:type="dxa"/>
            <w:gridSpan w:val="2"/>
          </w:tcPr>
          <w:p w14:paraId="3D1400E4" w14:textId="77777777" w:rsidR="00E617CC" w:rsidRPr="00A700E7" w:rsidRDefault="00E617CC" w:rsidP="007A6B1F">
            <w:pPr>
              <w:spacing w:line="360" w:lineRule="auto"/>
              <w:jc w:val="left"/>
              <w:rPr>
                <w:sz w:val="20"/>
                <w:szCs w:val="20"/>
              </w:rPr>
            </w:pPr>
            <w:r w:rsidRPr="00A700E7">
              <w:rPr>
                <w:sz w:val="20"/>
                <w:szCs w:val="20"/>
              </w:rPr>
              <w:t>13.1%</w:t>
            </w:r>
          </w:p>
        </w:tc>
        <w:tc>
          <w:tcPr>
            <w:tcW w:w="826" w:type="dxa"/>
          </w:tcPr>
          <w:p w14:paraId="43730498" w14:textId="77777777" w:rsidR="00E617CC" w:rsidRPr="00A700E7" w:rsidRDefault="00E617CC" w:rsidP="007A6B1F">
            <w:pPr>
              <w:jc w:val="left"/>
              <w:rPr>
                <w:sz w:val="20"/>
                <w:szCs w:val="20"/>
              </w:rPr>
            </w:pPr>
            <w:r w:rsidRPr="00A700E7">
              <w:rPr>
                <w:sz w:val="20"/>
                <w:szCs w:val="20"/>
              </w:rPr>
              <w:t>4</w:t>
            </w:r>
          </w:p>
        </w:tc>
        <w:tc>
          <w:tcPr>
            <w:tcW w:w="1418" w:type="dxa"/>
          </w:tcPr>
          <w:p w14:paraId="2E8405EC" w14:textId="77777777" w:rsidR="00E617CC" w:rsidRPr="00A700E7" w:rsidRDefault="00E617CC" w:rsidP="007A6B1F">
            <w:pPr>
              <w:jc w:val="left"/>
              <w:rPr>
                <w:sz w:val="20"/>
                <w:szCs w:val="20"/>
              </w:rPr>
            </w:pPr>
            <w:r w:rsidRPr="00A700E7">
              <w:rPr>
                <w:sz w:val="20"/>
                <w:szCs w:val="20"/>
              </w:rPr>
              <w:t>11.4%</w:t>
            </w:r>
          </w:p>
        </w:tc>
        <w:tc>
          <w:tcPr>
            <w:tcW w:w="709" w:type="dxa"/>
          </w:tcPr>
          <w:p w14:paraId="19E40C3F" w14:textId="77777777" w:rsidR="00E617CC" w:rsidRPr="00A700E7" w:rsidRDefault="00E617CC" w:rsidP="007A6B1F">
            <w:pPr>
              <w:jc w:val="left"/>
              <w:rPr>
                <w:sz w:val="20"/>
                <w:szCs w:val="20"/>
              </w:rPr>
            </w:pPr>
            <w:r w:rsidRPr="00A700E7">
              <w:rPr>
                <w:sz w:val="20"/>
                <w:szCs w:val="20"/>
              </w:rPr>
              <w:t>5</w:t>
            </w:r>
          </w:p>
        </w:tc>
        <w:tc>
          <w:tcPr>
            <w:tcW w:w="1417" w:type="dxa"/>
          </w:tcPr>
          <w:p w14:paraId="5CB69ABC" w14:textId="77777777" w:rsidR="00E617CC" w:rsidRPr="00A700E7" w:rsidRDefault="00E617CC" w:rsidP="007A6B1F">
            <w:pPr>
              <w:jc w:val="left"/>
              <w:rPr>
                <w:sz w:val="20"/>
                <w:szCs w:val="20"/>
              </w:rPr>
            </w:pPr>
            <w:r w:rsidRPr="00A700E7">
              <w:rPr>
                <w:sz w:val="20"/>
                <w:szCs w:val="20"/>
              </w:rPr>
              <w:t>11.4 %</w:t>
            </w:r>
          </w:p>
        </w:tc>
      </w:tr>
      <w:tr w:rsidR="00A700E7" w:rsidRPr="00A700E7" w14:paraId="230B38CD" w14:textId="77777777" w:rsidTr="00A378B6">
        <w:tc>
          <w:tcPr>
            <w:tcW w:w="2036" w:type="dxa"/>
            <w:shd w:val="clear" w:color="auto" w:fill="auto"/>
          </w:tcPr>
          <w:p w14:paraId="15189869" w14:textId="77777777" w:rsidR="00E617CC" w:rsidRPr="00A700E7" w:rsidRDefault="00E617CC" w:rsidP="007A6B1F">
            <w:pPr>
              <w:jc w:val="left"/>
              <w:rPr>
                <w:sz w:val="20"/>
                <w:szCs w:val="20"/>
              </w:rPr>
            </w:pPr>
            <w:r w:rsidRPr="00A700E7">
              <w:rPr>
                <w:sz w:val="20"/>
                <w:szCs w:val="20"/>
              </w:rPr>
              <w:t>Peripheral swelling</w:t>
            </w:r>
          </w:p>
        </w:tc>
        <w:tc>
          <w:tcPr>
            <w:tcW w:w="825" w:type="dxa"/>
          </w:tcPr>
          <w:p w14:paraId="6B9BACCA" w14:textId="77777777" w:rsidR="00E617CC" w:rsidRPr="00A700E7" w:rsidRDefault="00E617CC" w:rsidP="007A6B1F">
            <w:pPr>
              <w:jc w:val="left"/>
              <w:rPr>
                <w:sz w:val="20"/>
                <w:szCs w:val="20"/>
              </w:rPr>
            </w:pPr>
            <w:r w:rsidRPr="00A700E7">
              <w:rPr>
                <w:sz w:val="20"/>
                <w:szCs w:val="20"/>
              </w:rPr>
              <w:t>7</w:t>
            </w:r>
          </w:p>
        </w:tc>
        <w:tc>
          <w:tcPr>
            <w:tcW w:w="1132" w:type="dxa"/>
            <w:gridSpan w:val="2"/>
          </w:tcPr>
          <w:p w14:paraId="4E40A782" w14:textId="77777777" w:rsidR="00E617CC" w:rsidRPr="00A700E7" w:rsidRDefault="00E617CC" w:rsidP="007A6B1F">
            <w:pPr>
              <w:jc w:val="left"/>
              <w:rPr>
                <w:sz w:val="20"/>
                <w:szCs w:val="20"/>
              </w:rPr>
            </w:pPr>
            <w:r w:rsidRPr="00A700E7">
              <w:rPr>
                <w:sz w:val="20"/>
                <w:szCs w:val="20"/>
              </w:rPr>
              <w:t>6.5%</w:t>
            </w:r>
          </w:p>
        </w:tc>
        <w:tc>
          <w:tcPr>
            <w:tcW w:w="826" w:type="dxa"/>
          </w:tcPr>
          <w:p w14:paraId="2167163F" w14:textId="77777777" w:rsidR="00E617CC" w:rsidRPr="00A700E7" w:rsidRDefault="00E617CC" w:rsidP="007A6B1F">
            <w:pPr>
              <w:jc w:val="left"/>
              <w:rPr>
                <w:sz w:val="20"/>
                <w:szCs w:val="20"/>
              </w:rPr>
            </w:pPr>
            <w:r w:rsidRPr="00A700E7">
              <w:rPr>
                <w:sz w:val="20"/>
                <w:szCs w:val="20"/>
              </w:rPr>
              <w:t>1</w:t>
            </w:r>
          </w:p>
        </w:tc>
        <w:tc>
          <w:tcPr>
            <w:tcW w:w="1418" w:type="dxa"/>
          </w:tcPr>
          <w:p w14:paraId="0ACD3792" w14:textId="77777777" w:rsidR="00E617CC" w:rsidRPr="00A700E7" w:rsidRDefault="00E617CC" w:rsidP="007A6B1F">
            <w:pPr>
              <w:jc w:val="left"/>
              <w:rPr>
                <w:sz w:val="20"/>
                <w:szCs w:val="20"/>
              </w:rPr>
            </w:pPr>
            <w:r w:rsidRPr="00A700E7">
              <w:rPr>
                <w:sz w:val="20"/>
                <w:szCs w:val="20"/>
              </w:rPr>
              <w:t>2.9%</w:t>
            </w:r>
          </w:p>
        </w:tc>
        <w:tc>
          <w:tcPr>
            <w:tcW w:w="709" w:type="dxa"/>
          </w:tcPr>
          <w:p w14:paraId="7DD996DB" w14:textId="77777777" w:rsidR="00E617CC" w:rsidRPr="00A700E7" w:rsidRDefault="00E617CC" w:rsidP="007A6B1F">
            <w:pPr>
              <w:jc w:val="left"/>
              <w:rPr>
                <w:sz w:val="20"/>
                <w:szCs w:val="20"/>
              </w:rPr>
            </w:pPr>
            <w:r w:rsidRPr="00A700E7">
              <w:rPr>
                <w:sz w:val="20"/>
                <w:szCs w:val="20"/>
              </w:rPr>
              <w:t>0</w:t>
            </w:r>
          </w:p>
        </w:tc>
        <w:tc>
          <w:tcPr>
            <w:tcW w:w="1417" w:type="dxa"/>
          </w:tcPr>
          <w:p w14:paraId="1F7D3FF4" w14:textId="77777777" w:rsidR="00E617CC" w:rsidRPr="00A700E7" w:rsidRDefault="00E617CC" w:rsidP="007A6B1F">
            <w:pPr>
              <w:jc w:val="left"/>
              <w:rPr>
                <w:sz w:val="20"/>
                <w:szCs w:val="20"/>
              </w:rPr>
            </w:pPr>
            <w:r w:rsidRPr="00A700E7">
              <w:rPr>
                <w:sz w:val="20"/>
                <w:szCs w:val="20"/>
              </w:rPr>
              <w:t>0%</w:t>
            </w:r>
          </w:p>
        </w:tc>
      </w:tr>
      <w:tr w:rsidR="00A700E7" w:rsidRPr="00A700E7" w14:paraId="677CC599" w14:textId="77777777" w:rsidTr="00A378B6">
        <w:tc>
          <w:tcPr>
            <w:tcW w:w="2036" w:type="dxa"/>
            <w:shd w:val="clear" w:color="auto" w:fill="auto"/>
          </w:tcPr>
          <w:p w14:paraId="008EDD0E" w14:textId="77777777" w:rsidR="00E617CC" w:rsidRPr="00A700E7" w:rsidRDefault="00E617CC" w:rsidP="007A6B1F">
            <w:pPr>
              <w:jc w:val="left"/>
              <w:rPr>
                <w:sz w:val="20"/>
                <w:szCs w:val="20"/>
              </w:rPr>
            </w:pPr>
            <w:r w:rsidRPr="00A700E7">
              <w:rPr>
                <w:sz w:val="20"/>
                <w:szCs w:val="20"/>
              </w:rPr>
              <w:t>Pyrexia</w:t>
            </w:r>
          </w:p>
        </w:tc>
        <w:tc>
          <w:tcPr>
            <w:tcW w:w="825" w:type="dxa"/>
          </w:tcPr>
          <w:p w14:paraId="03C307A1" w14:textId="77777777" w:rsidR="00E617CC" w:rsidRPr="00A700E7" w:rsidRDefault="00E617CC" w:rsidP="007A6B1F">
            <w:pPr>
              <w:jc w:val="left"/>
              <w:rPr>
                <w:sz w:val="20"/>
                <w:szCs w:val="20"/>
              </w:rPr>
            </w:pPr>
            <w:r w:rsidRPr="00A700E7">
              <w:rPr>
                <w:sz w:val="20"/>
                <w:szCs w:val="20"/>
              </w:rPr>
              <w:t>4</w:t>
            </w:r>
          </w:p>
        </w:tc>
        <w:tc>
          <w:tcPr>
            <w:tcW w:w="1132" w:type="dxa"/>
            <w:gridSpan w:val="2"/>
          </w:tcPr>
          <w:p w14:paraId="6C085F0A" w14:textId="77777777" w:rsidR="00E617CC" w:rsidRPr="00A700E7" w:rsidRDefault="00E617CC" w:rsidP="007A6B1F">
            <w:pPr>
              <w:jc w:val="left"/>
              <w:rPr>
                <w:sz w:val="20"/>
                <w:szCs w:val="20"/>
              </w:rPr>
            </w:pPr>
            <w:r w:rsidRPr="00A700E7">
              <w:rPr>
                <w:sz w:val="20"/>
                <w:szCs w:val="20"/>
              </w:rPr>
              <w:t>3.7%</w:t>
            </w:r>
          </w:p>
        </w:tc>
        <w:tc>
          <w:tcPr>
            <w:tcW w:w="826" w:type="dxa"/>
          </w:tcPr>
          <w:p w14:paraId="1832E6C6" w14:textId="77777777" w:rsidR="00E617CC" w:rsidRPr="00A700E7" w:rsidRDefault="00E617CC" w:rsidP="007A6B1F">
            <w:pPr>
              <w:jc w:val="left"/>
              <w:rPr>
                <w:sz w:val="20"/>
                <w:szCs w:val="20"/>
              </w:rPr>
            </w:pPr>
            <w:r w:rsidRPr="00A700E7">
              <w:rPr>
                <w:sz w:val="20"/>
                <w:szCs w:val="20"/>
              </w:rPr>
              <w:t>0</w:t>
            </w:r>
          </w:p>
        </w:tc>
        <w:tc>
          <w:tcPr>
            <w:tcW w:w="1418" w:type="dxa"/>
          </w:tcPr>
          <w:p w14:paraId="73CBEFF3" w14:textId="77777777" w:rsidR="00E617CC" w:rsidRPr="00A700E7" w:rsidRDefault="00E617CC" w:rsidP="007A6B1F">
            <w:pPr>
              <w:jc w:val="left"/>
              <w:rPr>
                <w:sz w:val="20"/>
                <w:szCs w:val="20"/>
              </w:rPr>
            </w:pPr>
            <w:r w:rsidRPr="00A700E7">
              <w:rPr>
                <w:sz w:val="20"/>
                <w:szCs w:val="20"/>
              </w:rPr>
              <w:t>0%</w:t>
            </w:r>
          </w:p>
        </w:tc>
        <w:tc>
          <w:tcPr>
            <w:tcW w:w="709" w:type="dxa"/>
          </w:tcPr>
          <w:p w14:paraId="71C13C0E" w14:textId="77777777" w:rsidR="00E617CC" w:rsidRPr="00A700E7" w:rsidRDefault="00E617CC" w:rsidP="007A6B1F">
            <w:pPr>
              <w:jc w:val="left"/>
              <w:rPr>
                <w:sz w:val="20"/>
                <w:szCs w:val="20"/>
              </w:rPr>
            </w:pPr>
            <w:r w:rsidRPr="00A700E7">
              <w:rPr>
                <w:sz w:val="20"/>
                <w:szCs w:val="20"/>
              </w:rPr>
              <w:t>0</w:t>
            </w:r>
          </w:p>
        </w:tc>
        <w:tc>
          <w:tcPr>
            <w:tcW w:w="1417" w:type="dxa"/>
          </w:tcPr>
          <w:p w14:paraId="1D29CBD1" w14:textId="77777777" w:rsidR="00E617CC" w:rsidRPr="00A700E7" w:rsidRDefault="00E617CC" w:rsidP="007A6B1F">
            <w:pPr>
              <w:jc w:val="left"/>
              <w:rPr>
                <w:sz w:val="20"/>
                <w:szCs w:val="20"/>
              </w:rPr>
            </w:pPr>
            <w:r w:rsidRPr="00A700E7">
              <w:rPr>
                <w:sz w:val="20"/>
                <w:szCs w:val="20"/>
              </w:rPr>
              <w:t>0%</w:t>
            </w:r>
          </w:p>
        </w:tc>
      </w:tr>
      <w:tr w:rsidR="00A700E7" w:rsidRPr="00A700E7" w14:paraId="240A6AFF" w14:textId="77777777" w:rsidTr="00A378B6">
        <w:tc>
          <w:tcPr>
            <w:tcW w:w="8363" w:type="dxa"/>
            <w:gridSpan w:val="8"/>
            <w:shd w:val="clear" w:color="auto" w:fill="D9D9D9" w:themeFill="background1" w:themeFillShade="D9"/>
          </w:tcPr>
          <w:p w14:paraId="38B57305" w14:textId="77777777" w:rsidR="00E617CC" w:rsidRPr="00A700E7" w:rsidRDefault="00E617CC" w:rsidP="007A6B1F">
            <w:pPr>
              <w:jc w:val="left"/>
              <w:rPr>
                <w:sz w:val="20"/>
                <w:szCs w:val="20"/>
              </w:rPr>
            </w:pPr>
            <w:r w:rsidRPr="00A700E7">
              <w:rPr>
                <w:sz w:val="20"/>
                <w:szCs w:val="20"/>
              </w:rPr>
              <w:t>Gastrointestinal disorders</w:t>
            </w:r>
          </w:p>
        </w:tc>
      </w:tr>
      <w:tr w:rsidR="00A700E7" w:rsidRPr="00A700E7" w14:paraId="602DE846" w14:textId="77777777" w:rsidTr="00A378B6">
        <w:tc>
          <w:tcPr>
            <w:tcW w:w="2036" w:type="dxa"/>
            <w:shd w:val="clear" w:color="auto" w:fill="auto"/>
          </w:tcPr>
          <w:p w14:paraId="3EB78CDB" w14:textId="77777777" w:rsidR="00E617CC" w:rsidRPr="00A700E7" w:rsidRDefault="00E617CC" w:rsidP="007A6B1F">
            <w:pPr>
              <w:jc w:val="left"/>
              <w:rPr>
                <w:sz w:val="20"/>
                <w:szCs w:val="20"/>
              </w:rPr>
            </w:pPr>
            <w:r w:rsidRPr="00A700E7">
              <w:rPr>
                <w:sz w:val="20"/>
                <w:szCs w:val="20"/>
              </w:rPr>
              <w:t>Nausea</w:t>
            </w:r>
          </w:p>
        </w:tc>
        <w:tc>
          <w:tcPr>
            <w:tcW w:w="825" w:type="dxa"/>
          </w:tcPr>
          <w:p w14:paraId="22A38DB2" w14:textId="77777777" w:rsidR="00E617CC" w:rsidRPr="00A700E7" w:rsidRDefault="00E617CC" w:rsidP="007A6B1F">
            <w:pPr>
              <w:jc w:val="left"/>
              <w:rPr>
                <w:sz w:val="20"/>
                <w:szCs w:val="20"/>
              </w:rPr>
            </w:pPr>
            <w:r w:rsidRPr="00A700E7">
              <w:rPr>
                <w:sz w:val="20"/>
                <w:szCs w:val="20"/>
              </w:rPr>
              <w:t>6</w:t>
            </w:r>
          </w:p>
        </w:tc>
        <w:tc>
          <w:tcPr>
            <w:tcW w:w="1132" w:type="dxa"/>
            <w:gridSpan w:val="2"/>
          </w:tcPr>
          <w:p w14:paraId="777F9ADC" w14:textId="77777777" w:rsidR="00E617CC" w:rsidRPr="00A700E7" w:rsidRDefault="00E617CC" w:rsidP="007A6B1F">
            <w:pPr>
              <w:jc w:val="left"/>
              <w:rPr>
                <w:sz w:val="20"/>
                <w:szCs w:val="20"/>
              </w:rPr>
            </w:pPr>
            <w:r w:rsidRPr="00A700E7">
              <w:rPr>
                <w:sz w:val="20"/>
                <w:szCs w:val="20"/>
              </w:rPr>
              <w:t>5.6%</w:t>
            </w:r>
          </w:p>
        </w:tc>
        <w:tc>
          <w:tcPr>
            <w:tcW w:w="826" w:type="dxa"/>
          </w:tcPr>
          <w:p w14:paraId="7564E8C6" w14:textId="77777777" w:rsidR="00E617CC" w:rsidRPr="00A700E7" w:rsidRDefault="00E617CC" w:rsidP="007A6B1F">
            <w:pPr>
              <w:jc w:val="left"/>
              <w:rPr>
                <w:sz w:val="20"/>
                <w:szCs w:val="20"/>
              </w:rPr>
            </w:pPr>
            <w:r w:rsidRPr="00A700E7">
              <w:rPr>
                <w:sz w:val="20"/>
                <w:szCs w:val="20"/>
              </w:rPr>
              <w:t>0</w:t>
            </w:r>
          </w:p>
        </w:tc>
        <w:tc>
          <w:tcPr>
            <w:tcW w:w="1418" w:type="dxa"/>
          </w:tcPr>
          <w:p w14:paraId="3B42E1B3" w14:textId="77777777" w:rsidR="00E617CC" w:rsidRPr="00A700E7" w:rsidRDefault="00E617CC" w:rsidP="007A6B1F">
            <w:pPr>
              <w:jc w:val="left"/>
              <w:rPr>
                <w:sz w:val="20"/>
                <w:szCs w:val="20"/>
              </w:rPr>
            </w:pPr>
            <w:r w:rsidRPr="00A700E7">
              <w:rPr>
                <w:sz w:val="20"/>
                <w:szCs w:val="20"/>
              </w:rPr>
              <w:t>0%</w:t>
            </w:r>
          </w:p>
        </w:tc>
        <w:tc>
          <w:tcPr>
            <w:tcW w:w="709" w:type="dxa"/>
          </w:tcPr>
          <w:p w14:paraId="0FD96DEA" w14:textId="77777777" w:rsidR="00E617CC" w:rsidRPr="00A700E7" w:rsidRDefault="00E617CC" w:rsidP="007A6B1F">
            <w:pPr>
              <w:jc w:val="left"/>
              <w:rPr>
                <w:sz w:val="20"/>
                <w:szCs w:val="20"/>
              </w:rPr>
            </w:pPr>
            <w:r w:rsidRPr="00A700E7">
              <w:rPr>
                <w:sz w:val="20"/>
                <w:szCs w:val="20"/>
              </w:rPr>
              <w:t>3</w:t>
            </w:r>
          </w:p>
        </w:tc>
        <w:tc>
          <w:tcPr>
            <w:tcW w:w="1417" w:type="dxa"/>
          </w:tcPr>
          <w:p w14:paraId="235A7457" w14:textId="77777777" w:rsidR="00E617CC" w:rsidRPr="00A700E7" w:rsidRDefault="00E617CC" w:rsidP="007A6B1F">
            <w:pPr>
              <w:jc w:val="left"/>
              <w:rPr>
                <w:sz w:val="20"/>
                <w:szCs w:val="20"/>
              </w:rPr>
            </w:pPr>
            <w:r w:rsidRPr="00A700E7">
              <w:rPr>
                <w:sz w:val="20"/>
                <w:szCs w:val="20"/>
              </w:rPr>
              <w:t>6.8%</w:t>
            </w:r>
          </w:p>
        </w:tc>
      </w:tr>
      <w:tr w:rsidR="00A700E7" w:rsidRPr="00A700E7" w14:paraId="0EF2373A" w14:textId="77777777" w:rsidTr="00A378B6">
        <w:tc>
          <w:tcPr>
            <w:tcW w:w="2036" w:type="dxa"/>
            <w:shd w:val="clear" w:color="auto" w:fill="auto"/>
          </w:tcPr>
          <w:p w14:paraId="5C34A7E2" w14:textId="77777777" w:rsidR="00E617CC" w:rsidRPr="00A700E7" w:rsidRDefault="00E617CC" w:rsidP="007A6B1F">
            <w:pPr>
              <w:jc w:val="left"/>
              <w:rPr>
                <w:sz w:val="20"/>
                <w:szCs w:val="20"/>
              </w:rPr>
            </w:pPr>
            <w:proofErr w:type="spellStart"/>
            <w:r w:rsidRPr="00A700E7">
              <w:rPr>
                <w:sz w:val="20"/>
                <w:szCs w:val="20"/>
              </w:rPr>
              <w:t>Diarrhoea</w:t>
            </w:r>
            <w:proofErr w:type="spellEnd"/>
          </w:p>
        </w:tc>
        <w:tc>
          <w:tcPr>
            <w:tcW w:w="825" w:type="dxa"/>
          </w:tcPr>
          <w:p w14:paraId="6B197CDD" w14:textId="77777777" w:rsidR="00E617CC" w:rsidRPr="00A700E7" w:rsidRDefault="00E617CC" w:rsidP="007A6B1F">
            <w:pPr>
              <w:jc w:val="left"/>
              <w:rPr>
                <w:sz w:val="20"/>
                <w:szCs w:val="20"/>
              </w:rPr>
            </w:pPr>
            <w:r w:rsidRPr="00A700E7">
              <w:rPr>
                <w:sz w:val="20"/>
                <w:szCs w:val="20"/>
              </w:rPr>
              <w:t>5</w:t>
            </w:r>
          </w:p>
        </w:tc>
        <w:tc>
          <w:tcPr>
            <w:tcW w:w="1132" w:type="dxa"/>
            <w:gridSpan w:val="2"/>
          </w:tcPr>
          <w:p w14:paraId="4BD81C7A" w14:textId="77777777" w:rsidR="00E617CC" w:rsidRPr="00A700E7" w:rsidRDefault="00E617CC" w:rsidP="007A6B1F">
            <w:pPr>
              <w:jc w:val="left"/>
              <w:rPr>
                <w:sz w:val="20"/>
                <w:szCs w:val="20"/>
              </w:rPr>
            </w:pPr>
            <w:r w:rsidRPr="00A700E7">
              <w:rPr>
                <w:sz w:val="20"/>
                <w:szCs w:val="20"/>
              </w:rPr>
              <w:t>4.7%</w:t>
            </w:r>
          </w:p>
        </w:tc>
        <w:tc>
          <w:tcPr>
            <w:tcW w:w="826" w:type="dxa"/>
          </w:tcPr>
          <w:p w14:paraId="3CC94744" w14:textId="77777777" w:rsidR="00E617CC" w:rsidRPr="00A700E7" w:rsidRDefault="00E617CC" w:rsidP="007A6B1F">
            <w:pPr>
              <w:jc w:val="left"/>
              <w:rPr>
                <w:sz w:val="20"/>
                <w:szCs w:val="20"/>
              </w:rPr>
            </w:pPr>
            <w:r w:rsidRPr="00A700E7">
              <w:rPr>
                <w:sz w:val="20"/>
                <w:szCs w:val="20"/>
              </w:rPr>
              <w:t>0</w:t>
            </w:r>
          </w:p>
        </w:tc>
        <w:tc>
          <w:tcPr>
            <w:tcW w:w="1418" w:type="dxa"/>
          </w:tcPr>
          <w:p w14:paraId="10BFD878" w14:textId="77777777" w:rsidR="00E617CC" w:rsidRPr="00A700E7" w:rsidRDefault="00E617CC" w:rsidP="007A6B1F">
            <w:pPr>
              <w:jc w:val="left"/>
              <w:rPr>
                <w:sz w:val="20"/>
                <w:szCs w:val="20"/>
              </w:rPr>
            </w:pPr>
            <w:r w:rsidRPr="00A700E7">
              <w:rPr>
                <w:sz w:val="20"/>
                <w:szCs w:val="20"/>
              </w:rPr>
              <w:t>0%</w:t>
            </w:r>
          </w:p>
        </w:tc>
        <w:tc>
          <w:tcPr>
            <w:tcW w:w="709" w:type="dxa"/>
          </w:tcPr>
          <w:p w14:paraId="2AE02220" w14:textId="77777777" w:rsidR="00E617CC" w:rsidRPr="00A700E7" w:rsidRDefault="00E617CC" w:rsidP="007A6B1F">
            <w:pPr>
              <w:jc w:val="left"/>
              <w:rPr>
                <w:sz w:val="20"/>
                <w:szCs w:val="20"/>
              </w:rPr>
            </w:pPr>
            <w:r w:rsidRPr="00A700E7">
              <w:rPr>
                <w:sz w:val="20"/>
                <w:szCs w:val="20"/>
              </w:rPr>
              <w:t>6</w:t>
            </w:r>
          </w:p>
        </w:tc>
        <w:tc>
          <w:tcPr>
            <w:tcW w:w="1417" w:type="dxa"/>
          </w:tcPr>
          <w:p w14:paraId="7389F7BE" w14:textId="77777777" w:rsidR="00E617CC" w:rsidRPr="00A700E7" w:rsidRDefault="00E617CC" w:rsidP="007A6B1F">
            <w:pPr>
              <w:jc w:val="left"/>
              <w:rPr>
                <w:sz w:val="20"/>
                <w:szCs w:val="20"/>
              </w:rPr>
            </w:pPr>
            <w:r w:rsidRPr="00A700E7">
              <w:rPr>
                <w:sz w:val="20"/>
                <w:szCs w:val="20"/>
              </w:rPr>
              <w:t>13.6%</w:t>
            </w:r>
          </w:p>
        </w:tc>
      </w:tr>
      <w:tr w:rsidR="00A700E7" w:rsidRPr="00A700E7" w14:paraId="08F8A78E" w14:textId="77777777" w:rsidTr="00A378B6">
        <w:tc>
          <w:tcPr>
            <w:tcW w:w="2036" w:type="dxa"/>
            <w:shd w:val="clear" w:color="auto" w:fill="auto"/>
          </w:tcPr>
          <w:p w14:paraId="7D3D61A4" w14:textId="77777777" w:rsidR="00E617CC" w:rsidRPr="00A700E7" w:rsidRDefault="00E617CC" w:rsidP="007A6B1F">
            <w:pPr>
              <w:jc w:val="left"/>
              <w:rPr>
                <w:sz w:val="20"/>
                <w:szCs w:val="20"/>
              </w:rPr>
            </w:pPr>
            <w:r w:rsidRPr="00A700E7">
              <w:rPr>
                <w:sz w:val="20"/>
                <w:szCs w:val="20"/>
              </w:rPr>
              <w:t>Dyspepsia</w:t>
            </w:r>
          </w:p>
        </w:tc>
        <w:tc>
          <w:tcPr>
            <w:tcW w:w="825" w:type="dxa"/>
          </w:tcPr>
          <w:p w14:paraId="36D7CBE9" w14:textId="77777777" w:rsidR="00E617CC" w:rsidRPr="00A700E7" w:rsidRDefault="00E617CC" w:rsidP="007A6B1F">
            <w:pPr>
              <w:jc w:val="left"/>
              <w:rPr>
                <w:sz w:val="20"/>
                <w:szCs w:val="20"/>
              </w:rPr>
            </w:pPr>
            <w:r w:rsidRPr="00A700E7">
              <w:rPr>
                <w:sz w:val="20"/>
                <w:szCs w:val="20"/>
              </w:rPr>
              <w:t>4</w:t>
            </w:r>
          </w:p>
        </w:tc>
        <w:tc>
          <w:tcPr>
            <w:tcW w:w="1132" w:type="dxa"/>
            <w:gridSpan w:val="2"/>
          </w:tcPr>
          <w:p w14:paraId="0FB682E3" w14:textId="77777777" w:rsidR="00E617CC" w:rsidRPr="00A700E7" w:rsidRDefault="00E617CC" w:rsidP="007A6B1F">
            <w:pPr>
              <w:jc w:val="left"/>
              <w:rPr>
                <w:sz w:val="20"/>
                <w:szCs w:val="20"/>
              </w:rPr>
            </w:pPr>
            <w:r w:rsidRPr="00A700E7">
              <w:rPr>
                <w:sz w:val="20"/>
                <w:szCs w:val="20"/>
              </w:rPr>
              <w:t>3.7%</w:t>
            </w:r>
          </w:p>
        </w:tc>
        <w:tc>
          <w:tcPr>
            <w:tcW w:w="826" w:type="dxa"/>
          </w:tcPr>
          <w:p w14:paraId="67C7FEC0" w14:textId="77777777" w:rsidR="00E617CC" w:rsidRPr="00A700E7" w:rsidRDefault="00E617CC" w:rsidP="007A6B1F">
            <w:pPr>
              <w:jc w:val="left"/>
              <w:rPr>
                <w:sz w:val="20"/>
                <w:szCs w:val="20"/>
              </w:rPr>
            </w:pPr>
            <w:r w:rsidRPr="00A700E7">
              <w:rPr>
                <w:sz w:val="20"/>
                <w:szCs w:val="20"/>
              </w:rPr>
              <w:t>0</w:t>
            </w:r>
          </w:p>
        </w:tc>
        <w:tc>
          <w:tcPr>
            <w:tcW w:w="1418" w:type="dxa"/>
          </w:tcPr>
          <w:p w14:paraId="7E85061B" w14:textId="77777777" w:rsidR="00E617CC" w:rsidRPr="00A700E7" w:rsidRDefault="00E617CC" w:rsidP="007A6B1F">
            <w:pPr>
              <w:jc w:val="left"/>
              <w:rPr>
                <w:sz w:val="20"/>
                <w:szCs w:val="20"/>
              </w:rPr>
            </w:pPr>
            <w:r w:rsidRPr="00A700E7">
              <w:rPr>
                <w:sz w:val="20"/>
                <w:szCs w:val="20"/>
              </w:rPr>
              <w:t>0%</w:t>
            </w:r>
          </w:p>
        </w:tc>
        <w:tc>
          <w:tcPr>
            <w:tcW w:w="709" w:type="dxa"/>
          </w:tcPr>
          <w:p w14:paraId="50482B66" w14:textId="77777777" w:rsidR="00E617CC" w:rsidRPr="00A700E7" w:rsidRDefault="00E617CC" w:rsidP="007A6B1F">
            <w:pPr>
              <w:jc w:val="left"/>
              <w:rPr>
                <w:sz w:val="20"/>
                <w:szCs w:val="20"/>
              </w:rPr>
            </w:pPr>
            <w:r w:rsidRPr="00A700E7">
              <w:rPr>
                <w:sz w:val="20"/>
                <w:szCs w:val="20"/>
              </w:rPr>
              <w:t>3</w:t>
            </w:r>
          </w:p>
        </w:tc>
        <w:tc>
          <w:tcPr>
            <w:tcW w:w="1417" w:type="dxa"/>
          </w:tcPr>
          <w:p w14:paraId="7BB5CFFA" w14:textId="77777777" w:rsidR="00E617CC" w:rsidRPr="00A700E7" w:rsidRDefault="00E617CC" w:rsidP="007A6B1F">
            <w:pPr>
              <w:jc w:val="left"/>
              <w:rPr>
                <w:sz w:val="20"/>
                <w:szCs w:val="20"/>
              </w:rPr>
            </w:pPr>
            <w:r w:rsidRPr="00A700E7">
              <w:rPr>
                <w:sz w:val="20"/>
                <w:szCs w:val="20"/>
              </w:rPr>
              <w:t>6.8%</w:t>
            </w:r>
          </w:p>
        </w:tc>
      </w:tr>
      <w:tr w:rsidR="00A700E7" w:rsidRPr="00A700E7" w14:paraId="1864E69C" w14:textId="77777777" w:rsidTr="00A378B6">
        <w:tc>
          <w:tcPr>
            <w:tcW w:w="2036" w:type="dxa"/>
            <w:shd w:val="clear" w:color="auto" w:fill="auto"/>
          </w:tcPr>
          <w:p w14:paraId="46409E45" w14:textId="77777777" w:rsidR="00E617CC" w:rsidRPr="00A700E7" w:rsidRDefault="00E617CC" w:rsidP="007A6B1F">
            <w:pPr>
              <w:jc w:val="left"/>
              <w:rPr>
                <w:sz w:val="20"/>
                <w:szCs w:val="20"/>
              </w:rPr>
            </w:pPr>
            <w:r w:rsidRPr="00A700E7">
              <w:rPr>
                <w:sz w:val="20"/>
                <w:szCs w:val="20"/>
              </w:rPr>
              <w:t>Vomiting</w:t>
            </w:r>
          </w:p>
        </w:tc>
        <w:tc>
          <w:tcPr>
            <w:tcW w:w="825" w:type="dxa"/>
          </w:tcPr>
          <w:p w14:paraId="380492EF" w14:textId="77777777" w:rsidR="00E617CC" w:rsidRPr="00A700E7" w:rsidRDefault="00E617CC" w:rsidP="007A6B1F">
            <w:pPr>
              <w:jc w:val="left"/>
              <w:rPr>
                <w:sz w:val="20"/>
                <w:szCs w:val="20"/>
              </w:rPr>
            </w:pPr>
            <w:r w:rsidRPr="00A700E7">
              <w:rPr>
                <w:sz w:val="20"/>
                <w:szCs w:val="20"/>
              </w:rPr>
              <w:t>4</w:t>
            </w:r>
          </w:p>
        </w:tc>
        <w:tc>
          <w:tcPr>
            <w:tcW w:w="1132" w:type="dxa"/>
            <w:gridSpan w:val="2"/>
          </w:tcPr>
          <w:p w14:paraId="2285BACF" w14:textId="77777777" w:rsidR="00E617CC" w:rsidRPr="00A700E7" w:rsidRDefault="00E617CC" w:rsidP="007A6B1F">
            <w:pPr>
              <w:jc w:val="left"/>
              <w:rPr>
                <w:sz w:val="20"/>
                <w:szCs w:val="20"/>
              </w:rPr>
            </w:pPr>
            <w:r w:rsidRPr="00A700E7">
              <w:rPr>
                <w:sz w:val="20"/>
                <w:szCs w:val="20"/>
              </w:rPr>
              <w:t>3.7%</w:t>
            </w:r>
          </w:p>
        </w:tc>
        <w:tc>
          <w:tcPr>
            <w:tcW w:w="826" w:type="dxa"/>
          </w:tcPr>
          <w:p w14:paraId="7F5C64D2" w14:textId="77777777" w:rsidR="00E617CC" w:rsidRPr="00A700E7" w:rsidRDefault="00E617CC" w:rsidP="007A6B1F">
            <w:pPr>
              <w:jc w:val="left"/>
              <w:rPr>
                <w:sz w:val="20"/>
                <w:szCs w:val="20"/>
              </w:rPr>
            </w:pPr>
            <w:r w:rsidRPr="00A700E7">
              <w:rPr>
                <w:sz w:val="20"/>
                <w:szCs w:val="20"/>
              </w:rPr>
              <w:t>0</w:t>
            </w:r>
          </w:p>
        </w:tc>
        <w:tc>
          <w:tcPr>
            <w:tcW w:w="1418" w:type="dxa"/>
          </w:tcPr>
          <w:p w14:paraId="1694D363" w14:textId="77777777" w:rsidR="00E617CC" w:rsidRPr="00A700E7" w:rsidRDefault="00E617CC" w:rsidP="007A6B1F">
            <w:pPr>
              <w:jc w:val="left"/>
              <w:rPr>
                <w:sz w:val="20"/>
                <w:szCs w:val="20"/>
              </w:rPr>
            </w:pPr>
            <w:r w:rsidRPr="00A700E7">
              <w:rPr>
                <w:sz w:val="20"/>
                <w:szCs w:val="20"/>
              </w:rPr>
              <w:t>0%</w:t>
            </w:r>
          </w:p>
        </w:tc>
        <w:tc>
          <w:tcPr>
            <w:tcW w:w="709" w:type="dxa"/>
          </w:tcPr>
          <w:p w14:paraId="667E439F" w14:textId="77777777" w:rsidR="00E617CC" w:rsidRPr="00A700E7" w:rsidRDefault="00E617CC" w:rsidP="007A6B1F">
            <w:pPr>
              <w:jc w:val="left"/>
              <w:rPr>
                <w:sz w:val="20"/>
                <w:szCs w:val="20"/>
              </w:rPr>
            </w:pPr>
            <w:r w:rsidRPr="00A700E7">
              <w:rPr>
                <w:sz w:val="20"/>
                <w:szCs w:val="20"/>
              </w:rPr>
              <w:t>2</w:t>
            </w:r>
          </w:p>
        </w:tc>
        <w:tc>
          <w:tcPr>
            <w:tcW w:w="1417" w:type="dxa"/>
          </w:tcPr>
          <w:p w14:paraId="14F50F9E" w14:textId="77777777" w:rsidR="00E617CC" w:rsidRPr="00A700E7" w:rsidRDefault="00E617CC" w:rsidP="007A6B1F">
            <w:pPr>
              <w:jc w:val="left"/>
              <w:rPr>
                <w:sz w:val="20"/>
                <w:szCs w:val="20"/>
              </w:rPr>
            </w:pPr>
            <w:r w:rsidRPr="00A700E7">
              <w:rPr>
                <w:sz w:val="20"/>
                <w:szCs w:val="20"/>
              </w:rPr>
              <w:t>4.5%</w:t>
            </w:r>
          </w:p>
        </w:tc>
      </w:tr>
      <w:tr w:rsidR="00A700E7" w:rsidRPr="00A700E7" w14:paraId="124EB06B" w14:textId="77777777" w:rsidTr="00A378B6">
        <w:tc>
          <w:tcPr>
            <w:tcW w:w="8363" w:type="dxa"/>
            <w:gridSpan w:val="8"/>
            <w:shd w:val="clear" w:color="auto" w:fill="D9D9D9" w:themeFill="background1" w:themeFillShade="D9"/>
          </w:tcPr>
          <w:p w14:paraId="71EFA9B6" w14:textId="77777777" w:rsidR="00E617CC" w:rsidRPr="00A700E7" w:rsidRDefault="00E617CC" w:rsidP="007A6B1F">
            <w:pPr>
              <w:jc w:val="left"/>
              <w:rPr>
                <w:sz w:val="20"/>
                <w:szCs w:val="20"/>
              </w:rPr>
            </w:pPr>
            <w:r w:rsidRPr="00A700E7">
              <w:rPr>
                <w:sz w:val="20"/>
                <w:szCs w:val="20"/>
              </w:rPr>
              <w:t>Nervous system disorders</w:t>
            </w:r>
          </w:p>
        </w:tc>
      </w:tr>
      <w:tr w:rsidR="00A700E7" w:rsidRPr="00A700E7" w14:paraId="57141F7D" w14:textId="77777777" w:rsidTr="00A378B6">
        <w:tc>
          <w:tcPr>
            <w:tcW w:w="2036" w:type="dxa"/>
            <w:shd w:val="clear" w:color="auto" w:fill="auto"/>
          </w:tcPr>
          <w:p w14:paraId="6FD2B1BD" w14:textId="77777777" w:rsidR="00E617CC" w:rsidRPr="00A700E7" w:rsidRDefault="00E617CC" w:rsidP="007A6B1F">
            <w:pPr>
              <w:jc w:val="left"/>
              <w:rPr>
                <w:sz w:val="20"/>
                <w:szCs w:val="20"/>
              </w:rPr>
            </w:pPr>
            <w:r w:rsidRPr="00A700E7">
              <w:rPr>
                <w:sz w:val="20"/>
                <w:szCs w:val="20"/>
              </w:rPr>
              <w:t>Headache</w:t>
            </w:r>
          </w:p>
        </w:tc>
        <w:tc>
          <w:tcPr>
            <w:tcW w:w="825" w:type="dxa"/>
          </w:tcPr>
          <w:p w14:paraId="00F99AB2" w14:textId="77777777" w:rsidR="00E617CC" w:rsidRPr="00A700E7" w:rsidRDefault="00E617CC" w:rsidP="007A6B1F">
            <w:pPr>
              <w:jc w:val="left"/>
              <w:rPr>
                <w:sz w:val="20"/>
                <w:szCs w:val="20"/>
              </w:rPr>
            </w:pPr>
            <w:r w:rsidRPr="00A700E7">
              <w:rPr>
                <w:sz w:val="20"/>
                <w:szCs w:val="20"/>
              </w:rPr>
              <w:t>18</w:t>
            </w:r>
          </w:p>
        </w:tc>
        <w:tc>
          <w:tcPr>
            <w:tcW w:w="1132" w:type="dxa"/>
            <w:gridSpan w:val="2"/>
          </w:tcPr>
          <w:p w14:paraId="02B05C09" w14:textId="77777777" w:rsidR="00E617CC" w:rsidRPr="00A700E7" w:rsidRDefault="00E617CC" w:rsidP="007A6B1F">
            <w:pPr>
              <w:jc w:val="left"/>
              <w:rPr>
                <w:sz w:val="20"/>
                <w:szCs w:val="20"/>
              </w:rPr>
            </w:pPr>
            <w:r w:rsidRPr="00A700E7">
              <w:rPr>
                <w:sz w:val="20"/>
                <w:szCs w:val="20"/>
              </w:rPr>
              <w:t>16.8%</w:t>
            </w:r>
          </w:p>
        </w:tc>
        <w:tc>
          <w:tcPr>
            <w:tcW w:w="826" w:type="dxa"/>
          </w:tcPr>
          <w:p w14:paraId="42C76FAE" w14:textId="77777777" w:rsidR="00E617CC" w:rsidRPr="00A700E7" w:rsidRDefault="00E617CC" w:rsidP="007A6B1F">
            <w:pPr>
              <w:jc w:val="left"/>
              <w:rPr>
                <w:sz w:val="20"/>
                <w:szCs w:val="20"/>
              </w:rPr>
            </w:pPr>
            <w:r w:rsidRPr="00A700E7">
              <w:rPr>
                <w:sz w:val="20"/>
                <w:szCs w:val="20"/>
              </w:rPr>
              <w:t>6</w:t>
            </w:r>
          </w:p>
        </w:tc>
        <w:tc>
          <w:tcPr>
            <w:tcW w:w="1418" w:type="dxa"/>
          </w:tcPr>
          <w:p w14:paraId="78144434" w14:textId="77777777" w:rsidR="00E617CC" w:rsidRPr="00A700E7" w:rsidRDefault="00E617CC" w:rsidP="007A6B1F">
            <w:pPr>
              <w:jc w:val="left"/>
              <w:rPr>
                <w:sz w:val="20"/>
                <w:szCs w:val="20"/>
              </w:rPr>
            </w:pPr>
            <w:r w:rsidRPr="00A700E7">
              <w:rPr>
                <w:sz w:val="20"/>
                <w:szCs w:val="20"/>
              </w:rPr>
              <w:t>17.1%</w:t>
            </w:r>
          </w:p>
        </w:tc>
        <w:tc>
          <w:tcPr>
            <w:tcW w:w="709" w:type="dxa"/>
          </w:tcPr>
          <w:p w14:paraId="3C897640" w14:textId="77777777" w:rsidR="00E617CC" w:rsidRPr="00A700E7" w:rsidRDefault="00E617CC" w:rsidP="007A6B1F">
            <w:pPr>
              <w:jc w:val="left"/>
              <w:rPr>
                <w:sz w:val="20"/>
                <w:szCs w:val="20"/>
              </w:rPr>
            </w:pPr>
            <w:r w:rsidRPr="00A700E7">
              <w:rPr>
                <w:sz w:val="20"/>
                <w:szCs w:val="20"/>
              </w:rPr>
              <w:t>6</w:t>
            </w:r>
          </w:p>
        </w:tc>
        <w:tc>
          <w:tcPr>
            <w:tcW w:w="1417" w:type="dxa"/>
          </w:tcPr>
          <w:p w14:paraId="008A5CBB" w14:textId="77777777" w:rsidR="00E617CC" w:rsidRPr="00A700E7" w:rsidRDefault="00E617CC" w:rsidP="007A6B1F">
            <w:pPr>
              <w:jc w:val="left"/>
              <w:rPr>
                <w:sz w:val="20"/>
                <w:szCs w:val="20"/>
              </w:rPr>
            </w:pPr>
            <w:r w:rsidRPr="00A700E7">
              <w:rPr>
                <w:sz w:val="20"/>
                <w:szCs w:val="20"/>
              </w:rPr>
              <w:t>13.6%</w:t>
            </w:r>
          </w:p>
        </w:tc>
      </w:tr>
      <w:tr w:rsidR="00A700E7" w:rsidRPr="00A700E7" w14:paraId="02E0CF6C" w14:textId="77777777" w:rsidTr="00A378B6">
        <w:tc>
          <w:tcPr>
            <w:tcW w:w="8363" w:type="dxa"/>
            <w:gridSpan w:val="8"/>
            <w:shd w:val="clear" w:color="auto" w:fill="D9D9D9" w:themeFill="background1" w:themeFillShade="D9"/>
          </w:tcPr>
          <w:p w14:paraId="3A08E909" w14:textId="77777777" w:rsidR="00E617CC" w:rsidRPr="00A700E7" w:rsidRDefault="00E617CC" w:rsidP="007A6B1F">
            <w:pPr>
              <w:jc w:val="left"/>
              <w:rPr>
                <w:sz w:val="20"/>
                <w:szCs w:val="20"/>
              </w:rPr>
            </w:pPr>
            <w:r w:rsidRPr="00A700E7">
              <w:rPr>
                <w:sz w:val="20"/>
                <w:szCs w:val="20"/>
              </w:rPr>
              <w:t>Musculoskeletal and connective tissue disorders</w:t>
            </w:r>
          </w:p>
        </w:tc>
      </w:tr>
      <w:tr w:rsidR="00A700E7" w:rsidRPr="00A700E7" w14:paraId="7D1FF11D" w14:textId="77777777" w:rsidTr="00A378B6">
        <w:tc>
          <w:tcPr>
            <w:tcW w:w="2036" w:type="dxa"/>
            <w:shd w:val="clear" w:color="auto" w:fill="auto"/>
          </w:tcPr>
          <w:p w14:paraId="05820AD9" w14:textId="77777777" w:rsidR="00E617CC" w:rsidRPr="00A700E7" w:rsidRDefault="00E617CC" w:rsidP="007A6B1F">
            <w:pPr>
              <w:jc w:val="left"/>
              <w:rPr>
                <w:sz w:val="20"/>
                <w:szCs w:val="20"/>
              </w:rPr>
            </w:pPr>
            <w:r w:rsidRPr="00A700E7">
              <w:rPr>
                <w:sz w:val="20"/>
                <w:szCs w:val="20"/>
              </w:rPr>
              <w:t>Myalgia</w:t>
            </w:r>
          </w:p>
        </w:tc>
        <w:tc>
          <w:tcPr>
            <w:tcW w:w="825" w:type="dxa"/>
          </w:tcPr>
          <w:p w14:paraId="68E6EB8B" w14:textId="77777777" w:rsidR="00E617CC" w:rsidRPr="00A700E7" w:rsidRDefault="00E617CC" w:rsidP="007A6B1F">
            <w:pPr>
              <w:jc w:val="left"/>
              <w:rPr>
                <w:sz w:val="20"/>
                <w:szCs w:val="20"/>
              </w:rPr>
            </w:pPr>
            <w:r w:rsidRPr="00A700E7">
              <w:rPr>
                <w:sz w:val="20"/>
                <w:szCs w:val="20"/>
              </w:rPr>
              <w:t>6</w:t>
            </w:r>
          </w:p>
        </w:tc>
        <w:tc>
          <w:tcPr>
            <w:tcW w:w="1132" w:type="dxa"/>
            <w:gridSpan w:val="2"/>
          </w:tcPr>
          <w:p w14:paraId="7DE7139E" w14:textId="77777777" w:rsidR="00E617CC" w:rsidRPr="00A700E7" w:rsidRDefault="00E617CC" w:rsidP="007A6B1F">
            <w:pPr>
              <w:jc w:val="left"/>
              <w:rPr>
                <w:sz w:val="20"/>
                <w:szCs w:val="20"/>
              </w:rPr>
            </w:pPr>
            <w:r w:rsidRPr="00A700E7">
              <w:rPr>
                <w:sz w:val="20"/>
                <w:szCs w:val="20"/>
              </w:rPr>
              <w:t>5.6%</w:t>
            </w:r>
          </w:p>
        </w:tc>
        <w:tc>
          <w:tcPr>
            <w:tcW w:w="826" w:type="dxa"/>
          </w:tcPr>
          <w:p w14:paraId="24E8870A" w14:textId="77777777" w:rsidR="00E617CC" w:rsidRPr="00A700E7" w:rsidRDefault="00E617CC" w:rsidP="007A6B1F">
            <w:pPr>
              <w:jc w:val="left"/>
              <w:rPr>
                <w:sz w:val="20"/>
                <w:szCs w:val="20"/>
              </w:rPr>
            </w:pPr>
            <w:r w:rsidRPr="00A700E7">
              <w:rPr>
                <w:sz w:val="20"/>
                <w:szCs w:val="20"/>
              </w:rPr>
              <w:t>0</w:t>
            </w:r>
          </w:p>
        </w:tc>
        <w:tc>
          <w:tcPr>
            <w:tcW w:w="1418" w:type="dxa"/>
          </w:tcPr>
          <w:p w14:paraId="0791612E" w14:textId="77777777" w:rsidR="00E617CC" w:rsidRPr="00A700E7" w:rsidRDefault="00E617CC" w:rsidP="007A6B1F">
            <w:pPr>
              <w:jc w:val="left"/>
              <w:rPr>
                <w:sz w:val="20"/>
                <w:szCs w:val="20"/>
              </w:rPr>
            </w:pPr>
            <w:r w:rsidRPr="00A700E7">
              <w:rPr>
                <w:sz w:val="20"/>
                <w:szCs w:val="20"/>
              </w:rPr>
              <w:t>0%</w:t>
            </w:r>
          </w:p>
        </w:tc>
        <w:tc>
          <w:tcPr>
            <w:tcW w:w="709" w:type="dxa"/>
          </w:tcPr>
          <w:p w14:paraId="6F49CD51" w14:textId="77777777" w:rsidR="00E617CC" w:rsidRPr="00A700E7" w:rsidRDefault="00E617CC" w:rsidP="007A6B1F">
            <w:pPr>
              <w:jc w:val="left"/>
              <w:rPr>
                <w:sz w:val="20"/>
                <w:szCs w:val="20"/>
              </w:rPr>
            </w:pPr>
            <w:r w:rsidRPr="00A700E7">
              <w:rPr>
                <w:sz w:val="20"/>
                <w:szCs w:val="20"/>
              </w:rPr>
              <w:t>2</w:t>
            </w:r>
          </w:p>
        </w:tc>
        <w:tc>
          <w:tcPr>
            <w:tcW w:w="1417" w:type="dxa"/>
          </w:tcPr>
          <w:p w14:paraId="7D5691AF" w14:textId="77777777" w:rsidR="00E617CC" w:rsidRPr="00A700E7" w:rsidRDefault="00E617CC" w:rsidP="007A6B1F">
            <w:pPr>
              <w:jc w:val="left"/>
              <w:rPr>
                <w:sz w:val="20"/>
                <w:szCs w:val="20"/>
              </w:rPr>
            </w:pPr>
            <w:r w:rsidRPr="00A700E7">
              <w:rPr>
                <w:sz w:val="20"/>
                <w:szCs w:val="20"/>
              </w:rPr>
              <w:t>4.5%</w:t>
            </w:r>
          </w:p>
        </w:tc>
      </w:tr>
      <w:tr w:rsidR="00A700E7" w:rsidRPr="00A700E7" w14:paraId="49866D08" w14:textId="77777777" w:rsidTr="00A378B6">
        <w:tc>
          <w:tcPr>
            <w:tcW w:w="2036" w:type="dxa"/>
            <w:shd w:val="clear" w:color="auto" w:fill="auto"/>
          </w:tcPr>
          <w:p w14:paraId="4D71E031" w14:textId="77777777" w:rsidR="00E617CC" w:rsidRPr="00A700E7" w:rsidRDefault="00E617CC" w:rsidP="007A6B1F">
            <w:pPr>
              <w:jc w:val="left"/>
              <w:rPr>
                <w:sz w:val="20"/>
                <w:szCs w:val="20"/>
              </w:rPr>
            </w:pPr>
            <w:r w:rsidRPr="00A700E7">
              <w:rPr>
                <w:sz w:val="20"/>
                <w:szCs w:val="20"/>
              </w:rPr>
              <w:t>Back pain</w:t>
            </w:r>
          </w:p>
        </w:tc>
        <w:tc>
          <w:tcPr>
            <w:tcW w:w="825" w:type="dxa"/>
          </w:tcPr>
          <w:p w14:paraId="24B29EFB" w14:textId="77777777" w:rsidR="00E617CC" w:rsidRPr="00A700E7" w:rsidRDefault="00E617CC" w:rsidP="007A6B1F">
            <w:pPr>
              <w:jc w:val="left"/>
              <w:rPr>
                <w:sz w:val="20"/>
                <w:szCs w:val="20"/>
              </w:rPr>
            </w:pPr>
            <w:r w:rsidRPr="00A700E7">
              <w:rPr>
                <w:sz w:val="20"/>
                <w:szCs w:val="20"/>
              </w:rPr>
              <w:t>5</w:t>
            </w:r>
          </w:p>
        </w:tc>
        <w:tc>
          <w:tcPr>
            <w:tcW w:w="1132" w:type="dxa"/>
            <w:gridSpan w:val="2"/>
          </w:tcPr>
          <w:p w14:paraId="7389BB3A" w14:textId="77777777" w:rsidR="00E617CC" w:rsidRPr="00A700E7" w:rsidRDefault="00E617CC" w:rsidP="007A6B1F">
            <w:pPr>
              <w:jc w:val="left"/>
              <w:rPr>
                <w:sz w:val="20"/>
                <w:szCs w:val="20"/>
              </w:rPr>
            </w:pPr>
            <w:r w:rsidRPr="00A700E7">
              <w:rPr>
                <w:sz w:val="20"/>
                <w:szCs w:val="20"/>
              </w:rPr>
              <w:t>4.7%</w:t>
            </w:r>
          </w:p>
        </w:tc>
        <w:tc>
          <w:tcPr>
            <w:tcW w:w="826" w:type="dxa"/>
          </w:tcPr>
          <w:p w14:paraId="05E09B2E" w14:textId="77777777" w:rsidR="00E617CC" w:rsidRPr="00A700E7" w:rsidRDefault="00E617CC" w:rsidP="007A6B1F">
            <w:pPr>
              <w:jc w:val="left"/>
              <w:rPr>
                <w:sz w:val="20"/>
                <w:szCs w:val="20"/>
              </w:rPr>
            </w:pPr>
            <w:r w:rsidRPr="00A700E7">
              <w:rPr>
                <w:sz w:val="20"/>
                <w:szCs w:val="20"/>
              </w:rPr>
              <w:t>1</w:t>
            </w:r>
          </w:p>
        </w:tc>
        <w:tc>
          <w:tcPr>
            <w:tcW w:w="1418" w:type="dxa"/>
          </w:tcPr>
          <w:p w14:paraId="14ADF7F9" w14:textId="77777777" w:rsidR="00E617CC" w:rsidRPr="00A700E7" w:rsidRDefault="00E617CC" w:rsidP="007A6B1F">
            <w:pPr>
              <w:jc w:val="left"/>
              <w:rPr>
                <w:sz w:val="20"/>
                <w:szCs w:val="20"/>
              </w:rPr>
            </w:pPr>
            <w:r w:rsidRPr="00A700E7">
              <w:rPr>
                <w:sz w:val="20"/>
                <w:szCs w:val="20"/>
              </w:rPr>
              <w:t>2.9%</w:t>
            </w:r>
          </w:p>
        </w:tc>
        <w:tc>
          <w:tcPr>
            <w:tcW w:w="709" w:type="dxa"/>
          </w:tcPr>
          <w:p w14:paraId="710ED123" w14:textId="77777777" w:rsidR="00E617CC" w:rsidRPr="00A700E7" w:rsidRDefault="00E617CC" w:rsidP="007A6B1F">
            <w:pPr>
              <w:jc w:val="left"/>
              <w:rPr>
                <w:sz w:val="20"/>
                <w:szCs w:val="20"/>
              </w:rPr>
            </w:pPr>
            <w:r w:rsidRPr="00A700E7">
              <w:rPr>
                <w:sz w:val="20"/>
                <w:szCs w:val="20"/>
              </w:rPr>
              <w:t>4</w:t>
            </w:r>
          </w:p>
        </w:tc>
        <w:tc>
          <w:tcPr>
            <w:tcW w:w="1417" w:type="dxa"/>
          </w:tcPr>
          <w:p w14:paraId="607A2911" w14:textId="77777777" w:rsidR="00E617CC" w:rsidRPr="00A700E7" w:rsidRDefault="00E617CC" w:rsidP="007A6B1F">
            <w:pPr>
              <w:jc w:val="left"/>
              <w:rPr>
                <w:sz w:val="20"/>
                <w:szCs w:val="20"/>
              </w:rPr>
            </w:pPr>
            <w:r w:rsidRPr="00A700E7">
              <w:rPr>
                <w:sz w:val="20"/>
                <w:szCs w:val="20"/>
              </w:rPr>
              <w:t>9.1%</w:t>
            </w:r>
          </w:p>
        </w:tc>
      </w:tr>
      <w:tr w:rsidR="00A700E7" w:rsidRPr="00A700E7" w14:paraId="3FF1BA06" w14:textId="77777777" w:rsidTr="00A378B6">
        <w:tc>
          <w:tcPr>
            <w:tcW w:w="2036" w:type="dxa"/>
            <w:shd w:val="clear" w:color="auto" w:fill="auto"/>
          </w:tcPr>
          <w:p w14:paraId="4511AF69" w14:textId="77777777" w:rsidR="00E617CC" w:rsidRPr="00A700E7" w:rsidRDefault="00E617CC" w:rsidP="007A6B1F">
            <w:pPr>
              <w:jc w:val="left"/>
              <w:rPr>
                <w:sz w:val="20"/>
                <w:szCs w:val="20"/>
              </w:rPr>
            </w:pPr>
            <w:r w:rsidRPr="00A700E7">
              <w:rPr>
                <w:sz w:val="20"/>
                <w:szCs w:val="20"/>
              </w:rPr>
              <w:t>Arthralgia</w:t>
            </w:r>
          </w:p>
        </w:tc>
        <w:tc>
          <w:tcPr>
            <w:tcW w:w="825" w:type="dxa"/>
          </w:tcPr>
          <w:p w14:paraId="52833160" w14:textId="77777777" w:rsidR="00E617CC" w:rsidRPr="00A700E7" w:rsidRDefault="00E617CC" w:rsidP="007A6B1F">
            <w:pPr>
              <w:jc w:val="left"/>
              <w:rPr>
                <w:sz w:val="20"/>
                <w:szCs w:val="20"/>
              </w:rPr>
            </w:pPr>
            <w:r w:rsidRPr="00A700E7">
              <w:rPr>
                <w:sz w:val="20"/>
                <w:szCs w:val="20"/>
              </w:rPr>
              <w:t>4</w:t>
            </w:r>
          </w:p>
        </w:tc>
        <w:tc>
          <w:tcPr>
            <w:tcW w:w="1132" w:type="dxa"/>
            <w:gridSpan w:val="2"/>
          </w:tcPr>
          <w:p w14:paraId="0E0A0EBD" w14:textId="77777777" w:rsidR="00E617CC" w:rsidRPr="00A700E7" w:rsidRDefault="00E617CC" w:rsidP="007A6B1F">
            <w:pPr>
              <w:jc w:val="left"/>
              <w:rPr>
                <w:sz w:val="20"/>
                <w:szCs w:val="20"/>
              </w:rPr>
            </w:pPr>
            <w:r w:rsidRPr="00A700E7">
              <w:rPr>
                <w:sz w:val="20"/>
                <w:szCs w:val="20"/>
              </w:rPr>
              <w:t>3.7%</w:t>
            </w:r>
          </w:p>
        </w:tc>
        <w:tc>
          <w:tcPr>
            <w:tcW w:w="826" w:type="dxa"/>
          </w:tcPr>
          <w:p w14:paraId="32E41A7D" w14:textId="77777777" w:rsidR="00E617CC" w:rsidRPr="00A700E7" w:rsidRDefault="00E617CC" w:rsidP="007A6B1F">
            <w:pPr>
              <w:jc w:val="left"/>
              <w:rPr>
                <w:sz w:val="20"/>
                <w:szCs w:val="20"/>
              </w:rPr>
            </w:pPr>
            <w:r w:rsidRPr="00A700E7">
              <w:rPr>
                <w:sz w:val="20"/>
                <w:szCs w:val="20"/>
              </w:rPr>
              <w:t>2</w:t>
            </w:r>
          </w:p>
        </w:tc>
        <w:tc>
          <w:tcPr>
            <w:tcW w:w="1418" w:type="dxa"/>
          </w:tcPr>
          <w:p w14:paraId="73D8FF3B" w14:textId="77777777" w:rsidR="00E617CC" w:rsidRPr="00A700E7" w:rsidRDefault="00E617CC" w:rsidP="007A6B1F">
            <w:pPr>
              <w:jc w:val="left"/>
              <w:rPr>
                <w:sz w:val="20"/>
                <w:szCs w:val="20"/>
              </w:rPr>
            </w:pPr>
            <w:r w:rsidRPr="00A700E7">
              <w:rPr>
                <w:sz w:val="20"/>
                <w:szCs w:val="20"/>
              </w:rPr>
              <w:t>5.7%</w:t>
            </w:r>
          </w:p>
        </w:tc>
        <w:tc>
          <w:tcPr>
            <w:tcW w:w="709" w:type="dxa"/>
          </w:tcPr>
          <w:p w14:paraId="66C461C2" w14:textId="77777777" w:rsidR="00E617CC" w:rsidRPr="00A700E7" w:rsidRDefault="00E617CC" w:rsidP="007A6B1F">
            <w:pPr>
              <w:jc w:val="left"/>
              <w:rPr>
                <w:sz w:val="20"/>
                <w:szCs w:val="20"/>
              </w:rPr>
            </w:pPr>
            <w:r w:rsidRPr="00A700E7">
              <w:rPr>
                <w:sz w:val="20"/>
                <w:szCs w:val="20"/>
              </w:rPr>
              <w:t>4</w:t>
            </w:r>
          </w:p>
        </w:tc>
        <w:tc>
          <w:tcPr>
            <w:tcW w:w="1417" w:type="dxa"/>
          </w:tcPr>
          <w:p w14:paraId="16E73BE7" w14:textId="77777777" w:rsidR="00E617CC" w:rsidRPr="00A700E7" w:rsidRDefault="00E617CC" w:rsidP="007A6B1F">
            <w:pPr>
              <w:jc w:val="left"/>
              <w:rPr>
                <w:sz w:val="20"/>
                <w:szCs w:val="20"/>
              </w:rPr>
            </w:pPr>
            <w:r w:rsidRPr="00A700E7">
              <w:rPr>
                <w:sz w:val="20"/>
                <w:szCs w:val="20"/>
              </w:rPr>
              <w:t>9.1%</w:t>
            </w:r>
          </w:p>
        </w:tc>
      </w:tr>
      <w:tr w:rsidR="00A700E7" w:rsidRPr="00A700E7" w14:paraId="6CA90477" w14:textId="77777777" w:rsidTr="00A378B6">
        <w:tc>
          <w:tcPr>
            <w:tcW w:w="8363" w:type="dxa"/>
            <w:gridSpan w:val="8"/>
            <w:shd w:val="clear" w:color="auto" w:fill="D9D9D9" w:themeFill="background1" w:themeFillShade="D9"/>
          </w:tcPr>
          <w:p w14:paraId="377A5F5B" w14:textId="77777777" w:rsidR="00E617CC" w:rsidRPr="00A700E7" w:rsidRDefault="00E617CC" w:rsidP="007A6B1F">
            <w:pPr>
              <w:jc w:val="left"/>
              <w:rPr>
                <w:sz w:val="20"/>
                <w:szCs w:val="20"/>
              </w:rPr>
            </w:pPr>
            <w:r w:rsidRPr="00A700E7">
              <w:rPr>
                <w:sz w:val="20"/>
                <w:szCs w:val="20"/>
              </w:rPr>
              <w:t>Respiratory, thoracic and mediastinal disorders</w:t>
            </w:r>
          </w:p>
        </w:tc>
      </w:tr>
      <w:tr w:rsidR="00A700E7" w:rsidRPr="00A700E7" w14:paraId="79B79618" w14:textId="77777777" w:rsidTr="00A378B6">
        <w:tc>
          <w:tcPr>
            <w:tcW w:w="2036" w:type="dxa"/>
            <w:shd w:val="clear" w:color="auto" w:fill="auto"/>
          </w:tcPr>
          <w:p w14:paraId="2B1D4457" w14:textId="77777777" w:rsidR="00E617CC" w:rsidRPr="00A700E7" w:rsidRDefault="00E617CC" w:rsidP="007A6B1F">
            <w:pPr>
              <w:jc w:val="left"/>
              <w:rPr>
                <w:sz w:val="20"/>
                <w:szCs w:val="20"/>
              </w:rPr>
            </w:pPr>
            <w:r w:rsidRPr="00A700E7">
              <w:rPr>
                <w:sz w:val="20"/>
                <w:szCs w:val="20"/>
              </w:rPr>
              <w:t>Cough</w:t>
            </w:r>
          </w:p>
        </w:tc>
        <w:tc>
          <w:tcPr>
            <w:tcW w:w="825" w:type="dxa"/>
          </w:tcPr>
          <w:p w14:paraId="1CD381DE" w14:textId="77777777" w:rsidR="00E617CC" w:rsidRPr="00A700E7" w:rsidRDefault="00E617CC" w:rsidP="007A6B1F">
            <w:pPr>
              <w:jc w:val="left"/>
              <w:rPr>
                <w:sz w:val="20"/>
                <w:szCs w:val="20"/>
              </w:rPr>
            </w:pPr>
            <w:r w:rsidRPr="00A700E7">
              <w:rPr>
                <w:sz w:val="20"/>
                <w:szCs w:val="20"/>
              </w:rPr>
              <w:t>6</w:t>
            </w:r>
          </w:p>
        </w:tc>
        <w:tc>
          <w:tcPr>
            <w:tcW w:w="1132" w:type="dxa"/>
            <w:gridSpan w:val="2"/>
          </w:tcPr>
          <w:p w14:paraId="7929E754" w14:textId="77777777" w:rsidR="00E617CC" w:rsidRPr="00A700E7" w:rsidRDefault="00E617CC" w:rsidP="007A6B1F">
            <w:pPr>
              <w:jc w:val="left"/>
              <w:rPr>
                <w:sz w:val="20"/>
                <w:szCs w:val="20"/>
              </w:rPr>
            </w:pPr>
            <w:r w:rsidRPr="00A700E7">
              <w:rPr>
                <w:sz w:val="20"/>
                <w:szCs w:val="20"/>
              </w:rPr>
              <w:t>5.6%</w:t>
            </w:r>
          </w:p>
        </w:tc>
        <w:tc>
          <w:tcPr>
            <w:tcW w:w="826" w:type="dxa"/>
          </w:tcPr>
          <w:p w14:paraId="579C7EDF" w14:textId="77777777" w:rsidR="00E617CC" w:rsidRPr="00A700E7" w:rsidRDefault="00E617CC" w:rsidP="007A6B1F">
            <w:pPr>
              <w:jc w:val="left"/>
              <w:rPr>
                <w:sz w:val="20"/>
                <w:szCs w:val="20"/>
              </w:rPr>
            </w:pPr>
            <w:r w:rsidRPr="00A700E7">
              <w:rPr>
                <w:sz w:val="20"/>
                <w:szCs w:val="20"/>
              </w:rPr>
              <w:t>1</w:t>
            </w:r>
          </w:p>
        </w:tc>
        <w:tc>
          <w:tcPr>
            <w:tcW w:w="1418" w:type="dxa"/>
          </w:tcPr>
          <w:p w14:paraId="29BC0682" w14:textId="77777777" w:rsidR="00E617CC" w:rsidRPr="00A700E7" w:rsidRDefault="00E617CC" w:rsidP="007A6B1F">
            <w:pPr>
              <w:jc w:val="left"/>
              <w:rPr>
                <w:sz w:val="20"/>
                <w:szCs w:val="20"/>
              </w:rPr>
            </w:pPr>
            <w:r w:rsidRPr="00A700E7">
              <w:rPr>
                <w:sz w:val="20"/>
                <w:szCs w:val="20"/>
              </w:rPr>
              <w:t>2.9%</w:t>
            </w:r>
          </w:p>
        </w:tc>
        <w:tc>
          <w:tcPr>
            <w:tcW w:w="709" w:type="dxa"/>
          </w:tcPr>
          <w:p w14:paraId="2D52665F" w14:textId="77777777" w:rsidR="00E617CC" w:rsidRPr="00A700E7" w:rsidRDefault="00E617CC" w:rsidP="007A6B1F">
            <w:pPr>
              <w:jc w:val="left"/>
              <w:rPr>
                <w:sz w:val="20"/>
                <w:szCs w:val="20"/>
              </w:rPr>
            </w:pPr>
            <w:r w:rsidRPr="00A700E7">
              <w:rPr>
                <w:sz w:val="20"/>
                <w:szCs w:val="20"/>
              </w:rPr>
              <w:t>2</w:t>
            </w:r>
          </w:p>
        </w:tc>
        <w:tc>
          <w:tcPr>
            <w:tcW w:w="1417" w:type="dxa"/>
          </w:tcPr>
          <w:p w14:paraId="4D2E0661" w14:textId="77777777" w:rsidR="00E617CC" w:rsidRPr="00A700E7" w:rsidRDefault="00E617CC" w:rsidP="007A6B1F">
            <w:pPr>
              <w:jc w:val="left"/>
              <w:rPr>
                <w:sz w:val="20"/>
                <w:szCs w:val="20"/>
              </w:rPr>
            </w:pPr>
            <w:r w:rsidRPr="00A700E7">
              <w:rPr>
                <w:sz w:val="20"/>
                <w:szCs w:val="20"/>
              </w:rPr>
              <w:t>4.5%</w:t>
            </w:r>
          </w:p>
        </w:tc>
      </w:tr>
      <w:tr w:rsidR="00A700E7" w:rsidRPr="00A700E7" w14:paraId="33775055" w14:textId="77777777" w:rsidTr="00A378B6">
        <w:tc>
          <w:tcPr>
            <w:tcW w:w="2036" w:type="dxa"/>
            <w:shd w:val="clear" w:color="auto" w:fill="auto"/>
          </w:tcPr>
          <w:p w14:paraId="13061547" w14:textId="77777777" w:rsidR="00E617CC" w:rsidRPr="00A700E7" w:rsidRDefault="00E617CC" w:rsidP="007A6B1F">
            <w:pPr>
              <w:jc w:val="left"/>
              <w:rPr>
                <w:sz w:val="20"/>
                <w:szCs w:val="20"/>
              </w:rPr>
            </w:pPr>
            <w:proofErr w:type="spellStart"/>
            <w:r w:rsidRPr="00A700E7">
              <w:rPr>
                <w:sz w:val="20"/>
                <w:szCs w:val="20"/>
              </w:rPr>
              <w:t>Dyspnoea</w:t>
            </w:r>
            <w:proofErr w:type="spellEnd"/>
          </w:p>
        </w:tc>
        <w:tc>
          <w:tcPr>
            <w:tcW w:w="825" w:type="dxa"/>
          </w:tcPr>
          <w:p w14:paraId="6B6AF053" w14:textId="77777777" w:rsidR="00E617CC" w:rsidRPr="00A700E7" w:rsidRDefault="00E617CC" w:rsidP="007A6B1F">
            <w:pPr>
              <w:jc w:val="left"/>
              <w:rPr>
                <w:sz w:val="20"/>
                <w:szCs w:val="20"/>
              </w:rPr>
            </w:pPr>
            <w:r w:rsidRPr="00A700E7">
              <w:rPr>
                <w:sz w:val="20"/>
                <w:szCs w:val="20"/>
              </w:rPr>
              <w:t>4</w:t>
            </w:r>
          </w:p>
        </w:tc>
        <w:tc>
          <w:tcPr>
            <w:tcW w:w="1132" w:type="dxa"/>
            <w:gridSpan w:val="2"/>
          </w:tcPr>
          <w:p w14:paraId="00928E73" w14:textId="77777777" w:rsidR="00E617CC" w:rsidRPr="00A700E7" w:rsidRDefault="00E617CC" w:rsidP="007A6B1F">
            <w:pPr>
              <w:jc w:val="left"/>
              <w:rPr>
                <w:sz w:val="20"/>
                <w:szCs w:val="20"/>
              </w:rPr>
            </w:pPr>
            <w:r w:rsidRPr="00A700E7">
              <w:rPr>
                <w:sz w:val="20"/>
                <w:szCs w:val="20"/>
              </w:rPr>
              <w:t>3.7%</w:t>
            </w:r>
          </w:p>
        </w:tc>
        <w:tc>
          <w:tcPr>
            <w:tcW w:w="826" w:type="dxa"/>
          </w:tcPr>
          <w:p w14:paraId="116F93A4" w14:textId="77777777" w:rsidR="00E617CC" w:rsidRPr="00A700E7" w:rsidRDefault="00E617CC" w:rsidP="007A6B1F">
            <w:pPr>
              <w:jc w:val="left"/>
              <w:rPr>
                <w:sz w:val="20"/>
                <w:szCs w:val="20"/>
              </w:rPr>
            </w:pPr>
            <w:r w:rsidRPr="00A700E7">
              <w:rPr>
                <w:sz w:val="20"/>
                <w:szCs w:val="20"/>
              </w:rPr>
              <w:t>0</w:t>
            </w:r>
          </w:p>
        </w:tc>
        <w:tc>
          <w:tcPr>
            <w:tcW w:w="1418" w:type="dxa"/>
          </w:tcPr>
          <w:p w14:paraId="007FC776" w14:textId="77777777" w:rsidR="00E617CC" w:rsidRPr="00A700E7" w:rsidRDefault="00E617CC" w:rsidP="007A6B1F">
            <w:pPr>
              <w:jc w:val="left"/>
              <w:rPr>
                <w:sz w:val="20"/>
                <w:szCs w:val="20"/>
              </w:rPr>
            </w:pPr>
            <w:r w:rsidRPr="00A700E7">
              <w:rPr>
                <w:sz w:val="20"/>
                <w:szCs w:val="20"/>
              </w:rPr>
              <w:t>0%</w:t>
            </w:r>
          </w:p>
        </w:tc>
        <w:tc>
          <w:tcPr>
            <w:tcW w:w="709" w:type="dxa"/>
          </w:tcPr>
          <w:p w14:paraId="4113A06B" w14:textId="77777777" w:rsidR="00E617CC" w:rsidRPr="00A700E7" w:rsidRDefault="00E617CC" w:rsidP="007A6B1F">
            <w:pPr>
              <w:jc w:val="left"/>
              <w:rPr>
                <w:sz w:val="20"/>
                <w:szCs w:val="20"/>
              </w:rPr>
            </w:pPr>
            <w:r w:rsidRPr="00A700E7">
              <w:rPr>
                <w:sz w:val="20"/>
                <w:szCs w:val="20"/>
              </w:rPr>
              <w:t>2</w:t>
            </w:r>
          </w:p>
        </w:tc>
        <w:tc>
          <w:tcPr>
            <w:tcW w:w="1417" w:type="dxa"/>
          </w:tcPr>
          <w:p w14:paraId="28FE00F4" w14:textId="77777777" w:rsidR="00E617CC" w:rsidRPr="00A700E7" w:rsidRDefault="00E617CC" w:rsidP="007A6B1F">
            <w:pPr>
              <w:jc w:val="left"/>
              <w:rPr>
                <w:sz w:val="20"/>
                <w:szCs w:val="20"/>
              </w:rPr>
            </w:pPr>
            <w:r w:rsidRPr="00A700E7">
              <w:rPr>
                <w:sz w:val="20"/>
                <w:szCs w:val="20"/>
              </w:rPr>
              <w:t>4.5%</w:t>
            </w:r>
          </w:p>
        </w:tc>
      </w:tr>
      <w:tr w:rsidR="00A700E7" w:rsidRPr="00A700E7" w14:paraId="33FC829F" w14:textId="77777777" w:rsidTr="00A378B6">
        <w:tc>
          <w:tcPr>
            <w:tcW w:w="2036" w:type="dxa"/>
            <w:shd w:val="clear" w:color="auto" w:fill="auto"/>
          </w:tcPr>
          <w:p w14:paraId="03518F7F" w14:textId="77777777" w:rsidR="00E617CC" w:rsidRPr="00A700E7" w:rsidRDefault="00E617CC" w:rsidP="007A6B1F">
            <w:pPr>
              <w:jc w:val="left"/>
              <w:rPr>
                <w:sz w:val="20"/>
                <w:szCs w:val="20"/>
              </w:rPr>
            </w:pPr>
            <w:r w:rsidRPr="00A700E7">
              <w:rPr>
                <w:sz w:val="20"/>
                <w:szCs w:val="20"/>
              </w:rPr>
              <w:t>Nasal congestion</w:t>
            </w:r>
          </w:p>
        </w:tc>
        <w:tc>
          <w:tcPr>
            <w:tcW w:w="825" w:type="dxa"/>
          </w:tcPr>
          <w:p w14:paraId="6AFA9A9B" w14:textId="77777777" w:rsidR="00E617CC" w:rsidRPr="00A700E7" w:rsidRDefault="00E617CC" w:rsidP="007A6B1F">
            <w:pPr>
              <w:jc w:val="left"/>
              <w:rPr>
                <w:sz w:val="20"/>
                <w:szCs w:val="20"/>
              </w:rPr>
            </w:pPr>
            <w:r w:rsidRPr="00A700E7">
              <w:rPr>
                <w:sz w:val="20"/>
                <w:szCs w:val="20"/>
              </w:rPr>
              <w:t>4</w:t>
            </w:r>
          </w:p>
        </w:tc>
        <w:tc>
          <w:tcPr>
            <w:tcW w:w="1132" w:type="dxa"/>
            <w:gridSpan w:val="2"/>
          </w:tcPr>
          <w:p w14:paraId="2B0A113E" w14:textId="77777777" w:rsidR="00E617CC" w:rsidRPr="00A700E7" w:rsidRDefault="00E617CC" w:rsidP="007A6B1F">
            <w:pPr>
              <w:jc w:val="left"/>
              <w:rPr>
                <w:sz w:val="20"/>
                <w:szCs w:val="20"/>
              </w:rPr>
            </w:pPr>
            <w:r w:rsidRPr="00A700E7">
              <w:rPr>
                <w:sz w:val="20"/>
                <w:szCs w:val="20"/>
              </w:rPr>
              <w:t>3.7%</w:t>
            </w:r>
          </w:p>
        </w:tc>
        <w:tc>
          <w:tcPr>
            <w:tcW w:w="826" w:type="dxa"/>
          </w:tcPr>
          <w:p w14:paraId="3C443557" w14:textId="77777777" w:rsidR="00E617CC" w:rsidRPr="00A700E7" w:rsidRDefault="00E617CC" w:rsidP="007A6B1F">
            <w:pPr>
              <w:jc w:val="left"/>
              <w:rPr>
                <w:sz w:val="20"/>
                <w:szCs w:val="20"/>
              </w:rPr>
            </w:pPr>
            <w:r w:rsidRPr="00A700E7">
              <w:rPr>
                <w:sz w:val="20"/>
                <w:szCs w:val="20"/>
              </w:rPr>
              <w:t>0</w:t>
            </w:r>
          </w:p>
        </w:tc>
        <w:tc>
          <w:tcPr>
            <w:tcW w:w="1418" w:type="dxa"/>
          </w:tcPr>
          <w:p w14:paraId="1FBF1ED4" w14:textId="77777777" w:rsidR="00E617CC" w:rsidRPr="00A700E7" w:rsidRDefault="00E617CC" w:rsidP="007A6B1F">
            <w:pPr>
              <w:jc w:val="left"/>
              <w:rPr>
                <w:sz w:val="20"/>
                <w:szCs w:val="20"/>
              </w:rPr>
            </w:pPr>
            <w:r w:rsidRPr="00A700E7">
              <w:rPr>
                <w:sz w:val="20"/>
                <w:szCs w:val="20"/>
              </w:rPr>
              <w:t>0%</w:t>
            </w:r>
          </w:p>
        </w:tc>
        <w:tc>
          <w:tcPr>
            <w:tcW w:w="709" w:type="dxa"/>
          </w:tcPr>
          <w:p w14:paraId="020E64CA" w14:textId="77777777" w:rsidR="00E617CC" w:rsidRPr="00A700E7" w:rsidRDefault="00E617CC" w:rsidP="007A6B1F">
            <w:pPr>
              <w:jc w:val="left"/>
              <w:rPr>
                <w:sz w:val="20"/>
                <w:szCs w:val="20"/>
              </w:rPr>
            </w:pPr>
            <w:r w:rsidRPr="00A700E7">
              <w:rPr>
                <w:sz w:val="20"/>
                <w:szCs w:val="20"/>
              </w:rPr>
              <w:t>0</w:t>
            </w:r>
          </w:p>
        </w:tc>
        <w:tc>
          <w:tcPr>
            <w:tcW w:w="1417" w:type="dxa"/>
          </w:tcPr>
          <w:p w14:paraId="7D3D4E94" w14:textId="77777777" w:rsidR="00E617CC" w:rsidRPr="00A700E7" w:rsidRDefault="00E617CC" w:rsidP="007A6B1F">
            <w:pPr>
              <w:jc w:val="left"/>
              <w:rPr>
                <w:sz w:val="20"/>
                <w:szCs w:val="20"/>
              </w:rPr>
            </w:pPr>
            <w:r w:rsidRPr="00A700E7">
              <w:rPr>
                <w:sz w:val="20"/>
                <w:szCs w:val="20"/>
              </w:rPr>
              <w:t>0%</w:t>
            </w:r>
          </w:p>
        </w:tc>
      </w:tr>
      <w:tr w:rsidR="00A700E7" w:rsidRPr="00A700E7" w14:paraId="250D48DC" w14:textId="77777777" w:rsidTr="00A378B6">
        <w:tc>
          <w:tcPr>
            <w:tcW w:w="8363" w:type="dxa"/>
            <w:gridSpan w:val="8"/>
            <w:shd w:val="clear" w:color="auto" w:fill="D9D9D9" w:themeFill="background1" w:themeFillShade="D9"/>
          </w:tcPr>
          <w:p w14:paraId="792BEC18" w14:textId="77777777" w:rsidR="00E617CC" w:rsidRPr="00A700E7" w:rsidRDefault="00E617CC" w:rsidP="007A6B1F">
            <w:pPr>
              <w:jc w:val="left"/>
              <w:rPr>
                <w:sz w:val="20"/>
                <w:szCs w:val="20"/>
              </w:rPr>
            </w:pPr>
            <w:r w:rsidRPr="00A700E7">
              <w:rPr>
                <w:sz w:val="20"/>
                <w:szCs w:val="20"/>
              </w:rPr>
              <w:t>Cardiac disorders</w:t>
            </w:r>
          </w:p>
        </w:tc>
      </w:tr>
      <w:tr w:rsidR="00A700E7" w:rsidRPr="00A700E7" w14:paraId="58D32151" w14:textId="77777777" w:rsidTr="00A700E7">
        <w:tc>
          <w:tcPr>
            <w:tcW w:w="2036" w:type="dxa"/>
            <w:shd w:val="clear" w:color="auto" w:fill="auto"/>
          </w:tcPr>
          <w:p w14:paraId="09B0E862" w14:textId="77777777" w:rsidR="00E617CC" w:rsidRPr="00A700E7" w:rsidRDefault="00E617CC" w:rsidP="007A6B1F">
            <w:pPr>
              <w:jc w:val="left"/>
              <w:rPr>
                <w:sz w:val="20"/>
                <w:szCs w:val="20"/>
              </w:rPr>
            </w:pPr>
            <w:r w:rsidRPr="00A700E7">
              <w:rPr>
                <w:sz w:val="20"/>
                <w:szCs w:val="20"/>
              </w:rPr>
              <w:t>Cardiac failure</w:t>
            </w:r>
          </w:p>
        </w:tc>
        <w:tc>
          <w:tcPr>
            <w:tcW w:w="825" w:type="dxa"/>
          </w:tcPr>
          <w:p w14:paraId="62CF9D83" w14:textId="77777777" w:rsidR="00E617CC" w:rsidRPr="00A700E7" w:rsidRDefault="00E617CC" w:rsidP="007A6B1F">
            <w:pPr>
              <w:jc w:val="left"/>
              <w:rPr>
                <w:sz w:val="20"/>
                <w:szCs w:val="20"/>
              </w:rPr>
            </w:pPr>
            <w:r w:rsidRPr="00A700E7">
              <w:rPr>
                <w:sz w:val="20"/>
                <w:szCs w:val="20"/>
              </w:rPr>
              <w:t>4</w:t>
            </w:r>
          </w:p>
        </w:tc>
        <w:tc>
          <w:tcPr>
            <w:tcW w:w="1108" w:type="dxa"/>
          </w:tcPr>
          <w:p w14:paraId="51DAA758" w14:textId="77777777" w:rsidR="00E617CC" w:rsidRPr="00A700E7" w:rsidRDefault="00E617CC" w:rsidP="007A6B1F">
            <w:pPr>
              <w:jc w:val="left"/>
              <w:rPr>
                <w:sz w:val="20"/>
                <w:szCs w:val="20"/>
              </w:rPr>
            </w:pPr>
            <w:r w:rsidRPr="00A700E7">
              <w:rPr>
                <w:sz w:val="20"/>
                <w:szCs w:val="20"/>
              </w:rPr>
              <w:t>3.7%</w:t>
            </w:r>
          </w:p>
        </w:tc>
        <w:tc>
          <w:tcPr>
            <w:tcW w:w="850" w:type="dxa"/>
            <w:gridSpan w:val="2"/>
          </w:tcPr>
          <w:p w14:paraId="4C52C55E" w14:textId="77777777" w:rsidR="00E617CC" w:rsidRPr="00A700E7" w:rsidRDefault="00E617CC" w:rsidP="007A6B1F">
            <w:pPr>
              <w:jc w:val="left"/>
              <w:rPr>
                <w:sz w:val="20"/>
                <w:szCs w:val="20"/>
              </w:rPr>
            </w:pPr>
            <w:r w:rsidRPr="00A700E7">
              <w:rPr>
                <w:sz w:val="20"/>
                <w:szCs w:val="20"/>
              </w:rPr>
              <w:t>0</w:t>
            </w:r>
          </w:p>
        </w:tc>
        <w:tc>
          <w:tcPr>
            <w:tcW w:w="1418" w:type="dxa"/>
          </w:tcPr>
          <w:p w14:paraId="1E6A7E4B" w14:textId="77777777" w:rsidR="00E617CC" w:rsidRPr="00A700E7" w:rsidRDefault="00E617CC" w:rsidP="007A6B1F">
            <w:pPr>
              <w:jc w:val="left"/>
              <w:rPr>
                <w:sz w:val="20"/>
                <w:szCs w:val="20"/>
              </w:rPr>
            </w:pPr>
            <w:r w:rsidRPr="00A700E7">
              <w:rPr>
                <w:sz w:val="20"/>
                <w:szCs w:val="20"/>
              </w:rPr>
              <w:t>0%</w:t>
            </w:r>
          </w:p>
        </w:tc>
        <w:tc>
          <w:tcPr>
            <w:tcW w:w="709" w:type="dxa"/>
          </w:tcPr>
          <w:p w14:paraId="767BC03C" w14:textId="77777777" w:rsidR="00E617CC" w:rsidRPr="00A700E7" w:rsidRDefault="00E617CC" w:rsidP="007A6B1F">
            <w:pPr>
              <w:jc w:val="left"/>
              <w:rPr>
                <w:sz w:val="20"/>
                <w:szCs w:val="20"/>
              </w:rPr>
            </w:pPr>
            <w:r w:rsidRPr="00A700E7">
              <w:rPr>
                <w:sz w:val="20"/>
                <w:szCs w:val="20"/>
              </w:rPr>
              <w:t>1</w:t>
            </w:r>
          </w:p>
        </w:tc>
        <w:tc>
          <w:tcPr>
            <w:tcW w:w="1417" w:type="dxa"/>
          </w:tcPr>
          <w:p w14:paraId="048AB875" w14:textId="77777777" w:rsidR="00E617CC" w:rsidRPr="00A700E7" w:rsidRDefault="00E617CC" w:rsidP="007A6B1F">
            <w:pPr>
              <w:jc w:val="left"/>
              <w:rPr>
                <w:sz w:val="20"/>
                <w:szCs w:val="20"/>
              </w:rPr>
            </w:pPr>
            <w:r w:rsidRPr="00A700E7">
              <w:rPr>
                <w:sz w:val="20"/>
                <w:szCs w:val="20"/>
              </w:rPr>
              <w:t>2.3%</w:t>
            </w:r>
          </w:p>
        </w:tc>
      </w:tr>
      <w:tr w:rsidR="00A700E7" w:rsidRPr="00A700E7" w14:paraId="4ABAD372" w14:textId="77777777" w:rsidTr="00A700E7">
        <w:tc>
          <w:tcPr>
            <w:tcW w:w="2036" w:type="dxa"/>
            <w:shd w:val="clear" w:color="auto" w:fill="auto"/>
          </w:tcPr>
          <w:p w14:paraId="36B1FED6" w14:textId="77777777" w:rsidR="00E617CC" w:rsidRPr="00A700E7" w:rsidRDefault="00E617CC" w:rsidP="007A6B1F">
            <w:pPr>
              <w:jc w:val="left"/>
              <w:rPr>
                <w:sz w:val="20"/>
                <w:szCs w:val="20"/>
              </w:rPr>
            </w:pPr>
            <w:r w:rsidRPr="00A700E7">
              <w:rPr>
                <w:sz w:val="20"/>
                <w:szCs w:val="20"/>
              </w:rPr>
              <w:t>Palpitations</w:t>
            </w:r>
          </w:p>
        </w:tc>
        <w:tc>
          <w:tcPr>
            <w:tcW w:w="825" w:type="dxa"/>
          </w:tcPr>
          <w:p w14:paraId="658A2C7C" w14:textId="77777777" w:rsidR="00E617CC" w:rsidRPr="00A700E7" w:rsidRDefault="00E617CC" w:rsidP="007A6B1F">
            <w:pPr>
              <w:jc w:val="left"/>
              <w:rPr>
                <w:sz w:val="20"/>
                <w:szCs w:val="20"/>
              </w:rPr>
            </w:pPr>
            <w:r w:rsidRPr="00A700E7">
              <w:rPr>
                <w:sz w:val="20"/>
                <w:szCs w:val="20"/>
              </w:rPr>
              <w:t>4</w:t>
            </w:r>
          </w:p>
        </w:tc>
        <w:tc>
          <w:tcPr>
            <w:tcW w:w="1108" w:type="dxa"/>
          </w:tcPr>
          <w:p w14:paraId="00D97B99" w14:textId="77777777" w:rsidR="00E617CC" w:rsidRPr="00A700E7" w:rsidRDefault="00E617CC" w:rsidP="007A6B1F">
            <w:pPr>
              <w:jc w:val="left"/>
              <w:rPr>
                <w:sz w:val="20"/>
                <w:szCs w:val="20"/>
              </w:rPr>
            </w:pPr>
            <w:r w:rsidRPr="00A700E7">
              <w:rPr>
                <w:sz w:val="20"/>
                <w:szCs w:val="20"/>
              </w:rPr>
              <w:t>3.7%</w:t>
            </w:r>
          </w:p>
        </w:tc>
        <w:tc>
          <w:tcPr>
            <w:tcW w:w="850" w:type="dxa"/>
            <w:gridSpan w:val="2"/>
          </w:tcPr>
          <w:p w14:paraId="32675B4C" w14:textId="77777777" w:rsidR="00E617CC" w:rsidRPr="00A700E7" w:rsidRDefault="00E617CC" w:rsidP="007A6B1F">
            <w:pPr>
              <w:jc w:val="left"/>
              <w:rPr>
                <w:sz w:val="20"/>
                <w:szCs w:val="20"/>
              </w:rPr>
            </w:pPr>
            <w:r w:rsidRPr="00A700E7">
              <w:rPr>
                <w:sz w:val="20"/>
                <w:szCs w:val="20"/>
              </w:rPr>
              <w:t>1</w:t>
            </w:r>
          </w:p>
        </w:tc>
        <w:tc>
          <w:tcPr>
            <w:tcW w:w="1418" w:type="dxa"/>
          </w:tcPr>
          <w:p w14:paraId="42264DB9" w14:textId="77777777" w:rsidR="00E617CC" w:rsidRPr="00A700E7" w:rsidRDefault="00E617CC" w:rsidP="007A6B1F">
            <w:pPr>
              <w:jc w:val="left"/>
              <w:rPr>
                <w:sz w:val="20"/>
                <w:szCs w:val="20"/>
              </w:rPr>
            </w:pPr>
            <w:r w:rsidRPr="00A700E7">
              <w:rPr>
                <w:sz w:val="20"/>
                <w:szCs w:val="20"/>
              </w:rPr>
              <w:t>2.9%</w:t>
            </w:r>
          </w:p>
        </w:tc>
        <w:tc>
          <w:tcPr>
            <w:tcW w:w="709" w:type="dxa"/>
          </w:tcPr>
          <w:p w14:paraId="528092C0" w14:textId="77777777" w:rsidR="00E617CC" w:rsidRPr="00A700E7" w:rsidRDefault="00E617CC" w:rsidP="007A6B1F">
            <w:pPr>
              <w:jc w:val="left"/>
              <w:rPr>
                <w:sz w:val="20"/>
                <w:szCs w:val="20"/>
              </w:rPr>
            </w:pPr>
            <w:r w:rsidRPr="00A700E7">
              <w:rPr>
                <w:sz w:val="20"/>
                <w:szCs w:val="20"/>
              </w:rPr>
              <w:t>2</w:t>
            </w:r>
          </w:p>
        </w:tc>
        <w:tc>
          <w:tcPr>
            <w:tcW w:w="1417" w:type="dxa"/>
          </w:tcPr>
          <w:p w14:paraId="298ABE7F" w14:textId="77777777" w:rsidR="00E617CC" w:rsidRPr="00A700E7" w:rsidRDefault="00E617CC" w:rsidP="007A6B1F">
            <w:pPr>
              <w:jc w:val="left"/>
              <w:rPr>
                <w:sz w:val="20"/>
                <w:szCs w:val="20"/>
              </w:rPr>
            </w:pPr>
            <w:r w:rsidRPr="00A700E7">
              <w:rPr>
                <w:sz w:val="20"/>
                <w:szCs w:val="20"/>
              </w:rPr>
              <w:t>4.5%</w:t>
            </w:r>
          </w:p>
        </w:tc>
      </w:tr>
      <w:tr w:rsidR="00A700E7" w:rsidRPr="00A700E7" w14:paraId="6E00EC1E" w14:textId="77777777" w:rsidTr="00A378B6">
        <w:tc>
          <w:tcPr>
            <w:tcW w:w="8363" w:type="dxa"/>
            <w:gridSpan w:val="8"/>
            <w:shd w:val="clear" w:color="auto" w:fill="D9D9D9" w:themeFill="background1" w:themeFillShade="D9"/>
          </w:tcPr>
          <w:p w14:paraId="7C4E96ED" w14:textId="77777777" w:rsidR="00E617CC" w:rsidRPr="00A700E7" w:rsidRDefault="00E617CC" w:rsidP="007A6B1F">
            <w:pPr>
              <w:jc w:val="left"/>
              <w:rPr>
                <w:sz w:val="20"/>
                <w:szCs w:val="20"/>
              </w:rPr>
            </w:pPr>
            <w:r w:rsidRPr="00A700E7">
              <w:rPr>
                <w:sz w:val="20"/>
                <w:szCs w:val="20"/>
              </w:rPr>
              <w:t>Blood and lymphatic system disorders</w:t>
            </w:r>
          </w:p>
        </w:tc>
      </w:tr>
      <w:tr w:rsidR="00A700E7" w:rsidRPr="00A700E7" w14:paraId="311DE7C6" w14:textId="77777777" w:rsidTr="00A700E7">
        <w:tc>
          <w:tcPr>
            <w:tcW w:w="2036" w:type="dxa"/>
            <w:shd w:val="clear" w:color="auto" w:fill="auto"/>
          </w:tcPr>
          <w:p w14:paraId="346F3C00" w14:textId="77777777" w:rsidR="00E617CC" w:rsidRPr="00A700E7" w:rsidRDefault="00E617CC" w:rsidP="007A6B1F">
            <w:pPr>
              <w:jc w:val="left"/>
              <w:rPr>
                <w:sz w:val="20"/>
                <w:szCs w:val="20"/>
              </w:rPr>
            </w:pPr>
            <w:proofErr w:type="spellStart"/>
            <w:r w:rsidRPr="00A700E7">
              <w:rPr>
                <w:sz w:val="20"/>
                <w:szCs w:val="20"/>
              </w:rPr>
              <w:t>Anaemia</w:t>
            </w:r>
            <w:proofErr w:type="spellEnd"/>
          </w:p>
        </w:tc>
        <w:tc>
          <w:tcPr>
            <w:tcW w:w="825" w:type="dxa"/>
          </w:tcPr>
          <w:p w14:paraId="2A5DA4A4" w14:textId="77777777" w:rsidR="00E617CC" w:rsidRPr="00A700E7" w:rsidRDefault="00E617CC" w:rsidP="007A6B1F">
            <w:pPr>
              <w:jc w:val="left"/>
              <w:rPr>
                <w:sz w:val="20"/>
                <w:szCs w:val="20"/>
              </w:rPr>
            </w:pPr>
            <w:r w:rsidRPr="00A700E7">
              <w:rPr>
                <w:sz w:val="20"/>
                <w:szCs w:val="20"/>
              </w:rPr>
              <w:t>8</w:t>
            </w:r>
          </w:p>
        </w:tc>
        <w:tc>
          <w:tcPr>
            <w:tcW w:w="1108" w:type="dxa"/>
          </w:tcPr>
          <w:p w14:paraId="6581FCD8" w14:textId="77777777" w:rsidR="00E617CC" w:rsidRPr="00A700E7" w:rsidRDefault="00E617CC" w:rsidP="007A6B1F">
            <w:pPr>
              <w:jc w:val="left"/>
              <w:rPr>
                <w:sz w:val="20"/>
                <w:szCs w:val="20"/>
              </w:rPr>
            </w:pPr>
            <w:r w:rsidRPr="00A700E7">
              <w:rPr>
                <w:sz w:val="20"/>
                <w:szCs w:val="20"/>
              </w:rPr>
              <w:t>7.5%</w:t>
            </w:r>
          </w:p>
        </w:tc>
        <w:tc>
          <w:tcPr>
            <w:tcW w:w="850" w:type="dxa"/>
            <w:gridSpan w:val="2"/>
          </w:tcPr>
          <w:p w14:paraId="46CDDF6F" w14:textId="77777777" w:rsidR="00E617CC" w:rsidRPr="00A700E7" w:rsidRDefault="00E617CC" w:rsidP="007A6B1F">
            <w:pPr>
              <w:jc w:val="left"/>
              <w:rPr>
                <w:sz w:val="20"/>
                <w:szCs w:val="20"/>
              </w:rPr>
            </w:pPr>
            <w:r w:rsidRPr="00A700E7">
              <w:rPr>
                <w:sz w:val="20"/>
                <w:szCs w:val="20"/>
              </w:rPr>
              <w:t>0</w:t>
            </w:r>
          </w:p>
        </w:tc>
        <w:tc>
          <w:tcPr>
            <w:tcW w:w="1418" w:type="dxa"/>
          </w:tcPr>
          <w:p w14:paraId="63016D8E" w14:textId="77777777" w:rsidR="00E617CC" w:rsidRPr="00A700E7" w:rsidRDefault="00E617CC" w:rsidP="007A6B1F">
            <w:pPr>
              <w:jc w:val="left"/>
              <w:rPr>
                <w:sz w:val="20"/>
                <w:szCs w:val="20"/>
              </w:rPr>
            </w:pPr>
            <w:r w:rsidRPr="00A700E7">
              <w:rPr>
                <w:sz w:val="20"/>
                <w:szCs w:val="20"/>
              </w:rPr>
              <w:t>0%</w:t>
            </w:r>
          </w:p>
        </w:tc>
        <w:tc>
          <w:tcPr>
            <w:tcW w:w="709" w:type="dxa"/>
          </w:tcPr>
          <w:p w14:paraId="48D4BE52" w14:textId="77777777" w:rsidR="00E617CC" w:rsidRPr="00A700E7" w:rsidRDefault="00E617CC" w:rsidP="007A6B1F">
            <w:pPr>
              <w:jc w:val="left"/>
              <w:rPr>
                <w:sz w:val="20"/>
                <w:szCs w:val="20"/>
              </w:rPr>
            </w:pPr>
            <w:r w:rsidRPr="00A700E7">
              <w:rPr>
                <w:sz w:val="20"/>
                <w:szCs w:val="20"/>
              </w:rPr>
              <w:t>0</w:t>
            </w:r>
          </w:p>
        </w:tc>
        <w:tc>
          <w:tcPr>
            <w:tcW w:w="1417" w:type="dxa"/>
          </w:tcPr>
          <w:p w14:paraId="2496328C" w14:textId="77777777" w:rsidR="00E617CC" w:rsidRPr="00A700E7" w:rsidRDefault="00E617CC" w:rsidP="007A6B1F">
            <w:pPr>
              <w:jc w:val="left"/>
              <w:rPr>
                <w:sz w:val="20"/>
                <w:szCs w:val="20"/>
              </w:rPr>
            </w:pPr>
            <w:r w:rsidRPr="00A700E7">
              <w:rPr>
                <w:sz w:val="20"/>
                <w:szCs w:val="20"/>
              </w:rPr>
              <w:t>0%</w:t>
            </w:r>
          </w:p>
        </w:tc>
      </w:tr>
      <w:tr w:rsidR="00A700E7" w:rsidRPr="00A700E7" w14:paraId="3AFF4CDD" w14:textId="77777777" w:rsidTr="00A700E7">
        <w:tc>
          <w:tcPr>
            <w:tcW w:w="2036" w:type="dxa"/>
            <w:shd w:val="clear" w:color="auto" w:fill="auto"/>
          </w:tcPr>
          <w:p w14:paraId="63515245" w14:textId="77777777" w:rsidR="00E617CC" w:rsidRPr="00A700E7" w:rsidRDefault="00E617CC" w:rsidP="007A6B1F">
            <w:pPr>
              <w:jc w:val="left"/>
              <w:rPr>
                <w:sz w:val="20"/>
                <w:szCs w:val="20"/>
              </w:rPr>
            </w:pPr>
            <w:proofErr w:type="spellStart"/>
            <w:r w:rsidRPr="00A700E7">
              <w:rPr>
                <w:sz w:val="20"/>
                <w:szCs w:val="20"/>
              </w:rPr>
              <w:t>Haemoglobin</w:t>
            </w:r>
            <w:proofErr w:type="spellEnd"/>
            <w:r w:rsidRPr="00A700E7">
              <w:rPr>
                <w:sz w:val="20"/>
                <w:szCs w:val="20"/>
              </w:rPr>
              <w:t xml:space="preserve"> decreased</w:t>
            </w:r>
          </w:p>
        </w:tc>
        <w:tc>
          <w:tcPr>
            <w:tcW w:w="825" w:type="dxa"/>
          </w:tcPr>
          <w:p w14:paraId="41CE1BE0" w14:textId="77777777" w:rsidR="00E617CC" w:rsidRPr="00A700E7" w:rsidRDefault="00E617CC" w:rsidP="007A6B1F">
            <w:pPr>
              <w:jc w:val="left"/>
              <w:rPr>
                <w:sz w:val="20"/>
                <w:szCs w:val="20"/>
              </w:rPr>
            </w:pPr>
            <w:r w:rsidRPr="00A700E7">
              <w:rPr>
                <w:sz w:val="20"/>
                <w:szCs w:val="20"/>
              </w:rPr>
              <w:t>8</w:t>
            </w:r>
          </w:p>
        </w:tc>
        <w:tc>
          <w:tcPr>
            <w:tcW w:w="1108" w:type="dxa"/>
          </w:tcPr>
          <w:p w14:paraId="1B102F0D" w14:textId="77777777" w:rsidR="00E617CC" w:rsidRPr="00A700E7" w:rsidRDefault="00E617CC" w:rsidP="007A6B1F">
            <w:pPr>
              <w:jc w:val="left"/>
              <w:rPr>
                <w:sz w:val="20"/>
                <w:szCs w:val="20"/>
              </w:rPr>
            </w:pPr>
            <w:r w:rsidRPr="00A700E7">
              <w:rPr>
                <w:sz w:val="20"/>
                <w:szCs w:val="20"/>
              </w:rPr>
              <w:t>7.5%</w:t>
            </w:r>
          </w:p>
        </w:tc>
        <w:tc>
          <w:tcPr>
            <w:tcW w:w="850" w:type="dxa"/>
            <w:gridSpan w:val="2"/>
          </w:tcPr>
          <w:p w14:paraId="56E9D4EC" w14:textId="77777777" w:rsidR="00E617CC" w:rsidRPr="00A700E7" w:rsidRDefault="00E617CC" w:rsidP="007A6B1F">
            <w:pPr>
              <w:jc w:val="left"/>
              <w:rPr>
                <w:sz w:val="20"/>
                <w:szCs w:val="20"/>
              </w:rPr>
            </w:pPr>
            <w:r w:rsidRPr="00A700E7">
              <w:rPr>
                <w:sz w:val="20"/>
                <w:szCs w:val="20"/>
              </w:rPr>
              <w:t>0</w:t>
            </w:r>
          </w:p>
        </w:tc>
        <w:tc>
          <w:tcPr>
            <w:tcW w:w="1418" w:type="dxa"/>
          </w:tcPr>
          <w:p w14:paraId="639A3B59" w14:textId="77777777" w:rsidR="00E617CC" w:rsidRPr="00A700E7" w:rsidRDefault="00E617CC" w:rsidP="007A6B1F">
            <w:pPr>
              <w:jc w:val="left"/>
              <w:rPr>
                <w:sz w:val="20"/>
                <w:szCs w:val="20"/>
              </w:rPr>
            </w:pPr>
            <w:r w:rsidRPr="00A700E7">
              <w:rPr>
                <w:sz w:val="20"/>
                <w:szCs w:val="20"/>
              </w:rPr>
              <w:t>0%</w:t>
            </w:r>
          </w:p>
        </w:tc>
        <w:tc>
          <w:tcPr>
            <w:tcW w:w="709" w:type="dxa"/>
          </w:tcPr>
          <w:p w14:paraId="2EE3A877" w14:textId="77777777" w:rsidR="00E617CC" w:rsidRPr="00A700E7" w:rsidRDefault="00E617CC" w:rsidP="007A6B1F">
            <w:pPr>
              <w:jc w:val="left"/>
              <w:rPr>
                <w:sz w:val="20"/>
                <w:szCs w:val="20"/>
              </w:rPr>
            </w:pPr>
            <w:r w:rsidRPr="00A700E7">
              <w:rPr>
                <w:sz w:val="20"/>
                <w:szCs w:val="20"/>
              </w:rPr>
              <w:t>0</w:t>
            </w:r>
          </w:p>
        </w:tc>
        <w:tc>
          <w:tcPr>
            <w:tcW w:w="1417" w:type="dxa"/>
          </w:tcPr>
          <w:p w14:paraId="6EC29C9E" w14:textId="77777777" w:rsidR="00E617CC" w:rsidRPr="00A700E7" w:rsidRDefault="00E617CC" w:rsidP="007A6B1F">
            <w:pPr>
              <w:jc w:val="left"/>
              <w:rPr>
                <w:sz w:val="20"/>
                <w:szCs w:val="20"/>
              </w:rPr>
            </w:pPr>
            <w:r w:rsidRPr="00A700E7">
              <w:rPr>
                <w:sz w:val="20"/>
                <w:szCs w:val="20"/>
              </w:rPr>
              <w:t>0%</w:t>
            </w:r>
          </w:p>
        </w:tc>
      </w:tr>
      <w:tr w:rsidR="00A700E7" w:rsidRPr="00A700E7" w14:paraId="4E9F273F" w14:textId="77777777" w:rsidTr="00A378B6">
        <w:tc>
          <w:tcPr>
            <w:tcW w:w="8363" w:type="dxa"/>
            <w:gridSpan w:val="8"/>
            <w:shd w:val="clear" w:color="auto" w:fill="D9D9D9" w:themeFill="background1" w:themeFillShade="D9"/>
          </w:tcPr>
          <w:p w14:paraId="6F3490AD" w14:textId="77777777" w:rsidR="00E617CC" w:rsidRPr="00A700E7" w:rsidRDefault="00E617CC" w:rsidP="007A6B1F">
            <w:pPr>
              <w:jc w:val="left"/>
              <w:rPr>
                <w:sz w:val="20"/>
                <w:szCs w:val="20"/>
              </w:rPr>
            </w:pPr>
            <w:r w:rsidRPr="00A700E7">
              <w:rPr>
                <w:sz w:val="20"/>
                <w:szCs w:val="20"/>
              </w:rPr>
              <w:t>Vascular disorders</w:t>
            </w:r>
          </w:p>
        </w:tc>
      </w:tr>
      <w:tr w:rsidR="00A700E7" w:rsidRPr="00A700E7" w14:paraId="569EEA6E" w14:textId="77777777" w:rsidTr="00A700E7">
        <w:tc>
          <w:tcPr>
            <w:tcW w:w="2036" w:type="dxa"/>
            <w:shd w:val="clear" w:color="auto" w:fill="auto"/>
          </w:tcPr>
          <w:p w14:paraId="4AB17307" w14:textId="77777777" w:rsidR="00E617CC" w:rsidRPr="00A700E7" w:rsidRDefault="00E617CC" w:rsidP="007A6B1F">
            <w:pPr>
              <w:jc w:val="left"/>
              <w:rPr>
                <w:sz w:val="20"/>
                <w:szCs w:val="20"/>
              </w:rPr>
            </w:pPr>
            <w:r w:rsidRPr="00A700E7">
              <w:rPr>
                <w:sz w:val="20"/>
                <w:szCs w:val="20"/>
              </w:rPr>
              <w:t>Hypotension</w:t>
            </w:r>
          </w:p>
        </w:tc>
        <w:tc>
          <w:tcPr>
            <w:tcW w:w="825" w:type="dxa"/>
          </w:tcPr>
          <w:p w14:paraId="1496B6E7" w14:textId="77777777" w:rsidR="00E617CC" w:rsidRPr="00A700E7" w:rsidRDefault="00E617CC" w:rsidP="007A6B1F">
            <w:pPr>
              <w:jc w:val="left"/>
              <w:rPr>
                <w:sz w:val="20"/>
                <w:szCs w:val="20"/>
              </w:rPr>
            </w:pPr>
            <w:r w:rsidRPr="00A700E7">
              <w:rPr>
                <w:sz w:val="20"/>
                <w:szCs w:val="20"/>
              </w:rPr>
              <w:t>8</w:t>
            </w:r>
          </w:p>
        </w:tc>
        <w:tc>
          <w:tcPr>
            <w:tcW w:w="1108" w:type="dxa"/>
          </w:tcPr>
          <w:p w14:paraId="74F369D9" w14:textId="77777777" w:rsidR="00E617CC" w:rsidRPr="00A700E7" w:rsidRDefault="00E617CC" w:rsidP="007A6B1F">
            <w:pPr>
              <w:jc w:val="left"/>
              <w:rPr>
                <w:sz w:val="20"/>
                <w:szCs w:val="20"/>
              </w:rPr>
            </w:pPr>
            <w:r w:rsidRPr="00A700E7">
              <w:rPr>
                <w:sz w:val="20"/>
                <w:szCs w:val="20"/>
              </w:rPr>
              <w:t>7.5%</w:t>
            </w:r>
          </w:p>
        </w:tc>
        <w:tc>
          <w:tcPr>
            <w:tcW w:w="850" w:type="dxa"/>
            <w:gridSpan w:val="2"/>
          </w:tcPr>
          <w:p w14:paraId="393090EF" w14:textId="77777777" w:rsidR="00E617CC" w:rsidRPr="00A700E7" w:rsidRDefault="00E617CC" w:rsidP="007A6B1F">
            <w:pPr>
              <w:jc w:val="left"/>
              <w:rPr>
                <w:sz w:val="20"/>
                <w:szCs w:val="20"/>
              </w:rPr>
            </w:pPr>
            <w:r w:rsidRPr="00A700E7">
              <w:rPr>
                <w:sz w:val="20"/>
                <w:szCs w:val="20"/>
              </w:rPr>
              <w:t>0</w:t>
            </w:r>
          </w:p>
        </w:tc>
        <w:tc>
          <w:tcPr>
            <w:tcW w:w="1418" w:type="dxa"/>
          </w:tcPr>
          <w:p w14:paraId="1734F845" w14:textId="77777777" w:rsidR="00E617CC" w:rsidRPr="00A700E7" w:rsidRDefault="00E617CC" w:rsidP="007A6B1F">
            <w:pPr>
              <w:jc w:val="left"/>
              <w:rPr>
                <w:sz w:val="20"/>
                <w:szCs w:val="20"/>
              </w:rPr>
            </w:pPr>
            <w:r w:rsidRPr="00A700E7">
              <w:rPr>
                <w:sz w:val="20"/>
                <w:szCs w:val="20"/>
              </w:rPr>
              <w:t>0%</w:t>
            </w:r>
          </w:p>
        </w:tc>
        <w:tc>
          <w:tcPr>
            <w:tcW w:w="709" w:type="dxa"/>
          </w:tcPr>
          <w:p w14:paraId="66252191" w14:textId="77777777" w:rsidR="00E617CC" w:rsidRPr="00A700E7" w:rsidRDefault="00E617CC" w:rsidP="007A6B1F">
            <w:pPr>
              <w:jc w:val="left"/>
              <w:rPr>
                <w:sz w:val="20"/>
                <w:szCs w:val="20"/>
              </w:rPr>
            </w:pPr>
            <w:r w:rsidRPr="00A700E7">
              <w:rPr>
                <w:sz w:val="20"/>
                <w:szCs w:val="20"/>
              </w:rPr>
              <w:t>0</w:t>
            </w:r>
          </w:p>
        </w:tc>
        <w:tc>
          <w:tcPr>
            <w:tcW w:w="1417" w:type="dxa"/>
          </w:tcPr>
          <w:p w14:paraId="3985A1DA" w14:textId="77777777" w:rsidR="00E617CC" w:rsidRPr="00A700E7" w:rsidRDefault="00E617CC" w:rsidP="007A6B1F">
            <w:pPr>
              <w:jc w:val="left"/>
              <w:rPr>
                <w:sz w:val="20"/>
                <w:szCs w:val="20"/>
              </w:rPr>
            </w:pPr>
            <w:r w:rsidRPr="00A700E7">
              <w:rPr>
                <w:sz w:val="20"/>
                <w:szCs w:val="20"/>
              </w:rPr>
              <w:t>0%</w:t>
            </w:r>
          </w:p>
        </w:tc>
      </w:tr>
      <w:bookmarkEnd w:id="17"/>
    </w:tbl>
    <w:p w14:paraId="7818E31A" w14:textId="77777777" w:rsidR="006D1641" w:rsidRPr="00A700E7" w:rsidRDefault="006D1641" w:rsidP="007A6B1F">
      <w:pPr>
        <w:jc w:val="left"/>
        <w:rPr>
          <w:sz w:val="20"/>
          <w:szCs w:val="20"/>
        </w:rPr>
      </w:pPr>
    </w:p>
    <w:p w14:paraId="09994E2D" w14:textId="2F57124F" w:rsidR="00C0302B" w:rsidRPr="00A700E7" w:rsidRDefault="00C0302B" w:rsidP="007A6B1F">
      <w:pPr>
        <w:jc w:val="left"/>
      </w:pPr>
      <w:r w:rsidRPr="00A700E7">
        <w:rPr>
          <w:rFonts w:hint="eastAsia"/>
        </w:rPr>
        <w:t>The incidence of treatment discontinuati</w:t>
      </w:r>
      <w:r w:rsidRPr="00A700E7">
        <w:t xml:space="preserve">ons due to adverse </w:t>
      </w:r>
      <w:r w:rsidR="0019160D" w:rsidRPr="00A700E7">
        <w:t xml:space="preserve">events </w:t>
      </w:r>
      <w:r w:rsidRPr="00A700E7">
        <w:t xml:space="preserve">among patients receiving </w:t>
      </w:r>
      <w:r w:rsidR="00673D18" w:rsidRPr="00A700E7">
        <w:t>OPSYNVI</w:t>
      </w:r>
      <w:r w:rsidRPr="00A700E7">
        <w:t xml:space="preserve"> in the double-blind phase of the study was 8.4%. </w:t>
      </w:r>
      <w:r w:rsidR="0019160D" w:rsidRPr="00A700E7" w:rsidDel="0019160D">
        <w:t xml:space="preserve"> </w:t>
      </w:r>
    </w:p>
    <w:p w14:paraId="12EF2EF1" w14:textId="779275BA" w:rsidR="00254A87" w:rsidRPr="00A700E7" w:rsidRDefault="0019160D" w:rsidP="007A6B1F">
      <w:pPr>
        <w:jc w:val="left"/>
      </w:pPr>
      <w:r w:rsidRPr="00A700E7" w:rsidDel="0019160D">
        <w:rPr>
          <w:rFonts w:hint="eastAsia"/>
        </w:rPr>
        <w:t xml:space="preserve"> </w:t>
      </w:r>
    </w:p>
    <w:p w14:paraId="00995D52" w14:textId="77777777" w:rsidR="00254A87" w:rsidRPr="00A700E7" w:rsidRDefault="00254A87" w:rsidP="007A6B1F">
      <w:pPr>
        <w:jc w:val="left"/>
      </w:pPr>
      <w:proofErr w:type="gramStart"/>
      <w:r w:rsidRPr="00A700E7">
        <w:t>The majority of</w:t>
      </w:r>
      <w:proofErr w:type="gramEnd"/>
      <w:r w:rsidRPr="00A700E7">
        <w:t xml:space="preserve"> adverse drug reactions were mild to </w:t>
      </w:r>
      <w:proofErr w:type="gramStart"/>
      <w:r w:rsidRPr="00A700E7">
        <w:t>moderate in</w:t>
      </w:r>
      <w:proofErr w:type="gramEnd"/>
      <w:r w:rsidRPr="00A700E7">
        <w:t xml:space="preserve"> intensity.</w:t>
      </w:r>
    </w:p>
    <w:p w14:paraId="169DCA77" w14:textId="77777777" w:rsidR="00254A87" w:rsidRPr="00A700E7" w:rsidRDefault="00254A87" w:rsidP="007A6B1F">
      <w:pPr>
        <w:jc w:val="left"/>
      </w:pPr>
    </w:p>
    <w:p w14:paraId="3E6CE922" w14:textId="77777777" w:rsidR="00254A87" w:rsidRPr="00A700E7" w:rsidRDefault="00254A87" w:rsidP="007A6B1F">
      <w:pPr>
        <w:jc w:val="left"/>
      </w:pPr>
      <w:r w:rsidRPr="00A700E7">
        <w:t>Frequency determination does not account for other factors, including varying study duration, pre-existing conditions, and baseline patient characteristics.</w:t>
      </w:r>
    </w:p>
    <w:p w14:paraId="7338A1A4" w14:textId="77777777" w:rsidR="00254A87" w:rsidRPr="00A700E7" w:rsidRDefault="00254A87" w:rsidP="007A6B1F">
      <w:pPr>
        <w:jc w:val="left"/>
      </w:pPr>
    </w:p>
    <w:p w14:paraId="5E9E0278" w14:textId="77777777" w:rsidR="00254A87" w:rsidRPr="00A700E7" w:rsidRDefault="00254A87" w:rsidP="007A6B1F">
      <w:pPr>
        <w:jc w:val="left"/>
      </w:pPr>
      <w:r w:rsidRPr="00A700E7">
        <w:t>Frequency estimate: Very common (1/10), common (1/100 to &lt;1/10), uncommon (1/1,000 to &lt;1/100), rare (1/10,000 to &lt;1/1,000), very rare (&lt;1/10,000) and not known (cannot be estimated from the available data).</w:t>
      </w:r>
    </w:p>
    <w:p w14:paraId="11C448A7" w14:textId="77777777" w:rsidR="00CA6680" w:rsidRPr="00A700E7" w:rsidRDefault="00CA6680" w:rsidP="007A6B1F">
      <w:pPr>
        <w:jc w:val="left"/>
      </w:pPr>
    </w:p>
    <w:p w14:paraId="790260C9" w14:textId="57B2FB4B" w:rsidR="00254A87" w:rsidRPr="00A700E7" w:rsidRDefault="00254A87" w:rsidP="007A6B1F">
      <w:pPr>
        <w:jc w:val="left"/>
      </w:pPr>
      <w:r w:rsidRPr="00A700E7">
        <w:t xml:space="preserve">The frequencies of the adverse reactions listed in Table </w:t>
      </w:r>
      <w:r w:rsidR="00CA6680" w:rsidRPr="00A700E7">
        <w:t xml:space="preserve">2 </w:t>
      </w:r>
      <w:r w:rsidRPr="00A700E7">
        <w:t>were determined based on double-blind data from A DUE.</w:t>
      </w:r>
    </w:p>
    <w:p w14:paraId="6DA9FB79" w14:textId="77777777" w:rsidR="008E02ED" w:rsidRPr="00A700E7" w:rsidRDefault="008E02ED" w:rsidP="007A6B1F">
      <w:pPr>
        <w:jc w:val="left"/>
      </w:pPr>
    </w:p>
    <w:p w14:paraId="50B62ACE" w14:textId="085F5201" w:rsidR="0034491F" w:rsidRPr="00A700E7" w:rsidRDefault="00254A87" w:rsidP="007A6B1F">
      <w:pPr>
        <w:jc w:val="left"/>
        <w:rPr>
          <w:b/>
          <w:bCs/>
          <w:sz w:val="20"/>
          <w:szCs w:val="20"/>
        </w:rPr>
      </w:pPr>
      <w:bookmarkStart w:id="18" w:name="_Hlk171422900"/>
      <w:r w:rsidRPr="00A700E7">
        <w:rPr>
          <w:b/>
          <w:bCs/>
          <w:sz w:val="20"/>
          <w:szCs w:val="20"/>
        </w:rPr>
        <w:lastRenderedPageBreak/>
        <w:t xml:space="preserve">Table </w:t>
      </w:r>
      <w:r w:rsidR="004A5BFD" w:rsidRPr="00A700E7">
        <w:rPr>
          <w:b/>
          <w:bCs/>
          <w:sz w:val="20"/>
          <w:szCs w:val="20"/>
        </w:rPr>
        <w:t>2</w:t>
      </w:r>
      <w:r w:rsidRPr="00A700E7">
        <w:rPr>
          <w:b/>
          <w:bCs/>
          <w:sz w:val="20"/>
          <w:szCs w:val="20"/>
        </w:rPr>
        <w:t xml:space="preserve"> Adverse Drug Reactions </w:t>
      </w:r>
      <w:bookmarkStart w:id="19" w:name="_Hlk171422069"/>
      <w:r w:rsidRPr="00A700E7">
        <w:rPr>
          <w:b/>
          <w:bCs/>
          <w:sz w:val="20"/>
          <w:szCs w:val="20"/>
        </w:rPr>
        <w:t xml:space="preserve">Occurring in Patients Treated with OPSYNVI in A DUE </w:t>
      </w:r>
      <w:bookmarkEnd w:id="19"/>
      <w:r w:rsidRPr="00A700E7">
        <w:rPr>
          <w:b/>
          <w:bCs/>
          <w:sz w:val="20"/>
          <w:szCs w:val="20"/>
        </w:rPr>
        <w:t>(Safety Analysis Set)</w:t>
      </w:r>
    </w:p>
    <w:bookmarkEnd w:id="18"/>
    <w:p w14:paraId="6ADB8CB6" w14:textId="77777777" w:rsidR="00332FC6" w:rsidRPr="00A700E7" w:rsidRDefault="00332FC6" w:rsidP="007A6B1F">
      <w:pPr>
        <w:jc w:val="left"/>
        <w:rPr>
          <w:b/>
          <w:bCs/>
          <w:sz w:val="20"/>
          <w:szCs w:val="20"/>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827"/>
      </w:tblGrid>
      <w:tr w:rsidR="00A700E7" w:rsidRPr="00A700E7" w14:paraId="2906DC74" w14:textId="77777777" w:rsidTr="00A700E7">
        <w:trPr>
          <w:cantSplit/>
        </w:trPr>
        <w:tc>
          <w:tcPr>
            <w:tcW w:w="4106" w:type="dxa"/>
            <w:shd w:val="clear" w:color="auto" w:fill="auto"/>
            <w:vAlign w:val="center"/>
          </w:tcPr>
          <w:p w14:paraId="7C56FF4B" w14:textId="77777777" w:rsidR="00D51CC6" w:rsidRPr="00A700E7" w:rsidRDefault="00D51CC6" w:rsidP="007A6B1F">
            <w:pPr>
              <w:jc w:val="left"/>
              <w:rPr>
                <w:rFonts w:eastAsia="Calibri"/>
                <w:sz w:val="20"/>
                <w:szCs w:val="20"/>
              </w:rPr>
            </w:pPr>
            <w:bookmarkStart w:id="20" w:name="_Hlk171339724"/>
            <w:r w:rsidRPr="00A700E7">
              <w:rPr>
                <w:rFonts w:eastAsia="Calibri"/>
                <w:sz w:val="20"/>
                <w:szCs w:val="20"/>
              </w:rPr>
              <w:t>System/Organ Class</w:t>
            </w:r>
          </w:p>
        </w:tc>
        <w:tc>
          <w:tcPr>
            <w:tcW w:w="3827" w:type="dxa"/>
            <w:shd w:val="clear" w:color="auto" w:fill="auto"/>
            <w:vAlign w:val="center"/>
          </w:tcPr>
          <w:p w14:paraId="308CEA57" w14:textId="77777777" w:rsidR="00D51CC6" w:rsidRPr="00A700E7" w:rsidRDefault="00D51CC6" w:rsidP="007A6B1F">
            <w:pPr>
              <w:jc w:val="left"/>
              <w:rPr>
                <w:rFonts w:eastAsia="Calibri"/>
                <w:sz w:val="20"/>
                <w:szCs w:val="20"/>
              </w:rPr>
            </w:pPr>
            <w:r w:rsidRPr="00A700E7">
              <w:rPr>
                <w:rFonts w:eastAsia="Calibri"/>
                <w:sz w:val="20"/>
                <w:szCs w:val="20"/>
              </w:rPr>
              <w:t>Frequency Category</w:t>
            </w:r>
          </w:p>
        </w:tc>
      </w:tr>
      <w:tr w:rsidR="00A700E7" w:rsidRPr="00A700E7" w14:paraId="5CB03A80" w14:textId="77777777" w:rsidTr="00A700E7">
        <w:trPr>
          <w:cantSplit/>
        </w:trPr>
        <w:tc>
          <w:tcPr>
            <w:tcW w:w="7933" w:type="dxa"/>
            <w:gridSpan w:val="2"/>
            <w:shd w:val="clear" w:color="auto" w:fill="D9D9D9" w:themeFill="background1" w:themeFillShade="D9"/>
          </w:tcPr>
          <w:p w14:paraId="0744279C" w14:textId="77777777" w:rsidR="00D51CC6" w:rsidRPr="00A700E7" w:rsidRDefault="00D51CC6" w:rsidP="007A6B1F">
            <w:pPr>
              <w:jc w:val="left"/>
              <w:rPr>
                <w:rFonts w:eastAsia="Calibri"/>
                <w:sz w:val="20"/>
                <w:szCs w:val="20"/>
              </w:rPr>
            </w:pPr>
            <w:r w:rsidRPr="00A700E7">
              <w:rPr>
                <w:rFonts w:eastAsia="Calibri"/>
                <w:sz w:val="20"/>
                <w:szCs w:val="20"/>
              </w:rPr>
              <w:t>General disorders and administration site conditions</w:t>
            </w:r>
          </w:p>
        </w:tc>
      </w:tr>
      <w:tr w:rsidR="00A700E7" w:rsidRPr="00A700E7" w14:paraId="05F86FFE" w14:textId="77777777" w:rsidTr="00A700E7">
        <w:trPr>
          <w:cantSplit/>
        </w:trPr>
        <w:tc>
          <w:tcPr>
            <w:tcW w:w="4106" w:type="dxa"/>
            <w:shd w:val="clear" w:color="auto" w:fill="auto"/>
          </w:tcPr>
          <w:p w14:paraId="6FC12E7E" w14:textId="77777777" w:rsidR="00D51CC6" w:rsidRPr="00A700E7" w:rsidRDefault="00D51CC6" w:rsidP="007A6B1F">
            <w:pPr>
              <w:jc w:val="left"/>
              <w:rPr>
                <w:rFonts w:eastAsia="Calibri"/>
                <w:sz w:val="20"/>
                <w:szCs w:val="20"/>
                <w:vertAlign w:val="superscript"/>
              </w:rPr>
            </w:pPr>
            <w:r w:rsidRPr="00A700E7">
              <w:rPr>
                <w:rFonts w:eastAsia="Calibri"/>
                <w:sz w:val="20"/>
                <w:szCs w:val="20"/>
              </w:rPr>
              <w:t xml:space="preserve">Oedema/fluid </w:t>
            </w:r>
            <w:proofErr w:type="spellStart"/>
            <w:r w:rsidRPr="00A700E7">
              <w:rPr>
                <w:rFonts w:eastAsia="Calibri"/>
                <w:sz w:val="20"/>
                <w:szCs w:val="20"/>
              </w:rPr>
              <w:t>retention</w:t>
            </w:r>
            <w:r w:rsidRPr="00A700E7">
              <w:rPr>
                <w:rFonts w:eastAsia="Calibri"/>
                <w:sz w:val="20"/>
                <w:szCs w:val="20"/>
                <w:vertAlign w:val="superscript"/>
              </w:rPr>
              <w:t>a</w:t>
            </w:r>
            <w:proofErr w:type="spellEnd"/>
          </w:p>
        </w:tc>
        <w:tc>
          <w:tcPr>
            <w:tcW w:w="3827" w:type="dxa"/>
            <w:shd w:val="clear" w:color="auto" w:fill="auto"/>
          </w:tcPr>
          <w:p w14:paraId="61218A7D" w14:textId="77777777" w:rsidR="00D51CC6" w:rsidRPr="00A700E7" w:rsidRDefault="00D51CC6" w:rsidP="007A6B1F">
            <w:pPr>
              <w:jc w:val="left"/>
              <w:rPr>
                <w:rFonts w:eastAsia="Calibri"/>
                <w:sz w:val="20"/>
                <w:szCs w:val="20"/>
              </w:rPr>
            </w:pPr>
            <w:r w:rsidRPr="00A700E7">
              <w:rPr>
                <w:rFonts w:eastAsia="Calibri"/>
                <w:sz w:val="20"/>
                <w:szCs w:val="20"/>
              </w:rPr>
              <w:t>Very common</w:t>
            </w:r>
          </w:p>
        </w:tc>
      </w:tr>
      <w:tr w:rsidR="00A700E7" w:rsidRPr="00A700E7" w14:paraId="7FDF5136" w14:textId="77777777" w:rsidTr="00A700E7">
        <w:trPr>
          <w:cantSplit/>
        </w:trPr>
        <w:tc>
          <w:tcPr>
            <w:tcW w:w="4106" w:type="dxa"/>
            <w:shd w:val="clear" w:color="auto" w:fill="auto"/>
          </w:tcPr>
          <w:p w14:paraId="226EDDB7" w14:textId="77777777" w:rsidR="00D51CC6" w:rsidRPr="00A700E7" w:rsidRDefault="00D51CC6" w:rsidP="007A6B1F">
            <w:pPr>
              <w:jc w:val="left"/>
              <w:rPr>
                <w:rFonts w:eastAsia="Calibri"/>
                <w:sz w:val="20"/>
                <w:szCs w:val="20"/>
              </w:rPr>
            </w:pPr>
            <w:r w:rsidRPr="00A700E7">
              <w:rPr>
                <w:rFonts w:eastAsia="Calibri"/>
                <w:sz w:val="20"/>
                <w:szCs w:val="20"/>
              </w:rPr>
              <w:t>Swelling face</w:t>
            </w:r>
          </w:p>
        </w:tc>
        <w:tc>
          <w:tcPr>
            <w:tcW w:w="3827" w:type="dxa"/>
            <w:shd w:val="clear" w:color="auto" w:fill="auto"/>
          </w:tcPr>
          <w:p w14:paraId="123C88E1"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2E009A6F" w14:textId="77777777" w:rsidTr="00A700E7">
        <w:trPr>
          <w:cantSplit/>
        </w:trPr>
        <w:tc>
          <w:tcPr>
            <w:tcW w:w="4106" w:type="dxa"/>
            <w:shd w:val="clear" w:color="auto" w:fill="auto"/>
          </w:tcPr>
          <w:p w14:paraId="59B70BA9" w14:textId="77777777" w:rsidR="00D51CC6" w:rsidRPr="00A700E7" w:rsidRDefault="00D51CC6" w:rsidP="007A6B1F">
            <w:pPr>
              <w:jc w:val="left"/>
              <w:rPr>
                <w:rFonts w:eastAsia="Calibri"/>
                <w:sz w:val="20"/>
                <w:szCs w:val="20"/>
              </w:rPr>
            </w:pPr>
            <w:r w:rsidRPr="00A700E7">
              <w:rPr>
                <w:rFonts w:eastAsia="Calibri"/>
                <w:sz w:val="20"/>
                <w:szCs w:val="20"/>
              </w:rPr>
              <w:t>Chest pain</w:t>
            </w:r>
          </w:p>
        </w:tc>
        <w:tc>
          <w:tcPr>
            <w:tcW w:w="3827" w:type="dxa"/>
            <w:shd w:val="clear" w:color="auto" w:fill="auto"/>
          </w:tcPr>
          <w:p w14:paraId="5E4726C3" w14:textId="77777777" w:rsidR="00D51CC6" w:rsidRPr="00A700E7" w:rsidRDefault="00D51CC6" w:rsidP="007A6B1F">
            <w:pPr>
              <w:jc w:val="left"/>
              <w:rPr>
                <w:rFonts w:eastAsia="Calibri"/>
                <w:sz w:val="20"/>
                <w:szCs w:val="20"/>
              </w:rPr>
            </w:pPr>
            <w:r w:rsidRPr="00A700E7">
              <w:rPr>
                <w:rFonts w:eastAsia="Calibri"/>
                <w:sz w:val="20"/>
                <w:szCs w:val="20"/>
              </w:rPr>
              <w:t>Uncommon</w:t>
            </w:r>
          </w:p>
        </w:tc>
      </w:tr>
      <w:tr w:rsidR="00A700E7" w:rsidRPr="00A700E7" w14:paraId="1CD119F9" w14:textId="77777777" w:rsidTr="00A700E7">
        <w:trPr>
          <w:cantSplit/>
        </w:trPr>
        <w:tc>
          <w:tcPr>
            <w:tcW w:w="7933" w:type="dxa"/>
            <w:gridSpan w:val="2"/>
            <w:shd w:val="clear" w:color="auto" w:fill="D9D9D9" w:themeFill="background1" w:themeFillShade="D9"/>
          </w:tcPr>
          <w:p w14:paraId="220E61F8" w14:textId="77777777" w:rsidR="00D51CC6" w:rsidRPr="00A700E7" w:rsidRDefault="00D51CC6" w:rsidP="007A6B1F">
            <w:pPr>
              <w:jc w:val="left"/>
              <w:rPr>
                <w:rFonts w:eastAsia="Calibri"/>
                <w:sz w:val="20"/>
                <w:szCs w:val="20"/>
              </w:rPr>
            </w:pPr>
            <w:r w:rsidRPr="00A700E7">
              <w:rPr>
                <w:rFonts w:eastAsia="Calibri"/>
                <w:sz w:val="20"/>
                <w:szCs w:val="20"/>
              </w:rPr>
              <w:t>Gastrointestinal disorders</w:t>
            </w:r>
          </w:p>
        </w:tc>
      </w:tr>
      <w:tr w:rsidR="00A700E7" w:rsidRPr="00A700E7" w14:paraId="2D5B7204" w14:textId="77777777" w:rsidTr="00A700E7">
        <w:trPr>
          <w:cantSplit/>
        </w:trPr>
        <w:tc>
          <w:tcPr>
            <w:tcW w:w="4106" w:type="dxa"/>
            <w:shd w:val="clear" w:color="auto" w:fill="auto"/>
          </w:tcPr>
          <w:p w14:paraId="1CDE25BF" w14:textId="77777777" w:rsidR="00D51CC6" w:rsidRPr="00A700E7" w:rsidRDefault="00D51CC6" w:rsidP="007A6B1F">
            <w:pPr>
              <w:jc w:val="left"/>
              <w:rPr>
                <w:rFonts w:eastAsia="Calibri"/>
                <w:sz w:val="20"/>
                <w:szCs w:val="20"/>
              </w:rPr>
            </w:pPr>
            <w:r w:rsidRPr="00A700E7">
              <w:rPr>
                <w:rFonts w:eastAsia="Calibri"/>
                <w:sz w:val="20"/>
                <w:szCs w:val="20"/>
              </w:rPr>
              <w:t>Nausea</w:t>
            </w:r>
          </w:p>
        </w:tc>
        <w:tc>
          <w:tcPr>
            <w:tcW w:w="3827" w:type="dxa"/>
            <w:shd w:val="clear" w:color="auto" w:fill="auto"/>
          </w:tcPr>
          <w:p w14:paraId="115AE462"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792C1A63" w14:textId="77777777" w:rsidTr="00A700E7">
        <w:trPr>
          <w:cantSplit/>
        </w:trPr>
        <w:tc>
          <w:tcPr>
            <w:tcW w:w="4106" w:type="dxa"/>
            <w:shd w:val="clear" w:color="auto" w:fill="auto"/>
          </w:tcPr>
          <w:p w14:paraId="5EF502F1" w14:textId="77777777" w:rsidR="00D51CC6" w:rsidRPr="00A700E7" w:rsidRDefault="00D51CC6" w:rsidP="007A6B1F">
            <w:pPr>
              <w:jc w:val="left"/>
              <w:rPr>
                <w:rFonts w:eastAsia="Calibri"/>
                <w:sz w:val="20"/>
                <w:szCs w:val="20"/>
              </w:rPr>
            </w:pPr>
            <w:r w:rsidRPr="00A700E7">
              <w:rPr>
                <w:rFonts w:eastAsia="Calibri"/>
                <w:sz w:val="20"/>
                <w:szCs w:val="20"/>
              </w:rPr>
              <w:t>Dyspepsia</w:t>
            </w:r>
          </w:p>
        </w:tc>
        <w:tc>
          <w:tcPr>
            <w:tcW w:w="3827" w:type="dxa"/>
            <w:shd w:val="clear" w:color="auto" w:fill="auto"/>
          </w:tcPr>
          <w:p w14:paraId="787EAEEA"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683439A6" w14:textId="77777777" w:rsidTr="00A700E7">
        <w:trPr>
          <w:cantSplit/>
        </w:trPr>
        <w:tc>
          <w:tcPr>
            <w:tcW w:w="4106" w:type="dxa"/>
            <w:shd w:val="clear" w:color="auto" w:fill="auto"/>
          </w:tcPr>
          <w:p w14:paraId="10CD0213" w14:textId="77777777" w:rsidR="00D51CC6" w:rsidRPr="00A700E7" w:rsidRDefault="00D51CC6" w:rsidP="007A6B1F">
            <w:pPr>
              <w:jc w:val="left"/>
              <w:rPr>
                <w:rFonts w:eastAsia="Calibri"/>
                <w:sz w:val="20"/>
                <w:szCs w:val="20"/>
              </w:rPr>
            </w:pPr>
            <w:r w:rsidRPr="00A700E7">
              <w:rPr>
                <w:rFonts w:eastAsia="Calibri"/>
                <w:sz w:val="20"/>
                <w:szCs w:val="20"/>
              </w:rPr>
              <w:t>Vomiting</w:t>
            </w:r>
          </w:p>
        </w:tc>
        <w:tc>
          <w:tcPr>
            <w:tcW w:w="3827" w:type="dxa"/>
            <w:shd w:val="clear" w:color="auto" w:fill="auto"/>
          </w:tcPr>
          <w:p w14:paraId="23D55BBC"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714159B0" w14:textId="77777777" w:rsidTr="00A700E7">
        <w:trPr>
          <w:cantSplit/>
        </w:trPr>
        <w:tc>
          <w:tcPr>
            <w:tcW w:w="4106" w:type="dxa"/>
            <w:shd w:val="clear" w:color="auto" w:fill="auto"/>
          </w:tcPr>
          <w:p w14:paraId="19014EE0" w14:textId="77777777" w:rsidR="00D51CC6" w:rsidRPr="00A700E7" w:rsidRDefault="00D51CC6" w:rsidP="007A6B1F">
            <w:pPr>
              <w:jc w:val="left"/>
              <w:rPr>
                <w:rFonts w:eastAsia="Calibri"/>
                <w:sz w:val="20"/>
                <w:szCs w:val="20"/>
              </w:rPr>
            </w:pPr>
            <w:r w:rsidRPr="00A700E7">
              <w:rPr>
                <w:rFonts w:eastAsia="Calibri"/>
                <w:sz w:val="20"/>
                <w:szCs w:val="20"/>
              </w:rPr>
              <w:t>Abdominal discomfort</w:t>
            </w:r>
          </w:p>
        </w:tc>
        <w:tc>
          <w:tcPr>
            <w:tcW w:w="3827" w:type="dxa"/>
            <w:shd w:val="clear" w:color="auto" w:fill="auto"/>
          </w:tcPr>
          <w:p w14:paraId="623BAD48"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57D57DAA" w14:textId="77777777" w:rsidTr="00A700E7">
        <w:trPr>
          <w:cantSplit/>
        </w:trPr>
        <w:tc>
          <w:tcPr>
            <w:tcW w:w="4106" w:type="dxa"/>
            <w:shd w:val="clear" w:color="auto" w:fill="auto"/>
          </w:tcPr>
          <w:p w14:paraId="3A43D524" w14:textId="77777777" w:rsidR="00D51CC6" w:rsidRPr="00A700E7" w:rsidRDefault="00D51CC6" w:rsidP="007A6B1F">
            <w:pPr>
              <w:jc w:val="left"/>
              <w:rPr>
                <w:rFonts w:eastAsia="Calibri"/>
                <w:sz w:val="20"/>
                <w:szCs w:val="20"/>
              </w:rPr>
            </w:pPr>
            <w:r w:rsidRPr="00A700E7">
              <w:rPr>
                <w:rFonts w:eastAsia="Calibri"/>
                <w:sz w:val="20"/>
                <w:szCs w:val="20"/>
              </w:rPr>
              <w:t>Abdominal pain</w:t>
            </w:r>
          </w:p>
        </w:tc>
        <w:tc>
          <w:tcPr>
            <w:tcW w:w="3827" w:type="dxa"/>
            <w:shd w:val="clear" w:color="auto" w:fill="auto"/>
          </w:tcPr>
          <w:p w14:paraId="5754A3BD"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75E6A2C5" w14:textId="77777777" w:rsidTr="00A700E7">
        <w:trPr>
          <w:cantSplit/>
        </w:trPr>
        <w:tc>
          <w:tcPr>
            <w:tcW w:w="4106" w:type="dxa"/>
            <w:shd w:val="clear" w:color="auto" w:fill="auto"/>
          </w:tcPr>
          <w:p w14:paraId="40B2B3CF" w14:textId="77777777" w:rsidR="00D51CC6" w:rsidRPr="00A700E7" w:rsidRDefault="00D51CC6" w:rsidP="007A6B1F">
            <w:pPr>
              <w:jc w:val="left"/>
              <w:rPr>
                <w:rFonts w:eastAsia="Calibri"/>
                <w:sz w:val="20"/>
                <w:szCs w:val="20"/>
              </w:rPr>
            </w:pPr>
            <w:r w:rsidRPr="00A700E7">
              <w:rPr>
                <w:rFonts w:eastAsia="Calibri"/>
                <w:sz w:val="20"/>
                <w:szCs w:val="20"/>
              </w:rPr>
              <w:t>Gastroesophageal reflux disease</w:t>
            </w:r>
          </w:p>
        </w:tc>
        <w:tc>
          <w:tcPr>
            <w:tcW w:w="3827" w:type="dxa"/>
            <w:shd w:val="clear" w:color="auto" w:fill="auto"/>
          </w:tcPr>
          <w:p w14:paraId="22A8ED88" w14:textId="77777777" w:rsidR="00D51CC6" w:rsidRPr="00A700E7" w:rsidRDefault="00D51CC6" w:rsidP="007A6B1F">
            <w:pPr>
              <w:jc w:val="left"/>
              <w:rPr>
                <w:rFonts w:eastAsia="Calibri"/>
                <w:sz w:val="20"/>
                <w:szCs w:val="20"/>
              </w:rPr>
            </w:pPr>
            <w:r w:rsidRPr="00A700E7">
              <w:rPr>
                <w:rFonts w:eastAsia="Calibri"/>
                <w:sz w:val="20"/>
                <w:szCs w:val="20"/>
              </w:rPr>
              <w:t>Uncommon</w:t>
            </w:r>
          </w:p>
        </w:tc>
      </w:tr>
      <w:tr w:rsidR="00A700E7" w:rsidRPr="00A700E7" w14:paraId="533EDE12" w14:textId="77777777" w:rsidTr="00A700E7">
        <w:trPr>
          <w:cantSplit/>
        </w:trPr>
        <w:tc>
          <w:tcPr>
            <w:tcW w:w="7933" w:type="dxa"/>
            <w:gridSpan w:val="2"/>
            <w:shd w:val="clear" w:color="auto" w:fill="D9D9D9" w:themeFill="background1" w:themeFillShade="D9"/>
          </w:tcPr>
          <w:p w14:paraId="253DE9CB" w14:textId="77777777" w:rsidR="00D51CC6" w:rsidRPr="00A700E7" w:rsidRDefault="00D51CC6" w:rsidP="007A6B1F">
            <w:pPr>
              <w:jc w:val="left"/>
              <w:rPr>
                <w:rFonts w:eastAsia="Calibri"/>
                <w:sz w:val="20"/>
                <w:szCs w:val="20"/>
              </w:rPr>
            </w:pPr>
            <w:r w:rsidRPr="00A700E7">
              <w:rPr>
                <w:rFonts w:eastAsia="Calibri"/>
                <w:sz w:val="20"/>
                <w:szCs w:val="20"/>
              </w:rPr>
              <w:t>Nervous system disorders</w:t>
            </w:r>
          </w:p>
        </w:tc>
      </w:tr>
      <w:tr w:rsidR="00A700E7" w:rsidRPr="00A700E7" w14:paraId="5886AEAB" w14:textId="77777777" w:rsidTr="00A700E7">
        <w:trPr>
          <w:cantSplit/>
        </w:trPr>
        <w:tc>
          <w:tcPr>
            <w:tcW w:w="4106" w:type="dxa"/>
            <w:shd w:val="clear" w:color="auto" w:fill="auto"/>
          </w:tcPr>
          <w:p w14:paraId="2DDA43C3" w14:textId="77777777" w:rsidR="00D51CC6" w:rsidRPr="00A700E7" w:rsidRDefault="00D51CC6" w:rsidP="007A6B1F">
            <w:pPr>
              <w:jc w:val="left"/>
              <w:rPr>
                <w:rFonts w:eastAsia="Calibri"/>
                <w:sz w:val="20"/>
                <w:szCs w:val="20"/>
              </w:rPr>
            </w:pPr>
            <w:r w:rsidRPr="00A700E7">
              <w:rPr>
                <w:rFonts w:eastAsia="Calibri"/>
                <w:sz w:val="20"/>
                <w:szCs w:val="20"/>
              </w:rPr>
              <w:t>Headache</w:t>
            </w:r>
          </w:p>
        </w:tc>
        <w:tc>
          <w:tcPr>
            <w:tcW w:w="3827" w:type="dxa"/>
            <w:shd w:val="clear" w:color="auto" w:fill="auto"/>
          </w:tcPr>
          <w:p w14:paraId="296666E9" w14:textId="77777777" w:rsidR="00D51CC6" w:rsidRPr="00A700E7" w:rsidRDefault="00D51CC6" w:rsidP="007A6B1F">
            <w:pPr>
              <w:jc w:val="left"/>
              <w:rPr>
                <w:rFonts w:eastAsia="Calibri"/>
                <w:sz w:val="20"/>
                <w:szCs w:val="20"/>
              </w:rPr>
            </w:pPr>
            <w:r w:rsidRPr="00A700E7">
              <w:rPr>
                <w:rFonts w:eastAsia="Calibri"/>
                <w:sz w:val="20"/>
                <w:szCs w:val="20"/>
              </w:rPr>
              <w:t>Very common</w:t>
            </w:r>
          </w:p>
        </w:tc>
      </w:tr>
      <w:tr w:rsidR="00A700E7" w:rsidRPr="00A700E7" w14:paraId="08F6771A" w14:textId="77777777" w:rsidTr="00A700E7">
        <w:trPr>
          <w:cantSplit/>
        </w:trPr>
        <w:tc>
          <w:tcPr>
            <w:tcW w:w="4106" w:type="dxa"/>
            <w:shd w:val="clear" w:color="auto" w:fill="auto"/>
          </w:tcPr>
          <w:p w14:paraId="41E7AE89" w14:textId="77777777" w:rsidR="00D51CC6" w:rsidRPr="00A700E7" w:rsidRDefault="00D51CC6" w:rsidP="007A6B1F">
            <w:pPr>
              <w:jc w:val="left"/>
              <w:rPr>
                <w:rFonts w:eastAsia="Calibri"/>
                <w:sz w:val="20"/>
                <w:szCs w:val="20"/>
              </w:rPr>
            </w:pPr>
            <w:r w:rsidRPr="00A700E7">
              <w:rPr>
                <w:rFonts w:eastAsia="Calibri"/>
                <w:sz w:val="20"/>
                <w:szCs w:val="20"/>
              </w:rPr>
              <w:t>Migraine</w:t>
            </w:r>
          </w:p>
        </w:tc>
        <w:tc>
          <w:tcPr>
            <w:tcW w:w="3827" w:type="dxa"/>
            <w:shd w:val="clear" w:color="auto" w:fill="auto"/>
          </w:tcPr>
          <w:p w14:paraId="701FA47E" w14:textId="77777777" w:rsidR="00D51CC6" w:rsidRPr="00A700E7" w:rsidRDefault="00D51CC6" w:rsidP="007A6B1F">
            <w:pPr>
              <w:jc w:val="left"/>
              <w:rPr>
                <w:rFonts w:eastAsia="Calibri"/>
                <w:sz w:val="20"/>
                <w:szCs w:val="20"/>
              </w:rPr>
            </w:pPr>
            <w:r w:rsidRPr="00A700E7">
              <w:rPr>
                <w:rFonts w:eastAsia="Calibri"/>
                <w:sz w:val="20"/>
                <w:szCs w:val="20"/>
              </w:rPr>
              <w:t>Uncommon</w:t>
            </w:r>
          </w:p>
        </w:tc>
      </w:tr>
      <w:tr w:rsidR="00A700E7" w:rsidRPr="00A700E7" w14:paraId="123C6075" w14:textId="77777777" w:rsidTr="00A700E7">
        <w:trPr>
          <w:cantSplit/>
        </w:trPr>
        <w:tc>
          <w:tcPr>
            <w:tcW w:w="4106" w:type="dxa"/>
            <w:shd w:val="clear" w:color="auto" w:fill="auto"/>
          </w:tcPr>
          <w:p w14:paraId="7243E7B3" w14:textId="77777777" w:rsidR="00D51CC6" w:rsidRPr="00A700E7" w:rsidRDefault="00D51CC6" w:rsidP="007A6B1F">
            <w:pPr>
              <w:jc w:val="left"/>
              <w:rPr>
                <w:rFonts w:eastAsia="Calibri"/>
                <w:sz w:val="20"/>
                <w:szCs w:val="20"/>
              </w:rPr>
            </w:pPr>
            <w:r w:rsidRPr="00A700E7">
              <w:rPr>
                <w:rFonts w:eastAsia="Calibri"/>
                <w:sz w:val="20"/>
                <w:szCs w:val="20"/>
              </w:rPr>
              <w:t>Syncope</w:t>
            </w:r>
          </w:p>
        </w:tc>
        <w:tc>
          <w:tcPr>
            <w:tcW w:w="3827" w:type="dxa"/>
            <w:shd w:val="clear" w:color="auto" w:fill="auto"/>
          </w:tcPr>
          <w:p w14:paraId="321CB444" w14:textId="77777777" w:rsidR="00D51CC6" w:rsidRPr="00A700E7" w:rsidRDefault="00D51CC6" w:rsidP="007A6B1F">
            <w:pPr>
              <w:jc w:val="left"/>
              <w:rPr>
                <w:rFonts w:eastAsia="Calibri"/>
                <w:sz w:val="20"/>
                <w:szCs w:val="20"/>
              </w:rPr>
            </w:pPr>
            <w:r w:rsidRPr="00A700E7">
              <w:rPr>
                <w:rFonts w:eastAsia="Calibri"/>
                <w:sz w:val="20"/>
                <w:szCs w:val="20"/>
              </w:rPr>
              <w:t>Uncommon</w:t>
            </w:r>
          </w:p>
        </w:tc>
      </w:tr>
      <w:tr w:rsidR="00A700E7" w:rsidRPr="00A700E7" w14:paraId="79E33390" w14:textId="77777777" w:rsidTr="00A700E7">
        <w:trPr>
          <w:cantSplit/>
        </w:trPr>
        <w:tc>
          <w:tcPr>
            <w:tcW w:w="7933" w:type="dxa"/>
            <w:gridSpan w:val="2"/>
            <w:shd w:val="clear" w:color="auto" w:fill="D9D9D9" w:themeFill="background1" w:themeFillShade="D9"/>
          </w:tcPr>
          <w:p w14:paraId="314D347B" w14:textId="77777777" w:rsidR="00D51CC6" w:rsidRPr="00A700E7" w:rsidRDefault="00D51CC6" w:rsidP="007A6B1F">
            <w:pPr>
              <w:jc w:val="left"/>
              <w:rPr>
                <w:rFonts w:eastAsia="Calibri"/>
                <w:sz w:val="20"/>
                <w:szCs w:val="20"/>
              </w:rPr>
            </w:pPr>
            <w:r w:rsidRPr="00A700E7">
              <w:rPr>
                <w:rFonts w:eastAsia="Calibri"/>
                <w:sz w:val="20"/>
                <w:szCs w:val="20"/>
              </w:rPr>
              <w:t>Infections and infestations</w:t>
            </w:r>
          </w:p>
        </w:tc>
      </w:tr>
      <w:tr w:rsidR="00A700E7" w:rsidRPr="00A700E7" w14:paraId="62DD3D47" w14:textId="77777777" w:rsidTr="00A700E7">
        <w:trPr>
          <w:cantSplit/>
        </w:trPr>
        <w:tc>
          <w:tcPr>
            <w:tcW w:w="4106" w:type="dxa"/>
            <w:shd w:val="clear" w:color="auto" w:fill="auto"/>
          </w:tcPr>
          <w:p w14:paraId="1C3E1633" w14:textId="77777777" w:rsidR="00D51CC6" w:rsidRPr="00A700E7" w:rsidRDefault="00D51CC6" w:rsidP="007A6B1F">
            <w:pPr>
              <w:jc w:val="left"/>
              <w:rPr>
                <w:rFonts w:eastAsia="Calibri"/>
                <w:sz w:val="20"/>
                <w:szCs w:val="20"/>
              </w:rPr>
            </w:pPr>
            <w:r w:rsidRPr="00A700E7">
              <w:rPr>
                <w:rFonts w:eastAsia="Calibri"/>
                <w:sz w:val="20"/>
                <w:szCs w:val="20"/>
              </w:rPr>
              <w:t>Nasopharyngitis</w:t>
            </w:r>
          </w:p>
        </w:tc>
        <w:tc>
          <w:tcPr>
            <w:tcW w:w="3827" w:type="dxa"/>
            <w:shd w:val="clear" w:color="auto" w:fill="auto"/>
          </w:tcPr>
          <w:p w14:paraId="14E651CF"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426BCFDA" w14:textId="77777777" w:rsidTr="00A700E7">
        <w:trPr>
          <w:cantSplit/>
        </w:trPr>
        <w:tc>
          <w:tcPr>
            <w:tcW w:w="4106" w:type="dxa"/>
            <w:shd w:val="clear" w:color="auto" w:fill="auto"/>
          </w:tcPr>
          <w:p w14:paraId="5C84A6C8" w14:textId="77777777" w:rsidR="00D51CC6" w:rsidRPr="00A700E7" w:rsidRDefault="00D51CC6" w:rsidP="007A6B1F">
            <w:pPr>
              <w:jc w:val="left"/>
              <w:rPr>
                <w:rFonts w:eastAsia="Calibri"/>
                <w:sz w:val="20"/>
                <w:szCs w:val="20"/>
              </w:rPr>
            </w:pPr>
            <w:r w:rsidRPr="00A700E7">
              <w:rPr>
                <w:rFonts w:eastAsia="Calibri"/>
                <w:sz w:val="20"/>
                <w:szCs w:val="20"/>
              </w:rPr>
              <w:t>Influenza</w:t>
            </w:r>
          </w:p>
        </w:tc>
        <w:tc>
          <w:tcPr>
            <w:tcW w:w="3827" w:type="dxa"/>
            <w:shd w:val="clear" w:color="auto" w:fill="auto"/>
          </w:tcPr>
          <w:p w14:paraId="67FF2643"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6371B6CB" w14:textId="77777777" w:rsidTr="00A700E7">
        <w:trPr>
          <w:cantSplit/>
        </w:trPr>
        <w:tc>
          <w:tcPr>
            <w:tcW w:w="4106" w:type="dxa"/>
            <w:shd w:val="clear" w:color="auto" w:fill="auto"/>
          </w:tcPr>
          <w:p w14:paraId="3D11AD2C" w14:textId="77777777" w:rsidR="00D51CC6" w:rsidRPr="00A700E7" w:rsidRDefault="00D51CC6" w:rsidP="007A6B1F">
            <w:pPr>
              <w:jc w:val="left"/>
              <w:rPr>
                <w:rFonts w:eastAsia="Calibri"/>
                <w:sz w:val="20"/>
                <w:szCs w:val="20"/>
              </w:rPr>
            </w:pPr>
            <w:r w:rsidRPr="00A700E7">
              <w:rPr>
                <w:rFonts w:eastAsia="Calibri"/>
                <w:sz w:val="20"/>
                <w:szCs w:val="20"/>
              </w:rPr>
              <w:t>Urinary tract infection</w:t>
            </w:r>
          </w:p>
        </w:tc>
        <w:tc>
          <w:tcPr>
            <w:tcW w:w="3827" w:type="dxa"/>
            <w:shd w:val="clear" w:color="auto" w:fill="auto"/>
          </w:tcPr>
          <w:p w14:paraId="6A2D35B1"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471C0BE7" w14:textId="77777777" w:rsidTr="00A700E7">
        <w:trPr>
          <w:cantSplit/>
        </w:trPr>
        <w:tc>
          <w:tcPr>
            <w:tcW w:w="4106" w:type="dxa"/>
            <w:shd w:val="clear" w:color="auto" w:fill="auto"/>
          </w:tcPr>
          <w:p w14:paraId="1C7E6E61" w14:textId="77777777" w:rsidR="00D51CC6" w:rsidRPr="00A700E7" w:rsidRDefault="00D51CC6" w:rsidP="007A6B1F">
            <w:pPr>
              <w:jc w:val="left"/>
              <w:rPr>
                <w:rFonts w:eastAsia="Calibri"/>
                <w:sz w:val="20"/>
                <w:szCs w:val="20"/>
              </w:rPr>
            </w:pPr>
            <w:r w:rsidRPr="00A700E7">
              <w:rPr>
                <w:rFonts w:eastAsia="Calibri"/>
                <w:sz w:val="20"/>
                <w:szCs w:val="20"/>
              </w:rPr>
              <w:t>Upper respiratory tract infection</w:t>
            </w:r>
          </w:p>
        </w:tc>
        <w:tc>
          <w:tcPr>
            <w:tcW w:w="3827" w:type="dxa"/>
            <w:shd w:val="clear" w:color="auto" w:fill="auto"/>
          </w:tcPr>
          <w:p w14:paraId="395D308B" w14:textId="77777777" w:rsidR="00D51CC6" w:rsidRPr="00A700E7" w:rsidRDefault="00D51CC6" w:rsidP="007A6B1F">
            <w:pPr>
              <w:jc w:val="left"/>
              <w:rPr>
                <w:rFonts w:eastAsia="Calibri"/>
                <w:sz w:val="20"/>
                <w:szCs w:val="20"/>
              </w:rPr>
            </w:pPr>
            <w:r w:rsidRPr="00A700E7">
              <w:rPr>
                <w:rFonts w:eastAsia="Calibri"/>
                <w:sz w:val="20"/>
                <w:szCs w:val="20"/>
              </w:rPr>
              <w:t>Uncommon</w:t>
            </w:r>
          </w:p>
        </w:tc>
      </w:tr>
      <w:tr w:rsidR="00A700E7" w:rsidRPr="00A700E7" w14:paraId="45CE1B4B" w14:textId="77777777" w:rsidTr="00A700E7">
        <w:trPr>
          <w:cantSplit/>
        </w:trPr>
        <w:tc>
          <w:tcPr>
            <w:tcW w:w="7933" w:type="dxa"/>
            <w:gridSpan w:val="2"/>
            <w:shd w:val="clear" w:color="auto" w:fill="D9D9D9" w:themeFill="background1" w:themeFillShade="D9"/>
          </w:tcPr>
          <w:p w14:paraId="1A017ABB" w14:textId="77777777" w:rsidR="00D51CC6" w:rsidRPr="00A700E7" w:rsidRDefault="00D51CC6" w:rsidP="007A6B1F">
            <w:pPr>
              <w:jc w:val="left"/>
              <w:rPr>
                <w:rFonts w:eastAsia="Calibri"/>
                <w:sz w:val="20"/>
                <w:szCs w:val="20"/>
              </w:rPr>
            </w:pPr>
            <w:r w:rsidRPr="00A700E7">
              <w:rPr>
                <w:rFonts w:eastAsia="Calibri"/>
                <w:sz w:val="20"/>
                <w:szCs w:val="20"/>
              </w:rPr>
              <w:t>Musculoskeletal and connective tissue disorders</w:t>
            </w:r>
          </w:p>
        </w:tc>
      </w:tr>
      <w:tr w:rsidR="00A700E7" w:rsidRPr="00A700E7" w14:paraId="3ADAE7A3" w14:textId="77777777" w:rsidTr="00A700E7">
        <w:trPr>
          <w:cantSplit/>
        </w:trPr>
        <w:tc>
          <w:tcPr>
            <w:tcW w:w="4106" w:type="dxa"/>
            <w:shd w:val="clear" w:color="auto" w:fill="auto"/>
          </w:tcPr>
          <w:p w14:paraId="0EF9F167" w14:textId="77777777" w:rsidR="00D51CC6" w:rsidRPr="00A700E7" w:rsidRDefault="00D51CC6" w:rsidP="007A6B1F">
            <w:pPr>
              <w:jc w:val="left"/>
              <w:rPr>
                <w:rFonts w:eastAsia="Calibri"/>
                <w:sz w:val="20"/>
                <w:szCs w:val="20"/>
              </w:rPr>
            </w:pPr>
            <w:r w:rsidRPr="00A700E7">
              <w:rPr>
                <w:rFonts w:eastAsia="Calibri"/>
                <w:sz w:val="20"/>
                <w:szCs w:val="20"/>
              </w:rPr>
              <w:t>Myalgia</w:t>
            </w:r>
          </w:p>
        </w:tc>
        <w:tc>
          <w:tcPr>
            <w:tcW w:w="3827" w:type="dxa"/>
            <w:shd w:val="clear" w:color="auto" w:fill="auto"/>
          </w:tcPr>
          <w:p w14:paraId="25AEB823"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6CF39664" w14:textId="77777777" w:rsidTr="00A700E7">
        <w:trPr>
          <w:cantSplit/>
        </w:trPr>
        <w:tc>
          <w:tcPr>
            <w:tcW w:w="4106" w:type="dxa"/>
            <w:shd w:val="clear" w:color="auto" w:fill="auto"/>
          </w:tcPr>
          <w:p w14:paraId="7AF538A5" w14:textId="77777777" w:rsidR="00D51CC6" w:rsidRPr="00A700E7" w:rsidRDefault="00D51CC6" w:rsidP="007A6B1F">
            <w:pPr>
              <w:jc w:val="left"/>
              <w:rPr>
                <w:rFonts w:eastAsia="Calibri"/>
                <w:sz w:val="20"/>
                <w:szCs w:val="20"/>
              </w:rPr>
            </w:pPr>
            <w:r w:rsidRPr="00A700E7">
              <w:rPr>
                <w:rFonts w:eastAsia="Calibri"/>
                <w:sz w:val="20"/>
                <w:szCs w:val="20"/>
              </w:rPr>
              <w:t>Back pain</w:t>
            </w:r>
          </w:p>
        </w:tc>
        <w:tc>
          <w:tcPr>
            <w:tcW w:w="3827" w:type="dxa"/>
            <w:shd w:val="clear" w:color="auto" w:fill="auto"/>
          </w:tcPr>
          <w:p w14:paraId="2C8B0961"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4066F3E1" w14:textId="77777777" w:rsidTr="00A700E7">
        <w:trPr>
          <w:cantSplit/>
        </w:trPr>
        <w:tc>
          <w:tcPr>
            <w:tcW w:w="4106" w:type="dxa"/>
            <w:shd w:val="clear" w:color="auto" w:fill="auto"/>
          </w:tcPr>
          <w:p w14:paraId="57DD7775" w14:textId="77777777" w:rsidR="00D51CC6" w:rsidRPr="00A700E7" w:rsidRDefault="00D51CC6" w:rsidP="007A6B1F">
            <w:pPr>
              <w:jc w:val="left"/>
              <w:rPr>
                <w:rFonts w:eastAsia="Calibri"/>
                <w:sz w:val="20"/>
                <w:szCs w:val="20"/>
              </w:rPr>
            </w:pPr>
            <w:r w:rsidRPr="00A700E7">
              <w:rPr>
                <w:rFonts w:eastAsia="Calibri"/>
                <w:sz w:val="20"/>
                <w:szCs w:val="20"/>
              </w:rPr>
              <w:t>Pain in extremity</w:t>
            </w:r>
          </w:p>
        </w:tc>
        <w:tc>
          <w:tcPr>
            <w:tcW w:w="3827" w:type="dxa"/>
            <w:shd w:val="clear" w:color="auto" w:fill="auto"/>
          </w:tcPr>
          <w:p w14:paraId="663CAA87"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44483201" w14:textId="77777777" w:rsidTr="00A700E7">
        <w:trPr>
          <w:cantSplit/>
        </w:trPr>
        <w:tc>
          <w:tcPr>
            <w:tcW w:w="7933" w:type="dxa"/>
            <w:gridSpan w:val="2"/>
            <w:shd w:val="clear" w:color="auto" w:fill="D9D9D9" w:themeFill="background1" w:themeFillShade="D9"/>
          </w:tcPr>
          <w:p w14:paraId="48A6DBB9" w14:textId="77777777" w:rsidR="00D51CC6" w:rsidRPr="00A700E7" w:rsidRDefault="00D51CC6" w:rsidP="007A6B1F">
            <w:pPr>
              <w:jc w:val="left"/>
              <w:rPr>
                <w:rFonts w:eastAsia="Calibri"/>
                <w:sz w:val="20"/>
                <w:szCs w:val="20"/>
              </w:rPr>
            </w:pPr>
            <w:r w:rsidRPr="00A700E7">
              <w:rPr>
                <w:rFonts w:eastAsia="Calibri"/>
                <w:sz w:val="20"/>
                <w:szCs w:val="20"/>
              </w:rPr>
              <w:t>Respiratory, thoracic and mediastinal disorders</w:t>
            </w:r>
          </w:p>
        </w:tc>
      </w:tr>
      <w:tr w:rsidR="00A700E7" w:rsidRPr="00A700E7" w14:paraId="64920106" w14:textId="77777777" w:rsidTr="00A700E7">
        <w:trPr>
          <w:cantSplit/>
        </w:trPr>
        <w:tc>
          <w:tcPr>
            <w:tcW w:w="4106" w:type="dxa"/>
            <w:shd w:val="clear" w:color="auto" w:fill="auto"/>
          </w:tcPr>
          <w:p w14:paraId="20B33C7D" w14:textId="77777777" w:rsidR="00D51CC6" w:rsidRPr="00A700E7" w:rsidRDefault="00D51CC6" w:rsidP="007A6B1F">
            <w:pPr>
              <w:jc w:val="left"/>
              <w:rPr>
                <w:rFonts w:eastAsia="Calibri"/>
                <w:sz w:val="20"/>
                <w:szCs w:val="20"/>
              </w:rPr>
            </w:pPr>
            <w:r w:rsidRPr="00A700E7">
              <w:rPr>
                <w:rFonts w:eastAsia="Calibri"/>
                <w:sz w:val="20"/>
                <w:szCs w:val="20"/>
              </w:rPr>
              <w:t>Nasal congestion</w:t>
            </w:r>
          </w:p>
        </w:tc>
        <w:tc>
          <w:tcPr>
            <w:tcW w:w="3827" w:type="dxa"/>
            <w:shd w:val="clear" w:color="auto" w:fill="auto"/>
          </w:tcPr>
          <w:p w14:paraId="17243F03"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1B07FC52" w14:textId="77777777" w:rsidTr="00A700E7">
        <w:trPr>
          <w:cantSplit/>
        </w:trPr>
        <w:tc>
          <w:tcPr>
            <w:tcW w:w="4106" w:type="dxa"/>
            <w:shd w:val="clear" w:color="auto" w:fill="auto"/>
          </w:tcPr>
          <w:p w14:paraId="503E2017" w14:textId="77777777" w:rsidR="00D51CC6" w:rsidRPr="00A700E7" w:rsidRDefault="00D51CC6" w:rsidP="007A6B1F">
            <w:pPr>
              <w:jc w:val="left"/>
              <w:rPr>
                <w:rFonts w:eastAsia="Calibri"/>
                <w:sz w:val="20"/>
                <w:szCs w:val="20"/>
              </w:rPr>
            </w:pPr>
            <w:r w:rsidRPr="00A700E7">
              <w:rPr>
                <w:rFonts w:eastAsia="Calibri"/>
                <w:sz w:val="20"/>
                <w:szCs w:val="20"/>
              </w:rPr>
              <w:t>Epistaxis</w:t>
            </w:r>
          </w:p>
        </w:tc>
        <w:tc>
          <w:tcPr>
            <w:tcW w:w="3827" w:type="dxa"/>
            <w:shd w:val="clear" w:color="auto" w:fill="auto"/>
          </w:tcPr>
          <w:p w14:paraId="7A61F52F"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4B9F40A6" w14:textId="77777777" w:rsidTr="00A700E7">
        <w:trPr>
          <w:cantSplit/>
        </w:trPr>
        <w:tc>
          <w:tcPr>
            <w:tcW w:w="7933" w:type="dxa"/>
            <w:gridSpan w:val="2"/>
            <w:shd w:val="clear" w:color="auto" w:fill="D9D9D9" w:themeFill="background1" w:themeFillShade="D9"/>
          </w:tcPr>
          <w:p w14:paraId="1C678D2A" w14:textId="77777777" w:rsidR="00D51CC6" w:rsidRPr="00A700E7" w:rsidRDefault="00D51CC6" w:rsidP="007A6B1F">
            <w:pPr>
              <w:jc w:val="left"/>
              <w:rPr>
                <w:rFonts w:eastAsia="Calibri"/>
                <w:sz w:val="20"/>
                <w:szCs w:val="20"/>
              </w:rPr>
            </w:pPr>
            <w:r w:rsidRPr="00A700E7">
              <w:rPr>
                <w:rFonts w:eastAsia="Calibri"/>
                <w:sz w:val="20"/>
                <w:szCs w:val="20"/>
              </w:rPr>
              <w:t>Cardiac disorders</w:t>
            </w:r>
          </w:p>
        </w:tc>
      </w:tr>
      <w:tr w:rsidR="00A700E7" w:rsidRPr="00A700E7" w14:paraId="7C417A66" w14:textId="77777777" w:rsidTr="00A700E7">
        <w:trPr>
          <w:cantSplit/>
        </w:trPr>
        <w:tc>
          <w:tcPr>
            <w:tcW w:w="4106" w:type="dxa"/>
            <w:shd w:val="clear" w:color="auto" w:fill="auto"/>
          </w:tcPr>
          <w:p w14:paraId="37800994" w14:textId="77777777" w:rsidR="00D51CC6" w:rsidRPr="00A700E7" w:rsidRDefault="00D51CC6" w:rsidP="007A6B1F">
            <w:pPr>
              <w:jc w:val="left"/>
              <w:rPr>
                <w:rFonts w:eastAsia="Calibri"/>
                <w:sz w:val="20"/>
                <w:szCs w:val="20"/>
              </w:rPr>
            </w:pPr>
            <w:r w:rsidRPr="00A700E7">
              <w:rPr>
                <w:rFonts w:eastAsia="Calibri"/>
                <w:sz w:val="20"/>
                <w:szCs w:val="20"/>
              </w:rPr>
              <w:t>Palpitations</w:t>
            </w:r>
          </w:p>
        </w:tc>
        <w:tc>
          <w:tcPr>
            <w:tcW w:w="3827" w:type="dxa"/>
            <w:shd w:val="clear" w:color="auto" w:fill="auto"/>
          </w:tcPr>
          <w:p w14:paraId="45FC5479"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66FF4BCD" w14:textId="77777777" w:rsidTr="00A700E7">
        <w:trPr>
          <w:cantSplit/>
        </w:trPr>
        <w:tc>
          <w:tcPr>
            <w:tcW w:w="4106" w:type="dxa"/>
            <w:shd w:val="clear" w:color="auto" w:fill="auto"/>
          </w:tcPr>
          <w:p w14:paraId="77019017" w14:textId="77777777" w:rsidR="00D51CC6" w:rsidRPr="00A700E7" w:rsidRDefault="00D51CC6" w:rsidP="007A6B1F">
            <w:pPr>
              <w:jc w:val="left"/>
              <w:rPr>
                <w:rFonts w:eastAsia="Calibri"/>
                <w:sz w:val="20"/>
                <w:szCs w:val="20"/>
              </w:rPr>
            </w:pPr>
            <w:r w:rsidRPr="00A700E7">
              <w:rPr>
                <w:rFonts w:eastAsia="Calibri"/>
                <w:sz w:val="20"/>
                <w:szCs w:val="20"/>
              </w:rPr>
              <w:t>Tachycardia</w:t>
            </w:r>
          </w:p>
        </w:tc>
        <w:tc>
          <w:tcPr>
            <w:tcW w:w="3827" w:type="dxa"/>
            <w:shd w:val="clear" w:color="auto" w:fill="auto"/>
          </w:tcPr>
          <w:p w14:paraId="1201B812"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409D4DE6" w14:textId="77777777" w:rsidTr="00A700E7">
        <w:trPr>
          <w:cantSplit/>
        </w:trPr>
        <w:tc>
          <w:tcPr>
            <w:tcW w:w="7933" w:type="dxa"/>
            <w:gridSpan w:val="2"/>
            <w:shd w:val="clear" w:color="auto" w:fill="D9D9D9" w:themeFill="background1" w:themeFillShade="D9"/>
          </w:tcPr>
          <w:p w14:paraId="6B0BD954" w14:textId="77777777" w:rsidR="00D51CC6" w:rsidRPr="00A700E7" w:rsidRDefault="00D51CC6" w:rsidP="007A6B1F">
            <w:pPr>
              <w:jc w:val="left"/>
              <w:rPr>
                <w:rFonts w:eastAsia="Calibri"/>
                <w:sz w:val="20"/>
                <w:szCs w:val="20"/>
              </w:rPr>
            </w:pPr>
            <w:r w:rsidRPr="00A700E7">
              <w:rPr>
                <w:rFonts w:eastAsia="Calibri"/>
                <w:sz w:val="20"/>
                <w:szCs w:val="20"/>
              </w:rPr>
              <w:t>Investigations</w:t>
            </w:r>
          </w:p>
        </w:tc>
      </w:tr>
      <w:tr w:rsidR="00A700E7" w:rsidRPr="00A700E7" w14:paraId="4BB1CF62" w14:textId="77777777" w:rsidTr="00A700E7">
        <w:trPr>
          <w:cantSplit/>
        </w:trPr>
        <w:tc>
          <w:tcPr>
            <w:tcW w:w="4106" w:type="dxa"/>
            <w:shd w:val="clear" w:color="auto" w:fill="auto"/>
          </w:tcPr>
          <w:p w14:paraId="6DC2370F" w14:textId="77777777" w:rsidR="00D51CC6" w:rsidRPr="00A700E7" w:rsidRDefault="00D51CC6" w:rsidP="007A6B1F">
            <w:pPr>
              <w:jc w:val="left"/>
              <w:rPr>
                <w:rFonts w:eastAsia="Calibri"/>
                <w:sz w:val="20"/>
                <w:szCs w:val="20"/>
              </w:rPr>
            </w:pPr>
            <w:r w:rsidRPr="00A700E7">
              <w:rPr>
                <w:rFonts w:eastAsia="Calibri"/>
                <w:sz w:val="20"/>
                <w:szCs w:val="20"/>
              </w:rPr>
              <w:t>Transaminases increased</w:t>
            </w:r>
          </w:p>
        </w:tc>
        <w:tc>
          <w:tcPr>
            <w:tcW w:w="3827" w:type="dxa"/>
            <w:shd w:val="clear" w:color="auto" w:fill="auto"/>
          </w:tcPr>
          <w:p w14:paraId="4EC737BB" w14:textId="77777777" w:rsidR="00D51CC6" w:rsidRPr="00A700E7" w:rsidRDefault="00D51CC6" w:rsidP="007A6B1F">
            <w:pPr>
              <w:jc w:val="left"/>
              <w:rPr>
                <w:rFonts w:eastAsia="Calibri"/>
                <w:sz w:val="20"/>
                <w:szCs w:val="20"/>
              </w:rPr>
            </w:pPr>
            <w:r w:rsidRPr="00A700E7">
              <w:rPr>
                <w:rFonts w:eastAsia="Calibri"/>
                <w:sz w:val="20"/>
                <w:szCs w:val="20"/>
              </w:rPr>
              <w:t>Uncommon</w:t>
            </w:r>
          </w:p>
        </w:tc>
      </w:tr>
      <w:tr w:rsidR="00A700E7" w:rsidRPr="00A700E7" w14:paraId="30E8A0F5" w14:textId="77777777" w:rsidTr="00A700E7">
        <w:trPr>
          <w:cantSplit/>
        </w:trPr>
        <w:tc>
          <w:tcPr>
            <w:tcW w:w="7933" w:type="dxa"/>
            <w:gridSpan w:val="2"/>
            <w:shd w:val="clear" w:color="auto" w:fill="D9D9D9" w:themeFill="background1" w:themeFillShade="D9"/>
          </w:tcPr>
          <w:p w14:paraId="7F6DC341" w14:textId="77777777" w:rsidR="00D51CC6" w:rsidRPr="00A700E7" w:rsidRDefault="00D51CC6" w:rsidP="007A6B1F">
            <w:pPr>
              <w:jc w:val="left"/>
              <w:rPr>
                <w:rFonts w:eastAsia="Calibri"/>
                <w:sz w:val="20"/>
                <w:szCs w:val="20"/>
              </w:rPr>
            </w:pPr>
            <w:r w:rsidRPr="00A700E7">
              <w:rPr>
                <w:rFonts w:eastAsia="Calibri"/>
                <w:sz w:val="20"/>
                <w:szCs w:val="20"/>
              </w:rPr>
              <w:t>Blood and lymphatic system disorders</w:t>
            </w:r>
          </w:p>
        </w:tc>
      </w:tr>
      <w:tr w:rsidR="00A700E7" w:rsidRPr="00A700E7" w14:paraId="77CF966B" w14:textId="77777777" w:rsidTr="00A700E7">
        <w:trPr>
          <w:cantSplit/>
        </w:trPr>
        <w:tc>
          <w:tcPr>
            <w:tcW w:w="4106" w:type="dxa"/>
            <w:shd w:val="clear" w:color="auto" w:fill="auto"/>
          </w:tcPr>
          <w:p w14:paraId="677392B8" w14:textId="77777777" w:rsidR="00D51CC6" w:rsidRPr="00A700E7" w:rsidRDefault="00D51CC6" w:rsidP="007A6B1F">
            <w:pPr>
              <w:jc w:val="left"/>
              <w:rPr>
                <w:rFonts w:eastAsia="Calibri"/>
                <w:sz w:val="20"/>
                <w:szCs w:val="20"/>
              </w:rPr>
            </w:pPr>
            <w:proofErr w:type="spellStart"/>
            <w:r w:rsidRPr="00A700E7">
              <w:rPr>
                <w:rFonts w:eastAsia="Calibri"/>
                <w:sz w:val="20"/>
                <w:szCs w:val="20"/>
              </w:rPr>
              <w:t>Anaemia</w:t>
            </w:r>
            <w:proofErr w:type="spellEnd"/>
            <w:r w:rsidRPr="00A700E7">
              <w:rPr>
                <w:rFonts w:eastAsia="Calibri"/>
                <w:sz w:val="20"/>
                <w:szCs w:val="20"/>
              </w:rPr>
              <w:t>/</w:t>
            </w:r>
            <w:proofErr w:type="spellStart"/>
            <w:r w:rsidRPr="00A700E7">
              <w:rPr>
                <w:rFonts w:eastAsia="Calibri"/>
                <w:sz w:val="20"/>
                <w:szCs w:val="20"/>
              </w:rPr>
              <w:t>Haemoglobin</w:t>
            </w:r>
            <w:proofErr w:type="spellEnd"/>
            <w:r w:rsidRPr="00A700E7">
              <w:rPr>
                <w:rFonts w:eastAsia="Calibri"/>
                <w:sz w:val="20"/>
                <w:szCs w:val="20"/>
              </w:rPr>
              <w:t xml:space="preserve"> </w:t>
            </w:r>
            <w:proofErr w:type="spellStart"/>
            <w:r w:rsidRPr="00A700E7">
              <w:rPr>
                <w:rFonts w:eastAsia="Calibri"/>
                <w:sz w:val="20"/>
                <w:szCs w:val="20"/>
              </w:rPr>
              <w:t>decrease</w:t>
            </w:r>
            <w:r w:rsidRPr="00A700E7">
              <w:rPr>
                <w:rFonts w:eastAsia="Calibri"/>
                <w:sz w:val="20"/>
                <w:szCs w:val="20"/>
                <w:vertAlign w:val="superscript"/>
              </w:rPr>
              <w:t>b</w:t>
            </w:r>
            <w:proofErr w:type="spellEnd"/>
          </w:p>
        </w:tc>
        <w:tc>
          <w:tcPr>
            <w:tcW w:w="3827" w:type="dxa"/>
            <w:shd w:val="clear" w:color="auto" w:fill="auto"/>
          </w:tcPr>
          <w:p w14:paraId="57D09421" w14:textId="77777777" w:rsidR="00D51CC6" w:rsidRPr="00A700E7" w:rsidRDefault="00D51CC6" w:rsidP="007A6B1F">
            <w:pPr>
              <w:jc w:val="left"/>
              <w:rPr>
                <w:rFonts w:eastAsia="Calibri"/>
                <w:sz w:val="20"/>
                <w:szCs w:val="20"/>
              </w:rPr>
            </w:pPr>
            <w:r w:rsidRPr="00A700E7">
              <w:rPr>
                <w:rFonts w:eastAsia="Calibri"/>
                <w:sz w:val="20"/>
                <w:szCs w:val="20"/>
              </w:rPr>
              <w:t>Very common</w:t>
            </w:r>
          </w:p>
        </w:tc>
      </w:tr>
      <w:tr w:rsidR="00A700E7" w:rsidRPr="00A700E7" w14:paraId="005C64DC" w14:textId="77777777" w:rsidTr="00A700E7">
        <w:trPr>
          <w:cantSplit/>
        </w:trPr>
        <w:tc>
          <w:tcPr>
            <w:tcW w:w="7933" w:type="dxa"/>
            <w:gridSpan w:val="2"/>
            <w:shd w:val="clear" w:color="auto" w:fill="D9D9D9" w:themeFill="background1" w:themeFillShade="D9"/>
          </w:tcPr>
          <w:p w14:paraId="71CA7E4E" w14:textId="77777777" w:rsidR="00D51CC6" w:rsidRPr="00A700E7" w:rsidRDefault="00D51CC6" w:rsidP="007A6B1F">
            <w:pPr>
              <w:jc w:val="left"/>
              <w:rPr>
                <w:rFonts w:eastAsia="Calibri"/>
                <w:sz w:val="20"/>
                <w:szCs w:val="20"/>
              </w:rPr>
            </w:pPr>
            <w:r w:rsidRPr="00A700E7">
              <w:rPr>
                <w:rFonts w:eastAsia="Calibri"/>
                <w:sz w:val="20"/>
                <w:szCs w:val="20"/>
              </w:rPr>
              <w:t>Vascular disorders</w:t>
            </w:r>
          </w:p>
        </w:tc>
      </w:tr>
      <w:tr w:rsidR="00A700E7" w:rsidRPr="00A700E7" w14:paraId="2441E4B9" w14:textId="77777777" w:rsidTr="00A700E7">
        <w:trPr>
          <w:cantSplit/>
        </w:trPr>
        <w:tc>
          <w:tcPr>
            <w:tcW w:w="4106" w:type="dxa"/>
            <w:shd w:val="clear" w:color="auto" w:fill="auto"/>
          </w:tcPr>
          <w:p w14:paraId="7395FC66" w14:textId="77777777" w:rsidR="00D51CC6" w:rsidRPr="00A700E7" w:rsidRDefault="00D51CC6" w:rsidP="007A6B1F">
            <w:pPr>
              <w:jc w:val="left"/>
              <w:rPr>
                <w:rFonts w:eastAsia="Calibri"/>
                <w:sz w:val="20"/>
                <w:szCs w:val="20"/>
              </w:rPr>
            </w:pPr>
            <w:r w:rsidRPr="00A700E7">
              <w:rPr>
                <w:rFonts w:eastAsia="Calibri"/>
                <w:sz w:val="20"/>
                <w:szCs w:val="20"/>
              </w:rPr>
              <w:t>Hypotension</w:t>
            </w:r>
          </w:p>
        </w:tc>
        <w:tc>
          <w:tcPr>
            <w:tcW w:w="3827" w:type="dxa"/>
            <w:shd w:val="clear" w:color="auto" w:fill="auto"/>
          </w:tcPr>
          <w:p w14:paraId="5C00C2E6"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2D5E011C" w14:textId="77777777" w:rsidTr="00A700E7">
        <w:trPr>
          <w:cantSplit/>
        </w:trPr>
        <w:tc>
          <w:tcPr>
            <w:tcW w:w="4106" w:type="dxa"/>
            <w:shd w:val="clear" w:color="auto" w:fill="auto"/>
          </w:tcPr>
          <w:p w14:paraId="0EF047A8" w14:textId="77777777" w:rsidR="00D51CC6" w:rsidRPr="00A700E7" w:rsidRDefault="00D51CC6" w:rsidP="007A6B1F">
            <w:pPr>
              <w:jc w:val="left"/>
              <w:rPr>
                <w:rFonts w:eastAsia="Calibri"/>
                <w:sz w:val="20"/>
                <w:szCs w:val="20"/>
              </w:rPr>
            </w:pPr>
            <w:proofErr w:type="spellStart"/>
            <w:r w:rsidRPr="00A700E7">
              <w:rPr>
                <w:rFonts w:eastAsia="Calibri"/>
                <w:sz w:val="20"/>
                <w:szCs w:val="20"/>
              </w:rPr>
              <w:t>Flushing</w:t>
            </w:r>
            <w:r w:rsidRPr="00A700E7">
              <w:rPr>
                <w:rFonts w:eastAsia="Calibri"/>
                <w:sz w:val="20"/>
                <w:szCs w:val="20"/>
                <w:vertAlign w:val="superscript"/>
              </w:rPr>
              <w:t>c</w:t>
            </w:r>
            <w:proofErr w:type="spellEnd"/>
          </w:p>
        </w:tc>
        <w:tc>
          <w:tcPr>
            <w:tcW w:w="3827" w:type="dxa"/>
            <w:shd w:val="clear" w:color="auto" w:fill="auto"/>
          </w:tcPr>
          <w:p w14:paraId="32F99F38"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3A4DC3E3" w14:textId="77777777" w:rsidTr="00A700E7">
        <w:trPr>
          <w:cantSplit/>
        </w:trPr>
        <w:tc>
          <w:tcPr>
            <w:tcW w:w="7933" w:type="dxa"/>
            <w:gridSpan w:val="2"/>
            <w:shd w:val="clear" w:color="auto" w:fill="D9D9D9" w:themeFill="background1" w:themeFillShade="D9"/>
          </w:tcPr>
          <w:p w14:paraId="0A5D59E1" w14:textId="77777777" w:rsidR="00D51CC6" w:rsidRPr="00A700E7" w:rsidRDefault="00D51CC6" w:rsidP="007A6B1F">
            <w:pPr>
              <w:jc w:val="left"/>
              <w:rPr>
                <w:rFonts w:eastAsia="Calibri"/>
                <w:sz w:val="20"/>
                <w:szCs w:val="20"/>
              </w:rPr>
            </w:pPr>
            <w:r w:rsidRPr="00A700E7">
              <w:rPr>
                <w:rFonts w:eastAsia="Calibri"/>
                <w:sz w:val="20"/>
                <w:szCs w:val="20"/>
              </w:rPr>
              <w:t>Skin and subcutaneous tissue disorders</w:t>
            </w:r>
          </w:p>
        </w:tc>
      </w:tr>
      <w:tr w:rsidR="00A700E7" w:rsidRPr="00A700E7" w14:paraId="5ACD4E9C" w14:textId="77777777" w:rsidTr="00A700E7">
        <w:trPr>
          <w:cantSplit/>
        </w:trPr>
        <w:tc>
          <w:tcPr>
            <w:tcW w:w="4106" w:type="dxa"/>
            <w:shd w:val="clear" w:color="auto" w:fill="auto"/>
          </w:tcPr>
          <w:p w14:paraId="5460A950" w14:textId="77777777" w:rsidR="00D51CC6" w:rsidRPr="00A700E7" w:rsidRDefault="00D51CC6" w:rsidP="007A6B1F">
            <w:pPr>
              <w:jc w:val="left"/>
              <w:rPr>
                <w:rFonts w:eastAsia="Calibri"/>
                <w:sz w:val="20"/>
                <w:szCs w:val="20"/>
              </w:rPr>
            </w:pPr>
            <w:r w:rsidRPr="00A700E7">
              <w:rPr>
                <w:rFonts w:eastAsia="Calibri"/>
                <w:sz w:val="20"/>
                <w:szCs w:val="20"/>
              </w:rPr>
              <w:t>Rash</w:t>
            </w:r>
          </w:p>
        </w:tc>
        <w:tc>
          <w:tcPr>
            <w:tcW w:w="3827" w:type="dxa"/>
            <w:shd w:val="clear" w:color="auto" w:fill="auto"/>
          </w:tcPr>
          <w:p w14:paraId="1B4C57B4"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68741A56" w14:textId="77777777" w:rsidTr="00A700E7">
        <w:trPr>
          <w:cantSplit/>
        </w:trPr>
        <w:tc>
          <w:tcPr>
            <w:tcW w:w="7933" w:type="dxa"/>
            <w:gridSpan w:val="2"/>
            <w:shd w:val="clear" w:color="auto" w:fill="D9D9D9" w:themeFill="background1" w:themeFillShade="D9"/>
          </w:tcPr>
          <w:p w14:paraId="114D95AF" w14:textId="77777777" w:rsidR="00D51CC6" w:rsidRPr="00A700E7" w:rsidRDefault="00D51CC6" w:rsidP="007A6B1F">
            <w:pPr>
              <w:jc w:val="left"/>
              <w:rPr>
                <w:rFonts w:eastAsia="Calibri"/>
                <w:sz w:val="20"/>
                <w:szCs w:val="20"/>
              </w:rPr>
            </w:pPr>
            <w:r w:rsidRPr="00A700E7">
              <w:rPr>
                <w:rFonts w:eastAsia="Calibri"/>
                <w:sz w:val="20"/>
                <w:szCs w:val="20"/>
              </w:rPr>
              <w:t>Eye disorders</w:t>
            </w:r>
          </w:p>
        </w:tc>
      </w:tr>
      <w:tr w:rsidR="00A700E7" w:rsidRPr="00A700E7" w14:paraId="59060B1B" w14:textId="77777777" w:rsidTr="00A700E7">
        <w:trPr>
          <w:cantSplit/>
        </w:trPr>
        <w:tc>
          <w:tcPr>
            <w:tcW w:w="4106" w:type="dxa"/>
            <w:shd w:val="clear" w:color="auto" w:fill="auto"/>
          </w:tcPr>
          <w:p w14:paraId="4923452F" w14:textId="77777777" w:rsidR="00D51CC6" w:rsidRPr="00A700E7" w:rsidRDefault="00D51CC6" w:rsidP="007A6B1F">
            <w:pPr>
              <w:jc w:val="left"/>
              <w:rPr>
                <w:rFonts w:eastAsia="Calibri"/>
                <w:sz w:val="20"/>
                <w:szCs w:val="20"/>
              </w:rPr>
            </w:pPr>
            <w:r w:rsidRPr="00A700E7">
              <w:rPr>
                <w:rFonts w:eastAsia="Calibri"/>
                <w:sz w:val="20"/>
                <w:szCs w:val="20"/>
              </w:rPr>
              <w:t>Vision blurred</w:t>
            </w:r>
          </w:p>
        </w:tc>
        <w:tc>
          <w:tcPr>
            <w:tcW w:w="3827" w:type="dxa"/>
            <w:shd w:val="clear" w:color="auto" w:fill="auto"/>
          </w:tcPr>
          <w:p w14:paraId="69220426"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06775FB3" w14:textId="77777777" w:rsidTr="00A700E7">
        <w:trPr>
          <w:cantSplit/>
        </w:trPr>
        <w:tc>
          <w:tcPr>
            <w:tcW w:w="7933" w:type="dxa"/>
            <w:gridSpan w:val="2"/>
            <w:shd w:val="clear" w:color="auto" w:fill="D9D9D9" w:themeFill="background1" w:themeFillShade="D9"/>
          </w:tcPr>
          <w:p w14:paraId="57E4FAD3" w14:textId="77777777" w:rsidR="00D51CC6" w:rsidRPr="00A700E7" w:rsidRDefault="00D51CC6" w:rsidP="007A6B1F">
            <w:pPr>
              <w:jc w:val="left"/>
              <w:rPr>
                <w:rFonts w:eastAsia="Calibri"/>
                <w:sz w:val="20"/>
                <w:szCs w:val="20"/>
              </w:rPr>
            </w:pPr>
            <w:r w:rsidRPr="00A700E7">
              <w:rPr>
                <w:rFonts w:eastAsia="Calibri"/>
                <w:sz w:val="20"/>
                <w:szCs w:val="20"/>
              </w:rPr>
              <w:t>Reproductive system and breast disorders</w:t>
            </w:r>
          </w:p>
        </w:tc>
      </w:tr>
      <w:tr w:rsidR="00A700E7" w:rsidRPr="00A700E7" w14:paraId="1BEAC972" w14:textId="77777777" w:rsidTr="00A700E7">
        <w:trPr>
          <w:cantSplit/>
        </w:trPr>
        <w:tc>
          <w:tcPr>
            <w:tcW w:w="4106" w:type="dxa"/>
            <w:shd w:val="clear" w:color="auto" w:fill="auto"/>
          </w:tcPr>
          <w:p w14:paraId="2C9F10D9" w14:textId="77777777" w:rsidR="00D51CC6" w:rsidRPr="00A700E7" w:rsidRDefault="00D51CC6" w:rsidP="007A6B1F">
            <w:pPr>
              <w:jc w:val="left"/>
              <w:rPr>
                <w:rFonts w:eastAsia="Calibri"/>
                <w:sz w:val="20"/>
                <w:szCs w:val="20"/>
              </w:rPr>
            </w:pPr>
            <w:r w:rsidRPr="00A700E7">
              <w:rPr>
                <w:rFonts w:eastAsia="Calibri"/>
                <w:sz w:val="20"/>
                <w:szCs w:val="20"/>
              </w:rPr>
              <w:t xml:space="preserve">Increased uterine </w:t>
            </w:r>
            <w:proofErr w:type="spellStart"/>
            <w:r w:rsidRPr="00A700E7">
              <w:rPr>
                <w:rFonts w:eastAsia="Calibri"/>
                <w:sz w:val="20"/>
                <w:szCs w:val="20"/>
              </w:rPr>
              <w:t>bleeding</w:t>
            </w:r>
            <w:r w:rsidRPr="00A700E7">
              <w:rPr>
                <w:rFonts w:eastAsia="Calibri"/>
                <w:sz w:val="20"/>
                <w:szCs w:val="20"/>
                <w:vertAlign w:val="superscript"/>
              </w:rPr>
              <w:t>d</w:t>
            </w:r>
            <w:proofErr w:type="spellEnd"/>
          </w:p>
        </w:tc>
        <w:tc>
          <w:tcPr>
            <w:tcW w:w="3827" w:type="dxa"/>
            <w:shd w:val="clear" w:color="auto" w:fill="auto"/>
          </w:tcPr>
          <w:p w14:paraId="6D561EDC" w14:textId="77777777" w:rsidR="00D51CC6" w:rsidRPr="00A700E7" w:rsidRDefault="00D51CC6" w:rsidP="007A6B1F">
            <w:pPr>
              <w:jc w:val="left"/>
              <w:rPr>
                <w:rFonts w:eastAsia="Calibri"/>
                <w:sz w:val="20"/>
                <w:szCs w:val="20"/>
              </w:rPr>
            </w:pPr>
            <w:r w:rsidRPr="00A700E7">
              <w:rPr>
                <w:rFonts w:eastAsia="Calibri"/>
                <w:sz w:val="20"/>
                <w:szCs w:val="20"/>
              </w:rPr>
              <w:t>Common</w:t>
            </w:r>
          </w:p>
        </w:tc>
      </w:tr>
      <w:tr w:rsidR="00A700E7" w:rsidRPr="00A700E7" w14:paraId="1D334A0D" w14:textId="77777777" w:rsidTr="00A700E7">
        <w:trPr>
          <w:cantSplit/>
        </w:trPr>
        <w:tc>
          <w:tcPr>
            <w:tcW w:w="7933" w:type="dxa"/>
            <w:gridSpan w:val="2"/>
            <w:shd w:val="clear" w:color="auto" w:fill="D9D9D9" w:themeFill="background1" w:themeFillShade="D9"/>
          </w:tcPr>
          <w:p w14:paraId="193EE712" w14:textId="77777777" w:rsidR="00D51CC6" w:rsidRPr="00A700E7" w:rsidRDefault="00D51CC6" w:rsidP="007A6B1F">
            <w:pPr>
              <w:jc w:val="left"/>
              <w:rPr>
                <w:rFonts w:eastAsia="Calibri"/>
                <w:sz w:val="20"/>
                <w:szCs w:val="20"/>
              </w:rPr>
            </w:pPr>
            <w:r w:rsidRPr="00A700E7">
              <w:rPr>
                <w:rFonts w:eastAsia="Calibri"/>
                <w:sz w:val="20"/>
                <w:szCs w:val="20"/>
              </w:rPr>
              <w:t>Immune system disorders</w:t>
            </w:r>
          </w:p>
        </w:tc>
      </w:tr>
      <w:tr w:rsidR="00A700E7" w:rsidRPr="00A700E7" w14:paraId="430BCDD2" w14:textId="77777777" w:rsidTr="00A700E7">
        <w:trPr>
          <w:cantSplit/>
        </w:trPr>
        <w:tc>
          <w:tcPr>
            <w:tcW w:w="4106" w:type="dxa"/>
            <w:shd w:val="clear" w:color="auto" w:fill="auto"/>
          </w:tcPr>
          <w:p w14:paraId="53AC8427" w14:textId="77777777" w:rsidR="00D51CC6" w:rsidRPr="00A700E7" w:rsidRDefault="00D51CC6" w:rsidP="007A6B1F">
            <w:pPr>
              <w:jc w:val="left"/>
              <w:rPr>
                <w:rFonts w:eastAsia="Calibri"/>
                <w:sz w:val="20"/>
                <w:szCs w:val="20"/>
              </w:rPr>
            </w:pPr>
            <w:r w:rsidRPr="00A700E7">
              <w:rPr>
                <w:rFonts w:eastAsia="Calibri"/>
                <w:sz w:val="20"/>
                <w:szCs w:val="20"/>
              </w:rPr>
              <w:t>Hypersensitivity</w:t>
            </w:r>
          </w:p>
        </w:tc>
        <w:tc>
          <w:tcPr>
            <w:tcW w:w="3827" w:type="dxa"/>
            <w:shd w:val="clear" w:color="auto" w:fill="auto"/>
          </w:tcPr>
          <w:p w14:paraId="1C56A52F" w14:textId="77777777" w:rsidR="00D51CC6" w:rsidRPr="00A700E7" w:rsidRDefault="00D51CC6" w:rsidP="007A6B1F">
            <w:pPr>
              <w:jc w:val="left"/>
              <w:rPr>
                <w:rFonts w:eastAsia="Calibri"/>
                <w:sz w:val="20"/>
                <w:szCs w:val="20"/>
              </w:rPr>
            </w:pPr>
            <w:r w:rsidRPr="00A700E7">
              <w:rPr>
                <w:rFonts w:eastAsia="Calibri"/>
                <w:sz w:val="20"/>
                <w:szCs w:val="20"/>
              </w:rPr>
              <w:t>Uncommon</w:t>
            </w:r>
          </w:p>
        </w:tc>
      </w:tr>
      <w:tr w:rsidR="00A700E7" w:rsidRPr="00A700E7" w14:paraId="48336346" w14:textId="77777777" w:rsidTr="00A700E7">
        <w:trPr>
          <w:cantSplit/>
        </w:trPr>
        <w:tc>
          <w:tcPr>
            <w:tcW w:w="4106" w:type="dxa"/>
            <w:shd w:val="clear" w:color="auto" w:fill="auto"/>
          </w:tcPr>
          <w:p w14:paraId="36E3D1A6" w14:textId="77777777" w:rsidR="00D51CC6" w:rsidRPr="00A700E7" w:rsidRDefault="00D51CC6" w:rsidP="007A6B1F">
            <w:pPr>
              <w:jc w:val="left"/>
              <w:rPr>
                <w:rFonts w:eastAsia="Calibri"/>
                <w:sz w:val="20"/>
                <w:szCs w:val="20"/>
              </w:rPr>
            </w:pPr>
            <w:r w:rsidRPr="00A700E7">
              <w:rPr>
                <w:rFonts w:eastAsia="Calibri"/>
                <w:sz w:val="20"/>
                <w:szCs w:val="20"/>
              </w:rPr>
              <w:t>Angioedema</w:t>
            </w:r>
          </w:p>
        </w:tc>
        <w:tc>
          <w:tcPr>
            <w:tcW w:w="3827" w:type="dxa"/>
            <w:shd w:val="clear" w:color="auto" w:fill="auto"/>
          </w:tcPr>
          <w:p w14:paraId="5CEE9768" w14:textId="77777777" w:rsidR="00D51CC6" w:rsidRPr="00A700E7" w:rsidRDefault="00D51CC6" w:rsidP="007A6B1F">
            <w:pPr>
              <w:jc w:val="left"/>
              <w:rPr>
                <w:rFonts w:eastAsia="Calibri"/>
                <w:sz w:val="20"/>
                <w:szCs w:val="20"/>
              </w:rPr>
            </w:pPr>
            <w:r w:rsidRPr="00A700E7">
              <w:rPr>
                <w:rFonts w:eastAsia="Calibri"/>
                <w:sz w:val="20"/>
                <w:szCs w:val="20"/>
              </w:rPr>
              <w:t>Uncommon</w:t>
            </w:r>
          </w:p>
        </w:tc>
      </w:tr>
    </w:tbl>
    <w:p w14:paraId="76743CE2" w14:textId="77777777" w:rsidR="00D51CC6" w:rsidRPr="00A700E7" w:rsidRDefault="00D51CC6" w:rsidP="007A6B1F">
      <w:pPr>
        <w:jc w:val="left"/>
        <w:rPr>
          <w:sz w:val="18"/>
          <w:szCs w:val="18"/>
        </w:rPr>
      </w:pPr>
      <w:bookmarkStart w:id="21" w:name="_Hlk171346977"/>
      <w:bookmarkEnd w:id="20"/>
      <w:r w:rsidRPr="00A700E7">
        <w:rPr>
          <w:sz w:val="18"/>
          <w:szCs w:val="18"/>
          <w:vertAlign w:val="superscript"/>
        </w:rPr>
        <w:t>a</w:t>
      </w:r>
      <w:r w:rsidRPr="00A700E7">
        <w:rPr>
          <w:sz w:val="18"/>
          <w:szCs w:val="18"/>
        </w:rPr>
        <w:t xml:space="preserve"> Grouped term includes preferred terms (PTs) of edema peripheral, peripheral swelling, generalized edema, swelling, fluid retention, bone marrow edema, joint swelling, edema, hypervolemia, and pericardial effusion.</w:t>
      </w:r>
    </w:p>
    <w:p w14:paraId="64509CBD" w14:textId="2A147EC0" w:rsidR="00D51CC6" w:rsidRPr="00A700E7" w:rsidRDefault="00D51CC6" w:rsidP="007A6B1F">
      <w:pPr>
        <w:jc w:val="left"/>
        <w:rPr>
          <w:sz w:val="18"/>
          <w:szCs w:val="18"/>
        </w:rPr>
      </w:pPr>
      <w:r w:rsidRPr="00A700E7">
        <w:rPr>
          <w:sz w:val="18"/>
          <w:szCs w:val="18"/>
          <w:vertAlign w:val="superscript"/>
        </w:rPr>
        <w:lastRenderedPageBreak/>
        <w:t>b</w:t>
      </w:r>
      <w:r w:rsidRPr="00A700E7">
        <w:rPr>
          <w:sz w:val="18"/>
          <w:szCs w:val="18"/>
        </w:rPr>
        <w:t xml:space="preserve"> Grouped </w:t>
      </w:r>
      <w:proofErr w:type="gramStart"/>
      <w:r w:rsidRPr="00A700E7">
        <w:rPr>
          <w:sz w:val="18"/>
          <w:szCs w:val="18"/>
        </w:rPr>
        <w:t>term includes</w:t>
      </w:r>
      <w:proofErr w:type="gramEnd"/>
      <w:r w:rsidRPr="00A700E7">
        <w:rPr>
          <w:sz w:val="18"/>
          <w:szCs w:val="18"/>
        </w:rPr>
        <w:t xml:space="preserve"> PTs of </w:t>
      </w:r>
      <w:proofErr w:type="spellStart"/>
      <w:r w:rsidRPr="00A700E7">
        <w:rPr>
          <w:sz w:val="18"/>
          <w:szCs w:val="18"/>
        </w:rPr>
        <w:t>an</w:t>
      </w:r>
      <w:r w:rsidR="00C4061E" w:rsidRPr="00A700E7">
        <w:rPr>
          <w:sz w:val="18"/>
          <w:szCs w:val="18"/>
        </w:rPr>
        <w:t>a</w:t>
      </w:r>
      <w:r w:rsidRPr="00A700E7">
        <w:rPr>
          <w:sz w:val="18"/>
          <w:szCs w:val="18"/>
        </w:rPr>
        <w:t>emia</w:t>
      </w:r>
      <w:proofErr w:type="spellEnd"/>
      <w:r w:rsidRPr="00A700E7">
        <w:rPr>
          <w:sz w:val="18"/>
          <w:szCs w:val="18"/>
        </w:rPr>
        <w:t xml:space="preserve">, iron deficiency </w:t>
      </w:r>
      <w:proofErr w:type="spellStart"/>
      <w:r w:rsidRPr="00A700E7">
        <w:rPr>
          <w:sz w:val="18"/>
          <w:szCs w:val="18"/>
        </w:rPr>
        <w:t>an</w:t>
      </w:r>
      <w:r w:rsidR="00C4061E" w:rsidRPr="00A700E7">
        <w:rPr>
          <w:sz w:val="18"/>
          <w:szCs w:val="18"/>
        </w:rPr>
        <w:t>a</w:t>
      </w:r>
      <w:r w:rsidRPr="00A700E7">
        <w:rPr>
          <w:sz w:val="18"/>
          <w:szCs w:val="18"/>
        </w:rPr>
        <w:t>emia</w:t>
      </w:r>
      <w:proofErr w:type="spellEnd"/>
      <w:r w:rsidRPr="00A700E7">
        <w:rPr>
          <w:sz w:val="18"/>
          <w:szCs w:val="18"/>
        </w:rPr>
        <w:t xml:space="preserve">, </w:t>
      </w:r>
      <w:proofErr w:type="spellStart"/>
      <w:r w:rsidRPr="00A700E7">
        <w:rPr>
          <w:sz w:val="18"/>
          <w:szCs w:val="18"/>
        </w:rPr>
        <w:t>an</w:t>
      </w:r>
      <w:r w:rsidR="00C4061E" w:rsidRPr="00A700E7">
        <w:rPr>
          <w:sz w:val="18"/>
          <w:szCs w:val="18"/>
        </w:rPr>
        <w:t>a</w:t>
      </w:r>
      <w:r w:rsidRPr="00A700E7">
        <w:rPr>
          <w:sz w:val="18"/>
          <w:szCs w:val="18"/>
        </w:rPr>
        <w:t>emia</w:t>
      </w:r>
      <w:proofErr w:type="spellEnd"/>
      <w:r w:rsidRPr="00A700E7">
        <w:rPr>
          <w:sz w:val="18"/>
          <w:szCs w:val="18"/>
        </w:rPr>
        <w:t xml:space="preserve"> of chronic disease, </w:t>
      </w:r>
      <w:proofErr w:type="spellStart"/>
      <w:r w:rsidRPr="00A700E7">
        <w:rPr>
          <w:sz w:val="18"/>
          <w:szCs w:val="18"/>
        </w:rPr>
        <w:t>h</w:t>
      </w:r>
      <w:r w:rsidR="00C4061E" w:rsidRPr="00A700E7">
        <w:rPr>
          <w:sz w:val="18"/>
          <w:szCs w:val="18"/>
        </w:rPr>
        <w:t>a</w:t>
      </w:r>
      <w:r w:rsidRPr="00A700E7">
        <w:rPr>
          <w:sz w:val="18"/>
          <w:szCs w:val="18"/>
        </w:rPr>
        <w:t>emoglobin</w:t>
      </w:r>
      <w:proofErr w:type="spellEnd"/>
      <w:r w:rsidRPr="00A700E7">
        <w:rPr>
          <w:sz w:val="18"/>
          <w:szCs w:val="18"/>
        </w:rPr>
        <w:t xml:space="preserve"> decreased, normochromic </w:t>
      </w:r>
      <w:proofErr w:type="spellStart"/>
      <w:r w:rsidRPr="00A700E7">
        <w:rPr>
          <w:sz w:val="18"/>
          <w:szCs w:val="18"/>
        </w:rPr>
        <w:t>an</w:t>
      </w:r>
      <w:r w:rsidR="00C4061E" w:rsidRPr="00A700E7">
        <w:rPr>
          <w:sz w:val="18"/>
          <w:szCs w:val="18"/>
        </w:rPr>
        <w:t>a</w:t>
      </w:r>
      <w:r w:rsidRPr="00A700E7">
        <w:rPr>
          <w:sz w:val="18"/>
          <w:szCs w:val="18"/>
        </w:rPr>
        <w:t>emia</w:t>
      </w:r>
      <w:proofErr w:type="spellEnd"/>
      <w:r w:rsidRPr="00A700E7">
        <w:rPr>
          <w:sz w:val="18"/>
          <w:szCs w:val="18"/>
        </w:rPr>
        <w:t xml:space="preserve">, pancytopenia, blood loss </w:t>
      </w:r>
      <w:proofErr w:type="spellStart"/>
      <w:r w:rsidRPr="00A700E7">
        <w:rPr>
          <w:sz w:val="18"/>
          <w:szCs w:val="18"/>
        </w:rPr>
        <w:t>an</w:t>
      </w:r>
      <w:r w:rsidR="00C4061E" w:rsidRPr="00A700E7">
        <w:rPr>
          <w:sz w:val="18"/>
          <w:szCs w:val="18"/>
        </w:rPr>
        <w:t>a</w:t>
      </w:r>
      <w:r w:rsidRPr="00A700E7">
        <w:rPr>
          <w:sz w:val="18"/>
          <w:szCs w:val="18"/>
        </w:rPr>
        <w:t>emia</w:t>
      </w:r>
      <w:proofErr w:type="spellEnd"/>
      <w:r w:rsidRPr="00A700E7">
        <w:rPr>
          <w:sz w:val="18"/>
          <w:szCs w:val="18"/>
        </w:rPr>
        <w:t>, and myelofibrosis.</w:t>
      </w:r>
    </w:p>
    <w:p w14:paraId="0399FB92" w14:textId="77777777" w:rsidR="00D51CC6" w:rsidRPr="00A700E7" w:rsidRDefault="00D51CC6" w:rsidP="007A6B1F">
      <w:pPr>
        <w:jc w:val="left"/>
        <w:rPr>
          <w:sz w:val="18"/>
          <w:szCs w:val="18"/>
        </w:rPr>
      </w:pPr>
      <w:r w:rsidRPr="00A700E7">
        <w:rPr>
          <w:sz w:val="18"/>
          <w:szCs w:val="18"/>
          <w:vertAlign w:val="superscript"/>
        </w:rPr>
        <w:t>c</w:t>
      </w:r>
      <w:r w:rsidRPr="00A700E7">
        <w:rPr>
          <w:sz w:val="18"/>
          <w:szCs w:val="18"/>
        </w:rPr>
        <w:t xml:space="preserve"> Grouped term includes PTs of flushing, and hot flush.</w:t>
      </w:r>
    </w:p>
    <w:p w14:paraId="4554BBA6" w14:textId="48FBD8FE" w:rsidR="00D51CC6" w:rsidRPr="00A700E7" w:rsidRDefault="00D51CC6" w:rsidP="007A6B1F">
      <w:pPr>
        <w:jc w:val="left"/>
        <w:rPr>
          <w:sz w:val="18"/>
          <w:szCs w:val="18"/>
        </w:rPr>
      </w:pPr>
      <w:r w:rsidRPr="00A700E7">
        <w:rPr>
          <w:sz w:val="18"/>
          <w:szCs w:val="18"/>
          <w:vertAlign w:val="superscript"/>
        </w:rPr>
        <w:t>d</w:t>
      </w:r>
      <w:r w:rsidRPr="00A700E7">
        <w:rPr>
          <w:sz w:val="18"/>
          <w:szCs w:val="18"/>
        </w:rPr>
        <w:t xml:space="preserve"> Grouped term includes PTs of heavy menstrual bleeding, intermenstrual bleeding, polymenorrhagia, and vaginal </w:t>
      </w:r>
      <w:proofErr w:type="spellStart"/>
      <w:r w:rsidRPr="00A700E7">
        <w:rPr>
          <w:sz w:val="18"/>
          <w:szCs w:val="18"/>
        </w:rPr>
        <w:t>h</w:t>
      </w:r>
      <w:r w:rsidR="00C4061E" w:rsidRPr="00A700E7">
        <w:rPr>
          <w:sz w:val="18"/>
          <w:szCs w:val="18"/>
        </w:rPr>
        <w:t>a</w:t>
      </w:r>
      <w:r w:rsidRPr="00A700E7">
        <w:rPr>
          <w:sz w:val="18"/>
          <w:szCs w:val="18"/>
        </w:rPr>
        <w:t>emorrhage</w:t>
      </w:r>
      <w:proofErr w:type="spellEnd"/>
      <w:r w:rsidRPr="00A700E7">
        <w:rPr>
          <w:sz w:val="18"/>
          <w:szCs w:val="18"/>
        </w:rPr>
        <w:t>. Frequency based on exposure in female subjects.</w:t>
      </w:r>
    </w:p>
    <w:bookmarkEnd w:id="21"/>
    <w:p w14:paraId="0F4B6E52" w14:textId="77777777" w:rsidR="0034491F" w:rsidRPr="00A700E7" w:rsidRDefault="0034491F" w:rsidP="007A6B1F">
      <w:pPr>
        <w:jc w:val="left"/>
      </w:pPr>
    </w:p>
    <w:p w14:paraId="64D7E354" w14:textId="77777777" w:rsidR="005018A6" w:rsidRPr="00A700E7" w:rsidRDefault="005018A6" w:rsidP="007A6B1F">
      <w:pPr>
        <w:jc w:val="left"/>
      </w:pPr>
    </w:p>
    <w:p w14:paraId="3348171F" w14:textId="26AFCE8F" w:rsidR="005723CF" w:rsidRPr="00A700E7" w:rsidRDefault="005723CF" w:rsidP="007A6B1F">
      <w:pPr>
        <w:pStyle w:val="Heading4"/>
        <w:jc w:val="left"/>
      </w:pPr>
      <w:r w:rsidRPr="00A700E7">
        <w:t>Long term safety data</w:t>
      </w:r>
    </w:p>
    <w:p w14:paraId="18189980" w14:textId="1F1E73B7" w:rsidR="00E617CC" w:rsidRPr="00A700E7" w:rsidRDefault="006501BB" w:rsidP="007A6B1F">
      <w:pPr>
        <w:jc w:val="left"/>
      </w:pPr>
      <w:proofErr w:type="gramStart"/>
      <w:r w:rsidRPr="00A700E7">
        <w:rPr>
          <w:i/>
          <w:iCs/>
        </w:rPr>
        <w:t>One-hundred</w:t>
      </w:r>
      <w:proofErr w:type="gramEnd"/>
      <w:r w:rsidRPr="00A700E7">
        <w:rPr>
          <w:i/>
          <w:iCs/>
        </w:rPr>
        <w:t xml:space="preserve"> eighty-five patients received OPSYNVI in the double-blind</w:t>
      </w:r>
      <w:r w:rsidR="0019160D" w:rsidRPr="00A700E7">
        <w:rPr>
          <w:i/>
          <w:iCs/>
        </w:rPr>
        <w:t xml:space="preserve">/ </w:t>
      </w:r>
      <w:r w:rsidRPr="00A700E7">
        <w:rPr>
          <w:i/>
          <w:iCs/>
        </w:rPr>
        <w:t xml:space="preserve">open-label </w:t>
      </w:r>
      <w:r w:rsidR="00B518CA" w:rsidRPr="00A700E7">
        <w:rPr>
          <w:i/>
          <w:iCs/>
        </w:rPr>
        <w:t xml:space="preserve">period </w:t>
      </w:r>
      <w:r w:rsidRPr="00A700E7">
        <w:rPr>
          <w:i/>
          <w:iCs/>
        </w:rPr>
        <w:t>of the</w:t>
      </w:r>
      <w:r w:rsidR="0019160D" w:rsidRPr="00A700E7">
        <w:rPr>
          <w:i/>
          <w:iCs/>
        </w:rPr>
        <w:t xml:space="preserve"> A DUE</w:t>
      </w:r>
      <w:r w:rsidRPr="00A700E7">
        <w:rPr>
          <w:i/>
          <w:iCs/>
        </w:rPr>
        <w:t xml:space="preserve"> study. The median exposure to OPSYNVI during the combined double-blind/open-label </w:t>
      </w:r>
      <w:r w:rsidR="00B518CA" w:rsidRPr="00A700E7">
        <w:rPr>
          <w:i/>
          <w:iCs/>
        </w:rPr>
        <w:t>period</w:t>
      </w:r>
      <w:r w:rsidRPr="00A700E7">
        <w:rPr>
          <w:i/>
          <w:iCs/>
        </w:rPr>
        <w:t xml:space="preserve"> was 59.9 weeks with a mean exposure of 63.2 weeks. </w:t>
      </w:r>
      <w:r w:rsidR="007E1BED" w:rsidRPr="00A700E7">
        <w:t>The safety profile</w:t>
      </w:r>
      <w:r w:rsidR="0019160D" w:rsidRPr="00A700E7">
        <w:t xml:space="preserve"> of OPSYNVI</w:t>
      </w:r>
      <w:r w:rsidR="007E1BED" w:rsidRPr="00A700E7">
        <w:t xml:space="preserve"> was consistent with that described above. </w:t>
      </w:r>
    </w:p>
    <w:p w14:paraId="6A969BCA" w14:textId="3CEEE15A" w:rsidR="00C0302B" w:rsidRPr="00A700E7" w:rsidRDefault="00C0302B" w:rsidP="007A6B1F">
      <w:pPr>
        <w:pStyle w:val="Heading4"/>
        <w:jc w:val="left"/>
      </w:pPr>
      <w:r w:rsidRPr="00A700E7">
        <w:t>Laboratory abnormalities</w:t>
      </w:r>
    </w:p>
    <w:p w14:paraId="2EE38680" w14:textId="77777777" w:rsidR="00C0302B" w:rsidRPr="00A700E7" w:rsidRDefault="00C0302B" w:rsidP="007A6B1F">
      <w:pPr>
        <w:jc w:val="left"/>
        <w:rPr>
          <w:i/>
          <w:iCs/>
        </w:rPr>
      </w:pPr>
      <w:r w:rsidRPr="00A700E7">
        <w:rPr>
          <w:i/>
          <w:iCs/>
        </w:rPr>
        <w:t>Liver aminotransferases</w:t>
      </w:r>
    </w:p>
    <w:p w14:paraId="4B5C39DE" w14:textId="236A6E30" w:rsidR="00743950" w:rsidRPr="00A700E7" w:rsidRDefault="00C0302B" w:rsidP="007A6B1F">
      <w:pPr>
        <w:jc w:val="left"/>
        <w:rPr>
          <w:noProof/>
        </w:rPr>
      </w:pPr>
      <w:r w:rsidRPr="00A700E7">
        <w:rPr>
          <w:noProof/>
        </w:rPr>
        <w:t xml:space="preserve">The incidence of elevated aminotransferases in the double-blind and combined double-blind /open-label arms of the study of </w:t>
      </w:r>
      <w:r w:rsidR="00673D18" w:rsidRPr="00A700E7">
        <w:rPr>
          <w:noProof/>
        </w:rPr>
        <w:t>OPSYNVI</w:t>
      </w:r>
      <w:r w:rsidRPr="00A700E7">
        <w:rPr>
          <w:noProof/>
        </w:rPr>
        <w:t xml:space="preserve"> in PAH are shown in Table </w:t>
      </w:r>
      <w:r w:rsidR="005723CF" w:rsidRPr="00A700E7">
        <w:rPr>
          <w:noProof/>
        </w:rPr>
        <w:t>3</w:t>
      </w:r>
      <w:r w:rsidRPr="00A700E7">
        <w:rPr>
          <w:noProof/>
        </w:rPr>
        <w:t>.</w:t>
      </w:r>
    </w:p>
    <w:p w14:paraId="511F6354" w14:textId="77777777" w:rsidR="000167FB" w:rsidRPr="00A700E7" w:rsidRDefault="000167FB" w:rsidP="007A6B1F">
      <w:pPr>
        <w:jc w:val="left"/>
        <w:rPr>
          <w:noProof/>
        </w:rPr>
      </w:pPr>
    </w:p>
    <w:p w14:paraId="7695BBB5" w14:textId="77777777" w:rsidR="00651A60" w:rsidRPr="00A700E7" w:rsidRDefault="00651A60" w:rsidP="007A6B1F">
      <w:pPr>
        <w:jc w:val="lef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8"/>
        <w:gridCol w:w="3009"/>
        <w:gridCol w:w="3009"/>
      </w:tblGrid>
      <w:tr w:rsidR="00A700E7" w:rsidRPr="00A700E7" w14:paraId="204B6C69" w14:textId="77777777" w:rsidTr="0048218A">
        <w:tc>
          <w:tcPr>
            <w:tcW w:w="9360" w:type="dxa"/>
            <w:gridSpan w:val="3"/>
            <w:tcBorders>
              <w:top w:val="nil"/>
              <w:left w:val="nil"/>
              <w:bottom w:val="single" w:sz="4" w:space="0" w:color="auto"/>
              <w:right w:val="nil"/>
            </w:tcBorders>
            <w:hideMark/>
          </w:tcPr>
          <w:p w14:paraId="796B3133" w14:textId="5D9CDFEA" w:rsidR="00C0302B" w:rsidRPr="00A700E7" w:rsidRDefault="00C0302B" w:rsidP="007A6B1F">
            <w:pPr>
              <w:jc w:val="left"/>
              <w:rPr>
                <w:b/>
                <w:bCs/>
                <w:sz w:val="20"/>
                <w:szCs w:val="20"/>
              </w:rPr>
            </w:pPr>
            <w:r w:rsidRPr="00A700E7">
              <w:rPr>
                <w:b/>
                <w:bCs/>
                <w:sz w:val="20"/>
                <w:szCs w:val="20"/>
              </w:rPr>
              <w:t>Table </w:t>
            </w:r>
            <w:r w:rsidR="004A5BFD" w:rsidRPr="00A700E7">
              <w:rPr>
                <w:b/>
                <w:bCs/>
                <w:sz w:val="20"/>
                <w:szCs w:val="20"/>
              </w:rPr>
              <w:t xml:space="preserve">3 </w:t>
            </w:r>
            <w:r w:rsidRPr="00A700E7">
              <w:rPr>
                <w:b/>
                <w:bCs/>
                <w:sz w:val="20"/>
                <w:szCs w:val="20"/>
              </w:rPr>
              <w:t>Incidence of Elevated Aminotransferases in the A DUE Study</w:t>
            </w:r>
          </w:p>
        </w:tc>
      </w:tr>
      <w:tr w:rsidR="00A700E7" w:rsidRPr="00A700E7" w14:paraId="47604135" w14:textId="77777777" w:rsidTr="004F4273">
        <w:trPr>
          <w:trHeight w:val="461"/>
        </w:trPr>
        <w:tc>
          <w:tcPr>
            <w:tcW w:w="3120" w:type="dxa"/>
            <w:tcBorders>
              <w:top w:val="single" w:sz="4" w:space="0" w:color="auto"/>
              <w:left w:val="single" w:sz="4" w:space="0" w:color="auto"/>
              <w:bottom w:val="single" w:sz="4" w:space="0" w:color="auto"/>
              <w:right w:val="single" w:sz="4" w:space="0" w:color="auto"/>
            </w:tcBorders>
            <w:vAlign w:val="bottom"/>
          </w:tcPr>
          <w:p w14:paraId="088ACDCB" w14:textId="77777777" w:rsidR="00C0302B" w:rsidRPr="00A700E7" w:rsidRDefault="00C0302B" w:rsidP="007A6B1F">
            <w:pPr>
              <w:jc w:val="left"/>
              <w:rPr>
                <w:sz w:val="20"/>
                <w:szCs w:val="20"/>
              </w:rPr>
            </w:pPr>
          </w:p>
        </w:tc>
        <w:tc>
          <w:tcPr>
            <w:tcW w:w="3120" w:type="dxa"/>
            <w:tcBorders>
              <w:top w:val="single" w:sz="4" w:space="0" w:color="auto"/>
              <w:left w:val="single" w:sz="4" w:space="0" w:color="auto"/>
              <w:bottom w:val="single" w:sz="4" w:space="0" w:color="auto"/>
              <w:right w:val="single" w:sz="4" w:space="0" w:color="auto"/>
            </w:tcBorders>
            <w:hideMark/>
          </w:tcPr>
          <w:p w14:paraId="50058976" w14:textId="418414A0" w:rsidR="00C0302B" w:rsidRPr="00A700E7" w:rsidRDefault="00673D18" w:rsidP="007A6B1F">
            <w:pPr>
              <w:jc w:val="left"/>
              <w:rPr>
                <w:sz w:val="20"/>
                <w:szCs w:val="20"/>
              </w:rPr>
            </w:pPr>
            <w:r w:rsidRPr="00A700E7">
              <w:rPr>
                <w:sz w:val="20"/>
                <w:szCs w:val="20"/>
              </w:rPr>
              <w:t>OPSYNVI</w:t>
            </w:r>
            <w:r w:rsidR="00C0302B" w:rsidRPr="00A700E7">
              <w:rPr>
                <w:sz w:val="20"/>
                <w:szCs w:val="20"/>
              </w:rPr>
              <w:t xml:space="preserve"> DB</w:t>
            </w:r>
          </w:p>
          <w:p w14:paraId="1EF2AA2B" w14:textId="0891922E" w:rsidR="00C0302B" w:rsidRPr="00A700E7" w:rsidRDefault="00C0302B" w:rsidP="007A6B1F">
            <w:pPr>
              <w:jc w:val="left"/>
              <w:rPr>
                <w:sz w:val="20"/>
                <w:szCs w:val="20"/>
              </w:rPr>
            </w:pPr>
            <w:r w:rsidRPr="00A700E7">
              <w:rPr>
                <w:sz w:val="20"/>
                <w:szCs w:val="20"/>
              </w:rPr>
              <w:t>(N=107)</w:t>
            </w:r>
          </w:p>
        </w:tc>
        <w:tc>
          <w:tcPr>
            <w:tcW w:w="3120" w:type="dxa"/>
            <w:tcBorders>
              <w:top w:val="single" w:sz="4" w:space="0" w:color="auto"/>
              <w:left w:val="single" w:sz="4" w:space="0" w:color="auto"/>
              <w:bottom w:val="single" w:sz="4" w:space="0" w:color="auto"/>
              <w:right w:val="single" w:sz="4" w:space="0" w:color="auto"/>
            </w:tcBorders>
            <w:hideMark/>
          </w:tcPr>
          <w:p w14:paraId="5E7704C4" w14:textId="4EF4898C" w:rsidR="00C0302B" w:rsidRPr="00A700E7" w:rsidRDefault="00673D18" w:rsidP="007A6B1F">
            <w:pPr>
              <w:jc w:val="left"/>
              <w:rPr>
                <w:sz w:val="20"/>
                <w:szCs w:val="20"/>
              </w:rPr>
            </w:pPr>
            <w:r w:rsidRPr="00A700E7">
              <w:rPr>
                <w:sz w:val="20"/>
                <w:szCs w:val="20"/>
              </w:rPr>
              <w:t>OPSYNVI</w:t>
            </w:r>
            <w:r w:rsidR="00C0302B" w:rsidRPr="00A700E7">
              <w:rPr>
                <w:sz w:val="20"/>
                <w:szCs w:val="20"/>
              </w:rPr>
              <w:t xml:space="preserve"> DB/OL</w:t>
            </w:r>
          </w:p>
          <w:p w14:paraId="16FEC88B" w14:textId="77777777" w:rsidR="00C0302B" w:rsidRPr="00A700E7" w:rsidRDefault="00C0302B" w:rsidP="007A6B1F">
            <w:pPr>
              <w:jc w:val="left"/>
              <w:rPr>
                <w:sz w:val="20"/>
                <w:szCs w:val="20"/>
              </w:rPr>
            </w:pPr>
            <w:r w:rsidRPr="00A700E7">
              <w:rPr>
                <w:sz w:val="20"/>
                <w:szCs w:val="20"/>
              </w:rPr>
              <w:t>(N=185)</w:t>
            </w:r>
          </w:p>
        </w:tc>
      </w:tr>
      <w:tr w:rsidR="00A700E7" w:rsidRPr="00A700E7" w14:paraId="614A26DA" w14:textId="77777777" w:rsidTr="0048218A">
        <w:tc>
          <w:tcPr>
            <w:tcW w:w="3120" w:type="dxa"/>
            <w:tcBorders>
              <w:top w:val="single" w:sz="4" w:space="0" w:color="auto"/>
              <w:left w:val="single" w:sz="4" w:space="0" w:color="auto"/>
              <w:bottom w:val="single" w:sz="4" w:space="0" w:color="auto"/>
              <w:right w:val="single" w:sz="4" w:space="0" w:color="auto"/>
            </w:tcBorders>
            <w:hideMark/>
          </w:tcPr>
          <w:p w14:paraId="52B25762" w14:textId="61C18F3B" w:rsidR="00C0302B" w:rsidRPr="00A700E7" w:rsidRDefault="00EB13A6" w:rsidP="007A6B1F">
            <w:pPr>
              <w:jc w:val="left"/>
              <w:rPr>
                <w:sz w:val="20"/>
                <w:szCs w:val="20"/>
              </w:rPr>
            </w:pPr>
            <w:r w:rsidRPr="00A700E7">
              <w:rPr>
                <w:sz w:val="20"/>
                <w:szCs w:val="20"/>
              </w:rPr>
              <w:t>≥</w:t>
            </w:r>
            <w:r w:rsidR="00C0302B" w:rsidRPr="00A700E7">
              <w:rPr>
                <w:sz w:val="20"/>
                <w:szCs w:val="20"/>
              </w:rPr>
              <w:t>3 x ULN</w:t>
            </w:r>
          </w:p>
        </w:tc>
        <w:tc>
          <w:tcPr>
            <w:tcW w:w="3120" w:type="dxa"/>
            <w:tcBorders>
              <w:top w:val="single" w:sz="4" w:space="0" w:color="auto"/>
              <w:left w:val="single" w:sz="4" w:space="0" w:color="auto"/>
              <w:bottom w:val="single" w:sz="4" w:space="0" w:color="auto"/>
              <w:right w:val="single" w:sz="4" w:space="0" w:color="auto"/>
            </w:tcBorders>
            <w:hideMark/>
          </w:tcPr>
          <w:p w14:paraId="1ECF2F3C" w14:textId="77777777" w:rsidR="00C0302B" w:rsidRPr="00A700E7" w:rsidRDefault="00C0302B" w:rsidP="007A6B1F">
            <w:pPr>
              <w:jc w:val="left"/>
              <w:rPr>
                <w:sz w:val="20"/>
                <w:szCs w:val="20"/>
              </w:rPr>
            </w:pPr>
            <w:r w:rsidRPr="00A700E7">
              <w:rPr>
                <w:sz w:val="20"/>
                <w:szCs w:val="20"/>
              </w:rPr>
              <w:t>1.0%</w:t>
            </w:r>
          </w:p>
        </w:tc>
        <w:tc>
          <w:tcPr>
            <w:tcW w:w="3120" w:type="dxa"/>
            <w:tcBorders>
              <w:top w:val="single" w:sz="4" w:space="0" w:color="auto"/>
              <w:left w:val="single" w:sz="4" w:space="0" w:color="auto"/>
              <w:bottom w:val="single" w:sz="4" w:space="0" w:color="auto"/>
              <w:right w:val="single" w:sz="4" w:space="0" w:color="auto"/>
            </w:tcBorders>
            <w:hideMark/>
          </w:tcPr>
          <w:p w14:paraId="0D53C21A" w14:textId="77777777" w:rsidR="00C0302B" w:rsidRPr="00A700E7" w:rsidRDefault="00C0302B" w:rsidP="007A6B1F">
            <w:pPr>
              <w:jc w:val="left"/>
              <w:rPr>
                <w:sz w:val="20"/>
                <w:szCs w:val="20"/>
              </w:rPr>
            </w:pPr>
            <w:r w:rsidRPr="00A700E7">
              <w:rPr>
                <w:sz w:val="20"/>
                <w:szCs w:val="20"/>
              </w:rPr>
              <w:t>3.4%</w:t>
            </w:r>
          </w:p>
        </w:tc>
      </w:tr>
      <w:tr w:rsidR="00C0302B" w:rsidRPr="00A700E7" w14:paraId="320D5D65" w14:textId="77777777" w:rsidTr="0048218A">
        <w:tc>
          <w:tcPr>
            <w:tcW w:w="3120" w:type="dxa"/>
            <w:tcBorders>
              <w:top w:val="single" w:sz="4" w:space="0" w:color="auto"/>
              <w:left w:val="single" w:sz="4" w:space="0" w:color="auto"/>
              <w:bottom w:val="single" w:sz="4" w:space="0" w:color="auto"/>
              <w:right w:val="single" w:sz="4" w:space="0" w:color="auto"/>
            </w:tcBorders>
            <w:hideMark/>
          </w:tcPr>
          <w:p w14:paraId="74C15701" w14:textId="59A0B428" w:rsidR="00C0302B" w:rsidRPr="00A700E7" w:rsidRDefault="00EB13A6" w:rsidP="007A6B1F">
            <w:pPr>
              <w:jc w:val="left"/>
              <w:rPr>
                <w:sz w:val="20"/>
                <w:szCs w:val="20"/>
              </w:rPr>
            </w:pPr>
            <w:r w:rsidRPr="00A700E7">
              <w:rPr>
                <w:sz w:val="20"/>
                <w:szCs w:val="20"/>
              </w:rPr>
              <w:t>≥</w:t>
            </w:r>
            <w:r w:rsidR="00C0302B" w:rsidRPr="00A700E7">
              <w:rPr>
                <w:sz w:val="20"/>
                <w:szCs w:val="20"/>
              </w:rPr>
              <w:t>8 x ULN</w:t>
            </w:r>
          </w:p>
        </w:tc>
        <w:tc>
          <w:tcPr>
            <w:tcW w:w="3120" w:type="dxa"/>
            <w:tcBorders>
              <w:top w:val="single" w:sz="4" w:space="0" w:color="auto"/>
              <w:left w:val="single" w:sz="4" w:space="0" w:color="auto"/>
              <w:bottom w:val="single" w:sz="4" w:space="0" w:color="auto"/>
              <w:right w:val="single" w:sz="4" w:space="0" w:color="auto"/>
            </w:tcBorders>
            <w:hideMark/>
          </w:tcPr>
          <w:p w14:paraId="3833AB17" w14:textId="77777777" w:rsidR="00C0302B" w:rsidRPr="00A700E7" w:rsidRDefault="00C0302B" w:rsidP="007A6B1F">
            <w:pPr>
              <w:jc w:val="left"/>
              <w:rPr>
                <w:sz w:val="20"/>
                <w:szCs w:val="20"/>
              </w:rPr>
            </w:pPr>
            <w:r w:rsidRPr="00A700E7">
              <w:rPr>
                <w:sz w:val="20"/>
                <w:szCs w:val="20"/>
              </w:rPr>
              <w:t>1.0%</w:t>
            </w:r>
          </w:p>
        </w:tc>
        <w:tc>
          <w:tcPr>
            <w:tcW w:w="3120" w:type="dxa"/>
            <w:tcBorders>
              <w:top w:val="single" w:sz="4" w:space="0" w:color="auto"/>
              <w:left w:val="single" w:sz="4" w:space="0" w:color="auto"/>
              <w:bottom w:val="single" w:sz="4" w:space="0" w:color="auto"/>
              <w:right w:val="single" w:sz="4" w:space="0" w:color="auto"/>
            </w:tcBorders>
            <w:hideMark/>
          </w:tcPr>
          <w:p w14:paraId="31375039" w14:textId="77777777" w:rsidR="00C0302B" w:rsidRPr="00A700E7" w:rsidRDefault="00C0302B" w:rsidP="007A6B1F">
            <w:pPr>
              <w:jc w:val="left"/>
              <w:rPr>
                <w:sz w:val="20"/>
                <w:szCs w:val="20"/>
              </w:rPr>
            </w:pPr>
            <w:r w:rsidRPr="00A700E7">
              <w:rPr>
                <w:sz w:val="20"/>
                <w:szCs w:val="20"/>
              </w:rPr>
              <w:t>1.1%</w:t>
            </w:r>
          </w:p>
        </w:tc>
      </w:tr>
    </w:tbl>
    <w:p w14:paraId="6186180D" w14:textId="77777777" w:rsidR="000A1E73" w:rsidRPr="00A700E7" w:rsidRDefault="000A1E73" w:rsidP="007A6B1F">
      <w:pPr>
        <w:jc w:val="left"/>
      </w:pPr>
    </w:p>
    <w:p w14:paraId="632D822E" w14:textId="0A8A320C" w:rsidR="00C0302B" w:rsidRPr="00A700E7" w:rsidRDefault="00C0302B" w:rsidP="007A6B1F">
      <w:pPr>
        <w:jc w:val="left"/>
        <w:rPr>
          <w:noProof/>
        </w:rPr>
      </w:pPr>
      <w:r w:rsidRPr="00A700E7">
        <w:t xml:space="preserve">The overall incidence of treatment discontinuations </w:t>
      </w:r>
      <w:r w:rsidRPr="00A700E7">
        <w:rPr>
          <w:noProof/>
        </w:rPr>
        <w:t xml:space="preserve">for hepatic adverse events in the double-blind and combined double-blind/open-label arms study of </w:t>
      </w:r>
      <w:r w:rsidR="00673D18" w:rsidRPr="00A700E7">
        <w:rPr>
          <w:noProof/>
        </w:rPr>
        <w:t>OPSYNVI</w:t>
      </w:r>
      <w:r w:rsidRPr="00A700E7">
        <w:rPr>
          <w:noProof/>
        </w:rPr>
        <w:t xml:space="preserve"> in PAH data were 0.9% and 2.2%  respectively.</w:t>
      </w:r>
    </w:p>
    <w:p w14:paraId="72AEB8D1" w14:textId="77777777" w:rsidR="003302B2" w:rsidRPr="00A700E7" w:rsidRDefault="003302B2" w:rsidP="007A6B1F">
      <w:pPr>
        <w:jc w:val="left"/>
        <w:rPr>
          <w:noProof/>
        </w:rPr>
      </w:pPr>
    </w:p>
    <w:p w14:paraId="778F0B4D" w14:textId="77777777" w:rsidR="000A1E73" w:rsidRPr="00A700E7" w:rsidRDefault="00673D18" w:rsidP="007A6B1F">
      <w:pPr>
        <w:jc w:val="left"/>
        <w:rPr>
          <w:i/>
          <w:iCs/>
        </w:rPr>
      </w:pPr>
      <w:proofErr w:type="spellStart"/>
      <w:r w:rsidRPr="00A700E7">
        <w:rPr>
          <w:i/>
          <w:iCs/>
        </w:rPr>
        <w:t>Haemoglobin</w:t>
      </w:r>
      <w:proofErr w:type="spellEnd"/>
      <w:r w:rsidR="00C0302B" w:rsidRPr="00A700E7">
        <w:rPr>
          <w:i/>
          <w:iCs/>
        </w:rPr>
        <w:t xml:space="preserve"> decrease</w:t>
      </w:r>
    </w:p>
    <w:p w14:paraId="2CBD6B98" w14:textId="59899612" w:rsidR="000A1E73" w:rsidRPr="00A700E7" w:rsidRDefault="00C0302B" w:rsidP="007A6B1F">
      <w:pPr>
        <w:jc w:val="left"/>
        <w:rPr>
          <w:noProof/>
        </w:rPr>
      </w:pPr>
      <w:r w:rsidRPr="00A700E7">
        <w:rPr>
          <w:noProof/>
        </w:rPr>
        <w:t xml:space="preserve">Decreases in </w:t>
      </w:r>
      <w:r w:rsidR="00673D18" w:rsidRPr="00A700E7">
        <w:rPr>
          <w:noProof/>
        </w:rPr>
        <w:t>haemoglobin</w:t>
      </w:r>
      <w:r w:rsidRPr="00A700E7">
        <w:rPr>
          <w:noProof/>
        </w:rPr>
        <w:t xml:space="preserve"> concentration and h</w:t>
      </w:r>
      <w:r w:rsidR="0094392C" w:rsidRPr="00A700E7">
        <w:rPr>
          <w:noProof/>
        </w:rPr>
        <w:t>a</w:t>
      </w:r>
      <w:r w:rsidRPr="00A700E7">
        <w:rPr>
          <w:noProof/>
        </w:rPr>
        <w:t xml:space="preserve">ematocrit have occurred following administration of other ERAs and were observed in clinical studies with </w:t>
      </w:r>
      <w:r w:rsidR="00673D18" w:rsidRPr="00A700E7">
        <w:rPr>
          <w:noProof/>
        </w:rPr>
        <w:t>OPSYNVI</w:t>
      </w:r>
      <w:r w:rsidRPr="00A700E7">
        <w:rPr>
          <w:noProof/>
        </w:rPr>
        <w:t xml:space="preserve">. These decreases occurred early and </w:t>
      </w:r>
      <w:r w:rsidR="00D67681" w:rsidRPr="00A700E7">
        <w:rPr>
          <w:noProof/>
        </w:rPr>
        <w:t xml:space="preserve">stabilised </w:t>
      </w:r>
      <w:r w:rsidRPr="00A700E7">
        <w:rPr>
          <w:noProof/>
        </w:rPr>
        <w:t>thereafter.</w:t>
      </w:r>
    </w:p>
    <w:p w14:paraId="3C350FAD" w14:textId="77777777" w:rsidR="0094392C" w:rsidRPr="00A700E7" w:rsidRDefault="0094392C" w:rsidP="007A6B1F">
      <w:pPr>
        <w:jc w:val="left"/>
        <w:rPr>
          <w:noProof/>
        </w:rPr>
      </w:pPr>
    </w:p>
    <w:p w14:paraId="3ECA3E7A" w14:textId="6DDE78DC" w:rsidR="000A1E73" w:rsidRPr="00A700E7" w:rsidRDefault="00C0302B" w:rsidP="007A6B1F">
      <w:pPr>
        <w:jc w:val="left"/>
        <w:rPr>
          <w:szCs w:val="24"/>
        </w:rPr>
      </w:pPr>
      <w:r w:rsidRPr="00A700E7">
        <w:rPr>
          <w:noProof/>
        </w:rPr>
        <w:t xml:space="preserve">In the double-blind phase of the study, the mean decrease up to week 16 in </w:t>
      </w:r>
      <w:r w:rsidR="00673D18" w:rsidRPr="00A700E7">
        <w:rPr>
          <w:noProof/>
        </w:rPr>
        <w:t>haemoglobin</w:t>
      </w:r>
      <w:r w:rsidRPr="00A700E7">
        <w:rPr>
          <w:noProof/>
        </w:rPr>
        <w:t xml:space="preserve"> from baseline in </w:t>
      </w:r>
      <w:r w:rsidR="00673D18" w:rsidRPr="00A700E7">
        <w:rPr>
          <w:noProof/>
        </w:rPr>
        <w:t>OPSYNVI</w:t>
      </w:r>
      <w:r w:rsidRPr="00A700E7">
        <w:rPr>
          <w:noProof/>
        </w:rPr>
        <w:t xml:space="preserve"> compared to macitentan and tadalafil alone was 1.4 g/dL, 0.7 g/dL and 0.1 g/dL, respectively. A decrease in </w:t>
      </w:r>
      <w:r w:rsidR="00673D18" w:rsidRPr="00A700E7">
        <w:rPr>
          <w:noProof/>
        </w:rPr>
        <w:t>haemoglobin</w:t>
      </w:r>
      <w:r w:rsidRPr="00A700E7">
        <w:rPr>
          <w:noProof/>
        </w:rPr>
        <w:t xml:space="preserve"> to below 10 g/dL was reported in 11.0% of the </w:t>
      </w:r>
      <w:r w:rsidR="00673D18" w:rsidRPr="00A700E7">
        <w:rPr>
          <w:noProof/>
        </w:rPr>
        <w:t>OPSYNVI</w:t>
      </w:r>
      <w:r w:rsidRPr="00A700E7">
        <w:rPr>
          <w:noProof/>
        </w:rPr>
        <w:t xml:space="preserve"> treated patients compared to 2.9% and 0.0% in macitentan and tadalafil treated patients, respectively. In the combined double-blind/open-label data, the mean decrease in </w:t>
      </w:r>
      <w:r w:rsidR="00673D18" w:rsidRPr="00A700E7">
        <w:rPr>
          <w:noProof/>
        </w:rPr>
        <w:t>haemoglobin</w:t>
      </w:r>
      <w:r w:rsidRPr="00A700E7">
        <w:rPr>
          <w:noProof/>
        </w:rPr>
        <w:t xml:space="preserve"> concentration was 0.95 g/dL up to week 47 (106 patients) and 0.56 g/dL up to week 120 (16 patients). A decrease in </w:t>
      </w:r>
      <w:r w:rsidR="00673D18" w:rsidRPr="00A700E7">
        <w:rPr>
          <w:noProof/>
        </w:rPr>
        <w:t>haemoglobin</w:t>
      </w:r>
      <w:r w:rsidRPr="00A700E7">
        <w:rPr>
          <w:noProof/>
        </w:rPr>
        <w:t xml:space="preserve"> to below 10 g/dL was reported in 13.8 % of the </w:t>
      </w:r>
      <w:r w:rsidR="00673D18" w:rsidRPr="00A700E7">
        <w:rPr>
          <w:noProof/>
        </w:rPr>
        <w:t>OPSYNVI</w:t>
      </w:r>
      <w:r w:rsidRPr="00A700E7">
        <w:rPr>
          <w:noProof/>
        </w:rPr>
        <w:t xml:space="preserve"> treated patients.</w:t>
      </w:r>
    </w:p>
    <w:p w14:paraId="4C3A83E4" w14:textId="7169275E" w:rsidR="000A1E73" w:rsidRPr="00A700E7" w:rsidRDefault="000A1E73" w:rsidP="007A6B1F">
      <w:pPr>
        <w:pStyle w:val="Heading3"/>
        <w:jc w:val="left"/>
      </w:pPr>
      <w:r w:rsidRPr="00A700E7">
        <w:t>Macitentan</w:t>
      </w:r>
    </w:p>
    <w:p w14:paraId="29D34D26" w14:textId="610E58C1" w:rsidR="00E44862" w:rsidRPr="00A700E7" w:rsidRDefault="00E44862" w:rsidP="007A6B1F">
      <w:pPr>
        <w:pStyle w:val="Heading4"/>
        <w:jc w:val="left"/>
      </w:pPr>
      <w:r w:rsidRPr="00A700E7">
        <w:t>Experience from clinical studies</w:t>
      </w:r>
    </w:p>
    <w:p w14:paraId="2A437FDA" w14:textId="6646F3FD" w:rsidR="00E44862" w:rsidRPr="00A700E7" w:rsidRDefault="00E44862" w:rsidP="007A6B1F">
      <w:pPr>
        <w:pStyle w:val="Default"/>
        <w:rPr>
          <w:rFonts w:ascii="Arial" w:eastAsiaTheme="minorHAnsi" w:hAnsi="Arial" w:cs="Arial"/>
          <w:color w:val="auto"/>
          <w:sz w:val="22"/>
          <w:szCs w:val="22"/>
          <w:lang w:val="en-AU"/>
        </w:rPr>
      </w:pPr>
      <w:r w:rsidRPr="00A700E7">
        <w:rPr>
          <w:rFonts w:ascii="Arial" w:eastAsiaTheme="minorHAnsi" w:hAnsi="Arial" w:cs="Arial"/>
          <w:color w:val="auto"/>
          <w:sz w:val="22"/>
          <w:szCs w:val="22"/>
          <w:lang w:val="en-AU"/>
        </w:rPr>
        <w:t xml:space="preserve">The safety of macitentan has been evaluated in a long-term placebo-controlled trial of 742 patients with symptomatic PAH. The mean treatment duration was 103.9 weeks in the macitentan 10 mg group, and 85.3 weeks in the placebo group. </w:t>
      </w:r>
      <w:proofErr w:type="gramStart"/>
      <w:r w:rsidRPr="00A700E7">
        <w:rPr>
          <w:rFonts w:ascii="Arial" w:eastAsiaTheme="minorHAnsi" w:hAnsi="Arial" w:cs="Arial"/>
          <w:color w:val="auto"/>
          <w:sz w:val="22"/>
          <w:szCs w:val="22"/>
          <w:lang w:val="en-AU"/>
        </w:rPr>
        <w:t>The majority of</w:t>
      </w:r>
      <w:proofErr w:type="gramEnd"/>
      <w:r w:rsidRPr="00A700E7">
        <w:rPr>
          <w:rFonts w:ascii="Arial" w:eastAsiaTheme="minorHAnsi" w:hAnsi="Arial" w:cs="Arial"/>
          <w:color w:val="auto"/>
          <w:sz w:val="22"/>
          <w:szCs w:val="22"/>
          <w:lang w:val="en-AU"/>
        </w:rPr>
        <w:t xml:space="preserve"> adverse events were mild to moderate in intensity. The </w:t>
      </w:r>
      <w:proofErr w:type="gramStart"/>
      <w:r w:rsidRPr="00A700E7">
        <w:rPr>
          <w:rFonts w:ascii="Arial" w:eastAsiaTheme="minorHAnsi" w:hAnsi="Arial" w:cs="Arial"/>
          <w:color w:val="auto"/>
          <w:sz w:val="22"/>
          <w:szCs w:val="22"/>
          <w:lang w:val="en-AU"/>
        </w:rPr>
        <w:t>most commonly reported</w:t>
      </w:r>
      <w:proofErr w:type="gramEnd"/>
      <w:r w:rsidRPr="00A700E7">
        <w:rPr>
          <w:rFonts w:ascii="Arial" w:eastAsiaTheme="minorHAnsi" w:hAnsi="Arial" w:cs="Arial"/>
          <w:color w:val="auto"/>
          <w:sz w:val="22"/>
          <w:szCs w:val="22"/>
          <w:lang w:val="en-AU"/>
        </w:rPr>
        <w:t xml:space="preserve"> adverse events </w:t>
      </w:r>
      <w:r w:rsidRPr="00A700E7">
        <w:rPr>
          <w:rFonts w:ascii="Arial" w:eastAsiaTheme="minorHAnsi" w:hAnsi="Arial" w:cs="Arial"/>
          <w:color w:val="auto"/>
          <w:sz w:val="22"/>
          <w:szCs w:val="22"/>
          <w:lang w:val="en-AU"/>
        </w:rPr>
        <w:lastRenderedPageBreak/>
        <w:t xml:space="preserve">were nasopharyngitis (14.0% vs 10.4%), headache (13.6% vs 8.8%) and anaemia (13.2% vs 3.2%) (Table </w:t>
      </w:r>
      <w:r w:rsidR="005723CF" w:rsidRPr="00A700E7">
        <w:rPr>
          <w:rFonts w:ascii="Arial" w:eastAsiaTheme="minorHAnsi" w:hAnsi="Arial" w:cs="Arial"/>
          <w:color w:val="auto"/>
          <w:sz w:val="22"/>
          <w:szCs w:val="22"/>
          <w:lang w:val="en-AU"/>
        </w:rPr>
        <w:t>4</w:t>
      </w:r>
      <w:r w:rsidRPr="00A700E7">
        <w:rPr>
          <w:rFonts w:ascii="Arial" w:eastAsiaTheme="minorHAnsi" w:hAnsi="Arial" w:cs="Arial"/>
          <w:color w:val="auto"/>
          <w:sz w:val="22"/>
          <w:szCs w:val="22"/>
          <w:lang w:val="en-AU"/>
        </w:rPr>
        <w:t xml:space="preserve">). </w:t>
      </w:r>
    </w:p>
    <w:p w14:paraId="7A8C87E3" w14:textId="77777777" w:rsidR="00E44862" w:rsidRPr="00A700E7" w:rsidRDefault="00E44862" w:rsidP="007A6B1F">
      <w:pPr>
        <w:pStyle w:val="Default"/>
        <w:rPr>
          <w:rFonts w:ascii="Arial" w:eastAsiaTheme="minorHAnsi" w:hAnsi="Arial" w:cs="Arial"/>
          <w:color w:val="auto"/>
          <w:sz w:val="22"/>
          <w:szCs w:val="22"/>
          <w:lang w:val="en-AU"/>
        </w:rPr>
      </w:pPr>
    </w:p>
    <w:p w14:paraId="7C460A6B" w14:textId="05936C4A" w:rsidR="00E44862" w:rsidRPr="00A700E7" w:rsidRDefault="00E44862" w:rsidP="007A6B1F">
      <w:pPr>
        <w:pStyle w:val="Default"/>
        <w:rPr>
          <w:rFonts w:ascii="Arial" w:eastAsiaTheme="minorHAnsi" w:hAnsi="Arial" w:cs="Arial"/>
          <w:color w:val="auto"/>
          <w:sz w:val="22"/>
          <w:szCs w:val="22"/>
          <w:lang w:val="en-AU"/>
        </w:rPr>
      </w:pPr>
      <w:r w:rsidRPr="00A700E7">
        <w:rPr>
          <w:rFonts w:ascii="Arial" w:eastAsiaTheme="minorHAnsi" w:hAnsi="Arial" w:cs="Arial"/>
          <w:color w:val="auto"/>
          <w:sz w:val="22"/>
          <w:szCs w:val="22"/>
          <w:lang w:val="en-AU"/>
        </w:rPr>
        <w:t xml:space="preserve">Table </w:t>
      </w:r>
      <w:r w:rsidR="004A5BFD" w:rsidRPr="00A700E7">
        <w:rPr>
          <w:rFonts w:ascii="Arial" w:eastAsiaTheme="minorHAnsi" w:hAnsi="Arial" w:cs="Arial"/>
          <w:color w:val="auto"/>
          <w:sz w:val="22"/>
          <w:szCs w:val="22"/>
          <w:lang w:val="en-AU"/>
        </w:rPr>
        <w:t xml:space="preserve">5 </w:t>
      </w:r>
      <w:r w:rsidRPr="00A700E7">
        <w:rPr>
          <w:rFonts w:ascii="Arial" w:eastAsiaTheme="minorHAnsi" w:hAnsi="Arial" w:cs="Arial"/>
          <w:color w:val="auto"/>
          <w:sz w:val="22"/>
          <w:szCs w:val="22"/>
          <w:lang w:val="en-AU"/>
        </w:rPr>
        <w:t xml:space="preserve">presents adverse reactions occurring in macitentan-treated subjects at an incidence &lt; 3 % and with a placebo-corrected difference ≥ 1 % (during treatment and up to 28 days after treatment discontinuation). Adverse reactions are listed by system organ class and frequency category, using the convention: common (≥ 1/100 and &lt; 1/10). Within each frequency group, adverse reactions are presented in order of decreasing seriousness.  </w:t>
      </w:r>
    </w:p>
    <w:p w14:paraId="260AADEC" w14:textId="77777777" w:rsidR="00E44862" w:rsidRPr="00A700E7" w:rsidRDefault="00E44862" w:rsidP="007A6B1F">
      <w:pPr>
        <w:pStyle w:val="Default"/>
        <w:rPr>
          <w:rFonts w:ascii="Arial" w:eastAsiaTheme="minorHAnsi" w:hAnsi="Arial" w:cs="Arial"/>
          <w:color w:val="auto"/>
          <w:sz w:val="22"/>
          <w:szCs w:val="22"/>
          <w:lang w:val="en-AU"/>
        </w:rPr>
      </w:pPr>
    </w:p>
    <w:p w14:paraId="02BF04BD" w14:textId="77777777" w:rsidR="00E44862" w:rsidRPr="00A700E7" w:rsidRDefault="00E44862" w:rsidP="007A6B1F">
      <w:pPr>
        <w:pStyle w:val="Default"/>
        <w:rPr>
          <w:rFonts w:ascii="Arial" w:hAnsi="Arial" w:cs="Arial"/>
          <w:color w:val="auto"/>
        </w:rPr>
      </w:pPr>
      <w:r w:rsidRPr="00A700E7">
        <w:rPr>
          <w:rFonts w:ascii="Arial" w:eastAsiaTheme="minorHAnsi" w:hAnsi="Arial" w:cs="Arial"/>
          <w:color w:val="auto"/>
          <w:sz w:val="22"/>
          <w:szCs w:val="22"/>
          <w:lang w:val="en-AU"/>
        </w:rPr>
        <w:t>Frequency determination does not account for other factors including varying study duration, pre-existing conditions, and baseline patient characteristics</w:t>
      </w:r>
      <w:r w:rsidRPr="00A700E7">
        <w:rPr>
          <w:rFonts w:ascii="Arial" w:hAnsi="Arial" w:cs="Arial"/>
          <w:color w:val="auto"/>
        </w:rPr>
        <w:t xml:space="preserve">. </w:t>
      </w:r>
    </w:p>
    <w:p w14:paraId="75257D81" w14:textId="77777777" w:rsidR="00E44862" w:rsidRPr="00A700E7" w:rsidRDefault="00E44862" w:rsidP="007A6B1F">
      <w:pPr>
        <w:pStyle w:val="Default"/>
        <w:rPr>
          <w:rFonts w:ascii="Arial" w:hAnsi="Arial" w:cs="Arial"/>
          <w:color w:val="auto"/>
        </w:rPr>
      </w:pPr>
    </w:p>
    <w:p w14:paraId="3A4CBC92" w14:textId="4913C81E" w:rsidR="00E44862" w:rsidRPr="00A700E7" w:rsidRDefault="00E44862" w:rsidP="007A6B1F">
      <w:pPr>
        <w:jc w:val="left"/>
        <w:rPr>
          <w:b/>
          <w:bCs/>
          <w:sz w:val="20"/>
          <w:szCs w:val="20"/>
          <w:lang w:val="en-GB"/>
        </w:rPr>
      </w:pPr>
      <w:r w:rsidRPr="00A700E7">
        <w:rPr>
          <w:b/>
          <w:bCs/>
          <w:sz w:val="20"/>
          <w:szCs w:val="20"/>
          <w:lang w:val="en-GB"/>
        </w:rPr>
        <w:t xml:space="preserve">Table </w:t>
      </w:r>
      <w:r w:rsidR="004A5BFD" w:rsidRPr="00A700E7">
        <w:rPr>
          <w:b/>
          <w:bCs/>
          <w:sz w:val="20"/>
          <w:szCs w:val="20"/>
          <w:lang w:val="en-GB"/>
        </w:rPr>
        <w:t xml:space="preserve">4 </w:t>
      </w:r>
      <w:r w:rsidRPr="00A700E7">
        <w:rPr>
          <w:b/>
          <w:bCs/>
          <w:sz w:val="20"/>
          <w:szCs w:val="20"/>
          <w:lang w:val="en-GB"/>
        </w:rPr>
        <w:t xml:space="preserve">Adverse events occurring in </w:t>
      </w:r>
      <w:r w:rsidRPr="00A700E7">
        <w:rPr>
          <w:rFonts w:hint="eastAsia"/>
          <w:b/>
          <w:bCs/>
          <w:sz w:val="20"/>
          <w:szCs w:val="20"/>
          <w:lang w:val="en-GB"/>
        </w:rPr>
        <w:t>≥</w:t>
      </w:r>
      <w:r w:rsidR="0094392C" w:rsidRPr="00A700E7">
        <w:rPr>
          <w:b/>
          <w:bCs/>
          <w:sz w:val="20"/>
          <w:szCs w:val="20"/>
          <w:lang w:val="en-GB"/>
        </w:rPr>
        <w:t xml:space="preserve"> </w:t>
      </w:r>
      <w:r w:rsidRPr="00A700E7">
        <w:rPr>
          <w:b/>
          <w:bCs/>
          <w:sz w:val="20"/>
          <w:szCs w:val="20"/>
          <w:lang w:val="en-GB"/>
        </w:rPr>
        <w:t>3 % of macitentan-treated subjects and at a greater incidence than placebo (during treatment and up to 28 days after treatment discontinuation)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1132"/>
        <w:gridCol w:w="1132"/>
        <w:gridCol w:w="1132"/>
        <w:gridCol w:w="1129"/>
      </w:tblGrid>
      <w:tr w:rsidR="00A700E7" w:rsidRPr="00A700E7" w14:paraId="06695A51" w14:textId="77777777" w:rsidTr="000A1E73">
        <w:trPr>
          <w:tblHeader/>
        </w:trPr>
        <w:tc>
          <w:tcPr>
            <w:tcW w:w="2490" w:type="pct"/>
            <w:vMerge w:val="restart"/>
            <w:shd w:val="clear" w:color="auto" w:fill="auto"/>
          </w:tcPr>
          <w:p w14:paraId="2CEAFD70" w14:textId="5B03F621" w:rsidR="00E44862" w:rsidRPr="00A700E7" w:rsidRDefault="00E44862" w:rsidP="007A6B1F">
            <w:pPr>
              <w:jc w:val="left"/>
              <w:rPr>
                <w:sz w:val="20"/>
                <w:szCs w:val="20"/>
              </w:rPr>
            </w:pPr>
            <w:r w:rsidRPr="00A700E7">
              <w:rPr>
                <w:sz w:val="20"/>
                <w:szCs w:val="20"/>
              </w:rPr>
              <w:t>System Organ Class /</w:t>
            </w:r>
          </w:p>
          <w:p w14:paraId="4E0987B4" w14:textId="77777777" w:rsidR="00E44862" w:rsidRPr="00A700E7" w:rsidRDefault="00E44862" w:rsidP="007A6B1F">
            <w:pPr>
              <w:jc w:val="left"/>
              <w:rPr>
                <w:sz w:val="20"/>
                <w:szCs w:val="20"/>
              </w:rPr>
            </w:pPr>
            <w:r w:rsidRPr="00A700E7">
              <w:rPr>
                <w:sz w:val="20"/>
                <w:szCs w:val="20"/>
              </w:rPr>
              <w:t>Preferred Term</w:t>
            </w:r>
          </w:p>
        </w:tc>
        <w:tc>
          <w:tcPr>
            <w:tcW w:w="1256" w:type="pct"/>
            <w:gridSpan w:val="2"/>
            <w:shd w:val="clear" w:color="auto" w:fill="auto"/>
          </w:tcPr>
          <w:p w14:paraId="5EA7F24F" w14:textId="77777777" w:rsidR="00E44862" w:rsidRPr="00A700E7" w:rsidRDefault="00E44862" w:rsidP="007A6B1F">
            <w:pPr>
              <w:jc w:val="left"/>
              <w:rPr>
                <w:sz w:val="20"/>
                <w:szCs w:val="20"/>
              </w:rPr>
            </w:pPr>
            <w:r w:rsidRPr="00A700E7">
              <w:rPr>
                <w:sz w:val="20"/>
                <w:szCs w:val="20"/>
              </w:rPr>
              <w:t>Placebo</w:t>
            </w:r>
          </w:p>
          <w:p w14:paraId="6C07AC72" w14:textId="77777777" w:rsidR="00E44862" w:rsidRPr="00A700E7" w:rsidRDefault="00E44862" w:rsidP="007A6B1F">
            <w:pPr>
              <w:jc w:val="left"/>
              <w:rPr>
                <w:sz w:val="20"/>
                <w:szCs w:val="20"/>
              </w:rPr>
            </w:pPr>
            <w:r w:rsidRPr="00A700E7">
              <w:rPr>
                <w:sz w:val="20"/>
                <w:szCs w:val="20"/>
              </w:rPr>
              <w:t>N=249</w:t>
            </w:r>
          </w:p>
        </w:tc>
        <w:tc>
          <w:tcPr>
            <w:tcW w:w="1254" w:type="pct"/>
            <w:gridSpan w:val="2"/>
            <w:shd w:val="clear" w:color="auto" w:fill="auto"/>
          </w:tcPr>
          <w:p w14:paraId="7D6F72E4" w14:textId="77777777" w:rsidR="00E44862" w:rsidRPr="00A700E7" w:rsidRDefault="00E44862" w:rsidP="007A6B1F">
            <w:pPr>
              <w:jc w:val="left"/>
              <w:rPr>
                <w:sz w:val="20"/>
                <w:szCs w:val="20"/>
              </w:rPr>
            </w:pPr>
            <w:r w:rsidRPr="00A700E7">
              <w:rPr>
                <w:sz w:val="20"/>
                <w:szCs w:val="20"/>
              </w:rPr>
              <w:t>Macitentan</w:t>
            </w:r>
          </w:p>
          <w:p w14:paraId="3797A12B" w14:textId="77777777" w:rsidR="00E44862" w:rsidRPr="00A700E7" w:rsidRDefault="00E44862" w:rsidP="007A6B1F">
            <w:pPr>
              <w:jc w:val="left"/>
              <w:rPr>
                <w:sz w:val="20"/>
                <w:szCs w:val="20"/>
              </w:rPr>
            </w:pPr>
            <w:r w:rsidRPr="00A700E7">
              <w:rPr>
                <w:sz w:val="20"/>
                <w:szCs w:val="20"/>
              </w:rPr>
              <w:t>10 mg</w:t>
            </w:r>
          </w:p>
          <w:p w14:paraId="4F0ED0B4" w14:textId="77777777" w:rsidR="00E44862" w:rsidRPr="00A700E7" w:rsidRDefault="00E44862" w:rsidP="007A6B1F">
            <w:pPr>
              <w:jc w:val="left"/>
              <w:rPr>
                <w:sz w:val="20"/>
                <w:szCs w:val="20"/>
              </w:rPr>
            </w:pPr>
            <w:r w:rsidRPr="00A700E7">
              <w:rPr>
                <w:sz w:val="20"/>
                <w:szCs w:val="20"/>
              </w:rPr>
              <w:t>N=242</w:t>
            </w:r>
          </w:p>
        </w:tc>
      </w:tr>
      <w:tr w:rsidR="00A700E7" w:rsidRPr="00A700E7" w14:paraId="47BF56A0" w14:textId="77777777" w:rsidTr="000A1E73">
        <w:trPr>
          <w:tblHeader/>
        </w:trPr>
        <w:tc>
          <w:tcPr>
            <w:tcW w:w="2490" w:type="pct"/>
            <w:vMerge/>
            <w:shd w:val="clear" w:color="auto" w:fill="auto"/>
          </w:tcPr>
          <w:p w14:paraId="12BA8F80" w14:textId="77777777" w:rsidR="00E44862" w:rsidRPr="00A700E7" w:rsidRDefault="00E44862" w:rsidP="007A6B1F">
            <w:pPr>
              <w:jc w:val="left"/>
              <w:rPr>
                <w:sz w:val="20"/>
                <w:szCs w:val="20"/>
              </w:rPr>
            </w:pPr>
          </w:p>
        </w:tc>
        <w:tc>
          <w:tcPr>
            <w:tcW w:w="628" w:type="pct"/>
            <w:shd w:val="clear" w:color="auto" w:fill="auto"/>
          </w:tcPr>
          <w:p w14:paraId="1A1FCC36" w14:textId="77777777" w:rsidR="00E44862" w:rsidRPr="00A700E7" w:rsidRDefault="00E44862" w:rsidP="007A6B1F">
            <w:pPr>
              <w:jc w:val="left"/>
              <w:rPr>
                <w:sz w:val="20"/>
                <w:szCs w:val="20"/>
              </w:rPr>
            </w:pPr>
            <w:r w:rsidRPr="00A700E7">
              <w:rPr>
                <w:sz w:val="20"/>
                <w:szCs w:val="20"/>
              </w:rPr>
              <w:t>No.</w:t>
            </w:r>
          </w:p>
        </w:tc>
        <w:tc>
          <w:tcPr>
            <w:tcW w:w="628" w:type="pct"/>
            <w:shd w:val="clear" w:color="auto" w:fill="auto"/>
          </w:tcPr>
          <w:p w14:paraId="50E9FB9F" w14:textId="77777777" w:rsidR="00E44862" w:rsidRPr="00A700E7" w:rsidRDefault="00E44862" w:rsidP="007A6B1F">
            <w:pPr>
              <w:jc w:val="left"/>
              <w:rPr>
                <w:sz w:val="20"/>
                <w:szCs w:val="20"/>
              </w:rPr>
            </w:pPr>
            <w:r w:rsidRPr="00A700E7">
              <w:rPr>
                <w:sz w:val="20"/>
                <w:szCs w:val="20"/>
              </w:rPr>
              <w:t>%</w:t>
            </w:r>
          </w:p>
        </w:tc>
        <w:tc>
          <w:tcPr>
            <w:tcW w:w="628" w:type="pct"/>
            <w:shd w:val="clear" w:color="auto" w:fill="auto"/>
          </w:tcPr>
          <w:p w14:paraId="3B66F1F5" w14:textId="77777777" w:rsidR="00E44862" w:rsidRPr="00A700E7" w:rsidRDefault="00E44862" w:rsidP="007A6B1F">
            <w:pPr>
              <w:jc w:val="left"/>
              <w:rPr>
                <w:sz w:val="20"/>
                <w:szCs w:val="20"/>
              </w:rPr>
            </w:pPr>
            <w:r w:rsidRPr="00A700E7">
              <w:rPr>
                <w:sz w:val="20"/>
                <w:szCs w:val="20"/>
              </w:rPr>
              <w:t>No.</w:t>
            </w:r>
          </w:p>
        </w:tc>
        <w:tc>
          <w:tcPr>
            <w:tcW w:w="626" w:type="pct"/>
            <w:shd w:val="clear" w:color="auto" w:fill="auto"/>
          </w:tcPr>
          <w:p w14:paraId="775D0CC2" w14:textId="77777777" w:rsidR="00E44862" w:rsidRPr="00A700E7" w:rsidRDefault="00E44862" w:rsidP="007A6B1F">
            <w:pPr>
              <w:jc w:val="left"/>
              <w:rPr>
                <w:sz w:val="20"/>
                <w:szCs w:val="20"/>
              </w:rPr>
            </w:pPr>
            <w:r w:rsidRPr="00A700E7">
              <w:rPr>
                <w:sz w:val="20"/>
                <w:szCs w:val="20"/>
              </w:rPr>
              <w:t>%</w:t>
            </w:r>
          </w:p>
        </w:tc>
      </w:tr>
      <w:tr w:rsidR="00A700E7" w:rsidRPr="00A700E7" w14:paraId="1B9FCB8C" w14:textId="77777777" w:rsidTr="0094392C">
        <w:tc>
          <w:tcPr>
            <w:tcW w:w="2490" w:type="pct"/>
            <w:shd w:val="clear" w:color="auto" w:fill="D9D9D9" w:themeFill="background1" w:themeFillShade="D9"/>
          </w:tcPr>
          <w:p w14:paraId="126B248D" w14:textId="77777777" w:rsidR="00E44862" w:rsidRPr="00A700E7" w:rsidRDefault="00E44862" w:rsidP="007A6B1F">
            <w:pPr>
              <w:jc w:val="left"/>
              <w:rPr>
                <w:sz w:val="20"/>
                <w:szCs w:val="20"/>
              </w:rPr>
            </w:pPr>
            <w:r w:rsidRPr="00A700E7">
              <w:rPr>
                <w:sz w:val="20"/>
                <w:szCs w:val="20"/>
              </w:rPr>
              <w:t>Blood and lymphatic system disorders</w:t>
            </w:r>
          </w:p>
        </w:tc>
        <w:tc>
          <w:tcPr>
            <w:tcW w:w="628" w:type="pct"/>
            <w:shd w:val="clear" w:color="auto" w:fill="D9D9D9" w:themeFill="background1" w:themeFillShade="D9"/>
          </w:tcPr>
          <w:p w14:paraId="3365E255" w14:textId="77777777" w:rsidR="00E44862" w:rsidRPr="00A700E7" w:rsidRDefault="00E44862" w:rsidP="007A6B1F">
            <w:pPr>
              <w:jc w:val="left"/>
              <w:rPr>
                <w:sz w:val="20"/>
                <w:szCs w:val="20"/>
              </w:rPr>
            </w:pPr>
          </w:p>
        </w:tc>
        <w:tc>
          <w:tcPr>
            <w:tcW w:w="628" w:type="pct"/>
            <w:shd w:val="clear" w:color="auto" w:fill="D9D9D9" w:themeFill="background1" w:themeFillShade="D9"/>
          </w:tcPr>
          <w:p w14:paraId="66A897B1" w14:textId="77777777" w:rsidR="00E44862" w:rsidRPr="00A700E7" w:rsidRDefault="00E44862" w:rsidP="007A6B1F">
            <w:pPr>
              <w:jc w:val="left"/>
              <w:rPr>
                <w:sz w:val="20"/>
                <w:szCs w:val="20"/>
              </w:rPr>
            </w:pPr>
          </w:p>
        </w:tc>
        <w:tc>
          <w:tcPr>
            <w:tcW w:w="628" w:type="pct"/>
            <w:shd w:val="clear" w:color="auto" w:fill="D9D9D9" w:themeFill="background1" w:themeFillShade="D9"/>
          </w:tcPr>
          <w:p w14:paraId="6CD03FB5" w14:textId="77777777" w:rsidR="00E44862" w:rsidRPr="00A700E7" w:rsidRDefault="00E44862" w:rsidP="007A6B1F">
            <w:pPr>
              <w:jc w:val="left"/>
              <w:rPr>
                <w:sz w:val="20"/>
                <w:szCs w:val="20"/>
              </w:rPr>
            </w:pPr>
          </w:p>
        </w:tc>
        <w:tc>
          <w:tcPr>
            <w:tcW w:w="626" w:type="pct"/>
            <w:shd w:val="clear" w:color="auto" w:fill="D9D9D9" w:themeFill="background1" w:themeFillShade="D9"/>
          </w:tcPr>
          <w:p w14:paraId="0C28FDDD" w14:textId="77777777" w:rsidR="00E44862" w:rsidRPr="00A700E7" w:rsidRDefault="00E44862" w:rsidP="007A6B1F">
            <w:pPr>
              <w:jc w:val="left"/>
              <w:rPr>
                <w:sz w:val="20"/>
                <w:szCs w:val="20"/>
              </w:rPr>
            </w:pPr>
          </w:p>
        </w:tc>
      </w:tr>
      <w:tr w:rsidR="00A700E7" w:rsidRPr="00A700E7" w14:paraId="43A1D7E3" w14:textId="77777777" w:rsidTr="000A1E73">
        <w:tc>
          <w:tcPr>
            <w:tcW w:w="2490" w:type="pct"/>
            <w:shd w:val="clear" w:color="auto" w:fill="auto"/>
          </w:tcPr>
          <w:p w14:paraId="5C507F8B" w14:textId="77777777" w:rsidR="00E44862" w:rsidRPr="00A700E7" w:rsidRDefault="00E44862" w:rsidP="007A6B1F">
            <w:pPr>
              <w:jc w:val="left"/>
              <w:rPr>
                <w:sz w:val="20"/>
                <w:szCs w:val="20"/>
              </w:rPr>
            </w:pPr>
            <w:proofErr w:type="spellStart"/>
            <w:r w:rsidRPr="00A700E7">
              <w:rPr>
                <w:sz w:val="20"/>
                <w:szCs w:val="20"/>
              </w:rPr>
              <w:t>Anaemia</w:t>
            </w:r>
            <w:proofErr w:type="spellEnd"/>
          </w:p>
        </w:tc>
        <w:tc>
          <w:tcPr>
            <w:tcW w:w="628" w:type="pct"/>
            <w:shd w:val="clear" w:color="auto" w:fill="auto"/>
          </w:tcPr>
          <w:p w14:paraId="1739CE7E" w14:textId="77777777" w:rsidR="00E44862" w:rsidRPr="00A700E7" w:rsidRDefault="00E44862" w:rsidP="007A6B1F">
            <w:pPr>
              <w:jc w:val="left"/>
              <w:rPr>
                <w:sz w:val="20"/>
                <w:szCs w:val="20"/>
              </w:rPr>
            </w:pPr>
            <w:r w:rsidRPr="00A700E7">
              <w:rPr>
                <w:sz w:val="20"/>
                <w:szCs w:val="20"/>
              </w:rPr>
              <w:t>8</w:t>
            </w:r>
          </w:p>
        </w:tc>
        <w:tc>
          <w:tcPr>
            <w:tcW w:w="628" w:type="pct"/>
            <w:shd w:val="clear" w:color="auto" w:fill="auto"/>
          </w:tcPr>
          <w:p w14:paraId="1FB366D5" w14:textId="77777777" w:rsidR="00E44862" w:rsidRPr="00A700E7" w:rsidRDefault="00E44862" w:rsidP="007A6B1F">
            <w:pPr>
              <w:jc w:val="left"/>
              <w:rPr>
                <w:sz w:val="20"/>
                <w:szCs w:val="20"/>
              </w:rPr>
            </w:pPr>
            <w:r w:rsidRPr="00A700E7">
              <w:rPr>
                <w:sz w:val="20"/>
                <w:szCs w:val="20"/>
              </w:rPr>
              <w:t>3.2%</w:t>
            </w:r>
          </w:p>
        </w:tc>
        <w:tc>
          <w:tcPr>
            <w:tcW w:w="628" w:type="pct"/>
            <w:shd w:val="clear" w:color="auto" w:fill="auto"/>
          </w:tcPr>
          <w:p w14:paraId="407CAF8D" w14:textId="77777777" w:rsidR="00E44862" w:rsidRPr="00A700E7" w:rsidRDefault="00E44862" w:rsidP="007A6B1F">
            <w:pPr>
              <w:jc w:val="left"/>
              <w:rPr>
                <w:sz w:val="20"/>
                <w:szCs w:val="20"/>
              </w:rPr>
            </w:pPr>
            <w:r w:rsidRPr="00A700E7">
              <w:rPr>
                <w:sz w:val="20"/>
                <w:szCs w:val="20"/>
              </w:rPr>
              <w:t>32</w:t>
            </w:r>
          </w:p>
        </w:tc>
        <w:tc>
          <w:tcPr>
            <w:tcW w:w="626" w:type="pct"/>
            <w:shd w:val="clear" w:color="auto" w:fill="auto"/>
          </w:tcPr>
          <w:p w14:paraId="0A679A94" w14:textId="77777777" w:rsidR="00E44862" w:rsidRPr="00A700E7" w:rsidRDefault="00E44862" w:rsidP="007A6B1F">
            <w:pPr>
              <w:jc w:val="left"/>
              <w:rPr>
                <w:sz w:val="20"/>
                <w:szCs w:val="20"/>
              </w:rPr>
            </w:pPr>
            <w:r w:rsidRPr="00A700E7">
              <w:rPr>
                <w:sz w:val="20"/>
                <w:szCs w:val="20"/>
              </w:rPr>
              <w:t>13.2%</w:t>
            </w:r>
          </w:p>
        </w:tc>
      </w:tr>
      <w:tr w:rsidR="00A700E7" w:rsidRPr="00A700E7" w14:paraId="150C66A9" w14:textId="77777777" w:rsidTr="000A1E73">
        <w:tc>
          <w:tcPr>
            <w:tcW w:w="2490" w:type="pct"/>
            <w:shd w:val="clear" w:color="auto" w:fill="auto"/>
          </w:tcPr>
          <w:p w14:paraId="32E3FB2E" w14:textId="77777777" w:rsidR="00E44862" w:rsidRPr="00A700E7" w:rsidRDefault="00E44862" w:rsidP="007A6B1F">
            <w:pPr>
              <w:jc w:val="left"/>
              <w:rPr>
                <w:sz w:val="20"/>
                <w:szCs w:val="20"/>
              </w:rPr>
            </w:pPr>
            <w:r w:rsidRPr="00A700E7">
              <w:rPr>
                <w:sz w:val="20"/>
                <w:szCs w:val="20"/>
              </w:rPr>
              <w:t>Thrombocytopenia</w:t>
            </w:r>
          </w:p>
        </w:tc>
        <w:tc>
          <w:tcPr>
            <w:tcW w:w="628" w:type="pct"/>
            <w:shd w:val="clear" w:color="auto" w:fill="auto"/>
          </w:tcPr>
          <w:p w14:paraId="6F27D3C6" w14:textId="77777777" w:rsidR="00E44862" w:rsidRPr="00A700E7" w:rsidRDefault="00E44862" w:rsidP="007A6B1F">
            <w:pPr>
              <w:jc w:val="left"/>
              <w:rPr>
                <w:sz w:val="20"/>
                <w:szCs w:val="20"/>
              </w:rPr>
            </w:pPr>
            <w:r w:rsidRPr="00A700E7">
              <w:rPr>
                <w:sz w:val="20"/>
                <w:szCs w:val="20"/>
              </w:rPr>
              <w:t>7</w:t>
            </w:r>
          </w:p>
        </w:tc>
        <w:tc>
          <w:tcPr>
            <w:tcW w:w="628" w:type="pct"/>
            <w:shd w:val="clear" w:color="auto" w:fill="auto"/>
          </w:tcPr>
          <w:p w14:paraId="65F43861" w14:textId="77777777" w:rsidR="00E44862" w:rsidRPr="00A700E7" w:rsidRDefault="00E44862" w:rsidP="007A6B1F">
            <w:pPr>
              <w:jc w:val="left"/>
              <w:rPr>
                <w:sz w:val="20"/>
                <w:szCs w:val="20"/>
              </w:rPr>
            </w:pPr>
            <w:r w:rsidRPr="00A700E7">
              <w:rPr>
                <w:sz w:val="20"/>
                <w:szCs w:val="20"/>
              </w:rPr>
              <w:t>2.8%</w:t>
            </w:r>
          </w:p>
        </w:tc>
        <w:tc>
          <w:tcPr>
            <w:tcW w:w="628" w:type="pct"/>
            <w:shd w:val="clear" w:color="auto" w:fill="auto"/>
          </w:tcPr>
          <w:p w14:paraId="6523DF57" w14:textId="77777777" w:rsidR="00E44862" w:rsidRPr="00A700E7" w:rsidRDefault="00E44862" w:rsidP="007A6B1F">
            <w:pPr>
              <w:jc w:val="left"/>
              <w:rPr>
                <w:sz w:val="20"/>
                <w:szCs w:val="20"/>
              </w:rPr>
            </w:pPr>
            <w:r w:rsidRPr="00A700E7">
              <w:rPr>
                <w:sz w:val="20"/>
                <w:szCs w:val="20"/>
              </w:rPr>
              <w:t>12</w:t>
            </w:r>
          </w:p>
        </w:tc>
        <w:tc>
          <w:tcPr>
            <w:tcW w:w="626" w:type="pct"/>
            <w:shd w:val="clear" w:color="auto" w:fill="auto"/>
          </w:tcPr>
          <w:p w14:paraId="2C3C0158" w14:textId="77777777" w:rsidR="00E44862" w:rsidRPr="00A700E7" w:rsidRDefault="00E44862" w:rsidP="007A6B1F">
            <w:pPr>
              <w:jc w:val="left"/>
              <w:rPr>
                <w:sz w:val="20"/>
                <w:szCs w:val="20"/>
              </w:rPr>
            </w:pPr>
            <w:r w:rsidRPr="00A700E7">
              <w:rPr>
                <w:sz w:val="20"/>
                <w:szCs w:val="20"/>
              </w:rPr>
              <w:t>5.0%</w:t>
            </w:r>
          </w:p>
        </w:tc>
      </w:tr>
      <w:tr w:rsidR="00A700E7" w:rsidRPr="00A700E7" w14:paraId="34F2C227" w14:textId="77777777" w:rsidTr="0094392C">
        <w:tc>
          <w:tcPr>
            <w:tcW w:w="2490" w:type="pct"/>
            <w:shd w:val="clear" w:color="auto" w:fill="D9D9D9" w:themeFill="background1" w:themeFillShade="D9"/>
          </w:tcPr>
          <w:p w14:paraId="17CB2522" w14:textId="77777777" w:rsidR="00E44862" w:rsidRPr="00A700E7" w:rsidRDefault="00E44862" w:rsidP="007A6B1F">
            <w:pPr>
              <w:jc w:val="left"/>
              <w:rPr>
                <w:sz w:val="20"/>
                <w:szCs w:val="20"/>
              </w:rPr>
            </w:pPr>
            <w:r w:rsidRPr="00A700E7">
              <w:rPr>
                <w:sz w:val="20"/>
                <w:szCs w:val="20"/>
              </w:rPr>
              <w:t>Gastrointestinal disorders</w:t>
            </w:r>
          </w:p>
        </w:tc>
        <w:tc>
          <w:tcPr>
            <w:tcW w:w="628" w:type="pct"/>
            <w:shd w:val="clear" w:color="auto" w:fill="D9D9D9" w:themeFill="background1" w:themeFillShade="D9"/>
          </w:tcPr>
          <w:p w14:paraId="675C449E" w14:textId="77777777" w:rsidR="00E44862" w:rsidRPr="00A700E7" w:rsidRDefault="00E44862" w:rsidP="007A6B1F">
            <w:pPr>
              <w:jc w:val="left"/>
              <w:rPr>
                <w:sz w:val="20"/>
                <w:szCs w:val="20"/>
              </w:rPr>
            </w:pPr>
          </w:p>
        </w:tc>
        <w:tc>
          <w:tcPr>
            <w:tcW w:w="628" w:type="pct"/>
            <w:shd w:val="clear" w:color="auto" w:fill="D9D9D9" w:themeFill="background1" w:themeFillShade="D9"/>
          </w:tcPr>
          <w:p w14:paraId="59C1553C" w14:textId="77777777" w:rsidR="00E44862" w:rsidRPr="00A700E7" w:rsidRDefault="00E44862" w:rsidP="007A6B1F">
            <w:pPr>
              <w:jc w:val="left"/>
              <w:rPr>
                <w:sz w:val="20"/>
                <w:szCs w:val="20"/>
              </w:rPr>
            </w:pPr>
          </w:p>
        </w:tc>
        <w:tc>
          <w:tcPr>
            <w:tcW w:w="628" w:type="pct"/>
            <w:shd w:val="clear" w:color="auto" w:fill="D9D9D9" w:themeFill="background1" w:themeFillShade="D9"/>
          </w:tcPr>
          <w:p w14:paraId="68EFD7F4" w14:textId="77777777" w:rsidR="00E44862" w:rsidRPr="00A700E7" w:rsidRDefault="00E44862" w:rsidP="007A6B1F">
            <w:pPr>
              <w:jc w:val="left"/>
              <w:rPr>
                <w:sz w:val="20"/>
                <w:szCs w:val="20"/>
              </w:rPr>
            </w:pPr>
          </w:p>
        </w:tc>
        <w:tc>
          <w:tcPr>
            <w:tcW w:w="626" w:type="pct"/>
            <w:shd w:val="clear" w:color="auto" w:fill="D9D9D9" w:themeFill="background1" w:themeFillShade="D9"/>
          </w:tcPr>
          <w:p w14:paraId="543CA0D4" w14:textId="77777777" w:rsidR="00E44862" w:rsidRPr="00A700E7" w:rsidRDefault="00E44862" w:rsidP="007A6B1F">
            <w:pPr>
              <w:jc w:val="left"/>
              <w:rPr>
                <w:sz w:val="20"/>
                <w:szCs w:val="20"/>
              </w:rPr>
            </w:pPr>
          </w:p>
        </w:tc>
      </w:tr>
      <w:tr w:rsidR="00A700E7" w:rsidRPr="00A700E7" w14:paraId="65F1A294" w14:textId="77777777" w:rsidTr="000A1E73">
        <w:tc>
          <w:tcPr>
            <w:tcW w:w="2490" w:type="pct"/>
            <w:shd w:val="clear" w:color="auto" w:fill="auto"/>
          </w:tcPr>
          <w:p w14:paraId="600F238A" w14:textId="77777777" w:rsidR="00E44862" w:rsidRPr="00A700E7" w:rsidRDefault="00E44862" w:rsidP="007A6B1F">
            <w:pPr>
              <w:jc w:val="left"/>
              <w:rPr>
                <w:sz w:val="20"/>
                <w:szCs w:val="20"/>
              </w:rPr>
            </w:pPr>
            <w:proofErr w:type="spellStart"/>
            <w:r w:rsidRPr="00A700E7">
              <w:rPr>
                <w:sz w:val="20"/>
                <w:szCs w:val="20"/>
              </w:rPr>
              <w:t>Diarrhoea</w:t>
            </w:r>
            <w:proofErr w:type="spellEnd"/>
          </w:p>
        </w:tc>
        <w:tc>
          <w:tcPr>
            <w:tcW w:w="628" w:type="pct"/>
            <w:shd w:val="clear" w:color="auto" w:fill="auto"/>
          </w:tcPr>
          <w:p w14:paraId="3FD34903" w14:textId="77777777" w:rsidR="00E44862" w:rsidRPr="00A700E7" w:rsidRDefault="00E44862" w:rsidP="007A6B1F">
            <w:pPr>
              <w:jc w:val="left"/>
              <w:rPr>
                <w:sz w:val="20"/>
                <w:szCs w:val="20"/>
              </w:rPr>
            </w:pPr>
            <w:r w:rsidRPr="00A700E7">
              <w:rPr>
                <w:sz w:val="20"/>
                <w:szCs w:val="20"/>
              </w:rPr>
              <w:t>17</w:t>
            </w:r>
          </w:p>
        </w:tc>
        <w:tc>
          <w:tcPr>
            <w:tcW w:w="628" w:type="pct"/>
            <w:shd w:val="clear" w:color="auto" w:fill="auto"/>
          </w:tcPr>
          <w:p w14:paraId="27A4D6CD" w14:textId="77777777" w:rsidR="00E44862" w:rsidRPr="00A700E7" w:rsidRDefault="00E44862" w:rsidP="007A6B1F">
            <w:pPr>
              <w:jc w:val="left"/>
              <w:rPr>
                <w:sz w:val="20"/>
                <w:szCs w:val="20"/>
              </w:rPr>
            </w:pPr>
            <w:r w:rsidRPr="00A700E7">
              <w:rPr>
                <w:sz w:val="20"/>
                <w:szCs w:val="20"/>
              </w:rPr>
              <w:t>6.8%</w:t>
            </w:r>
          </w:p>
        </w:tc>
        <w:tc>
          <w:tcPr>
            <w:tcW w:w="628" w:type="pct"/>
            <w:shd w:val="clear" w:color="auto" w:fill="auto"/>
          </w:tcPr>
          <w:p w14:paraId="79D140B9" w14:textId="77777777" w:rsidR="00E44862" w:rsidRPr="00A700E7" w:rsidRDefault="00E44862" w:rsidP="007A6B1F">
            <w:pPr>
              <w:jc w:val="left"/>
              <w:rPr>
                <w:sz w:val="20"/>
                <w:szCs w:val="20"/>
              </w:rPr>
            </w:pPr>
            <w:r w:rsidRPr="00A700E7">
              <w:rPr>
                <w:sz w:val="20"/>
                <w:szCs w:val="20"/>
              </w:rPr>
              <w:t>22</w:t>
            </w:r>
          </w:p>
        </w:tc>
        <w:tc>
          <w:tcPr>
            <w:tcW w:w="626" w:type="pct"/>
            <w:shd w:val="clear" w:color="auto" w:fill="auto"/>
          </w:tcPr>
          <w:p w14:paraId="6BACF9A2" w14:textId="77777777" w:rsidR="00E44862" w:rsidRPr="00A700E7" w:rsidRDefault="00E44862" w:rsidP="007A6B1F">
            <w:pPr>
              <w:jc w:val="left"/>
              <w:rPr>
                <w:sz w:val="20"/>
                <w:szCs w:val="20"/>
              </w:rPr>
            </w:pPr>
            <w:r w:rsidRPr="00A700E7">
              <w:rPr>
                <w:sz w:val="20"/>
                <w:szCs w:val="20"/>
              </w:rPr>
              <w:t>9.1%</w:t>
            </w:r>
          </w:p>
        </w:tc>
      </w:tr>
      <w:tr w:rsidR="00A700E7" w:rsidRPr="00A700E7" w14:paraId="73C7D06F" w14:textId="77777777" w:rsidTr="000A1E73">
        <w:tc>
          <w:tcPr>
            <w:tcW w:w="2490" w:type="pct"/>
            <w:shd w:val="clear" w:color="auto" w:fill="auto"/>
          </w:tcPr>
          <w:p w14:paraId="01F6E2CF" w14:textId="77777777" w:rsidR="00E44862" w:rsidRPr="00A700E7" w:rsidRDefault="00E44862" w:rsidP="007A6B1F">
            <w:pPr>
              <w:jc w:val="left"/>
              <w:rPr>
                <w:sz w:val="20"/>
                <w:szCs w:val="20"/>
              </w:rPr>
            </w:pPr>
            <w:r w:rsidRPr="00A700E7">
              <w:rPr>
                <w:sz w:val="20"/>
                <w:szCs w:val="20"/>
              </w:rPr>
              <w:t>Abdominal pain upper</w:t>
            </w:r>
          </w:p>
        </w:tc>
        <w:tc>
          <w:tcPr>
            <w:tcW w:w="628" w:type="pct"/>
            <w:shd w:val="clear" w:color="auto" w:fill="auto"/>
          </w:tcPr>
          <w:p w14:paraId="7767C6E8" w14:textId="77777777" w:rsidR="00E44862" w:rsidRPr="00A700E7" w:rsidRDefault="00E44862" w:rsidP="007A6B1F">
            <w:pPr>
              <w:jc w:val="left"/>
              <w:rPr>
                <w:sz w:val="20"/>
                <w:szCs w:val="20"/>
              </w:rPr>
            </w:pPr>
            <w:r w:rsidRPr="00A700E7">
              <w:rPr>
                <w:sz w:val="20"/>
                <w:szCs w:val="20"/>
              </w:rPr>
              <w:t>11</w:t>
            </w:r>
          </w:p>
        </w:tc>
        <w:tc>
          <w:tcPr>
            <w:tcW w:w="628" w:type="pct"/>
            <w:shd w:val="clear" w:color="auto" w:fill="auto"/>
          </w:tcPr>
          <w:p w14:paraId="6346BCD3" w14:textId="77777777" w:rsidR="00E44862" w:rsidRPr="00A700E7" w:rsidRDefault="00E44862" w:rsidP="007A6B1F">
            <w:pPr>
              <w:jc w:val="left"/>
              <w:rPr>
                <w:sz w:val="20"/>
                <w:szCs w:val="20"/>
              </w:rPr>
            </w:pPr>
            <w:r w:rsidRPr="00A700E7">
              <w:rPr>
                <w:sz w:val="20"/>
                <w:szCs w:val="20"/>
              </w:rPr>
              <w:t>4.4%</w:t>
            </w:r>
          </w:p>
        </w:tc>
        <w:tc>
          <w:tcPr>
            <w:tcW w:w="628" w:type="pct"/>
            <w:shd w:val="clear" w:color="auto" w:fill="auto"/>
          </w:tcPr>
          <w:p w14:paraId="2BC6D5E0" w14:textId="77777777" w:rsidR="00E44862" w:rsidRPr="00A700E7" w:rsidRDefault="00E44862" w:rsidP="007A6B1F">
            <w:pPr>
              <w:jc w:val="left"/>
              <w:rPr>
                <w:sz w:val="20"/>
                <w:szCs w:val="20"/>
              </w:rPr>
            </w:pPr>
            <w:r w:rsidRPr="00A700E7">
              <w:rPr>
                <w:sz w:val="20"/>
                <w:szCs w:val="20"/>
              </w:rPr>
              <w:t>11</w:t>
            </w:r>
          </w:p>
        </w:tc>
        <w:tc>
          <w:tcPr>
            <w:tcW w:w="626" w:type="pct"/>
            <w:shd w:val="clear" w:color="auto" w:fill="auto"/>
          </w:tcPr>
          <w:p w14:paraId="0607C972" w14:textId="77777777" w:rsidR="00E44862" w:rsidRPr="00A700E7" w:rsidRDefault="00E44862" w:rsidP="007A6B1F">
            <w:pPr>
              <w:jc w:val="left"/>
              <w:rPr>
                <w:sz w:val="20"/>
                <w:szCs w:val="20"/>
              </w:rPr>
            </w:pPr>
            <w:r w:rsidRPr="00A700E7">
              <w:rPr>
                <w:sz w:val="20"/>
                <w:szCs w:val="20"/>
              </w:rPr>
              <w:t>4.5%</w:t>
            </w:r>
          </w:p>
        </w:tc>
      </w:tr>
      <w:tr w:rsidR="00A700E7" w:rsidRPr="00A700E7" w14:paraId="2E61BCB2" w14:textId="77777777" w:rsidTr="0094392C">
        <w:tc>
          <w:tcPr>
            <w:tcW w:w="2490" w:type="pct"/>
            <w:shd w:val="clear" w:color="auto" w:fill="D9D9D9" w:themeFill="background1" w:themeFillShade="D9"/>
          </w:tcPr>
          <w:p w14:paraId="5394311A" w14:textId="77777777" w:rsidR="00E44862" w:rsidRPr="00A700E7" w:rsidRDefault="00E44862" w:rsidP="007A6B1F">
            <w:pPr>
              <w:jc w:val="left"/>
              <w:rPr>
                <w:sz w:val="20"/>
                <w:szCs w:val="20"/>
              </w:rPr>
            </w:pPr>
            <w:r w:rsidRPr="00A700E7">
              <w:rPr>
                <w:sz w:val="20"/>
                <w:szCs w:val="20"/>
              </w:rPr>
              <w:t>General disorders and administration site conditions</w:t>
            </w:r>
          </w:p>
        </w:tc>
        <w:tc>
          <w:tcPr>
            <w:tcW w:w="628" w:type="pct"/>
            <w:shd w:val="clear" w:color="auto" w:fill="D9D9D9" w:themeFill="background1" w:themeFillShade="D9"/>
          </w:tcPr>
          <w:p w14:paraId="772C992B" w14:textId="77777777" w:rsidR="00E44862" w:rsidRPr="00A700E7" w:rsidRDefault="00E44862" w:rsidP="007A6B1F">
            <w:pPr>
              <w:jc w:val="left"/>
              <w:rPr>
                <w:sz w:val="20"/>
                <w:szCs w:val="20"/>
              </w:rPr>
            </w:pPr>
          </w:p>
        </w:tc>
        <w:tc>
          <w:tcPr>
            <w:tcW w:w="628" w:type="pct"/>
            <w:shd w:val="clear" w:color="auto" w:fill="D9D9D9" w:themeFill="background1" w:themeFillShade="D9"/>
          </w:tcPr>
          <w:p w14:paraId="04FD07F4" w14:textId="77777777" w:rsidR="00E44862" w:rsidRPr="00A700E7" w:rsidRDefault="00E44862" w:rsidP="007A6B1F">
            <w:pPr>
              <w:jc w:val="left"/>
              <w:rPr>
                <w:sz w:val="20"/>
                <w:szCs w:val="20"/>
              </w:rPr>
            </w:pPr>
          </w:p>
        </w:tc>
        <w:tc>
          <w:tcPr>
            <w:tcW w:w="628" w:type="pct"/>
            <w:shd w:val="clear" w:color="auto" w:fill="D9D9D9" w:themeFill="background1" w:themeFillShade="D9"/>
          </w:tcPr>
          <w:p w14:paraId="7A26BC88" w14:textId="77777777" w:rsidR="00E44862" w:rsidRPr="00A700E7" w:rsidRDefault="00E44862" w:rsidP="007A6B1F">
            <w:pPr>
              <w:jc w:val="left"/>
              <w:rPr>
                <w:sz w:val="20"/>
                <w:szCs w:val="20"/>
              </w:rPr>
            </w:pPr>
          </w:p>
        </w:tc>
        <w:tc>
          <w:tcPr>
            <w:tcW w:w="626" w:type="pct"/>
            <w:shd w:val="clear" w:color="auto" w:fill="D9D9D9" w:themeFill="background1" w:themeFillShade="D9"/>
          </w:tcPr>
          <w:p w14:paraId="3B1BA3A5" w14:textId="77777777" w:rsidR="00E44862" w:rsidRPr="00A700E7" w:rsidRDefault="00E44862" w:rsidP="007A6B1F">
            <w:pPr>
              <w:jc w:val="left"/>
              <w:rPr>
                <w:sz w:val="20"/>
                <w:szCs w:val="20"/>
              </w:rPr>
            </w:pPr>
          </w:p>
        </w:tc>
      </w:tr>
      <w:tr w:rsidR="00A700E7" w:rsidRPr="00A700E7" w14:paraId="02198905" w14:textId="77777777" w:rsidTr="000A1E73">
        <w:tc>
          <w:tcPr>
            <w:tcW w:w="2490" w:type="pct"/>
            <w:shd w:val="clear" w:color="auto" w:fill="auto"/>
          </w:tcPr>
          <w:p w14:paraId="7690C4A3" w14:textId="6E2CDBC0" w:rsidR="00E44862" w:rsidRPr="00A700E7" w:rsidRDefault="00673D18" w:rsidP="007A6B1F">
            <w:pPr>
              <w:jc w:val="left"/>
              <w:rPr>
                <w:sz w:val="20"/>
                <w:szCs w:val="20"/>
              </w:rPr>
            </w:pPr>
            <w:r w:rsidRPr="00A700E7">
              <w:rPr>
                <w:sz w:val="20"/>
                <w:szCs w:val="20"/>
              </w:rPr>
              <w:t>Oedema</w:t>
            </w:r>
            <w:r w:rsidR="00E44862" w:rsidRPr="00A700E7">
              <w:rPr>
                <w:sz w:val="20"/>
                <w:szCs w:val="20"/>
              </w:rPr>
              <w:t xml:space="preserve"> peripheral</w:t>
            </w:r>
          </w:p>
        </w:tc>
        <w:tc>
          <w:tcPr>
            <w:tcW w:w="628" w:type="pct"/>
            <w:shd w:val="clear" w:color="auto" w:fill="auto"/>
          </w:tcPr>
          <w:p w14:paraId="2AD4A876" w14:textId="77777777" w:rsidR="00E44862" w:rsidRPr="00A700E7" w:rsidRDefault="00E44862" w:rsidP="007A6B1F">
            <w:pPr>
              <w:jc w:val="left"/>
              <w:rPr>
                <w:sz w:val="20"/>
                <w:szCs w:val="20"/>
              </w:rPr>
            </w:pPr>
            <w:r w:rsidRPr="00A700E7">
              <w:rPr>
                <w:sz w:val="20"/>
                <w:szCs w:val="20"/>
              </w:rPr>
              <w:t>45</w:t>
            </w:r>
          </w:p>
        </w:tc>
        <w:tc>
          <w:tcPr>
            <w:tcW w:w="628" w:type="pct"/>
            <w:shd w:val="clear" w:color="auto" w:fill="auto"/>
          </w:tcPr>
          <w:p w14:paraId="3B4F8B76" w14:textId="77777777" w:rsidR="00E44862" w:rsidRPr="00A700E7" w:rsidRDefault="00E44862" w:rsidP="007A6B1F">
            <w:pPr>
              <w:jc w:val="left"/>
              <w:rPr>
                <w:sz w:val="20"/>
                <w:szCs w:val="20"/>
              </w:rPr>
            </w:pPr>
            <w:r w:rsidRPr="00A700E7">
              <w:rPr>
                <w:sz w:val="20"/>
                <w:szCs w:val="20"/>
              </w:rPr>
              <w:t>18.1%</w:t>
            </w:r>
          </w:p>
        </w:tc>
        <w:tc>
          <w:tcPr>
            <w:tcW w:w="628" w:type="pct"/>
            <w:shd w:val="clear" w:color="auto" w:fill="auto"/>
          </w:tcPr>
          <w:p w14:paraId="75A60A7A" w14:textId="77777777" w:rsidR="00E44862" w:rsidRPr="00A700E7" w:rsidRDefault="00E44862" w:rsidP="007A6B1F">
            <w:pPr>
              <w:jc w:val="left"/>
              <w:rPr>
                <w:sz w:val="20"/>
                <w:szCs w:val="20"/>
              </w:rPr>
            </w:pPr>
            <w:r w:rsidRPr="00A700E7">
              <w:rPr>
                <w:sz w:val="20"/>
                <w:szCs w:val="20"/>
              </w:rPr>
              <w:t>44</w:t>
            </w:r>
          </w:p>
        </w:tc>
        <w:tc>
          <w:tcPr>
            <w:tcW w:w="626" w:type="pct"/>
            <w:shd w:val="clear" w:color="auto" w:fill="auto"/>
          </w:tcPr>
          <w:p w14:paraId="7DECD7A3" w14:textId="77777777" w:rsidR="00E44862" w:rsidRPr="00A700E7" w:rsidRDefault="00E44862" w:rsidP="007A6B1F">
            <w:pPr>
              <w:jc w:val="left"/>
              <w:rPr>
                <w:sz w:val="20"/>
                <w:szCs w:val="20"/>
              </w:rPr>
            </w:pPr>
            <w:r w:rsidRPr="00A700E7">
              <w:rPr>
                <w:sz w:val="20"/>
                <w:szCs w:val="20"/>
              </w:rPr>
              <w:t>18.2%</w:t>
            </w:r>
          </w:p>
        </w:tc>
      </w:tr>
      <w:tr w:rsidR="00A700E7" w:rsidRPr="00A700E7" w14:paraId="584FBD16" w14:textId="77777777" w:rsidTr="00743950">
        <w:trPr>
          <w:trHeight w:val="279"/>
        </w:trPr>
        <w:tc>
          <w:tcPr>
            <w:tcW w:w="2490" w:type="pct"/>
            <w:shd w:val="clear" w:color="auto" w:fill="auto"/>
          </w:tcPr>
          <w:p w14:paraId="28AA4196" w14:textId="497F7794" w:rsidR="00E31118" w:rsidRPr="00A700E7" w:rsidRDefault="00E44862" w:rsidP="007A6B1F">
            <w:pPr>
              <w:jc w:val="left"/>
              <w:rPr>
                <w:sz w:val="20"/>
                <w:szCs w:val="20"/>
              </w:rPr>
            </w:pPr>
            <w:r w:rsidRPr="00A700E7">
              <w:rPr>
                <w:sz w:val="20"/>
                <w:szCs w:val="20"/>
              </w:rPr>
              <w:t>Pyrexia</w:t>
            </w:r>
          </w:p>
        </w:tc>
        <w:tc>
          <w:tcPr>
            <w:tcW w:w="628" w:type="pct"/>
            <w:shd w:val="clear" w:color="auto" w:fill="auto"/>
          </w:tcPr>
          <w:p w14:paraId="26A2D6E3" w14:textId="77777777" w:rsidR="00E44862" w:rsidRPr="00A700E7" w:rsidRDefault="00E44862" w:rsidP="007A6B1F">
            <w:pPr>
              <w:jc w:val="left"/>
              <w:rPr>
                <w:sz w:val="20"/>
                <w:szCs w:val="20"/>
              </w:rPr>
            </w:pPr>
            <w:r w:rsidRPr="00A700E7">
              <w:rPr>
                <w:sz w:val="20"/>
                <w:szCs w:val="20"/>
              </w:rPr>
              <w:t>9</w:t>
            </w:r>
          </w:p>
        </w:tc>
        <w:tc>
          <w:tcPr>
            <w:tcW w:w="628" w:type="pct"/>
            <w:shd w:val="clear" w:color="auto" w:fill="auto"/>
          </w:tcPr>
          <w:p w14:paraId="501A8035" w14:textId="77777777" w:rsidR="00E44862" w:rsidRPr="00A700E7" w:rsidRDefault="00E44862" w:rsidP="007A6B1F">
            <w:pPr>
              <w:jc w:val="left"/>
              <w:rPr>
                <w:sz w:val="20"/>
                <w:szCs w:val="20"/>
              </w:rPr>
            </w:pPr>
            <w:r w:rsidRPr="00A700E7">
              <w:rPr>
                <w:sz w:val="20"/>
                <w:szCs w:val="20"/>
              </w:rPr>
              <w:t>3.6%</w:t>
            </w:r>
          </w:p>
        </w:tc>
        <w:tc>
          <w:tcPr>
            <w:tcW w:w="628" w:type="pct"/>
            <w:shd w:val="clear" w:color="auto" w:fill="auto"/>
          </w:tcPr>
          <w:p w14:paraId="23B53E82" w14:textId="77777777" w:rsidR="00E44862" w:rsidRPr="00A700E7" w:rsidRDefault="00E44862" w:rsidP="007A6B1F">
            <w:pPr>
              <w:jc w:val="left"/>
              <w:rPr>
                <w:sz w:val="20"/>
                <w:szCs w:val="20"/>
              </w:rPr>
            </w:pPr>
            <w:r w:rsidRPr="00A700E7">
              <w:rPr>
                <w:sz w:val="20"/>
                <w:szCs w:val="20"/>
              </w:rPr>
              <w:t>9</w:t>
            </w:r>
          </w:p>
        </w:tc>
        <w:tc>
          <w:tcPr>
            <w:tcW w:w="626" w:type="pct"/>
            <w:shd w:val="clear" w:color="auto" w:fill="auto"/>
          </w:tcPr>
          <w:p w14:paraId="7B2BBF1D" w14:textId="77777777" w:rsidR="00E44862" w:rsidRPr="00A700E7" w:rsidRDefault="00E44862" w:rsidP="007A6B1F">
            <w:pPr>
              <w:jc w:val="left"/>
              <w:rPr>
                <w:sz w:val="20"/>
                <w:szCs w:val="20"/>
              </w:rPr>
            </w:pPr>
            <w:r w:rsidRPr="00A700E7">
              <w:rPr>
                <w:sz w:val="20"/>
                <w:szCs w:val="20"/>
              </w:rPr>
              <w:t>3.7%</w:t>
            </w:r>
          </w:p>
        </w:tc>
      </w:tr>
      <w:tr w:rsidR="00A700E7" w:rsidRPr="00A700E7" w14:paraId="2932B364" w14:textId="77777777" w:rsidTr="0094392C">
        <w:trPr>
          <w:trHeight w:val="282"/>
        </w:trPr>
        <w:tc>
          <w:tcPr>
            <w:tcW w:w="2490" w:type="pct"/>
            <w:shd w:val="clear" w:color="auto" w:fill="D9D9D9" w:themeFill="background1" w:themeFillShade="D9"/>
          </w:tcPr>
          <w:p w14:paraId="0615D115" w14:textId="76591A8B" w:rsidR="00E44862" w:rsidRPr="00A700E7" w:rsidRDefault="00743950" w:rsidP="007A6B1F">
            <w:pPr>
              <w:jc w:val="left"/>
              <w:rPr>
                <w:sz w:val="20"/>
                <w:szCs w:val="20"/>
              </w:rPr>
            </w:pPr>
            <w:r w:rsidRPr="00A700E7">
              <w:rPr>
                <w:sz w:val="20"/>
                <w:szCs w:val="20"/>
              </w:rPr>
              <w:t>I</w:t>
            </w:r>
            <w:r w:rsidR="00E44862" w:rsidRPr="00A700E7">
              <w:rPr>
                <w:sz w:val="20"/>
                <w:szCs w:val="20"/>
              </w:rPr>
              <w:t>nfections and infestations</w:t>
            </w:r>
          </w:p>
        </w:tc>
        <w:tc>
          <w:tcPr>
            <w:tcW w:w="628" w:type="pct"/>
            <w:shd w:val="clear" w:color="auto" w:fill="D9D9D9" w:themeFill="background1" w:themeFillShade="D9"/>
          </w:tcPr>
          <w:p w14:paraId="0E02CF2D" w14:textId="77777777" w:rsidR="00E44862" w:rsidRPr="00A700E7" w:rsidRDefault="00E44862" w:rsidP="007A6B1F">
            <w:pPr>
              <w:jc w:val="left"/>
              <w:rPr>
                <w:sz w:val="20"/>
                <w:szCs w:val="20"/>
              </w:rPr>
            </w:pPr>
          </w:p>
        </w:tc>
        <w:tc>
          <w:tcPr>
            <w:tcW w:w="628" w:type="pct"/>
            <w:shd w:val="clear" w:color="auto" w:fill="D9D9D9" w:themeFill="background1" w:themeFillShade="D9"/>
          </w:tcPr>
          <w:p w14:paraId="1CD29BD6" w14:textId="77777777" w:rsidR="00E44862" w:rsidRPr="00A700E7" w:rsidRDefault="00E44862" w:rsidP="007A6B1F">
            <w:pPr>
              <w:jc w:val="left"/>
              <w:rPr>
                <w:sz w:val="20"/>
                <w:szCs w:val="20"/>
              </w:rPr>
            </w:pPr>
          </w:p>
        </w:tc>
        <w:tc>
          <w:tcPr>
            <w:tcW w:w="628" w:type="pct"/>
            <w:shd w:val="clear" w:color="auto" w:fill="D9D9D9" w:themeFill="background1" w:themeFillShade="D9"/>
          </w:tcPr>
          <w:p w14:paraId="56B113D8" w14:textId="77777777" w:rsidR="00E44862" w:rsidRPr="00A700E7" w:rsidRDefault="00E44862" w:rsidP="007A6B1F">
            <w:pPr>
              <w:jc w:val="left"/>
              <w:rPr>
                <w:sz w:val="20"/>
                <w:szCs w:val="20"/>
              </w:rPr>
            </w:pPr>
          </w:p>
        </w:tc>
        <w:tc>
          <w:tcPr>
            <w:tcW w:w="626" w:type="pct"/>
            <w:shd w:val="clear" w:color="auto" w:fill="D9D9D9" w:themeFill="background1" w:themeFillShade="D9"/>
          </w:tcPr>
          <w:p w14:paraId="62531AA9" w14:textId="77777777" w:rsidR="00E44862" w:rsidRPr="00A700E7" w:rsidRDefault="00E44862" w:rsidP="007A6B1F">
            <w:pPr>
              <w:jc w:val="left"/>
              <w:rPr>
                <w:sz w:val="20"/>
                <w:szCs w:val="20"/>
              </w:rPr>
            </w:pPr>
          </w:p>
        </w:tc>
      </w:tr>
      <w:tr w:rsidR="00A700E7" w:rsidRPr="00A700E7" w14:paraId="321F3EA8" w14:textId="77777777" w:rsidTr="000A1E73">
        <w:tc>
          <w:tcPr>
            <w:tcW w:w="2490" w:type="pct"/>
            <w:shd w:val="clear" w:color="auto" w:fill="auto"/>
          </w:tcPr>
          <w:p w14:paraId="1918CFAF" w14:textId="77777777" w:rsidR="00E44862" w:rsidRPr="00A700E7" w:rsidRDefault="00E44862" w:rsidP="007A6B1F">
            <w:pPr>
              <w:jc w:val="left"/>
              <w:rPr>
                <w:sz w:val="20"/>
                <w:szCs w:val="20"/>
              </w:rPr>
            </w:pPr>
            <w:r w:rsidRPr="00A700E7">
              <w:rPr>
                <w:sz w:val="20"/>
                <w:szCs w:val="20"/>
              </w:rPr>
              <w:t>Upper respiratory tract infection</w:t>
            </w:r>
          </w:p>
        </w:tc>
        <w:tc>
          <w:tcPr>
            <w:tcW w:w="628" w:type="pct"/>
            <w:shd w:val="clear" w:color="auto" w:fill="auto"/>
          </w:tcPr>
          <w:p w14:paraId="67E42392" w14:textId="77777777" w:rsidR="00E44862" w:rsidRPr="00A700E7" w:rsidRDefault="00E44862" w:rsidP="007A6B1F">
            <w:pPr>
              <w:jc w:val="left"/>
              <w:rPr>
                <w:sz w:val="20"/>
                <w:szCs w:val="20"/>
              </w:rPr>
            </w:pPr>
            <w:r w:rsidRPr="00A700E7">
              <w:rPr>
                <w:sz w:val="20"/>
                <w:szCs w:val="20"/>
              </w:rPr>
              <w:t>33</w:t>
            </w:r>
          </w:p>
        </w:tc>
        <w:tc>
          <w:tcPr>
            <w:tcW w:w="628" w:type="pct"/>
            <w:shd w:val="clear" w:color="auto" w:fill="auto"/>
          </w:tcPr>
          <w:p w14:paraId="36357E51" w14:textId="77777777" w:rsidR="00E44862" w:rsidRPr="00A700E7" w:rsidRDefault="00E44862" w:rsidP="007A6B1F">
            <w:pPr>
              <w:jc w:val="left"/>
              <w:rPr>
                <w:sz w:val="20"/>
                <w:szCs w:val="20"/>
              </w:rPr>
            </w:pPr>
            <w:r w:rsidRPr="00A700E7">
              <w:rPr>
                <w:sz w:val="20"/>
                <w:szCs w:val="20"/>
              </w:rPr>
              <w:t>13.3%</w:t>
            </w:r>
          </w:p>
        </w:tc>
        <w:tc>
          <w:tcPr>
            <w:tcW w:w="628" w:type="pct"/>
            <w:shd w:val="clear" w:color="auto" w:fill="auto"/>
          </w:tcPr>
          <w:p w14:paraId="3D3BC0F1" w14:textId="77777777" w:rsidR="00E44862" w:rsidRPr="00A700E7" w:rsidRDefault="00E44862" w:rsidP="007A6B1F">
            <w:pPr>
              <w:jc w:val="left"/>
              <w:rPr>
                <w:sz w:val="20"/>
                <w:szCs w:val="20"/>
              </w:rPr>
            </w:pPr>
            <w:r w:rsidRPr="00A700E7">
              <w:rPr>
                <w:sz w:val="20"/>
                <w:szCs w:val="20"/>
              </w:rPr>
              <w:t>37</w:t>
            </w:r>
          </w:p>
        </w:tc>
        <w:tc>
          <w:tcPr>
            <w:tcW w:w="626" w:type="pct"/>
            <w:shd w:val="clear" w:color="auto" w:fill="auto"/>
          </w:tcPr>
          <w:p w14:paraId="3865BD63" w14:textId="77777777" w:rsidR="00E44862" w:rsidRPr="00A700E7" w:rsidRDefault="00E44862" w:rsidP="007A6B1F">
            <w:pPr>
              <w:jc w:val="left"/>
              <w:rPr>
                <w:sz w:val="20"/>
                <w:szCs w:val="20"/>
              </w:rPr>
            </w:pPr>
            <w:r w:rsidRPr="00A700E7">
              <w:rPr>
                <w:sz w:val="20"/>
                <w:szCs w:val="20"/>
              </w:rPr>
              <w:t>15.3%</w:t>
            </w:r>
          </w:p>
        </w:tc>
      </w:tr>
      <w:tr w:rsidR="00A700E7" w:rsidRPr="00A700E7" w14:paraId="08C61E89" w14:textId="77777777" w:rsidTr="000A1E73">
        <w:tc>
          <w:tcPr>
            <w:tcW w:w="2490" w:type="pct"/>
            <w:shd w:val="clear" w:color="auto" w:fill="auto"/>
          </w:tcPr>
          <w:p w14:paraId="73B375A4" w14:textId="77777777" w:rsidR="00E44862" w:rsidRPr="00A700E7" w:rsidRDefault="00E44862" w:rsidP="007A6B1F">
            <w:pPr>
              <w:jc w:val="left"/>
              <w:rPr>
                <w:sz w:val="20"/>
                <w:szCs w:val="20"/>
              </w:rPr>
            </w:pPr>
            <w:r w:rsidRPr="00A700E7">
              <w:rPr>
                <w:sz w:val="20"/>
                <w:szCs w:val="20"/>
              </w:rPr>
              <w:t>Nasopharyngitis</w:t>
            </w:r>
          </w:p>
        </w:tc>
        <w:tc>
          <w:tcPr>
            <w:tcW w:w="628" w:type="pct"/>
            <w:shd w:val="clear" w:color="auto" w:fill="auto"/>
          </w:tcPr>
          <w:p w14:paraId="46B500C6" w14:textId="77777777" w:rsidR="00E44862" w:rsidRPr="00A700E7" w:rsidRDefault="00E44862" w:rsidP="007A6B1F">
            <w:pPr>
              <w:jc w:val="left"/>
              <w:rPr>
                <w:sz w:val="20"/>
                <w:szCs w:val="20"/>
              </w:rPr>
            </w:pPr>
            <w:r w:rsidRPr="00A700E7">
              <w:rPr>
                <w:sz w:val="20"/>
                <w:szCs w:val="20"/>
              </w:rPr>
              <w:t>26</w:t>
            </w:r>
          </w:p>
        </w:tc>
        <w:tc>
          <w:tcPr>
            <w:tcW w:w="628" w:type="pct"/>
            <w:shd w:val="clear" w:color="auto" w:fill="auto"/>
          </w:tcPr>
          <w:p w14:paraId="28EB90DC" w14:textId="77777777" w:rsidR="00E44862" w:rsidRPr="00A700E7" w:rsidRDefault="00E44862" w:rsidP="007A6B1F">
            <w:pPr>
              <w:jc w:val="left"/>
              <w:rPr>
                <w:sz w:val="20"/>
                <w:szCs w:val="20"/>
              </w:rPr>
            </w:pPr>
            <w:r w:rsidRPr="00A700E7">
              <w:rPr>
                <w:sz w:val="20"/>
                <w:szCs w:val="20"/>
              </w:rPr>
              <w:t>10.4%</w:t>
            </w:r>
          </w:p>
        </w:tc>
        <w:tc>
          <w:tcPr>
            <w:tcW w:w="628" w:type="pct"/>
            <w:shd w:val="clear" w:color="auto" w:fill="auto"/>
          </w:tcPr>
          <w:p w14:paraId="70211518" w14:textId="77777777" w:rsidR="00E44862" w:rsidRPr="00A700E7" w:rsidRDefault="00E44862" w:rsidP="007A6B1F">
            <w:pPr>
              <w:jc w:val="left"/>
              <w:rPr>
                <w:sz w:val="20"/>
                <w:szCs w:val="20"/>
              </w:rPr>
            </w:pPr>
            <w:r w:rsidRPr="00A700E7">
              <w:rPr>
                <w:sz w:val="20"/>
                <w:szCs w:val="20"/>
              </w:rPr>
              <w:t>34</w:t>
            </w:r>
          </w:p>
        </w:tc>
        <w:tc>
          <w:tcPr>
            <w:tcW w:w="626" w:type="pct"/>
            <w:shd w:val="clear" w:color="auto" w:fill="auto"/>
          </w:tcPr>
          <w:p w14:paraId="40333D5E" w14:textId="77777777" w:rsidR="00E44862" w:rsidRPr="00A700E7" w:rsidRDefault="00E44862" w:rsidP="007A6B1F">
            <w:pPr>
              <w:jc w:val="left"/>
              <w:rPr>
                <w:sz w:val="20"/>
                <w:szCs w:val="20"/>
              </w:rPr>
            </w:pPr>
            <w:r w:rsidRPr="00A700E7">
              <w:rPr>
                <w:sz w:val="20"/>
                <w:szCs w:val="20"/>
              </w:rPr>
              <w:t>14.0%</w:t>
            </w:r>
          </w:p>
        </w:tc>
      </w:tr>
      <w:tr w:rsidR="00A700E7" w:rsidRPr="00A700E7" w14:paraId="0376682B" w14:textId="77777777" w:rsidTr="000A1E73">
        <w:tc>
          <w:tcPr>
            <w:tcW w:w="2490" w:type="pct"/>
            <w:shd w:val="clear" w:color="auto" w:fill="auto"/>
          </w:tcPr>
          <w:p w14:paraId="338E2A03" w14:textId="77777777" w:rsidR="00E44862" w:rsidRPr="00A700E7" w:rsidRDefault="00E44862" w:rsidP="007A6B1F">
            <w:pPr>
              <w:jc w:val="left"/>
              <w:rPr>
                <w:sz w:val="20"/>
                <w:szCs w:val="20"/>
              </w:rPr>
            </w:pPr>
            <w:r w:rsidRPr="00A700E7">
              <w:rPr>
                <w:sz w:val="20"/>
                <w:szCs w:val="20"/>
              </w:rPr>
              <w:t>Bronchitis</w:t>
            </w:r>
          </w:p>
        </w:tc>
        <w:tc>
          <w:tcPr>
            <w:tcW w:w="628" w:type="pct"/>
            <w:shd w:val="clear" w:color="auto" w:fill="auto"/>
          </w:tcPr>
          <w:p w14:paraId="6FEE906D" w14:textId="77777777" w:rsidR="00E44862" w:rsidRPr="00A700E7" w:rsidRDefault="00E44862" w:rsidP="007A6B1F">
            <w:pPr>
              <w:jc w:val="left"/>
              <w:rPr>
                <w:sz w:val="20"/>
                <w:szCs w:val="20"/>
              </w:rPr>
            </w:pPr>
            <w:r w:rsidRPr="00A700E7">
              <w:rPr>
                <w:sz w:val="20"/>
                <w:szCs w:val="20"/>
              </w:rPr>
              <w:t>14</w:t>
            </w:r>
          </w:p>
        </w:tc>
        <w:tc>
          <w:tcPr>
            <w:tcW w:w="628" w:type="pct"/>
            <w:shd w:val="clear" w:color="auto" w:fill="auto"/>
          </w:tcPr>
          <w:p w14:paraId="2E278F8C" w14:textId="77777777" w:rsidR="00E44862" w:rsidRPr="00A700E7" w:rsidRDefault="00E44862" w:rsidP="007A6B1F">
            <w:pPr>
              <w:jc w:val="left"/>
              <w:rPr>
                <w:sz w:val="20"/>
                <w:szCs w:val="20"/>
              </w:rPr>
            </w:pPr>
            <w:r w:rsidRPr="00A700E7">
              <w:rPr>
                <w:sz w:val="20"/>
                <w:szCs w:val="20"/>
              </w:rPr>
              <w:t>5.6%</w:t>
            </w:r>
          </w:p>
        </w:tc>
        <w:tc>
          <w:tcPr>
            <w:tcW w:w="628" w:type="pct"/>
            <w:shd w:val="clear" w:color="auto" w:fill="auto"/>
          </w:tcPr>
          <w:p w14:paraId="3EBAC1B4" w14:textId="77777777" w:rsidR="00E44862" w:rsidRPr="00A700E7" w:rsidRDefault="00E44862" w:rsidP="007A6B1F">
            <w:pPr>
              <w:jc w:val="left"/>
              <w:rPr>
                <w:sz w:val="20"/>
                <w:szCs w:val="20"/>
              </w:rPr>
            </w:pPr>
            <w:r w:rsidRPr="00A700E7">
              <w:rPr>
                <w:sz w:val="20"/>
                <w:szCs w:val="20"/>
              </w:rPr>
              <w:t>28</w:t>
            </w:r>
          </w:p>
        </w:tc>
        <w:tc>
          <w:tcPr>
            <w:tcW w:w="626" w:type="pct"/>
            <w:shd w:val="clear" w:color="auto" w:fill="auto"/>
          </w:tcPr>
          <w:p w14:paraId="1DA5FA0C" w14:textId="77777777" w:rsidR="00E44862" w:rsidRPr="00A700E7" w:rsidRDefault="00E44862" w:rsidP="007A6B1F">
            <w:pPr>
              <w:jc w:val="left"/>
              <w:rPr>
                <w:sz w:val="20"/>
                <w:szCs w:val="20"/>
              </w:rPr>
            </w:pPr>
            <w:r w:rsidRPr="00A700E7">
              <w:rPr>
                <w:sz w:val="20"/>
                <w:szCs w:val="20"/>
              </w:rPr>
              <w:t>11.6%</w:t>
            </w:r>
          </w:p>
        </w:tc>
      </w:tr>
      <w:tr w:rsidR="00A700E7" w:rsidRPr="00A700E7" w14:paraId="7DF35CAB" w14:textId="77777777" w:rsidTr="000A1E73">
        <w:tc>
          <w:tcPr>
            <w:tcW w:w="2490" w:type="pct"/>
            <w:shd w:val="clear" w:color="auto" w:fill="auto"/>
          </w:tcPr>
          <w:p w14:paraId="7086E9DF" w14:textId="77777777" w:rsidR="00E44862" w:rsidRPr="00A700E7" w:rsidRDefault="00E44862" w:rsidP="007A6B1F">
            <w:pPr>
              <w:jc w:val="left"/>
              <w:rPr>
                <w:sz w:val="20"/>
                <w:szCs w:val="20"/>
              </w:rPr>
            </w:pPr>
            <w:r w:rsidRPr="00A700E7">
              <w:rPr>
                <w:sz w:val="20"/>
                <w:szCs w:val="20"/>
              </w:rPr>
              <w:t>Urinary tract infection</w:t>
            </w:r>
          </w:p>
        </w:tc>
        <w:tc>
          <w:tcPr>
            <w:tcW w:w="628" w:type="pct"/>
            <w:shd w:val="clear" w:color="auto" w:fill="auto"/>
          </w:tcPr>
          <w:p w14:paraId="02C70F52" w14:textId="77777777" w:rsidR="00E44862" w:rsidRPr="00A700E7" w:rsidRDefault="00E44862" w:rsidP="007A6B1F">
            <w:pPr>
              <w:jc w:val="left"/>
              <w:rPr>
                <w:sz w:val="20"/>
                <w:szCs w:val="20"/>
              </w:rPr>
            </w:pPr>
            <w:r w:rsidRPr="00A700E7">
              <w:rPr>
                <w:sz w:val="20"/>
                <w:szCs w:val="20"/>
              </w:rPr>
              <w:t>14</w:t>
            </w:r>
          </w:p>
        </w:tc>
        <w:tc>
          <w:tcPr>
            <w:tcW w:w="628" w:type="pct"/>
            <w:shd w:val="clear" w:color="auto" w:fill="auto"/>
          </w:tcPr>
          <w:p w14:paraId="29A36148" w14:textId="77777777" w:rsidR="00E44862" w:rsidRPr="00A700E7" w:rsidRDefault="00E44862" w:rsidP="007A6B1F">
            <w:pPr>
              <w:jc w:val="left"/>
              <w:rPr>
                <w:sz w:val="20"/>
                <w:szCs w:val="20"/>
              </w:rPr>
            </w:pPr>
            <w:r w:rsidRPr="00A700E7">
              <w:rPr>
                <w:sz w:val="20"/>
                <w:szCs w:val="20"/>
              </w:rPr>
              <w:t>5.6%</w:t>
            </w:r>
          </w:p>
        </w:tc>
        <w:tc>
          <w:tcPr>
            <w:tcW w:w="628" w:type="pct"/>
            <w:shd w:val="clear" w:color="auto" w:fill="auto"/>
          </w:tcPr>
          <w:p w14:paraId="7BD7CC3D" w14:textId="77777777" w:rsidR="00E44862" w:rsidRPr="00A700E7" w:rsidRDefault="00E44862" w:rsidP="007A6B1F">
            <w:pPr>
              <w:jc w:val="left"/>
              <w:rPr>
                <w:sz w:val="20"/>
                <w:szCs w:val="20"/>
              </w:rPr>
            </w:pPr>
            <w:r w:rsidRPr="00A700E7">
              <w:rPr>
                <w:sz w:val="20"/>
                <w:szCs w:val="20"/>
              </w:rPr>
              <w:t>21</w:t>
            </w:r>
          </w:p>
        </w:tc>
        <w:tc>
          <w:tcPr>
            <w:tcW w:w="626" w:type="pct"/>
            <w:shd w:val="clear" w:color="auto" w:fill="auto"/>
          </w:tcPr>
          <w:p w14:paraId="20C34323" w14:textId="77777777" w:rsidR="00E44862" w:rsidRPr="00A700E7" w:rsidRDefault="00E44862" w:rsidP="007A6B1F">
            <w:pPr>
              <w:jc w:val="left"/>
              <w:rPr>
                <w:sz w:val="20"/>
                <w:szCs w:val="20"/>
              </w:rPr>
            </w:pPr>
            <w:r w:rsidRPr="00A700E7">
              <w:rPr>
                <w:sz w:val="20"/>
                <w:szCs w:val="20"/>
              </w:rPr>
              <w:t>8.7%</w:t>
            </w:r>
          </w:p>
        </w:tc>
      </w:tr>
      <w:tr w:rsidR="00A700E7" w:rsidRPr="00A700E7" w14:paraId="48232521" w14:textId="77777777" w:rsidTr="000A1E73">
        <w:tc>
          <w:tcPr>
            <w:tcW w:w="2490" w:type="pct"/>
            <w:shd w:val="clear" w:color="auto" w:fill="auto"/>
          </w:tcPr>
          <w:p w14:paraId="7C370CD8" w14:textId="77777777" w:rsidR="00E44862" w:rsidRPr="00A700E7" w:rsidRDefault="00E44862" w:rsidP="007A6B1F">
            <w:pPr>
              <w:jc w:val="left"/>
              <w:rPr>
                <w:sz w:val="20"/>
                <w:szCs w:val="20"/>
              </w:rPr>
            </w:pPr>
            <w:r w:rsidRPr="00A700E7">
              <w:rPr>
                <w:sz w:val="20"/>
                <w:szCs w:val="20"/>
              </w:rPr>
              <w:t>Respiratory tract infection viral</w:t>
            </w:r>
          </w:p>
        </w:tc>
        <w:tc>
          <w:tcPr>
            <w:tcW w:w="628" w:type="pct"/>
            <w:shd w:val="clear" w:color="auto" w:fill="auto"/>
          </w:tcPr>
          <w:p w14:paraId="66F4BD11" w14:textId="77777777" w:rsidR="00E44862" w:rsidRPr="00A700E7" w:rsidRDefault="00E44862" w:rsidP="007A6B1F">
            <w:pPr>
              <w:jc w:val="left"/>
              <w:rPr>
                <w:sz w:val="20"/>
                <w:szCs w:val="20"/>
              </w:rPr>
            </w:pPr>
            <w:r w:rsidRPr="00A700E7">
              <w:rPr>
                <w:sz w:val="20"/>
                <w:szCs w:val="20"/>
              </w:rPr>
              <w:t>9</w:t>
            </w:r>
          </w:p>
        </w:tc>
        <w:tc>
          <w:tcPr>
            <w:tcW w:w="628" w:type="pct"/>
            <w:shd w:val="clear" w:color="auto" w:fill="auto"/>
          </w:tcPr>
          <w:p w14:paraId="56062617" w14:textId="77777777" w:rsidR="00E44862" w:rsidRPr="00A700E7" w:rsidRDefault="00E44862" w:rsidP="007A6B1F">
            <w:pPr>
              <w:jc w:val="left"/>
              <w:rPr>
                <w:sz w:val="20"/>
                <w:szCs w:val="20"/>
              </w:rPr>
            </w:pPr>
            <w:r w:rsidRPr="00A700E7">
              <w:rPr>
                <w:sz w:val="20"/>
                <w:szCs w:val="20"/>
              </w:rPr>
              <w:t>3.6%</w:t>
            </w:r>
          </w:p>
        </w:tc>
        <w:tc>
          <w:tcPr>
            <w:tcW w:w="628" w:type="pct"/>
            <w:shd w:val="clear" w:color="auto" w:fill="auto"/>
          </w:tcPr>
          <w:p w14:paraId="44F0364B" w14:textId="77777777" w:rsidR="00E44862" w:rsidRPr="00A700E7" w:rsidRDefault="00E44862" w:rsidP="007A6B1F">
            <w:pPr>
              <w:jc w:val="left"/>
              <w:rPr>
                <w:sz w:val="20"/>
                <w:szCs w:val="20"/>
              </w:rPr>
            </w:pPr>
            <w:r w:rsidRPr="00A700E7">
              <w:rPr>
                <w:sz w:val="20"/>
                <w:szCs w:val="20"/>
              </w:rPr>
              <w:t>15</w:t>
            </w:r>
          </w:p>
        </w:tc>
        <w:tc>
          <w:tcPr>
            <w:tcW w:w="626" w:type="pct"/>
            <w:shd w:val="clear" w:color="auto" w:fill="auto"/>
          </w:tcPr>
          <w:p w14:paraId="4E5FB157" w14:textId="77777777" w:rsidR="00E44862" w:rsidRPr="00A700E7" w:rsidRDefault="00E44862" w:rsidP="007A6B1F">
            <w:pPr>
              <w:jc w:val="left"/>
              <w:rPr>
                <w:sz w:val="20"/>
                <w:szCs w:val="20"/>
              </w:rPr>
            </w:pPr>
            <w:r w:rsidRPr="00A700E7">
              <w:rPr>
                <w:sz w:val="20"/>
                <w:szCs w:val="20"/>
              </w:rPr>
              <w:t>6.2%</w:t>
            </w:r>
          </w:p>
        </w:tc>
      </w:tr>
      <w:tr w:rsidR="00A700E7" w:rsidRPr="00A700E7" w14:paraId="389C0C0E" w14:textId="77777777" w:rsidTr="000A1E73">
        <w:tc>
          <w:tcPr>
            <w:tcW w:w="2490" w:type="pct"/>
            <w:shd w:val="clear" w:color="auto" w:fill="auto"/>
          </w:tcPr>
          <w:p w14:paraId="07544A9E" w14:textId="77777777" w:rsidR="00E44862" w:rsidRPr="00A700E7" w:rsidRDefault="00E44862" w:rsidP="007A6B1F">
            <w:pPr>
              <w:jc w:val="left"/>
              <w:rPr>
                <w:sz w:val="20"/>
                <w:szCs w:val="20"/>
              </w:rPr>
            </w:pPr>
            <w:r w:rsidRPr="00A700E7">
              <w:rPr>
                <w:sz w:val="20"/>
                <w:szCs w:val="20"/>
              </w:rPr>
              <w:t>Pharyngitis</w:t>
            </w:r>
          </w:p>
        </w:tc>
        <w:tc>
          <w:tcPr>
            <w:tcW w:w="628" w:type="pct"/>
            <w:shd w:val="clear" w:color="auto" w:fill="auto"/>
          </w:tcPr>
          <w:p w14:paraId="47BF4AE4" w14:textId="77777777" w:rsidR="00E44862" w:rsidRPr="00A700E7" w:rsidRDefault="00E44862" w:rsidP="007A6B1F">
            <w:pPr>
              <w:jc w:val="left"/>
              <w:rPr>
                <w:sz w:val="20"/>
                <w:szCs w:val="20"/>
              </w:rPr>
            </w:pPr>
            <w:r w:rsidRPr="00A700E7">
              <w:rPr>
                <w:sz w:val="20"/>
                <w:szCs w:val="20"/>
              </w:rPr>
              <w:t>7</w:t>
            </w:r>
          </w:p>
        </w:tc>
        <w:tc>
          <w:tcPr>
            <w:tcW w:w="628" w:type="pct"/>
            <w:shd w:val="clear" w:color="auto" w:fill="auto"/>
          </w:tcPr>
          <w:p w14:paraId="10A8EF36" w14:textId="77777777" w:rsidR="00E44862" w:rsidRPr="00A700E7" w:rsidRDefault="00E44862" w:rsidP="007A6B1F">
            <w:pPr>
              <w:jc w:val="left"/>
              <w:rPr>
                <w:sz w:val="20"/>
                <w:szCs w:val="20"/>
              </w:rPr>
            </w:pPr>
            <w:r w:rsidRPr="00A700E7">
              <w:rPr>
                <w:sz w:val="20"/>
                <w:szCs w:val="20"/>
              </w:rPr>
              <w:t>2.8%</w:t>
            </w:r>
          </w:p>
        </w:tc>
        <w:tc>
          <w:tcPr>
            <w:tcW w:w="628" w:type="pct"/>
            <w:shd w:val="clear" w:color="auto" w:fill="auto"/>
          </w:tcPr>
          <w:p w14:paraId="3BEDB10D" w14:textId="77777777" w:rsidR="00E44862" w:rsidRPr="00A700E7" w:rsidRDefault="00E44862" w:rsidP="007A6B1F">
            <w:pPr>
              <w:jc w:val="left"/>
              <w:rPr>
                <w:sz w:val="20"/>
                <w:szCs w:val="20"/>
              </w:rPr>
            </w:pPr>
            <w:r w:rsidRPr="00A700E7">
              <w:rPr>
                <w:sz w:val="20"/>
                <w:szCs w:val="20"/>
              </w:rPr>
              <w:t>15</w:t>
            </w:r>
          </w:p>
        </w:tc>
        <w:tc>
          <w:tcPr>
            <w:tcW w:w="626" w:type="pct"/>
            <w:shd w:val="clear" w:color="auto" w:fill="auto"/>
          </w:tcPr>
          <w:p w14:paraId="28AE0FAC" w14:textId="77777777" w:rsidR="00E44862" w:rsidRPr="00A700E7" w:rsidRDefault="00E44862" w:rsidP="007A6B1F">
            <w:pPr>
              <w:jc w:val="left"/>
              <w:rPr>
                <w:sz w:val="20"/>
                <w:szCs w:val="20"/>
              </w:rPr>
            </w:pPr>
            <w:r w:rsidRPr="00A700E7">
              <w:rPr>
                <w:sz w:val="20"/>
                <w:szCs w:val="20"/>
              </w:rPr>
              <w:t>6.2%</w:t>
            </w:r>
          </w:p>
        </w:tc>
      </w:tr>
      <w:tr w:rsidR="00A700E7" w:rsidRPr="00A700E7" w14:paraId="0E0C4C30" w14:textId="77777777" w:rsidTr="000A1E73">
        <w:tc>
          <w:tcPr>
            <w:tcW w:w="2490" w:type="pct"/>
            <w:shd w:val="clear" w:color="auto" w:fill="auto"/>
          </w:tcPr>
          <w:p w14:paraId="5587555E" w14:textId="77777777" w:rsidR="00E44862" w:rsidRPr="00A700E7" w:rsidRDefault="00E44862" w:rsidP="007A6B1F">
            <w:pPr>
              <w:jc w:val="left"/>
              <w:rPr>
                <w:sz w:val="20"/>
                <w:szCs w:val="20"/>
              </w:rPr>
            </w:pPr>
            <w:r w:rsidRPr="00A700E7">
              <w:rPr>
                <w:sz w:val="20"/>
                <w:szCs w:val="20"/>
              </w:rPr>
              <w:t>Influenza</w:t>
            </w:r>
          </w:p>
        </w:tc>
        <w:tc>
          <w:tcPr>
            <w:tcW w:w="628" w:type="pct"/>
            <w:shd w:val="clear" w:color="auto" w:fill="auto"/>
          </w:tcPr>
          <w:p w14:paraId="43E2E0A6" w14:textId="77777777" w:rsidR="00E44862" w:rsidRPr="00A700E7" w:rsidRDefault="00E44862" w:rsidP="007A6B1F">
            <w:pPr>
              <w:jc w:val="left"/>
              <w:rPr>
                <w:sz w:val="20"/>
                <w:szCs w:val="20"/>
              </w:rPr>
            </w:pPr>
            <w:r w:rsidRPr="00A700E7">
              <w:rPr>
                <w:sz w:val="20"/>
                <w:szCs w:val="20"/>
              </w:rPr>
              <w:t>4</w:t>
            </w:r>
          </w:p>
        </w:tc>
        <w:tc>
          <w:tcPr>
            <w:tcW w:w="628" w:type="pct"/>
            <w:shd w:val="clear" w:color="auto" w:fill="auto"/>
          </w:tcPr>
          <w:p w14:paraId="71D1108D" w14:textId="77777777" w:rsidR="00E44862" w:rsidRPr="00A700E7" w:rsidRDefault="00E44862" w:rsidP="007A6B1F">
            <w:pPr>
              <w:jc w:val="left"/>
              <w:rPr>
                <w:sz w:val="20"/>
                <w:szCs w:val="20"/>
              </w:rPr>
            </w:pPr>
            <w:r w:rsidRPr="00A700E7">
              <w:rPr>
                <w:sz w:val="20"/>
                <w:szCs w:val="20"/>
              </w:rPr>
              <w:t>1.6%</w:t>
            </w:r>
          </w:p>
        </w:tc>
        <w:tc>
          <w:tcPr>
            <w:tcW w:w="628" w:type="pct"/>
            <w:shd w:val="clear" w:color="auto" w:fill="auto"/>
          </w:tcPr>
          <w:p w14:paraId="7C74DFAA" w14:textId="77777777" w:rsidR="00E44862" w:rsidRPr="00A700E7" w:rsidRDefault="00E44862" w:rsidP="007A6B1F">
            <w:pPr>
              <w:jc w:val="left"/>
              <w:rPr>
                <w:sz w:val="20"/>
                <w:szCs w:val="20"/>
              </w:rPr>
            </w:pPr>
            <w:r w:rsidRPr="00A700E7">
              <w:rPr>
                <w:sz w:val="20"/>
                <w:szCs w:val="20"/>
              </w:rPr>
              <w:t>14</w:t>
            </w:r>
          </w:p>
        </w:tc>
        <w:tc>
          <w:tcPr>
            <w:tcW w:w="626" w:type="pct"/>
            <w:shd w:val="clear" w:color="auto" w:fill="auto"/>
          </w:tcPr>
          <w:p w14:paraId="2AB57312" w14:textId="77777777" w:rsidR="00E44862" w:rsidRPr="00A700E7" w:rsidRDefault="00E44862" w:rsidP="007A6B1F">
            <w:pPr>
              <w:jc w:val="left"/>
              <w:rPr>
                <w:sz w:val="20"/>
                <w:szCs w:val="20"/>
              </w:rPr>
            </w:pPr>
            <w:r w:rsidRPr="00A700E7">
              <w:rPr>
                <w:sz w:val="20"/>
                <w:szCs w:val="20"/>
              </w:rPr>
              <w:t>5.8%</w:t>
            </w:r>
          </w:p>
        </w:tc>
      </w:tr>
      <w:tr w:rsidR="00A700E7" w:rsidRPr="00A700E7" w14:paraId="0462EDE5" w14:textId="77777777" w:rsidTr="000A1E73">
        <w:tc>
          <w:tcPr>
            <w:tcW w:w="2490" w:type="pct"/>
            <w:shd w:val="clear" w:color="auto" w:fill="auto"/>
          </w:tcPr>
          <w:p w14:paraId="08D38E54" w14:textId="77777777" w:rsidR="00E44862" w:rsidRPr="00A700E7" w:rsidRDefault="00E44862" w:rsidP="007A6B1F">
            <w:pPr>
              <w:jc w:val="left"/>
              <w:rPr>
                <w:sz w:val="20"/>
                <w:szCs w:val="20"/>
              </w:rPr>
            </w:pPr>
            <w:r w:rsidRPr="00A700E7">
              <w:rPr>
                <w:sz w:val="20"/>
                <w:szCs w:val="20"/>
              </w:rPr>
              <w:t>Sinusitis</w:t>
            </w:r>
          </w:p>
        </w:tc>
        <w:tc>
          <w:tcPr>
            <w:tcW w:w="628" w:type="pct"/>
            <w:shd w:val="clear" w:color="auto" w:fill="auto"/>
          </w:tcPr>
          <w:p w14:paraId="3707EB88" w14:textId="77777777" w:rsidR="00E44862" w:rsidRPr="00A700E7" w:rsidRDefault="00E44862" w:rsidP="007A6B1F">
            <w:pPr>
              <w:jc w:val="left"/>
              <w:rPr>
                <w:sz w:val="20"/>
                <w:szCs w:val="20"/>
              </w:rPr>
            </w:pPr>
            <w:r w:rsidRPr="00A700E7">
              <w:rPr>
                <w:sz w:val="20"/>
                <w:szCs w:val="20"/>
              </w:rPr>
              <w:t>6</w:t>
            </w:r>
          </w:p>
        </w:tc>
        <w:tc>
          <w:tcPr>
            <w:tcW w:w="628" w:type="pct"/>
            <w:shd w:val="clear" w:color="auto" w:fill="auto"/>
          </w:tcPr>
          <w:p w14:paraId="45E39107" w14:textId="77777777" w:rsidR="00E44862" w:rsidRPr="00A700E7" w:rsidRDefault="00E44862" w:rsidP="007A6B1F">
            <w:pPr>
              <w:jc w:val="left"/>
              <w:rPr>
                <w:sz w:val="20"/>
                <w:szCs w:val="20"/>
              </w:rPr>
            </w:pPr>
            <w:r w:rsidRPr="00A700E7">
              <w:rPr>
                <w:sz w:val="20"/>
                <w:szCs w:val="20"/>
              </w:rPr>
              <w:t>2.4%</w:t>
            </w:r>
          </w:p>
        </w:tc>
        <w:tc>
          <w:tcPr>
            <w:tcW w:w="628" w:type="pct"/>
            <w:shd w:val="clear" w:color="auto" w:fill="auto"/>
          </w:tcPr>
          <w:p w14:paraId="463FA477" w14:textId="77777777" w:rsidR="00E44862" w:rsidRPr="00A700E7" w:rsidRDefault="00E44862" w:rsidP="007A6B1F">
            <w:pPr>
              <w:jc w:val="left"/>
              <w:rPr>
                <w:sz w:val="20"/>
                <w:szCs w:val="20"/>
              </w:rPr>
            </w:pPr>
            <w:r w:rsidRPr="00A700E7">
              <w:rPr>
                <w:sz w:val="20"/>
                <w:szCs w:val="20"/>
              </w:rPr>
              <w:t>11</w:t>
            </w:r>
          </w:p>
        </w:tc>
        <w:tc>
          <w:tcPr>
            <w:tcW w:w="626" w:type="pct"/>
            <w:shd w:val="clear" w:color="auto" w:fill="auto"/>
          </w:tcPr>
          <w:p w14:paraId="12954ACA" w14:textId="77777777" w:rsidR="00E44862" w:rsidRPr="00A700E7" w:rsidRDefault="00E44862" w:rsidP="007A6B1F">
            <w:pPr>
              <w:jc w:val="left"/>
              <w:rPr>
                <w:sz w:val="20"/>
                <w:szCs w:val="20"/>
              </w:rPr>
            </w:pPr>
            <w:r w:rsidRPr="00A700E7">
              <w:rPr>
                <w:sz w:val="20"/>
                <w:szCs w:val="20"/>
              </w:rPr>
              <w:t>4.5%</w:t>
            </w:r>
          </w:p>
        </w:tc>
      </w:tr>
      <w:tr w:rsidR="00A700E7" w:rsidRPr="00A700E7" w14:paraId="0E2FCEF7" w14:textId="77777777" w:rsidTr="000A1E73">
        <w:tc>
          <w:tcPr>
            <w:tcW w:w="2490" w:type="pct"/>
            <w:shd w:val="clear" w:color="auto" w:fill="auto"/>
          </w:tcPr>
          <w:p w14:paraId="624D1ABE" w14:textId="77777777" w:rsidR="00E44862" w:rsidRPr="00A700E7" w:rsidRDefault="00E44862" w:rsidP="007A6B1F">
            <w:pPr>
              <w:jc w:val="left"/>
              <w:rPr>
                <w:sz w:val="20"/>
                <w:szCs w:val="20"/>
              </w:rPr>
            </w:pPr>
            <w:r w:rsidRPr="00A700E7">
              <w:rPr>
                <w:sz w:val="20"/>
                <w:szCs w:val="20"/>
              </w:rPr>
              <w:t>Gastroenteritis</w:t>
            </w:r>
          </w:p>
        </w:tc>
        <w:tc>
          <w:tcPr>
            <w:tcW w:w="628" w:type="pct"/>
            <w:shd w:val="clear" w:color="auto" w:fill="auto"/>
          </w:tcPr>
          <w:p w14:paraId="4307DFD6" w14:textId="77777777" w:rsidR="00E44862" w:rsidRPr="00A700E7" w:rsidRDefault="00E44862" w:rsidP="007A6B1F">
            <w:pPr>
              <w:jc w:val="left"/>
              <w:rPr>
                <w:sz w:val="20"/>
                <w:szCs w:val="20"/>
              </w:rPr>
            </w:pPr>
            <w:r w:rsidRPr="00A700E7">
              <w:rPr>
                <w:sz w:val="20"/>
                <w:szCs w:val="20"/>
              </w:rPr>
              <w:t>3</w:t>
            </w:r>
          </w:p>
        </w:tc>
        <w:tc>
          <w:tcPr>
            <w:tcW w:w="628" w:type="pct"/>
            <w:shd w:val="clear" w:color="auto" w:fill="auto"/>
          </w:tcPr>
          <w:p w14:paraId="2022F567" w14:textId="77777777" w:rsidR="00E44862" w:rsidRPr="00A700E7" w:rsidRDefault="00E44862" w:rsidP="007A6B1F">
            <w:pPr>
              <w:jc w:val="left"/>
              <w:rPr>
                <w:sz w:val="20"/>
                <w:szCs w:val="20"/>
              </w:rPr>
            </w:pPr>
            <w:r w:rsidRPr="00A700E7">
              <w:rPr>
                <w:sz w:val="20"/>
                <w:szCs w:val="20"/>
              </w:rPr>
              <w:t>1.2%</w:t>
            </w:r>
          </w:p>
        </w:tc>
        <w:tc>
          <w:tcPr>
            <w:tcW w:w="628" w:type="pct"/>
            <w:shd w:val="clear" w:color="auto" w:fill="auto"/>
          </w:tcPr>
          <w:p w14:paraId="782D3007" w14:textId="77777777" w:rsidR="00E44862" w:rsidRPr="00A700E7" w:rsidRDefault="00E44862" w:rsidP="007A6B1F">
            <w:pPr>
              <w:jc w:val="left"/>
              <w:rPr>
                <w:sz w:val="20"/>
                <w:szCs w:val="20"/>
              </w:rPr>
            </w:pPr>
            <w:r w:rsidRPr="00A700E7">
              <w:rPr>
                <w:sz w:val="20"/>
                <w:szCs w:val="20"/>
              </w:rPr>
              <w:t>8</w:t>
            </w:r>
          </w:p>
        </w:tc>
        <w:tc>
          <w:tcPr>
            <w:tcW w:w="626" w:type="pct"/>
            <w:shd w:val="clear" w:color="auto" w:fill="auto"/>
          </w:tcPr>
          <w:p w14:paraId="789884E9" w14:textId="77777777" w:rsidR="00E44862" w:rsidRPr="00A700E7" w:rsidRDefault="00E44862" w:rsidP="007A6B1F">
            <w:pPr>
              <w:jc w:val="left"/>
              <w:rPr>
                <w:sz w:val="20"/>
                <w:szCs w:val="20"/>
              </w:rPr>
            </w:pPr>
            <w:r w:rsidRPr="00A700E7">
              <w:rPr>
                <w:sz w:val="20"/>
                <w:szCs w:val="20"/>
              </w:rPr>
              <w:t>3.3%</w:t>
            </w:r>
          </w:p>
        </w:tc>
      </w:tr>
      <w:tr w:rsidR="00A700E7" w:rsidRPr="00A700E7" w14:paraId="6FCAA77D" w14:textId="77777777" w:rsidTr="00743950">
        <w:trPr>
          <w:trHeight w:val="179"/>
        </w:trPr>
        <w:tc>
          <w:tcPr>
            <w:tcW w:w="2490" w:type="pct"/>
            <w:shd w:val="clear" w:color="auto" w:fill="auto"/>
          </w:tcPr>
          <w:p w14:paraId="5B2397FF" w14:textId="77777777" w:rsidR="00E44862" w:rsidRPr="00A700E7" w:rsidRDefault="00E44862" w:rsidP="007A6B1F">
            <w:pPr>
              <w:jc w:val="left"/>
              <w:rPr>
                <w:sz w:val="20"/>
                <w:szCs w:val="20"/>
              </w:rPr>
            </w:pPr>
            <w:r w:rsidRPr="00A700E7">
              <w:rPr>
                <w:sz w:val="20"/>
                <w:szCs w:val="20"/>
              </w:rPr>
              <w:t>Rhinitis</w:t>
            </w:r>
          </w:p>
        </w:tc>
        <w:tc>
          <w:tcPr>
            <w:tcW w:w="628" w:type="pct"/>
            <w:shd w:val="clear" w:color="auto" w:fill="auto"/>
          </w:tcPr>
          <w:p w14:paraId="7F8AE94D" w14:textId="77777777" w:rsidR="00E44862" w:rsidRPr="00A700E7" w:rsidRDefault="00E44862" w:rsidP="007A6B1F">
            <w:pPr>
              <w:jc w:val="left"/>
              <w:rPr>
                <w:sz w:val="20"/>
                <w:szCs w:val="20"/>
              </w:rPr>
            </w:pPr>
            <w:r w:rsidRPr="00A700E7">
              <w:rPr>
                <w:sz w:val="20"/>
                <w:szCs w:val="20"/>
              </w:rPr>
              <w:t>2</w:t>
            </w:r>
          </w:p>
        </w:tc>
        <w:tc>
          <w:tcPr>
            <w:tcW w:w="628" w:type="pct"/>
            <w:shd w:val="clear" w:color="auto" w:fill="auto"/>
          </w:tcPr>
          <w:p w14:paraId="0F251CBF" w14:textId="77777777" w:rsidR="00E44862" w:rsidRPr="00A700E7" w:rsidRDefault="00E44862" w:rsidP="007A6B1F">
            <w:pPr>
              <w:jc w:val="left"/>
              <w:rPr>
                <w:sz w:val="20"/>
                <w:szCs w:val="20"/>
              </w:rPr>
            </w:pPr>
            <w:r w:rsidRPr="00A700E7">
              <w:rPr>
                <w:sz w:val="20"/>
                <w:szCs w:val="20"/>
              </w:rPr>
              <w:t>0.8%</w:t>
            </w:r>
          </w:p>
        </w:tc>
        <w:tc>
          <w:tcPr>
            <w:tcW w:w="628" w:type="pct"/>
            <w:shd w:val="clear" w:color="auto" w:fill="auto"/>
          </w:tcPr>
          <w:p w14:paraId="1DCC82E9" w14:textId="77777777" w:rsidR="00E44862" w:rsidRPr="00A700E7" w:rsidRDefault="00E44862" w:rsidP="007A6B1F">
            <w:pPr>
              <w:jc w:val="left"/>
              <w:rPr>
                <w:sz w:val="20"/>
                <w:szCs w:val="20"/>
              </w:rPr>
            </w:pPr>
            <w:r w:rsidRPr="00A700E7">
              <w:rPr>
                <w:sz w:val="20"/>
                <w:szCs w:val="20"/>
              </w:rPr>
              <w:t>8</w:t>
            </w:r>
          </w:p>
        </w:tc>
        <w:tc>
          <w:tcPr>
            <w:tcW w:w="626" w:type="pct"/>
            <w:shd w:val="clear" w:color="auto" w:fill="auto"/>
          </w:tcPr>
          <w:p w14:paraId="49C6EEF9" w14:textId="77777777" w:rsidR="00E44862" w:rsidRPr="00A700E7" w:rsidRDefault="00E44862" w:rsidP="007A6B1F">
            <w:pPr>
              <w:jc w:val="left"/>
              <w:rPr>
                <w:sz w:val="20"/>
                <w:szCs w:val="20"/>
              </w:rPr>
            </w:pPr>
            <w:r w:rsidRPr="00A700E7">
              <w:rPr>
                <w:sz w:val="20"/>
                <w:szCs w:val="20"/>
              </w:rPr>
              <w:t>3.3%</w:t>
            </w:r>
          </w:p>
        </w:tc>
      </w:tr>
      <w:tr w:rsidR="00A700E7" w:rsidRPr="00A700E7" w14:paraId="45602D3C" w14:textId="77777777" w:rsidTr="0094392C">
        <w:tc>
          <w:tcPr>
            <w:tcW w:w="2490" w:type="pct"/>
            <w:shd w:val="clear" w:color="auto" w:fill="D9D9D9" w:themeFill="background1" w:themeFillShade="D9"/>
          </w:tcPr>
          <w:p w14:paraId="4C8848DE" w14:textId="77777777" w:rsidR="00E44862" w:rsidRPr="00A700E7" w:rsidRDefault="00E44862" w:rsidP="007A6B1F">
            <w:pPr>
              <w:jc w:val="left"/>
              <w:rPr>
                <w:sz w:val="20"/>
                <w:szCs w:val="20"/>
              </w:rPr>
            </w:pPr>
            <w:r w:rsidRPr="00A700E7">
              <w:rPr>
                <w:sz w:val="20"/>
                <w:szCs w:val="20"/>
              </w:rPr>
              <w:t xml:space="preserve">Metabolism and </w:t>
            </w:r>
            <w:proofErr w:type="gramStart"/>
            <w:r w:rsidRPr="00A700E7">
              <w:rPr>
                <w:sz w:val="20"/>
                <w:szCs w:val="20"/>
              </w:rPr>
              <w:t>nutrition</w:t>
            </w:r>
            <w:proofErr w:type="gramEnd"/>
            <w:r w:rsidRPr="00A700E7">
              <w:rPr>
                <w:sz w:val="20"/>
                <w:szCs w:val="20"/>
              </w:rPr>
              <w:t xml:space="preserve"> disorders</w:t>
            </w:r>
          </w:p>
        </w:tc>
        <w:tc>
          <w:tcPr>
            <w:tcW w:w="628" w:type="pct"/>
            <w:shd w:val="clear" w:color="auto" w:fill="D9D9D9" w:themeFill="background1" w:themeFillShade="D9"/>
          </w:tcPr>
          <w:p w14:paraId="23603A34" w14:textId="77777777" w:rsidR="00E44862" w:rsidRPr="00A700E7" w:rsidRDefault="00E44862" w:rsidP="007A6B1F">
            <w:pPr>
              <w:jc w:val="left"/>
              <w:rPr>
                <w:sz w:val="20"/>
                <w:szCs w:val="20"/>
              </w:rPr>
            </w:pPr>
          </w:p>
        </w:tc>
        <w:tc>
          <w:tcPr>
            <w:tcW w:w="628" w:type="pct"/>
            <w:shd w:val="clear" w:color="auto" w:fill="D9D9D9" w:themeFill="background1" w:themeFillShade="D9"/>
          </w:tcPr>
          <w:p w14:paraId="3DA5904B" w14:textId="77777777" w:rsidR="00E44862" w:rsidRPr="00A700E7" w:rsidRDefault="00E44862" w:rsidP="007A6B1F">
            <w:pPr>
              <w:jc w:val="left"/>
              <w:rPr>
                <w:sz w:val="20"/>
                <w:szCs w:val="20"/>
              </w:rPr>
            </w:pPr>
          </w:p>
        </w:tc>
        <w:tc>
          <w:tcPr>
            <w:tcW w:w="628" w:type="pct"/>
            <w:shd w:val="clear" w:color="auto" w:fill="D9D9D9" w:themeFill="background1" w:themeFillShade="D9"/>
          </w:tcPr>
          <w:p w14:paraId="139D57F4" w14:textId="77777777" w:rsidR="00E44862" w:rsidRPr="00A700E7" w:rsidRDefault="00E44862" w:rsidP="007A6B1F">
            <w:pPr>
              <w:jc w:val="left"/>
              <w:rPr>
                <w:sz w:val="20"/>
                <w:szCs w:val="20"/>
              </w:rPr>
            </w:pPr>
          </w:p>
        </w:tc>
        <w:tc>
          <w:tcPr>
            <w:tcW w:w="626" w:type="pct"/>
            <w:shd w:val="clear" w:color="auto" w:fill="D9D9D9" w:themeFill="background1" w:themeFillShade="D9"/>
          </w:tcPr>
          <w:p w14:paraId="1643E2CA" w14:textId="77777777" w:rsidR="00E44862" w:rsidRPr="00A700E7" w:rsidRDefault="00E44862" w:rsidP="007A6B1F">
            <w:pPr>
              <w:jc w:val="left"/>
              <w:rPr>
                <w:sz w:val="20"/>
                <w:szCs w:val="20"/>
              </w:rPr>
            </w:pPr>
          </w:p>
        </w:tc>
      </w:tr>
      <w:tr w:rsidR="00A700E7" w:rsidRPr="00A700E7" w14:paraId="5A5BD63F" w14:textId="77777777" w:rsidTr="000A1E73">
        <w:tc>
          <w:tcPr>
            <w:tcW w:w="2490" w:type="pct"/>
            <w:shd w:val="clear" w:color="auto" w:fill="auto"/>
          </w:tcPr>
          <w:p w14:paraId="15B42613" w14:textId="77777777" w:rsidR="00E44862" w:rsidRPr="00A700E7" w:rsidRDefault="00E44862" w:rsidP="007A6B1F">
            <w:pPr>
              <w:jc w:val="left"/>
              <w:rPr>
                <w:sz w:val="20"/>
                <w:szCs w:val="20"/>
              </w:rPr>
            </w:pPr>
            <w:proofErr w:type="spellStart"/>
            <w:r w:rsidRPr="00A700E7">
              <w:rPr>
                <w:sz w:val="20"/>
                <w:szCs w:val="20"/>
              </w:rPr>
              <w:t>Hypokalaemia</w:t>
            </w:r>
            <w:proofErr w:type="spellEnd"/>
          </w:p>
        </w:tc>
        <w:tc>
          <w:tcPr>
            <w:tcW w:w="628" w:type="pct"/>
            <w:shd w:val="clear" w:color="auto" w:fill="auto"/>
          </w:tcPr>
          <w:p w14:paraId="3B25611F" w14:textId="77777777" w:rsidR="00E44862" w:rsidRPr="00A700E7" w:rsidRDefault="00E44862" w:rsidP="007A6B1F">
            <w:pPr>
              <w:jc w:val="left"/>
              <w:rPr>
                <w:sz w:val="20"/>
                <w:szCs w:val="20"/>
              </w:rPr>
            </w:pPr>
            <w:r w:rsidRPr="00A700E7">
              <w:rPr>
                <w:sz w:val="20"/>
                <w:szCs w:val="20"/>
              </w:rPr>
              <w:t>14</w:t>
            </w:r>
          </w:p>
        </w:tc>
        <w:tc>
          <w:tcPr>
            <w:tcW w:w="628" w:type="pct"/>
            <w:shd w:val="clear" w:color="auto" w:fill="auto"/>
          </w:tcPr>
          <w:p w14:paraId="240BC146" w14:textId="77777777" w:rsidR="00E44862" w:rsidRPr="00A700E7" w:rsidRDefault="00E44862" w:rsidP="007A6B1F">
            <w:pPr>
              <w:jc w:val="left"/>
              <w:rPr>
                <w:sz w:val="20"/>
                <w:szCs w:val="20"/>
              </w:rPr>
            </w:pPr>
            <w:r w:rsidRPr="00A700E7">
              <w:rPr>
                <w:sz w:val="20"/>
                <w:szCs w:val="20"/>
              </w:rPr>
              <w:t>5.6%</w:t>
            </w:r>
          </w:p>
        </w:tc>
        <w:tc>
          <w:tcPr>
            <w:tcW w:w="628" w:type="pct"/>
            <w:shd w:val="clear" w:color="auto" w:fill="auto"/>
          </w:tcPr>
          <w:p w14:paraId="72025A31" w14:textId="77777777" w:rsidR="00E44862" w:rsidRPr="00A700E7" w:rsidRDefault="00E44862" w:rsidP="007A6B1F">
            <w:pPr>
              <w:jc w:val="left"/>
              <w:rPr>
                <w:sz w:val="20"/>
                <w:szCs w:val="20"/>
              </w:rPr>
            </w:pPr>
            <w:r w:rsidRPr="00A700E7">
              <w:rPr>
                <w:sz w:val="20"/>
                <w:szCs w:val="20"/>
              </w:rPr>
              <w:t>14</w:t>
            </w:r>
          </w:p>
        </w:tc>
        <w:tc>
          <w:tcPr>
            <w:tcW w:w="626" w:type="pct"/>
            <w:shd w:val="clear" w:color="auto" w:fill="auto"/>
          </w:tcPr>
          <w:p w14:paraId="5F4AF9BE" w14:textId="77777777" w:rsidR="00E44862" w:rsidRPr="00A700E7" w:rsidRDefault="00E44862" w:rsidP="007A6B1F">
            <w:pPr>
              <w:jc w:val="left"/>
              <w:rPr>
                <w:sz w:val="20"/>
                <w:szCs w:val="20"/>
              </w:rPr>
            </w:pPr>
            <w:r w:rsidRPr="00A700E7">
              <w:rPr>
                <w:sz w:val="20"/>
                <w:szCs w:val="20"/>
              </w:rPr>
              <w:t>5.8%</w:t>
            </w:r>
          </w:p>
        </w:tc>
      </w:tr>
      <w:tr w:rsidR="00A700E7" w:rsidRPr="00A700E7" w14:paraId="528E3AA2" w14:textId="77777777" w:rsidTr="0094392C">
        <w:tc>
          <w:tcPr>
            <w:tcW w:w="2490" w:type="pct"/>
            <w:shd w:val="clear" w:color="auto" w:fill="D9D9D9" w:themeFill="background1" w:themeFillShade="D9"/>
          </w:tcPr>
          <w:p w14:paraId="10372221" w14:textId="77777777" w:rsidR="00E44862" w:rsidRPr="00A700E7" w:rsidRDefault="00E44862" w:rsidP="007A6B1F">
            <w:pPr>
              <w:jc w:val="left"/>
              <w:rPr>
                <w:sz w:val="20"/>
                <w:szCs w:val="20"/>
              </w:rPr>
            </w:pPr>
            <w:r w:rsidRPr="00A700E7">
              <w:rPr>
                <w:sz w:val="20"/>
                <w:szCs w:val="20"/>
              </w:rPr>
              <w:t>Musculoskeletal and connective tissue disorders</w:t>
            </w:r>
          </w:p>
        </w:tc>
        <w:tc>
          <w:tcPr>
            <w:tcW w:w="628" w:type="pct"/>
            <w:shd w:val="clear" w:color="auto" w:fill="D9D9D9" w:themeFill="background1" w:themeFillShade="D9"/>
          </w:tcPr>
          <w:p w14:paraId="2E250D67" w14:textId="77777777" w:rsidR="00E44862" w:rsidRPr="00A700E7" w:rsidRDefault="00E44862" w:rsidP="007A6B1F">
            <w:pPr>
              <w:jc w:val="left"/>
              <w:rPr>
                <w:sz w:val="20"/>
                <w:szCs w:val="20"/>
              </w:rPr>
            </w:pPr>
          </w:p>
        </w:tc>
        <w:tc>
          <w:tcPr>
            <w:tcW w:w="628" w:type="pct"/>
            <w:shd w:val="clear" w:color="auto" w:fill="D9D9D9" w:themeFill="background1" w:themeFillShade="D9"/>
          </w:tcPr>
          <w:p w14:paraId="5E7FF1D9" w14:textId="77777777" w:rsidR="00E44862" w:rsidRPr="00A700E7" w:rsidRDefault="00E44862" w:rsidP="007A6B1F">
            <w:pPr>
              <w:jc w:val="left"/>
              <w:rPr>
                <w:sz w:val="20"/>
                <w:szCs w:val="20"/>
              </w:rPr>
            </w:pPr>
          </w:p>
        </w:tc>
        <w:tc>
          <w:tcPr>
            <w:tcW w:w="628" w:type="pct"/>
            <w:shd w:val="clear" w:color="auto" w:fill="D9D9D9" w:themeFill="background1" w:themeFillShade="D9"/>
          </w:tcPr>
          <w:p w14:paraId="6D6DEBF8" w14:textId="77777777" w:rsidR="00E44862" w:rsidRPr="00A700E7" w:rsidRDefault="00E44862" w:rsidP="007A6B1F">
            <w:pPr>
              <w:jc w:val="left"/>
              <w:rPr>
                <w:sz w:val="20"/>
                <w:szCs w:val="20"/>
              </w:rPr>
            </w:pPr>
          </w:p>
        </w:tc>
        <w:tc>
          <w:tcPr>
            <w:tcW w:w="626" w:type="pct"/>
            <w:shd w:val="clear" w:color="auto" w:fill="D9D9D9" w:themeFill="background1" w:themeFillShade="D9"/>
          </w:tcPr>
          <w:p w14:paraId="2D0276A4" w14:textId="77777777" w:rsidR="00E44862" w:rsidRPr="00A700E7" w:rsidRDefault="00E44862" w:rsidP="007A6B1F">
            <w:pPr>
              <w:jc w:val="left"/>
              <w:rPr>
                <w:sz w:val="20"/>
                <w:szCs w:val="20"/>
              </w:rPr>
            </w:pPr>
          </w:p>
        </w:tc>
      </w:tr>
      <w:tr w:rsidR="00A700E7" w:rsidRPr="00A700E7" w14:paraId="196E3319" w14:textId="77777777" w:rsidTr="000A1E73">
        <w:tc>
          <w:tcPr>
            <w:tcW w:w="2490" w:type="pct"/>
            <w:shd w:val="clear" w:color="auto" w:fill="auto"/>
          </w:tcPr>
          <w:p w14:paraId="356C3683" w14:textId="77777777" w:rsidR="00E44862" w:rsidRPr="00A700E7" w:rsidRDefault="00E44862" w:rsidP="007A6B1F">
            <w:pPr>
              <w:jc w:val="left"/>
              <w:rPr>
                <w:sz w:val="20"/>
                <w:szCs w:val="20"/>
              </w:rPr>
            </w:pPr>
            <w:r w:rsidRPr="00A700E7">
              <w:rPr>
                <w:sz w:val="20"/>
                <w:szCs w:val="20"/>
              </w:rPr>
              <w:t>Arthralgia</w:t>
            </w:r>
          </w:p>
        </w:tc>
        <w:tc>
          <w:tcPr>
            <w:tcW w:w="628" w:type="pct"/>
            <w:shd w:val="clear" w:color="auto" w:fill="auto"/>
          </w:tcPr>
          <w:p w14:paraId="13741B61" w14:textId="77777777" w:rsidR="00E44862" w:rsidRPr="00A700E7" w:rsidRDefault="00E44862" w:rsidP="007A6B1F">
            <w:pPr>
              <w:jc w:val="left"/>
              <w:rPr>
                <w:sz w:val="20"/>
                <w:szCs w:val="20"/>
              </w:rPr>
            </w:pPr>
            <w:r w:rsidRPr="00A700E7">
              <w:rPr>
                <w:sz w:val="20"/>
                <w:szCs w:val="20"/>
              </w:rPr>
              <w:t>10</w:t>
            </w:r>
          </w:p>
        </w:tc>
        <w:tc>
          <w:tcPr>
            <w:tcW w:w="628" w:type="pct"/>
            <w:shd w:val="clear" w:color="auto" w:fill="auto"/>
          </w:tcPr>
          <w:p w14:paraId="684B1F45" w14:textId="77777777" w:rsidR="00E44862" w:rsidRPr="00A700E7" w:rsidRDefault="00E44862" w:rsidP="007A6B1F">
            <w:pPr>
              <w:jc w:val="left"/>
              <w:rPr>
                <w:sz w:val="20"/>
                <w:szCs w:val="20"/>
              </w:rPr>
            </w:pPr>
            <w:r w:rsidRPr="00A700E7">
              <w:rPr>
                <w:sz w:val="20"/>
                <w:szCs w:val="20"/>
              </w:rPr>
              <w:t>4.0%</w:t>
            </w:r>
          </w:p>
        </w:tc>
        <w:tc>
          <w:tcPr>
            <w:tcW w:w="628" w:type="pct"/>
            <w:shd w:val="clear" w:color="auto" w:fill="auto"/>
          </w:tcPr>
          <w:p w14:paraId="24FB7B66" w14:textId="77777777" w:rsidR="00E44862" w:rsidRPr="00A700E7" w:rsidRDefault="00E44862" w:rsidP="007A6B1F">
            <w:pPr>
              <w:jc w:val="left"/>
              <w:rPr>
                <w:sz w:val="20"/>
                <w:szCs w:val="20"/>
              </w:rPr>
            </w:pPr>
            <w:r w:rsidRPr="00A700E7">
              <w:rPr>
                <w:sz w:val="20"/>
                <w:szCs w:val="20"/>
              </w:rPr>
              <w:t>11</w:t>
            </w:r>
          </w:p>
        </w:tc>
        <w:tc>
          <w:tcPr>
            <w:tcW w:w="626" w:type="pct"/>
            <w:shd w:val="clear" w:color="auto" w:fill="auto"/>
          </w:tcPr>
          <w:p w14:paraId="5EB9D005" w14:textId="77777777" w:rsidR="00E44862" w:rsidRPr="00A700E7" w:rsidRDefault="00E44862" w:rsidP="007A6B1F">
            <w:pPr>
              <w:jc w:val="left"/>
              <w:rPr>
                <w:sz w:val="20"/>
                <w:szCs w:val="20"/>
              </w:rPr>
            </w:pPr>
            <w:r w:rsidRPr="00A700E7">
              <w:rPr>
                <w:sz w:val="20"/>
                <w:szCs w:val="20"/>
              </w:rPr>
              <w:t>4.5%</w:t>
            </w:r>
          </w:p>
        </w:tc>
      </w:tr>
      <w:tr w:rsidR="00A700E7" w:rsidRPr="00A700E7" w14:paraId="41EC2D1D" w14:textId="77777777" w:rsidTr="000A1E73">
        <w:tc>
          <w:tcPr>
            <w:tcW w:w="2490" w:type="pct"/>
            <w:shd w:val="clear" w:color="auto" w:fill="auto"/>
          </w:tcPr>
          <w:p w14:paraId="33AB1369" w14:textId="77777777" w:rsidR="00E44862" w:rsidRPr="00A700E7" w:rsidRDefault="00E44862" w:rsidP="007A6B1F">
            <w:pPr>
              <w:jc w:val="left"/>
              <w:rPr>
                <w:sz w:val="20"/>
                <w:szCs w:val="20"/>
              </w:rPr>
            </w:pPr>
            <w:r w:rsidRPr="00A700E7">
              <w:rPr>
                <w:sz w:val="20"/>
                <w:szCs w:val="20"/>
              </w:rPr>
              <w:t>Myalgia</w:t>
            </w:r>
          </w:p>
        </w:tc>
        <w:tc>
          <w:tcPr>
            <w:tcW w:w="628" w:type="pct"/>
            <w:shd w:val="clear" w:color="auto" w:fill="auto"/>
          </w:tcPr>
          <w:p w14:paraId="45146801" w14:textId="77777777" w:rsidR="00E44862" w:rsidRPr="00A700E7" w:rsidRDefault="00E44862" w:rsidP="007A6B1F">
            <w:pPr>
              <w:jc w:val="left"/>
              <w:rPr>
                <w:sz w:val="20"/>
                <w:szCs w:val="20"/>
              </w:rPr>
            </w:pPr>
            <w:r w:rsidRPr="00A700E7">
              <w:rPr>
                <w:sz w:val="20"/>
                <w:szCs w:val="20"/>
              </w:rPr>
              <w:t>4</w:t>
            </w:r>
          </w:p>
        </w:tc>
        <w:tc>
          <w:tcPr>
            <w:tcW w:w="628" w:type="pct"/>
            <w:shd w:val="clear" w:color="auto" w:fill="auto"/>
          </w:tcPr>
          <w:p w14:paraId="3AE6C56E" w14:textId="77777777" w:rsidR="00E44862" w:rsidRPr="00A700E7" w:rsidRDefault="00E44862" w:rsidP="007A6B1F">
            <w:pPr>
              <w:jc w:val="left"/>
              <w:rPr>
                <w:sz w:val="20"/>
                <w:szCs w:val="20"/>
              </w:rPr>
            </w:pPr>
            <w:r w:rsidRPr="00A700E7">
              <w:rPr>
                <w:sz w:val="20"/>
                <w:szCs w:val="20"/>
              </w:rPr>
              <w:t>1.6%</w:t>
            </w:r>
          </w:p>
        </w:tc>
        <w:tc>
          <w:tcPr>
            <w:tcW w:w="628" w:type="pct"/>
            <w:shd w:val="clear" w:color="auto" w:fill="auto"/>
          </w:tcPr>
          <w:p w14:paraId="4230E959" w14:textId="77777777" w:rsidR="00E44862" w:rsidRPr="00A700E7" w:rsidRDefault="00E44862" w:rsidP="007A6B1F">
            <w:pPr>
              <w:jc w:val="left"/>
              <w:rPr>
                <w:sz w:val="20"/>
                <w:szCs w:val="20"/>
              </w:rPr>
            </w:pPr>
            <w:r w:rsidRPr="00A700E7">
              <w:rPr>
                <w:sz w:val="20"/>
                <w:szCs w:val="20"/>
              </w:rPr>
              <w:t>8</w:t>
            </w:r>
          </w:p>
        </w:tc>
        <w:tc>
          <w:tcPr>
            <w:tcW w:w="626" w:type="pct"/>
            <w:shd w:val="clear" w:color="auto" w:fill="auto"/>
          </w:tcPr>
          <w:p w14:paraId="6974D3BF" w14:textId="77777777" w:rsidR="00E44862" w:rsidRPr="00A700E7" w:rsidRDefault="00E44862" w:rsidP="007A6B1F">
            <w:pPr>
              <w:jc w:val="left"/>
              <w:rPr>
                <w:sz w:val="20"/>
                <w:szCs w:val="20"/>
              </w:rPr>
            </w:pPr>
            <w:r w:rsidRPr="00A700E7">
              <w:rPr>
                <w:sz w:val="20"/>
                <w:szCs w:val="20"/>
              </w:rPr>
              <w:t>3.3%</w:t>
            </w:r>
          </w:p>
        </w:tc>
      </w:tr>
      <w:tr w:rsidR="00A700E7" w:rsidRPr="00A700E7" w14:paraId="1E2468A1" w14:textId="77777777" w:rsidTr="0094392C">
        <w:tc>
          <w:tcPr>
            <w:tcW w:w="2490" w:type="pct"/>
            <w:shd w:val="clear" w:color="auto" w:fill="D9D9D9" w:themeFill="background1" w:themeFillShade="D9"/>
          </w:tcPr>
          <w:p w14:paraId="1C8B8C80" w14:textId="77777777" w:rsidR="00E44862" w:rsidRPr="00A700E7" w:rsidRDefault="00E44862" w:rsidP="007A6B1F">
            <w:pPr>
              <w:jc w:val="left"/>
              <w:rPr>
                <w:sz w:val="20"/>
                <w:szCs w:val="20"/>
              </w:rPr>
            </w:pPr>
            <w:r w:rsidRPr="00A700E7">
              <w:rPr>
                <w:sz w:val="20"/>
                <w:szCs w:val="20"/>
              </w:rPr>
              <w:t>Nervous system disorders</w:t>
            </w:r>
          </w:p>
        </w:tc>
        <w:tc>
          <w:tcPr>
            <w:tcW w:w="628" w:type="pct"/>
            <w:shd w:val="clear" w:color="auto" w:fill="D9D9D9" w:themeFill="background1" w:themeFillShade="D9"/>
          </w:tcPr>
          <w:p w14:paraId="3099D19C" w14:textId="77777777" w:rsidR="00E44862" w:rsidRPr="00A700E7" w:rsidRDefault="00E44862" w:rsidP="007A6B1F">
            <w:pPr>
              <w:jc w:val="left"/>
              <w:rPr>
                <w:sz w:val="20"/>
                <w:szCs w:val="20"/>
              </w:rPr>
            </w:pPr>
          </w:p>
        </w:tc>
        <w:tc>
          <w:tcPr>
            <w:tcW w:w="628" w:type="pct"/>
            <w:shd w:val="clear" w:color="auto" w:fill="D9D9D9" w:themeFill="background1" w:themeFillShade="D9"/>
          </w:tcPr>
          <w:p w14:paraId="180B0F9D" w14:textId="77777777" w:rsidR="00E44862" w:rsidRPr="00A700E7" w:rsidRDefault="00E44862" w:rsidP="007A6B1F">
            <w:pPr>
              <w:jc w:val="left"/>
              <w:rPr>
                <w:sz w:val="20"/>
                <w:szCs w:val="20"/>
              </w:rPr>
            </w:pPr>
          </w:p>
        </w:tc>
        <w:tc>
          <w:tcPr>
            <w:tcW w:w="628" w:type="pct"/>
            <w:shd w:val="clear" w:color="auto" w:fill="D9D9D9" w:themeFill="background1" w:themeFillShade="D9"/>
          </w:tcPr>
          <w:p w14:paraId="7B62A783" w14:textId="77777777" w:rsidR="00E44862" w:rsidRPr="00A700E7" w:rsidRDefault="00E44862" w:rsidP="007A6B1F">
            <w:pPr>
              <w:jc w:val="left"/>
              <w:rPr>
                <w:sz w:val="20"/>
                <w:szCs w:val="20"/>
              </w:rPr>
            </w:pPr>
          </w:p>
        </w:tc>
        <w:tc>
          <w:tcPr>
            <w:tcW w:w="626" w:type="pct"/>
            <w:shd w:val="clear" w:color="auto" w:fill="D9D9D9" w:themeFill="background1" w:themeFillShade="D9"/>
          </w:tcPr>
          <w:p w14:paraId="12C1569C" w14:textId="77777777" w:rsidR="00E44862" w:rsidRPr="00A700E7" w:rsidRDefault="00E44862" w:rsidP="007A6B1F">
            <w:pPr>
              <w:jc w:val="left"/>
              <w:rPr>
                <w:sz w:val="20"/>
                <w:szCs w:val="20"/>
              </w:rPr>
            </w:pPr>
          </w:p>
        </w:tc>
      </w:tr>
      <w:tr w:rsidR="00A700E7" w:rsidRPr="00A700E7" w14:paraId="55796C7F" w14:textId="77777777" w:rsidTr="000A1E73">
        <w:tc>
          <w:tcPr>
            <w:tcW w:w="2490" w:type="pct"/>
            <w:shd w:val="clear" w:color="auto" w:fill="auto"/>
          </w:tcPr>
          <w:p w14:paraId="75CEA6AD" w14:textId="77777777" w:rsidR="00E44862" w:rsidRPr="00A700E7" w:rsidRDefault="00E44862" w:rsidP="007A6B1F">
            <w:pPr>
              <w:jc w:val="left"/>
              <w:rPr>
                <w:sz w:val="20"/>
                <w:szCs w:val="20"/>
              </w:rPr>
            </w:pPr>
            <w:r w:rsidRPr="00A700E7">
              <w:rPr>
                <w:sz w:val="20"/>
                <w:szCs w:val="20"/>
              </w:rPr>
              <w:t>Headache</w:t>
            </w:r>
          </w:p>
        </w:tc>
        <w:tc>
          <w:tcPr>
            <w:tcW w:w="628" w:type="pct"/>
            <w:shd w:val="clear" w:color="auto" w:fill="auto"/>
          </w:tcPr>
          <w:p w14:paraId="13DD31E9" w14:textId="77777777" w:rsidR="00E44862" w:rsidRPr="00A700E7" w:rsidRDefault="00E44862" w:rsidP="007A6B1F">
            <w:pPr>
              <w:jc w:val="left"/>
              <w:rPr>
                <w:sz w:val="20"/>
                <w:szCs w:val="20"/>
              </w:rPr>
            </w:pPr>
            <w:r w:rsidRPr="00A700E7">
              <w:rPr>
                <w:sz w:val="20"/>
                <w:szCs w:val="20"/>
              </w:rPr>
              <w:t>22</w:t>
            </w:r>
          </w:p>
        </w:tc>
        <w:tc>
          <w:tcPr>
            <w:tcW w:w="628" w:type="pct"/>
            <w:shd w:val="clear" w:color="auto" w:fill="auto"/>
          </w:tcPr>
          <w:p w14:paraId="27D08340" w14:textId="77777777" w:rsidR="00E44862" w:rsidRPr="00A700E7" w:rsidRDefault="00E44862" w:rsidP="007A6B1F">
            <w:pPr>
              <w:jc w:val="left"/>
              <w:rPr>
                <w:sz w:val="20"/>
                <w:szCs w:val="20"/>
              </w:rPr>
            </w:pPr>
            <w:r w:rsidRPr="00A700E7">
              <w:rPr>
                <w:sz w:val="20"/>
                <w:szCs w:val="20"/>
              </w:rPr>
              <w:t>8.8%</w:t>
            </w:r>
          </w:p>
        </w:tc>
        <w:tc>
          <w:tcPr>
            <w:tcW w:w="628" w:type="pct"/>
            <w:shd w:val="clear" w:color="auto" w:fill="auto"/>
          </w:tcPr>
          <w:p w14:paraId="0547EC4B" w14:textId="77777777" w:rsidR="00E44862" w:rsidRPr="00A700E7" w:rsidRDefault="00E44862" w:rsidP="007A6B1F">
            <w:pPr>
              <w:jc w:val="left"/>
              <w:rPr>
                <w:sz w:val="20"/>
                <w:szCs w:val="20"/>
              </w:rPr>
            </w:pPr>
            <w:r w:rsidRPr="00A700E7">
              <w:rPr>
                <w:sz w:val="20"/>
                <w:szCs w:val="20"/>
              </w:rPr>
              <w:t>33</w:t>
            </w:r>
          </w:p>
        </w:tc>
        <w:tc>
          <w:tcPr>
            <w:tcW w:w="626" w:type="pct"/>
            <w:shd w:val="clear" w:color="auto" w:fill="auto"/>
          </w:tcPr>
          <w:p w14:paraId="3340BC02" w14:textId="77777777" w:rsidR="00E44862" w:rsidRPr="00A700E7" w:rsidRDefault="00E44862" w:rsidP="007A6B1F">
            <w:pPr>
              <w:jc w:val="left"/>
              <w:rPr>
                <w:sz w:val="20"/>
                <w:szCs w:val="20"/>
              </w:rPr>
            </w:pPr>
            <w:r w:rsidRPr="00A700E7">
              <w:rPr>
                <w:sz w:val="20"/>
                <w:szCs w:val="20"/>
              </w:rPr>
              <w:t>13.6%</w:t>
            </w:r>
          </w:p>
        </w:tc>
      </w:tr>
      <w:tr w:rsidR="00A700E7" w:rsidRPr="00A700E7" w14:paraId="51893BE5" w14:textId="77777777" w:rsidTr="0094392C">
        <w:tc>
          <w:tcPr>
            <w:tcW w:w="2490" w:type="pct"/>
            <w:shd w:val="clear" w:color="auto" w:fill="D9D9D9" w:themeFill="background1" w:themeFillShade="D9"/>
          </w:tcPr>
          <w:p w14:paraId="2E4420D3" w14:textId="77777777" w:rsidR="00E44862" w:rsidRPr="00A700E7" w:rsidRDefault="00E44862" w:rsidP="007A6B1F">
            <w:pPr>
              <w:jc w:val="left"/>
              <w:rPr>
                <w:sz w:val="20"/>
                <w:szCs w:val="20"/>
              </w:rPr>
            </w:pPr>
            <w:r w:rsidRPr="00A700E7">
              <w:rPr>
                <w:sz w:val="20"/>
                <w:szCs w:val="20"/>
              </w:rPr>
              <w:t>Psychiatric disorders</w:t>
            </w:r>
          </w:p>
        </w:tc>
        <w:tc>
          <w:tcPr>
            <w:tcW w:w="628" w:type="pct"/>
            <w:shd w:val="clear" w:color="auto" w:fill="D9D9D9" w:themeFill="background1" w:themeFillShade="D9"/>
          </w:tcPr>
          <w:p w14:paraId="06AC0C95" w14:textId="77777777" w:rsidR="00E44862" w:rsidRPr="00A700E7" w:rsidRDefault="00E44862" w:rsidP="007A6B1F">
            <w:pPr>
              <w:jc w:val="left"/>
              <w:rPr>
                <w:sz w:val="20"/>
                <w:szCs w:val="20"/>
              </w:rPr>
            </w:pPr>
          </w:p>
        </w:tc>
        <w:tc>
          <w:tcPr>
            <w:tcW w:w="628" w:type="pct"/>
            <w:shd w:val="clear" w:color="auto" w:fill="D9D9D9" w:themeFill="background1" w:themeFillShade="D9"/>
          </w:tcPr>
          <w:p w14:paraId="116B6003" w14:textId="77777777" w:rsidR="00E44862" w:rsidRPr="00A700E7" w:rsidRDefault="00E44862" w:rsidP="007A6B1F">
            <w:pPr>
              <w:jc w:val="left"/>
              <w:rPr>
                <w:sz w:val="20"/>
                <w:szCs w:val="20"/>
              </w:rPr>
            </w:pPr>
          </w:p>
        </w:tc>
        <w:tc>
          <w:tcPr>
            <w:tcW w:w="628" w:type="pct"/>
            <w:shd w:val="clear" w:color="auto" w:fill="D9D9D9" w:themeFill="background1" w:themeFillShade="D9"/>
          </w:tcPr>
          <w:p w14:paraId="5F4F0930" w14:textId="77777777" w:rsidR="00E44862" w:rsidRPr="00A700E7" w:rsidRDefault="00E44862" w:rsidP="007A6B1F">
            <w:pPr>
              <w:jc w:val="left"/>
              <w:rPr>
                <w:sz w:val="20"/>
                <w:szCs w:val="20"/>
              </w:rPr>
            </w:pPr>
          </w:p>
        </w:tc>
        <w:tc>
          <w:tcPr>
            <w:tcW w:w="626" w:type="pct"/>
            <w:shd w:val="clear" w:color="auto" w:fill="D9D9D9" w:themeFill="background1" w:themeFillShade="D9"/>
          </w:tcPr>
          <w:p w14:paraId="762055D1" w14:textId="77777777" w:rsidR="00E44862" w:rsidRPr="00A700E7" w:rsidRDefault="00E44862" w:rsidP="007A6B1F">
            <w:pPr>
              <w:jc w:val="left"/>
              <w:rPr>
                <w:sz w:val="20"/>
                <w:szCs w:val="20"/>
              </w:rPr>
            </w:pPr>
          </w:p>
        </w:tc>
      </w:tr>
      <w:tr w:rsidR="00A700E7" w:rsidRPr="00A700E7" w14:paraId="3864A89E" w14:textId="77777777" w:rsidTr="000A1E73">
        <w:tc>
          <w:tcPr>
            <w:tcW w:w="2490" w:type="pct"/>
            <w:shd w:val="clear" w:color="auto" w:fill="auto"/>
          </w:tcPr>
          <w:p w14:paraId="18CB9B88" w14:textId="77777777" w:rsidR="00E44862" w:rsidRPr="00A700E7" w:rsidRDefault="00E44862" w:rsidP="007A6B1F">
            <w:pPr>
              <w:jc w:val="left"/>
              <w:rPr>
                <w:sz w:val="20"/>
                <w:szCs w:val="20"/>
              </w:rPr>
            </w:pPr>
            <w:r w:rsidRPr="00A700E7">
              <w:rPr>
                <w:sz w:val="20"/>
                <w:szCs w:val="20"/>
              </w:rPr>
              <w:t>Insomnia</w:t>
            </w:r>
          </w:p>
        </w:tc>
        <w:tc>
          <w:tcPr>
            <w:tcW w:w="628" w:type="pct"/>
            <w:shd w:val="clear" w:color="auto" w:fill="auto"/>
          </w:tcPr>
          <w:p w14:paraId="561A73FE" w14:textId="77777777" w:rsidR="00E44862" w:rsidRPr="00A700E7" w:rsidRDefault="00E44862" w:rsidP="007A6B1F">
            <w:pPr>
              <w:jc w:val="left"/>
              <w:rPr>
                <w:sz w:val="20"/>
                <w:szCs w:val="20"/>
              </w:rPr>
            </w:pPr>
            <w:r w:rsidRPr="00A700E7">
              <w:rPr>
                <w:sz w:val="20"/>
                <w:szCs w:val="20"/>
              </w:rPr>
              <w:t>10</w:t>
            </w:r>
          </w:p>
        </w:tc>
        <w:tc>
          <w:tcPr>
            <w:tcW w:w="628" w:type="pct"/>
            <w:shd w:val="clear" w:color="auto" w:fill="auto"/>
          </w:tcPr>
          <w:p w14:paraId="4FE0AAF8" w14:textId="77777777" w:rsidR="00E44862" w:rsidRPr="00A700E7" w:rsidRDefault="00E44862" w:rsidP="007A6B1F">
            <w:pPr>
              <w:jc w:val="left"/>
              <w:rPr>
                <w:sz w:val="20"/>
                <w:szCs w:val="20"/>
              </w:rPr>
            </w:pPr>
            <w:r w:rsidRPr="00A700E7">
              <w:rPr>
                <w:sz w:val="20"/>
                <w:szCs w:val="20"/>
              </w:rPr>
              <w:t>4.0%</w:t>
            </w:r>
          </w:p>
        </w:tc>
        <w:tc>
          <w:tcPr>
            <w:tcW w:w="628" w:type="pct"/>
            <w:shd w:val="clear" w:color="auto" w:fill="auto"/>
          </w:tcPr>
          <w:p w14:paraId="790BC1CF" w14:textId="77777777" w:rsidR="00E44862" w:rsidRPr="00A700E7" w:rsidRDefault="00E44862" w:rsidP="007A6B1F">
            <w:pPr>
              <w:jc w:val="left"/>
              <w:rPr>
                <w:sz w:val="20"/>
                <w:szCs w:val="20"/>
              </w:rPr>
            </w:pPr>
            <w:r w:rsidRPr="00A700E7">
              <w:rPr>
                <w:sz w:val="20"/>
                <w:szCs w:val="20"/>
              </w:rPr>
              <w:t>17</w:t>
            </w:r>
          </w:p>
        </w:tc>
        <w:tc>
          <w:tcPr>
            <w:tcW w:w="626" w:type="pct"/>
            <w:shd w:val="clear" w:color="auto" w:fill="auto"/>
          </w:tcPr>
          <w:p w14:paraId="53171A9C" w14:textId="77777777" w:rsidR="00E44862" w:rsidRPr="00A700E7" w:rsidRDefault="00E44862" w:rsidP="007A6B1F">
            <w:pPr>
              <w:jc w:val="left"/>
              <w:rPr>
                <w:sz w:val="20"/>
                <w:szCs w:val="20"/>
              </w:rPr>
            </w:pPr>
            <w:r w:rsidRPr="00A700E7">
              <w:rPr>
                <w:sz w:val="20"/>
                <w:szCs w:val="20"/>
              </w:rPr>
              <w:t>7.0%</w:t>
            </w:r>
          </w:p>
        </w:tc>
      </w:tr>
      <w:tr w:rsidR="00A700E7" w:rsidRPr="00A700E7" w14:paraId="7DAA4927" w14:textId="77777777" w:rsidTr="000A1E73">
        <w:tc>
          <w:tcPr>
            <w:tcW w:w="2490" w:type="pct"/>
            <w:shd w:val="clear" w:color="auto" w:fill="auto"/>
          </w:tcPr>
          <w:p w14:paraId="08A575FE" w14:textId="77777777" w:rsidR="00E44862" w:rsidRPr="00A700E7" w:rsidRDefault="00E44862" w:rsidP="007A6B1F">
            <w:pPr>
              <w:jc w:val="left"/>
              <w:rPr>
                <w:sz w:val="20"/>
                <w:szCs w:val="20"/>
              </w:rPr>
            </w:pPr>
            <w:r w:rsidRPr="00A700E7">
              <w:rPr>
                <w:sz w:val="20"/>
                <w:szCs w:val="20"/>
              </w:rPr>
              <w:t>Depression</w:t>
            </w:r>
          </w:p>
        </w:tc>
        <w:tc>
          <w:tcPr>
            <w:tcW w:w="628" w:type="pct"/>
            <w:shd w:val="clear" w:color="auto" w:fill="auto"/>
          </w:tcPr>
          <w:p w14:paraId="4EAC346A" w14:textId="77777777" w:rsidR="00E44862" w:rsidRPr="00A700E7" w:rsidRDefault="00E44862" w:rsidP="007A6B1F">
            <w:pPr>
              <w:jc w:val="left"/>
              <w:rPr>
                <w:sz w:val="20"/>
                <w:szCs w:val="20"/>
              </w:rPr>
            </w:pPr>
            <w:r w:rsidRPr="00A700E7">
              <w:rPr>
                <w:sz w:val="20"/>
                <w:szCs w:val="20"/>
              </w:rPr>
              <w:t>8</w:t>
            </w:r>
          </w:p>
        </w:tc>
        <w:tc>
          <w:tcPr>
            <w:tcW w:w="628" w:type="pct"/>
            <w:shd w:val="clear" w:color="auto" w:fill="auto"/>
          </w:tcPr>
          <w:p w14:paraId="3F63A79E" w14:textId="77777777" w:rsidR="00E44862" w:rsidRPr="00A700E7" w:rsidRDefault="00E44862" w:rsidP="007A6B1F">
            <w:pPr>
              <w:jc w:val="left"/>
              <w:rPr>
                <w:sz w:val="20"/>
                <w:szCs w:val="20"/>
              </w:rPr>
            </w:pPr>
            <w:r w:rsidRPr="00A700E7">
              <w:rPr>
                <w:sz w:val="20"/>
                <w:szCs w:val="20"/>
              </w:rPr>
              <w:t>3.2%</w:t>
            </w:r>
          </w:p>
        </w:tc>
        <w:tc>
          <w:tcPr>
            <w:tcW w:w="628" w:type="pct"/>
            <w:shd w:val="clear" w:color="auto" w:fill="auto"/>
          </w:tcPr>
          <w:p w14:paraId="6D221B75" w14:textId="77777777" w:rsidR="00E44862" w:rsidRPr="00A700E7" w:rsidRDefault="00E44862" w:rsidP="007A6B1F">
            <w:pPr>
              <w:jc w:val="left"/>
              <w:rPr>
                <w:sz w:val="20"/>
                <w:szCs w:val="20"/>
              </w:rPr>
            </w:pPr>
            <w:r w:rsidRPr="00A700E7">
              <w:rPr>
                <w:sz w:val="20"/>
                <w:szCs w:val="20"/>
              </w:rPr>
              <w:t>8</w:t>
            </w:r>
          </w:p>
        </w:tc>
        <w:tc>
          <w:tcPr>
            <w:tcW w:w="626" w:type="pct"/>
            <w:shd w:val="clear" w:color="auto" w:fill="auto"/>
          </w:tcPr>
          <w:p w14:paraId="50844725" w14:textId="77777777" w:rsidR="00E44862" w:rsidRPr="00A700E7" w:rsidRDefault="00E44862" w:rsidP="007A6B1F">
            <w:pPr>
              <w:jc w:val="left"/>
              <w:rPr>
                <w:sz w:val="20"/>
                <w:szCs w:val="20"/>
              </w:rPr>
            </w:pPr>
            <w:r w:rsidRPr="00A700E7">
              <w:rPr>
                <w:sz w:val="20"/>
                <w:szCs w:val="20"/>
              </w:rPr>
              <w:t>3.3%</w:t>
            </w:r>
          </w:p>
        </w:tc>
      </w:tr>
      <w:tr w:rsidR="00A700E7" w:rsidRPr="00A700E7" w14:paraId="5A3F214B" w14:textId="77777777" w:rsidTr="0094392C">
        <w:tc>
          <w:tcPr>
            <w:tcW w:w="2490" w:type="pct"/>
            <w:shd w:val="clear" w:color="auto" w:fill="D9D9D9" w:themeFill="background1" w:themeFillShade="D9"/>
          </w:tcPr>
          <w:p w14:paraId="08C560E5" w14:textId="77777777" w:rsidR="00E44862" w:rsidRPr="00A700E7" w:rsidRDefault="00E44862" w:rsidP="007A6B1F">
            <w:pPr>
              <w:jc w:val="left"/>
              <w:rPr>
                <w:sz w:val="20"/>
                <w:szCs w:val="20"/>
              </w:rPr>
            </w:pPr>
            <w:r w:rsidRPr="00A700E7">
              <w:rPr>
                <w:sz w:val="20"/>
                <w:szCs w:val="20"/>
              </w:rPr>
              <w:t>Skin and subcutaneous tissue disorders</w:t>
            </w:r>
          </w:p>
        </w:tc>
        <w:tc>
          <w:tcPr>
            <w:tcW w:w="628" w:type="pct"/>
            <w:shd w:val="clear" w:color="auto" w:fill="D9D9D9" w:themeFill="background1" w:themeFillShade="D9"/>
          </w:tcPr>
          <w:p w14:paraId="1722F142" w14:textId="77777777" w:rsidR="00E44862" w:rsidRPr="00A700E7" w:rsidRDefault="00E44862" w:rsidP="007A6B1F">
            <w:pPr>
              <w:jc w:val="left"/>
              <w:rPr>
                <w:sz w:val="20"/>
                <w:szCs w:val="20"/>
              </w:rPr>
            </w:pPr>
          </w:p>
        </w:tc>
        <w:tc>
          <w:tcPr>
            <w:tcW w:w="628" w:type="pct"/>
            <w:shd w:val="clear" w:color="auto" w:fill="D9D9D9" w:themeFill="background1" w:themeFillShade="D9"/>
          </w:tcPr>
          <w:p w14:paraId="328E3011" w14:textId="77777777" w:rsidR="00E44862" w:rsidRPr="00A700E7" w:rsidRDefault="00E44862" w:rsidP="007A6B1F">
            <w:pPr>
              <w:jc w:val="left"/>
              <w:rPr>
                <w:sz w:val="20"/>
                <w:szCs w:val="20"/>
              </w:rPr>
            </w:pPr>
          </w:p>
        </w:tc>
        <w:tc>
          <w:tcPr>
            <w:tcW w:w="628" w:type="pct"/>
            <w:shd w:val="clear" w:color="auto" w:fill="D9D9D9" w:themeFill="background1" w:themeFillShade="D9"/>
          </w:tcPr>
          <w:p w14:paraId="13D6D3C5" w14:textId="77777777" w:rsidR="00E44862" w:rsidRPr="00A700E7" w:rsidRDefault="00E44862" w:rsidP="007A6B1F">
            <w:pPr>
              <w:jc w:val="left"/>
              <w:rPr>
                <w:sz w:val="20"/>
                <w:szCs w:val="20"/>
              </w:rPr>
            </w:pPr>
          </w:p>
        </w:tc>
        <w:tc>
          <w:tcPr>
            <w:tcW w:w="626" w:type="pct"/>
            <w:shd w:val="clear" w:color="auto" w:fill="D9D9D9" w:themeFill="background1" w:themeFillShade="D9"/>
          </w:tcPr>
          <w:p w14:paraId="3386ED01" w14:textId="77777777" w:rsidR="00E44862" w:rsidRPr="00A700E7" w:rsidRDefault="00E44862" w:rsidP="007A6B1F">
            <w:pPr>
              <w:jc w:val="left"/>
              <w:rPr>
                <w:sz w:val="20"/>
                <w:szCs w:val="20"/>
              </w:rPr>
            </w:pPr>
          </w:p>
        </w:tc>
      </w:tr>
      <w:tr w:rsidR="00A700E7" w:rsidRPr="00A700E7" w14:paraId="353EAEE0" w14:textId="77777777" w:rsidTr="000A1E73">
        <w:tc>
          <w:tcPr>
            <w:tcW w:w="2490" w:type="pct"/>
            <w:shd w:val="clear" w:color="auto" w:fill="auto"/>
          </w:tcPr>
          <w:p w14:paraId="42ED2398" w14:textId="77777777" w:rsidR="00E44862" w:rsidRPr="00A700E7" w:rsidRDefault="00E44862" w:rsidP="007A6B1F">
            <w:pPr>
              <w:jc w:val="left"/>
              <w:rPr>
                <w:sz w:val="20"/>
                <w:szCs w:val="20"/>
              </w:rPr>
            </w:pPr>
            <w:r w:rsidRPr="00A700E7">
              <w:rPr>
                <w:sz w:val="20"/>
                <w:szCs w:val="20"/>
              </w:rPr>
              <w:t>Skin ulcer</w:t>
            </w:r>
          </w:p>
        </w:tc>
        <w:tc>
          <w:tcPr>
            <w:tcW w:w="628" w:type="pct"/>
            <w:shd w:val="clear" w:color="auto" w:fill="auto"/>
          </w:tcPr>
          <w:p w14:paraId="1E7B66E5" w14:textId="77777777" w:rsidR="00E44862" w:rsidRPr="00A700E7" w:rsidRDefault="00E44862" w:rsidP="007A6B1F">
            <w:pPr>
              <w:jc w:val="left"/>
              <w:rPr>
                <w:sz w:val="20"/>
                <w:szCs w:val="20"/>
              </w:rPr>
            </w:pPr>
            <w:r w:rsidRPr="00A700E7">
              <w:rPr>
                <w:sz w:val="20"/>
                <w:szCs w:val="20"/>
              </w:rPr>
              <w:t>3</w:t>
            </w:r>
          </w:p>
        </w:tc>
        <w:tc>
          <w:tcPr>
            <w:tcW w:w="628" w:type="pct"/>
            <w:shd w:val="clear" w:color="auto" w:fill="auto"/>
          </w:tcPr>
          <w:p w14:paraId="7F272F83" w14:textId="77777777" w:rsidR="00E44862" w:rsidRPr="00A700E7" w:rsidRDefault="00E44862" w:rsidP="007A6B1F">
            <w:pPr>
              <w:jc w:val="left"/>
              <w:rPr>
                <w:sz w:val="20"/>
                <w:szCs w:val="20"/>
              </w:rPr>
            </w:pPr>
            <w:r w:rsidRPr="00A700E7">
              <w:rPr>
                <w:sz w:val="20"/>
                <w:szCs w:val="20"/>
              </w:rPr>
              <w:t>1.2%</w:t>
            </w:r>
          </w:p>
        </w:tc>
        <w:tc>
          <w:tcPr>
            <w:tcW w:w="628" w:type="pct"/>
            <w:shd w:val="clear" w:color="auto" w:fill="auto"/>
          </w:tcPr>
          <w:p w14:paraId="1D56AA01" w14:textId="77777777" w:rsidR="00E44862" w:rsidRPr="00A700E7" w:rsidRDefault="00E44862" w:rsidP="007A6B1F">
            <w:pPr>
              <w:jc w:val="left"/>
              <w:rPr>
                <w:sz w:val="20"/>
                <w:szCs w:val="20"/>
              </w:rPr>
            </w:pPr>
            <w:r w:rsidRPr="00A700E7">
              <w:rPr>
                <w:sz w:val="20"/>
                <w:szCs w:val="20"/>
              </w:rPr>
              <w:t>8</w:t>
            </w:r>
          </w:p>
        </w:tc>
        <w:tc>
          <w:tcPr>
            <w:tcW w:w="626" w:type="pct"/>
            <w:shd w:val="clear" w:color="auto" w:fill="auto"/>
          </w:tcPr>
          <w:p w14:paraId="20C4B41E" w14:textId="77777777" w:rsidR="00E44862" w:rsidRPr="00A700E7" w:rsidRDefault="00E44862" w:rsidP="007A6B1F">
            <w:pPr>
              <w:jc w:val="left"/>
              <w:rPr>
                <w:sz w:val="20"/>
                <w:szCs w:val="20"/>
              </w:rPr>
            </w:pPr>
            <w:r w:rsidRPr="00A700E7">
              <w:rPr>
                <w:sz w:val="20"/>
                <w:szCs w:val="20"/>
              </w:rPr>
              <w:t>3.3%</w:t>
            </w:r>
          </w:p>
        </w:tc>
      </w:tr>
      <w:tr w:rsidR="00A700E7" w:rsidRPr="00A700E7" w14:paraId="1084E9DF" w14:textId="77777777" w:rsidTr="0038466A">
        <w:tc>
          <w:tcPr>
            <w:tcW w:w="2490" w:type="pct"/>
            <w:shd w:val="clear" w:color="auto" w:fill="D9D9D9" w:themeFill="background1" w:themeFillShade="D9"/>
          </w:tcPr>
          <w:p w14:paraId="40C7A842" w14:textId="77777777" w:rsidR="00E44862" w:rsidRPr="00A700E7" w:rsidRDefault="00E44862" w:rsidP="007A6B1F">
            <w:pPr>
              <w:jc w:val="left"/>
              <w:rPr>
                <w:sz w:val="20"/>
                <w:szCs w:val="20"/>
                <w:lang w:val="en-GB"/>
              </w:rPr>
            </w:pPr>
            <w:r w:rsidRPr="00A700E7">
              <w:rPr>
                <w:sz w:val="20"/>
                <w:szCs w:val="20"/>
                <w:lang w:val="en-GB"/>
              </w:rPr>
              <w:lastRenderedPageBreak/>
              <w:t>Vascular disorders</w:t>
            </w:r>
          </w:p>
        </w:tc>
        <w:tc>
          <w:tcPr>
            <w:tcW w:w="628" w:type="pct"/>
            <w:shd w:val="clear" w:color="auto" w:fill="D9D9D9" w:themeFill="background1" w:themeFillShade="D9"/>
          </w:tcPr>
          <w:p w14:paraId="468EC07F" w14:textId="77777777" w:rsidR="00E44862" w:rsidRPr="00A700E7" w:rsidRDefault="00E44862" w:rsidP="007A6B1F">
            <w:pPr>
              <w:jc w:val="left"/>
              <w:rPr>
                <w:sz w:val="20"/>
                <w:szCs w:val="20"/>
                <w:lang w:val="en-GB"/>
              </w:rPr>
            </w:pPr>
          </w:p>
        </w:tc>
        <w:tc>
          <w:tcPr>
            <w:tcW w:w="628" w:type="pct"/>
            <w:shd w:val="clear" w:color="auto" w:fill="D9D9D9" w:themeFill="background1" w:themeFillShade="D9"/>
          </w:tcPr>
          <w:p w14:paraId="6D7B9DC7" w14:textId="77777777" w:rsidR="00E44862" w:rsidRPr="00A700E7" w:rsidRDefault="00E44862" w:rsidP="007A6B1F">
            <w:pPr>
              <w:jc w:val="left"/>
              <w:rPr>
                <w:sz w:val="20"/>
                <w:szCs w:val="20"/>
                <w:lang w:val="en-GB"/>
              </w:rPr>
            </w:pPr>
          </w:p>
        </w:tc>
        <w:tc>
          <w:tcPr>
            <w:tcW w:w="628" w:type="pct"/>
            <w:shd w:val="clear" w:color="auto" w:fill="D9D9D9" w:themeFill="background1" w:themeFillShade="D9"/>
          </w:tcPr>
          <w:p w14:paraId="3A60CCBC" w14:textId="77777777" w:rsidR="00E44862" w:rsidRPr="00A700E7" w:rsidRDefault="00E44862" w:rsidP="007A6B1F">
            <w:pPr>
              <w:jc w:val="left"/>
              <w:rPr>
                <w:sz w:val="20"/>
                <w:szCs w:val="20"/>
                <w:lang w:val="en-GB"/>
              </w:rPr>
            </w:pPr>
          </w:p>
        </w:tc>
        <w:tc>
          <w:tcPr>
            <w:tcW w:w="626" w:type="pct"/>
            <w:shd w:val="clear" w:color="auto" w:fill="D9D9D9" w:themeFill="background1" w:themeFillShade="D9"/>
          </w:tcPr>
          <w:p w14:paraId="2E9B2270" w14:textId="77777777" w:rsidR="00E44862" w:rsidRPr="00A700E7" w:rsidRDefault="00E44862" w:rsidP="007A6B1F">
            <w:pPr>
              <w:jc w:val="left"/>
              <w:rPr>
                <w:sz w:val="20"/>
                <w:szCs w:val="20"/>
                <w:lang w:val="en-GB"/>
              </w:rPr>
            </w:pPr>
          </w:p>
        </w:tc>
      </w:tr>
      <w:tr w:rsidR="00E44862" w:rsidRPr="00A700E7" w14:paraId="64F17AF8" w14:textId="77777777" w:rsidTr="000A1E73">
        <w:tc>
          <w:tcPr>
            <w:tcW w:w="2490" w:type="pct"/>
            <w:shd w:val="clear" w:color="auto" w:fill="auto"/>
          </w:tcPr>
          <w:p w14:paraId="560CD8EA" w14:textId="77777777" w:rsidR="00E44862" w:rsidRPr="00A700E7" w:rsidRDefault="00E44862" w:rsidP="007A6B1F">
            <w:pPr>
              <w:jc w:val="left"/>
              <w:rPr>
                <w:sz w:val="20"/>
                <w:szCs w:val="20"/>
                <w:lang w:val="en-GB"/>
              </w:rPr>
            </w:pPr>
            <w:r w:rsidRPr="00A700E7">
              <w:rPr>
                <w:sz w:val="20"/>
                <w:szCs w:val="20"/>
                <w:lang w:val="en-GB"/>
              </w:rPr>
              <w:t>Hypotension</w:t>
            </w:r>
          </w:p>
        </w:tc>
        <w:tc>
          <w:tcPr>
            <w:tcW w:w="628" w:type="pct"/>
            <w:shd w:val="clear" w:color="auto" w:fill="auto"/>
          </w:tcPr>
          <w:p w14:paraId="45EA7F18" w14:textId="77777777" w:rsidR="00E44862" w:rsidRPr="00A700E7" w:rsidRDefault="00E44862" w:rsidP="007A6B1F">
            <w:pPr>
              <w:jc w:val="left"/>
              <w:rPr>
                <w:sz w:val="20"/>
                <w:szCs w:val="20"/>
                <w:lang w:val="en-GB"/>
              </w:rPr>
            </w:pPr>
            <w:r w:rsidRPr="00A700E7">
              <w:rPr>
                <w:sz w:val="20"/>
                <w:szCs w:val="20"/>
                <w:lang w:val="en-GB"/>
              </w:rPr>
              <w:t>11</w:t>
            </w:r>
          </w:p>
        </w:tc>
        <w:tc>
          <w:tcPr>
            <w:tcW w:w="628" w:type="pct"/>
            <w:shd w:val="clear" w:color="auto" w:fill="auto"/>
          </w:tcPr>
          <w:p w14:paraId="501A9FBF" w14:textId="77777777" w:rsidR="00E44862" w:rsidRPr="00A700E7" w:rsidRDefault="00E44862" w:rsidP="007A6B1F">
            <w:pPr>
              <w:jc w:val="left"/>
              <w:rPr>
                <w:sz w:val="20"/>
                <w:szCs w:val="20"/>
                <w:lang w:val="en-GB"/>
              </w:rPr>
            </w:pPr>
            <w:r w:rsidRPr="00A700E7">
              <w:rPr>
                <w:sz w:val="20"/>
                <w:szCs w:val="20"/>
                <w:lang w:val="en-GB"/>
              </w:rPr>
              <w:t>4.4%</w:t>
            </w:r>
          </w:p>
        </w:tc>
        <w:tc>
          <w:tcPr>
            <w:tcW w:w="628" w:type="pct"/>
            <w:shd w:val="clear" w:color="auto" w:fill="auto"/>
          </w:tcPr>
          <w:p w14:paraId="286F4F09" w14:textId="77777777" w:rsidR="00E44862" w:rsidRPr="00A700E7" w:rsidRDefault="00E44862" w:rsidP="007A6B1F">
            <w:pPr>
              <w:jc w:val="left"/>
              <w:rPr>
                <w:sz w:val="20"/>
                <w:szCs w:val="20"/>
                <w:lang w:val="en-GB"/>
              </w:rPr>
            </w:pPr>
            <w:r w:rsidRPr="00A700E7">
              <w:rPr>
                <w:sz w:val="20"/>
                <w:szCs w:val="20"/>
                <w:lang w:val="en-GB"/>
              </w:rPr>
              <w:t>15</w:t>
            </w:r>
          </w:p>
        </w:tc>
        <w:tc>
          <w:tcPr>
            <w:tcW w:w="626" w:type="pct"/>
            <w:shd w:val="clear" w:color="auto" w:fill="auto"/>
          </w:tcPr>
          <w:p w14:paraId="5137CE48" w14:textId="77777777" w:rsidR="00E44862" w:rsidRPr="00A700E7" w:rsidRDefault="00E44862" w:rsidP="007A6B1F">
            <w:pPr>
              <w:jc w:val="left"/>
              <w:rPr>
                <w:sz w:val="20"/>
                <w:szCs w:val="20"/>
                <w:lang w:val="en-GB"/>
              </w:rPr>
            </w:pPr>
            <w:r w:rsidRPr="00A700E7">
              <w:rPr>
                <w:sz w:val="20"/>
                <w:szCs w:val="20"/>
                <w:lang w:val="en-GB"/>
              </w:rPr>
              <w:t>7.0%</w:t>
            </w:r>
          </w:p>
        </w:tc>
      </w:tr>
    </w:tbl>
    <w:p w14:paraId="30CC1E08" w14:textId="77777777" w:rsidR="00E734CD" w:rsidRPr="00A700E7" w:rsidRDefault="00E734CD" w:rsidP="007A6B1F">
      <w:pPr>
        <w:jc w:val="left"/>
        <w:rPr>
          <w:sz w:val="20"/>
          <w:szCs w:val="20"/>
          <w:highlight w:val="yellow"/>
        </w:rPr>
      </w:pPr>
    </w:p>
    <w:p w14:paraId="048EBA3F" w14:textId="77777777" w:rsidR="0074285B" w:rsidRPr="00A700E7" w:rsidRDefault="0074285B" w:rsidP="007A6B1F">
      <w:pPr>
        <w:jc w:val="left"/>
        <w:rPr>
          <w:sz w:val="20"/>
          <w:szCs w:val="20"/>
          <w:highlight w:val="yellow"/>
          <w:lang w:val="en-GB"/>
        </w:rPr>
      </w:pPr>
    </w:p>
    <w:p w14:paraId="7852F9AA" w14:textId="34631F1A" w:rsidR="00E44862" w:rsidRPr="00A700E7" w:rsidRDefault="00E44862" w:rsidP="007A6B1F">
      <w:pPr>
        <w:jc w:val="left"/>
        <w:rPr>
          <w:rFonts w:eastAsia="Calibri"/>
          <w:b/>
          <w:bCs/>
          <w:sz w:val="20"/>
          <w:szCs w:val="20"/>
          <w:lang w:val="en-GB"/>
        </w:rPr>
      </w:pPr>
      <w:r w:rsidRPr="00A700E7">
        <w:rPr>
          <w:b/>
          <w:bCs/>
          <w:sz w:val="20"/>
          <w:szCs w:val="20"/>
          <w:lang w:val="en-GB"/>
        </w:rPr>
        <w:t xml:space="preserve">Table </w:t>
      </w:r>
      <w:r w:rsidR="004A5BFD" w:rsidRPr="00A700E7">
        <w:rPr>
          <w:b/>
          <w:bCs/>
          <w:sz w:val="20"/>
          <w:szCs w:val="20"/>
          <w:lang w:val="en-GB"/>
        </w:rPr>
        <w:t xml:space="preserve">5 </w:t>
      </w:r>
      <w:r w:rsidRPr="00A700E7">
        <w:rPr>
          <w:b/>
          <w:bCs/>
          <w:sz w:val="20"/>
          <w:szCs w:val="20"/>
          <w:lang w:val="en-GB"/>
        </w:rPr>
        <w:t>Adverse reactions occurring in macitentan-treated subjects at an incidence &lt;</w:t>
      </w:r>
      <w:r w:rsidR="0038466A" w:rsidRPr="00A700E7">
        <w:rPr>
          <w:b/>
          <w:bCs/>
          <w:sz w:val="20"/>
          <w:szCs w:val="20"/>
          <w:lang w:val="en-GB"/>
        </w:rPr>
        <w:t xml:space="preserve"> </w:t>
      </w:r>
      <w:r w:rsidRPr="00A700E7">
        <w:rPr>
          <w:b/>
          <w:bCs/>
          <w:sz w:val="20"/>
          <w:szCs w:val="20"/>
          <w:lang w:val="en-GB"/>
        </w:rPr>
        <w:t xml:space="preserve">3 % and with a placebo-corrected difference </w:t>
      </w:r>
      <w:r w:rsidRPr="00A700E7">
        <w:rPr>
          <w:rFonts w:hint="eastAsia"/>
          <w:b/>
          <w:bCs/>
          <w:sz w:val="20"/>
          <w:szCs w:val="20"/>
          <w:lang w:val="en-GB"/>
        </w:rPr>
        <w:t>≥</w:t>
      </w:r>
      <w:r w:rsidR="0038466A" w:rsidRPr="00A700E7">
        <w:rPr>
          <w:b/>
          <w:bCs/>
          <w:sz w:val="20"/>
          <w:szCs w:val="20"/>
          <w:lang w:val="en-GB"/>
        </w:rPr>
        <w:t xml:space="preserve"> </w:t>
      </w:r>
      <w:r w:rsidRPr="00A700E7">
        <w:rPr>
          <w:b/>
          <w:bCs/>
          <w:sz w:val="20"/>
          <w:szCs w:val="20"/>
          <w:lang w:val="en-GB"/>
        </w:rPr>
        <w:t>1 % (during treatment and up to 28 days after treatment discontinuation)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678"/>
      </w:tblGrid>
      <w:tr w:rsidR="00A700E7" w:rsidRPr="00A700E7" w14:paraId="7E076FBB" w14:textId="77777777" w:rsidTr="00827D4C">
        <w:trPr>
          <w:tblHeader/>
        </w:trPr>
        <w:tc>
          <w:tcPr>
            <w:tcW w:w="3544" w:type="dxa"/>
            <w:shd w:val="clear" w:color="auto" w:fill="auto"/>
          </w:tcPr>
          <w:p w14:paraId="2240E838" w14:textId="77777777" w:rsidR="00E44862" w:rsidRPr="00A700E7" w:rsidRDefault="00E44862" w:rsidP="007A6B1F">
            <w:pPr>
              <w:jc w:val="left"/>
              <w:rPr>
                <w:sz w:val="20"/>
                <w:szCs w:val="20"/>
              </w:rPr>
            </w:pPr>
            <w:r w:rsidRPr="00A700E7">
              <w:rPr>
                <w:sz w:val="20"/>
                <w:szCs w:val="20"/>
              </w:rPr>
              <w:t>System Organ Class</w:t>
            </w:r>
          </w:p>
        </w:tc>
        <w:tc>
          <w:tcPr>
            <w:tcW w:w="4678" w:type="dxa"/>
            <w:shd w:val="clear" w:color="auto" w:fill="auto"/>
          </w:tcPr>
          <w:p w14:paraId="2F1970C1" w14:textId="50121662" w:rsidR="00E44862" w:rsidRPr="00A700E7" w:rsidRDefault="00E44862" w:rsidP="007A6B1F">
            <w:pPr>
              <w:jc w:val="left"/>
              <w:rPr>
                <w:sz w:val="20"/>
                <w:szCs w:val="20"/>
              </w:rPr>
            </w:pPr>
            <w:r w:rsidRPr="00A700E7">
              <w:rPr>
                <w:sz w:val="20"/>
                <w:szCs w:val="20"/>
              </w:rPr>
              <w:t xml:space="preserve">Common </w:t>
            </w:r>
            <w:r w:rsidRPr="00A700E7">
              <w:rPr>
                <w:sz w:val="20"/>
                <w:szCs w:val="20"/>
              </w:rPr>
              <w:br/>
            </w:r>
            <w:r w:rsidR="0038466A" w:rsidRPr="00A700E7">
              <w:rPr>
                <w:sz w:val="20"/>
                <w:szCs w:val="20"/>
              </w:rPr>
              <w:t>(</w:t>
            </w:r>
            <w:r w:rsidRPr="00A700E7">
              <w:rPr>
                <w:rFonts w:hint="eastAsia"/>
                <w:sz w:val="20"/>
                <w:szCs w:val="20"/>
              </w:rPr>
              <w:t>≥</w:t>
            </w:r>
            <w:r w:rsidRPr="00A700E7">
              <w:rPr>
                <w:sz w:val="20"/>
                <w:szCs w:val="20"/>
              </w:rPr>
              <w:t xml:space="preserve"> 1/100 and &lt; 1/10)</w:t>
            </w:r>
          </w:p>
        </w:tc>
      </w:tr>
      <w:tr w:rsidR="00A700E7" w:rsidRPr="00A700E7" w14:paraId="36DA087C" w14:textId="77777777" w:rsidTr="00C820B7">
        <w:tc>
          <w:tcPr>
            <w:tcW w:w="3544" w:type="dxa"/>
            <w:shd w:val="clear" w:color="auto" w:fill="auto"/>
          </w:tcPr>
          <w:p w14:paraId="7E564E0B" w14:textId="77777777" w:rsidR="00E44862" w:rsidRPr="00A700E7" w:rsidRDefault="00E44862" w:rsidP="007A6B1F">
            <w:pPr>
              <w:jc w:val="left"/>
              <w:rPr>
                <w:sz w:val="20"/>
                <w:szCs w:val="20"/>
              </w:rPr>
            </w:pPr>
            <w:r w:rsidRPr="00A700E7">
              <w:rPr>
                <w:sz w:val="20"/>
                <w:szCs w:val="20"/>
              </w:rPr>
              <w:t xml:space="preserve">Eye disorders </w:t>
            </w:r>
          </w:p>
        </w:tc>
        <w:tc>
          <w:tcPr>
            <w:tcW w:w="4678" w:type="dxa"/>
            <w:shd w:val="clear" w:color="auto" w:fill="auto"/>
          </w:tcPr>
          <w:p w14:paraId="4FFCF89A" w14:textId="77777777" w:rsidR="00E44862" w:rsidRPr="00A700E7" w:rsidRDefault="00E44862" w:rsidP="007A6B1F">
            <w:pPr>
              <w:jc w:val="left"/>
              <w:rPr>
                <w:sz w:val="20"/>
                <w:szCs w:val="20"/>
              </w:rPr>
            </w:pPr>
            <w:r w:rsidRPr="00A700E7">
              <w:rPr>
                <w:sz w:val="20"/>
                <w:szCs w:val="20"/>
              </w:rPr>
              <w:t>Conjunctivitis</w:t>
            </w:r>
          </w:p>
        </w:tc>
      </w:tr>
      <w:tr w:rsidR="00A700E7" w:rsidRPr="00A700E7" w14:paraId="645AA7D3" w14:textId="77777777" w:rsidTr="0094392C">
        <w:trPr>
          <w:trHeight w:val="650"/>
        </w:trPr>
        <w:tc>
          <w:tcPr>
            <w:tcW w:w="3544" w:type="dxa"/>
            <w:shd w:val="clear" w:color="auto" w:fill="auto"/>
          </w:tcPr>
          <w:p w14:paraId="65843D09" w14:textId="77777777" w:rsidR="00E44862" w:rsidRPr="00A700E7" w:rsidRDefault="00E44862" w:rsidP="007A6B1F">
            <w:pPr>
              <w:jc w:val="left"/>
              <w:rPr>
                <w:sz w:val="20"/>
                <w:szCs w:val="20"/>
              </w:rPr>
            </w:pPr>
            <w:r w:rsidRPr="00A700E7">
              <w:rPr>
                <w:sz w:val="20"/>
                <w:szCs w:val="20"/>
              </w:rPr>
              <w:t>Gastrointestinal disorders</w:t>
            </w:r>
          </w:p>
        </w:tc>
        <w:tc>
          <w:tcPr>
            <w:tcW w:w="4678" w:type="dxa"/>
            <w:shd w:val="clear" w:color="auto" w:fill="auto"/>
          </w:tcPr>
          <w:p w14:paraId="1D2660C2" w14:textId="77777777" w:rsidR="00E44862" w:rsidRPr="00A700E7" w:rsidRDefault="00E44862" w:rsidP="007A6B1F">
            <w:pPr>
              <w:jc w:val="left"/>
              <w:rPr>
                <w:sz w:val="20"/>
                <w:szCs w:val="20"/>
              </w:rPr>
            </w:pPr>
            <w:r w:rsidRPr="00A700E7">
              <w:rPr>
                <w:sz w:val="20"/>
                <w:szCs w:val="20"/>
              </w:rPr>
              <w:t xml:space="preserve">Abdominal pain, Irritable bowel syndrome, </w:t>
            </w:r>
            <w:proofErr w:type="spellStart"/>
            <w:r w:rsidRPr="00A700E7">
              <w:rPr>
                <w:sz w:val="20"/>
                <w:szCs w:val="20"/>
              </w:rPr>
              <w:t>Haemorrhoids</w:t>
            </w:r>
            <w:proofErr w:type="spellEnd"/>
            <w:r w:rsidRPr="00A700E7">
              <w:rPr>
                <w:sz w:val="20"/>
                <w:szCs w:val="20"/>
              </w:rPr>
              <w:t xml:space="preserve"> </w:t>
            </w:r>
          </w:p>
        </w:tc>
      </w:tr>
      <w:tr w:rsidR="00A700E7" w:rsidRPr="00A700E7" w14:paraId="2828EE70" w14:textId="77777777" w:rsidTr="00C820B7">
        <w:tc>
          <w:tcPr>
            <w:tcW w:w="3544" w:type="dxa"/>
            <w:shd w:val="clear" w:color="auto" w:fill="auto"/>
          </w:tcPr>
          <w:p w14:paraId="04E53015" w14:textId="77777777" w:rsidR="00E44862" w:rsidRPr="00A700E7" w:rsidRDefault="00E44862" w:rsidP="007A6B1F">
            <w:pPr>
              <w:jc w:val="left"/>
              <w:rPr>
                <w:sz w:val="20"/>
                <w:szCs w:val="20"/>
              </w:rPr>
            </w:pPr>
            <w:r w:rsidRPr="00A700E7">
              <w:rPr>
                <w:sz w:val="20"/>
                <w:szCs w:val="20"/>
              </w:rPr>
              <w:t>Hepatobiliary disorders</w:t>
            </w:r>
          </w:p>
        </w:tc>
        <w:tc>
          <w:tcPr>
            <w:tcW w:w="4678" w:type="dxa"/>
            <w:shd w:val="clear" w:color="auto" w:fill="auto"/>
          </w:tcPr>
          <w:p w14:paraId="677254B7" w14:textId="77777777" w:rsidR="00E44862" w:rsidRPr="00A700E7" w:rsidRDefault="00E44862" w:rsidP="007A6B1F">
            <w:pPr>
              <w:jc w:val="left"/>
              <w:rPr>
                <w:sz w:val="20"/>
                <w:szCs w:val="20"/>
              </w:rPr>
            </w:pPr>
            <w:r w:rsidRPr="00A700E7">
              <w:rPr>
                <w:sz w:val="20"/>
                <w:szCs w:val="20"/>
              </w:rPr>
              <w:t>Cholelithiasis</w:t>
            </w:r>
          </w:p>
        </w:tc>
      </w:tr>
      <w:tr w:rsidR="00A700E7" w:rsidRPr="00A700E7" w14:paraId="4C4E40EF" w14:textId="77777777" w:rsidTr="00C820B7">
        <w:trPr>
          <w:trHeight w:val="576"/>
        </w:trPr>
        <w:tc>
          <w:tcPr>
            <w:tcW w:w="3544" w:type="dxa"/>
            <w:shd w:val="clear" w:color="auto" w:fill="auto"/>
          </w:tcPr>
          <w:p w14:paraId="454FFF20" w14:textId="77777777" w:rsidR="00E44862" w:rsidRPr="00A700E7" w:rsidRDefault="00E44862" w:rsidP="007A6B1F">
            <w:pPr>
              <w:jc w:val="left"/>
              <w:rPr>
                <w:sz w:val="20"/>
                <w:szCs w:val="20"/>
              </w:rPr>
            </w:pPr>
            <w:r w:rsidRPr="00A700E7">
              <w:rPr>
                <w:sz w:val="20"/>
                <w:szCs w:val="20"/>
              </w:rPr>
              <w:t>Infections and infestations</w:t>
            </w:r>
          </w:p>
        </w:tc>
        <w:tc>
          <w:tcPr>
            <w:tcW w:w="4678" w:type="dxa"/>
            <w:shd w:val="clear" w:color="auto" w:fill="auto"/>
          </w:tcPr>
          <w:p w14:paraId="28FB508F" w14:textId="77777777" w:rsidR="00E44862" w:rsidRPr="00A700E7" w:rsidRDefault="00E44862" w:rsidP="007A6B1F">
            <w:pPr>
              <w:jc w:val="left"/>
              <w:rPr>
                <w:sz w:val="20"/>
                <w:szCs w:val="20"/>
              </w:rPr>
            </w:pPr>
            <w:r w:rsidRPr="00A700E7">
              <w:rPr>
                <w:sz w:val="20"/>
                <w:szCs w:val="20"/>
              </w:rPr>
              <w:t>Lower respiratory tract infection, Gastroenteritis viral, Tracheitis, Tonsillitis</w:t>
            </w:r>
          </w:p>
        </w:tc>
      </w:tr>
      <w:tr w:rsidR="00A700E7" w:rsidRPr="00A700E7" w14:paraId="6DDD34B3" w14:textId="77777777" w:rsidTr="00C820B7">
        <w:trPr>
          <w:trHeight w:val="623"/>
        </w:trPr>
        <w:tc>
          <w:tcPr>
            <w:tcW w:w="3544" w:type="dxa"/>
            <w:shd w:val="clear" w:color="auto" w:fill="auto"/>
          </w:tcPr>
          <w:p w14:paraId="711DF97F" w14:textId="77777777" w:rsidR="00E44862" w:rsidRPr="00A700E7" w:rsidRDefault="00E44862" w:rsidP="007A6B1F">
            <w:pPr>
              <w:jc w:val="left"/>
              <w:rPr>
                <w:sz w:val="20"/>
                <w:szCs w:val="20"/>
              </w:rPr>
            </w:pPr>
            <w:r w:rsidRPr="00A700E7">
              <w:rPr>
                <w:sz w:val="20"/>
                <w:szCs w:val="20"/>
              </w:rPr>
              <w:t>Investigations</w:t>
            </w:r>
          </w:p>
        </w:tc>
        <w:tc>
          <w:tcPr>
            <w:tcW w:w="4678" w:type="dxa"/>
            <w:shd w:val="clear" w:color="auto" w:fill="auto"/>
          </w:tcPr>
          <w:p w14:paraId="25F973D3" w14:textId="77777777" w:rsidR="00E44862" w:rsidRPr="00A700E7" w:rsidRDefault="00E44862" w:rsidP="007A6B1F">
            <w:pPr>
              <w:jc w:val="left"/>
              <w:rPr>
                <w:sz w:val="20"/>
                <w:szCs w:val="20"/>
              </w:rPr>
            </w:pPr>
            <w:proofErr w:type="spellStart"/>
            <w:r w:rsidRPr="00A700E7">
              <w:rPr>
                <w:sz w:val="20"/>
                <w:szCs w:val="20"/>
              </w:rPr>
              <w:t>Haemoglobin</w:t>
            </w:r>
            <w:proofErr w:type="spellEnd"/>
            <w:r w:rsidRPr="00A700E7">
              <w:rPr>
                <w:sz w:val="20"/>
                <w:szCs w:val="20"/>
              </w:rPr>
              <w:t xml:space="preserve"> decreased, </w:t>
            </w:r>
            <w:proofErr w:type="spellStart"/>
            <w:r w:rsidRPr="00A700E7">
              <w:rPr>
                <w:sz w:val="20"/>
                <w:szCs w:val="20"/>
              </w:rPr>
              <w:t>Haematocrit</w:t>
            </w:r>
            <w:proofErr w:type="spellEnd"/>
            <w:r w:rsidRPr="00A700E7">
              <w:rPr>
                <w:sz w:val="20"/>
                <w:szCs w:val="20"/>
              </w:rPr>
              <w:t xml:space="preserve"> decreased, Blood urea increased</w:t>
            </w:r>
          </w:p>
        </w:tc>
      </w:tr>
      <w:tr w:rsidR="00A700E7" w:rsidRPr="00A700E7" w14:paraId="370C8B9B" w14:textId="77777777" w:rsidTr="00C820B7">
        <w:tc>
          <w:tcPr>
            <w:tcW w:w="3544" w:type="dxa"/>
            <w:shd w:val="clear" w:color="auto" w:fill="auto"/>
          </w:tcPr>
          <w:p w14:paraId="5A3BA911" w14:textId="77777777" w:rsidR="00E44862" w:rsidRPr="00A700E7" w:rsidRDefault="00E44862" w:rsidP="007A6B1F">
            <w:pPr>
              <w:jc w:val="left"/>
              <w:rPr>
                <w:sz w:val="20"/>
                <w:szCs w:val="20"/>
              </w:rPr>
            </w:pPr>
            <w:r w:rsidRPr="00A700E7">
              <w:rPr>
                <w:sz w:val="20"/>
                <w:szCs w:val="20"/>
              </w:rPr>
              <w:t xml:space="preserve">Metabolism and </w:t>
            </w:r>
            <w:proofErr w:type="gramStart"/>
            <w:r w:rsidRPr="00A700E7">
              <w:rPr>
                <w:sz w:val="20"/>
                <w:szCs w:val="20"/>
              </w:rPr>
              <w:t>nutrition</w:t>
            </w:r>
            <w:proofErr w:type="gramEnd"/>
            <w:r w:rsidRPr="00A700E7">
              <w:rPr>
                <w:sz w:val="20"/>
                <w:szCs w:val="20"/>
              </w:rPr>
              <w:t xml:space="preserve"> disorders</w:t>
            </w:r>
          </w:p>
        </w:tc>
        <w:tc>
          <w:tcPr>
            <w:tcW w:w="4678" w:type="dxa"/>
            <w:shd w:val="clear" w:color="auto" w:fill="auto"/>
          </w:tcPr>
          <w:p w14:paraId="3DD1DCB3" w14:textId="77777777" w:rsidR="00E44862" w:rsidRPr="00A700E7" w:rsidRDefault="00E44862" w:rsidP="007A6B1F">
            <w:pPr>
              <w:jc w:val="left"/>
              <w:rPr>
                <w:sz w:val="20"/>
                <w:szCs w:val="20"/>
              </w:rPr>
            </w:pPr>
            <w:proofErr w:type="spellStart"/>
            <w:r w:rsidRPr="00A700E7">
              <w:rPr>
                <w:sz w:val="20"/>
                <w:szCs w:val="20"/>
              </w:rPr>
              <w:t>Hyperkalaemia</w:t>
            </w:r>
            <w:proofErr w:type="spellEnd"/>
          </w:p>
        </w:tc>
      </w:tr>
      <w:tr w:rsidR="00A700E7" w:rsidRPr="00A700E7" w14:paraId="6010340B" w14:textId="77777777" w:rsidTr="00C820B7">
        <w:trPr>
          <w:trHeight w:val="516"/>
        </w:trPr>
        <w:tc>
          <w:tcPr>
            <w:tcW w:w="3544" w:type="dxa"/>
            <w:shd w:val="clear" w:color="auto" w:fill="auto"/>
          </w:tcPr>
          <w:p w14:paraId="77548535" w14:textId="77777777" w:rsidR="00E44862" w:rsidRPr="00A700E7" w:rsidRDefault="00E44862" w:rsidP="007A6B1F">
            <w:pPr>
              <w:jc w:val="left"/>
              <w:rPr>
                <w:sz w:val="20"/>
                <w:szCs w:val="20"/>
              </w:rPr>
            </w:pPr>
            <w:r w:rsidRPr="00A700E7">
              <w:rPr>
                <w:sz w:val="20"/>
                <w:szCs w:val="20"/>
              </w:rPr>
              <w:t>Musculoskeletal and connective tissue disorders</w:t>
            </w:r>
          </w:p>
        </w:tc>
        <w:tc>
          <w:tcPr>
            <w:tcW w:w="4678" w:type="dxa"/>
            <w:shd w:val="clear" w:color="auto" w:fill="auto"/>
          </w:tcPr>
          <w:p w14:paraId="00874289" w14:textId="77777777" w:rsidR="00E44862" w:rsidRPr="00A700E7" w:rsidRDefault="00E44862" w:rsidP="007A6B1F">
            <w:pPr>
              <w:jc w:val="left"/>
              <w:rPr>
                <w:sz w:val="20"/>
                <w:szCs w:val="20"/>
              </w:rPr>
            </w:pPr>
            <w:r w:rsidRPr="00A700E7">
              <w:rPr>
                <w:sz w:val="20"/>
                <w:szCs w:val="20"/>
              </w:rPr>
              <w:t>Systemic sclerosis, Costochondritis</w:t>
            </w:r>
          </w:p>
        </w:tc>
      </w:tr>
      <w:tr w:rsidR="00A700E7" w:rsidRPr="00A700E7" w14:paraId="03F746CE" w14:textId="77777777" w:rsidTr="00C820B7">
        <w:tc>
          <w:tcPr>
            <w:tcW w:w="3544" w:type="dxa"/>
            <w:shd w:val="clear" w:color="auto" w:fill="auto"/>
          </w:tcPr>
          <w:p w14:paraId="68A985A0" w14:textId="77777777" w:rsidR="00E44862" w:rsidRPr="00A700E7" w:rsidRDefault="00E44862" w:rsidP="007A6B1F">
            <w:pPr>
              <w:jc w:val="left"/>
              <w:rPr>
                <w:sz w:val="20"/>
                <w:szCs w:val="20"/>
              </w:rPr>
            </w:pPr>
            <w:r w:rsidRPr="00A700E7">
              <w:rPr>
                <w:sz w:val="20"/>
                <w:szCs w:val="20"/>
              </w:rPr>
              <w:t>Nervous system disorders</w:t>
            </w:r>
          </w:p>
        </w:tc>
        <w:tc>
          <w:tcPr>
            <w:tcW w:w="4678" w:type="dxa"/>
            <w:shd w:val="clear" w:color="auto" w:fill="auto"/>
          </w:tcPr>
          <w:p w14:paraId="4A784B8D" w14:textId="77777777" w:rsidR="00E44862" w:rsidRPr="00A700E7" w:rsidRDefault="00E44862" w:rsidP="007A6B1F">
            <w:pPr>
              <w:jc w:val="left"/>
              <w:rPr>
                <w:sz w:val="20"/>
                <w:szCs w:val="20"/>
              </w:rPr>
            </w:pPr>
            <w:r w:rsidRPr="00A700E7">
              <w:rPr>
                <w:sz w:val="20"/>
                <w:szCs w:val="20"/>
              </w:rPr>
              <w:t>Migraine</w:t>
            </w:r>
          </w:p>
        </w:tc>
      </w:tr>
      <w:tr w:rsidR="00A700E7" w:rsidRPr="00F2095D" w14:paraId="5B3B2062" w14:textId="77777777" w:rsidTr="00C820B7">
        <w:trPr>
          <w:trHeight w:val="568"/>
        </w:trPr>
        <w:tc>
          <w:tcPr>
            <w:tcW w:w="3544" w:type="dxa"/>
            <w:shd w:val="clear" w:color="auto" w:fill="auto"/>
          </w:tcPr>
          <w:p w14:paraId="4063F380" w14:textId="77777777" w:rsidR="00E44862" w:rsidRPr="00A700E7" w:rsidRDefault="00E44862" w:rsidP="007A6B1F">
            <w:pPr>
              <w:jc w:val="left"/>
              <w:rPr>
                <w:sz w:val="20"/>
                <w:szCs w:val="20"/>
              </w:rPr>
            </w:pPr>
            <w:r w:rsidRPr="00A700E7">
              <w:rPr>
                <w:sz w:val="20"/>
                <w:szCs w:val="20"/>
              </w:rPr>
              <w:t>Reproductive system and breast disorders</w:t>
            </w:r>
          </w:p>
        </w:tc>
        <w:tc>
          <w:tcPr>
            <w:tcW w:w="4678" w:type="dxa"/>
            <w:shd w:val="clear" w:color="auto" w:fill="auto"/>
          </w:tcPr>
          <w:p w14:paraId="558144D9" w14:textId="77777777" w:rsidR="00E44862" w:rsidRPr="00A700E7" w:rsidRDefault="00E44862" w:rsidP="007A6B1F">
            <w:pPr>
              <w:jc w:val="left"/>
              <w:rPr>
                <w:sz w:val="20"/>
                <w:szCs w:val="20"/>
                <w:lang w:val="pt-PT"/>
              </w:rPr>
            </w:pPr>
            <w:r w:rsidRPr="00A700E7">
              <w:rPr>
                <w:sz w:val="20"/>
                <w:szCs w:val="20"/>
                <w:lang w:val="pt-PT"/>
              </w:rPr>
              <w:t>Metrorrhagia, Menorrhagia, Ovarian cyst, Gynaecomastia</w:t>
            </w:r>
          </w:p>
        </w:tc>
      </w:tr>
      <w:tr w:rsidR="00A700E7" w:rsidRPr="00A700E7" w14:paraId="143C4E12" w14:textId="77777777" w:rsidTr="00C820B7">
        <w:trPr>
          <w:trHeight w:val="779"/>
        </w:trPr>
        <w:tc>
          <w:tcPr>
            <w:tcW w:w="3544" w:type="dxa"/>
            <w:shd w:val="clear" w:color="auto" w:fill="auto"/>
          </w:tcPr>
          <w:p w14:paraId="06562A7E" w14:textId="77777777" w:rsidR="00E44862" w:rsidRPr="00A700E7" w:rsidRDefault="00E44862" w:rsidP="007A6B1F">
            <w:pPr>
              <w:jc w:val="left"/>
              <w:rPr>
                <w:sz w:val="20"/>
                <w:szCs w:val="20"/>
              </w:rPr>
            </w:pPr>
            <w:r w:rsidRPr="00A700E7">
              <w:rPr>
                <w:sz w:val="20"/>
                <w:szCs w:val="20"/>
              </w:rPr>
              <w:t>Respiratory, thoracic and mediastinal disorders</w:t>
            </w:r>
          </w:p>
        </w:tc>
        <w:tc>
          <w:tcPr>
            <w:tcW w:w="4678" w:type="dxa"/>
            <w:shd w:val="clear" w:color="auto" w:fill="auto"/>
          </w:tcPr>
          <w:p w14:paraId="32A8E3EA" w14:textId="77777777" w:rsidR="00E44862" w:rsidRPr="00A700E7" w:rsidRDefault="00E44862" w:rsidP="007A6B1F">
            <w:pPr>
              <w:jc w:val="left"/>
              <w:rPr>
                <w:sz w:val="20"/>
                <w:szCs w:val="20"/>
              </w:rPr>
            </w:pPr>
            <w:proofErr w:type="spellStart"/>
            <w:r w:rsidRPr="00A700E7">
              <w:rPr>
                <w:sz w:val="20"/>
                <w:szCs w:val="20"/>
              </w:rPr>
              <w:t>Rhinorrhoea</w:t>
            </w:r>
            <w:proofErr w:type="spellEnd"/>
            <w:r w:rsidRPr="00A700E7">
              <w:rPr>
                <w:sz w:val="20"/>
                <w:szCs w:val="20"/>
              </w:rPr>
              <w:t>, Productive cough, Bronchial hyperreactivity</w:t>
            </w:r>
          </w:p>
        </w:tc>
      </w:tr>
      <w:tr w:rsidR="00A700E7" w:rsidRPr="00A700E7" w14:paraId="52F4F74F" w14:textId="77777777" w:rsidTr="00C820B7">
        <w:trPr>
          <w:trHeight w:val="580"/>
        </w:trPr>
        <w:tc>
          <w:tcPr>
            <w:tcW w:w="3544" w:type="dxa"/>
            <w:shd w:val="clear" w:color="auto" w:fill="auto"/>
          </w:tcPr>
          <w:p w14:paraId="688BB5A5" w14:textId="77777777" w:rsidR="00E44862" w:rsidRPr="00A700E7" w:rsidRDefault="00E44862" w:rsidP="007A6B1F">
            <w:pPr>
              <w:jc w:val="left"/>
              <w:rPr>
                <w:sz w:val="20"/>
                <w:szCs w:val="20"/>
              </w:rPr>
            </w:pPr>
            <w:r w:rsidRPr="00A700E7">
              <w:rPr>
                <w:sz w:val="20"/>
                <w:szCs w:val="20"/>
              </w:rPr>
              <w:t>Skin and subcutaneous tissue disorders</w:t>
            </w:r>
          </w:p>
        </w:tc>
        <w:tc>
          <w:tcPr>
            <w:tcW w:w="4678" w:type="dxa"/>
            <w:shd w:val="clear" w:color="auto" w:fill="auto"/>
          </w:tcPr>
          <w:p w14:paraId="52C4621E" w14:textId="77777777" w:rsidR="00E44862" w:rsidRPr="00A700E7" w:rsidRDefault="00E44862" w:rsidP="007A6B1F">
            <w:pPr>
              <w:jc w:val="left"/>
              <w:rPr>
                <w:sz w:val="20"/>
                <w:szCs w:val="20"/>
              </w:rPr>
            </w:pPr>
            <w:r w:rsidRPr="00A700E7">
              <w:rPr>
                <w:sz w:val="20"/>
                <w:szCs w:val="20"/>
              </w:rPr>
              <w:t>Pruritus, Eczema, Urticaria</w:t>
            </w:r>
          </w:p>
        </w:tc>
      </w:tr>
      <w:tr w:rsidR="00E44862" w:rsidRPr="00A700E7" w14:paraId="098FBDAA" w14:textId="77777777" w:rsidTr="00C820B7">
        <w:tc>
          <w:tcPr>
            <w:tcW w:w="3544" w:type="dxa"/>
            <w:shd w:val="clear" w:color="auto" w:fill="auto"/>
          </w:tcPr>
          <w:p w14:paraId="1AC06672" w14:textId="77777777" w:rsidR="00E44862" w:rsidRPr="00A700E7" w:rsidRDefault="00E44862" w:rsidP="007A6B1F">
            <w:pPr>
              <w:jc w:val="left"/>
              <w:rPr>
                <w:sz w:val="20"/>
                <w:szCs w:val="20"/>
              </w:rPr>
            </w:pPr>
            <w:r w:rsidRPr="00A700E7">
              <w:rPr>
                <w:sz w:val="20"/>
                <w:szCs w:val="20"/>
              </w:rPr>
              <w:t>Vascular disorders</w:t>
            </w:r>
          </w:p>
        </w:tc>
        <w:tc>
          <w:tcPr>
            <w:tcW w:w="4678" w:type="dxa"/>
            <w:shd w:val="clear" w:color="auto" w:fill="auto"/>
          </w:tcPr>
          <w:p w14:paraId="6226E799" w14:textId="77777777" w:rsidR="00E44862" w:rsidRPr="00A700E7" w:rsidRDefault="00E44862" w:rsidP="007A6B1F">
            <w:pPr>
              <w:jc w:val="left"/>
              <w:rPr>
                <w:sz w:val="20"/>
                <w:szCs w:val="20"/>
              </w:rPr>
            </w:pPr>
            <w:r w:rsidRPr="00A700E7">
              <w:rPr>
                <w:sz w:val="20"/>
                <w:szCs w:val="20"/>
              </w:rPr>
              <w:t>Flushing</w:t>
            </w:r>
          </w:p>
        </w:tc>
      </w:tr>
    </w:tbl>
    <w:p w14:paraId="6A6BD781" w14:textId="77777777" w:rsidR="00E44862" w:rsidRPr="00A700E7" w:rsidRDefault="00E44862" w:rsidP="007A6B1F">
      <w:pPr>
        <w:jc w:val="left"/>
        <w:rPr>
          <w:highlight w:val="yellow"/>
          <w:lang w:val="en-GB"/>
        </w:rPr>
      </w:pPr>
    </w:p>
    <w:p w14:paraId="232C7E65" w14:textId="30505E22" w:rsidR="00C35E88" w:rsidRPr="00A700E7" w:rsidRDefault="00673D18" w:rsidP="007A6B1F">
      <w:pPr>
        <w:jc w:val="left"/>
      </w:pPr>
      <w:r w:rsidRPr="00A700E7">
        <w:t>Oedema</w:t>
      </w:r>
      <w:r w:rsidR="00E44862" w:rsidRPr="00A700E7">
        <w:t xml:space="preserve">/fluid retention has been associated with the use of ERAs and is also a clinical manifestation of right heart failure and underlying PAH disease. In a long-term double-blind study in patients with PAH, the incidence of </w:t>
      </w:r>
      <w:r w:rsidRPr="00A700E7">
        <w:t>oedema</w:t>
      </w:r>
      <w:r w:rsidR="00E44862" w:rsidRPr="00A700E7">
        <w:t xml:space="preserve"> AEs in the macitentan 10 mg and placebo treatment groups was 21.9% and 20.5% respectively. This corresponded to 11.0 events / 100 patient-years on macitentan 10 mg compared to 12.5 events / 100 patient-years on placebo.</w:t>
      </w:r>
    </w:p>
    <w:p w14:paraId="1484CA3A" w14:textId="77777777" w:rsidR="00D93670" w:rsidRPr="00A700E7" w:rsidRDefault="00D93670" w:rsidP="007A6B1F">
      <w:pPr>
        <w:pStyle w:val="Heading4"/>
        <w:jc w:val="left"/>
      </w:pPr>
      <w:r w:rsidRPr="00A700E7">
        <w:t>Long-term safety</w:t>
      </w:r>
    </w:p>
    <w:p w14:paraId="1394E567" w14:textId="59AD0AE6" w:rsidR="00D93670" w:rsidRPr="00A700E7" w:rsidRDefault="00D93670" w:rsidP="007A6B1F">
      <w:pPr>
        <w:jc w:val="left"/>
      </w:pPr>
      <w:r w:rsidRPr="00A700E7">
        <w:t xml:space="preserve">550 patients entered a long-term open-label extension study (182 patients who </w:t>
      </w:r>
      <w:proofErr w:type="gramStart"/>
      <w:r w:rsidRPr="00A700E7">
        <w:t>continued on</w:t>
      </w:r>
      <w:proofErr w:type="gramEnd"/>
      <w:r w:rsidRPr="00A700E7">
        <w:t xml:space="preserve"> macitentan 10 </w:t>
      </w:r>
      <w:proofErr w:type="gramStart"/>
      <w:r w:rsidRPr="00A700E7">
        <w:t>mg</w:t>
      </w:r>
      <w:proofErr w:type="gramEnd"/>
      <w:r w:rsidRPr="00A700E7">
        <w:t xml:space="preserve"> and 368 patients crossed over to macitentan 10 mg from either placebo or macitentan 3 mg</w:t>
      </w:r>
      <w:r w:rsidRPr="00A700E7">
        <w:rPr>
          <w:lang w:val="en-GB"/>
        </w:rPr>
        <w:t xml:space="preserve">) and were followed for a median exposure of 3.3 years and a maximum exposure of 10.9 years. </w:t>
      </w:r>
      <w:r w:rsidRPr="00A700E7">
        <w:t xml:space="preserve"> 242 patients received macitentan10 mg in the double-blind study with 182 continuing in the open label study, giving a median exposure of 4.6 years and a maximum exposure of 11.8 years.  The safety profile was consistent with that described above.  </w:t>
      </w:r>
    </w:p>
    <w:p w14:paraId="4392D3FF" w14:textId="77777777" w:rsidR="00D93670" w:rsidRPr="00A700E7" w:rsidRDefault="00D93670" w:rsidP="007A6B1F">
      <w:pPr>
        <w:pStyle w:val="Heading4"/>
        <w:jc w:val="left"/>
      </w:pPr>
      <w:r w:rsidRPr="00A700E7">
        <w:lastRenderedPageBreak/>
        <w:t xml:space="preserve">Post-marketing experience  </w:t>
      </w:r>
    </w:p>
    <w:p w14:paraId="72DBBFA1" w14:textId="3B6283A2" w:rsidR="00D93670" w:rsidRPr="00A700E7" w:rsidRDefault="00D93670" w:rsidP="007A6B1F">
      <w:pPr>
        <w:jc w:val="left"/>
        <w:rPr>
          <w:b/>
          <w:bCs/>
          <w:sz w:val="20"/>
          <w:szCs w:val="20"/>
        </w:rPr>
      </w:pPr>
      <w:r w:rsidRPr="00A700E7">
        <w:rPr>
          <w:b/>
          <w:bCs/>
          <w:sz w:val="20"/>
          <w:szCs w:val="20"/>
        </w:rPr>
        <w:t xml:space="preserve">Table </w:t>
      </w:r>
      <w:r w:rsidR="005723CF" w:rsidRPr="00A700E7">
        <w:rPr>
          <w:b/>
          <w:bCs/>
          <w:sz w:val="20"/>
          <w:szCs w:val="20"/>
        </w:rPr>
        <w:t>6</w:t>
      </w:r>
      <w:r w:rsidRPr="00A700E7">
        <w:rPr>
          <w:b/>
          <w:bCs/>
          <w:sz w:val="20"/>
          <w:szCs w:val="20"/>
        </w:rPr>
        <w:t xml:space="preserve"> Post Marketing Adverse Events: common (&gt; 1/100, &lt; 1/10); uncommon (&gt; 1/1,000, &lt; 1/100)</w:t>
      </w:r>
    </w:p>
    <w:tbl>
      <w:tblPr>
        <w:tblW w:w="8500" w:type="dxa"/>
        <w:tblBorders>
          <w:top w:val="nil"/>
          <w:left w:val="nil"/>
          <w:bottom w:val="nil"/>
          <w:right w:val="nil"/>
        </w:tblBorders>
        <w:tblLayout w:type="fixed"/>
        <w:tblLook w:val="0000" w:firstRow="0" w:lastRow="0" w:firstColumn="0" w:lastColumn="0" w:noHBand="0" w:noVBand="0"/>
      </w:tblPr>
      <w:tblGrid>
        <w:gridCol w:w="2802"/>
        <w:gridCol w:w="2126"/>
        <w:gridCol w:w="3572"/>
      </w:tblGrid>
      <w:tr w:rsidR="00A700E7" w:rsidRPr="00A700E7" w14:paraId="577B7348" w14:textId="77777777" w:rsidTr="007B41F8">
        <w:trPr>
          <w:trHeight w:val="150"/>
        </w:trPr>
        <w:tc>
          <w:tcPr>
            <w:tcW w:w="2802" w:type="dxa"/>
            <w:tcBorders>
              <w:top w:val="single" w:sz="4" w:space="0" w:color="auto"/>
              <w:left w:val="single" w:sz="4" w:space="0" w:color="auto"/>
              <w:bottom w:val="single" w:sz="4" w:space="0" w:color="auto"/>
              <w:right w:val="single" w:sz="4" w:space="0" w:color="auto"/>
            </w:tcBorders>
            <w:vAlign w:val="center"/>
          </w:tcPr>
          <w:p w14:paraId="73538AE2" w14:textId="77777777" w:rsidR="00D93670" w:rsidRPr="00A700E7" w:rsidRDefault="00D93670" w:rsidP="007A6B1F">
            <w:pPr>
              <w:jc w:val="left"/>
              <w:rPr>
                <w:sz w:val="20"/>
                <w:szCs w:val="20"/>
              </w:rPr>
            </w:pPr>
            <w:r w:rsidRPr="00A700E7">
              <w:rPr>
                <w:sz w:val="20"/>
                <w:szCs w:val="20"/>
              </w:rPr>
              <w:t xml:space="preserve">System organ class </w:t>
            </w:r>
          </w:p>
        </w:tc>
        <w:tc>
          <w:tcPr>
            <w:tcW w:w="2126" w:type="dxa"/>
            <w:tcBorders>
              <w:top w:val="single" w:sz="4" w:space="0" w:color="auto"/>
              <w:left w:val="single" w:sz="4" w:space="0" w:color="auto"/>
              <w:bottom w:val="single" w:sz="4" w:space="0" w:color="auto"/>
              <w:right w:val="single" w:sz="4" w:space="0" w:color="auto"/>
            </w:tcBorders>
            <w:vAlign w:val="center"/>
          </w:tcPr>
          <w:p w14:paraId="6703E2A1" w14:textId="77777777" w:rsidR="00D93670" w:rsidRPr="00A700E7" w:rsidRDefault="00D93670" w:rsidP="007A6B1F">
            <w:pPr>
              <w:jc w:val="left"/>
              <w:rPr>
                <w:sz w:val="20"/>
                <w:szCs w:val="20"/>
              </w:rPr>
            </w:pPr>
            <w:r w:rsidRPr="00A700E7">
              <w:rPr>
                <w:sz w:val="20"/>
                <w:szCs w:val="20"/>
              </w:rPr>
              <w:t xml:space="preserve">Frequency </w:t>
            </w:r>
          </w:p>
        </w:tc>
        <w:tc>
          <w:tcPr>
            <w:tcW w:w="3572" w:type="dxa"/>
            <w:tcBorders>
              <w:top w:val="single" w:sz="4" w:space="0" w:color="auto"/>
              <w:left w:val="single" w:sz="4" w:space="0" w:color="auto"/>
              <w:bottom w:val="single" w:sz="4" w:space="0" w:color="auto"/>
              <w:right w:val="single" w:sz="4" w:space="0" w:color="auto"/>
            </w:tcBorders>
            <w:vAlign w:val="center"/>
          </w:tcPr>
          <w:p w14:paraId="1B1A354C" w14:textId="77777777" w:rsidR="00D93670" w:rsidRPr="00A700E7" w:rsidRDefault="00D93670" w:rsidP="007A6B1F">
            <w:pPr>
              <w:jc w:val="left"/>
              <w:rPr>
                <w:sz w:val="20"/>
                <w:szCs w:val="20"/>
              </w:rPr>
            </w:pPr>
            <w:r w:rsidRPr="00A700E7">
              <w:rPr>
                <w:sz w:val="20"/>
                <w:szCs w:val="20"/>
              </w:rPr>
              <w:t xml:space="preserve">Adverse reaction </w:t>
            </w:r>
          </w:p>
        </w:tc>
      </w:tr>
      <w:tr w:rsidR="00A700E7" w:rsidRPr="00A700E7" w14:paraId="3049759B" w14:textId="77777777" w:rsidTr="007B41F8">
        <w:trPr>
          <w:trHeight w:val="151"/>
        </w:trPr>
        <w:tc>
          <w:tcPr>
            <w:tcW w:w="2802" w:type="dxa"/>
            <w:vMerge w:val="restart"/>
            <w:tcBorders>
              <w:top w:val="single" w:sz="4" w:space="0" w:color="auto"/>
              <w:left w:val="single" w:sz="4" w:space="0" w:color="auto"/>
              <w:right w:val="single" w:sz="4" w:space="0" w:color="auto"/>
            </w:tcBorders>
          </w:tcPr>
          <w:p w14:paraId="360286B8" w14:textId="77777777" w:rsidR="00D93670" w:rsidRPr="00A700E7" w:rsidRDefault="00D93670" w:rsidP="007A6B1F">
            <w:pPr>
              <w:jc w:val="left"/>
              <w:rPr>
                <w:sz w:val="20"/>
                <w:szCs w:val="20"/>
              </w:rPr>
            </w:pPr>
            <w:r w:rsidRPr="00A700E7">
              <w:rPr>
                <w:sz w:val="20"/>
                <w:szCs w:val="20"/>
              </w:rPr>
              <w:t xml:space="preserve">Immune system disorders </w:t>
            </w:r>
          </w:p>
        </w:tc>
        <w:tc>
          <w:tcPr>
            <w:tcW w:w="2126" w:type="dxa"/>
            <w:tcBorders>
              <w:top w:val="single" w:sz="4" w:space="0" w:color="auto"/>
              <w:left w:val="single" w:sz="4" w:space="0" w:color="auto"/>
              <w:bottom w:val="single" w:sz="4" w:space="0" w:color="auto"/>
              <w:right w:val="single" w:sz="4" w:space="0" w:color="auto"/>
            </w:tcBorders>
          </w:tcPr>
          <w:p w14:paraId="19F71A76" w14:textId="77777777" w:rsidR="00D93670" w:rsidRPr="00A700E7" w:rsidRDefault="00D93670" w:rsidP="007A6B1F">
            <w:pPr>
              <w:jc w:val="left"/>
              <w:rPr>
                <w:sz w:val="20"/>
                <w:szCs w:val="20"/>
              </w:rPr>
            </w:pPr>
            <w:r w:rsidRPr="00A700E7">
              <w:rPr>
                <w:sz w:val="20"/>
                <w:szCs w:val="20"/>
              </w:rPr>
              <w:t>Uncommon*</w:t>
            </w:r>
          </w:p>
        </w:tc>
        <w:tc>
          <w:tcPr>
            <w:tcW w:w="3572" w:type="dxa"/>
            <w:tcBorders>
              <w:top w:val="single" w:sz="4" w:space="0" w:color="auto"/>
              <w:left w:val="single" w:sz="4" w:space="0" w:color="auto"/>
              <w:bottom w:val="single" w:sz="4" w:space="0" w:color="auto"/>
              <w:right w:val="single" w:sz="4" w:space="0" w:color="auto"/>
            </w:tcBorders>
          </w:tcPr>
          <w:p w14:paraId="37BEDDA3" w14:textId="77777777" w:rsidR="00D93670" w:rsidRPr="00A700E7" w:rsidRDefault="00D93670" w:rsidP="007A6B1F">
            <w:pPr>
              <w:jc w:val="left"/>
              <w:rPr>
                <w:sz w:val="20"/>
                <w:szCs w:val="20"/>
              </w:rPr>
            </w:pPr>
            <w:r w:rsidRPr="00A700E7">
              <w:rPr>
                <w:sz w:val="20"/>
                <w:szCs w:val="20"/>
              </w:rPr>
              <w:t>Hypersensitivity reactions (angioedema, and rash)</w:t>
            </w:r>
          </w:p>
        </w:tc>
      </w:tr>
      <w:tr w:rsidR="00A700E7" w:rsidRPr="00A700E7" w14:paraId="5A4F92DF" w14:textId="77777777" w:rsidTr="007B41F8">
        <w:trPr>
          <w:trHeight w:val="151"/>
        </w:trPr>
        <w:tc>
          <w:tcPr>
            <w:tcW w:w="2802" w:type="dxa"/>
            <w:vMerge/>
            <w:tcBorders>
              <w:left w:val="single" w:sz="4" w:space="0" w:color="auto"/>
              <w:bottom w:val="single" w:sz="4" w:space="0" w:color="auto"/>
              <w:right w:val="single" w:sz="4" w:space="0" w:color="auto"/>
            </w:tcBorders>
          </w:tcPr>
          <w:p w14:paraId="0D31886A" w14:textId="77777777" w:rsidR="00D93670" w:rsidRPr="00A700E7" w:rsidRDefault="00D93670" w:rsidP="007A6B1F">
            <w:pPr>
              <w:jc w:val="left"/>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04AFA76" w14:textId="77777777" w:rsidR="00D93670" w:rsidRPr="00A700E7" w:rsidRDefault="00D93670" w:rsidP="007A6B1F">
            <w:pPr>
              <w:jc w:val="left"/>
              <w:rPr>
                <w:sz w:val="20"/>
                <w:szCs w:val="20"/>
              </w:rPr>
            </w:pPr>
            <w:r w:rsidRPr="00A700E7">
              <w:rPr>
                <w:sz w:val="20"/>
                <w:szCs w:val="20"/>
              </w:rPr>
              <w:t>Common*</w:t>
            </w:r>
          </w:p>
        </w:tc>
        <w:tc>
          <w:tcPr>
            <w:tcW w:w="3572" w:type="dxa"/>
            <w:tcBorders>
              <w:top w:val="single" w:sz="4" w:space="0" w:color="auto"/>
              <w:left w:val="single" w:sz="4" w:space="0" w:color="auto"/>
              <w:bottom w:val="single" w:sz="4" w:space="0" w:color="auto"/>
              <w:right w:val="single" w:sz="4" w:space="0" w:color="auto"/>
            </w:tcBorders>
          </w:tcPr>
          <w:p w14:paraId="1777644D" w14:textId="77777777" w:rsidR="00D93670" w:rsidRPr="00A700E7" w:rsidRDefault="00D93670" w:rsidP="007A6B1F">
            <w:pPr>
              <w:jc w:val="left"/>
              <w:rPr>
                <w:sz w:val="20"/>
                <w:szCs w:val="20"/>
              </w:rPr>
            </w:pPr>
            <w:r w:rsidRPr="00A700E7">
              <w:rPr>
                <w:sz w:val="20"/>
                <w:szCs w:val="20"/>
              </w:rPr>
              <w:t>pruritus</w:t>
            </w:r>
          </w:p>
        </w:tc>
      </w:tr>
      <w:tr w:rsidR="00A700E7" w:rsidRPr="00A700E7" w14:paraId="5699E790" w14:textId="77777777" w:rsidTr="007B41F8">
        <w:trPr>
          <w:trHeight w:val="151"/>
        </w:trPr>
        <w:tc>
          <w:tcPr>
            <w:tcW w:w="2802" w:type="dxa"/>
            <w:tcBorders>
              <w:top w:val="single" w:sz="4" w:space="0" w:color="auto"/>
              <w:left w:val="single" w:sz="4" w:space="0" w:color="auto"/>
              <w:bottom w:val="single" w:sz="4" w:space="0" w:color="auto"/>
              <w:right w:val="single" w:sz="4" w:space="0" w:color="auto"/>
            </w:tcBorders>
          </w:tcPr>
          <w:p w14:paraId="39C257FE" w14:textId="77777777" w:rsidR="00D93670" w:rsidRPr="00A700E7" w:rsidRDefault="00D93670" w:rsidP="007A6B1F">
            <w:pPr>
              <w:jc w:val="left"/>
              <w:rPr>
                <w:sz w:val="20"/>
                <w:szCs w:val="20"/>
              </w:rPr>
            </w:pPr>
            <w:r w:rsidRPr="00A700E7">
              <w:rPr>
                <w:sz w:val="20"/>
                <w:szCs w:val="20"/>
              </w:rPr>
              <w:t>Respiratory, thoracic &amp; mediastinal disorders</w:t>
            </w:r>
          </w:p>
          <w:p w14:paraId="6FB68316" w14:textId="77777777" w:rsidR="00D93670" w:rsidRPr="00A700E7" w:rsidRDefault="00D93670" w:rsidP="007A6B1F">
            <w:pPr>
              <w:jc w:val="left"/>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7CFDEB3" w14:textId="77777777" w:rsidR="00D93670" w:rsidRPr="00A700E7" w:rsidRDefault="00D93670" w:rsidP="007A6B1F">
            <w:pPr>
              <w:jc w:val="left"/>
              <w:rPr>
                <w:sz w:val="20"/>
                <w:szCs w:val="20"/>
              </w:rPr>
            </w:pPr>
            <w:r w:rsidRPr="00A700E7">
              <w:rPr>
                <w:sz w:val="20"/>
                <w:szCs w:val="20"/>
              </w:rPr>
              <w:t>Common</w:t>
            </w:r>
            <w:r w:rsidRPr="00A700E7">
              <w:rPr>
                <w:sz w:val="20"/>
                <w:szCs w:val="20"/>
                <w:vertAlign w:val="superscript"/>
              </w:rPr>
              <w:t>†</w:t>
            </w:r>
          </w:p>
        </w:tc>
        <w:tc>
          <w:tcPr>
            <w:tcW w:w="3572" w:type="dxa"/>
            <w:tcBorders>
              <w:top w:val="single" w:sz="4" w:space="0" w:color="auto"/>
              <w:left w:val="single" w:sz="4" w:space="0" w:color="auto"/>
              <w:bottom w:val="single" w:sz="4" w:space="0" w:color="auto"/>
              <w:right w:val="single" w:sz="4" w:space="0" w:color="auto"/>
            </w:tcBorders>
          </w:tcPr>
          <w:p w14:paraId="0C9F4EAD" w14:textId="77777777" w:rsidR="00D93670" w:rsidRPr="00A700E7" w:rsidRDefault="00D93670" w:rsidP="007A6B1F">
            <w:pPr>
              <w:jc w:val="left"/>
              <w:rPr>
                <w:sz w:val="20"/>
                <w:szCs w:val="20"/>
              </w:rPr>
            </w:pPr>
            <w:r w:rsidRPr="00A700E7">
              <w:rPr>
                <w:sz w:val="20"/>
                <w:szCs w:val="20"/>
              </w:rPr>
              <w:t>Nasal congestion</w:t>
            </w:r>
          </w:p>
        </w:tc>
      </w:tr>
      <w:tr w:rsidR="00A700E7" w:rsidRPr="00A700E7" w14:paraId="683C11C4" w14:textId="77777777" w:rsidTr="007B41F8">
        <w:trPr>
          <w:trHeight w:val="151"/>
        </w:trPr>
        <w:tc>
          <w:tcPr>
            <w:tcW w:w="2802" w:type="dxa"/>
            <w:tcBorders>
              <w:top w:val="single" w:sz="4" w:space="0" w:color="auto"/>
              <w:left w:val="single" w:sz="4" w:space="0" w:color="auto"/>
              <w:bottom w:val="single" w:sz="4" w:space="0" w:color="auto"/>
              <w:right w:val="single" w:sz="4" w:space="0" w:color="auto"/>
            </w:tcBorders>
          </w:tcPr>
          <w:p w14:paraId="6955594D" w14:textId="77777777" w:rsidR="00D93670" w:rsidRPr="00A700E7" w:rsidRDefault="00D93670" w:rsidP="007A6B1F">
            <w:pPr>
              <w:jc w:val="left"/>
              <w:rPr>
                <w:sz w:val="20"/>
                <w:szCs w:val="20"/>
              </w:rPr>
            </w:pPr>
            <w:r w:rsidRPr="00A700E7">
              <w:rPr>
                <w:sz w:val="20"/>
                <w:szCs w:val="20"/>
              </w:rPr>
              <w:t>General disorders &amp; Administration site conditions</w:t>
            </w:r>
          </w:p>
        </w:tc>
        <w:tc>
          <w:tcPr>
            <w:tcW w:w="2126" w:type="dxa"/>
            <w:tcBorders>
              <w:top w:val="single" w:sz="4" w:space="0" w:color="auto"/>
              <w:left w:val="single" w:sz="4" w:space="0" w:color="auto"/>
              <w:bottom w:val="single" w:sz="4" w:space="0" w:color="auto"/>
              <w:right w:val="single" w:sz="4" w:space="0" w:color="auto"/>
            </w:tcBorders>
          </w:tcPr>
          <w:p w14:paraId="0A4FBE96" w14:textId="77777777" w:rsidR="00D93670" w:rsidRPr="00A700E7" w:rsidRDefault="00D93670" w:rsidP="007A6B1F">
            <w:pPr>
              <w:jc w:val="left"/>
              <w:rPr>
                <w:sz w:val="20"/>
                <w:szCs w:val="20"/>
              </w:rPr>
            </w:pPr>
            <w:r w:rsidRPr="00A700E7">
              <w:rPr>
                <w:sz w:val="20"/>
                <w:szCs w:val="20"/>
              </w:rPr>
              <w:t xml:space="preserve">Very common§ </w:t>
            </w:r>
          </w:p>
        </w:tc>
        <w:tc>
          <w:tcPr>
            <w:tcW w:w="3572" w:type="dxa"/>
            <w:tcBorders>
              <w:top w:val="single" w:sz="4" w:space="0" w:color="auto"/>
              <w:left w:val="single" w:sz="4" w:space="0" w:color="auto"/>
              <w:bottom w:val="single" w:sz="4" w:space="0" w:color="auto"/>
              <w:right w:val="single" w:sz="4" w:space="0" w:color="auto"/>
            </w:tcBorders>
          </w:tcPr>
          <w:p w14:paraId="304F2B47" w14:textId="77777777" w:rsidR="00D93670" w:rsidRPr="00A700E7" w:rsidRDefault="00D93670" w:rsidP="007A6B1F">
            <w:pPr>
              <w:jc w:val="left"/>
              <w:rPr>
                <w:sz w:val="20"/>
                <w:szCs w:val="20"/>
              </w:rPr>
            </w:pPr>
            <w:r w:rsidRPr="00A700E7">
              <w:rPr>
                <w:sz w:val="20"/>
                <w:szCs w:val="20"/>
              </w:rPr>
              <w:t xml:space="preserve">Oedema/fluid retention </w:t>
            </w:r>
          </w:p>
        </w:tc>
      </w:tr>
      <w:tr w:rsidR="00A700E7" w:rsidRPr="00A700E7" w14:paraId="3D12E074" w14:textId="77777777" w:rsidTr="007B41F8">
        <w:trPr>
          <w:trHeight w:val="151"/>
        </w:trPr>
        <w:tc>
          <w:tcPr>
            <w:tcW w:w="2802" w:type="dxa"/>
            <w:tcBorders>
              <w:top w:val="single" w:sz="4" w:space="0" w:color="auto"/>
              <w:left w:val="single" w:sz="4" w:space="0" w:color="auto"/>
              <w:bottom w:val="single" w:sz="4" w:space="0" w:color="auto"/>
              <w:right w:val="single" w:sz="4" w:space="0" w:color="auto"/>
            </w:tcBorders>
          </w:tcPr>
          <w:p w14:paraId="63827746" w14:textId="77777777" w:rsidR="00D93670" w:rsidRPr="00A700E7" w:rsidRDefault="00D93670" w:rsidP="007A6B1F">
            <w:pPr>
              <w:jc w:val="left"/>
              <w:rPr>
                <w:sz w:val="20"/>
                <w:szCs w:val="20"/>
              </w:rPr>
            </w:pPr>
            <w:r w:rsidRPr="00A700E7">
              <w:rPr>
                <w:sz w:val="20"/>
                <w:szCs w:val="20"/>
              </w:rPr>
              <w:t>Vascular disorders</w:t>
            </w:r>
          </w:p>
        </w:tc>
        <w:tc>
          <w:tcPr>
            <w:tcW w:w="2126" w:type="dxa"/>
            <w:tcBorders>
              <w:top w:val="single" w:sz="4" w:space="0" w:color="auto"/>
              <w:left w:val="single" w:sz="4" w:space="0" w:color="auto"/>
              <w:bottom w:val="single" w:sz="4" w:space="0" w:color="auto"/>
              <w:right w:val="single" w:sz="4" w:space="0" w:color="auto"/>
            </w:tcBorders>
          </w:tcPr>
          <w:p w14:paraId="1F26A7ED" w14:textId="77777777" w:rsidR="00D93670" w:rsidRPr="00A700E7" w:rsidRDefault="00D93670" w:rsidP="007A6B1F">
            <w:pPr>
              <w:jc w:val="left"/>
              <w:rPr>
                <w:sz w:val="20"/>
                <w:szCs w:val="20"/>
              </w:rPr>
            </w:pPr>
            <w:r w:rsidRPr="00A700E7">
              <w:rPr>
                <w:sz w:val="20"/>
                <w:szCs w:val="20"/>
              </w:rPr>
              <w:t>Common</w:t>
            </w:r>
          </w:p>
        </w:tc>
        <w:tc>
          <w:tcPr>
            <w:tcW w:w="3572" w:type="dxa"/>
            <w:tcBorders>
              <w:top w:val="single" w:sz="4" w:space="0" w:color="auto"/>
              <w:left w:val="single" w:sz="4" w:space="0" w:color="auto"/>
              <w:bottom w:val="single" w:sz="4" w:space="0" w:color="auto"/>
              <w:right w:val="single" w:sz="4" w:space="0" w:color="auto"/>
            </w:tcBorders>
          </w:tcPr>
          <w:p w14:paraId="2904ED5D" w14:textId="77777777" w:rsidR="00D93670" w:rsidRPr="00A700E7" w:rsidRDefault="00D93670" w:rsidP="007A6B1F">
            <w:pPr>
              <w:jc w:val="left"/>
              <w:rPr>
                <w:sz w:val="20"/>
                <w:szCs w:val="20"/>
              </w:rPr>
            </w:pPr>
            <w:r w:rsidRPr="00A700E7">
              <w:rPr>
                <w:sz w:val="20"/>
                <w:szCs w:val="20"/>
              </w:rPr>
              <w:t>Flushing</w:t>
            </w:r>
          </w:p>
        </w:tc>
      </w:tr>
    </w:tbl>
    <w:p w14:paraId="1839898D" w14:textId="77777777" w:rsidR="00D93670" w:rsidRPr="00A700E7" w:rsidRDefault="00D93670" w:rsidP="007A6B1F">
      <w:pPr>
        <w:jc w:val="left"/>
        <w:rPr>
          <w:b/>
          <w:sz w:val="18"/>
          <w:szCs w:val="18"/>
        </w:rPr>
      </w:pPr>
      <w:r w:rsidRPr="00A700E7">
        <w:rPr>
          <w:sz w:val="18"/>
          <w:szCs w:val="18"/>
        </w:rPr>
        <w:t>*Frequency Classification "common" and "uncommon" based on pooled double-blind studies.</w:t>
      </w:r>
      <w:r w:rsidRPr="00A700E7">
        <w:rPr>
          <w:sz w:val="18"/>
          <w:szCs w:val="18"/>
        </w:rPr>
        <w:br/>
        <w:t>†Frequency Classification "common" based on pooled double-blind studies.</w:t>
      </w:r>
    </w:p>
    <w:p w14:paraId="725E9DAB" w14:textId="77777777" w:rsidR="00D93670" w:rsidRPr="00A700E7" w:rsidRDefault="00D93670" w:rsidP="007A6B1F">
      <w:pPr>
        <w:jc w:val="left"/>
        <w:rPr>
          <w:sz w:val="18"/>
          <w:szCs w:val="18"/>
        </w:rPr>
      </w:pPr>
      <w:r w:rsidRPr="00A700E7">
        <w:rPr>
          <w:sz w:val="18"/>
          <w:szCs w:val="18"/>
        </w:rPr>
        <w:t>§ Frequency Classification "very common" based on double-blind studies</w:t>
      </w:r>
    </w:p>
    <w:p w14:paraId="31609DFC" w14:textId="21BCBA7E" w:rsidR="00D93670" w:rsidRPr="00A700E7" w:rsidRDefault="00D93670" w:rsidP="007A6B1F">
      <w:pPr>
        <w:jc w:val="left"/>
      </w:pPr>
    </w:p>
    <w:p w14:paraId="73AA6461" w14:textId="396D4E46" w:rsidR="00107C1D" w:rsidRPr="00A700E7" w:rsidRDefault="00107C1D" w:rsidP="007A6B1F">
      <w:pPr>
        <w:pStyle w:val="Heading4"/>
        <w:jc w:val="left"/>
      </w:pPr>
      <w:r w:rsidRPr="00A700E7">
        <w:t>Laboratory abnormalities</w:t>
      </w:r>
    </w:p>
    <w:p w14:paraId="6AD9CED4" w14:textId="77777777" w:rsidR="00107C1D" w:rsidRPr="00A700E7" w:rsidRDefault="00107C1D" w:rsidP="007A6B1F">
      <w:pPr>
        <w:jc w:val="left"/>
        <w:rPr>
          <w:i/>
          <w:iCs/>
        </w:rPr>
      </w:pPr>
      <w:r w:rsidRPr="00A700E7">
        <w:rPr>
          <w:i/>
          <w:iCs/>
        </w:rPr>
        <w:t xml:space="preserve">Liver aminotransferases </w:t>
      </w:r>
    </w:p>
    <w:p w14:paraId="40E082F1" w14:textId="2473CE9E" w:rsidR="00107C1D" w:rsidRPr="00A700E7" w:rsidRDefault="00107C1D" w:rsidP="007A6B1F">
      <w:pPr>
        <w:jc w:val="left"/>
      </w:pPr>
      <w:r w:rsidRPr="00A700E7">
        <w:t xml:space="preserve">The incidence of elevated aminotransferases in the study of macitentan in PAH is shown in Tables </w:t>
      </w:r>
      <w:r w:rsidR="005723CF" w:rsidRPr="00A700E7">
        <w:t>7</w:t>
      </w:r>
      <w:r w:rsidRPr="00A700E7">
        <w:t xml:space="preserve">and </w:t>
      </w:r>
      <w:r w:rsidR="005723CF" w:rsidRPr="00A700E7">
        <w:t>8</w:t>
      </w:r>
      <w:r w:rsidRPr="00A700E7">
        <w:t>.</w:t>
      </w:r>
    </w:p>
    <w:p w14:paraId="68B3EECF" w14:textId="77777777" w:rsidR="00107C1D" w:rsidRPr="00A700E7" w:rsidRDefault="00107C1D" w:rsidP="007A6B1F">
      <w:pPr>
        <w:jc w:val="left"/>
      </w:pPr>
    </w:p>
    <w:p w14:paraId="000C2EFF" w14:textId="09CA5659" w:rsidR="00107C1D" w:rsidRPr="00A700E7" w:rsidRDefault="00107C1D" w:rsidP="007A6B1F">
      <w:pPr>
        <w:jc w:val="left"/>
        <w:rPr>
          <w:b/>
          <w:bCs/>
          <w:sz w:val="20"/>
          <w:szCs w:val="20"/>
        </w:rPr>
      </w:pPr>
      <w:r w:rsidRPr="00A700E7">
        <w:rPr>
          <w:b/>
          <w:bCs/>
          <w:sz w:val="20"/>
          <w:szCs w:val="20"/>
        </w:rPr>
        <w:t xml:space="preserve">Table </w:t>
      </w:r>
      <w:r w:rsidR="005723CF" w:rsidRPr="00A700E7">
        <w:rPr>
          <w:b/>
          <w:bCs/>
          <w:sz w:val="20"/>
          <w:szCs w:val="20"/>
        </w:rPr>
        <w:t>7</w:t>
      </w:r>
      <w:r w:rsidR="004A5BFD" w:rsidRPr="00A700E7">
        <w:rPr>
          <w:b/>
          <w:bCs/>
          <w:sz w:val="20"/>
          <w:szCs w:val="20"/>
        </w:rPr>
        <w:t xml:space="preserve"> </w:t>
      </w:r>
      <w:r w:rsidRPr="00A700E7">
        <w:rPr>
          <w:b/>
          <w:bCs/>
          <w:sz w:val="20"/>
          <w:szCs w:val="20"/>
        </w:rPr>
        <w:t xml:space="preserve">Incidence of Elevated Aminotransferases (ALT/AST) in the SERAPHIN Study </w:t>
      </w:r>
    </w:p>
    <w:tbl>
      <w:tblPr>
        <w:tblW w:w="64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268"/>
        <w:gridCol w:w="1945"/>
      </w:tblGrid>
      <w:tr w:rsidR="00A700E7" w:rsidRPr="00A700E7" w14:paraId="670E6B3F" w14:textId="77777777" w:rsidTr="00D90C4B">
        <w:trPr>
          <w:cantSplit/>
          <w:trHeight w:val="521"/>
          <w:tblHeader/>
        </w:trPr>
        <w:tc>
          <w:tcPr>
            <w:tcW w:w="2269" w:type="dxa"/>
            <w:shd w:val="clear" w:color="auto" w:fill="auto"/>
            <w:vAlign w:val="bottom"/>
          </w:tcPr>
          <w:p w14:paraId="6E739F23" w14:textId="77777777" w:rsidR="00107C1D" w:rsidRPr="00A700E7" w:rsidRDefault="00107C1D" w:rsidP="007A6B1F">
            <w:pPr>
              <w:jc w:val="left"/>
              <w:rPr>
                <w:sz w:val="20"/>
                <w:szCs w:val="20"/>
              </w:rPr>
            </w:pPr>
          </w:p>
        </w:tc>
        <w:tc>
          <w:tcPr>
            <w:tcW w:w="2268" w:type="dxa"/>
            <w:shd w:val="clear" w:color="auto" w:fill="auto"/>
          </w:tcPr>
          <w:p w14:paraId="64ACEBE3" w14:textId="2D54D5A9" w:rsidR="00107C1D" w:rsidRPr="00A700E7" w:rsidRDefault="009F6D65" w:rsidP="007A6B1F">
            <w:pPr>
              <w:jc w:val="left"/>
              <w:rPr>
                <w:sz w:val="20"/>
                <w:szCs w:val="20"/>
              </w:rPr>
            </w:pPr>
            <w:r w:rsidRPr="00A700E7">
              <w:rPr>
                <w:sz w:val="20"/>
                <w:szCs w:val="20"/>
              </w:rPr>
              <w:t>Macitentan</w:t>
            </w:r>
            <w:r w:rsidR="00107C1D" w:rsidRPr="00A700E7">
              <w:rPr>
                <w:sz w:val="20"/>
                <w:szCs w:val="20"/>
              </w:rPr>
              <w:t xml:space="preserve"> 10 mg</w:t>
            </w:r>
          </w:p>
          <w:p w14:paraId="58E259C7" w14:textId="77777777" w:rsidR="00107C1D" w:rsidRPr="00A700E7" w:rsidRDefault="00107C1D" w:rsidP="007A6B1F">
            <w:pPr>
              <w:jc w:val="left"/>
              <w:rPr>
                <w:sz w:val="20"/>
                <w:szCs w:val="20"/>
              </w:rPr>
            </w:pPr>
            <w:r w:rsidRPr="00A700E7">
              <w:rPr>
                <w:sz w:val="20"/>
                <w:szCs w:val="20"/>
              </w:rPr>
              <w:t>(N=242)</w:t>
            </w:r>
          </w:p>
        </w:tc>
        <w:tc>
          <w:tcPr>
            <w:tcW w:w="1945" w:type="dxa"/>
            <w:shd w:val="clear" w:color="auto" w:fill="auto"/>
          </w:tcPr>
          <w:p w14:paraId="7E9AF9DC" w14:textId="77777777" w:rsidR="00107C1D" w:rsidRPr="00A700E7" w:rsidRDefault="00107C1D" w:rsidP="007A6B1F">
            <w:pPr>
              <w:jc w:val="left"/>
              <w:rPr>
                <w:sz w:val="20"/>
                <w:szCs w:val="20"/>
              </w:rPr>
            </w:pPr>
            <w:r w:rsidRPr="00A700E7">
              <w:rPr>
                <w:sz w:val="20"/>
                <w:szCs w:val="20"/>
              </w:rPr>
              <w:t>Placebo</w:t>
            </w:r>
          </w:p>
          <w:p w14:paraId="1A707392" w14:textId="77777777" w:rsidR="00107C1D" w:rsidRPr="00A700E7" w:rsidRDefault="00107C1D" w:rsidP="007A6B1F">
            <w:pPr>
              <w:jc w:val="left"/>
              <w:rPr>
                <w:sz w:val="20"/>
                <w:szCs w:val="20"/>
              </w:rPr>
            </w:pPr>
            <w:r w:rsidRPr="00A700E7">
              <w:rPr>
                <w:sz w:val="20"/>
                <w:szCs w:val="20"/>
              </w:rPr>
              <w:t>(N=249)</w:t>
            </w:r>
          </w:p>
        </w:tc>
      </w:tr>
      <w:tr w:rsidR="00A700E7" w:rsidRPr="00A700E7" w14:paraId="0C4FCCF5" w14:textId="77777777" w:rsidTr="00D90C4B">
        <w:trPr>
          <w:cantSplit/>
          <w:trHeight w:val="64"/>
        </w:trPr>
        <w:tc>
          <w:tcPr>
            <w:tcW w:w="2269" w:type="dxa"/>
            <w:shd w:val="clear" w:color="auto" w:fill="auto"/>
          </w:tcPr>
          <w:p w14:paraId="2F354D78" w14:textId="77777777" w:rsidR="00107C1D" w:rsidRPr="00A700E7" w:rsidRDefault="00107C1D" w:rsidP="007A6B1F">
            <w:pPr>
              <w:jc w:val="left"/>
              <w:rPr>
                <w:sz w:val="20"/>
                <w:szCs w:val="20"/>
              </w:rPr>
            </w:pPr>
            <w:r w:rsidRPr="00A700E7">
              <w:rPr>
                <w:sz w:val="20"/>
                <w:szCs w:val="20"/>
              </w:rPr>
              <w:t>&gt;3 x ULN</w:t>
            </w:r>
          </w:p>
        </w:tc>
        <w:tc>
          <w:tcPr>
            <w:tcW w:w="2268" w:type="dxa"/>
            <w:shd w:val="clear" w:color="auto" w:fill="auto"/>
          </w:tcPr>
          <w:p w14:paraId="2AE9B88E" w14:textId="77777777" w:rsidR="00107C1D" w:rsidRPr="00A700E7" w:rsidRDefault="00107C1D" w:rsidP="007A6B1F">
            <w:pPr>
              <w:jc w:val="left"/>
              <w:rPr>
                <w:sz w:val="20"/>
                <w:szCs w:val="20"/>
              </w:rPr>
            </w:pPr>
            <w:r w:rsidRPr="00A700E7">
              <w:rPr>
                <w:sz w:val="20"/>
                <w:szCs w:val="20"/>
              </w:rPr>
              <w:t>3.4%</w:t>
            </w:r>
          </w:p>
        </w:tc>
        <w:tc>
          <w:tcPr>
            <w:tcW w:w="1945" w:type="dxa"/>
            <w:shd w:val="clear" w:color="auto" w:fill="auto"/>
          </w:tcPr>
          <w:p w14:paraId="6359EFC2" w14:textId="77777777" w:rsidR="00107C1D" w:rsidRPr="00A700E7" w:rsidRDefault="00107C1D" w:rsidP="007A6B1F">
            <w:pPr>
              <w:jc w:val="left"/>
              <w:rPr>
                <w:sz w:val="20"/>
                <w:szCs w:val="20"/>
              </w:rPr>
            </w:pPr>
            <w:r w:rsidRPr="00A700E7">
              <w:rPr>
                <w:sz w:val="20"/>
                <w:szCs w:val="20"/>
              </w:rPr>
              <w:t>4.5%</w:t>
            </w:r>
          </w:p>
        </w:tc>
      </w:tr>
      <w:tr w:rsidR="00A700E7" w:rsidRPr="00A700E7" w14:paraId="246513DB" w14:textId="77777777" w:rsidTr="00D90C4B">
        <w:trPr>
          <w:cantSplit/>
        </w:trPr>
        <w:tc>
          <w:tcPr>
            <w:tcW w:w="2269" w:type="dxa"/>
            <w:shd w:val="clear" w:color="auto" w:fill="auto"/>
          </w:tcPr>
          <w:p w14:paraId="6C76808F" w14:textId="77777777" w:rsidR="00107C1D" w:rsidRPr="00A700E7" w:rsidRDefault="00107C1D" w:rsidP="007A6B1F">
            <w:pPr>
              <w:jc w:val="left"/>
              <w:rPr>
                <w:sz w:val="20"/>
                <w:szCs w:val="20"/>
              </w:rPr>
            </w:pPr>
            <w:r w:rsidRPr="00A700E7">
              <w:rPr>
                <w:sz w:val="20"/>
                <w:szCs w:val="20"/>
              </w:rPr>
              <w:t>&gt;5 x ULN</w:t>
            </w:r>
          </w:p>
        </w:tc>
        <w:tc>
          <w:tcPr>
            <w:tcW w:w="2268" w:type="dxa"/>
            <w:shd w:val="clear" w:color="auto" w:fill="auto"/>
          </w:tcPr>
          <w:p w14:paraId="192ED893" w14:textId="77777777" w:rsidR="00107C1D" w:rsidRPr="00A700E7" w:rsidRDefault="00107C1D" w:rsidP="007A6B1F">
            <w:pPr>
              <w:jc w:val="left"/>
              <w:rPr>
                <w:sz w:val="20"/>
                <w:szCs w:val="20"/>
              </w:rPr>
            </w:pPr>
            <w:r w:rsidRPr="00A700E7">
              <w:rPr>
                <w:sz w:val="20"/>
                <w:szCs w:val="20"/>
              </w:rPr>
              <w:t>2.5%</w:t>
            </w:r>
          </w:p>
        </w:tc>
        <w:tc>
          <w:tcPr>
            <w:tcW w:w="1945" w:type="dxa"/>
            <w:shd w:val="clear" w:color="auto" w:fill="auto"/>
          </w:tcPr>
          <w:p w14:paraId="35374529" w14:textId="77777777" w:rsidR="00107C1D" w:rsidRPr="00A700E7" w:rsidRDefault="00107C1D" w:rsidP="007A6B1F">
            <w:pPr>
              <w:jc w:val="left"/>
              <w:rPr>
                <w:sz w:val="20"/>
                <w:szCs w:val="20"/>
              </w:rPr>
            </w:pPr>
            <w:r w:rsidRPr="00A700E7">
              <w:rPr>
                <w:sz w:val="20"/>
                <w:szCs w:val="20"/>
              </w:rPr>
              <w:t>2%</w:t>
            </w:r>
          </w:p>
        </w:tc>
      </w:tr>
      <w:tr w:rsidR="00107C1D" w:rsidRPr="00A700E7" w14:paraId="6239107A" w14:textId="77777777" w:rsidTr="00D90C4B">
        <w:trPr>
          <w:cantSplit/>
        </w:trPr>
        <w:tc>
          <w:tcPr>
            <w:tcW w:w="2269" w:type="dxa"/>
            <w:shd w:val="clear" w:color="auto" w:fill="auto"/>
          </w:tcPr>
          <w:p w14:paraId="54B789DB" w14:textId="77777777" w:rsidR="00107C1D" w:rsidRPr="00A700E7" w:rsidRDefault="00107C1D" w:rsidP="007A6B1F">
            <w:pPr>
              <w:jc w:val="left"/>
              <w:rPr>
                <w:sz w:val="20"/>
                <w:szCs w:val="20"/>
              </w:rPr>
            </w:pPr>
            <w:r w:rsidRPr="00A700E7">
              <w:rPr>
                <w:sz w:val="20"/>
                <w:szCs w:val="20"/>
              </w:rPr>
              <w:t>&gt;8 x ULN</w:t>
            </w:r>
          </w:p>
        </w:tc>
        <w:tc>
          <w:tcPr>
            <w:tcW w:w="2268" w:type="dxa"/>
            <w:shd w:val="clear" w:color="auto" w:fill="auto"/>
          </w:tcPr>
          <w:p w14:paraId="20307379" w14:textId="77777777" w:rsidR="00107C1D" w:rsidRPr="00A700E7" w:rsidRDefault="00107C1D" w:rsidP="007A6B1F">
            <w:pPr>
              <w:jc w:val="left"/>
              <w:rPr>
                <w:sz w:val="20"/>
                <w:szCs w:val="20"/>
              </w:rPr>
            </w:pPr>
            <w:r w:rsidRPr="00A700E7">
              <w:rPr>
                <w:sz w:val="20"/>
                <w:szCs w:val="20"/>
              </w:rPr>
              <w:t>2.1%</w:t>
            </w:r>
          </w:p>
        </w:tc>
        <w:tc>
          <w:tcPr>
            <w:tcW w:w="1945" w:type="dxa"/>
            <w:shd w:val="clear" w:color="auto" w:fill="auto"/>
          </w:tcPr>
          <w:p w14:paraId="7DCAA56C" w14:textId="77777777" w:rsidR="00107C1D" w:rsidRPr="00A700E7" w:rsidRDefault="00107C1D" w:rsidP="007A6B1F">
            <w:pPr>
              <w:jc w:val="left"/>
              <w:rPr>
                <w:sz w:val="20"/>
                <w:szCs w:val="20"/>
              </w:rPr>
            </w:pPr>
            <w:r w:rsidRPr="00A700E7">
              <w:rPr>
                <w:sz w:val="20"/>
                <w:szCs w:val="20"/>
              </w:rPr>
              <w:t>0.4%</w:t>
            </w:r>
          </w:p>
        </w:tc>
      </w:tr>
    </w:tbl>
    <w:p w14:paraId="09E1AFD1" w14:textId="77777777" w:rsidR="00107C1D" w:rsidRPr="00A700E7" w:rsidRDefault="00107C1D" w:rsidP="007A6B1F">
      <w:pPr>
        <w:jc w:val="left"/>
        <w:rPr>
          <w:b/>
          <w:bCs/>
          <w:sz w:val="20"/>
          <w:szCs w:val="20"/>
        </w:rPr>
      </w:pPr>
    </w:p>
    <w:p w14:paraId="44A159D7" w14:textId="325F4ABB" w:rsidR="00107C1D" w:rsidRPr="00A700E7" w:rsidRDefault="00107C1D" w:rsidP="007A6B1F">
      <w:pPr>
        <w:jc w:val="left"/>
        <w:rPr>
          <w:b/>
          <w:bCs/>
          <w:sz w:val="20"/>
          <w:szCs w:val="20"/>
        </w:rPr>
      </w:pPr>
      <w:r w:rsidRPr="00A700E7">
        <w:rPr>
          <w:b/>
          <w:bCs/>
          <w:sz w:val="20"/>
          <w:szCs w:val="20"/>
        </w:rPr>
        <w:t xml:space="preserve">Table </w:t>
      </w:r>
      <w:r w:rsidR="005723CF" w:rsidRPr="00A700E7">
        <w:rPr>
          <w:b/>
          <w:bCs/>
          <w:sz w:val="20"/>
          <w:szCs w:val="20"/>
        </w:rPr>
        <w:t>8</w:t>
      </w:r>
      <w:r w:rsidR="004A5BFD" w:rsidRPr="00A700E7">
        <w:rPr>
          <w:b/>
          <w:bCs/>
          <w:sz w:val="20"/>
          <w:szCs w:val="20"/>
        </w:rPr>
        <w:t xml:space="preserve"> </w:t>
      </w:r>
      <w:r w:rsidRPr="00A700E7">
        <w:rPr>
          <w:b/>
          <w:bCs/>
          <w:sz w:val="20"/>
          <w:szCs w:val="20"/>
        </w:rPr>
        <w:t xml:space="preserve">Incidence of Elevated ALT in the SERAPHIN Study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8"/>
        <w:gridCol w:w="2268"/>
        <w:gridCol w:w="1984"/>
      </w:tblGrid>
      <w:tr w:rsidR="00A700E7" w:rsidRPr="00A700E7" w14:paraId="0F1AD1D9" w14:textId="77777777" w:rsidTr="00D90C4B">
        <w:trPr>
          <w:cantSplit/>
          <w:trHeight w:val="521"/>
          <w:tblHeader/>
        </w:trPr>
        <w:tc>
          <w:tcPr>
            <w:tcW w:w="2248" w:type="dxa"/>
            <w:shd w:val="clear" w:color="auto" w:fill="auto"/>
            <w:vAlign w:val="bottom"/>
          </w:tcPr>
          <w:p w14:paraId="7D007660" w14:textId="77777777" w:rsidR="00107C1D" w:rsidRPr="00A700E7" w:rsidRDefault="00107C1D" w:rsidP="007A6B1F">
            <w:pPr>
              <w:jc w:val="left"/>
              <w:rPr>
                <w:sz w:val="20"/>
                <w:szCs w:val="20"/>
              </w:rPr>
            </w:pPr>
          </w:p>
        </w:tc>
        <w:tc>
          <w:tcPr>
            <w:tcW w:w="2268" w:type="dxa"/>
            <w:shd w:val="clear" w:color="auto" w:fill="auto"/>
          </w:tcPr>
          <w:p w14:paraId="15CA48F3" w14:textId="4A752EE7" w:rsidR="00107C1D" w:rsidRPr="00A700E7" w:rsidRDefault="009F6D65" w:rsidP="007A6B1F">
            <w:pPr>
              <w:jc w:val="left"/>
              <w:rPr>
                <w:sz w:val="20"/>
                <w:szCs w:val="20"/>
              </w:rPr>
            </w:pPr>
            <w:r w:rsidRPr="00A700E7">
              <w:rPr>
                <w:sz w:val="20"/>
                <w:szCs w:val="20"/>
              </w:rPr>
              <w:t>Macitentan</w:t>
            </w:r>
            <w:r w:rsidR="00107C1D" w:rsidRPr="00A700E7">
              <w:rPr>
                <w:sz w:val="20"/>
                <w:szCs w:val="20"/>
              </w:rPr>
              <w:t xml:space="preserve"> 10 mg</w:t>
            </w:r>
          </w:p>
          <w:p w14:paraId="0C5D405D" w14:textId="77777777" w:rsidR="00107C1D" w:rsidRPr="00A700E7" w:rsidRDefault="00107C1D" w:rsidP="007A6B1F">
            <w:pPr>
              <w:jc w:val="left"/>
              <w:rPr>
                <w:sz w:val="20"/>
                <w:szCs w:val="20"/>
              </w:rPr>
            </w:pPr>
            <w:r w:rsidRPr="00A700E7">
              <w:rPr>
                <w:sz w:val="20"/>
                <w:szCs w:val="20"/>
              </w:rPr>
              <w:t>(N=242)</w:t>
            </w:r>
          </w:p>
        </w:tc>
        <w:tc>
          <w:tcPr>
            <w:tcW w:w="1984" w:type="dxa"/>
            <w:shd w:val="clear" w:color="auto" w:fill="auto"/>
          </w:tcPr>
          <w:p w14:paraId="707AD818" w14:textId="77777777" w:rsidR="00107C1D" w:rsidRPr="00A700E7" w:rsidRDefault="00107C1D" w:rsidP="007A6B1F">
            <w:pPr>
              <w:jc w:val="left"/>
              <w:rPr>
                <w:sz w:val="20"/>
                <w:szCs w:val="20"/>
              </w:rPr>
            </w:pPr>
            <w:r w:rsidRPr="00A700E7">
              <w:rPr>
                <w:sz w:val="20"/>
                <w:szCs w:val="20"/>
              </w:rPr>
              <w:t>Placebo</w:t>
            </w:r>
          </w:p>
          <w:p w14:paraId="33C10648" w14:textId="77777777" w:rsidR="00107C1D" w:rsidRPr="00A700E7" w:rsidRDefault="00107C1D" w:rsidP="007A6B1F">
            <w:pPr>
              <w:jc w:val="left"/>
              <w:rPr>
                <w:sz w:val="20"/>
                <w:szCs w:val="20"/>
              </w:rPr>
            </w:pPr>
            <w:r w:rsidRPr="00A700E7">
              <w:rPr>
                <w:sz w:val="20"/>
                <w:szCs w:val="20"/>
              </w:rPr>
              <w:t>(N=249)</w:t>
            </w:r>
          </w:p>
        </w:tc>
      </w:tr>
      <w:tr w:rsidR="00A700E7" w:rsidRPr="00A700E7" w14:paraId="59D5AA24" w14:textId="77777777" w:rsidTr="00D90C4B">
        <w:trPr>
          <w:cantSplit/>
          <w:trHeight w:val="64"/>
        </w:trPr>
        <w:tc>
          <w:tcPr>
            <w:tcW w:w="2248" w:type="dxa"/>
            <w:shd w:val="clear" w:color="auto" w:fill="auto"/>
          </w:tcPr>
          <w:p w14:paraId="12F13592" w14:textId="77777777" w:rsidR="00107C1D" w:rsidRPr="00A700E7" w:rsidRDefault="00107C1D" w:rsidP="007A6B1F">
            <w:pPr>
              <w:jc w:val="left"/>
              <w:rPr>
                <w:sz w:val="20"/>
                <w:szCs w:val="20"/>
              </w:rPr>
            </w:pPr>
            <w:r w:rsidRPr="00A700E7">
              <w:rPr>
                <w:sz w:val="20"/>
                <w:szCs w:val="20"/>
              </w:rPr>
              <w:t>&gt;3 x ULN</w:t>
            </w:r>
          </w:p>
        </w:tc>
        <w:tc>
          <w:tcPr>
            <w:tcW w:w="2268" w:type="dxa"/>
            <w:shd w:val="clear" w:color="auto" w:fill="auto"/>
          </w:tcPr>
          <w:p w14:paraId="4AA0DD4F" w14:textId="77777777" w:rsidR="00107C1D" w:rsidRPr="00A700E7" w:rsidRDefault="00107C1D" w:rsidP="007A6B1F">
            <w:pPr>
              <w:jc w:val="left"/>
              <w:rPr>
                <w:sz w:val="20"/>
                <w:szCs w:val="20"/>
              </w:rPr>
            </w:pPr>
            <w:r w:rsidRPr="00A700E7">
              <w:rPr>
                <w:sz w:val="20"/>
                <w:szCs w:val="20"/>
              </w:rPr>
              <w:t>3.4%</w:t>
            </w:r>
          </w:p>
        </w:tc>
        <w:tc>
          <w:tcPr>
            <w:tcW w:w="1984" w:type="dxa"/>
            <w:shd w:val="clear" w:color="auto" w:fill="auto"/>
          </w:tcPr>
          <w:p w14:paraId="1856ED2E" w14:textId="77777777" w:rsidR="00107C1D" w:rsidRPr="00A700E7" w:rsidRDefault="00107C1D" w:rsidP="007A6B1F">
            <w:pPr>
              <w:jc w:val="left"/>
              <w:rPr>
                <w:sz w:val="20"/>
                <w:szCs w:val="20"/>
              </w:rPr>
            </w:pPr>
            <w:r w:rsidRPr="00A700E7">
              <w:rPr>
                <w:sz w:val="20"/>
                <w:szCs w:val="20"/>
              </w:rPr>
              <w:t>1.6%</w:t>
            </w:r>
          </w:p>
        </w:tc>
      </w:tr>
      <w:tr w:rsidR="00A700E7" w:rsidRPr="00A700E7" w14:paraId="41081212" w14:textId="77777777" w:rsidTr="00D90C4B">
        <w:trPr>
          <w:cantSplit/>
        </w:trPr>
        <w:tc>
          <w:tcPr>
            <w:tcW w:w="2248" w:type="dxa"/>
            <w:shd w:val="clear" w:color="auto" w:fill="auto"/>
          </w:tcPr>
          <w:p w14:paraId="74ED1C43" w14:textId="77777777" w:rsidR="00107C1D" w:rsidRPr="00A700E7" w:rsidRDefault="00107C1D" w:rsidP="007A6B1F">
            <w:pPr>
              <w:jc w:val="left"/>
              <w:rPr>
                <w:sz w:val="20"/>
                <w:szCs w:val="20"/>
              </w:rPr>
            </w:pPr>
            <w:r w:rsidRPr="00A700E7">
              <w:rPr>
                <w:sz w:val="20"/>
                <w:szCs w:val="20"/>
              </w:rPr>
              <w:t>&gt;5 x ULN</w:t>
            </w:r>
          </w:p>
        </w:tc>
        <w:tc>
          <w:tcPr>
            <w:tcW w:w="2268" w:type="dxa"/>
            <w:shd w:val="clear" w:color="auto" w:fill="auto"/>
          </w:tcPr>
          <w:p w14:paraId="476239D7" w14:textId="77777777" w:rsidR="00107C1D" w:rsidRPr="00A700E7" w:rsidRDefault="00107C1D" w:rsidP="007A6B1F">
            <w:pPr>
              <w:jc w:val="left"/>
              <w:rPr>
                <w:sz w:val="20"/>
                <w:szCs w:val="20"/>
              </w:rPr>
            </w:pPr>
            <w:r w:rsidRPr="00A700E7">
              <w:rPr>
                <w:sz w:val="20"/>
                <w:szCs w:val="20"/>
              </w:rPr>
              <w:t>2.5%</w:t>
            </w:r>
          </w:p>
        </w:tc>
        <w:tc>
          <w:tcPr>
            <w:tcW w:w="1984" w:type="dxa"/>
            <w:shd w:val="clear" w:color="auto" w:fill="auto"/>
          </w:tcPr>
          <w:p w14:paraId="1E51BE8E" w14:textId="77777777" w:rsidR="00107C1D" w:rsidRPr="00A700E7" w:rsidRDefault="00107C1D" w:rsidP="007A6B1F">
            <w:pPr>
              <w:jc w:val="left"/>
              <w:rPr>
                <w:sz w:val="20"/>
                <w:szCs w:val="20"/>
              </w:rPr>
            </w:pPr>
            <w:r w:rsidRPr="00A700E7">
              <w:rPr>
                <w:sz w:val="20"/>
                <w:szCs w:val="20"/>
              </w:rPr>
              <w:t>1.2%</w:t>
            </w:r>
          </w:p>
        </w:tc>
      </w:tr>
      <w:tr w:rsidR="00107C1D" w:rsidRPr="00A700E7" w14:paraId="7AE99585" w14:textId="77777777" w:rsidTr="00D90C4B">
        <w:trPr>
          <w:cantSplit/>
        </w:trPr>
        <w:tc>
          <w:tcPr>
            <w:tcW w:w="2248" w:type="dxa"/>
            <w:shd w:val="clear" w:color="auto" w:fill="auto"/>
          </w:tcPr>
          <w:p w14:paraId="6DAA1720" w14:textId="77777777" w:rsidR="00107C1D" w:rsidRPr="00A700E7" w:rsidRDefault="00107C1D" w:rsidP="007A6B1F">
            <w:pPr>
              <w:jc w:val="left"/>
              <w:rPr>
                <w:sz w:val="20"/>
                <w:szCs w:val="20"/>
              </w:rPr>
            </w:pPr>
            <w:r w:rsidRPr="00A700E7">
              <w:rPr>
                <w:sz w:val="20"/>
                <w:szCs w:val="20"/>
              </w:rPr>
              <w:t>&gt;8 x ULN</w:t>
            </w:r>
          </w:p>
        </w:tc>
        <w:tc>
          <w:tcPr>
            <w:tcW w:w="2268" w:type="dxa"/>
            <w:shd w:val="clear" w:color="auto" w:fill="auto"/>
          </w:tcPr>
          <w:p w14:paraId="3146179E" w14:textId="77777777" w:rsidR="00107C1D" w:rsidRPr="00A700E7" w:rsidRDefault="00107C1D" w:rsidP="007A6B1F">
            <w:pPr>
              <w:jc w:val="left"/>
              <w:rPr>
                <w:sz w:val="20"/>
                <w:szCs w:val="20"/>
              </w:rPr>
            </w:pPr>
            <w:r w:rsidRPr="00A700E7">
              <w:rPr>
                <w:sz w:val="20"/>
                <w:szCs w:val="20"/>
              </w:rPr>
              <w:t>2.1%</w:t>
            </w:r>
          </w:p>
        </w:tc>
        <w:tc>
          <w:tcPr>
            <w:tcW w:w="1984" w:type="dxa"/>
            <w:shd w:val="clear" w:color="auto" w:fill="auto"/>
          </w:tcPr>
          <w:p w14:paraId="6904DEF0" w14:textId="77777777" w:rsidR="00107C1D" w:rsidRPr="00A700E7" w:rsidRDefault="00107C1D" w:rsidP="007A6B1F">
            <w:pPr>
              <w:jc w:val="left"/>
              <w:rPr>
                <w:sz w:val="20"/>
                <w:szCs w:val="20"/>
              </w:rPr>
            </w:pPr>
            <w:r w:rsidRPr="00A700E7">
              <w:rPr>
                <w:sz w:val="20"/>
                <w:szCs w:val="20"/>
              </w:rPr>
              <w:t>0.4%</w:t>
            </w:r>
          </w:p>
        </w:tc>
      </w:tr>
    </w:tbl>
    <w:p w14:paraId="6E1A0494" w14:textId="77777777" w:rsidR="00107C1D" w:rsidRPr="00A700E7" w:rsidRDefault="00107C1D" w:rsidP="007A6B1F">
      <w:pPr>
        <w:jc w:val="left"/>
      </w:pPr>
    </w:p>
    <w:p w14:paraId="772E85F1" w14:textId="78C5E323" w:rsidR="00107C1D" w:rsidRPr="00A700E7" w:rsidRDefault="00107C1D" w:rsidP="007A6B1F">
      <w:pPr>
        <w:jc w:val="left"/>
      </w:pPr>
      <w:r w:rsidRPr="00A700E7">
        <w:t xml:space="preserve">In a double-blind study in patients with PAH, discontinuations for hepatic adverse events were 3.3% in the </w:t>
      </w:r>
      <w:r w:rsidR="00467131" w:rsidRPr="00A700E7">
        <w:t>macitentan</w:t>
      </w:r>
      <w:r w:rsidRPr="00A700E7">
        <w:t xml:space="preserve"> 10 mg group vs. 1.6% for placebo. </w:t>
      </w:r>
    </w:p>
    <w:p w14:paraId="481A9556" w14:textId="77777777" w:rsidR="00107C1D" w:rsidRPr="00A700E7" w:rsidRDefault="00107C1D" w:rsidP="007A6B1F">
      <w:pPr>
        <w:jc w:val="left"/>
      </w:pPr>
    </w:p>
    <w:p w14:paraId="4ED56935" w14:textId="77777777" w:rsidR="00107C1D" w:rsidRPr="00A700E7" w:rsidRDefault="00107C1D" w:rsidP="007A6B1F">
      <w:pPr>
        <w:jc w:val="left"/>
      </w:pPr>
      <w:proofErr w:type="spellStart"/>
      <w:r w:rsidRPr="00A700E7">
        <w:rPr>
          <w:i/>
        </w:rPr>
        <w:t>Haemoglobin</w:t>
      </w:r>
      <w:proofErr w:type="spellEnd"/>
      <w:r w:rsidRPr="00A700E7">
        <w:rPr>
          <w:i/>
        </w:rPr>
        <w:br/>
      </w:r>
      <w:r w:rsidRPr="00A700E7">
        <w:t xml:space="preserve">In a double-blind study in patients with PAH, macitentan 10 mg was associated with a mean decrease in </w:t>
      </w:r>
      <w:proofErr w:type="spellStart"/>
      <w:r w:rsidRPr="00A700E7">
        <w:t>haemoglobin</w:t>
      </w:r>
      <w:proofErr w:type="spellEnd"/>
      <w:r w:rsidRPr="00A700E7">
        <w:t xml:space="preserve"> versus placebo of 10 g/L. A decrease from baseline in </w:t>
      </w:r>
      <w:proofErr w:type="spellStart"/>
      <w:r w:rsidRPr="00A700E7">
        <w:t>haemoglobin</w:t>
      </w:r>
      <w:proofErr w:type="spellEnd"/>
      <w:r w:rsidRPr="00A700E7">
        <w:t xml:space="preserve"> concentration to below 100 g/L was reported in 8.7% of patients treated with macitentan 10 mg and 3.4% of placebo-treated patients.</w:t>
      </w:r>
    </w:p>
    <w:p w14:paraId="2CDC0E54" w14:textId="77777777" w:rsidR="00107C1D" w:rsidRPr="00A700E7" w:rsidRDefault="00107C1D" w:rsidP="007A6B1F">
      <w:pPr>
        <w:jc w:val="left"/>
      </w:pPr>
    </w:p>
    <w:p w14:paraId="6C31FD6E" w14:textId="3EDFDADC" w:rsidR="00107C1D" w:rsidRPr="00A700E7" w:rsidRDefault="00107C1D" w:rsidP="007A6B1F">
      <w:pPr>
        <w:jc w:val="left"/>
        <w:rPr>
          <w:i/>
          <w:iCs/>
        </w:rPr>
      </w:pPr>
      <w:r w:rsidRPr="00A700E7">
        <w:rPr>
          <w:i/>
          <w:iCs/>
        </w:rPr>
        <w:t xml:space="preserve">White blood cells </w:t>
      </w:r>
    </w:p>
    <w:p w14:paraId="54D4435F" w14:textId="77777777" w:rsidR="00107C1D" w:rsidRPr="00A700E7" w:rsidRDefault="00107C1D" w:rsidP="007A6B1F">
      <w:pPr>
        <w:jc w:val="left"/>
        <w:rPr>
          <w:iCs/>
        </w:rPr>
      </w:pPr>
      <w:r w:rsidRPr="00A700E7">
        <w:t>In a double-blind study in patients with PAH, macitentan 10 mg was associated with a decrease in mean leucocyte count from baseline of 0.7 × 10</w:t>
      </w:r>
      <w:r w:rsidRPr="00A700E7">
        <w:rPr>
          <w:vertAlign w:val="superscript"/>
        </w:rPr>
        <w:t>9</w:t>
      </w:r>
      <w:r w:rsidRPr="00A700E7">
        <w:t>/L versus no change in placebo-treated patients.</w:t>
      </w:r>
    </w:p>
    <w:p w14:paraId="579FCA90" w14:textId="77777777" w:rsidR="00107C1D" w:rsidRPr="00A700E7" w:rsidRDefault="00107C1D" w:rsidP="007A6B1F">
      <w:pPr>
        <w:jc w:val="left"/>
      </w:pPr>
    </w:p>
    <w:p w14:paraId="163803F6" w14:textId="701646FD" w:rsidR="00107C1D" w:rsidRPr="00A700E7" w:rsidRDefault="00107C1D" w:rsidP="007A6B1F">
      <w:pPr>
        <w:jc w:val="left"/>
      </w:pPr>
      <w:r w:rsidRPr="00A700E7">
        <w:rPr>
          <w:i/>
          <w:iCs/>
        </w:rPr>
        <w:lastRenderedPageBreak/>
        <w:t>Platelets</w:t>
      </w:r>
      <w:r w:rsidRPr="00A700E7">
        <w:rPr>
          <w:i/>
          <w:iCs/>
        </w:rPr>
        <w:br/>
      </w:r>
      <w:r w:rsidRPr="00A700E7">
        <w:t>In a double-blind study in patients with PAH, macitentan 10 mg was associated with a decrease in mean platelet count of 17 × 10</w:t>
      </w:r>
      <w:r w:rsidRPr="00A700E7">
        <w:rPr>
          <w:vertAlign w:val="superscript"/>
        </w:rPr>
        <w:t>9</w:t>
      </w:r>
      <w:r w:rsidRPr="00A700E7">
        <w:t>/L, versus a mean decrease of 11 × 10</w:t>
      </w:r>
      <w:r w:rsidRPr="00A700E7">
        <w:rPr>
          <w:vertAlign w:val="superscript"/>
        </w:rPr>
        <w:t>9</w:t>
      </w:r>
      <w:r w:rsidRPr="00A700E7">
        <w:t>/L in placebo-treated patients.</w:t>
      </w:r>
    </w:p>
    <w:p w14:paraId="6589C948" w14:textId="3CC900F3" w:rsidR="00107C1D" w:rsidRPr="00A700E7" w:rsidRDefault="005D286D" w:rsidP="007A6B1F">
      <w:pPr>
        <w:pStyle w:val="Heading3"/>
        <w:jc w:val="left"/>
      </w:pPr>
      <w:r w:rsidRPr="00A700E7">
        <w:t>Tadalafil</w:t>
      </w:r>
    </w:p>
    <w:p w14:paraId="366C7165" w14:textId="77777777" w:rsidR="00941D46" w:rsidRPr="00A700E7" w:rsidRDefault="00941D46" w:rsidP="007A6B1F">
      <w:pPr>
        <w:jc w:val="left"/>
      </w:pPr>
    </w:p>
    <w:p w14:paraId="20128E3E" w14:textId="735246A1" w:rsidR="005D286D" w:rsidRPr="00A700E7" w:rsidRDefault="005D286D" w:rsidP="007A6B1F">
      <w:pPr>
        <w:jc w:val="left"/>
      </w:pPr>
      <w:r w:rsidRPr="00A700E7">
        <w:t xml:space="preserve">In the pivotal placebo-controlled study of </w:t>
      </w:r>
      <w:r w:rsidR="00467131" w:rsidRPr="00A700E7">
        <w:t>tadalafil</w:t>
      </w:r>
      <w:r w:rsidRPr="00A700E7">
        <w:t xml:space="preserve"> for the treatment of PAH, a total of 323 patients were treated with </w:t>
      </w:r>
      <w:r w:rsidR="00C0174C" w:rsidRPr="00A700E7">
        <w:t>tadalafil</w:t>
      </w:r>
      <w:r w:rsidRPr="00A700E7">
        <w:t xml:space="preserve"> at doses ranging from 2.5 mg to 40 mg once daily and 82 patients were treated with placebo. The duration of treatment was 16 weeks. The overall frequency of discontinuation due to adverse events was low (</w:t>
      </w:r>
      <w:r w:rsidR="00C0174C" w:rsidRPr="00A700E7">
        <w:t xml:space="preserve">tadalafil </w:t>
      </w:r>
      <w:r w:rsidRPr="00A700E7">
        <w:t xml:space="preserve">11%, placebo 16%). Three hundred and </w:t>
      </w:r>
      <w:proofErr w:type="gramStart"/>
      <w:r w:rsidRPr="00A700E7">
        <w:t>fifty</w:t>
      </w:r>
      <w:r w:rsidR="00454E1E" w:rsidRPr="00A700E7">
        <w:t xml:space="preserve"> </w:t>
      </w:r>
      <w:r w:rsidRPr="00A700E7">
        <w:t>seven</w:t>
      </w:r>
      <w:proofErr w:type="gramEnd"/>
      <w:r w:rsidRPr="00A700E7">
        <w:t xml:space="preserve"> (357) subjects who completed the pivotal study entered a long-term extension study. </w:t>
      </w:r>
      <w:proofErr w:type="gramStart"/>
      <w:r w:rsidRPr="00A700E7">
        <w:t>Doses</w:t>
      </w:r>
      <w:proofErr w:type="gramEnd"/>
      <w:r w:rsidRPr="00A700E7">
        <w:t xml:space="preserve"> studied were 20 mg and 40 mg once daily.</w:t>
      </w:r>
    </w:p>
    <w:p w14:paraId="5C3C0C93" w14:textId="77777777" w:rsidR="005D286D" w:rsidRPr="00A700E7" w:rsidRDefault="005D286D" w:rsidP="007A6B1F">
      <w:pPr>
        <w:jc w:val="left"/>
        <w:rPr>
          <w:highlight w:val="cyan"/>
        </w:rPr>
      </w:pPr>
    </w:p>
    <w:p w14:paraId="02E79C78" w14:textId="4DF4B1F4" w:rsidR="005D286D" w:rsidRPr="00A700E7" w:rsidRDefault="005D286D" w:rsidP="007A6B1F">
      <w:pPr>
        <w:jc w:val="left"/>
      </w:pPr>
      <w:r w:rsidRPr="00A700E7">
        <w:t xml:space="preserve">Table </w:t>
      </w:r>
      <w:r w:rsidR="00346612" w:rsidRPr="00A700E7">
        <w:t xml:space="preserve">9 </w:t>
      </w:r>
      <w:r w:rsidRPr="00A700E7">
        <w:t xml:space="preserve">below lists the adverse events reported in greater than or equal to 4% of patients taking </w:t>
      </w:r>
      <w:r w:rsidR="00C0174C" w:rsidRPr="00A700E7">
        <w:t xml:space="preserve">tadalafil </w:t>
      </w:r>
      <w:r w:rsidRPr="00A700E7">
        <w:t xml:space="preserve">40 mg during the placebo-controlled clinical trial. Please note that some of these adverse events occurred more often in patients receiving placebo and may not necessarily be causally related to </w:t>
      </w:r>
      <w:r w:rsidR="00C0174C" w:rsidRPr="00A700E7">
        <w:t xml:space="preserve">tadalafil </w:t>
      </w:r>
      <w:r w:rsidRPr="00A700E7">
        <w:t>use.</w:t>
      </w:r>
    </w:p>
    <w:p w14:paraId="7AC74A2F" w14:textId="77777777" w:rsidR="007D09CE" w:rsidRPr="00A700E7" w:rsidRDefault="007D09CE" w:rsidP="007A6B1F">
      <w:pPr>
        <w:jc w:val="left"/>
      </w:pPr>
    </w:p>
    <w:p w14:paraId="20DCACE5" w14:textId="77777777" w:rsidR="007D09CE" w:rsidRPr="00A700E7" w:rsidRDefault="007D09CE" w:rsidP="007A6B1F">
      <w:pPr>
        <w:jc w:val="left"/>
      </w:pPr>
    </w:p>
    <w:p w14:paraId="5E24FB99" w14:textId="77777777" w:rsidR="00FF0B28" w:rsidRPr="00A700E7" w:rsidRDefault="00FF0B28" w:rsidP="007A6B1F">
      <w:pPr>
        <w:jc w:val="left"/>
        <w:rPr>
          <w:b/>
          <w:bCs/>
        </w:rPr>
      </w:pPr>
    </w:p>
    <w:p w14:paraId="12888860" w14:textId="3F5BB921" w:rsidR="005D286D" w:rsidRPr="00A700E7" w:rsidRDefault="005D286D" w:rsidP="007A6B1F">
      <w:pPr>
        <w:jc w:val="left"/>
        <w:rPr>
          <w:b/>
          <w:bCs/>
          <w:sz w:val="20"/>
          <w:szCs w:val="20"/>
        </w:rPr>
      </w:pPr>
      <w:r w:rsidRPr="00A700E7">
        <w:rPr>
          <w:b/>
          <w:bCs/>
          <w:sz w:val="20"/>
          <w:szCs w:val="20"/>
        </w:rPr>
        <w:t xml:space="preserve">Table </w:t>
      </w:r>
      <w:r w:rsidR="00346612" w:rsidRPr="00A700E7">
        <w:rPr>
          <w:b/>
          <w:bCs/>
          <w:sz w:val="20"/>
          <w:szCs w:val="20"/>
        </w:rPr>
        <w:t xml:space="preserve">9 </w:t>
      </w:r>
      <w:r w:rsidRPr="00A700E7">
        <w:rPr>
          <w:b/>
          <w:bCs/>
          <w:sz w:val="20"/>
          <w:szCs w:val="20"/>
        </w:rPr>
        <w:t xml:space="preserve">Treatment Emergent Adverse Events Reported by </w:t>
      </w:r>
      <w:r w:rsidRPr="00A700E7">
        <w:rPr>
          <w:rFonts w:hint="eastAsia"/>
          <w:b/>
          <w:bCs/>
          <w:sz w:val="20"/>
          <w:szCs w:val="20"/>
        </w:rPr>
        <w:t>≥</w:t>
      </w:r>
      <w:r w:rsidRPr="00A700E7">
        <w:rPr>
          <w:b/>
          <w:bCs/>
          <w:sz w:val="20"/>
          <w:szCs w:val="20"/>
        </w:rPr>
        <w:t xml:space="preserve">4% of Patients Receiving </w:t>
      </w:r>
      <w:r w:rsidR="00C0174C" w:rsidRPr="00A700E7">
        <w:rPr>
          <w:b/>
          <w:bCs/>
          <w:sz w:val="20"/>
          <w:szCs w:val="20"/>
        </w:rPr>
        <w:t xml:space="preserve">tadalafil </w:t>
      </w:r>
      <w:r w:rsidRPr="00A700E7">
        <w:rPr>
          <w:b/>
          <w:bCs/>
          <w:sz w:val="20"/>
          <w:szCs w:val="20"/>
        </w:rPr>
        <w:t>40 mg</w:t>
      </w:r>
    </w:p>
    <w:tbl>
      <w:tblPr>
        <w:tblW w:w="0" w:type="auto"/>
        <w:tblInd w:w="421" w:type="dxa"/>
        <w:tblLayout w:type="fixed"/>
        <w:tblCellMar>
          <w:left w:w="0" w:type="dxa"/>
          <w:right w:w="0" w:type="dxa"/>
        </w:tblCellMar>
        <w:tblLook w:val="0000" w:firstRow="0" w:lastRow="0" w:firstColumn="0" w:lastColumn="0" w:noHBand="0" w:noVBand="0"/>
      </w:tblPr>
      <w:tblGrid>
        <w:gridCol w:w="4677"/>
        <w:gridCol w:w="10"/>
        <w:gridCol w:w="1759"/>
        <w:gridCol w:w="1492"/>
        <w:gridCol w:w="30"/>
      </w:tblGrid>
      <w:tr w:rsidR="00A700E7" w:rsidRPr="00A700E7" w14:paraId="56DBAB0D" w14:textId="77777777" w:rsidTr="00850C06">
        <w:trPr>
          <w:gridAfter w:val="1"/>
          <w:wAfter w:w="30" w:type="dxa"/>
          <w:trHeight w:hRule="exact" w:val="794"/>
          <w:tblHeader/>
        </w:trPr>
        <w:tc>
          <w:tcPr>
            <w:tcW w:w="4677" w:type="dxa"/>
            <w:tcBorders>
              <w:top w:val="single" w:sz="4" w:space="0" w:color="auto"/>
              <w:left w:val="single" w:sz="4" w:space="0" w:color="auto"/>
              <w:bottom w:val="single" w:sz="4" w:space="0" w:color="auto"/>
              <w:right w:val="single" w:sz="4" w:space="0" w:color="auto"/>
            </w:tcBorders>
          </w:tcPr>
          <w:p w14:paraId="3DF9496F" w14:textId="472EBCEE" w:rsidR="00C0174C" w:rsidRPr="00A700E7" w:rsidRDefault="00C0174C" w:rsidP="007A6B1F">
            <w:pPr>
              <w:ind w:left="72"/>
              <w:jc w:val="left"/>
              <w:rPr>
                <w:sz w:val="20"/>
                <w:szCs w:val="20"/>
                <w:lang w:val="en-AU"/>
              </w:rPr>
            </w:pPr>
            <w:r w:rsidRPr="00A700E7">
              <w:rPr>
                <w:sz w:val="20"/>
                <w:szCs w:val="20"/>
                <w:lang w:val="en-AU"/>
              </w:rPr>
              <w:t>ADVERSE</w:t>
            </w:r>
            <w:r w:rsidRPr="00A700E7">
              <w:rPr>
                <w:spacing w:val="-1"/>
                <w:sz w:val="20"/>
                <w:szCs w:val="20"/>
                <w:lang w:val="en-AU"/>
              </w:rPr>
              <w:t xml:space="preserve"> EVENT</w:t>
            </w:r>
          </w:p>
        </w:tc>
        <w:tc>
          <w:tcPr>
            <w:tcW w:w="1769" w:type="dxa"/>
            <w:gridSpan w:val="2"/>
            <w:tcBorders>
              <w:top w:val="single" w:sz="4" w:space="0" w:color="auto"/>
              <w:left w:val="single" w:sz="4" w:space="0" w:color="auto"/>
              <w:bottom w:val="single" w:sz="4" w:space="0" w:color="auto"/>
              <w:right w:val="single" w:sz="4" w:space="0" w:color="auto"/>
            </w:tcBorders>
          </w:tcPr>
          <w:p w14:paraId="6F5D9723" w14:textId="57F077D5" w:rsidR="00C0174C" w:rsidRPr="00A700E7" w:rsidRDefault="00C0174C" w:rsidP="007A6B1F">
            <w:pPr>
              <w:ind w:left="145" w:right="207"/>
              <w:jc w:val="left"/>
              <w:rPr>
                <w:sz w:val="20"/>
                <w:szCs w:val="20"/>
                <w:lang w:val="en-AU"/>
              </w:rPr>
            </w:pPr>
            <w:r w:rsidRPr="00A700E7">
              <w:rPr>
                <w:spacing w:val="-1"/>
                <w:sz w:val="20"/>
                <w:szCs w:val="20"/>
                <w:lang w:val="en-AU"/>
              </w:rPr>
              <w:t>Placebo</w:t>
            </w:r>
            <w:r w:rsidR="00A517D1" w:rsidRPr="00A700E7">
              <w:rPr>
                <w:spacing w:val="1"/>
                <w:sz w:val="20"/>
                <w:szCs w:val="20"/>
                <w:lang w:val="en-AU"/>
              </w:rPr>
              <w:t xml:space="preserve"> </w:t>
            </w:r>
            <w:r w:rsidRPr="00A700E7">
              <w:rPr>
                <w:sz w:val="20"/>
                <w:szCs w:val="20"/>
                <w:lang w:val="en-AU"/>
              </w:rPr>
              <w:t>(%)</w:t>
            </w:r>
            <w:r w:rsidRPr="00A700E7">
              <w:rPr>
                <w:spacing w:val="27"/>
                <w:w w:val="99"/>
                <w:sz w:val="20"/>
                <w:szCs w:val="20"/>
                <w:lang w:val="en-AU"/>
              </w:rPr>
              <w:t xml:space="preserve"> </w:t>
            </w:r>
            <w:r w:rsidRPr="00A700E7">
              <w:rPr>
                <w:spacing w:val="-1"/>
                <w:sz w:val="20"/>
                <w:szCs w:val="20"/>
                <w:lang w:val="en-AU"/>
              </w:rPr>
              <w:t>(N=82)</w:t>
            </w:r>
          </w:p>
        </w:tc>
        <w:tc>
          <w:tcPr>
            <w:tcW w:w="1492" w:type="dxa"/>
            <w:tcBorders>
              <w:top w:val="single" w:sz="4" w:space="0" w:color="auto"/>
              <w:left w:val="single" w:sz="4" w:space="0" w:color="auto"/>
              <w:bottom w:val="single" w:sz="4" w:space="0" w:color="auto"/>
              <w:right w:val="single" w:sz="4" w:space="0" w:color="auto"/>
            </w:tcBorders>
          </w:tcPr>
          <w:p w14:paraId="747C126C" w14:textId="737BC515" w:rsidR="00C0174C" w:rsidRPr="00A700E7" w:rsidRDefault="00C0174C" w:rsidP="007A6B1F">
            <w:pPr>
              <w:ind w:left="76"/>
              <w:jc w:val="left"/>
              <w:rPr>
                <w:sz w:val="20"/>
                <w:szCs w:val="20"/>
                <w:lang w:val="en-AU"/>
              </w:rPr>
            </w:pPr>
            <w:r w:rsidRPr="00A700E7">
              <w:rPr>
                <w:sz w:val="20"/>
                <w:szCs w:val="20"/>
                <w:lang w:val="en-AU"/>
              </w:rPr>
              <w:t>Tadalafil 40 mg</w:t>
            </w:r>
            <w:r w:rsidRPr="00A700E7">
              <w:rPr>
                <w:spacing w:val="-3"/>
                <w:sz w:val="20"/>
                <w:szCs w:val="20"/>
                <w:lang w:val="en-AU"/>
              </w:rPr>
              <w:t xml:space="preserve"> </w:t>
            </w:r>
            <w:r w:rsidRPr="00A700E7">
              <w:rPr>
                <w:sz w:val="20"/>
                <w:szCs w:val="20"/>
                <w:lang w:val="en-AU"/>
              </w:rPr>
              <w:t>(%)</w:t>
            </w:r>
            <w:r w:rsidRPr="00A700E7">
              <w:rPr>
                <w:spacing w:val="25"/>
                <w:w w:val="99"/>
                <w:sz w:val="20"/>
                <w:szCs w:val="20"/>
                <w:lang w:val="en-AU"/>
              </w:rPr>
              <w:t xml:space="preserve"> </w:t>
            </w:r>
            <w:r w:rsidRPr="00A700E7">
              <w:rPr>
                <w:sz w:val="20"/>
                <w:szCs w:val="20"/>
                <w:lang w:val="en-AU"/>
              </w:rPr>
              <w:t>(N=79)</w:t>
            </w:r>
          </w:p>
        </w:tc>
      </w:tr>
      <w:tr w:rsidR="00A700E7" w:rsidRPr="00A700E7" w14:paraId="7696FFE7" w14:textId="77777777" w:rsidTr="00850C06">
        <w:trPr>
          <w:trHeight w:hRule="exact" w:val="266"/>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29A7C094" w14:textId="77777777" w:rsidR="005D286D" w:rsidRPr="00A700E7" w:rsidRDefault="005D286D" w:rsidP="007A6B1F">
            <w:pPr>
              <w:jc w:val="left"/>
              <w:rPr>
                <w:sz w:val="20"/>
                <w:szCs w:val="20"/>
                <w:lang w:val="en-AU"/>
              </w:rPr>
            </w:pPr>
            <w:bookmarkStart w:id="22" w:name="bookmark0"/>
            <w:bookmarkStart w:id="23" w:name="bookmark1"/>
            <w:bookmarkEnd w:id="22"/>
            <w:bookmarkEnd w:id="23"/>
            <w:r w:rsidRPr="00A700E7">
              <w:rPr>
                <w:sz w:val="20"/>
                <w:szCs w:val="20"/>
                <w:lang w:val="en-AU"/>
              </w:rPr>
              <w:t>Infections</w:t>
            </w:r>
            <w:r w:rsidRPr="00A700E7">
              <w:rPr>
                <w:spacing w:val="-7"/>
                <w:sz w:val="20"/>
                <w:szCs w:val="20"/>
                <w:lang w:val="en-AU"/>
              </w:rPr>
              <w:t xml:space="preserve"> </w:t>
            </w:r>
            <w:r w:rsidRPr="00A700E7">
              <w:rPr>
                <w:sz w:val="20"/>
                <w:szCs w:val="20"/>
                <w:lang w:val="en-AU"/>
              </w:rPr>
              <w:t>and</w:t>
            </w:r>
            <w:r w:rsidRPr="00A700E7">
              <w:rPr>
                <w:spacing w:val="-6"/>
                <w:sz w:val="20"/>
                <w:szCs w:val="20"/>
                <w:lang w:val="en-AU"/>
              </w:rPr>
              <w:t xml:space="preserve"> </w:t>
            </w:r>
            <w:r w:rsidRPr="00A700E7">
              <w:rPr>
                <w:sz w:val="20"/>
                <w:szCs w:val="20"/>
                <w:lang w:val="en-AU"/>
              </w:rPr>
              <w:t>Infestations</w:t>
            </w:r>
          </w:p>
        </w:tc>
        <w:tc>
          <w:tcPr>
            <w:tcW w:w="30" w:type="dxa"/>
            <w:vMerge w:val="restart"/>
            <w:tcBorders>
              <w:top w:val="single" w:sz="4" w:space="0" w:color="auto"/>
              <w:left w:val="single" w:sz="4" w:space="0" w:color="auto"/>
              <w:bottom w:val="single" w:sz="4" w:space="0" w:color="auto"/>
            </w:tcBorders>
          </w:tcPr>
          <w:p w14:paraId="2393C270" w14:textId="77777777" w:rsidR="005D286D" w:rsidRPr="00A700E7" w:rsidRDefault="005D286D" w:rsidP="007A6B1F">
            <w:pPr>
              <w:jc w:val="left"/>
              <w:rPr>
                <w:sz w:val="20"/>
                <w:szCs w:val="20"/>
                <w:lang w:val="en-AU"/>
              </w:rPr>
            </w:pPr>
          </w:p>
        </w:tc>
      </w:tr>
      <w:tr w:rsidR="00A700E7" w:rsidRPr="00A700E7" w14:paraId="425EABBA" w14:textId="77777777" w:rsidTr="00850C06">
        <w:trPr>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19E42A1F" w14:textId="77777777" w:rsidR="005D286D" w:rsidRPr="00A700E7" w:rsidRDefault="005D286D" w:rsidP="007A6B1F">
            <w:pPr>
              <w:jc w:val="left"/>
              <w:rPr>
                <w:sz w:val="20"/>
                <w:szCs w:val="20"/>
                <w:lang w:val="en-AU"/>
              </w:rPr>
            </w:pPr>
            <w:r w:rsidRPr="00A700E7">
              <w:rPr>
                <w:sz w:val="20"/>
                <w:szCs w:val="20"/>
                <w:lang w:val="en-AU"/>
              </w:rPr>
              <w:t>Nasopharyngitis</w:t>
            </w:r>
          </w:p>
        </w:tc>
        <w:tc>
          <w:tcPr>
            <w:tcW w:w="1759" w:type="dxa"/>
            <w:tcBorders>
              <w:top w:val="single" w:sz="4" w:space="0" w:color="auto"/>
              <w:left w:val="single" w:sz="4" w:space="0" w:color="auto"/>
              <w:bottom w:val="single" w:sz="4" w:space="0" w:color="auto"/>
              <w:right w:val="single" w:sz="4" w:space="0" w:color="auto"/>
            </w:tcBorders>
          </w:tcPr>
          <w:p w14:paraId="61309BA3" w14:textId="77777777" w:rsidR="005D286D" w:rsidRPr="00A700E7" w:rsidRDefault="005D286D" w:rsidP="007A6B1F">
            <w:pPr>
              <w:jc w:val="left"/>
              <w:rPr>
                <w:sz w:val="20"/>
                <w:szCs w:val="20"/>
                <w:lang w:val="en-AU"/>
              </w:rPr>
            </w:pPr>
            <w:r w:rsidRPr="00A700E7">
              <w:rPr>
                <w:sz w:val="20"/>
                <w:szCs w:val="20"/>
                <w:lang w:val="en-AU"/>
              </w:rPr>
              <w:t>7</w:t>
            </w:r>
          </w:p>
        </w:tc>
        <w:tc>
          <w:tcPr>
            <w:tcW w:w="1492" w:type="dxa"/>
            <w:tcBorders>
              <w:top w:val="single" w:sz="4" w:space="0" w:color="auto"/>
              <w:left w:val="single" w:sz="4" w:space="0" w:color="auto"/>
              <w:bottom w:val="single" w:sz="4" w:space="0" w:color="auto"/>
              <w:right w:val="single" w:sz="4" w:space="0" w:color="auto"/>
            </w:tcBorders>
          </w:tcPr>
          <w:p w14:paraId="20CF94C8" w14:textId="77777777" w:rsidR="005D286D" w:rsidRPr="00A700E7" w:rsidRDefault="005D286D" w:rsidP="007A6B1F">
            <w:pPr>
              <w:jc w:val="left"/>
              <w:rPr>
                <w:sz w:val="20"/>
                <w:szCs w:val="20"/>
                <w:lang w:val="en-AU"/>
              </w:rPr>
            </w:pPr>
            <w:r w:rsidRPr="00A700E7">
              <w:rPr>
                <w:w w:val="95"/>
                <w:sz w:val="20"/>
                <w:szCs w:val="20"/>
                <w:lang w:val="en-AU"/>
              </w:rPr>
              <w:t>13</w:t>
            </w:r>
          </w:p>
        </w:tc>
        <w:tc>
          <w:tcPr>
            <w:tcW w:w="30" w:type="dxa"/>
            <w:vMerge/>
            <w:tcBorders>
              <w:top w:val="single" w:sz="4" w:space="0" w:color="auto"/>
              <w:left w:val="single" w:sz="4" w:space="0" w:color="auto"/>
              <w:bottom w:val="single" w:sz="4" w:space="0" w:color="auto"/>
            </w:tcBorders>
          </w:tcPr>
          <w:p w14:paraId="568B8AF5" w14:textId="77777777" w:rsidR="005D286D" w:rsidRPr="00A700E7" w:rsidRDefault="005D286D" w:rsidP="007A6B1F">
            <w:pPr>
              <w:jc w:val="left"/>
              <w:rPr>
                <w:sz w:val="20"/>
                <w:szCs w:val="20"/>
                <w:lang w:val="en-AU"/>
              </w:rPr>
            </w:pPr>
          </w:p>
        </w:tc>
      </w:tr>
      <w:tr w:rsidR="00A700E7" w:rsidRPr="00A700E7" w14:paraId="633B52DC" w14:textId="77777777" w:rsidTr="00850C06">
        <w:trPr>
          <w:trHeight w:hRule="exact" w:val="303"/>
        </w:trPr>
        <w:tc>
          <w:tcPr>
            <w:tcW w:w="4687" w:type="dxa"/>
            <w:gridSpan w:val="2"/>
            <w:tcBorders>
              <w:top w:val="single" w:sz="4" w:space="0" w:color="auto"/>
              <w:left w:val="single" w:sz="4" w:space="0" w:color="auto"/>
              <w:bottom w:val="single" w:sz="4" w:space="0" w:color="auto"/>
              <w:right w:val="single" w:sz="4" w:space="0" w:color="auto"/>
            </w:tcBorders>
          </w:tcPr>
          <w:p w14:paraId="44EEC66D" w14:textId="77777777" w:rsidR="005D286D" w:rsidRPr="00A700E7" w:rsidRDefault="005D286D" w:rsidP="007A6B1F">
            <w:pPr>
              <w:jc w:val="left"/>
              <w:rPr>
                <w:sz w:val="20"/>
                <w:szCs w:val="20"/>
                <w:lang w:val="en-AU"/>
              </w:rPr>
            </w:pPr>
            <w:r w:rsidRPr="00A700E7">
              <w:rPr>
                <w:sz w:val="20"/>
                <w:szCs w:val="20"/>
                <w:lang w:val="en-AU"/>
              </w:rPr>
              <w:t>Respiratory</w:t>
            </w:r>
            <w:r w:rsidRPr="00A700E7">
              <w:rPr>
                <w:spacing w:val="-6"/>
                <w:sz w:val="20"/>
                <w:szCs w:val="20"/>
                <w:lang w:val="en-AU"/>
              </w:rPr>
              <w:t xml:space="preserve"> </w:t>
            </w:r>
            <w:r w:rsidRPr="00A700E7">
              <w:rPr>
                <w:sz w:val="20"/>
                <w:szCs w:val="20"/>
                <w:lang w:val="en-AU"/>
              </w:rPr>
              <w:t>Tract</w:t>
            </w:r>
            <w:r w:rsidRPr="00A700E7">
              <w:rPr>
                <w:spacing w:val="-6"/>
                <w:sz w:val="20"/>
                <w:szCs w:val="20"/>
                <w:lang w:val="en-AU"/>
              </w:rPr>
              <w:t xml:space="preserve"> </w:t>
            </w:r>
            <w:r w:rsidRPr="00A700E7">
              <w:rPr>
                <w:sz w:val="20"/>
                <w:szCs w:val="20"/>
                <w:lang w:val="en-AU"/>
              </w:rPr>
              <w:t>Infection</w:t>
            </w:r>
            <w:r w:rsidRPr="00A700E7">
              <w:rPr>
                <w:spacing w:val="-5"/>
                <w:sz w:val="20"/>
                <w:szCs w:val="20"/>
                <w:lang w:val="en-AU"/>
              </w:rPr>
              <w:t xml:space="preserve"> </w:t>
            </w:r>
            <w:r w:rsidRPr="00A700E7">
              <w:rPr>
                <w:sz w:val="20"/>
                <w:szCs w:val="20"/>
                <w:lang w:val="en-AU"/>
              </w:rPr>
              <w:t>(Upper</w:t>
            </w:r>
            <w:r w:rsidRPr="00A700E7">
              <w:rPr>
                <w:spacing w:val="-7"/>
                <w:sz w:val="20"/>
                <w:szCs w:val="20"/>
                <w:lang w:val="en-AU"/>
              </w:rPr>
              <w:t xml:space="preserve"> </w:t>
            </w:r>
            <w:r w:rsidRPr="00A700E7">
              <w:rPr>
                <w:sz w:val="20"/>
                <w:szCs w:val="20"/>
                <w:lang w:val="en-AU"/>
              </w:rPr>
              <w:t>and</w:t>
            </w:r>
            <w:r w:rsidRPr="00A700E7">
              <w:rPr>
                <w:spacing w:val="-5"/>
                <w:sz w:val="20"/>
                <w:szCs w:val="20"/>
                <w:lang w:val="en-AU"/>
              </w:rPr>
              <w:t xml:space="preserve"> </w:t>
            </w:r>
            <w:r w:rsidRPr="00A700E7">
              <w:rPr>
                <w:sz w:val="20"/>
                <w:szCs w:val="20"/>
                <w:lang w:val="en-AU"/>
              </w:rPr>
              <w:t>Lower)</w:t>
            </w:r>
          </w:p>
        </w:tc>
        <w:tc>
          <w:tcPr>
            <w:tcW w:w="1759" w:type="dxa"/>
            <w:tcBorders>
              <w:top w:val="single" w:sz="4" w:space="0" w:color="auto"/>
              <w:left w:val="single" w:sz="4" w:space="0" w:color="auto"/>
              <w:bottom w:val="single" w:sz="4" w:space="0" w:color="auto"/>
              <w:right w:val="single" w:sz="4" w:space="0" w:color="auto"/>
            </w:tcBorders>
          </w:tcPr>
          <w:p w14:paraId="173F24DB" w14:textId="77777777" w:rsidR="005D286D" w:rsidRPr="00A700E7" w:rsidRDefault="005D286D" w:rsidP="007A6B1F">
            <w:pPr>
              <w:jc w:val="left"/>
              <w:rPr>
                <w:sz w:val="20"/>
                <w:szCs w:val="20"/>
                <w:lang w:val="en-AU"/>
              </w:rPr>
            </w:pPr>
            <w:r w:rsidRPr="00A700E7">
              <w:rPr>
                <w:sz w:val="20"/>
                <w:szCs w:val="20"/>
                <w:lang w:val="en-AU"/>
              </w:rPr>
              <w:t>6</w:t>
            </w:r>
          </w:p>
        </w:tc>
        <w:tc>
          <w:tcPr>
            <w:tcW w:w="1492" w:type="dxa"/>
            <w:tcBorders>
              <w:top w:val="single" w:sz="4" w:space="0" w:color="auto"/>
              <w:left w:val="single" w:sz="4" w:space="0" w:color="auto"/>
              <w:bottom w:val="single" w:sz="4" w:space="0" w:color="auto"/>
              <w:right w:val="single" w:sz="4" w:space="0" w:color="auto"/>
            </w:tcBorders>
          </w:tcPr>
          <w:p w14:paraId="6C75B68E" w14:textId="77777777" w:rsidR="005D286D" w:rsidRPr="00A700E7" w:rsidRDefault="005D286D" w:rsidP="007A6B1F">
            <w:pPr>
              <w:jc w:val="left"/>
              <w:rPr>
                <w:sz w:val="20"/>
                <w:szCs w:val="20"/>
                <w:lang w:val="en-AU"/>
              </w:rPr>
            </w:pPr>
            <w:r w:rsidRPr="00A700E7">
              <w:rPr>
                <w:w w:val="95"/>
                <w:sz w:val="20"/>
                <w:szCs w:val="20"/>
                <w:lang w:val="en-AU"/>
              </w:rPr>
              <w:t>13</w:t>
            </w:r>
          </w:p>
        </w:tc>
        <w:tc>
          <w:tcPr>
            <w:tcW w:w="30" w:type="dxa"/>
            <w:vMerge/>
            <w:tcBorders>
              <w:top w:val="single" w:sz="4" w:space="0" w:color="auto"/>
              <w:left w:val="single" w:sz="4" w:space="0" w:color="auto"/>
              <w:bottom w:val="single" w:sz="4" w:space="0" w:color="auto"/>
            </w:tcBorders>
          </w:tcPr>
          <w:p w14:paraId="7AE94CFC" w14:textId="77777777" w:rsidR="005D286D" w:rsidRPr="00A700E7" w:rsidRDefault="005D286D" w:rsidP="007A6B1F">
            <w:pPr>
              <w:jc w:val="left"/>
              <w:rPr>
                <w:sz w:val="20"/>
                <w:szCs w:val="20"/>
                <w:lang w:val="en-AU"/>
              </w:rPr>
            </w:pPr>
          </w:p>
        </w:tc>
      </w:tr>
      <w:tr w:rsidR="00A700E7" w:rsidRPr="00A700E7" w14:paraId="689D50FF" w14:textId="77777777" w:rsidTr="00850C06">
        <w:trPr>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75E6B0BD" w14:textId="77777777" w:rsidR="005D286D" w:rsidRPr="00A700E7" w:rsidRDefault="005D286D" w:rsidP="007A6B1F">
            <w:pPr>
              <w:jc w:val="left"/>
              <w:rPr>
                <w:sz w:val="20"/>
                <w:szCs w:val="20"/>
                <w:lang w:val="en-AU"/>
              </w:rPr>
            </w:pPr>
            <w:r w:rsidRPr="00A700E7">
              <w:rPr>
                <w:sz w:val="20"/>
                <w:szCs w:val="20"/>
                <w:lang w:val="en-AU"/>
              </w:rPr>
              <w:t>Bronchitis</w:t>
            </w:r>
          </w:p>
        </w:tc>
        <w:tc>
          <w:tcPr>
            <w:tcW w:w="1759" w:type="dxa"/>
            <w:tcBorders>
              <w:top w:val="single" w:sz="4" w:space="0" w:color="auto"/>
              <w:left w:val="single" w:sz="4" w:space="0" w:color="auto"/>
              <w:bottom w:val="single" w:sz="4" w:space="0" w:color="auto"/>
              <w:right w:val="single" w:sz="4" w:space="0" w:color="auto"/>
            </w:tcBorders>
          </w:tcPr>
          <w:p w14:paraId="2E17354D" w14:textId="77777777" w:rsidR="005D286D" w:rsidRPr="00A700E7" w:rsidRDefault="005D286D" w:rsidP="007A6B1F">
            <w:pPr>
              <w:jc w:val="left"/>
              <w:rPr>
                <w:sz w:val="20"/>
                <w:szCs w:val="20"/>
                <w:lang w:val="en-AU"/>
              </w:rPr>
            </w:pPr>
            <w:r w:rsidRPr="00A700E7">
              <w:rPr>
                <w:sz w:val="20"/>
                <w:szCs w:val="20"/>
                <w:lang w:val="en-AU"/>
              </w:rPr>
              <w:t>0</w:t>
            </w:r>
          </w:p>
        </w:tc>
        <w:tc>
          <w:tcPr>
            <w:tcW w:w="1492" w:type="dxa"/>
            <w:tcBorders>
              <w:top w:val="single" w:sz="4" w:space="0" w:color="auto"/>
              <w:left w:val="single" w:sz="4" w:space="0" w:color="auto"/>
              <w:bottom w:val="single" w:sz="4" w:space="0" w:color="auto"/>
              <w:right w:val="single" w:sz="4" w:space="0" w:color="auto"/>
            </w:tcBorders>
          </w:tcPr>
          <w:p w14:paraId="4B64A184" w14:textId="77777777" w:rsidR="005D286D" w:rsidRPr="00A700E7" w:rsidRDefault="005D286D" w:rsidP="007A6B1F">
            <w:pPr>
              <w:jc w:val="left"/>
              <w:rPr>
                <w:sz w:val="20"/>
                <w:szCs w:val="20"/>
                <w:lang w:val="en-AU"/>
              </w:rPr>
            </w:pPr>
            <w:r w:rsidRPr="00A700E7">
              <w:rPr>
                <w:w w:val="95"/>
                <w:sz w:val="20"/>
                <w:szCs w:val="20"/>
                <w:lang w:val="en-AU"/>
              </w:rPr>
              <w:t>5</w:t>
            </w:r>
          </w:p>
        </w:tc>
        <w:tc>
          <w:tcPr>
            <w:tcW w:w="30" w:type="dxa"/>
            <w:vMerge/>
            <w:tcBorders>
              <w:top w:val="single" w:sz="4" w:space="0" w:color="auto"/>
              <w:left w:val="single" w:sz="4" w:space="0" w:color="auto"/>
              <w:bottom w:val="single" w:sz="4" w:space="0" w:color="auto"/>
            </w:tcBorders>
          </w:tcPr>
          <w:p w14:paraId="6E9516EC" w14:textId="77777777" w:rsidR="005D286D" w:rsidRPr="00A700E7" w:rsidRDefault="005D286D" w:rsidP="007A6B1F">
            <w:pPr>
              <w:jc w:val="left"/>
              <w:rPr>
                <w:sz w:val="20"/>
                <w:szCs w:val="20"/>
                <w:lang w:val="en-AU"/>
              </w:rPr>
            </w:pPr>
          </w:p>
        </w:tc>
      </w:tr>
      <w:tr w:rsidR="00A700E7" w:rsidRPr="00A700E7" w14:paraId="6FFD0138" w14:textId="77777777" w:rsidTr="00850C06">
        <w:trPr>
          <w:trHeight w:hRule="exact" w:val="301"/>
        </w:trPr>
        <w:tc>
          <w:tcPr>
            <w:tcW w:w="4687" w:type="dxa"/>
            <w:gridSpan w:val="2"/>
            <w:tcBorders>
              <w:top w:val="single" w:sz="4" w:space="0" w:color="auto"/>
              <w:left w:val="single" w:sz="4" w:space="0" w:color="auto"/>
              <w:bottom w:val="single" w:sz="4" w:space="0" w:color="auto"/>
              <w:right w:val="single" w:sz="4" w:space="0" w:color="auto"/>
            </w:tcBorders>
          </w:tcPr>
          <w:p w14:paraId="76392AD0" w14:textId="77777777" w:rsidR="005D286D" w:rsidRPr="00A700E7" w:rsidRDefault="005D286D" w:rsidP="007A6B1F">
            <w:pPr>
              <w:jc w:val="left"/>
              <w:rPr>
                <w:sz w:val="20"/>
                <w:szCs w:val="20"/>
                <w:lang w:val="en-AU"/>
              </w:rPr>
            </w:pPr>
            <w:r w:rsidRPr="00A700E7">
              <w:rPr>
                <w:sz w:val="20"/>
                <w:szCs w:val="20"/>
                <w:lang w:val="en-AU"/>
              </w:rPr>
              <w:t>Urinary</w:t>
            </w:r>
            <w:r w:rsidRPr="00A700E7">
              <w:rPr>
                <w:spacing w:val="-7"/>
                <w:sz w:val="20"/>
                <w:szCs w:val="20"/>
                <w:lang w:val="en-AU"/>
              </w:rPr>
              <w:t xml:space="preserve"> </w:t>
            </w:r>
            <w:r w:rsidRPr="00A700E7">
              <w:rPr>
                <w:sz w:val="20"/>
                <w:szCs w:val="20"/>
                <w:lang w:val="en-AU"/>
              </w:rPr>
              <w:t>Tract</w:t>
            </w:r>
            <w:r w:rsidRPr="00A700E7">
              <w:rPr>
                <w:spacing w:val="-6"/>
                <w:sz w:val="20"/>
                <w:szCs w:val="20"/>
                <w:lang w:val="en-AU"/>
              </w:rPr>
              <w:t xml:space="preserve"> </w:t>
            </w:r>
            <w:r w:rsidRPr="00A700E7">
              <w:rPr>
                <w:sz w:val="20"/>
                <w:szCs w:val="20"/>
                <w:lang w:val="en-AU"/>
              </w:rPr>
              <w:t>Infection</w:t>
            </w:r>
          </w:p>
        </w:tc>
        <w:tc>
          <w:tcPr>
            <w:tcW w:w="1759" w:type="dxa"/>
            <w:tcBorders>
              <w:top w:val="single" w:sz="4" w:space="0" w:color="auto"/>
              <w:left w:val="single" w:sz="4" w:space="0" w:color="auto"/>
              <w:bottom w:val="single" w:sz="4" w:space="0" w:color="auto"/>
              <w:right w:val="single" w:sz="4" w:space="0" w:color="auto"/>
            </w:tcBorders>
          </w:tcPr>
          <w:p w14:paraId="0A2C6826" w14:textId="77777777" w:rsidR="005D286D" w:rsidRPr="00A700E7" w:rsidRDefault="005D286D" w:rsidP="007A6B1F">
            <w:pPr>
              <w:jc w:val="left"/>
              <w:rPr>
                <w:sz w:val="20"/>
                <w:szCs w:val="20"/>
                <w:lang w:val="en-AU"/>
              </w:rPr>
            </w:pPr>
            <w:r w:rsidRPr="00A700E7">
              <w:rPr>
                <w:sz w:val="20"/>
                <w:szCs w:val="20"/>
                <w:lang w:val="en-AU"/>
              </w:rPr>
              <w:t>0</w:t>
            </w:r>
          </w:p>
        </w:tc>
        <w:tc>
          <w:tcPr>
            <w:tcW w:w="1492" w:type="dxa"/>
            <w:tcBorders>
              <w:top w:val="single" w:sz="4" w:space="0" w:color="auto"/>
              <w:left w:val="single" w:sz="4" w:space="0" w:color="auto"/>
              <w:bottom w:val="single" w:sz="4" w:space="0" w:color="auto"/>
              <w:right w:val="single" w:sz="4" w:space="0" w:color="auto"/>
            </w:tcBorders>
          </w:tcPr>
          <w:p w14:paraId="64A43393" w14:textId="77777777" w:rsidR="005D286D" w:rsidRPr="00A700E7" w:rsidRDefault="005D286D" w:rsidP="007A6B1F">
            <w:pPr>
              <w:jc w:val="left"/>
              <w:rPr>
                <w:sz w:val="20"/>
                <w:szCs w:val="20"/>
                <w:lang w:val="en-AU"/>
              </w:rPr>
            </w:pPr>
            <w:r w:rsidRPr="00A700E7">
              <w:rPr>
                <w:w w:val="95"/>
                <w:sz w:val="20"/>
                <w:szCs w:val="20"/>
                <w:lang w:val="en-AU"/>
              </w:rPr>
              <w:t>4</w:t>
            </w:r>
          </w:p>
        </w:tc>
        <w:tc>
          <w:tcPr>
            <w:tcW w:w="30" w:type="dxa"/>
            <w:vMerge/>
            <w:tcBorders>
              <w:top w:val="single" w:sz="4" w:space="0" w:color="auto"/>
              <w:left w:val="single" w:sz="4" w:space="0" w:color="auto"/>
              <w:bottom w:val="single" w:sz="4" w:space="0" w:color="auto"/>
            </w:tcBorders>
          </w:tcPr>
          <w:p w14:paraId="0A5B69F8" w14:textId="77777777" w:rsidR="005D286D" w:rsidRPr="00A700E7" w:rsidRDefault="005D286D" w:rsidP="007A6B1F">
            <w:pPr>
              <w:jc w:val="left"/>
              <w:rPr>
                <w:sz w:val="20"/>
                <w:szCs w:val="20"/>
                <w:lang w:val="en-AU"/>
              </w:rPr>
            </w:pPr>
          </w:p>
        </w:tc>
      </w:tr>
      <w:tr w:rsidR="00A700E7" w:rsidRPr="00A700E7" w14:paraId="6B18B4CD" w14:textId="77777777" w:rsidTr="00850C06">
        <w:trPr>
          <w:trHeight w:hRule="exact" w:val="302"/>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5824AF0A" w14:textId="77777777" w:rsidR="005D286D" w:rsidRPr="00A700E7" w:rsidRDefault="005D286D" w:rsidP="007A6B1F">
            <w:pPr>
              <w:jc w:val="left"/>
              <w:rPr>
                <w:sz w:val="20"/>
                <w:szCs w:val="20"/>
                <w:lang w:val="en-AU"/>
              </w:rPr>
            </w:pPr>
            <w:r w:rsidRPr="00A700E7">
              <w:rPr>
                <w:sz w:val="20"/>
                <w:szCs w:val="20"/>
                <w:lang w:val="en-AU"/>
              </w:rPr>
              <w:t>Psychiatric</w:t>
            </w:r>
            <w:r w:rsidRPr="00A700E7">
              <w:rPr>
                <w:spacing w:val="-14"/>
                <w:sz w:val="20"/>
                <w:szCs w:val="20"/>
                <w:lang w:val="en-AU"/>
              </w:rPr>
              <w:t xml:space="preserve"> </w:t>
            </w:r>
            <w:r w:rsidRPr="00A700E7">
              <w:rPr>
                <w:sz w:val="20"/>
                <w:szCs w:val="20"/>
                <w:lang w:val="en-AU"/>
              </w:rPr>
              <w:t>disorders</w:t>
            </w:r>
          </w:p>
        </w:tc>
        <w:tc>
          <w:tcPr>
            <w:tcW w:w="30" w:type="dxa"/>
            <w:tcBorders>
              <w:top w:val="single" w:sz="4" w:space="0" w:color="auto"/>
              <w:left w:val="single" w:sz="4" w:space="0" w:color="auto"/>
              <w:bottom w:val="single" w:sz="4" w:space="0" w:color="auto"/>
            </w:tcBorders>
          </w:tcPr>
          <w:p w14:paraId="125BE97A" w14:textId="77777777" w:rsidR="005D286D" w:rsidRPr="00A700E7" w:rsidRDefault="005D286D" w:rsidP="007A6B1F">
            <w:pPr>
              <w:jc w:val="left"/>
              <w:rPr>
                <w:sz w:val="20"/>
                <w:szCs w:val="20"/>
                <w:lang w:val="en-AU"/>
              </w:rPr>
            </w:pPr>
          </w:p>
        </w:tc>
      </w:tr>
      <w:tr w:rsidR="00A700E7" w:rsidRPr="00A700E7" w14:paraId="35DABA16" w14:textId="77777777" w:rsidTr="00850C06">
        <w:trPr>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2DDD0141" w14:textId="77777777" w:rsidR="005D286D" w:rsidRPr="00A700E7" w:rsidRDefault="005D286D" w:rsidP="007A6B1F">
            <w:pPr>
              <w:jc w:val="left"/>
              <w:rPr>
                <w:sz w:val="20"/>
                <w:szCs w:val="20"/>
                <w:lang w:val="en-AU"/>
              </w:rPr>
            </w:pPr>
            <w:r w:rsidRPr="00A700E7">
              <w:rPr>
                <w:sz w:val="20"/>
                <w:szCs w:val="20"/>
                <w:lang w:val="en-AU"/>
              </w:rPr>
              <w:t>Insomnia</w:t>
            </w:r>
          </w:p>
        </w:tc>
        <w:tc>
          <w:tcPr>
            <w:tcW w:w="1759" w:type="dxa"/>
            <w:tcBorders>
              <w:top w:val="single" w:sz="4" w:space="0" w:color="auto"/>
              <w:left w:val="single" w:sz="4" w:space="0" w:color="auto"/>
              <w:bottom w:val="single" w:sz="4" w:space="0" w:color="auto"/>
              <w:right w:val="single" w:sz="4" w:space="0" w:color="auto"/>
            </w:tcBorders>
          </w:tcPr>
          <w:p w14:paraId="1285D9EE" w14:textId="77777777" w:rsidR="005D286D" w:rsidRPr="00A700E7" w:rsidRDefault="005D286D" w:rsidP="007A6B1F">
            <w:pPr>
              <w:jc w:val="left"/>
              <w:rPr>
                <w:sz w:val="20"/>
                <w:szCs w:val="20"/>
                <w:lang w:val="en-AU"/>
              </w:rPr>
            </w:pPr>
            <w:r w:rsidRPr="00A700E7">
              <w:rPr>
                <w:sz w:val="20"/>
                <w:szCs w:val="20"/>
                <w:lang w:val="en-AU"/>
              </w:rPr>
              <w:t>2</w:t>
            </w:r>
          </w:p>
        </w:tc>
        <w:tc>
          <w:tcPr>
            <w:tcW w:w="1492" w:type="dxa"/>
            <w:tcBorders>
              <w:top w:val="single" w:sz="4" w:space="0" w:color="auto"/>
              <w:left w:val="single" w:sz="4" w:space="0" w:color="auto"/>
              <w:bottom w:val="single" w:sz="4" w:space="0" w:color="auto"/>
              <w:right w:val="single" w:sz="4" w:space="0" w:color="auto"/>
            </w:tcBorders>
          </w:tcPr>
          <w:p w14:paraId="34064598" w14:textId="77777777" w:rsidR="005D286D" w:rsidRPr="00A700E7" w:rsidRDefault="005D286D" w:rsidP="007A6B1F">
            <w:pPr>
              <w:jc w:val="left"/>
              <w:rPr>
                <w:sz w:val="20"/>
                <w:szCs w:val="20"/>
                <w:lang w:val="en-AU"/>
              </w:rPr>
            </w:pPr>
            <w:r w:rsidRPr="00A700E7">
              <w:rPr>
                <w:w w:val="95"/>
                <w:sz w:val="20"/>
                <w:szCs w:val="20"/>
                <w:lang w:val="en-AU"/>
              </w:rPr>
              <w:t>4</w:t>
            </w:r>
          </w:p>
        </w:tc>
        <w:tc>
          <w:tcPr>
            <w:tcW w:w="30" w:type="dxa"/>
            <w:tcBorders>
              <w:top w:val="single" w:sz="4" w:space="0" w:color="auto"/>
              <w:left w:val="single" w:sz="4" w:space="0" w:color="auto"/>
              <w:bottom w:val="single" w:sz="4" w:space="0" w:color="auto"/>
            </w:tcBorders>
          </w:tcPr>
          <w:p w14:paraId="6FA8B2A8" w14:textId="77777777" w:rsidR="005D286D" w:rsidRPr="00A700E7" w:rsidRDefault="005D286D" w:rsidP="007A6B1F">
            <w:pPr>
              <w:jc w:val="left"/>
              <w:rPr>
                <w:sz w:val="20"/>
                <w:szCs w:val="20"/>
                <w:lang w:val="en-AU"/>
              </w:rPr>
            </w:pPr>
          </w:p>
        </w:tc>
      </w:tr>
      <w:tr w:rsidR="00A700E7" w:rsidRPr="00A700E7" w14:paraId="6BA544AD" w14:textId="77777777" w:rsidTr="00850C06">
        <w:trPr>
          <w:trHeight w:hRule="exact" w:val="302"/>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2321BCEE" w14:textId="77777777" w:rsidR="005D286D" w:rsidRPr="00A700E7" w:rsidRDefault="005D286D" w:rsidP="007A6B1F">
            <w:pPr>
              <w:jc w:val="left"/>
              <w:rPr>
                <w:sz w:val="20"/>
                <w:szCs w:val="20"/>
                <w:lang w:val="en-AU"/>
              </w:rPr>
            </w:pPr>
            <w:r w:rsidRPr="00A700E7">
              <w:rPr>
                <w:sz w:val="20"/>
                <w:szCs w:val="20"/>
                <w:lang w:val="en-AU"/>
              </w:rPr>
              <w:t>Nervous</w:t>
            </w:r>
            <w:r w:rsidRPr="00A700E7">
              <w:rPr>
                <w:spacing w:val="-9"/>
                <w:sz w:val="20"/>
                <w:szCs w:val="20"/>
                <w:lang w:val="en-AU"/>
              </w:rPr>
              <w:t xml:space="preserve"> </w:t>
            </w:r>
            <w:r w:rsidRPr="00A700E7">
              <w:rPr>
                <w:sz w:val="20"/>
                <w:szCs w:val="20"/>
                <w:lang w:val="en-AU"/>
              </w:rPr>
              <w:t>System</w:t>
            </w:r>
            <w:r w:rsidRPr="00A700E7">
              <w:rPr>
                <w:spacing w:val="-8"/>
                <w:sz w:val="20"/>
                <w:szCs w:val="20"/>
                <w:lang w:val="en-AU"/>
              </w:rPr>
              <w:t xml:space="preserve"> </w:t>
            </w:r>
            <w:r w:rsidRPr="00A700E7">
              <w:rPr>
                <w:sz w:val="20"/>
                <w:szCs w:val="20"/>
                <w:lang w:val="en-AU"/>
              </w:rPr>
              <w:t>Disorders</w:t>
            </w:r>
          </w:p>
        </w:tc>
        <w:tc>
          <w:tcPr>
            <w:tcW w:w="30" w:type="dxa"/>
            <w:tcBorders>
              <w:top w:val="single" w:sz="4" w:space="0" w:color="auto"/>
              <w:left w:val="single" w:sz="4" w:space="0" w:color="auto"/>
              <w:bottom w:val="single" w:sz="4" w:space="0" w:color="auto"/>
            </w:tcBorders>
          </w:tcPr>
          <w:p w14:paraId="6059AF41" w14:textId="77777777" w:rsidR="005D286D" w:rsidRPr="00A700E7" w:rsidRDefault="005D286D" w:rsidP="007A6B1F">
            <w:pPr>
              <w:jc w:val="left"/>
              <w:rPr>
                <w:sz w:val="20"/>
                <w:szCs w:val="20"/>
                <w:lang w:val="en-AU"/>
              </w:rPr>
            </w:pPr>
          </w:p>
        </w:tc>
      </w:tr>
      <w:tr w:rsidR="00A700E7" w:rsidRPr="00A700E7" w14:paraId="1B1EAB65" w14:textId="77777777" w:rsidTr="00850C06">
        <w:trPr>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3E48888D" w14:textId="77777777" w:rsidR="005D286D" w:rsidRPr="00A700E7" w:rsidRDefault="005D286D" w:rsidP="007A6B1F">
            <w:pPr>
              <w:jc w:val="left"/>
              <w:rPr>
                <w:sz w:val="20"/>
                <w:szCs w:val="20"/>
                <w:lang w:val="en-AU"/>
              </w:rPr>
            </w:pPr>
            <w:r w:rsidRPr="00A700E7">
              <w:rPr>
                <w:sz w:val="20"/>
                <w:szCs w:val="20"/>
                <w:lang w:val="en-AU"/>
              </w:rPr>
              <w:t>Headache</w:t>
            </w:r>
          </w:p>
        </w:tc>
        <w:tc>
          <w:tcPr>
            <w:tcW w:w="1759" w:type="dxa"/>
            <w:tcBorders>
              <w:top w:val="single" w:sz="4" w:space="0" w:color="auto"/>
              <w:left w:val="single" w:sz="4" w:space="0" w:color="auto"/>
              <w:bottom w:val="single" w:sz="4" w:space="0" w:color="auto"/>
              <w:right w:val="single" w:sz="4" w:space="0" w:color="auto"/>
            </w:tcBorders>
          </w:tcPr>
          <w:p w14:paraId="7FAB4BAE" w14:textId="77777777" w:rsidR="005D286D" w:rsidRPr="00A700E7" w:rsidRDefault="005D286D" w:rsidP="007A6B1F">
            <w:pPr>
              <w:jc w:val="left"/>
              <w:rPr>
                <w:sz w:val="20"/>
                <w:szCs w:val="20"/>
                <w:lang w:val="en-AU"/>
              </w:rPr>
            </w:pPr>
            <w:r w:rsidRPr="00A700E7">
              <w:rPr>
                <w:sz w:val="20"/>
                <w:szCs w:val="20"/>
                <w:lang w:val="en-AU"/>
              </w:rPr>
              <w:t>15</w:t>
            </w:r>
          </w:p>
        </w:tc>
        <w:tc>
          <w:tcPr>
            <w:tcW w:w="1492" w:type="dxa"/>
            <w:tcBorders>
              <w:top w:val="single" w:sz="4" w:space="0" w:color="auto"/>
              <w:left w:val="single" w:sz="4" w:space="0" w:color="auto"/>
              <w:bottom w:val="single" w:sz="4" w:space="0" w:color="auto"/>
              <w:right w:val="single" w:sz="4" w:space="0" w:color="auto"/>
            </w:tcBorders>
          </w:tcPr>
          <w:p w14:paraId="698356D5" w14:textId="77777777" w:rsidR="005D286D" w:rsidRPr="00A700E7" w:rsidRDefault="005D286D" w:rsidP="007A6B1F">
            <w:pPr>
              <w:jc w:val="left"/>
              <w:rPr>
                <w:sz w:val="20"/>
                <w:szCs w:val="20"/>
                <w:lang w:val="en-AU"/>
              </w:rPr>
            </w:pPr>
            <w:r w:rsidRPr="00A700E7">
              <w:rPr>
                <w:w w:val="95"/>
                <w:sz w:val="20"/>
                <w:szCs w:val="20"/>
                <w:lang w:val="en-AU"/>
              </w:rPr>
              <w:t>42</w:t>
            </w:r>
          </w:p>
        </w:tc>
        <w:tc>
          <w:tcPr>
            <w:tcW w:w="30" w:type="dxa"/>
            <w:vMerge w:val="restart"/>
            <w:tcBorders>
              <w:top w:val="single" w:sz="4" w:space="0" w:color="auto"/>
              <w:left w:val="single" w:sz="4" w:space="0" w:color="auto"/>
              <w:bottom w:val="single" w:sz="4" w:space="0" w:color="auto"/>
            </w:tcBorders>
          </w:tcPr>
          <w:p w14:paraId="6EA716B2" w14:textId="77777777" w:rsidR="005D286D" w:rsidRPr="00A700E7" w:rsidRDefault="005D286D" w:rsidP="007A6B1F">
            <w:pPr>
              <w:jc w:val="left"/>
              <w:rPr>
                <w:sz w:val="20"/>
                <w:szCs w:val="20"/>
                <w:lang w:val="en-AU"/>
              </w:rPr>
            </w:pPr>
          </w:p>
        </w:tc>
      </w:tr>
      <w:tr w:rsidR="00A700E7" w:rsidRPr="00A700E7" w14:paraId="0A9F27E9" w14:textId="77777777" w:rsidTr="00850C06">
        <w:trPr>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02A1F792" w14:textId="77777777" w:rsidR="005D286D" w:rsidRPr="00A700E7" w:rsidRDefault="005D286D" w:rsidP="007A6B1F">
            <w:pPr>
              <w:jc w:val="left"/>
              <w:rPr>
                <w:sz w:val="20"/>
                <w:szCs w:val="20"/>
                <w:lang w:val="en-AU"/>
              </w:rPr>
            </w:pPr>
            <w:r w:rsidRPr="00A700E7">
              <w:rPr>
                <w:sz w:val="20"/>
                <w:szCs w:val="20"/>
                <w:lang w:val="en-AU"/>
              </w:rPr>
              <w:t>Dizziness</w:t>
            </w:r>
          </w:p>
        </w:tc>
        <w:tc>
          <w:tcPr>
            <w:tcW w:w="1759" w:type="dxa"/>
            <w:tcBorders>
              <w:top w:val="single" w:sz="4" w:space="0" w:color="auto"/>
              <w:left w:val="single" w:sz="4" w:space="0" w:color="auto"/>
              <w:bottom w:val="single" w:sz="4" w:space="0" w:color="auto"/>
              <w:right w:val="single" w:sz="4" w:space="0" w:color="auto"/>
            </w:tcBorders>
          </w:tcPr>
          <w:p w14:paraId="1AA34028" w14:textId="77777777" w:rsidR="005D286D" w:rsidRPr="00A700E7" w:rsidRDefault="005D286D" w:rsidP="007A6B1F">
            <w:pPr>
              <w:jc w:val="left"/>
              <w:rPr>
                <w:sz w:val="20"/>
                <w:szCs w:val="20"/>
                <w:lang w:val="en-AU"/>
              </w:rPr>
            </w:pPr>
            <w:r w:rsidRPr="00A700E7">
              <w:rPr>
                <w:sz w:val="20"/>
                <w:szCs w:val="20"/>
                <w:lang w:val="en-AU"/>
              </w:rPr>
              <w:t>9</w:t>
            </w:r>
          </w:p>
        </w:tc>
        <w:tc>
          <w:tcPr>
            <w:tcW w:w="1492" w:type="dxa"/>
            <w:tcBorders>
              <w:top w:val="single" w:sz="4" w:space="0" w:color="auto"/>
              <w:left w:val="single" w:sz="4" w:space="0" w:color="auto"/>
              <w:bottom w:val="single" w:sz="4" w:space="0" w:color="auto"/>
              <w:right w:val="single" w:sz="4" w:space="0" w:color="auto"/>
            </w:tcBorders>
          </w:tcPr>
          <w:p w14:paraId="03E10725" w14:textId="77777777" w:rsidR="005D286D" w:rsidRPr="00A700E7" w:rsidRDefault="005D286D" w:rsidP="007A6B1F">
            <w:pPr>
              <w:jc w:val="left"/>
              <w:rPr>
                <w:sz w:val="20"/>
                <w:szCs w:val="20"/>
                <w:lang w:val="en-AU"/>
              </w:rPr>
            </w:pPr>
            <w:r w:rsidRPr="00A700E7">
              <w:rPr>
                <w:w w:val="95"/>
                <w:sz w:val="20"/>
                <w:szCs w:val="20"/>
                <w:lang w:val="en-AU"/>
              </w:rPr>
              <w:t>8</w:t>
            </w:r>
          </w:p>
        </w:tc>
        <w:tc>
          <w:tcPr>
            <w:tcW w:w="30" w:type="dxa"/>
            <w:vMerge/>
            <w:tcBorders>
              <w:top w:val="single" w:sz="4" w:space="0" w:color="auto"/>
              <w:left w:val="single" w:sz="4" w:space="0" w:color="auto"/>
              <w:bottom w:val="single" w:sz="4" w:space="0" w:color="auto"/>
            </w:tcBorders>
          </w:tcPr>
          <w:p w14:paraId="6ADBBAEE" w14:textId="77777777" w:rsidR="005D286D" w:rsidRPr="00A700E7" w:rsidRDefault="005D286D" w:rsidP="007A6B1F">
            <w:pPr>
              <w:jc w:val="left"/>
              <w:rPr>
                <w:sz w:val="20"/>
                <w:szCs w:val="20"/>
                <w:lang w:val="en-AU"/>
              </w:rPr>
            </w:pPr>
          </w:p>
        </w:tc>
      </w:tr>
      <w:tr w:rsidR="00A700E7" w:rsidRPr="00A700E7" w14:paraId="35C64689" w14:textId="77777777" w:rsidTr="00850C06">
        <w:trPr>
          <w:trHeight w:hRule="exact" w:val="300"/>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16CADB68" w14:textId="77777777" w:rsidR="005D286D" w:rsidRPr="00A700E7" w:rsidRDefault="005D286D" w:rsidP="007A6B1F">
            <w:pPr>
              <w:jc w:val="left"/>
              <w:rPr>
                <w:sz w:val="20"/>
                <w:szCs w:val="20"/>
                <w:lang w:val="en-AU"/>
              </w:rPr>
            </w:pPr>
            <w:bookmarkStart w:id="24" w:name="_Hlk137368396"/>
            <w:r w:rsidRPr="00A700E7">
              <w:rPr>
                <w:spacing w:val="-1"/>
                <w:sz w:val="20"/>
                <w:szCs w:val="20"/>
                <w:lang w:val="en-AU"/>
              </w:rPr>
              <w:t>Vascular</w:t>
            </w:r>
            <w:r w:rsidRPr="00A700E7">
              <w:rPr>
                <w:spacing w:val="-10"/>
                <w:sz w:val="20"/>
                <w:szCs w:val="20"/>
                <w:lang w:val="en-AU"/>
              </w:rPr>
              <w:t xml:space="preserve"> </w:t>
            </w:r>
            <w:r w:rsidRPr="00A700E7">
              <w:rPr>
                <w:sz w:val="20"/>
                <w:szCs w:val="20"/>
                <w:lang w:val="en-AU"/>
              </w:rPr>
              <w:t>disorders</w:t>
            </w:r>
          </w:p>
        </w:tc>
        <w:tc>
          <w:tcPr>
            <w:tcW w:w="30" w:type="dxa"/>
            <w:tcBorders>
              <w:top w:val="single" w:sz="4" w:space="0" w:color="auto"/>
              <w:left w:val="single" w:sz="4" w:space="0" w:color="auto"/>
              <w:bottom w:val="single" w:sz="4" w:space="0" w:color="auto"/>
            </w:tcBorders>
          </w:tcPr>
          <w:p w14:paraId="7F4FDC60" w14:textId="77777777" w:rsidR="005D286D" w:rsidRPr="00A700E7" w:rsidRDefault="005D286D" w:rsidP="007A6B1F">
            <w:pPr>
              <w:jc w:val="left"/>
              <w:rPr>
                <w:sz w:val="20"/>
                <w:szCs w:val="20"/>
                <w:lang w:val="en-AU"/>
              </w:rPr>
            </w:pPr>
          </w:p>
        </w:tc>
      </w:tr>
      <w:bookmarkEnd w:id="24"/>
      <w:tr w:rsidR="00A700E7" w:rsidRPr="00A700E7" w14:paraId="64B4E68E" w14:textId="77777777" w:rsidTr="00850C06">
        <w:trPr>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128CD2C2" w14:textId="77777777" w:rsidR="005D286D" w:rsidRPr="00A700E7" w:rsidRDefault="005D286D" w:rsidP="007A6B1F">
            <w:pPr>
              <w:jc w:val="left"/>
              <w:rPr>
                <w:sz w:val="20"/>
                <w:szCs w:val="20"/>
                <w:lang w:val="en-AU"/>
              </w:rPr>
            </w:pPr>
            <w:r w:rsidRPr="00A700E7">
              <w:rPr>
                <w:sz w:val="20"/>
                <w:szCs w:val="20"/>
                <w:lang w:val="en-AU"/>
              </w:rPr>
              <w:t>Flushing</w:t>
            </w:r>
          </w:p>
        </w:tc>
        <w:tc>
          <w:tcPr>
            <w:tcW w:w="1759" w:type="dxa"/>
            <w:tcBorders>
              <w:top w:val="single" w:sz="4" w:space="0" w:color="auto"/>
              <w:left w:val="single" w:sz="4" w:space="0" w:color="auto"/>
              <w:bottom w:val="single" w:sz="4" w:space="0" w:color="auto"/>
              <w:right w:val="single" w:sz="4" w:space="0" w:color="auto"/>
            </w:tcBorders>
          </w:tcPr>
          <w:p w14:paraId="3F7E1FEA" w14:textId="77777777" w:rsidR="005D286D" w:rsidRPr="00A700E7" w:rsidRDefault="005D286D" w:rsidP="007A6B1F">
            <w:pPr>
              <w:jc w:val="left"/>
              <w:rPr>
                <w:sz w:val="20"/>
                <w:szCs w:val="20"/>
                <w:lang w:val="en-AU"/>
              </w:rPr>
            </w:pPr>
            <w:r w:rsidRPr="00A700E7">
              <w:rPr>
                <w:sz w:val="20"/>
                <w:szCs w:val="20"/>
                <w:lang w:val="en-AU"/>
              </w:rPr>
              <w:t>2</w:t>
            </w:r>
          </w:p>
        </w:tc>
        <w:tc>
          <w:tcPr>
            <w:tcW w:w="1492" w:type="dxa"/>
            <w:tcBorders>
              <w:top w:val="single" w:sz="4" w:space="0" w:color="auto"/>
              <w:left w:val="single" w:sz="4" w:space="0" w:color="auto"/>
              <w:bottom w:val="single" w:sz="4" w:space="0" w:color="auto"/>
              <w:right w:val="single" w:sz="4" w:space="0" w:color="auto"/>
            </w:tcBorders>
          </w:tcPr>
          <w:p w14:paraId="649B19C4" w14:textId="77777777" w:rsidR="005D286D" w:rsidRPr="00A700E7" w:rsidRDefault="005D286D" w:rsidP="007A6B1F">
            <w:pPr>
              <w:jc w:val="left"/>
              <w:rPr>
                <w:sz w:val="20"/>
                <w:szCs w:val="20"/>
                <w:lang w:val="en-AU"/>
              </w:rPr>
            </w:pPr>
            <w:r w:rsidRPr="00A700E7">
              <w:rPr>
                <w:w w:val="95"/>
                <w:sz w:val="20"/>
                <w:szCs w:val="20"/>
                <w:lang w:val="en-AU"/>
              </w:rPr>
              <w:t>13</w:t>
            </w:r>
          </w:p>
        </w:tc>
        <w:tc>
          <w:tcPr>
            <w:tcW w:w="30" w:type="dxa"/>
            <w:vMerge w:val="restart"/>
            <w:tcBorders>
              <w:top w:val="single" w:sz="4" w:space="0" w:color="auto"/>
              <w:left w:val="single" w:sz="4" w:space="0" w:color="auto"/>
              <w:bottom w:val="single" w:sz="4" w:space="0" w:color="auto"/>
            </w:tcBorders>
          </w:tcPr>
          <w:p w14:paraId="2D38522A" w14:textId="77777777" w:rsidR="005D286D" w:rsidRPr="00A700E7" w:rsidRDefault="005D286D" w:rsidP="007A6B1F">
            <w:pPr>
              <w:jc w:val="left"/>
              <w:rPr>
                <w:sz w:val="20"/>
                <w:szCs w:val="20"/>
                <w:lang w:val="en-AU"/>
              </w:rPr>
            </w:pPr>
          </w:p>
        </w:tc>
      </w:tr>
      <w:tr w:rsidR="00A700E7" w:rsidRPr="00A700E7" w14:paraId="16E7DFE5" w14:textId="77777777" w:rsidTr="00850C06">
        <w:trPr>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0AFDB280" w14:textId="77777777" w:rsidR="005D286D" w:rsidRPr="00A700E7" w:rsidRDefault="005D286D" w:rsidP="007A6B1F">
            <w:pPr>
              <w:jc w:val="left"/>
              <w:rPr>
                <w:sz w:val="20"/>
                <w:szCs w:val="20"/>
                <w:lang w:val="en-AU"/>
              </w:rPr>
            </w:pPr>
            <w:r w:rsidRPr="00A700E7">
              <w:rPr>
                <w:sz w:val="20"/>
                <w:szCs w:val="20"/>
                <w:lang w:val="en-AU"/>
              </w:rPr>
              <w:t>Hot</w:t>
            </w:r>
            <w:r w:rsidRPr="00A700E7">
              <w:rPr>
                <w:spacing w:val="-4"/>
                <w:sz w:val="20"/>
                <w:szCs w:val="20"/>
                <w:lang w:val="en-AU"/>
              </w:rPr>
              <w:t xml:space="preserve"> </w:t>
            </w:r>
            <w:r w:rsidRPr="00A700E7">
              <w:rPr>
                <w:sz w:val="20"/>
                <w:szCs w:val="20"/>
                <w:lang w:val="en-AU"/>
              </w:rPr>
              <w:t>Flush</w:t>
            </w:r>
          </w:p>
        </w:tc>
        <w:tc>
          <w:tcPr>
            <w:tcW w:w="1759" w:type="dxa"/>
            <w:tcBorders>
              <w:top w:val="single" w:sz="4" w:space="0" w:color="auto"/>
              <w:left w:val="single" w:sz="4" w:space="0" w:color="auto"/>
              <w:bottom w:val="single" w:sz="4" w:space="0" w:color="auto"/>
              <w:right w:val="single" w:sz="4" w:space="0" w:color="auto"/>
            </w:tcBorders>
          </w:tcPr>
          <w:p w14:paraId="41B594F8" w14:textId="77777777" w:rsidR="005D286D" w:rsidRPr="00A700E7" w:rsidRDefault="005D286D" w:rsidP="007A6B1F">
            <w:pPr>
              <w:jc w:val="left"/>
              <w:rPr>
                <w:sz w:val="20"/>
                <w:szCs w:val="20"/>
                <w:lang w:val="en-AU"/>
              </w:rPr>
            </w:pPr>
            <w:r w:rsidRPr="00A700E7">
              <w:rPr>
                <w:sz w:val="20"/>
                <w:szCs w:val="20"/>
                <w:lang w:val="en-AU"/>
              </w:rPr>
              <w:t>2</w:t>
            </w:r>
          </w:p>
        </w:tc>
        <w:tc>
          <w:tcPr>
            <w:tcW w:w="1492" w:type="dxa"/>
            <w:tcBorders>
              <w:top w:val="single" w:sz="4" w:space="0" w:color="auto"/>
              <w:left w:val="single" w:sz="4" w:space="0" w:color="auto"/>
              <w:bottom w:val="single" w:sz="4" w:space="0" w:color="auto"/>
              <w:right w:val="single" w:sz="4" w:space="0" w:color="auto"/>
            </w:tcBorders>
          </w:tcPr>
          <w:p w14:paraId="6E20B7F8" w14:textId="77777777" w:rsidR="005D286D" w:rsidRPr="00A700E7" w:rsidRDefault="005D286D" w:rsidP="007A6B1F">
            <w:pPr>
              <w:jc w:val="left"/>
              <w:rPr>
                <w:sz w:val="20"/>
                <w:szCs w:val="20"/>
                <w:lang w:val="en-AU"/>
              </w:rPr>
            </w:pPr>
            <w:r w:rsidRPr="00A700E7">
              <w:rPr>
                <w:w w:val="95"/>
                <w:sz w:val="20"/>
                <w:szCs w:val="20"/>
                <w:lang w:val="en-AU"/>
              </w:rPr>
              <w:t>4</w:t>
            </w:r>
          </w:p>
        </w:tc>
        <w:tc>
          <w:tcPr>
            <w:tcW w:w="30" w:type="dxa"/>
            <w:vMerge/>
            <w:tcBorders>
              <w:top w:val="single" w:sz="4" w:space="0" w:color="auto"/>
              <w:left w:val="single" w:sz="4" w:space="0" w:color="auto"/>
              <w:bottom w:val="single" w:sz="4" w:space="0" w:color="auto"/>
            </w:tcBorders>
          </w:tcPr>
          <w:p w14:paraId="783EA90A" w14:textId="77777777" w:rsidR="005D286D" w:rsidRPr="00A700E7" w:rsidRDefault="005D286D" w:rsidP="007A6B1F">
            <w:pPr>
              <w:jc w:val="left"/>
              <w:rPr>
                <w:sz w:val="20"/>
                <w:szCs w:val="20"/>
                <w:lang w:val="en-AU"/>
              </w:rPr>
            </w:pPr>
          </w:p>
        </w:tc>
      </w:tr>
      <w:tr w:rsidR="00A700E7" w:rsidRPr="00A700E7" w14:paraId="1A5A7721" w14:textId="77777777" w:rsidTr="00850C06">
        <w:trPr>
          <w:trHeight w:hRule="exact" w:val="300"/>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0383232E" w14:textId="6B3C771B" w:rsidR="00B333FB" w:rsidRPr="00A700E7" w:rsidRDefault="00B333FB" w:rsidP="007A6B1F">
            <w:pPr>
              <w:pStyle w:val="Default"/>
              <w:rPr>
                <w:rFonts w:ascii="Arial" w:hAnsi="Arial" w:cs="Arial"/>
                <w:color w:val="auto"/>
                <w:sz w:val="20"/>
                <w:szCs w:val="20"/>
              </w:rPr>
            </w:pPr>
            <w:r w:rsidRPr="00A700E7">
              <w:rPr>
                <w:rFonts w:ascii="Arial" w:hAnsi="Arial" w:cs="Arial"/>
                <w:color w:val="auto"/>
                <w:sz w:val="20"/>
                <w:szCs w:val="20"/>
              </w:rPr>
              <w:t>Respiratory Tract, Thoracic and Mediastinal Disorders</w:t>
            </w:r>
          </w:p>
          <w:p w14:paraId="01855800" w14:textId="7F4FB6BF" w:rsidR="005D286D" w:rsidRPr="00A700E7" w:rsidRDefault="005D286D" w:rsidP="007A6B1F">
            <w:pPr>
              <w:jc w:val="left"/>
              <w:rPr>
                <w:sz w:val="20"/>
                <w:szCs w:val="20"/>
              </w:rPr>
            </w:pPr>
          </w:p>
        </w:tc>
        <w:tc>
          <w:tcPr>
            <w:tcW w:w="30" w:type="dxa"/>
            <w:tcBorders>
              <w:top w:val="single" w:sz="4" w:space="0" w:color="auto"/>
              <w:left w:val="single" w:sz="4" w:space="0" w:color="auto"/>
              <w:bottom w:val="single" w:sz="4" w:space="0" w:color="auto"/>
            </w:tcBorders>
          </w:tcPr>
          <w:p w14:paraId="738D9A04" w14:textId="77777777" w:rsidR="005D286D" w:rsidRPr="00A700E7" w:rsidRDefault="005D286D" w:rsidP="007A6B1F">
            <w:pPr>
              <w:jc w:val="left"/>
              <w:rPr>
                <w:sz w:val="20"/>
                <w:szCs w:val="20"/>
                <w:lang w:val="en-AU"/>
              </w:rPr>
            </w:pPr>
          </w:p>
        </w:tc>
      </w:tr>
      <w:tr w:rsidR="00A700E7" w:rsidRPr="00A700E7" w14:paraId="3DF8D73A" w14:textId="77777777" w:rsidTr="00850C06">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01E371F6" w14:textId="77777777" w:rsidR="005D286D" w:rsidRPr="00A700E7" w:rsidRDefault="005D286D" w:rsidP="007A6B1F">
            <w:pPr>
              <w:jc w:val="left"/>
              <w:rPr>
                <w:sz w:val="20"/>
                <w:szCs w:val="20"/>
                <w:lang w:val="en-AU"/>
              </w:rPr>
            </w:pPr>
            <w:r w:rsidRPr="00A700E7">
              <w:rPr>
                <w:sz w:val="20"/>
                <w:szCs w:val="20"/>
                <w:lang w:val="en-AU"/>
              </w:rPr>
              <w:t>Cough</w:t>
            </w:r>
          </w:p>
        </w:tc>
        <w:tc>
          <w:tcPr>
            <w:tcW w:w="1759" w:type="dxa"/>
            <w:tcBorders>
              <w:top w:val="single" w:sz="4" w:space="0" w:color="auto"/>
              <w:left w:val="single" w:sz="4" w:space="0" w:color="auto"/>
              <w:bottom w:val="single" w:sz="4" w:space="0" w:color="auto"/>
              <w:right w:val="single" w:sz="4" w:space="0" w:color="auto"/>
            </w:tcBorders>
          </w:tcPr>
          <w:p w14:paraId="0D97AB09" w14:textId="77777777" w:rsidR="005D286D" w:rsidRPr="00A700E7" w:rsidRDefault="005D286D" w:rsidP="007A6B1F">
            <w:pPr>
              <w:jc w:val="left"/>
              <w:rPr>
                <w:sz w:val="20"/>
                <w:szCs w:val="20"/>
                <w:lang w:val="en-AU"/>
              </w:rPr>
            </w:pPr>
            <w:r w:rsidRPr="00A700E7">
              <w:rPr>
                <w:sz w:val="20"/>
                <w:szCs w:val="20"/>
                <w:lang w:val="en-AU"/>
              </w:rPr>
              <w:t>9</w:t>
            </w:r>
          </w:p>
        </w:tc>
        <w:tc>
          <w:tcPr>
            <w:tcW w:w="1492" w:type="dxa"/>
            <w:tcBorders>
              <w:top w:val="single" w:sz="4" w:space="0" w:color="auto"/>
              <w:left w:val="single" w:sz="4" w:space="0" w:color="auto"/>
              <w:bottom w:val="single" w:sz="4" w:space="0" w:color="auto"/>
              <w:right w:val="single" w:sz="4" w:space="0" w:color="auto"/>
            </w:tcBorders>
          </w:tcPr>
          <w:p w14:paraId="0E892263" w14:textId="77777777" w:rsidR="005D286D" w:rsidRPr="00A700E7" w:rsidRDefault="005D286D" w:rsidP="007A6B1F">
            <w:pPr>
              <w:jc w:val="left"/>
              <w:rPr>
                <w:sz w:val="20"/>
                <w:szCs w:val="20"/>
                <w:lang w:val="en-AU"/>
              </w:rPr>
            </w:pPr>
            <w:r w:rsidRPr="00A700E7">
              <w:rPr>
                <w:w w:val="95"/>
                <w:sz w:val="20"/>
                <w:szCs w:val="20"/>
                <w:lang w:val="en-AU"/>
              </w:rPr>
              <w:t>9</w:t>
            </w:r>
          </w:p>
        </w:tc>
      </w:tr>
      <w:tr w:rsidR="00A700E7" w:rsidRPr="00A700E7" w14:paraId="623F53E1"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0E65ACCE" w14:textId="77777777" w:rsidR="005D286D" w:rsidRPr="00A700E7" w:rsidRDefault="005D286D" w:rsidP="007A6B1F">
            <w:pPr>
              <w:jc w:val="left"/>
              <w:rPr>
                <w:sz w:val="20"/>
                <w:szCs w:val="20"/>
                <w:lang w:val="en-AU"/>
              </w:rPr>
            </w:pPr>
            <w:r w:rsidRPr="00A700E7">
              <w:rPr>
                <w:sz w:val="20"/>
                <w:szCs w:val="20"/>
                <w:lang w:val="en-AU"/>
              </w:rPr>
              <w:t>Nasal</w:t>
            </w:r>
            <w:r w:rsidRPr="00A700E7">
              <w:rPr>
                <w:spacing w:val="-7"/>
                <w:sz w:val="20"/>
                <w:szCs w:val="20"/>
                <w:lang w:val="en-AU"/>
              </w:rPr>
              <w:t xml:space="preserve"> </w:t>
            </w:r>
            <w:r w:rsidRPr="00A700E7">
              <w:rPr>
                <w:sz w:val="20"/>
                <w:szCs w:val="20"/>
                <w:lang w:val="en-AU"/>
              </w:rPr>
              <w:t>Congestion</w:t>
            </w:r>
            <w:r w:rsidRPr="00A700E7">
              <w:rPr>
                <w:spacing w:val="-7"/>
                <w:sz w:val="20"/>
                <w:szCs w:val="20"/>
                <w:lang w:val="en-AU"/>
              </w:rPr>
              <w:t xml:space="preserve"> </w:t>
            </w:r>
            <w:r w:rsidRPr="00A700E7">
              <w:rPr>
                <w:sz w:val="20"/>
                <w:szCs w:val="20"/>
                <w:lang w:val="en-AU"/>
              </w:rPr>
              <w:t>(including</w:t>
            </w:r>
            <w:r w:rsidRPr="00A700E7">
              <w:rPr>
                <w:spacing w:val="-7"/>
                <w:sz w:val="20"/>
                <w:szCs w:val="20"/>
                <w:lang w:val="en-AU"/>
              </w:rPr>
              <w:t xml:space="preserve"> </w:t>
            </w:r>
            <w:r w:rsidRPr="00A700E7">
              <w:rPr>
                <w:sz w:val="20"/>
                <w:szCs w:val="20"/>
                <w:lang w:val="en-AU"/>
              </w:rPr>
              <w:t>sinus</w:t>
            </w:r>
            <w:r w:rsidRPr="00A700E7">
              <w:rPr>
                <w:spacing w:val="-5"/>
                <w:sz w:val="20"/>
                <w:szCs w:val="20"/>
                <w:lang w:val="en-AU"/>
              </w:rPr>
              <w:t xml:space="preserve"> </w:t>
            </w:r>
            <w:r w:rsidRPr="00A700E7">
              <w:rPr>
                <w:sz w:val="20"/>
                <w:szCs w:val="20"/>
                <w:lang w:val="en-AU"/>
              </w:rPr>
              <w:t>congestion)</w:t>
            </w:r>
          </w:p>
        </w:tc>
        <w:tc>
          <w:tcPr>
            <w:tcW w:w="1759" w:type="dxa"/>
            <w:tcBorders>
              <w:top w:val="single" w:sz="4" w:space="0" w:color="auto"/>
              <w:left w:val="single" w:sz="4" w:space="0" w:color="auto"/>
              <w:bottom w:val="single" w:sz="4" w:space="0" w:color="auto"/>
              <w:right w:val="single" w:sz="4" w:space="0" w:color="auto"/>
            </w:tcBorders>
          </w:tcPr>
          <w:p w14:paraId="6DA3216A" w14:textId="77777777" w:rsidR="005D286D" w:rsidRPr="00A700E7" w:rsidRDefault="005D286D" w:rsidP="007A6B1F">
            <w:pPr>
              <w:jc w:val="left"/>
              <w:rPr>
                <w:sz w:val="20"/>
                <w:szCs w:val="20"/>
                <w:lang w:val="en-AU"/>
              </w:rPr>
            </w:pPr>
            <w:r w:rsidRPr="00A700E7">
              <w:rPr>
                <w:sz w:val="20"/>
                <w:szCs w:val="20"/>
                <w:lang w:val="en-AU"/>
              </w:rPr>
              <w:t>1</w:t>
            </w:r>
          </w:p>
        </w:tc>
        <w:tc>
          <w:tcPr>
            <w:tcW w:w="1492" w:type="dxa"/>
            <w:tcBorders>
              <w:top w:val="single" w:sz="4" w:space="0" w:color="auto"/>
              <w:left w:val="single" w:sz="4" w:space="0" w:color="auto"/>
              <w:bottom w:val="single" w:sz="4" w:space="0" w:color="auto"/>
              <w:right w:val="single" w:sz="4" w:space="0" w:color="auto"/>
            </w:tcBorders>
          </w:tcPr>
          <w:p w14:paraId="2645E3C2" w14:textId="77777777" w:rsidR="005D286D" w:rsidRPr="00A700E7" w:rsidRDefault="005D286D" w:rsidP="007A6B1F">
            <w:pPr>
              <w:jc w:val="left"/>
              <w:rPr>
                <w:sz w:val="20"/>
                <w:szCs w:val="20"/>
                <w:lang w:val="en-AU"/>
              </w:rPr>
            </w:pPr>
            <w:r w:rsidRPr="00A700E7">
              <w:rPr>
                <w:w w:val="95"/>
                <w:sz w:val="20"/>
                <w:szCs w:val="20"/>
                <w:lang w:val="en-AU"/>
              </w:rPr>
              <w:t>9</w:t>
            </w:r>
          </w:p>
        </w:tc>
      </w:tr>
      <w:tr w:rsidR="00A700E7" w:rsidRPr="00A700E7" w14:paraId="2C3CACD1"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3281C6BD" w14:textId="77777777" w:rsidR="005D286D" w:rsidRPr="00A700E7" w:rsidRDefault="005D286D" w:rsidP="007A6B1F">
            <w:pPr>
              <w:jc w:val="left"/>
              <w:rPr>
                <w:sz w:val="20"/>
                <w:szCs w:val="20"/>
                <w:lang w:val="en-AU"/>
              </w:rPr>
            </w:pPr>
            <w:r w:rsidRPr="00A700E7">
              <w:rPr>
                <w:sz w:val="20"/>
                <w:szCs w:val="20"/>
                <w:lang w:val="en-AU"/>
              </w:rPr>
              <w:t>Pulmonary</w:t>
            </w:r>
            <w:r w:rsidRPr="00A700E7">
              <w:rPr>
                <w:spacing w:val="-11"/>
                <w:sz w:val="20"/>
                <w:szCs w:val="20"/>
                <w:lang w:val="en-AU"/>
              </w:rPr>
              <w:t xml:space="preserve"> </w:t>
            </w:r>
            <w:r w:rsidRPr="00A700E7">
              <w:rPr>
                <w:sz w:val="20"/>
                <w:szCs w:val="20"/>
                <w:lang w:val="en-AU"/>
              </w:rPr>
              <w:t>hypertension</w:t>
            </w:r>
          </w:p>
        </w:tc>
        <w:tc>
          <w:tcPr>
            <w:tcW w:w="1759" w:type="dxa"/>
            <w:tcBorders>
              <w:top w:val="single" w:sz="4" w:space="0" w:color="auto"/>
              <w:left w:val="single" w:sz="4" w:space="0" w:color="auto"/>
              <w:bottom w:val="single" w:sz="4" w:space="0" w:color="auto"/>
              <w:right w:val="single" w:sz="4" w:space="0" w:color="auto"/>
            </w:tcBorders>
          </w:tcPr>
          <w:p w14:paraId="37B21EFF" w14:textId="77777777" w:rsidR="005D286D" w:rsidRPr="00A700E7" w:rsidRDefault="005D286D" w:rsidP="007A6B1F">
            <w:pPr>
              <w:jc w:val="left"/>
              <w:rPr>
                <w:sz w:val="20"/>
                <w:szCs w:val="20"/>
                <w:lang w:val="en-AU"/>
              </w:rPr>
            </w:pPr>
            <w:r w:rsidRPr="00A700E7">
              <w:rPr>
                <w:sz w:val="20"/>
                <w:szCs w:val="20"/>
                <w:lang w:val="en-AU"/>
              </w:rPr>
              <w:t>9</w:t>
            </w:r>
          </w:p>
        </w:tc>
        <w:tc>
          <w:tcPr>
            <w:tcW w:w="1492" w:type="dxa"/>
            <w:tcBorders>
              <w:top w:val="single" w:sz="4" w:space="0" w:color="auto"/>
              <w:left w:val="single" w:sz="4" w:space="0" w:color="auto"/>
              <w:bottom w:val="single" w:sz="4" w:space="0" w:color="auto"/>
              <w:right w:val="single" w:sz="4" w:space="0" w:color="auto"/>
            </w:tcBorders>
          </w:tcPr>
          <w:p w14:paraId="475BEA6A" w14:textId="77777777" w:rsidR="005D286D" w:rsidRPr="00A700E7" w:rsidRDefault="005D286D" w:rsidP="007A6B1F">
            <w:pPr>
              <w:jc w:val="left"/>
              <w:rPr>
                <w:sz w:val="20"/>
                <w:szCs w:val="20"/>
                <w:lang w:val="en-AU"/>
              </w:rPr>
            </w:pPr>
            <w:r w:rsidRPr="00A700E7">
              <w:rPr>
                <w:w w:val="95"/>
                <w:sz w:val="20"/>
                <w:szCs w:val="20"/>
                <w:lang w:val="en-AU"/>
              </w:rPr>
              <w:t>8</w:t>
            </w:r>
          </w:p>
        </w:tc>
      </w:tr>
      <w:tr w:rsidR="00A700E7" w:rsidRPr="00A700E7" w14:paraId="6F1CA803"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2EBE8C44" w14:textId="77777777" w:rsidR="005D286D" w:rsidRPr="00A700E7" w:rsidRDefault="005D286D" w:rsidP="007A6B1F">
            <w:pPr>
              <w:jc w:val="left"/>
              <w:rPr>
                <w:sz w:val="20"/>
                <w:szCs w:val="20"/>
                <w:lang w:val="en-AU"/>
              </w:rPr>
            </w:pPr>
            <w:r w:rsidRPr="00A700E7">
              <w:rPr>
                <w:sz w:val="20"/>
                <w:szCs w:val="20"/>
                <w:lang w:val="en-AU"/>
              </w:rPr>
              <w:t>Dyspnoea</w:t>
            </w:r>
          </w:p>
        </w:tc>
        <w:tc>
          <w:tcPr>
            <w:tcW w:w="1759" w:type="dxa"/>
            <w:tcBorders>
              <w:top w:val="single" w:sz="4" w:space="0" w:color="auto"/>
              <w:left w:val="single" w:sz="4" w:space="0" w:color="auto"/>
              <w:bottom w:val="single" w:sz="4" w:space="0" w:color="auto"/>
              <w:right w:val="single" w:sz="4" w:space="0" w:color="auto"/>
            </w:tcBorders>
          </w:tcPr>
          <w:p w14:paraId="5F17EB56" w14:textId="77777777" w:rsidR="005D286D" w:rsidRPr="00A700E7" w:rsidRDefault="005D286D" w:rsidP="007A6B1F">
            <w:pPr>
              <w:jc w:val="left"/>
              <w:rPr>
                <w:sz w:val="20"/>
                <w:szCs w:val="20"/>
                <w:lang w:val="en-AU"/>
              </w:rPr>
            </w:pPr>
            <w:r w:rsidRPr="00A700E7">
              <w:rPr>
                <w:sz w:val="20"/>
                <w:szCs w:val="20"/>
                <w:lang w:val="en-AU"/>
              </w:rPr>
              <w:t>4</w:t>
            </w:r>
          </w:p>
        </w:tc>
        <w:tc>
          <w:tcPr>
            <w:tcW w:w="1492" w:type="dxa"/>
            <w:tcBorders>
              <w:top w:val="single" w:sz="4" w:space="0" w:color="auto"/>
              <w:left w:val="single" w:sz="4" w:space="0" w:color="auto"/>
              <w:bottom w:val="single" w:sz="4" w:space="0" w:color="auto"/>
              <w:right w:val="single" w:sz="4" w:space="0" w:color="auto"/>
            </w:tcBorders>
          </w:tcPr>
          <w:p w14:paraId="33AC2BE4" w14:textId="77777777" w:rsidR="005D286D" w:rsidRPr="00A700E7" w:rsidRDefault="005D286D" w:rsidP="007A6B1F">
            <w:pPr>
              <w:jc w:val="left"/>
              <w:rPr>
                <w:sz w:val="20"/>
                <w:szCs w:val="20"/>
                <w:lang w:val="en-AU"/>
              </w:rPr>
            </w:pPr>
            <w:r w:rsidRPr="00A700E7">
              <w:rPr>
                <w:w w:val="95"/>
                <w:sz w:val="20"/>
                <w:szCs w:val="20"/>
                <w:lang w:val="en-AU"/>
              </w:rPr>
              <w:t>6</w:t>
            </w:r>
          </w:p>
        </w:tc>
      </w:tr>
      <w:tr w:rsidR="00A700E7" w:rsidRPr="00A700E7" w14:paraId="2FE085B5"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3966614B" w14:textId="77777777" w:rsidR="005D286D" w:rsidRPr="00A700E7" w:rsidRDefault="005D286D" w:rsidP="007A6B1F">
            <w:pPr>
              <w:jc w:val="left"/>
              <w:rPr>
                <w:sz w:val="20"/>
                <w:szCs w:val="20"/>
                <w:lang w:val="en-AU"/>
              </w:rPr>
            </w:pPr>
            <w:r w:rsidRPr="00A700E7">
              <w:rPr>
                <w:sz w:val="20"/>
                <w:szCs w:val="20"/>
                <w:lang w:val="en-AU"/>
              </w:rPr>
              <w:t>Upper</w:t>
            </w:r>
            <w:r w:rsidRPr="00A700E7">
              <w:rPr>
                <w:spacing w:val="-8"/>
                <w:sz w:val="20"/>
                <w:szCs w:val="20"/>
                <w:lang w:val="en-AU"/>
              </w:rPr>
              <w:t xml:space="preserve"> </w:t>
            </w:r>
            <w:r w:rsidRPr="00A700E7">
              <w:rPr>
                <w:sz w:val="20"/>
                <w:szCs w:val="20"/>
                <w:lang w:val="en-AU"/>
              </w:rPr>
              <w:t>Respiratory</w:t>
            </w:r>
            <w:r w:rsidRPr="00A700E7">
              <w:rPr>
                <w:spacing w:val="-5"/>
                <w:sz w:val="20"/>
                <w:szCs w:val="20"/>
                <w:lang w:val="en-AU"/>
              </w:rPr>
              <w:t xml:space="preserve"> </w:t>
            </w:r>
            <w:r w:rsidRPr="00A700E7">
              <w:rPr>
                <w:sz w:val="20"/>
                <w:szCs w:val="20"/>
                <w:lang w:val="en-AU"/>
              </w:rPr>
              <w:t>Tract</w:t>
            </w:r>
            <w:r w:rsidRPr="00A700E7">
              <w:rPr>
                <w:spacing w:val="-6"/>
                <w:sz w:val="20"/>
                <w:szCs w:val="20"/>
                <w:lang w:val="en-AU"/>
              </w:rPr>
              <w:t xml:space="preserve"> </w:t>
            </w:r>
            <w:r w:rsidRPr="00A700E7">
              <w:rPr>
                <w:sz w:val="20"/>
                <w:szCs w:val="20"/>
                <w:lang w:val="en-AU"/>
              </w:rPr>
              <w:t>Infection</w:t>
            </w:r>
          </w:p>
        </w:tc>
        <w:tc>
          <w:tcPr>
            <w:tcW w:w="1759" w:type="dxa"/>
            <w:tcBorders>
              <w:top w:val="single" w:sz="4" w:space="0" w:color="auto"/>
              <w:left w:val="single" w:sz="4" w:space="0" w:color="auto"/>
              <w:bottom w:val="single" w:sz="4" w:space="0" w:color="auto"/>
              <w:right w:val="single" w:sz="4" w:space="0" w:color="auto"/>
            </w:tcBorders>
          </w:tcPr>
          <w:p w14:paraId="27AF4ACC" w14:textId="77777777" w:rsidR="005D286D" w:rsidRPr="00A700E7" w:rsidRDefault="005D286D" w:rsidP="007A6B1F">
            <w:pPr>
              <w:jc w:val="left"/>
              <w:rPr>
                <w:sz w:val="20"/>
                <w:szCs w:val="20"/>
                <w:lang w:val="en-AU"/>
              </w:rPr>
            </w:pPr>
            <w:r w:rsidRPr="00A700E7">
              <w:rPr>
                <w:sz w:val="20"/>
                <w:szCs w:val="20"/>
                <w:lang w:val="en-AU"/>
              </w:rPr>
              <w:t>4</w:t>
            </w:r>
          </w:p>
        </w:tc>
        <w:tc>
          <w:tcPr>
            <w:tcW w:w="1492" w:type="dxa"/>
            <w:tcBorders>
              <w:top w:val="single" w:sz="4" w:space="0" w:color="auto"/>
              <w:left w:val="single" w:sz="4" w:space="0" w:color="auto"/>
              <w:bottom w:val="single" w:sz="4" w:space="0" w:color="auto"/>
              <w:right w:val="single" w:sz="4" w:space="0" w:color="auto"/>
            </w:tcBorders>
          </w:tcPr>
          <w:p w14:paraId="0AD531B4" w14:textId="77777777" w:rsidR="005D286D" w:rsidRPr="00A700E7" w:rsidRDefault="005D286D" w:rsidP="007A6B1F">
            <w:pPr>
              <w:jc w:val="left"/>
              <w:rPr>
                <w:sz w:val="20"/>
                <w:szCs w:val="20"/>
                <w:lang w:val="en-AU"/>
              </w:rPr>
            </w:pPr>
            <w:r w:rsidRPr="00A700E7">
              <w:rPr>
                <w:w w:val="95"/>
                <w:sz w:val="20"/>
                <w:szCs w:val="20"/>
                <w:lang w:val="en-AU"/>
              </w:rPr>
              <w:t>6</w:t>
            </w:r>
          </w:p>
        </w:tc>
      </w:tr>
      <w:tr w:rsidR="00A700E7" w:rsidRPr="00A700E7" w14:paraId="19A50B65"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537636E3" w14:textId="77777777" w:rsidR="005D286D" w:rsidRPr="00A700E7" w:rsidRDefault="005D286D" w:rsidP="007A6B1F">
            <w:pPr>
              <w:jc w:val="left"/>
              <w:rPr>
                <w:sz w:val="20"/>
                <w:szCs w:val="20"/>
                <w:lang w:val="en-AU"/>
              </w:rPr>
            </w:pPr>
            <w:r w:rsidRPr="00A700E7">
              <w:rPr>
                <w:sz w:val="20"/>
                <w:szCs w:val="20"/>
                <w:lang w:val="en-AU"/>
              </w:rPr>
              <w:t>Respiratory</w:t>
            </w:r>
            <w:r w:rsidRPr="00A700E7">
              <w:rPr>
                <w:spacing w:val="-8"/>
                <w:sz w:val="20"/>
                <w:szCs w:val="20"/>
                <w:lang w:val="en-AU"/>
              </w:rPr>
              <w:t xml:space="preserve"> </w:t>
            </w:r>
            <w:r w:rsidRPr="00A700E7">
              <w:rPr>
                <w:sz w:val="20"/>
                <w:szCs w:val="20"/>
                <w:lang w:val="en-AU"/>
              </w:rPr>
              <w:t>tract</w:t>
            </w:r>
            <w:r w:rsidRPr="00A700E7">
              <w:rPr>
                <w:spacing w:val="-7"/>
                <w:sz w:val="20"/>
                <w:szCs w:val="20"/>
                <w:lang w:val="en-AU"/>
              </w:rPr>
              <w:t xml:space="preserve"> </w:t>
            </w:r>
            <w:r w:rsidRPr="00A700E7">
              <w:rPr>
                <w:sz w:val="20"/>
                <w:szCs w:val="20"/>
                <w:lang w:val="en-AU"/>
              </w:rPr>
              <w:t>infection</w:t>
            </w:r>
          </w:p>
        </w:tc>
        <w:tc>
          <w:tcPr>
            <w:tcW w:w="1759" w:type="dxa"/>
            <w:tcBorders>
              <w:top w:val="single" w:sz="4" w:space="0" w:color="auto"/>
              <w:left w:val="single" w:sz="4" w:space="0" w:color="auto"/>
              <w:bottom w:val="single" w:sz="4" w:space="0" w:color="auto"/>
              <w:right w:val="single" w:sz="4" w:space="0" w:color="auto"/>
            </w:tcBorders>
          </w:tcPr>
          <w:p w14:paraId="79247CE6" w14:textId="77777777" w:rsidR="005D286D" w:rsidRPr="00A700E7" w:rsidRDefault="005D286D" w:rsidP="007A6B1F">
            <w:pPr>
              <w:jc w:val="left"/>
              <w:rPr>
                <w:sz w:val="20"/>
                <w:szCs w:val="20"/>
                <w:lang w:val="en-AU"/>
              </w:rPr>
            </w:pPr>
            <w:r w:rsidRPr="00A700E7">
              <w:rPr>
                <w:sz w:val="20"/>
                <w:szCs w:val="20"/>
                <w:lang w:val="en-AU"/>
              </w:rPr>
              <w:t>3</w:t>
            </w:r>
          </w:p>
        </w:tc>
        <w:tc>
          <w:tcPr>
            <w:tcW w:w="1492" w:type="dxa"/>
            <w:tcBorders>
              <w:top w:val="single" w:sz="4" w:space="0" w:color="auto"/>
              <w:left w:val="single" w:sz="4" w:space="0" w:color="auto"/>
              <w:bottom w:val="single" w:sz="4" w:space="0" w:color="auto"/>
              <w:right w:val="single" w:sz="4" w:space="0" w:color="auto"/>
            </w:tcBorders>
          </w:tcPr>
          <w:p w14:paraId="07D88CFA" w14:textId="77777777" w:rsidR="005D286D" w:rsidRPr="00A700E7" w:rsidRDefault="005D286D" w:rsidP="007A6B1F">
            <w:pPr>
              <w:jc w:val="left"/>
              <w:rPr>
                <w:sz w:val="20"/>
                <w:szCs w:val="20"/>
                <w:lang w:val="en-AU"/>
              </w:rPr>
            </w:pPr>
            <w:r w:rsidRPr="00A700E7">
              <w:rPr>
                <w:w w:val="95"/>
                <w:sz w:val="20"/>
                <w:szCs w:val="20"/>
                <w:lang w:val="en-AU"/>
              </w:rPr>
              <w:t>5</w:t>
            </w:r>
          </w:p>
        </w:tc>
      </w:tr>
      <w:tr w:rsidR="00A700E7" w:rsidRPr="00A700E7" w14:paraId="47D31BB5"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6BB2DA7C" w14:textId="77777777" w:rsidR="005D286D" w:rsidRPr="00A700E7" w:rsidRDefault="005D286D" w:rsidP="007A6B1F">
            <w:pPr>
              <w:jc w:val="left"/>
              <w:rPr>
                <w:sz w:val="20"/>
                <w:szCs w:val="20"/>
                <w:lang w:val="en-AU"/>
              </w:rPr>
            </w:pPr>
            <w:r w:rsidRPr="00A700E7">
              <w:rPr>
                <w:sz w:val="20"/>
                <w:szCs w:val="20"/>
                <w:lang w:val="en-AU"/>
              </w:rPr>
              <w:lastRenderedPageBreak/>
              <w:t>Epistaxis</w:t>
            </w:r>
          </w:p>
        </w:tc>
        <w:tc>
          <w:tcPr>
            <w:tcW w:w="1759" w:type="dxa"/>
            <w:tcBorders>
              <w:top w:val="single" w:sz="4" w:space="0" w:color="auto"/>
              <w:left w:val="single" w:sz="4" w:space="0" w:color="auto"/>
              <w:bottom w:val="single" w:sz="4" w:space="0" w:color="auto"/>
              <w:right w:val="single" w:sz="4" w:space="0" w:color="auto"/>
            </w:tcBorders>
          </w:tcPr>
          <w:p w14:paraId="4774BB1C" w14:textId="77777777" w:rsidR="005D286D" w:rsidRPr="00A700E7" w:rsidRDefault="005D286D" w:rsidP="007A6B1F">
            <w:pPr>
              <w:jc w:val="left"/>
              <w:rPr>
                <w:sz w:val="20"/>
                <w:szCs w:val="20"/>
                <w:lang w:val="en-AU"/>
              </w:rPr>
            </w:pPr>
            <w:r w:rsidRPr="00A700E7">
              <w:rPr>
                <w:sz w:val="20"/>
                <w:szCs w:val="20"/>
                <w:lang w:val="en-AU"/>
              </w:rPr>
              <w:t>4</w:t>
            </w:r>
          </w:p>
        </w:tc>
        <w:tc>
          <w:tcPr>
            <w:tcW w:w="1492" w:type="dxa"/>
            <w:tcBorders>
              <w:top w:val="single" w:sz="4" w:space="0" w:color="auto"/>
              <w:left w:val="single" w:sz="4" w:space="0" w:color="auto"/>
              <w:bottom w:val="single" w:sz="4" w:space="0" w:color="auto"/>
              <w:right w:val="single" w:sz="4" w:space="0" w:color="auto"/>
            </w:tcBorders>
          </w:tcPr>
          <w:p w14:paraId="643B08F2" w14:textId="77777777" w:rsidR="005D286D" w:rsidRPr="00A700E7" w:rsidRDefault="005D286D" w:rsidP="007A6B1F">
            <w:pPr>
              <w:jc w:val="left"/>
              <w:rPr>
                <w:sz w:val="20"/>
                <w:szCs w:val="20"/>
                <w:lang w:val="en-AU"/>
              </w:rPr>
            </w:pPr>
            <w:r w:rsidRPr="00A700E7">
              <w:rPr>
                <w:w w:val="95"/>
                <w:sz w:val="20"/>
                <w:szCs w:val="20"/>
                <w:lang w:val="en-AU"/>
              </w:rPr>
              <w:t>4</w:t>
            </w:r>
          </w:p>
        </w:tc>
      </w:tr>
      <w:tr w:rsidR="00A700E7" w:rsidRPr="00A700E7" w14:paraId="4C59C05F" w14:textId="77777777" w:rsidTr="00A517D1">
        <w:trPr>
          <w:gridAfter w:val="1"/>
          <w:wAfter w:w="30" w:type="dxa"/>
          <w:trHeight w:hRule="exact" w:val="300"/>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08DAC8E5" w14:textId="77777777" w:rsidR="005D286D" w:rsidRPr="00A700E7" w:rsidRDefault="005D286D" w:rsidP="007A6B1F">
            <w:pPr>
              <w:jc w:val="left"/>
              <w:rPr>
                <w:sz w:val="20"/>
                <w:szCs w:val="20"/>
                <w:lang w:val="en-AU"/>
              </w:rPr>
            </w:pPr>
            <w:r w:rsidRPr="00A700E7">
              <w:rPr>
                <w:sz w:val="20"/>
                <w:szCs w:val="20"/>
                <w:lang w:val="en-AU"/>
              </w:rPr>
              <w:t>Gastrointestinal</w:t>
            </w:r>
            <w:r w:rsidRPr="00A700E7">
              <w:rPr>
                <w:spacing w:val="-13"/>
                <w:sz w:val="20"/>
                <w:szCs w:val="20"/>
                <w:lang w:val="en-AU"/>
              </w:rPr>
              <w:t xml:space="preserve"> </w:t>
            </w:r>
            <w:r w:rsidRPr="00A700E7">
              <w:rPr>
                <w:sz w:val="20"/>
                <w:szCs w:val="20"/>
                <w:lang w:val="en-AU"/>
              </w:rPr>
              <w:t>Disorders</w:t>
            </w:r>
          </w:p>
        </w:tc>
      </w:tr>
      <w:tr w:rsidR="00A700E7" w:rsidRPr="00A700E7" w14:paraId="4C20556C"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2A35EBC8" w14:textId="77777777" w:rsidR="005D286D" w:rsidRPr="00A700E7" w:rsidRDefault="005D286D" w:rsidP="007A6B1F">
            <w:pPr>
              <w:jc w:val="left"/>
              <w:rPr>
                <w:sz w:val="20"/>
                <w:szCs w:val="20"/>
                <w:lang w:val="en-AU"/>
              </w:rPr>
            </w:pPr>
            <w:r w:rsidRPr="00A700E7">
              <w:rPr>
                <w:sz w:val="20"/>
                <w:szCs w:val="20"/>
                <w:lang w:val="en-AU"/>
              </w:rPr>
              <w:t>Diarrhoea</w:t>
            </w:r>
          </w:p>
        </w:tc>
        <w:tc>
          <w:tcPr>
            <w:tcW w:w="1759" w:type="dxa"/>
            <w:tcBorders>
              <w:top w:val="single" w:sz="4" w:space="0" w:color="auto"/>
              <w:left w:val="single" w:sz="4" w:space="0" w:color="auto"/>
              <w:bottom w:val="single" w:sz="4" w:space="0" w:color="auto"/>
              <w:right w:val="single" w:sz="4" w:space="0" w:color="auto"/>
            </w:tcBorders>
          </w:tcPr>
          <w:p w14:paraId="71A32761" w14:textId="77777777" w:rsidR="005D286D" w:rsidRPr="00A700E7" w:rsidRDefault="005D286D" w:rsidP="007A6B1F">
            <w:pPr>
              <w:jc w:val="left"/>
              <w:rPr>
                <w:sz w:val="20"/>
                <w:szCs w:val="20"/>
                <w:lang w:val="en-AU"/>
              </w:rPr>
            </w:pPr>
            <w:r w:rsidRPr="00A700E7">
              <w:rPr>
                <w:sz w:val="20"/>
                <w:szCs w:val="20"/>
                <w:lang w:val="en-AU"/>
              </w:rPr>
              <w:t>10</w:t>
            </w:r>
          </w:p>
        </w:tc>
        <w:tc>
          <w:tcPr>
            <w:tcW w:w="1492" w:type="dxa"/>
            <w:tcBorders>
              <w:top w:val="single" w:sz="4" w:space="0" w:color="auto"/>
              <w:left w:val="single" w:sz="4" w:space="0" w:color="auto"/>
              <w:bottom w:val="single" w:sz="4" w:space="0" w:color="auto"/>
              <w:right w:val="single" w:sz="4" w:space="0" w:color="auto"/>
            </w:tcBorders>
          </w:tcPr>
          <w:p w14:paraId="1B2A9845" w14:textId="77777777" w:rsidR="005D286D" w:rsidRPr="00A700E7" w:rsidRDefault="005D286D" w:rsidP="007A6B1F">
            <w:pPr>
              <w:jc w:val="left"/>
              <w:rPr>
                <w:sz w:val="20"/>
                <w:szCs w:val="20"/>
                <w:lang w:val="en-AU"/>
              </w:rPr>
            </w:pPr>
            <w:r w:rsidRPr="00A700E7">
              <w:rPr>
                <w:w w:val="95"/>
                <w:sz w:val="20"/>
                <w:szCs w:val="20"/>
                <w:lang w:val="en-AU"/>
              </w:rPr>
              <w:t>11</w:t>
            </w:r>
          </w:p>
        </w:tc>
      </w:tr>
      <w:tr w:rsidR="00A700E7" w:rsidRPr="00A700E7" w14:paraId="66A4902A"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0F79FF95" w14:textId="77777777" w:rsidR="005D286D" w:rsidRPr="00A700E7" w:rsidRDefault="005D286D" w:rsidP="007A6B1F">
            <w:pPr>
              <w:jc w:val="left"/>
              <w:rPr>
                <w:sz w:val="20"/>
                <w:szCs w:val="20"/>
                <w:lang w:val="en-AU"/>
              </w:rPr>
            </w:pPr>
            <w:r w:rsidRPr="00A700E7">
              <w:rPr>
                <w:sz w:val="20"/>
                <w:szCs w:val="20"/>
                <w:lang w:val="en-AU"/>
              </w:rPr>
              <w:t>Nausea</w:t>
            </w:r>
          </w:p>
        </w:tc>
        <w:tc>
          <w:tcPr>
            <w:tcW w:w="1759" w:type="dxa"/>
            <w:tcBorders>
              <w:top w:val="single" w:sz="4" w:space="0" w:color="auto"/>
              <w:left w:val="single" w:sz="4" w:space="0" w:color="auto"/>
              <w:bottom w:val="single" w:sz="4" w:space="0" w:color="auto"/>
              <w:right w:val="single" w:sz="4" w:space="0" w:color="auto"/>
            </w:tcBorders>
          </w:tcPr>
          <w:p w14:paraId="564EA775" w14:textId="77777777" w:rsidR="005D286D" w:rsidRPr="00A700E7" w:rsidRDefault="005D286D" w:rsidP="007A6B1F">
            <w:pPr>
              <w:jc w:val="left"/>
              <w:rPr>
                <w:sz w:val="20"/>
                <w:szCs w:val="20"/>
                <w:lang w:val="en-AU"/>
              </w:rPr>
            </w:pPr>
            <w:r w:rsidRPr="00A700E7">
              <w:rPr>
                <w:sz w:val="20"/>
                <w:szCs w:val="20"/>
                <w:lang w:val="en-AU"/>
              </w:rPr>
              <w:t>6</w:t>
            </w:r>
          </w:p>
        </w:tc>
        <w:tc>
          <w:tcPr>
            <w:tcW w:w="1492" w:type="dxa"/>
            <w:tcBorders>
              <w:top w:val="single" w:sz="4" w:space="0" w:color="auto"/>
              <w:left w:val="single" w:sz="4" w:space="0" w:color="auto"/>
              <w:bottom w:val="single" w:sz="4" w:space="0" w:color="auto"/>
              <w:right w:val="single" w:sz="4" w:space="0" w:color="auto"/>
            </w:tcBorders>
          </w:tcPr>
          <w:p w14:paraId="227B136A" w14:textId="77777777" w:rsidR="005D286D" w:rsidRPr="00A700E7" w:rsidRDefault="005D286D" w:rsidP="007A6B1F">
            <w:pPr>
              <w:jc w:val="left"/>
              <w:rPr>
                <w:sz w:val="20"/>
                <w:szCs w:val="20"/>
                <w:lang w:val="en-AU"/>
              </w:rPr>
            </w:pPr>
            <w:r w:rsidRPr="00A700E7">
              <w:rPr>
                <w:w w:val="95"/>
                <w:sz w:val="20"/>
                <w:szCs w:val="20"/>
                <w:lang w:val="en-AU"/>
              </w:rPr>
              <w:t>11</w:t>
            </w:r>
          </w:p>
        </w:tc>
      </w:tr>
      <w:tr w:rsidR="00A700E7" w:rsidRPr="00A700E7" w14:paraId="793F1AE4"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523B801C" w14:textId="77777777" w:rsidR="005D286D" w:rsidRPr="00A700E7" w:rsidRDefault="005D286D" w:rsidP="007A6B1F">
            <w:pPr>
              <w:jc w:val="left"/>
              <w:rPr>
                <w:sz w:val="20"/>
                <w:szCs w:val="20"/>
                <w:lang w:val="en-AU"/>
              </w:rPr>
            </w:pPr>
            <w:r w:rsidRPr="00A700E7">
              <w:rPr>
                <w:sz w:val="20"/>
                <w:szCs w:val="20"/>
                <w:lang w:val="en-AU"/>
              </w:rPr>
              <w:t>Dyspepsia</w:t>
            </w:r>
          </w:p>
        </w:tc>
        <w:tc>
          <w:tcPr>
            <w:tcW w:w="1759" w:type="dxa"/>
            <w:tcBorders>
              <w:top w:val="single" w:sz="4" w:space="0" w:color="auto"/>
              <w:left w:val="single" w:sz="4" w:space="0" w:color="auto"/>
              <w:bottom w:val="single" w:sz="4" w:space="0" w:color="auto"/>
              <w:right w:val="single" w:sz="4" w:space="0" w:color="auto"/>
            </w:tcBorders>
          </w:tcPr>
          <w:p w14:paraId="4FAE9EBE" w14:textId="77777777" w:rsidR="005D286D" w:rsidRPr="00A700E7" w:rsidRDefault="005D286D" w:rsidP="007A6B1F">
            <w:pPr>
              <w:jc w:val="left"/>
              <w:rPr>
                <w:sz w:val="20"/>
                <w:szCs w:val="20"/>
                <w:lang w:val="en-AU"/>
              </w:rPr>
            </w:pPr>
            <w:r w:rsidRPr="00A700E7">
              <w:rPr>
                <w:sz w:val="20"/>
                <w:szCs w:val="20"/>
                <w:lang w:val="en-AU"/>
              </w:rPr>
              <w:t>2</w:t>
            </w:r>
          </w:p>
        </w:tc>
        <w:tc>
          <w:tcPr>
            <w:tcW w:w="1492" w:type="dxa"/>
            <w:tcBorders>
              <w:top w:val="single" w:sz="4" w:space="0" w:color="auto"/>
              <w:left w:val="single" w:sz="4" w:space="0" w:color="auto"/>
              <w:bottom w:val="single" w:sz="4" w:space="0" w:color="auto"/>
              <w:right w:val="single" w:sz="4" w:space="0" w:color="auto"/>
            </w:tcBorders>
          </w:tcPr>
          <w:p w14:paraId="790CC06D" w14:textId="77777777" w:rsidR="005D286D" w:rsidRPr="00A700E7" w:rsidRDefault="005D286D" w:rsidP="007A6B1F">
            <w:pPr>
              <w:jc w:val="left"/>
              <w:rPr>
                <w:sz w:val="20"/>
                <w:szCs w:val="20"/>
                <w:lang w:val="en-AU"/>
              </w:rPr>
            </w:pPr>
            <w:r w:rsidRPr="00A700E7">
              <w:rPr>
                <w:w w:val="95"/>
                <w:sz w:val="20"/>
                <w:szCs w:val="20"/>
                <w:lang w:val="en-AU"/>
              </w:rPr>
              <w:t>10</w:t>
            </w:r>
          </w:p>
        </w:tc>
      </w:tr>
      <w:tr w:rsidR="00A700E7" w:rsidRPr="00A700E7" w14:paraId="0B068540" w14:textId="77777777" w:rsidTr="00454E1E">
        <w:trPr>
          <w:gridAfter w:val="1"/>
          <w:wAfter w:w="30" w:type="dxa"/>
          <w:trHeight w:hRule="exact" w:val="301"/>
        </w:trPr>
        <w:tc>
          <w:tcPr>
            <w:tcW w:w="4687" w:type="dxa"/>
            <w:gridSpan w:val="2"/>
            <w:tcBorders>
              <w:top w:val="single" w:sz="4" w:space="0" w:color="auto"/>
              <w:left w:val="single" w:sz="4" w:space="0" w:color="auto"/>
              <w:bottom w:val="single" w:sz="4" w:space="0" w:color="auto"/>
              <w:right w:val="single" w:sz="4" w:space="0" w:color="auto"/>
            </w:tcBorders>
          </w:tcPr>
          <w:p w14:paraId="04F7A26E" w14:textId="77777777" w:rsidR="005D286D" w:rsidRPr="00A700E7" w:rsidRDefault="005D286D" w:rsidP="007A6B1F">
            <w:pPr>
              <w:jc w:val="left"/>
              <w:rPr>
                <w:sz w:val="20"/>
                <w:szCs w:val="20"/>
                <w:lang w:val="en-AU"/>
              </w:rPr>
            </w:pPr>
            <w:r w:rsidRPr="00A700E7">
              <w:rPr>
                <w:sz w:val="20"/>
                <w:szCs w:val="20"/>
                <w:lang w:val="en-AU"/>
              </w:rPr>
              <w:t>Vomiting</w:t>
            </w:r>
          </w:p>
        </w:tc>
        <w:tc>
          <w:tcPr>
            <w:tcW w:w="1759" w:type="dxa"/>
            <w:tcBorders>
              <w:top w:val="single" w:sz="4" w:space="0" w:color="auto"/>
              <w:left w:val="single" w:sz="4" w:space="0" w:color="auto"/>
              <w:bottom w:val="single" w:sz="4" w:space="0" w:color="auto"/>
              <w:right w:val="single" w:sz="4" w:space="0" w:color="auto"/>
            </w:tcBorders>
          </w:tcPr>
          <w:p w14:paraId="2B1F0458" w14:textId="77777777" w:rsidR="005D286D" w:rsidRPr="00A700E7" w:rsidRDefault="005D286D" w:rsidP="007A6B1F">
            <w:pPr>
              <w:jc w:val="left"/>
              <w:rPr>
                <w:sz w:val="20"/>
                <w:szCs w:val="20"/>
                <w:lang w:val="en-AU"/>
              </w:rPr>
            </w:pPr>
            <w:r w:rsidRPr="00A700E7">
              <w:rPr>
                <w:sz w:val="20"/>
                <w:szCs w:val="20"/>
                <w:lang w:val="en-AU"/>
              </w:rPr>
              <w:t>1</w:t>
            </w:r>
          </w:p>
        </w:tc>
        <w:tc>
          <w:tcPr>
            <w:tcW w:w="1492" w:type="dxa"/>
            <w:tcBorders>
              <w:top w:val="single" w:sz="4" w:space="0" w:color="auto"/>
              <w:left w:val="single" w:sz="4" w:space="0" w:color="auto"/>
              <w:bottom w:val="single" w:sz="4" w:space="0" w:color="auto"/>
              <w:right w:val="single" w:sz="4" w:space="0" w:color="auto"/>
            </w:tcBorders>
          </w:tcPr>
          <w:p w14:paraId="5FF66827" w14:textId="77777777" w:rsidR="005D286D" w:rsidRPr="00A700E7" w:rsidRDefault="005D286D" w:rsidP="007A6B1F">
            <w:pPr>
              <w:jc w:val="left"/>
              <w:rPr>
                <w:sz w:val="20"/>
                <w:szCs w:val="20"/>
                <w:lang w:val="en-AU"/>
              </w:rPr>
            </w:pPr>
            <w:r w:rsidRPr="00A700E7">
              <w:rPr>
                <w:w w:val="95"/>
                <w:sz w:val="20"/>
                <w:szCs w:val="20"/>
                <w:lang w:val="en-AU"/>
              </w:rPr>
              <w:t>6</w:t>
            </w:r>
          </w:p>
        </w:tc>
      </w:tr>
      <w:tr w:rsidR="00A700E7" w:rsidRPr="00A700E7" w14:paraId="0F32E9D5"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14329D01" w14:textId="77777777" w:rsidR="005D286D" w:rsidRPr="00A700E7" w:rsidRDefault="005D286D" w:rsidP="007A6B1F">
            <w:pPr>
              <w:jc w:val="left"/>
              <w:rPr>
                <w:sz w:val="20"/>
                <w:szCs w:val="20"/>
                <w:lang w:val="en-AU"/>
              </w:rPr>
            </w:pPr>
            <w:r w:rsidRPr="00A700E7">
              <w:rPr>
                <w:sz w:val="20"/>
                <w:szCs w:val="20"/>
                <w:lang w:val="en-AU"/>
              </w:rPr>
              <w:t>Gastroesophageal</w:t>
            </w:r>
            <w:r w:rsidRPr="00A700E7">
              <w:rPr>
                <w:spacing w:val="-11"/>
                <w:sz w:val="20"/>
                <w:szCs w:val="20"/>
                <w:lang w:val="en-AU"/>
              </w:rPr>
              <w:t xml:space="preserve"> </w:t>
            </w:r>
            <w:r w:rsidRPr="00A700E7">
              <w:rPr>
                <w:sz w:val="20"/>
                <w:szCs w:val="20"/>
                <w:lang w:val="en-AU"/>
              </w:rPr>
              <w:t>Reflux</w:t>
            </w:r>
            <w:r w:rsidRPr="00A700E7">
              <w:rPr>
                <w:spacing w:val="-8"/>
                <w:sz w:val="20"/>
                <w:szCs w:val="20"/>
                <w:lang w:val="en-AU"/>
              </w:rPr>
              <w:t xml:space="preserve"> </w:t>
            </w:r>
            <w:r w:rsidRPr="00A700E7">
              <w:rPr>
                <w:sz w:val="20"/>
                <w:szCs w:val="20"/>
                <w:lang w:val="en-AU"/>
              </w:rPr>
              <w:t>Disease</w:t>
            </w:r>
          </w:p>
        </w:tc>
        <w:tc>
          <w:tcPr>
            <w:tcW w:w="1759" w:type="dxa"/>
            <w:tcBorders>
              <w:top w:val="single" w:sz="4" w:space="0" w:color="auto"/>
              <w:left w:val="single" w:sz="4" w:space="0" w:color="auto"/>
              <w:bottom w:val="single" w:sz="4" w:space="0" w:color="auto"/>
              <w:right w:val="single" w:sz="4" w:space="0" w:color="auto"/>
            </w:tcBorders>
          </w:tcPr>
          <w:p w14:paraId="74BDDE0A" w14:textId="77777777" w:rsidR="005D286D" w:rsidRPr="00A700E7" w:rsidRDefault="005D286D" w:rsidP="007A6B1F">
            <w:pPr>
              <w:jc w:val="left"/>
              <w:rPr>
                <w:sz w:val="20"/>
                <w:szCs w:val="20"/>
                <w:lang w:val="en-AU"/>
              </w:rPr>
            </w:pPr>
            <w:r w:rsidRPr="00A700E7">
              <w:rPr>
                <w:sz w:val="20"/>
                <w:szCs w:val="20"/>
                <w:lang w:val="en-AU"/>
              </w:rPr>
              <w:t>4</w:t>
            </w:r>
          </w:p>
        </w:tc>
        <w:tc>
          <w:tcPr>
            <w:tcW w:w="1492" w:type="dxa"/>
            <w:tcBorders>
              <w:top w:val="single" w:sz="4" w:space="0" w:color="auto"/>
              <w:left w:val="single" w:sz="4" w:space="0" w:color="auto"/>
              <w:bottom w:val="single" w:sz="4" w:space="0" w:color="auto"/>
              <w:right w:val="single" w:sz="4" w:space="0" w:color="auto"/>
            </w:tcBorders>
          </w:tcPr>
          <w:p w14:paraId="32FC2C0E" w14:textId="77777777" w:rsidR="005D286D" w:rsidRPr="00A700E7" w:rsidRDefault="005D286D" w:rsidP="007A6B1F">
            <w:pPr>
              <w:jc w:val="left"/>
              <w:rPr>
                <w:sz w:val="20"/>
                <w:szCs w:val="20"/>
                <w:lang w:val="en-AU"/>
              </w:rPr>
            </w:pPr>
            <w:r w:rsidRPr="00A700E7">
              <w:rPr>
                <w:w w:val="95"/>
                <w:sz w:val="20"/>
                <w:szCs w:val="20"/>
                <w:lang w:val="en-AU"/>
              </w:rPr>
              <w:t>5</w:t>
            </w:r>
          </w:p>
        </w:tc>
      </w:tr>
      <w:tr w:rsidR="00A700E7" w:rsidRPr="00A700E7" w14:paraId="50718418"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2F415491" w14:textId="77777777" w:rsidR="005D286D" w:rsidRPr="00A700E7" w:rsidRDefault="005D286D" w:rsidP="007A6B1F">
            <w:pPr>
              <w:jc w:val="left"/>
              <w:rPr>
                <w:sz w:val="20"/>
                <w:szCs w:val="20"/>
                <w:lang w:val="en-AU"/>
              </w:rPr>
            </w:pPr>
            <w:r w:rsidRPr="00A700E7">
              <w:rPr>
                <w:sz w:val="20"/>
                <w:szCs w:val="20"/>
                <w:lang w:val="en-AU"/>
              </w:rPr>
              <w:t>Constipation</w:t>
            </w:r>
          </w:p>
        </w:tc>
        <w:tc>
          <w:tcPr>
            <w:tcW w:w="1759" w:type="dxa"/>
            <w:tcBorders>
              <w:top w:val="single" w:sz="4" w:space="0" w:color="auto"/>
              <w:left w:val="single" w:sz="4" w:space="0" w:color="auto"/>
              <w:bottom w:val="single" w:sz="4" w:space="0" w:color="auto"/>
              <w:right w:val="single" w:sz="4" w:space="0" w:color="auto"/>
            </w:tcBorders>
          </w:tcPr>
          <w:p w14:paraId="7855FD63" w14:textId="77777777" w:rsidR="005D286D" w:rsidRPr="00A700E7" w:rsidRDefault="005D286D" w:rsidP="007A6B1F">
            <w:pPr>
              <w:jc w:val="left"/>
              <w:rPr>
                <w:sz w:val="20"/>
                <w:szCs w:val="20"/>
                <w:lang w:val="en-AU"/>
              </w:rPr>
            </w:pPr>
            <w:r w:rsidRPr="00A700E7">
              <w:rPr>
                <w:sz w:val="20"/>
                <w:szCs w:val="20"/>
                <w:lang w:val="en-AU"/>
              </w:rPr>
              <w:t>1</w:t>
            </w:r>
          </w:p>
        </w:tc>
        <w:tc>
          <w:tcPr>
            <w:tcW w:w="1492" w:type="dxa"/>
            <w:tcBorders>
              <w:top w:val="single" w:sz="4" w:space="0" w:color="auto"/>
              <w:left w:val="single" w:sz="4" w:space="0" w:color="auto"/>
              <w:bottom w:val="single" w:sz="4" w:space="0" w:color="auto"/>
              <w:right w:val="single" w:sz="4" w:space="0" w:color="auto"/>
            </w:tcBorders>
          </w:tcPr>
          <w:p w14:paraId="15E6C072" w14:textId="77777777" w:rsidR="005D286D" w:rsidRPr="00A700E7" w:rsidRDefault="005D286D" w:rsidP="007A6B1F">
            <w:pPr>
              <w:jc w:val="left"/>
              <w:rPr>
                <w:sz w:val="20"/>
                <w:szCs w:val="20"/>
                <w:lang w:val="en-AU"/>
              </w:rPr>
            </w:pPr>
            <w:r w:rsidRPr="00A700E7">
              <w:rPr>
                <w:w w:val="95"/>
                <w:sz w:val="20"/>
                <w:szCs w:val="20"/>
                <w:lang w:val="en-AU"/>
              </w:rPr>
              <w:t>4</w:t>
            </w:r>
          </w:p>
        </w:tc>
      </w:tr>
      <w:tr w:rsidR="00A700E7" w:rsidRPr="00A700E7" w14:paraId="558AE2E3" w14:textId="77777777" w:rsidTr="00A517D1">
        <w:trPr>
          <w:gridAfter w:val="1"/>
          <w:wAfter w:w="30" w:type="dxa"/>
          <w:trHeight w:hRule="exact" w:val="300"/>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2DE56CC7" w14:textId="77777777" w:rsidR="005D286D" w:rsidRPr="00A700E7" w:rsidRDefault="005D286D" w:rsidP="007A6B1F">
            <w:pPr>
              <w:jc w:val="left"/>
              <w:rPr>
                <w:sz w:val="20"/>
                <w:szCs w:val="20"/>
                <w:lang w:val="en-AU"/>
              </w:rPr>
            </w:pPr>
            <w:r w:rsidRPr="00A700E7">
              <w:rPr>
                <w:sz w:val="20"/>
                <w:szCs w:val="20"/>
                <w:lang w:val="en-AU"/>
              </w:rPr>
              <w:t>Skin</w:t>
            </w:r>
            <w:r w:rsidRPr="00A700E7">
              <w:rPr>
                <w:spacing w:val="-4"/>
                <w:sz w:val="20"/>
                <w:szCs w:val="20"/>
                <w:lang w:val="en-AU"/>
              </w:rPr>
              <w:t xml:space="preserve"> </w:t>
            </w:r>
            <w:r w:rsidRPr="00A700E7">
              <w:rPr>
                <w:sz w:val="20"/>
                <w:szCs w:val="20"/>
                <w:lang w:val="en-AU"/>
              </w:rPr>
              <w:t>and</w:t>
            </w:r>
            <w:r w:rsidRPr="00A700E7">
              <w:rPr>
                <w:spacing w:val="-5"/>
                <w:sz w:val="20"/>
                <w:szCs w:val="20"/>
                <w:lang w:val="en-AU"/>
              </w:rPr>
              <w:t xml:space="preserve"> </w:t>
            </w:r>
            <w:r w:rsidRPr="00A700E7">
              <w:rPr>
                <w:sz w:val="20"/>
                <w:szCs w:val="20"/>
                <w:lang w:val="en-AU"/>
              </w:rPr>
              <w:t>subcutaneous</w:t>
            </w:r>
            <w:r w:rsidRPr="00A700E7">
              <w:rPr>
                <w:spacing w:val="-6"/>
                <w:sz w:val="20"/>
                <w:szCs w:val="20"/>
                <w:lang w:val="en-AU"/>
              </w:rPr>
              <w:t xml:space="preserve"> </w:t>
            </w:r>
            <w:r w:rsidRPr="00A700E7">
              <w:rPr>
                <w:sz w:val="20"/>
                <w:szCs w:val="20"/>
                <w:lang w:val="en-AU"/>
              </w:rPr>
              <w:t>tissue</w:t>
            </w:r>
            <w:r w:rsidRPr="00A700E7">
              <w:rPr>
                <w:spacing w:val="-4"/>
                <w:sz w:val="20"/>
                <w:szCs w:val="20"/>
                <w:lang w:val="en-AU"/>
              </w:rPr>
              <w:t xml:space="preserve"> </w:t>
            </w:r>
            <w:r w:rsidRPr="00A700E7">
              <w:rPr>
                <w:sz w:val="20"/>
                <w:szCs w:val="20"/>
                <w:lang w:val="en-AU"/>
              </w:rPr>
              <w:t>disorders</w:t>
            </w:r>
          </w:p>
        </w:tc>
      </w:tr>
      <w:tr w:rsidR="00A700E7" w:rsidRPr="00A700E7" w14:paraId="4F669CA0"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4C2EFB13" w14:textId="77777777" w:rsidR="005D286D" w:rsidRPr="00A700E7" w:rsidRDefault="005D286D" w:rsidP="007A6B1F">
            <w:pPr>
              <w:jc w:val="left"/>
              <w:rPr>
                <w:sz w:val="20"/>
                <w:szCs w:val="20"/>
                <w:lang w:val="en-AU"/>
              </w:rPr>
            </w:pPr>
            <w:r w:rsidRPr="00A700E7">
              <w:rPr>
                <w:sz w:val="20"/>
                <w:szCs w:val="20"/>
                <w:lang w:val="en-AU"/>
              </w:rPr>
              <w:t>Rash</w:t>
            </w:r>
          </w:p>
        </w:tc>
        <w:tc>
          <w:tcPr>
            <w:tcW w:w="1759" w:type="dxa"/>
            <w:tcBorders>
              <w:top w:val="single" w:sz="4" w:space="0" w:color="auto"/>
              <w:left w:val="single" w:sz="4" w:space="0" w:color="auto"/>
              <w:bottom w:val="single" w:sz="4" w:space="0" w:color="auto"/>
              <w:right w:val="single" w:sz="4" w:space="0" w:color="auto"/>
            </w:tcBorders>
          </w:tcPr>
          <w:p w14:paraId="4162F539" w14:textId="77777777" w:rsidR="005D286D" w:rsidRPr="00A700E7" w:rsidRDefault="005D286D" w:rsidP="007A6B1F">
            <w:pPr>
              <w:jc w:val="left"/>
              <w:rPr>
                <w:sz w:val="20"/>
                <w:szCs w:val="20"/>
                <w:lang w:val="en-AU"/>
              </w:rPr>
            </w:pPr>
            <w:r w:rsidRPr="00A700E7">
              <w:rPr>
                <w:sz w:val="20"/>
                <w:szCs w:val="20"/>
                <w:lang w:val="en-AU"/>
              </w:rPr>
              <w:t>3</w:t>
            </w:r>
          </w:p>
        </w:tc>
        <w:tc>
          <w:tcPr>
            <w:tcW w:w="1492" w:type="dxa"/>
            <w:tcBorders>
              <w:top w:val="single" w:sz="4" w:space="0" w:color="auto"/>
              <w:left w:val="single" w:sz="4" w:space="0" w:color="auto"/>
              <w:bottom w:val="single" w:sz="4" w:space="0" w:color="auto"/>
              <w:right w:val="single" w:sz="4" w:space="0" w:color="auto"/>
            </w:tcBorders>
          </w:tcPr>
          <w:p w14:paraId="0C666613" w14:textId="77777777" w:rsidR="005D286D" w:rsidRPr="00A700E7" w:rsidRDefault="005D286D" w:rsidP="007A6B1F">
            <w:pPr>
              <w:jc w:val="left"/>
              <w:rPr>
                <w:sz w:val="20"/>
                <w:szCs w:val="20"/>
                <w:lang w:val="en-AU"/>
              </w:rPr>
            </w:pPr>
            <w:r w:rsidRPr="00A700E7">
              <w:rPr>
                <w:w w:val="95"/>
                <w:sz w:val="20"/>
                <w:szCs w:val="20"/>
                <w:lang w:val="en-AU"/>
              </w:rPr>
              <w:t>5</w:t>
            </w:r>
          </w:p>
        </w:tc>
      </w:tr>
      <w:tr w:rsidR="00A700E7" w:rsidRPr="00A700E7" w14:paraId="6CFCC8C0" w14:textId="77777777" w:rsidTr="00A517D1">
        <w:trPr>
          <w:gridAfter w:val="1"/>
          <w:wAfter w:w="30" w:type="dxa"/>
          <w:trHeight w:hRule="exact" w:val="300"/>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2E938908" w14:textId="77777777" w:rsidR="005D286D" w:rsidRPr="00A700E7" w:rsidRDefault="005D286D" w:rsidP="007A6B1F">
            <w:pPr>
              <w:jc w:val="left"/>
              <w:rPr>
                <w:sz w:val="20"/>
                <w:szCs w:val="20"/>
                <w:lang w:val="en-AU"/>
              </w:rPr>
            </w:pPr>
            <w:r w:rsidRPr="00A700E7">
              <w:rPr>
                <w:sz w:val="20"/>
                <w:szCs w:val="20"/>
                <w:lang w:val="en-AU"/>
              </w:rPr>
              <w:t>Musculoskeletal</w:t>
            </w:r>
            <w:r w:rsidRPr="00A700E7">
              <w:rPr>
                <w:spacing w:val="-7"/>
                <w:sz w:val="20"/>
                <w:szCs w:val="20"/>
                <w:lang w:val="en-AU"/>
              </w:rPr>
              <w:t xml:space="preserve"> </w:t>
            </w:r>
            <w:r w:rsidRPr="00A700E7">
              <w:rPr>
                <w:sz w:val="20"/>
                <w:szCs w:val="20"/>
                <w:lang w:val="en-AU"/>
              </w:rPr>
              <w:t>and</w:t>
            </w:r>
            <w:r w:rsidRPr="00A700E7">
              <w:rPr>
                <w:spacing w:val="-4"/>
                <w:sz w:val="20"/>
                <w:szCs w:val="20"/>
                <w:lang w:val="en-AU"/>
              </w:rPr>
              <w:t xml:space="preserve"> </w:t>
            </w:r>
            <w:r w:rsidRPr="00A700E7">
              <w:rPr>
                <w:sz w:val="20"/>
                <w:szCs w:val="20"/>
                <w:lang w:val="en-AU"/>
              </w:rPr>
              <w:t>Connective</w:t>
            </w:r>
            <w:r w:rsidRPr="00A700E7">
              <w:rPr>
                <w:spacing w:val="-5"/>
                <w:sz w:val="20"/>
                <w:szCs w:val="20"/>
                <w:lang w:val="en-AU"/>
              </w:rPr>
              <w:t xml:space="preserve"> </w:t>
            </w:r>
            <w:r w:rsidRPr="00A700E7">
              <w:rPr>
                <w:sz w:val="20"/>
                <w:szCs w:val="20"/>
                <w:lang w:val="en-AU"/>
              </w:rPr>
              <w:t>Tissue</w:t>
            </w:r>
            <w:r w:rsidRPr="00A700E7">
              <w:rPr>
                <w:spacing w:val="-5"/>
                <w:sz w:val="20"/>
                <w:szCs w:val="20"/>
                <w:lang w:val="en-AU"/>
              </w:rPr>
              <w:t xml:space="preserve"> </w:t>
            </w:r>
            <w:r w:rsidRPr="00A700E7">
              <w:rPr>
                <w:sz w:val="20"/>
                <w:szCs w:val="20"/>
                <w:lang w:val="en-AU"/>
              </w:rPr>
              <w:t>Disorders</w:t>
            </w:r>
          </w:p>
        </w:tc>
      </w:tr>
      <w:tr w:rsidR="00A700E7" w:rsidRPr="00A700E7" w14:paraId="13A74423"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38AE6D94" w14:textId="77777777" w:rsidR="005D286D" w:rsidRPr="00A700E7" w:rsidRDefault="005D286D" w:rsidP="007A6B1F">
            <w:pPr>
              <w:jc w:val="left"/>
              <w:rPr>
                <w:sz w:val="20"/>
                <w:szCs w:val="20"/>
                <w:lang w:val="en-AU"/>
              </w:rPr>
            </w:pPr>
            <w:r w:rsidRPr="00A700E7">
              <w:rPr>
                <w:sz w:val="20"/>
                <w:szCs w:val="20"/>
                <w:lang w:val="en-AU"/>
              </w:rPr>
              <w:t>Myalgia</w:t>
            </w:r>
          </w:p>
        </w:tc>
        <w:tc>
          <w:tcPr>
            <w:tcW w:w="1759" w:type="dxa"/>
            <w:tcBorders>
              <w:top w:val="single" w:sz="4" w:space="0" w:color="auto"/>
              <w:left w:val="single" w:sz="4" w:space="0" w:color="auto"/>
              <w:bottom w:val="single" w:sz="4" w:space="0" w:color="auto"/>
              <w:right w:val="single" w:sz="4" w:space="0" w:color="auto"/>
            </w:tcBorders>
          </w:tcPr>
          <w:p w14:paraId="16AE9C1D" w14:textId="77777777" w:rsidR="005D286D" w:rsidRPr="00A700E7" w:rsidRDefault="005D286D" w:rsidP="007A6B1F">
            <w:pPr>
              <w:jc w:val="left"/>
              <w:rPr>
                <w:sz w:val="20"/>
                <w:szCs w:val="20"/>
                <w:lang w:val="en-AU"/>
              </w:rPr>
            </w:pPr>
            <w:r w:rsidRPr="00A700E7">
              <w:rPr>
                <w:sz w:val="20"/>
                <w:szCs w:val="20"/>
                <w:lang w:val="en-AU"/>
              </w:rPr>
              <w:t>4</w:t>
            </w:r>
          </w:p>
        </w:tc>
        <w:tc>
          <w:tcPr>
            <w:tcW w:w="1492" w:type="dxa"/>
            <w:tcBorders>
              <w:top w:val="single" w:sz="4" w:space="0" w:color="auto"/>
              <w:left w:val="single" w:sz="4" w:space="0" w:color="auto"/>
              <w:bottom w:val="single" w:sz="4" w:space="0" w:color="auto"/>
              <w:right w:val="single" w:sz="4" w:space="0" w:color="auto"/>
            </w:tcBorders>
          </w:tcPr>
          <w:p w14:paraId="43A7B3BD" w14:textId="77777777" w:rsidR="005D286D" w:rsidRPr="00A700E7" w:rsidRDefault="005D286D" w:rsidP="007A6B1F">
            <w:pPr>
              <w:jc w:val="left"/>
              <w:rPr>
                <w:sz w:val="20"/>
                <w:szCs w:val="20"/>
                <w:lang w:val="en-AU"/>
              </w:rPr>
            </w:pPr>
            <w:r w:rsidRPr="00A700E7">
              <w:rPr>
                <w:w w:val="95"/>
                <w:sz w:val="20"/>
                <w:szCs w:val="20"/>
                <w:lang w:val="en-AU"/>
              </w:rPr>
              <w:t>14</w:t>
            </w:r>
          </w:p>
        </w:tc>
      </w:tr>
      <w:tr w:rsidR="00A700E7" w:rsidRPr="00A700E7" w14:paraId="61089E1D"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12EDAA77" w14:textId="77777777" w:rsidR="005D286D" w:rsidRPr="00A700E7" w:rsidRDefault="005D286D" w:rsidP="007A6B1F">
            <w:pPr>
              <w:jc w:val="left"/>
              <w:rPr>
                <w:sz w:val="20"/>
                <w:szCs w:val="20"/>
                <w:lang w:val="en-AU"/>
              </w:rPr>
            </w:pPr>
            <w:r w:rsidRPr="00A700E7">
              <w:rPr>
                <w:sz w:val="20"/>
                <w:szCs w:val="20"/>
                <w:lang w:val="en-AU"/>
              </w:rPr>
              <w:t>Pain</w:t>
            </w:r>
            <w:r w:rsidRPr="00A700E7">
              <w:rPr>
                <w:spacing w:val="-4"/>
                <w:sz w:val="20"/>
                <w:szCs w:val="20"/>
                <w:lang w:val="en-AU"/>
              </w:rPr>
              <w:t xml:space="preserve"> </w:t>
            </w:r>
            <w:r w:rsidRPr="00A700E7">
              <w:rPr>
                <w:sz w:val="20"/>
                <w:szCs w:val="20"/>
                <w:lang w:val="en-AU"/>
              </w:rPr>
              <w:t>in</w:t>
            </w:r>
            <w:r w:rsidRPr="00A700E7">
              <w:rPr>
                <w:spacing w:val="-2"/>
                <w:sz w:val="20"/>
                <w:szCs w:val="20"/>
                <w:lang w:val="en-AU"/>
              </w:rPr>
              <w:t xml:space="preserve"> </w:t>
            </w:r>
            <w:r w:rsidRPr="00A700E7">
              <w:rPr>
                <w:sz w:val="20"/>
                <w:szCs w:val="20"/>
                <w:lang w:val="en-AU"/>
              </w:rPr>
              <w:t>Extremity</w:t>
            </w:r>
          </w:p>
        </w:tc>
        <w:tc>
          <w:tcPr>
            <w:tcW w:w="1759" w:type="dxa"/>
            <w:tcBorders>
              <w:top w:val="single" w:sz="4" w:space="0" w:color="auto"/>
              <w:left w:val="single" w:sz="4" w:space="0" w:color="auto"/>
              <w:bottom w:val="single" w:sz="4" w:space="0" w:color="auto"/>
              <w:right w:val="single" w:sz="4" w:space="0" w:color="auto"/>
            </w:tcBorders>
          </w:tcPr>
          <w:p w14:paraId="42B1501A" w14:textId="77777777" w:rsidR="005D286D" w:rsidRPr="00A700E7" w:rsidRDefault="005D286D" w:rsidP="007A6B1F">
            <w:pPr>
              <w:jc w:val="left"/>
              <w:rPr>
                <w:sz w:val="20"/>
                <w:szCs w:val="20"/>
                <w:lang w:val="en-AU"/>
              </w:rPr>
            </w:pPr>
            <w:r w:rsidRPr="00A700E7">
              <w:rPr>
                <w:sz w:val="20"/>
                <w:szCs w:val="20"/>
                <w:lang w:val="en-AU"/>
              </w:rPr>
              <w:t>2</w:t>
            </w:r>
          </w:p>
        </w:tc>
        <w:tc>
          <w:tcPr>
            <w:tcW w:w="1492" w:type="dxa"/>
            <w:tcBorders>
              <w:top w:val="single" w:sz="4" w:space="0" w:color="auto"/>
              <w:left w:val="single" w:sz="4" w:space="0" w:color="auto"/>
              <w:bottom w:val="single" w:sz="4" w:space="0" w:color="auto"/>
              <w:right w:val="single" w:sz="4" w:space="0" w:color="auto"/>
            </w:tcBorders>
          </w:tcPr>
          <w:p w14:paraId="275ACA1E" w14:textId="77777777" w:rsidR="005D286D" w:rsidRPr="00A700E7" w:rsidRDefault="005D286D" w:rsidP="007A6B1F">
            <w:pPr>
              <w:jc w:val="left"/>
              <w:rPr>
                <w:sz w:val="20"/>
                <w:szCs w:val="20"/>
                <w:lang w:val="en-AU"/>
              </w:rPr>
            </w:pPr>
            <w:r w:rsidRPr="00A700E7">
              <w:rPr>
                <w:w w:val="95"/>
                <w:sz w:val="20"/>
                <w:szCs w:val="20"/>
                <w:lang w:val="en-AU"/>
              </w:rPr>
              <w:t>11</w:t>
            </w:r>
          </w:p>
        </w:tc>
      </w:tr>
      <w:tr w:rsidR="00A700E7" w:rsidRPr="00A700E7" w14:paraId="65B56F31"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22A6A7BD" w14:textId="77777777" w:rsidR="005D286D" w:rsidRPr="00A700E7" w:rsidRDefault="005D286D" w:rsidP="007A6B1F">
            <w:pPr>
              <w:jc w:val="left"/>
              <w:rPr>
                <w:sz w:val="20"/>
                <w:szCs w:val="20"/>
                <w:lang w:val="en-AU"/>
              </w:rPr>
            </w:pPr>
            <w:r w:rsidRPr="00A700E7">
              <w:rPr>
                <w:sz w:val="20"/>
                <w:szCs w:val="20"/>
                <w:lang w:val="en-AU"/>
              </w:rPr>
              <w:t>Back</w:t>
            </w:r>
            <w:r w:rsidRPr="00A700E7">
              <w:rPr>
                <w:spacing w:val="-3"/>
                <w:sz w:val="20"/>
                <w:szCs w:val="20"/>
                <w:lang w:val="en-AU"/>
              </w:rPr>
              <w:t xml:space="preserve"> </w:t>
            </w:r>
            <w:r w:rsidRPr="00A700E7">
              <w:rPr>
                <w:spacing w:val="-1"/>
                <w:sz w:val="20"/>
                <w:szCs w:val="20"/>
                <w:lang w:val="en-AU"/>
              </w:rPr>
              <w:t>Pain</w:t>
            </w:r>
          </w:p>
        </w:tc>
        <w:tc>
          <w:tcPr>
            <w:tcW w:w="1759" w:type="dxa"/>
            <w:tcBorders>
              <w:top w:val="single" w:sz="4" w:space="0" w:color="auto"/>
              <w:left w:val="single" w:sz="4" w:space="0" w:color="auto"/>
              <w:bottom w:val="single" w:sz="4" w:space="0" w:color="auto"/>
              <w:right w:val="single" w:sz="4" w:space="0" w:color="auto"/>
            </w:tcBorders>
          </w:tcPr>
          <w:p w14:paraId="6E7DB208" w14:textId="77777777" w:rsidR="005D286D" w:rsidRPr="00A700E7" w:rsidRDefault="005D286D" w:rsidP="007A6B1F">
            <w:pPr>
              <w:jc w:val="left"/>
              <w:rPr>
                <w:sz w:val="20"/>
                <w:szCs w:val="20"/>
                <w:lang w:val="en-AU"/>
              </w:rPr>
            </w:pPr>
            <w:r w:rsidRPr="00A700E7">
              <w:rPr>
                <w:sz w:val="20"/>
                <w:szCs w:val="20"/>
                <w:lang w:val="en-AU"/>
              </w:rPr>
              <w:t>6</w:t>
            </w:r>
          </w:p>
        </w:tc>
        <w:tc>
          <w:tcPr>
            <w:tcW w:w="1492" w:type="dxa"/>
            <w:tcBorders>
              <w:top w:val="single" w:sz="4" w:space="0" w:color="auto"/>
              <w:left w:val="single" w:sz="4" w:space="0" w:color="auto"/>
              <w:bottom w:val="single" w:sz="4" w:space="0" w:color="auto"/>
              <w:right w:val="single" w:sz="4" w:space="0" w:color="auto"/>
            </w:tcBorders>
          </w:tcPr>
          <w:p w14:paraId="6723DBD5" w14:textId="77777777" w:rsidR="005D286D" w:rsidRPr="00A700E7" w:rsidRDefault="005D286D" w:rsidP="007A6B1F">
            <w:pPr>
              <w:jc w:val="left"/>
              <w:rPr>
                <w:sz w:val="20"/>
                <w:szCs w:val="20"/>
                <w:lang w:val="en-AU"/>
              </w:rPr>
            </w:pPr>
            <w:r w:rsidRPr="00A700E7">
              <w:rPr>
                <w:w w:val="95"/>
                <w:sz w:val="20"/>
                <w:szCs w:val="20"/>
                <w:lang w:val="en-AU"/>
              </w:rPr>
              <w:t>10</w:t>
            </w:r>
          </w:p>
        </w:tc>
      </w:tr>
      <w:tr w:rsidR="00A700E7" w:rsidRPr="00A700E7" w14:paraId="53725520"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7C778B74" w14:textId="77777777" w:rsidR="005D286D" w:rsidRPr="00A700E7" w:rsidRDefault="005D286D" w:rsidP="007A6B1F">
            <w:pPr>
              <w:jc w:val="left"/>
              <w:rPr>
                <w:sz w:val="20"/>
                <w:szCs w:val="20"/>
                <w:lang w:val="en-AU"/>
              </w:rPr>
            </w:pPr>
            <w:r w:rsidRPr="00A700E7">
              <w:rPr>
                <w:sz w:val="20"/>
                <w:szCs w:val="20"/>
                <w:lang w:val="en-AU"/>
              </w:rPr>
              <w:t>Musculoskeletal</w:t>
            </w:r>
            <w:r w:rsidRPr="00A700E7">
              <w:rPr>
                <w:spacing w:val="-11"/>
                <w:sz w:val="20"/>
                <w:szCs w:val="20"/>
                <w:lang w:val="en-AU"/>
              </w:rPr>
              <w:t xml:space="preserve"> </w:t>
            </w:r>
            <w:r w:rsidRPr="00A700E7">
              <w:rPr>
                <w:sz w:val="20"/>
                <w:szCs w:val="20"/>
                <w:lang w:val="en-AU"/>
              </w:rPr>
              <w:t>Stiffness</w:t>
            </w:r>
          </w:p>
        </w:tc>
        <w:tc>
          <w:tcPr>
            <w:tcW w:w="1759" w:type="dxa"/>
            <w:tcBorders>
              <w:top w:val="single" w:sz="4" w:space="0" w:color="auto"/>
              <w:left w:val="single" w:sz="4" w:space="0" w:color="auto"/>
              <w:bottom w:val="single" w:sz="4" w:space="0" w:color="auto"/>
              <w:right w:val="single" w:sz="4" w:space="0" w:color="auto"/>
            </w:tcBorders>
          </w:tcPr>
          <w:p w14:paraId="112DED7C" w14:textId="77777777" w:rsidR="005D286D" w:rsidRPr="00A700E7" w:rsidRDefault="005D286D" w:rsidP="007A6B1F">
            <w:pPr>
              <w:jc w:val="left"/>
              <w:rPr>
                <w:sz w:val="20"/>
                <w:szCs w:val="20"/>
                <w:lang w:val="en-AU"/>
              </w:rPr>
            </w:pPr>
            <w:r w:rsidRPr="00A700E7">
              <w:rPr>
                <w:sz w:val="20"/>
                <w:szCs w:val="20"/>
                <w:lang w:val="en-AU"/>
              </w:rPr>
              <w:t>0</w:t>
            </w:r>
          </w:p>
        </w:tc>
        <w:tc>
          <w:tcPr>
            <w:tcW w:w="1492" w:type="dxa"/>
            <w:tcBorders>
              <w:top w:val="single" w:sz="4" w:space="0" w:color="auto"/>
              <w:left w:val="single" w:sz="4" w:space="0" w:color="auto"/>
              <w:bottom w:val="single" w:sz="4" w:space="0" w:color="auto"/>
              <w:right w:val="single" w:sz="4" w:space="0" w:color="auto"/>
            </w:tcBorders>
          </w:tcPr>
          <w:p w14:paraId="29FC69C4" w14:textId="77777777" w:rsidR="005D286D" w:rsidRPr="00A700E7" w:rsidRDefault="005D286D" w:rsidP="007A6B1F">
            <w:pPr>
              <w:jc w:val="left"/>
              <w:rPr>
                <w:sz w:val="20"/>
                <w:szCs w:val="20"/>
                <w:lang w:val="en-AU"/>
              </w:rPr>
            </w:pPr>
            <w:r w:rsidRPr="00A700E7">
              <w:rPr>
                <w:w w:val="95"/>
                <w:sz w:val="20"/>
                <w:szCs w:val="20"/>
                <w:lang w:val="en-AU"/>
              </w:rPr>
              <w:t>4</w:t>
            </w:r>
          </w:p>
        </w:tc>
      </w:tr>
      <w:tr w:rsidR="00A700E7" w:rsidRPr="00A700E7" w14:paraId="68884985" w14:textId="77777777" w:rsidTr="00A517D1">
        <w:trPr>
          <w:gridAfter w:val="1"/>
          <w:wAfter w:w="30" w:type="dxa"/>
          <w:trHeight w:hRule="exact" w:val="300"/>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64388D0E" w14:textId="77777777" w:rsidR="005D286D" w:rsidRPr="00A700E7" w:rsidRDefault="005D286D" w:rsidP="007A6B1F">
            <w:pPr>
              <w:jc w:val="left"/>
              <w:rPr>
                <w:sz w:val="20"/>
                <w:szCs w:val="20"/>
                <w:lang w:val="en-AU"/>
              </w:rPr>
            </w:pPr>
            <w:r w:rsidRPr="00A700E7">
              <w:rPr>
                <w:sz w:val="20"/>
                <w:szCs w:val="20"/>
                <w:lang w:val="en-AU"/>
              </w:rPr>
              <w:t>Reproductive</w:t>
            </w:r>
            <w:r w:rsidRPr="00A700E7">
              <w:rPr>
                <w:spacing w:val="-5"/>
                <w:sz w:val="20"/>
                <w:szCs w:val="20"/>
                <w:lang w:val="en-AU"/>
              </w:rPr>
              <w:t xml:space="preserve"> </w:t>
            </w:r>
            <w:r w:rsidRPr="00A700E7">
              <w:rPr>
                <w:sz w:val="20"/>
                <w:szCs w:val="20"/>
                <w:lang w:val="en-AU"/>
              </w:rPr>
              <w:t>system</w:t>
            </w:r>
            <w:r w:rsidRPr="00A700E7">
              <w:rPr>
                <w:spacing w:val="-5"/>
                <w:sz w:val="20"/>
                <w:szCs w:val="20"/>
                <w:lang w:val="en-AU"/>
              </w:rPr>
              <w:t xml:space="preserve"> </w:t>
            </w:r>
            <w:r w:rsidRPr="00A700E7">
              <w:rPr>
                <w:sz w:val="20"/>
                <w:szCs w:val="20"/>
                <w:lang w:val="en-AU"/>
              </w:rPr>
              <w:t>and</w:t>
            </w:r>
            <w:r w:rsidRPr="00A700E7">
              <w:rPr>
                <w:spacing w:val="-5"/>
                <w:sz w:val="20"/>
                <w:szCs w:val="20"/>
                <w:lang w:val="en-AU"/>
              </w:rPr>
              <w:t xml:space="preserve"> </w:t>
            </w:r>
            <w:r w:rsidRPr="00A700E7">
              <w:rPr>
                <w:spacing w:val="-2"/>
                <w:sz w:val="20"/>
                <w:szCs w:val="20"/>
                <w:lang w:val="en-AU"/>
              </w:rPr>
              <w:t>breast</w:t>
            </w:r>
            <w:r w:rsidRPr="00A700E7">
              <w:rPr>
                <w:spacing w:val="-5"/>
                <w:sz w:val="20"/>
                <w:szCs w:val="20"/>
                <w:lang w:val="en-AU"/>
              </w:rPr>
              <w:t xml:space="preserve"> </w:t>
            </w:r>
            <w:r w:rsidRPr="00A700E7">
              <w:rPr>
                <w:sz w:val="20"/>
                <w:szCs w:val="20"/>
                <w:lang w:val="en-AU"/>
              </w:rPr>
              <w:t>disorders</w:t>
            </w:r>
          </w:p>
        </w:tc>
      </w:tr>
      <w:tr w:rsidR="00A700E7" w:rsidRPr="00A700E7" w14:paraId="2778D504" w14:textId="77777777" w:rsidTr="00454E1E">
        <w:trPr>
          <w:gridAfter w:val="1"/>
          <w:wAfter w:w="30" w:type="dxa"/>
          <w:trHeight w:hRule="exact" w:val="555"/>
        </w:trPr>
        <w:tc>
          <w:tcPr>
            <w:tcW w:w="4687" w:type="dxa"/>
            <w:gridSpan w:val="2"/>
            <w:tcBorders>
              <w:top w:val="single" w:sz="4" w:space="0" w:color="auto"/>
              <w:left w:val="single" w:sz="4" w:space="0" w:color="auto"/>
              <w:bottom w:val="single" w:sz="4" w:space="0" w:color="auto"/>
              <w:right w:val="single" w:sz="4" w:space="0" w:color="auto"/>
            </w:tcBorders>
          </w:tcPr>
          <w:p w14:paraId="4F7961AF" w14:textId="0E4F2535" w:rsidR="005D286D" w:rsidRPr="00A700E7" w:rsidRDefault="005D286D" w:rsidP="007A6B1F">
            <w:pPr>
              <w:jc w:val="left"/>
              <w:rPr>
                <w:sz w:val="20"/>
                <w:szCs w:val="20"/>
                <w:lang w:val="en-AU"/>
              </w:rPr>
            </w:pPr>
            <w:r w:rsidRPr="00A700E7">
              <w:rPr>
                <w:sz w:val="20"/>
                <w:szCs w:val="20"/>
                <w:lang w:val="en-AU"/>
              </w:rPr>
              <w:t>Menorrhagia</w:t>
            </w:r>
            <w:r w:rsidRPr="00A700E7">
              <w:rPr>
                <w:spacing w:val="-7"/>
                <w:sz w:val="20"/>
                <w:szCs w:val="20"/>
                <w:lang w:val="en-AU"/>
              </w:rPr>
              <w:t xml:space="preserve"> </w:t>
            </w:r>
            <w:r w:rsidRPr="00A700E7">
              <w:rPr>
                <w:sz w:val="20"/>
                <w:szCs w:val="20"/>
                <w:lang w:val="en-AU"/>
              </w:rPr>
              <w:t>(including</w:t>
            </w:r>
            <w:r w:rsidRPr="00A700E7">
              <w:rPr>
                <w:spacing w:val="-8"/>
                <w:sz w:val="20"/>
                <w:szCs w:val="20"/>
                <w:lang w:val="en-AU"/>
              </w:rPr>
              <w:t xml:space="preserve"> </w:t>
            </w:r>
            <w:r w:rsidRPr="00A700E7">
              <w:rPr>
                <w:sz w:val="20"/>
                <w:szCs w:val="20"/>
                <w:lang w:val="en-AU"/>
              </w:rPr>
              <w:t>increased</w:t>
            </w:r>
            <w:r w:rsidRPr="00A700E7">
              <w:rPr>
                <w:spacing w:val="-5"/>
                <w:sz w:val="20"/>
                <w:szCs w:val="20"/>
                <w:lang w:val="en-AU"/>
              </w:rPr>
              <w:t xml:space="preserve"> </w:t>
            </w:r>
            <w:r w:rsidRPr="00A700E7">
              <w:rPr>
                <w:sz w:val="20"/>
                <w:szCs w:val="20"/>
                <w:lang w:val="en-AU"/>
              </w:rPr>
              <w:t>uterine</w:t>
            </w:r>
            <w:r w:rsidRPr="00A700E7">
              <w:rPr>
                <w:spacing w:val="-5"/>
                <w:sz w:val="20"/>
                <w:szCs w:val="20"/>
                <w:lang w:val="en-AU"/>
              </w:rPr>
              <w:t xml:space="preserve"> </w:t>
            </w:r>
            <w:r w:rsidRPr="00A700E7">
              <w:rPr>
                <w:sz w:val="20"/>
                <w:szCs w:val="20"/>
                <w:lang w:val="en-AU"/>
              </w:rPr>
              <w:t>bleeding</w:t>
            </w:r>
            <w:r w:rsidRPr="00A700E7">
              <w:rPr>
                <w:position w:val="4"/>
                <w:sz w:val="20"/>
                <w:szCs w:val="20"/>
                <w:vertAlign w:val="superscript"/>
                <w:lang w:val="en-AU"/>
              </w:rPr>
              <w:t>a</w:t>
            </w:r>
            <w:r w:rsidRPr="00A700E7">
              <w:rPr>
                <w:position w:val="4"/>
                <w:sz w:val="20"/>
                <w:szCs w:val="20"/>
                <w:lang w:val="en-AU"/>
              </w:rPr>
              <w:t>)</w:t>
            </w:r>
          </w:p>
        </w:tc>
        <w:tc>
          <w:tcPr>
            <w:tcW w:w="1759" w:type="dxa"/>
            <w:tcBorders>
              <w:top w:val="single" w:sz="4" w:space="0" w:color="auto"/>
              <w:left w:val="single" w:sz="4" w:space="0" w:color="auto"/>
              <w:bottom w:val="single" w:sz="4" w:space="0" w:color="auto"/>
              <w:right w:val="single" w:sz="4" w:space="0" w:color="auto"/>
            </w:tcBorders>
          </w:tcPr>
          <w:p w14:paraId="7EA565C4" w14:textId="77777777" w:rsidR="005D286D" w:rsidRPr="00A700E7" w:rsidRDefault="005D286D" w:rsidP="007A6B1F">
            <w:pPr>
              <w:jc w:val="left"/>
              <w:rPr>
                <w:sz w:val="20"/>
                <w:szCs w:val="20"/>
                <w:lang w:val="en-AU"/>
              </w:rPr>
            </w:pPr>
            <w:r w:rsidRPr="00A700E7">
              <w:rPr>
                <w:sz w:val="20"/>
                <w:szCs w:val="20"/>
                <w:lang w:val="en-AU"/>
              </w:rPr>
              <w:t>0</w:t>
            </w:r>
          </w:p>
        </w:tc>
        <w:tc>
          <w:tcPr>
            <w:tcW w:w="1492" w:type="dxa"/>
            <w:tcBorders>
              <w:top w:val="single" w:sz="4" w:space="0" w:color="auto"/>
              <w:left w:val="single" w:sz="4" w:space="0" w:color="auto"/>
              <w:bottom w:val="single" w:sz="4" w:space="0" w:color="auto"/>
              <w:right w:val="single" w:sz="4" w:space="0" w:color="auto"/>
            </w:tcBorders>
          </w:tcPr>
          <w:p w14:paraId="2A3DFF53" w14:textId="77777777" w:rsidR="005D286D" w:rsidRPr="00A700E7" w:rsidRDefault="005D286D" w:rsidP="007A6B1F">
            <w:pPr>
              <w:jc w:val="left"/>
              <w:rPr>
                <w:sz w:val="20"/>
                <w:szCs w:val="20"/>
                <w:lang w:val="en-AU"/>
              </w:rPr>
            </w:pPr>
            <w:r w:rsidRPr="00A700E7">
              <w:rPr>
                <w:w w:val="95"/>
                <w:sz w:val="20"/>
                <w:szCs w:val="20"/>
                <w:lang w:val="en-AU"/>
              </w:rPr>
              <w:t>4</w:t>
            </w:r>
          </w:p>
        </w:tc>
      </w:tr>
      <w:tr w:rsidR="00A700E7" w:rsidRPr="00A700E7" w14:paraId="0A3BC94B" w14:textId="77777777" w:rsidTr="00A517D1">
        <w:trPr>
          <w:gridAfter w:val="1"/>
          <w:wAfter w:w="30" w:type="dxa"/>
          <w:trHeight w:hRule="exact" w:val="300"/>
        </w:trPr>
        <w:tc>
          <w:tcPr>
            <w:tcW w:w="7938" w:type="dxa"/>
            <w:gridSpan w:val="4"/>
            <w:tcBorders>
              <w:top w:val="single" w:sz="4" w:space="0" w:color="auto"/>
              <w:left w:val="single" w:sz="4" w:space="0" w:color="auto"/>
              <w:bottom w:val="single" w:sz="4" w:space="0" w:color="auto"/>
              <w:right w:val="single" w:sz="4" w:space="0" w:color="auto"/>
            </w:tcBorders>
            <w:shd w:val="clear" w:color="auto" w:fill="D9D9D9"/>
          </w:tcPr>
          <w:p w14:paraId="6190C754" w14:textId="77777777" w:rsidR="005D286D" w:rsidRPr="00A700E7" w:rsidRDefault="005D286D" w:rsidP="007A6B1F">
            <w:pPr>
              <w:jc w:val="left"/>
              <w:rPr>
                <w:sz w:val="20"/>
                <w:szCs w:val="20"/>
                <w:lang w:val="en-AU"/>
              </w:rPr>
            </w:pPr>
            <w:r w:rsidRPr="00A700E7">
              <w:rPr>
                <w:sz w:val="20"/>
                <w:szCs w:val="20"/>
                <w:lang w:val="en-AU"/>
              </w:rPr>
              <w:t>General</w:t>
            </w:r>
            <w:r w:rsidRPr="00A700E7">
              <w:rPr>
                <w:spacing w:val="-7"/>
                <w:sz w:val="20"/>
                <w:szCs w:val="20"/>
                <w:lang w:val="en-AU"/>
              </w:rPr>
              <w:t xml:space="preserve"> </w:t>
            </w:r>
            <w:r w:rsidRPr="00A700E7">
              <w:rPr>
                <w:sz w:val="20"/>
                <w:szCs w:val="20"/>
                <w:lang w:val="en-AU"/>
              </w:rPr>
              <w:t>Disorders</w:t>
            </w:r>
            <w:r w:rsidRPr="00A700E7">
              <w:rPr>
                <w:spacing w:val="-7"/>
                <w:sz w:val="20"/>
                <w:szCs w:val="20"/>
                <w:lang w:val="en-AU"/>
              </w:rPr>
              <w:t xml:space="preserve"> </w:t>
            </w:r>
            <w:r w:rsidRPr="00A700E7">
              <w:rPr>
                <w:sz w:val="20"/>
                <w:szCs w:val="20"/>
                <w:lang w:val="en-AU"/>
              </w:rPr>
              <w:t>and</w:t>
            </w:r>
            <w:r w:rsidRPr="00A700E7">
              <w:rPr>
                <w:spacing w:val="-6"/>
                <w:sz w:val="20"/>
                <w:szCs w:val="20"/>
                <w:lang w:val="en-AU"/>
              </w:rPr>
              <w:t xml:space="preserve"> </w:t>
            </w:r>
            <w:r w:rsidRPr="00A700E7">
              <w:rPr>
                <w:sz w:val="20"/>
                <w:szCs w:val="20"/>
                <w:lang w:val="en-AU"/>
              </w:rPr>
              <w:t>Administration</w:t>
            </w:r>
            <w:r w:rsidRPr="00A700E7">
              <w:rPr>
                <w:spacing w:val="-6"/>
                <w:sz w:val="20"/>
                <w:szCs w:val="20"/>
                <w:lang w:val="en-AU"/>
              </w:rPr>
              <w:t xml:space="preserve"> </w:t>
            </w:r>
            <w:r w:rsidRPr="00A700E7">
              <w:rPr>
                <w:sz w:val="20"/>
                <w:szCs w:val="20"/>
                <w:lang w:val="en-AU"/>
              </w:rPr>
              <w:t>Site</w:t>
            </w:r>
            <w:r w:rsidRPr="00A700E7">
              <w:rPr>
                <w:spacing w:val="-5"/>
                <w:sz w:val="20"/>
                <w:szCs w:val="20"/>
                <w:lang w:val="en-AU"/>
              </w:rPr>
              <w:t xml:space="preserve"> </w:t>
            </w:r>
            <w:r w:rsidRPr="00A700E7">
              <w:rPr>
                <w:sz w:val="20"/>
                <w:szCs w:val="20"/>
                <w:lang w:val="en-AU"/>
              </w:rPr>
              <w:t>Conditions</w:t>
            </w:r>
          </w:p>
        </w:tc>
      </w:tr>
      <w:tr w:rsidR="00A700E7" w:rsidRPr="00A700E7" w14:paraId="75365B9F"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32A60BAD" w14:textId="77777777" w:rsidR="005D286D" w:rsidRPr="00A700E7" w:rsidRDefault="005D286D" w:rsidP="007A6B1F">
            <w:pPr>
              <w:jc w:val="left"/>
              <w:rPr>
                <w:sz w:val="20"/>
                <w:szCs w:val="20"/>
                <w:lang w:val="en-AU"/>
              </w:rPr>
            </w:pPr>
            <w:r w:rsidRPr="00A700E7">
              <w:rPr>
                <w:sz w:val="20"/>
                <w:szCs w:val="20"/>
                <w:lang w:val="en-AU"/>
              </w:rPr>
              <w:t>Oedema</w:t>
            </w:r>
            <w:r w:rsidRPr="00A700E7">
              <w:rPr>
                <w:spacing w:val="-10"/>
                <w:sz w:val="20"/>
                <w:szCs w:val="20"/>
                <w:lang w:val="en-AU"/>
              </w:rPr>
              <w:t xml:space="preserve"> </w:t>
            </w:r>
            <w:r w:rsidRPr="00A700E7">
              <w:rPr>
                <w:sz w:val="20"/>
                <w:szCs w:val="20"/>
                <w:lang w:val="en-AU"/>
              </w:rPr>
              <w:t>peripheral</w:t>
            </w:r>
          </w:p>
        </w:tc>
        <w:tc>
          <w:tcPr>
            <w:tcW w:w="1759" w:type="dxa"/>
            <w:tcBorders>
              <w:top w:val="single" w:sz="4" w:space="0" w:color="auto"/>
              <w:left w:val="single" w:sz="4" w:space="0" w:color="auto"/>
              <w:bottom w:val="single" w:sz="4" w:space="0" w:color="auto"/>
              <w:right w:val="single" w:sz="4" w:space="0" w:color="auto"/>
            </w:tcBorders>
          </w:tcPr>
          <w:p w14:paraId="271AC5FD" w14:textId="77777777" w:rsidR="005D286D" w:rsidRPr="00A700E7" w:rsidRDefault="005D286D" w:rsidP="007A6B1F">
            <w:pPr>
              <w:jc w:val="left"/>
              <w:rPr>
                <w:sz w:val="20"/>
                <w:szCs w:val="20"/>
                <w:lang w:val="en-AU"/>
              </w:rPr>
            </w:pPr>
            <w:r w:rsidRPr="00A700E7">
              <w:rPr>
                <w:sz w:val="20"/>
                <w:szCs w:val="20"/>
                <w:lang w:val="en-AU"/>
              </w:rPr>
              <w:t>9</w:t>
            </w:r>
          </w:p>
        </w:tc>
        <w:tc>
          <w:tcPr>
            <w:tcW w:w="1492" w:type="dxa"/>
            <w:tcBorders>
              <w:top w:val="single" w:sz="4" w:space="0" w:color="auto"/>
              <w:left w:val="single" w:sz="4" w:space="0" w:color="auto"/>
              <w:bottom w:val="single" w:sz="4" w:space="0" w:color="auto"/>
              <w:right w:val="single" w:sz="4" w:space="0" w:color="auto"/>
            </w:tcBorders>
          </w:tcPr>
          <w:p w14:paraId="492A4218" w14:textId="77777777" w:rsidR="005D286D" w:rsidRPr="00A700E7" w:rsidRDefault="005D286D" w:rsidP="007A6B1F">
            <w:pPr>
              <w:jc w:val="left"/>
              <w:rPr>
                <w:sz w:val="20"/>
                <w:szCs w:val="20"/>
                <w:lang w:val="en-AU"/>
              </w:rPr>
            </w:pPr>
            <w:r w:rsidRPr="00A700E7">
              <w:rPr>
                <w:w w:val="95"/>
                <w:sz w:val="20"/>
                <w:szCs w:val="20"/>
                <w:lang w:val="en-AU"/>
              </w:rPr>
              <w:t>6</w:t>
            </w:r>
          </w:p>
        </w:tc>
      </w:tr>
      <w:tr w:rsidR="00A700E7" w:rsidRPr="00A700E7" w14:paraId="1ED25734"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4165D8D9" w14:textId="77777777" w:rsidR="005D286D" w:rsidRPr="00A700E7" w:rsidRDefault="005D286D" w:rsidP="007A6B1F">
            <w:pPr>
              <w:jc w:val="left"/>
              <w:rPr>
                <w:sz w:val="20"/>
                <w:szCs w:val="20"/>
                <w:lang w:val="en-AU"/>
              </w:rPr>
            </w:pPr>
            <w:r w:rsidRPr="00A700E7">
              <w:rPr>
                <w:sz w:val="20"/>
                <w:szCs w:val="20"/>
                <w:lang w:val="en-AU"/>
              </w:rPr>
              <w:t>Fatigue</w:t>
            </w:r>
          </w:p>
        </w:tc>
        <w:tc>
          <w:tcPr>
            <w:tcW w:w="1759" w:type="dxa"/>
            <w:tcBorders>
              <w:top w:val="single" w:sz="4" w:space="0" w:color="auto"/>
              <w:left w:val="single" w:sz="4" w:space="0" w:color="auto"/>
              <w:bottom w:val="single" w:sz="4" w:space="0" w:color="auto"/>
              <w:right w:val="single" w:sz="4" w:space="0" w:color="auto"/>
            </w:tcBorders>
          </w:tcPr>
          <w:p w14:paraId="7B3CE0DC" w14:textId="77777777" w:rsidR="005D286D" w:rsidRPr="00A700E7" w:rsidRDefault="005D286D" w:rsidP="007A6B1F">
            <w:pPr>
              <w:jc w:val="left"/>
              <w:rPr>
                <w:sz w:val="20"/>
                <w:szCs w:val="20"/>
                <w:lang w:val="en-AU"/>
              </w:rPr>
            </w:pPr>
            <w:r w:rsidRPr="00A700E7">
              <w:rPr>
                <w:sz w:val="20"/>
                <w:szCs w:val="20"/>
                <w:lang w:val="en-AU"/>
              </w:rPr>
              <w:t>4</w:t>
            </w:r>
          </w:p>
        </w:tc>
        <w:tc>
          <w:tcPr>
            <w:tcW w:w="1492" w:type="dxa"/>
            <w:tcBorders>
              <w:top w:val="single" w:sz="4" w:space="0" w:color="auto"/>
              <w:left w:val="single" w:sz="4" w:space="0" w:color="auto"/>
              <w:bottom w:val="single" w:sz="4" w:space="0" w:color="auto"/>
              <w:right w:val="single" w:sz="4" w:space="0" w:color="auto"/>
            </w:tcBorders>
          </w:tcPr>
          <w:p w14:paraId="698B4491" w14:textId="77777777" w:rsidR="005D286D" w:rsidRPr="00A700E7" w:rsidRDefault="005D286D" w:rsidP="007A6B1F">
            <w:pPr>
              <w:jc w:val="left"/>
              <w:rPr>
                <w:sz w:val="20"/>
                <w:szCs w:val="20"/>
                <w:lang w:val="en-AU"/>
              </w:rPr>
            </w:pPr>
            <w:r w:rsidRPr="00A700E7">
              <w:rPr>
                <w:w w:val="95"/>
                <w:sz w:val="20"/>
                <w:szCs w:val="20"/>
                <w:lang w:val="en-AU"/>
              </w:rPr>
              <w:t>6</w:t>
            </w:r>
          </w:p>
        </w:tc>
      </w:tr>
      <w:tr w:rsidR="00A700E7" w:rsidRPr="00A700E7" w14:paraId="2AD382CA"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06682848" w14:textId="77777777" w:rsidR="005D286D" w:rsidRPr="00A700E7" w:rsidRDefault="005D286D" w:rsidP="007A6B1F">
            <w:pPr>
              <w:jc w:val="left"/>
              <w:rPr>
                <w:sz w:val="20"/>
                <w:szCs w:val="20"/>
                <w:lang w:val="en-AU"/>
              </w:rPr>
            </w:pPr>
            <w:r w:rsidRPr="00A700E7">
              <w:rPr>
                <w:sz w:val="20"/>
                <w:szCs w:val="20"/>
                <w:lang w:val="en-AU"/>
              </w:rPr>
              <w:t>Chest</w:t>
            </w:r>
            <w:r w:rsidRPr="00A700E7">
              <w:rPr>
                <w:spacing w:val="-7"/>
                <w:sz w:val="20"/>
                <w:szCs w:val="20"/>
                <w:lang w:val="en-AU"/>
              </w:rPr>
              <w:t xml:space="preserve"> </w:t>
            </w:r>
            <w:r w:rsidRPr="00A700E7">
              <w:rPr>
                <w:sz w:val="20"/>
                <w:szCs w:val="20"/>
                <w:lang w:val="en-AU"/>
              </w:rPr>
              <w:t>Pain</w:t>
            </w:r>
          </w:p>
        </w:tc>
        <w:tc>
          <w:tcPr>
            <w:tcW w:w="1759" w:type="dxa"/>
            <w:tcBorders>
              <w:top w:val="single" w:sz="4" w:space="0" w:color="auto"/>
              <w:left w:val="single" w:sz="4" w:space="0" w:color="auto"/>
              <w:bottom w:val="single" w:sz="4" w:space="0" w:color="auto"/>
              <w:right w:val="single" w:sz="4" w:space="0" w:color="auto"/>
            </w:tcBorders>
          </w:tcPr>
          <w:p w14:paraId="64DE0315" w14:textId="77777777" w:rsidR="005D286D" w:rsidRPr="00A700E7" w:rsidRDefault="005D286D" w:rsidP="007A6B1F">
            <w:pPr>
              <w:jc w:val="left"/>
              <w:rPr>
                <w:sz w:val="20"/>
                <w:szCs w:val="20"/>
                <w:lang w:val="en-AU"/>
              </w:rPr>
            </w:pPr>
            <w:r w:rsidRPr="00A700E7">
              <w:rPr>
                <w:sz w:val="20"/>
                <w:szCs w:val="20"/>
                <w:lang w:val="en-AU"/>
              </w:rPr>
              <w:t>1</w:t>
            </w:r>
          </w:p>
        </w:tc>
        <w:tc>
          <w:tcPr>
            <w:tcW w:w="1492" w:type="dxa"/>
            <w:tcBorders>
              <w:top w:val="single" w:sz="4" w:space="0" w:color="auto"/>
              <w:left w:val="single" w:sz="4" w:space="0" w:color="auto"/>
              <w:bottom w:val="single" w:sz="4" w:space="0" w:color="auto"/>
              <w:right w:val="single" w:sz="4" w:space="0" w:color="auto"/>
            </w:tcBorders>
          </w:tcPr>
          <w:p w14:paraId="34292DEC" w14:textId="77777777" w:rsidR="005D286D" w:rsidRPr="00A700E7" w:rsidRDefault="005D286D" w:rsidP="007A6B1F">
            <w:pPr>
              <w:jc w:val="left"/>
              <w:rPr>
                <w:sz w:val="20"/>
                <w:szCs w:val="20"/>
                <w:lang w:val="en-AU"/>
              </w:rPr>
            </w:pPr>
            <w:r w:rsidRPr="00A700E7">
              <w:rPr>
                <w:w w:val="95"/>
                <w:sz w:val="20"/>
                <w:szCs w:val="20"/>
                <w:lang w:val="en-AU"/>
              </w:rPr>
              <w:t>6</w:t>
            </w:r>
          </w:p>
        </w:tc>
      </w:tr>
      <w:tr w:rsidR="00A700E7" w:rsidRPr="00A700E7" w14:paraId="167DAFD1"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0F4D40E0" w14:textId="77777777" w:rsidR="005D286D" w:rsidRPr="00A700E7" w:rsidRDefault="005D286D" w:rsidP="007A6B1F">
            <w:pPr>
              <w:jc w:val="left"/>
              <w:rPr>
                <w:sz w:val="20"/>
                <w:szCs w:val="20"/>
                <w:lang w:val="en-AU"/>
              </w:rPr>
            </w:pPr>
            <w:r w:rsidRPr="00A700E7">
              <w:rPr>
                <w:sz w:val="20"/>
                <w:szCs w:val="20"/>
                <w:lang w:val="en-AU"/>
              </w:rPr>
              <w:t>Oedema</w:t>
            </w:r>
          </w:p>
        </w:tc>
        <w:tc>
          <w:tcPr>
            <w:tcW w:w="1759" w:type="dxa"/>
            <w:tcBorders>
              <w:top w:val="single" w:sz="4" w:space="0" w:color="auto"/>
              <w:left w:val="single" w:sz="4" w:space="0" w:color="auto"/>
              <w:bottom w:val="single" w:sz="4" w:space="0" w:color="auto"/>
              <w:right w:val="single" w:sz="4" w:space="0" w:color="auto"/>
            </w:tcBorders>
          </w:tcPr>
          <w:p w14:paraId="21BE7B69" w14:textId="77777777" w:rsidR="005D286D" w:rsidRPr="00A700E7" w:rsidRDefault="005D286D" w:rsidP="007A6B1F">
            <w:pPr>
              <w:jc w:val="left"/>
              <w:rPr>
                <w:sz w:val="20"/>
                <w:szCs w:val="20"/>
                <w:lang w:val="en-AU"/>
              </w:rPr>
            </w:pPr>
            <w:r w:rsidRPr="00A700E7">
              <w:rPr>
                <w:sz w:val="20"/>
                <w:szCs w:val="20"/>
                <w:lang w:val="en-AU"/>
              </w:rPr>
              <w:t>1</w:t>
            </w:r>
          </w:p>
        </w:tc>
        <w:tc>
          <w:tcPr>
            <w:tcW w:w="1492" w:type="dxa"/>
            <w:tcBorders>
              <w:top w:val="single" w:sz="4" w:space="0" w:color="auto"/>
              <w:left w:val="single" w:sz="4" w:space="0" w:color="auto"/>
              <w:bottom w:val="single" w:sz="4" w:space="0" w:color="auto"/>
              <w:right w:val="single" w:sz="4" w:space="0" w:color="auto"/>
            </w:tcBorders>
          </w:tcPr>
          <w:p w14:paraId="2391412A" w14:textId="77777777" w:rsidR="005D286D" w:rsidRPr="00A700E7" w:rsidRDefault="005D286D" w:rsidP="007A6B1F">
            <w:pPr>
              <w:jc w:val="left"/>
              <w:rPr>
                <w:sz w:val="20"/>
                <w:szCs w:val="20"/>
                <w:lang w:val="en-AU"/>
              </w:rPr>
            </w:pPr>
            <w:r w:rsidRPr="00A700E7">
              <w:rPr>
                <w:w w:val="95"/>
                <w:sz w:val="20"/>
                <w:szCs w:val="20"/>
                <w:lang w:val="en-AU"/>
              </w:rPr>
              <w:t>5</w:t>
            </w:r>
          </w:p>
        </w:tc>
      </w:tr>
      <w:tr w:rsidR="00A700E7" w:rsidRPr="00A700E7" w14:paraId="6C6D6DF1" w14:textId="77777777" w:rsidTr="00454E1E">
        <w:trPr>
          <w:gridAfter w:val="1"/>
          <w:wAfter w:w="30" w:type="dxa"/>
          <w:trHeight w:hRule="exact" w:val="300"/>
        </w:trPr>
        <w:tc>
          <w:tcPr>
            <w:tcW w:w="4687" w:type="dxa"/>
            <w:gridSpan w:val="2"/>
            <w:tcBorders>
              <w:top w:val="single" w:sz="4" w:space="0" w:color="auto"/>
              <w:left w:val="single" w:sz="4" w:space="0" w:color="auto"/>
              <w:bottom w:val="single" w:sz="4" w:space="0" w:color="auto"/>
              <w:right w:val="single" w:sz="4" w:space="0" w:color="auto"/>
            </w:tcBorders>
          </w:tcPr>
          <w:p w14:paraId="6ECEAA4F" w14:textId="77777777" w:rsidR="005D286D" w:rsidRPr="00A700E7" w:rsidRDefault="005D286D" w:rsidP="007A6B1F">
            <w:pPr>
              <w:jc w:val="left"/>
              <w:rPr>
                <w:sz w:val="20"/>
                <w:szCs w:val="20"/>
                <w:lang w:val="en-AU"/>
              </w:rPr>
            </w:pPr>
            <w:r w:rsidRPr="00A700E7">
              <w:rPr>
                <w:sz w:val="20"/>
                <w:szCs w:val="20"/>
                <w:lang w:val="en-AU"/>
              </w:rPr>
              <w:t>Non-Cardiac</w:t>
            </w:r>
            <w:r w:rsidRPr="00A700E7">
              <w:rPr>
                <w:spacing w:val="-9"/>
                <w:sz w:val="20"/>
                <w:szCs w:val="20"/>
                <w:lang w:val="en-AU"/>
              </w:rPr>
              <w:t xml:space="preserve"> </w:t>
            </w:r>
            <w:r w:rsidRPr="00A700E7">
              <w:rPr>
                <w:spacing w:val="-1"/>
                <w:sz w:val="20"/>
                <w:szCs w:val="20"/>
                <w:lang w:val="en-AU"/>
              </w:rPr>
              <w:t>Chest</w:t>
            </w:r>
            <w:r w:rsidRPr="00A700E7">
              <w:rPr>
                <w:spacing w:val="-6"/>
                <w:sz w:val="20"/>
                <w:szCs w:val="20"/>
                <w:lang w:val="en-AU"/>
              </w:rPr>
              <w:t xml:space="preserve"> </w:t>
            </w:r>
            <w:r w:rsidRPr="00A700E7">
              <w:rPr>
                <w:spacing w:val="-1"/>
                <w:sz w:val="20"/>
                <w:szCs w:val="20"/>
                <w:lang w:val="en-AU"/>
              </w:rPr>
              <w:t>Pain</w:t>
            </w:r>
          </w:p>
        </w:tc>
        <w:tc>
          <w:tcPr>
            <w:tcW w:w="1759" w:type="dxa"/>
            <w:tcBorders>
              <w:top w:val="single" w:sz="4" w:space="0" w:color="auto"/>
              <w:left w:val="single" w:sz="4" w:space="0" w:color="auto"/>
              <w:bottom w:val="single" w:sz="4" w:space="0" w:color="auto"/>
              <w:right w:val="single" w:sz="4" w:space="0" w:color="auto"/>
            </w:tcBorders>
          </w:tcPr>
          <w:p w14:paraId="09687A2F" w14:textId="77777777" w:rsidR="005D286D" w:rsidRPr="00A700E7" w:rsidRDefault="005D286D" w:rsidP="007A6B1F">
            <w:pPr>
              <w:jc w:val="left"/>
              <w:rPr>
                <w:sz w:val="20"/>
                <w:szCs w:val="20"/>
                <w:lang w:val="en-AU"/>
              </w:rPr>
            </w:pPr>
            <w:r w:rsidRPr="00A700E7">
              <w:rPr>
                <w:sz w:val="20"/>
                <w:szCs w:val="20"/>
                <w:lang w:val="en-AU"/>
              </w:rPr>
              <w:t>0</w:t>
            </w:r>
          </w:p>
        </w:tc>
        <w:tc>
          <w:tcPr>
            <w:tcW w:w="1492" w:type="dxa"/>
            <w:tcBorders>
              <w:top w:val="single" w:sz="4" w:space="0" w:color="auto"/>
              <w:left w:val="single" w:sz="4" w:space="0" w:color="auto"/>
              <w:bottom w:val="single" w:sz="4" w:space="0" w:color="auto"/>
              <w:right w:val="single" w:sz="4" w:space="0" w:color="auto"/>
            </w:tcBorders>
          </w:tcPr>
          <w:p w14:paraId="08241CB1" w14:textId="77777777" w:rsidR="005D286D" w:rsidRPr="00A700E7" w:rsidRDefault="005D286D" w:rsidP="007A6B1F">
            <w:pPr>
              <w:jc w:val="left"/>
              <w:rPr>
                <w:sz w:val="20"/>
                <w:szCs w:val="20"/>
                <w:lang w:val="en-AU"/>
              </w:rPr>
            </w:pPr>
            <w:r w:rsidRPr="00A700E7">
              <w:rPr>
                <w:w w:val="95"/>
                <w:sz w:val="20"/>
                <w:szCs w:val="20"/>
                <w:lang w:val="en-AU"/>
              </w:rPr>
              <w:t>4</w:t>
            </w:r>
          </w:p>
        </w:tc>
      </w:tr>
      <w:tr w:rsidR="00A700E7" w:rsidRPr="00A700E7" w14:paraId="2EB99447" w14:textId="77777777" w:rsidTr="00454E1E">
        <w:trPr>
          <w:gridAfter w:val="1"/>
          <w:wAfter w:w="30" w:type="dxa"/>
          <w:trHeight w:hRule="exact" w:val="302"/>
        </w:trPr>
        <w:tc>
          <w:tcPr>
            <w:tcW w:w="4687" w:type="dxa"/>
            <w:gridSpan w:val="2"/>
            <w:tcBorders>
              <w:top w:val="single" w:sz="4" w:space="0" w:color="auto"/>
              <w:left w:val="single" w:sz="4" w:space="0" w:color="auto"/>
              <w:bottom w:val="single" w:sz="4" w:space="0" w:color="auto"/>
              <w:right w:val="single" w:sz="4" w:space="0" w:color="auto"/>
            </w:tcBorders>
          </w:tcPr>
          <w:p w14:paraId="3D1FA6DE" w14:textId="77777777" w:rsidR="005D286D" w:rsidRPr="00A700E7" w:rsidRDefault="005D286D" w:rsidP="007A6B1F">
            <w:pPr>
              <w:jc w:val="left"/>
              <w:rPr>
                <w:sz w:val="20"/>
                <w:szCs w:val="20"/>
                <w:lang w:val="en-AU"/>
              </w:rPr>
            </w:pPr>
            <w:r w:rsidRPr="00A700E7">
              <w:rPr>
                <w:sz w:val="20"/>
                <w:szCs w:val="20"/>
                <w:lang w:val="en-AU"/>
              </w:rPr>
              <w:t>Therapeutic</w:t>
            </w:r>
            <w:r w:rsidRPr="00A700E7">
              <w:rPr>
                <w:spacing w:val="-8"/>
                <w:sz w:val="20"/>
                <w:szCs w:val="20"/>
                <w:lang w:val="en-AU"/>
              </w:rPr>
              <w:t xml:space="preserve"> </w:t>
            </w:r>
            <w:r w:rsidRPr="00A700E7">
              <w:rPr>
                <w:sz w:val="20"/>
                <w:szCs w:val="20"/>
                <w:lang w:val="en-AU"/>
              </w:rPr>
              <w:t>response</w:t>
            </w:r>
            <w:r w:rsidRPr="00A700E7">
              <w:rPr>
                <w:spacing w:val="-10"/>
                <w:sz w:val="20"/>
                <w:szCs w:val="20"/>
                <w:lang w:val="en-AU"/>
              </w:rPr>
              <w:t xml:space="preserve"> </w:t>
            </w:r>
            <w:r w:rsidRPr="00A700E7">
              <w:rPr>
                <w:sz w:val="20"/>
                <w:szCs w:val="20"/>
                <w:lang w:val="en-AU"/>
              </w:rPr>
              <w:t>unexpected</w:t>
            </w:r>
          </w:p>
        </w:tc>
        <w:tc>
          <w:tcPr>
            <w:tcW w:w="1759" w:type="dxa"/>
            <w:tcBorders>
              <w:top w:val="single" w:sz="4" w:space="0" w:color="auto"/>
              <w:left w:val="single" w:sz="4" w:space="0" w:color="auto"/>
              <w:bottom w:val="single" w:sz="4" w:space="0" w:color="auto"/>
              <w:right w:val="single" w:sz="4" w:space="0" w:color="auto"/>
            </w:tcBorders>
          </w:tcPr>
          <w:p w14:paraId="02517748" w14:textId="77777777" w:rsidR="005D286D" w:rsidRPr="00A700E7" w:rsidRDefault="005D286D" w:rsidP="007A6B1F">
            <w:pPr>
              <w:jc w:val="left"/>
              <w:rPr>
                <w:sz w:val="20"/>
                <w:szCs w:val="20"/>
                <w:lang w:val="en-AU"/>
              </w:rPr>
            </w:pPr>
            <w:r w:rsidRPr="00A700E7">
              <w:rPr>
                <w:sz w:val="20"/>
                <w:szCs w:val="20"/>
                <w:lang w:val="en-AU"/>
              </w:rPr>
              <w:t>0</w:t>
            </w:r>
          </w:p>
        </w:tc>
        <w:tc>
          <w:tcPr>
            <w:tcW w:w="1492" w:type="dxa"/>
            <w:tcBorders>
              <w:top w:val="single" w:sz="4" w:space="0" w:color="auto"/>
              <w:left w:val="single" w:sz="4" w:space="0" w:color="auto"/>
              <w:bottom w:val="single" w:sz="4" w:space="0" w:color="auto"/>
              <w:right w:val="single" w:sz="4" w:space="0" w:color="auto"/>
            </w:tcBorders>
          </w:tcPr>
          <w:p w14:paraId="0A59B676" w14:textId="77777777" w:rsidR="005D286D" w:rsidRPr="00A700E7" w:rsidRDefault="005D286D" w:rsidP="007A6B1F">
            <w:pPr>
              <w:jc w:val="left"/>
              <w:rPr>
                <w:sz w:val="20"/>
                <w:szCs w:val="20"/>
                <w:lang w:val="en-AU"/>
              </w:rPr>
            </w:pPr>
            <w:r w:rsidRPr="00A700E7">
              <w:rPr>
                <w:w w:val="95"/>
                <w:sz w:val="20"/>
                <w:szCs w:val="20"/>
                <w:lang w:val="en-AU"/>
              </w:rPr>
              <w:t>4</w:t>
            </w:r>
          </w:p>
        </w:tc>
      </w:tr>
    </w:tbl>
    <w:p w14:paraId="0296F16B" w14:textId="147F6017" w:rsidR="00B333FB" w:rsidRPr="00A700E7" w:rsidRDefault="00B333FB" w:rsidP="007A6B1F">
      <w:pPr>
        <w:jc w:val="left"/>
        <w:rPr>
          <w:sz w:val="18"/>
          <w:szCs w:val="18"/>
          <w:lang w:val="en-AU"/>
        </w:rPr>
      </w:pPr>
      <w:r w:rsidRPr="00A700E7">
        <w:rPr>
          <w:sz w:val="18"/>
          <w:szCs w:val="18"/>
          <w:vertAlign w:val="superscript"/>
          <w:lang w:val="en-AU"/>
        </w:rPr>
        <w:t>a</w:t>
      </w:r>
      <w:r w:rsidR="000167FB" w:rsidRPr="00A700E7">
        <w:rPr>
          <w:sz w:val="18"/>
          <w:szCs w:val="18"/>
          <w:vertAlign w:val="superscript"/>
          <w:lang w:val="en-AU"/>
        </w:rPr>
        <w:t xml:space="preserve"> </w:t>
      </w:r>
      <w:r w:rsidRPr="00A700E7">
        <w:rPr>
          <w:sz w:val="18"/>
          <w:szCs w:val="18"/>
          <w:lang w:val="en-AU"/>
        </w:rPr>
        <w:t xml:space="preserve">Clinical non-MedDRA term to include reports of abnormal/excessive menstrual bleeding conditions such as menorrhagia, metrorrhagia, menometrorrhagia, or vaginal haemorrhage. </w:t>
      </w:r>
    </w:p>
    <w:p w14:paraId="5E17DADA" w14:textId="77777777" w:rsidR="00B333FB" w:rsidRPr="00A700E7" w:rsidRDefault="00B333FB" w:rsidP="007A6B1F">
      <w:pPr>
        <w:jc w:val="left"/>
        <w:rPr>
          <w:highlight w:val="cyan"/>
          <w:lang w:val="en-AU"/>
        </w:rPr>
      </w:pPr>
    </w:p>
    <w:p w14:paraId="73B84AFE" w14:textId="147EB14F" w:rsidR="00B333FB" w:rsidRPr="00A700E7" w:rsidRDefault="00B333FB" w:rsidP="007A6B1F">
      <w:pPr>
        <w:jc w:val="left"/>
        <w:rPr>
          <w:lang w:val="en-AU"/>
        </w:rPr>
      </w:pPr>
      <w:r w:rsidRPr="00A700E7">
        <w:rPr>
          <w:lang w:val="en-AU"/>
        </w:rPr>
        <w:t xml:space="preserve">The Table </w:t>
      </w:r>
      <w:r w:rsidR="00346612" w:rsidRPr="00A700E7">
        <w:rPr>
          <w:lang w:val="en-AU"/>
        </w:rPr>
        <w:t>10</w:t>
      </w:r>
      <w:r w:rsidR="00346612" w:rsidRPr="00A700E7">
        <w:rPr>
          <w:b/>
          <w:bCs/>
          <w:lang w:val="en-AU"/>
        </w:rPr>
        <w:t xml:space="preserve"> </w:t>
      </w:r>
      <w:r w:rsidRPr="00A700E7">
        <w:rPr>
          <w:lang w:val="en-AU"/>
        </w:rPr>
        <w:t xml:space="preserve">below lists the adverse reactions reported during the placebo-controlled clinical trial in patients with PAH treated with </w:t>
      </w:r>
      <w:r w:rsidR="00A517D1" w:rsidRPr="00A700E7">
        <w:rPr>
          <w:lang w:val="en-AU"/>
        </w:rPr>
        <w:t>tadalafil</w:t>
      </w:r>
      <w:r w:rsidRPr="00A700E7">
        <w:rPr>
          <w:lang w:val="en-AU"/>
        </w:rPr>
        <w:t xml:space="preserve">. These adverse reactions have been found to occur more often in patients receiving </w:t>
      </w:r>
      <w:r w:rsidR="00A517D1" w:rsidRPr="00A700E7">
        <w:rPr>
          <w:lang w:val="en-AU"/>
        </w:rPr>
        <w:t>tadalafil</w:t>
      </w:r>
      <w:r w:rsidRPr="00A700E7">
        <w:rPr>
          <w:lang w:val="en-AU"/>
        </w:rPr>
        <w:t xml:space="preserve"> compared to placebo and </w:t>
      </w:r>
      <w:proofErr w:type="gramStart"/>
      <w:r w:rsidRPr="00A700E7">
        <w:rPr>
          <w:lang w:val="en-AU"/>
        </w:rPr>
        <w:t>are considered to be</w:t>
      </w:r>
      <w:proofErr w:type="gramEnd"/>
      <w:r w:rsidRPr="00A700E7">
        <w:rPr>
          <w:lang w:val="en-AU"/>
        </w:rPr>
        <w:t xml:space="preserve"> causally related to </w:t>
      </w:r>
      <w:r w:rsidR="00A517D1" w:rsidRPr="00A700E7">
        <w:rPr>
          <w:lang w:val="en-AU"/>
        </w:rPr>
        <w:t>tadalafil</w:t>
      </w:r>
      <w:r w:rsidRPr="00A700E7">
        <w:rPr>
          <w:lang w:val="en-AU"/>
        </w:rPr>
        <w:t xml:space="preserve"> use. The adverse reactions reported were transient, and generally mild or moderate. At the beginning of therapy headache may occur; and decreases over time even if treatment is continued. Adverse reaction data are limited in patients over 75 years of age. Also included in the table are some adverse events/reactions which have been reported in clinical trials and/or post marketing with tadalafil in the treatment of male erectile dysfunction. </w:t>
      </w:r>
    </w:p>
    <w:p w14:paraId="1ACE5D28" w14:textId="77777777" w:rsidR="00A517D1" w:rsidRPr="00A700E7" w:rsidRDefault="00A517D1" w:rsidP="007A6B1F">
      <w:pPr>
        <w:jc w:val="left"/>
        <w:rPr>
          <w:lang w:val="en-AU"/>
        </w:rPr>
      </w:pPr>
    </w:p>
    <w:p w14:paraId="01B184DE" w14:textId="624D8423" w:rsidR="00A517D1" w:rsidRPr="00A700E7" w:rsidRDefault="00B333FB" w:rsidP="007A6B1F">
      <w:pPr>
        <w:jc w:val="left"/>
        <w:rPr>
          <w:lang w:val="en-AU"/>
        </w:rPr>
      </w:pPr>
      <w:r w:rsidRPr="00A700E7">
        <w:rPr>
          <w:lang w:val="en-AU"/>
        </w:rPr>
        <w:t>The most frequently noted adverse reactions in the pivotal study were headache, nausea, back pain, pain in extremity, dyspepsia, flushing, myalgia and nasopharyngitis.</w:t>
      </w:r>
    </w:p>
    <w:p w14:paraId="4A606088" w14:textId="79D87FF3" w:rsidR="00B333FB" w:rsidRPr="00A700E7" w:rsidRDefault="00B333FB" w:rsidP="007A6B1F">
      <w:pPr>
        <w:pStyle w:val="Heading4"/>
        <w:jc w:val="left"/>
        <w:rPr>
          <w:lang w:val="en-AU"/>
        </w:rPr>
      </w:pPr>
      <w:r w:rsidRPr="00A700E7">
        <w:rPr>
          <w:lang w:val="en-AU"/>
        </w:rPr>
        <w:lastRenderedPageBreak/>
        <w:t xml:space="preserve">Adverse reactions </w:t>
      </w:r>
    </w:p>
    <w:p w14:paraId="6E6415C6" w14:textId="28B3270B" w:rsidR="00B333FB" w:rsidRPr="00A700E7" w:rsidRDefault="00B333FB" w:rsidP="007A6B1F">
      <w:pPr>
        <w:jc w:val="left"/>
        <w:rPr>
          <w:lang w:val="en-AU"/>
        </w:rPr>
      </w:pPr>
      <w:r w:rsidRPr="00A700E7">
        <w:rPr>
          <w:lang w:val="en-AU"/>
        </w:rPr>
        <w:t>Frequency estimate: Very common (</w:t>
      </w:r>
      <w:r w:rsidRPr="00A700E7">
        <w:rPr>
          <w:rFonts w:hint="eastAsia"/>
          <w:lang w:val="en-AU"/>
        </w:rPr>
        <w:t>≥</w:t>
      </w:r>
      <w:r w:rsidRPr="00A700E7">
        <w:rPr>
          <w:lang w:val="en-AU"/>
        </w:rPr>
        <w:t>1/10), Common (</w:t>
      </w:r>
      <w:r w:rsidRPr="00A700E7">
        <w:rPr>
          <w:rFonts w:hint="eastAsia"/>
          <w:lang w:val="en-AU"/>
        </w:rPr>
        <w:t>≥</w:t>
      </w:r>
      <w:r w:rsidRPr="00A700E7">
        <w:rPr>
          <w:lang w:val="en-AU"/>
        </w:rPr>
        <w:t>1/100 to &lt;1/10), Uncommon (</w:t>
      </w:r>
      <w:r w:rsidRPr="00A700E7">
        <w:rPr>
          <w:rFonts w:hint="eastAsia"/>
          <w:lang w:val="en-AU"/>
        </w:rPr>
        <w:t>≥</w:t>
      </w:r>
      <w:r w:rsidRPr="00A700E7">
        <w:rPr>
          <w:lang w:val="en-AU"/>
        </w:rPr>
        <w:t>1/1000 to &lt;1/100), Rare (</w:t>
      </w:r>
      <w:r w:rsidRPr="00A700E7">
        <w:rPr>
          <w:rFonts w:hint="eastAsia"/>
          <w:lang w:val="en-AU"/>
        </w:rPr>
        <w:t>≥</w:t>
      </w:r>
      <w:r w:rsidRPr="00A700E7">
        <w:rPr>
          <w:lang w:val="en-AU"/>
        </w:rPr>
        <w:t xml:space="preserve">1/10,000 to &lt;1/1000), Very Rare (&lt;1/10,000) and </w:t>
      </w:r>
      <w:proofErr w:type="gramStart"/>
      <w:r w:rsidRPr="00A700E7">
        <w:rPr>
          <w:lang w:val="en-AU"/>
        </w:rPr>
        <w:t>Not</w:t>
      </w:r>
      <w:proofErr w:type="gramEnd"/>
      <w:r w:rsidRPr="00A700E7">
        <w:rPr>
          <w:lang w:val="en-AU"/>
        </w:rPr>
        <w:t xml:space="preserve"> known. </w:t>
      </w:r>
    </w:p>
    <w:p w14:paraId="31663CE1" w14:textId="77777777" w:rsidR="00941D46" w:rsidRPr="00A700E7" w:rsidRDefault="00941D46" w:rsidP="007A6B1F">
      <w:pPr>
        <w:jc w:val="left"/>
        <w:rPr>
          <w:highlight w:val="cyan"/>
          <w:lang w:val="en-AU"/>
        </w:rPr>
      </w:pPr>
    </w:p>
    <w:p w14:paraId="1572B05A" w14:textId="5B64E602" w:rsidR="00A517D1" w:rsidRPr="00A700E7" w:rsidRDefault="00B333FB" w:rsidP="007A6B1F">
      <w:pPr>
        <w:ind w:left="851" w:hanging="851"/>
        <w:jc w:val="left"/>
        <w:rPr>
          <w:b/>
          <w:bCs/>
          <w:sz w:val="20"/>
          <w:szCs w:val="20"/>
          <w:lang w:val="en-AU"/>
        </w:rPr>
      </w:pPr>
      <w:r w:rsidRPr="00A700E7">
        <w:rPr>
          <w:b/>
          <w:bCs/>
          <w:sz w:val="20"/>
          <w:szCs w:val="20"/>
          <w:lang w:val="en-AU"/>
        </w:rPr>
        <w:t xml:space="preserve">Table </w:t>
      </w:r>
      <w:r w:rsidR="00346612" w:rsidRPr="00A700E7">
        <w:rPr>
          <w:b/>
          <w:bCs/>
          <w:sz w:val="20"/>
          <w:szCs w:val="20"/>
          <w:lang w:val="en-AU"/>
        </w:rPr>
        <w:t xml:space="preserve">10 </w:t>
      </w:r>
      <w:r w:rsidRPr="00A700E7">
        <w:rPr>
          <w:b/>
          <w:bCs/>
          <w:sz w:val="20"/>
          <w:szCs w:val="20"/>
          <w:lang w:val="en-AU"/>
        </w:rPr>
        <w:t xml:space="preserve">Treatment Emergent Adverse Reactions Reported by Patients Receiving </w:t>
      </w:r>
      <w:r w:rsidR="00D1780F" w:rsidRPr="00A700E7">
        <w:rPr>
          <w:b/>
          <w:bCs/>
          <w:sz w:val="20"/>
          <w:szCs w:val="20"/>
          <w:lang w:val="en-AU"/>
        </w:rPr>
        <w:t>T</w:t>
      </w:r>
      <w:r w:rsidR="00A517D1" w:rsidRPr="00A700E7">
        <w:rPr>
          <w:b/>
          <w:bCs/>
          <w:sz w:val="20"/>
          <w:szCs w:val="20"/>
          <w:lang w:val="en-AU"/>
        </w:rPr>
        <w:t>adalafil</w:t>
      </w:r>
      <w:r w:rsidRPr="00A700E7">
        <w:rPr>
          <w:b/>
          <w:bCs/>
          <w:sz w:val="20"/>
          <w:szCs w:val="20"/>
          <w:lang w:val="en-AU"/>
        </w:rPr>
        <w:t xml:space="preserve"> 40 mg </w:t>
      </w:r>
    </w:p>
    <w:tbl>
      <w:tblPr>
        <w:tblStyle w:val="TableGrid"/>
        <w:tblW w:w="8642" w:type="dxa"/>
        <w:tblLayout w:type="fixed"/>
        <w:tblLook w:val="04A0" w:firstRow="1" w:lastRow="0" w:firstColumn="1" w:lastColumn="0" w:noHBand="0" w:noVBand="1"/>
      </w:tblPr>
      <w:tblGrid>
        <w:gridCol w:w="2160"/>
        <w:gridCol w:w="2161"/>
        <w:gridCol w:w="2160"/>
        <w:gridCol w:w="2161"/>
      </w:tblGrid>
      <w:tr w:rsidR="00A700E7" w:rsidRPr="00A700E7" w14:paraId="0628CB2F" w14:textId="264434EE" w:rsidTr="00A700E7">
        <w:trPr>
          <w:tblHeader/>
        </w:trPr>
        <w:tc>
          <w:tcPr>
            <w:tcW w:w="2160" w:type="dxa"/>
          </w:tcPr>
          <w:p w14:paraId="498F5457" w14:textId="12D6491A" w:rsidR="006D1641" w:rsidRPr="00A700E7" w:rsidRDefault="006D1641" w:rsidP="007A6B1F">
            <w:pPr>
              <w:jc w:val="left"/>
              <w:rPr>
                <w:sz w:val="20"/>
                <w:szCs w:val="20"/>
                <w:lang w:val="en-AU"/>
              </w:rPr>
            </w:pPr>
            <w:r w:rsidRPr="00A700E7">
              <w:rPr>
                <w:sz w:val="20"/>
                <w:szCs w:val="20"/>
                <w:lang w:val="en-AU"/>
              </w:rPr>
              <w:t>Very common</w:t>
            </w:r>
          </w:p>
          <w:p w14:paraId="19F13211" w14:textId="41BF3513" w:rsidR="006D1641" w:rsidRPr="00A700E7" w:rsidRDefault="006D1641" w:rsidP="007A6B1F">
            <w:pPr>
              <w:jc w:val="left"/>
              <w:rPr>
                <w:b/>
                <w:bCs/>
                <w:sz w:val="20"/>
                <w:szCs w:val="20"/>
                <w:lang w:val="en-AU"/>
              </w:rPr>
            </w:pPr>
            <w:r w:rsidRPr="00A700E7">
              <w:rPr>
                <w:sz w:val="20"/>
                <w:szCs w:val="20"/>
                <w:lang w:val="en-AU"/>
              </w:rPr>
              <w:t>(</w:t>
            </w:r>
            <w:r w:rsidRPr="00A700E7">
              <w:rPr>
                <w:rFonts w:hint="eastAsia"/>
                <w:sz w:val="20"/>
                <w:szCs w:val="20"/>
                <w:lang w:val="en-AU"/>
              </w:rPr>
              <w:t>≥</w:t>
            </w:r>
            <w:r w:rsidRPr="00A700E7">
              <w:rPr>
                <w:sz w:val="20"/>
                <w:szCs w:val="20"/>
                <w:lang w:val="en-AU"/>
              </w:rPr>
              <w:t>1/10)</w:t>
            </w:r>
          </w:p>
        </w:tc>
        <w:tc>
          <w:tcPr>
            <w:tcW w:w="2161" w:type="dxa"/>
          </w:tcPr>
          <w:p w14:paraId="0B56BFFC" w14:textId="5F63F071" w:rsidR="006D1641" w:rsidRPr="00A700E7" w:rsidRDefault="006D1641" w:rsidP="007A6B1F">
            <w:pPr>
              <w:jc w:val="left"/>
              <w:rPr>
                <w:sz w:val="20"/>
                <w:szCs w:val="20"/>
                <w:lang w:val="en-AU"/>
              </w:rPr>
            </w:pPr>
            <w:r w:rsidRPr="00A700E7">
              <w:rPr>
                <w:sz w:val="20"/>
                <w:szCs w:val="20"/>
                <w:lang w:val="en-AU"/>
              </w:rPr>
              <w:t>Common</w:t>
            </w:r>
          </w:p>
          <w:p w14:paraId="551A7244" w14:textId="180C1763" w:rsidR="006D1641" w:rsidRPr="00A700E7" w:rsidRDefault="006D1641" w:rsidP="007A6B1F">
            <w:pPr>
              <w:jc w:val="left"/>
              <w:rPr>
                <w:b/>
                <w:bCs/>
                <w:sz w:val="20"/>
                <w:szCs w:val="20"/>
                <w:lang w:val="en-AU"/>
              </w:rPr>
            </w:pPr>
            <w:r w:rsidRPr="00A700E7">
              <w:rPr>
                <w:sz w:val="20"/>
                <w:szCs w:val="20"/>
                <w:lang w:val="en-AU"/>
              </w:rPr>
              <w:t>(</w:t>
            </w:r>
            <w:r w:rsidRPr="00A700E7">
              <w:rPr>
                <w:rFonts w:hint="eastAsia"/>
                <w:sz w:val="20"/>
                <w:szCs w:val="20"/>
                <w:lang w:val="en-AU"/>
              </w:rPr>
              <w:t>≥</w:t>
            </w:r>
            <w:r w:rsidRPr="00A700E7">
              <w:rPr>
                <w:sz w:val="20"/>
                <w:szCs w:val="20"/>
                <w:lang w:val="en-AU"/>
              </w:rPr>
              <w:t>1/100 to &lt;1/10)</w:t>
            </w:r>
          </w:p>
        </w:tc>
        <w:tc>
          <w:tcPr>
            <w:tcW w:w="2160" w:type="dxa"/>
          </w:tcPr>
          <w:p w14:paraId="6CE12D36" w14:textId="22E9FFDE" w:rsidR="006D1641" w:rsidRPr="00A700E7" w:rsidRDefault="006D1641" w:rsidP="007A6B1F">
            <w:pPr>
              <w:jc w:val="left"/>
              <w:rPr>
                <w:sz w:val="20"/>
                <w:szCs w:val="20"/>
                <w:lang w:val="en-AU"/>
              </w:rPr>
            </w:pPr>
            <w:r w:rsidRPr="00A700E7">
              <w:rPr>
                <w:sz w:val="20"/>
                <w:szCs w:val="20"/>
                <w:lang w:val="en-AU"/>
              </w:rPr>
              <w:t>Uncommon</w:t>
            </w:r>
          </w:p>
          <w:p w14:paraId="1590686E" w14:textId="0609A565" w:rsidR="006D1641" w:rsidRPr="00A700E7" w:rsidRDefault="006D1641" w:rsidP="007A6B1F">
            <w:pPr>
              <w:jc w:val="left"/>
              <w:rPr>
                <w:sz w:val="20"/>
                <w:szCs w:val="20"/>
                <w:lang w:val="en-AU"/>
              </w:rPr>
            </w:pPr>
            <w:r w:rsidRPr="00A700E7">
              <w:rPr>
                <w:sz w:val="20"/>
                <w:szCs w:val="20"/>
                <w:lang w:val="en-AU"/>
              </w:rPr>
              <w:t>(</w:t>
            </w:r>
            <w:r w:rsidRPr="00A700E7">
              <w:rPr>
                <w:rFonts w:hint="eastAsia"/>
                <w:sz w:val="20"/>
                <w:szCs w:val="20"/>
                <w:lang w:val="en-AU"/>
              </w:rPr>
              <w:t>≥</w:t>
            </w:r>
            <w:r w:rsidRPr="00A700E7">
              <w:rPr>
                <w:sz w:val="20"/>
                <w:szCs w:val="20"/>
                <w:lang w:val="en-AU"/>
              </w:rPr>
              <w:t>1/1000 to</w:t>
            </w:r>
          </w:p>
          <w:p w14:paraId="729E8E77" w14:textId="3B1ABA94" w:rsidR="006D1641" w:rsidRPr="00A700E7" w:rsidRDefault="006D1641" w:rsidP="007A6B1F">
            <w:pPr>
              <w:jc w:val="left"/>
              <w:rPr>
                <w:b/>
                <w:bCs/>
                <w:sz w:val="20"/>
                <w:szCs w:val="20"/>
                <w:lang w:val="en-AU"/>
              </w:rPr>
            </w:pPr>
            <w:r w:rsidRPr="00A700E7">
              <w:rPr>
                <w:sz w:val="20"/>
                <w:szCs w:val="20"/>
                <w:lang w:val="en-AU"/>
              </w:rPr>
              <w:t>&lt;1/100)</w:t>
            </w:r>
          </w:p>
        </w:tc>
        <w:tc>
          <w:tcPr>
            <w:tcW w:w="2161" w:type="dxa"/>
          </w:tcPr>
          <w:p w14:paraId="6F6AB7DF" w14:textId="0B74A406" w:rsidR="006D1641" w:rsidRPr="00A700E7" w:rsidRDefault="006D1641" w:rsidP="007A6B1F">
            <w:pPr>
              <w:jc w:val="left"/>
              <w:rPr>
                <w:sz w:val="20"/>
                <w:szCs w:val="20"/>
                <w:lang w:val="en-AU"/>
              </w:rPr>
            </w:pPr>
            <w:r w:rsidRPr="00A700E7">
              <w:rPr>
                <w:sz w:val="20"/>
                <w:szCs w:val="20"/>
                <w:lang w:val="en-AU"/>
              </w:rPr>
              <w:t>Rare</w:t>
            </w:r>
          </w:p>
          <w:p w14:paraId="6C1CD2E1" w14:textId="14C52F02" w:rsidR="006D1641" w:rsidRPr="00A700E7" w:rsidRDefault="006D1641" w:rsidP="007A6B1F">
            <w:pPr>
              <w:jc w:val="left"/>
              <w:rPr>
                <w:sz w:val="20"/>
                <w:szCs w:val="20"/>
                <w:lang w:val="en-AU"/>
              </w:rPr>
            </w:pPr>
            <w:r w:rsidRPr="00A700E7">
              <w:rPr>
                <w:sz w:val="20"/>
                <w:szCs w:val="20"/>
                <w:lang w:val="en-AU"/>
              </w:rPr>
              <w:t>(</w:t>
            </w:r>
            <w:r w:rsidRPr="00A700E7">
              <w:rPr>
                <w:rFonts w:hint="eastAsia"/>
                <w:sz w:val="20"/>
                <w:szCs w:val="20"/>
                <w:lang w:val="en-AU"/>
              </w:rPr>
              <w:t>≥</w:t>
            </w:r>
            <w:r w:rsidRPr="00A700E7">
              <w:rPr>
                <w:sz w:val="20"/>
                <w:szCs w:val="20"/>
                <w:lang w:val="en-AU"/>
              </w:rPr>
              <w:t>1/10,000 to</w:t>
            </w:r>
          </w:p>
          <w:p w14:paraId="47CC5D6C" w14:textId="6BA9155F" w:rsidR="006D1641" w:rsidRPr="00A700E7" w:rsidRDefault="006D1641" w:rsidP="007A6B1F">
            <w:pPr>
              <w:jc w:val="left"/>
              <w:rPr>
                <w:b/>
                <w:bCs/>
                <w:sz w:val="20"/>
                <w:szCs w:val="20"/>
                <w:lang w:val="en-AU"/>
              </w:rPr>
            </w:pPr>
            <w:r w:rsidRPr="00A700E7">
              <w:rPr>
                <w:sz w:val="20"/>
                <w:szCs w:val="20"/>
                <w:lang w:val="en-AU"/>
              </w:rPr>
              <w:t>&lt; 1/1000)</w:t>
            </w:r>
          </w:p>
        </w:tc>
      </w:tr>
      <w:tr w:rsidR="00A700E7" w:rsidRPr="00A700E7" w14:paraId="22965934" w14:textId="28B4D26A" w:rsidTr="00A700E7">
        <w:tc>
          <w:tcPr>
            <w:tcW w:w="8642" w:type="dxa"/>
            <w:gridSpan w:val="4"/>
            <w:shd w:val="clear" w:color="auto" w:fill="D9D9D9" w:themeFill="background1" w:themeFillShade="D9"/>
          </w:tcPr>
          <w:p w14:paraId="2BA3BD9B" w14:textId="19639304" w:rsidR="006D1641" w:rsidRPr="00A700E7" w:rsidRDefault="006D1641" w:rsidP="007A6B1F">
            <w:pPr>
              <w:jc w:val="left"/>
              <w:rPr>
                <w:sz w:val="20"/>
                <w:szCs w:val="20"/>
                <w:lang w:val="en-AU"/>
              </w:rPr>
            </w:pPr>
            <w:r w:rsidRPr="00A700E7">
              <w:rPr>
                <w:sz w:val="20"/>
                <w:szCs w:val="20"/>
                <w:lang w:val="en-AU"/>
              </w:rPr>
              <w:t>Nervous system disorders</w:t>
            </w:r>
          </w:p>
        </w:tc>
      </w:tr>
      <w:tr w:rsidR="00A700E7" w:rsidRPr="00A700E7" w14:paraId="5C9D8110" w14:textId="563F9203" w:rsidTr="00A700E7">
        <w:tc>
          <w:tcPr>
            <w:tcW w:w="2160" w:type="dxa"/>
          </w:tcPr>
          <w:p w14:paraId="7CE8EDE3" w14:textId="030B6991" w:rsidR="006D1641" w:rsidRPr="00A700E7" w:rsidRDefault="006D1641" w:rsidP="007A6B1F">
            <w:pPr>
              <w:jc w:val="left"/>
              <w:rPr>
                <w:b/>
                <w:bCs/>
                <w:sz w:val="20"/>
                <w:szCs w:val="20"/>
                <w:lang w:val="en-AU"/>
              </w:rPr>
            </w:pPr>
            <w:r w:rsidRPr="00A700E7">
              <w:rPr>
                <w:sz w:val="20"/>
                <w:szCs w:val="20"/>
                <w:lang w:val="en-AU"/>
              </w:rPr>
              <w:t>Headache</w:t>
            </w:r>
          </w:p>
        </w:tc>
        <w:tc>
          <w:tcPr>
            <w:tcW w:w="2161" w:type="dxa"/>
          </w:tcPr>
          <w:p w14:paraId="0EFB210B" w14:textId="77777777" w:rsidR="006D1641" w:rsidRPr="00A700E7" w:rsidRDefault="006D1641" w:rsidP="007A6B1F">
            <w:pPr>
              <w:jc w:val="left"/>
              <w:rPr>
                <w:b/>
                <w:bCs/>
                <w:sz w:val="20"/>
                <w:szCs w:val="20"/>
                <w:lang w:val="en-AU"/>
              </w:rPr>
            </w:pPr>
          </w:p>
        </w:tc>
        <w:tc>
          <w:tcPr>
            <w:tcW w:w="2160" w:type="dxa"/>
          </w:tcPr>
          <w:p w14:paraId="532F54F9" w14:textId="77777777" w:rsidR="006D1641" w:rsidRPr="00A700E7" w:rsidRDefault="006D1641" w:rsidP="007A6B1F">
            <w:pPr>
              <w:jc w:val="left"/>
              <w:rPr>
                <w:b/>
                <w:bCs/>
                <w:sz w:val="20"/>
                <w:szCs w:val="20"/>
                <w:lang w:val="en-AU"/>
              </w:rPr>
            </w:pPr>
          </w:p>
        </w:tc>
        <w:tc>
          <w:tcPr>
            <w:tcW w:w="2161" w:type="dxa"/>
          </w:tcPr>
          <w:p w14:paraId="59DBB437" w14:textId="77777777" w:rsidR="006D1641" w:rsidRPr="00A700E7" w:rsidRDefault="006D1641" w:rsidP="007A6B1F">
            <w:pPr>
              <w:jc w:val="left"/>
              <w:rPr>
                <w:sz w:val="20"/>
                <w:szCs w:val="20"/>
                <w:lang w:val="en-AU"/>
              </w:rPr>
            </w:pPr>
          </w:p>
        </w:tc>
      </w:tr>
      <w:tr w:rsidR="00A700E7" w:rsidRPr="00A700E7" w14:paraId="08CDD9B1" w14:textId="7C098540" w:rsidTr="00A700E7">
        <w:tc>
          <w:tcPr>
            <w:tcW w:w="8642" w:type="dxa"/>
            <w:gridSpan w:val="4"/>
            <w:shd w:val="clear" w:color="auto" w:fill="D9D9D9" w:themeFill="background1" w:themeFillShade="D9"/>
          </w:tcPr>
          <w:p w14:paraId="16212636" w14:textId="731D5CCC" w:rsidR="006D1641" w:rsidRPr="00A700E7" w:rsidRDefault="006D1641" w:rsidP="007A6B1F">
            <w:pPr>
              <w:jc w:val="left"/>
              <w:rPr>
                <w:sz w:val="20"/>
                <w:szCs w:val="20"/>
                <w:lang w:val="en-AU"/>
              </w:rPr>
            </w:pPr>
            <w:r w:rsidRPr="00A700E7">
              <w:rPr>
                <w:sz w:val="20"/>
                <w:szCs w:val="20"/>
                <w:lang w:val="en-AU"/>
              </w:rPr>
              <w:t>Eye disorders</w:t>
            </w:r>
          </w:p>
        </w:tc>
      </w:tr>
      <w:tr w:rsidR="00A700E7" w:rsidRPr="00A700E7" w14:paraId="41610441" w14:textId="73B4ECE2" w:rsidTr="00A700E7">
        <w:tc>
          <w:tcPr>
            <w:tcW w:w="2160" w:type="dxa"/>
          </w:tcPr>
          <w:p w14:paraId="2BEB25BC" w14:textId="77777777" w:rsidR="006D1641" w:rsidRPr="00A700E7" w:rsidRDefault="006D1641" w:rsidP="007A6B1F">
            <w:pPr>
              <w:jc w:val="left"/>
              <w:rPr>
                <w:b/>
                <w:bCs/>
                <w:sz w:val="20"/>
                <w:szCs w:val="20"/>
                <w:lang w:val="en-AU"/>
              </w:rPr>
            </w:pPr>
          </w:p>
        </w:tc>
        <w:tc>
          <w:tcPr>
            <w:tcW w:w="2161" w:type="dxa"/>
          </w:tcPr>
          <w:p w14:paraId="77136DFE" w14:textId="43A0C7F3" w:rsidR="006D1641" w:rsidRPr="00A700E7" w:rsidRDefault="006D1641" w:rsidP="007A6B1F">
            <w:pPr>
              <w:jc w:val="left"/>
              <w:rPr>
                <w:b/>
                <w:bCs/>
                <w:sz w:val="20"/>
                <w:szCs w:val="20"/>
                <w:lang w:val="en-AU"/>
              </w:rPr>
            </w:pPr>
            <w:r w:rsidRPr="00A700E7">
              <w:rPr>
                <w:sz w:val="20"/>
                <w:szCs w:val="20"/>
                <w:lang w:val="en-AU"/>
              </w:rPr>
              <w:t>Blurred vision</w:t>
            </w:r>
          </w:p>
        </w:tc>
        <w:tc>
          <w:tcPr>
            <w:tcW w:w="2160" w:type="dxa"/>
          </w:tcPr>
          <w:p w14:paraId="3F6F9B2A" w14:textId="77777777" w:rsidR="006D1641" w:rsidRPr="00A700E7" w:rsidRDefault="006D1641" w:rsidP="007A6B1F">
            <w:pPr>
              <w:jc w:val="left"/>
              <w:rPr>
                <w:b/>
                <w:bCs/>
                <w:sz w:val="20"/>
                <w:szCs w:val="20"/>
                <w:lang w:val="en-AU"/>
              </w:rPr>
            </w:pPr>
          </w:p>
        </w:tc>
        <w:tc>
          <w:tcPr>
            <w:tcW w:w="2161" w:type="dxa"/>
          </w:tcPr>
          <w:p w14:paraId="37A077B2" w14:textId="77777777" w:rsidR="006D1641" w:rsidRPr="00A700E7" w:rsidRDefault="006D1641" w:rsidP="007A6B1F">
            <w:pPr>
              <w:jc w:val="left"/>
              <w:rPr>
                <w:sz w:val="20"/>
                <w:szCs w:val="20"/>
                <w:lang w:val="en-AU"/>
              </w:rPr>
            </w:pPr>
          </w:p>
        </w:tc>
      </w:tr>
      <w:tr w:rsidR="00A700E7" w:rsidRPr="00A700E7" w14:paraId="697E9BA8" w14:textId="27AC4E41" w:rsidTr="00A700E7">
        <w:tc>
          <w:tcPr>
            <w:tcW w:w="8642" w:type="dxa"/>
            <w:gridSpan w:val="4"/>
            <w:shd w:val="clear" w:color="auto" w:fill="D9D9D9" w:themeFill="background1" w:themeFillShade="D9"/>
          </w:tcPr>
          <w:p w14:paraId="1A0A5D92" w14:textId="7762BF81" w:rsidR="006D1641" w:rsidRPr="00A700E7" w:rsidRDefault="006D1641" w:rsidP="007A6B1F">
            <w:pPr>
              <w:jc w:val="left"/>
              <w:rPr>
                <w:sz w:val="20"/>
                <w:szCs w:val="20"/>
                <w:lang w:val="en-AU"/>
              </w:rPr>
            </w:pPr>
            <w:r w:rsidRPr="00A700E7">
              <w:rPr>
                <w:sz w:val="20"/>
                <w:szCs w:val="20"/>
                <w:lang w:val="en-AU"/>
              </w:rPr>
              <w:t>Vascular disorders</w:t>
            </w:r>
          </w:p>
        </w:tc>
      </w:tr>
      <w:tr w:rsidR="00A700E7" w:rsidRPr="00A700E7" w14:paraId="1ABBFF9A" w14:textId="555B0956" w:rsidTr="00A700E7">
        <w:tc>
          <w:tcPr>
            <w:tcW w:w="2160" w:type="dxa"/>
          </w:tcPr>
          <w:p w14:paraId="392670D8" w14:textId="50A5DFD0" w:rsidR="006D1641" w:rsidRPr="00A700E7" w:rsidRDefault="006D1641" w:rsidP="007A6B1F">
            <w:pPr>
              <w:jc w:val="left"/>
              <w:rPr>
                <w:b/>
                <w:bCs/>
                <w:sz w:val="20"/>
                <w:szCs w:val="20"/>
                <w:lang w:val="en-AU"/>
              </w:rPr>
            </w:pPr>
            <w:r w:rsidRPr="00A700E7">
              <w:rPr>
                <w:sz w:val="20"/>
                <w:szCs w:val="20"/>
                <w:lang w:val="en-AU"/>
              </w:rPr>
              <w:t>Flushing</w:t>
            </w:r>
          </w:p>
        </w:tc>
        <w:tc>
          <w:tcPr>
            <w:tcW w:w="2161" w:type="dxa"/>
          </w:tcPr>
          <w:p w14:paraId="12C3EF21" w14:textId="0688039C" w:rsidR="006D1641" w:rsidRPr="00A700E7" w:rsidRDefault="006D1641" w:rsidP="007A6B1F">
            <w:pPr>
              <w:jc w:val="left"/>
              <w:rPr>
                <w:b/>
                <w:bCs/>
                <w:sz w:val="20"/>
                <w:szCs w:val="20"/>
                <w:lang w:val="en-AU"/>
              </w:rPr>
            </w:pPr>
            <w:r w:rsidRPr="00A700E7">
              <w:rPr>
                <w:sz w:val="20"/>
                <w:szCs w:val="20"/>
                <w:lang w:val="en-AU"/>
              </w:rPr>
              <w:t>Hypotension</w:t>
            </w:r>
          </w:p>
        </w:tc>
        <w:tc>
          <w:tcPr>
            <w:tcW w:w="2160" w:type="dxa"/>
          </w:tcPr>
          <w:p w14:paraId="01B9849B" w14:textId="77777777" w:rsidR="006D1641" w:rsidRPr="00A700E7" w:rsidRDefault="006D1641" w:rsidP="007A6B1F">
            <w:pPr>
              <w:jc w:val="left"/>
              <w:rPr>
                <w:b/>
                <w:bCs/>
                <w:sz w:val="20"/>
                <w:szCs w:val="20"/>
                <w:lang w:val="en-AU"/>
              </w:rPr>
            </w:pPr>
          </w:p>
        </w:tc>
        <w:tc>
          <w:tcPr>
            <w:tcW w:w="2161" w:type="dxa"/>
          </w:tcPr>
          <w:p w14:paraId="4520E9F4" w14:textId="77777777" w:rsidR="006D1641" w:rsidRPr="00A700E7" w:rsidRDefault="006D1641" w:rsidP="007A6B1F">
            <w:pPr>
              <w:jc w:val="left"/>
              <w:rPr>
                <w:sz w:val="20"/>
                <w:szCs w:val="20"/>
                <w:lang w:val="en-AU"/>
              </w:rPr>
            </w:pPr>
          </w:p>
        </w:tc>
      </w:tr>
      <w:tr w:rsidR="00A700E7" w:rsidRPr="00A700E7" w14:paraId="77A17BFD" w14:textId="3817DFF9" w:rsidTr="00A700E7">
        <w:tc>
          <w:tcPr>
            <w:tcW w:w="8642" w:type="dxa"/>
            <w:gridSpan w:val="4"/>
            <w:shd w:val="clear" w:color="auto" w:fill="D9D9D9" w:themeFill="background1" w:themeFillShade="D9"/>
          </w:tcPr>
          <w:p w14:paraId="413FBA89" w14:textId="22A79AC9" w:rsidR="006D1641" w:rsidRPr="00A700E7" w:rsidRDefault="006D1641" w:rsidP="007A6B1F">
            <w:pPr>
              <w:jc w:val="left"/>
              <w:rPr>
                <w:sz w:val="20"/>
                <w:szCs w:val="20"/>
                <w:lang w:val="en-AU"/>
              </w:rPr>
            </w:pPr>
            <w:r w:rsidRPr="00A700E7">
              <w:rPr>
                <w:sz w:val="20"/>
                <w:szCs w:val="20"/>
                <w:lang w:val="en-AU"/>
              </w:rPr>
              <w:t>Respiratory, thoracic and mediastinal disorders</w:t>
            </w:r>
          </w:p>
        </w:tc>
      </w:tr>
      <w:tr w:rsidR="00A700E7" w:rsidRPr="00A700E7" w14:paraId="01CB7EDA" w14:textId="7798A92E" w:rsidTr="00A700E7">
        <w:tc>
          <w:tcPr>
            <w:tcW w:w="2160" w:type="dxa"/>
          </w:tcPr>
          <w:p w14:paraId="5E512A7C" w14:textId="2AFF315E" w:rsidR="006D1641" w:rsidRPr="00A700E7" w:rsidRDefault="006D1641" w:rsidP="007A6B1F">
            <w:pPr>
              <w:jc w:val="left"/>
              <w:rPr>
                <w:sz w:val="20"/>
                <w:szCs w:val="20"/>
                <w:lang w:val="en-AU"/>
              </w:rPr>
            </w:pPr>
            <w:r w:rsidRPr="00A700E7">
              <w:rPr>
                <w:sz w:val="20"/>
                <w:szCs w:val="20"/>
                <w:lang w:val="en-AU"/>
              </w:rPr>
              <w:t>Nasopharyngitis</w:t>
            </w:r>
          </w:p>
          <w:p w14:paraId="6AD7C02B" w14:textId="1B15B7BF" w:rsidR="006D1641" w:rsidRPr="00A700E7" w:rsidRDefault="006D1641" w:rsidP="007A6B1F">
            <w:pPr>
              <w:jc w:val="left"/>
              <w:rPr>
                <w:sz w:val="20"/>
                <w:szCs w:val="20"/>
                <w:lang w:val="en-AU"/>
              </w:rPr>
            </w:pPr>
            <w:r w:rsidRPr="00A700E7">
              <w:rPr>
                <w:sz w:val="20"/>
                <w:szCs w:val="20"/>
                <w:lang w:val="en-AU"/>
              </w:rPr>
              <w:t>(</w:t>
            </w:r>
            <w:proofErr w:type="gramStart"/>
            <w:r w:rsidRPr="00A700E7">
              <w:rPr>
                <w:sz w:val="20"/>
                <w:szCs w:val="20"/>
                <w:lang w:val="en-AU"/>
              </w:rPr>
              <w:t>including</w:t>
            </w:r>
            <w:proofErr w:type="gramEnd"/>
            <w:r w:rsidRPr="00A700E7">
              <w:rPr>
                <w:sz w:val="20"/>
                <w:szCs w:val="20"/>
                <w:lang w:val="en-AU"/>
              </w:rPr>
              <w:t xml:space="preserve"> nasal</w:t>
            </w:r>
          </w:p>
          <w:p w14:paraId="71F42BC0" w14:textId="2B36D0A3" w:rsidR="006D1641" w:rsidRPr="00A700E7" w:rsidRDefault="006D1641" w:rsidP="007A6B1F">
            <w:pPr>
              <w:jc w:val="left"/>
              <w:rPr>
                <w:sz w:val="20"/>
                <w:szCs w:val="20"/>
                <w:lang w:val="en-AU"/>
              </w:rPr>
            </w:pPr>
            <w:r w:rsidRPr="00A700E7">
              <w:rPr>
                <w:sz w:val="20"/>
                <w:szCs w:val="20"/>
                <w:lang w:val="en-AU"/>
              </w:rPr>
              <w:t>congestion, sinus</w:t>
            </w:r>
          </w:p>
          <w:p w14:paraId="3F3F67F3" w14:textId="70EEC42B" w:rsidR="006D1641" w:rsidRPr="00A700E7" w:rsidRDefault="006D1641" w:rsidP="007A6B1F">
            <w:pPr>
              <w:jc w:val="left"/>
              <w:rPr>
                <w:sz w:val="20"/>
                <w:szCs w:val="20"/>
                <w:lang w:val="en-AU"/>
              </w:rPr>
            </w:pPr>
            <w:r w:rsidRPr="00A700E7">
              <w:rPr>
                <w:sz w:val="20"/>
                <w:szCs w:val="20"/>
                <w:lang w:val="en-AU"/>
              </w:rPr>
              <w:t>congestion and</w:t>
            </w:r>
          </w:p>
          <w:p w14:paraId="324B976B" w14:textId="12E8A65A" w:rsidR="006D1641" w:rsidRPr="00A700E7" w:rsidRDefault="006D1641" w:rsidP="007A6B1F">
            <w:pPr>
              <w:jc w:val="left"/>
              <w:rPr>
                <w:b/>
                <w:bCs/>
                <w:sz w:val="20"/>
                <w:szCs w:val="20"/>
                <w:lang w:val="en-AU"/>
              </w:rPr>
            </w:pPr>
            <w:r w:rsidRPr="00A700E7">
              <w:rPr>
                <w:sz w:val="20"/>
                <w:szCs w:val="20"/>
                <w:lang w:val="en-AU"/>
              </w:rPr>
              <w:t>rhinitis)</w:t>
            </w:r>
          </w:p>
        </w:tc>
        <w:tc>
          <w:tcPr>
            <w:tcW w:w="2161" w:type="dxa"/>
          </w:tcPr>
          <w:p w14:paraId="18FC9FAB" w14:textId="02428093" w:rsidR="006D1641" w:rsidRPr="00A700E7" w:rsidRDefault="006D1641" w:rsidP="007A6B1F">
            <w:pPr>
              <w:jc w:val="left"/>
              <w:rPr>
                <w:b/>
                <w:bCs/>
                <w:sz w:val="20"/>
                <w:szCs w:val="20"/>
                <w:lang w:val="en-AU"/>
              </w:rPr>
            </w:pPr>
            <w:r w:rsidRPr="00A700E7">
              <w:rPr>
                <w:sz w:val="20"/>
                <w:szCs w:val="20"/>
                <w:lang w:val="en-AU"/>
              </w:rPr>
              <w:t>Epistaxis</w:t>
            </w:r>
          </w:p>
        </w:tc>
        <w:tc>
          <w:tcPr>
            <w:tcW w:w="2160" w:type="dxa"/>
          </w:tcPr>
          <w:p w14:paraId="2E8614A6" w14:textId="77777777" w:rsidR="006D1641" w:rsidRPr="00A700E7" w:rsidRDefault="006D1641" w:rsidP="007A6B1F">
            <w:pPr>
              <w:jc w:val="left"/>
              <w:rPr>
                <w:b/>
                <w:bCs/>
                <w:sz w:val="20"/>
                <w:szCs w:val="20"/>
                <w:lang w:val="en-AU"/>
              </w:rPr>
            </w:pPr>
          </w:p>
        </w:tc>
        <w:tc>
          <w:tcPr>
            <w:tcW w:w="2161" w:type="dxa"/>
          </w:tcPr>
          <w:p w14:paraId="68D3009D" w14:textId="77777777" w:rsidR="006D1641" w:rsidRPr="00A700E7" w:rsidRDefault="006D1641" w:rsidP="007A6B1F">
            <w:pPr>
              <w:jc w:val="left"/>
              <w:rPr>
                <w:sz w:val="20"/>
                <w:szCs w:val="20"/>
                <w:lang w:val="en-AU"/>
              </w:rPr>
            </w:pPr>
          </w:p>
        </w:tc>
      </w:tr>
      <w:tr w:rsidR="00A700E7" w:rsidRPr="00A700E7" w14:paraId="04EEE1C8" w14:textId="140C53FD" w:rsidTr="00A700E7">
        <w:tc>
          <w:tcPr>
            <w:tcW w:w="8642" w:type="dxa"/>
            <w:gridSpan w:val="4"/>
            <w:shd w:val="clear" w:color="auto" w:fill="D9D9D9" w:themeFill="background1" w:themeFillShade="D9"/>
          </w:tcPr>
          <w:p w14:paraId="05056902" w14:textId="5C744A68" w:rsidR="006D1641" w:rsidRPr="00A700E7" w:rsidRDefault="006D1641" w:rsidP="007A6B1F">
            <w:pPr>
              <w:jc w:val="left"/>
              <w:rPr>
                <w:sz w:val="20"/>
                <w:szCs w:val="20"/>
                <w:lang w:val="en-AU"/>
              </w:rPr>
            </w:pPr>
            <w:r w:rsidRPr="00A700E7">
              <w:rPr>
                <w:sz w:val="20"/>
                <w:szCs w:val="20"/>
                <w:lang w:val="en-AU"/>
              </w:rPr>
              <w:t>Gastrointestinal disorders</w:t>
            </w:r>
          </w:p>
        </w:tc>
      </w:tr>
      <w:tr w:rsidR="00A700E7" w:rsidRPr="00A700E7" w14:paraId="338147E5" w14:textId="4339C1B7" w:rsidTr="00A700E7">
        <w:tc>
          <w:tcPr>
            <w:tcW w:w="2160" w:type="dxa"/>
          </w:tcPr>
          <w:p w14:paraId="0AB194C0" w14:textId="4C4B2B84" w:rsidR="006D1641" w:rsidRPr="00A700E7" w:rsidRDefault="006D1641" w:rsidP="007A6B1F">
            <w:pPr>
              <w:jc w:val="left"/>
              <w:rPr>
                <w:sz w:val="20"/>
                <w:szCs w:val="20"/>
                <w:lang w:val="en-AU"/>
              </w:rPr>
            </w:pPr>
            <w:r w:rsidRPr="00A700E7">
              <w:rPr>
                <w:sz w:val="20"/>
                <w:szCs w:val="20"/>
                <w:lang w:val="en-AU"/>
              </w:rPr>
              <w:t>Nausea,</w:t>
            </w:r>
          </w:p>
          <w:p w14:paraId="59A44458" w14:textId="7AD155EC" w:rsidR="006D1641" w:rsidRPr="00A700E7" w:rsidRDefault="006D1641" w:rsidP="007A6B1F">
            <w:pPr>
              <w:jc w:val="left"/>
              <w:rPr>
                <w:sz w:val="20"/>
                <w:szCs w:val="20"/>
                <w:lang w:val="en-AU"/>
              </w:rPr>
            </w:pPr>
            <w:r w:rsidRPr="00A700E7">
              <w:rPr>
                <w:sz w:val="20"/>
                <w:szCs w:val="20"/>
                <w:lang w:val="en-AU"/>
              </w:rPr>
              <w:t>Dyspepsia</w:t>
            </w:r>
          </w:p>
          <w:p w14:paraId="0DDEBF76" w14:textId="4BDA2FF3" w:rsidR="006D1641" w:rsidRPr="00A700E7" w:rsidRDefault="006D1641" w:rsidP="007A6B1F">
            <w:pPr>
              <w:jc w:val="left"/>
              <w:rPr>
                <w:sz w:val="20"/>
                <w:szCs w:val="20"/>
                <w:lang w:val="en-AU"/>
              </w:rPr>
            </w:pPr>
            <w:r w:rsidRPr="00A700E7">
              <w:rPr>
                <w:sz w:val="20"/>
                <w:szCs w:val="20"/>
                <w:lang w:val="en-AU"/>
              </w:rPr>
              <w:t>(</w:t>
            </w:r>
            <w:proofErr w:type="gramStart"/>
            <w:r w:rsidRPr="00A700E7">
              <w:rPr>
                <w:sz w:val="20"/>
                <w:szCs w:val="20"/>
                <w:lang w:val="en-AU"/>
              </w:rPr>
              <w:t>including</w:t>
            </w:r>
            <w:proofErr w:type="gramEnd"/>
          </w:p>
          <w:p w14:paraId="3563BD07" w14:textId="0C6E68CE" w:rsidR="006D1641" w:rsidRPr="00A700E7" w:rsidRDefault="006D1641" w:rsidP="007A6B1F">
            <w:pPr>
              <w:jc w:val="left"/>
              <w:rPr>
                <w:sz w:val="20"/>
                <w:szCs w:val="20"/>
                <w:lang w:val="en-AU"/>
              </w:rPr>
            </w:pPr>
            <w:r w:rsidRPr="00A700E7">
              <w:rPr>
                <w:sz w:val="20"/>
                <w:szCs w:val="20"/>
                <w:lang w:val="en-AU"/>
              </w:rPr>
              <w:t>abdominal</w:t>
            </w:r>
          </w:p>
          <w:p w14:paraId="0BD1CAD0" w14:textId="02B74D0E" w:rsidR="006D1641" w:rsidRPr="00A700E7" w:rsidRDefault="006D1641" w:rsidP="007A6B1F">
            <w:pPr>
              <w:jc w:val="left"/>
              <w:rPr>
                <w:sz w:val="20"/>
                <w:szCs w:val="20"/>
                <w:lang w:val="en-AU"/>
              </w:rPr>
            </w:pPr>
            <w:r w:rsidRPr="00A700E7">
              <w:rPr>
                <w:sz w:val="20"/>
                <w:szCs w:val="20"/>
                <w:lang w:val="en-AU"/>
              </w:rPr>
              <w:t>pain/discomfort</w:t>
            </w:r>
            <w:r w:rsidRPr="00A700E7">
              <w:rPr>
                <w:sz w:val="20"/>
                <w:szCs w:val="20"/>
                <w:vertAlign w:val="superscript"/>
                <w:lang w:val="en-AU"/>
              </w:rPr>
              <w:t>1</w:t>
            </w:r>
            <w:r w:rsidRPr="00A700E7">
              <w:rPr>
                <w:sz w:val="20"/>
                <w:szCs w:val="20"/>
                <w:lang w:val="en-AU"/>
              </w:rPr>
              <w:t>)</w:t>
            </w:r>
          </w:p>
        </w:tc>
        <w:tc>
          <w:tcPr>
            <w:tcW w:w="2161" w:type="dxa"/>
          </w:tcPr>
          <w:p w14:paraId="0A5E43AA" w14:textId="4D13B7A0" w:rsidR="006D1641" w:rsidRPr="00A700E7" w:rsidRDefault="006D1641" w:rsidP="007A6B1F">
            <w:pPr>
              <w:jc w:val="left"/>
              <w:rPr>
                <w:b/>
                <w:bCs/>
                <w:sz w:val="20"/>
                <w:szCs w:val="20"/>
                <w:lang w:val="en-AU"/>
              </w:rPr>
            </w:pPr>
            <w:r w:rsidRPr="00A700E7">
              <w:rPr>
                <w:sz w:val="20"/>
                <w:szCs w:val="20"/>
                <w:lang w:val="en-AU"/>
              </w:rPr>
              <w:t>Vomiting</w:t>
            </w:r>
          </w:p>
        </w:tc>
        <w:tc>
          <w:tcPr>
            <w:tcW w:w="2160" w:type="dxa"/>
          </w:tcPr>
          <w:p w14:paraId="5D5689C7" w14:textId="77777777" w:rsidR="006D1641" w:rsidRPr="00A700E7" w:rsidRDefault="006D1641" w:rsidP="007A6B1F">
            <w:pPr>
              <w:jc w:val="left"/>
              <w:rPr>
                <w:b/>
                <w:bCs/>
                <w:sz w:val="20"/>
                <w:szCs w:val="20"/>
                <w:lang w:val="en-AU"/>
              </w:rPr>
            </w:pPr>
          </w:p>
        </w:tc>
        <w:tc>
          <w:tcPr>
            <w:tcW w:w="2161" w:type="dxa"/>
          </w:tcPr>
          <w:p w14:paraId="5BF079E6" w14:textId="77777777" w:rsidR="006D1641" w:rsidRPr="00A700E7" w:rsidRDefault="006D1641" w:rsidP="007A6B1F">
            <w:pPr>
              <w:jc w:val="left"/>
              <w:rPr>
                <w:sz w:val="20"/>
                <w:szCs w:val="20"/>
                <w:lang w:val="en-AU"/>
              </w:rPr>
            </w:pPr>
          </w:p>
        </w:tc>
      </w:tr>
      <w:tr w:rsidR="00A700E7" w:rsidRPr="00A700E7" w14:paraId="7842AB63" w14:textId="5E2AB001" w:rsidTr="00A700E7">
        <w:tc>
          <w:tcPr>
            <w:tcW w:w="8642" w:type="dxa"/>
            <w:gridSpan w:val="4"/>
            <w:shd w:val="clear" w:color="auto" w:fill="D9D9D9" w:themeFill="background1" w:themeFillShade="D9"/>
          </w:tcPr>
          <w:p w14:paraId="6D858490" w14:textId="02644B4A" w:rsidR="006D1641" w:rsidRPr="00A700E7" w:rsidRDefault="006D1641" w:rsidP="007A6B1F">
            <w:pPr>
              <w:jc w:val="left"/>
              <w:rPr>
                <w:sz w:val="20"/>
                <w:szCs w:val="20"/>
                <w:lang w:val="en-AU"/>
              </w:rPr>
            </w:pPr>
            <w:r w:rsidRPr="00A700E7">
              <w:rPr>
                <w:sz w:val="20"/>
                <w:szCs w:val="20"/>
                <w:lang w:val="en-AU"/>
              </w:rPr>
              <w:t>Musculoskeletal, connective tissue and bone disorders</w:t>
            </w:r>
          </w:p>
        </w:tc>
      </w:tr>
      <w:tr w:rsidR="00A700E7" w:rsidRPr="00A700E7" w14:paraId="0F0A1890" w14:textId="1FF4300E" w:rsidTr="00A700E7">
        <w:trPr>
          <w:trHeight w:val="1349"/>
        </w:trPr>
        <w:tc>
          <w:tcPr>
            <w:tcW w:w="2160" w:type="dxa"/>
          </w:tcPr>
          <w:p w14:paraId="057C47E1" w14:textId="08784F0C" w:rsidR="006D1641" w:rsidRPr="00A700E7" w:rsidRDefault="006D1641" w:rsidP="007A6B1F">
            <w:pPr>
              <w:jc w:val="left"/>
              <w:rPr>
                <w:sz w:val="20"/>
                <w:szCs w:val="20"/>
                <w:lang w:val="en-AU"/>
              </w:rPr>
            </w:pPr>
            <w:r w:rsidRPr="00A700E7">
              <w:rPr>
                <w:sz w:val="20"/>
                <w:szCs w:val="20"/>
                <w:lang w:val="en-AU"/>
              </w:rPr>
              <w:t>Myalgia,</w:t>
            </w:r>
          </w:p>
          <w:p w14:paraId="0BDE2C41" w14:textId="0A7D2248" w:rsidR="006D1641" w:rsidRPr="00A700E7" w:rsidRDefault="006D1641" w:rsidP="007A6B1F">
            <w:pPr>
              <w:jc w:val="left"/>
              <w:rPr>
                <w:sz w:val="20"/>
                <w:szCs w:val="20"/>
                <w:lang w:val="en-AU"/>
              </w:rPr>
            </w:pPr>
            <w:r w:rsidRPr="00A700E7">
              <w:rPr>
                <w:sz w:val="20"/>
                <w:szCs w:val="20"/>
                <w:lang w:val="en-AU"/>
              </w:rPr>
              <w:t>Back pain</w:t>
            </w:r>
          </w:p>
          <w:p w14:paraId="65545EDA" w14:textId="7D98C9FE" w:rsidR="006D1641" w:rsidRPr="00A700E7" w:rsidRDefault="006D1641" w:rsidP="007A6B1F">
            <w:pPr>
              <w:jc w:val="left"/>
              <w:rPr>
                <w:sz w:val="20"/>
                <w:szCs w:val="20"/>
                <w:lang w:val="en-AU"/>
              </w:rPr>
            </w:pPr>
            <w:r w:rsidRPr="00A700E7">
              <w:rPr>
                <w:sz w:val="20"/>
                <w:szCs w:val="20"/>
                <w:lang w:val="en-AU"/>
              </w:rPr>
              <w:t>Pain in extremity</w:t>
            </w:r>
          </w:p>
          <w:p w14:paraId="70C7B599" w14:textId="698A0B0F" w:rsidR="006D1641" w:rsidRPr="00A700E7" w:rsidRDefault="006D1641" w:rsidP="007A6B1F">
            <w:pPr>
              <w:jc w:val="left"/>
              <w:rPr>
                <w:sz w:val="20"/>
                <w:szCs w:val="20"/>
                <w:lang w:val="en-AU"/>
              </w:rPr>
            </w:pPr>
            <w:r w:rsidRPr="00A700E7">
              <w:rPr>
                <w:sz w:val="20"/>
                <w:szCs w:val="20"/>
                <w:lang w:val="en-AU"/>
              </w:rPr>
              <w:t>(</w:t>
            </w:r>
            <w:proofErr w:type="gramStart"/>
            <w:r w:rsidRPr="00A700E7">
              <w:rPr>
                <w:sz w:val="20"/>
                <w:szCs w:val="20"/>
                <w:lang w:val="en-AU"/>
              </w:rPr>
              <w:t>including</w:t>
            </w:r>
            <w:proofErr w:type="gramEnd"/>
            <w:r w:rsidRPr="00A700E7">
              <w:rPr>
                <w:sz w:val="20"/>
                <w:szCs w:val="20"/>
                <w:lang w:val="en-AU"/>
              </w:rPr>
              <w:t xml:space="preserve"> limb</w:t>
            </w:r>
          </w:p>
          <w:p w14:paraId="30B5EA27" w14:textId="388E97B5" w:rsidR="006D1641" w:rsidRPr="00A700E7" w:rsidRDefault="006D1641" w:rsidP="007A6B1F">
            <w:pPr>
              <w:jc w:val="left"/>
              <w:rPr>
                <w:b/>
                <w:bCs/>
                <w:sz w:val="20"/>
                <w:szCs w:val="20"/>
                <w:lang w:val="en-AU"/>
              </w:rPr>
            </w:pPr>
            <w:r w:rsidRPr="00A700E7">
              <w:rPr>
                <w:sz w:val="20"/>
                <w:szCs w:val="20"/>
                <w:lang w:val="en-AU"/>
              </w:rPr>
              <w:t>discomfort)</w:t>
            </w:r>
          </w:p>
        </w:tc>
        <w:tc>
          <w:tcPr>
            <w:tcW w:w="2161" w:type="dxa"/>
          </w:tcPr>
          <w:p w14:paraId="4DE4B74E" w14:textId="77777777" w:rsidR="006D1641" w:rsidRPr="00A700E7" w:rsidRDefault="006D1641" w:rsidP="007A6B1F">
            <w:pPr>
              <w:jc w:val="left"/>
              <w:rPr>
                <w:b/>
                <w:bCs/>
                <w:sz w:val="20"/>
                <w:szCs w:val="20"/>
                <w:lang w:val="en-AU"/>
              </w:rPr>
            </w:pPr>
          </w:p>
        </w:tc>
        <w:tc>
          <w:tcPr>
            <w:tcW w:w="2160" w:type="dxa"/>
          </w:tcPr>
          <w:p w14:paraId="5A58FCB5" w14:textId="77777777" w:rsidR="006D1641" w:rsidRPr="00A700E7" w:rsidRDefault="006D1641" w:rsidP="007A6B1F">
            <w:pPr>
              <w:jc w:val="left"/>
              <w:rPr>
                <w:b/>
                <w:bCs/>
                <w:sz w:val="20"/>
                <w:szCs w:val="20"/>
                <w:lang w:val="en-AU"/>
              </w:rPr>
            </w:pPr>
          </w:p>
        </w:tc>
        <w:tc>
          <w:tcPr>
            <w:tcW w:w="2161" w:type="dxa"/>
          </w:tcPr>
          <w:p w14:paraId="22E38FA3" w14:textId="77777777" w:rsidR="006D1641" w:rsidRPr="00A700E7" w:rsidRDefault="006D1641" w:rsidP="007A6B1F">
            <w:pPr>
              <w:jc w:val="left"/>
              <w:rPr>
                <w:b/>
                <w:bCs/>
                <w:sz w:val="20"/>
                <w:szCs w:val="20"/>
                <w:lang w:val="en-AU"/>
              </w:rPr>
            </w:pPr>
          </w:p>
        </w:tc>
      </w:tr>
      <w:tr w:rsidR="00A700E7" w:rsidRPr="00A700E7" w14:paraId="656B28C9" w14:textId="6BE29A06" w:rsidTr="00A700E7">
        <w:tc>
          <w:tcPr>
            <w:tcW w:w="8642" w:type="dxa"/>
            <w:gridSpan w:val="4"/>
            <w:shd w:val="clear" w:color="auto" w:fill="D9D9D9" w:themeFill="background1" w:themeFillShade="D9"/>
          </w:tcPr>
          <w:p w14:paraId="63A7E64C" w14:textId="7467658A" w:rsidR="006D1641" w:rsidRPr="00A700E7" w:rsidRDefault="006D1641" w:rsidP="007A6B1F">
            <w:pPr>
              <w:jc w:val="left"/>
              <w:rPr>
                <w:sz w:val="20"/>
                <w:szCs w:val="20"/>
                <w:lang w:val="en-AU"/>
              </w:rPr>
            </w:pPr>
            <w:bookmarkStart w:id="25" w:name="_Hlk139053382"/>
            <w:r w:rsidRPr="00A700E7">
              <w:rPr>
                <w:sz w:val="20"/>
                <w:szCs w:val="20"/>
                <w:lang w:val="en-AU"/>
              </w:rPr>
              <w:t>Reproductive system and breast disorders</w:t>
            </w:r>
          </w:p>
        </w:tc>
      </w:tr>
      <w:tr w:rsidR="00A700E7" w:rsidRPr="00A700E7" w14:paraId="7CEF727D" w14:textId="660E5797" w:rsidTr="00A700E7">
        <w:tc>
          <w:tcPr>
            <w:tcW w:w="2160" w:type="dxa"/>
          </w:tcPr>
          <w:p w14:paraId="3B62AE50" w14:textId="7FC98A77" w:rsidR="006D1641" w:rsidRPr="00A700E7" w:rsidRDefault="006D1641" w:rsidP="007A6B1F">
            <w:pPr>
              <w:jc w:val="left"/>
              <w:rPr>
                <w:b/>
                <w:bCs/>
                <w:sz w:val="20"/>
                <w:szCs w:val="20"/>
                <w:lang w:val="en-AU"/>
              </w:rPr>
            </w:pPr>
          </w:p>
        </w:tc>
        <w:tc>
          <w:tcPr>
            <w:tcW w:w="2161" w:type="dxa"/>
          </w:tcPr>
          <w:p w14:paraId="71D1FF39" w14:textId="77777777" w:rsidR="006D1641" w:rsidRPr="00A700E7" w:rsidRDefault="006D1641" w:rsidP="007A6B1F">
            <w:pPr>
              <w:jc w:val="left"/>
              <w:rPr>
                <w:sz w:val="20"/>
                <w:szCs w:val="20"/>
                <w:lang w:val="en-AU"/>
              </w:rPr>
            </w:pPr>
            <w:r w:rsidRPr="00A700E7">
              <w:rPr>
                <w:sz w:val="20"/>
                <w:szCs w:val="20"/>
                <w:lang w:val="en-AU"/>
              </w:rPr>
              <w:t>Increased uterine</w:t>
            </w:r>
          </w:p>
          <w:p w14:paraId="53C5F4A0" w14:textId="0B247F0E" w:rsidR="006D1641" w:rsidRPr="00A700E7" w:rsidRDefault="006D1641" w:rsidP="007A6B1F">
            <w:pPr>
              <w:jc w:val="left"/>
              <w:rPr>
                <w:b/>
                <w:bCs/>
                <w:sz w:val="20"/>
                <w:szCs w:val="20"/>
                <w:lang w:val="en-AU"/>
              </w:rPr>
            </w:pPr>
            <w:r w:rsidRPr="00A700E7">
              <w:rPr>
                <w:sz w:val="20"/>
                <w:szCs w:val="20"/>
                <w:lang w:val="en-AU"/>
              </w:rPr>
              <w:t>bleeding</w:t>
            </w:r>
            <w:r w:rsidRPr="00A700E7">
              <w:rPr>
                <w:sz w:val="20"/>
                <w:szCs w:val="20"/>
                <w:vertAlign w:val="superscript"/>
                <w:lang w:val="en-AU"/>
              </w:rPr>
              <w:t>2</w:t>
            </w:r>
          </w:p>
        </w:tc>
        <w:tc>
          <w:tcPr>
            <w:tcW w:w="2160" w:type="dxa"/>
          </w:tcPr>
          <w:p w14:paraId="6C46757D" w14:textId="3469F524" w:rsidR="006D1641" w:rsidRPr="00A700E7" w:rsidRDefault="006D1641" w:rsidP="007A6B1F">
            <w:pPr>
              <w:jc w:val="left"/>
              <w:rPr>
                <w:sz w:val="20"/>
                <w:szCs w:val="20"/>
                <w:lang w:val="en-AU"/>
              </w:rPr>
            </w:pPr>
          </w:p>
        </w:tc>
        <w:tc>
          <w:tcPr>
            <w:tcW w:w="2161" w:type="dxa"/>
          </w:tcPr>
          <w:p w14:paraId="661634AB" w14:textId="77777777" w:rsidR="006D1641" w:rsidRPr="00A700E7" w:rsidRDefault="006D1641" w:rsidP="007A6B1F">
            <w:pPr>
              <w:jc w:val="left"/>
              <w:rPr>
                <w:b/>
                <w:bCs/>
                <w:sz w:val="20"/>
                <w:szCs w:val="20"/>
                <w:lang w:val="en-AU"/>
              </w:rPr>
            </w:pPr>
          </w:p>
        </w:tc>
      </w:tr>
      <w:bookmarkEnd w:id="25"/>
    </w:tbl>
    <w:p w14:paraId="2AE69BD2" w14:textId="77777777" w:rsidR="00A517D1" w:rsidRPr="00A700E7" w:rsidRDefault="00A517D1" w:rsidP="007A6B1F">
      <w:pPr>
        <w:jc w:val="left"/>
        <w:rPr>
          <w:b/>
          <w:bCs/>
          <w:lang w:val="en-AU"/>
        </w:rPr>
      </w:pPr>
    </w:p>
    <w:p w14:paraId="4A9662F4" w14:textId="77777777" w:rsidR="00B333FB" w:rsidRPr="00A700E7" w:rsidRDefault="00B333FB" w:rsidP="007A6B1F">
      <w:pPr>
        <w:jc w:val="left"/>
        <w:rPr>
          <w:sz w:val="18"/>
          <w:szCs w:val="18"/>
          <w:lang w:val="en-AU"/>
        </w:rPr>
      </w:pPr>
      <w:r w:rsidRPr="00A700E7">
        <w:rPr>
          <w:sz w:val="18"/>
          <w:szCs w:val="18"/>
          <w:vertAlign w:val="superscript"/>
          <w:lang w:val="en-AU"/>
        </w:rPr>
        <w:t xml:space="preserve">1 </w:t>
      </w:r>
      <w:r w:rsidRPr="00A700E7">
        <w:rPr>
          <w:sz w:val="18"/>
          <w:szCs w:val="18"/>
          <w:lang w:val="en-AU"/>
        </w:rPr>
        <w:t>Actual MedDRA terms included are abdominal discomfort, abdominal pain, abdominal pain lower, abdominal pain upper, and stomach discomfort.</w:t>
      </w:r>
    </w:p>
    <w:p w14:paraId="06DE0113" w14:textId="3951ADF4" w:rsidR="00B333FB" w:rsidRPr="00A700E7" w:rsidRDefault="00B333FB" w:rsidP="007A6B1F">
      <w:pPr>
        <w:jc w:val="left"/>
        <w:rPr>
          <w:sz w:val="18"/>
          <w:szCs w:val="18"/>
          <w:lang w:val="en-AU"/>
        </w:rPr>
      </w:pPr>
      <w:r w:rsidRPr="00A700E7">
        <w:rPr>
          <w:sz w:val="18"/>
          <w:szCs w:val="18"/>
          <w:vertAlign w:val="superscript"/>
          <w:lang w:val="en-AU"/>
        </w:rPr>
        <w:t xml:space="preserve">2 </w:t>
      </w:r>
      <w:r w:rsidRPr="00A700E7">
        <w:rPr>
          <w:sz w:val="18"/>
          <w:szCs w:val="18"/>
          <w:lang w:val="en-AU"/>
        </w:rPr>
        <w:t>Clinical non-MedDRA term to include reports of abnormal/excessive menstrual bleeding conditions such as menorrhagia, metrorrhagia, menometrorrhagia, or vaginal haemorrhage.</w:t>
      </w:r>
    </w:p>
    <w:p w14:paraId="656BF005" w14:textId="36F6B5CF" w:rsidR="009841D2" w:rsidRPr="00A700E7" w:rsidRDefault="00DB761C" w:rsidP="007A6B1F">
      <w:pPr>
        <w:pStyle w:val="Heading4"/>
        <w:jc w:val="left"/>
        <w:rPr>
          <w:lang w:val="en-AU"/>
        </w:rPr>
      </w:pPr>
      <w:r w:rsidRPr="00A700E7">
        <w:rPr>
          <w:lang w:val="en-AU"/>
        </w:rPr>
        <w:t>Adverse reactions identified from spontaneous post marketing surveillance</w:t>
      </w:r>
    </w:p>
    <w:p w14:paraId="47392F8F" w14:textId="316C6595" w:rsidR="00B333FB" w:rsidRPr="00A700E7" w:rsidRDefault="00DB761C" w:rsidP="007A6B1F">
      <w:pPr>
        <w:jc w:val="left"/>
        <w:rPr>
          <w:lang w:val="en-AU"/>
        </w:rPr>
      </w:pPr>
      <w:r w:rsidRPr="00A700E7">
        <w:rPr>
          <w:lang w:val="en-AU"/>
        </w:rPr>
        <w:t xml:space="preserve">The following adverse reactions have been identified during post approval use of tadalafil, in which tadalafil was </w:t>
      </w:r>
      <w:r w:rsidR="00D67681" w:rsidRPr="00A700E7">
        <w:rPr>
          <w:lang w:val="en-AU"/>
        </w:rPr>
        <w:t xml:space="preserve">authorised </w:t>
      </w:r>
      <w:r w:rsidRPr="00A700E7">
        <w:rPr>
          <w:lang w:val="en-AU"/>
        </w:rPr>
        <w:t>for the treatment of erectile dysfunction. These events have been chosen for inclusion either due to their seriousness, reporting frequency, lack of clear alternative causation, or a combination of these factors. Because these reactions are reported voluntarily from a population of uncertain size, it is not always possible to reliably estimate their frequency or establish a causal relationship to drug exposure.</w:t>
      </w:r>
    </w:p>
    <w:p w14:paraId="58A76214" w14:textId="77777777" w:rsidR="009841D2" w:rsidRPr="00A700E7" w:rsidRDefault="009841D2" w:rsidP="007A6B1F">
      <w:pPr>
        <w:jc w:val="left"/>
        <w:rPr>
          <w:lang w:val="en-AU"/>
        </w:rPr>
      </w:pPr>
    </w:p>
    <w:p w14:paraId="6293DBAF" w14:textId="172AA058" w:rsidR="00DB761C" w:rsidRPr="00A700E7" w:rsidRDefault="00DB761C" w:rsidP="007A6B1F">
      <w:pPr>
        <w:jc w:val="left"/>
        <w:rPr>
          <w:lang w:val="en-AU"/>
        </w:rPr>
      </w:pPr>
      <w:r w:rsidRPr="00A700E7">
        <w:rPr>
          <w:i/>
          <w:iCs/>
          <w:lang w:val="en-AU"/>
        </w:rPr>
        <w:t xml:space="preserve">Body as a whole: </w:t>
      </w:r>
      <w:r w:rsidRPr="00A700E7">
        <w:rPr>
          <w:lang w:val="en-AU"/>
        </w:rPr>
        <w:t xml:space="preserve">hypersensitivity reactions including rash, urticaria, and facial </w:t>
      </w:r>
      <w:r w:rsidR="009841D2" w:rsidRPr="00A700E7">
        <w:rPr>
          <w:lang w:val="en-AU"/>
        </w:rPr>
        <w:t>o</w:t>
      </w:r>
      <w:r w:rsidRPr="00A700E7">
        <w:rPr>
          <w:lang w:val="en-AU"/>
        </w:rPr>
        <w:t xml:space="preserve">edema. </w:t>
      </w:r>
    </w:p>
    <w:p w14:paraId="59561893" w14:textId="77777777" w:rsidR="009841D2" w:rsidRPr="00A700E7" w:rsidRDefault="009841D2" w:rsidP="007A6B1F">
      <w:pPr>
        <w:jc w:val="left"/>
        <w:rPr>
          <w:lang w:val="en-AU"/>
        </w:rPr>
      </w:pPr>
    </w:p>
    <w:p w14:paraId="00836982" w14:textId="77777777" w:rsidR="00DE639C" w:rsidRPr="00A700E7" w:rsidRDefault="00DB761C" w:rsidP="007A6B1F">
      <w:pPr>
        <w:jc w:val="left"/>
        <w:rPr>
          <w:lang w:val="en-AU"/>
        </w:rPr>
      </w:pPr>
      <w:r w:rsidRPr="00A700E7">
        <w:rPr>
          <w:i/>
          <w:iCs/>
          <w:lang w:val="en-AU"/>
        </w:rPr>
        <w:lastRenderedPageBreak/>
        <w:t>Cardiovascular and cerebrovascular:</w:t>
      </w:r>
      <w:r w:rsidRPr="00A700E7">
        <w:rPr>
          <w:b/>
          <w:bCs/>
          <w:lang w:val="en-AU"/>
        </w:rPr>
        <w:t xml:space="preserve"> </w:t>
      </w:r>
      <w:r w:rsidRPr="00A700E7">
        <w:rPr>
          <w:lang w:val="en-AU"/>
        </w:rPr>
        <w:t xml:space="preserve">serious cardiovascular events, including myocardial infarction, sudden cardiac death, stroke, chest pain, palpitations, and tachycardia, have been reported post marketing in temporal association with the use of tadalafil. Most of the patients in whom these events have been reported had pre-existing cardiovascular risk factors. However, it is not possible to definitively determine whether these events are related directly to these risk factors, to tadalafil, to sexual activity, or to a combination of these or other factors. </w:t>
      </w:r>
    </w:p>
    <w:p w14:paraId="7E36DF61" w14:textId="77777777" w:rsidR="00DE639C" w:rsidRPr="00A700E7" w:rsidRDefault="00DE639C" w:rsidP="007A6B1F">
      <w:pPr>
        <w:jc w:val="left"/>
        <w:rPr>
          <w:lang w:val="en-AU"/>
        </w:rPr>
      </w:pPr>
    </w:p>
    <w:p w14:paraId="3D1F5D8E" w14:textId="4C734BFC" w:rsidR="00DB761C" w:rsidRPr="00A700E7" w:rsidRDefault="00DB761C" w:rsidP="007A6B1F">
      <w:pPr>
        <w:jc w:val="left"/>
        <w:rPr>
          <w:lang w:val="en-AU"/>
        </w:rPr>
      </w:pPr>
      <w:r w:rsidRPr="00A700E7">
        <w:rPr>
          <w:lang w:val="en-AU"/>
        </w:rPr>
        <w:t>Hypotension (more commonly reported when tadalafil is given to patients who are already taking antihypertensive agents</w:t>
      </w:r>
      <w:r w:rsidRPr="00A700E7">
        <w:rPr>
          <w:rFonts w:ascii="Tahoma" w:hAnsi="Tahoma" w:cs="Tahoma"/>
          <w:lang w:val="en-AU"/>
        </w:rPr>
        <w:t>)</w:t>
      </w:r>
      <w:r w:rsidRPr="00A700E7">
        <w:rPr>
          <w:lang w:val="en-AU"/>
        </w:rPr>
        <w:t xml:space="preserve">, hypertension, and syncope. </w:t>
      </w:r>
    </w:p>
    <w:p w14:paraId="4087108D" w14:textId="77777777" w:rsidR="009841D2" w:rsidRPr="00A700E7" w:rsidRDefault="009841D2" w:rsidP="007A6B1F">
      <w:pPr>
        <w:jc w:val="left"/>
        <w:rPr>
          <w:lang w:val="en-AU"/>
        </w:rPr>
      </w:pPr>
    </w:p>
    <w:p w14:paraId="7754DAFD" w14:textId="587F5E4A" w:rsidR="00DB761C" w:rsidRPr="00A700E7" w:rsidRDefault="00DB761C" w:rsidP="007A6B1F">
      <w:pPr>
        <w:jc w:val="left"/>
        <w:rPr>
          <w:lang w:val="en-AU"/>
        </w:rPr>
      </w:pPr>
      <w:r w:rsidRPr="00A700E7">
        <w:rPr>
          <w:i/>
          <w:iCs/>
          <w:lang w:val="en-AU"/>
        </w:rPr>
        <w:t xml:space="preserve">Ear and labyrinth disorders: </w:t>
      </w:r>
      <w:r w:rsidRPr="00A700E7">
        <w:rPr>
          <w:lang w:val="en-AU"/>
        </w:rPr>
        <w:t xml:space="preserve">sudden </w:t>
      </w:r>
      <w:r w:rsidR="00D902A4" w:rsidRPr="00A700E7">
        <w:rPr>
          <w:lang w:val="en-AU"/>
        </w:rPr>
        <w:t xml:space="preserve">hearing loss </w:t>
      </w:r>
    </w:p>
    <w:p w14:paraId="46A69129" w14:textId="77777777" w:rsidR="009841D2" w:rsidRPr="00A700E7" w:rsidRDefault="009841D2" w:rsidP="007A6B1F">
      <w:pPr>
        <w:jc w:val="left"/>
        <w:rPr>
          <w:b/>
          <w:bCs/>
          <w:lang w:val="en-AU"/>
        </w:rPr>
      </w:pPr>
    </w:p>
    <w:p w14:paraId="0D6203EA" w14:textId="4F5D3AD3" w:rsidR="00DB761C" w:rsidRPr="00A700E7" w:rsidRDefault="00DB761C" w:rsidP="007A6B1F">
      <w:pPr>
        <w:jc w:val="left"/>
        <w:rPr>
          <w:lang w:val="en-AU"/>
        </w:rPr>
      </w:pPr>
      <w:r w:rsidRPr="00A700E7">
        <w:rPr>
          <w:i/>
          <w:iCs/>
          <w:lang w:val="en-AU"/>
        </w:rPr>
        <w:t>Skin and subcutaneous tissues:</w:t>
      </w:r>
      <w:r w:rsidRPr="00A700E7">
        <w:rPr>
          <w:lang w:val="en-AU"/>
        </w:rPr>
        <w:t xml:space="preserve"> hyperhidrosis (sweating), Stevens-Johnson syndrome, and exfoliative dermatitis. </w:t>
      </w:r>
    </w:p>
    <w:p w14:paraId="62FB637B" w14:textId="77777777" w:rsidR="009841D2" w:rsidRPr="00A700E7" w:rsidRDefault="009841D2" w:rsidP="007A6B1F">
      <w:pPr>
        <w:jc w:val="left"/>
        <w:rPr>
          <w:b/>
          <w:bCs/>
          <w:lang w:val="en-AU"/>
        </w:rPr>
      </w:pPr>
    </w:p>
    <w:p w14:paraId="043CDFFC" w14:textId="26C9409B" w:rsidR="00DB761C" w:rsidRPr="00A700E7" w:rsidRDefault="00DB761C" w:rsidP="007A6B1F">
      <w:pPr>
        <w:jc w:val="left"/>
        <w:rPr>
          <w:lang w:val="en-AU"/>
        </w:rPr>
      </w:pPr>
      <w:r w:rsidRPr="00A700E7">
        <w:rPr>
          <w:i/>
          <w:iCs/>
          <w:lang w:val="en-AU"/>
        </w:rPr>
        <w:t>Nervous system:</w:t>
      </w:r>
      <w:r w:rsidRPr="00A700E7">
        <w:rPr>
          <w:b/>
          <w:bCs/>
          <w:lang w:val="en-AU"/>
        </w:rPr>
        <w:t xml:space="preserve"> </w:t>
      </w:r>
      <w:r w:rsidRPr="00A700E7">
        <w:rPr>
          <w:lang w:val="en-AU"/>
        </w:rPr>
        <w:t>migraine</w:t>
      </w:r>
      <w:r w:rsidR="0098015D" w:rsidRPr="00A700E7">
        <w:rPr>
          <w:lang w:val="en-AU"/>
        </w:rPr>
        <w:t>,</w:t>
      </w:r>
      <w:r w:rsidRPr="00A700E7">
        <w:rPr>
          <w:lang w:val="en-AU"/>
        </w:rPr>
        <w:t xml:space="preserve"> seizure</w:t>
      </w:r>
      <w:r w:rsidR="009E1B5A" w:rsidRPr="00A700E7">
        <w:rPr>
          <w:lang w:val="en-AU"/>
        </w:rPr>
        <w:t>,</w:t>
      </w:r>
      <w:r w:rsidRPr="00A700E7">
        <w:rPr>
          <w:lang w:val="en-AU"/>
        </w:rPr>
        <w:t xml:space="preserve"> transient amnesia. </w:t>
      </w:r>
    </w:p>
    <w:p w14:paraId="09320586" w14:textId="77777777" w:rsidR="00DE639C" w:rsidRPr="00A700E7" w:rsidRDefault="00DE639C" w:rsidP="007A6B1F">
      <w:pPr>
        <w:jc w:val="left"/>
        <w:rPr>
          <w:lang w:val="en-AU"/>
        </w:rPr>
      </w:pPr>
    </w:p>
    <w:p w14:paraId="2E696DF6" w14:textId="77777777" w:rsidR="00DB761C" w:rsidRPr="00A700E7" w:rsidRDefault="00DB761C" w:rsidP="007A6B1F">
      <w:pPr>
        <w:jc w:val="left"/>
        <w:rPr>
          <w:lang w:val="en-AU"/>
        </w:rPr>
      </w:pPr>
      <w:r w:rsidRPr="00A700E7">
        <w:rPr>
          <w:i/>
          <w:iCs/>
          <w:lang w:val="en-AU"/>
        </w:rPr>
        <w:t xml:space="preserve">Respiratory system: </w:t>
      </w:r>
      <w:r w:rsidRPr="00A700E7">
        <w:rPr>
          <w:lang w:val="en-AU"/>
        </w:rPr>
        <w:t xml:space="preserve">epistaxis. </w:t>
      </w:r>
    </w:p>
    <w:p w14:paraId="4AB93A68" w14:textId="77777777" w:rsidR="009841D2" w:rsidRPr="00A700E7" w:rsidRDefault="009841D2" w:rsidP="007A6B1F">
      <w:pPr>
        <w:jc w:val="left"/>
        <w:rPr>
          <w:b/>
          <w:bCs/>
          <w:lang w:val="en-AU"/>
        </w:rPr>
      </w:pPr>
    </w:p>
    <w:p w14:paraId="1DAC3EAD" w14:textId="1A57C841" w:rsidR="00DB761C" w:rsidRPr="00A700E7" w:rsidRDefault="00DB761C" w:rsidP="007A6B1F">
      <w:pPr>
        <w:jc w:val="left"/>
        <w:rPr>
          <w:lang w:val="en-AU"/>
        </w:rPr>
      </w:pPr>
      <w:r w:rsidRPr="00A700E7">
        <w:rPr>
          <w:i/>
          <w:iCs/>
          <w:lang w:val="en-AU"/>
        </w:rPr>
        <w:t xml:space="preserve">Special senses: </w:t>
      </w:r>
      <w:r w:rsidRPr="00A700E7">
        <w:rPr>
          <w:lang w:val="en-AU"/>
        </w:rPr>
        <w:t>blurred vision, retinal vein occlusion</w:t>
      </w:r>
      <w:proofErr w:type="gramStart"/>
      <w:r w:rsidRPr="00A700E7">
        <w:rPr>
          <w:lang w:val="en-AU"/>
        </w:rPr>
        <w:t xml:space="preserve">, </w:t>
      </w:r>
      <w:r w:rsidR="009E1B5A" w:rsidRPr="00A700E7">
        <w:rPr>
          <w:lang w:val="en-AU"/>
        </w:rPr>
        <w:t>,</w:t>
      </w:r>
      <w:proofErr w:type="gramEnd"/>
      <w:r w:rsidR="009E1B5A" w:rsidRPr="00A700E7">
        <w:rPr>
          <w:lang w:val="en-AU"/>
        </w:rPr>
        <w:t xml:space="preserve"> </w:t>
      </w:r>
      <w:r w:rsidRPr="00A700E7">
        <w:rPr>
          <w:lang w:val="en-AU"/>
        </w:rPr>
        <w:t>visual field defect, non-</w:t>
      </w:r>
      <w:proofErr w:type="spellStart"/>
      <w:r w:rsidRPr="00A700E7">
        <w:rPr>
          <w:lang w:val="en-AU"/>
        </w:rPr>
        <w:t>arteritic</w:t>
      </w:r>
      <w:proofErr w:type="spellEnd"/>
      <w:r w:rsidRPr="00A700E7">
        <w:rPr>
          <w:lang w:val="en-AU"/>
        </w:rPr>
        <w:t xml:space="preserve"> anterior isch</w:t>
      </w:r>
      <w:r w:rsidR="0094392C" w:rsidRPr="00A700E7">
        <w:rPr>
          <w:lang w:val="en-AU"/>
        </w:rPr>
        <w:t>a</w:t>
      </w:r>
      <w:r w:rsidRPr="00A700E7">
        <w:rPr>
          <w:lang w:val="en-AU"/>
        </w:rPr>
        <w:t xml:space="preserve">emic optic neuropathy. </w:t>
      </w:r>
    </w:p>
    <w:p w14:paraId="5E2AE2D2" w14:textId="77777777" w:rsidR="009841D2" w:rsidRPr="00A700E7" w:rsidRDefault="009841D2" w:rsidP="007A6B1F">
      <w:pPr>
        <w:jc w:val="left"/>
        <w:rPr>
          <w:lang w:val="en-AU"/>
        </w:rPr>
      </w:pPr>
    </w:p>
    <w:p w14:paraId="73ED312F" w14:textId="6A36AE79" w:rsidR="00DB761C" w:rsidRPr="00A700E7" w:rsidRDefault="00DB761C" w:rsidP="007A6B1F">
      <w:pPr>
        <w:jc w:val="left"/>
        <w:rPr>
          <w:lang w:val="en-AU"/>
        </w:rPr>
      </w:pPr>
      <w:r w:rsidRPr="00A700E7">
        <w:rPr>
          <w:lang w:val="en-AU"/>
        </w:rPr>
        <w:t>Non-</w:t>
      </w:r>
      <w:proofErr w:type="spellStart"/>
      <w:r w:rsidRPr="00A700E7">
        <w:rPr>
          <w:lang w:val="en-AU"/>
        </w:rPr>
        <w:t>arteritic</w:t>
      </w:r>
      <w:proofErr w:type="spellEnd"/>
      <w:r w:rsidRPr="00A700E7">
        <w:rPr>
          <w:lang w:val="en-AU"/>
        </w:rPr>
        <w:t xml:space="preserve"> anterior isch</w:t>
      </w:r>
      <w:r w:rsidR="0094392C" w:rsidRPr="00A700E7">
        <w:rPr>
          <w:lang w:val="en-AU"/>
        </w:rPr>
        <w:t>a</w:t>
      </w:r>
      <w:r w:rsidRPr="00A700E7">
        <w:rPr>
          <w:lang w:val="en-AU"/>
        </w:rPr>
        <w:t xml:space="preserve">emic optic neuropathy, a cause of decreased vision including permanent loss of vision, has been reported rarely post-marketing in temporal association with the use of </w:t>
      </w:r>
      <w:r w:rsidR="00DE639C" w:rsidRPr="00A700E7">
        <w:rPr>
          <w:lang w:val="en-AU"/>
        </w:rPr>
        <w:t>PDE5</w:t>
      </w:r>
      <w:r w:rsidRPr="00A700E7">
        <w:rPr>
          <w:lang w:val="en-AU"/>
        </w:rPr>
        <w:t xml:space="preserve"> inhibitors, including tadalafil. Most, </w:t>
      </w:r>
      <w:proofErr w:type="gramStart"/>
      <w:r w:rsidRPr="00A700E7">
        <w:rPr>
          <w:lang w:val="en-AU"/>
        </w:rPr>
        <w:t>but,</w:t>
      </w:r>
      <w:proofErr w:type="gramEnd"/>
      <w:r w:rsidRPr="00A700E7">
        <w:rPr>
          <w:lang w:val="en-AU"/>
        </w:rPr>
        <w:t xml:space="preserve"> not all, of these patients had underlying anatomic or vascular risk factors for development of NAION, including but not necessarily limited </w:t>
      </w:r>
      <w:proofErr w:type="gramStart"/>
      <w:r w:rsidRPr="00A700E7">
        <w:rPr>
          <w:lang w:val="en-AU"/>
        </w:rPr>
        <w:t>to:</w:t>
      </w:r>
      <w:proofErr w:type="gramEnd"/>
      <w:r w:rsidRPr="00A700E7">
        <w:rPr>
          <w:lang w:val="en-AU"/>
        </w:rPr>
        <w:t xml:space="preserve"> low cup to disc ratio (“crowded disc”), age over 50, diabetes, hypertension, coronary artery disease, hyperlipidaemia, and smoking. It is not possible to determine whether these events are related directly to the use of PDE5 inhibitors, to the patient’s underlying vascular risk factors or anatomical defects, to a combination of these factors, or to other factors. </w:t>
      </w:r>
    </w:p>
    <w:p w14:paraId="46A60B19" w14:textId="77777777" w:rsidR="009841D2" w:rsidRPr="00A700E7" w:rsidRDefault="009841D2" w:rsidP="007A6B1F">
      <w:pPr>
        <w:jc w:val="left"/>
        <w:rPr>
          <w:lang w:val="en-AU"/>
        </w:rPr>
      </w:pPr>
    </w:p>
    <w:p w14:paraId="27260B49" w14:textId="7601BCEA" w:rsidR="00A54F33" w:rsidRPr="00A700E7" w:rsidRDefault="00DB761C" w:rsidP="007A6B1F">
      <w:pPr>
        <w:jc w:val="left"/>
        <w:rPr>
          <w:lang w:val="en-AU"/>
        </w:rPr>
      </w:pPr>
      <w:r w:rsidRPr="00A700E7">
        <w:rPr>
          <w:i/>
          <w:iCs/>
          <w:lang w:val="en-AU"/>
        </w:rPr>
        <w:t>Urogenital:</w:t>
      </w:r>
      <w:r w:rsidRPr="00A700E7">
        <w:rPr>
          <w:lang w:val="en-AU"/>
        </w:rPr>
        <w:t xml:space="preserve"> priapism and prolonged erection</w:t>
      </w:r>
      <w:r w:rsidR="00FF7FB9" w:rsidRPr="00A700E7">
        <w:rPr>
          <w:lang w:val="en-AU"/>
        </w:rPr>
        <w:t>.</w:t>
      </w:r>
    </w:p>
    <w:p w14:paraId="29C38B0E" w14:textId="6A444CF3" w:rsidR="005A66F2" w:rsidRPr="00A700E7" w:rsidRDefault="005A66F2" w:rsidP="007A6B1F">
      <w:pPr>
        <w:pStyle w:val="Heading3"/>
        <w:jc w:val="left"/>
      </w:pPr>
      <w:r w:rsidRPr="00A700E7">
        <w:t>Reporting suspected adverse effects</w:t>
      </w:r>
    </w:p>
    <w:p w14:paraId="465E92C9" w14:textId="5D037773" w:rsidR="006F7C96" w:rsidRDefault="001F487F" w:rsidP="007A6B1F">
      <w:pPr>
        <w:jc w:val="left"/>
        <w:rPr>
          <w:shd w:val="clear" w:color="auto" w:fill="FFFFFF"/>
        </w:rPr>
      </w:pPr>
      <w:r w:rsidRPr="00A700E7">
        <w:rPr>
          <w:shd w:val="clear" w:color="auto" w:fill="FFFFFF"/>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00576C3D" w:rsidRPr="00B3410C">
          <w:rPr>
            <w:rStyle w:val="Hyperlink"/>
            <w:shd w:val="clear" w:color="auto" w:fill="FFFFFF"/>
          </w:rPr>
          <w:t>https://www.tga.gov.au/safety/reporting-problems</w:t>
        </w:r>
      </w:hyperlink>
      <w:r w:rsidR="00576C3D">
        <w:rPr>
          <w:shd w:val="clear" w:color="auto" w:fill="FFFFFF"/>
        </w:rPr>
        <w:t>.</w:t>
      </w:r>
    </w:p>
    <w:p w14:paraId="290CBE07" w14:textId="77777777" w:rsidR="0060339C" w:rsidRPr="00A700E7" w:rsidRDefault="0060339C" w:rsidP="007A6B1F">
      <w:pPr>
        <w:jc w:val="left"/>
      </w:pPr>
    </w:p>
    <w:p w14:paraId="5E1D6132" w14:textId="77777777" w:rsidR="001A3992" w:rsidRPr="00A700E7" w:rsidRDefault="001A3992" w:rsidP="007A6B1F">
      <w:pPr>
        <w:pStyle w:val="Heading2"/>
        <w:jc w:val="left"/>
      </w:pPr>
      <w:r w:rsidRPr="00A700E7">
        <w:t>Overdose</w:t>
      </w:r>
    </w:p>
    <w:p w14:paraId="36EF2222" w14:textId="023608AC" w:rsidR="00DB761C" w:rsidRPr="00A700E7" w:rsidRDefault="00DB761C" w:rsidP="007A6B1F">
      <w:pPr>
        <w:jc w:val="left"/>
      </w:pPr>
      <w:r w:rsidRPr="00A700E7">
        <w:t xml:space="preserve">There is no human experience of acute overdose with </w:t>
      </w:r>
      <w:r w:rsidR="0060339C" w:rsidRPr="00A700E7">
        <w:t>OPSYNVI</w:t>
      </w:r>
      <w:r w:rsidRPr="00A700E7">
        <w:t xml:space="preserve">. As </w:t>
      </w:r>
      <w:r w:rsidR="0060339C" w:rsidRPr="00A700E7">
        <w:t>OPSYNVI</w:t>
      </w:r>
      <w:r w:rsidRPr="00A700E7">
        <w:t xml:space="preserve"> contains macitentan and tadalafil, the risk of overdose associated with each component should be considered.</w:t>
      </w:r>
    </w:p>
    <w:p w14:paraId="62B438AD" w14:textId="608D6A54" w:rsidR="00DB761C" w:rsidRPr="00A700E7" w:rsidRDefault="00DB761C" w:rsidP="007A6B1F">
      <w:pPr>
        <w:jc w:val="left"/>
        <w:rPr>
          <w:highlight w:val="yellow"/>
        </w:rPr>
      </w:pPr>
    </w:p>
    <w:p w14:paraId="2193C129" w14:textId="0F6D3055" w:rsidR="0060339C" w:rsidRPr="00A700E7" w:rsidRDefault="0060339C" w:rsidP="007A6B1F">
      <w:pPr>
        <w:jc w:val="left"/>
      </w:pPr>
      <w:r w:rsidRPr="00A700E7">
        <w:t xml:space="preserve">In the event of an overdose with OPSYNVI, standard supportive measures must be taken, as required. Based on </w:t>
      </w:r>
      <w:proofErr w:type="gramStart"/>
      <w:r w:rsidRPr="00A700E7">
        <w:t>the individual</w:t>
      </w:r>
      <w:proofErr w:type="gramEnd"/>
      <w:r w:rsidRPr="00A700E7">
        <w:t xml:space="preserve"> component data, dialysis is unlikely to be effective.</w:t>
      </w:r>
    </w:p>
    <w:p w14:paraId="0927B9A5" w14:textId="10DD1B21" w:rsidR="0060339C" w:rsidRPr="00A700E7" w:rsidRDefault="0060339C" w:rsidP="007A6B1F">
      <w:pPr>
        <w:jc w:val="left"/>
      </w:pPr>
    </w:p>
    <w:p w14:paraId="0D6669D4" w14:textId="1562A5C7" w:rsidR="000B42B3" w:rsidRPr="00A700E7" w:rsidRDefault="000B42B3" w:rsidP="007A6B1F">
      <w:pPr>
        <w:jc w:val="left"/>
      </w:pPr>
      <w:r w:rsidRPr="00A700E7">
        <w:lastRenderedPageBreak/>
        <w:t>Macitentan has been administered as a single dose of up to and including 600 mg to healthy subjects. Adverse events of headache, nausea, and vomiting were observed. In the event of an overdose, standard supportive measures must be taken, as required. Due to the high degree of protein binding of macitentan, dialysis is unlikely to be effective.</w:t>
      </w:r>
    </w:p>
    <w:p w14:paraId="047E7280" w14:textId="01FB5C9D" w:rsidR="000B42B3" w:rsidRPr="00A700E7" w:rsidRDefault="000B42B3" w:rsidP="007A6B1F">
      <w:pPr>
        <w:jc w:val="left"/>
      </w:pPr>
    </w:p>
    <w:p w14:paraId="231CAAC9" w14:textId="15ECFBF3" w:rsidR="000B42B3" w:rsidRPr="00A700E7" w:rsidRDefault="000B42B3" w:rsidP="007A6B1F">
      <w:pPr>
        <w:jc w:val="left"/>
      </w:pPr>
      <w:r w:rsidRPr="00A700E7">
        <w:t xml:space="preserve">Single doses of up to 500 mg of tadalafil have been given to healthy subjects and multiple daily doses of up to 100 mg have been given to male patients with erectile dysfunction. Adverse events were </w:t>
      </w:r>
      <w:proofErr w:type="gramStart"/>
      <w:r w:rsidRPr="00A700E7">
        <w:t>similar to</w:t>
      </w:r>
      <w:proofErr w:type="gramEnd"/>
      <w:r w:rsidRPr="00A700E7">
        <w:t xml:space="preserve"> those seen at lower doses. In cases of overdose, standard supportive measures should be adopted as required. </w:t>
      </w:r>
      <w:proofErr w:type="spellStart"/>
      <w:r w:rsidRPr="00A700E7">
        <w:t>Haemodialysis</w:t>
      </w:r>
      <w:proofErr w:type="spellEnd"/>
      <w:r w:rsidRPr="00A700E7">
        <w:t xml:space="preserve"> contributes negligibly to tadalafil elimination.</w:t>
      </w:r>
    </w:p>
    <w:p w14:paraId="3F8A4B1B" w14:textId="77777777" w:rsidR="000B42B3" w:rsidRPr="00A700E7" w:rsidRDefault="000B42B3" w:rsidP="007A6B1F">
      <w:pPr>
        <w:jc w:val="left"/>
      </w:pPr>
    </w:p>
    <w:p w14:paraId="6EA75112" w14:textId="4EFE3442" w:rsidR="001A074D" w:rsidRPr="00A700E7" w:rsidRDefault="00730EEA" w:rsidP="007A6B1F">
      <w:pPr>
        <w:jc w:val="left"/>
      </w:pPr>
      <w:r w:rsidRPr="00A700E7">
        <w:t xml:space="preserve">For information on the management of overdose, contact </w:t>
      </w:r>
      <w:r w:rsidR="001A074D" w:rsidRPr="00A700E7">
        <w:t>the Poisons Information Centre on 13 11 26</w:t>
      </w:r>
      <w:r w:rsidRPr="00A700E7">
        <w:t xml:space="preserve"> (Australia)</w:t>
      </w:r>
      <w:r w:rsidR="001A074D" w:rsidRPr="00A700E7">
        <w:t>.</w:t>
      </w:r>
    </w:p>
    <w:p w14:paraId="6109C602" w14:textId="77777777" w:rsidR="0060339C" w:rsidRPr="00A700E7" w:rsidRDefault="0060339C" w:rsidP="007A6B1F">
      <w:pPr>
        <w:jc w:val="left"/>
      </w:pPr>
    </w:p>
    <w:p w14:paraId="23DE17E0" w14:textId="77777777" w:rsidR="001A3992" w:rsidRPr="00A700E7" w:rsidRDefault="001A3992" w:rsidP="007A6B1F">
      <w:pPr>
        <w:pStyle w:val="Heading1"/>
        <w:jc w:val="left"/>
      </w:pPr>
      <w:r w:rsidRPr="00A700E7">
        <w:t>Pharmacological properties</w:t>
      </w:r>
    </w:p>
    <w:p w14:paraId="1A46BB6D" w14:textId="60518B29" w:rsidR="001A3992" w:rsidRPr="00A700E7" w:rsidRDefault="001A3992" w:rsidP="007A6B1F">
      <w:pPr>
        <w:pStyle w:val="Heading2"/>
        <w:jc w:val="left"/>
      </w:pPr>
      <w:r w:rsidRPr="00A700E7">
        <w:t xml:space="preserve">Pharmacodynamic properties </w:t>
      </w:r>
    </w:p>
    <w:p w14:paraId="0650D368" w14:textId="0D3AE693" w:rsidR="0060339C" w:rsidRPr="00A700E7" w:rsidRDefault="0060339C" w:rsidP="007A6B1F">
      <w:pPr>
        <w:jc w:val="left"/>
      </w:pPr>
      <w:r w:rsidRPr="00A700E7">
        <w:t>Pharmacotherapeutic group: Anti-hypertensives, anti-hypertensives for pulmonary arterial hypertension, ATC code: C02KX54.</w:t>
      </w:r>
    </w:p>
    <w:p w14:paraId="3FD3BD40" w14:textId="77777777" w:rsidR="0060339C" w:rsidRPr="00A700E7" w:rsidRDefault="0060339C" w:rsidP="007A6B1F">
      <w:pPr>
        <w:pStyle w:val="Heading3"/>
        <w:jc w:val="left"/>
      </w:pPr>
      <w:r w:rsidRPr="00A700E7">
        <w:t>Mechanism of action</w:t>
      </w:r>
    </w:p>
    <w:p w14:paraId="4821790C" w14:textId="087CB281" w:rsidR="002E009A" w:rsidRPr="00A700E7" w:rsidRDefault="007705DC" w:rsidP="007A6B1F">
      <w:pPr>
        <w:jc w:val="left"/>
      </w:pPr>
      <w:r w:rsidRPr="00A700E7">
        <w:t>OPSYNVI</w:t>
      </w:r>
      <w:r w:rsidR="0060339C" w:rsidRPr="00A700E7">
        <w:t xml:space="preserve"> is a single tablet combination therapy containing two oral components with synergistic mechanisms of action to improve pulmonary arterial hypertension: macitentan, an endothelin receptor antagonist (ERA), and tadalafil, a phosphodiesterase 5 inhibitor (PDE5i). As </w:t>
      </w:r>
      <w:r w:rsidRPr="00A700E7">
        <w:t>OPSYNVI</w:t>
      </w:r>
      <w:r w:rsidR="0060339C" w:rsidRPr="00A700E7">
        <w:t xml:space="preserve"> contains macitentan and tadalafil, the mechanism of action of each component should be considered.</w:t>
      </w:r>
    </w:p>
    <w:p w14:paraId="2DFFFD30" w14:textId="77777777" w:rsidR="002E009A" w:rsidRPr="00A700E7" w:rsidRDefault="002E009A" w:rsidP="007A6B1F">
      <w:pPr>
        <w:jc w:val="left"/>
      </w:pPr>
    </w:p>
    <w:p w14:paraId="50A0F909" w14:textId="2FA432C0" w:rsidR="002E009A" w:rsidRPr="00A700E7" w:rsidRDefault="002E009A" w:rsidP="007A6B1F">
      <w:pPr>
        <w:jc w:val="left"/>
      </w:pPr>
      <w:r w:rsidRPr="00A700E7">
        <w:t>Nonclinical pharmacology studies with macitentan co-administered with tadalafil were performed and demonstrated a synergistic antihypertensive effect on systemic hypertension and pulmonary hypertension when compared to monotherapy with the individual components in rodent PAH models.</w:t>
      </w:r>
    </w:p>
    <w:p w14:paraId="028B8B4F" w14:textId="77777777" w:rsidR="002E009A" w:rsidRPr="00A700E7" w:rsidRDefault="002E009A" w:rsidP="007A6B1F">
      <w:pPr>
        <w:jc w:val="left"/>
      </w:pPr>
    </w:p>
    <w:p w14:paraId="26911047" w14:textId="442DA175" w:rsidR="001A3992" w:rsidRPr="00A700E7" w:rsidRDefault="0060339C" w:rsidP="007A6B1F">
      <w:pPr>
        <w:pStyle w:val="Heading4"/>
        <w:jc w:val="left"/>
      </w:pPr>
      <w:r w:rsidRPr="00A700E7">
        <w:t>Macitentan</w:t>
      </w:r>
    </w:p>
    <w:p w14:paraId="262A38CE" w14:textId="7C0E7BD7" w:rsidR="00E372C7" w:rsidRPr="00A700E7" w:rsidRDefault="00E372C7" w:rsidP="007A6B1F">
      <w:pPr>
        <w:jc w:val="left"/>
      </w:pPr>
      <w:r w:rsidRPr="00A700E7">
        <w:t xml:space="preserve">Endothelin (ET)-1 and its receptors (ETA and ETB) mediate a variety of effects such as vasoconstriction, fibrosis, proliferation, hypertrophy, and inflammation. In disease conditions such as PAH, the local ET system is </w:t>
      </w:r>
      <w:proofErr w:type="gramStart"/>
      <w:r w:rsidRPr="00A700E7">
        <w:t>upregulated</w:t>
      </w:r>
      <w:proofErr w:type="gramEnd"/>
      <w:r w:rsidRPr="00A700E7">
        <w:t xml:space="preserve"> and is involved in vascular hypertrophy and in organ damage.</w:t>
      </w:r>
    </w:p>
    <w:p w14:paraId="52B1DF4A" w14:textId="77777777" w:rsidR="0060339C" w:rsidRPr="00A700E7" w:rsidRDefault="0060339C" w:rsidP="007A6B1F">
      <w:pPr>
        <w:jc w:val="left"/>
      </w:pPr>
    </w:p>
    <w:p w14:paraId="3CD1F57A" w14:textId="0CD00136" w:rsidR="00E372C7" w:rsidRPr="00A700E7" w:rsidRDefault="00E372C7" w:rsidP="007A6B1F">
      <w:pPr>
        <w:jc w:val="left"/>
      </w:pPr>
      <w:r w:rsidRPr="00A700E7">
        <w:t>Macitentan is an orally active, dual ETA and ETB receptor antagonist that prevents the binding of ET</w:t>
      </w:r>
      <w:r w:rsidR="00054C10" w:rsidRPr="00A700E7">
        <w:noBreakHyphen/>
      </w:r>
      <w:r w:rsidRPr="00A700E7">
        <w:t xml:space="preserve">1 to its receptors. Macitentan displays high affinity for and sustained occupancy of the ET receptors in human pulmonary arterial smooth muscle cells and has physicochemical properties </w:t>
      </w:r>
      <w:proofErr w:type="spellStart"/>
      <w:r w:rsidRPr="00A700E7">
        <w:t>favouring</w:t>
      </w:r>
      <w:proofErr w:type="spellEnd"/>
      <w:r w:rsidRPr="00A700E7">
        <w:t xml:space="preserve"> penetration into lung tissue, particularly in disease conditions.</w:t>
      </w:r>
    </w:p>
    <w:p w14:paraId="22CB3A9A" w14:textId="77777777" w:rsidR="0060339C" w:rsidRPr="00A700E7" w:rsidRDefault="0060339C" w:rsidP="007A6B1F">
      <w:pPr>
        <w:jc w:val="left"/>
      </w:pPr>
    </w:p>
    <w:p w14:paraId="5DC31D77" w14:textId="5F18F5FD" w:rsidR="00E372C7" w:rsidRPr="00A700E7" w:rsidRDefault="00E372C7" w:rsidP="007A6B1F">
      <w:pPr>
        <w:jc w:val="left"/>
      </w:pPr>
      <w:r w:rsidRPr="00A700E7">
        <w:t xml:space="preserve">In animal models of pulmonary hypertension, macitentan selectively decreased mean pulmonary arterial pressure without affecting systemic blood pressure, prevented pulmonary arterial hypertrophy and right ventricular </w:t>
      </w:r>
      <w:proofErr w:type="spellStart"/>
      <w:r w:rsidRPr="00A700E7">
        <w:t>remodel</w:t>
      </w:r>
      <w:r w:rsidR="00D67681" w:rsidRPr="00A700E7">
        <w:t>l</w:t>
      </w:r>
      <w:r w:rsidRPr="00A700E7">
        <w:t>ing</w:t>
      </w:r>
      <w:proofErr w:type="spellEnd"/>
      <w:r w:rsidRPr="00A700E7">
        <w:t>, and significantly increased survival.</w:t>
      </w:r>
    </w:p>
    <w:p w14:paraId="6BC8EAB6" w14:textId="77777777" w:rsidR="0060339C" w:rsidRPr="00A700E7" w:rsidRDefault="0060339C" w:rsidP="007A6B1F">
      <w:pPr>
        <w:jc w:val="left"/>
        <w:rPr>
          <w:i/>
        </w:rPr>
      </w:pPr>
    </w:p>
    <w:p w14:paraId="214E3766" w14:textId="5E342EB2" w:rsidR="00E372C7" w:rsidRPr="00A700E7" w:rsidRDefault="00E372C7" w:rsidP="007A6B1F">
      <w:pPr>
        <w:jc w:val="left"/>
      </w:pPr>
      <w:r w:rsidRPr="00A700E7">
        <w:rPr>
          <w:i/>
        </w:rPr>
        <w:lastRenderedPageBreak/>
        <w:t>Cardiac Electrophysiology</w:t>
      </w:r>
      <w:r w:rsidRPr="00A700E7">
        <w:t xml:space="preserve">: In a </w:t>
      </w:r>
      <w:proofErr w:type="spellStart"/>
      <w:r w:rsidR="00D67681" w:rsidRPr="00A700E7">
        <w:t>randomised</w:t>
      </w:r>
      <w:proofErr w:type="spellEnd"/>
      <w:r w:rsidRPr="00A700E7">
        <w:t>, placebo-controlled four-way crossover study with a positive control in healthy subjects, repeated doses of macitentan 10 and 30 mg (3 times the recommended dosage) had no significant effect on the QTc interval.</w:t>
      </w:r>
    </w:p>
    <w:p w14:paraId="79817E81" w14:textId="77DF20FB" w:rsidR="0060339C" w:rsidRPr="00A700E7" w:rsidRDefault="0060339C" w:rsidP="007A6B1F">
      <w:pPr>
        <w:jc w:val="left"/>
      </w:pPr>
    </w:p>
    <w:p w14:paraId="460142C8" w14:textId="7AE205C8" w:rsidR="0060339C" w:rsidRPr="00A700E7" w:rsidRDefault="0060339C" w:rsidP="007A6B1F">
      <w:pPr>
        <w:pStyle w:val="Heading4"/>
        <w:jc w:val="left"/>
      </w:pPr>
      <w:r w:rsidRPr="00A700E7">
        <w:t>Tadalafil</w:t>
      </w:r>
    </w:p>
    <w:p w14:paraId="5B130C90" w14:textId="324EDE71" w:rsidR="009F3DE6" w:rsidRPr="00A700E7" w:rsidRDefault="009F3DE6" w:rsidP="007A6B1F">
      <w:pPr>
        <w:jc w:val="left"/>
      </w:pPr>
      <w:r w:rsidRPr="00A700E7">
        <w:t>Tadalafil is a reversible inhibitor of cyclic guanosine monophosphate (cGMP) – specific phosphodiesterase type 5 (PDE5). Pulmonary arterial hypertension is associated with impaired release of nitric oxide by the vascular endothelium and consequent reduction of cGMP concentrations within the pulmonary vascular smooth muscle. PDE5 is the predominant phosphodiesterase in the pulmonary vasculature. Inhibition of PDE5 by tadalafil increases the concentrations of cGMP resulting in relaxation of the pulmonary vascular smooth muscle cell and vasodilation of the pulmonary vascular bed.</w:t>
      </w:r>
    </w:p>
    <w:p w14:paraId="16B85D22" w14:textId="77777777" w:rsidR="009F3DE6" w:rsidRPr="00A700E7" w:rsidRDefault="009F3DE6" w:rsidP="007A6B1F">
      <w:pPr>
        <w:jc w:val="left"/>
      </w:pPr>
    </w:p>
    <w:p w14:paraId="04D5DD1D" w14:textId="77777777" w:rsidR="009F3DE6" w:rsidRPr="00A700E7" w:rsidRDefault="009F3DE6" w:rsidP="007A6B1F">
      <w:pPr>
        <w:jc w:val="left"/>
      </w:pPr>
      <w:r w:rsidRPr="00A700E7">
        <w:t xml:space="preserve">Studies </w:t>
      </w:r>
      <w:r w:rsidRPr="00A700E7">
        <w:rPr>
          <w:i/>
          <w:iCs/>
        </w:rPr>
        <w:t>in vitro</w:t>
      </w:r>
      <w:r w:rsidRPr="00A700E7">
        <w:t xml:space="preserve"> have shown that tadalafil inhibits PDE5 more potently than other PDEs. PDE5 is an enzyme found in the corpus cavernosum smooth muscle, vascular and visceral smooth muscle, skeletal muscle, platelets, kidney, lung and cerebellum.</w:t>
      </w:r>
    </w:p>
    <w:p w14:paraId="6F6DE9CD" w14:textId="77777777" w:rsidR="009F3DE6" w:rsidRPr="00A700E7" w:rsidRDefault="009F3DE6" w:rsidP="007A6B1F">
      <w:pPr>
        <w:jc w:val="left"/>
      </w:pPr>
    </w:p>
    <w:p w14:paraId="1B904B1F" w14:textId="39D9B127" w:rsidR="009F3DE6" w:rsidRPr="00A700E7" w:rsidRDefault="009F3DE6" w:rsidP="007A6B1F">
      <w:pPr>
        <w:jc w:val="left"/>
      </w:pPr>
      <w:r w:rsidRPr="00A700E7">
        <w:t>Tadalafil is &gt;10,000-fold more potent for PDE5 than for PDE1, PDE2, PDE4, and PDE7 enzymes which are found in the heart, brain, blood vessels, liver, leukocytes, skeletal muscle and other organs. Tadalafil is &gt;10,000-fold more potent for PDE5 than for PDE3, an enzyme found in the heart and blood vessels. This selectivity for PDE5 over PDE3 is important because PDE3 is an enzyme involved in cardiac contractility. Additionally, tadalafil is approximately 700-fold more potent for PDE5 than for PDE6, an enzyme which is found in the retina and is responsible for phototransduction. Tadalafil is also &gt;9,000-fold more potent for PDE5 than for PDE8, 9 and 10 and 14-fold more potent for PDE5 than for PDE11. The tissue distribution and physiological effects of the inhibition of PDE8 through PDE11 have not been elucidated.</w:t>
      </w:r>
    </w:p>
    <w:p w14:paraId="6D1D3075" w14:textId="77777777" w:rsidR="009F3DE6" w:rsidRPr="00A700E7" w:rsidRDefault="009F3DE6" w:rsidP="007A6B1F">
      <w:pPr>
        <w:jc w:val="left"/>
      </w:pPr>
    </w:p>
    <w:p w14:paraId="099EB6D6" w14:textId="50B83ACA" w:rsidR="009F3DE6" w:rsidRPr="00A700E7" w:rsidRDefault="009F3DE6" w:rsidP="007A6B1F">
      <w:pPr>
        <w:jc w:val="left"/>
      </w:pPr>
      <w:r w:rsidRPr="00A700E7">
        <w:t xml:space="preserve">In a study to assess the effects of tadalafil on vision, no impairment of </w:t>
      </w:r>
      <w:proofErr w:type="spellStart"/>
      <w:r w:rsidRPr="00A700E7">
        <w:t>colour</w:t>
      </w:r>
      <w:proofErr w:type="spellEnd"/>
      <w:r w:rsidRPr="00A700E7">
        <w:t xml:space="preserve"> discrimination (blue/green) was detected using the Farnsworth-Munsell 100-hue test. This finding is consistent with the low affinity of tadalafil for PDE6 compared to PDE5. In addition, no effects were observed on visual acuity, electroretinograms, intraocular pressure or pupillometry. Across all clinical studies, reports of changes in </w:t>
      </w:r>
      <w:proofErr w:type="spellStart"/>
      <w:r w:rsidRPr="00A700E7">
        <w:t>colour</w:t>
      </w:r>
      <w:proofErr w:type="spellEnd"/>
      <w:r w:rsidRPr="00A700E7">
        <w:t xml:space="preserve"> vision were rare (see Section 4.8 </w:t>
      </w:r>
      <w:r w:rsidRPr="00A700E7">
        <w:rPr>
          <w:caps/>
        </w:rPr>
        <w:t>Adverse effects (Undesirable Effects))</w:t>
      </w:r>
      <w:r w:rsidRPr="00A700E7">
        <w:t>.</w:t>
      </w:r>
    </w:p>
    <w:p w14:paraId="0673A1F3" w14:textId="77777777" w:rsidR="009F3DE6" w:rsidRPr="00A700E7" w:rsidRDefault="009F3DE6" w:rsidP="007A6B1F">
      <w:pPr>
        <w:jc w:val="left"/>
      </w:pPr>
    </w:p>
    <w:p w14:paraId="28D8E9AA" w14:textId="09C2CA07" w:rsidR="009F3DE6" w:rsidRPr="00A700E7" w:rsidRDefault="009F3DE6" w:rsidP="007A6B1F">
      <w:pPr>
        <w:jc w:val="left"/>
      </w:pPr>
      <w:r w:rsidRPr="00A700E7">
        <w:t xml:space="preserve">Tadalafil administered to healthy subjects produced no significant difference compared to placebo in supine systolic and diastolic blood pressure (mean maximal decrease of 1.6/0.8 mm Hg, respectively), in standing </w:t>
      </w:r>
      <w:proofErr w:type="gramStart"/>
      <w:r w:rsidRPr="00A700E7">
        <w:t>systolic</w:t>
      </w:r>
      <w:proofErr w:type="gramEnd"/>
      <w:r w:rsidRPr="00A700E7">
        <w:t xml:space="preserve"> and diastolic blood pressure (mean maximal decrease of 0.2/4.6 mm Hg, respectively) and no significant change in heart rate. Larger effects were recorded among subjects receiving concomitant nitrates (see Section 4.3 </w:t>
      </w:r>
      <w:r w:rsidRPr="00A700E7">
        <w:rPr>
          <w:caps/>
        </w:rPr>
        <w:t>Contraindications</w:t>
      </w:r>
      <w:r w:rsidRPr="00A700E7">
        <w:t>).</w:t>
      </w:r>
    </w:p>
    <w:p w14:paraId="5714A3A0" w14:textId="77777777" w:rsidR="00346612" w:rsidRPr="00A700E7" w:rsidRDefault="00346612" w:rsidP="007A6B1F">
      <w:pPr>
        <w:jc w:val="left"/>
      </w:pPr>
    </w:p>
    <w:p w14:paraId="32F941D8" w14:textId="76126E8B" w:rsidR="00346612" w:rsidRPr="00A700E7" w:rsidRDefault="00346612" w:rsidP="007A6B1F">
      <w:pPr>
        <w:jc w:val="left"/>
      </w:pPr>
      <w:r w:rsidRPr="00A700E7">
        <w:t xml:space="preserve">Three studies were conducted in men to assess the potential effect on spermatogenesis of tadalafil 10 mg (one 6-month study) and 20 mg (one 6-month and one 9-month study) administered daily. There were no adverse effects on sperm morphology or sperm motility in any of the three studies. In the study of 10 mg tadalafil for 6 months and the study of 20 mg tadalafil for 9 months, results showed a decrease in mean sperm concentrations relative to placebo. This effect was not seen in the study of 20 mg tadalafil taken for 6 months. In all 3 studies there were no statistically significant differences between the placebo and tadalafil </w:t>
      </w:r>
      <w:r w:rsidRPr="00A700E7">
        <w:lastRenderedPageBreak/>
        <w:t xml:space="preserve">groups for mean total sperm counts. In </w:t>
      </w:r>
      <w:proofErr w:type="gramStart"/>
      <w:r w:rsidRPr="00A700E7">
        <w:t>addition</w:t>
      </w:r>
      <w:proofErr w:type="gramEnd"/>
      <w:r w:rsidRPr="00A700E7">
        <w:t xml:space="preserve"> there was no adverse effect on mean concentrations of reproductive hormones, testosterone, </w:t>
      </w:r>
      <w:proofErr w:type="spellStart"/>
      <w:r w:rsidRPr="00A700E7">
        <w:t>luteinising</w:t>
      </w:r>
      <w:proofErr w:type="spellEnd"/>
      <w:r w:rsidRPr="00A700E7">
        <w:t xml:space="preserve"> hormone or follicle stimulating hormone with either 10 or 20 mg of tadalafil compared to placebo.</w:t>
      </w:r>
    </w:p>
    <w:p w14:paraId="50AFFD60" w14:textId="311827E2" w:rsidR="001A3992" w:rsidRPr="00A700E7" w:rsidRDefault="001A3992" w:rsidP="007A6B1F">
      <w:pPr>
        <w:pStyle w:val="Heading3"/>
        <w:jc w:val="left"/>
      </w:pPr>
      <w:r w:rsidRPr="00A700E7">
        <w:t>Clinical trials</w:t>
      </w:r>
    </w:p>
    <w:p w14:paraId="31D3AA97" w14:textId="0CF46F04" w:rsidR="007705DC" w:rsidRPr="00A700E7" w:rsidRDefault="007705DC" w:rsidP="007A6B1F">
      <w:pPr>
        <w:pStyle w:val="Heading4"/>
        <w:jc w:val="left"/>
      </w:pPr>
      <w:r w:rsidRPr="00A700E7">
        <w:t>Efficacy of OPSYNVI in patients with pulmonary arterial hypertension</w:t>
      </w:r>
    </w:p>
    <w:p w14:paraId="7A46FD00" w14:textId="16069B5C" w:rsidR="007705DC" w:rsidRPr="00A700E7" w:rsidRDefault="007705DC" w:rsidP="007A6B1F">
      <w:pPr>
        <w:jc w:val="left"/>
      </w:pPr>
      <w:r w:rsidRPr="00A700E7">
        <w:t>The efficacy of OPSYNVI was demonstrated in a multi-national, multi-</w:t>
      </w:r>
      <w:proofErr w:type="spellStart"/>
      <w:r w:rsidRPr="00A700E7">
        <w:t>cent</w:t>
      </w:r>
      <w:r w:rsidR="00947F6E" w:rsidRPr="00A700E7">
        <w:t>re</w:t>
      </w:r>
      <w:proofErr w:type="spellEnd"/>
      <w:r w:rsidRPr="00A700E7">
        <w:t xml:space="preserve">, double-blind, adaptive, </w:t>
      </w:r>
      <w:proofErr w:type="spellStart"/>
      <w:r w:rsidR="00D67681" w:rsidRPr="00A700E7">
        <w:t>randomised</w:t>
      </w:r>
      <w:proofErr w:type="spellEnd"/>
      <w:r w:rsidRPr="00A700E7">
        <w:t xml:space="preserve">, active-controlled, parallel-group study [NCT03904693 (A DUE)] in 187 patients with PAH (WHO FC II–III). The study was designed to compare the efficacy and safety of OPSYNVI to each monotherapy macitentan or tadalafil. Patients with pulmonary vascular resistance (PVR) of at least 240 </w:t>
      </w:r>
      <w:proofErr w:type="spellStart"/>
      <w:r w:rsidRPr="00A700E7">
        <w:t>dyn</w:t>
      </w:r>
      <w:proofErr w:type="spellEnd"/>
      <w:r w:rsidR="00694058" w:rsidRPr="00A700E7">
        <w:t xml:space="preserve"> </w:t>
      </w:r>
      <w:r w:rsidRPr="00A700E7">
        <w:t>s/cm</w:t>
      </w:r>
      <w:r w:rsidRPr="00A700E7">
        <w:rPr>
          <w:vertAlign w:val="superscript"/>
        </w:rPr>
        <w:t>5</w:t>
      </w:r>
      <w:r w:rsidRPr="00A700E7">
        <w:t xml:space="preserve"> were </w:t>
      </w:r>
      <w:proofErr w:type="spellStart"/>
      <w:r w:rsidR="00D67681" w:rsidRPr="00A700E7">
        <w:t>randomised</w:t>
      </w:r>
      <w:proofErr w:type="spellEnd"/>
      <w:r w:rsidRPr="00A700E7">
        <w:t xml:space="preserve"> to receive OPSYNVI (n=108), 10 mg macitentan monotherapy (n=35) or 40 mg tadalafil monotherapy (n=44), once daily.</w:t>
      </w:r>
    </w:p>
    <w:p w14:paraId="759CC18A" w14:textId="77777777" w:rsidR="007705DC" w:rsidRPr="00A700E7" w:rsidRDefault="007705DC" w:rsidP="007A6B1F">
      <w:pPr>
        <w:jc w:val="left"/>
      </w:pPr>
    </w:p>
    <w:p w14:paraId="2F1255BF" w14:textId="473B9C15" w:rsidR="00694058" w:rsidRPr="00A700E7" w:rsidRDefault="00694058" w:rsidP="007A6B1F">
      <w:pPr>
        <w:jc w:val="left"/>
      </w:pPr>
      <w:r w:rsidRPr="00A700E7">
        <w:t>Patients who received treatment during the double-blind treatment period (n=186) were either treatment-</w:t>
      </w:r>
      <w:proofErr w:type="gramStart"/>
      <w:r w:rsidRPr="00A700E7">
        <w:t>naïve</w:t>
      </w:r>
      <w:proofErr w:type="gramEnd"/>
      <w:r w:rsidRPr="00A700E7">
        <w:t xml:space="preserve"> (52.7%) or on an ERA (17.2%) or a PDE5i (30.1%). Patients enrolled had idiopathic PAH (50.5%), heritable PAH (4.8%), PAH associated with connective </w:t>
      </w:r>
      <w:r w:rsidRPr="00A700E7">
        <w:rPr>
          <w:rFonts w:hint="eastAsia"/>
        </w:rPr>
        <w:t>tissue disease (</w:t>
      </w:r>
      <w:r w:rsidRPr="00A700E7">
        <w:t>34.9</w:t>
      </w:r>
      <w:r w:rsidRPr="00A700E7">
        <w:rPr>
          <w:rFonts w:hint="eastAsia"/>
        </w:rPr>
        <w:t>%), or PAH associated with congenital heart disease (</w:t>
      </w:r>
      <w:r w:rsidRPr="00A700E7">
        <w:t>3.2</w:t>
      </w:r>
      <w:r w:rsidRPr="00A700E7">
        <w:rPr>
          <w:rFonts w:hint="eastAsia"/>
        </w:rPr>
        <w:t xml:space="preserve">%). The mean age was </w:t>
      </w:r>
      <w:r w:rsidRPr="00A700E7">
        <w:t>50.2</w:t>
      </w:r>
      <w:r w:rsidRPr="00A700E7">
        <w:rPr>
          <w:rFonts w:hint="eastAsia"/>
        </w:rPr>
        <w:t xml:space="preserve"> years (range 1</w:t>
      </w:r>
      <w:r w:rsidRPr="00A700E7">
        <w:t>8 - 80</w:t>
      </w:r>
      <w:r w:rsidRPr="00A700E7">
        <w:rPr>
          <w:rFonts w:hint="eastAsia"/>
        </w:rPr>
        <w:t xml:space="preserve">), </w:t>
      </w:r>
      <w:r w:rsidRPr="00A700E7">
        <w:t>20.4</w:t>
      </w:r>
      <w:r w:rsidRPr="00A700E7">
        <w:rPr>
          <w:rFonts w:hint="eastAsia"/>
        </w:rPr>
        <w:t>% of patients were</w:t>
      </w:r>
      <w:r w:rsidRPr="00A700E7">
        <w:t xml:space="preserve"> ≥</w:t>
      </w:r>
      <w:r w:rsidRPr="00A700E7">
        <w:rPr>
          <w:rFonts w:hint="eastAsia"/>
        </w:rPr>
        <w:t xml:space="preserve"> 65 years of age, </w:t>
      </w:r>
      <w:r w:rsidRPr="00A700E7">
        <w:t>22.0</w:t>
      </w:r>
      <w:r w:rsidRPr="00A700E7">
        <w:rPr>
          <w:rFonts w:hint="eastAsia"/>
        </w:rPr>
        <w:t>% were male and 61.</w:t>
      </w:r>
      <w:r w:rsidRPr="00A700E7">
        <w:t>8</w:t>
      </w:r>
      <w:r w:rsidRPr="00A700E7">
        <w:rPr>
          <w:rFonts w:hint="eastAsia"/>
        </w:rPr>
        <w:t xml:space="preserve">% were white. At the time of enrolment, </w:t>
      </w:r>
      <w:r w:rsidRPr="00A700E7">
        <w:t>51.1</w:t>
      </w:r>
      <w:r w:rsidRPr="00A700E7">
        <w:rPr>
          <w:rFonts w:hint="eastAsia"/>
        </w:rPr>
        <w:t>% of patients were WH</w:t>
      </w:r>
      <w:r w:rsidRPr="00A700E7">
        <w:t>O FC II and 48.9% were WHO FC III.</w:t>
      </w:r>
    </w:p>
    <w:p w14:paraId="7E26B45D" w14:textId="77777777" w:rsidR="00694058" w:rsidRPr="00A700E7" w:rsidRDefault="00694058" w:rsidP="007A6B1F">
      <w:pPr>
        <w:jc w:val="left"/>
      </w:pPr>
    </w:p>
    <w:p w14:paraId="1064F0C6" w14:textId="35D31704" w:rsidR="007705DC" w:rsidRPr="00A700E7" w:rsidRDefault="007705DC" w:rsidP="007A6B1F">
      <w:pPr>
        <w:jc w:val="left"/>
      </w:pPr>
      <w:r w:rsidRPr="00A700E7">
        <w:t>Patients who were not on a therapeutic PDE5i dose at baseline, received a 1-week titration period of macitentan 10 mg and tadalafil 20 mg.</w:t>
      </w:r>
    </w:p>
    <w:p w14:paraId="75870D52" w14:textId="77777777" w:rsidR="007705DC" w:rsidRPr="00A700E7" w:rsidRDefault="007705DC" w:rsidP="007A6B1F">
      <w:pPr>
        <w:jc w:val="left"/>
      </w:pPr>
    </w:p>
    <w:p w14:paraId="5E147166" w14:textId="18539BBC" w:rsidR="005411EC" w:rsidRPr="00A700E7" w:rsidRDefault="007705DC" w:rsidP="007A6B1F">
      <w:pPr>
        <w:jc w:val="left"/>
      </w:pPr>
      <w:r w:rsidRPr="00A700E7">
        <w:t xml:space="preserve">The primary endpoint of the study was </w:t>
      </w:r>
      <w:proofErr w:type="gramStart"/>
      <w:r w:rsidRPr="00A700E7">
        <w:t>change</w:t>
      </w:r>
      <w:proofErr w:type="gramEnd"/>
      <w:r w:rsidRPr="00A700E7">
        <w:t xml:space="preserve"> from baseline in PVR vs the individual component monotherapies after 16 weeks. The 6-minute walk distance (6MWD) was the main secondary endpoint measured as a change from baseline to Week 16.</w:t>
      </w:r>
    </w:p>
    <w:p w14:paraId="13C0EFD8" w14:textId="77777777" w:rsidR="00774AFB" w:rsidRPr="00A700E7" w:rsidRDefault="00774AFB" w:rsidP="007A6B1F">
      <w:pPr>
        <w:jc w:val="left"/>
        <w:rPr>
          <w:i/>
          <w:iCs/>
        </w:rPr>
      </w:pPr>
    </w:p>
    <w:p w14:paraId="714E0E18" w14:textId="7AEFD6E8" w:rsidR="007705DC" w:rsidRPr="00A700E7" w:rsidRDefault="007705DC" w:rsidP="007A6B1F">
      <w:pPr>
        <w:jc w:val="left"/>
        <w:rPr>
          <w:i/>
          <w:iCs/>
        </w:rPr>
      </w:pPr>
      <w:proofErr w:type="spellStart"/>
      <w:r w:rsidRPr="00A700E7">
        <w:rPr>
          <w:i/>
          <w:iCs/>
        </w:rPr>
        <w:t>H</w:t>
      </w:r>
      <w:r w:rsidR="00585AA7" w:rsidRPr="00A700E7">
        <w:rPr>
          <w:i/>
          <w:iCs/>
        </w:rPr>
        <w:t>a</w:t>
      </w:r>
      <w:r w:rsidRPr="00A700E7">
        <w:rPr>
          <w:i/>
          <w:iCs/>
        </w:rPr>
        <w:t>emodynamic</w:t>
      </w:r>
      <w:proofErr w:type="spellEnd"/>
    </w:p>
    <w:p w14:paraId="66B14211" w14:textId="11782F69" w:rsidR="00605421" w:rsidRPr="00A700E7" w:rsidRDefault="007705DC" w:rsidP="007A6B1F">
      <w:pPr>
        <w:jc w:val="left"/>
      </w:pPr>
      <w:r w:rsidRPr="00A700E7">
        <w:t xml:space="preserve">Treatment with OPSYNVI resulted in a highly statistically significant and clinically meaningful effect of 0.71 (95% CL 0.61, 0.82, p &lt; 0.0001) representing a 29% reduction in PVR as compared to macitentan, and of 0.72 (95% CLs 0.64, 0.80, p &lt; 0.0001) representing a 28% reduction in PVR as compared to tadalafil (Table </w:t>
      </w:r>
      <w:r w:rsidR="00990D80" w:rsidRPr="00A700E7">
        <w:t>11</w:t>
      </w:r>
      <w:r w:rsidRPr="00A700E7">
        <w:t>).</w:t>
      </w:r>
    </w:p>
    <w:p w14:paraId="5C9A42C7" w14:textId="77777777" w:rsidR="00914677" w:rsidRPr="00A700E7" w:rsidRDefault="00914677" w:rsidP="007A6B1F">
      <w:pPr>
        <w:jc w:val="left"/>
      </w:pPr>
    </w:p>
    <w:p w14:paraId="3F274011" w14:textId="5FD19DEC" w:rsidR="007705DC" w:rsidRPr="00A700E7" w:rsidRDefault="007705DC" w:rsidP="007A6B1F">
      <w:pPr>
        <w:jc w:val="left"/>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530"/>
        <w:gridCol w:w="1800"/>
        <w:gridCol w:w="1478"/>
        <w:gridCol w:w="1723"/>
      </w:tblGrid>
      <w:tr w:rsidR="00A700E7" w:rsidRPr="00A700E7" w14:paraId="1E00EAF5" w14:textId="77777777" w:rsidTr="00861FAA">
        <w:tc>
          <w:tcPr>
            <w:tcW w:w="9586" w:type="dxa"/>
            <w:gridSpan w:val="5"/>
            <w:tcBorders>
              <w:top w:val="nil"/>
              <w:left w:val="nil"/>
              <w:bottom w:val="single" w:sz="4" w:space="0" w:color="auto"/>
              <w:right w:val="nil"/>
            </w:tcBorders>
          </w:tcPr>
          <w:p w14:paraId="65663B61" w14:textId="4ABF88FD" w:rsidR="007705DC" w:rsidRPr="00A700E7" w:rsidRDefault="007705DC" w:rsidP="007A6B1F">
            <w:pPr>
              <w:jc w:val="left"/>
              <w:rPr>
                <w:b/>
                <w:bCs/>
                <w:sz w:val="20"/>
                <w:szCs w:val="20"/>
              </w:rPr>
            </w:pPr>
            <w:r w:rsidRPr="00A700E7">
              <w:rPr>
                <w:b/>
                <w:bCs/>
                <w:sz w:val="20"/>
                <w:szCs w:val="20"/>
              </w:rPr>
              <w:t xml:space="preserve">Table </w:t>
            </w:r>
            <w:r w:rsidR="00990D80" w:rsidRPr="00A700E7">
              <w:rPr>
                <w:b/>
                <w:bCs/>
                <w:sz w:val="20"/>
                <w:szCs w:val="20"/>
              </w:rPr>
              <w:t xml:space="preserve">11 </w:t>
            </w:r>
            <w:r w:rsidRPr="00A700E7">
              <w:rPr>
                <w:b/>
                <w:bCs/>
                <w:sz w:val="20"/>
                <w:szCs w:val="20"/>
              </w:rPr>
              <w:t xml:space="preserve">Change from </w:t>
            </w:r>
            <w:r w:rsidR="00694058" w:rsidRPr="00A700E7">
              <w:rPr>
                <w:b/>
                <w:bCs/>
                <w:sz w:val="20"/>
                <w:szCs w:val="20"/>
              </w:rPr>
              <w:t>B</w:t>
            </w:r>
            <w:r w:rsidRPr="00A700E7">
              <w:rPr>
                <w:b/>
                <w:bCs/>
                <w:sz w:val="20"/>
                <w:szCs w:val="20"/>
              </w:rPr>
              <w:t xml:space="preserve">aseline in PVR at </w:t>
            </w:r>
            <w:r w:rsidR="00694058" w:rsidRPr="00A700E7">
              <w:rPr>
                <w:b/>
                <w:bCs/>
                <w:sz w:val="20"/>
                <w:szCs w:val="20"/>
              </w:rPr>
              <w:t>W</w:t>
            </w:r>
            <w:r w:rsidRPr="00A700E7">
              <w:rPr>
                <w:b/>
                <w:bCs/>
                <w:sz w:val="20"/>
                <w:szCs w:val="20"/>
              </w:rPr>
              <w:t>eek 16</w:t>
            </w:r>
          </w:p>
        </w:tc>
      </w:tr>
      <w:tr w:rsidR="00A700E7" w:rsidRPr="00A700E7" w14:paraId="389D2B89" w14:textId="77777777" w:rsidTr="00861FAA">
        <w:tc>
          <w:tcPr>
            <w:tcW w:w="3055" w:type="dxa"/>
            <w:vMerge w:val="restart"/>
            <w:tcBorders>
              <w:top w:val="single" w:sz="4" w:space="0" w:color="auto"/>
            </w:tcBorders>
          </w:tcPr>
          <w:p w14:paraId="24427001" w14:textId="77777777" w:rsidR="00346612" w:rsidRPr="00A700E7" w:rsidRDefault="00346612" w:rsidP="007A6B1F">
            <w:pPr>
              <w:jc w:val="left"/>
              <w:rPr>
                <w:b/>
                <w:bCs/>
                <w:sz w:val="20"/>
                <w:szCs w:val="20"/>
              </w:rPr>
            </w:pPr>
          </w:p>
        </w:tc>
        <w:tc>
          <w:tcPr>
            <w:tcW w:w="3330" w:type="dxa"/>
            <w:gridSpan w:val="2"/>
            <w:tcBorders>
              <w:top w:val="single" w:sz="4" w:space="0" w:color="auto"/>
            </w:tcBorders>
          </w:tcPr>
          <w:p w14:paraId="23CF9647" w14:textId="77777777" w:rsidR="00346612" w:rsidRPr="00A700E7" w:rsidRDefault="00346612" w:rsidP="007A6B1F">
            <w:pPr>
              <w:jc w:val="left"/>
              <w:rPr>
                <w:sz w:val="20"/>
                <w:szCs w:val="20"/>
              </w:rPr>
            </w:pPr>
            <w:r w:rsidRPr="00A700E7">
              <w:rPr>
                <w:sz w:val="20"/>
                <w:szCs w:val="20"/>
              </w:rPr>
              <w:t>Treatment-naive and Prior ERA Treatment</w:t>
            </w:r>
          </w:p>
        </w:tc>
        <w:tc>
          <w:tcPr>
            <w:tcW w:w="3201" w:type="dxa"/>
            <w:gridSpan w:val="2"/>
            <w:tcBorders>
              <w:top w:val="single" w:sz="4" w:space="0" w:color="auto"/>
            </w:tcBorders>
          </w:tcPr>
          <w:p w14:paraId="6DC4F94F" w14:textId="56363B9B" w:rsidR="00346612" w:rsidRPr="00A700E7" w:rsidRDefault="00346612" w:rsidP="007A6B1F">
            <w:pPr>
              <w:jc w:val="left"/>
              <w:rPr>
                <w:sz w:val="20"/>
                <w:szCs w:val="20"/>
              </w:rPr>
            </w:pPr>
            <w:r w:rsidRPr="00A700E7">
              <w:rPr>
                <w:sz w:val="20"/>
                <w:szCs w:val="20"/>
              </w:rPr>
              <w:t>Treatment-naive and Prior PDE5i Treatment</w:t>
            </w:r>
          </w:p>
        </w:tc>
      </w:tr>
      <w:tr w:rsidR="00A700E7" w:rsidRPr="00A700E7" w14:paraId="1921A359" w14:textId="77777777" w:rsidTr="006D7E58">
        <w:tc>
          <w:tcPr>
            <w:tcW w:w="3055" w:type="dxa"/>
            <w:vMerge/>
          </w:tcPr>
          <w:p w14:paraId="009BE68A" w14:textId="77777777" w:rsidR="00346612" w:rsidRPr="00A700E7" w:rsidRDefault="00346612" w:rsidP="007A6B1F">
            <w:pPr>
              <w:jc w:val="left"/>
              <w:rPr>
                <w:sz w:val="20"/>
                <w:szCs w:val="20"/>
              </w:rPr>
            </w:pPr>
          </w:p>
        </w:tc>
        <w:tc>
          <w:tcPr>
            <w:tcW w:w="1530" w:type="dxa"/>
          </w:tcPr>
          <w:p w14:paraId="77E7DF59" w14:textId="77777777" w:rsidR="00346612" w:rsidRPr="00A700E7" w:rsidRDefault="00346612" w:rsidP="007A6B1F">
            <w:pPr>
              <w:jc w:val="left"/>
              <w:rPr>
                <w:sz w:val="20"/>
                <w:szCs w:val="20"/>
              </w:rPr>
            </w:pPr>
            <w:r w:rsidRPr="00A700E7">
              <w:rPr>
                <w:sz w:val="20"/>
                <w:szCs w:val="20"/>
              </w:rPr>
              <w:t>Macitentan</w:t>
            </w:r>
          </w:p>
          <w:p w14:paraId="15704169" w14:textId="77777777" w:rsidR="00346612" w:rsidRPr="00A700E7" w:rsidRDefault="00346612" w:rsidP="007A6B1F">
            <w:pPr>
              <w:jc w:val="left"/>
              <w:rPr>
                <w:sz w:val="20"/>
                <w:szCs w:val="20"/>
              </w:rPr>
            </w:pPr>
            <w:r w:rsidRPr="00A700E7">
              <w:rPr>
                <w:sz w:val="20"/>
                <w:szCs w:val="20"/>
              </w:rPr>
              <w:t>(n=35)</w:t>
            </w:r>
          </w:p>
        </w:tc>
        <w:tc>
          <w:tcPr>
            <w:tcW w:w="1800" w:type="dxa"/>
          </w:tcPr>
          <w:p w14:paraId="0E8A23B4" w14:textId="2194BE3D" w:rsidR="00346612" w:rsidRPr="00A700E7" w:rsidRDefault="00346612" w:rsidP="007A6B1F">
            <w:pPr>
              <w:jc w:val="left"/>
              <w:rPr>
                <w:sz w:val="20"/>
                <w:szCs w:val="20"/>
              </w:rPr>
            </w:pPr>
            <w:r w:rsidRPr="00A700E7">
              <w:rPr>
                <w:sz w:val="20"/>
                <w:szCs w:val="20"/>
              </w:rPr>
              <w:t>OPSYNVI</w:t>
            </w:r>
          </w:p>
          <w:p w14:paraId="64885999" w14:textId="77777777" w:rsidR="00346612" w:rsidRPr="00A700E7" w:rsidRDefault="00346612" w:rsidP="007A6B1F">
            <w:pPr>
              <w:jc w:val="left"/>
              <w:rPr>
                <w:sz w:val="20"/>
                <w:szCs w:val="20"/>
              </w:rPr>
            </w:pPr>
            <w:r w:rsidRPr="00A700E7">
              <w:rPr>
                <w:sz w:val="20"/>
                <w:szCs w:val="20"/>
              </w:rPr>
              <w:t>(n=70)</w:t>
            </w:r>
          </w:p>
        </w:tc>
        <w:tc>
          <w:tcPr>
            <w:tcW w:w="1478" w:type="dxa"/>
          </w:tcPr>
          <w:p w14:paraId="5DE23F09" w14:textId="77777777" w:rsidR="00346612" w:rsidRPr="00A700E7" w:rsidRDefault="00346612" w:rsidP="007A6B1F">
            <w:pPr>
              <w:jc w:val="left"/>
              <w:rPr>
                <w:sz w:val="20"/>
                <w:szCs w:val="20"/>
              </w:rPr>
            </w:pPr>
            <w:r w:rsidRPr="00A700E7">
              <w:rPr>
                <w:sz w:val="20"/>
                <w:szCs w:val="20"/>
              </w:rPr>
              <w:t>Tadalafil</w:t>
            </w:r>
          </w:p>
          <w:p w14:paraId="4B993128" w14:textId="77777777" w:rsidR="00346612" w:rsidRPr="00A700E7" w:rsidRDefault="00346612" w:rsidP="007A6B1F">
            <w:pPr>
              <w:jc w:val="left"/>
              <w:rPr>
                <w:sz w:val="20"/>
                <w:szCs w:val="20"/>
              </w:rPr>
            </w:pPr>
            <w:r w:rsidRPr="00A700E7">
              <w:rPr>
                <w:sz w:val="20"/>
                <w:szCs w:val="20"/>
              </w:rPr>
              <w:t>(n=44)</w:t>
            </w:r>
          </w:p>
        </w:tc>
        <w:tc>
          <w:tcPr>
            <w:tcW w:w="1723" w:type="dxa"/>
          </w:tcPr>
          <w:p w14:paraId="4EFFB328" w14:textId="2520CD6F" w:rsidR="00346612" w:rsidRPr="00A700E7" w:rsidRDefault="00346612" w:rsidP="007A6B1F">
            <w:pPr>
              <w:jc w:val="left"/>
              <w:rPr>
                <w:sz w:val="20"/>
                <w:szCs w:val="20"/>
              </w:rPr>
            </w:pPr>
            <w:r w:rsidRPr="00A700E7">
              <w:rPr>
                <w:sz w:val="20"/>
                <w:szCs w:val="20"/>
              </w:rPr>
              <w:t>OPSYNVI</w:t>
            </w:r>
          </w:p>
          <w:p w14:paraId="4288E763" w14:textId="77777777" w:rsidR="00346612" w:rsidRPr="00A700E7" w:rsidRDefault="00346612" w:rsidP="007A6B1F">
            <w:pPr>
              <w:jc w:val="left"/>
              <w:rPr>
                <w:sz w:val="20"/>
                <w:szCs w:val="20"/>
              </w:rPr>
            </w:pPr>
            <w:r w:rsidRPr="00A700E7">
              <w:rPr>
                <w:sz w:val="20"/>
                <w:szCs w:val="20"/>
              </w:rPr>
              <w:t>(n=86)</w:t>
            </w:r>
          </w:p>
        </w:tc>
      </w:tr>
      <w:tr w:rsidR="00A700E7" w:rsidRPr="00A700E7" w14:paraId="53DDE42F" w14:textId="77777777" w:rsidTr="00A531DC">
        <w:tc>
          <w:tcPr>
            <w:tcW w:w="3055" w:type="dxa"/>
          </w:tcPr>
          <w:p w14:paraId="3A8453C4" w14:textId="45C91914" w:rsidR="00694058" w:rsidRPr="00A700E7" w:rsidRDefault="00694058" w:rsidP="007A6B1F">
            <w:pPr>
              <w:jc w:val="left"/>
              <w:rPr>
                <w:sz w:val="20"/>
                <w:szCs w:val="20"/>
              </w:rPr>
            </w:pPr>
            <w:r w:rsidRPr="00A700E7">
              <w:rPr>
                <w:sz w:val="20"/>
                <w:szCs w:val="20"/>
              </w:rPr>
              <w:t>Baseline mean (SD)</w:t>
            </w:r>
          </w:p>
        </w:tc>
        <w:tc>
          <w:tcPr>
            <w:tcW w:w="1530" w:type="dxa"/>
            <w:shd w:val="clear" w:color="auto" w:fill="auto"/>
          </w:tcPr>
          <w:p w14:paraId="018E5628" w14:textId="4854CF27" w:rsidR="00694058" w:rsidRPr="00A700E7" w:rsidRDefault="00694058" w:rsidP="007A6B1F">
            <w:pPr>
              <w:spacing w:beforeLines="20" w:before="48" w:afterLines="20" w:after="48"/>
              <w:jc w:val="left"/>
              <w:rPr>
                <w:rFonts w:eastAsia="Calibri"/>
                <w:sz w:val="20"/>
                <w:szCs w:val="20"/>
              </w:rPr>
            </w:pPr>
            <w:r w:rsidRPr="00A700E7">
              <w:rPr>
                <w:rFonts w:eastAsia="Calibri"/>
                <w:sz w:val="20"/>
                <w:szCs w:val="20"/>
              </w:rPr>
              <w:t>815.9</w:t>
            </w:r>
            <w:r w:rsidR="007E3C67" w:rsidRPr="00A700E7">
              <w:rPr>
                <w:rFonts w:eastAsia="Calibri"/>
                <w:sz w:val="20"/>
                <w:szCs w:val="20"/>
              </w:rPr>
              <w:t xml:space="preserve"> </w:t>
            </w:r>
            <w:r w:rsidRPr="00A700E7">
              <w:rPr>
                <w:rFonts w:eastAsia="Calibri"/>
                <w:sz w:val="20"/>
                <w:szCs w:val="20"/>
              </w:rPr>
              <w:t>(401.2)</w:t>
            </w:r>
          </w:p>
        </w:tc>
        <w:tc>
          <w:tcPr>
            <w:tcW w:w="1800" w:type="dxa"/>
            <w:shd w:val="clear" w:color="auto" w:fill="auto"/>
          </w:tcPr>
          <w:p w14:paraId="4C8BE8BD" w14:textId="3437CB66" w:rsidR="00694058" w:rsidRPr="00A700E7" w:rsidRDefault="00694058" w:rsidP="007A6B1F">
            <w:pPr>
              <w:spacing w:beforeLines="20" w:before="48" w:afterLines="20" w:after="48"/>
              <w:jc w:val="left"/>
              <w:rPr>
                <w:rFonts w:eastAsia="Calibri"/>
                <w:sz w:val="20"/>
                <w:szCs w:val="20"/>
              </w:rPr>
            </w:pPr>
            <w:r w:rsidRPr="00A700E7">
              <w:rPr>
                <w:rFonts w:eastAsia="Calibri"/>
                <w:sz w:val="20"/>
                <w:szCs w:val="20"/>
              </w:rPr>
              <w:t>834.3</w:t>
            </w:r>
            <w:r w:rsidR="007E3C67" w:rsidRPr="00A700E7">
              <w:rPr>
                <w:rFonts w:eastAsia="Calibri"/>
                <w:sz w:val="20"/>
                <w:szCs w:val="20"/>
              </w:rPr>
              <w:t xml:space="preserve"> </w:t>
            </w:r>
            <w:r w:rsidRPr="00A700E7">
              <w:rPr>
                <w:rFonts w:eastAsia="Calibri"/>
                <w:sz w:val="20"/>
                <w:szCs w:val="20"/>
              </w:rPr>
              <w:t>(630.9)</w:t>
            </w:r>
          </w:p>
        </w:tc>
        <w:tc>
          <w:tcPr>
            <w:tcW w:w="1478" w:type="dxa"/>
            <w:shd w:val="clear" w:color="auto" w:fill="auto"/>
          </w:tcPr>
          <w:p w14:paraId="2E6C7AF2" w14:textId="178B1899" w:rsidR="00694058" w:rsidRPr="00A700E7" w:rsidRDefault="00694058" w:rsidP="007A6B1F">
            <w:pPr>
              <w:spacing w:beforeLines="20" w:before="48" w:afterLines="20" w:after="48"/>
              <w:jc w:val="left"/>
              <w:rPr>
                <w:rFonts w:eastAsia="Calibri"/>
                <w:sz w:val="20"/>
                <w:szCs w:val="20"/>
              </w:rPr>
            </w:pPr>
            <w:r w:rsidRPr="00A700E7">
              <w:rPr>
                <w:rFonts w:eastAsia="Calibri"/>
                <w:sz w:val="20"/>
                <w:szCs w:val="20"/>
              </w:rPr>
              <w:t>802.1</w:t>
            </w:r>
            <w:r w:rsidR="007E3C67" w:rsidRPr="00A700E7">
              <w:rPr>
                <w:rFonts w:eastAsia="Calibri"/>
                <w:sz w:val="20"/>
                <w:szCs w:val="20"/>
              </w:rPr>
              <w:t xml:space="preserve"> </w:t>
            </w:r>
            <w:r w:rsidRPr="00A700E7">
              <w:rPr>
                <w:rFonts w:eastAsia="Calibri"/>
                <w:sz w:val="20"/>
                <w:szCs w:val="20"/>
              </w:rPr>
              <w:t>(552.0)</w:t>
            </w:r>
          </w:p>
        </w:tc>
        <w:tc>
          <w:tcPr>
            <w:tcW w:w="1723" w:type="dxa"/>
            <w:shd w:val="clear" w:color="auto" w:fill="auto"/>
          </w:tcPr>
          <w:p w14:paraId="12B56484" w14:textId="37203E59" w:rsidR="00694058" w:rsidRPr="00A700E7" w:rsidRDefault="00694058" w:rsidP="007A6B1F">
            <w:pPr>
              <w:spacing w:beforeLines="20" w:before="48" w:afterLines="20" w:after="48"/>
              <w:jc w:val="left"/>
              <w:rPr>
                <w:rFonts w:eastAsia="Calibri"/>
                <w:sz w:val="20"/>
                <w:szCs w:val="20"/>
              </w:rPr>
            </w:pPr>
            <w:r w:rsidRPr="00A700E7">
              <w:rPr>
                <w:rFonts w:eastAsia="Calibri"/>
                <w:sz w:val="20"/>
                <w:szCs w:val="20"/>
              </w:rPr>
              <w:t>884.7</w:t>
            </w:r>
            <w:r w:rsidR="007E3C67" w:rsidRPr="00A700E7">
              <w:rPr>
                <w:rFonts w:eastAsia="Calibri"/>
                <w:sz w:val="20"/>
                <w:szCs w:val="20"/>
              </w:rPr>
              <w:t xml:space="preserve"> </w:t>
            </w:r>
            <w:r w:rsidRPr="00A700E7">
              <w:rPr>
                <w:rFonts w:eastAsia="Calibri"/>
                <w:sz w:val="20"/>
                <w:szCs w:val="20"/>
              </w:rPr>
              <w:t>(640.3)</w:t>
            </w:r>
          </w:p>
        </w:tc>
      </w:tr>
      <w:tr w:rsidR="00A700E7" w:rsidRPr="00A700E7" w14:paraId="6D137126" w14:textId="77777777" w:rsidTr="006D7E58">
        <w:tc>
          <w:tcPr>
            <w:tcW w:w="3055" w:type="dxa"/>
          </w:tcPr>
          <w:p w14:paraId="0287BCD0" w14:textId="77777777" w:rsidR="00694058" w:rsidRPr="00A700E7" w:rsidRDefault="00694058" w:rsidP="007A6B1F">
            <w:pPr>
              <w:jc w:val="left"/>
              <w:rPr>
                <w:sz w:val="20"/>
                <w:szCs w:val="20"/>
              </w:rPr>
            </w:pPr>
            <w:r w:rsidRPr="00A700E7">
              <w:rPr>
                <w:sz w:val="20"/>
                <w:szCs w:val="20"/>
              </w:rPr>
              <w:t>Reduction at Week 16 (dynes *sec /cm</w:t>
            </w:r>
            <w:r w:rsidRPr="00A700E7">
              <w:rPr>
                <w:sz w:val="20"/>
                <w:szCs w:val="20"/>
                <w:vertAlign w:val="superscript"/>
              </w:rPr>
              <w:t>5</w:t>
            </w:r>
            <w:r w:rsidRPr="00A700E7">
              <w:rPr>
                <w:sz w:val="20"/>
                <w:szCs w:val="20"/>
              </w:rPr>
              <w:t>) Mean (SD)</w:t>
            </w:r>
          </w:p>
        </w:tc>
        <w:tc>
          <w:tcPr>
            <w:tcW w:w="1530" w:type="dxa"/>
          </w:tcPr>
          <w:p w14:paraId="2C6333F5" w14:textId="77777777" w:rsidR="00694058" w:rsidRPr="00A700E7" w:rsidRDefault="00694058" w:rsidP="007A6B1F">
            <w:pPr>
              <w:jc w:val="left"/>
              <w:rPr>
                <w:sz w:val="20"/>
                <w:szCs w:val="20"/>
              </w:rPr>
            </w:pPr>
            <w:r w:rsidRPr="00A700E7">
              <w:rPr>
                <w:sz w:val="20"/>
                <w:szCs w:val="20"/>
              </w:rPr>
              <w:t>-162 (240)</w:t>
            </w:r>
          </w:p>
        </w:tc>
        <w:tc>
          <w:tcPr>
            <w:tcW w:w="1800" w:type="dxa"/>
          </w:tcPr>
          <w:p w14:paraId="74CD00EA" w14:textId="77777777" w:rsidR="00694058" w:rsidRPr="00A700E7" w:rsidRDefault="00694058" w:rsidP="007A6B1F">
            <w:pPr>
              <w:jc w:val="left"/>
              <w:rPr>
                <w:sz w:val="20"/>
                <w:szCs w:val="20"/>
              </w:rPr>
            </w:pPr>
            <w:r w:rsidRPr="00A700E7">
              <w:rPr>
                <w:sz w:val="20"/>
                <w:szCs w:val="20"/>
              </w:rPr>
              <w:t>-371 (429)</w:t>
            </w:r>
          </w:p>
        </w:tc>
        <w:tc>
          <w:tcPr>
            <w:tcW w:w="1478" w:type="dxa"/>
          </w:tcPr>
          <w:p w14:paraId="77A909B7" w14:textId="77777777" w:rsidR="00694058" w:rsidRPr="00A700E7" w:rsidRDefault="00694058" w:rsidP="007A6B1F">
            <w:pPr>
              <w:jc w:val="left"/>
              <w:rPr>
                <w:sz w:val="20"/>
                <w:szCs w:val="20"/>
              </w:rPr>
            </w:pPr>
            <w:r w:rsidRPr="00A700E7">
              <w:rPr>
                <w:sz w:val="20"/>
                <w:szCs w:val="20"/>
              </w:rPr>
              <w:t>-181 (237.5)</w:t>
            </w:r>
          </w:p>
        </w:tc>
        <w:tc>
          <w:tcPr>
            <w:tcW w:w="1723" w:type="dxa"/>
          </w:tcPr>
          <w:p w14:paraId="2AE6A34C" w14:textId="77777777" w:rsidR="00694058" w:rsidRPr="00A700E7" w:rsidRDefault="00694058" w:rsidP="007A6B1F">
            <w:pPr>
              <w:jc w:val="left"/>
              <w:rPr>
                <w:sz w:val="20"/>
                <w:szCs w:val="20"/>
              </w:rPr>
            </w:pPr>
            <w:r w:rsidRPr="00A700E7">
              <w:rPr>
                <w:sz w:val="20"/>
                <w:szCs w:val="20"/>
              </w:rPr>
              <w:t>-385 (396)</w:t>
            </w:r>
          </w:p>
        </w:tc>
      </w:tr>
      <w:tr w:rsidR="00A700E7" w:rsidRPr="00A700E7" w14:paraId="2AC95F4A" w14:textId="77777777" w:rsidTr="006D7E58">
        <w:tc>
          <w:tcPr>
            <w:tcW w:w="3055" w:type="dxa"/>
          </w:tcPr>
          <w:p w14:paraId="1DE8B724" w14:textId="77777777" w:rsidR="00694058" w:rsidRPr="00A700E7" w:rsidRDefault="00694058" w:rsidP="007A6B1F">
            <w:pPr>
              <w:jc w:val="left"/>
              <w:rPr>
                <w:sz w:val="20"/>
                <w:szCs w:val="20"/>
              </w:rPr>
            </w:pPr>
            <w:r w:rsidRPr="00A700E7">
              <w:rPr>
                <w:sz w:val="20"/>
                <w:szCs w:val="20"/>
              </w:rPr>
              <w:t>Geometric mean (Week 16/ Baseline)</w:t>
            </w:r>
          </w:p>
        </w:tc>
        <w:tc>
          <w:tcPr>
            <w:tcW w:w="1530" w:type="dxa"/>
          </w:tcPr>
          <w:p w14:paraId="03C6AF22" w14:textId="77777777" w:rsidR="00694058" w:rsidRPr="00A700E7" w:rsidRDefault="00694058" w:rsidP="007A6B1F">
            <w:pPr>
              <w:jc w:val="left"/>
              <w:rPr>
                <w:sz w:val="20"/>
                <w:szCs w:val="20"/>
              </w:rPr>
            </w:pPr>
            <w:r w:rsidRPr="00A700E7">
              <w:rPr>
                <w:sz w:val="20"/>
                <w:szCs w:val="20"/>
              </w:rPr>
              <w:t>0.77</w:t>
            </w:r>
          </w:p>
        </w:tc>
        <w:tc>
          <w:tcPr>
            <w:tcW w:w="1800" w:type="dxa"/>
          </w:tcPr>
          <w:p w14:paraId="783950AA" w14:textId="77777777" w:rsidR="00694058" w:rsidRPr="00A700E7" w:rsidRDefault="00694058" w:rsidP="007A6B1F">
            <w:pPr>
              <w:jc w:val="left"/>
              <w:rPr>
                <w:sz w:val="20"/>
                <w:szCs w:val="20"/>
              </w:rPr>
            </w:pPr>
            <w:r w:rsidRPr="00A700E7">
              <w:rPr>
                <w:sz w:val="20"/>
                <w:szCs w:val="20"/>
              </w:rPr>
              <w:t>0.55</w:t>
            </w:r>
          </w:p>
        </w:tc>
        <w:tc>
          <w:tcPr>
            <w:tcW w:w="1478" w:type="dxa"/>
          </w:tcPr>
          <w:p w14:paraId="49D87521" w14:textId="77777777" w:rsidR="00694058" w:rsidRPr="00A700E7" w:rsidRDefault="00694058" w:rsidP="007A6B1F">
            <w:pPr>
              <w:jc w:val="left"/>
              <w:rPr>
                <w:sz w:val="20"/>
                <w:szCs w:val="20"/>
              </w:rPr>
            </w:pPr>
            <w:r w:rsidRPr="00A700E7">
              <w:rPr>
                <w:sz w:val="20"/>
                <w:szCs w:val="20"/>
              </w:rPr>
              <w:t>0.78</w:t>
            </w:r>
          </w:p>
        </w:tc>
        <w:tc>
          <w:tcPr>
            <w:tcW w:w="1723" w:type="dxa"/>
          </w:tcPr>
          <w:p w14:paraId="10125812" w14:textId="77777777" w:rsidR="00694058" w:rsidRPr="00A700E7" w:rsidRDefault="00694058" w:rsidP="007A6B1F">
            <w:pPr>
              <w:jc w:val="left"/>
              <w:rPr>
                <w:sz w:val="20"/>
                <w:szCs w:val="20"/>
              </w:rPr>
            </w:pPr>
            <w:r w:rsidRPr="00A700E7">
              <w:rPr>
                <w:sz w:val="20"/>
                <w:szCs w:val="20"/>
              </w:rPr>
              <w:t>0.56</w:t>
            </w:r>
          </w:p>
        </w:tc>
      </w:tr>
      <w:tr w:rsidR="00A700E7" w:rsidRPr="00A700E7" w14:paraId="750830B5" w14:textId="77777777" w:rsidTr="006D7E58">
        <w:tc>
          <w:tcPr>
            <w:tcW w:w="3055" w:type="dxa"/>
          </w:tcPr>
          <w:p w14:paraId="0A596EEE" w14:textId="77777777" w:rsidR="00694058" w:rsidRPr="00A700E7" w:rsidRDefault="00694058" w:rsidP="007A6B1F">
            <w:pPr>
              <w:jc w:val="left"/>
              <w:rPr>
                <w:sz w:val="20"/>
                <w:szCs w:val="20"/>
              </w:rPr>
            </w:pPr>
            <w:r w:rsidRPr="00A700E7">
              <w:rPr>
                <w:sz w:val="20"/>
                <w:szCs w:val="20"/>
              </w:rPr>
              <w:t>Treatment effects ratios</w:t>
            </w:r>
          </w:p>
          <w:p w14:paraId="24015A28" w14:textId="77777777" w:rsidR="00694058" w:rsidRPr="00A700E7" w:rsidRDefault="00694058" w:rsidP="007A6B1F">
            <w:pPr>
              <w:jc w:val="left"/>
              <w:rPr>
                <w:sz w:val="20"/>
                <w:szCs w:val="20"/>
              </w:rPr>
            </w:pPr>
            <w:r w:rsidRPr="00A700E7">
              <w:rPr>
                <w:sz w:val="20"/>
                <w:szCs w:val="20"/>
              </w:rPr>
              <w:t>(95% CI)</w:t>
            </w:r>
          </w:p>
        </w:tc>
        <w:tc>
          <w:tcPr>
            <w:tcW w:w="1530" w:type="dxa"/>
          </w:tcPr>
          <w:p w14:paraId="62EC8520" w14:textId="77777777" w:rsidR="00694058" w:rsidRPr="00A700E7" w:rsidRDefault="00694058" w:rsidP="007A6B1F">
            <w:pPr>
              <w:jc w:val="left"/>
              <w:rPr>
                <w:sz w:val="20"/>
                <w:szCs w:val="20"/>
              </w:rPr>
            </w:pPr>
          </w:p>
        </w:tc>
        <w:tc>
          <w:tcPr>
            <w:tcW w:w="1800" w:type="dxa"/>
          </w:tcPr>
          <w:p w14:paraId="26BBF93D" w14:textId="77777777" w:rsidR="00694058" w:rsidRPr="00A700E7" w:rsidRDefault="00694058" w:rsidP="007A6B1F">
            <w:pPr>
              <w:jc w:val="left"/>
              <w:rPr>
                <w:sz w:val="20"/>
                <w:szCs w:val="20"/>
              </w:rPr>
            </w:pPr>
            <w:r w:rsidRPr="00A700E7">
              <w:rPr>
                <w:sz w:val="20"/>
                <w:szCs w:val="20"/>
              </w:rPr>
              <w:t>-29%</w:t>
            </w:r>
          </w:p>
          <w:p w14:paraId="1455601F" w14:textId="77777777" w:rsidR="00694058" w:rsidRPr="00A700E7" w:rsidRDefault="00694058" w:rsidP="007A6B1F">
            <w:pPr>
              <w:jc w:val="left"/>
              <w:rPr>
                <w:sz w:val="20"/>
                <w:szCs w:val="20"/>
              </w:rPr>
            </w:pPr>
            <w:r w:rsidRPr="00A700E7">
              <w:rPr>
                <w:sz w:val="20"/>
                <w:szCs w:val="20"/>
              </w:rPr>
              <w:t>(-39%, -18%)</w:t>
            </w:r>
          </w:p>
        </w:tc>
        <w:tc>
          <w:tcPr>
            <w:tcW w:w="1478" w:type="dxa"/>
          </w:tcPr>
          <w:p w14:paraId="2A553943" w14:textId="77777777" w:rsidR="00694058" w:rsidRPr="00A700E7" w:rsidRDefault="00694058" w:rsidP="007A6B1F">
            <w:pPr>
              <w:jc w:val="left"/>
              <w:rPr>
                <w:sz w:val="20"/>
                <w:szCs w:val="20"/>
              </w:rPr>
            </w:pPr>
          </w:p>
        </w:tc>
        <w:tc>
          <w:tcPr>
            <w:tcW w:w="1723" w:type="dxa"/>
          </w:tcPr>
          <w:p w14:paraId="22829B6E" w14:textId="77777777" w:rsidR="00694058" w:rsidRPr="00A700E7" w:rsidRDefault="00694058" w:rsidP="007A6B1F">
            <w:pPr>
              <w:jc w:val="left"/>
              <w:rPr>
                <w:sz w:val="20"/>
                <w:szCs w:val="20"/>
              </w:rPr>
            </w:pPr>
            <w:r w:rsidRPr="00A700E7">
              <w:rPr>
                <w:sz w:val="20"/>
                <w:szCs w:val="20"/>
              </w:rPr>
              <w:t>-28%</w:t>
            </w:r>
          </w:p>
          <w:p w14:paraId="07918782" w14:textId="77777777" w:rsidR="00694058" w:rsidRPr="00A700E7" w:rsidRDefault="00694058" w:rsidP="007A6B1F">
            <w:pPr>
              <w:jc w:val="left"/>
              <w:rPr>
                <w:sz w:val="20"/>
                <w:szCs w:val="20"/>
              </w:rPr>
            </w:pPr>
            <w:r w:rsidRPr="00A700E7">
              <w:rPr>
                <w:sz w:val="20"/>
                <w:szCs w:val="20"/>
              </w:rPr>
              <w:t>(-36%, -20%)</w:t>
            </w:r>
          </w:p>
        </w:tc>
      </w:tr>
      <w:tr w:rsidR="00694058" w:rsidRPr="00A700E7" w14:paraId="0E8E94AB" w14:textId="77777777" w:rsidTr="006D7E58">
        <w:tc>
          <w:tcPr>
            <w:tcW w:w="3055" w:type="dxa"/>
          </w:tcPr>
          <w:p w14:paraId="56418F95" w14:textId="77777777" w:rsidR="00694058" w:rsidRPr="00A700E7" w:rsidRDefault="00694058" w:rsidP="007A6B1F">
            <w:pPr>
              <w:jc w:val="left"/>
              <w:rPr>
                <w:sz w:val="20"/>
                <w:szCs w:val="20"/>
              </w:rPr>
            </w:pPr>
            <w:r w:rsidRPr="00A700E7">
              <w:rPr>
                <w:sz w:val="20"/>
                <w:szCs w:val="20"/>
              </w:rPr>
              <w:t>2-sided p-value</w:t>
            </w:r>
          </w:p>
        </w:tc>
        <w:tc>
          <w:tcPr>
            <w:tcW w:w="1530" w:type="dxa"/>
          </w:tcPr>
          <w:p w14:paraId="2C2E1C79" w14:textId="77777777" w:rsidR="00694058" w:rsidRPr="00A700E7" w:rsidRDefault="00694058" w:rsidP="007A6B1F">
            <w:pPr>
              <w:jc w:val="left"/>
              <w:rPr>
                <w:sz w:val="20"/>
                <w:szCs w:val="20"/>
              </w:rPr>
            </w:pPr>
          </w:p>
        </w:tc>
        <w:tc>
          <w:tcPr>
            <w:tcW w:w="1800" w:type="dxa"/>
          </w:tcPr>
          <w:p w14:paraId="00072388" w14:textId="77777777" w:rsidR="00694058" w:rsidRPr="00A700E7" w:rsidRDefault="00694058" w:rsidP="007A6B1F">
            <w:pPr>
              <w:jc w:val="left"/>
              <w:rPr>
                <w:sz w:val="20"/>
                <w:szCs w:val="20"/>
              </w:rPr>
            </w:pPr>
            <w:r w:rsidRPr="00A700E7">
              <w:rPr>
                <w:sz w:val="20"/>
                <w:szCs w:val="20"/>
              </w:rPr>
              <w:t>&lt;0.0001</w:t>
            </w:r>
          </w:p>
        </w:tc>
        <w:tc>
          <w:tcPr>
            <w:tcW w:w="1478" w:type="dxa"/>
          </w:tcPr>
          <w:p w14:paraId="2CEAB627" w14:textId="77777777" w:rsidR="00694058" w:rsidRPr="00A700E7" w:rsidRDefault="00694058" w:rsidP="007A6B1F">
            <w:pPr>
              <w:jc w:val="left"/>
              <w:rPr>
                <w:sz w:val="20"/>
                <w:szCs w:val="20"/>
              </w:rPr>
            </w:pPr>
          </w:p>
        </w:tc>
        <w:tc>
          <w:tcPr>
            <w:tcW w:w="1723" w:type="dxa"/>
          </w:tcPr>
          <w:p w14:paraId="435AD448" w14:textId="77777777" w:rsidR="00694058" w:rsidRPr="00A700E7" w:rsidRDefault="00694058" w:rsidP="007A6B1F">
            <w:pPr>
              <w:jc w:val="left"/>
              <w:rPr>
                <w:sz w:val="20"/>
                <w:szCs w:val="20"/>
              </w:rPr>
            </w:pPr>
            <w:r w:rsidRPr="00A700E7">
              <w:rPr>
                <w:sz w:val="20"/>
                <w:szCs w:val="20"/>
              </w:rPr>
              <w:t>&lt;0.0001</w:t>
            </w:r>
          </w:p>
        </w:tc>
      </w:tr>
    </w:tbl>
    <w:p w14:paraId="0EEA14AE" w14:textId="77777777" w:rsidR="007705DC" w:rsidRPr="00A700E7" w:rsidRDefault="007705DC" w:rsidP="007A6B1F">
      <w:pPr>
        <w:jc w:val="left"/>
      </w:pPr>
    </w:p>
    <w:p w14:paraId="6534A6D4" w14:textId="3357BCC3" w:rsidR="005018A6" w:rsidRPr="00A700E7" w:rsidRDefault="007705DC" w:rsidP="007A6B1F">
      <w:pPr>
        <w:jc w:val="left"/>
      </w:pPr>
      <w:r w:rsidRPr="00A700E7">
        <w:lastRenderedPageBreak/>
        <w:t xml:space="preserve">Consistent efficacy of </w:t>
      </w:r>
      <w:r w:rsidR="00585AA7" w:rsidRPr="00A700E7">
        <w:t>OPSYNVI</w:t>
      </w:r>
      <w:r w:rsidRPr="00A700E7">
        <w:t xml:space="preserve"> </w:t>
      </w:r>
      <w:r w:rsidR="007E3C67" w:rsidRPr="00A700E7">
        <w:t xml:space="preserve">in PVR </w:t>
      </w:r>
      <w:r w:rsidRPr="00A700E7">
        <w:t>was seen across subgroups of age, sex, race, geographical region and baseline WHO FC</w:t>
      </w:r>
      <w:r w:rsidR="007E3C67" w:rsidRPr="00A700E7">
        <w:t xml:space="preserve"> (see Figure 1)</w:t>
      </w:r>
      <w:r w:rsidRPr="00A700E7">
        <w:t>. Additionally, consistent efficacy was observed in patients who were either treatment-</w:t>
      </w:r>
      <w:proofErr w:type="gramStart"/>
      <w:r w:rsidRPr="00A700E7">
        <w:t>naïve</w:t>
      </w:r>
      <w:proofErr w:type="gramEnd"/>
      <w:r w:rsidRPr="00A700E7">
        <w:t>, or previously exposed to an ERA or PDE5i.</w:t>
      </w:r>
    </w:p>
    <w:p w14:paraId="27B288D1" w14:textId="07377845" w:rsidR="00D67681" w:rsidRDefault="00D67681" w:rsidP="007A6B1F">
      <w:pPr>
        <w:jc w:val="left"/>
      </w:pPr>
    </w:p>
    <w:p w14:paraId="67424666" w14:textId="3C66A614" w:rsidR="007705DC" w:rsidRPr="00A700E7" w:rsidRDefault="007E3C67" w:rsidP="007A6B1F">
      <w:pPr>
        <w:jc w:val="left"/>
        <w:rPr>
          <w:b/>
          <w:bCs/>
          <w:sz w:val="20"/>
          <w:szCs w:val="20"/>
        </w:rPr>
      </w:pPr>
      <w:r w:rsidRPr="00A700E7">
        <w:rPr>
          <w:b/>
          <w:bCs/>
          <w:sz w:val="20"/>
          <w:szCs w:val="20"/>
        </w:rPr>
        <w:t>Figure 1: Subgroup Analysis of the A DUE Study</w:t>
      </w:r>
    </w:p>
    <w:p w14:paraId="2012C3C8" w14:textId="29D3616C" w:rsidR="007705DC" w:rsidRPr="00A700E7" w:rsidRDefault="007705DC" w:rsidP="007A6B1F">
      <w:pPr>
        <w:jc w:val="left"/>
      </w:pPr>
      <w:r w:rsidRPr="00A700E7">
        <w:rPr>
          <w:noProof/>
        </w:rPr>
        <w:drawing>
          <wp:inline distT="0" distB="0" distL="0" distR="0" wp14:anchorId="5143E294" wp14:editId="3B000DFE">
            <wp:extent cx="5610225" cy="34710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233" cy="3472888"/>
                    </a:xfrm>
                    <a:prstGeom prst="rect">
                      <a:avLst/>
                    </a:prstGeom>
                    <a:noFill/>
                    <a:ln>
                      <a:noFill/>
                    </a:ln>
                  </pic:spPr>
                </pic:pic>
              </a:graphicData>
            </a:graphic>
          </wp:inline>
        </w:drawing>
      </w:r>
    </w:p>
    <w:p w14:paraId="6A47FCAF" w14:textId="0C88640F" w:rsidR="007705DC" w:rsidRPr="00A700E7" w:rsidRDefault="007705DC" w:rsidP="007A6B1F">
      <w:pPr>
        <w:jc w:val="left"/>
        <w:rPr>
          <w:highlight w:val="yellow"/>
        </w:rPr>
      </w:pPr>
      <w:r w:rsidRPr="00A700E7">
        <w:rPr>
          <w:noProof/>
        </w:rPr>
        <w:drawing>
          <wp:inline distT="0" distB="0" distL="0" distR="0" wp14:anchorId="67733C35" wp14:editId="4B4E0479">
            <wp:extent cx="5610225" cy="3522345"/>
            <wp:effectExtent l="0" t="0" r="952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945" cy="3522797"/>
                    </a:xfrm>
                    <a:prstGeom prst="rect">
                      <a:avLst/>
                    </a:prstGeom>
                    <a:noFill/>
                    <a:ln>
                      <a:noFill/>
                    </a:ln>
                  </pic:spPr>
                </pic:pic>
              </a:graphicData>
            </a:graphic>
          </wp:inline>
        </w:drawing>
      </w:r>
    </w:p>
    <w:p w14:paraId="6551C1E5" w14:textId="77777777" w:rsidR="007705DC" w:rsidRPr="00A700E7" w:rsidRDefault="007705DC" w:rsidP="007A6B1F">
      <w:pPr>
        <w:jc w:val="left"/>
        <w:rPr>
          <w:highlight w:val="yellow"/>
        </w:rPr>
      </w:pPr>
    </w:p>
    <w:p w14:paraId="1377AFF6" w14:textId="77777777" w:rsidR="007705DC" w:rsidRPr="00A700E7" w:rsidRDefault="007705DC" w:rsidP="007A6B1F">
      <w:pPr>
        <w:jc w:val="left"/>
        <w:rPr>
          <w:i/>
          <w:iCs/>
        </w:rPr>
      </w:pPr>
      <w:r w:rsidRPr="00A700E7">
        <w:rPr>
          <w:i/>
          <w:iCs/>
        </w:rPr>
        <w:lastRenderedPageBreak/>
        <w:t>Exercise capacity</w:t>
      </w:r>
    </w:p>
    <w:p w14:paraId="62DDCB1F" w14:textId="30F73471" w:rsidR="00947F6E" w:rsidRPr="00A700E7" w:rsidRDefault="007705DC" w:rsidP="007A6B1F">
      <w:pPr>
        <w:jc w:val="left"/>
      </w:pPr>
      <w:r w:rsidRPr="00A700E7">
        <w:t xml:space="preserve">Mean change from baseline in 6-Minute Walk Distance (6MWD) at week 16 was a key secondary endpoint. </w:t>
      </w:r>
      <w:r w:rsidR="007E3C67" w:rsidRPr="00A700E7">
        <w:t xml:space="preserve">A trend for clinically relevant improvement </w:t>
      </w:r>
      <w:r w:rsidRPr="00A700E7">
        <w:t xml:space="preserve">in 6MWD </w:t>
      </w:r>
      <w:r w:rsidR="007E3C67" w:rsidRPr="00A700E7">
        <w:t xml:space="preserve">in </w:t>
      </w:r>
      <w:proofErr w:type="spellStart"/>
      <w:r w:rsidR="007E3C67" w:rsidRPr="00A700E7">
        <w:t>favour</w:t>
      </w:r>
      <w:proofErr w:type="spellEnd"/>
      <w:r w:rsidR="007E3C67" w:rsidRPr="00A700E7">
        <w:t xml:space="preserve"> of OPSYNVI </w:t>
      </w:r>
      <w:r w:rsidRPr="00A700E7">
        <w:t>compared to either macitentan or tadalafil</w:t>
      </w:r>
      <w:r w:rsidR="007E3C67" w:rsidRPr="00A700E7">
        <w:t xml:space="preserve"> was observed</w:t>
      </w:r>
      <w:r w:rsidRPr="00A700E7">
        <w:t xml:space="preserve"> (Table </w:t>
      </w:r>
      <w:r w:rsidR="00990D80" w:rsidRPr="00A700E7">
        <w:t>12</w:t>
      </w:r>
      <w:r w:rsidRPr="00A700E7">
        <w:t>).</w:t>
      </w:r>
    </w:p>
    <w:p w14:paraId="4E5CC706" w14:textId="77777777" w:rsidR="00990D80" w:rsidRPr="00A700E7" w:rsidRDefault="00990D80" w:rsidP="007A6B1F">
      <w:pPr>
        <w:jc w:val="left"/>
      </w:pPr>
    </w:p>
    <w:p w14:paraId="275AA19E" w14:textId="77777777" w:rsidR="00990D80" w:rsidRPr="00A700E7" w:rsidRDefault="00990D80" w:rsidP="007A6B1F">
      <w:pPr>
        <w:jc w:val="left"/>
      </w:pPr>
    </w:p>
    <w:p w14:paraId="1ED6CBBA" w14:textId="77777777" w:rsidR="005018A6" w:rsidRPr="00A700E7" w:rsidRDefault="005018A6" w:rsidP="007A6B1F">
      <w:pPr>
        <w:jc w:val="left"/>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620"/>
        <w:gridCol w:w="1800"/>
        <w:gridCol w:w="1478"/>
        <w:gridCol w:w="1723"/>
      </w:tblGrid>
      <w:tr w:rsidR="00A700E7" w:rsidRPr="00A700E7" w14:paraId="24546A3C" w14:textId="77777777" w:rsidTr="00861FAA">
        <w:tc>
          <w:tcPr>
            <w:tcW w:w="9586" w:type="dxa"/>
            <w:gridSpan w:val="5"/>
            <w:tcBorders>
              <w:top w:val="nil"/>
              <w:left w:val="nil"/>
              <w:bottom w:val="single" w:sz="4" w:space="0" w:color="auto"/>
              <w:right w:val="nil"/>
            </w:tcBorders>
          </w:tcPr>
          <w:p w14:paraId="56B2CC4C" w14:textId="16A3A76C" w:rsidR="00585AA7" w:rsidRPr="00A700E7" w:rsidRDefault="00585AA7" w:rsidP="007A6B1F">
            <w:pPr>
              <w:jc w:val="left"/>
              <w:rPr>
                <w:b/>
                <w:bCs/>
                <w:sz w:val="20"/>
                <w:szCs w:val="20"/>
              </w:rPr>
            </w:pPr>
            <w:r w:rsidRPr="00A700E7">
              <w:rPr>
                <w:b/>
                <w:bCs/>
                <w:sz w:val="20"/>
                <w:szCs w:val="20"/>
              </w:rPr>
              <w:t xml:space="preserve">Table </w:t>
            </w:r>
            <w:r w:rsidR="00990D80" w:rsidRPr="00A700E7">
              <w:rPr>
                <w:b/>
                <w:bCs/>
                <w:sz w:val="20"/>
                <w:szCs w:val="20"/>
              </w:rPr>
              <w:t xml:space="preserve">12 </w:t>
            </w:r>
            <w:r w:rsidRPr="00A700E7">
              <w:rPr>
                <w:b/>
                <w:bCs/>
                <w:sz w:val="20"/>
                <w:szCs w:val="20"/>
              </w:rPr>
              <w:t xml:space="preserve">Change from </w:t>
            </w:r>
            <w:r w:rsidR="007E3C67" w:rsidRPr="00A700E7">
              <w:rPr>
                <w:b/>
                <w:bCs/>
                <w:sz w:val="20"/>
                <w:szCs w:val="20"/>
              </w:rPr>
              <w:t>B</w:t>
            </w:r>
            <w:r w:rsidRPr="00A700E7">
              <w:rPr>
                <w:b/>
                <w:bCs/>
                <w:sz w:val="20"/>
                <w:szCs w:val="20"/>
              </w:rPr>
              <w:t xml:space="preserve">aseline in 6MWD at </w:t>
            </w:r>
            <w:r w:rsidR="007E3C67" w:rsidRPr="00A700E7">
              <w:rPr>
                <w:b/>
                <w:bCs/>
                <w:sz w:val="20"/>
                <w:szCs w:val="20"/>
              </w:rPr>
              <w:t>W</w:t>
            </w:r>
            <w:r w:rsidRPr="00A700E7">
              <w:rPr>
                <w:b/>
                <w:bCs/>
                <w:sz w:val="20"/>
                <w:szCs w:val="20"/>
              </w:rPr>
              <w:t>eek 16</w:t>
            </w:r>
          </w:p>
        </w:tc>
      </w:tr>
      <w:tr w:rsidR="00A700E7" w:rsidRPr="00A700E7" w14:paraId="35CB0D3E" w14:textId="77777777" w:rsidTr="00861FAA">
        <w:tc>
          <w:tcPr>
            <w:tcW w:w="2965" w:type="dxa"/>
            <w:tcBorders>
              <w:top w:val="single" w:sz="4" w:space="0" w:color="auto"/>
            </w:tcBorders>
          </w:tcPr>
          <w:p w14:paraId="557C457B" w14:textId="77777777" w:rsidR="00585AA7" w:rsidRPr="00A700E7" w:rsidRDefault="00585AA7" w:rsidP="007A6B1F">
            <w:pPr>
              <w:jc w:val="left"/>
              <w:rPr>
                <w:sz w:val="20"/>
                <w:szCs w:val="20"/>
              </w:rPr>
            </w:pPr>
          </w:p>
        </w:tc>
        <w:tc>
          <w:tcPr>
            <w:tcW w:w="3420" w:type="dxa"/>
            <w:gridSpan w:val="2"/>
            <w:tcBorders>
              <w:top w:val="single" w:sz="4" w:space="0" w:color="auto"/>
            </w:tcBorders>
          </w:tcPr>
          <w:p w14:paraId="1B8256AE" w14:textId="77777777" w:rsidR="00585AA7" w:rsidRPr="00A700E7" w:rsidRDefault="00585AA7" w:rsidP="007A6B1F">
            <w:pPr>
              <w:jc w:val="left"/>
              <w:rPr>
                <w:sz w:val="20"/>
                <w:szCs w:val="20"/>
              </w:rPr>
            </w:pPr>
            <w:r w:rsidRPr="00A700E7">
              <w:rPr>
                <w:sz w:val="20"/>
                <w:szCs w:val="20"/>
              </w:rPr>
              <w:t>Treatment-naive and Prior ERA Treatment</w:t>
            </w:r>
          </w:p>
        </w:tc>
        <w:tc>
          <w:tcPr>
            <w:tcW w:w="3201" w:type="dxa"/>
            <w:gridSpan w:val="2"/>
            <w:tcBorders>
              <w:top w:val="single" w:sz="4" w:space="0" w:color="auto"/>
            </w:tcBorders>
          </w:tcPr>
          <w:p w14:paraId="72440043" w14:textId="77777777" w:rsidR="00585AA7" w:rsidRPr="00A700E7" w:rsidRDefault="00585AA7" w:rsidP="007A6B1F">
            <w:pPr>
              <w:jc w:val="left"/>
              <w:rPr>
                <w:sz w:val="20"/>
                <w:szCs w:val="20"/>
              </w:rPr>
            </w:pPr>
            <w:r w:rsidRPr="00A700E7">
              <w:rPr>
                <w:sz w:val="20"/>
                <w:szCs w:val="20"/>
              </w:rPr>
              <w:t>Treatment-naive and Prior PDE-5i Treatment</w:t>
            </w:r>
          </w:p>
        </w:tc>
      </w:tr>
      <w:tr w:rsidR="00A700E7" w:rsidRPr="00A700E7" w14:paraId="75273FB0" w14:textId="77777777" w:rsidTr="006D7E58">
        <w:tc>
          <w:tcPr>
            <w:tcW w:w="2965" w:type="dxa"/>
          </w:tcPr>
          <w:p w14:paraId="49C7C396" w14:textId="77777777" w:rsidR="00585AA7" w:rsidRPr="00A700E7" w:rsidRDefault="00585AA7" w:rsidP="007A6B1F">
            <w:pPr>
              <w:jc w:val="left"/>
              <w:rPr>
                <w:sz w:val="20"/>
                <w:szCs w:val="20"/>
              </w:rPr>
            </w:pPr>
          </w:p>
        </w:tc>
        <w:tc>
          <w:tcPr>
            <w:tcW w:w="1620" w:type="dxa"/>
          </w:tcPr>
          <w:p w14:paraId="0FA736F3" w14:textId="77777777" w:rsidR="00585AA7" w:rsidRPr="00A700E7" w:rsidRDefault="00585AA7" w:rsidP="007A6B1F">
            <w:pPr>
              <w:jc w:val="left"/>
              <w:rPr>
                <w:sz w:val="20"/>
                <w:szCs w:val="20"/>
              </w:rPr>
            </w:pPr>
            <w:r w:rsidRPr="00A700E7">
              <w:rPr>
                <w:sz w:val="20"/>
                <w:szCs w:val="20"/>
              </w:rPr>
              <w:t>Macitentan</w:t>
            </w:r>
          </w:p>
          <w:p w14:paraId="1CF3B982" w14:textId="77777777" w:rsidR="00585AA7" w:rsidRPr="00A700E7" w:rsidRDefault="00585AA7" w:rsidP="007A6B1F">
            <w:pPr>
              <w:jc w:val="left"/>
              <w:rPr>
                <w:sz w:val="20"/>
                <w:szCs w:val="20"/>
              </w:rPr>
            </w:pPr>
            <w:r w:rsidRPr="00A700E7">
              <w:rPr>
                <w:sz w:val="20"/>
                <w:szCs w:val="20"/>
              </w:rPr>
              <w:t>(n=35)</w:t>
            </w:r>
          </w:p>
        </w:tc>
        <w:tc>
          <w:tcPr>
            <w:tcW w:w="1800" w:type="dxa"/>
          </w:tcPr>
          <w:p w14:paraId="4D2070AA" w14:textId="68AEF431" w:rsidR="00585AA7" w:rsidRPr="00A700E7" w:rsidRDefault="00585AA7" w:rsidP="007A6B1F">
            <w:pPr>
              <w:jc w:val="left"/>
              <w:rPr>
                <w:sz w:val="20"/>
                <w:szCs w:val="20"/>
              </w:rPr>
            </w:pPr>
            <w:r w:rsidRPr="00A700E7">
              <w:rPr>
                <w:sz w:val="20"/>
                <w:szCs w:val="20"/>
              </w:rPr>
              <w:t>OPSYNVI</w:t>
            </w:r>
          </w:p>
          <w:p w14:paraId="708F0BB0" w14:textId="77777777" w:rsidR="00585AA7" w:rsidRPr="00A700E7" w:rsidRDefault="00585AA7" w:rsidP="007A6B1F">
            <w:pPr>
              <w:jc w:val="left"/>
              <w:rPr>
                <w:sz w:val="20"/>
                <w:szCs w:val="20"/>
              </w:rPr>
            </w:pPr>
            <w:r w:rsidRPr="00A700E7">
              <w:rPr>
                <w:sz w:val="20"/>
                <w:szCs w:val="20"/>
              </w:rPr>
              <w:t>(n=70)</w:t>
            </w:r>
          </w:p>
        </w:tc>
        <w:tc>
          <w:tcPr>
            <w:tcW w:w="1478" w:type="dxa"/>
          </w:tcPr>
          <w:p w14:paraId="3AC0484A" w14:textId="77777777" w:rsidR="00585AA7" w:rsidRPr="00A700E7" w:rsidRDefault="00585AA7" w:rsidP="007A6B1F">
            <w:pPr>
              <w:jc w:val="left"/>
              <w:rPr>
                <w:sz w:val="20"/>
                <w:szCs w:val="20"/>
              </w:rPr>
            </w:pPr>
            <w:r w:rsidRPr="00A700E7">
              <w:rPr>
                <w:sz w:val="20"/>
                <w:szCs w:val="20"/>
              </w:rPr>
              <w:t>Tadalafil</w:t>
            </w:r>
          </w:p>
          <w:p w14:paraId="7DA20157" w14:textId="77777777" w:rsidR="00585AA7" w:rsidRPr="00A700E7" w:rsidRDefault="00585AA7" w:rsidP="007A6B1F">
            <w:pPr>
              <w:jc w:val="left"/>
              <w:rPr>
                <w:sz w:val="20"/>
                <w:szCs w:val="20"/>
              </w:rPr>
            </w:pPr>
            <w:r w:rsidRPr="00A700E7">
              <w:rPr>
                <w:sz w:val="20"/>
                <w:szCs w:val="20"/>
              </w:rPr>
              <w:t>(n=44)</w:t>
            </w:r>
          </w:p>
        </w:tc>
        <w:tc>
          <w:tcPr>
            <w:tcW w:w="1723" w:type="dxa"/>
          </w:tcPr>
          <w:p w14:paraId="4B1A6B3A" w14:textId="598D5760" w:rsidR="00585AA7" w:rsidRPr="00A700E7" w:rsidRDefault="00585AA7" w:rsidP="007A6B1F">
            <w:pPr>
              <w:jc w:val="left"/>
              <w:rPr>
                <w:sz w:val="20"/>
                <w:szCs w:val="20"/>
              </w:rPr>
            </w:pPr>
            <w:r w:rsidRPr="00A700E7">
              <w:rPr>
                <w:sz w:val="20"/>
                <w:szCs w:val="20"/>
              </w:rPr>
              <w:t>OPSYNVI</w:t>
            </w:r>
          </w:p>
          <w:p w14:paraId="4F907D64" w14:textId="77777777" w:rsidR="00585AA7" w:rsidRPr="00A700E7" w:rsidRDefault="00585AA7" w:rsidP="007A6B1F">
            <w:pPr>
              <w:jc w:val="left"/>
              <w:rPr>
                <w:sz w:val="20"/>
                <w:szCs w:val="20"/>
              </w:rPr>
            </w:pPr>
            <w:r w:rsidRPr="00A700E7">
              <w:rPr>
                <w:sz w:val="20"/>
                <w:szCs w:val="20"/>
              </w:rPr>
              <w:t>(n=86)</w:t>
            </w:r>
          </w:p>
        </w:tc>
      </w:tr>
      <w:tr w:rsidR="00A700E7" w:rsidRPr="00A700E7" w14:paraId="7CD08C18" w14:textId="77777777" w:rsidTr="00BE09A0">
        <w:tc>
          <w:tcPr>
            <w:tcW w:w="2965" w:type="dxa"/>
          </w:tcPr>
          <w:p w14:paraId="7DC34562" w14:textId="5F723BF0" w:rsidR="007E3C67" w:rsidRPr="00A700E7" w:rsidRDefault="007E3C67" w:rsidP="007A6B1F">
            <w:pPr>
              <w:jc w:val="left"/>
              <w:rPr>
                <w:sz w:val="20"/>
                <w:szCs w:val="20"/>
              </w:rPr>
            </w:pPr>
            <w:r w:rsidRPr="00A700E7">
              <w:rPr>
                <w:sz w:val="20"/>
                <w:szCs w:val="20"/>
              </w:rPr>
              <w:t>Baseline mean (SD)</w:t>
            </w:r>
          </w:p>
        </w:tc>
        <w:tc>
          <w:tcPr>
            <w:tcW w:w="1620" w:type="dxa"/>
            <w:shd w:val="clear" w:color="auto" w:fill="auto"/>
            <w:vAlign w:val="bottom"/>
          </w:tcPr>
          <w:p w14:paraId="4749C9F2" w14:textId="08CF6543" w:rsidR="007E3C67" w:rsidRPr="00A700E7" w:rsidRDefault="007E3C67" w:rsidP="007A6B1F">
            <w:pPr>
              <w:spacing w:before="20" w:after="20"/>
              <w:jc w:val="left"/>
              <w:rPr>
                <w:rFonts w:eastAsia="Calibri"/>
                <w:sz w:val="20"/>
                <w:szCs w:val="20"/>
              </w:rPr>
            </w:pPr>
            <w:r w:rsidRPr="00A700E7">
              <w:rPr>
                <w:rFonts w:eastAsia="Calibri"/>
                <w:sz w:val="20"/>
                <w:szCs w:val="20"/>
              </w:rPr>
              <w:t>347.2 (88.82)</w:t>
            </w:r>
          </w:p>
        </w:tc>
        <w:tc>
          <w:tcPr>
            <w:tcW w:w="1800" w:type="dxa"/>
            <w:shd w:val="clear" w:color="auto" w:fill="auto"/>
            <w:vAlign w:val="bottom"/>
          </w:tcPr>
          <w:p w14:paraId="74D520CD" w14:textId="0AA0C7B7" w:rsidR="007E3C67" w:rsidRPr="00A700E7" w:rsidRDefault="007E3C67" w:rsidP="007A6B1F">
            <w:pPr>
              <w:spacing w:before="20" w:after="20"/>
              <w:jc w:val="left"/>
              <w:rPr>
                <w:rFonts w:eastAsia="Calibri"/>
                <w:sz w:val="20"/>
                <w:szCs w:val="20"/>
              </w:rPr>
            </w:pPr>
            <w:r w:rsidRPr="00A700E7">
              <w:rPr>
                <w:rFonts w:eastAsia="Calibri"/>
                <w:sz w:val="20"/>
                <w:szCs w:val="20"/>
              </w:rPr>
              <w:t>354.3 (103.49)</w:t>
            </w:r>
          </w:p>
        </w:tc>
        <w:tc>
          <w:tcPr>
            <w:tcW w:w="1478" w:type="dxa"/>
            <w:shd w:val="clear" w:color="auto" w:fill="auto"/>
            <w:vAlign w:val="bottom"/>
          </w:tcPr>
          <w:p w14:paraId="2F585B26" w14:textId="0ED385C9" w:rsidR="007E3C67" w:rsidRPr="00A700E7" w:rsidRDefault="007E3C67" w:rsidP="007A6B1F">
            <w:pPr>
              <w:spacing w:before="20" w:after="20"/>
              <w:jc w:val="left"/>
              <w:rPr>
                <w:rFonts w:eastAsia="Calibri"/>
                <w:sz w:val="20"/>
                <w:szCs w:val="20"/>
              </w:rPr>
            </w:pPr>
            <w:r w:rsidRPr="00A700E7">
              <w:rPr>
                <w:rFonts w:eastAsia="Calibri"/>
                <w:sz w:val="20"/>
                <w:szCs w:val="20"/>
              </w:rPr>
              <w:t>361.8 (70.44)</w:t>
            </w:r>
          </w:p>
        </w:tc>
        <w:tc>
          <w:tcPr>
            <w:tcW w:w="1723" w:type="dxa"/>
            <w:shd w:val="clear" w:color="auto" w:fill="auto"/>
            <w:vAlign w:val="bottom"/>
          </w:tcPr>
          <w:p w14:paraId="6BAD9240" w14:textId="2A88C5AC" w:rsidR="007E3C67" w:rsidRPr="00A700E7" w:rsidRDefault="007E3C67" w:rsidP="007A6B1F">
            <w:pPr>
              <w:spacing w:before="20" w:after="20"/>
              <w:jc w:val="left"/>
              <w:rPr>
                <w:rFonts w:eastAsia="Calibri"/>
                <w:sz w:val="20"/>
                <w:szCs w:val="20"/>
              </w:rPr>
            </w:pPr>
            <w:r w:rsidRPr="00A700E7">
              <w:rPr>
                <w:rFonts w:eastAsia="Calibri"/>
                <w:sz w:val="20"/>
                <w:szCs w:val="20"/>
              </w:rPr>
              <w:t>351.0 (98.85)</w:t>
            </w:r>
          </w:p>
        </w:tc>
      </w:tr>
      <w:tr w:rsidR="00A700E7" w:rsidRPr="00A700E7" w14:paraId="6342E1F1" w14:textId="77777777" w:rsidTr="006D7E58">
        <w:tc>
          <w:tcPr>
            <w:tcW w:w="2965" w:type="dxa"/>
          </w:tcPr>
          <w:p w14:paraId="679B75D1" w14:textId="77777777" w:rsidR="007E3C67" w:rsidRPr="00A700E7" w:rsidRDefault="007E3C67" w:rsidP="007A6B1F">
            <w:pPr>
              <w:jc w:val="left"/>
              <w:rPr>
                <w:sz w:val="20"/>
                <w:szCs w:val="20"/>
              </w:rPr>
            </w:pPr>
            <w:r w:rsidRPr="00A700E7">
              <w:rPr>
                <w:sz w:val="20"/>
                <w:szCs w:val="20"/>
              </w:rPr>
              <w:t xml:space="preserve">Change from baseline </w:t>
            </w:r>
          </w:p>
          <w:p w14:paraId="5203D1EE" w14:textId="77777777" w:rsidR="007E3C67" w:rsidRPr="00A700E7" w:rsidRDefault="007E3C67" w:rsidP="007A6B1F">
            <w:pPr>
              <w:jc w:val="left"/>
              <w:rPr>
                <w:sz w:val="20"/>
                <w:szCs w:val="20"/>
              </w:rPr>
            </w:pPr>
            <w:r w:rsidRPr="00A700E7">
              <w:rPr>
                <w:sz w:val="20"/>
                <w:szCs w:val="20"/>
              </w:rPr>
              <w:t>at Week 16 (m) mean (SD)</w:t>
            </w:r>
          </w:p>
        </w:tc>
        <w:tc>
          <w:tcPr>
            <w:tcW w:w="1620" w:type="dxa"/>
          </w:tcPr>
          <w:p w14:paraId="77996CBA" w14:textId="77777777" w:rsidR="007E3C67" w:rsidRPr="00A700E7" w:rsidRDefault="007E3C67" w:rsidP="007A6B1F">
            <w:pPr>
              <w:jc w:val="left"/>
              <w:rPr>
                <w:sz w:val="20"/>
                <w:szCs w:val="20"/>
              </w:rPr>
            </w:pPr>
            <w:r w:rsidRPr="00A700E7">
              <w:rPr>
                <w:sz w:val="20"/>
                <w:szCs w:val="20"/>
              </w:rPr>
              <w:t>38.5 (70.4)</w:t>
            </w:r>
          </w:p>
        </w:tc>
        <w:tc>
          <w:tcPr>
            <w:tcW w:w="1800" w:type="dxa"/>
          </w:tcPr>
          <w:p w14:paraId="53ED1088" w14:textId="77777777" w:rsidR="007E3C67" w:rsidRPr="00A700E7" w:rsidRDefault="007E3C67" w:rsidP="007A6B1F">
            <w:pPr>
              <w:jc w:val="left"/>
              <w:rPr>
                <w:sz w:val="20"/>
                <w:szCs w:val="20"/>
              </w:rPr>
            </w:pPr>
            <w:r w:rsidRPr="00A700E7">
              <w:rPr>
                <w:sz w:val="20"/>
                <w:szCs w:val="20"/>
              </w:rPr>
              <w:t>52.9 (88.2)</w:t>
            </w:r>
          </w:p>
        </w:tc>
        <w:tc>
          <w:tcPr>
            <w:tcW w:w="1478" w:type="dxa"/>
          </w:tcPr>
          <w:p w14:paraId="48A02013" w14:textId="77777777" w:rsidR="007E3C67" w:rsidRPr="00A700E7" w:rsidRDefault="007E3C67" w:rsidP="007A6B1F">
            <w:pPr>
              <w:jc w:val="left"/>
              <w:rPr>
                <w:sz w:val="20"/>
                <w:szCs w:val="20"/>
              </w:rPr>
            </w:pPr>
            <w:r w:rsidRPr="00A700E7">
              <w:rPr>
                <w:sz w:val="20"/>
                <w:szCs w:val="20"/>
              </w:rPr>
              <w:t>15.9 (45.0)</w:t>
            </w:r>
          </w:p>
        </w:tc>
        <w:tc>
          <w:tcPr>
            <w:tcW w:w="1723" w:type="dxa"/>
          </w:tcPr>
          <w:p w14:paraId="41FB5D9B" w14:textId="77777777" w:rsidR="007E3C67" w:rsidRPr="00A700E7" w:rsidRDefault="007E3C67" w:rsidP="007A6B1F">
            <w:pPr>
              <w:jc w:val="left"/>
              <w:rPr>
                <w:sz w:val="20"/>
                <w:szCs w:val="20"/>
              </w:rPr>
            </w:pPr>
            <w:r w:rsidRPr="00A700E7">
              <w:rPr>
                <w:sz w:val="20"/>
                <w:szCs w:val="20"/>
              </w:rPr>
              <w:t>43.4 (78.0)</w:t>
            </w:r>
          </w:p>
        </w:tc>
      </w:tr>
      <w:tr w:rsidR="00A700E7" w:rsidRPr="00A700E7" w14:paraId="67CA1BB5" w14:textId="77777777" w:rsidTr="006D7E58">
        <w:tc>
          <w:tcPr>
            <w:tcW w:w="2965" w:type="dxa"/>
          </w:tcPr>
          <w:p w14:paraId="17E2C434" w14:textId="77777777" w:rsidR="007E3C67" w:rsidRPr="00A700E7" w:rsidRDefault="007E3C67" w:rsidP="007A6B1F">
            <w:pPr>
              <w:jc w:val="left"/>
              <w:rPr>
                <w:sz w:val="20"/>
                <w:szCs w:val="20"/>
              </w:rPr>
            </w:pPr>
            <w:r w:rsidRPr="00A700E7">
              <w:rPr>
                <w:sz w:val="20"/>
                <w:szCs w:val="20"/>
              </w:rPr>
              <w:t xml:space="preserve">Treatment effect means </w:t>
            </w:r>
          </w:p>
          <w:p w14:paraId="718DB6B6" w14:textId="77777777" w:rsidR="007E3C67" w:rsidRPr="00A700E7" w:rsidRDefault="007E3C67" w:rsidP="007A6B1F">
            <w:pPr>
              <w:jc w:val="left"/>
              <w:rPr>
                <w:sz w:val="20"/>
                <w:szCs w:val="20"/>
              </w:rPr>
            </w:pPr>
            <w:r w:rsidRPr="00A700E7">
              <w:rPr>
                <w:sz w:val="20"/>
                <w:szCs w:val="20"/>
              </w:rPr>
              <w:t>(95% CI)</w:t>
            </w:r>
          </w:p>
        </w:tc>
        <w:tc>
          <w:tcPr>
            <w:tcW w:w="1620" w:type="dxa"/>
          </w:tcPr>
          <w:p w14:paraId="64A74A51" w14:textId="77777777" w:rsidR="007E3C67" w:rsidRPr="00A700E7" w:rsidRDefault="007E3C67" w:rsidP="007A6B1F">
            <w:pPr>
              <w:jc w:val="left"/>
              <w:rPr>
                <w:sz w:val="20"/>
                <w:szCs w:val="20"/>
              </w:rPr>
            </w:pPr>
          </w:p>
        </w:tc>
        <w:tc>
          <w:tcPr>
            <w:tcW w:w="1800" w:type="dxa"/>
          </w:tcPr>
          <w:p w14:paraId="00DAFC57" w14:textId="77777777" w:rsidR="007E3C67" w:rsidRPr="00A700E7" w:rsidRDefault="007E3C67" w:rsidP="007A6B1F">
            <w:pPr>
              <w:jc w:val="left"/>
              <w:rPr>
                <w:sz w:val="20"/>
                <w:szCs w:val="20"/>
              </w:rPr>
            </w:pPr>
            <w:r w:rsidRPr="00A700E7">
              <w:rPr>
                <w:sz w:val="20"/>
                <w:szCs w:val="20"/>
              </w:rPr>
              <w:t>16.0</w:t>
            </w:r>
          </w:p>
          <w:p w14:paraId="6C0F5332" w14:textId="77777777" w:rsidR="007E3C67" w:rsidRPr="00A700E7" w:rsidRDefault="007E3C67" w:rsidP="007A6B1F">
            <w:pPr>
              <w:jc w:val="left"/>
              <w:rPr>
                <w:sz w:val="20"/>
                <w:szCs w:val="20"/>
              </w:rPr>
            </w:pPr>
            <w:r w:rsidRPr="00A700E7">
              <w:rPr>
                <w:sz w:val="20"/>
                <w:szCs w:val="20"/>
              </w:rPr>
              <w:t>(-17.0, 49.1)</w:t>
            </w:r>
          </w:p>
        </w:tc>
        <w:tc>
          <w:tcPr>
            <w:tcW w:w="1478" w:type="dxa"/>
          </w:tcPr>
          <w:p w14:paraId="22F78AD8" w14:textId="77777777" w:rsidR="007E3C67" w:rsidRPr="00A700E7" w:rsidRDefault="007E3C67" w:rsidP="007A6B1F">
            <w:pPr>
              <w:jc w:val="left"/>
              <w:rPr>
                <w:sz w:val="20"/>
                <w:szCs w:val="20"/>
              </w:rPr>
            </w:pPr>
          </w:p>
        </w:tc>
        <w:tc>
          <w:tcPr>
            <w:tcW w:w="1723" w:type="dxa"/>
          </w:tcPr>
          <w:p w14:paraId="0D965238" w14:textId="77777777" w:rsidR="007E3C67" w:rsidRPr="00A700E7" w:rsidRDefault="007E3C67" w:rsidP="007A6B1F">
            <w:pPr>
              <w:jc w:val="left"/>
              <w:rPr>
                <w:sz w:val="20"/>
                <w:szCs w:val="20"/>
              </w:rPr>
            </w:pPr>
            <w:r w:rsidRPr="00A700E7">
              <w:rPr>
                <w:sz w:val="20"/>
                <w:szCs w:val="20"/>
              </w:rPr>
              <w:t>25.4</w:t>
            </w:r>
          </w:p>
          <w:p w14:paraId="5ADCE856" w14:textId="77777777" w:rsidR="007E3C67" w:rsidRPr="00A700E7" w:rsidRDefault="007E3C67" w:rsidP="007A6B1F">
            <w:pPr>
              <w:jc w:val="left"/>
              <w:rPr>
                <w:sz w:val="20"/>
                <w:szCs w:val="20"/>
              </w:rPr>
            </w:pPr>
            <w:r w:rsidRPr="00A700E7">
              <w:rPr>
                <w:sz w:val="20"/>
                <w:szCs w:val="20"/>
              </w:rPr>
              <w:t>(-0.93, 51.6)</w:t>
            </w:r>
          </w:p>
        </w:tc>
      </w:tr>
      <w:tr w:rsidR="007E3C67" w:rsidRPr="00A700E7" w14:paraId="051245F2" w14:textId="77777777" w:rsidTr="006D7E58">
        <w:tc>
          <w:tcPr>
            <w:tcW w:w="2965" w:type="dxa"/>
          </w:tcPr>
          <w:p w14:paraId="4F95E13E" w14:textId="77777777" w:rsidR="007E3C67" w:rsidRPr="00A700E7" w:rsidRDefault="007E3C67" w:rsidP="007A6B1F">
            <w:pPr>
              <w:jc w:val="left"/>
              <w:rPr>
                <w:sz w:val="20"/>
                <w:szCs w:val="20"/>
              </w:rPr>
            </w:pPr>
            <w:r w:rsidRPr="00A700E7">
              <w:rPr>
                <w:sz w:val="20"/>
                <w:szCs w:val="20"/>
              </w:rPr>
              <w:t>2-sided p-value</w:t>
            </w:r>
          </w:p>
        </w:tc>
        <w:tc>
          <w:tcPr>
            <w:tcW w:w="1620" w:type="dxa"/>
          </w:tcPr>
          <w:p w14:paraId="43EEF658" w14:textId="77777777" w:rsidR="007E3C67" w:rsidRPr="00A700E7" w:rsidRDefault="007E3C67" w:rsidP="007A6B1F">
            <w:pPr>
              <w:jc w:val="left"/>
              <w:rPr>
                <w:sz w:val="20"/>
                <w:szCs w:val="20"/>
              </w:rPr>
            </w:pPr>
          </w:p>
        </w:tc>
        <w:tc>
          <w:tcPr>
            <w:tcW w:w="1800" w:type="dxa"/>
          </w:tcPr>
          <w:p w14:paraId="416D5A3F" w14:textId="77777777" w:rsidR="007E3C67" w:rsidRPr="00A700E7" w:rsidRDefault="007E3C67" w:rsidP="007A6B1F">
            <w:pPr>
              <w:jc w:val="left"/>
              <w:rPr>
                <w:sz w:val="20"/>
                <w:szCs w:val="20"/>
              </w:rPr>
            </w:pPr>
            <w:r w:rsidRPr="00A700E7">
              <w:rPr>
                <w:sz w:val="20"/>
                <w:szCs w:val="20"/>
              </w:rPr>
              <w:t>0.3802</w:t>
            </w:r>
          </w:p>
        </w:tc>
        <w:tc>
          <w:tcPr>
            <w:tcW w:w="1478" w:type="dxa"/>
          </w:tcPr>
          <w:p w14:paraId="1B2BF948" w14:textId="77777777" w:rsidR="007E3C67" w:rsidRPr="00A700E7" w:rsidRDefault="007E3C67" w:rsidP="007A6B1F">
            <w:pPr>
              <w:jc w:val="left"/>
              <w:rPr>
                <w:sz w:val="20"/>
                <w:szCs w:val="20"/>
              </w:rPr>
            </w:pPr>
          </w:p>
        </w:tc>
        <w:tc>
          <w:tcPr>
            <w:tcW w:w="1723" w:type="dxa"/>
          </w:tcPr>
          <w:p w14:paraId="01070332" w14:textId="77777777" w:rsidR="007E3C67" w:rsidRPr="00A700E7" w:rsidRDefault="007E3C67" w:rsidP="007A6B1F">
            <w:pPr>
              <w:jc w:val="left"/>
              <w:rPr>
                <w:sz w:val="20"/>
                <w:szCs w:val="20"/>
              </w:rPr>
            </w:pPr>
            <w:r w:rsidRPr="00A700E7">
              <w:rPr>
                <w:sz w:val="20"/>
                <w:szCs w:val="20"/>
              </w:rPr>
              <w:t>0.0591</w:t>
            </w:r>
          </w:p>
        </w:tc>
      </w:tr>
    </w:tbl>
    <w:p w14:paraId="76E64618" w14:textId="438B01DF" w:rsidR="00585AA7" w:rsidRPr="00A700E7" w:rsidRDefault="00585AA7" w:rsidP="007A6B1F">
      <w:pPr>
        <w:jc w:val="left"/>
        <w:rPr>
          <w:highlight w:val="yellow"/>
        </w:rPr>
      </w:pPr>
    </w:p>
    <w:p w14:paraId="133ED86E" w14:textId="48CA2D2B" w:rsidR="006279E0" w:rsidRPr="00A700E7" w:rsidRDefault="006279E0" w:rsidP="007A6B1F">
      <w:pPr>
        <w:pStyle w:val="Heading4"/>
        <w:ind w:left="0" w:hanging="13"/>
        <w:jc w:val="left"/>
      </w:pPr>
      <w:r w:rsidRPr="00A700E7">
        <w:t>Efficacy of macitentan and tadalafil as individual components in patients with pulmonary arterial hypertension</w:t>
      </w:r>
    </w:p>
    <w:p w14:paraId="60704FEF" w14:textId="1F5AA1F1" w:rsidR="00E6685B" w:rsidRPr="00A700E7" w:rsidRDefault="006279E0" w:rsidP="007A6B1F">
      <w:pPr>
        <w:jc w:val="left"/>
      </w:pPr>
      <w:r w:rsidRPr="00A700E7">
        <w:t xml:space="preserve">As OPSYNVI contains macitentan and tadalafil, the efficacy of the individual components should be considered. </w:t>
      </w:r>
    </w:p>
    <w:p w14:paraId="16213933" w14:textId="3038C25B" w:rsidR="00E6685B" w:rsidRPr="00A700E7" w:rsidRDefault="00E6685B" w:rsidP="007A6B1F">
      <w:pPr>
        <w:pStyle w:val="Heading4"/>
        <w:jc w:val="left"/>
      </w:pPr>
      <w:bookmarkStart w:id="26" w:name="_Hlk171066381"/>
      <w:r w:rsidRPr="00A700E7">
        <w:t>Efficacy of macitentan in patients with pulmonary arterial hypertension</w:t>
      </w:r>
    </w:p>
    <w:bookmarkEnd w:id="26"/>
    <w:p w14:paraId="74D05443" w14:textId="77777777" w:rsidR="00E6685B" w:rsidRPr="00A700E7" w:rsidRDefault="00E6685B" w:rsidP="007A6B1F">
      <w:pPr>
        <w:jc w:val="left"/>
      </w:pPr>
      <w:r w:rsidRPr="00A700E7">
        <w:t xml:space="preserve">A </w:t>
      </w:r>
      <w:proofErr w:type="spellStart"/>
      <w:r w:rsidRPr="00A700E7">
        <w:t>multicentre</w:t>
      </w:r>
      <w:proofErr w:type="spellEnd"/>
      <w:r w:rsidRPr="00A700E7">
        <w:t xml:space="preserve">, double-blind, placebo-controlled, parallel-group, event-driven, Phase 3 outcome study (AC-055-302/SERAPHIN) was conducted in 742 patients with symptomatic PAH, who were </w:t>
      </w:r>
      <w:proofErr w:type="spellStart"/>
      <w:r w:rsidRPr="00A700E7">
        <w:t>randomised</w:t>
      </w:r>
      <w:proofErr w:type="spellEnd"/>
      <w:r w:rsidRPr="00A700E7">
        <w:t xml:space="preserve"> to three treatment groups (placebo [N=250], 3 mg [N=250] or 10 mg [N=242] of macitentan once daily), to assess the long-term effect on morbidity or mortality. At baseline, </w:t>
      </w:r>
      <w:proofErr w:type="gramStart"/>
      <w:r w:rsidRPr="00A700E7">
        <w:t>the majority of</w:t>
      </w:r>
      <w:proofErr w:type="gramEnd"/>
      <w:r w:rsidRPr="00A700E7">
        <w:t xml:space="preserve"> enrolled patients (64%) were treated with a stable dose of specific therapy for PAH, either oral phosphodiesterase inhibitors (61%) and/or inhaled/oral </w:t>
      </w:r>
      <w:proofErr w:type="spellStart"/>
      <w:r w:rsidRPr="00A700E7">
        <w:t>prostanoids</w:t>
      </w:r>
      <w:proofErr w:type="spellEnd"/>
      <w:r w:rsidRPr="00A700E7">
        <w:t xml:space="preserve"> (6%). The primary study endpoint was the time to first occurrence of a morbidity or mortality event, up to end of treatment (EOT), defined as death, or atrial septostomy, or lung transplantation, or initiation of intravenous (</w:t>
      </w:r>
      <w:proofErr w:type="spellStart"/>
      <w:r w:rsidRPr="00A700E7">
        <w:t>i.v.</w:t>
      </w:r>
      <w:proofErr w:type="spellEnd"/>
      <w:r w:rsidRPr="00A700E7">
        <w:t>) or subcutaneous (</w:t>
      </w:r>
      <w:proofErr w:type="spellStart"/>
      <w:r w:rsidRPr="00A700E7">
        <w:t>s.c.</w:t>
      </w:r>
      <w:proofErr w:type="spellEnd"/>
      <w:r w:rsidRPr="00A700E7">
        <w:t xml:space="preserve">) </w:t>
      </w:r>
      <w:proofErr w:type="spellStart"/>
      <w:r w:rsidRPr="00A700E7">
        <w:t>prostanoids</w:t>
      </w:r>
      <w:proofErr w:type="spellEnd"/>
      <w:r w:rsidRPr="00A700E7">
        <w:t xml:space="preserve">, or other worsening of PAH. Other worsening of PAH was defined as the presence of </w:t>
      </w:r>
      <w:proofErr w:type="gramStart"/>
      <w:r w:rsidRPr="00A700E7">
        <w:t>all of</w:t>
      </w:r>
      <w:proofErr w:type="gramEnd"/>
      <w:r w:rsidRPr="00A700E7">
        <w:t xml:space="preserve"> the three following components: a sustained decrease in 6-minute walk distance (6MWD) of at least 15% from baseline; worsening of PAH symptoms (worsening of WHO Functional Class [FC] or right heart failure); and need for new treatment for PAH. All events were confirmed by an independent adjudication committee, blinded to treatment allocation.</w:t>
      </w:r>
    </w:p>
    <w:p w14:paraId="17DDB507" w14:textId="77777777" w:rsidR="00E6685B" w:rsidRPr="00A700E7" w:rsidRDefault="00E6685B" w:rsidP="007A6B1F">
      <w:pPr>
        <w:jc w:val="left"/>
      </w:pPr>
    </w:p>
    <w:p w14:paraId="773D7C42" w14:textId="77777777" w:rsidR="00E6685B" w:rsidRPr="00A700E7" w:rsidRDefault="00E6685B" w:rsidP="007A6B1F">
      <w:pPr>
        <w:jc w:val="left"/>
      </w:pPr>
      <w:r w:rsidRPr="00A700E7">
        <w:t>The median treatment duration was 101, 116, and 118 weeks in the placebo, macitentan 3 mg, and 10 mg group, respectively, up to a maximum of 188 weeks on macitentan.</w:t>
      </w:r>
    </w:p>
    <w:p w14:paraId="6C3A458A" w14:textId="77777777" w:rsidR="00E6685B" w:rsidRPr="00A700E7" w:rsidRDefault="00E6685B" w:rsidP="007A6B1F">
      <w:pPr>
        <w:jc w:val="left"/>
      </w:pPr>
    </w:p>
    <w:p w14:paraId="0CD4DBCD" w14:textId="4D024C69" w:rsidR="00E6685B" w:rsidRPr="00A700E7" w:rsidRDefault="00E6685B" w:rsidP="007A6B1F">
      <w:pPr>
        <w:jc w:val="left"/>
      </w:pPr>
      <w:r w:rsidRPr="00A700E7">
        <w:t>Efficacy was evaluated up to the end of double-blind treatment (EOT). The EOT either coincided with end of study (EOS) for patients who completed the study as scheduled or occurred earlier in case of premature discontinuation of study drug. For those patients who stopped treatment prior to EOS, PAH therapy, including macitentan, may have been initiated. All patients were followed up to EOS for vital status. The ascertainment rate for vital status at the EOS was greater than 95%.</w:t>
      </w:r>
    </w:p>
    <w:p w14:paraId="41D21826" w14:textId="77777777" w:rsidR="00E6685B" w:rsidRPr="00A700E7" w:rsidRDefault="00E6685B" w:rsidP="007A6B1F">
      <w:pPr>
        <w:jc w:val="left"/>
      </w:pPr>
    </w:p>
    <w:p w14:paraId="5D0109A2" w14:textId="06C800C4" w:rsidR="00E6685B" w:rsidRPr="00A700E7" w:rsidRDefault="00E6685B" w:rsidP="007A6B1F">
      <w:pPr>
        <w:jc w:val="left"/>
      </w:pPr>
      <w:r w:rsidRPr="00A700E7">
        <w:t xml:space="preserve">The mean age of all patients was 46 years (range 12–85 years of age) with </w:t>
      </w:r>
      <w:proofErr w:type="gramStart"/>
      <w:r w:rsidRPr="00A700E7">
        <w:t>the majority of</w:t>
      </w:r>
      <w:proofErr w:type="gramEnd"/>
      <w:r w:rsidRPr="00A700E7">
        <w:t xml:space="preserve"> subjects being Caucasian (55%) and female (77%). Approximately 52%, 46%, and 2% of patients were in WHO FC II, III, and IV, respectively. Patients with WHO Functional Class I were excluded from the study.</w:t>
      </w:r>
    </w:p>
    <w:p w14:paraId="1C8E5842" w14:textId="77777777" w:rsidR="00E6685B" w:rsidRPr="00A700E7" w:rsidRDefault="00E6685B" w:rsidP="007A6B1F">
      <w:pPr>
        <w:jc w:val="left"/>
      </w:pPr>
    </w:p>
    <w:p w14:paraId="0BDB749B" w14:textId="77777777" w:rsidR="00E6685B" w:rsidRPr="00A700E7" w:rsidRDefault="00E6685B" w:rsidP="007A6B1F">
      <w:pPr>
        <w:jc w:val="left"/>
      </w:pPr>
      <w:r w:rsidRPr="00A700E7">
        <w:t xml:space="preserve">Idiopathic or heritable PAH was the most common </w:t>
      </w:r>
      <w:proofErr w:type="spellStart"/>
      <w:r w:rsidRPr="00A700E7">
        <w:t>aetiology</w:t>
      </w:r>
      <w:proofErr w:type="spellEnd"/>
      <w:r w:rsidRPr="00A700E7">
        <w:t xml:space="preserve"> in the study population (57%), followed by PAH due to connective tissue disorders (31%), PAH associated with congenital heart disease with shunts (8%), and PAH associated with other </w:t>
      </w:r>
      <w:proofErr w:type="spellStart"/>
      <w:r w:rsidRPr="00A700E7">
        <w:t>aetiologies</w:t>
      </w:r>
      <w:proofErr w:type="spellEnd"/>
      <w:r w:rsidRPr="00A700E7">
        <w:t xml:space="preserve"> (drugs and toxins [3%] and HIV [1%]).</w:t>
      </w:r>
    </w:p>
    <w:p w14:paraId="08A651C3" w14:textId="77777777" w:rsidR="00E6685B" w:rsidRPr="00A700E7" w:rsidRDefault="00E6685B" w:rsidP="007A6B1F">
      <w:pPr>
        <w:jc w:val="left"/>
      </w:pPr>
    </w:p>
    <w:p w14:paraId="7D150F3C" w14:textId="35F1646C" w:rsidR="00E6685B" w:rsidRPr="00A700E7" w:rsidRDefault="00E6685B" w:rsidP="007A6B1F">
      <w:pPr>
        <w:jc w:val="left"/>
        <w:rPr>
          <w:i/>
          <w:iCs/>
        </w:rPr>
      </w:pPr>
      <w:r w:rsidRPr="00A700E7">
        <w:rPr>
          <w:i/>
          <w:iCs/>
        </w:rPr>
        <w:t>Outcome endpoints</w:t>
      </w:r>
    </w:p>
    <w:p w14:paraId="640127F0" w14:textId="6D194468" w:rsidR="00E6685B" w:rsidRPr="00A700E7" w:rsidRDefault="00E6685B" w:rsidP="007A6B1F">
      <w:pPr>
        <w:jc w:val="left"/>
      </w:pPr>
      <w:r w:rsidRPr="00A700E7">
        <w:t xml:space="preserve">Treatment with OPSUMIT 10 mg resulted in a 45% reduction (HR 0.55, 97.5% CI 0.39-0.76; </w:t>
      </w:r>
      <w:proofErr w:type="spellStart"/>
      <w:r w:rsidRPr="00A700E7">
        <w:t>logrank</w:t>
      </w:r>
      <w:proofErr w:type="spellEnd"/>
      <w:r w:rsidRPr="00A700E7">
        <w:t xml:space="preserve"> p&lt;0.0001) in the occurrence of the primary endpoint up to end of double-blind treatment compared to placebo (Figure </w:t>
      </w:r>
      <w:r w:rsidR="004A5BFD" w:rsidRPr="00A700E7">
        <w:t>2</w:t>
      </w:r>
      <w:r w:rsidRPr="00A700E7">
        <w:t xml:space="preserve"> and Table </w:t>
      </w:r>
      <w:r w:rsidR="004A5BFD" w:rsidRPr="00A700E7">
        <w:t>1</w:t>
      </w:r>
      <w:r w:rsidR="00017BF5" w:rsidRPr="00A700E7">
        <w:t>3</w:t>
      </w:r>
      <w:r w:rsidRPr="00A700E7">
        <w:t>). The beneficial effect of OPSUMIT 10 mg was primarily attributable to a reduction in clinical worsening events (deterioration in 6MWD and worsening of PAH symptoms and need for additional PAH treatment). The treatment effect was established early and sustained for a median duration of 2 years.</w:t>
      </w:r>
    </w:p>
    <w:p w14:paraId="1DD0EC08" w14:textId="77777777" w:rsidR="00E6685B" w:rsidRPr="00A700E7" w:rsidRDefault="00E6685B" w:rsidP="007A6B1F">
      <w:pPr>
        <w:jc w:val="left"/>
      </w:pPr>
    </w:p>
    <w:p w14:paraId="7F3795ED" w14:textId="539098A5" w:rsidR="00E6685B" w:rsidRPr="00A700E7" w:rsidRDefault="00E6685B" w:rsidP="007A6B1F">
      <w:pPr>
        <w:keepNext/>
        <w:keepLines/>
        <w:jc w:val="left"/>
        <w:rPr>
          <w:rFonts w:asciiTheme="minorHAnsi" w:eastAsia="Times New Roman" w:hAnsiTheme="minorHAnsi" w:cstheme="minorHAnsi"/>
          <w:b/>
          <w:sz w:val="24"/>
          <w:szCs w:val="24"/>
          <w:lang w:val="en-GB"/>
        </w:rPr>
      </w:pPr>
      <w:bookmarkStart w:id="27" w:name="_Ref325616163"/>
      <w:bookmarkStart w:id="28" w:name="figure1"/>
      <w:bookmarkStart w:id="29" w:name="_Toc335802991"/>
      <w:bookmarkStart w:id="30" w:name="_Toc335814077"/>
      <w:bookmarkStart w:id="31" w:name="_Ref325644661"/>
      <w:bookmarkStart w:id="32" w:name="_Ref331997135"/>
      <w:r w:rsidRPr="00A700E7">
        <w:rPr>
          <w:rFonts w:asciiTheme="minorHAnsi" w:eastAsia="Times New Roman" w:hAnsiTheme="minorHAnsi" w:cstheme="minorHAnsi"/>
          <w:b/>
          <w:sz w:val="24"/>
          <w:szCs w:val="24"/>
          <w:lang w:val="en-GB"/>
        </w:rPr>
        <w:t xml:space="preserve">Figure </w:t>
      </w:r>
      <w:bookmarkEnd w:id="27"/>
      <w:bookmarkEnd w:id="28"/>
      <w:proofErr w:type="gramStart"/>
      <w:r w:rsidR="004A5BFD" w:rsidRPr="00A700E7">
        <w:rPr>
          <w:rFonts w:asciiTheme="minorHAnsi" w:eastAsia="Times New Roman" w:hAnsiTheme="minorHAnsi" w:cstheme="minorHAnsi"/>
          <w:b/>
          <w:sz w:val="24"/>
          <w:szCs w:val="24"/>
        </w:rPr>
        <w:t xml:space="preserve">2 </w:t>
      </w:r>
      <w:r w:rsidR="004A5BFD" w:rsidRPr="00A700E7">
        <w:rPr>
          <w:rFonts w:asciiTheme="minorHAnsi" w:eastAsia="Times New Roman" w:hAnsiTheme="minorHAnsi" w:cstheme="minorHAnsi"/>
          <w:b/>
          <w:sz w:val="24"/>
          <w:szCs w:val="24"/>
          <w:lang w:val="en-GB"/>
        </w:rPr>
        <w:t xml:space="preserve"> </w:t>
      </w:r>
      <w:r w:rsidRPr="00A700E7">
        <w:rPr>
          <w:rFonts w:asciiTheme="minorHAnsi" w:eastAsia="Times New Roman" w:hAnsiTheme="minorHAnsi" w:cstheme="minorHAnsi"/>
          <w:b/>
          <w:sz w:val="24"/>
          <w:szCs w:val="24"/>
          <w:lang w:val="en-GB"/>
        </w:rPr>
        <w:t>Kaplan</w:t>
      </w:r>
      <w:proofErr w:type="gramEnd"/>
      <w:r w:rsidRPr="00A700E7">
        <w:rPr>
          <w:rFonts w:asciiTheme="minorHAnsi" w:eastAsia="Times New Roman" w:hAnsiTheme="minorHAnsi" w:cstheme="minorHAnsi"/>
          <w:b/>
          <w:sz w:val="24"/>
          <w:szCs w:val="24"/>
          <w:lang w:val="en-GB"/>
        </w:rPr>
        <w:t>-Meier estimates of the risk of first morbidity/mortality event in SERAPHIN</w:t>
      </w:r>
      <w:bookmarkEnd w:id="29"/>
      <w:bookmarkEnd w:id="30"/>
    </w:p>
    <w:p w14:paraId="377C0022" w14:textId="77777777" w:rsidR="00E6685B" w:rsidRPr="00A700E7" w:rsidRDefault="00E6685B" w:rsidP="007A6B1F">
      <w:pPr>
        <w:keepNext/>
        <w:keepLines/>
        <w:ind w:left="1531" w:hanging="1531"/>
        <w:jc w:val="left"/>
        <w:rPr>
          <w:rFonts w:asciiTheme="minorHAnsi" w:eastAsia="Times New Roman" w:hAnsiTheme="minorHAnsi" w:cstheme="minorHAnsi"/>
          <w:b/>
          <w:sz w:val="24"/>
          <w:szCs w:val="24"/>
          <w:lang w:val="en-GB"/>
        </w:rPr>
      </w:pPr>
    </w:p>
    <w:p w14:paraId="76D43C88" w14:textId="2057550C" w:rsidR="00E6685B" w:rsidRPr="00A700E7" w:rsidRDefault="00E6685B" w:rsidP="007A6B1F">
      <w:pPr>
        <w:keepNext/>
        <w:keepLines/>
        <w:ind w:left="1531" w:hanging="1531"/>
        <w:jc w:val="left"/>
        <w:rPr>
          <w:rFonts w:asciiTheme="minorHAnsi" w:eastAsia="Times New Roman" w:hAnsiTheme="minorHAnsi" w:cstheme="minorHAnsi"/>
          <w:b/>
          <w:sz w:val="24"/>
          <w:szCs w:val="24"/>
          <w:lang w:val="en-GB"/>
        </w:rPr>
      </w:pPr>
      <w:r w:rsidRPr="00A700E7">
        <w:rPr>
          <w:noProof/>
        </w:rPr>
        <w:drawing>
          <wp:inline distT="0" distB="0" distL="0" distR="0" wp14:anchorId="51667F7B" wp14:editId="64356E85">
            <wp:extent cx="5572125" cy="3790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2125" cy="3790950"/>
                    </a:xfrm>
                    <a:prstGeom prst="rect">
                      <a:avLst/>
                    </a:prstGeom>
                  </pic:spPr>
                </pic:pic>
              </a:graphicData>
            </a:graphic>
          </wp:inline>
        </w:drawing>
      </w:r>
    </w:p>
    <w:bookmarkEnd w:id="31"/>
    <w:bookmarkEnd w:id="32"/>
    <w:p w14:paraId="7328AFB8" w14:textId="77777777" w:rsidR="00E6685B" w:rsidRPr="00A700E7" w:rsidRDefault="00E6685B" w:rsidP="007A6B1F">
      <w:pPr>
        <w:jc w:val="left"/>
        <w:rPr>
          <w:lang w:val="en-GB"/>
        </w:rPr>
      </w:pPr>
    </w:p>
    <w:p w14:paraId="7FEEB86A" w14:textId="77777777" w:rsidR="007A6B1F" w:rsidRDefault="007A6B1F" w:rsidP="007A6B1F">
      <w:pPr>
        <w:tabs>
          <w:tab w:val="left" w:pos="993"/>
        </w:tabs>
        <w:spacing w:after="120" w:line="276" w:lineRule="auto"/>
        <w:jc w:val="left"/>
        <w:rPr>
          <w:b/>
          <w:sz w:val="20"/>
          <w:szCs w:val="20"/>
          <w:lang w:val="en-AU"/>
        </w:rPr>
      </w:pPr>
    </w:p>
    <w:p w14:paraId="370E2324" w14:textId="77777777" w:rsidR="007A6B1F" w:rsidRDefault="007A6B1F" w:rsidP="007A6B1F">
      <w:pPr>
        <w:tabs>
          <w:tab w:val="left" w:pos="993"/>
        </w:tabs>
        <w:spacing w:after="120" w:line="276" w:lineRule="auto"/>
        <w:jc w:val="left"/>
        <w:rPr>
          <w:b/>
          <w:sz w:val="20"/>
          <w:szCs w:val="20"/>
          <w:lang w:val="en-AU"/>
        </w:rPr>
      </w:pPr>
    </w:p>
    <w:p w14:paraId="33B11F6B" w14:textId="0425BE9C" w:rsidR="00E6685B" w:rsidRPr="00A700E7" w:rsidRDefault="00E6685B" w:rsidP="007A6B1F">
      <w:pPr>
        <w:tabs>
          <w:tab w:val="left" w:pos="993"/>
        </w:tabs>
        <w:spacing w:after="120" w:line="276" w:lineRule="auto"/>
        <w:jc w:val="left"/>
        <w:rPr>
          <w:b/>
          <w:sz w:val="20"/>
          <w:szCs w:val="20"/>
          <w:lang w:val="en-AU"/>
        </w:rPr>
      </w:pPr>
      <w:r w:rsidRPr="00A700E7">
        <w:rPr>
          <w:b/>
          <w:sz w:val="20"/>
          <w:szCs w:val="20"/>
          <w:lang w:val="en-AU"/>
        </w:rPr>
        <w:lastRenderedPageBreak/>
        <w:t xml:space="preserve">Table </w:t>
      </w:r>
      <w:r w:rsidR="004A5BFD" w:rsidRPr="00A700E7">
        <w:rPr>
          <w:b/>
          <w:sz w:val="20"/>
          <w:szCs w:val="20"/>
          <w:lang w:val="en-AU"/>
        </w:rPr>
        <w:t>1</w:t>
      </w:r>
      <w:r w:rsidR="00017BF5" w:rsidRPr="00A700E7">
        <w:rPr>
          <w:b/>
          <w:sz w:val="20"/>
          <w:szCs w:val="20"/>
          <w:lang w:val="en-AU"/>
        </w:rPr>
        <w:t>3</w:t>
      </w:r>
      <w:r w:rsidR="004A5BFD" w:rsidRPr="00A700E7">
        <w:rPr>
          <w:b/>
          <w:sz w:val="20"/>
          <w:szCs w:val="20"/>
          <w:lang w:val="en-AU"/>
        </w:rPr>
        <w:t xml:space="preserve"> </w:t>
      </w:r>
      <w:r w:rsidRPr="00A700E7">
        <w:rPr>
          <w:b/>
          <w:sz w:val="20"/>
          <w:szCs w:val="20"/>
          <w:lang w:val="en-AU"/>
        </w:rPr>
        <w:t>Summary of Primary Endpoint Events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307"/>
        <w:gridCol w:w="1307"/>
        <w:gridCol w:w="1490"/>
        <w:gridCol w:w="1490"/>
        <w:gridCol w:w="1489"/>
      </w:tblGrid>
      <w:tr w:rsidR="00A700E7" w:rsidRPr="00A700E7" w14:paraId="69996169" w14:textId="77777777" w:rsidTr="004A5BFD">
        <w:trPr>
          <w:trHeight w:val="466"/>
          <w:tblHeader/>
        </w:trPr>
        <w:tc>
          <w:tcPr>
            <w:tcW w:w="1093" w:type="pct"/>
            <w:vMerge w:val="restart"/>
            <w:vAlign w:val="center"/>
          </w:tcPr>
          <w:p w14:paraId="2D0F1B72" w14:textId="77777777" w:rsidR="00E6685B" w:rsidRPr="00A700E7" w:rsidRDefault="00E6685B" w:rsidP="007A6B1F">
            <w:pPr>
              <w:spacing w:after="120"/>
              <w:jc w:val="left"/>
              <w:rPr>
                <w:b/>
                <w:sz w:val="20"/>
                <w:szCs w:val="20"/>
                <w:lang w:val="en-AU"/>
              </w:rPr>
            </w:pPr>
          </w:p>
        </w:tc>
        <w:tc>
          <w:tcPr>
            <w:tcW w:w="721" w:type="pct"/>
            <w:vMerge w:val="restart"/>
          </w:tcPr>
          <w:p w14:paraId="379CBA82" w14:textId="77777777" w:rsidR="00E6685B" w:rsidRPr="00A700E7" w:rsidRDefault="00E6685B" w:rsidP="007A6B1F">
            <w:pPr>
              <w:spacing w:before="120"/>
              <w:jc w:val="left"/>
              <w:rPr>
                <w:b/>
                <w:sz w:val="20"/>
                <w:szCs w:val="20"/>
                <w:lang w:val="en-AU"/>
              </w:rPr>
            </w:pPr>
            <w:r w:rsidRPr="00A700E7">
              <w:rPr>
                <w:b/>
                <w:sz w:val="20"/>
                <w:szCs w:val="20"/>
                <w:lang w:val="en-AU"/>
              </w:rPr>
              <w:t>Placebo</w:t>
            </w:r>
          </w:p>
          <w:p w14:paraId="12ABDBC1" w14:textId="77777777" w:rsidR="00E6685B" w:rsidRPr="00A700E7" w:rsidRDefault="00E6685B" w:rsidP="007A6B1F">
            <w:pPr>
              <w:spacing w:after="120"/>
              <w:jc w:val="left"/>
              <w:rPr>
                <w:b/>
                <w:sz w:val="20"/>
                <w:szCs w:val="20"/>
                <w:lang w:val="en-AU"/>
              </w:rPr>
            </w:pPr>
            <w:r w:rsidRPr="00A700E7">
              <w:rPr>
                <w:b/>
                <w:sz w:val="20"/>
                <w:szCs w:val="20"/>
                <w:lang w:val="en-AU"/>
              </w:rPr>
              <w:t>N = 250</w:t>
            </w:r>
          </w:p>
          <w:p w14:paraId="661A3C60" w14:textId="77777777" w:rsidR="00E6685B" w:rsidRPr="00A700E7" w:rsidRDefault="00E6685B" w:rsidP="007A6B1F">
            <w:pPr>
              <w:spacing w:after="120"/>
              <w:jc w:val="left"/>
              <w:rPr>
                <w:b/>
                <w:sz w:val="20"/>
                <w:szCs w:val="20"/>
                <w:lang w:val="en-AU"/>
              </w:rPr>
            </w:pPr>
            <w:r w:rsidRPr="00A700E7">
              <w:rPr>
                <w:b/>
                <w:sz w:val="20"/>
                <w:szCs w:val="20"/>
                <w:lang w:val="en-AU"/>
              </w:rPr>
              <w:t>n (%)</w:t>
            </w:r>
          </w:p>
        </w:tc>
        <w:tc>
          <w:tcPr>
            <w:tcW w:w="721" w:type="pct"/>
            <w:vMerge w:val="restart"/>
          </w:tcPr>
          <w:p w14:paraId="178B10BC" w14:textId="77777777" w:rsidR="00E6685B" w:rsidRPr="00A700E7" w:rsidRDefault="00E6685B" w:rsidP="007A6B1F">
            <w:pPr>
              <w:spacing w:before="120"/>
              <w:jc w:val="left"/>
              <w:rPr>
                <w:b/>
                <w:sz w:val="20"/>
                <w:szCs w:val="20"/>
                <w:lang w:val="en-AU"/>
              </w:rPr>
            </w:pPr>
            <w:r w:rsidRPr="00A700E7">
              <w:rPr>
                <w:b/>
                <w:sz w:val="20"/>
                <w:szCs w:val="20"/>
                <w:lang w:val="en-AU"/>
              </w:rPr>
              <w:t xml:space="preserve">OPSUMIT 10 mg </w:t>
            </w:r>
          </w:p>
          <w:p w14:paraId="4D0DB850" w14:textId="77777777" w:rsidR="00E6685B" w:rsidRPr="00A700E7" w:rsidRDefault="00E6685B" w:rsidP="007A6B1F">
            <w:pPr>
              <w:spacing w:after="120"/>
              <w:jc w:val="left"/>
              <w:rPr>
                <w:b/>
                <w:sz w:val="20"/>
                <w:szCs w:val="20"/>
                <w:lang w:val="en-AU"/>
              </w:rPr>
            </w:pPr>
            <w:r w:rsidRPr="00A700E7">
              <w:rPr>
                <w:b/>
                <w:sz w:val="20"/>
                <w:szCs w:val="20"/>
                <w:lang w:val="en-AU"/>
              </w:rPr>
              <w:t>N = 242</w:t>
            </w:r>
          </w:p>
          <w:p w14:paraId="2264C1DC" w14:textId="77777777" w:rsidR="00E6685B" w:rsidRPr="00A700E7" w:rsidRDefault="00E6685B" w:rsidP="007A6B1F">
            <w:pPr>
              <w:spacing w:after="120"/>
              <w:jc w:val="left"/>
              <w:rPr>
                <w:b/>
                <w:sz w:val="20"/>
                <w:szCs w:val="20"/>
                <w:lang w:val="en-AU"/>
              </w:rPr>
            </w:pPr>
            <w:r w:rsidRPr="00A700E7">
              <w:rPr>
                <w:b/>
                <w:sz w:val="20"/>
                <w:szCs w:val="20"/>
                <w:lang w:val="en-AU"/>
              </w:rPr>
              <w:t>n (%)</w:t>
            </w:r>
          </w:p>
        </w:tc>
        <w:tc>
          <w:tcPr>
            <w:tcW w:w="2466" w:type="pct"/>
            <w:gridSpan w:val="3"/>
            <w:vAlign w:val="center"/>
          </w:tcPr>
          <w:p w14:paraId="0E6DE4E0" w14:textId="77777777" w:rsidR="00E6685B" w:rsidRPr="00A700E7" w:rsidRDefault="00E6685B" w:rsidP="007A6B1F">
            <w:pPr>
              <w:spacing w:before="120"/>
              <w:jc w:val="left"/>
              <w:rPr>
                <w:b/>
                <w:sz w:val="20"/>
                <w:szCs w:val="20"/>
                <w:lang w:val="en-AU"/>
              </w:rPr>
            </w:pPr>
            <w:r w:rsidRPr="00A700E7">
              <w:rPr>
                <w:b/>
                <w:sz w:val="20"/>
                <w:szCs w:val="20"/>
                <w:lang w:val="en-AU"/>
              </w:rPr>
              <w:t xml:space="preserve">Treatment Comparison: </w:t>
            </w:r>
          </w:p>
          <w:p w14:paraId="28F21196" w14:textId="77777777" w:rsidR="00E6685B" w:rsidRPr="00A700E7" w:rsidRDefault="00E6685B" w:rsidP="007A6B1F">
            <w:pPr>
              <w:spacing w:after="120"/>
              <w:jc w:val="left"/>
              <w:rPr>
                <w:b/>
                <w:sz w:val="20"/>
                <w:szCs w:val="20"/>
                <w:lang w:val="en-AU"/>
              </w:rPr>
            </w:pPr>
            <w:r w:rsidRPr="00A700E7">
              <w:rPr>
                <w:b/>
                <w:sz w:val="20"/>
                <w:szCs w:val="20"/>
                <w:lang w:val="en-AU"/>
              </w:rPr>
              <w:t>OPSUMIT 10 mg vs Placebo</w:t>
            </w:r>
          </w:p>
        </w:tc>
      </w:tr>
      <w:tr w:rsidR="00A700E7" w:rsidRPr="00A700E7" w14:paraId="39228806" w14:textId="77777777" w:rsidTr="004A5BFD">
        <w:trPr>
          <w:trHeight w:val="949"/>
          <w:tblHeader/>
        </w:trPr>
        <w:tc>
          <w:tcPr>
            <w:tcW w:w="1093" w:type="pct"/>
            <w:vMerge/>
            <w:vAlign w:val="center"/>
          </w:tcPr>
          <w:p w14:paraId="3C3AE2A5" w14:textId="77777777" w:rsidR="00E6685B" w:rsidRPr="00A700E7" w:rsidRDefault="00E6685B" w:rsidP="007A6B1F">
            <w:pPr>
              <w:spacing w:after="120"/>
              <w:jc w:val="left"/>
              <w:rPr>
                <w:b/>
                <w:sz w:val="20"/>
                <w:szCs w:val="20"/>
                <w:lang w:val="en-AU"/>
              </w:rPr>
            </w:pPr>
          </w:p>
        </w:tc>
        <w:tc>
          <w:tcPr>
            <w:tcW w:w="721" w:type="pct"/>
            <w:vMerge/>
          </w:tcPr>
          <w:p w14:paraId="3A15A431" w14:textId="77777777" w:rsidR="00E6685B" w:rsidRPr="00A700E7" w:rsidRDefault="00E6685B" w:rsidP="007A6B1F">
            <w:pPr>
              <w:spacing w:after="120"/>
              <w:jc w:val="left"/>
              <w:rPr>
                <w:b/>
                <w:sz w:val="20"/>
                <w:szCs w:val="20"/>
                <w:lang w:val="en-AU"/>
              </w:rPr>
            </w:pPr>
          </w:p>
        </w:tc>
        <w:tc>
          <w:tcPr>
            <w:tcW w:w="721" w:type="pct"/>
            <w:vMerge/>
            <w:vAlign w:val="center"/>
          </w:tcPr>
          <w:p w14:paraId="6B48B3E1" w14:textId="77777777" w:rsidR="00E6685B" w:rsidRPr="00A700E7" w:rsidRDefault="00E6685B" w:rsidP="007A6B1F">
            <w:pPr>
              <w:spacing w:after="120"/>
              <w:jc w:val="left"/>
              <w:rPr>
                <w:b/>
                <w:sz w:val="20"/>
                <w:szCs w:val="20"/>
                <w:lang w:val="en-AU"/>
              </w:rPr>
            </w:pPr>
          </w:p>
        </w:tc>
        <w:tc>
          <w:tcPr>
            <w:tcW w:w="822" w:type="pct"/>
            <w:vAlign w:val="center"/>
          </w:tcPr>
          <w:p w14:paraId="5F29B4E6" w14:textId="77777777" w:rsidR="00E6685B" w:rsidRPr="00A700E7" w:rsidRDefault="00E6685B" w:rsidP="007A6B1F">
            <w:pPr>
              <w:spacing w:before="120"/>
              <w:jc w:val="left"/>
              <w:rPr>
                <w:b/>
                <w:sz w:val="20"/>
                <w:szCs w:val="20"/>
                <w:vertAlign w:val="superscript"/>
                <w:lang w:val="en-AU"/>
              </w:rPr>
            </w:pPr>
            <w:r w:rsidRPr="00A700E7">
              <w:rPr>
                <w:b/>
                <w:sz w:val="20"/>
                <w:szCs w:val="20"/>
                <w:lang w:val="en-AU"/>
              </w:rPr>
              <w:t>Relative Risk Reduction</w:t>
            </w:r>
          </w:p>
          <w:p w14:paraId="5E0DC6A0" w14:textId="77777777" w:rsidR="00E6685B" w:rsidRPr="00A700E7" w:rsidRDefault="00E6685B" w:rsidP="007A6B1F">
            <w:pPr>
              <w:spacing w:after="120"/>
              <w:jc w:val="left"/>
              <w:rPr>
                <w:b/>
                <w:sz w:val="20"/>
                <w:szCs w:val="20"/>
                <w:vertAlign w:val="superscript"/>
                <w:lang w:val="en-AU"/>
              </w:rPr>
            </w:pPr>
            <w:r w:rsidRPr="00A700E7">
              <w:rPr>
                <w:b/>
                <w:sz w:val="20"/>
                <w:szCs w:val="20"/>
                <w:lang w:val="en-AU"/>
              </w:rPr>
              <w:t>(97.5% CI)</w:t>
            </w:r>
          </w:p>
        </w:tc>
        <w:tc>
          <w:tcPr>
            <w:tcW w:w="822" w:type="pct"/>
            <w:vAlign w:val="center"/>
          </w:tcPr>
          <w:p w14:paraId="5189D79E" w14:textId="77777777" w:rsidR="00E6685B" w:rsidRPr="00A700E7" w:rsidRDefault="00E6685B" w:rsidP="007A6B1F">
            <w:pPr>
              <w:spacing w:before="120"/>
              <w:jc w:val="left"/>
              <w:rPr>
                <w:b/>
                <w:sz w:val="20"/>
                <w:szCs w:val="20"/>
                <w:vertAlign w:val="superscript"/>
                <w:lang w:val="en-AU"/>
              </w:rPr>
            </w:pPr>
            <w:r w:rsidRPr="00A700E7">
              <w:rPr>
                <w:b/>
                <w:sz w:val="20"/>
                <w:szCs w:val="20"/>
                <w:lang w:val="en-AU"/>
              </w:rPr>
              <w:t>HR</w:t>
            </w:r>
          </w:p>
          <w:p w14:paraId="3021AD07" w14:textId="77777777" w:rsidR="00E6685B" w:rsidRPr="00A700E7" w:rsidRDefault="00E6685B" w:rsidP="007A6B1F">
            <w:pPr>
              <w:spacing w:after="120"/>
              <w:jc w:val="left"/>
              <w:rPr>
                <w:b/>
                <w:sz w:val="20"/>
                <w:szCs w:val="20"/>
                <w:lang w:val="en-AU"/>
              </w:rPr>
            </w:pPr>
            <w:r w:rsidRPr="00A700E7">
              <w:rPr>
                <w:b/>
                <w:sz w:val="20"/>
                <w:szCs w:val="20"/>
                <w:lang w:val="en-AU"/>
              </w:rPr>
              <w:t>(97.5% CI)</w:t>
            </w:r>
          </w:p>
        </w:tc>
        <w:tc>
          <w:tcPr>
            <w:tcW w:w="822" w:type="pct"/>
            <w:vAlign w:val="center"/>
          </w:tcPr>
          <w:p w14:paraId="16F7BD36" w14:textId="77777777" w:rsidR="00E6685B" w:rsidRPr="00A700E7" w:rsidRDefault="00E6685B" w:rsidP="007A6B1F">
            <w:pPr>
              <w:spacing w:after="120"/>
              <w:jc w:val="left"/>
              <w:rPr>
                <w:b/>
                <w:sz w:val="20"/>
                <w:szCs w:val="20"/>
                <w:lang w:val="en-AU"/>
              </w:rPr>
            </w:pPr>
            <w:r w:rsidRPr="00A700E7">
              <w:rPr>
                <w:b/>
                <w:sz w:val="20"/>
                <w:szCs w:val="20"/>
                <w:lang w:val="en-AU"/>
              </w:rPr>
              <w:t>Log rank p-value</w:t>
            </w:r>
          </w:p>
        </w:tc>
      </w:tr>
      <w:tr w:rsidR="00A700E7" w:rsidRPr="00A700E7" w14:paraId="0817C704" w14:textId="77777777" w:rsidTr="00466843">
        <w:trPr>
          <w:trHeight w:val="242"/>
        </w:trPr>
        <w:tc>
          <w:tcPr>
            <w:tcW w:w="1093" w:type="pct"/>
            <w:tcBorders>
              <w:bottom w:val="single" w:sz="4" w:space="0" w:color="auto"/>
            </w:tcBorders>
            <w:vAlign w:val="center"/>
          </w:tcPr>
          <w:p w14:paraId="7CC92BFD" w14:textId="77777777" w:rsidR="00E6685B" w:rsidRPr="00A700E7" w:rsidRDefault="00E6685B" w:rsidP="007A6B1F">
            <w:pPr>
              <w:spacing w:after="120"/>
              <w:jc w:val="left"/>
              <w:rPr>
                <w:b/>
                <w:sz w:val="20"/>
                <w:szCs w:val="20"/>
                <w:lang w:val="en-AU"/>
              </w:rPr>
            </w:pPr>
            <w:r w:rsidRPr="00A700E7">
              <w:rPr>
                <w:b/>
                <w:sz w:val="20"/>
                <w:szCs w:val="20"/>
                <w:lang w:val="en-AU"/>
              </w:rPr>
              <w:t>Patients with a primary endpoint event</w:t>
            </w:r>
          </w:p>
        </w:tc>
        <w:tc>
          <w:tcPr>
            <w:tcW w:w="721" w:type="pct"/>
            <w:tcBorders>
              <w:bottom w:val="single" w:sz="4" w:space="0" w:color="auto"/>
            </w:tcBorders>
            <w:vAlign w:val="center"/>
          </w:tcPr>
          <w:p w14:paraId="4CA972A2" w14:textId="77777777" w:rsidR="00E6685B" w:rsidRPr="00A700E7" w:rsidRDefault="00E6685B" w:rsidP="007A6B1F">
            <w:pPr>
              <w:spacing w:after="120"/>
              <w:jc w:val="left"/>
              <w:rPr>
                <w:sz w:val="20"/>
                <w:szCs w:val="20"/>
                <w:lang w:val="en-AU"/>
              </w:rPr>
            </w:pPr>
            <w:r w:rsidRPr="00A700E7">
              <w:rPr>
                <w:sz w:val="20"/>
                <w:szCs w:val="20"/>
                <w:lang w:val="en-AU"/>
              </w:rPr>
              <w:t>116</w:t>
            </w:r>
          </w:p>
          <w:p w14:paraId="1B9F9615" w14:textId="77777777" w:rsidR="00E6685B" w:rsidRPr="00A700E7" w:rsidRDefault="00E6685B" w:rsidP="007A6B1F">
            <w:pPr>
              <w:spacing w:after="120"/>
              <w:jc w:val="left"/>
              <w:rPr>
                <w:sz w:val="20"/>
                <w:szCs w:val="20"/>
                <w:lang w:val="en-AU"/>
              </w:rPr>
            </w:pPr>
            <w:r w:rsidRPr="00A700E7">
              <w:rPr>
                <w:sz w:val="20"/>
                <w:szCs w:val="20"/>
                <w:lang w:val="en-AU"/>
              </w:rPr>
              <w:t>(46.4)</w:t>
            </w:r>
          </w:p>
        </w:tc>
        <w:tc>
          <w:tcPr>
            <w:tcW w:w="721" w:type="pct"/>
            <w:tcBorders>
              <w:bottom w:val="single" w:sz="4" w:space="0" w:color="auto"/>
            </w:tcBorders>
            <w:vAlign w:val="center"/>
          </w:tcPr>
          <w:p w14:paraId="544D6650" w14:textId="77777777" w:rsidR="00E6685B" w:rsidRPr="00A700E7" w:rsidRDefault="00E6685B" w:rsidP="007A6B1F">
            <w:pPr>
              <w:spacing w:after="120"/>
              <w:jc w:val="left"/>
              <w:rPr>
                <w:sz w:val="20"/>
                <w:szCs w:val="20"/>
                <w:lang w:val="en-AU"/>
              </w:rPr>
            </w:pPr>
            <w:r w:rsidRPr="00A700E7">
              <w:rPr>
                <w:sz w:val="20"/>
                <w:szCs w:val="20"/>
                <w:lang w:val="en-AU"/>
              </w:rPr>
              <w:t>76</w:t>
            </w:r>
          </w:p>
          <w:p w14:paraId="385AFE3A" w14:textId="77777777" w:rsidR="00E6685B" w:rsidRPr="00A700E7" w:rsidRDefault="00E6685B" w:rsidP="007A6B1F">
            <w:pPr>
              <w:spacing w:after="120"/>
              <w:jc w:val="left"/>
              <w:rPr>
                <w:sz w:val="20"/>
                <w:szCs w:val="20"/>
                <w:lang w:val="en-AU"/>
              </w:rPr>
            </w:pPr>
            <w:r w:rsidRPr="00A700E7">
              <w:rPr>
                <w:sz w:val="20"/>
                <w:szCs w:val="20"/>
                <w:lang w:val="en-AU"/>
              </w:rPr>
              <w:t>(31.4)</w:t>
            </w:r>
          </w:p>
        </w:tc>
        <w:tc>
          <w:tcPr>
            <w:tcW w:w="822" w:type="pct"/>
            <w:tcBorders>
              <w:bottom w:val="single" w:sz="4" w:space="0" w:color="auto"/>
            </w:tcBorders>
            <w:vAlign w:val="center"/>
          </w:tcPr>
          <w:p w14:paraId="15D7D7E1" w14:textId="77777777" w:rsidR="00E6685B" w:rsidRPr="00A700E7" w:rsidRDefault="00E6685B" w:rsidP="007A6B1F">
            <w:pPr>
              <w:spacing w:after="120"/>
              <w:jc w:val="left"/>
              <w:rPr>
                <w:sz w:val="20"/>
                <w:szCs w:val="20"/>
                <w:lang w:val="en-AU"/>
              </w:rPr>
            </w:pPr>
            <w:r w:rsidRPr="00A700E7">
              <w:rPr>
                <w:sz w:val="20"/>
                <w:szCs w:val="20"/>
                <w:lang w:val="en-AU"/>
              </w:rPr>
              <w:t>45%</w:t>
            </w:r>
          </w:p>
          <w:p w14:paraId="1481A04B" w14:textId="77777777" w:rsidR="00E6685B" w:rsidRPr="00A700E7" w:rsidRDefault="00E6685B" w:rsidP="007A6B1F">
            <w:pPr>
              <w:spacing w:after="120"/>
              <w:jc w:val="left"/>
              <w:rPr>
                <w:sz w:val="20"/>
                <w:szCs w:val="20"/>
                <w:lang w:val="en-AU"/>
              </w:rPr>
            </w:pPr>
            <w:r w:rsidRPr="00A700E7">
              <w:rPr>
                <w:sz w:val="20"/>
                <w:szCs w:val="20"/>
                <w:lang w:val="en-AU"/>
              </w:rPr>
              <w:t xml:space="preserve">(24%; 61%) </w:t>
            </w:r>
          </w:p>
        </w:tc>
        <w:tc>
          <w:tcPr>
            <w:tcW w:w="822" w:type="pct"/>
            <w:tcBorders>
              <w:bottom w:val="single" w:sz="4" w:space="0" w:color="auto"/>
            </w:tcBorders>
            <w:vAlign w:val="center"/>
          </w:tcPr>
          <w:p w14:paraId="4BEF10A6" w14:textId="77777777" w:rsidR="00E6685B" w:rsidRPr="00A700E7" w:rsidRDefault="00E6685B" w:rsidP="007A6B1F">
            <w:pPr>
              <w:spacing w:after="120"/>
              <w:jc w:val="left"/>
              <w:rPr>
                <w:sz w:val="20"/>
                <w:szCs w:val="20"/>
                <w:lang w:val="en-AU"/>
              </w:rPr>
            </w:pPr>
            <w:r w:rsidRPr="00A700E7">
              <w:rPr>
                <w:sz w:val="20"/>
                <w:szCs w:val="20"/>
                <w:lang w:val="en-AU"/>
              </w:rPr>
              <w:t>0.55</w:t>
            </w:r>
          </w:p>
          <w:p w14:paraId="2D5E7B02" w14:textId="77777777" w:rsidR="00E6685B" w:rsidRPr="00A700E7" w:rsidRDefault="00E6685B" w:rsidP="007A6B1F">
            <w:pPr>
              <w:spacing w:after="120"/>
              <w:jc w:val="left"/>
              <w:rPr>
                <w:sz w:val="20"/>
                <w:szCs w:val="20"/>
                <w:lang w:val="en-AU"/>
              </w:rPr>
            </w:pPr>
            <w:r w:rsidRPr="00A700E7">
              <w:rPr>
                <w:sz w:val="20"/>
                <w:szCs w:val="20"/>
                <w:lang w:val="en-AU"/>
              </w:rPr>
              <w:t>(0.39; 0.76)</w:t>
            </w:r>
          </w:p>
        </w:tc>
        <w:tc>
          <w:tcPr>
            <w:tcW w:w="822" w:type="pct"/>
            <w:tcBorders>
              <w:bottom w:val="single" w:sz="4" w:space="0" w:color="auto"/>
            </w:tcBorders>
            <w:vAlign w:val="center"/>
          </w:tcPr>
          <w:p w14:paraId="1CA1D93D" w14:textId="77777777" w:rsidR="00E6685B" w:rsidRPr="00A700E7" w:rsidRDefault="00E6685B" w:rsidP="007A6B1F">
            <w:pPr>
              <w:spacing w:after="120"/>
              <w:jc w:val="left"/>
              <w:rPr>
                <w:sz w:val="20"/>
                <w:szCs w:val="20"/>
                <w:lang w:val="en-AU"/>
              </w:rPr>
            </w:pPr>
            <w:r w:rsidRPr="00A700E7">
              <w:rPr>
                <w:sz w:val="20"/>
                <w:szCs w:val="20"/>
                <w:lang w:val="en-AU"/>
              </w:rPr>
              <w:t>&lt; 0.0001</w:t>
            </w:r>
          </w:p>
        </w:tc>
      </w:tr>
      <w:tr w:rsidR="00A700E7" w:rsidRPr="00A700E7" w14:paraId="627BD299" w14:textId="77777777" w:rsidTr="00466843">
        <w:trPr>
          <w:trHeight w:val="242"/>
        </w:trPr>
        <w:tc>
          <w:tcPr>
            <w:tcW w:w="1093" w:type="pct"/>
            <w:tcBorders>
              <w:bottom w:val="single" w:sz="4" w:space="0" w:color="auto"/>
            </w:tcBorders>
            <w:vAlign w:val="center"/>
          </w:tcPr>
          <w:p w14:paraId="133A8D5E" w14:textId="77777777" w:rsidR="00E6685B" w:rsidRPr="00A700E7" w:rsidRDefault="00E6685B" w:rsidP="007A6B1F">
            <w:pPr>
              <w:spacing w:after="120"/>
              <w:jc w:val="left"/>
              <w:rPr>
                <w:b/>
                <w:sz w:val="20"/>
                <w:szCs w:val="20"/>
                <w:lang w:val="en-AU"/>
              </w:rPr>
            </w:pPr>
            <w:r w:rsidRPr="00A700E7">
              <w:rPr>
                <w:b/>
                <w:sz w:val="20"/>
                <w:szCs w:val="20"/>
                <w:lang w:val="en-AU"/>
              </w:rPr>
              <w:t>Component as first event</w:t>
            </w:r>
            <w:r w:rsidRPr="00A700E7">
              <w:rPr>
                <w:b/>
                <w:sz w:val="20"/>
                <w:szCs w:val="20"/>
                <w:vertAlign w:val="superscript"/>
                <w:lang w:val="en-AU"/>
              </w:rPr>
              <w:t>§</w:t>
            </w:r>
            <w:r w:rsidRPr="00A700E7">
              <w:rPr>
                <w:b/>
                <w:sz w:val="20"/>
                <w:szCs w:val="20"/>
                <w:lang w:val="en-AU"/>
              </w:rPr>
              <w:t xml:space="preserve"> </w:t>
            </w:r>
          </w:p>
        </w:tc>
        <w:tc>
          <w:tcPr>
            <w:tcW w:w="721" w:type="pct"/>
            <w:tcBorders>
              <w:bottom w:val="single" w:sz="4" w:space="0" w:color="auto"/>
            </w:tcBorders>
            <w:vAlign w:val="center"/>
          </w:tcPr>
          <w:p w14:paraId="484E095E" w14:textId="77777777" w:rsidR="00E6685B" w:rsidRPr="00A700E7" w:rsidRDefault="00E6685B" w:rsidP="007A6B1F">
            <w:pPr>
              <w:spacing w:after="120"/>
              <w:jc w:val="left"/>
              <w:rPr>
                <w:sz w:val="20"/>
                <w:szCs w:val="20"/>
                <w:lang w:val="en-AU"/>
              </w:rPr>
            </w:pPr>
          </w:p>
        </w:tc>
        <w:tc>
          <w:tcPr>
            <w:tcW w:w="721" w:type="pct"/>
            <w:tcBorders>
              <w:bottom w:val="single" w:sz="4" w:space="0" w:color="auto"/>
            </w:tcBorders>
            <w:vAlign w:val="center"/>
          </w:tcPr>
          <w:p w14:paraId="74CA3A28" w14:textId="77777777" w:rsidR="00E6685B" w:rsidRPr="00A700E7" w:rsidRDefault="00E6685B" w:rsidP="007A6B1F">
            <w:pPr>
              <w:spacing w:after="120"/>
              <w:jc w:val="left"/>
              <w:rPr>
                <w:sz w:val="20"/>
                <w:szCs w:val="20"/>
                <w:lang w:val="en-AU"/>
              </w:rPr>
            </w:pPr>
          </w:p>
        </w:tc>
        <w:tc>
          <w:tcPr>
            <w:tcW w:w="822" w:type="pct"/>
            <w:tcBorders>
              <w:bottom w:val="nil"/>
              <w:right w:val="nil"/>
            </w:tcBorders>
            <w:shd w:val="clear" w:color="auto" w:fill="D9D9D9"/>
            <w:vAlign w:val="center"/>
          </w:tcPr>
          <w:p w14:paraId="0D25F6A9" w14:textId="77777777" w:rsidR="00E6685B" w:rsidRPr="00A700E7" w:rsidRDefault="00E6685B" w:rsidP="007A6B1F">
            <w:pPr>
              <w:spacing w:after="120"/>
              <w:jc w:val="left"/>
              <w:rPr>
                <w:sz w:val="20"/>
                <w:szCs w:val="20"/>
                <w:highlight w:val="cyan"/>
                <w:lang w:val="en-AU"/>
              </w:rPr>
            </w:pPr>
          </w:p>
        </w:tc>
        <w:tc>
          <w:tcPr>
            <w:tcW w:w="822" w:type="pct"/>
            <w:tcBorders>
              <w:left w:val="nil"/>
              <w:bottom w:val="nil"/>
              <w:right w:val="nil"/>
            </w:tcBorders>
            <w:shd w:val="clear" w:color="auto" w:fill="D9D9D9"/>
            <w:vAlign w:val="center"/>
          </w:tcPr>
          <w:p w14:paraId="04747B0E" w14:textId="77777777" w:rsidR="00E6685B" w:rsidRPr="00A700E7" w:rsidRDefault="00E6685B" w:rsidP="007A6B1F">
            <w:pPr>
              <w:spacing w:after="120"/>
              <w:jc w:val="left"/>
              <w:rPr>
                <w:sz w:val="20"/>
                <w:szCs w:val="20"/>
                <w:highlight w:val="cyan"/>
                <w:lang w:val="en-AU"/>
              </w:rPr>
            </w:pPr>
          </w:p>
        </w:tc>
        <w:tc>
          <w:tcPr>
            <w:tcW w:w="822" w:type="pct"/>
            <w:tcBorders>
              <w:left w:val="nil"/>
              <w:bottom w:val="nil"/>
            </w:tcBorders>
            <w:shd w:val="clear" w:color="auto" w:fill="D9D9D9"/>
            <w:vAlign w:val="center"/>
          </w:tcPr>
          <w:p w14:paraId="03A16A68" w14:textId="77777777" w:rsidR="00E6685B" w:rsidRPr="00A700E7" w:rsidRDefault="00E6685B" w:rsidP="007A6B1F">
            <w:pPr>
              <w:spacing w:after="120"/>
              <w:jc w:val="left"/>
              <w:rPr>
                <w:sz w:val="20"/>
                <w:szCs w:val="20"/>
                <w:highlight w:val="cyan"/>
                <w:lang w:val="en-AU"/>
              </w:rPr>
            </w:pPr>
          </w:p>
        </w:tc>
      </w:tr>
      <w:tr w:rsidR="00A700E7" w:rsidRPr="00A700E7" w14:paraId="10D16A4A" w14:textId="77777777" w:rsidTr="00466843">
        <w:trPr>
          <w:trHeight w:val="242"/>
        </w:trPr>
        <w:tc>
          <w:tcPr>
            <w:tcW w:w="1093" w:type="pct"/>
            <w:tcBorders>
              <w:bottom w:val="single" w:sz="4" w:space="0" w:color="auto"/>
            </w:tcBorders>
            <w:vAlign w:val="center"/>
          </w:tcPr>
          <w:p w14:paraId="434B27F9" w14:textId="77777777" w:rsidR="00E6685B" w:rsidRPr="00A700E7" w:rsidRDefault="00E6685B" w:rsidP="007A6B1F">
            <w:pPr>
              <w:spacing w:after="120"/>
              <w:ind w:left="164"/>
              <w:jc w:val="left"/>
              <w:rPr>
                <w:b/>
                <w:sz w:val="20"/>
                <w:szCs w:val="20"/>
                <w:lang w:val="en-AU"/>
              </w:rPr>
            </w:pPr>
            <w:r w:rsidRPr="00A700E7">
              <w:rPr>
                <w:b/>
                <w:sz w:val="20"/>
                <w:szCs w:val="20"/>
                <w:lang w:val="en-AU"/>
              </w:rPr>
              <w:t>Death</w:t>
            </w:r>
            <w:r w:rsidRPr="00A700E7">
              <w:rPr>
                <w:sz w:val="20"/>
                <w:szCs w:val="20"/>
                <w:vertAlign w:val="superscript"/>
                <w:lang w:val="en-AU"/>
              </w:rPr>
              <w:t xml:space="preserve"> </w:t>
            </w:r>
          </w:p>
        </w:tc>
        <w:tc>
          <w:tcPr>
            <w:tcW w:w="721" w:type="pct"/>
            <w:tcBorders>
              <w:bottom w:val="single" w:sz="4" w:space="0" w:color="auto"/>
            </w:tcBorders>
            <w:vAlign w:val="center"/>
          </w:tcPr>
          <w:p w14:paraId="354966FB" w14:textId="77777777" w:rsidR="00E6685B" w:rsidRPr="00A700E7" w:rsidRDefault="00E6685B" w:rsidP="007A6B1F">
            <w:pPr>
              <w:spacing w:after="120"/>
              <w:jc w:val="left"/>
              <w:rPr>
                <w:sz w:val="20"/>
                <w:szCs w:val="20"/>
                <w:lang w:val="en-AU"/>
              </w:rPr>
            </w:pPr>
            <w:r w:rsidRPr="00A700E7">
              <w:rPr>
                <w:sz w:val="20"/>
                <w:szCs w:val="20"/>
                <w:lang w:val="en-AU"/>
              </w:rPr>
              <w:t>17 (6.8)</w:t>
            </w:r>
          </w:p>
        </w:tc>
        <w:tc>
          <w:tcPr>
            <w:tcW w:w="721" w:type="pct"/>
            <w:tcBorders>
              <w:bottom w:val="single" w:sz="4" w:space="0" w:color="auto"/>
            </w:tcBorders>
            <w:vAlign w:val="center"/>
          </w:tcPr>
          <w:p w14:paraId="5C0077C2" w14:textId="77777777" w:rsidR="00E6685B" w:rsidRPr="00A700E7" w:rsidRDefault="00E6685B" w:rsidP="007A6B1F">
            <w:pPr>
              <w:spacing w:after="120"/>
              <w:jc w:val="left"/>
              <w:rPr>
                <w:sz w:val="20"/>
                <w:szCs w:val="20"/>
                <w:lang w:val="en-AU"/>
              </w:rPr>
            </w:pPr>
            <w:r w:rsidRPr="00A700E7">
              <w:rPr>
                <w:sz w:val="20"/>
                <w:szCs w:val="20"/>
                <w:lang w:val="en-AU"/>
              </w:rPr>
              <w:t>16 (6.6)</w:t>
            </w:r>
          </w:p>
        </w:tc>
        <w:tc>
          <w:tcPr>
            <w:tcW w:w="822" w:type="pct"/>
            <w:tcBorders>
              <w:top w:val="nil"/>
              <w:bottom w:val="nil"/>
              <w:right w:val="nil"/>
            </w:tcBorders>
            <w:shd w:val="clear" w:color="auto" w:fill="D9D9D9"/>
            <w:vAlign w:val="center"/>
          </w:tcPr>
          <w:p w14:paraId="18FF3FBF" w14:textId="77777777" w:rsidR="00E6685B" w:rsidRPr="00A700E7" w:rsidRDefault="00E6685B" w:rsidP="007A6B1F">
            <w:pPr>
              <w:spacing w:after="120"/>
              <w:jc w:val="left"/>
              <w:rPr>
                <w:sz w:val="20"/>
                <w:szCs w:val="20"/>
                <w:highlight w:val="cyan"/>
                <w:lang w:val="en-AU"/>
              </w:rPr>
            </w:pPr>
          </w:p>
        </w:tc>
        <w:tc>
          <w:tcPr>
            <w:tcW w:w="822" w:type="pct"/>
            <w:tcBorders>
              <w:top w:val="nil"/>
              <w:left w:val="nil"/>
              <w:bottom w:val="nil"/>
              <w:right w:val="nil"/>
            </w:tcBorders>
            <w:shd w:val="clear" w:color="auto" w:fill="D9D9D9"/>
            <w:vAlign w:val="center"/>
          </w:tcPr>
          <w:p w14:paraId="133D35F1" w14:textId="77777777" w:rsidR="00E6685B" w:rsidRPr="00A700E7" w:rsidRDefault="00E6685B" w:rsidP="007A6B1F">
            <w:pPr>
              <w:spacing w:after="120"/>
              <w:jc w:val="left"/>
              <w:rPr>
                <w:sz w:val="20"/>
                <w:szCs w:val="20"/>
                <w:highlight w:val="cyan"/>
                <w:lang w:val="en-AU"/>
              </w:rPr>
            </w:pPr>
          </w:p>
        </w:tc>
        <w:tc>
          <w:tcPr>
            <w:tcW w:w="822" w:type="pct"/>
            <w:tcBorders>
              <w:top w:val="nil"/>
              <w:left w:val="nil"/>
              <w:bottom w:val="nil"/>
            </w:tcBorders>
            <w:shd w:val="clear" w:color="auto" w:fill="D9D9D9"/>
            <w:vAlign w:val="center"/>
          </w:tcPr>
          <w:p w14:paraId="2E4B10D4" w14:textId="77777777" w:rsidR="00E6685B" w:rsidRPr="00A700E7" w:rsidRDefault="00E6685B" w:rsidP="007A6B1F">
            <w:pPr>
              <w:spacing w:after="120"/>
              <w:jc w:val="left"/>
              <w:rPr>
                <w:sz w:val="20"/>
                <w:szCs w:val="20"/>
                <w:highlight w:val="cyan"/>
                <w:lang w:val="en-AU"/>
              </w:rPr>
            </w:pPr>
          </w:p>
        </w:tc>
      </w:tr>
      <w:tr w:rsidR="00A700E7" w:rsidRPr="00A700E7" w14:paraId="7A17A60F" w14:textId="77777777" w:rsidTr="00466843">
        <w:trPr>
          <w:trHeight w:val="242"/>
        </w:trPr>
        <w:tc>
          <w:tcPr>
            <w:tcW w:w="1093" w:type="pct"/>
            <w:tcBorders>
              <w:bottom w:val="single" w:sz="4" w:space="0" w:color="auto"/>
            </w:tcBorders>
            <w:vAlign w:val="center"/>
          </w:tcPr>
          <w:p w14:paraId="4CE7411E" w14:textId="77777777" w:rsidR="00E6685B" w:rsidRPr="00A700E7" w:rsidRDefault="00E6685B" w:rsidP="007A6B1F">
            <w:pPr>
              <w:spacing w:after="120"/>
              <w:ind w:left="164"/>
              <w:jc w:val="left"/>
              <w:rPr>
                <w:b/>
                <w:sz w:val="20"/>
                <w:szCs w:val="20"/>
                <w:lang w:val="en-AU"/>
              </w:rPr>
            </w:pPr>
            <w:r w:rsidRPr="00A700E7">
              <w:rPr>
                <w:b/>
                <w:sz w:val="20"/>
                <w:szCs w:val="20"/>
                <w:lang w:val="en-AU"/>
              </w:rPr>
              <w:t>Worsening PAH</w:t>
            </w:r>
          </w:p>
        </w:tc>
        <w:tc>
          <w:tcPr>
            <w:tcW w:w="721" w:type="pct"/>
            <w:tcBorders>
              <w:bottom w:val="single" w:sz="4" w:space="0" w:color="auto"/>
            </w:tcBorders>
            <w:vAlign w:val="center"/>
          </w:tcPr>
          <w:p w14:paraId="5EBA0A7E" w14:textId="77777777" w:rsidR="00E6685B" w:rsidRPr="00A700E7" w:rsidRDefault="00E6685B" w:rsidP="007A6B1F">
            <w:pPr>
              <w:spacing w:after="120"/>
              <w:jc w:val="left"/>
              <w:rPr>
                <w:sz w:val="20"/>
                <w:szCs w:val="20"/>
                <w:lang w:val="en-AU"/>
              </w:rPr>
            </w:pPr>
            <w:r w:rsidRPr="00A700E7">
              <w:rPr>
                <w:sz w:val="20"/>
                <w:szCs w:val="20"/>
                <w:lang w:val="en-AU"/>
              </w:rPr>
              <w:t>93 (37.2)</w:t>
            </w:r>
          </w:p>
        </w:tc>
        <w:tc>
          <w:tcPr>
            <w:tcW w:w="721" w:type="pct"/>
            <w:tcBorders>
              <w:bottom w:val="single" w:sz="4" w:space="0" w:color="auto"/>
            </w:tcBorders>
            <w:vAlign w:val="center"/>
          </w:tcPr>
          <w:p w14:paraId="22316183" w14:textId="77777777" w:rsidR="00E6685B" w:rsidRPr="00A700E7" w:rsidRDefault="00E6685B" w:rsidP="007A6B1F">
            <w:pPr>
              <w:spacing w:after="120"/>
              <w:jc w:val="left"/>
              <w:rPr>
                <w:sz w:val="20"/>
                <w:szCs w:val="20"/>
                <w:lang w:val="en-AU"/>
              </w:rPr>
            </w:pPr>
            <w:r w:rsidRPr="00A700E7">
              <w:rPr>
                <w:sz w:val="20"/>
                <w:szCs w:val="20"/>
                <w:lang w:val="en-AU"/>
              </w:rPr>
              <w:t>59 (24.4)</w:t>
            </w:r>
          </w:p>
        </w:tc>
        <w:tc>
          <w:tcPr>
            <w:tcW w:w="822" w:type="pct"/>
            <w:tcBorders>
              <w:top w:val="nil"/>
              <w:bottom w:val="nil"/>
              <w:right w:val="nil"/>
            </w:tcBorders>
            <w:shd w:val="clear" w:color="auto" w:fill="D9D9D9"/>
            <w:vAlign w:val="center"/>
          </w:tcPr>
          <w:p w14:paraId="5B769AFB" w14:textId="77777777" w:rsidR="00E6685B" w:rsidRPr="00A700E7" w:rsidRDefault="00E6685B" w:rsidP="007A6B1F">
            <w:pPr>
              <w:spacing w:after="120"/>
              <w:jc w:val="left"/>
              <w:rPr>
                <w:sz w:val="20"/>
                <w:szCs w:val="20"/>
                <w:highlight w:val="cyan"/>
                <w:lang w:val="en-AU"/>
              </w:rPr>
            </w:pPr>
          </w:p>
        </w:tc>
        <w:tc>
          <w:tcPr>
            <w:tcW w:w="822" w:type="pct"/>
            <w:tcBorders>
              <w:top w:val="nil"/>
              <w:left w:val="nil"/>
              <w:bottom w:val="nil"/>
              <w:right w:val="nil"/>
            </w:tcBorders>
            <w:shd w:val="clear" w:color="auto" w:fill="D9D9D9"/>
            <w:vAlign w:val="center"/>
          </w:tcPr>
          <w:p w14:paraId="70247875" w14:textId="77777777" w:rsidR="00E6685B" w:rsidRPr="00A700E7" w:rsidRDefault="00E6685B" w:rsidP="007A6B1F">
            <w:pPr>
              <w:spacing w:after="120"/>
              <w:jc w:val="left"/>
              <w:rPr>
                <w:sz w:val="20"/>
                <w:szCs w:val="20"/>
                <w:highlight w:val="cyan"/>
                <w:lang w:val="en-AU"/>
              </w:rPr>
            </w:pPr>
          </w:p>
        </w:tc>
        <w:tc>
          <w:tcPr>
            <w:tcW w:w="822" w:type="pct"/>
            <w:tcBorders>
              <w:top w:val="nil"/>
              <w:left w:val="nil"/>
              <w:bottom w:val="nil"/>
            </w:tcBorders>
            <w:shd w:val="clear" w:color="auto" w:fill="D9D9D9"/>
            <w:vAlign w:val="center"/>
          </w:tcPr>
          <w:p w14:paraId="422E0236" w14:textId="77777777" w:rsidR="00E6685B" w:rsidRPr="00A700E7" w:rsidRDefault="00E6685B" w:rsidP="007A6B1F">
            <w:pPr>
              <w:spacing w:after="120"/>
              <w:jc w:val="left"/>
              <w:rPr>
                <w:sz w:val="20"/>
                <w:szCs w:val="20"/>
                <w:highlight w:val="cyan"/>
                <w:lang w:val="en-AU"/>
              </w:rPr>
            </w:pPr>
          </w:p>
        </w:tc>
      </w:tr>
      <w:tr w:rsidR="00A700E7" w:rsidRPr="00A700E7" w14:paraId="1E51F398" w14:textId="77777777" w:rsidTr="00466843">
        <w:trPr>
          <w:trHeight w:val="242"/>
        </w:trPr>
        <w:tc>
          <w:tcPr>
            <w:tcW w:w="1093" w:type="pct"/>
            <w:vAlign w:val="center"/>
          </w:tcPr>
          <w:p w14:paraId="784A827C" w14:textId="77777777" w:rsidR="00E6685B" w:rsidRPr="00A700E7" w:rsidRDefault="00E6685B" w:rsidP="007A6B1F">
            <w:pPr>
              <w:spacing w:after="120"/>
              <w:ind w:left="164"/>
              <w:jc w:val="left"/>
              <w:rPr>
                <w:b/>
                <w:sz w:val="20"/>
                <w:szCs w:val="20"/>
                <w:lang w:val="it-IT"/>
              </w:rPr>
            </w:pPr>
            <w:r w:rsidRPr="00A700E7">
              <w:rPr>
                <w:b/>
                <w:sz w:val="20"/>
                <w:szCs w:val="20"/>
                <w:lang w:val="it-IT"/>
              </w:rPr>
              <w:t>i.v./s.c. Prostanoid</w:t>
            </w:r>
          </w:p>
        </w:tc>
        <w:tc>
          <w:tcPr>
            <w:tcW w:w="721" w:type="pct"/>
            <w:tcBorders>
              <w:bottom w:val="single" w:sz="4" w:space="0" w:color="auto"/>
            </w:tcBorders>
            <w:vAlign w:val="center"/>
          </w:tcPr>
          <w:p w14:paraId="5D7CC4C2" w14:textId="77777777" w:rsidR="00E6685B" w:rsidRPr="00A700E7" w:rsidRDefault="00E6685B" w:rsidP="007A6B1F">
            <w:pPr>
              <w:spacing w:after="120"/>
              <w:jc w:val="left"/>
              <w:rPr>
                <w:sz w:val="20"/>
                <w:szCs w:val="20"/>
                <w:lang w:val="en-AU"/>
              </w:rPr>
            </w:pPr>
            <w:r w:rsidRPr="00A700E7">
              <w:rPr>
                <w:sz w:val="20"/>
                <w:szCs w:val="20"/>
                <w:lang w:val="en-AU"/>
              </w:rPr>
              <w:t>6 (2.4)</w:t>
            </w:r>
          </w:p>
        </w:tc>
        <w:tc>
          <w:tcPr>
            <w:tcW w:w="721" w:type="pct"/>
            <w:tcBorders>
              <w:bottom w:val="single" w:sz="4" w:space="0" w:color="auto"/>
            </w:tcBorders>
            <w:vAlign w:val="center"/>
          </w:tcPr>
          <w:p w14:paraId="16952E1B" w14:textId="77777777" w:rsidR="00E6685B" w:rsidRPr="00A700E7" w:rsidRDefault="00E6685B" w:rsidP="007A6B1F">
            <w:pPr>
              <w:spacing w:after="120"/>
              <w:jc w:val="left"/>
              <w:rPr>
                <w:sz w:val="20"/>
                <w:szCs w:val="20"/>
                <w:lang w:val="en-AU"/>
              </w:rPr>
            </w:pPr>
            <w:r w:rsidRPr="00A700E7">
              <w:rPr>
                <w:sz w:val="20"/>
                <w:szCs w:val="20"/>
                <w:lang w:val="en-AU"/>
              </w:rPr>
              <w:t>1 (0.4)</w:t>
            </w:r>
          </w:p>
        </w:tc>
        <w:tc>
          <w:tcPr>
            <w:tcW w:w="822" w:type="pct"/>
            <w:tcBorders>
              <w:top w:val="nil"/>
              <w:bottom w:val="single" w:sz="4" w:space="0" w:color="auto"/>
              <w:right w:val="nil"/>
            </w:tcBorders>
            <w:shd w:val="clear" w:color="auto" w:fill="D9D9D9"/>
            <w:vAlign w:val="center"/>
          </w:tcPr>
          <w:p w14:paraId="74167D4C" w14:textId="77777777" w:rsidR="00E6685B" w:rsidRPr="00A700E7" w:rsidRDefault="00E6685B" w:rsidP="007A6B1F">
            <w:pPr>
              <w:spacing w:after="120"/>
              <w:jc w:val="left"/>
              <w:rPr>
                <w:sz w:val="20"/>
                <w:szCs w:val="20"/>
                <w:highlight w:val="cyan"/>
                <w:lang w:val="en-AU"/>
              </w:rPr>
            </w:pPr>
          </w:p>
        </w:tc>
        <w:tc>
          <w:tcPr>
            <w:tcW w:w="822" w:type="pct"/>
            <w:tcBorders>
              <w:top w:val="nil"/>
              <w:left w:val="nil"/>
              <w:bottom w:val="single" w:sz="4" w:space="0" w:color="auto"/>
              <w:right w:val="nil"/>
            </w:tcBorders>
            <w:shd w:val="clear" w:color="auto" w:fill="D9D9D9"/>
            <w:vAlign w:val="center"/>
          </w:tcPr>
          <w:p w14:paraId="1DD1D55B" w14:textId="77777777" w:rsidR="00E6685B" w:rsidRPr="00A700E7" w:rsidRDefault="00E6685B" w:rsidP="007A6B1F">
            <w:pPr>
              <w:spacing w:after="120"/>
              <w:jc w:val="left"/>
              <w:rPr>
                <w:sz w:val="20"/>
                <w:szCs w:val="20"/>
                <w:highlight w:val="cyan"/>
                <w:lang w:val="en-AU"/>
              </w:rPr>
            </w:pPr>
          </w:p>
        </w:tc>
        <w:tc>
          <w:tcPr>
            <w:tcW w:w="822" w:type="pct"/>
            <w:tcBorders>
              <w:top w:val="nil"/>
              <w:left w:val="nil"/>
              <w:bottom w:val="single" w:sz="4" w:space="0" w:color="auto"/>
            </w:tcBorders>
            <w:shd w:val="clear" w:color="auto" w:fill="D9D9D9"/>
            <w:vAlign w:val="center"/>
          </w:tcPr>
          <w:p w14:paraId="15F2CA92" w14:textId="77777777" w:rsidR="00E6685B" w:rsidRPr="00A700E7" w:rsidRDefault="00E6685B" w:rsidP="007A6B1F">
            <w:pPr>
              <w:spacing w:after="120"/>
              <w:jc w:val="left"/>
              <w:rPr>
                <w:sz w:val="20"/>
                <w:szCs w:val="20"/>
                <w:highlight w:val="cyan"/>
                <w:lang w:val="en-AU"/>
              </w:rPr>
            </w:pPr>
          </w:p>
        </w:tc>
      </w:tr>
      <w:tr w:rsidR="00A700E7" w:rsidRPr="00A700E7" w14:paraId="5AF06CC7" w14:textId="77777777" w:rsidTr="00466843">
        <w:trPr>
          <w:trHeight w:val="242"/>
        </w:trPr>
        <w:tc>
          <w:tcPr>
            <w:tcW w:w="5000" w:type="pct"/>
            <w:gridSpan w:val="6"/>
            <w:tcBorders>
              <w:bottom w:val="single" w:sz="4" w:space="0" w:color="auto"/>
            </w:tcBorders>
            <w:shd w:val="clear" w:color="auto" w:fill="auto"/>
            <w:vAlign w:val="center"/>
          </w:tcPr>
          <w:p w14:paraId="48FADCAB" w14:textId="77777777" w:rsidR="00E6685B" w:rsidRPr="00A700E7" w:rsidRDefault="00E6685B" w:rsidP="007A6B1F">
            <w:pPr>
              <w:spacing w:after="120"/>
              <w:jc w:val="left"/>
              <w:rPr>
                <w:sz w:val="20"/>
                <w:szCs w:val="20"/>
                <w:lang w:val="en-AU"/>
              </w:rPr>
            </w:pPr>
            <w:r w:rsidRPr="00A700E7">
              <w:rPr>
                <w:b/>
                <w:sz w:val="20"/>
                <w:szCs w:val="20"/>
                <w:vertAlign w:val="superscript"/>
                <w:lang w:val="en-AU"/>
              </w:rPr>
              <w:t xml:space="preserve">§ </w:t>
            </w:r>
            <w:r w:rsidRPr="00A700E7">
              <w:rPr>
                <w:sz w:val="20"/>
                <w:szCs w:val="20"/>
                <w:lang w:val="en-AU"/>
              </w:rPr>
              <w:t>Due to competing risks,</w:t>
            </w:r>
            <w:r w:rsidRPr="00A700E7">
              <w:rPr>
                <w:b/>
                <w:sz w:val="20"/>
                <w:szCs w:val="20"/>
                <w:vertAlign w:val="superscript"/>
                <w:lang w:val="en-AU"/>
              </w:rPr>
              <w:t xml:space="preserve"> </w:t>
            </w:r>
            <w:r w:rsidRPr="00A700E7">
              <w:rPr>
                <w:sz w:val="20"/>
                <w:szCs w:val="20"/>
                <w:lang w:val="en-AU"/>
              </w:rPr>
              <w:t>HR and p-values are not provided for the component events; No patients experienced an event of lung transplantation or atrial septostomy in the placebo or OPSUMIT 10 mg treatment groups.</w:t>
            </w:r>
          </w:p>
        </w:tc>
      </w:tr>
    </w:tbl>
    <w:p w14:paraId="5489F445" w14:textId="77777777" w:rsidR="00E6685B" w:rsidRPr="00A700E7" w:rsidRDefault="00E6685B" w:rsidP="007A6B1F">
      <w:pPr>
        <w:spacing w:after="200" w:line="276" w:lineRule="auto"/>
        <w:jc w:val="left"/>
        <w:rPr>
          <w:szCs w:val="24"/>
          <w:lang w:val="en-AU"/>
        </w:rPr>
      </w:pPr>
    </w:p>
    <w:p w14:paraId="13DF9458" w14:textId="58868FA3" w:rsidR="00017BF5" w:rsidRPr="00A700E7" w:rsidRDefault="00E6685B" w:rsidP="007A6B1F">
      <w:pPr>
        <w:spacing w:after="200" w:line="276" w:lineRule="auto"/>
        <w:jc w:val="left"/>
        <w:rPr>
          <w:szCs w:val="24"/>
          <w:lang w:val="en-AU"/>
        </w:rPr>
      </w:pPr>
      <w:r w:rsidRPr="00A700E7">
        <w:rPr>
          <w:szCs w:val="24"/>
          <w:lang w:val="en-AU"/>
        </w:rPr>
        <w:t xml:space="preserve">Subgroup analyses were performed to examine their influence on outcome as shown in Figure </w:t>
      </w:r>
      <w:r w:rsidR="004A5BFD" w:rsidRPr="00A700E7">
        <w:rPr>
          <w:szCs w:val="24"/>
          <w:lang w:val="en-AU"/>
        </w:rPr>
        <w:t>3</w:t>
      </w:r>
      <w:r w:rsidRPr="00A700E7">
        <w:rPr>
          <w:szCs w:val="24"/>
          <w:lang w:val="en-AU"/>
        </w:rPr>
        <w:t xml:space="preserve">. Consistent efficacy of OPSUMIT 10 mg on the primary endpoint was seen across subgroups of age, sex, race, </w:t>
      </w:r>
      <w:proofErr w:type="spellStart"/>
      <w:r w:rsidRPr="00A700E7">
        <w:rPr>
          <w:szCs w:val="24"/>
          <w:lang w:val="en-AU"/>
        </w:rPr>
        <w:t>etiology</w:t>
      </w:r>
      <w:proofErr w:type="spellEnd"/>
      <w:r w:rsidRPr="00A700E7">
        <w:rPr>
          <w:szCs w:val="24"/>
          <w:lang w:val="en-AU"/>
        </w:rPr>
        <w:t>, by monotherapy or in combination with another PAH therapy, baseline 6MWD, and baseline WHO FC.</w:t>
      </w:r>
    </w:p>
    <w:p w14:paraId="2AF204FE" w14:textId="30AE91B7" w:rsidR="00E6685B" w:rsidRPr="00A700E7" w:rsidRDefault="00E6685B" w:rsidP="007A6B1F">
      <w:pPr>
        <w:spacing w:after="200" w:line="276" w:lineRule="auto"/>
        <w:jc w:val="left"/>
        <w:rPr>
          <w:rFonts w:ascii="Times New Roman" w:hAnsi="Times New Roman" w:cstheme="minorBidi"/>
          <w:szCs w:val="24"/>
          <w:lang w:val="en-AU"/>
        </w:rPr>
      </w:pPr>
      <w:r w:rsidRPr="00A700E7">
        <w:rPr>
          <w:b/>
          <w:bCs/>
          <w:sz w:val="20"/>
          <w:szCs w:val="20"/>
          <w:lang w:val="en-AU"/>
        </w:rPr>
        <w:lastRenderedPageBreak/>
        <w:t xml:space="preserve">Figure </w:t>
      </w:r>
      <w:r w:rsidR="004A5BFD" w:rsidRPr="00A700E7">
        <w:rPr>
          <w:b/>
          <w:bCs/>
          <w:sz w:val="20"/>
          <w:szCs w:val="20"/>
          <w:lang w:val="en-AU"/>
        </w:rPr>
        <w:t xml:space="preserve">3 </w:t>
      </w:r>
      <w:r w:rsidRPr="00A700E7">
        <w:rPr>
          <w:b/>
          <w:bCs/>
          <w:sz w:val="20"/>
          <w:szCs w:val="20"/>
          <w:lang w:val="en-AU"/>
        </w:rPr>
        <w:t>Subgroup analysis of the SERAPHIN study</w:t>
      </w:r>
      <w:r w:rsidRPr="00A700E7">
        <w:rPr>
          <w:noProof/>
          <w:lang w:eastAsia="zh-CN"/>
        </w:rPr>
        <w:drawing>
          <wp:inline distT="0" distB="0" distL="0" distR="0" wp14:anchorId="1BA30A09" wp14:editId="4FBBCB11">
            <wp:extent cx="4718649" cy="471034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9399" cy="4721071"/>
                    </a:xfrm>
                    <a:prstGeom prst="rect">
                      <a:avLst/>
                    </a:prstGeom>
                    <a:noFill/>
                    <a:ln>
                      <a:noFill/>
                    </a:ln>
                  </pic:spPr>
                </pic:pic>
              </a:graphicData>
            </a:graphic>
          </wp:inline>
        </w:drawing>
      </w:r>
    </w:p>
    <w:p w14:paraId="7C54A6E7" w14:textId="77777777" w:rsidR="00E6685B" w:rsidRPr="00A700E7" w:rsidRDefault="00E6685B" w:rsidP="007A6B1F">
      <w:pPr>
        <w:spacing w:after="200" w:line="276" w:lineRule="auto"/>
        <w:jc w:val="left"/>
        <w:rPr>
          <w:szCs w:val="24"/>
          <w:lang w:val="en-AU"/>
        </w:rPr>
      </w:pPr>
      <w:r w:rsidRPr="00A700E7">
        <w:rPr>
          <w:szCs w:val="24"/>
          <w:lang w:val="en-AU"/>
        </w:rPr>
        <w:t xml:space="preserve">The SERAPHIN study was not powered to assess the effect on mortality. Treatment with OPSUMIT 10 mg resulted in a statistically non-significant 36% relative risk reduction (HR 0.64, 97.5% CI 0.29 1.42; </w:t>
      </w:r>
      <w:proofErr w:type="spellStart"/>
      <w:r w:rsidRPr="00A700E7">
        <w:rPr>
          <w:szCs w:val="24"/>
          <w:lang w:val="en-AU"/>
        </w:rPr>
        <w:t>logrank</w:t>
      </w:r>
      <w:proofErr w:type="spellEnd"/>
      <w:r w:rsidRPr="00A700E7">
        <w:rPr>
          <w:szCs w:val="24"/>
          <w:lang w:val="en-AU"/>
        </w:rPr>
        <w:t xml:space="preserve"> p=0.2037) in the occurrence of death of all causes up to EOT regardless of prior worsening. The number of deaths of all causes up to EOS on macitentan 10 mg was 35 versus 44 on placebo (HR 0.77; 97.5% CI: 0.46 to 1.28; </w:t>
      </w:r>
      <w:proofErr w:type="spellStart"/>
      <w:r w:rsidRPr="00A700E7">
        <w:rPr>
          <w:szCs w:val="24"/>
          <w:lang w:val="en-AU"/>
        </w:rPr>
        <w:t>logrank</w:t>
      </w:r>
      <w:proofErr w:type="spellEnd"/>
      <w:r w:rsidRPr="00A700E7">
        <w:rPr>
          <w:szCs w:val="24"/>
          <w:lang w:val="en-AU"/>
        </w:rPr>
        <w:t xml:space="preserve"> p=0.2509). </w:t>
      </w:r>
    </w:p>
    <w:p w14:paraId="576000ED" w14:textId="550FE42F" w:rsidR="00E6685B" w:rsidRPr="00A700E7" w:rsidRDefault="00E6685B" w:rsidP="007A6B1F">
      <w:pPr>
        <w:spacing w:after="200" w:line="276" w:lineRule="auto"/>
        <w:jc w:val="left"/>
        <w:rPr>
          <w:szCs w:val="24"/>
          <w:lang w:val="en-AU"/>
        </w:rPr>
      </w:pPr>
      <w:r w:rsidRPr="00A700E7">
        <w:rPr>
          <w:szCs w:val="24"/>
          <w:lang w:val="en-AU"/>
        </w:rPr>
        <w:t xml:space="preserve">The risk of PAH-related death or hospitalisation for PAH up to the end of double-blind treatment was reduced by 50% in patients receiving macitentan 10 mg (50 events) (HR 0.50; 97.5% CI 0.34–0.75; </w:t>
      </w:r>
      <w:proofErr w:type="spellStart"/>
      <w:r w:rsidRPr="00A700E7">
        <w:rPr>
          <w:szCs w:val="24"/>
          <w:lang w:val="en-AU"/>
        </w:rPr>
        <w:t>logrank</w:t>
      </w:r>
      <w:proofErr w:type="spellEnd"/>
      <w:r w:rsidRPr="00A700E7">
        <w:rPr>
          <w:szCs w:val="24"/>
          <w:lang w:val="en-AU"/>
        </w:rPr>
        <w:t xml:space="preserve"> p &lt; 0.0001) compared to placebo (84 events) [Figure </w:t>
      </w:r>
      <w:r w:rsidR="004A5BFD" w:rsidRPr="00A700E7">
        <w:rPr>
          <w:szCs w:val="24"/>
          <w:lang w:val="en-AU"/>
        </w:rPr>
        <w:t>4</w:t>
      </w:r>
      <w:r w:rsidRPr="00A700E7">
        <w:rPr>
          <w:szCs w:val="24"/>
          <w:lang w:val="en-AU"/>
        </w:rPr>
        <w:t xml:space="preserve"> and Table </w:t>
      </w:r>
      <w:r w:rsidR="00017BF5" w:rsidRPr="00A700E7">
        <w:rPr>
          <w:szCs w:val="24"/>
          <w:lang w:val="en-AU"/>
        </w:rPr>
        <w:t>14</w:t>
      </w:r>
      <w:r w:rsidRPr="00A700E7">
        <w:rPr>
          <w:szCs w:val="24"/>
          <w:lang w:val="en-AU"/>
        </w:rPr>
        <w:t>].</w:t>
      </w:r>
    </w:p>
    <w:p w14:paraId="34C2CC2A" w14:textId="77B720A0" w:rsidR="00E6685B" w:rsidRPr="00A700E7" w:rsidRDefault="00E6685B" w:rsidP="007A6B1F">
      <w:pPr>
        <w:keepNext/>
        <w:keepLines/>
        <w:spacing w:before="120" w:after="120"/>
        <w:ind w:left="851" w:hanging="851"/>
        <w:jc w:val="left"/>
        <w:rPr>
          <w:rFonts w:eastAsia="Times New Roman"/>
          <w:b/>
          <w:sz w:val="20"/>
          <w:szCs w:val="20"/>
        </w:rPr>
      </w:pPr>
      <w:bookmarkStart w:id="33" w:name="_Ref335803764"/>
      <w:bookmarkStart w:id="34" w:name="_Toc335802996"/>
      <w:bookmarkStart w:id="35" w:name="_Toc336439155"/>
      <w:r w:rsidRPr="00A700E7">
        <w:rPr>
          <w:rFonts w:eastAsia="Times New Roman"/>
          <w:b/>
          <w:sz w:val="20"/>
          <w:szCs w:val="20"/>
        </w:rPr>
        <w:lastRenderedPageBreak/>
        <w:t xml:space="preserve">Figure </w:t>
      </w:r>
      <w:bookmarkEnd w:id="33"/>
      <w:r w:rsidR="004A5BFD" w:rsidRPr="00A700E7">
        <w:rPr>
          <w:rFonts w:eastAsia="Times New Roman"/>
          <w:b/>
          <w:sz w:val="20"/>
          <w:szCs w:val="20"/>
        </w:rPr>
        <w:t xml:space="preserve">4 </w:t>
      </w:r>
      <w:r w:rsidRPr="00A700E7">
        <w:rPr>
          <w:rFonts w:eastAsia="Times New Roman"/>
          <w:b/>
          <w:sz w:val="20"/>
          <w:szCs w:val="20"/>
        </w:rPr>
        <w:t>Kaplan-Meier estimates of risk of death due to PAH or hospitalization for PAH in SERAPHIN</w:t>
      </w:r>
      <w:bookmarkEnd w:id="34"/>
      <w:bookmarkEnd w:id="35"/>
    </w:p>
    <w:p w14:paraId="4860E77E" w14:textId="40B06895" w:rsidR="00E6685B" w:rsidRPr="00A700E7" w:rsidRDefault="00CC4FD4" w:rsidP="007A6B1F">
      <w:pPr>
        <w:spacing w:after="200" w:line="276" w:lineRule="auto"/>
        <w:jc w:val="left"/>
        <w:rPr>
          <w:szCs w:val="24"/>
        </w:rPr>
      </w:pPr>
      <w:r w:rsidRPr="00A700E7">
        <w:rPr>
          <w:noProof/>
        </w:rPr>
        <w:drawing>
          <wp:inline distT="0" distB="0" distL="0" distR="0" wp14:anchorId="4AA8E5C8" wp14:editId="4C8418B3">
            <wp:extent cx="5686425" cy="426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86425" cy="4267200"/>
                    </a:xfrm>
                    <a:prstGeom prst="rect">
                      <a:avLst/>
                    </a:prstGeom>
                  </pic:spPr>
                </pic:pic>
              </a:graphicData>
            </a:graphic>
          </wp:inline>
        </w:drawing>
      </w:r>
    </w:p>
    <w:p w14:paraId="74584A48" w14:textId="2C2E08F5" w:rsidR="00CC4FD4" w:rsidRPr="00A700E7" w:rsidRDefault="00CC4FD4" w:rsidP="007A6B1F">
      <w:pPr>
        <w:tabs>
          <w:tab w:val="left" w:pos="993"/>
        </w:tabs>
        <w:spacing w:after="120"/>
        <w:jc w:val="left"/>
        <w:rPr>
          <w:rFonts w:cstheme="minorHAnsi"/>
          <w:b/>
          <w:sz w:val="20"/>
          <w:szCs w:val="20"/>
        </w:rPr>
      </w:pPr>
      <w:r w:rsidRPr="00A700E7">
        <w:rPr>
          <w:rFonts w:cstheme="minorHAnsi"/>
          <w:b/>
          <w:sz w:val="20"/>
          <w:szCs w:val="20"/>
        </w:rPr>
        <w:t xml:space="preserve">Table </w:t>
      </w:r>
      <w:r w:rsidR="004A5BFD" w:rsidRPr="00A700E7">
        <w:rPr>
          <w:rFonts w:cstheme="minorHAnsi"/>
          <w:b/>
          <w:sz w:val="20"/>
          <w:szCs w:val="20"/>
        </w:rPr>
        <w:t>1</w:t>
      </w:r>
      <w:r w:rsidR="00017BF5" w:rsidRPr="00A700E7">
        <w:rPr>
          <w:rFonts w:cstheme="minorHAnsi"/>
          <w:b/>
          <w:sz w:val="20"/>
          <w:szCs w:val="20"/>
        </w:rPr>
        <w:t>4</w:t>
      </w:r>
      <w:r w:rsidR="004A5BFD" w:rsidRPr="00A700E7">
        <w:rPr>
          <w:rFonts w:cstheme="minorHAnsi"/>
          <w:b/>
          <w:sz w:val="20"/>
          <w:szCs w:val="20"/>
        </w:rPr>
        <w:t xml:space="preserve"> </w:t>
      </w:r>
      <w:r w:rsidRPr="00A700E7">
        <w:rPr>
          <w:rFonts w:cstheme="minorHAnsi"/>
          <w:b/>
          <w:sz w:val="20"/>
          <w:szCs w:val="20"/>
        </w:rPr>
        <w:t xml:space="preserve">Summary of Death due to PAH and </w:t>
      </w:r>
      <w:proofErr w:type="spellStart"/>
      <w:r w:rsidRPr="00A700E7">
        <w:rPr>
          <w:rFonts w:cstheme="minorHAnsi"/>
          <w:b/>
          <w:sz w:val="20"/>
          <w:szCs w:val="20"/>
        </w:rPr>
        <w:t>Hospitalisation</w:t>
      </w:r>
      <w:proofErr w:type="spellEnd"/>
      <w:r w:rsidRPr="00A700E7">
        <w:rPr>
          <w:rFonts w:cstheme="minorHAnsi"/>
          <w:b/>
          <w:sz w:val="20"/>
          <w:szCs w:val="20"/>
        </w:rPr>
        <w:t xml:space="preserve"> due to PAH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99"/>
        <w:gridCol w:w="1900"/>
      </w:tblGrid>
      <w:tr w:rsidR="00A700E7" w:rsidRPr="00A700E7" w14:paraId="59768DA1" w14:textId="77777777" w:rsidTr="00466843">
        <w:tc>
          <w:tcPr>
            <w:tcW w:w="4106" w:type="dxa"/>
          </w:tcPr>
          <w:p w14:paraId="2EA310CF" w14:textId="77777777" w:rsidR="00CC4FD4" w:rsidRPr="00A700E7" w:rsidRDefault="00CC4FD4" w:rsidP="007A6B1F">
            <w:pPr>
              <w:spacing w:after="120"/>
              <w:jc w:val="left"/>
              <w:rPr>
                <w:sz w:val="20"/>
                <w:szCs w:val="20"/>
                <w:lang w:val="en-AU"/>
              </w:rPr>
            </w:pPr>
          </w:p>
        </w:tc>
        <w:tc>
          <w:tcPr>
            <w:tcW w:w="1899" w:type="dxa"/>
          </w:tcPr>
          <w:p w14:paraId="40C8A5D3" w14:textId="77777777" w:rsidR="00CC4FD4" w:rsidRPr="00A700E7" w:rsidRDefault="00CC4FD4" w:rsidP="007A6B1F">
            <w:pPr>
              <w:autoSpaceDE w:val="0"/>
              <w:autoSpaceDN w:val="0"/>
              <w:adjustRightInd w:val="0"/>
              <w:spacing w:after="120"/>
              <w:jc w:val="left"/>
              <w:rPr>
                <w:b/>
                <w:bCs/>
                <w:sz w:val="20"/>
                <w:szCs w:val="20"/>
              </w:rPr>
            </w:pPr>
            <w:r w:rsidRPr="00A700E7">
              <w:rPr>
                <w:b/>
                <w:bCs/>
                <w:sz w:val="20"/>
                <w:szCs w:val="20"/>
              </w:rPr>
              <w:t>Placebo</w:t>
            </w:r>
          </w:p>
          <w:p w14:paraId="6C8E5436" w14:textId="77777777" w:rsidR="00CC4FD4" w:rsidRPr="00A700E7" w:rsidRDefault="00CC4FD4" w:rsidP="007A6B1F">
            <w:pPr>
              <w:autoSpaceDE w:val="0"/>
              <w:autoSpaceDN w:val="0"/>
              <w:adjustRightInd w:val="0"/>
              <w:spacing w:after="120"/>
              <w:jc w:val="left"/>
              <w:rPr>
                <w:b/>
                <w:bCs/>
                <w:sz w:val="20"/>
                <w:szCs w:val="20"/>
              </w:rPr>
            </w:pPr>
            <w:r w:rsidRPr="00A700E7">
              <w:rPr>
                <w:b/>
                <w:bCs/>
                <w:sz w:val="20"/>
                <w:szCs w:val="20"/>
              </w:rPr>
              <w:t>(N=250)</w:t>
            </w:r>
          </w:p>
          <w:p w14:paraId="2B417D2D" w14:textId="77777777" w:rsidR="00CC4FD4" w:rsidRPr="00A700E7" w:rsidRDefault="00CC4FD4" w:rsidP="007A6B1F">
            <w:pPr>
              <w:spacing w:after="120"/>
              <w:jc w:val="left"/>
              <w:rPr>
                <w:sz w:val="20"/>
                <w:szCs w:val="20"/>
                <w:lang w:val="en-AU"/>
              </w:rPr>
            </w:pPr>
            <w:r w:rsidRPr="00A700E7">
              <w:rPr>
                <w:b/>
                <w:bCs/>
                <w:sz w:val="20"/>
                <w:szCs w:val="20"/>
              </w:rPr>
              <w:t>n (%)</w:t>
            </w:r>
          </w:p>
        </w:tc>
        <w:tc>
          <w:tcPr>
            <w:tcW w:w="1900" w:type="dxa"/>
          </w:tcPr>
          <w:p w14:paraId="0A6BEE02" w14:textId="77777777" w:rsidR="00CC4FD4" w:rsidRPr="00A700E7" w:rsidRDefault="00CC4FD4" w:rsidP="007A6B1F">
            <w:pPr>
              <w:autoSpaceDE w:val="0"/>
              <w:autoSpaceDN w:val="0"/>
              <w:adjustRightInd w:val="0"/>
              <w:spacing w:after="120"/>
              <w:jc w:val="left"/>
              <w:rPr>
                <w:b/>
                <w:bCs/>
                <w:sz w:val="20"/>
                <w:szCs w:val="20"/>
              </w:rPr>
            </w:pPr>
            <w:r w:rsidRPr="00A700E7">
              <w:rPr>
                <w:b/>
                <w:bCs/>
                <w:sz w:val="20"/>
                <w:szCs w:val="20"/>
              </w:rPr>
              <w:t>OPSUMIT 10 mg</w:t>
            </w:r>
          </w:p>
          <w:p w14:paraId="69968137" w14:textId="77777777" w:rsidR="00CC4FD4" w:rsidRPr="00A700E7" w:rsidRDefault="00CC4FD4" w:rsidP="007A6B1F">
            <w:pPr>
              <w:autoSpaceDE w:val="0"/>
              <w:autoSpaceDN w:val="0"/>
              <w:adjustRightInd w:val="0"/>
              <w:spacing w:after="120"/>
              <w:jc w:val="left"/>
              <w:rPr>
                <w:b/>
                <w:bCs/>
                <w:sz w:val="20"/>
                <w:szCs w:val="20"/>
              </w:rPr>
            </w:pPr>
            <w:r w:rsidRPr="00A700E7">
              <w:rPr>
                <w:b/>
                <w:bCs/>
                <w:sz w:val="20"/>
                <w:szCs w:val="20"/>
              </w:rPr>
              <w:t>(N=242)</w:t>
            </w:r>
          </w:p>
          <w:p w14:paraId="4DE8078D" w14:textId="77777777" w:rsidR="00CC4FD4" w:rsidRPr="00A700E7" w:rsidRDefault="00CC4FD4" w:rsidP="007A6B1F">
            <w:pPr>
              <w:spacing w:after="120"/>
              <w:jc w:val="left"/>
              <w:rPr>
                <w:sz w:val="20"/>
                <w:szCs w:val="20"/>
                <w:lang w:val="en-AU"/>
              </w:rPr>
            </w:pPr>
            <w:r w:rsidRPr="00A700E7">
              <w:rPr>
                <w:b/>
                <w:bCs/>
                <w:sz w:val="20"/>
                <w:szCs w:val="20"/>
              </w:rPr>
              <w:t>n (%)</w:t>
            </w:r>
          </w:p>
        </w:tc>
      </w:tr>
      <w:tr w:rsidR="00A700E7" w:rsidRPr="00A700E7" w14:paraId="417D2A1B" w14:textId="77777777" w:rsidTr="00466843">
        <w:tc>
          <w:tcPr>
            <w:tcW w:w="4106" w:type="dxa"/>
          </w:tcPr>
          <w:p w14:paraId="3424386C" w14:textId="77777777" w:rsidR="00CC4FD4" w:rsidRPr="00A700E7" w:rsidRDefault="00CC4FD4" w:rsidP="007A6B1F">
            <w:pPr>
              <w:spacing w:after="120"/>
              <w:jc w:val="left"/>
              <w:rPr>
                <w:sz w:val="20"/>
                <w:szCs w:val="20"/>
                <w:lang w:val="en-AU"/>
              </w:rPr>
            </w:pPr>
            <w:r w:rsidRPr="00A700E7">
              <w:rPr>
                <w:sz w:val="20"/>
                <w:szCs w:val="20"/>
                <w:lang w:val="en-AU"/>
              </w:rPr>
              <w:t>Death due to PAH or hospitalisation for PAH</w:t>
            </w:r>
          </w:p>
        </w:tc>
        <w:tc>
          <w:tcPr>
            <w:tcW w:w="1899" w:type="dxa"/>
          </w:tcPr>
          <w:p w14:paraId="6C956664" w14:textId="77777777" w:rsidR="00CC4FD4" w:rsidRPr="00A700E7" w:rsidRDefault="00CC4FD4" w:rsidP="007A6B1F">
            <w:pPr>
              <w:spacing w:after="120"/>
              <w:jc w:val="left"/>
              <w:rPr>
                <w:sz w:val="20"/>
                <w:szCs w:val="20"/>
                <w:lang w:val="en-AU"/>
              </w:rPr>
            </w:pPr>
            <w:r w:rsidRPr="00A700E7">
              <w:rPr>
                <w:sz w:val="20"/>
                <w:szCs w:val="20"/>
                <w:lang w:val="en-AU"/>
              </w:rPr>
              <w:t>84 (33.6)</w:t>
            </w:r>
          </w:p>
        </w:tc>
        <w:tc>
          <w:tcPr>
            <w:tcW w:w="1900" w:type="dxa"/>
          </w:tcPr>
          <w:p w14:paraId="3A85FE65" w14:textId="77777777" w:rsidR="00CC4FD4" w:rsidRPr="00A700E7" w:rsidRDefault="00CC4FD4" w:rsidP="007A6B1F">
            <w:pPr>
              <w:spacing w:after="120"/>
              <w:jc w:val="left"/>
              <w:rPr>
                <w:sz w:val="20"/>
                <w:szCs w:val="20"/>
                <w:lang w:val="en-AU"/>
              </w:rPr>
            </w:pPr>
            <w:r w:rsidRPr="00A700E7">
              <w:rPr>
                <w:sz w:val="20"/>
                <w:szCs w:val="20"/>
                <w:lang w:val="en-AU"/>
              </w:rPr>
              <w:t>50 (20.7)</w:t>
            </w:r>
          </w:p>
        </w:tc>
      </w:tr>
      <w:tr w:rsidR="00A700E7" w:rsidRPr="00A700E7" w14:paraId="4EFC27C2" w14:textId="77777777" w:rsidTr="00466843">
        <w:tc>
          <w:tcPr>
            <w:tcW w:w="4106" w:type="dxa"/>
          </w:tcPr>
          <w:p w14:paraId="79C5173C" w14:textId="77777777" w:rsidR="00CC4FD4" w:rsidRPr="00A700E7" w:rsidRDefault="00CC4FD4" w:rsidP="007A6B1F">
            <w:pPr>
              <w:autoSpaceDE w:val="0"/>
              <w:autoSpaceDN w:val="0"/>
              <w:adjustRightInd w:val="0"/>
              <w:spacing w:after="120"/>
              <w:jc w:val="left"/>
              <w:rPr>
                <w:sz w:val="20"/>
                <w:szCs w:val="20"/>
                <w:lang w:val="en-AU"/>
              </w:rPr>
            </w:pPr>
            <w:r w:rsidRPr="00A700E7">
              <w:rPr>
                <w:sz w:val="20"/>
                <w:szCs w:val="20"/>
                <w:lang w:val="en-AU"/>
              </w:rPr>
              <w:t>Component as first event</w:t>
            </w:r>
          </w:p>
          <w:p w14:paraId="1919594D" w14:textId="77777777" w:rsidR="00CC4FD4" w:rsidRPr="00A700E7" w:rsidRDefault="00CC4FD4" w:rsidP="007A6B1F">
            <w:pPr>
              <w:autoSpaceDE w:val="0"/>
              <w:autoSpaceDN w:val="0"/>
              <w:adjustRightInd w:val="0"/>
              <w:spacing w:after="120"/>
              <w:jc w:val="left"/>
              <w:rPr>
                <w:sz w:val="20"/>
                <w:szCs w:val="20"/>
                <w:lang w:val="en-AU"/>
              </w:rPr>
            </w:pPr>
            <w:r w:rsidRPr="00A700E7">
              <w:rPr>
                <w:sz w:val="20"/>
                <w:szCs w:val="20"/>
                <w:lang w:val="en-AU"/>
              </w:rPr>
              <w:t>Death due to PAH</w:t>
            </w:r>
          </w:p>
          <w:p w14:paraId="7C83A63A" w14:textId="77777777" w:rsidR="00CC4FD4" w:rsidRPr="00A700E7" w:rsidRDefault="00CC4FD4" w:rsidP="007A6B1F">
            <w:pPr>
              <w:spacing w:after="120"/>
              <w:jc w:val="left"/>
              <w:rPr>
                <w:sz w:val="20"/>
                <w:szCs w:val="20"/>
                <w:lang w:val="en-AU"/>
              </w:rPr>
            </w:pPr>
            <w:r w:rsidRPr="00A700E7">
              <w:rPr>
                <w:sz w:val="20"/>
                <w:szCs w:val="20"/>
                <w:lang w:val="en-AU"/>
              </w:rPr>
              <w:t>Hospitalisation for PAH</w:t>
            </w:r>
          </w:p>
        </w:tc>
        <w:tc>
          <w:tcPr>
            <w:tcW w:w="1899" w:type="dxa"/>
          </w:tcPr>
          <w:p w14:paraId="618CF54E" w14:textId="77777777" w:rsidR="00CC4FD4" w:rsidRPr="00A700E7" w:rsidRDefault="00CC4FD4" w:rsidP="007A6B1F">
            <w:pPr>
              <w:spacing w:after="120"/>
              <w:jc w:val="left"/>
              <w:rPr>
                <w:sz w:val="20"/>
                <w:szCs w:val="20"/>
                <w:lang w:val="en-AU"/>
              </w:rPr>
            </w:pPr>
          </w:p>
          <w:p w14:paraId="77ABA373" w14:textId="77777777" w:rsidR="00CC4FD4" w:rsidRPr="00A700E7" w:rsidRDefault="00CC4FD4" w:rsidP="007A6B1F">
            <w:pPr>
              <w:autoSpaceDE w:val="0"/>
              <w:autoSpaceDN w:val="0"/>
              <w:adjustRightInd w:val="0"/>
              <w:spacing w:after="120"/>
              <w:jc w:val="left"/>
              <w:rPr>
                <w:sz w:val="20"/>
                <w:szCs w:val="20"/>
                <w:lang w:val="en-AU"/>
              </w:rPr>
            </w:pPr>
            <w:r w:rsidRPr="00A700E7">
              <w:rPr>
                <w:sz w:val="20"/>
                <w:szCs w:val="20"/>
                <w:lang w:val="en-AU"/>
              </w:rPr>
              <w:t>5 (2.0)</w:t>
            </w:r>
          </w:p>
          <w:p w14:paraId="0EAA651F" w14:textId="77777777" w:rsidR="00CC4FD4" w:rsidRPr="00A700E7" w:rsidRDefault="00CC4FD4" w:rsidP="007A6B1F">
            <w:pPr>
              <w:spacing w:after="120"/>
              <w:jc w:val="left"/>
              <w:rPr>
                <w:sz w:val="20"/>
                <w:szCs w:val="20"/>
                <w:lang w:val="en-AU"/>
              </w:rPr>
            </w:pPr>
            <w:r w:rsidRPr="00A700E7">
              <w:rPr>
                <w:sz w:val="20"/>
                <w:szCs w:val="20"/>
                <w:lang w:val="en-AU"/>
              </w:rPr>
              <w:t>79 (31.6)</w:t>
            </w:r>
          </w:p>
        </w:tc>
        <w:tc>
          <w:tcPr>
            <w:tcW w:w="1900" w:type="dxa"/>
          </w:tcPr>
          <w:p w14:paraId="39F610EE" w14:textId="77777777" w:rsidR="00CC4FD4" w:rsidRPr="00A700E7" w:rsidRDefault="00CC4FD4" w:rsidP="007A6B1F">
            <w:pPr>
              <w:spacing w:after="120"/>
              <w:jc w:val="left"/>
              <w:rPr>
                <w:sz w:val="20"/>
                <w:szCs w:val="20"/>
                <w:lang w:val="en-AU"/>
              </w:rPr>
            </w:pPr>
          </w:p>
          <w:p w14:paraId="2FF45CEB" w14:textId="77777777" w:rsidR="00CC4FD4" w:rsidRPr="00A700E7" w:rsidRDefault="00CC4FD4" w:rsidP="007A6B1F">
            <w:pPr>
              <w:autoSpaceDE w:val="0"/>
              <w:autoSpaceDN w:val="0"/>
              <w:adjustRightInd w:val="0"/>
              <w:spacing w:after="120"/>
              <w:jc w:val="left"/>
              <w:rPr>
                <w:sz w:val="20"/>
                <w:szCs w:val="20"/>
                <w:lang w:val="en-AU"/>
              </w:rPr>
            </w:pPr>
            <w:r w:rsidRPr="00A700E7">
              <w:rPr>
                <w:sz w:val="20"/>
                <w:szCs w:val="20"/>
                <w:lang w:val="en-AU"/>
              </w:rPr>
              <w:t>5 (2.1)</w:t>
            </w:r>
          </w:p>
          <w:p w14:paraId="4C9D70C6" w14:textId="77777777" w:rsidR="00CC4FD4" w:rsidRPr="00A700E7" w:rsidRDefault="00CC4FD4" w:rsidP="007A6B1F">
            <w:pPr>
              <w:spacing w:after="120"/>
              <w:jc w:val="left"/>
              <w:rPr>
                <w:sz w:val="20"/>
                <w:szCs w:val="20"/>
                <w:lang w:val="en-AU"/>
              </w:rPr>
            </w:pPr>
            <w:r w:rsidRPr="00A700E7">
              <w:rPr>
                <w:sz w:val="20"/>
                <w:szCs w:val="20"/>
                <w:lang w:val="en-AU"/>
              </w:rPr>
              <w:t>45 (18.6)</w:t>
            </w:r>
          </w:p>
        </w:tc>
      </w:tr>
    </w:tbl>
    <w:p w14:paraId="0DB3DE97" w14:textId="77777777" w:rsidR="00CC4FD4" w:rsidRPr="00A700E7" w:rsidRDefault="00CC4FD4" w:rsidP="007A6B1F">
      <w:pPr>
        <w:spacing w:after="200" w:line="276" w:lineRule="auto"/>
        <w:jc w:val="left"/>
        <w:rPr>
          <w:sz w:val="20"/>
          <w:szCs w:val="20"/>
        </w:rPr>
      </w:pPr>
    </w:p>
    <w:p w14:paraId="5A9FDC7E" w14:textId="77777777" w:rsidR="004A5BFD" w:rsidRPr="00A700E7" w:rsidRDefault="00CC4FD4" w:rsidP="007A6B1F">
      <w:pPr>
        <w:jc w:val="left"/>
        <w:rPr>
          <w:i/>
          <w:iCs/>
        </w:rPr>
      </w:pPr>
      <w:r w:rsidRPr="00A700E7">
        <w:rPr>
          <w:i/>
          <w:iCs/>
        </w:rPr>
        <w:t>Symptomatic endpoints</w:t>
      </w:r>
    </w:p>
    <w:p w14:paraId="70EE37A4" w14:textId="5399B908" w:rsidR="00CC4FD4" w:rsidRPr="00A700E7" w:rsidRDefault="00CC4FD4" w:rsidP="007A6B1F">
      <w:pPr>
        <w:jc w:val="left"/>
      </w:pPr>
      <w:r w:rsidRPr="00A700E7">
        <w:t xml:space="preserve">Exercise capacity was evaluated as a secondary endpoint. Treatment with macitentan 10 mg at Month 6 resulted in a placebo-corrected mean increase in Six Minute Walk Distance (6MWD) of 22 </w:t>
      </w:r>
      <w:proofErr w:type="spellStart"/>
      <w:r w:rsidRPr="00A700E7">
        <w:t>metres</w:t>
      </w:r>
      <w:proofErr w:type="spellEnd"/>
      <w:r w:rsidRPr="00A700E7">
        <w:t xml:space="preserve"> (97.5% CI 3–41). Evaluation of 6MWD by functional class resulted in a placebo-corrected mean increase from baseline to Month 6 in FC III/IV patients of 37 </w:t>
      </w:r>
      <w:proofErr w:type="spellStart"/>
      <w:r w:rsidRPr="00A700E7">
        <w:t>metres</w:t>
      </w:r>
      <w:proofErr w:type="spellEnd"/>
      <w:r w:rsidRPr="00A700E7">
        <w:t xml:space="preserve"> </w:t>
      </w:r>
      <w:r w:rsidRPr="00A700E7">
        <w:lastRenderedPageBreak/>
        <w:t xml:space="preserve">(97.5% CI 5–69) and in FC I/II of 12 </w:t>
      </w:r>
      <w:proofErr w:type="spellStart"/>
      <w:r w:rsidRPr="00A700E7">
        <w:t>metres</w:t>
      </w:r>
      <w:proofErr w:type="spellEnd"/>
      <w:r w:rsidRPr="00A700E7">
        <w:t xml:space="preserve"> (97.5% CI </w:t>
      </w:r>
      <w:r w:rsidR="008C0E59" w:rsidRPr="00A700E7">
        <w:rPr>
          <w:rFonts w:ascii="Symbol" w:eastAsia="Symbol" w:hAnsi="Symbol" w:cs="Symbol"/>
        </w:rPr>
        <w:t>-</w:t>
      </w:r>
      <w:r w:rsidRPr="00A700E7">
        <w:t xml:space="preserve">8–33). The increase in 6MWD achieved with macitentan was maintained for the duration of the study. </w:t>
      </w:r>
    </w:p>
    <w:p w14:paraId="295E5874" w14:textId="77777777" w:rsidR="004A5BFD" w:rsidRPr="00A700E7" w:rsidRDefault="004A5BFD" w:rsidP="007A6B1F">
      <w:pPr>
        <w:jc w:val="left"/>
        <w:rPr>
          <w:i/>
          <w:iCs/>
        </w:rPr>
      </w:pPr>
    </w:p>
    <w:p w14:paraId="7DD98ACE" w14:textId="77777777" w:rsidR="00CC4FD4" w:rsidRPr="00A700E7" w:rsidRDefault="00CC4FD4" w:rsidP="007A6B1F">
      <w:pPr>
        <w:spacing w:after="200" w:line="276" w:lineRule="auto"/>
        <w:jc w:val="left"/>
      </w:pPr>
      <w:r w:rsidRPr="00A700E7">
        <w:t xml:space="preserve">Treatment with macitentan 10 mg led to a 74% higher chance of WHO FC improvement relative to placebo (risk ratio 1.74; 97.5% CI 1.10–2.74). Treatment with macitentan 10 mg led to an improvement of at least one WHO FC at Month 6 in 22% of patients compared to 13% of patients treated with placebo. </w:t>
      </w:r>
    </w:p>
    <w:p w14:paraId="1DAF0756" w14:textId="77777777" w:rsidR="00CC4FD4" w:rsidRPr="00A700E7" w:rsidRDefault="00CC4FD4" w:rsidP="007A6B1F">
      <w:pPr>
        <w:spacing w:after="200" w:line="276" w:lineRule="auto"/>
        <w:jc w:val="left"/>
      </w:pPr>
      <w:r w:rsidRPr="00A700E7">
        <w:t xml:space="preserve">Macitentan 10 mg improved quality of life assessed by the SF-36 questionnaire.  </w:t>
      </w:r>
    </w:p>
    <w:p w14:paraId="5EB92384" w14:textId="77777777" w:rsidR="00CC4FD4" w:rsidRPr="00A700E7" w:rsidRDefault="00CC4FD4" w:rsidP="007A6B1F">
      <w:pPr>
        <w:jc w:val="left"/>
        <w:rPr>
          <w:i/>
          <w:iCs/>
        </w:rPr>
      </w:pPr>
      <w:proofErr w:type="spellStart"/>
      <w:r w:rsidRPr="00A700E7">
        <w:rPr>
          <w:i/>
          <w:iCs/>
        </w:rPr>
        <w:t>Haemodynamic</w:t>
      </w:r>
      <w:proofErr w:type="spellEnd"/>
      <w:r w:rsidRPr="00A700E7">
        <w:rPr>
          <w:i/>
          <w:iCs/>
        </w:rPr>
        <w:t xml:space="preserve"> endpoints</w:t>
      </w:r>
    </w:p>
    <w:p w14:paraId="7F945E69" w14:textId="77777777" w:rsidR="00CC4FD4" w:rsidRPr="00A700E7" w:rsidRDefault="00CC4FD4" w:rsidP="007A6B1F">
      <w:pPr>
        <w:spacing w:after="200" w:line="276" w:lineRule="auto"/>
        <w:jc w:val="left"/>
      </w:pPr>
      <w:proofErr w:type="spellStart"/>
      <w:r w:rsidRPr="00A700E7">
        <w:t>Haemodynamic</w:t>
      </w:r>
      <w:proofErr w:type="spellEnd"/>
      <w:r w:rsidRPr="00A700E7">
        <w:t xml:space="preserve"> parameters were assessed in a subset of patients (placebo, N = 67, macitentan 10 mg, N = 57) after 6 months of treatment. Patients treated with macitentan 10 mg achieved a median reduction of 36.5% (CI 21.7–49.2%) in pulmonary vascular resistance and an increase of 0.58 L/min/m2 (CI 0.28–0.93 L/min/m2) in cardiac index compared to placebo.</w:t>
      </w:r>
    </w:p>
    <w:p w14:paraId="79F6CBB7" w14:textId="77777777" w:rsidR="00CC4FD4" w:rsidRPr="00A700E7" w:rsidRDefault="00CC4FD4" w:rsidP="007A6B1F">
      <w:pPr>
        <w:jc w:val="left"/>
        <w:rPr>
          <w:i/>
          <w:iCs/>
        </w:rPr>
      </w:pPr>
      <w:r w:rsidRPr="00A700E7">
        <w:rPr>
          <w:i/>
          <w:iCs/>
        </w:rPr>
        <w:t>Long-term treatment of PAH</w:t>
      </w:r>
    </w:p>
    <w:p w14:paraId="7A31F4F7" w14:textId="0BF22924" w:rsidR="00CC4FD4" w:rsidRPr="00A700E7" w:rsidRDefault="00CC4FD4" w:rsidP="007A6B1F">
      <w:pPr>
        <w:spacing w:after="200" w:line="276" w:lineRule="auto"/>
        <w:jc w:val="left"/>
      </w:pPr>
      <w:r w:rsidRPr="00A700E7">
        <w:t>In long-term follow-up of patients who were treated with OPSUMIT 10 mg in the double blind / open-label extension studies (N=242), Kaplan-Meier estimates of survival at 1, 2, 3, 5 and 7 years were 95%, 89%, 84%, 73% and 63%. The median follow-up time was 5.9 years. Without a control group, these data must be interpreted cautiously.</w:t>
      </w:r>
    </w:p>
    <w:p w14:paraId="14F40C21" w14:textId="68EBFC5E" w:rsidR="00346612" w:rsidRPr="00A700E7" w:rsidRDefault="00346612" w:rsidP="007A6B1F">
      <w:pPr>
        <w:keepNext/>
        <w:keepLines/>
        <w:spacing w:before="200"/>
        <w:ind w:left="864" w:hanging="864"/>
        <w:jc w:val="left"/>
        <w:outlineLvl w:val="3"/>
        <w:rPr>
          <w:rFonts w:eastAsiaTheme="majorEastAsia"/>
          <w:b/>
          <w:bCs/>
          <w:i/>
          <w:iCs/>
          <w:sz w:val="24"/>
          <w:szCs w:val="24"/>
        </w:rPr>
      </w:pPr>
      <w:r w:rsidRPr="00A700E7">
        <w:rPr>
          <w:rFonts w:eastAsiaTheme="majorEastAsia"/>
          <w:b/>
          <w:bCs/>
          <w:i/>
          <w:iCs/>
          <w:sz w:val="24"/>
          <w:szCs w:val="24"/>
        </w:rPr>
        <w:t xml:space="preserve">Efficacy of </w:t>
      </w:r>
      <w:r w:rsidR="006B3D9C" w:rsidRPr="00A700E7">
        <w:rPr>
          <w:rFonts w:eastAsiaTheme="majorEastAsia"/>
          <w:b/>
          <w:bCs/>
          <w:i/>
          <w:iCs/>
          <w:sz w:val="24"/>
          <w:szCs w:val="24"/>
        </w:rPr>
        <w:t>tadalafil</w:t>
      </w:r>
      <w:r w:rsidRPr="00A700E7">
        <w:rPr>
          <w:rFonts w:eastAsiaTheme="majorEastAsia"/>
          <w:b/>
          <w:bCs/>
          <w:i/>
          <w:iCs/>
          <w:sz w:val="24"/>
          <w:szCs w:val="24"/>
        </w:rPr>
        <w:t xml:space="preserve"> in patients with pulmonary arterial hypertension</w:t>
      </w:r>
    </w:p>
    <w:p w14:paraId="5005B6AC" w14:textId="6BFDEFA3" w:rsidR="00D82E91" w:rsidRPr="00A700E7" w:rsidRDefault="00D82E91" w:rsidP="007A6B1F">
      <w:pPr>
        <w:jc w:val="left"/>
      </w:pPr>
      <w:r w:rsidRPr="00A700E7">
        <w:t xml:space="preserve">A randomized, double-blind, </w:t>
      </w:r>
      <w:proofErr w:type="gramStart"/>
      <w:r w:rsidRPr="00A700E7">
        <w:t>16 week</w:t>
      </w:r>
      <w:proofErr w:type="gramEnd"/>
      <w:r w:rsidRPr="00A700E7">
        <w:t xml:space="preserve"> placebo-controlled study was conducted in 405 patients with pulmonary arterial hypertension, defined as a resting mean pulmonary artery pressure (</w:t>
      </w:r>
      <w:proofErr w:type="spellStart"/>
      <w:r w:rsidRPr="00A700E7">
        <w:t>mPAP</w:t>
      </w:r>
      <w:proofErr w:type="spellEnd"/>
      <w:r w:rsidRPr="00A700E7">
        <w:t xml:space="preserve">) </w:t>
      </w:r>
      <w:r w:rsidR="006B3D9C" w:rsidRPr="00A700E7">
        <w:t>≥</w:t>
      </w:r>
      <w:r w:rsidRPr="00A700E7">
        <w:t xml:space="preserve">25 mm Hg, pulmonary capillary wedge pressure (PCWP) </w:t>
      </w:r>
      <w:r w:rsidR="006B3D9C" w:rsidRPr="00A700E7">
        <w:t>≤</w:t>
      </w:r>
      <w:r w:rsidRPr="00A700E7">
        <w:t xml:space="preserve">15 mm Hg, and pulmonary vascular resistance (PVR) </w:t>
      </w:r>
      <w:r w:rsidR="006B3D9C" w:rsidRPr="00A700E7">
        <w:t>≥</w:t>
      </w:r>
      <w:r w:rsidRPr="00A700E7">
        <w:t xml:space="preserve">3 Wood units via right heart catheterization. Allowed background therapy included </w:t>
      </w:r>
      <w:proofErr w:type="spellStart"/>
      <w:r w:rsidRPr="00A700E7">
        <w:t>bosentan</w:t>
      </w:r>
      <w:proofErr w:type="spellEnd"/>
      <w:r w:rsidRPr="00A700E7">
        <w:t xml:space="preserve"> (maintenance dosing up to 125 mg twice daily) and chronic anticoagulation. The use of prostacyclin or analogue, L-arginine, phosphodiesterase inhibitor, or other chronic PAH medications were not permitted.</w:t>
      </w:r>
    </w:p>
    <w:p w14:paraId="0ACD29DE" w14:textId="77777777" w:rsidR="00D82E91" w:rsidRPr="00A700E7" w:rsidRDefault="00D82E91" w:rsidP="007A6B1F">
      <w:pPr>
        <w:jc w:val="left"/>
      </w:pPr>
    </w:p>
    <w:p w14:paraId="063DD15C" w14:textId="77777777" w:rsidR="00D82E91" w:rsidRPr="00A700E7" w:rsidRDefault="00D82E91" w:rsidP="007A6B1F">
      <w:pPr>
        <w:jc w:val="left"/>
      </w:pPr>
      <w:r w:rsidRPr="00A700E7">
        <w:t xml:space="preserve">Subjects were randomly assigned to 1 of 5 treatment groups (tadalafil 2.5, 10, 20, 40 mg, or placebo) in a 1:1:1:1:1 ratio. Subjects had to be at least 12 years of age and had a diagnosis of PAH that was idiopathic, related to collagen vascular disease, </w:t>
      </w:r>
      <w:proofErr w:type="spellStart"/>
      <w:r w:rsidRPr="00A700E7">
        <w:t>anorexigen</w:t>
      </w:r>
      <w:proofErr w:type="spellEnd"/>
      <w:r w:rsidRPr="00A700E7">
        <w:t xml:space="preserve"> use, human immunodeficiency virus (HIV) infection, associated with an atrial-septal defect, or associated with surgical repair of a congenital systemic-to-pulmonary shunt of least 1 year in duration (for example, ventricular septal defect, patent ductus arteriosus). Patients with a history of left-sided heart disease, severe renal insufficiency, or pulmonary hypertension related to conditions other than specified in the inclusion criteria were not eligible for enrolment.</w:t>
      </w:r>
    </w:p>
    <w:p w14:paraId="3EC2A160" w14:textId="77777777" w:rsidR="00D82E91" w:rsidRPr="00A700E7" w:rsidRDefault="00D82E91" w:rsidP="007A6B1F">
      <w:pPr>
        <w:jc w:val="left"/>
      </w:pPr>
    </w:p>
    <w:p w14:paraId="0C9566FB" w14:textId="77777777" w:rsidR="00D82E91" w:rsidRPr="00A700E7" w:rsidRDefault="00D82E91" w:rsidP="007A6B1F">
      <w:pPr>
        <w:jc w:val="left"/>
      </w:pPr>
      <w:r w:rsidRPr="00A700E7">
        <w:t xml:space="preserve">The mean age of all subjects was 54 years (range 14 - 90 years) with </w:t>
      </w:r>
      <w:proofErr w:type="gramStart"/>
      <w:r w:rsidRPr="00A700E7">
        <w:t>the majority of</w:t>
      </w:r>
      <w:proofErr w:type="gramEnd"/>
      <w:r w:rsidRPr="00A700E7">
        <w:t xml:space="preserve"> subjects being Caucasian (81%) and female (78%). PAH etiologies were predominantly idiopathic PAH (61%) and related to collagen vascular disease (23%). More than half (53%) of the subjects in the study were receiving concomitant </w:t>
      </w:r>
      <w:proofErr w:type="spellStart"/>
      <w:r w:rsidRPr="00A700E7">
        <w:t>bosentan</w:t>
      </w:r>
      <w:proofErr w:type="spellEnd"/>
      <w:r w:rsidRPr="00A700E7">
        <w:t xml:space="preserve"> therapy. </w:t>
      </w:r>
      <w:proofErr w:type="gramStart"/>
      <w:r w:rsidRPr="00A700E7">
        <w:t>The majority of</w:t>
      </w:r>
      <w:proofErr w:type="gramEnd"/>
      <w:r w:rsidRPr="00A700E7">
        <w:t xml:space="preserve"> subjects had a World Health Organization (WHO) Functional Class III (65%) or II (32%). The mean baseline 6-minute walk distance (6-MWD) was 344 meters. Of the 405 subjects, 341 completed the study.</w:t>
      </w:r>
    </w:p>
    <w:p w14:paraId="24206D31" w14:textId="77777777" w:rsidR="00D82E91" w:rsidRPr="00A700E7" w:rsidRDefault="00D82E91" w:rsidP="007A6B1F">
      <w:pPr>
        <w:jc w:val="left"/>
      </w:pPr>
    </w:p>
    <w:p w14:paraId="1539606F" w14:textId="025EADC6" w:rsidR="00346612" w:rsidRPr="00A700E7" w:rsidRDefault="00D82E91" w:rsidP="007A6B1F">
      <w:pPr>
        <w:jc w:val="left"/>
      </w:pPr>
      <w:r w:rsidRPr="00A700E7">
        <w:lastRenderedPageBreak/>
        <w:t xml:space="preserve">The primary efficacy endpoint was the change from baseline at week 16 in 6-MWD (see Figure 5, Table </w:t>
      </w:r>
      <w:r w:rsidR="00017BF5" w:rsidRPr="00A700E7">
        <w:t>15</w:t>
      </w:r>
      <w:r w:rsidRPr="00A700E7">
        <w:t xml:space="preserve">). In the </w:t>
      </w:r>
      <w:r w:rsidR="004F74A6" w:rsidRPr="00A700E7">
        <w:t xml:space="preserve">tadalafil </w:t>
      </w:r>
      <w:r w:rsidRPr="00A700E7">
        <w:t xml:space="preserve">40 mg treatment group, the placebo-adjusted mean change increase in 6-MWD was 33 </w:t>
      </w:r>
      <w:proofErr w:type="spellStart"/>
      <w:r w:rsidRPr="00A700E7">
        <w:t>metres</w:t>
      </w:r>
      <w:proofErr w:type="spellEnd"/>
      <w:r w:rsidRPr="00A700E7">
        <w:t xml:space="preserve"> (95% C.I. 15-50 meters; p=0.0004). The improvement in 6-MWD was apparent </w:t>
      </w:r>
      <w:proofErr w:type="gramStart"/>
      <w:r w:rsidRPr="00A700E7">
        <w:t>at</w:t>
      </w:r>
      <w:proofErr w:type="gramEnd"/>
      <w:r w:rsidRPr="00A700E7">
        <w:t xml:space="preserve"> 8 weeks of treatment and then maintained </w:t>
      </w:r>
      <w:proofErr w:type="gramStart"/>
      <w:r w:rsidRPr="00A700E7">
        <w:t>at</w:t>
      </w:r>
      <w:proofErr w:type="gramEnd"/>
      <w:r w:rsidRPr="00A700E7">
        <w:t xml:space="preserve"> week 12 and week 16 (p&lt;0.05).</w:t>
      </w:r>
    </w:p>
    <w:p w14:paraId="703DF3D5" w14:textId="77777777" w:rsidR="00D82E91" w:rsidRPr="00A700E7" w:rsidRDefault="00D82E91" w:rsidP="007A6B1F">
      <w:pPr>
        <w:jc w:val="left"/>
      </w:pPr>
    </w:p>
    <w:p w14:paraId="6043E127" w14:textId="520067E6" w:rsidR="00D82E91" w:rsidRPr="00A700E7" w:rsidRDefault="00D82E91" w:rsidP="007A6B1F">
      <w:pPr>
        <w:jc w:val="left"/>
        <w:rPr>
          <w:b/>
          <w:bCs/>
          <w:sz w:val="20"/>
          <w:szCs w:val="20"/>
        </w:rPr>
      </w:pPr>
      <w:r w:rsidRPr="00A700E7">
        <w:rPr>
          <w:b/>
          <w:bCs/>
          <w:sz w:val="20"/>
          <w:szCs w:val="20"/>
        </w:rPr>
        <w:t>Figure 5 6-Minute Walk Distance (</w:t>
      </w:r>
      <w:proofErr w:type="spellStart"/>
      <w:r w:rsidRPr="00A700E7">
        <w:rPr>
          <w:b/>
          <w:bCs/>
          <w:sz w:val="20"/>
          <w:szCs w:val="20"/>
        </w:rPr>
        <w:t>metres</w:t>
      </w:r>
      <w:proofErr w:type="spellEnd"/>
      <w:r w:rsidRPr="00A700E7">
        <w:rPr>
          <w:b/>
          <w:bCs/>
          <w:sz w:val="20"/>
          <w:szCs w:val="20"/>
        </w:rPr>
        <w:t>) Mean Change from Baseline, with 95% Confidence Intervals</w:t>
      </w:r>
    </w:p>
    <w:p w14:paraId="6FB253F3" w14:textId="77777777" w:rsidR="00D82E91" w:rsidRPr="00A700E7" w:rsidRDefault="00D82E91" w:rsidP="007A6B1F">
      <w:pPr>
        <w:jc w:val="left"/>
      </w:pPr>
    </w:p>
    <w:p w14:paraId="4FD40F78" w14:textId="064156AF" w:rsidR="00D82E91" w:rsidRPr="00A700E7" w:rsidRDefault="00D82E91" w:rsidP="007A6B1F">
      <w:pPr>
        <w:jc w:val="left"/>
      </w:pPr>
      <w:r w:rsidRPr="00A700E7">
        <w:rPr>
          <w:noProof/>
        </w:rPr>
        <w:drawing>
          <wp:inline distT="0" distB="0" distL="0" distR="0" wp14:anchorId="13A73551" wp14:editId="2A896458">
            <wp:extent cx="5731510" cy="41084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4108450"/>
                    </a:xfrm>
                    <a:prstGeom prst="rect">
                      <a:avLst/>
                    </a:prstGeom>
                  </pic:spPr>
                </pic:pic>
              </a:graphicData>
            </a:graphic>
          </wp:inline>
        </w:drawing>
      </w:r>
    </w:p>
    <w:p w14:paraId="46D39C62" w14:textId="77777777" w:rsidR="006279E0" w:rsidRPr="00A700E7" w:rsidRDefault="006279E0" w:rsidP="007A6B1F">
      <w:pPr>
        <w:jc w:val="left"/>
        <w:rPr>
          <w:highlight w:val="yellow"/>
        </w:rPr>
      </w:pPr>
    </w:p>
    <w:p w14:paraId="4095D482" w14:textId="348633BD" w:rsidR="00D82E91" w:rsidRPr="00A700E7" w:rsidRDefault="00D82E91" w:rsidP="007A6B1F">
      <w:pPr>
        <w:jc w:val="left"/>
        <w:rPr>
          <w:sz w:val="20"/>
          <w:szCs w:val="20"/>
          <w:lang w:val="en-AU"/>
        </w:rPr>
      </w:pPr>
      <w:r w:rsidRPr="00A700E7">
        <w:rPr>
          <w:b/>
          <w:bCs/>
          <w:sz w:val="20"/>
          <w:szCs w:val="20"/>
          <w:lang w:val="en-AU"/>
        </w:rPr>
        <w:t>Table 1</w:t>
      </w:r>
      <w:r w:rsidR="00017BF5" w:rsidRPr="00A700E7">
        <w:rPr>
          <w:b/>
          <w:bCs/>
          <w:sz w:val="20"/>
          <w:szCs w:val="20"/>
          <w:lang w:val="en-AU"/>
        </w:rPr>
        <w:t>5</w:t>
      </w:r>
      <w:r w:rsidRPr="00A700E7">
        <w:rPr>
          <w:b/>
          <w:bCs/>
          <w:sz w:val="20"/>
          <w:szCs w:val="20"/>
          <w:lang w:val="en-AU"/>
        </w:rPr>
        <w:t xml:space="preserve">   6-Minute Walk Distance (metres) Mean Change from Baseline to Endpoint </w:t>
      </w:r>
    </w:p>
    <w:p w14:paraId="4F065A57" w14:textId="77777777" w:rsidR="00D82E91" w:rsidRPr="00A700E7" w:rsidRDefault="00D82E91" w:rsidP="007A6B1F">
      <w:pPr>
        <w:jc w:val="left"/>
        <w:rPr>
          <w:sz w:val="20"/>
          <w:szCs w:val="20"/>
          <w:lang w:val="en-AU"/>
        </w:rPr>
      </w:pPr>
    </w:p>
    <w:tbl>
      <w:tblPr>
        <w:tblW w:w="947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4"/>
        <w:gridCol w:w="1894"/>
        <w:gridCol w:w="1894"/>
        <w:gridCol w:w="1894"/>
        <w:gridCol w:w="1894"/>
      </w:tblGrid>
      <w:tr w:rsidR="00A700E7" w:rsidRPr="00A700E7" w14:paraId="5F814E75" w14:textId="77777777" w:rsidTr="007B41F8">
        <w:trPr>
          <w:trHeight w:val="334"/>
        </w:trPr>
        <w:tc>
          <w:tcPr>
            <w:tcW w:w="1894" w:type="dxa"/>
          </w:tcPr>
          <w:p w14:paraId="41C490A6" w14:textId="77777777" w:rsidR="00D82E91" w:rsidRPr="00A700E7" w:rsidRDefault="00D82E91" w:rsidP="007A6B1F">
            <w:pPr>
              <w:jc w:val="left"/>
              <w:rPr>
                <w:sz w:val="20"/>
                <w:szCs w:val="20"/>
                <w:lang w:val="en-AU"/>
              </w:rPr>
            </w:pPr>
          </w:p>
        </w:tc>
        <w:tc>
          <w:tcPr>
            <w:tcW w:w="1894" w:type="dxa"/>
          </w:tcPr>
          <w:p w14:paraId="2CEE105D" w14:textId="77777777" w:rsidR="00D82E91" w:rsidRPr="00A700E7" w:rsidRDefault="00D82E91" w:rsidP="007A6B1F">
            <w:pPr>
              <w:jc w:val="left"/>
              <w:rPr>
                <w:sz w:val="20"/>
                <w:szCs w:val="20"/>
                <w:lang w:val="en-AU"/>
              </w:rPr>
            </w:pPr>
            <w:r w:rsidRPr="00A700E7">
              <w:rPr>
                <w:sz w:val="20"/>
                <w:szCs w:val="20"/>
                <w:lang w:val="en-AU"/>
              </w:rPr>
              <w:t>Placebo</w:t>
            </w:r>
          </w:p>
          <w:p w14:paraId="43F69461" w14:textId="77777777" w:rsidR="00D82E91" w:rsidRPr="00A700E7" w:rsidRDefault="00D82E91" w:rsidP="007A6B1F">
            <w:pPr>
              <w:jc w:val="left"/>
              <w:rPr>
                <w:sz w:val="20"/>
                <w:szCs w:val="20"/>
                <w:lang w:val="en-AU"/>
              </w:rPr>
            </w:pPr>
            <w:r w:rsidRPr="00A700E7">
              <w:rPr>
                <w:sz w:val="20"/>
                <w:szCs w:val="20"/>
                <w:lang w:val="en-AU"/>
              </w:rPr>
              <w:t>(N=82)</w:t>
            </w:r>
          </w:p>
        </w:tc>
        <w:tc>
          <w:tcPr>
            <w:tcW w:w="1894" w:type="dxa"/>
          </w:tcPr>
          <w:p w14:paraId="65A729D9" w14:textId="77777777" w:rsidR="00D82E91" w:rsidRPr="00A700E7" w:rsidRDefault="00D82E91" w:rsidP="007A6B1F">
            <w:pPr>
              <w:jc w:val="left"/>
              <w:rPr>
                <w:sz w:val="20"/>
                <w:szCs w:val="20"/>
                <w:lang w:val="en-AU"/>
              </w:rPr>
            </w:pPr>
            <w:r w:rsidRPr="00A700E7">
              <w:rPr>
                <w:sz w:val="20"/>
                <w:szCs w:val="20"/>
                <w:lang w:val="en-AU"/>
              </w:rPr>
              <w:t>Tadalafil</w:t>
            </w:r>
          </w:p>
          <w:p w14:paraId="58FD5727" w14:textId="77777777" w:rsidR="00D82E91" w:rsidRPr="00A700E7" w:rsidRDefault="00D82E91" w:rsidP="007A6B1F">
            <w:pPr>
              <w:jc w:val="left"/>
              <w:rPr>
                <w:sz w:val="20"/>
                <w:szCs w:val="20"/>
                <w:lang w:val="en-AU"/>
              </w:rPr>
            </w:pPr>
            <w:r w:rsidRPr="00A700E7">
              <w:rPr>
                <w:sz w:val="20"/>
                <w:szCs w:val="20"/>
                <w:lang w:val="en-AU"/>
              </w:rPr>
              <w:t>10 mg</w:t>
            </w:r>
          </w:p>
          <w:p w14:paraId="0A054D89" w14:textId="77777777" w:rsidR="00D82E91" w:rsidRPr="00A700E7" w:rsidRDefault="00D82E91" w:rsidP="007A6B1F">
            <w:pPr>
              <w:jc w:val="left"/>
              <w:rPr>
                <w:sz w:val="20"/>
                <w:szCs w:val="20"/>
                <w:lang w:val="en-AU"/>
              </w:rPr>
            </w:pPr>
            <w:r w:rsidRPr="00A700E7">
              <w:rPr>
                <w:sz w:val="20"/>
                <w:szCs w:val="20"/>
                <w:lang w:val="en-AU"/>
              </w:rPr>
              <w:t>(N=80)</w:t>
            </w:r>
          </w:p>
        </w:tc>
        <w:tc>
          <w:tcPr>
            <w:tcW w:w="1894" w:type="dxa"/>
          </w:tcPr>
          <w:p w14:paraId="087C367F" w14:textId="77777777" w:rsidR="00D82E91" w:rsidRPr="00A700E7" w:rsidRDefault="00D82E91" w:rsidP="007A6B1F">
            <w:pPr>
              <w:jc w:val="left"/>
              <w:rPr>
                <w:sz w:val="20"/>
                <w:szCs w:val="20"/>
                <w:lang w:val="en-AU"/>
              </w:rPr>
            </w:pPr>
            <w:r w:rsidRPr="00A700E7">
              <w:rPr>
                <w:sz w:val="20"/>
                <w:szCs w:val="20"/>
                <w:lang w:val="en-AU"/>
              </w:rPr>
              <w:t>Tadalafil</w:t>
            </w:r>
          </w:p>
          <w:p w14:paraId="204362AE" w14:textId="77777777" w:rsidR="00D82E91" w:rsidRPr="00A700E7" w:rsidRDefault="00D82E91" w:rsidP="007A6B1F">
            <w:pPr>
              <w:jc w:val="left"/>
              <w:rPr>
                <w:sz w:val="20"/>
                <w:szCs w:val="20"/>
                <w:lang w:val="en-AU"/>
              </w:rPr>
            </w:pPr>
            <w:r w:rsidRPr="00A700E7">
              <w:rPr>
                <w:sz w:val="20"/>
                <w:szCs w:val="20"/>
                <w:lang w:val="en-AU"/>
              </w:rPr>
              <w:t>20 mg</w:t>
            </w:r>
          </w:p>
          <w:p w14:paraId="542D7E0F" w14:textId="77777777" w:rsidR="00D82E91" w:rsidRPr="00A700E7" w:rsidRDefault="00D82E91" w:rsidP="007A6B1F">
            <w:pPr>
              <w:jc w:val="left"/>
              <w:rPr>
                <w:sz w:val="20"/>
                <w:szCs w:val="20"/>
                <w:lang w:val="en-AU"/>
              </w:rPr>
            </w:pPr>
            <w:r w:rsidRPr="00A700E7">
              <w:rPr>
                <w:sz w:val="20"/>
                <w:szCs w:val="20"/>
                <w:lang w:val="en-AU"/>
              </w:rPr>
              <w:t>(N=82)</w:t>
            </w:r>
          </w:p>
        </w:tc>
        <w:tc>
          <w:tcPr>
            <w:tcW w:w="1894" w:type="dxa"/>
          </w:tcPr>
          <w:p w14:paraId="7049DEE9" w14:textId="77777777" w:rsidR="00D82E91" w:rsidRPr="00A700E7" w:rsidRDefault="00D82E91" w:rsidP="007A6B1F">
            <w:pPr>
              <w:jc w:val="left"/>
              <w:rPr>
                <w:sz w:val="20"/>
                <w:szCs w:val="20"/>
                <w:lang w:val="en-AU"/>
              </w:rPr>
            </w:pPr>
            <w:r w:rsidRPr="00A700E7">
              <w:rPr>
                <w:sz w:val="20"/>
                <w:szCs w:val="20"/>
                <w:lang w:val="en-AU"/>
              </w:rPr>
              <w:t>Tadalafil</w:t>
            </w:r>
          </w:p>
          <w:p w14:paraId="5CF98C33" w14:textId="77777777" w:rsidR="00D82E91" w:rsidRPr="00A700E7" w:rsidRDefault="00D82E91" w:rsidP="007A6B1F">
            <w:pPr>
              <w:jc w:val="left"/>
              <w:rPr>
                <w:sz w:val="20"/>
                <w:szCs w:val="20"/>
                <w:lang w:val="en-AU"/>
              </w:rPr>
            </w:pPr>
            <w:r w:rsidRPr="00A700E7">
              <w:rPr>
                <w:sz w:val="20"/>
                <w:szCs w:val="20"/>
                <w:lang w:val="en-AU"/>
              </w:rPr>
              <w:t>40 mg</w:t>
            </w:r>
          </w:p>
          <w:p w14:paraId="6C846E98" w14:textId="77777777" w:rsidR="00D82E91" w:rsidRPr="00A700E7" w:rsidRDefault="00D82E91" w:rsidP="007A6B1F">
            <w:pPr>
              <w:jc w:val="left"/>
              <w:rPr>
                <w:sz w:val="20"/>
                <w:szCs w:val="20"/>
                <w:lang w:val="en-AU"/>
              </w:rPr>
            </w:pPr>
            <w:r w:rsidRPr="00A700E7">
              <w:rPr>
                <w:sz w:val="20"/>
                <w:szCs w:val="20"/>
                <w:lang w:val="en-AU"/>
              </w:rPr>
              <w:t>(N=79)</w:t>
            </w:r>
          </w:p>
        </w:tc>
      </w:tr>
      <w:tr w:rsidR="00A700E7" w:rsidRPr="00A700E7" w14:paraId="01AF98E5" w14:textId="77777777" w:rsidTr="007B41F8">
        <w:trPr>
          <w:trHeight w:val="88"/>
        </w:trPr>
        <w:tc>
          <w:tcPr>
            <w:tcW w:w="1894" w:type="dxa"/>
          </w:tcPr>
          <w:p w14:paraId="50DC9528" w14:textId="77777777" w:rsidR="00D82E91" w:rsidRPr="00A700E7" w:rsidRDefault="00D82E91" w:rsidP="007A6B1F">
            <w:pPr>
              <w:jc w:val="left"/>
              <w:rPr>
                <w:sz w:val="20"/>
                <w:szCs w:val="20"/>
                <w:lang w:val="en-AU"/>
              </w:rPr>
            </w:pPr>
            <w:r w:rsidRPr="00A700E7">
              <w:rPr>
                <w:sz w:val="20"/>
                <w:szCs w:val="20"/>
                <w:lang w:val="en-AU"/>
              </w:rPr>
              <w:t>Mean (SD)</w:t>
            </w:r>
          </w:p>
        </w:tc>
        <w:tc>
          <w:tcPr>
            <w:tcW w:w="1894" w:type="dxa"/>
          </w:tcPr>
          <w:p w14:paraId="3953062F" w14:textId="77777777" w:rsidR="00D82E91" w:rsidRPr="00A700E7" w:rsidRDefault="00D82E91" w:rsidP="007A6B1F">
            <w:pPr>
              <w:jc w:val="left"/>
              <w:rPr>
                <w:sz w:val="20"/>
                <w:szCs w:val="20"/>
                <w:lang w:val="en-AU"/>
              </w:rPr>
            </w:pPr>
            <w:r w:rsidRPr="00A700E7">
              <w:rPr>
                <w:sz w:val="20"/>
                <w:szCs w:val="20"/>
                <w:lang w:val="en-AU"/>
              </w:rPr>
              <w:t>9.21 (59.96)</w:t>
            </w:r>
          </w:p>
        </w:tc>
        <w:tc>
          <w:tcPr>
            <w:tcW w:w="1894" w:type="dxa"/>
          </w:tcPr>
          <w:p w14:paraId="41210D12" w14:textId="77777777" w:rsidR="00D82E91" w:rsidRPr="00A700E7" w:rsidRDefault="00D82E91" w:rsidP="007A6B1F">
            <w:pPr>
              <w:jc w:val="left"/>
              <w:rPr>
                <w:sz w:val="20"/>
                <w:szCs w:val="20"/>
                <w:lang w:val="en-AU"/>
              </w:rPr>
            </w:pPr>
            <w:r w:rsidRPr="00A700E7">
              <w:rPr>
                <w:sz w:val="20"/>
                <w:szCs w:val="20"/>
                <w:lang w:val="en-AU"/>
              </w:rPr>
              <w:t>28.60 (62.17)</w:t>
            </w:r>
          </w:p>
        </w:tc>
        <w:tc>
          <w:tcPr>
            <w:tcW w:w="1894" w:type="dxa"/>
          </w:tcPr>
          <w:p w14:paraId="2BFF36C5" w14:textId="77777777" w:rsidR="00D82E91" w:rsidRPr="00A700E7" w:rsidRDefault="00D82E91" w:rsidP="007A6B1F">
            <w:pPr>
              <w:jc w:val="left"/>
              <w:rPr>
                <w:sz w:val="20"/>
                <w:szCs w:val="20"/>
                <w:lang w:val="en-AU"/>
              </w:rPr>
            </w:pPr>
            <w:r w:rsidRPr="00A700E7">
              <w:rPr>
                <w:sz w:val="20"/>
                <w:szCs w:val="20"/>
                <w:lang w:val="en-AU"/>
              </w:rPr>
              <w:t>36.23 (47.53)</w:t>
            </w:r>
          </w:p>
        </w:tc>
        <w:tc>
          <w:tcPr>
            <w:tcW w:w="1894" w:type="dxa"/>
          </w:tcPr>
          <w:p w14:paraId="78E4E520" w14:textId="77777777" w:rsidR="00D82E91" w:rsidRPr="00A700E7" w:rsidRDefault="00D82E91" w:rsidP="007A6B1F">
            <w:pPr>
              <w:jc w:val="left"/>
              <w:rPr>
                <w:sz w:val="20"/>
                <w:szCs w:val="20"/>
                <w:lang w:val="en-AU"/>
              </w:rPr>
            </w:pPr>
            <w:r w:rsidRPr="00A700E7">
              <w:rPr>
                <w:sz w:val="20"/>
                <w:szCs w:val="20"/>
                <w:lang w:val="en-AU"/>
              </w:rPr>
              <w:t>41.14 (49.39)</w:t>
            </w:r>
          </w:p>
        </w:tc>
      </w:tr>
      <w:tr w:rsidR="00A700E7" w:rsidRPr="00A700E7" w14:paraId="02459B94" w14:textId="77777777" w:rsidTr="007B41F8">
        <w:trPr>
          <w:trHeight w:val="88"/>
        </w:trPr>
        <w:tc>
          <w:tcPr>
            <w:tcW w:w="1894" w:type="dxa"/>
          </w:tcPr>
          <w:p w14:paraId="582F471B" w14:textId="77777777" w:rsidR="00D82E91" w:rsidRPr="00A700E7" w:rsidRDefault="00D82E91" w:rsidP="007A6B1F">
            <w:pPr>
              <w:jc w:val="left"/>
              <w:rPr>
                <w:sz w:val="20"/>
                <w:szCs w:val="20"/>
                <w:lang w:val="en-AU"/>
              </w:rPr>
            </w:pPr>
            <w:r w:rsidRPr="00A700E7">
              <w:rPr>
                <w:sz w:val="20"/>
                <w:szCs w:val="20"/>
                <w:lang w:val="en-AU"/>
              </w:rPr>
              <w:t xml:space="preserve">Treatment </w:t>
            </w:r>
            <w:proofErr w:type="spellStart"/>
            <w:r w:rsidRPr="00A700E7">
              <w:rPr>
                <w:sz w:val="20"/>
                <w:szCs w:val="20"/>
                <w:lang w:val="en-AU"/>
              </w:rPr>
              <w:t>difference</w:t>
            </w:r>
            <w:r w:rsidRPr="00A700E7">
              <w:rPr>
                <w:sz w:val="20"/>
                <w:szCs w:val="20"/>
                <w:vertAlign w:val="superscript"/>
                <w:lang w:val="en-AU"/>
              </w:rPr>
              <w:t>a</w:t>
            </w:r>
            <w:proofErr w:type="spellEnd"/>
          </w:p>
        </w:tc>
        <w:tc>
          <w:tcPr>
            <w:tcW w:w="1894" w:type="dxa"/>
          </w:tcPr>
          <w:p w14:paraId="28C7ACAE" w14:textId="77777777" w:rsidR="00D82E91" w:rsidRPr="00A700E7" w:rsidRDefault="00D82E91" w:rsidP="007A6B1F">
            <w:pPr>
              <w:jc w:val="left"/>
              <w:rPr>
                <w:sz w:val="20"/>
                <w:szCs w:val="20"/>
                <w:lang w:val="en-AU"/>
              </w:rPr>
            </w:pPr>
          </w:p>
        </w:tc>
        <w:tc>
          <w:tcPr>
            <w:tcW w:w="1894" w:type="dxa"/>
          </w:tcPr>
          <w:p w14:paraId="0F385738" w14:textId="77777777" w:rsidR="00D82E91" w:rsidRPr="00A700E7" w:rsidRDefault="00D82E91" w:rsidP="007A6B1F">
            <w:pPr>
              <w:jc w:val="left"/>
              <w:rPr>
                <w:sz w:val="20"/>
                <w:szCs w:val="20"/>
                <w:lang w:val="en-AU"/>
              </w:rPr>
            </w:pPr>
            <w:r w:rsidRPr="00A700E7">
              <w:rPr>
                <w:sz w:val="20"/>
                <w:szCs w:val="20"/>
                <w:lang w:val="en-AU"/>
              </w:rPr>
              <w:t>19.9</w:t>
            </w:r>
          </w:p>
        </w:tc>
        <w:tc>
          <w:tcPr>
            <w:tcW w:w="1894" w:type="dxa"/>
          </w:tcPr>
          <w:p w14:paraId="7F76C82C" w14:textId="77777777" w:rsidR="00D82E91" w:rsidRPr="00A700E7" w:rsidRDefault="00D82E91" w:rsidP="007A6B1F">
            <w:pPr>
              <w:jc w:val="left"/>
              <w:rPr>
                <w:sz w:val="20"/>
                <w:szCs w:val="20"/>
                <w:lang w:val="en-AU"/>
              </w:rPr>
            </w:pPr>
            <w:r w:rsidRPr="00A700E7">
              <w:rPr>
                <w:sz w:val="20"/>
                <w:szCs w:val="20"/>
                <w:lang w:val="en-AU"/>
              </w:rPr>
              <w:t>27.5</w:t>
            </w:r>
          </w:p>
        </w:tc>
        <w:tc>
          <w:tcPr>
            <w:tcW w:w="1894" w:type="dxa"/>
          </w:tcPr>
          <w:p w14:paraId="0AEA2F1B" w14:textId="77777777" w:rsidR="00D82E91" w:rsidRPr="00A700E7" w:rsidRDefault="00D82E91" w:rsidP="007A6B1F">
            <w:pPr>
              <w:jc w:val="left"/>
              <w:rPr>
                <w:sz w:val="20"/>
                <w:szCs w:val="20"/>
                <w:lang w:val="en-AU"/>
              </w:rPr>
            </w:pPr>
            <w:r w:rsidRPr="00A700E7">
              <w:rPr>
                <w:sz w:val="20"/>
                <w:szCs w:val="20"/>
                <w:lang w:val="en-AU"/>
              </w:rPr>
              <w:t>32.8</w:t>
            </w:r>
          </w:p>
        </w:tc>
      </w:tr>
      <w:tr w:rsidR="00A700E7" w:rsidRPr="00A700E7" w14:paraId="02B1BB77" w14:textId="77777777" w:rsidTr="007B41F8">
        <w:trPr>
          <w:trHeight w:val="88"/>
        </w:trPr>
        <w:tc>
          <w:tcPr>
            <w:tcW w:w="1894" w:type="dxa"/>
          </w:tcPr>
          <w:p w14:paraId="7640F35C" w14:textId="77777777" w:rsidR="00D82E91" w:rsidRPr="00A700E7" w:rsidRDefault="00D82E91" w:rsidP="007A6B1F">
            <w:pPr>
              <w:jc w:val="left"/>
              <w:rPr>
                <w:sz w:val="20"/>
                <w:szCs w:val="20"/>
                <w:lang w:val="en-AU"/>
              </w:rPr>
            </w:pPr>
            <w:r w:rsidRPr="00A700E7">
              <w:rPr>
                <w:sz w:val="20"/>
                <w:szCs w:val="20"/>
                <w:lang w:val="en-AU"/>
              </w:rPr>
              <w:t xml:space="preserve">95% </w:t>
            </w:r>
            <w:proofErr w:type="spellStart"/>
            <w:r w:rsidRPr="00A700E7">
              <w:rPr>
                <w:sz w:val="20"/>
                <w:szCs w:val="20"/>
                <w:lang w:val="en-AU"/>
              </w:rPr>
              <w:t>C.</w:t>
            </w:r>
            <w:proofErr w:type="gramStart"/>
            <w:r w:rsidRPr="00A700E7">
              <w:rPr>
                <w:sz w:val="20"/>
                <w:szCs w:val="20"/>
                <w:lang w:val="en-AU"/>
              </w:rPr>
              <w:t>I.</w:t>
            </w:r>
            <w:r w:rsidRPr="00A700E7">
              <w:rPr>
                <w:sz w:val="20"/>
                <w:szCs w:val="20"/>
                <w:vertAlign w:val="superscript"/>
                <w:lang w:val="en-AU"/>
              </w:rPr>
              <w:t>a</w:t>
            </w:r>
            <w:proofErr w:type="spellEnd"/>
            <w:proofErr w:type="gramEnd"/>
          </w:p>
        </w:tc>
        <w:tc>
          <w:tcPr>
            <w:tcW w:w="1894" w:type="dxa"/>
          </w:tcPr>
          <w:p w14:paraId="34C4F833" w14:textId="77777777" w:rsidR="00D82E91" w:rsidRPr="00A700E7" w:rsidRDefault="00D82E91" w:rsidP="007A6B1F">
            <w:pPr>
              <w:jc w:val="left"/>
              <w:rPr>
                <w:sz w:val="20"/>
                <w:szCs w:val="20"/>
                <w:lang w:val="en-AU"/>
              </w:rPr>
            </w:pPr>
          </w:p>
        </w:tc>
        <w:tc>
          <w:tcPr>
            <w:tcW w:w="1894" w:type="dxa"/>
          </w:tcPr>
          <w:p w14:paraId="03728609" w14:textId="77777777" w:rsidR="00D82E91" w:rsidRPr="00A700E7" w:rsidRDefault="00D82E91" w:rsidP="007A6B1F">
            <w:pPr>
              <w:jc w:val="left"/>
              <w:rPr>
                <w:sz w:val="20"/>
                <w:szCs w:val="20"/>
                <w:lang w:val="en-AU"/>
              </w:rPr>
            </w:pPr>
            <w:r w:rsidRPr="00A700E7">
              <w:rPr>
                <w:sz w:val="20"/>
                <w:szCs w:val="20"/>
                <w:lang w:val="en-AU"/>
              </w:rPr>
              <w:t>0.9, 38.8</w:t>
            </w:r>
          </w:p>
        </w:tc>
        <w:tc>
          <w:tcPr>
            <w:tcW w:w="1894" w:type="dxa"/>
          </w:tcPr>
          <w:p w14:paraId="5B8CC203" w14:textId="77777777" w:rsidR="00D82E91" w:rsidRPr="00A700E7" w:rsidRDefault="00D82E91" w:rsidP="007A6B1F">
            <w:pPr>
              <w:jc w:val="left"/>
              <w:rPr>
                <w:sz w:val="20"/>
                <w:szCs w:val="20"/>
                <w:lang w:val="en-AU"/>
              </w:rPr>
            </w:pPr>
            <w:r w:rsidRPr="00A700E7">
              <w:rPr>
                <w:sz w:val="20"/>
                <w:szCs w:val="20"/>
                <w:lang w:val="en-AU"/>
              </w:rPr>
              <w:t>10.6, 44.3</w:t>
            </w:r>
          </w:p>
        </w:tc>
        <w:tc>
          <w:tcPr>
            <w:tcW w:w="1894" w:type="dxa"/>
          </w:tcPr>
          <w:p w14:paraId="41FBD684" w14:textId="77777777" w:rsidR="00D82E91" w:rsidRPr="00A700E7" w:rsidRDefault="00D82E91" w:rsidP="007A6B1F">
            <w:pPr>
              <w:jc w:val="left"/>
              <w:rPr>
                <w:sz w:val="20"/>
                <w:szCs w:val="20"/>
                <w:lang w:val="en-AU"/>
              </w:rPr>
            </w:pPr>
            <w:r w:rsidRPr="00A700E7">
              <w:rPr>
                <w:sz w:val="20"/>
                <w:szCs w:val="20"/>
                <w:lang w:val="en-AU"/>
              </w:rPr>
              <w:t>15.2, 50.3</w:t>
            </w:r>
          </w:p>
        </w:tc>
      </w:tr>
      <w:tr w:rsidR="00A700E7" w:rsidRPr="00A700E7" w14:paraId="69CDB5EE" w14:textId="77777777" w:rsidTr="007B41F8">
        <w:trPr>
          <w:trHeight w:val="88"/>
        </w:trPr>
        <w:tc>
          <w:tcPr>
            <w:tcW w:w="1894" w:type="dxa"/>
          </w:tcPr>
          <w:p w14:paraId="31297D00" w14:textId="69A65E83" w:rsidR="00D82E91" w:rsidRPr="00A700E7" w:rsidRDefault="006B3D9C" w:rsidP="007A6B1F">
            <w:pPr>
              <w:ind w:right="-243"/>
              <w:jc w:val="left"/>
              <w:rPr>
                <w:sz w:val="20"/>
                <w:szCs w:val="20"/>
                <w:lang w:val="en-AU"/>
              </w:rPr>
            </w:pPr>
            <w:r w:rsidRPr="00A700E7">
              <w:rPr>
                <w:sz w:val="20"/>
                <w:szCs w:val="20"/>
                <w:lang w:val="en-AU"/>
              </w:rPr>
              <w:t xml:space="preserve">        </w:t>
            </w:r>
            <w:r w:rsidR="00D82E91" w:rsidRPr="00A700E7">
              <w:rPr>
                <w:sz w:val="20"/>
                <w:szCs w:val="20"/>
                <w:lang w:val="en-AU"/>
              </w:rPr>
              <w:t>p-</w:t>
            </w:r>
            <w:proofErr w:type="spellStart"/>
            <w:r w:rsidR="00D82E91" w:rsidRPr="00A700E7">
              <w:rPr>
                <w:sz w:val="20"/>
                <w:szCs w:val="20"/>
                <w:lang w:val="en-AU"/>
              </w:rPr>
              <w:t>value</w:t>
            </w:r>
            <w:r w:rsidR="00D82E91" w:rsidRPr="00A700E7">
              <w:rPr>
                <w:sz w:val="20"/>
                <w:szCs w:val="20"/>
                <w:vertAlign w:val="superscript"/>
                <w:lang w:val="en-AU"/>
              </w:rPr>
              <w:t>b</w:t>
            </w:r>
            <w:proofErr w:type="spellEnd"/>
          </w:p>
        </w:tc>
        <w:tc>
          <w:tcPr>
            <w:tcW w:w="1894" w:type="dxa"/>
          </w:tcPr>
          <w:p w14:paraId="1FAD3880" w14:textId="77777777" w:rsidR="00D82E91" w:rsidRPr="00A700E7" w:rsidRDefault="00D82E91" w:rsidP="007A6B1F">
            <w:pPr>
              <w:ind w:right="-243"/>
              <w:jc w:val="left"/>
              <w:rPr>
                <w:sz w:val="20"/>
                <w:szCs w:val="20"/>
                <w:lang w:val="en-AU"/>
              </w:rPr>
            </w:pPr>
          </w:p>
        </w:tc>
        <w:tc>
          <w:tcPr>
            <w:tcW w:w="1894" w:type="dxa"/>
          </w:tcPr>
          <w:p w14:paraId="535D55A0" w14:textId="77777777" w:rsidR="00D82E91" w:rsidRPr="00A700E7" w:rsidRDefault="00D82E91" w:rsidP="007A6B1F">
            <w:pPr>
              <w:jc w:val="left"/>
              <w:rPr>
                <w:sz w:val="20"/>
                <w:szCs w:val="20"/>
                <w:lang w:val="en-AU"/>
              </w:rPr>
            </w:pPr>
            <w:r w:rsidRPr="00A700E7">
              <w:rPr>
                <w:sz w:val="20"/>
                <w:szCs w:val="20"/>
                <w:lang w:val="en-AU"/>
              </w:rPr>
              <w:t>0.0466</w:t>
            </w:r>
          </w:p>
        </w:tc>
        <w:tc>
          <w:tcPr>
            <w:tcW w:w="1894" w:type="dxa"/>
          </w:tcPr>
          <w:p w14:paraId="3EAAADC5" w14:textId="77777777" w:rsidR="00D82E91" w:rsidRPr="00A700E7" w:rsidRDefault="00D82E91" w:rsidP="007A6B1F">
            <w:pPr>
              <w:jc w:val="left"/>
              <w:rPr>
                <w:sz w:val="20"/>
                <w:szCs w:val="20"/>
                <w:lang w:val="en-AU"/>
              </w:rPr>
            </w:pPr>
            <w:r w:rsidRPr="00A700E7">
              <w:rPr>
                <w:sz w:val="20"/>
                <w:szCs w:val="20"/>
                <w:lang w:val="en-AU"/>
              </w:rPr>
              <w:t>0.0278</w:t>
            </w:r>
          </w:p>
        </w:tc>
        <w:tc>
          <w:tcPr>
            <w:tcW w:w="1894" w:type="dxa"/>
          </w:tcPr>
          <w:p w14:paraId="34D945D2" w14:textId="77777777" w:rsidR="00D82E91" w:rsidRPr="00A700E7" w:rsidRDefault="00D82E91" w:rsidP="007A6B1F">
            <w:pPr>
              <w:jc w:val="left"/>
              <w:rPr>
                <w:sz w:val="20"/>
                <w:szCs w:val="20"/>
                <w:lang w:val="en-AU"/>
              </w:rPr>
            </w:pPr>
            <w:r w:rsidRPr="00A700E7">
              <w:rPr>
                <w:sz w:val="20"/>
                <w:szCs w:val="20"/>
                <w:lang w:val="en-AU"/>
              </w:rPr>
              <w:t>0.0004</w:t>
            </w:r>
          </w:p>
        </w:tc>
      </w:tr>
    </w:tbl>
    <w:p w14:paraId="6BDAA8F5" w14:textId="77777777" w:rsidR="00D82E91" w:rsidRPr="00A700E7" w:rsidRDefault="00D82E91" w:rsidP="007A6B1F">
      <w:pPr>
        <w:jc w:val="left"/>
        <w:rPr>
          <w:sz w:val="18"/>
          <w:szCs w:val="18"/>
        </w:rPr>
      </w:pPr>
      <w:r w:rsidRPr="00A700E7">
        <w:rPr>
          <w:sz w:val="18"/>
          <w:szCs w:val="18"/>
          <w:vertAlign w:val="superscript"/>
        </w:rPr>
        <w:t>a</w:t>
      </w:r>
      <w:r w:rsidRPr="00A700E7">
        <w:rPr>
          <w:sz w:val="18"/>
          <w:szCs w:val="18"/>
        </w:rPr>
        <w:t xml:space="preserve"> ANCOVA model with Type II sum of squares including the centered baseline of 6-MW distance (cont.), PAH etiology, and </w:t>
      </w:r>
      <w:proofErr w:type="spellStart"/>
      <w:r w:rsidRPr="00A700E7">
        <w:rPr>
          <w:sz w:val="18"/>
          <w:szCs w:val="18"/>
        </w:rPr>
        <w:t>bosentan</w:t>
      </w:r>
      <w:proofErr w:type="spellEnd"/>
      <w:r w:rsidRPr="00A700E7">
        <w:rPr>
          <w:sz w:val="18"/>
          <w:szCs w:val="18"/>
        </w:rPr>
        <w:t xml:space="preserve"> use. </w:t>
      </w:r>
      <w:proofErr w:type="gramStart"/>
      <w:r w:rsidRPr="00A700E7">
        <w:rPr>
          <w:sz w:val="18"/>
          <w:szCs w:val="18"/>
        </w:rPr>
        <w:t>Treatment</w:t>
      </w:r>
      <w:proofErr w:type="gramEnd"/>
      <w:r w:rsidRPr="00A700E7">
        <w:rPr>
          <w:sz w:val="18"/>
          <w:szCs w:val="18"/>
        </w:rPr>
        <w:t xml:space="preserve"> difference is the Active Least Square mean subtract Placebo Least Square mean.</w:t>
      </w:r>
    </w:p>
    <w:p w14:paraId="3E90A9ED" w14:textId="77777777" w:rsidR="00D82E91" w:rsidRPr="00A700E7" w:rsidRDefault="00D82E91" w:rsidP="007A6B1F">
      <w:pPr>
        <w:jc w:val="left"/>
        <w:rPr>
          <w:sz w:val="18"/>
          <w:szCs w:val="18"/>
        </w:rPr>
      </w:pPr>
      <w:r w:rsidRPr="00A700E7">
        <w:rPr>
          <w:sz w:val="18"/>
          <w:szCs w:val="18"/>
          <w:vertAlign w:val="superscript"/>
        </w:rPr>
        <w:t>b</w:t>
      </w:r>
      <w:r w:rsidRPr="00A700E7">
        <w:rPr>
          <w:sz w:val="18"/>
          <w:szCs w:val="18"/>
        </w:rPr>
        <w:t xml:space="preserve"> Permutation test stratified by PAH etiology, </w:t>
      </w:r>
      <w:proofErr w:type="spellStart"/>
      <w:r w:rsidRPr="00A700E7">
        <w:rPr>
          <w:sz w:val="18"/>
          <w:szCs w:val="18"/>
        </w:rPr>
        <w:t>bosentan</w:t>
      </w:r>
      <w:proofErr w:type="spellEnd"/>
      <w:r w:rsidRPr="00A700E7">
        <w:rPr>
          <w:sz w:val="18"/>
          <w:szCs w:val="18"/>
        </w:rPr>
        <w:t xml:space="preserve"> use, and baseline 6-minute walk distance (&lt;= 325 m and &gt;325 m) on rank compared to placebo.</w:t>
      </w:r>
    </w:p>
    <w:p w14:paraId="7EC2E8A9" w14:textId="77777777" w:rsidR="00D82E91" w:rsidRPr="00A700E7" w:rsidRDefault="00D82E91" w:rsidP="007A6B1F">
      <w:pPr>
        <w:jc w:val="left"/>
        <w:rPr>
          <w:highlight w:val="yellow"/>
        </w:rPr>
      </w:pPr>
    </w:p>
    <w:p w14:paraId="5FBFA003" w14:textId="45820913" w:rsidR="00D82E91" w:rsidRPr="00A700E7" w:rsidRDefault="00D82E91" w:rsidP="007A6B1F">
      <w:pPr>
        <w:jc w:val="left"/>
      </w:pPr>
      <w:r w:rsidRPr="00A700E7">
        <w:lastRenderedPageBreak/>
        <w:t xml:space="preserve">Placebo-adjusted changes in 6-MWD at 16 weeks were evaluated in subgroups (see Figure 6), although the study was not powered to demonstrate statistical significance within subgroups. In patients taking only </w:t>
      </w:r>
      <w:r w:rsidR="004F74A6" w:rsidRPr="00A700E7">
        <w:t>tadalafil</w:t>
      </w:r>
      <w:r w:rsidRPr="00A700E7">
        <w:t xml:space="preserve"> 40 mg (i.e., without concomitant </w:t>
      </w:r>
      <w:proofErr w:type="spellStart"/>
      <w:r w:rsidRPr="00A700E7">
        <w:t>bosentan</w:t>
      </w:r>
      <w:proofErr w:type="spellEnd"/>
      <w:r w:rsidRPr="00A700E7">
        <w:t xml:space="preserve">), the placebo-adjusted mean change in 6-MWD was 44 </w:t>
      </w:r>
      <w:proofErr w:type="spellStart"/>
      <w:r w:rsidRPr="00A700E7">
        <w:t>metres</w:t>
      </w:r>
      <w:proofErr w:type="spellEnd"/>
      <w:r w:rsidRPr="00A700E7">
        <w:t xml:space="preserve"> (p&lt;0.01). In patients taking </w:t>
      </w:r>
      <w:r w:rsidR="004F74A6" w:rsidRPr="00A700E7">
        <w:t xml:space="preserve">tadalafil </w:t>
      </w:r>
      <w:r w:rsidRPr="00A700E7">
        <w:t xml:space="preserve">40 mg and concomitant </w:t>
      </w:r>
      <w:proofErr w:type="spellStart"/>
      <w:r w:rsidRPr="00A700E7">
        <w:t>bosentan</w:t>
      </w:r>
      <w:proofErr w:type="spellEnd"/>
      <w:r w:rsidRPr="00A700E7">
        <w:t xml:space="preserve"> therapy, the placebo adjusted mean change in 6-MWD was 23 meters (p&gt;0.05).</w:t>
      </w:r>
    </w:p>
    <w:p w14:paraId="0121823C" w14:textId="77777777" w:rsidR="00D82E91" w:rsidRPr="00A700E7" w:rsidRDefault="00D82E91" w:rsidP="007A6B1F">
      <w:pPr>
        <w:jc w:val="left"/>
      </w:pPr>
    </w:p>
    <w:p w14:paraId="3B54F2CA" w14:textId="58578891" w:rsidR="00D82E91" w:rsidRPr="00A700E7" w:rsidRDefault="008C026E" w:rsidP="007A6B1F">
      <w:pPr>
        <w:jc w:val="left"/>
        <w:rPr>
          <w:b/>
          <w:bCs/>
          <w:sz w:val="20"/>
          <w:szCs w:val="20"/>
        </w:rPr>
      </w:pPr>
      <w:r w:rsidRPr="00A700E7">
        <w:rPr>
          <w:b/>
          <w:bCs/>
          <w:sz w:val="20"/>
          <w:szCs w:val="20"/>
        </w:rPr>
        <w:t>Figure 6 Placebo-adjusted Mean Change in 6-Minute Walk Distance (</w:t>
      </w:r>
      <w:proofErr w:type="spellStart"/>
      <w:r w:rsidRPr="00A700E7">
        <w:rPr>
          <w:b/>
          <w:bCs/>
          <w:sz w:val="20"/>
          <w:szCs w:val="20"/>
        </w:rPr>
        <w:t>metres</w:t>
      </w:r>
      <w:proofErr w:type="spellEnd"/>
      <w:r w:rsidRPr="00A700E7">
        <w:rPr>
          <w:b/>
          <w:bCs/>
          <w:sz w:val="20"/>
          <w:szCs w:val="20"/>
        </w:rPr>
        <w:t>) of tadalafil 40 mg, with 95% Confidence Intervals</w:t>
      </w:r>
    </w:p>
    <w:p w14:paraId="0CAC5B32" w14:textId="77777777" w:rsidR="00FB50C7" w:rsidRPr="00A700E7" w:rsidRDefault="00FB50C7" w:rsidP="007A6B1F">
      <w:pPr>
        <w:jc w:val="left"/>
        <w:rPr>
          <w:b/>
          <w:bCs/>
          <w:sz w:val="20"/>
          <w:szCs w:val="20"/>
        </w:rPr>
      </w:pPr>
    </w:p>
    <w:p w14:paraId="283745B1" w14:textId="0CD23585" w:rsidR="00D82E91" w:rsidRPr="00A700E7" w:rsidRDefault="00FB50C7" w:rsidP="007A6B1F">
      <w:pPr>
        <w:jc w:val="left"/>
      </w:pPr>
      <w:r w:rsidRPr="00A700E7">
        <w:rPr>
          <w:noProof/>
        </w:rPr>
        <w:drawing>
          <wp:inline distT="0" distB="0" distL="0" distR="0" wp14:anchorId="775BEF87" wp14:editId="6CF934FE">
            <wp:extent cx="5731510" cy="3463747"/>
            <wp:effectExtent l="0" t="0" r="254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463747"/>
                    </a:xfrm>
                    <a:prstGeom prst="rect">
                      <a:avLst/>
                    </a:prstGeom>
                  </pic:spPr>
                </pic:pic>
              </a:graphicData>
            </a:graphic>
          </wp:inline>
        </w:drawing>
      </w:r>
    </w:p>
    <w:p w14:paraId="0251C570" w14:textId="77777777" w:rsidR="008C026E" w:rsidRPr="00A700E7" w:rsidRDefault="008C026E" w:rsidP="007A6B1F">
      <w:pPr>
        <w:jc w:val="left"/>
      </w:pPr>
    </w:p>
    <w:p w14:paraId="7AE7F712" w14:textId="3424F858" w:rsidR="008C026E" w:rsidRPr="00A700E7" w:rsidRDefault="008C026E" w:rsidP="007A6B1F">
      <w:pPr>
        <w:jc w:val="left"/>
      </w:pPr>
      <w:r w:rsidRPr="00A700E7">
        <w:t>The secondary endpoints were tested in a sequential order specified in the protocol, which is the order listed in Table 1</w:t>
      </w:r>
      <w:r w:rsidR="003E4A3E" w:rsidRPr="00A700E7">
        <w:t>6</w:t>
      </w:r>
      <w:r w:rsidRPr="00A700E7">
        <w:t>, with no further inferential testing once a statistically non-significant result was reached. Inferential testing did not proceed beyond WHO functional Class since this comparison was statistically non-significant.</w:t>
      </w:r>
    </w:p>
    <w:p w14:paraId="6EF9328A" w14:textId="77777777" w:rsidR="008C026E" w:rsidRPr="00A700E7" w:rsidRDefault="008C026E" w:rsidP="007A6B1F">
      <w:pPr>
        <w:jc w:val="left"/>
      </w:pPr>
    </w:p>
    <w:p w14:paraId="2A95C50D" w14:textId="40A64B5A" w:rsidR="008C026E" w:rsidRPr="00A700E7" w:rsidRDefault="008C026E" w:rsidP="007A6B1F">
      <w:pPr>
        <w:jc w:val="left"/>
        <w:rPr>
          <w:b/>
          <w:bCs/>
          <w:sz w:val="20"/>
          <w:szCs w:val="20"/>
        </w:rPr>
      </w:pPr>
      <w:r w:rsidRPr="00A700E7">
        <w:rPr>
          <w:b/>
          <w:bCs/>
          <w:sz w:val="20"/>
          <w:szCs w:val="20"/>
        </w:rPr>
        <w:t>Table 1</w:t>
      </w:r>
      <w:r w:rsidR="003E4A3E" w:rsidRPr="00A700E7">
        <w:rPr>
          <w:b/>
          <w:bCs/>
          <w:sz w:val="20"/>
          <w:szCs w:val="20"/>
        </w:rPr>
        <w:t>6</w:t>
      </w:r>
      <w:r w:rsidRPr="00A700E7">
        <w:rPr>
          <w:b/>
          <w:bCs/>
          <w:sz w:val="20"/>
          <w:szCs w:val="20"/>
        </w:rPr>
        <w:t xml:space="preserve"> Secondary Endpoints (Change from Baseline to End of Treatment – Week 16)</w:t>
      </w:r>
    </w:p>
    <w:tbl>
      <w:tblPr>
        <w:tblW w:w="93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9"/>
        <w:gridCol w:w="1661"/>
        <w:gridCol w:w="1349"/>
        <w:gridCol w:w="1351"/>
        <w:gridCol w:w="1315"/>
        <w:gridCol w:w="7"/>
      </w:tblGrid>
      <w:tr w:rsidR="00A700E7" w:rsidRPr="00A700E7" w14:paraId="0E84F876" w14:textId="77777777" w:rsidTr="008C026E">
        <w:trPr>
          <w:gridAfter w:val="1"/>
          <w:wAfter w:w="7" w:type="dxa"/>
          <w:trHeight w:hRule="exact" w:val="798"/>
        </w:trPr>
        <w:tc>
          <w:tcPr>
            <w:tcW w:w="3619" w:type="dxa"/>
          </w:tcPr>
          <w:p w14:paraId="0986C07B" w14:textId="77777777" w:rsidR="008C026E" w:rsidRPr="00A700E7" w:rsidRDefault="008C026E" w:rsidP="007A6B1F">
            <w:pPr>
              <w:autoSpaceDE w:val="0"/>
              <w:autoSpaceDN w:val="0"/>
              <w:adjustRightInd w:val="0"/>
              <w:jc w:val="left"/>
              <w:rPr>
                <w:sz w:val="20"/>
                <w:szCs w:val="20"/>
                <w:lang w:val="en-AU"/>
              </w:rPr>
            </w:pPr>
          </w:p>
        </w:tc>
        <w:tc>
          <w:tcPr>
            <w:tcW w:w="1661" w:type="dxa"/>
          </w:tcPr>
          <w:p w14:paraId="1192DF3E" w14:textId="77777777" w:rsidR="008C026E" w:rsidRPr="00A700E7" w:rsidRDefault="008C026E" w:rsidP="007A6B1F">
            <w:pPr>
              <w:kinsoku w:val="0"/>
              <w:overflowPunct w:val="0"/>
              <w:autoSpaceDE w:val="0"/>
              <w:autoSpaceDN w:val="0"/>
              <w:adjustRightInd w:val="0"/>
              <w:spacing w:line="283" w:lineRule="auto"/>
              <w:ind w:right="57"/>
              <w:jc w:val="left"/>
              <w:rPr>
                <w:sz w:val="20"/>
                <w:szCs w:val="20"/>
                <w:lang w:val="en-AU"/>
              </w:rPr>
            </w:pPr>
            <w:r w:rsidRPr="00A700E7">
              <w:rPr>
                <w:sz w:val="20"/>
                <w:szCs w:val="20"/>
                <w:lang w:val="en-AU"/>
              </w:rPr>
              <w:t>Placebo</w:t>
            </w:r>
          </w:p>
          <w:p w14:paraId="4A8AF59C" w14:textId="77777777" w:rsidR="008C026E" w:rsidRPr="00A700E7" w:rsidRDefault="008C026E" w:rsidP="007A6B1F">
            <w:pPr>
              <w:kinsoku w:val="0"/>
              <w:overflowPunct w:val="0"/>
              <w:autoSpaceDE w:val="0"/>
              <w:autoSpaceDN w:val="0"/>
              <w:adjustRightInd w:val="0"/>
              <w:spacing w:line="283" w:lineRule="auto"/>
              <w:ind w:right="57"/>
              <w:jc w:val="left"/>
              <w:rPr>
                <w:sz w:val="20"/>
                <w:szCs w:val="20"/>
                <w:lang w:val="en-AU"/>
              </w:rPr>
            </w:pPr>
            <w:r w:rsidRPr="00A700E7">
              <w:rPr>
                <w:sz w:val="20"/>
                <w:szCs w:val="20"/>
                <w:lang w:val="en-AU"/>
              </w:rPr>
              <w:t>(N=8</w:t>
            </w:r>
            <w:r w:rsidRPr="00A700E7">
              <w:rPr>
                <w:spacing w:val="-1"/>
                <w:sz w:val="20"/>
                <w:szCs w:val="20"/>
                <w:lang w:val="en-AU"/>
              </w:rPr>
              <w:t>2)</w:t>
            </w:r>
          </w:p>
        </w:tc>
        <w:tc>
          <w:tcPr>
            <w:tcW w:w="1349" w:type="dxa"/>
          </w:tcPr>
          <w:p w14:paraId="4FFD4254" w14:textId="77777777" w:rsidR="008C026E" w:rsidRPr="00A700E7" w:rsidRDefault="008C026E" w:rsidP="007A6B1F">
            <w:pPr>
              <w:tabs>
                <w:tab w:val="left" w:pos="1125"/>
              </w:tabs>
              <w:kinsoku w:val="0"/>
              <w:overflowPunct w:val="0"/>
              <w:autoSpaceDE w:val="0"/>
              <w:autoSpaceDN w:val="0"/>
              <w:adjustRightInd w:val="0"/>
              <w:ind w:right="173" w:firstLine="2"/>
              <w:jc w:val="left"/>
              <w:rPr>
                <w:sz w:val="20"/>
                <w:szCs w:val="20"/>
                <w:lang w:val="en-AU"/>
              </w:rPr>
            </w:pPr>
            <w:r w:rsidRPr="00A700E7">
              <w:rPr>
                <w:spacing w:val="-1"/>
                <w:sz w:val="20"/>
                <w:szCs w:val="20"/>
                <w:lang w:val="en-AU"/>
              </w:rPr>
              <w:t>Tadalafil</w:t>
            </w:r>
            <w:r w:rsidRPr="00A700E7">
              <w:rPr>
                <w:spacing w:val="1"/>
                <w:sz w:val="20"/>
                <w:szCs w:val="20"/>
                <w:lang w:val="en-AU"/>
              </w:rPr>
              <w:t xml:space="preserve"> </w:t>
            </w:r>
            <w:r w:rsidRPr="00A700E7">
              <w:rPr>
                <w:spacing w:val="-1"/>
                <w:sz w:val="20"/>
                <w:szCs w:val="20"/>
                <w:lang w:val="en-AU"/>
              </w:rPr>
              <w:t>10</w:t>
            </w:r>
            <w:r w:rsidRPr="00A700E7">
              <w:rPr>
                <w:spacing w:val="25"/>
                <w:sz w:val="20"/>
                <w:szCs w:val="20"/>
                <w:lang w:val="en-AU"/>
              </w:rPr>
              <w:t xml:space="preserve"> </w:t>
            </w:r>
            <w:r w:rsidRPr="00A700E7">
              <w:rPr>
                <w:sz w:val="20"/>
                <w:szCs w:val="20"/>
                <w:lang w:val="en-AU"/>
              </w:rPr>
              <w:t>mg</w:t>
            </w:r>
            <w:r w:rsidRPr="00A700E7">
              <w:rPr>
                <w:spacing w:val="1"/>
                <w:sz w:val="20"/>
                <w:szCs w:val="20"/>
                <w:lang w:val="en-AU"/>
              </w:rPr>
              <w:t xml:space="preserve"> </w:t>
            </w:r>
            <w:r w:rsidRPr="00A700E7">
              <w:rPr>
                <w:spacing w:val="-1"/>
                <w:sz w:val="20"/>
                <w:szCs w:val="20"/>
                <w:lang w:val="en-AU"/>
              </w:rPr>
              <w:t>(N=80)</w:t>
            </w:r>
          </w:p>
        </w:tc>
        <w:tc>
          <w:tcPr>
            <w:tcW w:w="1351" w:type="dxa"/>
          </w:tcPr>
          <w:p w14:paraId="41E6767E" w14:textId="77777777" w:rsidR="008C026E" w:rsidRPr="00A700E7" w:rsidRDefault="008C026E" w:rsidP="007A6B1F">
            <w:pPr>
              <w:kinsoku w:val="0"/>
              <w:overflowPunct w:val="0"/>
              <w:autoSpaceDE w:val="0"/>
              <w:autoSpaceDN w:val="0"/>
              <w:adjustRightInd w:val="0"/>
              <w:ind w:right="173"/>
              <w:jc w:val="left"/>
              <w:rPr>
                <w:sz w:val="20"/>
                <w:szCs w:val="20"/>
                <w:lang w:val="en-AU"/>
              </w:rPr>
            </w:pPr>
            <w:r w:rsidRPr="00A700E7">
              <w:rPr>
                <w:spacing w:val="-1"/>
                <w:sz w:val="20"/>
                <w:szCs w:val="20"/>
                <w:lang w:val="en-AU"/>
              </w:rPr>
              <w:t>Tadalafil</w:t>
            </w:r>
            <w:r w:rsidRPr="00A700E7">
              <w:rPr>
                <w:spacing w:val="1"/>
                <w:sz w:val="20"/>
                <w:szCs w:val="20"/>
                <w:lang w:val="en-AU"/>
              </w:rPr>
              <w:t xml:space="preserve"> </w:t>
            </w:r>
            <w:r w:rsidRPr="00A700E7">
              <w:rPr>
                <w:spacing w:val="-1"/>
                <w:sz w:val="20"/>
                <w:szCs w:val="20"/>
                <w:lang w:val="en-AU"/>
              </w:rPr>
              <w:t>20</w:t>
            </w:r>
            <w:r w:rsidRPr="00A700E7">
              <w:rPr>
                <w:spacing w:val="25"/>
                <w:sz w:val="20"/>
                <w:szCs w:val="20"/>
                <w:lang w:val="en-AU"/>
              </w:rPr>
              <w:t xml:space="preserve"> </w:t>
            </w:r>
            <w:r w:rsidRPr="00A700E7">
              <w:rPr>
                <w:sz w:val="20"/>
                <w:szCs w:val="20"/>
                <w:lang w:val="en-AU"/>
              </w:rPr>
              <w:t>mg</w:t>
            </w:r>
          </w:p>
          <w:p w14:paraId="415CA1C8" w14:textId="77777777" w:rsidR="008C026E" w:rsidRPr="00A700E7" w:rsidRDefault="008C026E" w:rsidP="007A6B1F">
            <w:pPr>
              <w:kinsoku w:val="0"/>
              <w:overflowPunct w:val="0"/>
              <w:autoSpaceDE w:val="0"/>
              <w:autoSpaceDN w:val="0"/>
              <w:adjustRightInd w:val="0"/>
              <w:ind w:right="4"/>
              <w:jc w:val="left"/>
              <w:rPr>
                <w:sz w:val="20"/>
                <w:szCs w:val="20"/>
                <w:lang w:val="en-AU"/>
              </w:rPr>
            </w:pPr>
            <w:r w:rsidRPr="00A700E7">
              <w:rPr>
                <w:spacing w:val="-1"/>
                <w:sz w:val="20"/>
                <w:szCs w:val="20"/>
                <w:lang w:val="en-AU"/>
              </w:rPr>
              <w:t>(N=82)</w:t>
            </w:r>
          </w:p>
        </w:tc>
        <w:tc>
          <w:tcPr>
            <w:tcW w:w="1315" w:type="dxa"/>
          </w:tcPr>
          <w:p w14:paraId="19B73F9D" w14:textId="77777777" w:rsidR="008C026E" w:rsidRPr="00A700E7" w:rsidRDefault="008C026E" w:rsidP="007A6B1F">
            <w:pPr>
              <w:kinsoku w:val="0"/>
              <w:overflowPunct w:val="0"/>
              <w:autoSpaceDE w:val="0"/>
              <w:autoSpaceDN w:val="0"/>
              <w:adjustRightInd w:val="0"/>
              <w:ind w:right="145"/>
              <w:jc w:val="left"/>
              <w:rPr>
                <w:sz w:val="20"/>
                <w:szCs w:val="20"/>
                <w:lang w:val="en-AU"/>
              </w:rPr>
            </w:pPr>
            <w:r w:rsidRPr="00A700E7">
              <w:rPr>
                <w:spacing w:val="-1"/>
                <w:sz w:val="20"/>
                <w:szCs w:val="20"/>
                <w:lang w:val="en-AU"/>
              </w:rPr>
              <w:t>Tadalafil</w:t>
            </w:r>
            <w:r w:rsidRPr="00A700E7">
              <w:rPr>
                <w:sz w:val="20"/>
                <w:szCs w:val="20"/>
                <w:lang w:val="en-AU"/>
              </w:rPr>
              <w:t xml:space="preserve"> </w:t>
            </w:r>
            <w:r w:rsidRPr="00A700E7">
              <w:rPr>
                <w:spacing w:val="-1"/>
                <w:sz w:val="20"/>
                <w:szCs w:val="20"/>
                <w:lang w:val="en-AU"/>
              </w:rPr>
              <w:t>40</w:t>
            </w:r>
            <w:r w:rsidRPr="00A700E7">
              <w:rPr>
                <w:spacing w:val="25"/>
                <w:sz w:val="20"/>
                <w:szCs w:val="20"/>
                <w:lang w:val="en-AU"/>
              </w:rPr>
              <w:t xml:space="preserve"> </w:t>
            </w:r>
            <w:r w:rsidRPr="00A700E7">
              <w:rPr>
                <w:sz w:val="20"/>
                <w:szCs w:val="20"/>
                <w:lang w:val="en-AU"/>
              </w:rPr>
              <w:t>mg</w:t>
            </w:r>
          </w:p>
          <w:p w14:paraId="2610283A" w14:textId="77777777" w:rsidR="008C026E" w:rsidRPr="00A700E7" w:rsidRDefault="008C026E" w:rsidP="007A6B1F">
            <w:pPr>
              <w:kinsoku w:val="0"/>
              <w:overflowPunct w:val="0"/>
              <w:autoSpaceDE w:val="0"/>
              <w:autoSpaceDN w:val="0"/>
              <w:adjustRightInd w:val="0"/>
              <w:jc w:val="left"/>
              <w:rPr>
                <w:sz w:val="20"/>
                <w:szCs w:val="20"/>
                <w:lang w:val="en-AU"/>
              </w:rPr>
            </w:pPr>
            <w:r w:rsidRPr="00A700E7">
              <w:rPr>
                <w:spacing w:val="-1"/>
                <w:sz w:val="20"/>
                <w:szCs w:val="20"/>
                <w:lang w:val="en-AU"/>
              </w:rPr>
              <w:t>(N=79)</w:t>
            </w:r>
          </w:p>
        </w:tc>
      </w:tr>
      <w:tr w:rsidR="00A700E7" w:rsidRPr="00A700E7" w14:paraId="0F906644" w14:textId="77777777" w:rsidTr="007B41F8">
        <w:trPr>
          <w:trHeight w:hRule="exact" w:val="354"/>
        </w:trPr>
        <w:tc>
          <w:tcPr>
            <w:tcW w:w="9302" w:type="dxa"/>
            <w:gridSpan w:val="6"/>
          </w:tcPr>
          <w:p w14:paraId="4B579618" w14:textId="77777777" w:rsidR="008C026E" w:rsidRPr="00A700E7" w:rsidRDefault="008C026E" w:rsidP="007A6B1F">
            <w:pPr>
              <w:kinsoku w:val="0"/>
              <w:overflowPunct w:val="0"/>
              <w:autoSpaceDE w:val="0"/>
              <w:autoSpaceDN w:val="0"/>
              <w:adjustRightInd w:val="0"/>
              <w:spacing w:before="41"/>
              <w:jc w:val="left"/>
              <w:rPr>
                <w:b/>
                <w:bCs/>
                <w:sz w:val="20"/>
                <w:szCs w:val="20"/>
                <w:lang w:val="en-AU"/>
              </w:rPr>
            </w:pPr>
            <w:r w:rsidRPr="00A700E7">
              <w:rPr>
                <w:b/>
                <w:bCs/>
                <w:spacing w:val="-1"/>
                <w:sz w:val="20"/>
                <w:szCs w:val="20"/>
                <w:lang w:val="en-AU"/>
              </w:rPr>
              <w:t>Change</w:t>
            </w:r>
            <w:r w:rsidRPr="00A700E7">
              <w:rPr>
                <w:b/>
                <w:bCs/>
                <w:spacing w:val="-2"/>
                <w:sz w:val="20"/>
                <w:szCs w:val="20"/>
                <w:lang w:val="en-AU"/>
              </w:rPr>
              <w:t xml:space="preserve"> </w:t>
            </w:r>
            <w:r w:rsidRPr="00A700E7">
              <w:rPr>
                <w:b/>
                <w:bCs/>
                <w:sz w:val="20"/>
                <w:szCs w:val="20"/>
                <w:lang w:val="en-AU"/>
              </w:rPr>
              <w:t>in</w:t>
            </w:r>
            <w:r w:rsidRPr="00A700E7">
              <w:rPr>
                <w:b/>
                <w:bCs/>
                <w:spacing w:val="-2"/>
                <w:sz w:val="20"/>
                <w:szCs w:val="20"/>
                <w:lang w:val="en-AU"/>
              </w:rPr>
              <w:t xml:space="preserve"> </w:t>
            </w:r>
            <w:r w:rsidRPr="00A700E7">
              <w:rPr>
                <w:b/>
                <w:bCs/>
                <w:spacing w:val="-1"/>
                <w:sz w:val="20"/>
                <w:szCs w:val="20"/>
                <w:lang w:val="en-AU"/>
              </w:rPr>
              <w:t>WHO</w:t>
            </w:r>
            <w:r w:rsidRPr="00A700E7">
              <w:rPr>
                <w:b/>
                <w:bCs/>
                <w:spacing w:val="-3"/>
                <w:sz w:val="20"/>
                <w:szCs w:val="20"/>
                <w:lang w:val="en-AU"/>
              </w:rPr>
              <w:t xml:space="preserve"> </w:t>
            </w:r>
            <w:r w:rsidRPr="00A700E7">
              <w:rPr>
                <w:b/>
                <w:bCs/>
                <w:spacing w:val="-1"/>
                <w:sz w:val="20"/>
                <w:szCs w:val="20"/>
                <w:lang w:val="en-AU"/>
              </w:rPr>
              <w:t>Functional</w:t>
            </w:r>
            <w:r w:rsidRPr="00A700E7">
              <w:rPr>
                <w:b/>
                <w:bCs/>
                <w:spacing w:val="-2"/>
                <w:sz w:val="20"/>
                <w:szCs w:val="20"/>
                <w:lang w:val="en-AU"/>
              </w:rPr>
              <w:t xml:space="preserve"> Class</w:t>
            </w:r>
            <w:r w:rsidRPr="00A700E7">
              <w:rPr>
                <w:b/>
                <w:bCs/>
                <w:spacing w:val="-3"/>
                <w:sz w:val="20"/>
                <w:szCs w:val="20"/>
                <w:lang w:val="en-AU"/>
              </w:rPr>
              <w:t xml:space="preserve"> </w:t>
            </w:r>
            <w:r w:rsidRPr="00A700E7">
              <w:rPr>
                <w:b/>
                <w:bCs/>
                <w:spacing w:val="-1"/>
                <w:sz w:val="20"/>
                <w:szCs w:val="20"/>
                <w:lang w:val="en-AU"/>
              </w:rPr>
              <w:t>No.</w:t>
            </w:r>
            <w:r w:rsidRPr="00A700E7">
              <w:rPr>
                <w:b/>
                <w:bCs/>
                <w:spacing w:val="-2"/>
                <w:sz w:val="20"/>
                <w:szCs w:val="20"/>
                <w:lang w:val="en-AU"/>
              </w:rPr>
              <w:t xml:space="preserve"> </w:t>
            </w:r>
            <w:r w:rsidRPr="00A700E7">
              <w:rPr>
                <w:b/>
                <w:bCs/>
                <w:sz w:val="20"/>
                <w:szCs w:val="20"/>
                <w:lang w:val="en-AU"/>
              </w:rPr>
              <w:t>(%)</w:t>
            </w:r>
          </w:p>
        </w:tc>
      </w:tr>
      <w:tr w:rsidR="00A700E7" w:rsidRPr="00A700E7" w14:paraId="09D619B4" w14:textId="77777777" w:rsidTr="007B41F8">
        <w:trPr>
          <w:gridAfter w:val="1"/>
          <w:wAfter w:w="7" w:type="dxa"/>
          <w:trHeight w:hRule="exact" w:val="301"/>
        </w:trPr>
        <w:tc>
          <w:tcPr>
            <w:tcW w:w="3619" w:type="dxa"/>
          </w:tcPr>
          <w:p w14:paraId="1D14696A"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Improved</w:t>
            </w:r>
          </w:p>
        </w:tc>
        <w:tc>
          <w:tcPr>
            <w:tcW w:w="1661" w:type="dxa"/>
          </w:tcPr>
          <w:p w14:paraId="331CDB0E"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17</w:t>
            </w:r>
            <w:r w:rsidRPr="00A700E7">
              <w:rPr>
                <w:spacing w:val="-8"/>
                <w:sz w:val="20"/>
                <w:szCs w:val="20"/>
                <w:lang w:val="en-AU"/>
              </w:rPr>
              <w:t xml:space="preserve"> </w:t>
            </w:r>
            <w:r w:rsidRPr="00A700E7">
              <w:rPr>
                <w:spacing w:val="-1"/>
                <w:sz w:val="20"/>
                <w:szCs w:val="20"/>
                <w:lang w:val="en-AU"/>
              </w:rPr>
              <w:t>(20.7)</w:t>
            </w:r>
          </w:p>
        </w:tc>
        <w:tc>
          <w:tcPr>
            <w:tcW w:w="1349" w:type="dxa"/>
          </w:tcPr>
          <w:p w14:paraId="750C6FDD"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19</w:t>
            </w:r>
            <w:r w:rsidRPr="00A700E7">
              <w:rPr>
                <w:spacing w:val="-8"/>
                <w:sz w:val="20"/>
                <w:szCs w:val="20"/>
                <w:lang w:val="en-AU"/>
              </w:rPr>
              <w:t xml:space="preserve"> </w:t>
            </w:r>
            <w:r w:rsidRPr="00A700E7">
              <w:rPr>
                <w:spacing w:val="-1"/>
                <w:sz w:val="20"/>
                <w:szCs w:val="20"/>
                <w:lang w:val="en-AU"/>
              </w:rPr>
              <w:t>(23.8)</w:t>
            </w:r>
          </w:p>
        </w:tc>
        <w:tc>
          <w:tcPr>
            <w:tcW w:w="1351" w:type="dxa"/>
          </w:tcPr>
          <w:p w14:paraId="792C71EF"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30</w:t>
            </w:r>
            <w:r w:rsidRPr="00A700E7">
              <w:rPr>
                <w:spacing w:val="-8"/>
                <w:sz w:val="20"/>
                <w:szCs w:val="20"/>
                <w:lang w:val="en-AU"/>
              </w:rPr>
              <w:t xml:space="preserve"> </w:t>
            </w:r>
            <w:r w:rsidRPr="00A700E7">
              <w:rPr>
                <w:spacing w:val="-1"/>
                <w:sz w:val="20"/>
                <w:szCs w:val="20"/>
                <w:lang w:val="en-AU"/>
              </w:rPr>
              <w:t>(36.6)</w:t>
            </w:r>
          </w:p>
        </w:tc>
        <w:tc>
          <w:tcPr>
            <w:tcW w:w="1315" w:type="dxa"/>
          </w:tcPr>
          <w:p w14:paraId="391BD962"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18</w:t>
            </w:r>
            <w:r w:rsidRPr="00A700E7">
              <w:rPr>
                <w:spacing w:val="-8"/>
                <w:sz w:val="20"/>
                <w:szCs w:val="20"/>
                <w:lang w:val="en-AU"/>
              </w:rPr>
              <w:t xml:space="preserve"> </w:t>
            </w:r>
            <w:r w:rsidRPr="00A700E7">
              <w:rPr>
                <w:spacing w:val="-1"/>
                <w:sz w:val="20"/>
                <w:szCs w:val="20"/>
                <w:lang w:val="en-AU"/>
              </w:rPr>
              <w:t>(22.8)</w:t>
            </w:r>
          </w:p>
        </w:tc>
      </w:tr>
      <w:tr w:rsidR="00A700E7" w:rsidRPr="00A700E7" w14:paraId="5EDAD2B8" w14:textId="77777777" w:rsidTr="007B41F8">
        <w:trPr>
          <w:gridAfter w:val="1"/>
          <w:wAfter w:w="7" w:type="dxa"/>
          <w:trHeight w:hRule="exact" w:val="302"/>
        </w:trPr>
        <w:tc>
          <w:tcPr>
            <w:tcW w:w="3619" w:type="dxa"/>
          </w:tcPr>
          <w:p w14:paraId="54CF4605"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No</w:t>
            </w:r>
            <w:r w:rsidRPr="00A700E7">
              <w:rPr>
                <w:spacing w:val="-4"/>
                <w:sz w:val="20"/>
                <w:szCs w:val="20"/>
                <w:lang w:val="en-AU"/>
              </w:rPr>
              <w:t xml:space="preserve"> </w:t>
            </w:r>
            <w:r w:rsidRPr="00A700E7">
              <w:rPr>
                <w:spacing w:val="-1"/>
                <w:sz w:val="20"/>
                <w:szCs w:val="20"/>
                <w:lang w:val="en-AU"/>
              </w:rPr>
              <w:t>Change</w:t>
            </w:r>
          </w:p>
        </w:tc>
        <w:tc>
          <w:tcPr>
            <w:tcW w:w="1661" w:type="dxa"/>
          </w:tcPr>
          <w:p w14:paraId="2EBE070F"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52</w:t>
            </w:r>
            <w:r w:rsidRPr="00A700E7">
              <w:rPr>
                <w:spacing w:val="-7"/>
                <w:sz w:val="20"/>
                <w:szCs w:val="20"/>
                <w:lang w:val="en-AU"/>
              </w:rPr>
              <w:t xml:space="preserve"> </w:t>
            </w:r>
            <w:r w:rsidRPr="00A700E7">
              <w:rPr>
                <w:spacing w:val="-1"/>
                <w:sz w:val="20"/>
                <w:szCs w:val="20"/>
                <w:lang w:val="en-AU"/>
              </w:rPr>
              <w:t>(63.4)</w:t>
            </w:r>
          </w:p>
        </w:tc>
        <w:tc>
          <w:tcPr>
            <w:tcW w:w="1349" w:type="dxa"/>
          </w:tcPr>
          <w:p w14:paraId="4B218ABD"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50</w:t>
            </w:r>
            <w:r w:rsidRPr="00A700E7">
              <w:rPr>
                <w:spacing w:val="-7"/>
                <w:sz w:val="20"/>
                <w:szCs w:val="20"/>
                <w:lang w:val="en-AU"/>
              </w:rPr>
              <w:t xml:space="preserve"> </w:t>
            </w:r>
            <w:r w:rsidRPr="00A700E7">
              <w:rPr>
                <w:spacing w:val="-1"/>
                <w:sz w:val="20"/>
                <w:szCs w:val="20"/>
                <w:lang w:val="en-AU"/>
              </w:rPr>
              <w:t>(62.5)</w:t>
            </w:r>
          </w:p>
        </w:tc>
        <w:tc>
          <w:tcPr>
            <w:tcW w:w="1351" w:type="dxa"/>
          </w:tcPr>
          <w:p w14:paraId="60D448A7"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37</w:t>
            </w:r>
            <w:r w:rsidRPr="00A700E7">
              <w:rPr>
                <w:spacing w:val="-7"/>
                <w:sz w:val="20"/>
                <w:szCs w:val="20"/>
                <w:lang w:val="en-AU"/>
              </w:rPr>
              <w:t xml:space="preserve"> </w:t>
            </w:r>
            <w:r w:rsidRPr="00A700E7">
              <w:rPr>
                <w:spacing w:val="-1"/>
                <w:sz w:val="20"/>
                <w:szCs w:val="20"/>
                <w:lang w:val="en-AU"/>
              </w:rPr>
              <w:t>(45.1)</w:t>
            </w:r>
          </w:p>
        </w:tc>
        <w:tc>
          <w:tcPr>
            <w:tcW w:w="1315" w:type="dxa"/>
          </w:tcPr>
          <w:p w14:paraId="4AF42042"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53</w:t>
            </w:r>
            <w:r w:rsidRPr="00A700E7">
              <w:rPr>
                <w:spacing w:val="-8"/>
                <w:sz w:val="20"/>
                <w:szCs w:val="20"/>
                <w:lang w:val="en-AU"/>
              </w:rPr>
              <w:t xml:space="preserve"> </w:t>
            </w:r>
            <w:r w:rsidRPr="00A700E7">
              <w:rPr>
                <w:spacing w:val="-1"/>
                <w:sz w:val="20"/>
                <w:szCs w:val="20"/>
                <w:lang w:val="en-AU"/>
              </w:rPr>
              <w:t>(67.1)</w:t>
            </w:r>
          </w:p>
        </w:tc>
      </w:tr>
      <w:tr w:rsidR="00A700E7" w:rsidRPr="00A700E7" w14:paraId="649F4416" w14:textId="77777777" w:rsidTr="007B41F8">
        <w:trPr>
          <w:gridAfter w:val="1"/>
          <w:wAfter w:w="7" w:type="dxa"/>
          <w:trHeight w:hRule="exact" w:val="300"/>
        </w:trPr>
        <w:tc>
          <w:tcPr>
            <w:tcW w:w="3619" w:type="dxa"/>
          </w:tcPr>
          <w:p w14:paraId="49E65449" w14:textId="77777777" w:rsidR="008C026E" w:rsidRPr="00A700E7" w:rsidRDefault="008C026E" w:rsidP="007A6B1F">
            <w:pPr>
              <w:kinsoku w:val="0"/>
              <w:overflowPunct w:val="0"/>
              <w:autoSpaceDE w:val="0"/>
              <w:autoSpaceDN w:val="0"/>
              <w:adjustRightInd w:val="0"/>
              <w:spacing w:before="39"/>
              <w:ind w:right="2"/>
              <w:jc w:val="left"/>
              <w:rPr>
                <w:sz w:val="20"/>
                <w:szCs w:val="20"/>
                <w:lang w:val="en-AU"/>
              </w:rPr>
            </w:pPr>
            <w:r w:rsidRPr="00A700E7">
              <w:rPr>
                <w:spacing w:val="-1"/>
                <w:sz w:val="20"/>
                <w:szCs w:val="20"/>
                <w:lang w:val="en-AU"/>
              </w:rPr>
              <w:t>Worsen</w:t>
            </w:r>
          </w:p>
        </w:tc>
        <w:tc>
          <w:tcPr>
            <w:tcW w:w="1661" w:type="dxa"/>
          </w:tcPr>
          <w:p w14:paraId="243C466B"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13</w:t>
            </w:r>
            <w:r w:rsidRPr="00A700E7">
              <w:rPr>
                <w:spacing w:val="-8"/>
                <w:sz w:val="20"/>
                <w:szCs w:val="20"/>
                <w:lang w:val="en-AU"/>
              </w:rPr>
              <w:t xml:space="preserve"> </w:t>
            </w:r>
            <w:r w:rsidRPr="00A700E7">
              <w:rPr>
                <w:spacing w:val="-1"/>
                <w:sz w:val="20"/>
                <w:szCs w:val="20"/>
                <w:lang w:val="en-AU"/>
              </w:rPr>
              <w:t>(15.9)</w:t>
            </w:r>
          </w:p>
        </w:tc>
        <w:tc>
          <w:tcPr>
            <w:tcW w:w="1349" w:type="dxa"/>
          </w:tcPr>
          <w:p w14:paraId="37663ECE"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11</w:t>
            </w:r>
            <w:r w:rsidRPr="00A700E7">
              <w:rPr>
                <w:spacing w:val="-9"/>
                <w:sz w:val="20"/>
                <w:szCs w:val="20"/>
                <w:lang w:val="en-AU"/>
              </w:rPr>
              <w:t xml:space="preserve"> </w:t>
            </w:r>
            <w:r w:rsidRPr="00A700E7">
              <w:rPr>
                <w:spacing w:val="-1"/>
                <w:sz w:val="20"/>
                <w:szCs w:val="20"/>
                <w:lang w:val="en-AU"/>
              </w:rPr>
              <w:t>(13.75)</w:t>
            </w:r>
          </w:p>
        </w:tc>
        <w:tc>
          <w:tcPr>
            <w:tcW w:w="1351" w:type="dxa"/>
          </w:tcPr>
          <w:p w14:paraId="688426B2"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15</w:t>
            </w:r>
            <w:r w:rsidRPr="00A700E7">
              <w:rPr>
                <w:spacing w:val="-8"/>
                <w:sz w:val="20"/>
                <w:szCs w:val="20"/>
                <w:lang w:val="en-AU"/>
              </w:rPr>
              <w:t xml:space="preserve"> </w:t>
            </w:r>
            <w:r w:rsidRPr="00A700E7">
              <w:rPr>
                <w:spacing w:val="-1"/>
                <w:sz w:val="20"/>
                <w:szCs w:val="20"/>
                <w:lang w:val="en-AU"/>
              </w:rPr>
              <w:t>(18.3)</w:t>
            </w:r>
          </w:p>
        </w:tc>
        <w:tc>
          <w:tcPr>
            <w:tcW w:w="1315" w:type="dxa"/>
          </w:tcPr>
          <w:p w14:paraId="30CD6DE8"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8</w:t>
            </w:r>
            <w:r w:rsidRPr="00A700E7">
              <w:rPr>
                <w:spacing w:val="-4"/>
                <w:sz w:val="20"/>
                <w:szCs w:val="20"/>
                <w:lang w:val="en-AU"/>
              </w:rPr>
              <w:t xml:space="preserve"> </w:t>
            </w:r>
            <w:r w:rsidRPr="00A700E7">
              <w:rPr>
                <w:spacing w:val="-1"/>
                <w:sz w:val="20"/>
                <w:szCs w:val="20"/>
                <w:lang w:val="en-AU"/>
              </w:rPr>
              <w:t>(10.1)</w:t>
            </w:r>
          </w:p>
        </w:tc>
      </w:tr>
      <w:tr w:rsidR="00A700E7" w:rsidRPr="00A700E7" w14:paraId="311B3039" w14:textId="77777777" w:rsidTr="007B41F8">
        <w:trPr>
          <w:gridAfter w:val="1"/>
          <w:wAfter w:w="7" w:type="dxa"/>
          <w:trHeight w:hRule="exact" w:val="300"/>
        </w:trPr>
        <w:tc>
          <w:tcPr>
            <w:tcW w:w="3619" w:type="dxa"/>
          </w:tcPr>
          <w:p w14:paraId="56EC5C18"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P-value</w:t>
            </w:r>
          </w:p>
        </w:tc>
        <w:tc>
          <w:tcPr>
            <w:tcW w:w="1661" w:type="dxa"/>
          </w:tcPr>
          <w:p w14:paraId="4495DEDC" w14:textId="77777777" w:rsidR="008C026E" w:rsidRPr="00A700E7" w:rsidRDefault="008C026E" w:rsidP="007A6B1F">
            <w:pPr>
              <w:autoSpaceDE w:val="0"/>
              <w:autoSpaceDN w:val="0"/>
              <w:adjustRightInd w:val="0"/>
              <w:jc w:val="left"/>
              <w:rPr>
                <w:sz w:val="20"/>
                <w:szCs w:val="20"/>
                <w:lang w:val="en-AU"/>
              </w:rPr>
            </w:pPr>
          </w:p>
        </w:tc>
        <w:tc>
          <w:tcPr>
            <w:tcW w:w="1349" w:type="dxa"/>
          </w:tcPr>
          <w:p w14:paraId="4493651B"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0.5758</w:t>
            </w:r>
          </w:p>
        </w:tc>
        <w:tc>
          <w:tcPr>
            <w:tcW w:w="1351" w:type="dxa"/>
          </w:tcPr>
          <w:p w14:paraId="659A85B6"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0.1694</w:t>
            </w:r>
          </w:p>
        </w:tc>
        <w:tc>
          <w:tcPr>
            <w:tcW w:w="1315" w:type="dxa"/>
          </w:tcPr>
          <w:p w14:paraId="74088D34"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0.3630</w:t>
            </w:r>
          </w:p>
        </w:tc>
      </w:tr>
      <w:tr w:rsidR="00A700E7" w:rsidRPr="00A700E7" w14:paraId="17CFE103" w14:textId="77777777" w:rsidTr="007B41F8">
        <w:trPr>
          <w:trHeight w:hRule="exact" w:val="415"/>
        </w:trPr>
        <w:tc>
          <w:tcPr>
            <w:tcW w:w="9302" w:type="dxa"/>
            <w:gridSpan w:val="6"/>
          </w:tcPr>
          <w:p w14:paraId="21570F18" w14:textId="77777777" w:rsidR="008C026E" w:rsidRPr="00A700E7" w:rsidRDefault="008C026E" w:rsidP="007A6B1F">
            <w:pPr>
              <w:kinsoku w:val="0"/>
              <w:overflowPunct w:val="0"/>
              <w:autoSpaceDE w:val="0"/>
              <w:autoSpaceDN w:val="0"/>
              <w:adjustRightInd w:val="0"/>
              <w:spacing w:before="41"/>
              <w:jc w:val="left"/>
              <w:rPr>
                <w:b/>
                <w:bCs/>
                <w:spacing w:val="-1"/>
                <w:position w:val="4"/>
                <w:sz w:val="20"/>
                <w:szCs w:val="20"/>
                <w:lang w:val="en-AU"/>
              </w:rPr>
            </w:pPr>
            <w:r w:rsidRPr="00A700E7">
              <w:rPr>
                <w:b/>
                <w:bCs/>
                <w:spacing w:val="-1"/>
                <w:sz w:val="20"/>
                <w:szCs w:val="20"/>
                <w:lang w:val="en-AU"/>
              </w:rPr>
              <w:t>Clinical</w:t>
            </w:r>
            <w:r w:rsidRPr="00A700E7">
              <w:rPr>
                <w:b/>
                <w:bCs/>
                <w:spacing w:val="-8"/>
                <w:sz w:val="20"/>
                <w:szCs w:val="20"/>
                <w:lang w:val="en-AU"/>
              </w:rPr>
              <w:t xml:space="preserve"> </w:t>
            </w:r>
            <w:r w:rsidRPr="00A700E7">
              <w:rPr>
                <w:b/>
                <w:bCs/>
                <w:spacing w:val="-1"/>
                <w:sz w:val="20"/>
                <w:szCs w:val="20"/>
                <w:lang w:val="en-AU"/>
              </w:rPr>
              <w:t>Worsening</w:t>
            </w:r>
            <w:r w:rsidRPr="00A700E7">
              <w:rPr>
                <w:b/>
                <w:bCs/>
                <w:spacing w:val="-1"/>
                <w:position w:val="4"/>
                <w:sz w:val="20"/>
                <w:szCs w:val="20"/>
                <w:vertAlign w:val="superscript"/>
                <w:lang w:val="en-AU"/>
              </w:rPr>
              <w:t>a</w:t>
            </w:r>
          </w:p>
          <w:p w14:paraId="23EAD4B3" w14:textId="77777777" w:rsidR="008C026E" w:rsidRPr="00A700E7" w:rsidRDefault="008C026E" w:rsidP="007A6B1F">
            <w:pPr>
              <w:kinsoku w:val="0"/>
              <w:overflowPunct w:val="0"/>
              <w:autoSpaceDE w:val="0"/>
              <w:autoSpaceDN w:val="0"/>
              <w:adjustRightInd w:val="0"/>
              <w:spacing w:before="41"/>
              <w:jc w:val="left"/>
              <w:rPr>
                <w:sz w:val="20"/>
                <w:szCs w:val="20"/>
                <w:lang w:val="en-AU"/>
              </w:rPr>
            </w:pPr>
          </w:p>
        </w:tc>
      </w:tr>
      <w:tr w:rsidR="00A700E7" w:rsidRPr="00A700E7" w14:paraId="5280EF8A" w14:textId="77777777" w:rsidTr="007B41F8">
        <w:trPr>
          <w:gridAfter w:val="1"/>
          <w:wAfter w:w="7" w:type="dxa"/>
          <w:trHeight w:hRule="exact" w:val="860"/>
        </w:trPr>
        <w:tc>
          <w:tcPr>
            <w:tcW w:w="3619" w:type="dxa"/>
          </w:tcPr>
          <w:p w14:paraId="198B4BC1" w14:textId="77777777" w:rsidR="008C026E" w:rsidRPr="00A700E7" w:rsidRDefault="008C026E" w:rsidP="007A6B1F">
            <w:pPr>
              <w:kinsoku w:val="0"/>
              <w:overflowPunct w:val="0"/>
              <w:autoSpaceDE w:val="0"/>
              <w:autoSpaceDN w:val="0"/>
              <w:adjustRightInd w:val="0"/>
              <w:spacing w:before="39"/>
              <w:ind w:left="37" w:right="314"/>
              <w:jc w:val="left"/>
              <w:rPr>
                <w:sz w:val="20"/>
                <w:szCs w:val="20"/>
                <w:lang w:val="en-AU"/>
              </w:rPr>
            </w:pPr>
            <w:r w:rsidRPr="00A700E7">
              <w:rPr>
                <w:spacing w:val="-1"/>
                <w:sz w:val="20"/>
                <w:szCs w:val="20"/>
                <w:lang w:val="en-AU"/>
              </w:rPr>
              <w:lastRenderedPageBreak/>
              <w:t>Probability</w:t>
            </w:r>
            <w:r w:rsidRPr="00A700E7">
              <w:rPr>
                <w:spacing w:val="-3"/>
                <w:sz w:val="20"/>
                <w:szCs w:val="20"/>
                <w:lang w:val="en-AU"/>
              </w:rPr>
              <w:t xml:space="preserve"> </w:t>
            </w:r>
            <w:r w:rsidRPr="00A700E7">
              <w:rPr>
                <w:spacing w:val="-1"/>
                <w:sz w:val="20"/>
                <w:szCs w:val="20"/>
                <w:lang w:val="en-AU"/>
              </w:rPr>
              <w:t>of</w:t>
            </w:r>
            <w:r w:rsidRPr="00A700E7">
              <w:rPr>
                <w:spacing w:val="-3"/>
                <w:sz w:val="20"/>
                <w:szCs w:val="20"/>
                <w:lang w:val="en-AU"/>
              </w:rPr>
              <w:t xml:space="preserve"> </w:t>
            </w:r>
            <w:r w:rsidRPr="00A700E7">
              <w:rPr>
                <w:sz w:val="20"/>
                <w:szCs w:val="20"/>
                <w:lang w:val="en-AU"/>
              </w:rPr>
              <w:t>No</w:t>
            </w:r>
            <w:r w:rsidRPr="00A700E7">
              <w:rPr>
                <w:spacing w:val="-5"/>
                <w:sz w:val="20"/>
                <w:szCs w:val="20"/>
                <w:lang w:val="en-AU"/>
              </w:rPr>
              <w:t xml:space="preserve"> </w:t>
            </w:r>
            <w:r w:rsidRPr="00A700E7">
              <w:rPr>
                <w:spacing w:val="-1"/>
                <w:sz w:val="20"/>
                <w:szCs w:val="20"/>
                <w:lang w:val="en-AU"/>
              </w:rPr>
              <w:t>Clinical</w:t>
            </w:r>
            <w:r w:rsidRPr="00A700E7">
              <w:rPr>
                <w:spacing w:val="-4"/>
                <w:sz w:val="20"/>
                <w:szCs w:val="20"/>
                <w:lang w:val="en-AU"/>
              </w:rPr>
              <w:t xml:space="preserve"> </w:t>
            </w:r>
            <w:r w:rsidRPr="00A700E7">
              <w:rPr>
                <w:spacing w:val="-1"/>
                <w:sz w:val="20"/>
                <w:szCs w:val="20"/>
                <w:lang w:val="en-AU"/>
              </w:rPr>
              <w:t>Worsening</w:t>
            </w:r>
            <w:r w:rsidRPr="00A700E7">
              <w:rPr>
                <w:spacing w:val="-3"/>
                <w:sz w:val="20"/>
                <w:szCs w:val="20"/>
                <w:lang w:val="en-AU"/>
              </w:rPr>
              <w:t xml:space="preserve"> </w:t>
            </w:r>
            <w:r w:rsidRPr="00A700E7">
              <w:rPr>
                <w:sz w:val="20"/>
                <w:szCs w:val="20"/>
                <w:lang w:val="en-AU"/>
              </w:rPr>
              <w:t>at</w:t>
            </w:r>
            <w:r w:rsidRPr="00A700E7">
              <w:rPr>
                <w:spacing w:val="29"/>
                <w:sz w:val="20"/>
                <w:szCs w:val="20"/>
                <w:lang w:val="en-AU"/>
              </w:rPr>
              <w:t xml:space="preserve"> </w:t>
            </w:r>
            <w:r w:rsidRPr="00A700E7">
              <w:rPr>
                <w:spacing w:val="-1"/>
                <w:sz w:val="20"/>
                <w:szCs w:val="20"/>
                <w:lang w:val="en-AU"/>
              </w:rPr>
              <w:t>Week</w:t>
            </w:r>
            <w:r w:rsidRPr="00A700E7">
              <w:rPr>
                <w:spacing w:val="-3"/>
                <w:sz w:val="20"/>
                <w:szCs w:val="20"/>
                <w:lang w:val="en-AU"/>
              </w:rPr>
              <w:t xml:space="preserve"> </w:t>
            </w:r>
            <w:r w:rsidRPr="00A700E7">
              <w:rPr>
                <w:spacing w:val="-1"/>
                <w:sz w:val="20"/>
                <w:szCs w:val="20"/>
                <w:lang w:val="en-AU"/>
              </w:rPr>
              <w:t>16</w:t>
            </w:r>
            <w:r w:rsidRPr="00A700E7">
              <w:rPr>
                <w:spacing w:val="-4"/>
                <w:sz w:val="20"/>
                <w:szCs w:val="20"/>
                <w:lang w:val="en-AU"/>
              </w:rPr>
              <w:t xml:space="preserve"> </w:t>
            </w:r>
            <w:r w:rsidRPr="00A700E7">
              <w:rPr>
                <w:spacing w:val="-1"/>
                <w:sz w:val="20"/>
                <w:szCs w:val="20"/>
                <w:lang w:val="en-AU"/>
              </w:rPr>
              <w:t>(95%</w:t>
            </w:r>
            <w:r w:rsidRPr="00A700E7">
              <w:rPr>
                <w:spacing w:val="-2"/>
                <w:sz w:val="20"/>
                <w:szCs w:val="20"/>
                <w:lang w:val="en-AU"/>
              </w:rPr>
              <w:t xml:space="preserve"> </w:t>
            </w:r>
            <w:r w:rsidRPr="00A700E7">
              <w:rPr>
                <w:spacing w:val="-1"/>
                <w:sz w:val="20"/>
                <w:szCs w:val="20"/>
                <w:lang w:val="en-AU"/>
              </w:rPr>
              <w:t>C.I.)</w:t>
            </w:r>
          </w:p>
        </w:tc>
        <w:tc>
          <w:tcPr>
            <w:tcW w:w="1661" w:type="dxa"/>
          </w:tcPr>
          <w:p w14:paraId="0FE5F1C7" w14:textId="77777777" w:rsidR="008C026E" w:rsidRPr="00A700E7" w:rsidRDefault="008C026E" w:rsidP="007A6B1F">
            <w:pPr>
              <w:kinsoku w:val="0"/>
              <w:overflowPunct w:val="0"/>
              <w:autoSpaceDE w:val="0"/>
              <w:autoSpaceDN w:val="0"/>
              <w:adjustRightInd w:val="0"/>
              <w:spacing w:before="39"/>
              <w:ind w:right="2"/>
              <w:jc w:val="left"/>
              <w:rPr>
                <w:sz w:val="20"/>
                <w:szCs w:val="20"/>
                <w:lang w:val="en-AU"/>
              </w:rPr>
            </w:pPr>
            <w:r w:rsidRPr="00A700E7">
              <w:rPr>
                <w:spacing w:val="-1"/>
                <w:sz w:val="20"/>
                <w:szCs w:val="20"/>
                <w:lang w:val="en-AU"/>
              </w:rPr>
              <w:t>0.84</w:t>
            </w:r>
          </w:p>
          <w:p w14:paraId="03790E6D" w14:textId="77777777" w:rsidR="008C026E" w:rsidRPr="00A700E7" w:rsidRDefault="008C026E" w:rsidP="007A6B1F">
            <w:pPr>
              <w:kinsoku w:val="0"/>
              <w:overflowPunct w:val="0"/>
              <w:autoSpaceDE w:val="0"/>
              <w:autoSpaceDN w:val="0"/>
              <w:adjustRightInd w:val="0"/>
              <w:spacing w:before="38"/>
              <w:ind w:right="4"/>
              <w:jc w:val="left"/>
              <w:rPr>
                <w:sz w:val="20"/>
                <w:szCs w:val="20"/>
                <w:lang w:val="en-AU"/>
              </w:rPr>
            </w:pPr>
            <w:r w:rsidRPr="00A700E7">
              <w:rPr>
                <w:spacing w:val="-1"/>
                <w:sz w:val="20"/>
                <w:szCs w:val="20"/>
                <w:lang w:val="en-AU"/>
              </w:rPr>
              <w:t>(0.74,</w:t>
            </w:r>
            <w:r w:rsidRPr="00A700E7">
              <w:rPr>
                <w:spacing w:val="-11"/>
                <w:sz w:val="20"/>
                <w:szCs w:val="20"/>
                <w:lang w:val="en-AU"/>
              </w:rPr>
              <w:t xml:space="preserve"> </w:t>
            </w:r>
            <w:r w:rsidRPr="00A700E7">
              <w:rPr>
                <w:spacing w:val="-1"/>
                <w:sz w:val="20"/>
                <w:szCs w:val="20"/>
                <w:lang w:val="en-AU"/>
              </w:rPr>
              <w:t>0.90)</w:t>
            </w:r>
          </w:p>
        </w:tc>
        <w:tc>
          <w:tcPr>
            <w:tcW w:w="1349" w:type="dxa"/>
          </w:tcPr>
          <w:p w14:paraId="562B28BD" w14:textId="77777777" w:rsidR="008C026E" w:rsidRPr="00A700E7" w:rsidRDefault="008C026E" w:rsidP="007A6B1F">
            <w:pPr>
              <w:kinsoku w:val="0"/>
              <w:overflowPunct w:val="0"/>
              <w:autoSpaceDE w:val="0"/>
              <w:autoSpaceDN w:val="0"/>
              <w:adjustRightInd w:val="0"/>
              <w:spacing w:before="39"/>
              <w:ind w:right="1"/>
              <w:jc w:val="left"/>
              <w:rPr>
                <w:sz w:val="20"/>
                <w:szCs w:val="20"/>
                <w:lang w:val="en-AU"/>
              </w:rPr>
            </w:pPr>
            <w:r w:rsidRPr="00A700E7">
              <w:rPr>
                <w:spacing w:val="-1"/>
                <w:sz w:val="20"/>
                <w:szCs w:val="20"/>
                <w:lang w:val="en-AU"/>
              </w:rPr>
              <w:t>0.91</w:t>
            </w:r>
          </w:p>
          <w:p w14:paraId="50C6BCE4" w14:textId="77777777" w:rsidR="008C026E" w:rsidRPr="00A700E7" w:rsidRDefault="008C026E" w:rsidP="007A6B1F">
            <w:pPr>
              <w:kinsoku w:val="0"/>
              <w:overflowPunct w:val="0"/>
              <w:autoSpaceDE w:val="0"/>
              <w:autoSpaceDN w:val="0"/>
              <w:adjustRightInd w:val="0"/>
              <w:spacing w:before="38"/>
              <w:ind w:right="4"/>
              <w:jc w:val="left"/>
              <w:rPr>
                <w:sz w:val="20"/>
                <w:szCs w:val="20"/>
                <w:lang w:val="en-AU"/>
              </w:rPr>
            </w:pPr>
            <w:r w:rsidRPr="00A700E7">
              <w:rPr>
                <w:spacing w:val="-1"/>
                <w:sz w:val="20"/>
                <w:szCs w:val="20"/>
                <w:lang w:val="en-AU"/>
              </w:rPr>
              <w:t>(0.82,0.95)</w:t>
            </w:r>
          </w:p>
        </w:tc>
        <w:tc>
          <w:tcPr>
            <w:tcW w:w="1351" w:type="dxa"/>
          </w:tcPr>
          <w:p w14:paraId="734955AF" w14:textId="77777777" w:rsidR="008C026E" w:rsidRPr="00A700E7" w:rsidRDefault="008C026E" w:rsidP="007A6B1F">
            <w:pPr>
              <w:kinsoku w:val="0"/>
              <w:overflowPunct w:val="0"/>
              <w:autoSpaceDE w:val="0"/>
              <w:autoSpaceDN w:val="0"/>
              <w:adjustRightInd w:val="0"/>
              <w:spacing w:before="39"/>
              <w:ind w:right="1"/>
              <w:jc w:val="left"/>
              <w:rPr>
                <w:sz w:val="20"/>
                <w:szCs w:val="20"/>
                <w:lang w:val="en-AU"/>
              </w:rPr>
            </w:pPr>
            <w:r w:rsidRPr="00A700E7">
              <w:rPr>
                <w:sz w:val="20"/>
                <w:szCs w:val="20"/>
                <w:lang w:val="en-AU"/>
              </w:rPr>
              <w:t>0.90</w:t>
            </w:r>
          </w:p>
          <w:p w14:paraId="5F691920" w14:textId="77777777" w:rsidR="008C026E" w:rsidRPr="00A700E7" w:rsidRDefault="008C026E" w:rsidP="007A6B1F">
            <w:pPr>
              <w:kinsoku w:val="0"/>
              <w:overflowPunct w:val="0"/>
              <w:autoSpaceDE w:val="0"/>
              <w:autoSpaceDN w:val="0"/>
              <w:adjustRightInd w:val="0"/>
              <w:spacing w:before="38"/>
              <w:ind w:right="2"/>
              <w:jc w:val="left"/>
              <w:rPr>
                <w:sz w:val="20"/>
                <w:szCs w:val="20"/>
                <w:lang w:val="en-AU"/>
              </w:rPr>
            </w:pPr>
            <w:r w:rsidRPr="00A700E7">
              <w:rPr>
                <w:spacing w:val="-1"/>
                <w:sz w:val="20"/>
                <w:szCs w:val="20"/>
                <w:lang w:val="en-AU"/>
              </w:rPr>
              <w:t>(0.80,</w:t>
            </w:r>
            <w:r w:rsidRPr="00A700E7">
              <w:rPr>
                <w:spacing w:val="-11"/>
                <w:sz w:val="20"/>
                <w:szCs w:val="20"/>
                <w:lang w:val="en-AU"/>
              </w:rPr>
              <w:t xml:space="preserve"> </w:t>
            </w:r>
            <w:r w:rsidRPr="00A700E7">
              <w:rPr>
                <w:spacing w:val="-1"/>
                <w:sz w:val="20"/>
                <w:szCs w:val="20"/>
                <w:lang w:val="en-AU"/>
              </w:rPr>
              <w:t>0.95)</w:t>
            </w:r>
          </w:p>
        </w:tc>
        <w:tc>
          <w:tcPr>
            <w:tcW w:w="1315" w:type="dxa"/>
          </w:tcPr>
          <w:p w14:paraId="5DF5D8E2"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0.94</w:t>
            </w:r>
          </w:p>
          <w:p w14:paraId="3B8E4466" w14:textId="77777777" w:rsidR="008C026E" w:rsidRPr="00A700E7" w:rsidRDefault="008C026E" w:rsidP="007A6B1F">
            <w:pPr>
              <w:kinsoku w:val="0"/>
              <w:overflowPunct w:val="0"/>
              <w:autoSpaceDE w:val="0"/>
              <w:autoSpaceDN w:val="0"/>
              <w:adjustRightInd w:val="0"/>
              <w:spacing w:before="38"/>
              <w:jc w:val="left"/>
              <w:rPr>
                <w:sz w:val="20"/>
                <w:szCs w:val="20"/>
                <w:lang w:val="en-AU"/>
              </w:rPr>
            </w:pPr>
            <w:r w:rsidRPr="00A700E7">
              <w:rPr>
                <w:spacing w:val="-1"/>
                <w:sz w:val="20"/>
                <w:szCs w:val="20"/>
                <w:lang w:val="en-AU"/>
              </w:rPr>
              <w:t>(0.85,</w:t>
            </w:r>
            <w:r w:rsidRPr="00A700E7">
              <w:rPr>
                <w:spacing w:val="-11"/>
                <w:sz w:val="20"/>
                <w:szCs w:val="20"/>
                <w:lang w:val="en-AU"/>
              </w:rPr>
              <w:t xml:space="preserve"> </w:t>
            </w:r>
            <w:r w:rsidRPr="00A700E7">
              <w:rPr>
                <w:spacing w:val="-1"/>
                <w:sz w:val="20"/>
                <w:szCs w:val="20"/>
                <w:lang w:val="en-AU"/>
              </w:rPr>
              <w:t>0.98)</w:t>
            </w:r>
          </w:p>
        </w:tc>
      </w:tr>
      <w:tr w:rsidR="00A700E7" w:rsidRPr="00A700E7" w14:paraId="4F4E3B3E" w14:textId="77777777" w:rsidTr="007B41F8">
        <w:trPr>
          <w:gridAfter w:val="1"/>
          <w:wAfter w:w="7" w:type="dxa"/>
          <w:trHeight w:hRule="exact" w:val="300"/>
        </w:trPr>
        <w:tc>
          <w:tcPr>
            <w:tcW w:w="3619" w:type="dxa"/>
          </w:tcPr>
          <w:p w14:paraId="24C30A40" w14:textId="77777777" w:rsidR="008C026E" w:rsidRPr="00A700E7" w:rsidRDefault="008C026E" w:rsidP="007A6B1F">
            <w:pPr>
              <w:kinsoku w:val="0"/>
              <w:overflowPunct w:val="0"/>
              <w:autoSpaceDE w:val="0"/>
              <w:autoSpaceDN w:val="0"/>
              <w:adjustRightInd w:val="0"/>
              <w:spacing w:before="39"/>
              <w:ind w:left="140"/>
              <w:jc w:val="left"/>
              <w:rPr>
                <w:sz w:val="20"/>
                <w:szCs w:val="20"/>
                <w:lang w:val="en-AU"/>
              </w:rPr>
            </w:pPr>
            <w:r w:rsidRPr="00A700E7">
              <w:rPr>
                <w:sz w:val="20"/>
                <w:szCs w:val="20"/>
                <w:lang w:val="en-AU"/>
              </w:rPr>
              <w:t>No.</w:t>
            </w:r>
            <w:r w:rsidRPr="00A700E7">
              <w:rPr>
                <w:spacing w:val="-4"/>
                <w:sz w:val="20"/>
                <w:szCs w:val="20"/>
                <w:lang w:val="en-AU"/>
              </w:rPr>
              <w:t xml:space="preserve"> </w:t>
            </w:r>
            <w:r w:rsidRPr="00A700E7">
              <w:rPr>
                <w:sz w:val="20"/>
                <w:szCs w:val="20"/>
                <w:lang w:val="en-AU"/>
              </w:rPr>
              <w:t>of</w:t>
            </w:r>
            <w:r w:rsidRPr="00A700E7">
              <w:rPr>
                <w:spacing w:val="-1"/>
                <w:sz w:val="20"/>
                <w:szCs w:val="20"/>
                <w:lang w:val="en-AU"/>
              </w:rPr>
              <w:t xml:space="preserve"> patients</w:t>
            </w:r>
            <w:r w:rsidRPr="00A700E7">
              <w:rPr>
                <w:spacing w:val="-3"/>
                <w:sz w:val="20"/>
                <w:szCs w:val="20"/>
                <w:lang w:val="en-AU"/>
              </w:rPr>
              <w:t xml:space="preserve"> </w:t>
            </w:r>
            <w:r w:rsidRPr="00A700E7">
              <w:rPr>
                <w:spacing w:val="-1"/>
                <w:sz w:val="20"/>
                <w:szCs w:val="20"/>
                <w:lang w:val="en-AU"/>
              </w:rPr>
              <w:t>(%)</w:t>
            </w:r>
            <w:r w:rsidRPr="00A700E7">
              <w:rPr>
                <w:spacing w:val="-4"/>
                <w:sz w:val="20"/>
                <w:szCs w:val="20"/>
                <w:lang w:val="en-AU"/>
              </w:rPr>
              <w:t xml:space="preserve"> </w:t>
            </w:r>
            <w:r w:rsidRPr="00A700E7">
              <w:rPr>
                <w:spacing w:val="-1"/>
                <w:sz w:val="20"/>
                <w:szCs w:val="20"/>
                <w:lang w:val="en-AU"/>
              </w:rPr>
              <w:t>with</w:t>
            </w:r>
            <w:r w:rsidRPr="00A700E7">
              <w:rPr>
                <w:spacing w:val="-4"/>
                <w:sz w:val="20"/>
                <w:szCs w:val="20"/>
                <w:lang w:val="en-AU"/>
              </w:rPr>
              <w:t xml:space="preserve"> </w:t>
            </w:r>
            <w:r w:rsidRPr="00A700E7">
              <w:rPr>
                <w:spacing w:val="-1"/>
                <w:sz w:val="20"/>
                <w:szCs w:val="20"/>
                <w:lang w:val="en-AU"/>
              </w:rPr>
              <w:t>Clinical</w:t>
            </w:r>
            <w:r w:rsidRPr="00A700E7">
              <w:rPr>
                <w:spacing w:val="-3"/>
                <w:sz w:val="20"/>
                <w:szCs w:val="20"/>
                <w:lang w:val="en-AU"/>
              </w:rPr>
              <w:t xml:space="preserve"> </w:t>
            </w:r>
            <w:r w:rsidRPr="00A700E7">
              <w:rPr>
                <w:spacing w:val="-1"/>
                <w:sz w:val="20"/>
                <w:szCs w:val="20"/>
                <w:lang w:val="en-AU"/>
              </w:rPr>
              <w:t>Worsening</w:t>
            </w:r>
          </w:p>
        </w:tc>
        <w:tc>
          <w:tcPr>
            <w:tcW w:w="1661" w:type="dxa"/>
          </w:tcPr>
          <w:p w14:paraId="696CFAA9"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13</w:t>
            </w:r>
            <w:r w:rsidRPr="00A700E7">
              <w:rPr>
                <w:spacing w:val="-8"/>
                <w:sz w:val="20"/>
                <w:szCs w:val="20"/>
                <w:lang w:val="en-AU"/>
              </w:rPr>
              <w:t xml:space="preserve"> </w:t>
            </w:r>
            <w:r w:rsidRPr="00A700E7">
              <w:rPr>
                <w:spacing w:val="-1"/>
                <w:sz w:val="20"/>
                <w:szCs w:val="20"/>
                <w:lang w:val="en-AU"/>
              </w:rPr>
              <w:t>(15.9)</w:t>
            </w:r>
          </w:p>
        </w:tc>
        <w:tc>
          <w:tcPr>
            <w:tcW w:w="1349" w:type="dxa"/>
          </w:tcPr>
          <w:p w14:paraId="14D91531"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7</w:t>
            </w:r>
            <w:r w:rsidRPr="00A700E7">
              <w:rPr>
                <w:spacing w:val="-3"/>
                <w:sz w:val="20"/>
                <w:szCs w:val="20"/>
                <w:lang w:val="en-AU"/>
              </w:rPr>
              <w:t xml:space="preserve"> </w:t>
            </w:r>
            <w:r w:rsidRPr="00A700E7">
              <w:rPr>
                <w:spacing w:val="-1"/>
                <w:sz w:val="20"/>
                <w:szCs w:val="20"/>
                <w:lang w:val="en-AU"/>
              </w:rPr>
              <w:t>(8.8)</w:t>
            </w:r>
          </w:p>
        </w:tc>
        <w:tc>
          <w:tcPr>
            <w:tcW w:w="1351" w:type="dxa"/>
          </w:tcPr>
          <w:p w14:paraId="670EAC93"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8</w:t>
            </w:r>
            <w:r w:rsidRPr="00A700E7">
              <w:rPr>
                <w:spacing w:val="-3"/>
                <w:sz w:val="20"/>
                <w:szCs w:val="20"/>
                <w:lang w:val="en-AU"/>
              </w:rPr>
              <w:t xml:space="preserve"> </w:t>
            </w:r>
            <w:r w:rsidRPr="00A700E7">
              <w:rPr>
                <w:spacing w:val="-1"/>
                <w:sz w:val="20"/>
                <w:szCs w:val="20"/>
                <w:lang w:val="en-AU"/>
              </w:rPr>
              <w:t>(9.8)</w:t>
            </w:r>
          </w:p>
        </w:tc>
        <w:tc>
          <w:tcPr>
            <w:tcW w:w="1315" w:type="dxa"/>
          </w:tcPr>
          <w:p w14:paraId="38FF70F3"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z w:val="20"/>
                <w:szCs w:val="20"/>
                <w:lang w:val="en-AU"/>
              </w:rPr>
              <w:t>4</w:t>
            </w:r>
            <w:r w:rsidRPr="00A700E7">
              <w:rPr>
                <w:spacing w:val="-3"/>
                <w:sz w:val="20"/>
                <w:szCs w:val="20"/>
                <w:lang w:val="en-AU"/>
              </w:rPr>
              <w:t xml:space="preserve"> </w:t>
            </w:r>
            <w:r w:rsidRPr="00A700E7">
              <w:rPr>
                <w:sz w:val="20"/>
                <w:szCs w:val="20"/>
                <w:lang w:val="en-AU"/>
              </w:rPr>
              <w:t>(5.1)</w:t>
            </w:r>
          </w:p>
        </w:tc>
      </w:tr>
      <w:tr w:rsidR="00A700E7" w:rsidRPr="00A700E7" w14:paraId="495BE738" w14:textId="77777777" w:rsidTr="007B41F8">
        <w:trPr>
          <w:trHeight w:hRule="exact" w:val="352"/>
        </w:trPr>
        <w:tc>
          <w:tcPr>
            <w:tcW w:w="9302" w:type="dxa"/>
            <w:gridSpan w:val="6"/>
          </w:tcPr>
          <w:p w14:paraId="2FC451CD" w14:textId="77777777" w:rsidR="008C026E" w:rsidRPr="00A700E7" w:rsidRDefault="008C026E" w:rsidP="007A6B1F">
            <w:pPr>
              <w:kinsoku w:val="0"/>
              <w:overflowPunct w:val="0"/>
              <w:autoSpaceDE w:val="0"/>
              <w:autoSpaceDN w:val="0"/>
              <w:adjustRightInd w:val="0"/>
              <w:spacing w:before="41"/>
              <w:jc w:val="left"/>
              <w:rPr>
                <w:b/>
                <w:bCs/>
                <w:sz w:val="20"/>
                <w:szCs w:val="20"/>
                <w:lang w:val="en-AU"/>
              </w:rPr>
            </w:pPr>
            <w:r w:rsidRPr="00A700E7">
              <w:rPr>
                <w:b/>
                <w:bCs/>
                <w:spacing w:val="-1"/>
                <w:sz w:val="20"/>
                <w:szCs w:val="20"/>
                <w:lang w:val="en-AU"/>
              </w:rPr>
              <w:t>Change</w:t>
            </w:r>
            <w:r w:rsidRPr="00A700E7">
              <w:rPr>
                <w:b/>
                <w:bCs/>
                <w:spacing w:val="-3"/>
                <w:sz w:val="20"/>
                <w:szCs w:val="20"/>
                <w:lang w:val="en-AU"/>
              </w:rPr>
              <w:t xml:space="preserve"> </w:t>
            </w:r>
            <w:r w:rsidRPr="00A700E7">
              <w:rPr>
                <w:b/>
                <w:bCs/>
                <w:sz w:val="20"/>
                <w:szCs w:val="20"/>
                <w:lang w:val="en-AU"/>
              </w:rPr>
              <w:t>in</w:t>
            </w:r>
            <w:r w:rsidRPr="00A700E7">
              <w:rPr>
                <w:b/>
                <w:bCs/>
                <w:spacing w:val="-4"/>
                <w:sz w:val="20"/>
                <w:szCs w:val="20"/>
                <w:lang w:val="en-AU"/>
              </w:rPr>
              <w:t xml:space="preserve"> </w:t>
            </w:r>
            <w:r w:rsidRPr="00A700E7">
              <w:rPr>
                <w:b/>
                <w:bCs/>
                <w:spacing w:val="-1"/>
                <w:sz w:val="20"/>
                <w:szCs w:val="20"/>
                <w:lang w:val="en-AU"/>
              </w:rPr>
              <w:t>Borg</w:t>
            </w:r>
            <w:r w:rsidRPr="00A700E7">
              <w:rPr>
                <w:b/>
                <w:bCs/>
                <w:spacing w:val="-5"/>
                <w:sz w:val="20"/>
                <w:szCs w:val="20"/>
                <w:lang w:val="en-AU"/>
              </w:rPr>
              <w:t xml:space="preserve"> </w:t>
            </w:r>
            <w:r w:rsidRPr="00A700E7">
              <w:rPr>
                <w:b/>
                <w:bCs/>
                <w:spacing w:val="-1"/>
                <w:sz w:val="20"/>
                <w:szCs w:val="20"/>
                <w:lang w:val="en-AU"/>
              </w:rPr>
              <w:t>Dyspnoea</w:t>
            </w:r>
            <w:r w:rsidRPr="00A700E7">
              <w:rPr>
                <w:b/>
                <w:bCs/>
                <w:spacing w:val="-1"/>
                <w:position w:val="4"/>
                <w:sz w:val="20"/>
                <w:szCs w:val="20"/>
                <w:vertAlign w:val="superscript"/>
                <w:lang w:val="en-AU"/>
              </w:rPr>
              <w:t>b</w:t>
            </w:r>
            <w:r w:rsidRPr="00A700E7">
              <w:rPr>
                <w:b/>
                <w:bCs/>
                <w:spacing w:val="9"/>
                <w:position w:val="4"/>
                <w:sz w:val="20"/>
                <w:szCs w:val="20"/>
                <w:lang w:val="en-AU"/>
              </w:rPr>
              <w:t xml:space="preserve"> </w:t>
            </w:r>
            <w:r w:rsidRPr="00A700E7">
              <w:rPr>
                <w:b/>
                <w:bCs/>
                <w:spacing w:val="-1"/>
                <w:sz w:val="20"/>
                <w:szCs w:val="20"/>
                <w:lang w:val="en-AU"/>
              </w:rPr>
              <w:t>Score</w:t>
            </w:r>
          </w:p>
        </w:tc>
      </w:tr>
      <w:tr w:rsidR="00A700E7" w:rsidRPr="00A700E7" w14:paraId="3B319046" w14:textId="77777777" w:rsidTr="007B41F8">
        <w:trPr>
          <w:gridAfter w:val="1"/>
          <w:wAfter w:w="7" w:type="dxa"/>
          <w:trHeight w:hRule="exact" w:val="291"/>
        </w:trPr>
        <w:tc>
          <w:tcPr>
            <w:tcW w:w="3619" w:type="dxa"/>
          </w:tcPr>
          <w:p w14:paraId="4D50A25C" w14:textId="77777777" w:rsidR="008C026E" w:rsidRPr="00A700E7" w:rsidRDefault="008C026E" w:rsidP="007A6B1F">
            <w:pPr>
              <w:kinsoku w:val="0"/>
              <w:overflowPunct w:val="0"/>
              <w:autoSpaceDE w:val="0"/>
              <w:autoSpaceDN w:val="0"/>
              <w:adjustRightInd w:val="0"/>
              <w:spacing w:before="39"/>
              <w:ind w:right="6"/>
              <w:jc w:val="left"/>
              <w:rPr>
                <w:sz w:val="20"/>
                <w:szCs w:val="20"/>
                <w:lang w:val="en-AU"/>
              </w:rPr>
            </w:pPr>
            <w:r w:rsidRPr="00A700E7">
              <w:rPr>
                <w:spacing w:val="-1"/>
                <w:sz w:val="20"/>
                <w:szCs w:val="20"/>
                <w:lang w:val="en-AU"/>
              </w:rPr>
              <w:t>Mean</w:t>
            </w:r>
            <w:r w:rsidRPr="00A700E7">
              <w:rPr>
                <w:spacing w:val="-5"/>
                <w:sz w:val="20"/>
                <w:szCs w:val="20"/>
                <w:lang w:val="en-AU"/>
              </w:rPr>
              <w:t xml:space="preserve"> </w:t>
            </w:r>
            <w:r w:rsidRPr="00A700E7">
              <w:rPr>
                <w:sz w:val="20"/>
                <w:szCs w:val="20"/>
                <w:lang w:val="en-AU"/>
              </w:rPr>
              <w:t>(SD)</w:t>
            </w:r>
          </w:p>
        </w:tc>
        <w:tc>
          <w:tcPr>
            <w:tcW w:w="1661" w:type="dxa"/>
          </w:tcPr>
          <w:p w14:paraId="29718BCC"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0.41</w:t>
            </w:r>
            <w:r w:rsidRPr="00A700E7">
              <w:rPr>
                <w:spacing w:val="-9"/>
                <w:sz w:val="20"/>
                <w:szCs w:val="20"/>
                <w:lang w:val="en-AU"/>
              </w:rPr>
              <w:t xml:space="preserve"> </w:t>
            </w:r>
            <w:r w:rsidRPr="00A700E7">
              <w:rPr>
                <w:spacing w:val="-1"/>
                <w:sz w:val="20"/>
                <w:szCs w:val="20"/>
                <w:lang w:val="en-AU"/>
              </w:rPr>
              <w:t>(1.89)</w:t>
            </w:r>
          </w:p>
        </w:tc>
        <w:tc>
          <w:tcPr>
            <w:tcW w:w="1349" w:type="dxa"/>
          </w:tcPr>
          <w:p w14:paraId="040CEBED"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-0.36</w:t>
            </w:r>
            <w:r w:rsidRPr="00A700E7">
              <w:rPr>
                <w:spacing w:val="-9"/>
                <w:sz w:val="20"/>
                <w:szCs w:val="20"/>
                <w:lang w:val="en-AU"/>
              </w:rPr>
              <w:t xml:space="preserve"> </w:t>
            </w:r>
            <w:r w:rsidRPr="00A700E7">
              <w:rPr>
                <w:spacing w:val="-1"/>
                <w:sz w:val="20"/>
                <w:szCs w:val="20"/>
                <w:lang w:val="en-AU"/>
              </w:rPr>
              <w:t>(1.92)</w:t>
            </w:r>
          </w:p>
        </w:tc>
        <w:tc>
          <w:tcPr>
            <w:tcW w:w="1351" w:type="dxa"/>
          </w:tcPr>
          <w:p w14:paraId="7EC39C44"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-0.29</w:t>
            </w:r>
            <w:r w:rsidRPr="00A700E7">
              <w:rPr>
                <w:spacing w:val="-8"/>
                <w:sz w:val="20"/>
                <w:szCs w:val="20"/>
                <w:lang w:val="en-AU"/>
              </w:rPr>
              <w:t xml:space="preserve"> </w:t>
            </w:r>
            <w:r w:rsidRPr="00A700E7">
              <w:rPr>
                <w:spacing w:val="-1"/>
                <w:sz w:val="20"/>
                <w:szCs w:val="20"/>
                <w:lang w:val="en-AU"/>
              </w:rPr>
              <w:t>(2.08)</w:t>
            </w:r>
          </w:p>
        </w:tc>
        <w:tc>
          <w:tcPr>
            <w:tcW w:w="1315" w:type="dxa"/>
          </w:tcPr>
          <w:p w14:paraId="314ECD3F" w14:textId="77777777" w:rsidR="008C026E" w:rsidRPr="00A700E7" w:rsidRDefault="008C026E" w:rsidP="007A6B1F">
            <w:pPr>
              <w:kinsoku w:val="0"/>
              <w:overflowPunct w:val="0"/>
              <w:autoSpaceDE w:val="0"/>
              <w:autoSpaceDN w:val="0"/>
              <w:adjustRightInd w:val="0"/>
              <w:spacing w:before="39"/>
              <w:jc w:val="left"/>
              <w:rPr>
                <w:sz w:val="20"/>
                <w:szCs w:val="20"/>
                <w:lang w:val="en-AU"/>
              </w:rPr>
            </w:pPr>
            <w:r w:rsidRPr="00A700E7">
              <w:rPr>
                <w:spacing w:val="-1"/>
                <w:sz w:val="20"/>
                <w:szCs w:val="20"/>
                <w:lang w:val="en-AU"/>
              </w:rPr>
              <w:t>-0.70</w:t>
            </w:r>
            <w:r w:rsidRPr="00A700E7">
              <w:rPr>
                <w:spacing w:val="-9"/>
                <w:sz w:val="20"/>
                <w:szCs w:val="20"/>
                <w:lang w:val="en-AU"/>
              </w:rPr>
              <w:t xml:space="preserve"> </w:t>
            </w:r>
            <w:r w:rsidRPr="00A700E7">
              <w:rPr>
                <w:spacing w:val="-1"/>
                <w:sz w:val="20"/>
                <w:szCs w:val="20"/>
                <w:lang w:val="en-AU"/>
              </w:rPr>
              <w:t>(1.75)</w:t>
            </w:r>
          </w:p>
        </w:tc>
      </w:tr>
    </w:tbl>
    <w:p w14:paraId="177893A0" w14:textId="77777777" w:rsidR="008C026E" w:rsidRPr="00A700E7" w:rsidRDefault="008C026E" w:rsidP="007A6B1F">
      <w:pPr>
        <w:jc w:val="left"/>
        <w:rPr>
          <w:sz w:val="18"/>
          <w:szCs w:val="18"/>
        </w:rPr>
      </w:pPr>
      <w:r w:rsidRPr="00A700E7">
        <w:rPr>
          <w:sz w:val="18"/>
          <w:szCs w:val="18"/>
          <w:vertAlign w:val="superscript"/>
        </w:rPr>
        <w:t>a</w:t>
      </w:r>
      <w:r w:rsidRPr="00A700E7">
        <w:rPr>
          <w:sz w:val="18"/>
          <w:szCs w:val="18"/>
        </w:rPr>
        <w:t xml:space="preserve"> Clinical worsening was defined as death, lung transplantation, atrial septostomy, hospitalization due to worsening PAH, initiation of new PAH therapy, and worsening WHO functional class.</w:t>
      </w:r>
    </w:p>
    <w:p w14:paraId="07C4258A" w14:textId="77777777" w:rsidR="008C026E" w:rsidRPr="00A700E7" w:rsidRDefault="008C026E" w:rsidP="007A6B1F">
      <w:pPr>
        <w:jc w:val="left"/>
        <w:rPr>
          <w:sz w:val="18"/>
          <w:szCs w:val="18"/>
        </w:rPr>
      </w:pPr>
      <w:r w:rsidRPr="00A700E7">
        <w:rPr>
          <w:sz w:val="18"/>
          <w:szCs w:val="18"/>
          <w:vertAlign w:val="superscript"/>
        </w:rPr>
        <w:t>b</w:t>
      </w:r>
      <w:r w:rsidRPr="00A700E7">
        <w:rPr>
          <w:sz w:val="18"/>
          <w:szCs w:val="18"/>
        </w:rPr>
        <w:t xml:space="preserve"> A positive change in Borg-Dyspnea score represents a worsening of patient perceived breathlessness during the </w:t>
      </w:r>
      <w:proofErr w:type="gramStart"/>
      <w:r w:rsidRPr="00A700E7">
        <w:rPr>
          <w:sz w:val="18"/>
          <w:szCs w:val="18"/>
        </w:rPr>
        <w:t>6 minute</w:t>
      </w:r>
      <w:proofErr w:type="gramEnd"/>
      <w:r w:rsidRPr="00A700E7">
        <w:rPr>
          <w:sz w:val="18"/>
          <w:szCs w:val="18"/>
        </w:rPr>
        <w:t xml:space="preserve"> walk.</w:t>
      </w:r>
    </w:p>
    <w:p w14:paraId="56F80FE8" w14:textId="77777777" w:rsidR="008C026E" w:rsidRPr="00A700E7" w:rsidRDefault="008C026E" w:rsidP="007A6B1F">
      <w:pPr>
        <w:jc w:val="left"/>
      </w:pPr>
    </w:p>
    <w:p w14:paraId="441493C5" w14:textId="77777777" w:rsidR="008C026E" w:rsidRPr="00A700E7" w:rsidRDefault="008C026E" w:rsidP="007A6B1F">
      <w:pPr>
        <w:jc w:val="left"/>
      </w:pPr>
      <w:r w:rsidRPr="00A700E7">
        <w:t xml:space="preserve">A statistically significant (p&lt;0.05) increase in quality of life, compared to placebo, was demonstrated in the tadalafil 40 mg group in 6 of the 8 SF36 domains (physical functioning, role physical, bodily pain, general health, vitality and social functioning) and in all questions of </w:t>
      </w:r>
      <w:proofErr w:type="spellStart"/>
      <w:r w:rsidRPr="00A700E7">
        <w:t>EuroQoL</w:t>
      </w:r>
      <w:proofErr w:type="spellEnd"/>
      <w:r w:rsidRPr="00A700E7">
        <w:t>.</w:t>
      </w:r>
    </w:p>
    <w:p w14:paraId="4D81EB5A" w14:textId="77777777" w:rsidR="008C026E" w:rsidRPr="00A700E7" w:rsidRDefault="008C026E" w:rsidP="007A6B1F">
      <w:pPr>
        <w:jc w:val="left"/>
      </w:pPr>
    </w:p>
    <w:p w14:paraId="6475BFCF" w14:textId="77777777" w:rsidR="008C026E" w:rsidRPr="00A700E7" w:rsidRDefault="008C026E" w:rsidP="007A6B1F">
      <w:pPr>
        <w:jc w:val="left"/>
        <w:rPr>
          <w:i/>
          <w:iCs/>
        </w:rPr>
      </w:pPr>
      <w:r w:rsidRPr="00A700E7">
        <w:rPr>
          <w:i/>
          <w:iCs/>
        </w:rPr>
        <w:t>Long-term treatment</w:t>
      </w:r>
    </w:p>
    <w:p w14:paraId="309BD432" w14:textId="144C60D6" w:rsidR="00D82E91" w:rsidRPr="00A700E7" w:rsidRDefault="008C026E" w:rsidP="007A6B1F">
      <w:pPr>
        <w:jc w:val="left"/>
      </w:pPr>
      <w:r w:rsidRPr="00A700E7">
        <w:t xml:space="preserve">357 patients from the placebo-controlled study entered a long-term extension study. Of these, 311 patients had been treated with tadalafil for at least 6 months and 293 for 1 year (median exposure 365 days; range 2 days to 415 days). For those patients for which there are data, the survival rate at 1 year is 96.4%. Additionally, </w:t>
      </w:r>
      <w:proofErr w:type="gramStart"/>
      <w:r w:rsidRPr="00A700E7">
        <w:t>6 minute</w:t>
      </w:r>
      <w:proofErr w:type="gramEnd"/>
      <w:r w:rsidRPr="00A700E7">
        <w:t xml:space="preserve"> walk distance and WHO functional class status appeared to be stable in those treated with tadalafil for 1 year.</w:t>
      </w:r>
    </w:p>
    <w:p w14:paraId="6B6AF49D" w14:textId="77777777" w:rsidR="008C026E" w:rsidRPr="00A700E7" w:rsidRDefault="008C026E" w:rsidP="007A6B1F">
      <w:pPr>
        <w:jc w:val="left"/>
        <w:rPr>
          <w:highlight w:val="yellow"/>
        </w:rPr>
      </w:pPr>
    </w:p>
    <w:p w14:paraId="771AC8D3" w14:textId="3D00CC39" w:rsidR="001A3992" w:rsidRPr="00A700E7" w:rsidRDefault="001A3992" w:rsidP="007A6B1F">
      <w:pPr>
        <w:pStyle w:val="Heading2"/>
        <w:jc w:val="left"/>
      </w:pPr>
      <w:r w:rsidRPr="00A700E7">
        <w:t xml:space="preserve">Pharmacokinetic properties </w:t>
      </w:r>
    </w:p>
    <w:p w14:paraId="558F2D5F" w14:textId="598565EB" w:rsidR="00F26054" w:rsidRPr="00A700E7" w:rsidRDefault="005920AA" w:rsidP="007A6B1F">
      <w:pPr>
        <w:jc w:val="left"/>
      </w:pPr>
      <w:r w:rsidRPr="00A700E7">
        <w:t xml:space="preserve">The bioavailability of all components of OPSYNVI was comparable to when macitentan 10 mg and tadalafil 40 mg were co-administered separately; bioequivalence was established following single-dose administration in healthy subjects (N=162). </w:t>
      </w:r>
      <w:bookmarkStart w:id="36" w:name="_Hlk137652724"/>
      <w:r w:rsidRPr="00A700E7">
        <w:t>As OPSYNVI contains macitentan and tadalafil, the pharmacokinetic properties of the individual components should be considered.</w:t>
      </w:r>
    </w:p>
    <w:p w14:paraId="45576C60" w14:textId="56AF78D9" w:rsidR="00F26054" w:rsidRPr="00A700E7" w:rsidRDefault="00F26054" w:rsidP="007A6B1F">
      <w:pPr>
        <w:pStyle w:val="Heading3"/>
        <w:jc w:val="left"/>
      </w:pPr>
      <w:r w:rsidRPr="00A700E7">
        <w:t>Food effect</w:t>
      </w:r>
    </w:p>
    <w:p w14:paraId="1654AD01" w14:textId="35B28829" w:rsidR="008B5F66" w:rsidRPr="00A700E7" w:rsidRDefault="008B5F66" w:rsidP="007A6B1F">
      <w:pPr>
        <w:jc w:val="left"/>
      </w:pPr>
      <w:bookmarkStart w:id="37" w:name="_Hlk171426925"/>
      <w:r w:rsidRPr="00A700E7">
        <w:t xml:space="preserve">When OPSYNVI (10 mg macitentan/40 mg tadalafil) tablet was administered to healthy subjects with a high-fat meal, no effect of food on the pharmacokinetics of macitentan was observed and the AUC for tadalafil remained unchanged, while </w:t>
      </w:r>
      <w:proofErr w:type="spellStart"/>
      <w:r w:rsidRPr="00A700E7">
        <w:t>C</w:t>
      </w:r>
      <w:r w:rsidRPr="00A700E7">
        <w:rPr>
          <w:vertAlign w:val="subscript"/>
        </w:rPr>
        <w:t>max</w:t>
      </w:r>
      <w:proofErr w:type="spellEnd"/>
      <w:r w:rsidRPr="00A700E7">
        <w:t xml:space="preserve"> increased by 45%.</w:t>
      </w:r>
      <w:r w:rsidR="00166234" w:rsidRPr="00A700E7">
        <w:t xml:space="preserve"> This increase in </w:t>
      </w:r>
      <w:proofErr w:type="spellStart"/>
      <w:r w:rsidR="00166234" w:rsidRPr="00A700E7">
        <w:t>C</w:t>
      </w:r>
      <w:r w:rsidR="00166234" w:rsidRPr="00A700E7">
        <w:rPr>
          <w:vertAlign w:val="subscript"/>
        </w:rPr>
        <w:t>max</w:t>
      </w:r>
      <w:proofErr w:type="spellEnd"/>
      <w:r w:rsidR="00166234" w:rsidRPr="00A700E7">
        <w:t xml:space="preserve"> is not considered clinically significant. </w:t>
      </w:r>
      <w:r w:rsidRPr="00A700E7">
        <w:t xml:space="preserve"> </w:t>
      </w:r>
    </w:p>
    <w:bookmarkEnd w:id="36"/>
    <w:bookmarkEnd w:id="37"/>
    <w:p w14:paraId="5120C54D" w14:textId="374D79BA" w:rsidR="005920AA" w:rsidRPr="00A700E7" w:rsidRDefault="005920AA" w:rsidP="007A6B1F">
      <w:pPr>
        <w:pStyle w:val="Heading3"/>
        <w:jc w:val="left"/>
      </w:pPr>
      <w:r w:rsidRPr="00A700E7">
        <w:t>Macitentan</w:t>
      </w:r>
    </w:p>
    <w:p w14:paraId="3243A8DE" w14:textId="77777777" w:rsidR="001D1197" w:rsidRPr="00A700E7" w:rsidRDefault="001D1197" w:rsidP="007A6B1F">
      <w:pPr>
        <w:jc w:val="left"/>
      </w:pPr>
    </w:p>
    <w:p w14:paraId="59973745" w14:textId="4511472E" w:rsidR="00CB6DB3" w:rsidRPr="00A700E7" w:rsidRDefault="00CB6DB3" w:rsidP="007A6B1F">
      <w:pPr>
        <w:jc w:val="left"/>
      </w:pPr>
      <w:r w:rsidRPr="00A700E7">
        <w:t>The pharmacokinetics of macitentan and its active metabolite have mainly been documented in healthy subjects.  Exposure to macitentan in patients with PAH was approximately 1.2-fold greater than in healthy subjects. The exposure to the active metabolite in patients, which is approximately 5</w:t>
      </w:r>
      <w:r w:rsidR="00B446D3" w:rsidRPr="00A700E7">
        <w:noBreakHyphen/>
      </w:r>
      <w:r w:rsidRPr="00A700E7">
        <w:t>fold less potent than macitentan, was approximately 1.3-fold higher than in healthy subjects. The pharm</w:t>
      </w:r>
      <w:r w:rsidR="00094FDB" w:rsidRPr="00A700E7">
        <w:t>a</w:t>
      </w:r>
      <w:r w:rsidRPr="00A700E7">
        <w:t xml:space="preserve">cokinetics of macitentan in PAH patients were not influenced by the severity of the disease. </w:t>
      </w:r>
    </w:p>
    <w:p w14:paraId="7110BF4B" w14:textId="77777777" w:rsidR="005920AA" w:rsidRPr="00A700E7" w:rsidRDefault="005920AA" w:rsidP="007A6B1F">
      <w:pPr>
        <w:jc w:val="left"/>
      </w:pPr>
    </w:p>
    <w:p w14:paraId="19302C35" w14:textId="77777777" w:rsidR="00CB6DB3" w:rsidRPr="00A700E7" w:rsidRDefault="00CB6DB3" w:rsidP="007A6B1F">
      <w:pPr>
        <w:jc w:val="left"/>
      </w:pPr>
      <w:r w:rsidRPr="00A700E7">
        <w:t>After repeated administration, the pharmacokinetics of macitentan are dose-proportional up to and including 30 mg.</w:t>
      </w:r>
    </w:p>
    <w:p w14:paraId="681CB46F" w14:textId="77777777" w:rsidR="00CB6DB3" w:rsidRPr="00A700E7" w:rsidRDefault="00CB6DB3" w:rsidP="007A6B1F">
      <w:pPr>
        <w:pStyle w:val="Heading4"/>
        <w:jc w:val="left"/>
      </w:pPr>
      <w:r w:rsidRPr="00A700E7">
        <w:lastRenderedPageBreak/>
        <w:t>Absorption</w:t>
      </w:r>
    </w:p>
    <w:p w14:paraId="3042F598" w14:textId="2A87889F" w:rsidR="00CB6DB3" w:rsidRPr="00A700E7" w:rsidRDefault="00CB6DB3" w:rsidP="007A6B1F">
      <w:pPr>
        <w:jc w:val="left"/>
      </w:pPr>
      <w:r w:rsidRPr="00A700E7">
        <w:t>Maximum plasma concentrations of macitentan are achieved about 8 hours after administration. The absolute bioavailability after oral administration is not known. Thereafter, plasma concentrations of macitentan and its active metabolite decrease slowly, with an apparent elimination half-life of approximately 16 hours and 48 hours, respectively.</w:t>
      </w:r>
    </w:p>
    <w:p w14:paraId="2C9116A7" w14:textId="77777777" w:rsidR="005920AA" w:rsidRPr="00A700E7" w:rsidRDefault="005920AA" w:rsidP="007A6B1F">
      <w:pPr>
        <w:jc w:val="left"/>
      </w:pPr>
    </w:p>
    <w:p w14:paraId="13D497F2" w14:textId="77777777" w:rsidR="00CB6DB3" w:rsidRPr="00A700E7" w:rsidRDefault="00CB6DB3" w:rsidP="007A6B1F">
      <w:pPr>
        <w:jc w:val="left"/>
      </w:pPr>
      <w:r w:rsidRPr="00A700E7">
        <w:t>In healthy subjects, the exposure to macitentan and its active metabolite is unchanged in the presence of food and, therefore, macitentan may be taken with or without food.</w:t>
      </w:r>
    </w:p>
    <w:p w14:paraId="5DD5DC94" w14:textId="77777777" w:rsidR="00CB6DB3" w:rsidRPr="00A700E7" w:rsidRDefault="00CB6DB3" w:rsidP="007A6B1F">
      <w:pPr>
        <w:pStyle w:val="Heading4"/>
        <w:jc w:val="left"/>
      </w:pPr>
      <w:r w:rsidRPr="00A700E7">
        <w:t>Distribution</w:t>
      </w:r>
    </w:p>
    <w:p w14:paraId="707C0669" w14:textId="77777777" w:rsidR="00CB6DB3" w:rsidRPr="00A700E7" w:rsidRDefault="00CB6DB3" w:rsidP="007A6B1F">
      <w:pPr>
        <w:jc w:val="left"/>
      </w:pPr>
      <w:r w:rsidRPr="00A700E7">
        <w:t>Macitentan and its active metabolite are highly bound to plasma proteins (&gt; 99%), primarily to albumin and to a lesser extent to alpha-1-acid glycoprotein. The apparent volumes of distribution (</w:t>
      </w:r>
      <w:proofErr w:type="spellStart"/>
      <w:r w:rsidRPr="00A700E7">
        <w:t>Vss</w:t>
      </w:r>
      <w:proofErr w:type="spellEnd"/>
      <w:r w:rsidRPr="00A700E7">
        <w:t>/F) of macitentan and its active metabolite were about 50 L and 40 L, respectively, in healthy subjects.</w:t>
      </w:r>
    </w:p>
    <w:p w14:paraId="610ED285" w14:textId="77777777" w:rsidR="00CB6DB3" w:rsidRPr="00A700E7" w:rsidRDefault="001F487F" w:rsidP="007A6B1F">
      <w:pPr>
        <w:pStyle w:val="Heading4"/>
        <w:jc w:val="left"/>
      </w:pPr>
      <w:r w:rsidRPr="00A700E7">
        <w:t xml:space="preserve">Metabolism </w:t>
      </w:r>
    </w:p>
    <w:p w14:paraId="10AF1335" w14:textId="20C70CB1" w:rsidR="00CB6DB3" w:rsidRPr="00A700E7" w:rsidRDefault="00CB6DB3" w:rsidP="007A6B1F">
      <w:pPr>
        <w:jc w:val="left"/>
      </w:pPr>
      <w:r w:rsidRPr="00A700E7">
        <w:t xml:space="preserve">Macitentan has four primary metabolic pathways. The most important is oxidative </w:t>
      </w:r>
      <w:proofErr w:type="spellStart"/>
      <w:r w:rsidRPr="00A700E7">
        <w:t>depropylation</w:t>
      </w:r>
      <w:proofErr w:type="spellEnd"/>
      <w:r w:rsidRPr="00A700E7">
        <w:t xml:space="preserve"> of the </w:t>
      </w:r>
      <w:proofErr w:type="spellStart"/>
      <w:r w:rsidRPr="00A700E7">
        <w:t>sulfamide</w:t>
      </w:r>
      <w:proofErr w:type="spellEnd"/>
      <w:r w:rsidRPr="00A700E7">
        <w:t xml:space="preserve"> to yield a pharmacologically active metabolite. This reaction is dependent on the cytochrome P450 system, mainly CYP3A4 (approximately 99%) with minor contributions from CYP2C8, CYP2C9 and CYP2C19. The active metabolite circulates in human plasma and may contribute to the pharmacological effect. </w:t>
      </w:r>
    </w:p>
    <w:p w14:paraId="0F3EB121" w14:textId="77777777" w:rsidR="002351FB" w:rsidRPr="00A700E7" w:rsidRDefault="002351FB" w:rsidP="007A6B1F">
      <w:pPr>
        <w:jc w:val="left"/>
      </w:pPr>
    </w:p>
    <w:p w14:paraId="27809865" w14:textId="7E5B72E0" w:rsidR="00CB6DB3" w:rsidRPr="00A700E7" w:rsidRDefault="00CB6DB3" w:rsidP="007A6B1F">
      <w:pPr>
        <w:jc w:val="left"/>
      </w:pPr>
      <w:r w:rsidRPr="00A700E7">
        <w:t xml:space="preserve">Other metabolic pathways yield products without pharmacological activity. </w:t>
      </w:r>
      <w:r w:rsidR="0013235A" w:rsidRPr="00A700E7">
        <w:t xml:space="preserve"> For these pathways, CYP2C9 plays a predominant role with minor contributions from CYP2C8, CYP2C19 and CYP3A.</w:t>
      </w:r>
    </w:p>
    <w:p w14:paraId="0B6320C1" w14:textId="77777777" w:rsidR="00CB6DB3" w:rsidRPr="00A700E7" w:rsidRDefault="00CB6DB3" w:rsidP="007A6B1F">
      <w:pPr>
        <w:pStyle w:val="Heading4"/>
        <w:jc w:val="left"/>
      </w:pPr>
      <w:r w:rsidRPr="00A700E7">
        <w:t>Excretion</w:t>
      </w:r>
    </w:p>
    <w:p w14:paraId="63C86FC8" w14:textId="5B70B9D0" w:rsidR="00F26054" w:rsidRPr="00A700E7" w:rsidRDefault="00CB6DB3" w:rsidP="007A6B1F">
      <w:pPr>
        <w:jc w:val="left"/>
      </w:pPr>
      <w:r w:rsidRPr="00A700E7">
        <w:t xml:space="preserve">Macitentan is only excreted after extensive metabolism. The major excretion route is via urine, accounting for about 50% of the dose. </w:t>
      </w:r>
    </w:p>
    <w:p w14:paraId="1C275827" w14:textId="77777777" w:rsidR="00F26054" w:rsidRPr="00A700E7" w:rsidRDefault="00F26054" w:rsidP="007A6B1F">
      <w:pPr>
        <w:pStyle w:val="Heading4"/>
        <w:jc w:val="left"/>
      </w:pPr>
      <w:r w:rsidRPr="00A700E7">
        <w:t>Special populations</w:t>
      </w:r>
    </w:p>
    <w:p w14:paraId="2C6D951B" w14:textId="77777777" w:rsidR="00F26054" w:rsidRPr="00A700E7" w:rsidRDefault="00F26054" w:rsidP="007A6B1F">
      <w:pPr>
        <w:jc w:val="left"/>
      </w:pPr>
      <w:r w:rsidRPr="00A700E7">
        <w:t>There is no clinically relevant effect of age, sex or ethnic origin on the pharmacokinetics of macitentan and its active metabolite.</w:t>
      </w:r>
    </w:p>
    <w:p w14:paraId="570F78CD" w14:textId="77777777" w:rsidR="00F26054" w:rsidRPr="00A700E7" w:rsidRDefault="00F26054" w:rsidP="007A6B1F">
      <w:pPr>
        <w:jc w:val="left"/>
      </w:pPr>
    </w:p>
    <w:p w14:paraId="61B51E1D" w14:textId="47FFFD07" w:rsidR="00F26054" w:rsidRPr="00A700E7" w:rsidRDefault="00F26054" w:rsidP="007A6B1F">
      <w:pPr>
        <w:jc w:val="left"/>
        <w:rPr>
          <w:i/>
          <w:iCs/>
        </w:rPr>
      </w:pPr>
      <w:r w:rsidRPr="00A700E7">
        <w:rPr>
          <w:i/>
          <w:iCs/>
        </w:rPr>
        <w:t>Renal impairment</w:t>
      </w:r>
    </w:p>
    <w:p w14:paraId="02FDE47C" w14:textId="194AB2AC" w:rsidR="00F26054" w:rsidRPr="00A700E7" w:rsidRDefault="00F26054" w:rsidP="007A6B1F">
      <w:pPr>
        <w:jc w:val="left"/>
      </w:pPr>
      <w:r w:rsidRPr="00A700E7">
        <w:t>Exposure to macitentan and its active metabolite was increased by 1.3- and 1.6-fold, respectively, in patients with severe renal impairment.</w:t>
      </w:r>
    </w:p>
    <w:p w14:paraId="725648E1" w14:textId="77777777" w:rsidR="00F26054" w:rsidRPr="00A700E7" w:rsidRDefault="00F26054" w:rsidP="007A6B1F">
      <w:pPr>
        <w:jc w:val="left"/>
      </w:pPr>
    </w:p>
    <w:p w14:paraId="2608C2A1" w14:textId="77777777" w:rsidR="00F26054" w:rsidRPr="00A700E7" w:rsidRDefault="00F26054" w:rsidP="007A6B1F">
      <w:pPr>
        <w:jc w:val="left"/>
        <w:rPr>
          <w:i/>
          <w:iCs/>
        </w:rPr>
      </w:pPr>
      <w:r w:rsidRPr="00A700E7">
        <w:rPr>
          <w:i/>
          <w:iCs/>
        </w:rPr>
        <w:t>Hepatic impairment</w:t>
      </w:r>
    </w:p>
    <w:p w14:paraId="23877346" w14:textId="1123D0AA" w:rsidR="00F26054" w:rsidRPr="00A700E7" w:rsidRDefault="00F26054" w:rsidP="007A6B1F">
      <w:pPr>
        <w:jc w:val="left"/>
      </w:pPr>
      <w:r w:rsidRPr="00A700E7">
        <w:t>Exposure to macitentan was decreased by 21%, 34%, and 6% and for the active metabolite by 20%, 25%, and 25% in subjects with mild, moderate or severe hepatic impairment, respectively.</w:t>
      </w:r>
    </w:p>
    <w:p w14:paraId="5B7DF578" w14:textId="2349BCF8" w:rsidR="00474006" w:rsidRPr="00A700E7" w:rsidRDefault="00474006" w:rsidP="007A6B1F">
      <w:pPr>
        <w:pStyle w:val="Heading3"/>
        <w:jc w:val="left"/>
      </w:pPr>
      <w:r w:rsidRPr="00A700E7">
        <w:t>Tadalafil</w:t>
      </w:r>
    </w:p>
    <w:p w14:paraId="6C0AFFFD" w14:textId="77777777" w:rsidR="00474006" w:rsidRPr="00A700E7" w:rsidRDefault="00474006" w:rsidP="007A6B1F">
      <w:pPr>
        <w:pStyle w:val="Heading4"/>
        <w:jc w:val="left"/>
      </w:pPr>
      <w:r w:rsidRPr="00A700E7">
        <w:t>Absorption</w:t>
      </w:r>
    </w:p>
    <w:p w14:paraId="2F043CD6" w14:textId="4853BA6B" w:rsidR="00474006" w:rsidRPr="00A700E7" w:rsidRDefault="00474006" w:rsidP="007A6B1F">
      <w:pPr>
        <w:jc w:val="left"/>
      </w:pPr>
      <w:r w:rsidRPr="00A700E7">
        <w:t>Tadalafil is rapidly absorbed after oral administration and the mean maximum observed plasma concentration (</w:t>
      </w:r>
      <w:proofErr w:type="spellStart"/>
      <w:r w:rsidRPr="00A700E7">
        <w:t>C</w:t>
      </w:r>
      <w:r w:rsidRPr="00A700E7">
        <w:rPr>
          <w:vertAlign w:val="subscript"/>
        </w:rPr>
        <w:t>max</w:t>
      </w:r>
      <w:proofErr w:type="spellEnd"/>
      <w:r w:rsidRPr="00A700E7">
        <w:t xml:space="preserve">) is achieved at a median time of 4 hours after dosing. There is no clinically relevant effect of food on the rate and extent of absorption of tadalafil, thus tadalafil may be taken with or without food. The time of dosing (morning versus evening after a single 10 mg administration) has no clinically relevant effects on the rate and extent of </w:t>
      </w:r>
      <w:r w:rsidRPr="00A700E7">
        <w:lastRenderedPageBreak/>
        <w:t>absorption. The absolute bioavailability of oral tadalafil has not been established. The mean bioavailability of the tadalafil 20 mg tablet has been estimated to be 88% relative to an oral suspension dosage form.</w:t>
      </w:r>
    </w:p>
    <w:p w14:paraId="618B4ADD" w14:textId="77777777" w:rsidR="00474006" w:rsidRPr="00A700E7" w:rsidRDefault="00474006" w:rsidP="007A6B1F">
      <w:pPr>
        <w:pStyle w:val="Heading4"/>
        <w:jc w:val="left"/>
      </w:pPr>
      <w:r w:rsidRPr="00A700E7">
        <w:t>Distribution</w:t>
      </w:r>
    </w:p>
    <w:p w14:paraId="5422C86E" w14:textId="2FCC3681" w:rsidR="00474006" w:rsidRPr="00A700E7" w:rsidRDefault="00474006" w:rsidP="007A6B1F">
      <w:pPr>
        <w:jc w:val="left"/>
      </w:pPr>
      <w:r w:rsidRPr="00A700E7">
        <w:t xml:space="preserve">The mean volume of distribution after oral dosing is approximately 77 L at </w:t>
      </w:r>
      <w:proofErr w:type="gramStart"/>
      <w:r w:rsidRPr="00A700E7">
        <w:t>steady</w:t>
      </w:r>
      <w:proofErr w:type="gramEnd"/>
      <w:r w:rsidRPr="00A700E7">
        <w:t xml:space="preserve"> state. At therapeutic concentrations, 94% of tadalafil in plasma is bound to proteins. Protein binding is not affected by impaired renal function. Less than 0.0005% of the administered dose appears in the semen of healthy subjects.</w:t>
      </w:r>
    </w:p>
    <w:p w14:paraId="0692F519" w14:textId="557010AE" w:rsidR="00474006" w:rsidRPr="00A700E7" w:rsidRDefault="00474006" w:rsidP="007A6B1F">
      <w:pPr>
        <w:pStyle w:val="Heading4"/>
        <w:jc w:val="left"/>
      </w:pPr>
      <w:r w:rsidRPr="00A700E7">
        <w:t>Metabolism</w:t>
      </w:r>
    </w:p>
    <w:p w14:paraId="5AC3441E" w14:textId="126E62AD" w:rsidR="00474006" w:rsidRPr="00A700E7" w:rsidRDefault="00474006" w:rsidP="007A6B1F">
      <w:pPr>
        <w:jc w:val="left"/>
      </w:pPr>
      <w:r w:rsidRPr="00A700E7">
        <w:t xml:space="preserve">Tadalafil is </w:t>
      </w:r>
      <w:proofErr w:type="spellStart"/>
      <w:r w:rsidRPr="00A700E7">
        <w:t>metabolised</w:t>
      </w:r>
      <w:proofErr w:type="spellEnd"/>
      <w:r w:rsidRPr="00A700E7">
        <w:t xml:space="preserve"> mainly (&gt;80%) by the cytochrome P450 (CYP) 3A4 isoform, with minor contributions by CYPs 2C8, 2C9, 2C19 and 2D6 (&lt;20% collectively). The major circulating metabolite is </w:t>
      </w:r>
      <w:proofErr w:type="gramStart"/>
      <w:r w:rsidRPr="00A700E7">
        <w:t xml:space="preserve">the </w:t>
      </w:r>
      <w:proofErr w:type="spellStart"/>
      <w:r w:rsidRPr="00A700E7">
        <w:t>methylcatechol</w:t>
      </w:r>
      <w:proofErr w:type="spellEnd"/>
      <w:proofErr w:type="gramEnd"/>
      <w:r w:rsidRPr="00A700E7">
        <w:t xml:space="preserve"> glucuronide. This metabolite is at least 13,000-fold less potent than tadalafil for PDE5. Consequently, it is not expected to be clinically active at observed metabolite concentrations.</w:t>
      </w:r>
    </w:p>
    <w:p w14:paraId="68EBBFF0" w14:textId="77777777" w:rsidR="00474006" w:rsidRPr="00A700E7" w:rsidRDefault="00474006" w:rsidP="007A6B1F">
      <w:pPr>
        <w:pStyle w:val="Heading4"/>
        <w:jc w:val="left"/>
      </w:pPr>
      <w:r w:rsidRPr="00A700E7">
        <w:t>Excretion</w:t>
      </w:r>
    </w:p>
    <w:p w14:paraId="20F03CE2" w14:textId="3B5C69A4" w:rsidR="00474006" w:rsidRPr="00A700E7" w:rsidRDefault="00474006" w:rsidP="007A6B1F">
      <w:pPr>
        <w:jc w:val="left"/>
      </w:pPr>
      <w:r w:rsidRPr="00A700E7">
        <w:t>The mean oral clearance for tadalafil is 3.4 L/</w:t>
      </w:r>
      <w:proofErr w:type="spellStart"/>
      <w:r w:rsidRPr="00A700E7">
        <w:t>hr</w:t>
      </w:r>
      <w:proofErr w:type="spellEnd"/>
      <w:r w:rsidRPr="00A700E7">
        <w:t xml:space="preserve"> and the mean terminal half-life is 16 hours in healthy subjects. Tadalafil is excreted predominantly as inactive metabolites, mainly in the </w:t>
      </w:r>
      <w:proofErr w:type="spellStart"/>
      <w:r w:rsidRPr="00A700E7">
        <w:t>faeces</w:t>
      </w:r>
      <w:proofErr w:type="spellEnd"/>
      <w:r w:rsidRPr="00A700E7">
        <w:t xml:space="preserve"> (approximately 61% of the dose) and to a lesser extent in the urine (approximately 36% of the dose).</w:t>
      </w:r>
    </w:p>
    <w:p w14:paraId="6B4C0616" w14:textId="77777777" w:rsidR="00474006" w:rsidRPr="00A700E7" w:rsidRDefault="00474006" w:rsidP="007A6B1F">
      <w:pPr>
        <w:pStyle w:val="Heading4"/>
        <w:jc w:val="left"/>
      </w:pPr>
      <w:r w:rsidRPr="00A700E7">
        <w:t>Linearity/non-linearity</w:t>
      </w:r>
    </w:p>
    <w:p w14:paraId="5E92624A" w14:textId="6363EDA1" w:rsidR="00474006" w:rsidRPr="00A700E7" w:rsidRDefault="00474006" w:rsidP="007A6B1F">
      <w:pPr>
        <w:jc w:val="left"/>
      </w:pPr>
      <w:r w:rsidRPr="00A700E7">
        <w:t>Over a dose range of 2.5 to 20 mg, tadalafil exposure (AUC) increases proportionally with dose in healthy subjects. Between 20 mg to 40 mg, a less than proportional increase in exposure is observed. During tadalafil 20 mg and 40 mg once daily dosing, steady-state plasma concentrations are attained within 5 days, and exposure is approximately 1.5fold of that after a single dose.</w:t>
      </w:r>
    </w:p>
    <w:p w14:paraId="30D1AB18" w14:textId="77777777" w:rsidR="00474006" w:rsidRPr="00A700E7" w:rsidRDefault="00474006" w:rsidP="007A6B1F">
      <w:pPr>
        <w:pStyle w:val="Heading4"/>
        <w:jc w:val="left"/>
      </w:pPr>
      <w:r w:rsidRPr="00A700E7">
        <w:t>Population pharmacokinetics</w:t>
      </w:r>
    </w:p>
    <w:p w14:paraId="5377D39E" w14:textId="769D7502" w:rsidR="00474006" w:rsidRPr="00A700E7" w:rsidRDefault="00474006" w:rsidP="007A6B1F">
      <w:pPr>
        <w:jc w:val="left"/>
      </w:pPr>
      <w:r w:rsidRPr="00A700E7">
        <w:t xml:space="preserve">In patients with pulmonary hypertension not receiving concomitant </w:t>
      </w:r>
      <w:proofErr w:type="spellStart"/>
      <w:r w:rsidRPr="00A700E7">
        <w:t>bosentan</w:t>
      </w:r>
      <w:proofErr w:type="spellEnd"/>
      <w:r w:rsidRPr="00A700E7">
        <w:t xml:space="preserve">, the average tadalafil exposure at </w:t>
      </w:r>
      <w:proofErr w:type="gramStart"/>
      <w:r w:rsidRPr="00A700E7">
        <w:t>steady-state</w:t>
      </w:r>
      <w:proofErr w:type="gramEnd"/>
      <w:r w:rsidRPr="00A700E7">
        <w:t xml:space="preserve"> following 40 mg was 26% higher when compared to those of healthy volunteers. There were no clinically relevant differences in </w:t>
      </w:r>
      <w:proofErr w:type="spellStart"/>
      <w:r w:rsidRPr="00A700E7">
        <w:t>C</w:t>
      </w:r>
      <w:r w:rsidRPr="00A700E7">
        <w:rPr>
          <w:vertAlign w:val="subscript"/>
        </w:rPr>
        <w:t>max</w:t>
      </w:r>
      <w:proofErr w:type="spellEnd"/>
      <w:r w:rsidRPr="00A700E7">
        <w:rPr>
          <w:vertAlign w:val="subscript"/>
        </w:rPr>
        <w:t xml:space="preserve"> </w:t>
      </w:r>
      <w:r w:rsidRPr="00A700E7">
        <w:t>compared to healthy volunteers. The results suggest a lower clearance of tadalafil in patients with pulmonary hypertension compared to healthy volunteers.</w:t>
      </w:r>
    </w:p>
    <w:p w14:paraId="255C0086" w14:textId="3EC9FB52" w:rsidR="00CB6DB3" w:rsidRPr="00A700E7" w:rsidRDefault="00CB6DB3" w:rsidP="007A6B1F">
      <w:pPr>
        <w:pStyle w:val="Heading4"/>
        <w:jc w:val="left"/>
      </w:pPr>
      <w:r w:rsidRPr="00A700E7">
        <w:rPr>
          <w:rStyle w:val="Heading4Char"/>
          <w:b/>
          <w:bCs/>
          <w:i/>
          <w:iCs/>
        </w:rPr>
        <w:t>Special populati</w:t>
      </w:r>
      <w:r w:rsidRPr="00A700E7">
        <w:t>ons</w:t>
      </w:r>
    </w:p>
    <w:p w14:paraId="70580B0F" w14:textId="6C4DEE14" w:rsidR="000B42B3" w:rsidRPr="00A700E7" w:rsidRDefault="00474006" w:rsidP="007A6B1F">
      <w:pPr>
        <w:jc w:val="left"/>
      </w:pPr>
      <w:r w:rsidRPr="00A700E7">
        <w:rPr>
          <w:i/>
          <w:iCs/>
        </w:rPr>
        <w:t>Elderly (65 years of age and older)</w:t>
      </w:r>
    </w:p>
    <w:p w14:paraId="6F7D920C" w14:textId="6B4C5F31" w:rsidR="000B42B3" w:rsidRPr="00A700E7" w:rsidRDefault="000B42B3" w:rsidP="007A6B1F">
      <w:pPr>
        <w:jc w:val="left"/>
      </w:pPr>
      <w:r w:rsidRPr="00A700E7">
        <w:t>Healthy elderly subjects (65 years or over) had a lower clearance of tadalafil, resulting in a half</w:t>
      </w:r>
      <w:r w:rsidR="00094FDB" w:rsidRPr="00A700E7">
        <w:t>-</w:t>
      </w:r>
      <w:r w:rsidRPr="00A700E7">
        <w:t>life of 22 hours and 25% higher exposure (AUC), relative to healthy subjects aged 19 to 45 years after a 10 mg dose (</w:t>
      </w:r>
      <w:r w:rsidR="00094FDB" w:rsidRPr="00A700E7">
        <w:t>half-</w:t>
      </w:r>
      <w:r w:rsidRPr="00A700E7">
        <w:t xml:space="preserve">life of 16-17 hours). This effect does not appear to warrant a dose adjustment (see Section 4.2 </w:t>
      </w:r>
      <w:r w:rsidRPr="00A700E7">
        <w:rPr>
          <w:caps/>
        </w:rPr>
        <w:t xml:space="preserve">Dose and method of administration - </w:t>
      </w:r>
      <w:r w:rsidRPr="00A700E7">
        <w:t xml:space="preserve">Elderly). The half-life of tadalafil in the elderly increases the period after the last dose of tadalafil during which nitrates should be avoided (see section 4.3 </w:t>
      </w:r>
      <w:r w:rsidRPr="00A700E7">
        <w:rPr>
          <w:caps/>
        </w:rPr>
        <w:t>Contraindications</w:t>
      </w:r>
      <w:r w:rsidRPr="00A700E7">
        <w:t>).</w:t>
      </w:r>
    </w:p>
    <w:p w14:paraId="793E04B3" w14:textId="77777777" w:rsidR="00F26054" w:rsidRPr="00A700E7" w:rsidRDefault="00F26054" w:rsidP="007A6B1F">
      <w:pPr>
        <w:jc w:val="left"/>
        <w:rPr>
          <w:i/>
          <w:iCs/>
        </w:rPr>
      </w:pPr>
    </w:p>
    <w:p w14:paraId="73D95F22" w14:textId="2D976CA5" w:rsidR="007B1879" w:rsidRPr="00A700E7" w:rsidRDefault="00474006" w:rsidP="007A6B1F">
      <w:pPr>
        <w:jc w:val="left"/>
      </w:pPr>
      <w:r w:rsidRPr="00A700E7">
        <w:rPr>
          <w:i/>
          <w:iCs/>
        </w:rPr>
        <w:t>Renal impairment</w:t>
      </w:r>
    </w:p>
    <w:p w14:paraId="5A9777EF" w14:textId="7119C4F6" w:rsidR="007B1879" w:rsidRPr="00A700E7" w:rsidRDefault="007B1879" w:rsidP="007A6B1F">
      <w:pPr>
        <w:jc w:val="left"/>
      </w:pPr>
      <w:r w:rsidRPr="00A700E7">
        <w:t xml:space="preserve">In clinical pharmacology studies using single-dose tadalafil (5-20 mg), tadalafil exposure (AUC) approximately doubled in subjects with mild (creatinine clearance 51 to 80 mL/min) or moderate (creatinine clearance 31 to 50 mL/min) renal impairment and in subjects with end-stage renal disease on dialysis. In </w:t>
      </w:r>
      <w:proofErr w:type="spellStart"/>
      <w:r w:rsidRPr="00A700E7">
        <w:t>haemodialysis</w:t>
      </w:r>
      <w:proofErr w:type="spellEnd"/>
      <w:r w:rsidRPr="00A700E7">
        <w:t xml:space="preserve"> patients in these studies, </w:t>
      </w:r>
      <w:proofErr w:type="spellStart"/>
      <w:r w:rsidRPr="00A700E7">
        <w:t>C</w:t>
      </w:r>
      <w:r w:rsidRPr="00A700E7">
        <w:rPr>
          <w:vertAlign w:val="subscript"/>
        </w:rPr>
        <w:t>max</w:t>
      </w:r>
      <w:proofErr w:type="spellEnd"/>
      <w:r w:rsidRPr="00A700E7">
        <w:t xml:space="preserve"> was 41% </w:t>
      </w:r>
      <w:r w:rsidRPr="00A700E7">
        <w:lastRenderedPageBreak/>
        <w:t xml:space="preserve">higher than that observed in healthy subjects. </w:t>
      </w:r>
      <w:proofErr w:type="spellStart"/>
      <w:r w:rsidRPr="00A700E7">
        <w:t>Haemodialysis</w:t>
      </w:r>
      <w:proofErr w:type="spellEnd"/>
      <w:r w:rsidRPr="00A700E7">
        <w:t xml:space="preserve"> contributed negligibly to tadalafil elimination.</w:t>
      </w:r>
    </w:p>
    <w:p w14:paraId="24088704" w14:textId="77777777" w:rsidR="004E00B6" w:rsidRPr="00A700E7" w:rsidRDefault="004E00B6" w:rsidP="007A6B1F">
      <w:pPr>
        <w:jc w:val="left"/>
      </w:pPr>
    </w:p>
    <w:p w14:paraId="259DF458" w14:textId="20F4258F" w:rsidR="004E00B6" w:rsidRPr="00A700E7" w:rsidRDefault="004E00B6" w:rsidP="007A6B1F">
      <w:pPr>
        <w:jc w:val="left"/>
      </w:pPr>
      <w:r w:rsidRPr="00A700E7">
        <w:t>Due to increased tadalafil exposure (AUC), limited clinical experience, and the lack of ability to influence clearance by dialysis, tadalafil is not recommended in patients with severe renal impairment.</w:t>
      </w:r>
    </w:p>
    <w:p w14:paraId="5573E73C" w14:textId="244F6537" w:rsidR="007B1879" w:rsidRPr="00A700E7" w:rsidRDefault="00474006" w:rsidP="007A6B1F">
      <w:pPr>
        <w:pStyle w:val="Heading4"/>
        <w:jc w:val="left"/>
      </w:pPr>
      <w:r w:rsidRPr="00A700E7">
        <w:rPr>
          <w:b w:val="0"/>
          <w:bCs w:val="0"/>
          <w:i w:val="0"/>
          <w:iCs w:val="0"/>
          <w:sz w:val="22"/>
          <w:szCs w:val="22"/>
        </w:rPr>
        <w:t>Hepatic impairment</w:t>
      </w:r>
    </w:p>
    <w:p w14:paraId="2DD9B81A" w14:textId="4A600AE1" w:rsidR="004E00B6" w:rsidRPr="00A700E7" w:rsidRDefault="007B1879" w:rsidP="007A6B1F">
      <w:pPr>
        <w:jc w:val="left"/>
      </w:pPr>
      <w:r w:rsidRPr="00A700E7">
        <w:t xml:space="preserve">A clinical pharmacology study was conducted using a single 10-mg dose of tadalafil to investigate the effect of hepatic impairment on the pharmacokinetics of tadalafil in subjects with hepatic dysfunction as defined by the Child-Pugh classification. Tadalafil exposure (AUC) in subjects with mild and moderate hepatic impairment (Child-Pugh Class A and B) was comparable to exposure in healthy subjects after a 10-mg dose. There </w:t>
      </w:r>
      <w:proofErr w:type="gramStart"/>
      <w:r w:rsidRPr="00A700E7">
        <w:t>are</w:t>
      </w:r>
      <w:proofErr w:type="gramEnd"/>
      <w:r w:rsidRPr="00A700E7">
        <w:t xml:space="preserve"> no available data about the administration of doses higher than 10 mg of tadalafil to patients with hepatic impairment. No controlled data are available in patients with severe hepatic impairment (Child-Pugh Class C)</w:t>
      </w:r>
      <w:r w:rsidR="00533B18" w:rsidRPr="00A700E7">
        <w:t xml:space="preserve"> and therefore dosing of tadalafil in these patients is not recommended. If tadalafil is prescribed, a careful individual benefit/risk evaluation should be undertaken by the prescribing physician</w:t>
      </w:r>
      <w:r w:rsidRPr="00A700E7">
        <w:t>.</w:t>
      </w:r>
    </w:p>
    <w:p w14:paraId="399B2B69" w14:textId="1D004166" w:rsidR="000B42B3" w:rsidRPr="00A700E7" w:rsidRDefault="007965C5" w:rsidP="007A6B1F">
      <w:pPr>
        <w:jc w:val="left"/>
      </w:pPr>
      <w:r w:rsidRPr="00A700E7">
        <w:t xml:space="preserve"> </w:t>
      </w:r>
    </w:p>
    <w:p w14:paraId="24385B55" w14:textId="77777777" w:rsidR="000B42B3" w:rsidRPr="00A700E7" w:rsidRDefault="000B42B3" w:rsidP="007A6B1F">
      <w:pPr>
        <w:jc w:val="left"/>
      </w:pPr>
      <w:r w:rsidRPr="00A700E7">
        <w:rPr>
          <w:i/>
          <w:iCs/>
        </w:rPr>
        <w:t>Patients with diabetes</w:t>
      </w:r>
    </w:p>
    <w:p w14:paraId="7537A3D5" w14:textId="794DCFD8" w:rsidR="000B42B3" w:rsidRPr="00A700E7" w:rsidRDefault="000B42B3" w:rsidP="007A6B1F">
      <w:pPr>
        <w:jc w:val="left"/>
      </w:pPr>
      <w:r w:rsidRPr="00A700E7">
        <w:t xml:space="preserve">Tadalafil exposure (AUC) in patients with diabetes was approximately 19% lower than the AUC value for healthy subjects after a 10 mg dose. This difference in exposure does not </w:t>
      </w:r>
      <w:proofErr w:type="gramStart"/>
      <w:r w:rsidRPr="00A700E7">
        <w:t>warrant</w:t>
      </w:r>
      <w:proofErr w:type="gramEnd"/>
      <w:r w:rsidRPr="00A700E7">
        <w:t xml:space="preserve"> a dose adjustment.</w:t>
      </w:r>
    </w:p>
    <w:p w14:paraId="09DCBDB1" w14:textId="77777777" w:rsidR="004E00B6" w:rsidRPr="00A700E7" w:rsidRDefault="004E00B6" w:rsidP="007A6B1F">
      <w:pPr>
        <w:jc w:val="left"/>
        <w:rPr>
          <w:i/>
          <w:iCs/>
        </w:rPr>
      </w:pPr>
    </w:p>
    <w:p w14:paraId="22B69CAB" w14:textId="30A76B76" w:rsidR="000B42B3" w:rsidRPr="00A700E7" w:rsidRDefault="000B42B3" w:rsidP="007A6B1F">
      <w:pPr>
        <w:jc w:val="left"/>
      </w:pPr>
      <w:r w:rsidRPr="00A700E7">
        <w:rPr>
          <w:i/>
          <w:iCs/>
        </w:rPr>
        <w:t>Race</w:t>
      </w:r>
    </w:p>
    <w:p w14:paraId="4A5C2A29" w14:textId="1C49F7F9" w:rsidR="000B42B3" w:rsidRPr="00A700E7" w:rsidRDefault="000B42B3" w:rsidP="007A6B1F">
      <w:pPr>
        <w:jc w:val="left"/>
      </w:pPr>
      <w:r w:rsidRPr="00A700E7">
        <w:t>Pharmacokinetic studies have included subjects and patients from different ethnic groups, and no differences in the typical exposure to tadalafil have been identified. No dose adjustment is warranted.</w:t>
      </w:r>
    </w:p>
    <w:p w14:paraId="34E6C58C" w14:textId="77777777" w:rsidR="004E00B6" w:rsidRPr="00A700E7" w:rsidRDefault="004E00B6" w:rsidP="007A6B1F">
      <w:pPr>
        <w:jc w:val="left"/>
      </w:pPr>
    </w:p>
    <w:p w14:paraId="0641DC8D" w14:textId="25B4BC83" w:rsidR="000B42B3" w:rsidRPr="00A700E7" w:rsidRDefault="000B42B3" w:rsidP="007A6B1F">
      <w:pPr>
        <w:jc w:val="left"/>
      </w:pPr>
      <w:r w:rsidRPr="00A700E7">
        <w:rPr>
          <w:i/>
          <w:iCs/>
        </w:rPr>
        <w:t>Gender</w:t>
      </w:r>
    </w:p>
    <w:p w14:paraId="6863DB62" w14:textId="27EED181" w:rsidR="000B42B3" w:rsidRPr="00A700E7" w:rsidRDefault="000B42B3" w:rsidP="007A6B1F">
      <w:pPr>
        <w:jc w:val="left"/>
      </w:pPr>
      <w:r w:rsidRPr="00A700E7">
        <w:t xml:space="preserve">In healthy female and male subjects following single and </w:t>
      </w:r>
      <w:proofErr w:type="gramStart"/>
      <w:r w:rsidRPr="00A700E7">
        <w:t>multiple-doses</w:t>
      </w:r>
      <w:proofErr w:type="gramEnd"/>
      <w:r w:rsidRPr="00A700E7">
        <w:t xml:space="preserve"> of tadalafil, no clinically relevant differences in exposure were observed. No dose adjustment is warranted.</w:t>
      </w:r>
    </w:p>
    <w:p w14:paraId="54506A9C" w14:textId="77777777" w:rsidR="0062568C" w:rsidRPr="00A700E7" w:rsidRDefault="0062568C" w:rsidP="007A6B1F">
      <w:pPr>
        <w:jc w:val="left"/>
      </w:pPr>
    </w:p>
    <w:p w14:paraId="71830CDF" w14:textId="77777777" w:rsidR="00774AFB" w:rsidRPr="00A700E7" w:rsidRDefault="00774AFB" w:rsidP="007A6B1F">
      <w:pPr>
        <w:jc w:val="left"/>
      </w:pPr>
    </w:p>
    <w:p w14:paraId="10BFF83C" w14:textId="1AA98054" w:rsidR="001A3992" w:rsidRPr="00A700E7" w:rsidRDefault="001A3992" w:rsidP="007A6B1F">
      <w:pPr>
        <w:pStyle w:val="Heading2"/>
        <w:jc w:val="left"/>
      </w:pPr>
      <w:r w:rsidRPr="00A700E7">
        <w:t>Preclinical safety data</w:t>
      </w:r>
    </w:p>
    <w:p w14:paraId="762735E9" w14:textId="17D67D5D" w:rsidR="00F116FE" w:rsidRPr="00A700E7" w:rsidRDefault="00F116FE" w:rsidP="007A6B1F">
      <w:pPr>
        <w:pStyle w:val="Heading3"/>
        <w:jc w:val="left"/>
      </w:pPr>
      <w:r w:rsidRPr="00A700E7">
        <w:t>Macitentan</w:t>
      </w:r>
    </w:p>
    <w:p w14:paraId="3C0C5984" w14:textId="77777777" w:rsidR="00F116FE" w:rsidRPr="00A700E7" w:rsidRDefault="00F116FE" w:rsidP="007A6B1F">
      <w:pPr>
        <w:pStyle w:val="Heading4"/>
        <w:jc w:val="left"/>
      </w:pPr>
      <w:r w:rsidRPr="00A700E7">
        <w:t>Genotoxicity</w:t>
      </w:r>
    </w:p>
    <w:p w14:paraId="4CC14D85" w14:textId="717B4A9F" w:rsidR="00F116FE" w:rsidRPr="00A700E7" w:rsidRDefault="00F116FE" w:rsidP="007A6B1F">
      <w:pPr>
        <w:jc w:val="left"/>
      </w:pPr>
      <w:r w:rsidRPr="00A700E7">
        <w:t xml:space="preserve">Macitentan was not genotoxic in a standard battery of </w:t>
      </w:r>
      <w:r w:rsidRPr="00A700E7">
        <w:rPr>
          <w:i/>
          <w:iCs/>
        </w:rPr>
        <w:t>in vitro</w:t>
      </w:r>
      <w:r w:rsidRPr="00A700E7">
        <w:t xml:space="preserve"> and </w:t>
      </w:r>
      <w:r w:rsidRPr="00A700E7">
        <w:rPr>
          <w:i/>
          <w:iCs/>
        </w:rPr>
        <w:t>in vivo</w:t>
      </w:r>
      <w:r w:rsidRPr="00A700E7">
        <w:t xml:space="preserve"> assays.</w:t>
      </w:r>
    </w:p>
    <w:p w14:paraId="59449CF8" w14:textId="77777777" w:rsidR="00F116FE" w:rsidRPr="00A700E7" w:rsidRDefault="00F116FE" w:rsidP="007A6B1F">
      <w:pPr>
        <w:pStyle w:val="Heading4"/>
        <w:jc w:val="left"/>
        <w:rPr>
          <w:rStyle w:val="Heading4Char"/>
          <w:b/>
          <w:bCs/>
          <w:i/>
          <w:iCs/>
        </w:rPr>
      </w:pPr>
      <w:r w:rsidRPr="00A700E7">
        <w:rPr>
          <w:rStyle w:val="Heading4Char"/>
          <w:b/>
          <w:bCs/>
          <w:i/>
          <w:iCs/>
        </w:rPr>
        <w:t xml:space="preserve">Carcinogenicity </w:t>
      </w:r>
    </w:p>
    <w:p w14:paraId="1FF785B4" w14:textId="6E5AA86D" w:rsidR="00F116FE" w:rsidRPr="00A700E7" w:rsidRDefault="00F116FE" w:rsidP="007A6B1F">
      <w:pPr>
        <w:jc w:val="left"/>
      </w:pPr>
      <w:r w:rsidRPr="00A700E7">
        <w:t>Studies of 2 years duration did not reveal a carcinogenic potential at exposures 18-fold and 116-fold the human exposure in rats and mice, respectively.</w:t>
      </w:r>
    </w:p>
    <w:p w14:paraId="6E93B4B7" w14:textId="7BA2170D" w:rsidR="00F116FE" w:rsidRPr="00A700E7" w:rsidRDefault="00F116FE" w:rsidP="007A6B1F">
      <w:pPr>
        <w:pStyle w:val="Heading3"/>
        <w:jc w:val="left"/>
      </w:pPr>
      <w:r w:rsidRPr="00A700E7">
        <w:t>Tadalafil</w:t>
      </w:r>
    </w:p>
    <w:p w14:paraId="05BBBA70" w14:textId="77777777" w:rsidR="00F116FE" w:rsidRPr="00A700E7" w:rsidRDefault="00F116FE" w:rsidP="007A6B1F">
      <w:pPr>
        <w:pStyle w:val="Heading4"/>
        <w:jc w:val="left"/>
      </w:pPr>
      <w:r w:rsidRPr="00A700E7">
        <w:t>Genotoxicity</w:t>
      </w:r>
    </w:p>
    <w:p w14:paraId="0C3E256B" w14:textId="76491FEC" w:rsidR="00F116FE" w:rsidRPr="00A700E7" w:rsidRDefault="00F116FE" w:rsidP="007A6B1F">
      <w:pPr>
        <w:jc w:val="left"/>
      </w:pPr>
      <w:r w:rsidRPr="00A700E7">
        <w:t xml:space="preserve">Tadalafil was not mutagenic or genotoxic in in vitro bacterial and mammalian cell assays, </w:t>
      </w:r>
      <w:proofErr w:type="gramStart"/>
      <w:r w:rsidRPr="00A700E7">
        <w:t>and in</w:t>
      </w:r>
      <w:proofErr w:type="gramEnd"/>
      <w:r w:rsidRPr="00A700E7">
        <w:t xml:space="preserve"> </w:t>
      </w:r>
      <w:r w:rsidRPr="00A700E7">
        <w:rPr>
          <w:i/>
          <w:iCs/>
        </w:rPr>
        <w:t>in vitro</w:t>
      </w:r>
      <w:r w:rsidRPr="00A700E7">
        <w:t xml:space="preserve"> human lymphocytes and </w:t>
      </w:r>
      <w:r w:rsidRPr="00A700E7">
        <w:rPr>
          <w:i/>
          <w:iCs/>
        </w:rPr>
        <w:t>in vivo</w:t>
      </w:r>
      <w:r w:rsidRPr="00A700E7">
        <w:t xml:space="preserve"> rat micronucleus assays.</w:t>
      </w:r>
    </w:p>
    <w:p w14:paraId="3352B9A8" w14:textId="77777777" w:rsidR="00F116FE" w:rsidRPr="00A700E7" w:rsidRDefault="00F116FE" w:rsidP="007A6B1F">
      <w:pPr>
        <w:pStyle w:val="Heading4"/>
        <w:jc w:val="left"/>
      </w:pPr>
      <w:r w:rsidRPr="00A700E7">
        <w:lastRenderedPageBreak/>
        <w:t>Carcinogenicity</w:t>
      </w:r>
    </w:p>
    <w:p w14:paraId="145B3BCC" w14:textId="07A92B8A" w:rsidR="00F116FE" w:rsidRPr="00A700E7" w:rsidRDefault="00F116FE" w:rsidP="007A6B1F">
      <w:pPr>
        <w:jc w:val="left"/>
      </w:pPr>
      <w:r w:rsidRPr="00A700E7">
        <w:t xml:space="preserve">Oral administration of tadalafil at doses of 400 mg/kg/day for up to two years in mice resulted in increased development of hepatocellular adenomas in males but not in females. Tadalafil also caused hepatocellular microsomal enzyme induction in </w:t>
      </w:r>
      <w:proofErr w:type="gramStart"/>
      <w:r w:rsidRPr="00A700E7">
        <w:t>rodents</w:t>
      </w:r>
      <w:proofErr w:type="gramEnd"/>
      <w:r w:rsidRPr="00A700E7">
        <w:t xml:space="preserve"> and it is possible that this could lead to an increased incidence of hepatocellular neoplasms. However, hepatic microsomal enzyme induction is a common non-genotoxic biologic effect associated with hepatocellular </w:t>
      </w:r>
      <w:proofErr w:type="spellStart"/>
      <w:r w:rsidRPr="00A700E7">
        <w:t>tumour</w:t>
      </w:r>
      <w:proofErr w:type="spellEnd"/>
      <w:r w:rsidRPr="00A700E7">
        <w:t xml:space="preserve"> formation in rodents and is not considered relevant to human cancer risk. The no effect dose of 60 mg/kg/day was associated with systemic exposure to tadalafil approximately 2 to 3- fold that expected in humans taking the recommended dose of 40 mg daily, based on unbound drug concentrations.</w:t>
      </w:r>
    </w:p>
    <w:p w14:paraId="12E0704E" w14:textId="77777777" w:rsidR="00C55C19" w:rsidRPr="00A700E7" w:rsidRDefault="00C55C19" w:rsidP="007A6B1F">
      <w:pPr>
        <w:jc w:val="left"/>
      </w:pPr>
    </w:p>
    <w:p w14:paraId="1E0351A4" w14:textId="77777777" w:rsidR="00F116FE" w:rsidRPr="00A700E7" w:rsidRDefault="00F116FE" w:rsidP="007A6B1F">
      <w:pPr>
        <w:jc w:val="left"/>
      </w:pPr>
    </w:p>
    <w:p w14:paraId="7A0CD1EB" w14:textId="77777777" w:rsidR="001A3992" w:rsidRPr="00A700E7" w:rsidRDefault="001A3992" w:rsidP="007A6B1F">
      <w:pPr>
        <w:pStyle w:val="Heading1"/>
        <w:jc w:val="left"/>
      </w:pPr>
      <w:r w:rsidRPr="00A700E7">
        <w:t>Pharmaceutical particulars</w:t>
      </w:r>
    </w:p>
    <w:p w14:paraId="58DE0D0B" w14:textId="1B6D972D" w:rsidR="001A3992" w:rsidRPr="00A700E7" w:rsidRDefault="001A3992" w:rsidP="007A6B1F">
      <w:pPr>
        <w:pStyle w:val="Heading2"/>
        <w:jc w:val="left"/>
      </w:pPr>
      <w:r w:rsidRPr="00A700E7">
        <w:t xml:space="preserve">List of excipients </w:t>
      </w:r>
    </w:p>
    <w:p w14:paraId="4CCF49AD" w14:textId="77777777" w:rsidR="00043D33" w:rsidRPr="00A700E7" w:rsidRDefault="00043D33" w:rsidP="007A6B1F">
      <w:pPr>
        <w:pStyle w:val="Heading3"/>
        <w:jc w:val="left"/>
      </w:pPr>
      <w:r w:rsidRPr="00A700E7">
        <w:t>Tablet core</w:t>
      </w:r>
    </w:p>
    <w:p w14:paraId="07A297FC" w14:textId="0338DD11" w:rsidR="00043D33" w:rsidRPr="00A700E7" w:rsidRDefault="003E7F7C" w:rsidP="007A6B1F">
      <w:pPr>
        <w:jc w:val="left"/>
      </w:pPr>
      <w:proofErr w:type="spellStart"/>
      <w:r w:rsidRPr="00A700E7">
        <w:t>Hyprolose</w:t>
      </w:r>
      <w:proofErr w:type="spellEnd"/>
    </w:p>
    <w:p w14:paraId="03AD564C" w14:textId="77777777" w:rsidR="00043D33" w:rsidRPr="00A700E7" w:rsidRDefault="00043D33" w:rsidP="007A6B1F">
      <w:pPr>
        <w:jc w:val="left"/>
      </w:pPr>
      <w:r w:rsidRPr="00A700E7">
        <w:t>Lactose monohydrate</w:t>
      </w:r>
    </w:p>
    <w:p w14:paraId="2BD45A7B" w14:textId="77777777" w:rsidR="00043D33" w:rsidRPr="00A700E7" w:rsidRDefault="00043D33" w:rsidP="007A6B1F">
      <w:pPr>
        <w:jc w:val="left"/>
      </w:pPr>
      <w:r w:rsidRPr="00A700E7">
        <w:t>Magnesium stearate</w:t>
      </w:r>
    </w:p>
    <w:p w14:paraId="0C9FF55B" w14:textId="77777777" w:rsidR="00043D33" w:rsidRPr="00A700E7" w:rsidRDefault="00043D33" w:rsidP="007A6B1F">
      <w:pPr>
        <w:jc w:val="left"/>
      </w:pPr>
      <w:r w:rsidRPr="00A700E7">
        <w:t>Microcrystalline cellulose</w:t>
      </w:r>
    </w:p>
    <w:p w14:paraId="6F946146" w14:textId="77777777" w:rsidR="00043D33" w:rsidRPr="00A700E7" w:rsidRDefault="00043D33" w:rsidP="007A6B1F">
      <w:pPr>
        <w:jc w:val="left"/>
      </w:pPr>
      <w:r w:rsidRPr="00A700E7">
        <w:t>Polysorbate 80</w:t>
      </w:r>
    </w:p>
    <w:p w14:paraId="2A64A3A1" w14:textId="77777777" w:rsidR="00043D33" w:rsidRPr="00A700E7" w:rsidRDefault="00043D33" w:rsidP="007A6B1F">
      <w:pPr>
        <w:jc w:val="left"/>
      </w:pPr>
      <w:r w:rsidRPr="00A700E7">
        <w:t>Povidone</w:t>
      </w:r>
    </w:p>
    <w:p w14:paraId="71E63239" w14:textId="3A1A054A" w:rsidR="00043D33" w:rsidRPr="00A700E7" w:rsidRDefault="00043D33" w:rsidP="007A6B1F">
      <w:pPr>
        <w:jc w:val="left"/>
      </w:pPr>
      <w:r w:rsidRPr="00A700E7">
        <w:t>Sodium starch glycol</w:t>
      </w:r>
      <w:r w:rsidR="003E7F7C" w:rsidRPr="00A700E7">
        <w:t>l</w:t>
      </w:r>
      <w:r w:rsidRPr="00A700E7">
        <w:t>ate</w:t>
      </w:r>
    </w:p>
    <w:p w14:paraId="52F542AA" w14:textId="445012BC" w:rsidR="00043D33" w:rsidRPr="00A700E7" w:rsidRDefault="00043D33" w:rsidP="007A6B1F">
      <w:pPr>
        <w:jc w:val="left"/>
      </w:pPr>
      <w:r w:rsidRPr="00A700E7">
        <w:t>Sodium lauryl sulfate</w:t>
      </w:r>
    </w:p>
    <w:p w14:paraId="1CDCE2E3" w14:textId="3ED485E8" w:rsidR="003E7F7C" w:rsidRPr="00A700E7" w:rsidRDefault="008012C9" w:rsidP="007A6B1F">
      <w:pPr>
        <w:pStyle w:val="Heading3"/>
        <w:jc w:val="left"/>
      </w:pPr>
      <w:r w:rsidRPr="00A700E7">
        <w:t>F</w:t>
      </w:r>
      <w:r w:rsidR="003E7F7C" w:rsidRPr="00A700E7">
        <w:t>ilm coating</w:t>
      </w:r>
    </w:p>
    <w:p w14:paraId="60F8EF63" w14:textId="23863E7F" w:rsidR="003E7F7C" w:rsidRPr="00A700E7" w:rsidRDefault="003E7F7C" w:rsidP="007A6B1F">
      <w:pPr>
        <w:jc w:val="left"/>
      </w:pPr>
      <w:r w:rsidRPr="00A700E7">
        <w:t xml:space="preserve">Opadry II </w:t>
      </w:r>
      <w:r w:rsidR="00927DF3" w:rsidRPr="00A700E7">
        <w:t xml:space="preserve">Complete Film Coating System </w:t>
      </w:r>
      <w:r w:rsidRPr="00A700E7">
        <w:t>30K580008 White, ARTG PI</w:t>
      </w:r>
      <w:r w:rsidR="00BE302F" w:rsidRPr="00A700E7">
        <w:t xml:space="preserve"> No. </w:t>
      </w:r>
      <w:r w:rsidR="00927DF3" w:rsidRPr="00A700E7">
        <w:t>14</w:t>
      </w:r>
      <w:r w:rsidR="00286D4E" w:rsidRPr="00A700E7">
        <w:t>6</w:t>
      </w:r>
      <w:r w:rsidR="00927DF3" w:rsidRPr="00A700E7">
        <w:t>235</w:t>
      </w:r>
    </w:p>
    <w:p w14:paraId="42860249" w14:textId="77777777" w:rsidR="003E7F7C" w:rsidRPr="00A700E7" w:rsidRDefault="003E7F7C" w:rsidP="007A6B1F">
      <w:pPr>
        <w:jc w:val="left"/>
      </w:pPr>
    </w:p>
    <w:p w14:paraId="7298E3B0" w14:textId="77777777" w:rsidR="001A3992" w:rsidRPr="00A700E7" w:rsidRDefault="001A3992" w:rsidP="007A6B1F">
      <w:pPr>
        <w:pStyle w:val="Heading2"/>
        <w:jc w:val="left"/>
      </w:pPr>
      <w:r w:rsidRPr="00A700E7">
        <w:t xml:space="preserve">Incompatibilities </w:t>
      </w:r>
    </w:p>
    <w:p w14:paraId="6E63C7ED" w14:textId="426D4FF2" w:rsidR="00824DBC" w:rsidRPr="00A700E7" w:rsidRDefault="00BE302F" w:rsidP="007A6B1F">
      <w:pPr>
        <w:jc w:val="left"/>
      </w:pPr>
      <w:r w:rsidRPr="00A700E7">
        <w:t>Not applicable.</w:t>
      </w:r>
    </w:p>
    <w:p w14:paraId="76A0CF7A" w14:textId="77777777" w:rsidR="00C26C4B" w:rsidRPr="00A700E7" w:rsidRDefault="00C26C4B" w:rsidP="007A6B1F">
      <w:pPr>
        <w:jc w:val="left"/>
      </w:pPr>
    </w:p>
    <w:p w14:paraId="04F9CC02" w14:textId="77777777" w:rsidR="001A3992" w:rsidRPr="00A700E7" w:rsidRDefault="001A3992" w:rsidP="007A6B1F">
      <w:pPr>
        <w:pStyle w:val="Heading2"/>
        <w:jc w:val="left"/>
      </w:pPr>
      <w:r w:rsidRPr="00A700E7">
        <w:t xml:space="preserve">Shelf life </w:t>
      </w:r>
    </w:p>
    <w:p w14:paraId="7E141468" w14:textId="12446FFD" w:rsidR="00824DBC" w:rsidRPr="00A700E7" w:rsidRDefault="00EE1E21" w:rsidP="007A6B1F">
      <w:pPr>
        <w:jc w:val="left"/>
      </w:pPr>
      <w:r w:rsidRPr="00A700E7">
        <w:t>In Australia, information on the shelf life can be found on the public summary of the Australian Register of Therapeutic Goods (ARTG).  The expiry date can be found on the packaging.</w:t>
      </w:r>
    </w:p>
    <w:p w14:paraId="6688E957" w14:textId="77777777" w:rsidR="00C26C4B" w:rsidRPr="00A700E7" w:rsidRDefault="00C26C4B" w:rsidP="007A6B1F">
      <w:pPr>
        <w:jc w:val="left"/>
      </w:pPr>
    </w:p>
    <w:p w14:paraId="635FD603" w14:textId="77777777" w:rsidR="001A3992" w:rsidRPr="00A700E7" w:rsidRDefault="001A3992" w:rsidP="007A6B1F">
      <w:pPr>
        <w:pStyle w:val="Heading2"/>
        <w:jc w:val="left"/>
      </w:pPr>
      <w:r w:rsidRPr="00A700E7">
        <w:t xml:space="preserve">Special precautions for storage </w:t>
      </w:r>
    </w:p>
    <w:p w14:paraId="3BD47FE2" w14:textId="77777777" w:rsidR="00C26C4B" w:rsidRPr="00A700E7" w:rsidRDefault="00824DBC" w:rsidP="007A6B1F">
      <w:pPr>
        <w:jc w:val="left"/>
      </w:pPr>
      <w:r w:rsidRPr="00A700E7">
        <w:t>Store below 30˚C</w:t>
      </w:r>
      <w:r w:rsidR="00BE302F" w:rsidRPr="00A700E7">
        <w:t>. Store in original package.</w:t>
      </w:r>
    </w:p>
    <w:p w14:paraId="6EA21138" w14:textId="2D6CA3CB" w:rsidR="00824DBC" w:rsidRPr="00A700E7" w:rsidRDefault="00824DBC" w:rsidP="007A6B1F">
      <w:pPr>
        <w:jc w:val="left"/>
      </w:pPr>
      <w:r w:rsidRPr="00A700E7">
        <w:t xml:space="preserve"> </w:t>
      </w:r>
    </w:p>
    <w:p w14:paraId="5A7B9345" w14:textId="77777777" w:rsidR="001A3992" w:rsidRPr="00A700E7" w:rsidRDefault="001A3992" w:rsidP="007A6B1F">
      <w:pPr>
        <w:pStyle w:val="Heading2"/>
        <w:jc w:val="left"/>
      </w:pPr>
      <w:r w:rsidRPr="00A700E7">
        <w:t xml:space="preserve">Nature and contents of container </w:t>
      </w:r>
    </w:p>
    <w:p w14:paraId="1083139A" w14:textId="2885A60E" w:rsidR="00F70049" w:rsidRPr="00A700E7" w:rsidRDefault="00BE302F" w:rsidP="007A6B1F">
      <w:pPr>
        <w:jc w:val="left"/>
      </w:pPr>
      <w:r w:rsidRPr="00A700E7">
        <w:t xml:space="preserve">30 tablets in </w:t>
      </w:r>
      <w:proofErr w:type="spellStart"/>
      <w:r w:rsidRPr="00A700E7">
        <w:t>aluminium</w:t>
      </w:r>
      <w:proofErr w:type="spellEnd"/>
      <w:r w:rsidRPr="00A700E7">
        <w:t xml:space="preserve"> perforated unit dose blisters with integrated desiccant </w:t>
      </w:r>
      <w:proofErr w:type="spellStart"/>
      <w:r w:rsidRPr="00A700E7">
        <w:t>aluminium</w:t>
      </w:r>
      <w:proofErr w:type="spellEnd"/>
      <w:r w:rsidRPr="00A700E7">
        <w:t xml:space="preserve"> push-through lidding foil.</w:t>
      </w:r>
    </w:p>
    <w:p w14:paraId="08536366" w14:textId="77777777" w:rsidR="00C26C4B" w:rsidRPr="00A700E7" w:rsidRDefault="00C26C4B" w:rsidP="007A6B1F">
      <w:pPr>
        <w:jc w:val="left"/>
      </w:pPr>
    </w:p>
    <w:p w14:paraId="6D516FE2" w14:textId="77777777" w:rsidR="001A3992" w:rsidRPr="00A700E7" w:rsidRDefault="001A3992" w:rsidP="007A6B1F">
      <w:pPr>
        <w:pStyle w:val="Heading2"/>
        <w:jc w:val="left"/>
      </w:pPr>
      <w:r w:rsidRPr="00A700E7">
        <w:t xml:space="preserve">Special precautions for disposal </w:t>
      </w:r>
    </w:p>
    <w:p w14:paraId="403782B2" w14:textId="167A0225" w:rsidR="00162E44" w:rsidRPr="00A700E7" w:rsidRDefault="002A18F6" w:rsidP="007A6B1F">
      <w:pPr>
        <w:jc w:val="left"/>
        <w:rPr>
          <w:rFonts w:eastAsiaTheme="minorHAnsi"/>
        </w:rPr>
      </w:pPr>
      <w:r w:rsidRPr="00A700E7">
        <w:rPr>
          <w:lang w:val="en"/>
        </w:rPr>
        <w:t>In Australia, any unused medicine or waste material should be disposed of by taking to your local pharmacy.</w:t>
      </w:r>
    </w:p>
    <w:p w14:paraId="35BC6970" w14:textId="77777777" w:rsidR="002771FE" w:rsidRPr="00A700E7" w:rsidRDefault="002771FE" w:rsidP="007A6B1F">
      <w:pPr>
        <w:jc w:val="left"/>
        <w:rPr>
          <w:rFonts w:eastAsiaTheme="minorHAnsi"/>
        </w:rPr>
      </w:pPr>
    </w:p>
    <w:p w14:paraId="4E923B4D" w14:textId="77777777" w:rsidR="001A3992" w:rsidRPr="00A700E7" w:rsidRDefault="001A3992" w:rsidP="007A6B1F">
      <w:pPr>
        <w:pStyle w:val="Heading2"/>
        <w:jc w:val="left"/>
      </w:pPr>
      <w:r w:rsidRPr="00A700E7">
        <w:lastRenderedPageBreak/>
        <w:t>Physicochemical properties</w:t>
      </w:r>
    </w:p>
    <w:p w14:paraId="5945099B" w14:textId="62B2CBA3" w:rsidR="00182D7B" w:rsidRPr="00A700E7" w:rsidRDefault="00182D7B" w:rsidP="007A6B1F">
      <w:pPr>
        <w:pStyle w:val="Heading3"/>
        <w:jc w:val="left"/>
      </w:pPr>
      <w:r w:rsidRPr="00A700E7">
        <w:t>Macitentan</w:t>
      </w:r>
    </w:p>
    <w:p w14:paraId="525BCD6B" w14:textId="5FBFB9BA" w:rsidR="00182D7B" w:rsidRPr="00A700E7" w:rsidRDefault="00182D7B" w:rsidP="007A6B1F">
      <w:pPr>
        <w:pStyle w:val="Heading4"/>
        <w:jc w:val="left"/>
      </w:pPr>
      <w:r w:rsidRPr="00A700E7">
        <w:t>Chemical structure</w:t>
      </w:r>
    </w:p>
    <w:p w14:paraId="59A2063A" w14:textId="77777777" w:rsidR="00D721BD" w:rsidRPr="00A700E7" w:rsidRDefault="00D721BD" w:rsidP="007A6B1F">
      <w:pPr>
        <w:pStyle w:val="BodyText"/>
        <w:jc w:val="left"/>
        <w:rPr>
          <w:rFonts w:eastAsiaTheme="minorHAnsi"/>
          <w:lang w:val="en-AU"/>
        </w:rPr>
      </w:pPr>
    </w:p>
    <w:p w14:paraId="1D0F7539" w14:textId="28B1FC46" w:rsidR="00824DBC" w:rsidRPr="00A700E7" w:rsidRDefault="00824DBC" w:rsidP="007A6B1F">
      <w:pPr>
        <w:jc w:val="left"/>
      </w:pPr>
      <w:r w:rsidRPr="00A700E7">
        <w:rPr>
          <w:noProof/>
          <w:lang w:eastAsia="zh-CN"/>
        </w:rPr>
        <w:drawing>
          <wp:inline distT="0" distB="0" distL="0" distR="0" wp14:anchorId="41CB35E4" wp14:editId="516F48E1">
            <wp:extent cx="3129529" cy="1581150"/>
            <wp:effectExtent l="0" t="0" r="0" b="0"/>
            <wp:docPr id="5" name="Picture 5" descr="E:\Users\czachch1\AppData\Local\Temp\notesB2F8C8\Maciten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czachch1\AppData\Local\Temp\notesB2F8C8\Macitenta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8079" cy="1590522"/>
                    </a:xfrm>
                    <a:prstGeom prst="rect">
                      <a:avLst/>
                    </a:prstGeom>
                    <a:noFill/>
                    <a:ln>
                      <a:noFill/>
                    </a:ln>
                  </pic:spPr>
                </pic:pic>
              </a:graphicData>
            </a:graphic>
          </wp:inline>
        </w:drawing>
      </w:r>
    </w:p>
    <w:p w14:paraId="45B17D7C" w14:textId="6EC41A80" w:rsidR="00182D7B" w:rsidRPr="00A700E7" w:rsidRDefault="00182D7B" w:rsidP="007A6B1F">
      <w:pPr>
        <w:jc w:val="left"/>
        <w:rPr>
          <w:lang w:val="pt-PT"/>
        </w:rPr>
      </w:pPr>
      <w:r w:rsidRPr="00A700E7">
        <w:rPr>
          <w:lang w:val="pt-PT"/>
        </w:rPr>
        <w:t>Molecular formula: C</w:t>
      </w:r>
      <w:r w:rsidRPr="00A700E7">
        <w:rPr>
          <w:vertAlign w:val="subscript"/>
          <w:lang w:val="pt-PT"/>
        </w:rPr>
        <w:t>19</w:t>
      </w:r>
      <w:r w:rsidRPr="00A700E7">
        <w:rPr>
          <w:lang w:val="pt-PT"/>
        </w:rPr>
        <w:t>H</w:t>
      </w:r>
      <w:r w:rsidRPr="00A700E7">
        <w:rPr>
          <w:vertAlign w:val="subscript"/>
          <w:lang w:val="pt-PT"/>
        </w:rPr>
        <w:t>20</w:t>
      </w:r>
      <w:r w:rsidRPr="00A700E7">
        <w:rPr>
          <w:lang w:val="pt-PT"/>
        </w:rPr>
        <w:t>Br</w:t>
      </w:r>
      <w:r w:rsidRPr="00A700E7">
        <w:rPr>
          <w:vertAlign w:val="subscript"/>
          <w:lang w:val="pt-PT"/>
        </w:rPr>
        <w:t>2</w:t>
      </w:r>
      <w:r w:rsidRPr="00A700E7">
        <w:rPr>
          <w:lang w:val="pt-PT"/>
        </w:rPr>
        <w:t>N</w:t>
      </w:r>
      <w:r w:rsidRPr="00A700E7">
        <w:rPr>
          <w:vertAlign w:val="subscript"/>
          <w:lang w:val="pt-PT"/>
        </w:rPr>
        <w:t>6</w:t>
      </w:r>
      <w:r w:rsidRPr="00A700E7">
        <w:rPr>
          <w:lang w:val="pt-PT"/>
        </w:rPr>
        <w:t>O</w:t>
      </w:r>
      <w:r w:rsidRPr="00A700E7">
        <w:rPr>
          <w:vertAlign w:val="subscript"/>
          <w:lang w:val="pt-PT"/>
        </w:rPr>
        <w:t>4</w:t>
      </w:r>
      <w:r w:rsidRPr="00A700E7">
        <w:rPr>
          <w:lang w:val="pt-PT"/>
        </w:rPr>
        <w:t>S</w:t>
      </w:r>
    </w:p>
    <w:p w14:paraId="4F27D209" w14:textId="2079DA8C" w:rsidR="00182D7B" w:rsidRPr="00A700E7" w:rsidRDefault="00182D7B" w:rsidP="007A6B1F">
      <w:pPr>
        <w:jc w:val="left"/>
        <w:rPr>
          <w:lang w:val="pt-PT"/>
        </w:rPr>
      </w:pPr>
      <w:r w:rsidRPr="00A700E7">
        <w:rPr>
          <w:lang w:val="pt-PT"/>
        </w:rPr>
        <w:t>Relative molecular mass: 588.27 g/mol.</w:t>
      </w:r>
    </w:p>
    <w:p w14:paraId="7510DB94" w14:textId="77777777" w:rsidR="001A3992" w:rsidRPr="00A700E7" w:rsidRDefault="001A3992" w:rsidP="007A6B1F">
      <w:pPr>
        <w:pStyle w:val="Heading4"/>
        <w:jc w:val="left"/>
      </w:pPr>
      <w:r w:rsidRPr="00A700E7">
        <w:t>CAS number</w:t>
      </w:r>
    </w:p>
    <w:p w14:paraId="22C4AEBC" w14:textId="017DCDC0" w:rsidR="00824DBC" w:rsidRPr="00A700E7" w:rsidRDefault="00824DBC" w:rsidP="007A6B1F">
      <w:pPr>
        <w:jc w:val="left"/>
      </w:pPr>
      <w:r w:rsidRPr="00A700E7">
        <w:t>441798-33-0</w:t>
      </w:r>
    </w:p>
    <w:p w14:paraId="524AE3B0" w14:textId="0A547001" w:rsidR="00182D7B" w:rsidRPr="00A700E7" w:rsidRDefault="00182D7B" w:rsidP="007A6B1F">
      <w:pPr>
        <w:pStyle w:val="Heading3"/>
        <w:jc w:val="left"/>
      </w:pPr>
      <w:r w:rsidRPr="00A700E7">
        <w:t>Tadalafil</w:t>
      </w:r>
    </w:p>
    <w:p w14:paraId="03A14BB9" w14:textId="0BBCAF5C" w:rsidR="004647DA" w:rsidRPr="00A700E7" w:rsidRDefault="00182D7B" w:rsidP="007A6B1F">
      <w:pPr>
        <w:pStyle w:val="Heading4"/>
        <w:jc w:val="left"/>
      </w:pPr>
      <w:r w:rsidRPr="00A700E7">
        <w:t>Chemical structure</w:t>
      </w:r>
    </w:p>
    <w:p w14:paraId="60A02699" w14:textId="49AA7414" w:rsidR="00182D7B" w:rsidRPr="00A700E7" w:rsidRDefault="008E5915" w:rsidP="007A6B1F">
      <w:pPr>
        <w:jc w:val="left"/>
      </w:pPr>
      <w:r w:rsidRPr="00A700E7">
        <w:rPr>
          <w:noProof/>
        </w:rPr>
        <w:drawing>
          <wp:inline distT="0" distB="0" distL="0" distR="0" wp14:anchorId="4D576FFB" wp14:editId="35ED4C34">
            <wp:extent cx="2590800" cy="246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99761" cy="2469005"/>
                    </a:xfrm>
                    <a:prstGeom prst="rect">
                      <a:avLst/>
                    </a:prstGeom>
                  </pic:spPr>
                </pic:pic>
              </a:graphicData>
            </a:graphic>
          </wp:inline>
        </w:drawing>
      </w:r>
    </w:p>
    <w:p w14:paraId="080E9771" w14:textId="6E8507CC" w:rsidR="008E5915" w:rsidRPr="00A700E7" w:rsidRDefault="008E5915" w:rsidP="007A6B1F">
      <w:pPr>
        <w:jc w:val="left"/>
        <w:rPr>
          <w:lang w:val="pt-PT"/>
        </w:rPr>
      </w:pPr>
      <w:r w:rsidRPr="00A700E7">
        <w:rPr>
          <w:lang w:val="pt-PT"/>
        </w:rPr>
        <w:t>Molecular formula: C</w:t>
      </w:r>
      <w:r w:rsidRPr="00A700E7">
        <w:rPr>
          <w:vertAlign w:val="subscript"/>
          <w:lang w:val="pt-PT"/>
        </w:rPr>
        <w:t>22</w:t>
      </w:r>
      <w:r w:rsidRPr="00A700E7">
        <w:rPr>
          <w:lang w:val="pt-PT"/>
        </w:rPr>
        <w:t>H</w:t>
      </w:r>
      <w:r w:rsidRPr="00A700E7">
        <w:rPr>
          <w:vertAlign w:val="subscript"/>
          <w:lang w:val="pt-PT"/>
        </w:rPr>
        <w:t>19</w:t>
      </w:r>
      <w:r w:rsidRPr="00A700E7">
        <w:rPr>
          <w:lang w:val="pt-PT"/>
        </w:rPr>
        <w:t>N</w:t>
      </w:r>
      <w:r w:rsidRPr="00A700E7">
        <w:rPr>
          <w:vertAlign w:val="subscript"/>
          <w:lang w:val="pt-PT"/>
        </w:rPr>
        <w:t>3</w:t>
      </w:r>
      <w:r w:rsidRPr="00A700E7">
        <w:rPr>
          <w:lang w:val="pt-PT"/>
        </w:rPr>
        <w:t>O</w:t>
      </w:r>
      <w:r w:rsidRPr="00A700E7">
        <w:rPr>
          <w:vertAlign w:val="subscript"/>
          <w:lang w:val="pt-PT"/>
        </w:rPr>
        <w:t>4</w:t>
      </w:r>
    </w:p>
    <w:p w14:paraId="375839F7" w14:textId="27CF1892" w:rsidR="008E5915" w:rsidRPr="00A700E7" w:rsidRDefault="008E5915" w:rsidP="007A6B1F">
      <w:pPr>
        <w:jc w:val="left"/>
        <w:rPr>
          <w:lang w:val="pt-PT"/>
        </w:rPr>
      </w:pPr>
      <w:r w:rsidRPr="00A700E7">
        <w:rPr>
          <w:lang w:val="pt-PT"/>
        </w:rPr>
        <w:t>Molecular weight: 389.40</w:t>
      </w:r>
    </w:p>
    <w:p w14:paraId="4294C596" w14:textId="77777777" w:rsidR="00182D7B" w:rsidRPr="00A700E7" w:rsidRDefault="00182D7B" w:rsidP="007A6B1F">
      <w:pPr>
        <w:pStyle w:val="Heading4"/>
        <w:jc w:val="left"/>
      </w:pPr>
      <w:r w:rsidRPr="00A700E7">
        <w:t>CAS number</w:t>
      </w:r>
    </w:p>
    <w:p w14:paraId="4185BC47" w14:textId="45BC32A0" w:rsidR="00182D7B" w:rsidRPr="00A700E7" w:rsidRDefault="008E5915" w:rsidP="007A6B1F">
      <w:pPr>
        <w:jc w:val="left"/>
      </w:pPr>
      <w:r w:rsidRPr="00A700E7">
        <w:t>171596-29-5</w:t>
      </w:r>
    </w:p>
    <w:p w14:paraId="5FEF0156" w14:textId="77777777" w:rsidR="00C26C4B" w:rsidRPr="00A700E7" w:rsidRDefault="00C26C4B" w:rsidP="007A6B1F">
      <w:pPr>
        <w:jc w:val="left"/>
      </w:pPr>
    </w:p>
    <w:p w14:paraId="6E702069" w14:textId="77777777" w:rsidR="001A3992" w:rsidRPr="00A700E7" w:rsidRDefault="001A3992" w:rsidP="007A6B1F">
      <w:pPr>
        <w:pStyle w:val="Heading1"/>
        <w:jc w:val="left"/>
      </w:pPr>
      <w:r w:rsidRPr="00A700E7">
        <w:t>Medicine schedule (Poisons Standard)</w:t>
      </w:r>
    </w:p>
    <w:p w14:paraId="4AA2EBE3" w14:textId="61AAC3DC" w:rsidR="00C26C4B" w:rsidRPr="00A700E7" w:rsidRDefault="00824DBC" w:rsidP="007A6B1F">
      <w:pPr>
        <w:jc w:val="left"/>
      </w:pPr>
      <w:r w:rsidRPr="00A700E7">
        <w:t>SCHEDULE 4 - Prescription Only Medicine</w:t>
      </w:r>
    </w:p>
    <w:p w14:paraId="6F28C1DC" w14:textId="77777777" w:rsidR="004B0C4E" w:rsidRPr="00A700E7" w:rsidRDefault="004B0C4E" w:rsidP="007A6B1F">
      <w:pPr>
        <w:jc w:val="left"/>
      </w:pPr>
    </w:p>
    <w:p w14:paraId="1DE6D543" w14:textId="6F131895" w:rsidR="00C37285" w:rsidRPr="00A700E7" w:rsidRDefault="00E441FB" w:rsidP="007A6B1F">
      <w:pPr>
        <w:pStyle w:val="Heading1"/>
        <w:numPr>
          <w:ilvl w:val="0"/>
          <w:numId w:val="0"/>
        </w:numPr>
        <w:ind w:left="432" w:hanging="432"/>
        <w:jc w:val="left"/>
        <w:rPr>
          <w:sz w:val="22"/>
          <w:szCs w:val="22"/>
        </w:rPr>
      </w:pPr>
      <w:r w:rsidRPr="00A700E7">
        <w:lastRenderedPageBreak/>
        <w:t xml:space="preserve">8    </w:t>
      </w:r>
      <w:proofErr w:type="gramStart"/>
      <w:r w:rsidR="001A3992" w:rsidRPr="00A700E7">
        <w:t>Sponsor</w:t>
      </w:r>
      <w:proofErr w:type="gramEnd"/>
    </w:p>
    <w:p w14:paraId="3B9035BF" w14:textId="77777777" w:rsidR="00C37285" w:rsidRPr="00A700E7" w:rsidRDefault="00C37285" w:rsidP="007A6B1F">
      <w:pPr>
        <w:pStyle w:val="Default"/>
        <w:rPr>
          <w:rFonts w:ascii="Arial" w:hAnsi="Arial" w:cs="Arial"/>
          <w:color w:val="auto"/>
          <w:sz w:val="22"/>
          <w:szCs w:val="22"/>
        </w:rPr>
      </w:pPr>
      <w:r w:rsidRPr="00A700E7">
        <w:rPr>
          <w:rFonts w:ascii="Arial" w:hAnsi="Arial" w:cs="Arial"/>
          <w:color w:val="auto"/>
          <w:sz w:val="22"/>
          <w:szCs w:val="22"/>
        </w:rPr>
        <w:t xml:space="preserve">JANSSEN-CILAG Pty Ltd </w:t>
      </w:r>
    </w:p>
    <w:p w14:paraId="266AA207" w14:textId="77777777" w:rsidR="00C37285" w:rsidRPr="00A700E7" w:rsidRDefault="00C37285" w:rsidP="007A6B1F">
      <w:pPr>
        <w:pStyle w:val="Default"/>
        <w:rPr>
          <w:rFonts w:ascii="Arial" w:hAnsi="Arial" w:cs="Arial"/>
          <w:color w:val="auto"/>
          <w:sz w:val="22"/>
          <w:szCs w:val="22"/>
        </w:rPr>
      </w:pPr>
      <w:r w:rsidRPr="00A700E7">
        <w:rPr>
          <w:rFonts w:ascii="Arial" w:hAnsi="Arial" w:cs="Arial"/>
          <w:color w:val="auto"/>
          <w:sz w:val="22"/>
          <w:szCs w:val="22"/>
        </w:rPr>
        <w:t xml:space="preserve">1-5 Khartoum Rd </w:t>
      </w:r>
    </w:p>
    <w:p w14:paraId="63D69E83" w14:textId="77777777" w:rsidR="00C37285" w:rsidRPr="00A700E7" w:rsidRDefault="00C37285" w:rsidP="007A6B1F">
      <w:pPr>
        <w:pStyle w:val="Default"/>
        <w:rPr>
          <w:rFonts w:ascii="Arial" w:hAnsi="Arial" w:cs="Arial"/>
          <w:color w:val="auto"/>
          <w:sz w:val="22"/>
          <w:szCs w:val="22"/>
        </w:rPr>
      </w:pPr>
      <w:r w:rsidRPr="00A700E7">
        <w:rPr>
          <w:rFonts w:ascii="Arial" w:hAnsi="Arial" w:cs="Arial"/>
          <w:color w:val="auto"/>
          <w:sz w:val="22"/>
          <w:szCs w:val="22"/>
        </w:rPr>
        <w:t xml:space="preserve">Macquarie Park NSW 2113 Australia </w:t>
      </w:r>
    </w:p>
    <w:p w14:paraId="0444FD3E" w14:textId="147BBF92" w:rsidR="00C37285" w:rsidRPr="00A700E7" w:rsidRDefault="00C37285" w:rsidP="007A6B1F">
      <w:pPr>
        <w:pStyle w:val="Default"/>
        <w:rPr>
          <w:rFonts w:ascii="Arial" w:hAnsi="Arial" w:cs="Arial"/>
          <w:color w:val="auto"/>
          <w:sz w:val="22"/>
          <w:szCs w:val="22"/>
        </w:rPr>
      </w:pPr>
      <w:r w:rsidRPr="00A700E7">
        <w:rPr>
          <w:rFonts w:ascii="Arial" w:hAnsi="Arial" w:cs="Arial"/>
          <w:color w:val="auto"/>
          <w:sz w:val="22"/>
          <w:szCs w:val="22"/>
        </w:rPr>
        <w:t xml:space="preserve">Telephone: 1800 226 334 </w:t>
      </w:r>
    </w:p>
    <w:p w14:paraId="6A710274" w14:textId="77777777" w:rsidR="004F7320" w:rsidRPr="00A700E7" w:rsidRDefault="004F7320" w:rsidP="007A6B1F">
      <w:pPr>
        <w:pStyle w:val="Default"/>
        <w:rPr>
          <w:rFonts w:ascii="Arial" w:hAnsi="Arial" w:cs="Arial"/>
          <w:color w:val="auto"/>
          <w:sz w:val="22"/>
          <w:szCs w:val="22"/>
        </w:rPr>
      </w:pPr>
    </w:p>
    <w:p w14:paraId="6AD49018" w14:textId="674042B2" w:rsidR="00C23928" w:rsidRPr="00A700E7" w:rsidRDefault="00C37285" w:rsidP="007A6B1F">
      <w:pPr>
        <w:jc w:val="left"/>
      </w:pPr>
      <w:r w:rsidRPr="00A700E7">
        <w:t>NZ Office: Auckland New Zealand</w:t>
      </w:r>
    </w:p>
    <w:p w14:paraId="274BA1B3" w14:textId="77777777" w:rsidR="00C26C4B" w:rsidRPr="00A700E7" w:rsidRDefault="00C26C4B" w:rsidP="007A6B1F">
      <w:pPr>
        <w:jc w:val="left"/>
      </w:pPr>
    </w:p>
    <w:p w14:paraId="435289EB" w14:textId="334E01B5" w:rsidR="001A3992" w:rsidRPr="00A700E7" w:rsidRDefault="001A3992" w:rsidP="007A6B1F">
      <w:pPr>
        <w:pStyle w:val="Heading1"/>
        <w:numPr>
          <w:ilvl w:val="0"/>
          <w:numId w:val="14"/>
        </w:numPr>
        <w:jc w:val="left"/>
      </w:pPr>
      <w:r w:rsidRPr="00A700E7">
        <w:t xml:space="preserve">Date of first approval  </w:t>
      </w:r>
    </w:p>
    <w:p w14:paraId="3ABCD207" w14:textId="6314A7BD" w:rsidR="00C23928" w:rsidRPr="00A700E7" w:rsidRDefault="00F2095D" w:rsidP="007A6B1F">
      <w:pPr>
        <w:jc w:val="left"/>
      </w:pPr>
      <w:r>
        <w:t>16 September 2024</w:t>
      </w:r>
    </w:p>
    <w:p w14:paraId="2713ECB9" w14:textId="77777777" w:rsidR="00C26C4B" w:rsidRPr="00A700E7" w:rsidRDefault="00C26C4B" w:rsidP="007A6B1F">
      <w:pPr>
        <w:jc w:val="left"/>
      </w:pPr>
    </w:p>
    <w:p w14:paraId="79429995" w14:textId="1383B31E" w:rsidR="00960CD5" w:rsidRPr="00A700E7" w:rsidRDefault="001539CC" w:rsidP="007A6B1F">
      <w:pPr>
        <w:pStyle w:val="Heading1"/>
        <w:jc w:val="left"/>
      </w:pPr>
      <w:r w:rsidRPr="00A700E7">
        <w:t>DATE of REVISION</w:t>
      </w:r>
    </w:p>
    <w:p w14:paraId="3E7B4C55" w14:textId="22980DF8" w:rsidR="001539CC" w:rsidRPr="00A700E7" w:rsidRDefault="001539CC" w:rsidP="007A6B1F">
      <w:pPr>
        <w:jc w:val="left"/>
      </w:pPr>
      <w:r w:rsidRPr="00A700E7">
        <w:t>NA</w:t>
      </w:r>
    </w:p>
    <w:p w14:paraId="3E5CB870" w14:textId="77777777" w:rsidR="001539CC" w:rsidRPr="00A700E7" w:rsidRDefault="001539CC" w:rsidP="007A6B1F">
      <w:pPr>
        <w:jc w:val="left"/>
      </w:pPr>
    </w:p>
    <w:p w14:paraId="7C22E985" w14:textId="77777777" w:rsidR="00692906" w:rsidRPr="00A700E7" w:rsidRDefault="00692906" w:rsidP="007A6B1F">
      <w:pPr>
        <w:jc w:val="left"/>
      </w:pPr>
    </w:p>
    <w:p w14:paraId="16A8102F" w14:textId="4E2B9966" w:rsidR="001539CC" w:rsidRPr="00A700E7" w:rsidRDefault="001539CC" w:rsidP="007A6B1F">
      <w:pPr>
        <w:pStyle w:val="Heading1"/>
        <w:jc w:val="left"/>
      </w:pPr>
      <w:r w:rsidRPr="00A700E7">
        <w:t>SUMMARY table of changes</w:t>
      </w:r>
    </w:p>
    <w:tbl>
      <w:tblPr>
        <w:tblStyle w:val="TableGrid"/>
        <w:tblW w:w="0" w:type="auto"/>
        <w:tblLook w:val="04A0" w:firstRow="1" w:lastRow="0" w:firstColumn="1" w:lastColumn="0" w:noHBand="0" w:noVBand="1"/>
      </w:tblPr>
      <w:tblGrid>
        <w:gridCol w:w="2830"/>
        <w:gridCol w:w="6186"/>
      </w:tblGrid>
      <w:tr w:rsidR="00A700E7" w:rsidRPr="00A700E7" w14:paraId="4C8AD58C" w14:textId="77777777" w:rsidTr="001539CC">
        <w:tc>
          <w:tcPr>
            <w:tcW w:w="2830" w:type="dxa"/>
          </w:tcPr>
          <w:p w14:paraId="390FBD18" w14:textId="22297D86" w:rsidR="001539CC" w:rsidRPr="00A700E7" w:rsidRDefault="001539CC" w:rsidP="007A6B1F">
            <w:pPr>
              <w:jc w:val="left"/>
            </w:pPr>
            <w:r w:rsidRPr="00A700E7">
              <w:t>Section Changed</w:t>
            </w:r>
          </w:p>
        </w:tc>
        <w:tc>
          <w:tcPr>
            <w:tcW w:w="6186" w:type="dxa"/>
          </w:tcPr>
          <w:p w14:paraId="2BD60502" w14:textId="7367A83D" w:rsidR="001539CC" w:rsidRPr="00A700E7" w:rsidRDefault="001539CC" w:rsidP="007A6B1F">
            <w:pPr>
              <w:jc w:val="left"/>
            </w:pPr>
            <w:r w:rsidRPr="00A700E7">
              <w:t>Summary of new information</w:t>
            </w:r>
          </w:p>
        </w:tc>
      </w:tr>
      <w:tr w:rsidR="001539CC" w:rsidRPr="00A700E7" w14:paraId="657A1D60" w14:textId="77777777" w:rsidTr="001539CC">
        <w:tc>
          <w:tcPr>
            <w:tcW w:w="2830" w:type="dxa"/>
          </w:tcPr>
          <w:p w14:paraId="052F4211" w14:textId="3616E70C" w:rsidR="001539CC" w:rsidRPr="00A700E7" w:rsidRDefault="001539CC" w:rsidP="007A6B1F">
            <w:pPr>
              <w:jc w:val="left"/>
            </w:pPr>
            <w:r w:rsidRPr="00A700E7">
              <w:t>NA</w:t>
            </w:r>
          </w:p>
        </w:tc>
        <w:tc>
          <w:tcPr>
            <w:tcW w:w="6186" w:type="dxa"/>
          </w:tcPr>
          <w:p w14:paraId="0106305D" w14:textId="56ADB665" w:rsidR="001539CC" w:rsidRPr="00A700E7" w:rsidRDefault="001539CC" w:rsidP="007A6B1F">
            <w:pPr>
              <w:jc w:val="left"/>
            </w:pPr>
            <w:r w:rsidRPr="00A700E7">
              <w:t>NA</w:t>
            </w:r>
          </w:p>
        </w:tc>
      </w:tr>
    </w:tbl>
    <w:p w14:paraId="79A8AD53" w14:textId="77777777" w:rsidR="001539CC" w:rsidRPr="00A700E7" w:rsidRDefault="001539CC" w:rsidP="007A6B1F">
      <w:pPr>
        <w:jc w:val="left"/>
      </w:pPr>
    </w:p>
    <w:sectPr w:rsidR="001539CC" w:rsidRPr="00A700E7" w:rsidSect="009245E0">
      <w:headerReference w:type="default" r:id="rId22"/>
      <w:footerReference w:type="default" r:id="rId23"/>
      <w:headerReference w:type="first" r:id="rId24"/>
      <w:footerReference w:type="first" r:id="rId25"/>
      <w:pgSz w:w="11906" w:h="16838"/>
      <w:pgMar w:top="1440" w:right="1440" w:bottom="993" w:left="1440" w:header="708"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B3C7" w14:textId="77777777" w:rsidR="00EE4D47" w:rsidRDefault="00EE4D47" w:rsidP="00DB761C">
      <w:r>
        <w:separator/>
      </w:r>
    </w:p>
    <w:p w14:paraId="0420C917" w14:textId="77777777" w:rsidR="00EE4D47" w:rsidRDefault="00EE4D47" w:rsidP="00DB761C"/>
    <w:p w14:paraId="78CF2B21" w14:textId="77777777" w:rsidR="00EE4D47" w:rsidRDefault="00EE4D47" w:rsidP="00DB761C"/>
  </w:endnote>
  <w:endnote w:type="continuationSeparator" w:id="0">
    <w:p w14:paraId="7A2116D2" w14:textId="77777777" w:rsidR="00EE4D47" w:rsidRDefault="00EE4D47" w:rsidP="00DB761C">
      <w:r>
        <w:continuationSeparator/>
      </w:r>
    </w:p>
    <w:p w14:paraId="62757A50" w14:textId="77777777" w:rsidR="00EE4D47" w:rsidRDefault="00EE4D47" w:rsidP="00DB761C"/>
    <w:p w14:paraId="4FE22B00" w14:textId="77777777" w:rsidR="00EE4D47" w:rsidRDefault="00EE4D47" w:rsidP="00DB7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E59" w14:textId="77777777" w:rsidR="009245E0" w:rsidRDefault="009245E0" w:rsidP="009F7E67">
    <w:pPr>
      <w:pStyle w:val="Footer"/>
      <w:pBdr>
        <w:bottom w:val="single" w:sz="4" w:space="1" w:color="auto"/>
      </w:pBdr>
    </w:pPr>
  </w:p>
  <w:p w14:paraId="270D5DF5" w14:textId="611085FB" w:rsidR="00A02B0F" w:rsidRPr="009245E0" w:rsidRDefault="00A9532C" w:rsidP="00DB761C">
    <w:pPr>
      <w:pStyle w:val="Footer"/>
    </w:pPr>
    <w:r w:rsidRPr="009245E0">
      <w:t>06</w:t>
    </w:r>
    <w:r w:rsidR="00B101DD" w:rsidRPr="009245E0">
      <w:t>.</w:t>
    </w:r>
    <w:r w:rsidR="007F08A8" w:rsidRPr="009245E0">
      <w:t>23</w:t>
    </w:r>
    <w:r w:rsidR="007F08A8">
      <w:t>0531</w:t>
    </w:r>
    <w:r w:rsidR="00A02B0F" w:rsidRPr="009245E0">
      <w:tab/>
    </w:r>
    <w:r w:rsidR="00A02B0F" w:rsidRPr="009245E0">
      <w:fldChar w:fldCharType="begin"/>
    </w:r>
    <w:r w:rsidR="00A02B0F" w:rsidRPr="009245E0">
      <w:instrText xml:space="preserve"> PAGE </w:instrText>
    </w:r>
    <w:r w:rsidR="00A02B0F" w:rsidRPr="009245E0">
      <w:fldChar w:fldCharType="separate"/>
    </w:r>
    <w:r w:rsidR="00A02B0F" w:rsidRPr="009245E0">
      <w:t>1</w:t>
    </w:r>
    <w:r w:rsidR="00A02B0F" w:rsidRPr="009245E0">
      <w:fldChar w:fldCharType="end"/>
    </w:r>
    <w:r w:rsidR="00A02B0F" w:rsidRPr="009245E0">
      <w:tab/>
    </w:r>
    <w:proofErr w:type="gramStart"/>
    <w:r w:rsidR="003302B2">
      <w:t>OPSYNVI</w:t>
    </w:r>
    <w:r w:rsidR="00A02B0F" w:rsidRPr="009245E0">
      <w:t>(</w:t>
    </w:r>
    <w:r w:rsidR="00D67E74">
      <w:t>2409</w:t>
    </w:r>
    <w:r w:rsidR="00F2095D">
      <w:t>16</w:t>
    </w:r>
    <w:r w:rsidR="00A02B0F" w:rsidRPr="009245E0">
      <w:t>)</w:t>
    </w:r>
    <w:r w:rsidR="00F2095D">
      <w:t>A</w:t>
    </w:r>
    <w:r w:rsidR="00B0001F" w:rsidRPr="009245E0">
      <w:t>PIv</w:t>
    </w:r>
    <w:proofErr w:type="gramEnd"/>
    <w:r w:rsidR="00F2095D">
      <w:t>1</w:t>
    </w:r>
  </w:p>
  <w:p w14:paraId="61F8E6B0" w14:textId="77777777" w:rsidR="00280335" w:rsidRDefault="00280335" w:rsidP="00DB761C"/>
  <w:p w14:paraId="58412B19" w14:textId="77777777" w:rsidR="00B55E16" w:rsidRDefault="00B55E16" w:rsidP="00DB761C"/>
  <w:p w14:paraId="5F83454D" w14:textId="77777777" w:rsidR="000E6CD7" w:rsidRDefault="000E6CD7"/>
  <w:p w14:paraId="5825949A" w14:textId="77777777" w:rsidR="000E6CD7" w:rsidRDefault="000E6C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78F5" w14:textId="1D953B96" w:rsidR="00A02B0F" w:rsidRPr="009245E0" w:rsidRDefault="00A9532C" w:rsidP="009F7E67">
    <w:pPr>
      <w:pStyle w:val="Footer"/>
      <w:pBdr>
        <w:top w:val="single" w:sz="4" w:space="1" w:color="auto"/>
      </w:pBdr>
    </w:pPr>
    <w:r w:rsidRPr="009245E0">
      <w:t>06</w:t>
    </w:r>
    <w:r w:rsidR="00B101DD" w:rsidRPr="009245E0">
      <w:t>.</w:t>
    </w:r>
    <w:r w:rsidR="00D11D3A" w:rsidRPr="009245E0">
      <w:t>23</w:t>
    </w:r>
    <w:r w:rsidR="00D11D3A">
      <w:t>0531</w:t>
    </w:r>
    <w:r w:rsidR="00A02B0F" w:rsidRPr="009245E0">
      <w:tab/>
    </w:r>
    <w:r w:rsidR="00A02B0F" w:rsidRPr="009245E0">
      <w:tab/>
    </w:r>
    <w:proofErr w:type="gramStart"/>
    <w:r w:rsidR="003302B2">
      <w:t>OPSYNVI</w:t>
    </w:r>
    <w:r w:rsidR="00A02B0F" w:rsidRPr="009245E0">
      <w:t>(</w:t>
    </w:r>
    <w:r w:rsidR="00D67E74">
      <w:t>2409</w:t>
    </w:r>
    <w:r w:rsidR="00F2095D">
      <w:t>16</w:t>
    </w:r>
    <w:r w:rsidR="00A02B0F" w:rsidRPr="009245E0">
      <w:t>)</w:t>
    </w:r>
    <w:r w:rsidR="00F2095D">
      <w:t>A</w:t>
    </w:r>
    <w:r w:rsidR="00B0001F" w:rsidRPr="009245E0">
      <w:t>PIv</w:t>
    </w:r>
    <w:proofErr w:type="gramEnd"/>
    <w:r w:rsidR="00F2095D">
      <w:t>1</w:t>
    </w:r>
  </w:p>
  <w:p w14:paraId="3A487099" w14:textId="77777777" w:rsidR="00A02B0F" w:rsidRPr="000D4E8F" w:rsidRDefault="00A02B0F" w:rsidP="00DB7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B7FD" w14:textId="77777777" w:rsidR="00EE4D47" w:rsidRDefault="00EE4D47" w:rsidP="00DB761C">
      <w:bookmarkStart w:id="0" w:name="_Hlk202277297"/>
      <w:bookmarkEnd w:id="0"/>
      <w:r>
        <w:separator/>
      </w:r>
    </w:p>
    <w:p w14:paraId="54B45680" w14:textId="77777777" w:rsidR="00EE4D47" w:rsidRDefault="00EE4D47" w:rsidP="00DB761C"/>
    <w:p w14:paraId="2567546D" w14:textId="77777777" w:rsidR="00EE4D47" w:rsidRDefault="00EE4D47" w:rsidP="00DB761C"/>
  </w:footnote>
  <w:footnote w:type="continuationSeparator" w:id="0">
    <w:p w14:paraId="1C77C5A1" w14:textId="77777777" w:rsidR="00EE4D47" w:rsidRDefault="00EE4D47" w:rsidP="00DB761C">
      <w:r>
        <w:continuationSeparator/>
      </w:r>
    </w:p>
    <w:p w14:paraId="39E5796C" w14:textId="77777777" w:rsidR="00EE4D47" w:rsidRDefault="00EE4D47" w:rsidP="00DB761C"/>
    <w:p w14:paraId="336FE619" w14:textId="77777777" w:rsidR="00EE4D47" w:rsidRDefault="00EE4D47" w:rsidP="00DB7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16"/>
    </w:tblGrid>
    <w:tr w:rsidR="007A6B1F" w:rsidRPr="000B2145" w14:paraId="4CC71F80" w14:textId="77777777" w:rsidTr="00437BAD">
      <w:trPr>
        <w:trHeight w:val="1012"/>
      </w:trPr>
      <w:tc>
        <w:tcPr>
          <w:tcW w:w="9180" w:type="dxa"/>
          <w:shd w:val="clear" w:color="auto" w:fill="E4F2E0"/>
        </w:tcPr>
        <w:p w14:paraId="2D5FBC4A" w14:textId="77777777" w:rsidR="007A6B1F" w:rsidRPr="000E4791" w:rsidRDefault="007A6B1F" w:rsidP="007A6B1F">
          <w:pPr>
            <w:pStyle w:val="Footer"/>
            <w:rPr>
              <w:b/>
              <w:sz w:val="18"/>
              <w:szCs w:val="18"/>
            </w:rPr>
          </w:pPr>
          <w:r w:rsidRPr="009C2C21">
            <w:rPr>
              <w:b/>
              <w:sz w:val="18"/>
              <w:szCs w:val="18"/>
            </w:rPr>
            <w:t>AusPAR - Opsynvi – macitentan/tadalafil - Janssen-Cilag Pty Ltd - PM-2023-03702-1-3</w:t>
          </w:r>
          <w:r>
            <w:rPr>
              <w:b/>
              <w:sz w:val="18"/>
              <w:szCs w:val="18"/>
            </w:rPr>
            <w:t xml:space="preserve"> </w:t>
          </w:r>
          <w:r w:rsidRPr="009C2C21">
            <w:rPr>
              <w:b/>
              <w:sz w:val="18"/>
              <w:szCs w:val="18"/>
            </w:rPr>
            <w:t>Final 23 June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tbl>
  <w:p w14:paraId="419BB46F" w14:textId="77777777" w:rsidR="007A6B1F" w:rsidRDefault="007A6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16"/>
    </w:tblGrid>
    <w:tr w:rsidR="007A6B1F" w:rsidRPr="000B2145" w14:paraId="6D65F8BC" w14:textId="77777777" w:rsidTr="007A6B1F">
      <w:trPr>
        <w:trHeight w:val="1012"/>
      </w:trPr>
      <w:tc>
        <w:tcPr>
          <w:tcW w:w="9016" w:type="dxa"/>
          <w:shd w:val="clear" w:color="auto" w:fill="E4F2E0"/>
        </w:tcPr>
        <w:p w14:paraId="69A8021D" w14:textId="77777777" w:rsidR="007A6B1F" w:rsidRPr="000E4791" w:rsidRDefault="007A6B1F" w:rsidP="007A6B1F">
          <w:pPr>
            <w:pStyle w:val="Footer"/>
            <w:rPr>
              <w:b/>
              <w:sz w:val="18"/>
              <w:szCs w:val="18"/>
            </w:rPr>
          </w:pPr>
          <w:bookmarkStart w:id="38" w:name="_Hlk109054010"/>
          <w:r w:rsidRPr="009C2C21">
            <w:rPr>
              <w:b/>
              <w:sz w:val="18"/>
              <w:szCs w:val="18"/>
            </w:rPr>
            <w:t xml:space="preserve">AusPAR - Opsynvi – macitentan/tadalafil - Janssen-Cilag Pty Ltd - </w:t>
          </w:r>
          <w:bookmarkStart w:id="39" w:name="_Hlk202264274"/>
          <w:r w:rsidRPr="009C2C21">
            <w:rPr>
              <w:b/>
              <w:sz w:val="18"/>
              <w:szCs w:val="18"/>
            </w:rPr>
            <w:t>PM-2023-03702-1-3</w:t>
          </w:r>
          <w:bookmarkEnd w:id="39"/>
          <w:r>
            <w:rPr>
              <w:b/>
              <w:sz w:val="18"/>
              <w:szCs w:val="18"/>
            </w:rPr>
            <w:t xml:space="preserve"> </w:t>
          </w:r>
          <w:r w:rsidRPr="009C2C21">
            <w:rPr>
              <w:b/>
              <w:sz w:val="18"/>
              <w:szCs w:val="18"/>
            </w:rPr>
            <w:t>Final 23 June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tbl>
  <w:bookmarkEnd w:id="38"/>
  <w:p w14:paraId="22358E28" w14:textId="1EA979A1" w:rsidR="00A02B0F" w:rsidRDefault="004C5E7A" w:rsidP="00DB761C">
    <w:pPr>
      <w:pStyle w:val="Header"/>
    </w:pPr>
    <w:r>
      <w:rPr>
        <w:noProof/>
        <w:lang w:eastAsia="en-AU"/>
      </w:rPr>
      <w:tab/>
    </w:r>
    <w:r>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77926"/>
    <w:multiLevelType w:val="hybridMultilevel"/>
    <w:tmpl w:val="F2067632"/>
    <w:lvl w:ilvl="0" w:tplc="CEFE9832">
      <w:start w:val="1"/>
      <w:numFmt w:val="bullet"/>
      <w:lvlText w:val=""/>
      <w:lvlJc w:val="left"/>
      <w:pPr>
        <w:ind w:left="720" w:hanging="360"/>
      </w:pPr>
      <w:rPr>
        <w:rFonts w:ascii="Symbol" w:hAnsi="Symbol"/>
      </w:rPr>
    </w:lvl>
    <w:lvl w:ilvl="1" w:tplc="58E01EFA">
      <w:start w:val="1"/>
      <w:numFmt w:val="bullet"/>
      <w:lvlText w:val=""/>
      <w:lvlJc w:val="left"/>
      <w:pPr>
        <w:ind w:left="720" w:hanging="360"/>
      </w:pPr>
      <w:rPr>
        <w:rFonts w:ascii="Symbol" w:hAnsi="Symbol"/>
      </w:rPr>
    </w:lvl>
    <w:lvl w:ilvl="2" w:tplc="A08C9348">
      <w:start w:val="1"/>
      <w:numFmt w:val="bullet"/>
      <w:lvlText w:val=""/>
      <w:lvlJc w:val="left"/>
      <w:pPr>
        <w:ind w:left="720" w:hanging="360"/>
      </w:pPr>
      <w:rPr>
        <w:rFonts w:ascii="Symbol" w:hAnsi="Symbol"/>
      </w:rPr>
    </w:lvl>
    <w:lvl w:ilvl="3" w:tplc="C6008E24">
      <w:start w:val="1"/>
      <w:numFmt w:val="bullet"/>
      <w:lvlText w:val=""/>
      <w:lvlJc w:val="left"/>
      <w:pPr>
        <w:ind w:left="720" w:hanging="360"/>
      </w:pPr>
      <w:rPr>
        <w:rFonts w:ascii="Symbol" w:hAnsi="Symbol"/>
      </w:rPr>
    </w:lvl>
    <w:lvl w:ilvl="4" w:tplc="8432166C">
      <w:start w:val="1"/>
      <w:numFmt w:val="bullet"/>
      <w:lvlText w:val=""/>
      <w:lvlJc w:val="left"/>
      <w:pPr>
        <w:ind w:left="720" w:hanging="360"/>
      </w:pPr>
      <w:rPr>
        <w:rFonts w:ascii="Symbol" w:hAnsi="Symbol"/>
      </w:rPr>
    </w:lvl>
    <w:lvl w:ilvl="5" w:tplc="8684DEDE">
      <w:start w:val="1"/>
      <w:numFmt w:val="bullet"/>
      <w:lvlText w:val=""/>
      <w:lvlJc w:val="left"/>
      <w:pPr>
        <w:ind w:left="720" w:hanging="360"/>
      </w:pPr>
      <w:rPr>
        <w:rFonts w:ascii="Symbol" w:hAnsi="Symbol"/>
      </w:rPr>
    </w:lvl>
    <w:lvl w:ilvl="6" w:tplc="ABD205D8">
      <w:start w:val="1"/>
      <w:numFmt w:val="bullet"/>
      <w:lvlText w:val=""/>
      <w:lvlJc w:val="left"/>
      <w:pPr>
        <w:ind w:left="720" w:hanging="360"/>
      </w:pPr>
      <w:rPr>
        <w:rFonts w:ascii="Symbol" w:hAnsi="Symbol"/>
      </w:rPr>
    </w:lvl>
    <w:lvl w:ilvl="7" w:tplc="711E1364">
      <w:start w:val="1"/>
      <w:numFmt w:val="bullet"/>
      <w:lvlText w:val=""/>
      <w:lvlJc w:val="left"/>
      <w:pPr>
        <w:ind w:left="720" w:hanging="360"/>
      </w:pPr>
      <w:rPr>
        <w:rFonts w:ascii="Symbol" w:hAnsi="Symbol"/>
      </w:rPr>
    </w:lvl>
    <w:lvl w:ilvl="8" w:tplc="23DAC26A">
      <w:start w:val="1"/>
      <w:numFmt w:val="bullet"/>
      <w:lvlText w:val=""/>
      <w:lvlJc w:val="left"/>
      <w:pPr>
        <w:ind w:left="720" w:hanging="360"/>
      </w:pPr>
      <w:rPr>
        <w:rFonts w:ascii="Symbol" w:hAnsi="Symbol"/>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2475D"/>
    <w:multiLevelType w:val="hybridMultilevel"/>
    <w:tmpl w:val="21728B08"/>
    <w:lvl w:ilvl="0" w:tplc="5A1697A0">
      <w:start w:val="1"/>
      <w:numFmt w:val="bullet"/>
      <w:lvlText w:val=""/>
      <w:lvlJc w:val="left"/>
      <w:pPr>
        <w:ind w:left="720" w:hanging="360"/>
      </w:pPr>
      <w:rPr>
        <w:rFonts w:ascii="Symbol" w:hAnsi="Symbol"/>
      </w:rPr>
    </w:lvl>
    <w:lvl w:ilvl="1" w:tplc="4F84FF66">
      <w:start w:val="1"/>
      <w:numFmt w:val="bullet"/>
      <w:lvlText w:val=""/>
      <w:lvlJc w:val="left"/>
      <w:pPr>
        <w:ind w:left="720" w:hanging="360"/>
      </w:pPr>
      <w:rPr>
        <w:rFonts w:ascii="Symbol" w:hAnsi="Symbol"/>
      </w:rPr>
    </w:lvl>
    <w:lvl w:ilvl="2" w:tplc="7C52E64A">
      <w:start w:val="1"/>
      <w:numFmt w:val="bullet"/>
      <w:lvlText w:val=""/>
      <w:lvlJc w:val="left"/>
      <w:pPr>
        <w:ind w:left="720" w:hanging="360"/>
      </w:pPr>
      <w:rPr>
        <w:rFonts w:ascii="Symbol" w:hAnsi="Symbol"/>
      </w:rPr>
    </w:lvl>
    <w:lvl w:ilvl="3" w:tplc="6A40BA9C">
      <w:start w:val="1"/>
      <w:numFmt w:val="bullet"/>
      <w:lvlText w:val=""/>
      <w:lvlJc w:val="left"/>
      <w:pPr>
        <w:ind w:left="720" w:hanging="360"/>
      </w:pPr>
      <w:rPr>
        <w:rFonts w:ascii="Symbol" w:hAnsi="Symbol"/>
      </w:rPr>
    </w:lvl>
    <w:lvl w:ilvl="4" w:tplc="774ABA60">
      <w:start w:val="1"/>
      <w:numFmt w:val="bullet"/>
      <w:lvlText w:val=""/>
      <w:lvlJc w:val="left"/>
      <w:pPr>
        <w:ind w:left="720" w:hanging="360"/>
      </w:pPr>
      <w:rPr>
        <w:rFonts w:ascii="Symbol" w:hAnsi="Symbol"/>
      </w:rPr>
    </w:lvl>
    <w:lvl w:ilvl="5" w:tplc="6C489A26">
      <w:start w:val="1"/>
      <w:numFmt w:val="bullet"/>
      <w:lvlText w:val=""/>
      <w:lvlJc w:val="left"/>
      <w:pPr>
        <w:ind w:left="720" w:hanging="360"/>
      </w:pPr>
      <w:rPr>
        <w:rFonts w:ascii="Symbol" w:hAnsi="Symbol"/>
      </w:rPr>
    </w:lvl>
    <w:lvl w:ilvl="6" w:tplc="3C2A91B0">
      <w:start w:val="1"/>
      <w:numFmt w:val="bullet"/>
      <w:lvlText w:val=""/>
      <w:lvlJc w:val="left"/>
      <w:pPr>
        <w:ind w:left="720" w:hanging="360"/>
      </w:pPr>
      <w:rPr>
        <w:rFonts w:ascii="Symbol" w:hAnsi="Symbol"/>
      </w:rPr>
    </w:lvl>
    <w:lvl w:ilvl="7" w:tplc="AB30D08E">
      <w:start w:val="1"/>
      <w:numFmt w:val="bullet"/>
      <w:lvlText w:val=""/>
      <w:lvlJc w:val="left"/>
      <w:pPr>
        <w:ind w:left="720" w:hanging="360"/>
      </w:pPr>
      <w:rPr>
        <w:rFonts w:ascii="Symbol" w:hAnsi="Symbol"/>
      </w:rPr>
    </w:lvl>
    <w:lvl w:ilvl="8" w:tplc="86D633D2">
      <w:start w:val="1"/>
      <w:numFmt w:val="bullet"/>
      <w:lvlText w:val=""/>
      <w:lvlJc w:val="left"/>
      <w:pPr>
        <w:ind w:left="720" w:hanging="360"/>
      </w:pPr>
      <w:rPr>
        <w:rFonts w:ascii="Symbol" w:hAnsi="Symbol"/>
      </w:rPr>
    </w:lvl>
  </w:abstractNum>
  <w:abstractNum w:abstractNumId="4" w15:restartNumberingAfterBreak="0">
    <w:nsid w:val="16905320"/>
    <w:multiLevelType w:val="hybridMultilevel"/>
    <w:tmpl w:val="D4F2D5F0"/>
    <w:lvl w:ilvl="0" w:tplc="E59E6A70">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03403"/>
    <w:multiLevelType w:val="hybridMultilevel"/>
    <w:tmpl w:val="681EA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65E74"/>
    <w:multiLevelType w:val="hybridMultilevel"/>
    <w:tmpl w:val="A358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A24BD"/>
    <w:multiLevelType w:val="hybridMultilevel"/>
    <w:tmpl w:val="3060516C"/>
    <w:lvl w:ilvl="0" w:tplc="1402087E">
      <w:start w:val="1"/>
      <w:numFmt w:val="bullet"/>
      <w:lvlText w:val=""/>
      <w:lvlJc w:val="left"/>
      <w:pPr>
        <w:ind w:left="720" w:hanging="360"/>
      </w:pPr>
      <w:rPr>
        <w:rFonts w:ascii="Symbol" w:hAnsi="Symbol"/>
      </w:rPr>
    </w:lvl>
    <w:lvl w:ilvl="1" w:tplc="2006E47A">
      <w:start w:val="1"/>
      <w:numFmt w:val="bullet"/>
      <w:lvlText w:val=""/>
      <w:lvlJc w:val="left"/>
      <w:pPr>
        <w:ind w:left="720" w:hanging="360"/>
      </w:pPr>
      <w:rPr>
        <w:rFonts w:ascii="Symbol" w:hAnsi="Symbol"/>
      </w:rPr>
    </w:lvl>
    <w:lvl w:ilvl="2" w:tplc="9E34B68E">
      <w:start w:val="1"/>
      <w:numFmt w:val="bullet"/>
      <w:lvlText w:val=""/>
      <w:lvlJc w:val="left"/>
      <w:pPr>
        <w:ind w:left="720" w:hanging="360"/>
      </w:pPr>
      <w:rPr>
        <w:rFonts w:ascii="Symbol" w:hAnsi="Symbol"/>
      </w:rPr>
    </w:lvl>
    <w:lvl w:ilvl="3" w:tplc="F558B85C">
      <w:start w:val="1"/>
      <w:numFmt w:val="bullet"/>
      <w:lvlText w:val=""/>
      <w:lvlJc w:val="left"/>
      <w:pPr>
        <w:ind w:left="720" w:hanging="360"/>
      </w:pPr>
      <w:rPr>
        <w:rFonts w:ascii="Symbol" w:hAnsi="Symbol"/>
      </w:rPr>
    </w:lvl>
    <w:lvl w:ilvl="4" w:tplc="1B90DAB6">
      <w:start w:val="1"/>
      <w:numFmt w:val="bullet"/>
      <w:lvlText w:val=""/>
      <w:lvlJc w:val="left"/>
      <w:pPr>
        <w:ind w:left="720" w:hanging="360"/>
      </w:pPr>
      <w:rPr>
        <w:rFonts w:ascii="Symbol" w:hAnsi="Symbol"/>
      </w:rPr>
    </w:lvl>
    <w:lvl w:ilvl="5" w:tplc="30B03A84">
      <w:start w:val="1"/>
      <w:numFmt w:val="bullet"/>
      <w:lvlText w:val=""/>
      <w:lvlJc w:val="left"/>
      <w:pPr>
        <w:ind w:left="720" w:hanging="360"/>
      </w:pPr>
      <w:rPr>
        <w:rFonts w:ascii="Symbol" w:hAnsi="Symbol"/>
      </w:rPr>
    </w:lvl>
    <w:lvl w:ilvl="6" w:tplc="27E62A6C">
      <w:start w:val="1"/>
      <w:numFmt w:val="bullet"/>
      <w:lvlText w:val=""/>
      <w:lvlJc w:val="left"/>
      <w:pPr>
        <w:ind w:left="720" w:hanging="360"/>
      </w:pPr>
      <w:rPr>
        <w:rFonts w:ascii="Symbol" w:hAnsi="Symbol"/>
      </w:rPr>
    </w:lvl>
    <w:lvl w:ilvl="7" w:tplc="0062132C">
      <w:start w:val="1"/>
      <w:numFmt w:val="bullet"/>
      <w:lvlText w:val=""/>
      <w:lvlJc w:val="left"/>
      <w:pPr>
        <w:ind w:left="720" w:hanging="360"/>
      </w:pPr>
      <w:rPr>
        <w:rFonts w:ascii="Symbol" w:hAnsi="Symbol"/>
      </w:rPr>
    </w:lvl>
    <w:lvl w:ilvl="8" w:tplc="E0D60E54">
      <w:start w:val="1"/>
      <w:numFmt w:val="bullet"/>
      <w:lvlText w:val=""/>
      <w:lvlJc w:val="left"/>
      <w:pPr>
        <w:ind w:left="720" w:hanging="360"/>
      </w:pPr>
      <w:rPr>
        <w:rFonts w:ascii="Symbol" w:hAnsi="Symbol"/>
      </w:rPr>
    </w:lvl>
  </w:abstractNum>
  <w:abstractNum w:abstractNumId="8" w15:restartNumberingAfterBreak="0">
    <w:nsid w:val="22042F6C"/>
    <w:multiLevelType w:val="hybridMultilevel"/>
    <w:tmpl w:val="13EA427A"/>
    <w:lvl w:ilvl="0" w:tplc="3DD207F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B0FF3"/>
    <w:multiLevelType w:val="hybridMultilevel"/>
    <w:tmpl w:val="46C8F564"/>
    <w:lvl w:ilvl="0" w:tplc="04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C112A"/>
    <w:multiLevelType w:val="hybridMultilevel"/>
    <w:tmpl w:val="BEFA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963B9"/>
    <w:multiLevelType w:val="hybridMultilevel"/>
    <w:tmpl w:val="F5601A90"/>
    <w:lvl w:ilvl="0" w:tplc="6742D506">
      <w:numFmt w:val="bullet"/>
      <w:lvlText w:val="-"/>
      <w:lvlJc w:val="left"/>
      <w:pPr>
        <w:ind w:left="360" w:hanging="360"/>
      </w:pPr>
      <w:rPr>
        <w:rFonts w:ascii="Arial" w:eastAsia="SimSu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167DDF"/>
    <w:multiLevelType w:val="hybridMultilevel"/>
    <w:tmpl w:val="3B3CFABC"/>
    <w:lvl w:ilvl="0" w:tplc="9260D390">
      <w:start w:val="1"/>
      <w:numFmt w:val="bullet"/>
      <w:lvlText w:val=""/>
      <w:lvlJc w:val="left"/>
      <w:pPr>
        <w:ind w:left="720" w:hanging="360"/>
      </w:pPr>
      <w:rPr>
        <w:rFonts w:ascii="Symbol" w:hAnsi="Symbol"/>
      </w:rPr>
    </w:lvl>
    <w:lvl w:ilvl="1" w:tplc="EFD0BF18">
      <w:start w:val="1"/>
      <w:numFmt w:val="bullet"/>
      <w:lvlText w:val=""/>
      <w:lvlJc w:val="left"/>
      <w:pPr>
        <w:ind w:left="720" w:hanging="360"/>
      </w:pPr>
      <w:rPr>
        <w:rFonts w:ascii="Symbol" w:hAnsi="Symbol"/>
      </w:rPr>
    </w:lvl>
    <w:lvl w:ilvl="2" w:tplc="915E5D30">
      <w:start w:val="1"/>
      <w:numFmt w:val="bullet"/>
      <w:lvlText w:val=""/>
      <w:lvlJc w:val="left"/>
      <w:pPr>
        <w:ind w:left="720" w:hanging="360"/>
      </w:pPr>
      <w:rPr>
        <w:rFonts w:ascii="Symbol" w:hAnsi="Symbol"/>
      </w:rPr>
    </w:lvl>
    <w:lvl w:ilvl="3" w:tplc="659EFCF4">
      <w:start w:val="1"/>
      <w:numFmt w:val="bullet"/>
      <w:lvlText w:val=""/>
      <w:lvlJc w:val="left"/>
      <w:pPr>
        <w:ind w:left="720" w:hanging="360"/>
      </w:pPr>
      <w:rPr>
        <w:rFonts w:ascii="Symbol" w:hAnsi="Symbol"/>
      </w:rPr>
    </w:lvl>
    <w:lvl w:ilvl="4" w:tplc="E0BAE7B2">
      <w:start w:val="1"/>
      <w:numFmt w:val="bullet"/>
      <w:lvlText w:val=""/>
      <w:lvlJc w:val="left"/>
      <w:pPr>
        <w:ind w:left="720" w:hanging="360"/>
      </w:pPr>
      <w:rPr>
        <w:rFonts w:ascii="Symbol" w:hAnsi="Symbol"/>
      </w:rPr>
    </w:lvl>
    <w:lvl w:ilvl="5" w:tplc="45600B78">
      <w:start w:val="1"/>
      <w:numFmt w:val="bullet"/>
      <w:lvlText w:val=""/>
      <w:lvlJc w:val="left"/>
      <w:pPr>
        <w:ind w:left="720" w:hanging="360"/>
      </w:pPr>
      <w:rPr>
        <w:rFonts w:ascii="Symbol" w:hAnsi="Symbol"/>
      </w:rPr>
    </w:lvl>
    <w:lvl w:ilvl="6" w:tplc="3EA24472">
      <w:start w:val="1"/>
      <w:numFmt w:val="bullet"/>
      <w:lvlText w:val=""/>
      <w:lvlJc w:val="left"/>
      <w:pPr>
        <w:ind w:left="720" w:hanging="360"/>
      </w:pPr>
      <w:rPr>
        <w:rFonts w:ascii="Symbol" w:hAnsi="Symbol"/>
      </w:rPr>
    </w:lvl>
    <w:lvl w:ilvl="7" w:tplc="3FDEB5B2">
      <w:start w:val="1"/>
      <w:numFmt w:val="bullet"/>
      <w:lvlText w:val=""/>
      <w:lvlJc w:val="left"/>
      <w:pPr>
        <w:ind w:left="720" w:hanging="360"/>
      </w:pPr>
      <w:rPr>
        <w:rFonts w:ascii="Symbol" w:hAnsi="Symbol"/>
      </w:rPr>
    </w:lvl>
    <w:lvl w:ilvl="8" w:tplc="0296A054">
      <w:start w:val="1"/>
      <w:numFmt w:val="bullet"/>
      <w:lvlText w:val=""/>
      <w:lvlJc w:val="left"/>
      <w:pPr>
        <w:ind w:left="720" w:hanging="360"/>
      </w:pPr>
      <w:rPr>
        <w:rFonts w:ascii="Symbol" w:hAnsi="Symbol"/>
      </w:rPr>
    </w:lvl>
  </w:abstractNum>
  <w:abstractNum w:abstractNumId="14" w15:restartNumberingAfterBreak="0">
    <w:nsid w:val="3BFE4B2A"/>
    <w:multiLevelType w:val="hybridMultilevel"/>
    <w:tmpl w:val="0D68D196"/>
    <w:lvl w:ilvl="0" w:tplc="E3F24EE2">
      <w:start w:val="1"/>
      <w:numFmt w:val="bullet"/>
      <w:pStyle w:val="Guide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6A6679"/>
    <w:multiLevelType w:val="hybridMultilevel"/>
    <w:tmpl w:val="E3D06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1294C"/>
    <w:multiLevelType w:val="hybridMultilevel"/>
    <w:tmpl w:val="F83CAC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F91471"/>
    <w:multiLevelType w:val="hybridMultilevel"/>
    <w:tmpl w:val="E83620B2"/>
    <w:lvl w:ilvl="0" w:tplc="C80AB020">
      <w:start w:val="1"/>
      <w:numFmt w:val="bullet"/>
      <w:lvlText w:val=""/>
      <w:lvlJc w:val="left"/>
      <w:pPr>
        <w:ind w:left="720" w:hanging="360"/>
      </w:pPr>
      <w:rPr>
        <w:rFonts w:ascii="Symbol" w:hAnsi="Symbol"/>
      </w:rPr>
    </w:lvl>
    <w:lvl w:ilvl="1" w:tplc="6D26E99A">
      <w:start w:val="1"/>
      <w:numFmt w:val="bullet"/>
      <w:lvlText w:val=""/>
      <w:lvlJc w:val="left"/>
      <w:pPr>
        <w:ind w:left="720" w:hanging="360"/>
      </w:pPr>
      <w:rPr>
        <w:rFonts w:ascii="Symbol" w:hAnsi="Symbol"/>
      </w:rPr>
    </w:lvl>
    <w:lvl w:ilvl="2" w:tplc="3A82E7EC">
      <w:start w:val="1"/>
      <w:numFmt w:val="bullet"/>
      <w:lvlText w:val=""/>
      <w:lvlJc w:val="left"/>
      <w:pPr>
        <w:ind w:left="720" w:hanging="360"/>
      </w:pPr>
      <w:rPr>
        <w:rFonts w:ascii="Symbol" w:hAnsi="Symbol"/>
      </w:rPr>
    </w:lvl>
    <w:lvl w:ilvl="3" w:tplc="D7241B02">
      <w:start w:val="1"/>
      <w:numFmt w:val="bullet"/>
      <w:lvlText w:val=""/>
      <w:lvlJc w:val="left"/>
      <w:pPr>
        <w:ind w:left="720" w:hanging="360"/>
      </w:pPr>
      <w:rPr>
        <w:rFonts w:ascii="Symbol" w:hAnsi="Symbol"/>
      </w:rPr>
    </w:lvl>
    <w:lvl w:ilvl="4" w:tplc="686E9972">
      <w:start w:val="1"/>
      <w:numFmt w:val="bullet"/>
      <w:lvlText w:val=""/>
      <w:lvlJc w:val="left"/>
      <w:pPr>
        <w:ind w:left="720" w:hanging="360"/>
      </w:pPr>
      <w:rPr>
        <w:rFonts w:ascii="Symbol" w:hAnsi="Symbol"/>
      </w:rPr>
    </w:lvl>
    <w:lvl w:ilvl="5" w:tplc="3516EA62">
      <w:start w:val="1"/>
      <w:numFmt w:val="bullet"/>
      <w:lvlText w:val=""/>
      <w:lvlJc w:val="left"/>
      <w:pPr>
        <w:ind w:left="720" w:hanging="360"/>
      </w:pPr>
      <w:rPr>
        <w:rFonts w:ascii="Symbol" w:hAnsi="Symbol"/>
      </w:rPr>
    </w:lvl>
    <w:lvl w:ilvl="6" w:tplc="3A88D714">
      <w:start w:val="1"/>
      <w:numFmt w:val="bullet"/>
      <w:lvlText w:val=""/>
      <w:lvlJc w:val="left"/>
      <w:pPr>
        <w:ind w:left="720" w:hanging="360"/>
      </w:pPr>
      <w:rPr>
        <w:rFonts w:ascii="Symbol" w:hAnsi="Symbol"/>
      </w:rPr>
    </w:lvl>
    <w:lvl w:ilvl="7" w:tplc="CA00165E">
      <w:start w:val="1"/>
      <w:numFmt w:val="bullet"/>
      <w:lvlText w:val=""/>
      <w:lvlJc w:val="left"/>
      <w:pPr>
        <w:ind w:left="720" w:hanging="360"/>
      </w:pPr>
      <w:rPr>
        <w:rFonts w:ascii="Symbol" w:hAnsi="Symbol"/>
      </w:rPr>
    </w:lvl>
    <w:lvl w:ilvl="8" w:tplc="8D86AEFC">
      <w:start w:val="1"/>
      <w:numFmt w:val="bullet"/>
      <w:lvlText w:val=""/>
      <w:lvlJc w:val="left"/>
      <w:pPr>
        <w:ind w:left="720" w:hanging="360"/>
      </w:pPr>
      <w:rPr>
        <w:rFonts w:ascii="Symbol" w:hAnsi="Symbol"/>
      </w:rPr>
    </w:lvl>
  </w:abstractNum>
  <w:abstractNum w:abstractNumId="18" w15:restartNumberingAfterBreak="0">
    <w:nsid w:val="4BF6623D"/>
    <w:multiLevelType w:val="hybridMultilevel"/>
    <w:tmpl w:val="8864E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A22D59"/>
    <w:multiLevelType w:val="hybridMultilevel"/>
    <w:tmpl w:val="E5E2C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D82C4F"/>
    <w:multiLevelType w:val="hybridMultilevel"/>
    <w:tmpl w:val="13AE7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5E4EF8"/>
    <w:multiLevelType w:val="hybridMultilevel"/>
    <w:tmpl w:val="99082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F3839"/>
    <w:multiLevelType w:val="hybridMultilevel"/>
    <w:tmpl w:val="A5705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935E6E"/>
    <w:multiLevelType w:val="hybridMultilevel"/>
    <w:tmpl w:val="7A8E23B4"/>
    <w:lvl w:ilvl="0" w:tplc="04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6B0586"/>
    <w:multiLevelType w:val="hybridMultilevel"/>
    <w:tmpl w:val="0928A78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D7901"/>
    <w:multiLevelType w:val="hybridMultilevel"/>
    <w:tmpl w:val="F8625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332797"/>
    <w:multiLevelType w:val="multilevel"/>
    <w:tmpl w:val="2F72AD1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9508579">
    <w:abstractNumId w:val="29"/>
  </w:num>
  <w:num w:numId="2" w16cid:durableId="1024592161">
    <w:abstractNumId w:val="2"/>
  </w:num>
  <w:num w:numId="3" w16cid:durableId="478810321">
    <w:abstractNumId w:val="0"/>
  </w:num>
  <w:num w:numId="4" w16cid:durableId="559174801">
    <w:abstractNumId w:val="23"/>
  </w:num>
  <w:num w:numId="5" w16cid:durableId="663237950">
    <w:abstractNumId w:val="32"/>
  </w:num>
  <w:num w:numId="6" w16cid:durableId="1156607855">
    <w:abstractNumId w:val="30"/>
  </w:num>
  <w:num w:numId="7" w16cid:durableId="906913797">
    <w:abstractNumId w:val="26"/>
  </w:num>
  <w:num w:numId="8" w16cid:durableId="244805407">
    <w:abstractNumId w:val="31"/>
  </w:num>
  <w:num w:numId="9" w16cid:durableId="342366870">
    <w:abstractNumId w:val="10"/>
  </w:num>
  <w:num w:numId="10" w16cid:durableId="364256876">
    <w:abstractNumId w:val="25"/>
  </w:num>
  <w:num w:numId="11" w16cid:durableId="1805393657">
    <w:abstractNumId w:val="6"/>
  </w:num>
  <w:num w:numId="12" w16cid:durableId="1833180302">
    <w:abstractNumId w:val="11"/>
  </w:num>
  <w:num w:numId="13" w16cid:durableId="2048404248">
    <w:abstractNumId w:val="5"/>
  </w:num>
  <w:num w:numId="14" w16cid:durableId="1531604913">
    <w:abstractNumId w:val="29"/>
    <w:lvlOverride w:ilvl="0">
      <w:startOverride w:val="9"/>
    </w:lvlOverride>
  </w:num>
  <w:num w:numId="15" w16cid:durableId="1351299159">
    <w:abstractNumId w:val="22"/>
  </w:num>
  <w:num w:numId="16" w16cid:durableId="303777854">
    <w:abstractNumId w:val="27"/>
  </w:num>
  <w:num w:numId="17" w16cid:durableId="934559489">
    <w:abstractNumId w:val="14"/>
  </w:num>
  <w:num w:numId="18" w16cid:durableId="984772816">
    <w:abstractNumId w:val="3"/>
  </w:num>
  <w:num w:numId="19" w16cid:durableId="863179320">
    <w:abstractNumId w:val="17"/>
  </w:num>
  <w:num w:numId="20" w16cid:durableId="856232375">
    <w:abstractNumId w:val="19"/>
  </w:num>
  <w:num w:numId="21" w16cid:durableId="223948905">
    <w:abstractNumId w:val="28"/>
  </w:num>
  <w:num w:numId="22" w16cid:durableId="961957271">
    <w:abstractNumId w:val="21"/>
  </w:num>
  <w:num w:numId="23" w16cid:durableId="572348614">
    <w:abstractNumId w:val="24"/>
  </w:num>
  <w:num w:numId="24" w16cid:durableId="1614244224">
    <w:abstractNumId w:val="9"/>
  </w:num>
  <w:num w:numId="25" w16cid:durableId="721556493">
    <w:abstractNumId w:val="13"/>
  </w:num>
  <w:num w:numId="26" w16cid:durableId="535504876">
    <w:abstractNumId w:val="18"/>
  </w:num>
  <w:num w:numId="27" w16cid:durableId="1606765267">
    <w:abstractNumId w:val="20"/>
  </w:num>
  <w:num w:numId="28" w16cid:durableId="1833181032">
    <w:abstractNumId w:val="1"/>
  </w:num>
  <w:num w:numId="29" w16cid:durableId="20477574">
    <w:abstractNumId w:val="7"/>
  </w:num>
  <w:num w:numId="30" w16cid:durableId="379861623">
    <w:abstractNumId w:val="12"/>
  </w:num>
  <w:num w:numId="31" w16cid:durableId="1939023447">
    <w:abstractNumId w:val="8"/>
  </w:num>
  <w:num w:numId="32" w16cid:durableId="109907440">
    <w:abstractNumId w:val="4"/>
  </w:num>
  <w:num w:numId="33" w16cid:durableId="2054038012">
    <w:abstractNumId w:val="16"/>
  </w:num>
  <w:num w:numId="34" w16cid:durableId="6421259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73"/>
    <w:rsid w:val="00001FF1"/>
    <w:rsid w:val="00002D21"/>
    <w:rsid w:val="00004038"/>
    <w:rsid w:val="00015A58"/>
    <w:rsid w:val="000167FB"/>
    <w:rsid w:val="00016F2D"/>
    <w:rsid w:val="00017BF5"/>
    <w:rsid w:val="0002312C"/>
    <w:rsid w:val="000237C4"/>
    <w:rsid w:val="00024B72"/>
    <w:rsid w:val="0003338E"/>
    <w:rsid w:val="00040D5B"/>
    <w:rsid w:val="00043D33"/>
    <w:rsid w:val="0004522B"/>
    <w:rsid w:val="00045F7F"/>
    <w:rsid w:val="00052DAB"/>
    <w:rsid w:val="00052DE7"/>
    <w:rsid w:val="00052F68"/>
    <w:rsid w:val="000533C3"/>
    <w:rsid w:val="00054C10"/>
    <w:rsid w:val="00060DE0"/>
    <w:rsid w:val="00070B64"/>
    <w:rsid w:val="00082577"/>
    <w:rsid w:val="00082E40"/>
    <w:rsid w:val="00093205"/>
    <w:rsid w:val="00094FDB"/>
    <w:rsid w:val="00095754"/>
    <w:rsid w:val="000A0312"/>
    <w:rsid w:val="000A08E8"/>
    <w:rsid w:val="000A1E73"/>
    <w:rsid w:val="000A69C3"/>
    <w:rsid w:val="000A7A92"/>
    <w:rsid w:val="000B42B3"/>
    <w:rsid w:val="000B500D"/>
    <w:rsid w:val="000B6182"/>
    <w:rsid w:val="000B7BA7"/>
    <w:rsid w:val="000C6F09"/>
    <w:rsid w:val="000C75B4"/>
    <w:rsid w:val="000D4E8F"/>
    <w:rsid w:val="000D7748"/>
    <w:rsid w:val="000E2025"/>
    <w:rsid w:val="000E21CE"/>
    <w:rsid w:val="000E5578"/>
    <w:rsid w:val="000E66F4"/>
    <w:rsid w:val="000E6CD7"/>
    <w:rsid w:val="000F0BA2"/>
    <w:rsid w:val="000F6703"/>
    <w:rsid w:val="000F7F47"/>
    <w:rsid w:val="00106571"/>
    <w:rsid w:val="00107C1D"/>
    <w:rsid w:val="00110681"/>
    <w:rsid w:val="001109B8"/>
    <w:rsid w:val="00113C17"/>
    <w:rsid w:val="001160C8"/>
    <w:rsid w:val="0011633D"/>
    <w:rsid w:val="001204E9"/>
    <w:rsid w:val="0012257E"/>
    <w:rsid w:val="001263EF"/>
    <w:rsid w:val="0013200D"/>
    <w:rsid w:val="0013235A"/>
    <w:rsid w:val="00135292"/>
    <w:rsid w:val="00136375"/>
    <w:rsid w:val="00142016"/>
    <w:rsid w:val="00143930"/>
    <w:rsid w:val="0014547B"/>
    <w:rsid w:val="00146B34"/>
    <w:rsid w:val="00150775"/>
    <w:rsid w:val="00151584"/>
    <w:rsid w:val="001519A0"/>
    <w:rsid w:val="00151A23"/>
    <w:rsid w:val="001539CC"/>
    <w:rsid w:val="001551F8"/>
    <w:rsid w:val="00157842"/>
    <w:rsid w:val="00157C09"/>
    <w:rsid w:val="00161BAB"/>
    <w:rsid w:val="00162E44"/>
    <w:rsid w:val="00163825"/>
    <w:rsid w:val="001657DB"/>
    <w:rsid w:val="00166234"/>
    <w:rsid w:val="00167EFE"/>
    <w:rsid w:val="0017638B"/>
    <w:rsid w:val="00176521"/>
    <w:rsid w:val="00180567"/>
    <w:rsid w:val="00182D7B"/>
    <w:rsid w:val="001831C0"/>
    <w:rsid w:val="00184207"/>
    <w:rsid w:val="0019160D"/>
    <w:rsid w:val="001918F7"/>
    <w:rsid w:val="001951B1"/>
    <w:rsid w:val="001A074D"/>
    <w:rsid w:val="001A32DC"/>
    <w:rsid w:val="001A3541"/>
    <w:rsid w:val="001A372D"/>
    <w:rsid w:val="001A3992"/>
    <w:rsid w:val="001A7392"/>
    <w:rsid w:val="001B1D58"/>
    <w:rsid w:val="001C2714"/>
    <w:rsid w:val="001C4521"/>
    <w:rsid w:val="001D1197"/>
    <w:rsid w:val="001D1366"/>
    <w:rsid w:val="001D2C18"/>
    <w:rsid w:val="001D5103"/>
    <w:rsid w:val="001D6B40"/>
    <w:rsid w:val="001E04CA"/>
    <w:rsid w:val="001E33FB"/>
    <w:rsid w:val="001E3BEF"/>
    <w:rsid w:val="001E425F"/>
    <w:rsid w:val="001E5086"/>
    <w:rsid w:val="001E618E"/>
    <w:rsid w:val="001F22F9"/>
    <w:rsid w:val="001F487F"/>
    <w:rsid w:val="00200DA0"/>
    <w:rsid w:val="0021514D"/>
    <w:rsid w:val="0022103E"/>
    <w:rsid w:val="0022148D"/>
    <w:rsid w:val="00223B34"/>
    <w:rsid w:val="002351FB"/>
    <w:rsid w:val="00244DBB"/>
    <w:rsid w:val="002476F5"/>
    <w:rsid w:val="0025109D"/>
    <w:rsid w:val="00254A87"/>
    <w:rsid w:val="00261EA1"/>
    <w:rsid w:val="00263B1C"/>
    <w:rsid w:val="002740F6"/>
    <w:rsid w:val="00274CCA"/>
    <w:rsid w:val="00275D19"/>
    <w:rsid w:val="00275D61"/>
    <w:rsid w:val="002771FE"/>
    <w:rsid w:val="002777CF"/>
    <w:rsid w:val="00280335"/>
    <w:rsid w:val="00281118"/>
    <w:rsid w:val="00286D4E"/>
    <w:rsid w:val="00287E6B"/>
    <w:rsid w:val="00287EB1"/>
    <w:rsid w:val="002905CE"/>
    <w:rsid w:val="0029605A"/>
    <w:rsid w:val="002A18F6"/>
    <w:rsid w:val="002B0867"/>
    <w:rsid w:val="002B6A47"/>
    <w:rsid w:val="002B7276"/>
    <w:rsid w:val="002C21C2"/>
    <w:rsid w:val="002D1728"/>
    <w:rsid w:val="002D504C"/>
    <w:rsid w:val="002E009A"/>
    <w:rsid w:val="002E277D"/>
    <w:rsid w:val="002E4978"/>
    <w:rsid w:val="002E4CB9"/>
    <w:rsid w:val="002F3CB8"/>
    <w:rsid w:val="002F7D31"/>
    <w:rsid w:val="00302CE0"/>
    <w:rsid w:val="00305172"/>
    <w:rsid w:val="00310961"/>
    <w:rsid w:val="00315700"/>
    <w:rsid w:val="003200F4"/>
    <w:rsid w:val="00320DDD"/>
    <w:rsid w:val="0032244A"/>
    <w:rsid w:val="003232AA"/>
    <w:rsid w:val="003302B2"/>
    <w:rsid w:val="00332DB3"/>
    <w:rsid w:val="00332FC6"/>
    <w:rsid w:val="00340661"/>
    <w:rsid w:val="0034491F"/>
    <w:rsid w:val="00346612"/>
    <w:rsid w:val="00347299"/>
    <w:rsid w:val="00351DF8"/>
    <w:rsid w:val="0035358D"/>
    <w:rsid w:val="00354BF2"/>
    <w:rsid w:val="0035796E"/>
    <w:rsid w:val="00357F71"/>
    <w:rsid w:val="0036127F"/>
    <w:rsid w:val="003651CE"/>
    <w:rsid w:val="003710B6"/>
    <w:rsid w:val="003728B8"/>
    <w:rsid w:val="00377D08"/>
    <w:rsid w:val="00380188"/>
    <w:rsid w:val="0038330A"/>
    <w:rsid w:val="0038466A"/>
    <w:rsid w:val="003870BC"/>
    <w:rsid w:val="0038796B"/>
    <w:rsid w:val="00387D18"/>
    <w:rsid w:val="00390FCA"/>
    <w:rsid w:val="0039384C"/>
    <w:rsid w:val="003961E8"/>
    <w:rsid w:val="003A1CB1"/>
    <w:rsid w:val="003A2E02"/>
    <w:rsid w:val="003A5619"/>
    <w:rsid w:val="003B544B"/>
    <w:rsid w:val="003B7CBB"/>
    <w:rsid w:val="003C0B20"/>
    <w:rsid w:val="003C30AE"/>
    <w:rsid w:val="003C47DF"/>
    <w:rsid w:val="003C541B"/>
    <w:rsid w:val="003D4532"/>
    <w:rsid w:val="003D68DD"/>
    <w:rsid w:val="003E4A3E"/>
    <w:rsid w:val="003E5220"/>
    <w:rsid w:val="003E7F7C"/>
    <w:rsid w:val="003F7DAD"/>
    <w:rsid w:val="004001AF"/>
    <w:rsid w:val="00401F05"/>
    <w:rsid w:val="004032BD"/>
    <w:rsid w:val="0040367B"/>
    <w:rsid w:val="00405A0F"/>
    <w:rsid w:val="00410E6A"/>
    <w:rsid w:val="00413EC6"/>
    <w:rsid w:val="00414D1D"/>
    <w:rsid w:val="004172AB"/>
    <w:rsid w:val="00430295"/>
    <w:rsid w:val="00431ACD"/>
    <w:rsid w:val="00433E7D"/>
    <w:rsid w:val="00434DD8"/>
    <w:rsid w:val="00442682"/>
    <w:rsid w:val="00442F4C"/>
    <w:rsid w:val="00446558"/>
    <w:rsid w:val="004479B7"/>
    <w:rsid w:val="00454804"/>
    <w:rsid w:val="00454E1E"/>
    <w:rsid w:val="00456812"/>
    <w:rsid w:val="00456892"/>
    <w:rsid w:val="004647DA"/>
    <w:rsid w:val="00467131"/>
    <w:rsid w:val="00474006"/>
    <w:rsid w:val="00476E9C"/>
    <w:rsid w:val="0048218A"/>
    <w:rsid w:val="00482A20"/>
    <w:rsid w:val="00482EE4"/>
    <w:rsid w:val="00485CDC"/>
    <w:rsid w:val="004937FD"/>
    <w:rsid w:val="00493A34"/>
    <w:rsid w:val="00493CD5"/>
    <w:rsid w:val="0049798C"/>
    <w:rsid w:val="004A2F61"/>
    <w:rsid w:val="004A58B1"/>
    <w:rsid w:val="004A5BFD"/>
    <w:rsid w:val="004A77C2"/>
    <w:rsid w:val="004A7807"/>
    <w:rsid w:val="004B0C4E"/>
    <w:rsid w:val="004C5E7A"/>
    <w:rsid w:val="004C5F24"/>
    <w:rsid w:val="004D0FDA"/>
    <w:rsid w:val="004D4D0B"/>
    <w:rsid w:val="004D6AA3"/>
    <w:rsid w:val="004E00B6"/>
    <w:rsid w:val="004E1565"/>
    <w:rsid w:val="004E3D4F"/>
    <w:rsid w:val="004E51EC"/>
    <w:rsid w:val="004F4273"/>
    <w:rsid w:val="004F7320"/>
    <w:rsid w:val="004F74A6"/>
    <w:rsid w:val="005018A6"/>
    <w:rsid w:val="00501A1B"/>
    <w:rsid w:val="00501CF4"/>
    <w:rsid w:val="0050311D"/>
    <w:rsid w:val="00506D8A"/>
    <w:rsid w:val="00512BA0"/>
    <w:rsid w:val="005156C7"/>
    <w:rsid w:val="00517242"/>
    <w:rsid w:val="00517BB5"/>
    <w:rsid w:val="0052348B"/>
    <w:rsid w:val="00526776"/>
    <w:rsid w:val="0052790D"/>
    <w:rsid w:val="00533B18"/>
    <w:rsid w:val="00535F22"/>
    <w:rsid w:val="005368D5"/>
    <w:rsid w:val="00537AE1"/>
    <w:rsid w:val="005411EC"/>
    <w:rsid w:val="00543E73"/>
    <w:rsid w:val="00545956"/>
    <w:rsid w:val="00546A22"/>
    <w:rsid w:val="005505CB"/>
    <w:rsid w:val="005536B3"/>
    <w:rsid w:val="00560823"/>
    <w:rsid w:val="005628DD"/>
    <w:rsid w:val="00567E4F"/>
    <w:rsid w:val="005723CF"/>
    <w:rsid w:val="00575208"/>
    <w:rsid w:val="00576C3D"/>
    <w:rsid w:val="00577937"/>
    <w:rsid w:val="00581ADB"/>
    <w:rsid w:val="00585AA7"/>
    <w:rsid w:val="005920AA"/>
    <w:rsid w:val="005A5994"/>
    <w:rsid w:val="005A66F2"/>
    <w:rsid w:val="005B3606"/>
    <w:rsid w:val="005B6EA1"/>
    <w:rsid w:val="005B7CF8"/>
    <w:rsid w:val="005C0E4A"/>
    <w:rsid w:val="005C16D7"/>
    <w:rsid w:val="005C3D52"/>
    <w:rsid w:val="005C7184"/>
    <w:rsid w:val="005D03DF"/>
    <w:rsid w:val="005D14D8"/>
    <w:rsid w:val="005D20B1"/>
    <w:rsid w:val="005D286D"/>
    <w:rsid w:val="005D7D20"/>
    <w:rsid w:val="005E55D3"/>
    <w:rsid w:val="005E61CF"/>
    <w:rsid w:val="005F2674"/>
    <w:rsid w:val="005F2DC8"/>
    <w:rsid w:val="005F67B0"/>
    <w:rsid w:val="005F7463"/>
    <w:rsid w:val="0060339C"/>
    <w:rsid w:val="00604009"/>
    <w:rsid w:val="006042D6"/>
    <w:rsid w:val="0060516A"/>
    <w:rsid w:val="00605421"/>
    <w:rsid w:val="00606247"/>
    <w:rsid w:val="00615540"/>
    <w:rsid w:val="00617227"/>
    <w:rsid w:val="0062189B"/>
    <w:rsid w:val="00624AC0"/>
    <w:rsid w:val="0062568C"/>
    <w:rsid w:val="006279E0"/>
    <w:rsid w:val="0063553F"/>
    <w:rsid w:val="0064043F"/>
    <w:rsid w:val="006428C8"/>
    <w:rsid w:val="0064798F"/>
    <w:rsid w:val="006501BB"/>
    <w:rsid w:val="00650ADD"/>
    <w:rsid w:val="0065125B"/>
    <w:rsid w:val="00651A60"/>
    <w:rsid w:val="00657B81"/>
    <w:rsid w:val="00657CC4"/>
    <w:rsid w:val="0066015B"/>
    <w:rsid w:val="00663844"/>
    <w:rsid w:val="00664AD5"/>
    <w:rsid w:val="00664D7D"/>
    <w:rsid w:val="00673D18"/>
    <w:rsid w:val="00677397"/>
    <w:rsid w:val="00677DD8"/>
    <w:rsid w:val="006802C5"/>
    <w:rsid w:val="0068071B"/>
    <w:rsid w:val="00681CB3"/>
    <w:rsid w:val="00686822"/>
    <w:rsid w:val="00690F6A"/>
    <w:rsid w:val="006910B9"/>
    <w:rsid w:val="00692906"/>
    <w:rsid w:val="00694058"/>
    <w:rsid w:val="006972A4"/>
    <w:rsid w:val="006A01DF"/>
    <w:rsid w:val="006A067C"/>
    <w:rsid w:val="006A1A80"/>
    <w:rsid w:val="006A3577"/>
    <w:rsid w:val="006A5240"/>
    <w:rsid w:val="006B28C8"/>
    <w:rsid w:val="006B3D9C"/>
    <w:rsid w:val="006B7EB9"/>
    <w:rsid w:val="006C05F7"/>
    <w:rsid w:val="006C2A52"/>
    <w:rsid w:val="006C311B"/>
    <w:rsid w:val="006C401D"/>
    <w:rsid w:val="006C56DF"/>
    <w:rsid w:val="006C6D57"/>
    <w:rsid w:val="006D0990"/>
    <w:rsid w:val="006D1641"/>
    <w:rsid w:val="006D7E58"/>
    <w:rsid w:val="006E4F14"/>
    <w:rsid w:val="006E5988"/>
    <w:rsid w:val="006E746C"/>
    <w:rsid w:val="006F15CB"/>
    <w:rsid w:val="006F1F7C"/>
    <w:rsid w:val="006F6486"/>
    <w:rsid w:val="006F7C96"/>
    <w:rsid w:val="00700BED"/>
    <w:rsid w:val="00701B96"/>
    <w:rsid w:val="00702C4C"/>
    <w:rsid w:val="00707888"/>
    <w:rsid w:val="00707DCB"/>
    <w:rsid w:val="00712434"/>
    <w:rsid w:val="0071495C"/>
    <w:rsid w:val="0071783B"/>
    <w:rsid w:val="0072136C"/>
    <w:rsid w:val="00723725"/>
    <w:rsid w:val="007255F4"/>
    <w:rsid w:val="00727DAF"/>
    <w:rsid w:val="00730EEA"/>
    <w:rsid w:val="007313B6"/>
    <w:rsid w:val="0073660C"/>
    <w:rsid w:val="00736E94"/>
    <w:rsid w:val="0074172B"/>
    <w:rsid w:val="0074285B"/>
    <w:rsid w:val="00742DE4"/>
    <w:rsid w:val="00743950"/>
    <w:rsid w:val="007504B0"/>
    <w:rsid w:val="007604D8"/>
    <w:rsid w:val="00760868"/>
    <w:rsid w:val="00764FB1"/>
    <w:rsid w:val="0076581F"/>
    <w:rsid w:val="0076755D"/>
    <w:rsid w:val="007705DC"/>
    <w:rsid w:val="00771148"/>
    <w:rsid w:val="007732E1"/>
    <w:rsid w:val="00774AFB"/>
    <w:rsid w:val="00776DA3"/>
    <w:rsid w:val="00777172"/>
    <w:rsid w:val="00780B48"/>
    <w:rsid w:val="00780F72"/>
    <w:rsid w:val="00793ED3"/>
    <w:rsid w:val="0079465D"/>
    <w:rsid w:val="00794917"/>
    <w:rsid w:val="007965C5"/>
    <w:rsid w:val="00796C77"/>
    <w:rsid w:val="007A3C84"/>
    <w:rsid w:val="007A6B1F"/>
    <w:rsid w:val="007A73B8"/>
    <w:rsid w:val="007B1879"/>
    <w:rsid w:val="007B2E81"/>
    <w:rsid w:val="007B5621"/>
    <w:rsid w:val="007C24F3"/>
    <w:rsid w:val="007C3941"/>
    <w:rsid w:val="007D09CE"/>
    <w:rsid w:val="007D60FC"/>
    <w:rsid w:val="007D68C4"/>
    <w:rsid w:val="007E0B75"/>
    <w:rsid w:val="007E1BED"/>
    <w:rsid w:val="007E324F"/>
    <w:rsid w:val="007E3305"/>
    <w:rsid w:val="007E3C67"/>
    <w:rsid w:val="007E48C7"/>
    <w:rsid w:val="007E693C"/>
    <w:rsid w:val="007E7E57"/>
    <w:rsid w:val="007F08A8"/>
    <w:rsid w:val="007F1182"/>
    <w:rsid w:val="007F13DC"/>
    <w:rsid w:val="007F1791"/>
    <w:rsid w:val="008012C9"/>
    <w:rsid w:val="00802A6C"/>
    <w:rsid w:val="00814299"/>
    <w:rsid w:val="00817DBA"/>
    <w:rsid w:val="00821713"/>
    <w:rsid w:val="00824DBC"/>
    <w:rsid w:val="0082740D"/>
    <w:rsid w:val="00827D4C"/>
    <w:rsid w:val="00832736"/>
    <w:rsid w:val="00833627"/>
    <w:rsid w:val="0083760A"/>
    <w:rsid w:val="0084105F"/>
    <w:rsid w:val="00842C69"/>
    <w:rsid w:val="008454C6"/>
    <w:rsid w:val="00850C06"/>
    <w:rsid w:val="00853C29"/>
    <w:rsid w:val="00861FAA"/>
    <w:rsid w:val="00865B8A"/>
    <w:rsid w:val="00871982"/>
    <w:rsid w:val="00872E48"/>
    <w:rsid w:val="00895C62"/>
    <w:rsid w:val="00896B3D"/>
    <w:rsid w:val="008A035D"/>
    <w:rsid w:val="008A075A"/>
    <w:rsid w:val="008A720D"/>
    <w:rsid w:val="008B0A80"/>
    <w:rsid w:val="008B3B26"/>
    <w:rsid w:val="008B5F66"/>
    <w:rsid w:val="008C026E"/>
    <w:rsid w:val="008C0E59"/>
    <w:rsid w:val="008C5A35"/>
    <w:rsid w:val="008D404F"/>
    <w:rsid w:val="008D427A"/>
    <w:rsid w:val="008D5E89"/>
    <w:rsid w:val="008D5FD2"/>
    <w:rsid w:val="008D6924"/>
    <w:rsid w:val="008E02ED"/>
    <w:rsid w:val="008E3638"/>
    <w:rsid w:val="008E5915"/>
    <w:rsid w:val="008E7036"/>
    <w:rsid w:val="008E7606"/>
    <w:rsid w:val="008F2F9C"/>
    <w:rsid w:val="008F393E"/>
    <w:rsid w:val="008F533D"/>
    <w:rsid w:val="00904B5A"/>
    <w:rsid w:val="00905430"/>
    <w:rsid w:val="00906420"/>
    <w:rsid w:val="00911658"/>
    <w:rsid w:val="00912DDA"/>
    <w:rsid w:val="00914677"/>
    <w:rsid w:val="00923A5A"/>
    <w:rsid w:val="009245E0"/>
    <w:rsid w:val="00926334"/>
    <w:rsid w:val="00927DF3"/>
    <w:rsid w:val="009329CD"/>
    <w:rsid w:val="00932DCB"/>
    <w:rsid w:val="00934FA8"/>
    <w:rsid w:val="00940F20"/>
    <w:rsid w:val="00941D46"/>
    <w:rsid w:val="0094392C"/>
    <w:rsid w:val="00945BBC"/>
    <w:rsid w:val="00946F54"/>
    <w:rsid w:val="00947F6E"/>
    <w:rsid w:val="0095342F"/>
    <w:rsid w:val="009563F6"/>
    <w:rsid w:val="00960CD5"/>
    <w:rsid w:val="009660E3"/>
    <w:rsid w:val="00966211"/>
    <w:rsid w:val="009715C3"/>
    <w:rsid w:val="0097691F"/>
    <w:rsid w:val="00976E48"/>
    <w:rsid w:val="0098015D"/>
    <w:rsid w:val="009841D2"/>
    <w:rsid w:val="00985BF0"/>
    <w:rsid w:val="009862A2"/>
    <w:rsid w:val="00990492"/>
    <w:rsid w:val="00990594"/>
    <w:rsid w:val="00990D80"/>
    <w:rsid w:val="00997141"/>
    <w:rsid w:val="009A1A41"/>
    <w:rsid w:val="009A2BCC"/>
    <w:rsid w:val="009A3556"/>
    <w:rsid w:val="009C3BE0"/>
    <w:rsid w:val="009C7815"/>
    <w:rsid w:val="009D4BDE"/>
    <w:rsid w:val="009E0CF1"/>
    <w:rsid w:val="009E1B5A"/>
    <w:rsid w:val="009E45C7"/>
    <w:rsid w:val="009F0A78"/>
    <w:rsid w:val="009F207A"/>
    <w:rsid w:val="009F3DE6"/>
    <w:rsid w:val="009F42A5"/>
    <w:rsid w:val="009F54F2"/>
    <w:rsid w:val="009F6D65"/>
    <w:rsid w:val="009F7E67"/>
    <w:rsid w:val="00A02B0F"/>
    <w:rsid w:val="00A04580"/>
    <w:rsid w:val="00A052C3"/>
    <w:rsid w:val="00A2130D"/>
    <w:rsid w:val="00A21585"/>
    <w:rsid w:val="00A25317"/>
    <w:rsid w:val="00A25DBE"/>
    <w:rsid w:val="00A30196"/>
    <w:rsid w:val="00A344D3"/>
    <w:rsid w:val="00A371C3"/>
    <w:rsid w:val="00A378B6"/>
    <w:rsid w:val="00A378B9"/>
    <w:rsid w:val="00A517D1"/>
    <w:rsid w:val="00A5316C"/>
    <w:rsid w:val="00A54F33"/>
    <w:rsid w:val="00A551CE"/>
    <w:rsid w:val="00A62765"/>
    <w:rsid w:val="00A62A83"/>
    <w:rsid w:val="00A649B1"/>
    <w:rsid w:val="00A700E7"/>
    <w:rsid w:val="00A713D7"/>
    <w:rsid w:val="00A74E85"/>
    <w:rsid w:val="00A75CAC"/>
    <w:rsid w:val="00A81C94"/>
    <w:rsid w:val="00A8289F"/>
    <w:rsid w:val="00A84DDC"/>
    <w:rsid w:val="00A854B4"/>
    <w:rsid w:val="00A90713"/>
    <w:rsid w:val="00A90E1B"/>
    <w:rsid w:val="00A936DB"/>
    <w:rsid w:val="00A94790"/>
    <w:rsid w:val="00A9532C"/>
    <w:rsid w:val="00A969C1"/>
    <w:rsid w:val="00A96F45"/>
    <w:rsid w:val="00A96FFF"/>
    <w:rsid w:val="00A97C85"/>
    <w:rsid w:val="00AA3595"/>
    <w:rsid w:val="00AA49AC"/>
    <w:rsid w:val="00AA4C42"/>
    <w:rsid w:val="00AB4F98"/>
    <w:rsid w:val="00AC12D7"/>
    <w:rsid w:val="00AC7EDC"/>
    <w:rsid w:val="00AD0587"/>
    <w:rsid w:val="00AD1B69"/>
    <w:rsid w:val="00AE57A7"/>
    <w:rsid w:val="00AE6A61"/>
    <w:rsid w:val="00AF136A"/>
    <w:rsid w:val="00AF4E2E"/>
    <w:rsid w:val="00AF728F"/>
    <w:rsid w:val="00AF7650"/>
    <w:rsid w:val="00B0001F"/>
    <w:rsid w:val="00B03711"/>
    <w:rsid w:val="00B04796"/>
    <w:rsid w:val="00B065A9"/>
    <w:rsid w:val="00B101DD"/>
    <w:rsid w:val="00B164AA"/>
    <w:rsid w:val="00B16DED"/>
    <w:rsid w:val="00B2053E"/>
    <w:rsid w:val="00B2462B"/>
    <w:rsid w:val="00B25E06"/>
    <w:rsid w:val="00B2649B"/>
    <w:rsid w:val="00B333FB"/>
    <w:rsid w:val="00B34317"/>
    <w:rsid w:val="00B35758"/>
    <w:rsid w:val="00B35D6B"/>
    <w:rsid w:val="00B369CC"/>
    <w:rsid w:val="00B446D3"/>
    <w:rsid w:val="00B46BC2"/>
    <w:rsid w:val="00B518CA"/>
    <w:rsid w:val="00B54DA2"/>
    <w:rsid w:val="00B55E16"/>
    <w:rsid w:val="00B64ACC"/>
    <w:rsid w:val="00B6538A"/>
    <w:rsid w:val="00B80874"/>
    <w:rsid w:val="00B82EB9"/>
    <w:rsid w:val="00B83190"/>
    <w:rsid w:val="00B850BB"/>
    <w:rsid w:val="00B85470"/>
    <w:rsid w:val="00B909AA"/>
    <w:rsid w:val="00B9126F"/>
    <w:rsid w:val="00B963B6"/>
    <w:rsid w:val="00B96689"/>
    <w:rsid w:val="00BA3BEA"/>
    <w:rsid w:val="00BA72E9"/>
    <w:rsid w:val="00BA79D0"/>
    <w:rsid w:val="00BB0E81"/>
    <w:rsid w:val="00BB2F8F"/>
    <w:rsid w:val="00BB3007"/>
    <w:rsid w:val="00BB4CAE"/>
    <w:rsid w:val="00BB78CC"/>
    <w:rsid w:val="00BC1839"/>
    <w:rsid w:val="00BC50E6"/>
    <w:rsid w:val="00BD124F"/>
    <w:rsid w:val="00BD401E"/>
    <w:rsid w:val="00BD5CEC"/>
    <w:rsid w:val="00BD6EFE"/>
    <w:rsid w:val="00BE09A0"/>
    <w:rsid w:val="00BE2EE6"/>
    <w:rsid w:val="00BE302F"/>
    <w:rsid w:val="00BE3078"/>
    <w:rsid w:val="00BF1A53"/>
    <w:rsid w:val="00BF1D0E"/>
    <w:rsid w:val="00C0174C"/>
    <w:rsid w:val="00C0302B"/>
    <w:rsid w:val="00C032BE"/>
    <w:rsid w:val="00C04D5E"/>
    <w:rsid w:val="00C06361"/>
    <w:rsid w:val="00C103BA"/>
    <w:rsid w:val="00C114F5"/>
    <w:rsid w:val="00C12EAB"/>
    <w:rsid w:val="00C15000"/>
    <w:rsid w:val="00C155CE"/>
    <w:rsid w:val="00C23928"/>
    <w:rsid w:val="00C255B4"/>
    <w:rsid w:val="00C26307"/>
    <w:rsid w:val="00C26C4B"/>
    <w:rsid w:val="00C27B38"/>
    <w:rsid w:val="00C300BE"/>
    <w:rsid w:val="00C33284"/>
    <w:rsid w:val="00C33363"/>
    <w:rsid w:val="00C35E88"/>
    <w:rsid w:val="00C37285"/>
    <w:rsid w:val="00C4061E"/>
    <w:rsid w:val="00C446A3"/>
    <w:rsid w:val="00C53AA2"/>
    <w:rsid w:val="00C548D5"/>
    <w:rsid w:val="00C55C19"/>
    <w:rsid w:val="00C621D2"/>
    <w:rsid w:val="00C63502"/>
    <w:rsid w:val="00C64182"/>
    <w:rsid w:val="00C64A85"/>
    <w:rsid w:val="00C64C72"/>
    <w:rsid w:val="00C6513D"/>
    <w:rsid w:val="00C66896"/>
    <w:rsid w:val="00C670F1"/>
    <w:rsid w:val="00C73DF3"/>
    <w:rsid w:val="00C73F48"/>
    <w:rsid w:val="00C75942"/>
    <w:rsid w:val="00C81555"/>
    <w:rsid w:val="00C81D63"/>
    <w:rsid w:val="00C820B7"/>
    <w:rsid w:val="00C8589C"/>
    <w:rsid w:val="00C911B4"/>
    <w:rsid w:val="00C92011"/>
    <w:rsid w:val="00C92530"/>
    <w:rsid w:val="00C97C18"/>
    <w:rsid w:val="00CA16B7"/>
    <w:rsid w:val="00CA1912"/>
    <w:rsid w:val="00CA389E"/>
    <w:rsid w:val="00CA654A"/>
    <w:rsid w:val="00CA6680"/>
    <w:rsid w:val="00CA6CCF"/>
    <w:rsid w:val="00CA7CE3"/>
    <w:rsid w:val="00CB113F"/>
    <w:rsid w:val="00CB6D0F"/>
    <w:rsid w:val="00CB6DB3"/>
    <w:rsid w:val="00CC0FC8"/>
    <w:rsid w:val="00CC411D"/>
    <w:rsid w:val="00CC4FD4"/>
    <w:rsid w:val="00CD2C6E"/>
    <w:rsid w:val="00CD4E02"/>
    <w:rsid w:val="00CD6849"/>
    <w:rsid w:val="00CD6F7E"/>
    <w:rsid w:val="00CD79E0"/>
    <w:rsid w:val="00CE0741"/>
    <w:rsid w:val="00CE2210"/>
    <w:rsid w:val="00CE7FB8"/>
    <w:rsid w:val="00D01588"/>
    <w:rsid w:val="00D04849"/>
    <w:rsid w:val="00D0734B"/>
    <w:rsid w:val="00D11D3A"/>
    <w:rsid w:val="00D12548"/>
    <w:rsid w:val="00D14B30"/>
    <w:rsid w:val="00D15087"/>
    <w:rsid w:val="00D151F8"/>
    <w:rsid w:val="00D157D5"/>
    <w:rsid w:val="00D1780F"/>
    <w:rsid w:val="00D21651"/>
    <w:rsid w:val="00D21B87"/>
    <w:rsid w:val="00D24F05"/>
    <w:rsid w:val="00D25771"/>
    <w:rsid w:val="00D31AA2"/>
    <w:rsid w:val="00D34134"/>
    <w:rsid w:val="00D34616"/>
    <w:rsid w:val="00D3798C"/>
    <w:rsid w:val="00D406B4"/>
    <w:rsid w:val="00D44BA0"/>
    <w:rsid w:val="00D45E3C"/>
    <w:rsid w:val="00D51BD9"/>
    <w:rsid w:val="00D51CC6"/>
    <w:rsid w:val="00D54CE9"/>
    <w:rsid w:val="00D6655A"/>
    <w:rsid w:val="00D67681"/>
    <w:rsid w:val="00D67E74"/>
    <w:rsid w:val="00D721BD"/>
    <w:rsid w:val="00D72C78"/>
    <w:rsid w:val="00D742C7"/>
    <w:rsid w:val="00D74578"/>
    <w:rsid w:val="00D82E91"/>
    <w:rsid w:val="00D8634D"/>
    <w:rsid w:val="00D902A4"/>
    <w:rsid w:val="00D90C4B"/>
    <w:rsid w:val="00D9124A"/>
    <w:rsid w:val="00D92B4F"/>
    <w:rsid w:val="00D93670"/>
    <w:rsid w:val="00D94DDC"/>
    <w:rsid w:val="00DA0093"/>
    <w:rsid w:val="00DA32A3"/>
    <w:rsid w:val="00DA3442"/>
    <w:rsid w:val="00DB1B86"/>
    <w:rsid w:val="00DB1F7F"/>
    <w:rsid w:val="00DB3AA9"/>
    <w:rsid w:val="00DB41E0"/>
    <w:rsid w:val="00DB4562"/>
    <w:rsid w:val="00DB7199"/>
    <w:rsid w:val="00DB761C"/>
    <w:rsid w:val="00DB765A"/>
    <w:rsid w:val="00DC37D3"/>
    <w:rsid w:val="00DC4BAF"/>
    <w:rsid w:val="00DC6CC3"/>
    <w:rsid w:val="00DC7078"/>
    <w:rsid w:val="00DC786D"/>
    <w:rsid w:val="00DC7E29"/>
    <w:rsid w:val="00DD0E66"/>
    <w:rsid w:val="00DD1B76"/>
    <w:rsid w:val="00DD1E7D"/>
    <w:rsid w:val="00DD3FB3"/>
    <w:rsid w:val="00DE5768"/>
    <w:rsid w:val="00DE639C"/>
    <w:rsid w:val="00DE6B3C"/>
    <w:rsid w:val="00DF2193"/>
    <w:rsid w:val="00DF2C9E"/>
    <w:rsid w:val="00DF4B7A"/>
    <w:rsid w:val="00DF5E99"/>
    <w:rsid w:val="00DF5FD5"/>
    <w:rsid w:val="00E037F6"/>
    <w:rsid w:val="00E05C16"/>
    <w:rsid w:val="00E11649"/>
    <w:rsid w:val="00E14FB3"/>
    <w:rsid w:val="00E15297"/>
    <w:rsid w:val="00E1578B"/>
    <w:rsid w:val="00E21529"/>
    <w:rsid w:val="00E230FA"/>
    <w:rsid w:val="00E24816"/>
    <w:rsid w:val="00E24A01"/>
    <w:rsid w:val="00E253DF"/>
    <w:rsid w:val="00E26195"/>
    <w:rsid w:val="00E261BC"/>
    <w:rsid w:val="00E30152"/>
    <w:rsid w:val="00E31118"/>
    <w:rsid w:val="00E358E6"/>
    <w:rsid w:val="00E372C7"/>
    <w:rsid w:val="00E41B94"/>
    <w:rsid w:val="00E441FB"/>
    <w:rsid w:val="00E44862"/>
    <w:rsid w:val="00E45A35"/>
    <w:rsid w:val="00E45B12"/>
    <w:rsid w:val="00E47AEA"/>
    <w:rsid w:val="00E504FB"/>
    <w:rsid w:val="00E51DEE"/>
    <w:rsid w:val="00E53AE8"/>
    <w:rsid w:val="00E6005C"/>
    <w:rsid w:val="00E617CC"/>
    <w:rsid w:val="00E62D27"/>
    <w:rsid w:val="00E6685B"/>
    <w:rsid w:val="00E7227E"/>
    <w:rsid w:val="00E734CD"/>
    <w:rsid w:val="00E74855"/>
    <w:rsid w:val="00E74A56"/>
    <w:rsid w:val="00E77744"/>
    <w:rsid w:val="00E81EB4"/>
    <w:rsid w:val="00E957BD"/>
    <w:rsid w:val="00E966D8"/>
    <w:rsid w:val="00EA0A50"/>
    <w:rsid w:val="00EB0989"/>
    <w:rsid w:val="00EB13A6"/>
    <w:rsid w:val="00EB5DF7"/>
    <w:rsid w:val="00EB661A"/>
    <w:rsid w:val="00EC503C"/>
    <w:rsid w:val="00ED0937"/>
    <w:rsid w:val="00ED20D8"/>
    <w:rsid w:val="00ED39D1"/>
    <w:rsid w:val="00ED6BDB"/>
    <w:rsid w:val="00EE005A"/>
    <w:rsid w:val="00EE1E21"/>
    <w:rsid w:val="00EE4D47"/>
    <w:rsid w:val="00EF23D1"/>
    <w:rsid w:val="00EF5202"/>
    <w:rsid w:val="00EF5E31"/>
    <w:rsid w:val="00F05882"/>
    <w:rsid w:val="00F07878"/>
    <w:rsid w:val="00F116FE"/>
    <w:rsid w:val="00F124B3"/>
    <w:rsid w:val="00F12B68"/>
    <w:rsid w:val="00F16976"/>
    <w:rsid w:val="00F2095D"/>
    <w:rsid w:val="00F20D63"/>
    <w:rsid w:val="00F23410"/>
    <w:rsid w:val="00F26054"/>
    <w:rsid w:val="00F31AB4"/>
    <w:rsid w:val="00F333E6"/>
    <w:rsid w:val="00F37C6E"/>
    <w:rsid w:val="00F41623"/>
    <w:rsid w:val="00F43F05"/>
    <w:rsid w:val="00F45F51"/>
    <w:rsid w:val="00F46803"/>
    <w:rsid w:val="00F50E90"/>
    <w:rsid w:val="00F52F27"/>
    <w:rsid w:val="00F57F28"/>
    <w:rsid w:val="00F60341"/>
    <w:rsid w:val="00F61F09"/>
    <w:rsid w:val="00F64CE3"/>
    <w:rsid w:val="00F65E7E"/>
    <w:rsid w:val="00F70049"/>
    <w:rsid w:val="00F7530C"/>
    <w:rsid w:val="00F84EB4"/>
    <w:rsid w:val="00F85559"/>
    <w:rsid w:val="00F9409C"/>
    <w:rsid w:val="00F952A4"/>
    <w:rsid w:val="00F97070"/>
    <w:rsid w:val="00FA1A0D"/>
    <w:rsid w:val="00FA4D5F"/>
    <w:rsid w:val="00FA620A"/>
    <w:rsid w:val="00FB0AED"/>
    <w:rsid w:val="00FB2200"/>
    <w:rsid w:val="00FB493A"/>
    <w:rsid w:val="00FB4CCC"/>
    <w:rsid w:val="00FB50C7"/>
    <w:rsid w:val="00FB5223"/>
    <w:rsid w:val="00FC6C8C"/>
    <w:rsid w:val="00FD548D"/>
    <w:rsid w:val="00FE0BE8"/>
    <w:rsid w:val="00FE155C"/>
    <w:rsid w:val="00FE1E31"/>
    <w:rsid w:val="00FE26BC"/>
    <w:rsid w:val="00FE508D"/>
    <w:rsid w:val="00FE5715"/>
    <w:rsid w:val="00FF0B28"/>
    <w:rsid w:val="00FF6A95"/>
    <w:rsid w:val="00FF7F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9C60"/>
  <w15:docId w15:val="{116415FA-0C05-4759-8775-9A9BFC53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612"/>
    <w:pPr>
      <w:spacing w:after="0" w:line="240" w:lineRule="auto"/>
      <w:jc w:val="both"/>
    </w:pPr>
    <w:rPr>
      <w:rFonts w:ascii="Arial" w:hAnsi="Arial" w:cs="Arial"/>
      <w:lang w:val="en-US"/>
    </w:rPr>
  </w:style>
  <w:style w:type="paragraph" w:styleId="Heading1">
    <w:name w:val="heading 1"/>
    <w:basedOn w:val="Normal"/>
    <w:next w:val="Normal"/>
    <w:link w:val="Heading1Char"/>
    <w:uiPriority w:val="9"/>
    <w:qFormat/>
    <w:rsid w:val="001539CC"/>
    <w:pPr>
      <w:keepNext/>
      <w:keepLines/>
      <w:numPr>
        <w:numId w:val="1"/>
      </w:numPr>
      <w:spacing w:after="120"/>
      <w:outlineLvl w:val="0"/>
    </w:pPr>
    <w:rPr>
      <w:rFonts w:eastAsiaTheme="majorEastAsia"/>
      <w:b/>
      <w:bCs/>
      <w:caps/>
      <w:sz w:val="28"/>
      <w:szCs w:val="28"/>
    </w:rPr>
  </w:style>
  <w:style w:type="paragraph" w:styleId="Heading2">
    <w:name w:val="heading 2"/>
    <w:basedOn w:val="Normal"/>
    <w:next w:val="Normal"/>
    <w:link w:val="Heading2Char"/>
    <w:uiPriority w:val="9"/>
    <w:unhideWhenUsed/>
    <w:qFormat/>
    <w:rsid w:val="002A18F6"/>
    <w:pPr>
      <w:numPr>
        <w:ilvl w:val="1"/>
        <w:numId w:val="1"/>
      </w:numPr>
      <w:spacing w:after="120"/>
      <w:ind w:left="578" w:hanging="578"/>
      <w:outlineLvl w:val="1"/>
    </w:pPr>
    <w:rPr>
      <w:rFonts w:ascii="Arial Bold" w:hAnsi="Arial Bold"/>
      <w:b/>
      <w:caps/>
      <w:sz w:val="24"/>
    </w:rPr>
  </w:style>
  <w:style w:type="paragraph" w:styleId="Heading3">
    <w:name w:val="heading 3"/>
    <w:basedOn w:val="Normal"/>
    <w:next w:val="Normal"/>
    <w:link w:val="Heading3Char"/>
    <w:uiPriority w:val="9"/>
    <w:unhideWhenUsed/>
    <w:qFormat/>
    <w:rsid w:val="00C032BE"/>
    <w:pPr>
      <w:keepNext/>
      <w:keepLines/>
      <w:spacing w:before="200"/>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C032BE"/>
    <w:pPr>
      <w:keepNext/>
      <w:keepLines/>
      <w:spacing w:before="200"/>
      <w:ind w:left="864" w:hanging="864"/>
      <w:outlineLvl w:val="3"/>
    </w:pPr>
    <w:rPr>
      <w:rFonts w:eastAsiaTheme="majorEastAsia"/>
      <w:b/>
      <w:bCs/>
      <w:i/>
      <w:iCs/>
      <w:sz w:val="24"/>
      <w:szCs w:val="24"/>
    </w:rPr>
  </w:style>
  <w:style w:type="paragraph" w:styleId="Heading5">
    <w:name w:val="heading 5"/>
    <w:basedOn w:val="Normal"/>
    <w:next w:val="Normal"/>
    <w:link w:val="Heading5Char"/>
    <w:uiPriority w:val="9"/>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9CC"/>
    <w:rPr>
      <w:rFonts w:ascii="Arial" w:eastAsiaTheme="majorEastAsia" w:hAnsi="Arial" w:cs="Arial"/>
      <w:b/>
      <w:bCs/>
      <w:caps/>
      <w:sz w:val="28"/>
      <w:szCs w:val="28"/>
      <w:lang w:val="en-US"/>
    </w:rPr>
  </w:style>
  <w:style w:type="character" w:customStyle="1" w:styleId="Heading2Char">
    <w:name w:val="Heading 2 Char"/>
    <w:basedOn w:val="DefaultParagraphFont"/>
    <w:link w:val="Heading2"/>
    <w:uiPriority w:val="9"/>
    <w:rsid w:val="002A18F6"/>
    <w:rPr>
      <w:rFonts w:ascii="Arial Bold" w:hAnsi="Arial Bold" w:cs="Arial"/>
      <w:b/>
      <w:caps/>
      <w:sz w:val="24"/>
    </w:rPr>
  </w:style>
  <w:style w:type="character" w:customStyle="1" w:styleId="Heading3Char">
    <w:name w:val="Heading 3 Char"/>
    <w:basedOn w:val="DefaultParagraphFont"/>
    <w:link w:val="Heading3"/>
    <w:uiPriority w:val="9"/>
    <w:rsid w:val="00C032BE"/>
    <w:rPr>
      <w:rFonts w:ascii="Arial" w:eastAsiaTheme="majorEastAsia" w:hAnsi="Arial" w:cs="Arial"/>
      <w:b/>
      <w:bCs/>
      <w:sz w:val="24"/>
      <w:szCs w:val="24"/>
      <w:lang w:val="en-US"/>
    </w:rPr>
  </w:style>
  <w:style w:type="character" w:customStyle="1" w:styleId="Heading4Char">
    <w:name w:val="Heading 4 Char"/>
    <w:basedOn w:val="DefaultParagraphFont"/>
    <w:link w:val="Heading4"/>
    <w:uiPriority w:val="9"/>
    <w:rsid w:val="00C032BE"/>
    <w:rPr>
      <w:rFonts w:ascii="Arial" w:eastAsiaTheme="majorEastAsia" w:hAnsi="Arial" w:cs="Arial"/>
      <w:b/>
      <w:bCs/>
      <w:i/>
      <w:iCs/>
      <w:sz w:val="24"/>
      <w:szCs w:val="24"/>
      <w:lang w:val="en-US"/>
    </w:rPr>
  </w:style>
  <w:style w:type="character" w:customStyle="1" w:styleId="Heading5Char">
    <w:name w:val="Heading 5 Char"/>
    <w:basedOn w:val="DefaultParagraphFont"/>
    <w:link w:val="Heading5"/>
    <w:uiPriority w:val="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customStyle="1" w:styleId="C-BodyText">
    <w:name w:val="C-Body Text"/>
    <w:link w:val="C-BodyTextChar1"/>
    <w:rsid w:val="00DC7078"/>
    <w:pPr>
      <w:spacing w:before="120" w:after="120" w:line="280" w:lineRule="atLeast"/>
    </w:pPr>
    <w:rPr>
      <w:rFonts w:ascii="Times New Roman" w:eastAsia="Times New Roman" w:hAnsi="Times New Roman" w:cs="Times New Roman"/>
      <w:sz w:val="24"/>
      <w:szCs w:val="20"/>
      <w:lang w:val="en-US"/>
    </w:rPr>
  </w:style>
  <w:style w:type="character" w:customStyle="1" w:styleId="C-BodyTextChar1">
    <w:name w:val="C-Body Text Char1"/>
    <w:link w:val="C-BodyText"/>
    <w:rsid w:val="00DC7078"/>
    <w:rPr>
      <w:rFonts w:ascii="Times New Roman" w:eastAsia="Times New Roman" w:hAnsi="Times New Roman" w:cs="Times New Roman"/>
      <w:sz w:val="24"/>
      <w:szCs w:val="20"/>
      <w:lang w:val="en-US"/>
    </w:rPr>
  </w:style>
  <w:style w:type="paragraph" w:customStyle="1" w:styleId="Default">
    <w:name w:val="Default"/>
    <w:rsid w:val="00FB0AE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xtTi12">
    <w:name w:val="Text:Ti12"/>
    <w:basedOn w:val="Normal"/>
    <w:link w:val="TextTi12Char4"/>
    <w:qFormat/>
    <w:rsid w:val="00FB0AED"/>
    <w:pPr>
      <w:spacing w:after="170" w:line="260" w:lineRule="atLeast"/>
    </w:pPr>
    <w:rPr>
      <w:rFonts w:ascii="Times New Roman" w:eastAsia="Times New Roman" w:hAnsi="Times New Roman" w:cs="Times New Roman"/>
      <w:sz w:val="24"/>
      <w:szCs w:val="20"/>
    </w:rPr>
  </w:style>
  <w:style w:type="character" w:customStyle="1" w:styleId="TextTi12Char4">
    <w:name w:val="Text:Ti12 Char4"/>
    <w:link w:val="TextTi12"/>
    <w:rsid w:val="00FB0AED"/>
    <w:rPr>
      <w:rFonts w:ascii="Times New Roman" w:eastAsia="Times New Roman" w:hAnsi="Times New Roman" w:cs="Times New Roman"/>
      <w:sz w:val="24"/>
      <w:szCs w:val="20"/>
      <w:lang w:val="en-US"/>
    </w:rPr>
  </w:style>
  <w:style w:type="paragraph" w:styleId="PlainText">
    <w:name w:val="Plain Text"/>
    <w:basedOn w:val="Normal"/>
    <w:link w:val="PlainTextChar"/>
    <w:uiPriority w:val="99"/>
    <w:rsid w:val="00E44862"/>
    <w:rPr>
      <w:rFonts w:ascii="Courier New" w:eastAsia="Times New Roman" w:hAnsi="Courier New" w:cs="Times New Roman"/>
      <w:sz w:val="20"/>
      <w:szCs w:val="24"/>
      <w:lang w:val="x-none" w:eastAsia="x-none"/>
    </w:rPr>
  </w:style>
  <w:style w:type="character" w:customStyle="1" w:styleId="PlainTextChar">
    <w:name w:val="Plain Text Char"/>
    <w:basedOn w:val="DefaultParagraphFont"/>
    <w:link w:val="PlainText"/>
    <w:uiPriority w:val="99"/>
    <w:rsid w:val="00E44862"/>
    <w:rPr>
      <w:rFonts w:ascii="Courier New" w:eastAsia="Times New Roman" w:hAnsi="Courier New" w:cs="Times New Roman"/>
      <w:sz w:val="20"/>
      <w:szCs w:val="24"/>
      <w:lang w:val="x-none" w:eastAsia="x-none"/>
    </w:rPr>
  </w:style>
  <w:style w:type="paragraph" w:customStyle="1" w:styleId="HdFig1">
    <w:name w:val="Hd:Fig:1"/>
    <w:basedOn w:val="Normal"/>
    <w:next w:val="Normal"/>
    <w:rsid w:val="00E372C7"/>
    <w:pPr>
      <w:keepNext/>
      <w:spacing w:before="120" w:after="120"/>
      <w:ind w:left="1531" w:hanging="1531"/>
    </w:pPr>
    <w:rPr>
      <w:rFonts w:ascii="Times New Roman" w:eastAsia="Times New Roman" w:hAnsi="Times New Roman" w:cs="Times New Roman"/>
      <w:b/>
      <w:sz w:val="24"/>
      <w:szCs w:val="20"/>
    </w:rPr>
  </w:style>
  <w:style w:type="paragraph" w:styleId="BodyText">
    <w:name w:val="Body Text"/>
    <w:basedOn w:val="Normal"/>
    <w:link w:val="BodyTextChar"/>
    <w:rsid w:val="00824DBC"/>
    <w:pPr>
      <w:jc w:val="center"/>
    </w:pPr>
    <w:rPr>
      <w:rFonts w:ascii="Univers 47 CondensedLight" w:eastAsia="Times New Roman" w:hAnsi="Univers 47 CondensedLight" w:cs="Times New Roman"/>
      <w:sz w:val="24"/>
      <w:szCs w:val="20"/>
    </w:rPr>
  </w:style>
  <w:style w:type="character" w:customStyle="1" w:styleId="BodyTextChar">
    <w:name w:val="Body Text Char"/>
    <w:basedOn w:val="DefaultParagraphFont"/>
    <w:link w:val="BodyText"/>
    <w:rsid w:val="00824DBC"/>
    <w:rPr>
      <w:rFonts w:ascii="Univers 47 CondensedLight" w:eastAsia="Times New Roman" w:hAnsi="Univers 47 CondensedLight"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E1578B"/>
    <w:rPr>
      <w:rFonts w:asciiTheme="minorHAnsi" w:hAnsiTheme="minorHAnsi"/>
      <w:b/>
      <w:bCs/>
    </w:rPr>
  </w:style>
  <w:style w:type="character" w:customStyle="1" w:styleId="CommentSubjectChar">
    <w:name w:val="Comment Subject Char"/>
    <w:basedOn w:val="CommentTextChar"/>
    <w:link w:val="CommentSubject"/>
    <w:uiPriority w:val="99"/>
    <w:semiHidden/>
    <w:rsid w:val="00E1578B"/>
    <w:rPr>
      <w:rFonts w:ascii="Cambria" w:hAnsi="Cambria"/>
      <w:b/>
      <w:bCs/>
      <w:sz w:val="20"/>
      <w:szCs w:val="20"/>
    </w:rPr>
  </w:style>
  <w:style w:type="paragraph" w:styleId="Revision">
    <w:name w:val="Revision"/>
    <w:hidden/>
    <w:uiPriority w:val="99"/>
    <w:semiHidden/>
    <w:rsid w:val="004647DA"/>
    <w:pPr>
      <w:spacing w:after="0" w:line="240" w:lineRule="auto"/>
    </w:pPr>
  </w:style>
  <w:style w:type="paragraph" w:customStyle="1" w:styleId="Style1">
    <w:name w:val="Style1"/>
    <w:basedOn w:val="PlainText"/>
    <w:autoRedefine/>
    <w:qFormat/>
    <w:rsid w:val="00F60341"/>
    <w:pPr>
      <w:keepNext/>
      <w:spacing w:after="60"/>
    </w:pPr>
    <w:rPr>
      <w:rFonts w:asciiTheme="minorHAnsi" w:hAnsiTheme="minorHAnsi" w:cstheme="minorHAnsi"/>
      <w:b/>
      <w:sz w:val="22"/>
      <w:szCs w:val="22"/>
      <w:lang w:val="en-GB"/>
    </w:rPr>
  </w:style>
  <w:style w:type="character" w:styleId="Strong">
    <w:name w:val="Strong"/>
    <w:basedOn w:val="DefaultParagraphFont"/>
    <w:uiPriority w:val="22"/>
    <w:qFormat/>
    <w:rsid w:val="00143930"/>
    <w:rPr>
      <w:b/>
      <w:bCs/>
    </w:rPr>
  </w:style>
  <w:style w:type="character" w:styleId="BookTitle">
    <w:name w:val="Book Title"/>
    <w:basedOn w:val="DefaultParagraphFont"/>
    <w:uiPriority w:val="33"/>
    <w:qFormat/>
    <w:rsid w:val="00143930"/>
    <w:rPr>
      <w:b/>
      <w:bCs/>
      <w:i/>
      <w:iCs/>
      <w:spacing w:val="5"/>
    </w:rPr>
  </w:style>
  <w:style w:type="paragraph" w:styleId="EndnoteText">
    <w:name w:val="endnote text"/>
    <w:basedOn w:val="Normal"/>
    <w:link w:val="EndnoteTextChar"/>
    <w:uiPriority w:val="99"/>
    <w:unhideWhenUsed/>
    <w:rsid w:val="001519A0"/>
    <w:pPr>
      <w:tabs>
        <w:tab w:val="left" w:pos="360"/>
      </w:tabs>
      <w:ind w:left="360" w:hanging="360"/>
    </w:pPr>
    <w:rPr>
      <w:rFonts w:ascii="Times New Roman" w:eastAsia="Times New Roman" w:hAnsi="Times New Roman" w:cs="Times New Roman"/>
      <w:sz w:val="16"/>
      <w:szCs w:val="20"/>
    </w:rPr>
  </w:style>
  <w:style w:type="character" w:customStyle="1" w:styleId="EndnoteTextChar">
    <w:name w:val="Endnote Text Char"/>
    <w:basedOn w:val="DefaultParagraphFont"/>
    <w:link w:val="EndnoteText"/>
    <w:uiPriority w:val="99"/>
    <w:rsid w:val="001519A0"/>
    <w:rPr>
      <w:rFonts w:ascii="Times New Roman" w:eastAsia="Times New Roman" w:hAnsi="Times New Roman" w:cs="Times New Roman"/>
      <w:sz w:val="16"/>
      <w:szCs w:val="20"/>
      <w:lang w:val="en-US"/>
    </w:rPr>
  </w:style>
  <w:style w:type="character" w:styleId="EndnoteReference">
    <w:name w:val="endnote reference"/>
    <w:uiPriority w:val="99"/>
    <w:semiHidden/>
    <w:unhideWhenUsed/>
    <w:rsid w:val="001519A0"/>
    <w:rPr>
      <w:vertAlign w:val="superscript"/>
    </w:rPr>
  </w:style>
  <w:style w:type="paragraph" w:styleId="NormalWeb">
    <w:name w:val="Normal (Web)"/>
    <w:basedOn w:val="Normal"/>
    <w:uiPriority w:val="99"/>
    <w:unhideWhenUsed/>
    <w:rsid w:val="00F952A4"/>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GuideBullet">
    <w:name w:val="GuideBullet"/>
    <w:semiHidden/>
    <w:rsid w:val="00C35E88"/>
    <w:pPr>
      <w:numPr>
        <w:numId w:val="17"/>
      </w:numPr>
      <w:tabs>
        <w:tab w:val="left" w:pos="288"/>
      </w:tabs>
      <w:spacing w:after="40" w:line="240" w:lineRule="auto"/>
    </w:pPr>
    <w:rPr>
      <w:rFonts w:ascii="Times New Roman" w:eastAsia="Times New Roman" w:hAnsi="Times New Roman" w:cs="Times New Roman"/>
      <w:szCs w:val="20"/>
      <w:lang w:val="en-US"/>
    </w:rPr>
  </w:style>
  <w:style w:type="paragraph" w:styleId="Caption">
    <w:name w:val="caption"/>
    <w:aliases w:val="Caption 3,c,appendix,Caption 1,appendix Cha,Caption Char Char Char,Caption Char Char,Caption Char Char Char Char Char Char,Caption-FUSA,Bayer Caption,! Q,DO NOT USE,tablesect,Tabelle,12,Caption 12pt+,12pt,Caption 12pt,12+,Caption Char1 Char,NDA"/>
    <w:next w:val="Normal"/>
    <w:link w:val="CaptionChar"/>
    <w:qFormat/>
    <w:rsid w:val="00832736"/>
    <w:pPr>
      <w:keepNext/>
      <w:tabs>
        <w:tab w:val="left" w:pos="1440"/>
      </w:tabs>
      <w:spacing w:before="60" w:after="60" w:line="240" w:lineRule="auto"/>
      <w:ind w:left="1440" w:hanging="1440"/>
    </w:pPr>
    <w:rPr>
      <w:rFonts w:ascii="Times New Roman" w:eastAsia="Times New Roman" w:hAnsi="Times New Roman" w:cs="Times New Roman"/>
      <w:b/>
      <w:bCs/>
      <w:sz w:val="20"/>
      <w:szCs w:val="18"/>
      <w:lang w:val="en-US"/>
    </w:rPr>
  </w:style>
  <w:style w:type="character" w:customStyle="1" w:styleId="CaptionChar">
    <w:name w:val="Caption Char"/>
    <w:aliases w:val="Caption 3 Char,c Char,appendix Char,Caption 1 Char,appendix Cha Char,Caption Char Char Char Char,Caption Char Char Char1,Caption Char Char Char Char Char Char Char,Caption-FUSA Char,Bayer Caption Char,! Q Char,DO NOT USE Char,tablesect Char"/>
    <w:basedOn w:val="DefaultParagraphFont"/>
    <w:link w:val="Caption"/>
    <w:rsid w:val="00832736"/>
    <w:rPr>
      <w:rFonts w:ascii="Times New Roman" w:eastAsia="Times New Roman" w:hAnsi="Times New Roman" w:cs="Times New Roman"/>
      <w:b/>
      <w:bCs/>
      <w:sz w:val="20"/>
      <w:szCs w:val="18"/>
      <w:lang w:val="en-US"/>
    </w:rPr>
  </w:style>
  <w:style w:type="paragraph" w:styleId="Date">
    <w:name w:val="Date"/>
    <w:basedOn w:val="Normal"/>
    <w:next w:val="Normal"/>
    <w:link w:val="DateChar"/>
    <w:uiPriority w:val="99"/>
    <w:semiHidden/>
    <w:unhideWhenUsed/>
    <w:rsid w:val="00C23928"/>
  </w:style>
  <w:style w:type="character" w:customStyle="1" w:styleId="DateChar">
    <w:name w:val="Date Char"/>
    <w:basedOn w:val="DefaultParagraphFont"/>
    <w:link w:val="Date"/>
    <w:uiPriority w:val="99"/>
    <w:semiHidden/>
    <w:rsid w:val="00C23928"/>
  </w:style>
  <w:style w:type="paragraph" w:customStyle="1" w:styleId="Hd3">
    <w:name w:val="Hd:3"/>
    <w:basedOn w:val="Normal"/>
    <w:next w:val="Normal"/>
    <w:rsid w:val="00DB1B86"/>
    <w:pPr>
      <w:keepNext/>
      <w:spacing w:before="120" w:after="60"/>
      <w:ind w:left="1138" w:hanging="1138"/>
    </w:pPr>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2A18F6"/>
    <w:rPr>
      <w:color w:val="605E5C"/>
      <w:shd w:val="clear" w:color="auto" w:fill="E1DFDD"/>
    </w:rPr>
  </w:style>
  <w:style w:type="table" w:styleId="TableGrid">
    <w:name w:val="Table Grid"/>
    <w:basedOn w:val="TableNormal"/>
    <w:uiPriority w:val="59"/>
    <w:rsid w:val="0015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2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286D"/>
    <w:pPr>
      <w:autoSpaceDE w:val="0"/>
      <w:autoSpaceDN w:val="0"/>
      <w:adjustRightInd w:val="0"/>
    </w:pPr>
    <w:rPr>
      <w:rFonts w:ascii="Times New Roman" w:hAnsi="Times New Roman" w:cs="Times New Roman"/>
      <w:sz w:val="24"/>
      <w:szCs w:val="24"/>
      <w:lang w:val="en-AU"/>
    </w:rPr>
  </w:style>
  <w:style w:type="paragraph" w:customStyle="1" w:styleId="Basic12">
    <w:name w:val="Basic 12"/>
    <w:qFormat/>
    <w:rsid w:val="00DB761C"/>
    <w:pPr>
      <w:spacing w:line="240" w:lineRule="auto"/>
      <w:jc w:val="both"/>
    </w:pPr>
    <w:rPr>
      <w:rFonts w:ascii="Times New Roman" w:eastAsia="Times New Roman" w:hAnsi="Times New Roman" w:cs="Times New Roman"/>
      <w:sz w:val="24"/>
      <w:szCs w:val="20"/>
      <w:lang w:val="en-US"/>
    </w:rPr>
  </w:style>
  <w:style w:type="paragraph" w:customStyle="1" w:styleId="pf0">
    <w:name w:val="pf0"/>
    <w:basedOn w:val="Normal"/>
    <w:rsid w:val="001A3541"/>
    <w:pPr>
      <w:spacing w:before="100" w:beforeAutospacing="1" w:after="100" w:afterAutospacing="1"/>
      <w:jc w:val="left"/>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1A3541"/>
    <w:rPr>
      <w:rFonts w:ascii="Segoe UI" w:hAnsi="Segoe UI" w:cs="Segoe UI" w:hint="default"/>
      <w:sz w:val="18"/>
      <w:szCs w:val="18"/>
      <w:shd w:val="clear" w:color="auto" w:fill="00FF00"/>
    </w:rPr>
  </w:style>
  <w:style w:type="paragraph" w:customStyle="1" w:styleId="BodyText12">
    <w:name w:val="Body Text 12"/>
    <w:link w:val="BodyText12Char"/>
    <w:qFormat/>
    <w:rsid w:val="0095342F"/>
    <w:pPr>
      <w:spacing w:after="240" w:line="264" w:lineRule="auto"/>
      <w:jc w:val="both"/>
    </w:pPr>
    <w:rPr>
      <w:rFonts w:ascii="Times New Roman" w:eastAsia="Times New Roman" w:hAnsi="Times New Roman" w:cs="Times New Roman"/>
      <w:sz w:val="24"/>
      <w:szCs w:val="20"/>
      <w:lang w:val="en-US"/>
    </w:rPr>
  </w:style>
  <w:style w:type="character" w:customStyle="1" w:styleId="BodyText12Char">
    <w:name w:val="Body Text 12 Char"/>
    <w:basedOn w:val="DefaultParagraphFont"/>
    <w:link w:val="BodyText12"/>
    <w:qFormat/>
    <w:locked/>
    <w:rsid w:val="0095342F"/>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46533">
      <w:bodyDiv w:val="1"/>
      <w:marLeft w:val="0"/>
      <w:marRight w:val="0"/>
      <w:marTop w:val="0"/>
      <w:marBottom w:val="0"/>
      <w:divBdr>
        <w:top w:val="none" w:sz="0" w:space="0" w:color="auto"/>
        <w:left w:val="none" w:sz="0" w:space="0" w:color="auto"/>
        <w:bottom w:val="none" w:sz="0" w:space="0" w:color="auto"/>
        <w:right w:val="none" w:sz="0" w:space="0" w:color="auto"/>
      </w:divBdr>
    </w:div>
    <w:div w:id="1019700608">
      <w:bodyDiv w:val="1"/>
      <w:marLeft w:val="0"/>
      <w:marRight w:val="0"/>
      <w:marTop w:val="0"/>
      <w:marBottom w:val="0"/>
      <w:divBdr>
        <w:top w:val="none" w:sz="0" w:space="0" w:color="auto"/>
        <w:left w:val="none" w:sz="0" w:space="0" w:color="auto"/>
        <w:bottom w:val="none" w:sz="0" w:space="0" w:color="auto"/>
        <w:right w:val="none" w:sz="0" w:space="0" w:color="auto"/>
      </w:divBdr>
    </w:div>
    <w:div w:id="1371808412">
      <w:bodyDiv w:val="1"/>
      <w:marLeft w:val="0"/>
      <w:marRight w:val="0"/>
      <w:marTop w:val="0"/>
      <w:marBottom w:val="0"/>
      <w:divBdr>
        <w:top w:val="none" w:sz="0" w:space="0" w:color="auto"/>
        <w:left w:val="none" w:sz="0" w:space="0" w:color="auto"/>
        <w:bottom w:val="none" w:sz="0" w:space="0" w:color="auto"/>
        <w:right w:val="none" w:sz="0" w:space="0" w:color="auto"/>
      </w:divBdr>
    </w:div>
    <w:div w:id="1789741057">
      <w:bodyDiv w:val="1"/>
      <w:marLeft w:val="0"/>
      <w:marRight w:val="0"/>
      <w:marTop w:val="0"/>
      <w:marBottom w:val="0"/>
      <w:divBdr>
        <w:top w:val="none" w:sz="0" w:space="0" w:color="auto"/>
        <w:left w:val="none" w:sz="0" w:space="0" w:color="auto"/>
        <w:bottom w:val="none" w:sz="0" w:space="0" w:color="auto"/>
        <w:right w:val="none" w:sz="0" w:space="0" w:color="auto"/>
      </w:divBdr>
    </w:div>
    <w:div w:id="1925261958">
      <w:bodyDiv w:val="1"/>
      <w:marLeft w:val="0"/>
      <w:marRight w:val="0"/>
      <w:marTop w:val="0"/>
      <w:marBottom w:val="0"/>
      <w:divBdr>
        <w:top w:val="none" w:sz="0" w:space="0" w:color="auto"/>
        <w:left w:val="none" w:sz="0" w:space="0" w:color="auto"/>
        <w:bottom w:val="none" w:sz="0" w:space="0" w:color="auto"/>
        <w:right w:val="none" w:sz="0" w:space="0" w:color="auto"/>
      </w:divBdr>
    </w:div>
    <w:div w:id="1999310102">
      <w:bodyDiv w:val="1"/>
      <w:marLeft w:val="0"/>
      <w:marRight w:val="0"/>
      <w:marTop w:val="0"/>
      <w:marBottom w:val="0"/>
      <w:divBdr>
        <w:top w:val="none" w:sz="0" w:space="0" w:color="auto"/>
        <w:left w:val="none" w:sz="0" w:space="0" w:color="auto"/>
        <w:bottom w:val="none" w:sz="0" w:space="0" w:color="auto"/>
        <w:right w:val="none" w:sz="0" w:space="0" w:color="auto"/>
      </w:divBdr>
    </w:div>
    <w:div w:id="2075933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www.tga.gov.au/safety/reporting-problems"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AA\p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374F4A733C8F46801AA1D4F8AC5C52" ma:contentTypeVersion="8" ma:contentTypeDescription="Create a new document." ma:contentTypeScope="" ma:versionID="c675a8b4e0359ee69db6bd3131b3adb2">
  <xsd:schema xmlns:xsd="http://www.w3.org/2001/XMLSchema" xmlns:xs="http://www.w3.org/2001/XMLSchema" xmlns:p="http://schemas.microsoft.com/office/2006/metadata/properties" xmlns:ns2="4f709c41-9b59-457b-9f1b-2e536eb5d684" xmlns:ns3="43c5e1aa-a40f-4af2-8ac2-10f8b9e19a8f" targetNamespace="http://schemas.microsoft.com/office/2006/metadata/properties" ma:root="true" ma:fieldsID="9f4bc28c306a4d1a3258806d20e82e3a" ns2:_="" ns3:_="">
    <xsd:import namespace="4f709c41-9b59-457b-9f1b-2e536eb5d684"/>
    <xsd:import namespace="43c5e1aa-a40f-4af2-8ac2-10f8b9e19a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09c41-9b59-457b-9f1b-2e536eb5d6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c5e1aa-a40f-4af2-8ac2-10f8b9e19a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02DA4-6614-45E8-A3C1-5782B72B00A7}">
  <ds:schemaRefs>
    <ds:schemaRef ds:uri="http://schemas.microsoft.com/sharepoint/v3/contenttype/forms"/>
  </ds:schemaRefs>
</ds:datastoreItem>
</file>

<file path=customXml/itemProps2.xml><?xml version="1.0" encoding="utf-8"?>
<ds:datastoreItem xmlns:ds="http://schemas.openxmlformats.org/officeDocument/2006/customXml" ds:itemID="{3EFE1EB5-B014-4CA9-B524-3301253AEB92}">
  <ds:schemaRefs>
    <ds:schemaRef ds:uri="http://schemas.openxmlformats.org/officeDocument/2006/bibliography"/>
  </ds:schemaRefs>
</ds:datastoreItem>
</file>

<file path=customXml/itemProps3.xml><?xml version="1.0" encoding="utf-8"?>
<ds:datastoreItem xmlns:ds="http://schemas.openxmlformats.org/officeDocument/2006/customXml" ds:itemID="{53F9A2D1-38A7-4934-B0D7-F4A8F83E4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09c41-9b59-457b-9f1b-2e536eb5d684"/>
    <ds:schemaRef ds:uri="43c5e1aa-a40f-4af2-8ac2-10f8b9e1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E9A14-B917-48BD-B15C-56DA51990AE0}">
  <ds:schemaRefs>
    <ds:schemaRef ds:uri="http://purl.org/dc/dcmitype/"/>
    <ds:schemaRef ds:uri="http://schemas.microsoft.com/office/2006/documentManagement/types"/>
    <ds:schemaRef ds:uri="http://schemas.openxmlformats.org/package/2006/metadata/core-properties"/>
    <ds:schemaRef ds:uri="43c5e1aa-a40f-4af2-8ac2-10f8b9e19a8f"/>
    <ds:schemaRef ds:uri="http://purl.org/dc/terms/"/>
    <ds:schemaRef ds:uri="http://purl.org/dc/elements/1.1/"/>
    <ds:schemaRef ds:uri="http://schemas.microsoft.com/office/infopath/2007/PartnerControls"/>
    <ds:schemaRef ds:uri="http://www.w3.org/XML/1998/namespace"/>
    <ds:schemaRef ds:uri="4f709c41-9b59-457b-9f1b-2e536eb5d684"/>
    <ds:schemaRef ds:uri="http://schemas.microsoft.com/office/2006/metadata/propertie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pi-template.dotx</Template>
  <TotalTime>0</TotalTime>
  <Pages>46</Pages>
  <Words>15083</Words>
  <Characters>85370</Characters>
  <Application>Microsoft Office Word</Application>
  <DocSecurity>0</DocSecurity>
  <Lines>1778</Lines>
  <Paragraphs>930</Paragraphs>
  <ScaleCrop>false</ScaleCrop>
  <HeadingPairs>
    <vt:vector size="2" baseType="variant">
      <vt:variant>
        <vt:lpstr>Title</vt:lpstr>
      </vt:variant>
      <vt:variant>
        <vt:i4>1</vt:i4>
      </vt:variant>
    </vt:vector>
  </HeadingPairs>
  <TitlesOfParts>
    <vt:vector size="1" baseType="lpstr">
      <vt:lpstr>Attachment Product information for Opsynvi</vt:lpstr>
    </vt:vector>
  </TitlesOfParts>
  <Company>Janssen-Cilag Pty Ltd</Company>
  <LinksUpToDate>false</LinksUpToDate>
  <CharactersWithSpaces>99523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Opsynvi</dc:title>
  <dc:subject>prescription medicines</dc:subject>
  <dc:creator>Janssen-Cilag Pty Ltd</dc:creator>
  <cp:keywords/>
  <dc:description/>
  <cp:lastModifiedBy>LACK, Janet</cp:lastModifiedBy>
  <cp:revision>2</cp:revision>
  <cp:lastPrinted>2024-09-21T12:39:00Z</cp:lastPrinted>
  <dcterms:created xsi:type="dcterms:W3CDTF">2025-07-01T05:58:00Z</dcterms:created>
  <dcterms:modified xsi:type="dcterms:W3CDTF">2025-07-01T05:58:00Z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0x010100B6374F4A733C8F46801AA1D4F8AC5C52</vt:lpwstr>
  </property>
  <property fmtid="{D5CDD505-2E9C-101B-9397-08002B2CF9AE}" pid="3" name="Order">
    <vt:r8>100</vt:r8>
  </property>
</Properties>
</file>