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D5F2E" w14:textId="77777777" w:rsidR="00010D9A" w:rsidRDefault="00010D9A"/>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4A600AB" w:rsidR="00F02AEC" w:rsidRPr="00215D48" w:rsidRDefault="00346EC2" w:rsidP="007452E8">
            <w:pPr>
              <w:pStyle w:val="Title"/>
            </w:pPr>
            <w:r w:rsidRPr="00346EC2">
              <w:t xml:space="preserve">Australian Public Assessment Report for </w:t>
            </w:r>
            <w:r w:rsidR="00813068" w:rsidRPr="00813068">
              <w:t>JOENJA</w:t>
            </w:r>
          </w:p>
        </w:tc>
      </w:tr>
      <w:tr w:rsidR="00F02AEC" w:rsidRPr="00215D48" w14:paraId="318A40A3" w14:textId="77777777" w:rsidTr="00346EC2">
        <w:trPr>
          <w:trHeight w:val="995"/>
        </w:trPr>
        <w:tc>
          <w:tcPr>
            <w:tcW w:w="8720" w:type="dxa"/>
          </w:tcPr>
          <w:p w14:paraId="1AA7C701" w14:textId="3FAEC29D" w:rsidR="00F02AEC" w:rsidRPr="00215D48" w:rsidRDefault="00346EC2" w:rsidP="007452E8">
            <w:pPr>
              <w:pStyle w:val="Subtitle"/>
              <w:ind w:left="0"/>
            </w:pPr>
            <w:r w:rsidRPr="00346EC2">
              <w:t>Active ingredient:</w:t>
            </w:r>
            <w:r w:rsidR="00AA1B5A">
              <w:t xml:space="preserve"> </w:t>
            </w:r>
            <w:r w:rsidR="00D56544">
              <w:t>L</w:t>
            </w:r>
            <w:r w:rsidR="009844A5">
              <w:t>eniolisib</w:t>
            </w:r>
          </w:p>
        </w:tc>
      </w:tr>
      <w:tr w:rsidR="00346EC2" w:rsidRPr="00215D48" w14:paraId="362CCAE4" w14:textId="77777777" w:rsidTr="007452E8">
        <w:trPr>
          <w:trHeight w:val="1916"/>
        </w:trPr>
        <w:tc>
          <w:tcPr>
            <w:tcW w:w="8720" w:type="dxa"/>
          </w:tcPr>
          <w:p w14:paraId="709C45C0" w14:textId="231AC785" w:rsidR="00346EC2" w:rsidRPr="00215D48" w:rsidRDefault="00346EC2" w:rsidP="007452E8">
            <w:pPr>
              <w:pStyle w:val="Subtitle"/>
              <w:ind w:left="0"/>
            </w:pPr>
            <w:r w:rsidRPr="00346EC2">
              <w:t>Sponsor:</w:t>
            </w:r>
            <w:r w:rsidR="004960BD">
              <w:t xml:space="preserve"> </w:t>
            </w:r>
            <w:r w:rsidR="00C75718" w:rsidRPr="00C75718">
              <w:t>Ballia Holdings Pty Ltd</w:t>
            </w:r>
          </w:p>
        </w:tc>
      </w:tr>
      <w:tr w:rsidR="00F02AEC" w:rsidRPr="00215D48" w14:paraId="37F2AA1F" w14:textId="77777777" w:rsidTr="007452E8">
        <w:tc>
          <w:tcPr>
            <w:tcW w:w="8720" w:type="dxa"/>
          </w:tcPr>
          <w:p w14:paraId="1FDE8DCD" w14:textId="306AC5CA" w:rsidR="00F02AEC" w:rsidRPr="00215D48" w:rsidRDefault="00C75718" w:rsidP="007452E8">
            <w:pPr>
              <w:pStyle w:val="Date"/>
            </w:pPr>
            <w:r>
              <w:t>June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D89CCF0" w14:textId="78AC978F" w:rsidR="001E2E7E" w:rsidRDefault="00F02AEC">
          <w:pPr>
            <w:pStyle w:val="TOC3"/>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3144779" w:history="1">
            <w:r w:rsidR="001E2E7E" w:rsidRPr="000C0B5F">
              <w:rPr>
                <w:rStyle w:val="Hyperlink"/>
                <w:noProof/>
              </w:rPr>
              <w:t>List of abbreviations</w:t>
            </w:r>
            <w:r w:rsidR="001E2E7E">
              <w:rPr>
                <w:noProof/>
                <w:webHidden/>
              </w:rPr>
              <w:tab/>
            </w:r>
            <w:r w:rsidR="001E2E7E">
              <w:rPr>
                <w:noProof/>
                <w:webHidden/>
              </w:rPr>
              <w:fldChar w:fldCharType="begin"/>
            </w:r>
            <w:r w:rsidR="001E2E7E">
              <w:rPr>
                <w:noProof/>
                <w:webHidden/>
              </w:rPr>
              <w:instrText xml:space="preserve"> PAGEREF _Toc203144779 \h </w:instrText>
            </w:r>
            <w:r w:rsidR="001E2E7E">
              <w:rPr>
                <w:noProof/>
                <w:webHidden/>
              </w:rPr>
            </w:r>
            <w:r w:rsidR="001E2E7E">
              <w:rPr>
                <w:noProof/>
                <w:webHidden/>
              </w:rPr>
              <w:fldChar w:fldCharType="separate"/>
            </w:r>
            <w:r w:rsidR="00D56544">
              <w:rPr>
                <w:noProof/>
                <w:webHidden/>
              </w:rPr>
              <w:t>4</w:t>
            </w:r>
            <w:r w:rsidR="001E2E7E">
              <w:rPr>
                <w:noProof/>
                <w:webHidden/>
              </w:rPr>
              <w:fldChar w:fldCharType="end"/>
            </w:r>
          </w:hyperlink>
        </w:p>
        <w:p w14:paraId="6A87F09F" w14:textId="630F1B24" w:rsidR="001E2E7E" w:rsidRDefault="001E2E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3144780" w:history="1">
            <w:r w:rsidRPr="000C0B5F">
              <w:rPr>
                <w:rStyle w:val="Hyperlink"/>
                <w:noProof/>
              </w:rPr>
              <w:t>JOENJA (leniolisib) submission</w:t>
            </w:r>
            <w:r>
              <w:rPr>
                <w:noProof/>
                <w:webHidden/>
              </w:rPr>
              <w:tab/>
            </w:r>
            <w:r>
              <w:rPr>
                <w:noProof/>
                <w:webHidden/>
              </w:rPr>
              <w:fldChar w:fldCharType="begin"/>
            </w:r>
            <w:r>
              <w:rPr>
                <w:noProof/>
                <w:webHidden/>
              </w:rPr>
              <w:instrText xml:space="preserve"> PAGEREF _Toc203144780 \h </w:instrText>
            </w:r>
            <w:r>
              <w:rPr>
                <w:noProof/>
                <w:webHidden/>
              </w:rPr>
            </w:r>
            <w:r>
              <w:rPr>
                <w:noProof/>
                <w:webHidden/>
              </w:rPr>
              <w:fldChar w:fldCharType="separate"/>
            </w:r>
            <w:r w:rsidR="00D56544">
              <w:rPr>
                <w:noProof/>
                <w:webHidden/>
              </w:rPr>
              <w:t>5</w:t>
            </w:r>
            <w:r>
              <w:rPr>
                <w:noProof/>
                <w:webHidden/>
              </w:rPr>
              <w:fldChar w:fldCharType="end"/>
            </w:r>
          </w:hyperlink>
        </w:p>
        <w:p w14:paraId="7C26F101" w14:textId="3E0865E8"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81" w:history="1">
            <w:r w:rsidRPr="000C0B5F">
              <w:rPr>
                <w:rStyle w:val="Hyperlink"/>
                <w:noProof/>
              </w:rPr>
              <w:t>Proposed indication</w:t>
            </w:r>
            <w:r>
              <w:rPr>
                <w:noProof/>
                <w:webHidden/>
              </w:rPr>
              <w:tab/>
            </w:r>
            <w:r>
              <w:rPr>
                <w:noProof/>
                <w:webHidden/>
              </w:rPr>
              <w:fldChar w:fldCharType="begin"/>
            </w:r>
            <w:r>
              <w:rPr>
                <w:noProof/>
                <w:webHidden/>
              </w:rPr>
              <w:instrText xml:space="preserve"> PAGEREF _Toc203144781 \h </w:instrText>
            </w:r>
            <w:r>
              <w:rPr>
                <w:noProof/>
                <w:webHidden/>
              </w:rPr>
            </w:r>
            <w:r>
              <w:rPr>
                <w:noProof/>
                <w:webHidden/>
              </w:rPr>
              <w:fldChar w:fldCharType="separate"/>
            </w:r>
            <w:r w:rsidR="00D56544">
              <w:rPr>
                <w:noProof/>
                <w:webHidden/>
              </w:rPr>
              <w:t>6</w:t>
            </w:r>
            <w:r>
              <w:rPr>
                <w:noProof/>
                <w:webHidden/>
              </w:rPr>
              <w:fldChar w:fldCharType="end"/>
            </w:r>
          </w:hyperlink>
        </w:p>
        <w:p w14:paraId="7CF8AD1E" w14:textId="4F30C77A"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82" w:history="1">
            <w:r w:rsidRPr="000C0B5F">
              <w:rPr>
                <w:rStyle w:val="Hyperlink"/>
                <w:noProof/>
              </w:rPr>
              <w:t>The condition</w:t>
            </w:r>
            <w:r>
              <w:rPr>
                <w:noProof/>
                <w:webHidden/>
              </w:rPr>
              <w:tab/>
            </w:r>
            <w:r>
              <w:rPr>
                <w:noProof/>
                <w:webHidden/>
              </w:rPr>
              <w:fldChar w:fldCharType="begin"/>
            </w:r>
            <w:r>
              <w:rPr>
                <w:noProof/>
                <w:webHidden/>
              </w:rPr>
              <w:instrText xml:space="preserve"> PAGEREF _Toc203144782 \h </w:instrText>
            </w:r>
            <w:r>
              <w:rPr>
                <w:noProof/>
                <w:webHidden/>
              </w:rPr>
            </w:r>
            <w:r>
              <w:rPr>
                <w:noProof/>
                <w:webHidden/>
              </w:rPr>
              <w:fldChar w:fldCharType="separate"/>
            </w:r>
            <w:r w:rsidR="00D56544">
              <w:rPr>
                <w:noProof/>
                <w:webHidden/>
              </w:rPr>
              <w:t>6</w:t>
            </w:r>
            <w:r>
              <w:rPr>
                <w:noProof/>
                <w:webHidden/>
              </w:rPr>
              <w:fldChar w:fldCharType="end"/>
            </w:r>
          </w:hyperlink>
        </w:p>
        <w:p w14:paraId="6B165E8B" w14:textId="3D57F30F"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83" w:history="1">
            <w:r w:rsidRPr="000C0B5F">
              <w:rPr>
                <w:rStyle w:val="Hyperlink"/>
                <w:noProof/>
              </w:rPr>
              <w:t>Current treatment options</w:t>
            </w:r>
            <w:r>
              <w:rPr>
                <w:noProof/>
                <w:webHidden/>
              </w:rPr>
              <w:tab/>
            </w:r>
            <w:r>
              <w:rPr>
                <w:noProof/>
                <w:webHidden/>
              </w:rPr>
              <w:fldChar w:fldCharType="begin"/>
            </w:r>
            <w:r>
              <w:rPr>
                <w:noProof/>
                <w:webHidden/>
              </w:rPr>
              <w:instrText xml:space="preserve"> PAGEREF _Toc203144783 \h </w:instrText>
            </w:r>
            <w:r>
              <w:rPr>
                <w:noProof/>
                <w:webHidden/>
              </w:rPr>
            </w:r>
            <w:r>
              <w:rPr>
                <w:noProof/>
                <w:webHidden/>
              </w:rPr>
              <w:fldChar w:fldCharType="separate"/>
            </w:r>
            <w:r w:rsidR="00D56544">
              <w:rPr>
                <w:noProof/>
                <w:webHidden/>
              </w:rPr>
              <w:t>7</w:t>
            </w:r>
            <w:r>
              <w:rPr>
                <w:noProof/>
                <w:webHidden/>
              </w:rPr>
              <w:fldChar w:fldCharType="end"/>
            </w:r>
          </w:hyperlink>
        </w:p>
        <w:p w14:paraId="5435E412" w14:textId="121AEFEE"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84" w:history="1">
            <w:r w:rsidRPr="000C0B5F">
              <w:rPr>
                <w:rStyle w:val="Hyperlink"/>
                <w:noProof/>
              </w:rPr>
              <w:t>Clinical rationale</w:t>
            </w:r>
            <w:r>
              <w:rPr>
                <w:noProof/>
                <w:webHidden/>
              </w:rPr>
              <w:tab/>
            </w:r>
            <w:r>
              <w:rPr>
                <w:noProof/>
                <w:webHidden/>
              </w:rPr>
              <w:fldChar w:fldCharType="begin"/>
            </w:r>
            <w:r>
              <w:rPr>
                <w:noProof/>
                <w:webHidden/>
              </w:rPr>
              <w:instrText xml:space="preserve"> PAGEREF _Toc203144784 \h </w:instrText>
            </w:r>
            <w:r>
              <w:rPr>
                <w:noProof/>
                <w:webHidden/>
              </w:rPr>
            </w:r>
            <w:r>
              <w:rPr>
                <w:noProof/>
                <w:webHidden/>
              </w:rPr>
              <w:fldChar w:fldCharType="separate"/>
            </w:r>
            <w:r w:rsidR="00D56544">
              <w:rPr>
                <w:noProof/>
                <w:webHidden/>
              </w:rPr>
              <w:t>7</w:t>
            </w:r>
            <w:r>
              <w:rPr>
                <w:noProof/>
                <w:webHidden/>
              </w:rPr>
              <w:fldChar w:fldCharType="end"/>
            </w:r>
          </w:hyperlink>
        </w:p>
        <w:p w14:paraId="327B5DD5" w14:textId="14CFF15D"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85" w:history="1">
            <w:r w:rsidRPr="000C0B5F">
              <w:rPr>
                <w:rStyle w:val="Hyperlink"/>
                <w:noProof/>
              </w:rPr>
              <w:t>Regulatory status</w:t>
            </w:r>
            <w:r>
              <w:rPr>
                <w:noProof/>
                <w:webHidden/>
              </w:rPr>
              <w:tab/>
            </w:r>
            <w:r>
              <w:rPr>
                <w:noProof/>
                <w:webHidden/>
              </w:rPr>
              <w:fldChar w:fldCharType="begin"/>
            </w:r>
            <w:r>
              <w:rPr>
                <w:noProof/>
                <w:webHidden/>
              </w:rPr>
              <w:instrText xml:space="preserve"> PAGEREF _Toc203144785 \h </w:instrText>
            </w:r>
            <w:r>
              <w:rPr>
                <w:noProof/>
                <w:webHidden/>
              </w:rPr>
            </w:r>
            <w:r>
              <w:rPr>
                <w:noProof/>
                <w:webHidden/>
              </w:rPr>
              <w:fldChar w:fldCharType="separate"/>
            </w:r>
            <w:r w:rsidR="00D56544">
              <w:rPr>
                <w:noProof/>
                <w:webHidden/>
              </w:rPr>
              <w:t>7</w:t>
            </w:r>
            <w:r>
              <w:rPr>
                <w:noProof/>
                <w:webHidden/>
              </w:rPr>
              <w:fldChar w:fldCharType="end"/>
            </w:r>
          </w:hyperlink>
        </w:p>
        <w:p w14:paraId="41CB7F4F" w14:textId="11C2DC0D"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86" w:history="1">
            <w:r w:rsidRPr="000C0B5F">
              <w:rPr>
                <w:rStyle w:val="Hyperlink"/>
                <w:noProof/>
              </w:rPr>
              <w:t>Registration timeline</w:t>
            </w:r>
            <w:r>
              <w:rPr>
                <w:noProof/>
                <w:webHidden/>
              </w:rPr>
              <w:tab/>
            </w:r>
            <w:r>
              <w:rPr>
                <w:noProof/>
                <w:webHidden/>
              </w:rPr>
              <w:fldChar w:fldCharType="begin"/>
            </w:r>
            <w:r>
              <w:rPr>
                <w:noProof/>
                <w:webHidden/>
              </w:rPr>
              <w:instrText xml:space="preserve"> PAGEREF _Toc203144786 \h </w:instrText>
            </w:r>
            <w:r>
              <w:rPr>
                <w:noProof/>
                <w:webHidden/>
              </w:rPr>
            </w:r>
            <w:r>
              <w:rPr>
                <w:noProof/>
                <w:webHidden/>
              </w:rPr>
              <w:fldChar w:fldCharType="separate"/>
            </w:r>
            <w:r w:rsidR="00D56544">
              <w:rPr>
                <w:noProof/>
                <w:webHidden/>
              </w:rPr>
              <w:t>8</w:t>
            </w:r>
            <w:r>
              <w:rPr>
                <w:noProof/>
                <w:webHidden/>
              </w:rPr>
              <w:fldChar w:fldCharType="end"/>
            </w:r>
          </w:hyperlink>
        </w:p>
        <w:p w14:paraId="36DFC5C1" w14:textId="103BABC5" w:rsidR="001E2E7E" w:rsidRDefault="001E2E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3144787" w:history="1">
            <w:r w:rsidRPr="000C0B5F">
              <w:rPr>
                <w:rStyle w:val="Hyperlink"/>
                <w:noProof/>
              </w:rPr>
              <w:t>Assessment overview</w:t>
            </w:r>
            <w:r>
              <w:rPr>
                <w:noProof/>
                <w:webHidden/>
              </w:rPr>
              <w:tab/>
            </w:r>
            <w:r>
              <w:rPr>
                <w:noProof/>
                <w:webHidden/>
              </w:rPr>
              <w:fldChar w:fldCharType="begin"/>
            </w:r>
            <w:r>
              <w:rPr>
                <w:noProof/>
                <w:webHidden/>
              </w:rPr>
              <w:instrText xml:space="preserve"> PAGEREF _Toc203144787 \h </w:instrText>
            </w:r>
            <w:r>
              <w:rPr>
                <w:noProof/>
                <w:webHidden/>
              </w:rPr>
            </w:r>
            <w:r>
              <w:rPr>
                <w:noProof/>
                <w:webHidden/>
              </w:rPr>
              <w:fldChar w:fldCharType="separate"/>
            </w:r>
            <w:r w:rsidR="00D56544">
              <w:rPr>
                <w:noProof/>
                <w:webHidden/>
              </w:rPr>
              <w:t>8</w:t>
            </w:r>
            <w:r>
              <w:rPr>
                <w:noProof/>
                <w:webHidden/>
              </w:rPr>
              <w:fldChar w:fldCharType="end"/>
            </w:r>
          </w:hyperlink>
        </w:p>
        <w:p w14:paraId="41B23E9A" w14:textId="1F0A6EA3" w:rsidR="001E2E7E" w:rsidRDefault="001E2E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3144788" w:history="1">
            <w:r w:rsidRPr="000C0B5F">
              <w:rPr>
                <w:rStyle w:val="Hyperlink"/>
                <w:noProof/>
              </w:rPr>
              <w:t>Quality evaluation summary</w:t>
            </w:r>
            <w:r>
              <w:rPr>
                <w:noProof/>
                <w:webHidden/>
              </w:rPr>
              <w:tab/>
            </w:r>
            <w:r>
              <w:rPr>
                <w:noProof/>
                <w:webHidden/>
              </w:rPr>
              <w:fldChar w:fldCharType="begin"/>
            </w:r>
            <w:r>
              <w:rPr>
                <w:noProof/>
                <w:webHidden/>
              </w:rPr>
              <w:instrText xml:space="preserve"> PAGEREF _Toc203144788 \h </w:instrText>
            </w:r>
            <w:r>
              <w:rPr>
                <w:noProof/>
                <w:webHidden/>
              </w:rPr>
            </w:r>
            <w:r>
              <w:rPr>
                <w:noProof/>
                <w:webHidden/>
              </w:rPr>
              <w:fldChar w:fldCharType="separate"/>
            </w:r>
            <w:r w:rsidR="00D56544">
              <w:rPr>
                <w:noProof/>
                <w:webHidden/>
              </w:rPr>
              <w:t>8</w:t>
            </w:r>
            <w:r>
              <w:rPr>
                <w:noProof/>
                <w:webHidden/>
              </w:rPr>
              <w:fldChar w:fldCharType="end"/>
            </w:r>
          </w:hyperlink>
        </w:p>
        <w:p w14:paraId="6E186A57" w14:textId="1F880D70" w:rsidR="001E2E7E" w:rsidRDefault="001E2E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3144789" w:history="1">
            <w:r w:rsidRPr="000C0B5F">
              <w:rPr>
                <w:rStyle w:val="Hyperlink"/>
                <w:noProof/>
              </w:rPr>
              <w:t>Nonclinical evaluation summary</w:t>
            </w:r>
            <w:r>
              <w:rPr>
                <w:noProof/>
                <w:webHidden/>
              </w:rPr>
              <w:tab/>
            </w:r>
            <w:r>
              <w:rPr>
                <w:noProof/>
                <w:webHidden/>
              </w:rPr>
              <w:fldChar w:fldCharType="begin"/>
            </w:r>
            <w:r>
              <w:rPr>
                <w:noProof/>
                <w:webHidden/>
              </w:rPr>
              <w:instrText xml:space="preserve"> PAGEREF _Toc203144789 \h </w:instrText>
            </w:r>
            <w:r>
              <w:rPr>
                <w:noProof/>
                <w:webHidden/>
              </w:rPr>
            </w:r>
            <w:r>
              <w:rPr>
                <w:noProof/>
                <w:webHidden/>
              </w:rPr>
              <w:fldChar w:fldCharType="separate"/>
            </w:r>
            <w:r w:rsidR="00D56544">
              <w:rPr>
                <w:noProof/>
                <w:webHidden/>
              </w:rPr>
              <w:t>9</w:t>
            </w:r>
            <w:r>
              <w:rPr>
                <w:noProof/>
                <w:webHidden/>
              </w:rPr>
              <w:fldChar w:fldCharType="end"/>
            </w:r>
          </w:hyperlink>
        </w:p>
        <w:p w14:paraId="39B487FD" w14:textId="40C6A271" w:rsidR="001E2E7E" w:rsidRDefault="001E2E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3144790" w:history="1">
            <w:r w:rsidRPr="000C0B5F">
              <w:rPr>
                <w:rStyle w:val="Hyperlink"/>
                <w:noProof/>
              </w:rPr>
              <w:t>Clinical evaluation summary</w:t>
            </w:r>
            <w:r>
              <w:rPr>
                <w:noProof/>
                <w:webHidden/>
              </w:rPr>
              <w:tab/>
            </w:r>
            <w:r>
              <w:rPr>
                <w:noProof/>
                <w:webHidden/>
              </w:rPr>
              <w:fldChar w:fldCharType="begin"/>
            </w:r>
            <w:r>
              <w:rPr>
                <w:noProof/>
                <w:webHidden/>
              </w:rPr>
              <w:instrText xml:space="preserve"> PAGEREF _Toc203144790 \h </w:instrText>
            </w:r>
            <w:r>
              <w:rPr>
                <w:noProof/>
                <w:webHidden/>
              </w:rPr>
            </w:r>
            <w:r>
              <w:rPr>
                <w:noProof/>
                <w:webHidden/>
              </w:rPr>
              <w:fldChar w:fldCharType="separate"/>
            </w:r>
            <w:r w:rsidR="00D56544">
              <w:rPr>
                <w:noProof/>
                <w:webHidden/>
              </w:rPr>
              <w:t>9</w:t>
            </w:r>
            <w:r>
              <w:rPr>
                <w:noProof/>
                <w:webHidden/>
              </w:rPr>
              <w:fldChar w:fldCharType="end"/>
            </w:r>
          </w:hyperlink>
        </w:p>
        <w:p w14:paraId="5DD1BC77" w14:textId="3DCD32B2"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91" w:history="1">
            <w:r w:rsidRPr="000C0B5F">
              <w:rPr>
                <w:rStyle w:val="Hyperlink"/>
                <w:noProof/>
              </w:rPr>
              <w:t>Pharmacology</w:t>
            </w:r>
            <w:r>
              <w:rPr>
                <w:noProof/>
                <w:webHidden/>
              </w:rPr>
              <w:tab/>
            </w:r>
            <w:r>
              <w:rPr>
                <w:noProof/>
                <w:webHidden/>
              </w:rPr>
              <w:fldChar w:fldCharType="begin"/>
            </w:r>
            <w:r>
              <w:rPr>
                <w:noProof/>
                <w:webHidden/>
              </w:rPr>
              <w:instrText xml:space="preserve"> PAGEREF _Toc203144791 \h </w:instrText>
            </w:r>
            <w:r>
              <w:rPr>
                <w:noProof/>
                <w:webHidden/>
              </w:rPr>
            </w:r>
            <w:r>
              <w:rPr>
                <w:noProof/>
                <w:webHidden/>
              </w:rPr>
              <w:fldChar w:fldCharType="separate"/>
            </w:r>
            <w:r w:rsidR="00D56544">
              <w:rPr>
                <w:noProof/>
                <w:webHidden/>
              </w:rPr>
              <w:t>9</w:t>
            </w:r>
            <w:r>
              <w:rPr>
                <w:noProof/>
                <w:webHidden/>
              </w:rPr>
              <w:fldChar w:fldCharType="end"/>
            </w:r>
          </w:hyperlink>
        </w:p>
        <w:p w14:paraId="52380CFA" w14:textId="24FC3DDA"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92" w:history="1">
            <w:r w:rsidRPr="000C0B5F">
              <w:rPr>
                <w:rStyle w:val="Hyperlink"/>
                <w:noProof/>
              </w:rPr>
              <w:t>Efficacy</w:t>
            </w:r>
            <w:r>
              <w:rPr>
                <w:noProof/>
                <w:webHidden/>
              </w:rPr>
              <w:tab/>
            </w:r>
            <w:r>
              <w:rPr>
                <w:noProof/>
                <w:webHidden/>
              </w:rPr>
              <w:fldChar w:fldCharType="begin"/>
            </w:r>
            <w:r>
              <w:rPr>
                <w:noProof/>
                <w:webHidden/>
              </w:rPr>
              <w:instrText xml:space="preserve"> PAGEREF _Toc203144792 \h </w:instrText>
            </w:r>
            <w:r>
              <w:rPr>
                <w:noProof/>
                <w:webHidden/>
              </w:rPr>
            </w:r>
            <w:r>
              <w:rPr>
                <w:noProof/>
                <w:webHidden/>
              </w:rPr>
              <w:fldChar w:fldCharType="separate"/>
            </w:r>
            <w:r w:rsidR="00D56544">
              <w:rPr>
                <w:noProof/>
                <w:webHidden/>
              </w:rPr>
              <w:t>11</w:t>
            </w:r>
            <w:r>
              <w:rPr>
                <w:noProof/>
                <w:webHidden/>
              </w:rPr>
              <w:fldChar w:fldCharType="end"/>
            </w:r>
          </w:hyperlink>
        </w:p>
        <w:p w14:paraId="4B56B44D" w14:textId="005F387C"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93" w:history="1">
            <w:r w:rsidRPr="000C0B5F">
              <w:rPr>
                <w:rStyle w:val="Hyperlink"/>
                <w:noProof/>
              </w:rPr>
              <w:t>Safety</w:t>
            </w:r>
            <w:r>
              <w:rPr>
                <w:noProof/>
                <w:webHidden/>
              </w:rPr>
              <w:tab/>
            </w:r>
            <w:r>
              <w:rPr>
                <w:noProof/>
                <w:webHidden/>
              </w:rPr>
              <w:fldChar w:fldCharType="begin"/>
            </w:r>
            <w:r>
              <w:rPr>
                <w:noProof/>
                <w:webHidden/>
              </w:rPr>
              <w:instrText xml:space="preserve"> PAGEREF _Toc203144793 \h </w:instrText>
            </w:r>
            <w:r>
              <w:rPr>
                <w:noProof/>
                <w:webHidden/>
              </w:rPr>
            </w:r>
            <w:r>
              <w:rPr>
                <w:noProof/>
                <w:webHidden/>
              </w:rPr>
              <w:fldChar w:fldCharType="separate"/>
            </w:r>
            <w:r w:rsidR="00D56544">
              <w:rPr>
                <w:noProof/>
                <w:webHidden/>
              </w:rPr>
              <w:t>15</w:t>
            </w:r>
            <w:r>
              <w:rPr>
                <w:noProof/>
                <w:webHidden/>
              </w:rPr>
              <w:fldChar w:fldCharType="end"/>
            </w:r>
          </w:hyperlink>
        </w:p>
        <w:p w14:paraId="584FD3E0" w14:textId="76A2A4DF" w:rsidR="001E2E7E" w:rsidRDefault="001E2E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3144794" w:history="1">
            <w:r w:rsidRPr="000C0B5F">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_Toc203144794 \h </w:instrText>
            </w:r>
            <w:r>
              <w:rPr>
                <w:noProof/>
                <w:webHidden/>
              </w:rPr>
            </w:r>
            <w:r>
              <w:rPr>
                <w:noProof/>
                <w:webHidden/>
              </w:rPr>
              <w:fldChar w:fldCharType="separate"/>
            </w:r>
            <w:r w:rsidR="00D56544">
              <w:rPr>
                <w:noProof/>
                <w:webHidden/>
              </w:rPr>
              <w:t>18</w:t>
            </w:r>
            <w:r>
              <w:rPr>
                <w:noProof/>
                <w:webHidden/>
              </w:rPr>
              <w:fldChar w:fldCharType="end"/>
            </w:r>
          </w:hyperlink>
        </w:p>
        <w:p w14:paraId="0980136B" w14:textId="71F7059B" w:rsidR="001E2E7E" w:rsidRDefault="001E2E7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3144795" w:history="1">
            <w:r w:rsidRPr="000C0B5F">
              <w:rPr>
                <w:rStyle w:val="Hyperlink"/>
                <w:noProof/>
              </w:rPr>
              <w:t>Risk-benefit analysis</w:t>
            </w:r>
            <w:r>
              <w:rPr>
                <w:noProof/>
                <w:webHidden/>
              </w:rPr>
              <w:tab/>
            </w:r>
            <w:r>
              <w:rPr>
                <w:noProof/>
                <w:webHidden/>
              </w:rPr>
              <w:fldChar w:fldCharType="begin"/>
            </w:r>
            <w:r>
              <w:rPr>
                <w:noProof/>
                <w:webHidden/>
              </w:rPr>
              <w:instrText xml:space="preserve"> PAGEREF _Toc203144795 \h </w:instrText>
            </w:r>
            <w:r>
              <w:rPr>
                <w:noProof/>
                <w:webHidden/>
              </w:rPr>
            </w:r>
            <w:r>
              <w:rPr>
                <w:noProof/>
                <w:webHidden/>
              </w:rPr>
              <w:fldChar w:fldCharType="separate"/>
            </w:r>
            <w:r w:rsidR="00D56544">
              <w:rPr>
                <w:noProof/>
                <w:webHidden/>
              </w:rPr>
              <w:t>19</w:t>
            </w:r>
            <w:r>
              <w:rPr>
                <w:noProof/>
                <w:webHidden/>
              </w:rPr>
              <w:fldChar w:fldCharType="end"/>
            </w:r>
          </w:hyperlink>
        </w:p>
        <w:p w14:paraId="11759796" w14:textId="6BB1DBF5"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96" w:history="1">
            <w:r w:rsidRPr="000C0B5F">
              <w:rPr>
                <w:rStyle w:val="Hyperlink"/>
                <w:noProof/>
              </w:rPr>
              <w:t>Delegate’s considerations</w:t>
            </w:r>
            <w:r>
              <w:rPr>
                <w:noProof/>
                <w:webHidden/>
              </w:rPr>
              <w:tab/>
            </w:r>
            <w:r>
              <w:rPr>
                <w:noProof/>
                <w:webHidden/>
              </w:rPr>
              <w:fldChar w:fldCharType="begin"/>
            </w:r>
            <w:r>
              <w:rPr>
                <w:noProof/>
                <w:webHidden/>
              </w:rPr>
              <w:instrText xml:space="preserve"> PAGEREF _Toc203144796 \h </w:instrText>
            </w:r>
            <w:r>
              <w:rPr>
                <w:noProof/>
                <w:webHidden/>
              </w:rPr>
            </w:r>
            <w:r>
              <w:rPr>
                <w:noProof/>
                <w:webHidden/>
              </w:rPr>
              <w:fldChar w:fldCharType="separate"/>
            </w:r>
            <w:r w:rsidR="00D56544">
              <w:rPr>
                <w:noProof/>
                <w:webHidden/>
              </w:rPr>
              <w:t>19</w:t>
            </w:r>
            <w:r>
              <w:rPr>
                <w:noProof/>
                <w:webHidden/>
              </w:rPr>
              <w:fldChar w:fldCharType="end"/>
            </w:r>
          </w:hyperlink>
        </w:p>
        <w:p w14:paraId="6745134E" w14:textId="1FE44E1A"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97" w:history="1">
            <w:r w:rsidRPr="000C0B5F">
              <w:rPr>
                <w:rStyle w:val="Hyperlink"/>
                <w:noProof/>
              </w:rPr>
              <w:t>Proposed action</w:t>
            </w:r>
            <w:r>
              <w:rPr>
                <w:noProof/>
                <w:webHidden/>
              </w:rPr>
              <w:tab/>
            </w:r>
            <w:r>
              <w:rPr>
                <w:noProof/>
                <w:webHidden/>
              </w:rPr>
              <w:fldChar w:fldCharType="begin"/>
            </w:r>
            <w:r>
              <w:rPr>
                <w:noProof/>
                <w:webHidden/>
              </w:rPr>
              <w:instrText xml:space="preserve"> PAGEREF _Toc203144797 \h </w:instrText>
            </w:r>
            <w:r>
              <w:rPr>
                <w:noProof/>
                <w:webHidden/>
              </w:rPr>
            </w:r>
            <w:r>
              <w:rPr>
                <w:noProof/>
                <w:webHidden/>
              </w:rPr>
              <w:fldChar w:fldCharType="separate"/>
            </w:r>
            <w:r w:rsidR="00D56544">
              <w:rPr>
                <w:noProof/>
                <w:webHidden/>
              </w:rPr>
              <w:t>20</w:t>
            </w:r>
            <w:r>
              <w:rPr>
                <w:noProof/>
                <w:webHidden/>
              </w:rPr>
              <w:fldChar w:fldCharType="end"/>
            </w:r>
          </w:hyperlink>
        </w:p>
        <w:p w14:paraId="600291EB" w14:textId="35AF0B15"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798" w:history="1">
            <w:r w:rsidRPr="000C0B5F">
              <w:rPr>
                <w:rStyle w:val="Hyperlink"/>
                <w:noProof/>
              </w:rPr>
              <w:t>Advisory Committee considerations</w:t>
            </w:r>
            <w:r>
              <w:rPr>
                <w:noProof/>
                <w:webHidden/>
              </w:rPr>
              <w:tab/>
            </w:r>
            <w:r>
              <w:rPr>
                <w:noProof/>
                <w:webHidden/>
              </w:rPr>
              <w:fldChar w:fldCharType="begin"/>
            </w:r>
            <w:r>
              <w:rPr>
                <w:noProof/>
                <w:webHidden/>
              </w:rPr>
              <w:instrText xml:space="preserve"> PAGEREF _Toc203144798 \h </w:instrText>
            </w:r>
            <w:r>
              <w:rPr>
                <w:noProof/>
                <w:webHidden/>
              </w:rPr>
            </w:r>
            <w:r>
              <w:rPr>
                <w:noProof/>
                <w:webHidden/>
              </w:rPr>
              <w:fldChar w:fldCharType="separate"/>
            </w:r>
            <w:r w:rsidR="00D56544">
              <w:rPr>
                <w:noProof/>
                <w:webHidden/>
              </w:rPr>
              <w:t>20</w:t>
            </w:r>
            <w:r>
              <w:rPr>
                <w:noProof/>
                <w:webHidden/>
              </w:rPr>
              <w:fldChar w:fldCharType="end"/>
            </w:r>
          </w:hyperlink>
        </w:p>
        <w:p w14:paraId="5DA4C481" w14:textId="63B391A8" w:rsidR="001E2E7E" w:rsidRDefault="001E2E7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3144799" w:history="1">
            <w:r w:rsidRPr="000C0B5F">
              <w:rPr>
                <w:rStyle w:val="Hyperlink"/>
                <w:noProof/>
              </w:rPr>
              <w:t>Assessment outcome</w:t>
            </w:r>
            <w:r>
              <w:rPr>
                <w:noProof/>
                <w:webHidden/>
              </w:rPr>
              <w:tab/>
            </w:r>
            <w:r>
              <w:rPr>
                <w:noProof/>
                <w:webHidden/>
              </w:rPr>
              <w:fldChar w:fldCharType="begin"/>
            </w:r>
            <w:r>
              <w:rPr>
                <w:noProof/>
                <w:webHidden/>
              </w:rPr>
              <w:instrText xml:space="preserve"> PAGEREF _Toc203144799 \h </w:instrText>
            </w:r>
            <w:r>
              <w:rPr>
                <w:noProof/>
                <w:webHidden/>
              </w:rPr>
            </w:r>
            <w:r>
              <w:rPr>
                <w:noProof/>
                <w:webHidden/>
              </w:rPr>
              <w:fldChar w:fldCharType="separate"/>
            </w:r>
            <w:r w:rsidR="00D56544">
              <w:rPr>
                <w:noProof/>
                <w:webHidden/>
              </w:rPr>
              <w:t>21</w:t>
            </w:r>
            <w:r>
              <w:rPr>
                <w:noProof/>
                <w:webHidden/>
              </w:rPr>
              <w:fldChar w:fldCharType="end"/>
            </w:r>
          </w:hyperlink>
        </w:p>
        <w:p w14:paraId="1513646E" w14:textId="2742544C"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800" w:history="1">
            <w:r w:rsidRPr="000C0B5F">
              <w:rPr>
                <w:rStyle w:val="Hyperlink"/>
                <w:noProof/>
              </w:rPr>
              <w:t>Specific conditions of registration</w:t>
            </w:r>
            <w:r>
              <w:rPr>
                <w:noProof/>
                <w:webHidden/>
              </w:rPr>
              <w:tab/>
            </w:r>
            <w:r>
              <w:rPr>
                <w:noProof/>
                <w:webHidden/>
              </w:rPr>
              <w:fldChar w:fldCharType="begin"/>
            </w:r>
            <w:r>
              <w:rPr>
                <w:noProof/>
                <w:webHidden/>
              </w:rPr>
              <w:instrText xml:space="preserve"> PAGEREF _Toc203144800 \h </w:instrText>
            </w:r>
            <w:r>
              <w:rPr>
                <w:noProof/>
                <w:webHidden/>
              </w:rPr>
            </w:r>
            <w:r>
              <w:rPr>
                <w:noProof/>
                <w:webHidden/>
              </w:rPr>
              <w:fldChar w:fldCharType="separate"/>
            </w:r>
            <w:r w:rsidR="00D56544">
              <w:rPr>
                <w:noProof/>
                <w:webHidden/>
              </w:rPr>
              <w:t>21</w:t>
            </w:r>
            <w:r>
              <w:rPr>
                <w:noProof/>
                <w:webHidden/>
              </w:rPr>
              <w:fldChar w:fldCharType="end"/>
            </w:r>
          </w:hyperlink>
        </w:p>
        <w:p w14:paraId="24008217" w14:textId="7E831EF4" w:rsidR="001E2E7E" w:rsidRDefault="001E2E7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3144801" w:history="1">
            <w:r w:rsidRPr="000C0B5F">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_Toc203144801 \h </w:instrText>
            </w:r>
            <w:r>
              <w:rPr>
                <w:noProof/>
                <w:webHidden/>
              </w:rPr>
            </w:r>
            <w:r>
              <w:rPr>
                <w:noProof/>
                <w:webHidden/>
              </w:rPr>
              <w:fldChar w:fldCharType="separate"/>
            </w:r>
            <w:r w:rsidR="00D56544">
              <w:rPr>
                <w:noProof/>
                <w:webHidden/>
              </w:rPr>
              <w:t>22</w:t>
            </w:r>
            <w:r>
              <w:rPr>
                <w:noProof/>
                <w:webHidden/>
              </w:rPr>
              <w:fldChar w:fldCharType="end"/>
            </w:r>
          </w:hyperlink>
        </w:p>
        <w:p w14:paraId="77659F2D" w14:textId="428B73B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441E06">
      <w:pPr>
        <w:pStyle w:val="Heading4"/>
      </w:pPr>
      <w:bookmarkStart w:id="0" w:name="_Toc98931917"/>
      <w:bookmarkStart w:id="1" w:name="_Toc103679287"/>
      <w:bookmarkStart w:id="2" w:name="_Toc203144779"/>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151032" w:rsidRPr="00B25881" w14:paraId="77AF65E9" w14:textId="77777777" w:rsidTr="002F2D3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86D0FEA" w14:textId="77777777" w:rsidR="00151032" w:rsidRPr="00B25881" w:rsidRDefault="00151032" w:rsidP="002F2D3A">
            <w:pPr>
              <w:rPr>
                <w:szCs w:val="22"/>
              </w:rPr>
            </w:pPr>
            <w:r w:rsidRPr="00B25881">
              <w:rPr>
                <w:szCs w:val="22"/>
              </w:rPr>
              <w:t>Abbreviation</w:t>
            </w:r>
          </w:p>
        </w:tc>
        <w:tc>
          <w:tcPr>
            <w:tcW w:w="3800" w:type="pct"/>
          </w:tcPr>
          <w:p w14:paraId="2B084798" w14:textId="77777777" w:rsidR="00151032" w:rsidRPr="00B25881" w:rsidRDefault="00151032" w:rsidP="002F2D3A">
            <w:pPr>
              <w:cnfStyle w:val="100000000000" w:firstRow="1" w:lastRow="0" w:firstColumn="0" w:lastColumn="0" w:oddVBand="0" w:evenVBand="0" w:oddHBand="0" w:evenHBand="0" w:firstRowFirstColumn="0" w:firstRowLastColumn="0" w:lastRowFirstColumn="0" w:lastRowLastColumn="0"/>
              <w:rPr>
                <w:szCs w:val="22"/>
              </w:rPr>
            </w:pPr>
            <w:r w:rsidRPr="00B25881">
              <w:rPr>
                <w:szCs w:val="22"/>
              </w:rPr>
              <w:t>Meaning</w:t>
            </w:r>
          </w:p>
        </w:tc>
      </w:tr>
      <w:tr w:rsidR="00151032" w:rsidRPr="00B25881" w14:paraId="6EF15F44"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E597BA" w14:textId="77777777" w:rsidR="00151032" w:rsidRPr="00B25881" w:rsidRDefault="00151032" w:rsidP="002F2D3A">
            <w:pPr>
              <w:rPr>
                <w:szCs w:val="22"/>
              </w:rPr>
            </w:pPr>
            <w:r w:rsidRPr="00B25881">
              <w:rPr>
                <w:szCs w:val="22"/>
              </w:rPr>
              <w:t>ACM</w:t>
            </w:r>
          </w:p>
        </w:tc>
        <w:tc>
          <w:tcPr>
            <w:tcW w:w="3800" w:type="pct"/>
          </w:tcPr>
          <w:p w14:paraId="68FA8C9D"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Advisory Committee on Medicines</w:t>
            </w:r>
          </w:p>
        </w:tc>
      </w:tr>
      <w:tr w:rsidR="00151032" w:rsidRPr="00B25881" w14:paraId="0EE918EB"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E093B0" w14:textId="77777777" w:rsidR="00151032" w:rsidRPr="00B25881" w:rsidRDefault="00151032" w:rsidP="002F2D3A">
            <w:pPr>
              <w:rPr>
                <w:szCs w:val="22"/>
              </w:rPr>
            </w:pPr>
            <w:r w:rsidRPr="00B25881">
              <w:rPr>
                <w:szCs w:val="22"/>
              </w:rPr>
              <w:t xml:space="preserve">AE </w:t>
            </w:r>
          </w:p>
        </w:tc>
        <w:tc>
          <w:tcPr>
            <w:tcW w:w="3800" w:type="pct"/>
          </w:tcPr>
          <w:p w14:paraId="0E8E94A4"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adverse events</w:t>
            </w:r>
          </w:p>
        </w:tc>
      </w:tr>
      <w:tr w:rsidR="00151032" w:rsidRPr="00B25881" w14:paraId="580D5862"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6DB1D6" w14:textId="77777777" w:rsidR="00151032" w:rsidRPr="00B25881" w:rsidRDefault="00151032" w:rsidP="002F2D3A">
            <w:pPr>
              <w:rPr>
                <w:szCs w:val="22"/>
              </w:rPr>
            </w:pPr>
            <w:r w:rsidRPr="00B25881">
              <w:rPr>
                <w:szCs w:val="22"/>
              </w:rPr>
              <w:t>APDS</w:t>
            </w:r>
          </w:p>
        </w:tc>
        <w:tc>
          <w:tcPr>
            <w:tcW w:w="3800" w:type="pct"/>
          </w:tcPr>
          <w:p w14:paraId="4E4C16A3"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activated phosphoinositide 3 kinase δ syndrome</w:t>
            </w:r>
          </w:p>
        </w:tc>
      </w:tr>
      <w:tr w:rsidR="00151032" w:rsidRPr="00B25881" w14:paraId="51D55930"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049A65" w14:textId="77777777" w:rsidR="00151032" w:rsidRPr="00B25881" w:rsidRDefault="00151032" w:rsidP="002F2D3A">
            <w:pPr>
              <w:rPr>
                <w:szCs w:val="22"/>
              </w:rPr>
            </w:pPr>
            <w:r w:rsidRPr="00B25881">
              <w:rPr>
                <w:szCs w:val="22"/>
              </w:rPr>
              <w:t>ARTG</w:t>
            </w:r>
          </w:p>
        </w:tc>
        <w:tc>
          <w:tcPr>
            <w:tcW w:w="3800" w:type="pct"/>
          </w:tcPr>
          <w:p w14:paraId="32A3D2A9"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Australian Register of Therapeutic Goods</w:t>
            </w:r>
          </w:p>
        </w:tc>
      </w:tr>
      <w:tr w:rsidR="00151032" w:rsidRPr="00B25881" w14:paraId="2069CE77"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CB5E55" w14:textId="77777777" w:rsidR="00151032" w:rsidRPr="00B25881" w:rsidRDefault="00151032" w:rsidP="002F2D3A">
            <w:pPr>
              <w:rPr>
                <w:szCs w:val="22"/>
              </w:rPr>
            </w:pPr>
            <w:r w:rsidRPr="00B25881">
              <w:rPr>
                <w:rFonts w:eastAsia="TimesNewRoman" w:cs="TimesNewRoman"/>
                <w:szCs w:val="22"/>
                <w14:ligatures w14:val="standardContextual"/>
              </w:rPr>
              <w:t>AUC</w:t>
            </w:r>
          </w:p>
        </w:tc>
        <w:tc>
          <w:tcPr>
            <w:tcW w:w="3800" w:type="pct"/>
          </w:tcPr>
          <w:p w14:paraId="14EE98D5"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 xml:space="preserve">area under the concentration-time profile </w:t>
            </w:r>
          </w:p>
        </w:tc>
      </w:tr>
      <w:tr w:rsidR="00151032" w:rsidRPr="00B25881" w14:paraId="306FED63"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227B38" w14:textId="77777777" w:rsidR="00151032" w:rsidRPr="00B25881" w:rsidRDefault="00151032" w:rsidP="002F2D3A">
            <w:pPr>
              <w:rPr>
                <w:rFonts w:eastAsia="TimesNewRoman" w:cs="TimesNewRoman"/>
                <w:szCs w:val="22"/>
                <w14:ligatures w14:val="standardContextual"/>
              </w:rPr>
            </w:pPr>
            <w:r w:rsidRPr="00B25881">
              <w:rPr>
                <w:rFonts w:eastAsia="TimesNewRoman" w:cs="TimesNewRoman"/>
                <w:szCs w:val="22"/>
                <w14:ligatures w14:val="standardContextual"/>
              </w:rPr>
              <w:t>BD</w:t>
            </w:r>
          </w:p>
        </w:tc>
        <w:tc>
          <w:tcPr>
            <w:tcW w:w="3800" w:type="pct"/>
          </w:tcPr>
          <w:p w14:paraId="43DDD638"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twice daily dosing</w:t>
            </w:r>
          </w:p>
        </w:tc>
      </w:tr>
      <w:tr w:rsidR="00151032" w:rsidRPr="00B25881" w14:paraId="519BCB87"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F2B240" w14:textId="77777777" w:rsidR="00151032" w:rsidRPr="00B25881" w:rsidRDefault="00151032" w:rsidP="002F2D3A">
            <w:pPr>
              <w:rPr>
                <w:rFonts w:eastAsia="TimesNewRoman" w:cs="TimesNewRoman"/>
                <w:szCs w:val="22"/>
                <w14:ligatures w14:val="standardContextual"/>
              </w:rPr>
            </w:pPr>
            <w:r w:rsidRPr="00B25881">
              <w:rPr>
                <w:szCs w:val="22"/>
              </w:rPr>
              <w:t>CL/F</w:t>
            </w:r>
          </w:p>
        </w:tc>
        <w:tc>
          <w:tcPr>
            <w:tcW w:w="3800" w:type="pct"/>
          </w:tcPr>
          <w:p w14:paraId="09AD1F70"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drug clearance</w:t>
            </w:r>
          </w:p>
        </w:tc>
      </w:tr>
      <w:tr w:rsidR="00151032" w:rsidRPr="00B25881" w14:paraId="435E78E1"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DBCA97" w14:textId="77777777" w:rsidR="00151032" w:rsidRPr="00B25881" w:rsidRDefault="00151032" w:rsidP="002F2D3A">
            <w:pPr>
              <w:rPr>
                <w:rFonts w:eastAsia="TimesNewRoman" w:cs="TimesNewRoman"/>
                <w:szCs w:val="22"/>
                <w14:ligatures w14:val="standardContextual"/>
              </w:rPr>
            </w:pPr>
            <w:r w:rsidRPr="00B25881">
              <w:rPr>
                <w:rFonts w:eastAsia="TimesNewRoman" w:cs="TimesNewRoman"/>
                <w:szCs w:val="22"/>
                <w14:ligatures w14:val="standardContextual"/>
              </w:rPr>
              <w:t>C</w:t>
            </w:r>
            <w:r w:rsidRPr="00B25881">
              <w:rPr>
                <w:rFonts w:eastAsia="TimesNewRoman" w:cs="TimesNewRoman"/>
                <w:szCs w:val="22"/>
                <w:vertAlign w:val="subscript"/>
                <w14:ligatures w14:val="standardContextual"/>
              </w:rPr>
              <w:t>max</w:t>
            </w:r>
          </w:p>
        </w:tc>
        <w:tc>
          <w:tcPr>
            <w:tcW w:w="3800" w:type="pct"/>
          </w:tcPr>
          <w:p w14:paraId="6AF7E6CF"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maximum plasma concentration</w:t>
            </w:r>
          </w:p>
        </w:tc>
      </w:tr>
      <w:tr w:rsidR="00151032" w:rsidRPr="00B25881" w14:paraId="3AD316B9"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5015F3" w14:textId="77777777" w:rsidR="00151032" w:rsidRPr="00B25881" w:rsidRDefault="00151032" w:rsidP="002F2D3A">
            <w:pPr>
              <w:rPr>
                <w:szCs w:val="22"/>
              </w:rPr>
            </w:pPr>
            <w:r w:rsidRPr="00B25881">
              <w:rPr>
                <w:szCs w:val="22"/>
              </w:rPr>
              <w:t>CMI</w:t>
            </w:r>
          </w:p>
        </w:tc>
        <w:tc>
          <w:tcPr>
            <w:tcW w:w="3800" w:type="pct"/>
          </w:tcPr>
          <w:p w14:paraId="0D66C653"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Consumer Medicines Information</w:t>
            </w:r>
          </w:p>
        </w:tc>
      </w:tr>
      <w:tr w:rsidR="00C43700" w:rsidRPr="00B25881" w14:paraId="555A12B6"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1C0CB9" w14:textId="23BA5BC6" w:rsidR="00C43700" w:rsidRPr="00B25881" w:rsidRDefault="00C43700" w:rsidP="002F2D3A">
            <w:pPr>
              <w:rPr>
                <w:szCs w:val="22"/>
              </w:rPr>
            </w:pPr>
            <w:r>
              <w:rPr>
                <w:szCs w:val="22"/>
              </w:rPr>
              <w:t>EMA</w:t>
            </w:r>
          </w:p>
        </w:tc>
        <w:tc>
          <w:tcPr>
            <w:tcW w:w="3800" w:type="pct"/>
          </w:tcPr>
          <w:p w14:paraId="4720EE12" w14:textId="7FCF277F" w:rsidR="00C43700" w:rsidRPr="00B25881" w:rsidRDefault="0032633D" w:rsidP="002F2D3A">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European Medicines Agency  </w:t>
            </w:r>
          </w:p>
        </w:tc>
      </w:tr>
      <w:tr w:rsidR="00415CD9" w:rsidRPr="00B25881" w14:paraId="6D2188E7"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E0AB88" w14:textId="4A5C5DC4" w:rsidR="00415CD9" w:rsidRDefault="00415CD9" w:rsidP="002F2D3A">
            <w:pPr>
              <w:rPr>
                <w:szCs w:val="22"/>
              </w:rPr>
            </w:pPr>
            <w:r>
              <w:rPr>
                <w:szCs w:val="22"/>
              </w:rPr>
              <w:t>MHRA</w:t>
            </w:r>
          </w:p>
        </w:tc>
        <w:tc>
          <w:tcPr>
            <w:tcW w:w="3800" w:type="pct"/>
          </w:tcPr>
          <w:p w14:paraId="3C218614" w14:textId="4BCD5C58" w:rsidR="00415CD9" w:rsidRDefault="00415CD9" w:rsidP="002F2D3A">
            <w:pPr>
              <w:cnfStyle w:val="000000000000" w:firstRow="0" w:lastRow="0" w:firstColumn="0" w:lastColumn="0" w:oddVBand="0" w:evenVBand="0" w:oddHBand="0" w:evenHBand="0" w:firstRowFirstColumn="0" w:firstRowLastColumn="0" w:lastRowFirstColumn="0" w:lastRowLastColumn="0"/>
              <w:rPr>
                <w:szCs w:val="22"/>
              </w:rPr>
            </w:pPr>
            <w:r w:rsidRPr="00415CD9">
              <w:rPr>
                <w:szCs w:val="22"/>
              </w:rPr>
              <w:t>Medicines and Healthcare products Regulatory Agency</w:t>
            </w:r>
          </w:p>
        </w:tc>
      </w:tr>
      <w:tr w:rsidR="00151032" w:rsidRPr="00B25881" w14:paraId="0891E2EB"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60FD33" w14:textId="77777777" w:rsidR="00151032" w:rsidRPr="00B25881" w:rsidRDefault="00151032" w:rsidP="002F2D3A">
            <w:pPr>
              <w:rPr>
                <w:szCs w:val="22"/>
              </w:rPr>
            </w:pPr>
            <w:r w:rsidRPr="00B25881">
              <w:rPr>
                <w:szCs w:val="22"/>
              </w:rPr>
              <w:t>PD</w:t>
            </w:r>
          </w:p>
        </w:tc>
        <w:tc>
          <w:tcPr>
            <w:tcW w:w="3800" w:type="pct"/>
          </w:tcPr>
          <w:p w14:paraId="78DE7094"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pharmacodynamic(s)</w:t>
            </w:r>
          </w:p>
        </w:tc>
      </w:tr>
      <w:tr w:rsidR="00151032" w:rsidRPr="00B25881" w14:paraId="51CB68B7"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BAFC4E" w14:textId="77777777" w:rsidR="00151032" w:rsidRPr="00B25881" w:rsidRDefault="00151032" w:rsidP="002F2D3A">
            <w:pPr>
              <w:rPr>
                <w:szCs w:val="22"/>
              </w:rPr>
            </w:pPr>
            <w:r w:rsidRPr="00B25881">
              <w:rPr>
                <w:szCs w:val="22"/>
              </w:rPr>
              <w:t>PI</w:t>
            </w:r>
          </w:p>
        </w:tc>
        <w:tc>
          <w:tcPr>
            <w:tcW w:w="3800" w:type="pct"/>
          </w:tcPr>
          <w:p w14:paraId="236E1940"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Product Information</w:t>
            </w:r>
          </w:p>
        </w:tc>
      </w:tr>
      <w:tr w:rsidR="00151032" w:rsidRPr="00B25881" w14:paraId="7C030290"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7D24BA" w14:textId="77777777" w:rsidR="00151032" w:rsidRPr="00B25881" w:rsidRDefault="00151032" w:rsidP="002F2D3A">
            <w:pPr>
              <w:rPr>
                <w:szCs w:val="22"/>
              </w:rPr>
            </w:pPr>
            <w:r w:rsidRPr="00B25881">
              <w:rPr>
                <w:szCs w:val="22"/>
              </w:rPr>
              <w:t>PI3Kδ</w:t>
            </w:r>
          </w:p>
        </w:tc>
        <w:tc>
          <w:tcPr>
            <w:tcW w:w="3800" w:type="pct"/>
          </w:tcPr>
          <w:p w14:paraId="72F6AACA" w14:textId="764D4F47" w:rsidR="00151032" w:rsidRPr="00B25881" w:rsidRDefault="00F277A2" w:rsidP="002F2D3A">
            <w:pPr>
              <w:cnfStyle w:val="000000000000" w:firstRow="0" w:lastRow="0" w:firstColumn="0" w:lastColumn="0" w:oddVBand="0" w:evenVBand="0" w:oddHBand="0" w:evenHBand="0" w:firstRowFirstColumn="0" w:firstRowLastColumn="0" w:lastRowFirstColumn="0" w:lastRowLastColumn="0"/>
              <w:rPr>
                <w:szCs w:val="22"/>
              </w:rPr>
            </w:pPr>
            <w:r w:rsidRPr="00F277A2">
              <w:rPr>
                <w:szCs w:val="22"/>
              </w:rPr>
              <w:t>phosphoinositide</w:t>
            </w:r>
            <w:r w:rsidR="00151032" w:rsidRPr="00B25881">
              <w:rPr>
                <w:szCs w:val="22"/>
              </w:rPr>
              <w:t>-3-kinase-δ</w:t>
            </w:r>
          </w:p>
        </w:tc>
      </w:tr>
      <w:tr w:rsidR="00151032" w:rsidRPr="00B25881" w14:paraId="0BD573D2"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863FD5" w14:textId="77777777" w:rsidR="00151032" w:rsidRPr="00B25881" w:rsidRDefault="00151032" w:rsidP="002F2D3A">
            <w:pPr>
              <w:rPr>
                <w:szCs w:val="22"/>
              </w:rPr>
            </w:pPr>
            <w:r w:rsidRPr="00B25881">
              <w:rPr>
                <w:szCs w:val="22"/>
              </w:rPr>
              <w:t>PK</w:t>
            </w:r>
          </w:p>
        </w:tc>
        <w:tc>
          <w:tcPr>
            <w:tcW w:w="3800" w:type="pct"/>
          </w:tcPr>
          <w:p w14:paraId="2B4B890D"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pharmacokinetic(s)</w:t>
            </w:r>
          </w:p>
        </w:tc>
      </w:tr>
      <w:tr w:rsidR="00151032" w:rsidRPr="00B25881" w14:paraId="076932EB"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C8E654" w14:textId="77777777" w:rsidR="00151032" w:rsidRPr="00B25881" w:rsidRDefault="00151032" w:rsidP="002F2D3A">
            <w:pPr>
              <w:rPr>
                <w:szCs w:val="22"/>
              </w:rPr>
            </w:pPr>
            <w:r w:rsidRPr="00B25881">
              <w:rPr>
                <w:szCs w:val="22"/>
              </w:rPr>
              <w:t>popPK</w:t>
            </w:r>
          </w:p>
        </w:tc>
        <w:tc>
          <w:tcPr>
            <w:tcW w:w="3800" w:type="pct"/>
          </w:tcPr>
          <w:p w14:paraId="3438F058"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population pharmacokinetic(s)</w:t>
            </w:r>
          </w:p>
        </w:tc>
      </w:tr>
      <w:tr w:rsidR="00151032" w:rsidRPr="00B25881" w14:paraId="5A9541FD"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D317C4" w14:textId="77777777" w:rsidR="00151032" w:rsidRPr="00B25881" w:rsidRDefault="00151032" w:rsidP="002F2D3A">
            <w:pPr>
              <w:rPr>
                <w:szCs w:val="22"/>
              </w:rPr>
            </w:pPr>
            <w:r w:rsidRPr="00B25881">
              <w:rPr>
                <w:szCs w:val="22"/>
              </w:rPr>
              <w:t>PSUR</w:t>
            </w:r>
          </w:p>
        </w:tc>
        <w:tc>
          <w:tcPr>
            <w:tcW w:w="3800" w:type="pct"/>
          </w:tcPr>
          <w:p w14:paraId="6243B575"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periodic safety update report</w:t>
            </w:r>
          </w:p>
        </w:tc>
      </w:tr>
      <w:tr w:rsidR="00151032" w:rsidRPr="00B25881" w14:paraId="2527CF41"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1163BF" w14:textId="77777777" w:rsidR="00151032" w:rsidRPr="00B25881" w:rsidRDefault="00151032" w:rsidP="002F2D3A">
            <w:pPr>
              <w:rPr>
                <w:szCs w:val="22"/>
              </w:rPr>
            </w:pPr>
            <w:r w:rsidRPr="00B25881">
              <w:rPr>
                <w:szCs w:val="22"/>
              </w:rPr>
              <w:t>RMP</w:t>
            </w:r>
          </w:p>
        </w:tc>
        <w:tc>
          <w:tcPr>
            <w:tcW w:w="3800" w:type="pct"/>
          </w:tcPr>
          <w:p w14:paraId="552C723F"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risk management plan</w:t>
            </w:r>
          </w:p>
        </w:tc>
      </w:tr>
      <w:tr w:rsidR="00151032" w:rsidRPr="00B25881" w14:paraId="51F9FB04"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46A777" w14:textId="77777777" w:rsidR="00151032" w:rsidRPr="00B25881" w:rsidRDefault="00151032" w:rsidP="002F2D3A">
            <w:pPr>
              <w:rPr>
                <w:szCs w:val="22"/>
              </w:rPr>
            </w:pPr>
            <w:r w:rsidRPr="00B25881">
              <w:rPr>
                <w:szCs w:val="22"/>
              </w:rPr>
              <w:t>SAE</w:t>
            </w:r>
          </w:p>
        </w:tc>
        <w:tc>
          <w:tcPr>
            <w:tcW w:w="3800" w:type="pct"/>
          </w:tcPr>
          <w:p w14:paraId="48933235"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serious adverse event</w:t>
            </w:r>
            <w:r>
              <w:rPr>
                <w:szCs w:val="22"/>
              </w:rPr>
              <w:t>s</w:t>
            </w:r>
          </w:p>
        </w:tc>
      </w:tr>
      <w:tr w:rsidR="00151032" w:rsidRPr="00B25881" w14:paraId="1D4F8199"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1F982C" w14:textId="77777777" w:rsidR="00151032" w:rsidRPr="00B25881" w:rsidRDefault="00151032" w:rsidP="002F2D3A">
            <w:pPr>
              <w:rPr>
                <w:szCs w:val="22"/>
              </w:rPr>
            </w:pPr>
            <w:r w:rsidRPr="00B25881">
              <w:rPr>
                <w:szCs w:val="22"/>
              </w:rPr>
              <w:t>SF-36</w:t>
            </w:r>
          </w:p>
        </w:tc>
        <w:tc>
          <w:tcPr>
            <w:tcW w:w="3800" w:type="pct"/>
          </w:tcPr>
          <w:p w14:paraId="1D1DDA61"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Short Form 36</w:t>
            </w:r>
          </w:p>
        </w:tc>
      </w:tr>
      <w:tr w:rsidR="00151032" w:rsidRPr="00B25881" w14:paraId="0B2D5046"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2B9391" w14:textId="77777777" w:rsidR="00151032" w:rsidRPr="00B25881" w:rsidRDefault="00151032" w:rsidP="002F2D3A">
            <w:pPr>
              <w:rPr>
                <w:szCs w:val="22"/>
              </w:rPr>
            </w:pPr>
            <w:r w:rsidRPr="00B25881">
              <w:rPr>
                <w:szCs w:val="22"/>
              </w:rPr>
              <w:t>TEAE</w:t>
            </w:r>
          </w:p>
        </w:tc>
        <w:tc>
          <w:tcPr>
            <w:tcW w:w="3800" w:type="pct"/>
          </w:tcPr>
          <w:p w14:paraId="38C8D201"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treatment emergent adverse event</w:t>
            </w:r>
            <w:r>
              <w:rPr>
                <w:szCs w:val="22"/>
              </w:rPr>
              <w:t>s</w:t>
            </w:r>
          </w:p>
        </w:tc>
      </w:tr>
      <w:tr w:rsidR="00151032" w:rsidRPr="00B25881" w14:paraId="1409AF0B"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6D5416" w14:textId="77777777" w:rsidR="00151032" w:rsidRPr="00B25881" w:rsidRDefault="00151032" w:rsidP="002F2D3A">
            <w:pPr>
              <w:rPr>
                <w:szCs w:val="22"/>
              </w:rPr>
            </w:pPr>
            <w:r w:rsidRPr="00B25881">
              <w:rPr>
                <w:szCs w:val="22"/>
              </w:rPr>
              <w:t>TGA</w:t>
            </w:r>
          </w:p>
        </w:tc>
        <w:tc>
          <w:tcPr>
            <w:tcW w:w="3800" w:type="pct"/>
          </w:tcPr>
          <w:p w14:paraId="513FB4D8"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Therapeutic Goods Administration</w:t>
            </w:r>
          </w:p>
        </w:tc>
      </w:tr>
      <w:tr w:rsidR="00151032" w:rsidRPr="00B25881" w14:paraId="7E1E53D5"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8CF40A" w14:textId="77777777" w:rsidR="00151032" w:rsidRPr="00B25881" w:rsidRDefault="00151032" w:rsidP="002F2D3A">
            <w:pPr>
              <w:rPr>
                <w:szCs w:val="22"/>
              </w:rPr>
            </w:pPr>
            <w:r w:rsidRPr="00B25881">
              <w:rPr>
                <w:szCs w:val="22"/>
              </w:rPr>
              <w:t>V/F</w:t>
            </w:r>
          </w:p>
        </w:tc>
        <w:tc>
          <w:tcPr>
            <w:tcW w:w="3800" w:type="pct"/>
          </w:tcPr>
          <w:p w14:paraId="047B0292"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volume of distribution</w:t>
            </w:r>
          </w:p>
        </w:tc>
      </w:tr>
      <w:tr w:rsidR="00151032" w:rsidRPr="00B25881" w14:paraId="4B150285" w14:textId="77777777" w:rsidTr="002F2D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830671" w14:textId="77777777" w:rsidR="00151032" w:rsidRPr="00B25881" w:rsidRDefault="00151032" w:rsidP="002F2D3A">
            <w:pPr>
              <w:rPr>
                <w:szCs w:val="22"/>
              </w:rPr>
            </w:pPr>
            <w:r w:rsidRPr="00B25881">
              <w:rPr>
                <w:szCs w:val="22"/>
              </w:rPr>
              <w:t>WPAI-CIQ</w:t>
            </w:r>
          </w:p>
        </w:tc>
        <w:tc>
          <w:tcPr>
            <w:tcW w:w="3800" w:type="pct"/>
          </w:tcPr>
          <w:p w14:paraId="799B04D3" w14:textId="77777777" w:rsidR="00151032" w:rsidRPr="00B25881" w:rsidRDefault="00151032" w:rsidP="002F2D3A">
            <w:pPr>
              <w:cnfStyle w:val="000000000000" w:firstRow="0" w:lastRow="0" w:firstColumn="0" w:lastColumn="0" w:oddVBand="0" w:evenVBand="0" w:oddHBand="0" w:evenHBand="0" w:firstRowFirstColumn="0" w:firstRowLastColumn="0" w:lastRowFirstColumn="0" w:lastRowLastColumn="0"/>
              <w:rPr>
                <w:szCs w:val="22"/>
              </w:rPr>
            </w:pPr>
            <w:r w:rsidRPr="00B25881">
              <w:rPr>
                <w:szCs w:val="22"/>
              </w:rPr>
              <w:t>Work Productivity Activity Impairment plus Classroom Impairment Questionnaire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8981D60" w:rsidR="00324B33" w:rsidRDefault="007054D2" w:rsidP="00324B33">
      <w:pPr>
        <w:pStyle w:val="Heading2"/>
      </w:pPr>
      <w:bookmarkStart w:id="5" w:name="_Toc203144780"/>
      <w:r w:rsidRPr="007054D2">
        <w:lastRenderedPageBreak/>
        <w:t>JOENJA</w:t>
      </w:r>
      <w:r w:rsidR="001B5CA6" w:rsidRPr="001B5CA6">
        <w:t xml:space="preserve"> (</w:t>
      </w:r>
      <w:r w:rsidRPr="007054D2">
        <w:t>leniolisib</w:t>
      </w:r>
      <w:r w:rsidR="001B5CA6" w:rsidRPr="001B5CA6">
        <w:t>) submission</w:t>
      </w:r>
      <w:bookmarkEnd w:id="5"/>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384DB354" w:rsidR="00324B33" w:rsidRPr="00BD5DBD" w:rsidRDefault="00324B33" w:rsidP="007452E8">
            <w:pPr>
              <w:rPr>
                <w:szCs w:val="22"/>
              </w:rPr>
            </w:pPr>
            <w:bookmarkStart w:id="6" w:name="_Hlk204680827"/>
            <w:r w:rsidRPr="00BD5DBD">
              <w:rPr>
                <w:szCs w:val="22"/>
              </w:rPr>
              <w:t>New chemical</w:t>
            </w:r>
            <w:r w:rsidR="007054D2">
              <w:rPr>
                <w:szCs w:val="22"/>
              </w:rPr>
              <w:t xml:space="preserve"> </w:t>
            </w:r>
            <w:r w:rsidRPr="00BD5DBD">
              <w:rPr>
                <w:szCs w:val="22"/>
              </w:rPr>
              <w:t>entity</w:t>
            </w:r>
            <w:bookmarkEnd w:id="6"/>
          </w:p>
        </w:tc>
      </w:tr>
      <w:tr w:rsidR="00324B33" w:rsidRPr="00BD5DBD" w14:paraId="13482B61" w14:textId="77777777" w:rsidTr="00F865A7">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7D1F47FE" w:rsidR="00324B33" w:rsidRPr="00BD5DBD" w:rsidRDefault="007054D2" w:rsidP="007452E8">
            <w:pPr>
              <w:rPr>
                <w:szCs w:val="22"/>
              </w:rPr>
            </w:pPr>
            <w:r w:rsidRPr="007054D2">
              <w:rPr>
                <w:szCs w:val="22"/>
              </w:rPr>
              <w:t>JOENJA</w:t>
            </w:r>
          </w:p>
        </w:tc>
      </w:tr>
      <w:tr w:rsidR="00324B33" w:rsidRPr="00BD5DBD" w14:paraId="01255B5B" w14:textId="77777777" w:rsidTr="00F865A7">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4D91F627" w:rsidR="00324B33" w:rsidRPr="00BD5DBD" w:rsidRDefault="007054D2" w:rsidP="007452E8">
            <w:pPr>
              <w:rPr>
                <w:szCs w:val="22"/>
              </w:rPr>
            </w:pPr>
            <w:r w:rsidRPr="007054D2">
              <w:rPr>
                <w:szCs w:val="22"/>
              </w:rPr>
              <w:t>leniolisib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F66088E" w:rsidR="00324B33" w:rsidRPr="00BD5DBD" w:rsidRDefault="007054D2" w:rsidP="007452E8">
            <w:pPr>
              <w:rPr>
                <w:szCs w:val="22"/>
              </w:rPr>
            </w:pPr>
            <w:r>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1013BF6A" w:rsidR="00AE1947" w:rsidRPr="00BD5DBD" w:rsidRDefault="00A848E6" w:rsidP="00602658">
            <w:pPr>
              <w:rPr>
                <w:szCs w:val="22"/>
              </w:rPr>
            </w:pPr>
            <w:r w:rsidRPr="00A848E6">
              <w:rPr>
                <w:szCs w:val="22"/>
              </w:rPr>
              <w:t>13 March 2025</w:t>
            </w:r>
          </w:p>
        </w:tc>
      </w:tr>
      <w:tr w:rsidR="00B27E5F" w:rsidRPr="00BD5DBD" w14:paraId="35D7443B" w14:textId="77777777" w:rsidTr="00F865A7">
        <w:tc>
          <w:tcPr>
            <w:tcW w:w="1577" w:type="pct"/>
          </w:tcPr>
          <w:p w14:paraId="67C7FBF3" w14:textId="0A62D219" w:rsidR="00B27E5F" w:rsidRPr="00BD5DBD" w:rsidRDefault="00B27E5F" w:rsidP="007F1E37">
            <w:pPr>
              <w:rPr>
                <w:i/>
                <w:szCs w:val="22"/>
              </w:rPr>
            </w:pPr>
            <w:r w:rsidRPr="00B27E5F">
              <w:rPr>
                <w:i/>
                <w:szCs w:val="22"/>
              </w:rPr>
              <w:t>Date of entry onto ARTG:</w:t>
            </w:r>
          </w:p>
        </w:tc>
        <w:tc>
          <w:tcPr>
            <w:tcW w:w="3423" w:type="pct"/>
          </w:tcPr>
          <w:p w14:paraId="7E1990DC" w14:textId="23731A58" w:rsidR="00B27E5F" w:rsidRPr="00BD5DBD" w:rsidRDefault="00606C9C" w:rsidP="00602658">
            <w:pPr>
              <w:rPr>
                <w:szCs w:val="22"/>
              </w:rPr>
            </w:pPr>
            <w:r w:rsidRPr="00606C9C">
              <w:rPr>
                <w:szCs w:val="22"/>
              </w:rPr>
              <w:t>18 March 2025</w:t>
            </w:r>
          </w:p>
        </w:tc>
      </w:tr>
      <w:tr w:rsidR="00B27E5F" w:rsidRPr="00BD5DBD" w14:paraId="6AF532DF" w14:textId="77777777" w:rsidTr="00F865A7">
        <w:tc>
          <w:tcPr>
            <w:tcW w:w="1577" w:type="pct"/>
          </w:tcPr>
          <w:p w14:paraId="34BD7C65" w14:textId="1C2C9E07" w:rsidR="00B27E5F" w:rsidRPr="00B27E5F" w:rsidRDefault="00B27E5F" w:rsidP="007F1E37">
            <w:pPr>
              <w:rPr>
                <w:i/>
                <w:szCs w:val="22"/>
              </w:rPr>
            </w:pPr>
            <w:r>
              <w:rPr>
                <w:i/>
                <w:szCs w:val="22"/>
              </w:rPr>
              <w:t>ARTG number:</w:t>
            </w:r>
          </w:p>
        </w:tc>
        <w:tc>
          <w:tcPr>
            <w:tcW w:w="3423" w:type="pct"/>
          </w:tcPr>
          <w:p w14:paraId="6459FABE" w14:textId="37A07C5F" w:rsidR="00B27E5F" w:rsidRPr="00BD5DBD" w:rsidRDefault="00606C9C" w:rsidP="00602658">
            <w:pPr>
              <w:rPr>
                <w:szCs w:val="22"/>
              </w:rPr>
            </w:pPr>
            <w:hyperlink r:id="rId15" w:history="1">
              <w:r w:rsidRPr="00606C9C">
                <w:rPr>
                  <w:rStyle w:val="Hyperlink"/>
                  <w:szCs w:val="22"/>
                </w:rPr>
                <w:t>416199</w:t>
              </w:r>
            </w:hyperlink>
          </w:p>
        </w:tc>
      </w:tr>
      <w:tr w:rsidR="005D5F54" w:rsidRPr="00BD5DBD" w14:paraId="7618393F" w14:textId="77777777" w:rsidTr="00F865A7">
        <w:tc>
          <w:tcPr>
            <w:tcW w:w="1577" w:type="pct"/>
          </w:tcPr>
          <w:p w14:paraId="02260DE2" w14:textId="692C0A49" w:rsidR="005D5F54" w:rsidRPr="00BD5DBD" w:rsidRDefault="005D5F54" w:rsidP="005D5F54">
            <w:pPr>
              <w:rPr>
                <w:i/>
                <w:szCs w:val="22"/>
              </w:rPr>
            </w:pPr>
            <w:r w:rsidRPr="00BD5DBD">
              <w:rPr>
                <w:rFonts w:ascii="Wingdings 3" w:hAnsi="Wingdings 3"/>
                <w:szCs w:val="22"/>
                <w:lang w:eastAsia="en-AU"/>
              </w:rPr>
              <w:t></w:t>
            </w:r>
            <w:hyperlink r:id="rId16" w:history="1">
              <w:r w:rsidRPr="00BD5DBD">
                <w:rPr>
                  <w:rStyle w:val="Hyperlink"/>
                  <w:i/>
                  <w:szCs w:val="22"/>
                </w:rPr>
                <w:t>Black Triangle Scheme</w:t>
              </w:r>
            </w:hyperlink>
          </w:p>
        </w:tc>
        <w:tc>
          <w:tcPr>
            <w:tcW w:w="3423" w:type="pct"/>
          </w:tcPr>
          <w:p w14:paraId="6FF3C6A2" w14:textId="62B95DC4" w:rsidR="005D5F54" w:rsidRPr="00BD5DBD" w:rsidRDefault="005D5F54" w:rsidP="005D5F54">
            <w:pPr>
              <w:rPr>
                <w:szCs w:val="22"/>
              </w:rPr>
            </w:pPr>
            <w:r w:rsidRPr="00BD5DBD">
              <w:rPr>
                <w:szCs w:val="22"/>
              </w:rPr>
              <w:t>Yes</w:t>
            </w:r>
          </w:p>
        </w:tc>
      </w:tr>
      <w:tr w:rsidR="005D5F54" w:rsidRPr="00BD5DBD" w14:paraId="179E09FE" w14:textId="77777777" w:rsidTr="00F865A7">
        <w:tc>
          <w:tcPr>
            <w:tcW w:w="1577" w:type="pct"/>
          </w:tcPr>
          <w:p w14:paraId="1A592498" w14:textId="77777777" w:rsidR="005D5F54" w:rsidRPr="00BD5DBD" w:rsidRDefault="005D5F54" w:rsidP="005D5F54">
            <w:pPr>
              <w:rPr>
                <w:i/>
                <w:szCs w:val="22"/>
              </w:rPr>
            </w:pPr>
            <w:r w:rsidRPr="00BD5DBD">
              <w:rPr>
                <w:i/>
                <w:szCs w:val="22"/>
              </w:rPr>
              <w:t>Sponsor’s name and address:</w:t>
            </w:r>
          </w:p>
        </w:tc>
        <w:tc>
          <w:tcPr>
            <w:tcW w:w="3423" w:type="pct"/>
          </w:tcPr>
          <w:p w14:paraId="68DD94B0" w14:textId="177D6C43" w:rsidR="005D5F54" w:rsidRPr="00BD5DBD" w:rsidRDefault="00434B5A" w:rsidP="00434B5A">
            <w:pPr>
              <w:rPr>
                <w:szCs w:val="22"/>
              </w:rPr>
            </w:pPr>
            <w:r w:rsidRPr="00434B5A">
              <w:rPr>
                <w:szCs w:val="22"/>
              </w:rPr>
              <w:t>Ballia Holdings Pty Ltd</w:t>
            </w:r>
            <w:r>
              <w:rPr>
                <w:szCs w:val="22"/>
              </w:rPr>
              <w:t xml:space="preserve"> </w:t>
            </w:r>
            <w:r w:rsidRPr="00434B5A">
              <w:rPr>
                <w:szCs w:val="22"/>
              </w:rPr>
              <w:t>PO Box 3203, Kew VIC 3101</w:t>
            </w:r>
          </w:p>
        </w:tc>
      </w:tr>
      <w:tr w:rsidR="005D5F54" w:rsidRPr="00BD5DBD" w14:paraId="5322B989" w14:textId="77777777" w:rsidTr="00F865A7">
        <w:tc>
          <w:tcPr>
            <w:tcW w:w="1577" w:type="pct"/>
          </w:tcPr>
          <w:p w14:paraId="24F217E3" w14:textId="1A451E5B" w:rsidR="005D5F54" w:rsidRPr="00BD5DBD" w:rsidRDefault="005D5F54" w:rsidP="005D5F54">
            <w:pPr>
              <w:rPr>
                <w:i/>
                <w:szCs w:val="22"/>
              </w:rPr>
            </w:pPr>
            <w:r w:rsidRPr="00BD5DBD">
              <w:rPr>
                <w:i/>
                <w:szCs w:val="22"/>
              </w:rPr>
              <w:t>Dose form:</w:t>
            </w:r>
          </w:p>
        </w:tc>
        <w:tc>
          <w:tcPr>
            <w:tcW w:w="3423" w:type="pct"/>
          </w:tcPr>
          <w:p w14:paraId="768B254C" w14:textId="742930AA" w:rsidR="005D5F54" w:rsidRPr="00BD5DBD" w:rsidRDefault="00310BEB" w:rsidP="005D5F54">
            <w:pPr>
              <w:rPr>
                <w:szCs w:val="22"/>
              </w:rPr>
            </w:pPr>
            <w:r w:rsidRPr="00310BEB">
              <w:rPr>
                <w:szCs w:val="22"/>
              </w:rPr>
              <w:t>Film-coated tablet</w:t>
            </w:r>
          </w:p>
        </w:tc>
      </w:tr>
      <w:tr w:rsidR="005D5F54" w:rsidRPr="00BD5DBD" w14:paraId="115243E6" w14:textId="77777777" w:rsidTr="00F865A7">
        <w:tc>
          <w:tcPr>
            <w:tcW w:w="1577" w:type="pct"/>
          </w:tcPr>
          <w:p w14:paraId="7634B062" w14:textId="32CC4C11" w:rsidR="005D5F54" w:rsidRPr="00BD5DBD" w:rsidRDefault="005D5F54" w:rsidP="005D5F54">
            <w:pPr>
              <w:rPr>
                <w:i/>
                <w:szCs w:val="22"/>
              </w:rPr>
            </w:pPr>
            <w:r w:rsidRPr="00BD5DBD">
              <w:rPr>
                <w:i/>
                <w:szCs w:val="22"/>
              </w:rPr>
              <w:t>Strength:</w:t>
            </w:r>
          </w:p>
        </w:tc>
        <w:tc>
          <w:tcPr>
            <w:tcW w:w="3423" w:type="pct"/>
          </w:tcPr>
          <w:p w14:paraId="5E5F83DB" w14:textId="32109FEB" w:rsidR="005D5F54" w:rsidRPr="00BD5DBD" w:rsidRDefault="00506AFA" w:rsidP="005D5F54">
            <w:pPr>
              <w:rPr>
                <w:szCs w:val="22"/>
              </w:rPr>
            </w:pPr>
            <w:r w:rsidRPr="00506AFA">
              <w:rPr>
                <w:szCs w:val="22"/>
              </w:rPr>
              <w:t>70 mg</w:t>
            </w:r>
          </w:p>
        </w:tc>
      </w:tr>
      <w:tr w:rsidR="005D5F54" w:rsidRPr="00BD5DBD" w14:paraId="34B07BA6" w14:textId="77777777" w:rsidTr="00F865A7">
        <w:tc>
          <w:tcPr>
            <w:tcW w:w="1577" w:type="pct"/>
          </w:tcPr>
          <w:p w14:paraId="1C039224" w14:textId="6BF25614" w:rsidR="005D5F54" w:rsidRPr="00BD5DBD" w:rsidRDefault="005D5F54" w:rsidP="005D5F54">
            <w:pPr>
              <w:rPr>
                <w:i/>
                <w:szCs w:val="22"/>
              </w:rPr>
            </w:pPr>
            <w:r w:rsidRPr="00BD5DBD">
              <w:rPr>
                <w:i/>
                <w:szCs w:val="22"/>
              </w:rPr>
              <w:t>Container:</w:t>
            </w:r>
          </w:p>
        </w:tc>
        <w:tc>
          <w:tcPr>
            <w:tcW w:w="3423" w:type="pct"/>
          </w:tcPr>
          <w:p w14:paraId="500A42C6" w14:textId="0A139D82" w:rsidR="005D5F54" w:rsidRPr="00BD5DBD" w:rsidRDefault="00B473EC" w:rsidP="005D5F54">
            <w:pPr>
              <w:rPr>
                <w:szCs w:val="22"/>
              </w:rPr>
            </w:pPr>
            <w:r w:rsidRPr="00B473EC">
              <w:rPr>
                <w:szCs w:val="22"/>
              </w:rPr>
              <w:t>High density polyethylene bottles with aluminum induction seal and child-resistant polypropylene screw cap</w:t>
            </w:r>
          </w:p>
        </w:tc>
      </w:tr>
      <w:tr w:rsidR="005D5F54" w:rsidRPr="00BD5DBD" w14:paraId="176B6773" w14:textId="77777777" w:rsidTr="00F865A7">
        <w:tc>
          <w:tcPr>
            <w:tcW w:w="1577" w:type="pct"/>
          </w:tcPr>
          <w:p w14:paraId="71846159" w14:textId="3E1CC34F" w:rsidR="005D5F54" w:rsidRPr="00BD5DBD" w:rsidRDefault="005D5F54" w:rsidP="005D5F54">
            <w:pPr>
              <w:rPr>
                <w:i/>
                <w:szCs w:val="22"/>
              </w:rPr>
            </w:pPr>
            <w:r w:rsidRPr="00BD5DBD">
              <w:rPr>
                <w:i/>
                <w:szCs w:val="22"/>
              </w:rPr>
              <w:t>Pack size:</w:t>
            </w:r>
          </w:p>
        </w:tc>
        <w:tc>
          <w:tcPr>
            <w:tcW w:w="3423" w:type="pct"/>
          </w:tcPr>
          <w:p w14:paraId="7E978F8F" w14:textId="06CCF59D" w:rsidR="005D5F54" w:rsidRPr="00BD5DBD" w:rsidRDefault="00526477" w:rsidP="005D5F54">
            <w:pPr>
              <w:rPr>
                <w:szCs w:val="22"/>
              </w:rPr>
            </w:pPr>
            <w:r w:rsidRPr="00526477">
              <w:rPr>
                <w:szCs w:val="22"/>
              </w:rPr>
              <w:t>60 tablets</w:t>
            </w:r>
            <w:r>
              <w:rPr>
                <w:szCs w:val="22"/>
              </w:rPr>
              <w:t>/bottle</w:t>
            </w:r>
          </w:p>
        </w:tc>
      </w:tr>
      <w:tr w:rsidR="005D5F54" w:rsidRPr="00BD5DBD" w14:paraId="19A2544A" w14:textId="77777777" w:rsidTr="00F865A7">
        <w:tc>
          <w:tcPr>
            <w:tcW w:w="1577" w:type="pct"/>
          </w:tcPr>
          <w:p w14:paraId="0E6C5C0E" w14:textId="7DB3FC66" w:rsidR="005D5F54" w:rsidRPr="00BD5DBD" w:rsidRDefault="005D5F54" w:rsidP="005D5F54">
            <w:pPr>
              <w:rPr>
                <w:i/>
                <w:szCs w:val="22"/>
              </w:rPr>
            </w:pPr>
            <w:r w:rsidRPr="00BD5DBD">
              <w:rPr>
                <w:i/>
                <w:szCs w:val="22"/>
              </w:rPr>
              <w:t>Approved therapeutic use for the current submission:</w:t>
            </w:r>
          </w:p>
        </w:tc>
        <w:tc>
          <w:tcPr>
            <w:tcW w:w="3423" w:type="pct"/>
          </w:tcPr>
          <w:p w14:paraId="6E143E2E" w14:textId="77120F1D" w:rsidR="005D5F54" w:rsidRPr="00BD5DBD" w:rsidRDefault="00D75E1B" w:rsidP="005D5F54">
            <w:pPr>
              <w:rPr>
                <w:szCs w:val="22"/>
              </w:rPr>
            </w:pPr>
            <w:r w:rsidRPr="00D75E1B">
              <w:rPr>
                <w:szCs w:val="22"/>
              </w:rPr>
              <w:t>JOENJA is indicated for the treatment of activated phosphoinositide 3-kinase delta syndrome (APDS) in adults and adolescents 12 years of age and older.</w:t>
            </w:r>
          </w:p>
        </w:tc>
      </w:tr>
      <w:tr w:rsidR="005D5F54" w:rsidRPr="00BD5DBD" w14:paraId="5AFDEED3" w14:textId="77777777" w:rsidTr="00F865A7">
        <w:tc>
          <w:tcPr>
            <w:tcW w:w="1577" w:type="pct"/>
          </w:tcPr>
          <w:p w14:paraId="03884BD1" w14:textId="1DE8660F" w:rsidR="005D5F54" w:rsidRPr="00BD5DBD" w:rsidRDefault="005D5F54" w:rsidP="005D5F54">
            <w:pPr>
              <w:rPr>
                <w:i/>
                <w:szCs w:val="22"/>
              </w:rPr>
            </w:pPr>
            <w:r w:rsidRPr="00BD5DBD">
              <w:rPr>
                <w:i/>
                <w:szCs w:val="22"/>
              </w:rPr>
              <w:t>Route of administration:</w:t>
            </w:r>
          </w:p>
        </w:tc>
        <w:tc>
          <w:tcPr>
            <w:tcW w:w="3423" w:type="pct"/>
          </w:tcPr>
          <w:p w14:paraId="1ED1357E" w14:textId="3496C4EF" w:rsidR="005D5F54" w:rsidRPr="00BD5DBD" w:rsidRDefault="00D75E1B" w:rsidP="005D5F54">
            <w:pPr>
              <w:rPr>
                <w:szCs w:val="22"/>
              </w:rPr>
            </w:pPr>
            <w:r>
              <w:rPr>
                <w:szCs w:val="22"/>
              </w:rPr>
              <w:t>Oral</w:t>
            </w:r>
          </w:p>
        </w:tc>
      </w:tr>
      <w:tr w:rsidR="005D5F54" w:rsidRPr="00BD5DBD" w14:paraId="70D7E9FA" w14:textId="77777777" w:rsidTr="00F865A7">
        <w:tc>
          <w:tcPr>
            <w:tcW w:w="1577" w:type="pct"/>
          </w:tcPr>
          <w:p w14:paraId="5ABFFC80" w14:textId="77777777" w:rsidR="005D5F54" w:rsidRPr="00BD5DBD" w:rsidRDefault="005D5F54" w:rsidP="005D5F54">
            <w:pPr>
              <w:rPr>
                <w:i/>
                <w:szCs w:val="22"/>
              </w:rPr>
            </w:pPr>
            <w:r w:rsidRPr="00BD5DBD">
              <w:rPr>
                <w:i/>
                <w:szCs w:val="22"/>
              </w:rPr>
              <w:t>Dosage:</w:t>
            </w:r>
          </w:p>
        </w:tc>
        <w:tc>
          <w:tcPr>
            <w:tcW w:w="3423" w:type="pct"/>
          </w:tcPr>
          <w:p w14:paraId="4BD4ECF7" w14:textId="62C9BF61" w:rsidR="005D5F54" w:rsidRDefault="007C4B4B" w:rsidP="005D5F54">
            <w:pPr>
              <w:rPr>
                <w:szCs w:val="22"/>
              </w:rPr>
            </w:pPr>
            <w:r w:rsidRPr="007C4B4B">
              <w:rPr>
                <w:szCs w:val="22"/>
              </w:rPr>
              <w:t>The recommended dose in adult and paediatric patients who weigh more than 45 kg is 70 mg JOENJA twice daily approximately 12 hours apart</w:t>
            </w:r>
          </w:p>
          <w:p w14:paraId="3D0B2D5C" w14:textId="5749658D" w:rsidR="005D5F54" w:rsidRPr="00BD5DBD" w:rsidRDefault="005D5F54" w:rsidP="005D5F54">
            <w:pPr>
              <w:rPr>
                <w:szCs w:val="22"/>
              </w:rPr>
            </w:pPr>
            <w:r w:rsidRPr="00BD5DBD">
              <w:rPr>
                <w:szCs w:val="22"/>
              </w:rPr>
              <w:t>For further information regarding dosage</w:t>
            </w:r>
            <w:r>
              <w:rPr>
                <w:szCs w:val="22"/>
              </w:rPr>
              <w:t xml:space="preserve">, </w:t>
            </w:r>
            <w:r w:rsidRPr="00BD5DBD">
              <w:rPr>
                <w:szCs w:val="22"/>
              </w:rPr>
              <w:t xml:space="preserve">refer to the </w:t>
            </w:r>
            <w:hyperlink r:id="rId17" w:history="1">
              <w:r w:rsidRPr="00543610">
                <w:rPr>
                  <w:rStyle w:val="Hyperlink"/>
                  <w:szCs w:val="22"/>
                </w:rPr>
                <w:t>Product Information</w:t>
              </w:r>
            </w:hyperlink>
            <w:r w:rsidRPr="00BD5DBD">
              <w:rPr>
                <w:szCs w:val="22"/>
              </w:rPr>
              <w:t>.</w:t>
            </w:r>
          </w:p>
        </w:tc>
      </w:tr>
      <w:tr w:rsidR="005D5F54" w:rsidRPr="00BD5DBD" w14:paraId="7B7BB6AE" w14:textId="77777777" w:rsidTr="00F865A7">
        <w:tc>
          <w:tcPr>
            <w:tcW w:w="1577" w:type="pct"/>
          </w:tcPr>
          <w:p w14:paraId="3A76AFF7" w14:textId="7C436DD9" w:rsidR="005D5F54" w:rsidRPr="00F8083B" w:rsidRDefault="005D5F54" w:rsidP="005D5F54">
            <w:r w:rsidRPr="00BD5DBD">
              <w:rPr>
                <w:i/>
                <w:szCs w:val="22"/>
              </w:rPr>
              <w:t>Pregnancy category:</w:t>
            </w:r>
          </w:p>
        </w:tc>
        <w:tc>
          <w:tcPr>
            <w:tcW w:w="3423" w:type="pct"/>
          </w:tcPr>
          <w:p w14:paraId="7F86439D" w14:textId="77777777" w:rsidR="005D5F54" w:rsidRPr="00995FD3" w:rsidRDefault="005D5F54" w:rsidP="005D5F54">
            <w:r w:rsidRPr="00995FD3">
              <w:t>Category D</w:t>
            </w:r>
          </w:p>
          <w:p w14:paraId="5CDCE368" w14:textId="77777777" w:rsidR="005D5F54" w:rsidRPr="00995FD3" w:rsidRDefault="005D5F54" w:rsidP="005D5F54">
            <w:r w:rsidRPr="00995FD3">
              <w:t xml:space="preserve">Drugs which have caused, are suspected to have caused or may be expected to cause, an increased incidence of human fetal malformations or irreversible damage. These drugs may also have adverse pharmacological effects. </w:t>
            </w:r>
          </w:p>
          <w:p w14:paraId="76497789" w14:textId="3F5CD71B" w:rsidR="005D5F54" w:rsidRPr="00BD5DBD" w:rsidRDefault="005D5F54" w:rsidP="005D5F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8"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574BAB">
      <w:pPr>
        <w:pStyle w:val="Heading4"/>
      </w:pPr>
      <w:bookmarkStart w:id="7" w:name="_Toc203144781"/>
      <w:r>
        <w:lastRenderedPageBreak/>
        <w:t>P</w:t>
      </w:r>
      <w:r w:rsidR="006D0E86" w:rsidRPr="006D0E86">
        <w:t>roposed indication</w:t>
      </w:r>
      <w:bookmarkEnd w:id="7"/>
    </w:p>
    <w:p w14:paraId="59BF31D1" w14:textId="4C1E8FE4" w:rsidR="001500A8" w:rsidRPr="00065839" w:rsidRDefault="00324B33" w:rsidP="00065839">
      <w:r w:rsidRPr="00065839">
        <w:t xml:space="preserve">This AusPAR describes the submission by </w:t>
      </w:r>
      <w:r w:rsidR="00403316" w:rsidRPr="00403316">
        <w:t xml:space="preserve">Ballia Holdings Pty Ltd </w:t>
      </w:r>
      <w:r w:rsidRPr="00065839">
        <w:t xml:space="preserve">(the </w:t>
      </w:r>
      <w:r w:rsidR="00403316">
        <w:t>S</w:t>
      </w:r>
      <w:r w:rsidRPr="00065839">
        <w:t>ponsor)</w:t>
      </w:r>
      <w:r w:rsidR="007E50E2">
        <w:rPr>
          <w:rStyle w:val="FootnoteReference"/>
        </w:rPr>
        <w:footnoteReference w:id="1"/>
      </w:r>
      <w:r w:rsidRPr="00065839">
        <w:t xml:space="preserve"> to register </w:t>
      </w:r>
      <w:r w:rsidR="004F528D" w:rsidRPr="004F528D">
        <w:t xml:space="preserve">JOENJA - leniolisib </w:t>
      </w:r>
      <w:r w:rsidRPr="00065839">
        <w:t>for the following proposed indication:</w:t>
      </w:r>
    </w:p>
    <w:p w14:paraId="15C38D28" w14:textId="77777777" w:rsidR="007601BF" w:rsidRDefault="007601BF" w:rsidP="007601BF">
      <w:pPr>
        <w:pStyle w:val="Indication"/>
      </w:pPr>
      <w:r>
        <w:t>treatment of activated phosphoinositide 3-kinase delta syndrome (APDS) in adults</w:t>
      </w:r>
    </w:p>
    <w:p w14:paraId="23D8ED73" w14:textId="0A0AF820" w:rsidR="00324B33" w:rsidRPr="001D111E" w:rsidRDefault="007601BF" w:rsidP="007601BF">
      <w:pPr>
        <w:pStyle w:val="Indication"/>
      </w:pPr>
      <w:r>
        <w:t>and adolescents 12 years of age and older.</w:t>
      </w:r>
    </w:p>
    <w:p w14:paraId="1E63A2AE" w14:textId="6FC52D55" w:rsidR="00CB6813" w:rsidRDefault="001E2E7E" w:rsidP="00CB6813">
      <w:pPr>
        <w:pStyle w:val="Heading4"/>
      </w:pPr>
      <w:bookmarkStart w:id="8" w:name="_Toc203144782"/>
      <w:bookmarkStart w:id="9" w:name="_Toc314842485"/>
      <w:bookmarkStart w:id="10" w:name="_Toc247691504"/>
      <w:r>
        <w:t>The condition</w:t>
      </w:r>
      <w:bookmarkEnd w:id="8"/>
    </w:p>
    <w:p w14:paraId="2FE8D007" w14:textId="3289B10C" w:rsidR="00B6318C" w:rsidRDefault="0035227F" w:rsidP="00B6318C">
      <w:r>
        <w:t>A</w:t>
      </w:r>
      <w:r w:rsidR="004762CA" w:rsidRPr="004762CA">
        <w:t xml:space="preserve">ctivated phosphoinositide 3 kinase </w:t>
      </w:r>
      <w:r w:rsidRPr="0035227F">
        <w:t xml:space="preserve">δ </w:t>
      </w:r>
      <w:r w:rsidR="004762CA" w:rsidRPr="004762CA">
        <w:t xml:space="preserve">syndrome </w:t>
      </w:r>
      <w:r w:rsidR="004762CA">
        <w:t>(</w:t>
      </w:r>
      <w:r w:rsidR="00B6318C" w:rsidRPr="00B6318C">
        <w:t>APDS</w:t>
      </w:r>
      <w:r w:rsidR="004762CA">
        <w:t>)</w:t>
      </w:r>
      <w:r w:rsidR="00B6318C" w:rsidRPr="00B6318C">
        <w:t xml:space="preserve"> is a rare immunodeficiency syndrome with an estimated prevalence of 1-1.5 per million people. It is caused by a gain of function mutation in the activity of </w:t>
      </w:r>
      <w:r w:rsidR="00A344DA" w:rsidRPr="00A344DA">
        <w:t>phosphoinositide</w:t>
      </w:r>
      <w:r w:rsidR="00B6318C" w:rsidRPr="00B6318C">
        <w:t>-3-kinase-delta (PI3Kδ), which controls post receptor signalling of tyrosine kinase activated receptors on cells. This system is widely distributed in human cells, among them immune cells</w:t>
      </w:r>
      <w:r w:rsidR="00A81D87">
        <w:t xml:space="preserve"> (Figure 1)</w:t>
      </w:r>
      <w:r w:rsidR="00B6318C" w:rsidRPr="00B6318C">
        <w:t>.</w:t>
      </w:r>
    </w:p>
    <w:p w14:paraId="63915A3B" w14:textId="1E04730F" w:rsidR="00E77F3D" w:rsidRDefault="00E77F3D" w:rsidP="00E77F3D">
      <w:pPr>
        <w:pStyle w:val="FigureTitle"/>
      </w:pPr>
      <w:r w:rsidRPr="00E77F3D">
        <w:t>Figure 1: The phosphoinositide-3-kinase</w:t>
      </w:r>
      <w:r w:rsidR="008F1D71">
        <w:t xml:space="preserve"> </w:t>
      </w:r>
      <w:r w:rsidR="008F1D71" w:rsidRPr="008F1D71">
        <w:t>PI3K</w:t>
      </w:r>
      <w:r w:rsidRPr="00E77F3D">
        <w:t xml:space="preserve"> signalling pathway</w:t>
      </w:r>
      <w:r w:rsidR="00723AE4">
        <w:rPr>
          <w:rStyle w:val="FootnoteReference"/>
        </w:rPr>
        <w:footnoteReference w:id="2"/>
      </w:r>
    </w:p>
    <w:p w14:paraId="577443C6" w14:textId="2B570ADF" w:rsidR="00143FB8" w:rsidRDefault="00143FB8" w:rsidP="00B6318C">
      <w:r>
        <w:rPr>
          <w:noProof/>
        </w:rPr>
        <w:drawing>
          <wp:inline distT="0" distB="0" distL="0" distR="0" wp14:anchorId="4B56B895" wp14:editId="4548D3AB">
            <wp:extent cx="5755005" cy="3279775"/>
            <wp:effectExtent l="0" t="0" r="0" b="0"/>
            <wp:docPr id="136820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5005" cy="3279775"/>
                    </a:xfrm>
                    <a:prstGeom prst="rect">
                      <a:avLst/>
                    </a:prstGeom>
                    <a:noFill/>
                  </pic:spPr>
                </pic:pic>
              </a:graphicData>
            </a:graphic>
          </wp:inline>
        </w:drawing>
      </w:r>
    </w:p>
    <w:p w14:paraId="7F2BBEBE" w14:textId="015CD5CE" w:rsidR="006665A4" w:rsidRDefault="006665A4" w:rsidP="00D56544">
      <w:pPr>
        <w:pStyle w:val="FigureDescription"/>
      </w:pPr>
      <w:r>
        <w:t>PIP2=</w:t>
      </w:r>
      <w:r w:rsidRPr="006665A4">
        <w:t>phosphatidylinositol 4,5-bisphosphate</w:t>
      </w:r>
      <w:r>
        <w:t xml:space="preserve">; Y=Tyrosine, P=phosphate groups; </w:t>
      </w:r>
      <w:r w:rsidR="002E6235">
        <w:t>PIP3=</w:t>
      </w:r>
      <w:r w:rsidR="0051313F">
        <w:t>p</w:t>
      </w:r>
      <w:r w:rsidR="002E6235" w:rsidRPr="002E6235">
        <w:t>hosphatidylinositol (3,4,5) trisphosphate</w:t>
      </w:r>
      <w:r w:rsidR="002E6235">
        <w:t xml:space="preserve">, </w:t>
      </w:r>
      <w:r w:rsidR="009A5735">
        <w:t>PDK1=</w:t>
      </w:r>
      <w:r w:rsidR="009A5735" w:rsidRPr="009A5735">
        <w:t>3-phosphoinositide-dependent protein kinase 1</w:t>
      </w:r>
      <w:r w:rsidR="005229A9">
        <w:t>; PTEN=</w:t>
      </w:r>
      <w:r w:rsidR="0051313F">
        <w:t>p</w:t>
      </w:r>
      <w:r w:rsidR="005229A9" w:rsidRPr="005229A9">
        <w:t>hosphatase and Tensin homolog deleted on chromosome TEN</w:t>
      </w:r>
      <w:r w:rsidR="005229A9">
        <w:t xml:space="preserve">; </w:t>
      </w:r>
      <w:r w:rsidR="005229A9" w:rsidRPr="005229A9">
        <w:t>mTOR</w:t>
      </w:r>
      <w:r w:rsidR="005229A9">
        <w:t xml:space="preserve">= </w:t>
      </w:r>
      <w:r w:rsidR="005229A9" w:rsidRPr="005229A9">
        <w:t>mammalian target of rapamycin</w:t>
      </w:r>
      <w:r w:rsidR="005229A9">
        <w:t xml:space="preserve">; </w:t>
      </w:r>
      <w:r w:rsidR="0051313F">
        <w:t>p100</w:t>
      </w:r>
      <w:r w:rsidR="0051313F">
        <w:sym w:font="Symbol" w:char="F064"/>
      </w:r>
      <w:r w:rsidR="0051313F">
        <w:t>=p</w:t>
      </w:r>
      <w:r w:rsidR="0051313F" w:rsidRPr="0051313F">
        <w:t>hosphoinositide 3-kinase p110 delta</w:t>
      </w:r>
      <w:r w:rsidR="0051313F">
        <w:t xml:space="preserve">; </w:t>
      </w:r>
      <w:r w:rsidR="00FF34B6">
        <w:t>p85=</w:t>
      </w:r>
      <w:r w:rsidR="00FF34B6" w:rsidRPr="00FF34B6">
        <w:t>p85 regulatory component of the PI3K (phosphoinositide 3-kinase)</w:t>
      </w:r>
    </w:p>
    <w:p w14:paraId="2528D5A7" w14:textId="77777777" w:rsidR="00861A56" w:rsidRDefault="00861A56" w:rsidP="00861A56">
      <w:r>
        <w:t>APDS significantly impacts the differentiation, development and activation of B cells. This produces proliferation of pathologically ‘stimulated’ immune cells, and a reduction in the population of naïve (not stimulated by antigen) B-cells. There is a reduction in circulating B-cell numbers (lymphopenia) and hypo-gammaglobulinaemia with normal or elevated IgM levels.</w:t>
      </w:r>
    </w:p>
    <w:p w14:paraId="46BCDC07" w14:textId="540BDB4A" w:rsidR="00143FB8" w:rsidRDefault="00AA1B5A" w:rsidP="00861A56">
      <w:r w:rsidRPr="00AA1B5A">
        <w:lastRenderedPageBreak/>
        <w:t>Clinical signs of lymphoproliferation</w:t>
      </w:r>
      <w:r>
        <w:t>,</w:t>
      </w:r>
      <w:r w:rsidR="00861A56">
        <w:t xml:space="preserve"> lymphadenopathy and splenomegaly develop with reduced immune responses to respiratory pathogens and viruses (</w:t>
      </w:r>
      <w:r w:rsidR="00AB2799">
        <w:t xml:space="preserve">Epstein-Barr virus </w:t>
      </w:r>
      <w:r w:rsidR="00861A56">
        <w:t xml:space="preserve">and </w:t>
      </w:r>
      <w:r w:rsidR="00AB2799">
        <w:t>cytomegalovirus</w:t>
      </w:r>
      <w:r w:rsidR="00861A56">
        <w:t>), and an increased risk of lymphoma.</w:t>
      </w:r>
    </w:p>
    <w:p w14:paraId="0F0451AA" w14:textId="77777777" w:rsidR="0058012F" w:rsidRDefault="0058012F" w:rsidP="0058012F">
      <w:r>
        <w:t>Symptoms of APDS originate from chronic and recurrent infections, from the mass effect of lymphoid tissue (e.g. pressure on mediastinal structures), and from malignancy. APDS patients have a reduced response to vaccination, which leaves them vulnerable to vaccine preventable diseases.</w:t>
      </w:r>
    </w:p>
    <w:p w14:paraId="2943B11A" w14:textId="07AE78F9" w:rsidR="0058012F" w:rsidRPr="00B6318C" w:rsidRDefault="008F1D71" w:rsidP="0058012F">
      <w:r>
        <w:t>APDS</w:t>
      </w:r>
      <w:r w:rsidR="0058012F">
        <w:t xml:space="preserve"> is a </w:t>
      </w:r>
      <w:r w:rsidR="00AA1B5A" w:rsidRPr="00AA1B5A">
        <w:t xml:space="preserve">cumulative and progressive lifelong </w:t>
      </w:r>
      <w:r w:rsidR="0058012F">
        <w:t>condition that significantly reduces patient’s expected lifespan</w:t>
      </w:r>
      <w:r w:rsidR="003F012D">
        <w:rPr>
          <w:rStyle w:val="FootnoteReference"/>
        </w:rPr>
        <w:footnoteReference w:id="3"/>
      </w:r>
      <w:r w:rsidR="0058012F">
        <w:t>. Conditional survival of a review population of APDS patients indicated survival of 87% at 20 years, 74% at 30 years, 68% at 40 and 50 years. The general Australian population has a 68% survival rate of about 75 years.</w:t>
      </w:r>
    </w:p>
    <w:p w14:paraId="255E083A" w14:textId="43B6FABE" w:rsidR="00CB6813" w:rsidRDefault="00480A4C" w:rsidP="00CB6813">
      <w:pPr>
        <w:pStyle w:val="Heading4"/>
      </w:pPr>
      <w:bookmarkStart w:id="11" w:name="_Toc203144783"/>
      <w:r w:rsidRPr="00480A4C">
        <w:t>Current treatment options</w:t>
      </w:r>
      <w:bookmarkEnd w:id="11"/>
    </w:p>
    <w:p w14:paraId="4BFF7225" w14:textId="304BCC6C" w:rsidR="000B153F" w:rsidRPr="000B153F" w:rsidRDefault="000B153F" w:rsidP="000B153F">
      <w:r w:rsidRPr="000B153F">
        <w:t>There are currently no treatments which target the primary cause of APDS. Supportive therapy for immunodeficiency includes antibiotic prophylaxis and intravenous immunoglobulin support. Lymphoproliferation has been treated with rituximab, or homologous stem cell transplan</w:t>
      </w:r>
      <w:r w:rsidR="00F738E3">
        <w:t xml:space="preserve">t </w:t>
      </w:r>
      <w:r w:rsidRPr="000B153F">
        <w:t>when malignant transformation occurs.</w:t>
      </w:r>
    </w:p>
    <w:p w14:paraId="37C47E09" w14:textId="40A98DF0" w:rsidR="00CB6813" w:rsidRDefault="002F116C" w:rsidP="00CB6813">
      <w:pPr>
        <w:pStyle w:val="Heading4"/>
      </w:pPr>
      <w:bookmarkStart w:id="12" w:name="_Toc203144784"/>
      <w:r w:rsidRPr="002F116C">
        <w:t>Clinical rationale</w:t>
      </w:r>
      <w:bookmarkEnd w:id="12"/>
    </w:p>
    <w:p w14:paraId="45FF32CD" w14:textId="2487EDF1" w:rsidR="001236B4" w:rsidRPr="001236B4" w:rsidRDefault="007720E9" w:rsidP="001236B4">
      <w:r>
        <w:t>L</w:t>
      </w:r>
      <w:r w:rsidR="009844A5">
        <w:t>eniolisib</w:t>
      </w:r>
      <w:r w:rsidR="001236B4">
        <w:t xml:space="preserve"> is a small molecule oral inhibitor of p110δ that selectively inhibits the production of phosphatidylinositol-3,4,5-trisphosphate (PIP3) and, consequently, its downstream messenger phosphorylated protein kinase B (pAkt). </w:t>
      </w:r>
      <w:r>
        <w:t>L</w:t>
      </w:r>
      <w:r w:rsidR="009844A5">
        <w:t>eniolisib</w:t>
      </w:r>
      <w:r w:rsidR="001236B4">
        <w:t xml:space="preserve"> inhibits the p110δ subunit of phosphoinositide 3-kinase (PI3K) class IA that reduces the hyperactive PI3Kδ. </w:t>
      </w:r>
      <w:r w:rsidR="00295E4D">
        <w:t>It is proposed that l</w:t>
      </w:r>
      <w:r w:rsidR="001236B4">
        <w:t>eniolisib targets and inhibits the hyperactive PI3Kδ pathway in leukocytes, thereby normalizing immune responses and reducing lymphadenopathy,</w:t>
      </w:r>
      <w:r w:rsidR="00295E4D">
        <w:t xml:space="preserve"> </w:t>
      </w:r>
      <w:r w:rsidR="001236B4">
        <w:t>hepatosplenomegaly, and occurrence of infections, thus reducing the level of supportive therapy</w:t>
      </w:r>
      <w:r w:rsidR="00295E4D">
        <w:t xml:space="preserve"> </w:t>
      </w:r>
      <w:r w:rsidR="001236B4">
        <w:t xml:space="preserve">required </w:t>
      </w:r>
      <w:r w:rsidR="00295E4D">
        <w:t>in APDS</w:t>
      </w:r>
      <w:r w:rsidR="001236B4">
        <w:t>.</w:t>
      </w:r>
    </w:p>
    <w:p w14:paraId="0D615854" w14:textId="77777777" w:rsidR="00324B33" w:rsidRPr="003F31A2" w:rsidRDefault="00324B33" w:rsidP="00441E06">
      <w:pPr>
        <w:pStyle w:val="Heading4"/>
      </w:pPr>
      <w:bookmarkStart w:id="13" w:name="_Toc103679291"/>
      <w:bookmarkStart w:id="14" w:name="_Toc203144785"/>
      <w:r>
        <w:t>Regulatory status</w:t>
      </w:r>
      <w:bookmarkEnd w:id="9"/>
      <w:bookmarkEnd w:id="10"/>
      <w:bookmarkEnd w:id="13"/>
      <w:bookmarkEnd w:id="14"/>
    </w:p>
    <w:p w14:paraId="72C889D6" w14:textId="7E200950" w:rsidR="0017005C" w:rsidRPr="00BD5DBD" w:rsidRDefault="0017005C" w:rsidP="00017CE5">
      <w:pPr>
        <w:pStyle w:val="Heading5"/>
      </w:pPr>
      <w:r w:rsidRPr="00BD5DBD">
        <w:t>Australian regulatory</w:t>
      </w:r>
      <w:r>
        <w:t xml:space="preserve"> sta</w:t>
      </w:r>
      <w:r w:rsidR="0025785B">
        <w:t>t</w:t>
      </w:r>
      <w:r>
        <w:t>us</w:t>
      </w:r>
    </w:p>
    <w:p w14:paraId="6A8633FA" w14:textId="568C5A6F"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017CE5">
      <w:pPr>
        <w:pStyle w:val="Heading5"/>
      </w:pPr>
      <w:r>
        <w:t xml:space="preserve">International </w:t>
      </w:r>
      <w:r w:rsidR="0017005C" w:rsidRPr="00BD5DBD">
        <w:t>regulatory</w:t>
      </w:r>
      <w:r w:rsidR="0017005C">
        <w:t xml:space="preserve"> status</w:t>
      </w:r>
    </w:p>
    <w:p w14:paraId="7FDF4A0B" w14:textId="1C558317"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8F4C85">
        <w:rPr>
          <w:szCs w:val="22"/>
        </w:rPr>
        <w:t>Table 1</w:t>
      </w:r>
      <w:r w:rsidRPr="00BD5DBD">
        <w:rPr>
          <w:szCs w:val="22"/>
        </w:rPr>
        <w:t xml:space="preserve"> summarises these submissions and provides the indications where approved.</w:t>
      </w:r>
      <w:r>
        <w:rPr>
          <w:szCs w:val="22"/>
        </w:rPr>
        <w:t xml:space="preserve"> </w:t>
      </w:r>
    </w:p>
    <w:p w14:paraId="19B9E0AC" w14:textId="11B27500" w:rsidR="00324B33" w:rsidRDefault="00324B33" w:rsidP="00324B33">
      <w:pPr>
        <w:pStyle w:val="TableTitle"/>
      </w:pPr>
      <w:bookmarkStart w:id="15" w:name="_Ref99705479"/>
      <w:r>
        <w:t xml:space="preserve">Table </w:t>
      </w:r>
      <w:r w:rsidR="008B1CB5">
        <w:fldChar w:fldCharType="begin"/>
      </w:r>
      <w:r w:rsidR="008B1CB5">
        <w:instrText xml:space="preserve"> SEQ Table \* ARABIC </w:instrText>
      </w:r>
      <w:r w:rsidR="008B1CB5">
        <w:fldChar w:fldCharType="separate"/>
      </w:r>
      <w:r w:rsidR="00D56544">
        <w:rPr>
          <w:noProof/>
        </w:rPr>
        <w:t>1</w:t>
      </w:r>
      <w:r w:rsidR="008B1CB5">
        <w:rPr>
          <w:noProof/>
        </w:rPr>
        <w:fldChar w:fldCharType="end"/>
      </w:r>
      <w:bookmarkEnd w:id="15"/>
      <w:r w:rsidR="00AA33C3">
        <w:t>.</w:t>
      </w:r>
      <w:r>
        <w:t xml:space="preserve"> International regulatory status</w:t>
      </w:r>
      <w:r w:rsidR="005042C7">
        <w:t xml:space="preserve"> for </w:t>
      </w:r>
      <w:r w:rsidR="007F6458">
        <w:t>JOENJA</w:t>
      </w:r>
    </w:p>
    <w:tbl>
      <w:tblPr>
        <w:tblStyle w:val="TableTGAblue2023"/>
        <w:tblW w:w="5000" w:type="pct"/>
        <w:tblLook w:val="04A0" w:firstRow="1" w:lastRow="0" w:firstColumn="1" w:lastColumn="0" w:noHBand="0" w:noVBand="1"/>
      </w:tblPr>
      <w:tblGrid>
        <w:gridCol w:w="1837"/>
        <w:gridCol w:w="1845"/>
        <w:gridCol w:w="2125"/>
        <w:gridCol w:w="3253"/>
      </w:tblGrid>
      <w:tr w:rsidR="00324B33" w:rsidRPr="00A72949"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4026A36A" w:rsidR="00324B33" w:rsidRPr="00A72949" w:rsidRDefault="008F4C85" w:rsidP="00324B33">
            <w:pPr>
              <w:rPr>
                <w:szCs w:val="22"/>
              </w:rPr>
            </w:pPr>
            <w:r w:rsidRPr="00A72949">
              <w:rPr>
                <w:szCs w:val="22"/>
              </w:rPr>
              <w:t>Agency</w:t>
            </w:r>
          </w:p>
        </w:tc>
        <w:tc>
          <w:tcPr>
            <w:tcW w:w="1018" w:type="pct"/>
          </w:tcPr>
          <w:p w14:paraId="778C35C7" w14:textId="08C1A5DB" w:rsidR="00324B33" w:rsidRPr="00A72949" w:rsidRDefault="008F4C85" w:rsidP="00324B33">
            <w:pPr>
              <w:cnfStyle w:val="100000000000" w:firstRow="1" w:lastRow="0" w:firstColumn="0" w:lastColumn="0" w:oddVBand="0" w:evenVBand="0" w:oddHBand="0" w:evenHBand="0" w:firstRowFirstColumn="0" w:firstRowLastColumn="0" w:lastRowFirstColumn="0" w:lastRowLastColumn="0"/>
              <w:rPr>
                <w:szCs w:val="22"/>
              </w:rPr>
            </w:pPr>
            <w:r w:rsidRPr="00A72949">
              <w:rPr>
                <w:szCs w:val="22"/>
              </w:rPr>
              <w:t>Status</w:t>
            </w:r>
          </w:p>
        </w:tc>
        <w:tc>
          <w:tcPr>
            <w:tcW w:w="1173" w:type="pct"/>
          </w:tcPr>
          <w:p w14:paraId="58F81584" w14:textId="3D5F2119" w:rsidR="00324B33" w:rsidRPr="00A72949" w:rsidRDefault="008F4C85" w:rsidP="00324B33">
            <w:pPr>
              <w:cnfStyle w:val="100000000000" w:firstRow="1" w:lastRow="0" w:firstColumn="0" w:lastColumn="0" w:oddVBand="0" w:evenVBand="0" w:oddHBand="0" w:evenHBand="0" w:firstRowFirstColumn="0" w:firstRowLastColumn="0" w:lastRowFirstColumn="0" w:lastRowLastColumn="0"/>
              <w:rPr>
                <w:szCs w:val="22"/>
              </w:rPr>
            </w:pPr>
            <w:r w:rsidRPr="00A72949">
              <w:rPr>
                <w:szCs w:val="22"/>
              </w:rPr>
              <w:t>Date</w:t>
            </w:r>
          </w:p>
        </w:tc>
        <w:tc>
          <w:tcPr>
            <w:tcW w:w="1795" w:type="pct"/>
          </w:tcPr>
          <w:p w14:paraId="50B2D435" w14:textId="591269AA" w:rsidR="00324B33" w:rsidRPr="00A72949" w:rsidRDefault="007F6458" w:rsidP="00A72949">
            <w:pPr>
              <w:ind w:left="24"/>
              <w:cnfStyle w:val="100000000000" w:firstRow="1" w:lastRow="0" w:firstColumn="0" w:lastColumn="0" w:oddVBand="0" w:evenVBand="0" w:oddHBand="0" w:evenHBand="0" w:firstRowFirstColumn="0" w:firstRowLastColumn="0" w:lastRowFirstColumn="0" w:lastRowLastColumn="0"/>
              <w:rPr>
                <w:szCs w:val="22"/>
              </w:rPr>
            </w:pPr>
            <w:r w:rsidRPr="00A72949">
              <w:rPr>
                <w:szCs w:val="22"/>
              </w:rPr>
              <w:t>I</w:t>
            </w:r>
            <w:r w:rsidR="00324B33" w:rsidRPr="00A72949">
              <w:rPr>
                <w:szCs w:val="22"/>
              </w:rPr>
              <w:t>ndications</w:t>
            </w:r>
          </w:p>
        </w:tc>
      </w:tr>
      <w:tr w:rsidR="00324B33" w:rsidRPr="00A72949"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76D10723" w:rsidR="00324B33" w:rsidRPr="00A72949" w:rsidRDefault="008F4C85" w:rsidP="00324B33">
            <w:pPr>
              <w:rPr>
                <w:szCs w:val="22"/>
              </w:rPr>
            </w:pPr>
            <w:r w:rsidRPr="00A72949">
              <w:rPr>
                <w:szCs w:val="22"/>
              </w:rPr>
              <w:t>FDA</w:t>
            </w:r>
          </w:p>
        </w:tc>
        <w:tc>
          <w:tcPr>
            <w:tcW w:w="1018" w:type="pct"/>
          </w:tcPr>
          <w:p w14:paraId="4FA5DDA9" w14:textId="0007932F" w:rsidR="00324B33" w:rsidRPr="00A72949" w:rsidRDefault="007F6458" w:rsidP="00324B33">
            <w:pPr>
              <w:cnfStyle w:val="000000000000" w:firstRow="0" w:lastRow="0" w:firstColumn="0" w:lastColumn="0" w:oddVBand="0" w:evenVBand="0" w:oddHBand="0" w:evenHBand="0" w:firstRowFirstColumn="0" w:firstRowLastColumn="0" w:lastRowFirstColumn="0" w:lastRowLastColumn="0"/>
              <w:rPr>
                <w:szCs w:val="22"/>
              </w:rPr>
            </w:pPr>
            <w:r w:rsidRPr="00A72949">
              <w:rPr>
                <w:szCs w:val="22"/>
              </w:rPr>
              <w:t>A</w:t>
            </w:r>
            <w:r w:rsidR="008F4C85" w:rsidRPr="00A72949">
              <w:rPr>
                <w:szCs w:val="22"/>
              </w:rPr>
              <w:t>pproved</w:t>
            </w:r>
          </w:p>
        </w:tc>
        <w:tc>
          <w:tcPr>
            <w:tcW w:w="1173" w:type="pct"/>
          </w:tcPr>
          <w:p w14:paraId="29358393" w14:textId="0B7FD6C5" w:rsidR="00324B33" w:rsidRPr="00A72949" w:rsidRDefault="008F4C85" w:rsidP="00324B33">
            <w:pPr>
              <w:cnfStyle w:val="000000000000" w:firstRow="0" w:lastRow="0" w:firstColumn="0" w:lastColumn="0" w:oddVBand="0" w:evenVBand="0" w:oddHBand="0" w:evenHBand="0" w:firstRowFirstColumn="0" w:firstRowLastColumn="0" w:lastRowFirstColumn="0" w:lastRowLastColumn="0"/>
              <w:rPr>
                <w:szCs w:val="22"/>
              </w:rPr>
            </w:pPr>
            <w:r w:rsidRPr="00A72949">
              <w:rPr>
                <w:szCs w:val="22"/>
              </w:rPr>
              <w:t>24 March 2023</w:t>
            </w:r>
          </w:p>
        </w:tc>
        <w:tc>
          <w:tcPr>
            <w:tcW w:w="1795" w:type="pct"/>
          </w:tcPr>
          <w:p w14:paraId="05055674" w14:textId="0F3487E0" w:rsidR="00324B33" w:rsidRPr="00A72949" w:rsidRDefault="007E41E9" w:rsidP="00A72949">
            <w:pPr>
              <w:ind w:left="24"/>
              <w:cnfStyle w:val="000000000000" w:firstRow="0" w:lastRow="0" w:firstColumn="0" w:lastColumn="0" w:oddVBand="0" w:evenVBand="0" w:oddHBand="0" w:evenHBand="0" w:firstRowFirstColumn="0" w:firstRowLastColumn="0" w:lastRowFirstColumn="0" w:lastRowLastColumn="0"/>
              <w:rPr>
                <w:szCs w:val="22"/>
              </w:rPr>
            </w:pPr>
            <w:r w:rsidRPr="00A72949">
              <w:rPr>
                <w:szCs w:val="22"/>
              </w:rPr>
              <w:t>Treatment of activated phosphoinositide 3</w:t>
            </w:r>
            <w:r w:rsidR="00D027C2" w:rsidRPr="00A72949">
              <w:rPr>
                <w:szCs w:val="22"/>
              </w:rPr>
              <w:t>-</w:t>
            </w:r>
            <w:r w:rsidRPr="00A72949">
              <w:rPr>
                <w:szCs w:val="22"/>
              </w:rPr>
              <w:t>kinase delta syndrome (APDS) in adult and pediatric patients 12 years of age or older</w:t>
            </w:r>
          </w:p>
        </w:tc>
      </w:tr>
      <w:tr w:rsidR="00324B33" w:rsidRPr="00A72949"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1E487636" w:rsidR="00324B33" w:rsidRPr="00A72949" w:rsidRDefault="007E41E9" w:rsidP="00324B33">
            <w:pPr>
              <w:rPr>
                <w:szCs w:val="22"/>
              </w:rPr>
            </w:pPr>
            <w:r w:rsidRPr="00A72949">
              <w:rPr>
                <w:szCs w:val="22"/>
              </w:rPr>
              <w:lastRenderedPageBreak/>
              <w:t>EMA</w:t>
            </w:r>
          </w:p>
        </w:tc>
        <w:tc>
          <w:tcPr>
            <w:tcW w:w="1018" w:type="pct"/>
          </w:tcPr>
          <w:p w14:paraId="1D871E57" w14:textId="3B2A731E" w:rsidR="00324B33" w:rsidRPr="00A72949" w:rsidRDefault="007E41E9" w:rsidP="00324B33">
            <w:pPr>
              <w:cnfStyle w:val="000000000000" w:firstRow="0" w:lastRow="0" w:firstColumn="0" w:lastColumn="0" w:oddVBand="0" w:evenVBand="0" w:oddHBand="0" w:evenHBand="0" w:firstRowFirstColumn="0" w:firstRowLastColumn="0" w:lastRowFirstColumn="0" w:lastRowLastColumn="0"/>
              <w:rPr>
                <w:szCs w:val="22"/>
              </w:rPr>
            </w:pPr>
            <w:r w:rsidRPr="00A72949">
              <w:rPr>
                <w:szCs w:val="22"/>
              </w:rPr>
              <w:t>In progress</w:t>
            </w:r>
          </w:p>
        </w:tc>
        <w:tc>
          <w:tcPr>
            <w:tcW w:w="1173" w:type="pct"/>
          </w:tcPr>
          <w:p w14:paraId="63A3A9D3" w14:textId="39D7A6C9" w:rsidR="00324B33" w:rsidRPr="00A72949" w:rsidRDefault="00324B33" w:rsidP="00324B33">
            <w:pPr>
              <w:cnfStyle w:val="000000000000" w:firstRow="0" w:lastRow="0" w:firstColumn="0" w:lastColumn="0" w:oddVBand="0" w:evenVBand="0" w:oddHBand="0" w:evenHBand="0" w:firstRowFirstColumn="0" w:firstRowLastColumn="0" w:lastRowFirstColumn="0" w:lastRowLastColumn="0"/>
              <w:rPr>
                <w:szCs w:val="22"/>
              </w:rPr>
            </w:pPr>
          </w:p>
        </w:tc>
        <w:tc>
          <w:tcPr>
            <w:tcW w:w="1795" w:type="pct"/>
          </w:tcPr>
          <w:p w14:paraId="17C650B8" w14:textId="4163D437" w:rsidR="00324B33" w:rsidRPr="00A72949" w:rsidRDefault="007F6458" w:rsidP="00A72949">
            <w:pPr>
              <w:ind w:left="24"/>
              <w:cnfStyle w:val="000000000000" w:firstRow="0" w:lastRow="0" w:firstColumn="0" w:lastColumn="0" w:oddVBand="0" w:evenVBand="0" w:oddHBand="0" w:evenHBand="0" w:firstRowFirstColumn="0" w:firstRowLastColumn="0" w:lastRowFirstColumn="0" w:lastRowLastColumn="0"/>
              <w:rPr>
                <w:szCs w:val="22"/>
              </w:rPr>
            </w:pPr>
            <w:r w:rsidRPr="00A72949">
              <w:rPr>
                <w:szCs w:val="22"/>
              </w:rPr>
              <w:t>Proposed: Treatment of activated phosphoinositide 3</w:t>
            </w:r>
            <w:r w:rsidR="00D027C2" w:rsidRPr="00A72949">
              <w:rPr>
                <w:szCs w:val="22"/>
              </w:rPr>
              <w:t>-</w:t>
            </w:r>
            <w:r w:rsidRPr="00A72949">
              <w:rPr>
                <w:szCs w:val="22"/>
              </w:rPr>
              <w:t>kinase delta syndrome (APDS) in adult</w:t>
            </w:r>
            <w:r w:rsidR="00D027C2" w:rsidRPr="00A72949">
              <w:rPr>
                <w:szCs w:val="22"/>
              </w:rPr>
              <w:t>s</w:t>
            </w:r>
            <w:r w:rsidRPr="00A72949">
              <w:rPr>
                <w:szCs w:val="22"/>
              </w:rPr>
              <w:t xml:space="preserve"> and </w:t>
            </w:r>
            <w:r w:rsidR="00D027C2" w:rsidRPr="00A72949">
              <w:rPr>
                <w:szCs w:val="22"/>
              </w:rPr>
              <w:t>adolescents</w:t>
            </w:r>
            <w:r w:rsidRPr="00A72949">
              <w:rPr>
                <w:szCs w:val="22"/>
              </w:rPr>
              <w:t xml:space="preserve"> 12 years of age or older</w:t>
            </w:r>
            <w:r w:rsidR="00D027C2" w:rsidRPr="00A72949">
              <w:rPr>
                <w:szCs w:val="22"/>
              </w:rPr>
              <w:t xml:space="preserve"> weighing 45kg or more</w:t>
            </w:r>
          </w:p>
        </w:tc>
      </w:tr>
      <w:tr w:rsidR="009A08A0" w:rsidRPr="00A72949" w14:paraId="43FFD69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048AD76" w14:textId="7B4D4BE4" w:rsidR="009A08A0" w:rsidRPr="00A72949" w:rsidRDefault="009A08A0" w:rsidP="00324B33">
            <w:pPr>
              <w:rPr>
                <w:szCs w:val="22"/>
              </w:rPr>
            </w:pPr>
            <w:r w:rsidRPr="00A72949">
              <w:rPr>
                <w:szCs w:val="22"/>
              </w:rPr>
              <w:t>MHRA</w:t>
            </w:r>
          </w:p>
        </w:tc>
        <w:tc>
          <w:tcPr>
            <w:tcW w:w="1018" w:type="pct"/>
          </w:tcPr>
          <w:p w14:paraId="6F334DEC" w14:textId="694E99C9" w:rsidR="009A08A0" w:rsidRPr="00A72949" w:rsidRDefault="009A08A0" w:rsidP="00324B33">
            <w:pPr>
              <w:cnfStyle w:val="000000000000" w:firstRow="0" w:lastRow="0" w:firstColumn="0" w:lastColumn="0" w:oddVBand="0" w:evenVBand="0" w:oddHBand="0" w:evenHBand="0" w:firstRowFirstColumn="0" w:firstRowLastColumn="0" w:lastRowFirstColumn="0" w:lastRowLastColumn="0"/>
              <w:rPr>
                <w:szCs w:val="22"/>
              </w:rPr>
            </w:pPr>
            <w:r w:rsidRPr="00A72949">
              <w:rPr>
                <w:szCs w:val="22"/>
              </w:rPr>
              <w:t>Approved</w:t>
            </w:r>
          </w:p>
        </w:tc>
        <w:tc>
          <w:tcPr>
            <w:tcW w:w="1173" w:type="pct"/>
          </w:tcPr>
          <w:p w14:paraId="1E415092" w14:textId="00945052" w:rsidR="009A08A0" w:rsidRPr="00A72949" w:rsidRDefault="009A08A0" w:rsidP="00324B33">
            <w:pPr>
              <w:cnfStyle w:val="000000000000" w:firstRow="0" w:lastRow="0" w:firstColumn="0" w:lastColumn="0" w:oddVBand="0" w:evenVBand="0" w:oddHBand="0" w:evenHBand="0" w:firstRowFirstColumn="0" w:firstRowLastColumn="0" w:lastRowFirstColumn="0" w:lastRowLastColumn="0"/>
              <w:rPr>
                <w:szCs w:val="22"/>
              </w:rPr>
            </w:pPr>
            <w:r w:rsidRPr="00A72949">
              <w:rPr>
                <w:szCs w:val="22"/>
              </w:rPr>
              <w:t>25 September 2024</w:t>
            </w:r>
          </w:p>
        </w:tc>
        <w:tc>
          <w:tcPr>
            <w:tcW w:w="1795" w:type="pct"/>
          </w:tcPr>
          <w:p w14:paraId="4ABCB1DA" w14:textId="78AB1F24" w:rsidR="009A08A0" w:rsidRPr="00A72949" w:rsidRDefault="00017CE5" w:rsidP="00A72949">
            <w:pPr>
              <w:pStyle w:val="NormalWeb"/>
              <w:ind w:left="24"/>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Pr>
                <w:rFonts w:ascii="Cambria" w:hAnsi="Cambria"/>
                <w:sz w:val="22"/>
                <w:szCs w:val="22"/>
              </w:rPr>
              <w:t>JOENJA</w:t>
            </w:r>
            <w:r w:rsidR="009A08A0" w:rsidRPr="00A72949">
              <w:rPr>
                <w:rFonts w:ascii="Cambria" w:hAnsi="Cambria"/>
                <w:sz w:val="22"/>
                <w:szCs w:val="22"/>
              </w:rPr>
              <w:t xml:space="preserve"> is indicated for the treatment of activated phosphoinositide 3-kinase delta (P13Kδ) syndrome (APDS) in adult and paediatric patients 12 years of age and older. </w:t>
            </w:r>
          </w:p>
        </w:tc>
      </w:tr>
    </w:tbl>
    <w:p w14:paraId="6D92589C" w14:textId="09786CEF" w:rsidR="00324B33" w:rsidRDefault="00324B33" w:rsidP="001E2E7E">
      <w:pPr>
        <w:pStyle w:val="Heading4"/>
      </w:pPr>
      <w:bookmarkStart w:id="16" w:name="_Toc504480011"/>
      <w:bookmarkStart w:id="17" w:name="_Toc103679293"/>
      <w:bookmarkStart w:id="18" w:name="_Toc203144786"/>
      <w:r>
        <w:t>Registration timeline</w:t>
      </w:r>
      <w:bookmarkEnd w:id="16"/>
      <w:bookmarkEnd w:id="17"/>
      <w:bookmarkEnd w:id="18"/>
    </w:p>
    <w:p w14:paraId="225E3D87" w14:textId="2B7C2B08" w:rsidR="00324B33" w:rsidRPr="00BD5DBD" w:rsidRDefault="00BB25A3" w:rsidP="00324B33">
      <w:pPr>
        <w:rPr>
          <w:szCs w:val="22"/>
        </w:rPr>
      </w:pPr>
      <w:r>
        <w:rPr>
          <w:szCs w:val="22"/>
        </w:rPr>
        <w:t>T</w:t>
      </w:r>
      <w:r w:rsidR="00324B33" w:rsidRPr="00BD5DBD">
        <w:rPr>
          <w:szCs w:val="22"/>
        </w:rPr>
        <w:t>able</w:t>
      </w:r>
      <w:r>
        <w:rPr>
          <w:szCs w:val="22"/>
        </w:rPr>
        <w:t xml:space="preserve"> </w:t>
      </w:r>
      <w:r w:rsidR="005818C9">
        <w:rPr>
          <w:szCs w:val="22"/>
        </w:rPr>
        <w:t>2</w:t>
      </w:r>
      <w:r w:rsidR="00324B33" w:rsidRPr="00BD5DBD">
        <w:rPr>
          <w:szCs w:val="22"/>
        </w:rPr>
        <w:t xml:space="preserve"> captures the key steps and dates for this submission.</w:t>
      </w:r>
    </w:p>
    <w:p w14:paraId="5B779104" w14:textId="502C198B" w:rsidR="0017005C" w:rsidRDefault="00477C4E" w:rsidP="0017005C">
      <w:r w:rsidRPr="00BD5DBD">
        <w:rPr>
          <w:szCs w:val="22"/>
        </w:rPr>
        <w:t>This submission was evaluated under the</w:t>
      </w:r>
      <w:r w:rsidR="00535DFE" w:rsidRPr="00BD5DBD">
        <w:rPr>
          <w:szCs w:val="22"/>
        </w:rPr>
        <w:t xml:space="preserve"> </w:t>
      </w:r>
      <w:hyperlink r:id="rId22" w:anchor="process" w:history="1">
        <w:r w:rsidR="00535DFE" w:rsidRPr="00BD5DBD">
          <w:rPr>
            <w:rStyle w:val="Hyperlink"/>
            <w:szCs w:val="22"/>
          </w:rPr>
          <w:t>priority registration process</w:t>
        </w:r>
      </w:hyperlink>
      <w:r w:rsidR="005818C9">
        <w:rPr>
          <w:szCs w:val="22"/>
        </w:rPr>
        <w:t xml:space="preserve"> and the </w:t>
      </w:r>
      <w:r w:rsidR="00804897">
        <w:rPr>
          <w:szCs w:val="22"/>
        </w:rPr>
        <w:t>active ingredient with its proposed indication was given</w:t>
      </w:r>
      <w:r w:rsidR="00804897" w:rsidRPr="00804897">
        <w:t xml:space="preserve"> </w:t>
      </w:r>
      <w:hyperlink r:id="rId23" w:history="1">
        <w:r w:rsidR="00804897">
          <w:rPr>
            <w:rStyle w:val="Hyperlink"/>
          </w:rPr>
          <w:t>orphan drug designation</w:t>
        </w:r>
      </w:hyperlink>
      <w:r w:rsidR="00804897">
        <w:t>.</w:t>
      </w:r>
    </w:p>
    <w:p w14:paraId="5263E729" w14:textId="4BAA41C8" w:rsidR="005B02A2" w:rsidRPr="003C1192" w:rsidRDefault="00324B33" w:rsidP="005818C9">
      <w:pPr>
        <w:pStyle w:val="TableTitle"/>
        <w:rPr>
          <w:iCs/>
        </w:rPr>
      </w:pPr>
      <w:r w:rsidRPr="002C1232">
        <w:t xml:space="preserve">Table </w:t>
      </w:r>
      <w:r w:rsidR="008B1CB5">
        <w:fldChar w:fldCharType="begin"/>
      </w:r>
      <w:r w:rsidR="008B1CB5">
        <w:instrText xml:space="preserve"> SEQ Table \* ARABIC </w:instrText>
      </w:r>
      <w:r w:rsidR="008B1CB5">
        <w:fldChar w:fldCharType="separate"/>
      </w:r>
      <w:r w:rsidR="00D56544">
        <w:rPr>
          <w:noProof/>
        </w:rPr>
        <w:t>2</w:t>
      </w:r>
      <w:r w:rsidR="008B1CB5">
        <w:fldChar w:fldCharType="end"/>
      </w:r>
      <w:r w:rsidR="00202C75">
        <w:t>.</w:t>
      </w:r>
      <w:r w:rsidRPr="002C1232">
        <w:t xml:space="preserve"> </w:t>
      </w:r>
      <w:r w:rsidR="001A716C" w:rsidRPr="001A716C">
        <w:t>Registration timeline for</w:t>
      </w:r>
      <w:r w:rsidR="001A716C">
        <w:t xml:space="preserve"> </w:t>
      </w:r>
      <w:r w:rsidR="005818C9">
        <w:t>JOENJA</w:t>
      </w:r>
      <w:r w:rsidR="001A716C">
        <w:t xml:space="preserve"> </w:t>
      </w:r>
      <w:r w:rsidR="001A716C" w:rsidRPr="001A716C">
        <w:t>(</w:t>
      </w:r>
      <w:r w:rsidR="005818C9" w:rsidRPr="005818C9">
        <w:t>leniolisib</w:t>
      </w:r>
      <w:r w:rsidR="001A716C" w:rsidRPr="001A716C">
        <w:t>), submission PM-</w:t>
      </w:r>
      <w:r w:rsidR="005818C9" w:rsidRPr="005818C9">
        <w:t>2023-03256-1-2</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D56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82CD3" w:rsidRPr="00D01DDB" w14:paraId="254C22FA"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29D1276E" w14:textId="33697863" w:rsidR="00382CD3" w:rsidRPr="00E679D1" w:rsidRDefault="00382CD3" w:rsidP="00382CD3">
            <w:pPr>
              <w:ind w:left="71"/>
            </w:pPr>
            <w:r w:rsidRPr="00E679D1">
              <w:t>Priority determination</w:t>
            </w:r>
          </w:p>
        </w:tc>
        <w:tc>
          <w:tcPr>
            <w:tcW w:w="2268" w:type="dxa"/>
          </w:tcPr>
          <w:p w14:paraId="57E2726A" w14:textId="58C25A69" w:rsidR="00382CD3" w:rsidRDefault="00382CD3" w:rsidP="00382CD3">
            <w:pPr>
              <w:cnfStyle w:val="000000000000" w:firstRow="0" w:lastRow="0" w:firstColumn="0" w:lastColumn="0" w:oddVBand="0" w:evenVBand="0" w:oddHBand="0" w:evenHBand="0" w:firstRowFirstColumn="0" w:firstRowLastColumn="0" w:lastRowFirstColumn="0" w:lastRowLastColumn="0"/>
              <w:rPr>
                <w:szCs w:val="22"/>
              </w:rPr>
            </w:pPr>
            <w:r w:rsidRPr="00382CD3">
              <w:rPr>
                <w:szCs w:val="22"/>
              </w:rPr>
              <w:t>31 May 2023</w:t>
            </w:r>
          </w:p>
        </w:tc>
      </w:tr>
      <w:tr w:rsidR="00347EBD" w:rsidRPr="00D01DDB" w14:paraId="389E6261"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070BEAF4" w14:textId="68CFC517" w:rsidR="00347EBD" w:rsidRPr="00E679D1" w:rsidRDefault="00347EBD" w:rsidP="00382CD3">
            <w:pPr>
              <w:ind w:left="71"/>
            </w:pPr>
            <w:r>
              <w:t>Orphan designation</w:t>
            </w:r>
          </w:p>
        </w:tc>
        <w:tc>
          <w:tcPr>
            <w:tcW w:w="2268" w:type="dxa"/>
          </w:tcPr>
          <w:p w14:paraId="6F415673" w14:textId="5B1B53F5" w:rsidR="00347EBD" w:rsidRDefault="00347EBD" w:rsidP="00382CD3">
            <w:pPr>
              <w:cnfStyle w:val="000000000000" w:firstRow="0" w:lastRow="0" w:firstColumn="0" w:lastColumn="0" w:oddVBand="0" w:evenVBand="0" w:oddHBand="0" w:evenHBand="0" w:firstRowFirstColumn="0" w:firstRowLastColumn="0" w:lastRowFirstColumn="0" w:lastRowLastColumn="0"/>
              <w:rPr>
                <w:szCs w:val="22"/>
              </w:rPr>
            </w:pPr>
            <w:r w:rsidRPr="00347EBD">
              <w:rPr>
                <w:szCs w:val="22"/>
              </w:rPr>
              <w:t>31 May 2023</w:t>
            </w:r>
          </w:p>
        </w:tc>
      </w:tr>
      <w:tr w:rsidR="00382CD3" w:rsidRPr="00D01DDB" w14:paraId="23610C53"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759D2A12" w14:textId="4F4E722F" w:rsidR="00382CD3" w:rsidRPr="00E679D1" w:rsidRDefault="00382CD3" w:rsidP="00382CD3">
            <w:pPr>
              <w:ind w:left="71"/>
            </w:pPr>
            <w:r w:rsidRPr="00E679D1">
              <w:t>Submission dossier accepted and evaluation commenced</w:t>
            </w:r>
          </w:p>
        </w:tc>
        <w:tc>
          <w:tcPr>
            <w:tcW w:w="2268" w:type="dxa"/>
          </w:tcPr>
          <w:p w14:paraId="2963D9D8" w14:textId="6437D782" w:rsidR="00382CD3" w:rsidRPr="00D01DDB" w:rsidRDefault="00382CD3" w:rsidP="00382CD3">
            <w:pPr>
              <w:cnfStyle w:val="000000000000" w:firstRow="0" w:lastRow="0" w:firstColumn="0" w:lastColumn="0" w:oddVBand="0" w:evenVBand="0" w:oddHBand="0" w:evenHBand="0" w:firstRowFirstColumn="0" w:firstRowLastColumn="0" w:lastRowFirstColumn="0" w:lastRowLastColumn="0"/>
              <w:rPr>
                <w:szCs w:val="22"/>
              </w:rPr>
            </w:pPr>
            <w:r>
              <w:rPr>
                <w:szCs w:val="22"/>
              </w:rPr>
              <w:t>31 August 2023</w:t>
            </w:r>
          </w:p>
        </w:tc>
      </w:tr>
      <w:tr w:rsidR="00382CD3" w:rsidRPr="00D01DDB" w14:paraId="16D13F79"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6858B45A" w14:textId="4A6E19A0" w:rsidR="00382CD3" w:rsidRPr="00E679D1" w:rsidDel="00C62B1C" w:rsidRDefault="00382CD3" w:rsidP="00382CD3">
            <w:pPr>
              <w:ind w:left="71"/>
            </w:pPr>
            <w:r>
              <w:t>Evaluation completed</w:t>
            </w:r>
          </w:p>
        </w:tc>
        <w:tc>
          <w:tcPr>
            <w:tcW w:w="2268" w:type="dxa"/>
          </w:tcPr>
          <w:p w14:paraId="2E0BD403" w14:textId="4518D708" w:rsidR="00382CD3" w:rsidRPr="00D01DDB" w:rsidRDefault="00382CD3" w:rsidP="00382CD3">
            <w:pPr>
              <w:cnfStyle w:val="000000000000" w:firstRow="0" w:lastRow="0" w:firstColumn="0" w:lastColumn="0" w:oddVBand="0" w:evenVBand="0" w:oddHBand="0" w:evenHBand="0" w:firstRowFirstColumn="0" w:firstRowLastColumn="0" w:lastRowFirstColumn="0" w:lastRowLastColumn="0"/>
              <w:rPr>
                <w:szCs w:val="22"/>
              </w:rPr>
            </w:pPr>
            <w:r>
              <w:rPr>
                <w:szCs w:val="22"/>
              </w:rPr>
              <w:t>2 February 2024</w:t>
            </w:r>
          </w:p>
        </w:tc>
      </w:tr>
      <w:tr w:rsidR="00382CD3" w:rsidRPr="00D01DDB" w14:paraId="5754F7AC"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789DE187" w14:textId="5F489E13" w:rsidR="00382CD3" w:rsidRPr="00E679D1" w:rsidRDefault="00382CD3" w:rsidP="00382CD3">
            <w:pPr>
              <w:ind w:left="71"/>
            </w:pPr>
            <w:r w:rsidRPr="00E679D1">
              <w:t xml:space="preserve">Advisory </w:t>
            </w:r>
            <w:r>
              <w:t>c</w:t>
            </w:r>
            <w:r w:rsidRPr="00E679D1">
              <w:t>ommittee meeting</w:t>
            </w:r>
          </w:p>
        </w:tc>
        <w:tc>
          <w:tcPr>
            <w:tcW w:w="2268" w:type="dxa"/>
          </w:tcPr>
          <w:p w14:paraId="5BE1EDE7" w14:textId="27D7487F" w:rsidR="00382CD3" w:rsidRPr="00D01DDB" w:rsidRDefault="00367C0E" w:rsidP="00382CD3">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2025</w:t>
            </w:r>
          </w:p>
        </w:tc>
      </w:tr>
      <w:tr w:rsidR="00382CD3" w:rsidRPr="00D01DDB" w14:paraId="6E5D32FE"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4E95C44C" w14:textId="2B3B19C9" w:rsidR="00382CD3" w:rsidRPr="00E679D1" w:rsidRDefault="00382CD3" w:rsidP="00382CD3">
            <w:pPr>
              <w:ind w:left="71"/>
            </w:pPr>
            <w:r w:rsidRPr="00E679D1">
              <w:t>Registration decision (</w:t>
            </w:r>
            <w:r w:rsidR="00367C0E">
              <w:t>Approved</w:t>
            </w:r>
            <w:r w:rsidRPr="00E679D1">
              <w:t>)</w:t>
            </w:r>
          </w:p>
        </w:tc>
        <w:tc>
          <w:tcPr>
            <w:tcW w:w="2268" w:type="dxa"/>
          </w:tcPr>
          <w:p w14:paraId="62987ABD" w14:textId="3D66E350" w:rsidR="00382CD3" w:rsidRPr="00D01DDB" w:rsidRDefault="00367C0E" w:rsidP="00382CD3">
            <w:pPr>
              <w:cnfStyle w:val="000000000000" w:firstRow="0" w:lastRow="0" w:firstColumn="0" w:lastColumn="0" w:oddVBand="0" w:evenVBand="0" w:oddHBand="0" w:evenHBand="0" w:firstRowFirstColumn="0" w:firstRowLastColumn="0" w:lastRowFirstColumn="0" w:lastRowLastColumn="0"/>
              <w:rPr>
                <w:szCs w:val="22"/>
              </w:rPr>
            </w:pPr>
            <w:r w:rsidRPr="00367C0E">
              <w:rPr>
                <w:szCs w:val="22"/>
              </w:rPr>
              <w:t>13 March 2025</w:t>
            </w:r>
          </w:p>
        </w:tc>
      </w:tr>
      <w:tr w:rsidR="00382CD3" w:rsidRPr="00D01DDB" w14:paraId="6DDCDDA4"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192FD19D" w14:textId="336B85B1" w:rsidR="00382CD3" w:rsidRPr="00E679D1" w:rsidRDefault="00382CD3" w:rsidP="00382CD3">
            <w:pPr>
              <w:ind w:left="71"/>
            </w:pPr>
            <w:r>
              <w:t>R</w:t>
            </w:r>
            <w:r w:rsidRPr="00E679D1">
              <w:t>egistration in the ARTG completed</w:t>
            </w:r>
          </w:p>
        </w:tc>
        <w:tc>
          <w:tcPr>
            <w:tcW w:w="2268" w:type="dxa"/>
          </w:tcPr>
          <w:p w14:paraId="5A8923FD" w14:textId="2D647845" w:rsidR="00382CD3" w:rsidRPr="00D01DDB" w:rsidRDefault="00367C0E" w:rsidP="00367C0E">
            <w:pPr>
              <w:ind w:left="67"/>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w:t>
            </w:r>
            <w:r w:rsidRPr="00367C0E">
              <w:rPr>
                <w:szCs w:val="22"/>
              </w:rPr>
              <w:t>18 March 2025</w:t>
            </w:r>
          </w:p>
        </w:tc>
      </w:tr>
      <w:tr w:rsidR="00382CD3" w:rsidRPr="00D01DDB" w14:paraId="56D922E2" w14:textId="77777777" w:rsidTr="00D56544">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82CD3" w:rsidRPr="00E679D1" w:rsidRDefault="00382CD3" w:rsidP="00382CD3">
            <w:pPr>
              <w:ind w:left="71"/>
            </w:pPr>
            <w:r w:rsidRPr="00E679D1">
              <w:t>Number of working days from submission dossier acceptance to registration decision*</w:t>
            </w:r>
          </w:p>
        </w:tc>
        <w:tc>
          <w:tcPr>
            <w:tcW w:w="2268" w:type="dxa"/>
          </w:tcPr>
          <w:p w14:paraId="5BAF9FA1" w14:textId="1486E267" w:rsidR="00382CD3" w:rsidRPr="00D01DDB" w:rsidRDefault="00CD09F5" w:rsidP="00382CD3">
            <w:pPr>
              <w:cnfStyle w:val="000000000000" w:firstRow="0" w:lastRow="0" w:firstColumn="0" w:lastColumn="0" w:oddVBand="0" w:evenVBand="0" w:oddHBand="0" w:evenHBand="0" w:firstRowFirstColumn="0" w:firstRowLastColumn="0" w:lastRowFirstColumn="0" w:lastRowLastColumn="0"/>
              <w:rPr>
                <w:szCs w:val="22"/>
              </w:rPr>
            </w:pPr>
            <w:r w:rsidRPr="00CD09F5">
              <w:rPr>
                <w:szCs w:val="22"/>
              </w:rPr>
              <w:t>393 days</w:t>
            </w:r>
          </w:p>
        </w:tc>
      </w:tr>
    </w:tbl>
    <w:p w14:paraId="4909D74A" w14:textId="71D76268" w:rsidR="00C22214" w:rsidRDefault="00C22214" w:rsidP="00854D98">
      <w:pPr>
        <w:pStyle w:val="TableDescription"/>
      </w:pPr>
      <w:r>
        <w:t>*Target timeframe for priority submissions is 150 working days from acceptance for evaluation to the decision.</w:t>
      </w:r>
    </w:p>
    <w:p w14:paraId="220925F1" w14:textId="46787B76" w:rsidR="00C22214" w:rsidRPr="00792A32" w:rsidRDefault="00083763" w:rsidP="00C22214">
      <w:pPr>
        <w:pStyle w:val="Heading2"/>
      </w:pPr>
      <w:bookmarkStart w:id="19" w:name="_Toc203144787"/>
      <w:bookmarkStart w:id="20" w:name="_Toc196046504"/>
      <w:bookmarkStart w:id="21" w:name="_Toc247691527"/>
      <w:bookmarkStart w:id="22" w:name="_Toc314842510"/>
      <w:bookmarkStart w:id="23" w:name="_Toc103679294"/>
      <w:r>
        <w:t xml:space="preserve">Assessment </w:t>
      </w:r>
      <w:r w:rsidR="00C22214" w:rsidRPr="00006FAB">
        <w:t>overview</w:t>
      </w:r>
      <w:bookmarkEnd w:id="19"/>
      <w:r w:rsidR="00C22214" w:rsidRPr="00006FAB">
        <w:t xml:space="preserve"> </w:t>
      </w:r>
      <w:bookmarkEnd w:id="20"/>
      <w:bookmarkEnd w:id="21"/>
      <w:bookmarkEnd w:id="22"/>
      <w:bookmarkEnd w:id="23"/>
    </w:p>
    <w:p w14:paraId="37F5A1C0" w14:textId="24C35B4E" w:rsidR="00C22214" w:rsidRDefault="00095C6A" w:rsidP="00C22214">
      <w:pPr>
        <w:pStyle w:val="Heading3"/>
      </w:pPr>
      <w:bookmarkStart w:id="24" w:name="_Toc247691528"/>
      <w:bookmarkStart w:id="25" w:name="_Toc314842511"/>
      <w:bookmarkStart w:id="26" w:name="_Toc103679295"/>
      <w:bookmarkStart w:id="27" w:name="_Toc203144788"/>
      <w:r>
        <w:t>Q</w:t>
      </w:r>
      <w:r w:rsidR="00C22214">
        <w:t>uality</w:t>
      </w:r>
      <w:bookmarkEnd w:id="24"/>
      <w:bookmarkEnd w:id="25"/>
      <w:bookmarkEnd w:id="26"/>
      <w:r w:rsidR="007E6443">
        <w:t xml:space="preserve"> evaluation</w:t>
      </w:r>
      <w:r>
        <w:t xml:space="preserve"> summary</w:t>
      </w:r>
      <w:bookmarkEnd w:id="27"/>
    </w:p>
    <w:p w14:paraId="03D303C1" w14:textId="0E057218" w:rsidR="003D5FD2" w:rsidRPr="003D5FD2" w:rsidRDefault="003D5FD2" w:rsidP="003D5FD2">
      <w:r w:rsidRPr="003D5FD2">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r w:rsidR="00631A1A">
        <w:t>.</w:t>
      </w:r>
    </w:p>
    <w:p w14:paraId="2BE90AAE" w14:textId="35796FD3" w:rsidR="00C22214" w:rsidRDefault="00C22214" w:rsidP="00C22214">
      <w:pPr>
        <w:pStyle w:val="Heading3"/>
      </w:pPr>
      <w:bookmarkStart w:id="28" w:name="_Toc314842512"/>
      <w:bookmarkStart w:id="29" w:name="_Toc103679296"/>
      <w:bookmarkStart w:id="30" w:name="_Toc203144789"/>
      <w:r>
        <w:lastRenderedPageBreak/>
        <w:t>Nonclinical</w:t>
      </w:r>
      <w:bookmarkEnd w:id="28"/>
      <w:bookmarkEnd w:id="29"/>
      <w:r w:rsidR="007E6443">
        <w:t xml:space="preserve"> evaluation</w:t>
      </w:r>
      <w:r w:rsidR="00095C6A">
        <w:t xml:space="preserve"> summary</w:t>
      </w:r>
      <w:bookmarkEnd w:id="30"/>
    </w:p>
    <w:p w14:paraId="0BF8816F" w14:textId="1E1CDD42" w:rsidR="003B774B" w:rsidRDefault="003B774B" w:rsidP="003B774B">
      <w:r>
        <w:t>The non-clinical evaluator</w:t>
      </w:r>
      <w:r w:rsidR="00155AB2">
        <w:rPr>
          <w:rStyle w:val="FootnoteReference"/>
        </w:rPr>
        <w:footnoteReference w:id="4"/>
      </w:r>
      <w:r>
        <w:t xml:space="preserve"> has not objected to approval of leniolisib. </w:t>
      </w:r>
    </w:p>
    <w:p w14:paraId="578A3C17" w14:textId="1EBF86BE" w:rsidR="003B774B" w:rsidRDefault="003B774B" w:rsidP="003B774B">
      <w:r>
        <w:t>The in vitro and in vivo pharmacology data provided a mechanism of action of using leniolisib for the treatment of APDS.</w:t>
      </w:r>
    </w:p>
    <w:p w14:paraId="6D30241B" w14:textId="77777777" w:rsidR="003B774B" w:rsidRDefault="003B774B" w:rsidP="003B774B">
      <w:r>
        <w:t>Secondary pharmacology studies suggest that insulin insensitivity/resistance may occur in patients at the proposed clinical dose of leniolisib.</w:t>
      </w:r>
    </w:p>
    <w:p w14:paraId="6AE61345" w14:textId="77777777" w:rsidR="003B774B" w:rsidRDefault="003B774B" w:rsidP="003B774B">
      <w:r>
        <w:t>In vitro studies predicted:</w:t>
      </w:r>
    </w:p>
    <w:p w14:paraId="177E3AD3" w14:textId="34A0F639" w:rsidR="003B774B" w:rsidRDefault="003B774B" w:rsidP="003B774B">
      <w:pPr>
        <w:pStyle w:val="ListBullet"/>
      </w:pPr>
      <w:r>
        <w:t>inhibitors and inducers of CYP3A4 may alter the systemic exposure to leniolisib</w:t>
      </w:r>
    </w:p>
    <w:p w14:paraId="60A374C3" w14:textId="1E12C253" w:rsidR="003B774B" w:rsidRDefault="003B774B" w:rsidP="003B774B">
      <w:pPr>
        <w:pStyle w:val="ListBullet"/>
      </w:pPr>
      <w:r>
        <w:t>leniolisib may increase the exposure of co-administered drugs that are substrates of CYP1A2, UGT1A1, BCRP, OATP1B1, OATP1B3, OCT2, MATE1 or MATE2-K</w:t>
      </w:r>
    </w:p>
    <w:p w14:paraId="79C33AF2" w14:textId="77777777" w:rsidR="003B774B" w:rsidRDefault="003B774B" w:rsidP="003B774B">
      <w:r>
        <w:t>Notable target organs/systems for toxicity are:</w:t>
      </w:r>
    </w:p>
    <w:p w14:paraId="51B95B83" w14:textId="5934A6BD" w:rsidR="003B774B" w:rsidRDefault="003B774B" w:rsidP="003B774B">
      <w:pPr>
        <w:pStyle w:val="ListBullet"/>
      </w:pPr>
      <w:r>
        <w:t>Lymphoid organs (lymphoid depletion in the thymus, spleen, lymph nodes and GALT and opportunistic infections)</w:t>
      </w:r>
    </w:p>
    <w:p w14:paraId="4EF88555" w14:textId="53ED758E" w:rsidR="003B774B" w:rsidRDefault="003B774B" w:rsidP="003B774B">
      <w:pPr>
        <w:pStyle w:val="ListBullet"/>
      </w:pPr>
      <w:r>
        <w:t>Heart (QTc prolongation)</w:t>
      </w:r>
    </w:p>
    <w:p w14:paraId="2F1FF86E" w14:textId="57C39AB5" w:rsidR="003B774B" w:rsidRDefault="003B774B" w:rsidP="003B774B">
      <w:pPr>
        <w:pStyle w:val="ListBullet"/>
      </w:pPr>
      <w:r>
        <w:t>GIT (inflammation)</w:t>
      </w:r>
    </w:p>
    <w:p w14:paraId="788A52AC" w14:textId="0612EE98" w:rsidR="003B774B" w:rsidRDefault="003B774B" w:rsidP="003B774B">
      <w:pPr>
        <w:pStyle w:val="ListBullet"/>
      </w:pPr>
      <w:r>
        <w:t>Male reproductive organs (decreased tubular germinal epithelium and hypospermatogenesis)</w:t>
      </w:r>
    </w:p>
    <w:p w14:paraId="48B71F47" w14:textId="58CB153F" w:rsidR="003B774B" w:rsidRDefault="009844A5" w:rsidP="003B774B">
      <w:r>
        <w:t>leniolisib</w:t>
      </w:r>
      <w:r w:rsidR="003B774B">
        <w:t xml:space="preserve"> is not genotoxic. </w:t>
      </w:r>
      <w:r>
        <w:t>leniolisib</w:t>
      </w:r>
      <w:r w:rsidR="003B774B">
        <w:t xml:space="preserve"> was not carcinogenic in transgenic mice in a 26- week study that was considered deficient. Therefore, conclusions on the carcinogenic potential of leniolisib cannot be made. However, it is noted that a long-term carcinogenicity study in rats is currently underway. This study should be submitted to the TGA for evaluation upon completion.</w:t>
      </w:r>
    </w:p>
    <w:p w14:paraId="5A27F58C" w14:textId="7D8102DE" w:rsidR="003B774B" w:rsidRDefault="003B774B" w:rsidP="003B774B">
      <w:r>
        <w:t>Delayed sexual maturation in males, early vaginal opening in females and reduced femur length were observed in juvenile rats. The effects on sexual maturation could be secondary to changes in sex hormones given the opposite effects on male and female sex maturation.</w:t>
      </w:r>
    </w:p>
    <w:p w14:paraId="5CCF18A2" w14:textId="77777777" w:rsidR="00376E2D" w:rsidRDefault="003B774B" w:rsidP="00376E2D">
      <w:r>
        <w:t>The nonclinical studies (malformations in rats and rabbits) and pharmacological activities of leniolisib predicted embryofetal toxicity if administered to pregnant patients at the proposed clinical dose. A pregnancy category D is recommended.</w:t>
      </w:r>
      <w:bookmarkStart w:id="31" w:name="_Toc247691530"/>
      <w:bookmarkStart w:id="32" w:name="_Toc314842513"/>
      <w:bookmarkStart w:id="33" w:name="_Toc103679297"/>
    </w:p>
    <w:p w14:paraId="35B580A5" w14:textId="2E891A9F" w:rsidR="00C22214" w:rsidRDefault="00C22214" w:rsidP="00376E2D">
      <w:pPr>
        <w:pStyle w:val="Heading3"/>
      </w:pPr>
      <w:bookmarkStart w:id="34" w:name="_Toc203144790"/>
      <w:r>
        <w:t>Clinical</w:t>
      </w:r>
      <w:bookmarkEnd w:id="31"/>
      <w:bookmarkEnd w:id="32"/>
      <w:bookmarkEnd w:id="33"/>
      <w:r w:rsidR="00095C6A">
        <w:t xml:space="preserve"> evaluation summary</w:t>
      </w:r>
      <w:bookmarkEnd w:id="34"/>
    </w:p>
    <w:p w14:paraId="317CA1CC" w14:textId="77777777" w:rsidR="00A43A42" w:rsidRDefault="00A43A42" w:rsidP="00A43A42">
      <w:pPr>
        <w:pStyle w:val="Heading4"/>
      </w:pPr>
      <w:bookmarkStart w:id="35" w:name="_Toc203144791"/>
      <w:r>
        <w:t>Pharmacology</w:t>
      </w:r>
      <w:bookmarkEnd w:id="35"/>
    </w:p>
    <w:p w14:paraId="1FDFE30A" w14:textId="5332984E" w:rsidR="00A43A42" w:rsidRDefault="00A43A42" w:rsidP="00A43A42">
      <w:pPr>
        <w:pStyle w:val="Heading5"/>
      </w:pPr>
      <w:r>
        <w:t>Pharmacokinetics</w:t>
      </w:r>
    </w:p>
    <w:p w14:paraId="53DD5698" w14:textId="4E60694F" w:rsidR="00014D51" w:rsidRDefault="00D943F2" w:rsidP="00014D51">
      <w:r>
        <w:t>L</w:t>
      </w:r>
      <w:r w:rsidR="009844A5">
        <w:t>eniolisib</w:t>
      </w:r>
      <w:r w:rsidR="00014D51">
        <w:t xml:space="preserve"> is rapidly absorbed. While no bioavailability study was performed, in vitro data and mass-balance studies support complete absorption of oral doses in fasted patients. There is a reduction in </w:t>
      </w:r>
      <w:r w:rsidR="009844A5">
        <w:t>leniolisib</w:t>
      </w:r>
      <w:r w:rsidR="00014D51">
        <w:t xml:space="preserve"> C</w:t>
      </w:r>
      <w:r w:rsidR="00014D51" w:rsidRPr="00156ED4">
        <w:rPr>
          <w:vertAlign w:val="subscript"/>
        </w:rPr>
        <w:t>max</w:t>
      </w:r>
      <w:r w:rsidR="00014D51">
        <w:t xml:space="preserve"> when administered with food, but no change in AUC. Absorption is reduced by increased pH, but a dedicated study in patients taking gastric acid inhibitors has not been conducted.</w:t>
      </w:r>
    </w:p>
    <w:p w14:paraId="6D4FF370" w14:textId="2C345803" w:rsidR="00014D51" w:rsidRDefault="00D943F2" w:rsidP="00014D51">
      <w:r>
        <w:lastRenderedPageBreak/>
        <w:t>L</w:t>
      </w:r>
      <w:r w:rsidR="009844A5">
        <w:t>eniolisib</w:t>
      </w:r>
      <w:r w:rsidR="00014D51">
        <w:t xml:space="preserve"> is highly bound to plasma proteins in circulation (94.5%) with a volume of distribution in people with APDS of 28.5L. Inter-individual variability in AUC in APDS patients range from 21.7-38.6% for C</w:t>
      </w:r>
      <w:r w:rsidR="00014D51" w:rsidRPr="00156ED4">
        <w:rPr>
          <w:vertAlign w:val="subscript"/>
        </w:rPr>
        <w:t>max</w:t>
      </w:r>
      <w:r w:rsidR="00014D51">
        <w:t xml:space="preserve"> and 18.4-35.3% for AUC across the dosage range 10mg-70mg.</w:t>
      </w:r>
    </w:p>
    <w:p w14:paraId="2F3AF0F2" w14:textId="41FC38C1" w:rsidR="00014D51" w:rsidRDefault="00014D51" w:rsidP="00014D51">
      <w:r>
        <w:t xml:space="preserve">The main form of </w:t>
      </w:r>
      <w:r w:rsidR="009844A5">
        <w:t>leniolisib</w:t>
      </w:r>
      <w:r>
        <w:t xml:space="preserve"> in circulation is unchanged drug (93-96%). Metabolism of </w:t>
      </w:r>
      <w:r w:rsidR="009844A5">
        <w:t>leniolisib</w:t>
      </w:r>
      <w:r>
        <w:t xml:space="preserve"> occurs in the liver, driven primarily by CYP3A4 (95.4%). Excretion at 168 hours post- dose was primarily faecal (67%) for oxidised </w:t>
      </w:r>
      <w:r w:rsidR="009844A5">
        <w:t>leniolisib</w:t>
      </w:r>
      <w:r>
        <w:t>, with 25% excreted in urine primarily as unchanged drug.</w:t>
      </w:r>
    </w:p>
    <w:p w14:paraId="6D7845C9" w14:textId="3EFDD356" w:rsidR="00014D51" w:rsidRDefault="00014D51" w:rsidP="00014D51">
      <w:r>
        <w:t xml:space="preserve">In the </w:t>
      </w:r>
      <w:r w:rsidR="00993095">
        <w:t>p</w:t>
      </w:r>
      <w:r>
        <w:t>op</w:t>
      </w:r>
      <w:r w:rsidR="00993095">
        <w:t xml:space="preserve">ulation </w:t>
      </w:r>
      <w:r>
        <w:t>PK analysis of the healthy participant data, the estimated CL/F was 4.01 L/h. In patients with APDS, the estimated typical value of clearance at steady state was 3.72 L/h (geometric mean). The renal clearance of leniolisib at steady state in healthy participants ranged from 0.0861 to 0.251 L/h following twice daily dosing from 20 to 140 mg. With twice daily dosing in healthy participants, the geometric mean accumulation ration (Racc) ranged from</w:t>
      </w:r>
      <w:r w:rsidR="009844A5">
        <w:t xml:space="preserve"> </w:t>
      </w:r>
      <w:r>
        <w:t>1.32 to 1.57 and steady state was achieved within 2 to 3 days following onset of therapy, consistent with an effective half-life of approximately 5.56 to 8.08 hours.</w:t>
      </w:r>
    </w:p>
    <w:p w14:paraId="3A1A1B18" w14:textId="234061AD" w:rsidR="00014D51" w:rsidRDefault="00014D51" w:rsidP="00014D51">
      <w:r>
        <w:t>There were no dedicated studies in patients with hepatic or renal impairment</w:t>
      </w:r>
      <w:r w:rsidR="0081498C">
        <w:t xml:space="preserve"> (a study involving patients with hepatic impairment is on-going) </w:t>
      </w:r>
    </w:p>
    <w:p w14:paraId="75B857F7" w14:textId="628BB2BB" w:rsidR="00014D51" w:rsidRDefault="00014D51" w:rsidP="00014D51">
      <w:r>
        <w:t xml:space="preserve">Administration of </w:t>
      </w:r>
      <w:r w:rsidR="009844A5">
        <w:t>leniolisib</w:t>
      </w:r>
      <w:r>
        <w:t xml:space="preserve"> with a strong CYP3A4 inhibitor (itraconazole) led to an approximately two-fold increase in the </w:t>
      </w:r>
      <w:r w:rsidR="009844A5">
        <w:t>leniolisib</w:t>
      </w:r>
      <w:r>
        <w:t xml:space="preserve"> AUC. Modelling/simulation submitted by the Sponsor suggest that administration of </w:t>
      </w:r>
      <w:r w:rsidR="009844A5">
        <w:t>leniolisib</w:t>
      </w:r>
      <w:r>
        <w:t xml:space="preserve"> with a moderate CYP3A4 inhibitor (erythromycin) would lead to an increase the Cmax and AUC of </w:t>
      </w:r>
      <w:r w:rsidR="009844A5">
        <w:t>leniolisib</w:t>
      </w:r>
      <w:r>
        <w:t xml:space="preserve"> by 30% and 60% respectively. Administration of </w:t>
      </w:r>
      <w:r w:rsidR="009844A5">
        <w:t>leniolisib</w:t>
      </w:r>
      <w:r>
        <w:t xml:space="preserve"> with a CYP3A4 inducer (rifampicin) would be expected to reduce </w:t>
      </w:r>
      <w:r w:rsidR="009844A5">
        <w:t>leniolisib</w:t>
      </w:r>
      <w:r>
        <w:t xml:space="preserve"> AUC and C</w:t>
      </w:r>
      <w:r w:rsidRPr="00745F49">
        <w:rPr>
          <w:vertAlign w:val="subscript"/>
        </w:rPr>
        <w:t>max</w:t>
      </w:r>
      <w:r>
        <w:t xml:space="preserve"> by 80% and 50% respectively. Although this is estimated to remain above the therapeutic concentration of </w:t>
      </w:r>
      <w:r w:rsidR="009844A5">
        <w:t>leniolisib</w:t>
      </w:r>
      <w:r>
        <w:t xml:space="preserve">, the CE has noted that </w:t>
      </w:r>
      <w:r w:rsidR="002F00EC">
        <w:br/>
      </w:r>
      <w:r>
        <w:t xml:space="preserve">co-administration of </w:t>
      </w:r>
      <w:r w:rsidR="009844A5">
        <w:t>leniolisib</w:t>
      </w:r>
      <w:r>
        <w:t xml:space="preserve"> and CYP3A4 inducers should be avoided.</w:t>
      </w:r>
    </w:p>
    <w:p w14:paraId="3C138C80" w14:textId="0D280BE0" w:rsidR="00014D51" w:rsidRDefault="00014D51" w:rsidP="00014D51">
      <w:r>
        <w:t xml:space="preserve">A drug-interaction study with the OCP (oestrogen and levonorgestrel) indicate a 30% reduction in oestrogen exposure and no reduction in </w:t>
      </w:r>
      <w:r w:rsidR="009844A5">
        <w:t>levonorgestrel</w:t>
      </w:r>
      <w:r>
        <w:t xml:space="preserve"> when co-administered with </w:t>
      </w:r>
      <w:r w:rsidR="009844A5">
        <w:t>leniolisib</w:t>
      </w:r>
      <w:r>
        <w:t xml:space="preserve">. </w:t>
      </w:r>
      <w:r w:rsidR="009844A5">
        <w:t>T</w:t>
      </w:r>
      <w:r>
        <w:t>his is unlikely to be clinically significant.</w:t>
      </w:r>
    </w:p>
    <w:p w14:paraId="5501E862" w14:textId="2663957C" w:rsidR="00014D51" w:rsidRDefault="00014D51" w:rsidP="00014D51">
      <w:r>
        <w:t xml:space="preserve">In vitro studies suggest </w:t>
      </w:r>
      <w:r w:rsidR="009844A5">
        <w:t>leniolisib</w:t>
      </w:r>
      <w:r>
        <w:t xml:space="preserve"> can potentially interact with a number of CYP isoforms but interaction studies have not been performed.</w:t>
      </w:r>
    </w:p>
    <w:p w14:paraId="4CA86647" w14:textId="5FCD76C4" w:rsidR="00014D51" w:rsidRDefault="00014D51" w:rsidP="009844A5">
      <w:pPr>
        <w:pStyle w:val="Heading5"/>
      </w:pPr>
      <w:r>
        <w:t>Population PK data</w:t>
      </w:r>
    </w:p>
    <w:p w14:paraId="609573A3" w14:textId="303C2EC4" w:rsidR="00014D51" w:rsidRDefault="00014D51" w:rsidP="00014D51">
      <w:r>
        <w:t xml:space="preserve">A population PK model was constructed using 2803 </w:t>
      </w:r>
      <w:r w:rsidR="009844A5">
        <w:t>leniolisib</w:t>
      </w:r>
      <w:r>
        <w:t xml:space="preserve"> concentration measurement from 118 health participants who received </w:t>
      </w:r>
      <w:r w:rsidR="009844A5">
        <w:t>leniolisib</w:t>
      </w:r>
      <w:r>
        <w:t xml:space="preserve"> at doses between 10 and 400mg as single doses, or 20 and 140mg BD for 14 days. A two-compartment (central and peripheral) model was considered to describe the pharmacokinetic data well.</w:t>
      </w:r>
      <w:r w:rsidR="00E73ABC">
        <w:t xml:space="preserve"> </w:t>
      </w:r>
      <w:r w:rsidR="00E73ABC" w:rsidRPr="00E73ABC">
        <w:t>Body weight was a relevant variable, with the volume of distribution in both compartments increasing with body weight</w:t>
      </w:r>
      <w:r w:rsidR="00390D89">
        <w:t xml:space="preserve"> </w:t>
      </w:r>
      <w:r w:rsidR="00390D89" w:rsidRPr="00390D89">
        <w:t>(Table 3)</w:t>
      </w:r>
      <w:r w:rsidR="00E73ABC" w:rsidRPr="00E73ABC">
        <w:t>. There was no effect of sex.</w:t>
      </w:r>
    </w:p>
    <w:p w14:paraId="424E7E3B" w14:textId="1717BAD5" w:rsidR="00C033B0" w:rsidRDefault="002F0B4F" w:rsidP="00046C03">
      <w:pPr>
        <w:pStyle w:val="TableTitle"/>
      </w:pPr>
      <w:r w:rsidRPr="002F0B4F">
        <w:lastRenderedPageBreak/>
        <w:t xml:space="preserve">Table </w:t>
      </w:r>
      <w:r w:rsidR="00AA6E33">
        <w:t>3</w:t>
      </w:r>
      <w:r w:rsidR="00202C75">
        <w:t>.</w:t>
      </w:r>
      <w:r w:rsidRPr="002F0B4F">
        <w:t xml:space="preserve"> Population pharmacokinetics estimates of key variables</w:t>
      </w:r>
    </w:p>
    <w:p w14:paraId="45EDB72F" w14:textId="2670F00A" w:rsidR="00046C03" w:rsidRDefault="00046C03" w:rsidP="004E6042">
      <w:pPr>
        <w:contextualSpacing/>
      </w:pPr>
      <w:r>
        <w:rPr>
          <w:noProof/>
        </w:rPr>
        <w:drawing>
          <wp:inline distT="0" distB="0" distL="0" distR="0" wp14:anchorId="55B56FCF" wp14:editId="104F91E8">
            <wp:extent cx="5759450" cy="1938020"/>
            <wp:effectExtent l="0" t="0" r="0" b="5080"/>
            <wp:docPr id="201421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17478" name=""/>
                    <pic:cNvPicPr/>
                  </pic:nvPicPr>
                  <pic:blipFill>
                    <a:blip r:embed="rId24"/>
                    <a:stretch>
                      <a:fillRect/>
                    </a:stretch>
                  </pic:blipFill>
                  <pic:spPr>
                    <a:xfrm>
                      <a:off x="0" y="0"/>
                      <a:ext cx="5759450" cy="1938020"/>
                    </a:xfrm>
                    <a:prstGeom prst="rect">
                      <a:avLst/>
                    </a:prstGeom>
                  </pic:spPr>
                </pic:pic>
              </a:graphicData>
            </a:graphic>
          </wp:inline>
        </w:drawing>
      </w:r>
    </w:p>
    <w:p w14:paraId="00792501" w14:textId="22343329" w:rsidR="00046C03" w:rsidRDefault="00047212" w:rsidP="004E6042">
      <w:pPr>
        <w:pStyle w:val="TableDescription"/>
        <w:tabs>
          <w:tab w:val="left" w:pos="6120"/>
        </w:tabs>
        <w:spacing w:before="0"/>
        <w:contextualSpacing/>
      </w:pPr>
      <w:r w:rsidRPr="00047212">
        <w:t>ALAG: absorption lag time</w:t>
      </w:r>
      <w:r>
        <w:t xml:space="preserve">; </w:t>
      </w:r>
      <w:r w:rsidR="00490473" w:rsidRPr="00490473">
        <w:t>CL/F</w:t>
      </w:r>
      <w:r w:rsidR="007B5063">
        <w:t>:</w:t>
      </w:r>
      <w:r w:rsidR="00490473" w:rsidRPr="00490473">
        <w:t xml:space="preserve"> apparent oral clearance</w:t>
      </w:r>
      <w:r w:rsidR="00490473">
        <w:t xml:space="preserve">; </w:t>
      </w:r>
      <w:r w:rsidRPr="00047212">
        <w:t>K</w:t>
      </w:r>
      <w:r w:rsidRPr="00047212">
        <w:rPr>
          <w:vertAlign w:val="subscript"/>
        </w:rPr>
        <w:t>a</w:t>
      </w:r>
      <w:r w:rsidRPr="00047212">
        <w:t>: absorption rate constant;</w:t>
      </w:r>
      <w:r>
        <w:t xml:space="preserve"> </w:t>
      </w:r>
      <w:r w:rsidRPr="00047212">
        <w:t>Q/F: intercompartmental clearance</w:t>
      </w:r>
      <w:r>
        <w:t xml:space="preserve">; </w:t>
      </w:r>
      <w:r w:rsidR="00490473" w:rsidRPr="00490473">
        <w:t>V</w:t>
      </w:r>
      <w:r w:rsidR="00490473" w:rsidRPr="00047212">
        <w:rPr>
          <w:vertAlign w:val="subscript"/>
        </w:rPr>
        <w:t>c</w:t>
      </w:r>
      <w:r w:rsidR="00490473" w:rsidRPr="00490473">
        <w:t>/F</w:t>
      </w:r>
      <w:r w:rsidR="007B5063">
        <w:t>:</w:t>
      </w:r>
      <w:r w:rsidR="00490473" w:rsidRPr="00490473">
        <w:t xml:space="preserve"> apparent volume of central compartment</w:t>
      </w:r>
      <w:r w:rsidR="00490473">
        <w:t xml:space="preserve">; </w:t>
      </w:r>
      <w:r w:rsidRPr="00047212">
        <w:t>V</w:t>
      </w:r>
      <w:r w:rsidRPr="00047212">
        <w:rPr>
          <w:vertAlign w:val="subscript"/>
        </w:rPr>
        <w:t>p</w:t>
      </w:r>
      <w:r w:rsidRPr="00047212">
        <w:t>/F</w:t>
      </w:r>
      <w:r>
        <w:t>:</w:t>
      </w:r>
      <w:r w:rsidRPr="00047212">
        <w:t xml:space="preserve"> apparent volume of peripheral compartment</w:t>
      </w:r>
      <w:r w:rsidR="008D00EA">
        <w:t xml:space="preserve"> </w:t>
      </w:r>
    </w:p>
    <w:p w14:paraId="7F61E167" w14:textId="2EB13BFC" w:rsidR="00A45987" w:rsidRDefault="00A45987" w:rsidP="00605264">
      <w:pPr>
        <w:pStyle w:val="Heading5"/>
      </w:pPr>
      <w:r>
        <w:t>Pharmacodynamics</w:t>
      </w:r>
    </w:p>
    <w:p w14:paraId="52C44344" w14:textId="2389971C" w:rsidR="00A45987" w:rsidRDefault="00A45987" w:rsidP="00A45987">
      <w:r>
        <w:t xml:space="preserve">The primary pharmacodynamic endpoint measured was the percentage of phosphokinase B (Akt) positive B cells in stimulated and unstimulated populations of B cells. Phosphokinase B levels are increased by the action of PI3K and so forms an indirect measure of the action of this enzyme. There was a reduction in phosphokinase B levels measured in B cells examined after </w:t>
      </w:r>
      <w:r w:rsidR="009844A5">
        <w:t>leniolisib</w:t>
      </w:r>
      <w:r>
        <w:t xml:space="preserve"> treatment, which occurred rapidly (within 1 hour) of administration.</w:t>
      </w:r>
    </w:p>
    <w:p w14:paraId="4E5557E0" w14:textId="18EE7947" w:rsidR="00A45987" w:rsidRDefault="00A45987" w:rsidP="00A45987">
      <w:r>
        <w:t xml:space="preserve">QTc prolongation was also measured in one study (2101) and no QT prolongation was found from </w:t>
      </w:r>
      <w:r w:rsidR="009844A5">
        <w:t>leniolisib</w:t>
      </w:r>
      <w:r>
        <w:t xml:space="preserve"> treatment.</w:t>
      </w:r>
    </w:p>
    <w:p w14:paraId="161B5795" w14:textId="45523BC0" w:rsidR="00A45987" w:rsidRDefault="00A45987" w:rsidP="00605264">
      <w:pPr>
        <w:pStyle w:val="Heading4"/>
      </w:pPr>
      <w:bookmarkStart w:id="36" w:name="_Toc203144792"/>
      <w:r>
        <w:t>Efficacy</w:t>
      </w:r>
      <w:bookmarkEnd w:id="36"/>
    </w:p>
    <w:p w14:paraId="46C99D7B" w14:textId="6C8AD77C" w:rsidR="00E73ABC" w:rsidRDefault="00A45987" w:rsidP="00A45987">
      <w:r>
        <w:t>The clinical efficacy data consisted of the phase II/III study 2201, which was conducted in two 12-week control stages (part 1 and 2), followed by an open label extension stage (E1). Part 1 of the study only enrolled 6 patients, and so Part 2 has been evaluated as the pivotal efficacy data. The extension phase of the study is ongoing</w:t>
      </w:r>
      <w:r w:rsidR="00AA6E33">
        <w:t xml:space="preserve"> (Table 4)</w:t>
      </w:r>
      <w:r w:rsidR="001372EE">
        <w:t>.</w:t>
      </w:r>
    </w:p>
    <w:p w14:paraId="405933D0" w14:textId="460EFA8D" w:rsidR="00A77769" w:rsidRDefault="00F1598B" w:rsidP="00F1598B">
      <w:pPr>
        <w:pStyle w:val="TableTitle"/>
      </w:pPr>
      <w:r w:rsidRPr="00F1598B">
        <w:t xml:space="preserve">Table </w:t>
      </w:r>
      <w:r w:rsidR="00AA6E33">
        <w:t>4</w:t>
      </w:r>
      <w:r w:rsidR="00202C75">
        <w:t>.</w:t>
      </w:r>
      <w:r w:rsidRPr="00F1598B">
        <w:t xml:space="preserve"> Stages of </w:t>
      </w:r>
      <w:r w:rsidR="009844A5">
        <w:t>leniolisib</w:t>
      </w:r>
      <w:r w:rsidRPr="00F1598B">
        <w:t xml:space="preserve"> clinical program for study 2201</w:t>
      </w:r>
    </w:p>
    <w:tbl>
      <w:tblPr>
        <w:tblStyle w:val="TableTGAblue2023"/>
        <w:tblW w:w="0" w:type="auto"/>
        <w:tblLayout w:type="fixed"/>
        <w:tblLook w:val="01E0" w:firstRow="1" w:lastRow="1" w:firstColumn="1" w:lastColumn="1" w:noHBand="0" w:noVBand="0"/>
      </w:tblPr>
      <w:tblGrid>
        <w:gridCol w:w="1731"/>
        <w:gridCol w:w="2423"/>
        <w:gridCol w:w="2431"/>
        <w:gridCol w:w="2415"/>
      </w:tblGrid>
      <w:tr w:rsidR="00A860A1" w:rsidRPr="00A860A1" w14:paraId="0427117E" w14:textId="77777777" w:rsidTr="00D5654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731" w:type="dxa"/>
          </w:tcPr>
          <w:p w14:paraId="0E708598" w14:textId="77777777" w:rsidR="00A860A1" w:rsidRPr="00A860A1" w:rsidRDefault="00A860A1" w:rsidP="00D56544">
            <w:pPr>
              <w:rPr>
                <w:b w:val="0"/>
              </w:rPr>
            </w:pPr>
          </w:p>
        </w:tc>
        <w:tc>
          <w:tcPr>
            <w:tcW w:w="2423" w:type="dxa"/>
          </w:tcPr>
          <w:p w14:paraId="0DC1E1A7" w14:textId="62C8053C" w:rsidR="00A860A1" w:rsidRPr="00A860A1" w:rsidRDefault="00A860A1" w:rsidP="00D56544">
            <w:pPr>
              <w:cnfStyle w:val="100000000000" w:firstRow="1" w:lastRow="0" w:firstColumn="0" w:lastColumn="0" w:oddVBand="0" w:evenVBand="0" w:oddHBand="0" w:evenHBand="0" w:firstRowFirstColumn="0" w:firstRowLastColumn="0" w:lastRowFirstColumn="0" w:lastRowLastColumn="0"/>
              <w:rPr>
                <w:b w:val="0"/>
              </w:rPr>
            </w:pPr>
            <w:r w:rsidRPr="00A860A1">
              <w:rPr>
                <w:w w:val="110"/>
              </w:rPr>
              <w:t>Study</w:t>
            </w:r>
            <w:r w:rsidRPr="00A860A1">
              <w:rPr>
                <w:spacing w:val="-13"/>
                <w:w w:val="110"/>
              </w:rPr>
              <w:t xml:space="preserve"> </w:t>
            </w:r>
            <w:r w:rsidRPr="00A860A1">
              <w:rPr>
                <w:w w:val="110"/>
              </w:rPr>
              <w:t>2201</w:t>
            </w:r>
            <w:r>
              <w:rPr>
                <w:w w:val="110"/>
              </w:rPr>
              <w:t xml:space="preserve"> </w:t>
            </w:r>
            <w:r w:rsidRPr="00A860A1">
              <w:rPr>
                <w:w w:val="110"/>
              </w:rPr>
              <w:t>Part</w:t>
            </w:r>
            <w:r w:rsidRPr="00A860A1">
              <w:rPr>
                <w:spacing w:val="-12"/>
                <w:w w:val="110"/>
              </w:rPr>
              <w:t xml:space="preserve"> 1</w:t>
            </w:r>
          </w:p>
        </w:tc>
        <w:tc>
          <w:tcPr>
            <w:tcW w:w="2431" w:type="dxa"/>
          </w:tcPr>
          <w:p w14:paraId="61FA7771" w14:textId="2E7DC1F7" w:rsidR="00A860A1" w:rsidRPr="00A860A1" w:rsidRDefault="00A860A1" w:rsidP="00D56544">
            <w:pPr>
              <w:cnfStyle w:val="100000000000" w:firstRow="1" w:lastRow="0" w:firstColumn="0" w:lastColumn="0" w:oddVBand="0" w:evenVBand="0" w:oddHBand="0" w:evenHBand="0" w:firstRowFirstColumn="0" w:firstRowLastColumn="0" w:lastRowFirstColumn="0" w:lastRowLastColumn="0"/>
              <w:rPr>
                <w:b w:val="0"/>
              </w:rPr>
            </w:pPr>
            <w:r w:rsidRPr="00A860A1">
              <w:rPr>
                <w:w w:val="110"/>
              </w:rPr>
              <w:t>Study</w:t>
            </w:r>
            <w:r w:rsidRPr="00A860A1">
              <w:rPr>
                <w:spacing w:val="-13"/>
                <w:w w:val="110"/>
              </w:rPr>
              <w:t xml:space="preserve"> </w:t>
            </w:r>
            <w:r w:rsidRPr="00A860A1">
              <w:rPr>
                <w:w w:val="110"/>
              </w:rPr>
              <w:t>2201</w:t>
            </w:r>
            <w:r>
              <w:rPr>
                <w:w w:val="110"/>
              </w:rPr>
              <w:t xml:space="preserve"> </w:t>
            </w:r>
            <w:r w:rsidRPr="00A860A1">
              <w:rPr>
                <w:w w:val="110"/>
              </w:rPr>
              <w:t>Part</w:t>
            </w:r>
            <w:r w:rsidRPr="00A860A1">
              <w:rPr>
                <w:spacing w:val="-7"/>
                <w:w w:val="110"/>
              </w:rPr>
              <w:t xml:space="preserve"> </w:t>
            </w:r>
            <w:r w:rsidRPr="00A860A1">
              <w:rPr>
                <w:spacing w:val="-12"/>
                <w:w w:val="110"/>
              </w:rPr>
              <w:t>2</w:t>
            </w:r>
          </w:p>
        </w:tc>
        <w:tc>
          <w:tcPr>
            <w:tcW w:w="2415" w:type="dxa"/>
          </w:tcPr>
          <w:p w14:paraId="60C51798" w14:textId="77777777" w:rsidR="00A860A1" w:rsidRPr="00A860A1" w:rsidRDefault="00A860A1" w:rsidP="00D56544">
            <w:pPr>
              <w:cnfStyle w:val="100000000000" w:firstRow="1" w:lastRow="0" w:firstColumn="0" w:lastColumn="0" w:oddVBand="0" w:evenVBand="0" w:oddHBand="0" w:evenHBand="0" w:firstRowFirstColumn="0" w:firstRowLastColumn="0" w:lastRowFirstColumn="0" w:lastRowLastColumn="0"/>
              <w:rPr>
                <w:b w:val="0"/>
              </w:rPr>
            </w:pPr>
            <w:r w:rsidRPr="00A860A1">
              <w:rPr>
                <w:w w:val="105"/>
              </w:rPr>
              <w:t>Study</w:t>
            </w:r>
            <w:r w:rsidRPr="00A860A1">
              <w:rPr>
                <w:spacing w:val="6"/>
                <w:w w:val="105"/>
              </w:rPr>
              <w:t xml:space="preserve"> </w:t>
            </w:r>
            <w:r w:rsidRPr="00A860A1">
              <w:rPr>
                <w:spacing w:val="-2"/>
                <w:w w:val="105"/>
              </w:rPr>
              <w:t>2201E1</w:t>
            </w:r>
          </w:p>
        </w:tc>
      </w:tr>
      <w:tr w:rsidR="00A860A1" w:rsidRPr="00A860A1" w14:paraId="5A04D1E0" w14:textId="77777777" w:rsidTr="00D56544">
        <w:trPr>
          <w:trHeight w:val="285"/>
        </w:trPr>
        <w:tc>
          <w:tcPr>
            <w:cnfStyle w:val="001000000000" w:firstRow="0" w:lastRow="0" w:firstColumn="1" w:lastColumn="0" w:oddVBand="0" w:evenVBand="0" w:oddHBand="0" w:evenHBand="0" w:firstRowFirstColumn="0" w:firstRowLastColumn="0" w:lastRowFirstColumn="0" w:lastRowLastColumn="0"/>
            <w:tcW w:w="1731" w:type="dxa"/>
          </w:tcPr>
          <w:p w14:paraId="69D6B822" w14:textId="77777777" w:rsidR="00A860A1" w:rsidRPr="00E65859" w:rsidRDefault="00A860A1" w:rsidP="00D56544">
            <w:pPr>
              <w:rPr>
                <w:color w:val="000000" w:themeColor="text1"/>
              </w:rPr>
            </w:pPr>
            <w:r w:rsidRPr="00E65859">
              <w:rPr>
                <w:color w:val="000000" w:themeColor="text1"/>
              </w:rPr>
              <w:t>Dosing</w:t>
            </w:r>
            <w:r w:rsidRPr="00E65859">
              <w:rPr>
                <w:color w:val="000000" w:themeColor="text1"/>
                <w:spacing w:val="1"/>
              </w:rPr>
              <w:t xml:space="preserve"> </w:t>
            </w:r>
            <w:r w:rsidRPr="00E65859">
              <w:rPr>
                <w:color w:val="000000" w:themeColor="text1"/>
                <w:spacing w:val="-2"/>
              </w:rPr>
              <w:t>Regimen</w:t>
            </w:r>
          </w:p>
        </w:tc>
        <w:tc>
          <w:tcPr>
            <w:tcW w:w="2423" w:type="dxa"/>
          </w:tcPr>
          <w:p w14:paraId="6D62D461"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Leniolisib</w:t>
            </w:r>
            <w:r w:rsidRPr="00A860A1">
              <w:rPr>
                <w:color w:val="59595D"/>
                <w:spacing w:val="-19"/>
                <w:w w:val="105"/>
              </w:rPr>
              <w:t xml:space="preserve"> </w:t>
            </w:r>
            <w:r w:rsidRPr="00A860A1">
              <w:rPr>
                <w:color w:val="59595D"/>
                <w:w w:val="105"/>
              </w:rPr>
              <w:t>10/30/70</w:t>
            </w:r>
            <w:r w:rsidRPr="00A860A1">
              <w:rPr>
                <w:color w:val="59595D"/>
                <w:spacing w:val="-1"/>
                <w:w w:val="105"/>
              </w:rPr>
              <w:t xml:space="preserve"> </w:t>
            </w:r>
            <w:r w:rsidRPr="00A860A1">
              <w:rPr>
                <w:color w:val="59595D"/>
                <w:w w:val="105"/>
              </w:rPr>
              <w:t>m</w:t>
            </w:r>
            <w:r w:rsidRPr="00A860A1">
              <w:rPr>
                <w:color w:val="343436"/>
                <w:w w:val="105"/>
              </w:rPr>
              <w:t>g</w:t>
            </w:r>
            <w:r w:rsidRPr="00A860A1">
              <w:rPr>
                <w:color w:val="343436"/>
                <w:spacing w:val="18"/>
                <w:w w:val="105"/>
              </w:rPr>
              <w:t xml:space="preserve"> </w:t>
            </w:r>
            <w:r w:rsidRPr="00A860A1">
              <w:rPr>
                <w:color w:val="4B494F"/>
                <w:spacing w:val="-5"/>
                <w:w w:val="105"/>
              </w:rPr>
              <w:t>bd</w:t>
            </w:r>
          </w:p>
        </w:tc>
        <w:tc>
          <w:tcPr>
            <w:tcW w:w="2431" w:type="dxa"/>
          </w:tcPr>
          <w:p w14:paraId="037A79E3"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rPr>
              <w:t>Leniolisib</w:t>
            </w:r>
            <w:r w:rsidRPr="00A860A1">
              <w:rPr>
                <w:color w:val="59595D"/>
                <w:spacing w:val="-9"/>
              </w:rPr>
              <w:t xml:space="preserve"> </w:t>
            </w:r>
            <w:r w:rsidRPr="00A860A1">
              <w:rPr>
                <w:color w:val="4B494F"/>
              </w:rPr>
              <w:t>7</w:t>
            </w:r>
            <w:r w:rsidRPr="00A860A1">
              <w:rPr>
                <w:color w:val="67696B"/>
              </w:rPr>
              <w:t>0</w:t>
            </w:r>
            <w:r w:rsidRPr="00A860A1">
              <w:rPr>
                <w:color w:val="67696B"/>
                <w:spacing w:val="3"/>
              </w:rPr>
              <w:t xml:space="preserve"> </w:t>
            </w:r>
            <w:r w:rsidRPr="00A860A1">
              <w:rPr>
                <w:color w:val="59595D"/>
              </w:rPr>
              <w:t>mg</w:t>
            </w:r>
            <w:r w:rsidRPr="00A860A1">
              <w:rPr>
                <w:color w:val="59595D"/>
                <w:spacing w:val="14"/>
              </w:rPr>
              <w:t xml:space="preserve"> </w:t>
            </w:r>
            <w:r w:rsidRPr="00A860A1">
              <w:rPr>
                <w:color w:val="59595D"/>
                <w:spacing w:val="-7"/>
              </w:rPr>
              <w:t>bd</w:t>
            </w:r>
          </w:p>
        </w:tc>
        <w:tc>
          <w:tcPr>
            <w:tcW w:w="2415" w:type="dxa"/>
          </w:tcPr>
          <w:p w14:paraId="0CA2BBA1"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rPr>
              <w:t>Le</w:t>
            </w:r>
            <w:r w:rsidRPr="00A860A1">
              <w:rPr>
                <w:color w:val="67696B"/>
              </w:rPr>
              <w:t>n</w:t>
            </w:r>
            <w:r w:rsidRPr="00A860A1">
              <w:rPr>
                <w:color w:val="343436"/>
              </w:rPr>
              <w:t>i</w:t>
            </w:r>
            <w:r w:rsidRPr="00A860A1">
              <w:rPr>
                <w:color w:val="59595D"/>
              </w:rPr>
              <w:t>olisib</w:t>
            </w:r>
            <w:r w:rsidRPr="00A860A1">
              <w:rPr>
                <w:color w:val="59595D"/>
                <w:spacing w:val="-1"/>
              </w:rPr>
              <w:t xml:space="preserve"> </w:t>
            </w:r>
            <w:r w:rsidRPr="00A860A1">
              <w:rPr>
                <w:color w:val="4B494F"/>
              </w:rPr>
              <w:t>7</w:t>
            </w:r>
            <w:r w:rsidRPr="00A860A1">
              <w:rPr>
                <w:color w:val="67696B"/>
              </w:rPr>
              <w:t>0</w:t>
            </w:r>
            <w:r w:rsidRPr="00A860A1">
              <w:rPr>
                <w:color w:val="67696B"/>
                <w:spacing w:val="6"/>
              </w:rPr>
              <w:t xml:space="preserve"> </w:t>
            </w:r>
            <w:r w:rsidRPr="00A860A1">
              <w:rPr>
                <w:color w:val="59595D"/>
              </w:rPr>
              <w:t>mg</w:t>
            </w:r>
            <w:r w:rsidRPr="00A860A1">
              <w:rPr>
                <w:color w:val="59595D"/>
                <w:spacing w:val="17"/>
              </w:rPr>
              <w:t xml:space="preserve"> </w:t>
            </w:r>
            <w:r w:rsidRPr="00A860A1">
              <w:rPr>
                <w:color w:val="59595D"/>
                <w:spacing w:val="-5"/>
              </w:rPr>
              <w:t>bd</w:t>
            </w:r>
          </w:p>
        </w:tc>
      </w:tr>
      <w:tr w:rsidR="00A860A1" w:rsidRPr="00A860A1" w14:paraId="3551DA0E" w14:textId="77777777" w:rsidTr="00D56544">
        <w:trPr>
          <w:trHeight w:val="262"/>
        </w:trPr>
        <w:tc>
          <w:tcPr>
            <w:cnfStyle w:val="001000000000" w:firstRow="0" w:lastRow="0" w:firstColumn="1" w:lastColumn="0" w:oddVBand="0" w:evenVBand="0" w:oddHBand="0" w:evenHBand="0" w:firstRowFirstColumn="0" w:firstRowLastColumn="0" w:lastRowFirstColumn="0" w:lastRowLastColumn="0"/>
            <w:tcW w:w="1731" w:type="dxa"/>
          </w:tcPr>
          <w:p w14:paraId="05F455AC" w14:textId="77777777" w:rsidR="00A860A1" w:rsidRPr="00E65859" w:rsidRDefault="00A860A1" w:rsidP="00D56544">
            <w:pPr>
              <w:rPr>
                <w:color w:val="000000" w:themeColor="text1"/>
              </w:rPr>
            </w:pPr>
            <w:r w:rsidRPr="00E65859">
              <w:rPr>
                <w:color w:val="000000" w:themeColor="text1"/>
                <w:spacing w:val="-2"/>
                <w:w w:val="110"/>
              </w:rPr>
              <w:t>Control</w:t>
            </w:r>
          </w:p>
        </w:tc>
        <w:tc>
          <w:tcPr>
            <w:tcW w:w="2423" w:type="dxa"/>
          </w:tcPr>
          <w:p w14:paraId="09874C0E"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spacing w:val="-4"/>
                <w:w w:val="105"/>
              </w:rPr>
              <w:t>N</w:t>
            </w:r>
            <w:r w:rsidRPr="00A860A1">
              <w:rPr>
                <w:color w:val="67696B"/>
                <w:spacing w:val="-4"/>
                <w:w w:val="105"/>
              </w:rPr>
              <w:t>one</w:t>
            </w:r>
          </w:p>
        </w:tc>
        <w:tc>
          <w:tcPr>
            <w:tcW w:w="2431" w:type="dxa"/>
          </w:tcPr>
          <w:p w14:paraId="267D5AC7"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2"/>
              </w:rPr>
              <w:t>Placebo</w:t>
            </w:r>
          </w:p>
        </w:tc>
        <w:tc>
          <w:tcPr>
            <w:tcW w:w="2415" w:type="dxa"/>
          </w:tcPr>
          <w:p w14:paraId="321045C8"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spacing w:val="-4"/>
                <w:w w:val="105"/>
              </w:rPr>
              <w:t>N</w:t>
            </w:r>
            <w:r w:rsidRPr="00A860A1">
              <w:rPr>
                <w:color w:val="67696B"/>
                <w:spacing w:val="-4"/>
                <w:w w:val="105"/>
              </w:rPr>
              <w:t>on</w:t>
            </w:r>
            <w:r w:rsidRPr="00A860A1">
              <w:rPr>
                <w:color w:val="4B494F"/>
                <w:spacing w:val="-4"/>
                <w:w w:val="105"/>
              </w:rPr>
              <w:t>e</w:t>
            </w:r>
          </w:p>
        </w:tc>
      </w:tr>
      <w:tr w:rsidR="00A860A1" w:rsidRPr="00A860A1" w14:paraId="1A39E75F" w14:textId="77777777" w:rsidTr="00D56544">
        <w:trPr>
          <w:trHeight w:val="277"/>
        </w:trPr>
        <w:tc>
          <w:tcPr>
            <w:cnfStyle w:val="001000000000" w:firstRow="0" w:lastRow="0" w:firstColumn="1" w:lastColumn="0" w:oddVBand="0" w:evenVBand="0" w:oddHBand="0" w:evenHBand="0" w:firstRowFirstColumn="0" w:firstRowLastColumn="0" w:lastRowFirstColumn="0" w:lastRowLastColumn="0"/>
            <w:tcW w:w="1731" w:type="dxa"/>
          </w:tcPr>
          <w:p w14:paraId="2027211B" w14:textId="77777777" w:rsidR="00A860A1" w:rsidRPr="00E65859" w:rsidRDefault="00A860A1" w:rsidP="00D56544">
            <w:pPr>
              <w:rPr>
                <w:color w:val="000000" w:themeColor="text1"/>
              </w:rPr>
            </w:pPr>
            <w:r w:rsidRPr="00E65859">
              <w:rPr>
                <w:color w:val="000000" w:themeColor="text1"/>
              </w:rPr>
              <w:t>Length</w:t>
            </w:r>
            <w:r w:rsidRPr="00E65859">
              <w:rPr>
                <w:color w:val="000000" w:themeColor="text1"/>
                <w:spacing w:val="-3"/>
              </w:rPr>
              <w:t xml:space="preserve"> </w:t>
            </w:r>
            <w:r w:rsidRPr="00E65859">
              <w:rPr>
                <w:color w:val="000000" w:themeColor="text1"/>
              </w:rPr>
              <w:t>of</w:t>
            </w:r>
            <w:r w:rsidRPr="00E65859">
              <w:rPr>
                <w:color w:val="000000" w:themeColor="text1"/>
                <w:spacing w:val="23"/>
              </w:rPr>
              <w:t xml:space="preserve"> </w:t>
            </w:r>
            <w:r w:rsidRPr="00E65859">
              <w:rPr>
                <w:color w:val="000000" w:themeColor="text1"/>
                <w:spacing w:val="-2"/>
              </w:rPr>
              <w:t>treatment</w:t>
            </w:r>
          </w:p>
        </w:tc>
        <w:tc>
          <w:tcPr>
            <w:tcW w:w="2423" w:type="dxa"/>
          </w:tcPr>
          <w:p w14:paraId="182DD05E"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67696B"/>
                <w:w w:val="105"/>
              </w:rPr>
              <w:t>1</w:t>
            </w:r>
            <w:r w:rsidRPr="00A860A1">
              <w:rPr>
                <w:color w:val="4B494F"/>
                <w:w w:val="105"/>
              </w:rPr>
              <w:t>2</w:t>
            </w:r>
            <w:r w:rsidRPr="00A860A1">
              <w:rPr>
                <w:color w:val="4B494F"/>
                <w:spacing w:val="-16"/>
                <w:w w:val="105"/>
              </w:rPr>
              <w:t xml:space="preserve"> </w:t>
            </w:r>
            <w:r w:rsidRPr="00A860A1">
              <w:rPr>
                <w:color w:val="59595D"/>
                <w:w w:val="105"/>
              </w:rPr>
              <w:t>weeks</w:t>
            </w:r>
            <w:r w:rsidRPr="00A860A1">
              <w:rPr>
                <w:color w:val="59595D"/>
                <w:spacing w:val="-20"/>
                <w:w w:val="105"/>
              </w:rPr>
              <w:t xml:space="preserve"> </w:t>
            </w:r>
            <w:r w:rsidRPr="00A860A1">
              <w:rPr>
                <w:color w:val="67696B"/>
                <w:w w:val="105"/>
              </w:rPr>
              <w:t>(</w:t>
            </w:r>
            <w:r w:rsidRPr="00A860A1">
              <w:rPr>
                <w:color w:val="4B494F"/>
                <w:w w:val="105"/>
              </w:rPr>
              <w:t>4</w:t>
            </w:r>
            <w:r w:rsidRPr="00A860A1">
              <w:rPr>
                <w:color w:val="4B494F"/>
                <w:spacing w:val="-4"/>
                <w:w w:val="105"/>
              </w:rPr>
              <w:t xml:space="preserve"> </w:t>
            </w:r>
            <w:r w:rsidRPr="00A860A1">
              <w:rPr>
                <w:color w:val="59595D"/>
                <w:w w:val="105"/>
              </w:rPr>
              <w:t>at</w:t>
            </w:r>
            <w:r w:rsidRPr="00A860A1">
              <w:rPr>
                <w:color w:val="59595D"/>
                <w:spacing w:val="9"/>
                <w:w w:val="105"/>
              </w:rPr>
              <w:t xml:space="preserve"> </w:t>
            </w:r>
            <w:r w:rsidRPr="00A860A1">
              <w:rPr>
                <w:color w:val="59595D"/>
                <w:w w:val="105"/>
              </w:rPr>
              <w:t>each</w:t>
            </w:r>
            <w:r w:rsidRPr="00A860A1">
              <w:rPr>
                <w:color w:val="59595D"/>
                <w:spacing w:val="-21"/>
                <w:w w:val="105"/>
              </w:rPr>
              <w:t xml:space="preserve"> </w:t>
            </w:r>
            <w:r w:rsidRPr="00A860A1">
              <w:rPr>
                <w:color w:val="59595D"/>
                <w:w w:val="105"/>
              </w:rPr>
              <w:t>dose</w:t>
            </w:r>
            <w:r w:rsidRPr="00A860A1">
              <w:rPr>
                <w:color w:val="59595D"/>
                <w:spacing w:val="-16"/>
                <w:w w:val="105"/>
              </w:rPr>
              <w:t xml:space="preserve"> </w:t>
            </w:r>
            <w:r w:rsidRPr="00A860A1">
              <w:rPr>
                <w:color w:val="4B494F"/>
                <w:spacing w:val="-2"/>
                <w:w w:val="105"/>
              </w:rPr>
              <w:t>leve</w:t>
            </w:r>
            <w:r w:rsidRPr="00A860A1">
              <w:rPr>
                <w:color w:val="241D23"/>
                <w:spacing w:val="-2"/>
                <w:w w:val="105"/>
              </w:rPr>
              <w:t>l</w:t>
            </w:r>
            <w:r w:rsidRPr="00A860A1">
              <w:rPr>
                <w:color w:val="59595D"/>
                <w:spacing w:val="-2"/>
                <w:w w:val="105"/>
              </w:rPr>
              <w:t>)</w:t>
            </w:r>
          </w:p>
        </w:tc>
        <w:tc>
          <w:tcPr>
            <w:tcW w:w="2431" w:type="dxa"/>
          </w:tcPr>
          <w:p w14:paraId="309F6B89"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10"/>
              </w:rPr>
              <w:t>1</w:t>
            </w:r>
            <w:r w:rsidRPr="00A860A1">
              <w:rPr>
                <w:color w:val="343436"/>
                <w:w w:val="110"/>
              </w:rPr>
              <w:t>2</w:t>
            </w:r>
            <w:r w:rsidRPr="00A860A1">
              <w:rPr>
                <w:color w:val="343436"/>
                <w:spacing w:val="-20"/>
                <w:w w:val="110"/>
              </w:rPr>
              <w:t xml:space="preserve"> </w:t>
            </w:r>
            <w:r w:rsidRPr="00A860A1">
              <w:rPr>
                <w:color w:val="4B494F"/>
                <w:spacing w:val="-2"/>
                <w:w w:val="110"/>
              </w:rPr>
              <w:t>weeks</w:t>
            </w:r>
          </w:p>
        </w:tc>
        <w:tc>
          <w:tcPr>
            <w:tcW w:w="2415" w:type="dxa"/>
          </w:tcPr>
          <w:p w14:paraId="6EED21E3"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up</w:t>
            </w:r>
            <w:r w:rsidRPr="00A860A1">
              <w:rPr>
                <w:color w:val="59595D"/>
                <w:spacing w:val="3"/>
                <w:w w:val="105"/>
              </w:rPr>
              <w:t xml:space="preserve"> </w:t>
            </w:r>
            <w:r w:rsidRPr="00A860A1">
              <w:rPr>
                <w:color w:val="4B494F"/>
                <w:w w:val="105"/>
              </w:rPr>
              <w:t>t</w:t>
            </w:r>
            <w:r w:rsidRPr="00A860A1">
              <w:rPr>
                <w:color w:val="67696B"/>
                <w:w w:val="105"/>
              </w:rPr>
              <w:t>o</w:t>
            </w:r>
            <w:r w:rsidRPr="00A860A1">
              <w:rPr>
                <w:color w:val="67696B"/>
                <w:spacing w:val="8"/>
                <w:w w:val="105"/>
              </w:rPr>
              <w:t xml:space="preserve"> </w:t>
            </w:r>
            <w:r w:rsidRPr="00A860A1">
              <w:rPr>
                <w:color w:val="59595D"/>
                <w:w w:val="105"/>
              </w:rPr>
              <w:t>6</w:t>
            </w:r>
            <w:r w:rsidRPr="00A860A1">
              <w:rPr>
                <w:color w:val="59595D"/>
                <w:spacing w:val="-11"/>
                <w:w w:val="105"/>
              </w:rPr>
              <w:t xml:space="preserve"> </w:t>
            </w:r>
            <w:r w:rsidRPr="00A860A1">
              <w:rPr>
                <w:color w:val="4B494F"/>
                <w:spacing w:val="-2"/>
                <w:w w:val="105"/>
              </w:rPr>
              <w:t>years</w:t>
            </w:r>
          </w:p>
        </w:tc>
      </w:tr>
      <w:tr w:rsidR="00A860A1" w:rsidRPr="00A860A1" w14:paraId="074D5828" w14:textId="77777777" w:rsidTr="00D56544">
        <w:trPr>
          <w:trHeight w:val="693"/>
        </w:trPr>
        <w:tc>
          <w:tcPr>
            <w:cnfStyle w:val="001000000000" w:firstRow="0" w:lastRow="0" w:firstColumn="1" w:lastColumn="0" w:oddVBand="0" w:evenVBand="0" w:oddHBand="0" w:evenHBand="0" w:firstRowFirstColumn="0" w:firstRowLastColumn="0" w:lastRowFirstColumn="0" w:lastRowLastColumn="0"/>
            <w:tcW w:w="1731" w:type="dxa"/>
          </w:tcPr>
          <w:p w14:paraId="3A6DDC30" w14:textId="77777777" w:rsidR="00A860A1" w:rsidRPr="00E65859" w:rsidRDefault="00A860A1" w:rsidP="00D56544">
            <w:pPr>
              <w:rPr>
                <w:color w:val="000000" w:themeColor="text1"/>
              </w:rPr>
            </w:pPr>
            <w:r w:rsidRPr="00E65859">
              <w:rPr>
                <w:color w:val="000000" w:themeColor="text1"/>
                <w:spacing w:val="-2"/>
              </w:rPr>
              <w:t>Design</w:t>
            </w:r>
          </w:p>
        </w:tc>
        <w:tc>
          <w:tcPr>
            <w:tcW w:w="2423" w:type="dxa"/>
          </w:tcPr>
          <w:p w14:paraId="23A4EB84"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w w:val="105"/>
              </w:rPr>
              <w:t>M</w:t>
            </w:r>
            <w:r w:rsidRPr="00A860A1">
              <w:rPr>
                <w:color w:val="67696B"/>
                <w:w w:val="105"/>
              </w:rPr>
              <w:t>u</w:t>
            </w:r>
            <w:r w:rsidRPr="00A860A1">
              <w:rPr>
                <w:color w:val="4B494F"/>
                <w:w w:val="105"/>
              </w:rPr>
              <w:t>lti</w:t>
            </w:r>
            <w:r w:rsidRPr="00A860A1">
              <w:rPr>
                <w:color w:val="67696B"/>
                <w:w w:val="105"/>
              </w:rPr>
              <w:t>ce</w:t>
            </w:r>
            <w:r w:rsidRPr="00A860A1">
              <w:rPr>
                <w:color w:val="4B494F"/>
                <w:w w:val="105"/>
              </w:rPr>
              <w:t>ntre</w:t>
            </w:r>
            <w:r w:rsidRPr="00A860A1">
              <w:rPr>
                <w:color w:val="67696B"/>
                <w:w w:val="105"/>
              </w:rPr>
              <w:t>, O</w:t>
            </w:r>
            <w:r w:rsidRPr="00A860A1">
              <w:rPr>
                <w:color w:val="343436"/>
                <w:w w:val="105"/>
              </w:rPr>
              <w:t>L</w:t>
            </w:r>
            <w:r w:rsidRPr="00A860A1">
              <w:rPr>
                <w:color w:val="67696B"/>
                <w:w w:val="105"/>
              </w:rPr>
              <w:t>, non</w:t>
            </w:r>
            <w:r w:rsidRPr="00A860A1">
              <w:rPr>
                <w:color w:val="4B494F"/>
                <w:w w:val="105"/>
              </w:rPr>
              <w:t>- ra</w:t>
            </w:r>
            <w:r w:rsidRPr="00A860A1">
              <w:rPr>
                <w:color w:val="67696B"/>
                <w:w w:val="105"/>
              </w:rPr>
              <w:t>n</w:t>
            </w:r>
            <w:r w:rsidRPr="00A860A1">
              <w:rPr>
                <w:color w:val="4B494F"/>
                <w:w w:val="105"/>
              </w:rPr>
              <w:t>dom</w:t>
            </w:r>
            <w:r w:rsidRPr="00A860A1">
              <w:rPr>
                <w:color w:val="343436"/>
                <w:w w:val="105"/>
              </w:rPr>
              <w:t>i</w:t>
            </w:r>
            <w:r w:rsidRPr="00A860A1">
              <w:rPr>
                <w:color w:val="59595D"/>
                <w:w w:val="105"/>
              </w:rPr>
              <w:t>sed, w</w:t>
            </w:r>
            <w:r w:rsidRPr="00A860A1">
              <w:rPr>
                <w:color w:val="343436"/>
                <w:w w:val="105"/>
              </w:rPr>
              <w:t>i</w:t>
            </w:r>
            <w:r w:rsidRPr="00A860A1">
              <w:rPr>
                <w:color w:val="4B494F"/>
                <w:w w:val="105"/>
              </w:rPr>
              <w:t>thin</w:t>
            </w:r>
            <w:r w:rsidRPr="00A860A1">
              <w:rPr>
                <w:color w:val="343436"/>
                <w:w w:val="105"/>
              </w:rPr>
              <w:t>-</w:t>
            </w:r>
            <w:r w:rsidRPr="00A860A1">
              <w:rPr>
                <w:color w:val="59595D"/>
                <w:w w:val="105"/>
              </w:rPr>
              <w:t xml:space="preserve">patient, </w:t>
            </w:r>
            <w:r w:rsidRPr="00A860A1">
              <w:rPr>
                <w:color w:val="59595D"/>
                <w:spacing w:val="-2"/>
                <w:w w:val="105"/>
              </w:rPr>
              <w:t>dose-find</w:t>
            </w:r>
            <w:r w:rsidRPr="00A860A1">
              <w:rPr>
                <w:color w:val="343436"/>
                <w:spacing w:val="-2"/>
                <w:w w:val="105"/>
              </w:rPr>
              <w:t>i</w:t>
            </w:r>
            <w:r w:rsidRPr="00A860A1">
              <w:rPr>
                <w:color w:val="59595D"/>
                <w:spacing w:val="-2"/>
                <w:w w:val="105"/>
              </w:rPr>
              <w:t>ng</w:t>
            </w:r>
          </w:p>
        </w:tc>
        <w:tc>
          <w:tcPr>
            <w:tcW w:w="2431" w:type="dxa"/>
          </w:tcPr>
          <w:p w14:paraId="08EBE4C6"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Mu</w:t>
            </w:r>
            <w:r w:rsidRPr="00A860A1">
              <w:rPr>
                <w:color w:val="1A2A3F"/>
                <w:w w:val="105"/>
              </w:rPr>
              <w:t>l</w:t>
            </w:r>
            <w:r w:rsidRPr="00A860A1">
              <w:rPr>
                <w:color w:val="4B494F"/>
                <w:w w:val="105"/>
              </w:rPr>
              <w:t>t</w:t>
            </w:r>
            <w:r w:rsidRPr="00A860A1">
              <w:rPr>
                <w:color w:val="343436"/>
                <w:w w:val="105"/>
              </w:rPr>
              <w:t>i</w:t>
            </w:r>
            <w:r w:rsidRPr="00A860A1">
              <w:rPr>
                <w:color w:val="67696B"/>
                <w:w w:val="105"/>
              </w:rPr>
              <w:t>c</w:t>
            </w:r>
            <w:r w:rsidRPr="00A860A1">
              <w:rPr>
                <w:color w:val="4B494F"/>
                <w:w w:val="105"/>
              </w:rPr>
              <w:t>e</w:t>
            </w:r>
            <w:r w:rsidRPr="00A860A1">
              <w:rPr>
                <w:color w:val="67696B"/>
                <w:w w:val="105"/>
              </w:rPr>
              <w:t>n</w:t>
            </w:r>
            <w:r w:rsidRPr="00A860A1">
              <w:rPr>
                <w:color w:val="343436"/>
                <w:w w:val="105"/>
              </w:rPr>
              <w:t>t</w:t>
            </w:r>
            <w:r w:rsidRPr="00A860A1">
              <w:rPr>
                <w:color w:val="67696B"/>
                <w:w w:val="105"/>
              </w:rPr>
              <w:t>r</w:t>
            </w:r>
            <w:r w:rsidRPr="00A860A1">
              <w:rPr>
                <w:color w:val="4B494F"/>
                <w:w w:val="105"/>
              </w:rPr>
              <w:t>e</w:t>
            </w:r>
            <w:r w:rsidRPr="00A860A1">
              <w:rPr>
                <w:color w:val="67696B"/>
                <w:w w:val="105"/>
              </w:rPr>
              <w:t>,</w:t>
            </w:r>
            <w:r w:rsidRPr="00A860A1">
              <w:rPr>
                <w:color w:val="67696B"/>
                <w:spacing w:val="-11"/>
                <w:w w:val="105"/>
              </w:rPr>
              <w:t xml:space="preserve"> </w:t>
            </w:r>
            <w:r w:rsidRPr="00A860A1">
              <w:rPr>
                <w:color w:val="67696B"/>
                <w:w w:val="105"/>
              </w:rPr>
              <w:t>r</w:t>
            </w:r>
            <w:r w:rsidRPr="00A860A1">
              <w:rPr>
                <w:color w:val="4B494F"/>
                <w:w w:val="105"/>
              </w:rPr>
              <w:t>andomised</w:t>
            </w:r>
            <w:r w:rsidRPr="00A860A1">
              <w:rPr>
                <w:color w:val="67696B"/>
                <w:w w:val="105"/>
              </w:rPr>
              <w:t xml:space="preserve">, </w:t>
            </w:r>
            <w:r w:rsidRPr="00A860A1">
              <w:rPr>
                <w:color w:val="59595D"/>
                <w:w w:val="105"/>
              </w:rPr>
              <w:t>placebo-con</w:t>
            </w:r>
            <w:r w:rsidRPr="00A860A1">
              <w:rPr>
                <w:color w:val="343436"/>
                <w:w w:val="105"/>
              </w:rPr>
              <w:t>t</w:t>
            </w:r>
            <w:r w:rsidRPr="00A860A1">
              <w:rPr>
                <w:color w:val="59595D"/>
                <w:w w:val="105"/>
              </w:rPr>
              <w:t>rolled,</w:t>
            </w:r>
            <w:r w:rsidRPr="00A860A1">
              <w:rPr>
                <w:color w:val="59595D"/>
                <w:spacing w:val="-11"/>
                <w:w w:val="105"/>
              </w:rPr>
              <w:t xml:space="preserve"> </w:t>
            </w:r>
            <w:r w:rsidRPr="00A860A1">
              <w:rPr>
                <w:color w:val="59595D"/>
                <w:w w:val="105"/>
              </w:rPr>
              <w:t xml:space="preserve">double- </w:t>
            </w:r>
            <w:r w:rsidRPr="00A860A1">
              <w:rPr>
                <w:color w:val="59595D"/>
                <w:spacing w:val="-2"/>
                <w:w w:val="105"/>
              </w:rPr>
              <w:t>blind</w:t>
            </w:r>
            <w:r w:rsidRPr="00A860A1">
              <w:rPr>
                <w:color w:val="343436"/>
                <w:spacing w:val="-2"/>
                <w:w w:val="105"/>
              </w:rPr>
              <w:t>.</w:t>
            </w:r>
          </w:p>
        </w:tc>
        <w:tc>
          <w:tcPr>
            <w:tcW w:w="2415" w:type="dxa"/>
          </w:tcPr>
          <w:p w14:paraId="5CB42DC9"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Multicentre,</w:t>
            </w:r>
            <w:r w:rsidRPr="00A860A1">
              <w:rPr>
                <w:color w:val="59595D"/>
                <w:spacing w:val="-13"/>
                <w:w w:val="105"/>
              </w:rPr>
              <w:t xml:space="preserve"> </w:t>
            </w:r>
            <w:r w:rsidRPr="00A860A1">
              <w:rPr>
                <w:color w:val="59595D"/>
                <w:w w:val="105"/>
              </w:rPr>
              <w:t>OL</w:t>
            </w:r>
            <w:r w:rsidRPr="00A860A1">
              <w:rPr>
                <w:color w:val="343436"/>
                <w:w w:val="105"/>
              </w:rPr>
              <w:t>E</w:t>
            </w:r>
            <w:r w:rsidRPr="00A860A1">
              <w:rPr>
                <w:color w:val="67696B"/>
                <w:w w:val="105"/>
              </w:rPr>
              <w:t>,</w:t>
            </w:r>
            <w:r w:rsidRPr="00A860A1">
              <w:rPr>
                <w:color w:val="67696B"/>
                <w:spacing w:val="-11"/>
                <w:w w:val="105"/>
              </w:rPr>
              <w:t xml:space="preserve"> </w:t>
            </w:r>
            <w:r w:rsidRPr="00A860A1">
              <w:rPr>
                <w:color w:val="59595D"/>
                <w:w w:val="105"/>
              </w:rPr>
              <w:t xml:space="preserve">non- </w:t>
            </w:r>
            <w:r w:rsidRPr="00A860A1">
              <w:rPr>
                <w:color w:val="4B494F"/>
                <w:spacing w:val="-2"/>
                <w:w w:val="105"/>
              </w:rPr>
              <w:t>ra</w:t>
            </w:r>
            <w:r w:rsidRPr="00A860A1">
              <w:rPr>
                <w:color w:val="67696B"/>
                <w:spacing w:val="-2"/>
                <w:w w:val="105"/>
              </w:rPr>
              <w:t>ndo</w:t>
            </w:r>
            <w:r w:rsidRPr="00A860A1">
              <w:rPr>
                <w:color w:val="4B494F"/>
                <w:spacing w:val="-2"/>
                <w:w w:val="105"/>
              </w:rPr>
              <w:t>mise</w:t>
            </w:r>
            <w:r w:rsidRPr="00A860A1">
              <w:rPr>
                <w:color w:val="67696B"/>
                <w:spacing w:val="-2"/>
                <w:w w:val="105"/>
              </w:rPr>
              <w:t>d.</w:t>
            </w:r>
          </w:p>
        </w:tc>
      </w:tr>
      <w:tr w:rsidR="00A860A1" w:rsidRPr="00A860A1" w14:paraId="6EFDD3B4" w14:textId="77777777" w:rsidTr="00D56544">
        <w:trPr>
          <w:trHeight w:val="904"/>
        </w:trPr>
        <w:tc>
          <w:tcPr>
            <w:cnfStyle w:val="001000000000" w:firstRow="0" w:lastRow="0" w:firstColumn="1" w:lastColumn="0" w:oddVBand="0" w:evenVBand="0" w:oddHBand="0" w:evenHBand="0" w:firstRowFirstColumn="0" w:firstRowLastColumn="0" w:lastRowFirstColumn="0" w:lastRowLastColumn="0"/>
            <w:tcW w:w="1731" w:type="dxa"/>
          </w:tcPr>
          <w:p w14:paraId="3D3BABBB" w14:textId="77777777" w:rsidR="00A860A1" w:rsidRPr="00E65859" w:rsidRDefault="00A860A1" w:rsidP="00D56544">
            <w:pPr>
              <w:rPr>
                <w:color w:val="000000" w:themeColor="text1"/>
              </w:rPr>
            </w:pPr>
            <w:r w:rsidRPr="00E65859">
              <w:rPr>
                <w:color w:val="000000" w:themeColor="text1"/>
                <w:w w:val="105"/>
              </w:rPr>
              <w:t>Primary</w:t>
            </w:r>
            <w:r w:rsidRPr="00E65859">
              <w:rPr>
                <w:color w:val="000000" w:themeColor="text1"/>
                <w:spacing w:val="-9"/>
                <w:w w:val="105"/>
              </w:rPr>
              <w:t xml:space="preserve"> </w:t>
            </w:r>
            <w:r w:rsidRPr="00E65859">
              <w:rPr>
                <w:color w:val="000000" w:themeColor="text1"/>
                <w:spacing w:val="-2"/>
                <w:w w:val="105"/>
              </w:rPr>
              <w:t>Objective</w:t>
            </w:r>
          </w:p>
        </w:tc>
        <w:tc>
          <w:tcPr>
            <w:tcW w:w="2423" w:type="dxa"/>
          </w:tcPr>
          <w:p w14:paraId="3537FD6D" w14:textId="3EC83E03"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Dose-PD</w:t>
            </w:r>
            <w:r w:rsidRPr="00A860A1">
              <w:rPr>
                <w:color w:val="59595D"/>
                <w:spacing w:val="-3"/>
                <w:w w:val="105"/>
              </w:rPr>
              <w:t xml:space="preserve"> </w:t>
            </w:r>
            <w:r w:rsidRPr="00A860A1">
              <w:rPr>
                <w:color w:val="59595D"/>
                <w:w w:val="105"/>
              </w:rPr>
              <w:t>and</w:t>
            </w:r>
            <w:r w:rsidRPr="00A860A1">
              <w:rPr>
                <w:color w:val="59595D"/>
                <w:spacing w:val="-5"/>
                <w:w w:val="105"/>
              </w:rPr>
              <w:t xml:space="preserve"> </w:t>
            </w:r>
            <w:r w:rsidRPr="00A860A1">
              <w:rPr>
                <w:color w:val="59595D"/>
                <w:w w:val="105"/>
              </w:rPr>
              <w:t>PK/PD</w:t>
            </w:r>
            <w:r w:rsidR="00C85F7F">
              <w:rPr>
                <w:color w:val="59595D"/>
                <w:w w:val="105"/>
              </w:rPr>
              <w:t xml:space="preserve"> </w:t>
            </w:r>
            <w:r w:rsidRPr="00A860A1">
              <w:rPr>
                <w:color w:val="4B494F"/>
                <w:w w:val="105"/>
              </w:rPr>
              <w:t>for</w:t>
            </w:r>
            <w:r w:rsidRPr="00A860A1">
              <w:rPr>
                <w:color w:val="4B494F"/>
                <w:spacing w:val="40"/>
                <w:w w:val="105"/>
              </w:rPr>
              <w:t xml:space="preserve"> </w:t>
            </w:r>
            <w:r w:rsidRPr="00A860A1">
              <w:rPr>
                <w:color w:val="59595D"/>
                <w:w w:val="105"/>
              </w:rPr>
              <w:t>dose se</w:t>
            </w:r>
            <w:r w:rsidRPr="00A860A1">
              <w:rPr>
                <w:color w:val="343436"/>
                <w:w w:val="105"/>
              </w:rPr>
              <w:t>l</w:t>
            </w:r>
            <w:r w:rsidRPr="00A860A1">
              <w:rPr>
                <w:color w:val="59595D"/>
                <w:w w:val="105"/>
              </w:rPr>
              <w:t>ect</w:t>
            </w:r>
            <w:r w:rsidRPr="00A860A1">
              <w:rPr>
                <w:color w:val="343436"/>
                <w:w w:val="105"/>
              </w:rPr>
              <w:t>i</w:t>
            </w:r>
            <w:r w:rsidRPr="00A860A1">
              <w:rPr>
                <w:color w:val="67696B"/>
                <w:w w:val="105"/>
              </w:rPr>
              <w:t xml:space="preserve">on </w:t>
            </w:r>
            <w:r w:rsidRPr="00A860A1">
              <w:rPr>
                <w:color w:val="59595D"/>
                <w:w w:val="105"/>
              </w:rPr>
              <w:t>safety</w:t>
            </w:r>
            <w:r w:rsidRPr="00A860A1">
              <w:rPr>
                <w:color w:val="59595D"/>
                <w:spacing w:val="-16"/>
                <w:w w:val="105"/>
              </w:rPr>
              <w:t xml:space="preserve"> </w:t>
            </w:r>
            <w:r w:rsidRPr="00A860A1">
              <w:rPr>
                <w:color w:val="59595D"/>
                <w:w w:val="105"/>
              </w:rPr>
              <w:t>and</w:t>
            </w:r>
            <w:r w:rsidRPr="00A860A1">
              <w:rPr>
                <w:color w:val="59595D"/>
                <w:spacing w:val="-8"/>
                <w:w w:val="105"/>
              </w:rPr>
              <w:t xml:space="preserve"> </w:t>
            </w:r>
            <w:r w:rsidRPr="00A860A1">
              <w:rPr>
                <w:color w:val="59595D"/>
                <w:w w:val="105"/>
              </w:rPr>
              <w:t>tolerab</w:t>
            </w:r>
            <w:r w:rsidRPr="00A860A1">
              <w:rPr>
                <w:color w:val="343436"/>
                <w:w w:val="105"/>
              </w:rPr>
              <w:t>il</w:t>
            </w:r>
            <w:r w:rsidRPr="00A860A1">
              <w:rPr>
                <w:color w:val="59595D"/>
                <w:w w:val="105"/>
              </w:rPr>
              <w:t>ity</w:t>
            </w:r>
          </w:p>
        </w:tc>
        <w:tc>
          <w:tcPr>
            <w:tcW w:w="2431" w:type="dxa"/>
          </w:tcPr>
          <w:p w14:paraId="28AA524E" w14:textId="7A1622BB"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w w:val="105"/>
              </w:rPr>
              <w:t>C</w:t>
            </w:r>
            <w:r w:rsidRPr="00A860A1">
              <w:rPr>
                <w:color w:val="67696B"/>
                <w:w w:val="105"/>
              </w:rPr>
              <w:t>lin</w:t>
            </w:r>
            <w:r w:rsidRPr="00A860A1">
              <w:rPr>
                <w:color w:val="4B494F"/>
                <w:w w:val="105"/>
              </w:rPr>
              <w:t>ical</w:t>
            </w:r>
            <w:r w:rsidRPr="00A860A1">
              <w:rPr>
                <w:color w:val="4B494F"/>
                <w:spacing w:val="-13"/>
                <w:w w:val="105"/>
              </w:rPr>
              <w:t xml:space="preserve"> </w:t>
            </w:r>
            <w:r w:rsidRPr="00A860A1">
              <w:rPr>
                <w:color w:val="59595D"/>
                <w:w w:val="105"/>
              </w:rPr>
              <w:t xml:space="preserve">efficacy: </w:t>
            </w:r>
            <w:r w:rsidRPr="00A860A1">
              <w:rPr>
                <w:color w:val="4B494F"/>
                <w:w w:val="105"/>
              </w:rPr>
              <w:t>ly</w:t>
            </w:r>
            <w:r w:rsidRPr="00A860A1">
              <w:rPr>
                <w:color w:val="67696B"/>
                <w:w w:val="105"/>
              </w:rPr>
              <w:t>mphadenopa</w:t>
            </w:r>
            <w:r w:rsidRPr="00A860A1">
              <w:rPr>
                <w:color w:val="4B494F"/>
                <w:w w:val="105"/>
              </w:rPr>
              <w:t>t</w:t>
            </w:r>
            <w:r w:rsidRPr="00A860A1">
              <w:rPr>
                <w:color w:val="67696B"/>
                <w:w w:val="105"/>
              </w:rPr>
              <w:t>h</w:t>
            </w:r>
            <w:r w:rsidRPr="00A860A1">
              <w:rPr>
                <w:color w:val="4B494F"/>
                <w:w w:val="105"/>
              </w:rPr>
              <w:t>y</w:t>
            </w:r>
            <w:r w:rsidRPr="00A860A1">
              <w:rPr>
                <w:color w:val="4B494F"/>
                <w:spacing w:val="-11"/>
                <w:w w:val="105"/>
              </w:rPr>
              <w:t xml:space="preserve"> </w:t>
            </w:r>
            <w:r w:rsidRPr="00A860A1">
              <w:rPr>
                <w:color w:val="59595D"/>
                <w:w w:val="105"/>
              </w:rPr>
              <w:t xml:space="preserve">and </w:t>
            </w:r>
            <w:r w:rsidRPr="00A860A1">
              <w:rPr>
                <w:color w:val="4B494F"/>
                <w:spacing w:val="-2"/>
                <w:w w:val="105"/>
              </w:rPr>
              <w:t>immu</w:t>
            </w:r>
            <w:r w:rsidRPr="00A860A1">
              <w:rPr>
                <w:color w:val="67696B"/>
                <w:spacing w:val="-2"/>
                <w:w w:val="105"/>
              </w:rPr>
              <w:t>noph</w:t>
            </w:r>
            <w:r w:rsidRPr="00A860A1">
              <w:rPr>
                <w:color w:val="4B494F"/>
                <w:spacing w:val="-2"/>
                <w:w w:val="105"/>
              </w:rPr>
              <w:t>enoty</w:t>
            </w:r>
            <w:r w:rsidRPr="00A860A1">
              <w:rPr>
                <w:color w:val="67696B"/>
                <w:spacing w:val="-2"/>
                <w:w w:val="105"/>
              </w:rPr>
              <w:t>p</w:t>
            </w:r>
            <w:r w:rsidRPr="00A860A1">
              <w:rPr>
                <w:color w:val="4B494F"/>
                <w:spacing w:val="-2"/>
                <w:w w:val="105"/>
              </w:rPr>
              <w:t>e</w:t>
            </w:r>
            <w:r w:rsidR="00D56544">
              <w:rPr>
                <w:color w:val="4B494F"/>
                <w:spacing w:val="-2"/>
                <w:w w:val="105"/>
              </w:rPr>
              <w:t xml:space="preserve"> </w:t>
            </w:r>
            <w:r w:rsidRPr="00A860A1">
              <w:rPr>
                <w:color w:val="59595D"/>
                <w:spacing w:val="-2"/>
                <w:w w:val="105"/>
              </w:rPr>
              <w:t>normalisation</w:t>
            </w:r>
          </w:p>
        </w:tc>
        <w:tc>
          <w:tcPr>
            <w:tcW w:w="2415" w:type="dxa"/>
          </w:tcPr>
          <w:p w14:paraId="292441D2"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rPr>
              <w:t>Long</w:t>
            </w:r>
            <w:r w:rsidRPr="00A860A1">
              <w:rPr>
                <w:color w:val="343436"/>
              </w:rPr>
              <w:t>-</w:t>
            </w:r>
            <w:r w:rsidRPr="00A860A1">
              <w:rPr>
                <w:color w:val="59595D"/>
              </w:rPr>
              <w:t>term sa</w:t>
            </w:r>
            <w:r w:rsidRPr="00A860A1">
              <w:rPr>
                <w:color w:val="343436"/>
              </w:rPr>
              <w:t>f</w:t>
            </w:r>
            <w:r w:rsidRPr="00A860A1">
              <w:rPr>
                <w:color w:val="59595D"/>
              </w:rPr>
              <w:t xml:space="preserve">ety and </w:t>
            </w:r>
            <w:r w:rsidRPr="00A860A1">
              <w:rPr>
                <w:color w:val="59595D"/>
                <w:spacing w:val="-2"/>
                <w:w w:val="110"/>
              </w:rPr>
              <w:t>tolerability</w:t>
            </w:r>
          </w:p>
        </w:tc>
      </w:tr>
      <w:tr w:rsidR="00A860A1" w:rsidRPr="00A860A1" w14:paraId="0148EACD" w14:textId="77777777" w:rsidTr="00D56544">
        <w:trPr>
          <w:trHeight w:val="701"/>
        </w:trPr>
        <w:tc>
          <w:tcPr>
            <w:cnfStyle w:val="001000000000" w:firstRow="0" w:lastRow="0" w:firstColumn="1" w:lastColumn="0" w:oddVBand="0" w:evenVBand="0" w:oddHBand="0" w:evenHBand="0" w:firstRowFirstColumn="0" w:firstRowLastColumn="0" w:lastRowFirstColumn="0" w:lastRowLastColumn="0"/>
            <w:tcW w:w="1731" w:type="dxa"/>
          </w:tcPr>
          <w:p w14:paraId="1AAF85FF" w14:textId="77777777" w:rsidR="00A860A1" w:rsidRPr="00E65859" w:rsidRDefault="00A860A1" w:rsidP="00D56544">
            <w:pPr>
              <w:rPr>
                <w:color w:val="000000" w:themeColor="text1"/>
              </w:rPr>
            </w:pPr>
            <w:r w:rsidRPr="00E65859">
              <w:rPr>
                <w:color w:val="000000" w:themeColor="text1"/>
              </w:rPr>
              <w:lastRenderedPageBreak/>
              <w:t xml:space="preserve">Secondary </w:t>
            </w:r>
            <w:r w:rsidRPr="00E65859">
              <w:rPr>
                <w:color w:val="000000" w:themeColor="text1"/>
                <w:spacing w:val="-2"/>
              </w:rPr>
              <w:t>Objective</w:t>
            </w:r>
          </w:p>
        </w:tc>
        <w:tc>
          <w:tcPr>
            <w:tcW w:w="2423" w:type="dxa"/>
          </w:tcPr>
          <w:p w14:paraId="5AB446CD"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P</w:t>
            </w:r>
            <w:r w:rsidRPr="00A860A1">
              <w:rPr>
                <w:color w:val="343436"/>
                <w:w w:val="105"/>
              </w:rPr>
              <w:t>K</w:t>
            </w:r>
            <w:r w:rsidRPr="00A860A1">
              <w:rPr>
                <w:color w:val="67696B"/>
                <w:w w:val="105"/>
              </w:rPr>
              <w:t xml:space="preserve">, </w:t>
            </w:r>
            <w:r w:rsidRPr="00A860A1">
              <w:rPr>
                <w:color w:val="59595D"/>
                <w:w w:val="105"/>
              </w:rPr>
              <w:t>clinical</w:t>
            </w:r>
            <w:r w:rsidRPr="00A860A1">
              <w:rPr>
                <w:color w:val="59595D"/>
                <w:spacing w:val="-2"/>
                <w:w w:val="105"/>
              </w:rPr>
              <w:t xml:space="preserve"> </w:t>
            </w:r>
            <w:r w:rsidRPr="00A860A1">
              <w:rPr>
                <w:color w:val="67696B"/>
                <w:w w:val="105"/>
              </w:rPr>
              <w:t>ou</w:t>
            </w:r>
            <w:r w:rsidRPr="00A860A1">
              <w:rPr>
                <w:color w:val="4B494F"/>
                <w:w w:val="105"/>
              </w:rPr>
              <w:t>t</w:t>
            </w:r>
            <w:r w:rsidRPr="00A860A1">
              <w:rPr>
                <w:color w:val="67696B"/>
                <w:w w:val="105"/>
              </w:rPr>
              <w:t>com</w:t>
            </w:r>
            <w:r w:rsidRPr="00A860A1">
              <w:rPr>
                <w:color w:val="4B494F"/>
                <w:w w:val="105"/>
              </w:rPr>
              <w:t xml:space="preserve">e </w:t>
            </w:r>
            <w:r w:rsidRPr="00A860A1">
              <w:rPr>
                <w:color w:val="59595D"/>
              </w:rPr>
              <w:t>assessments,</w:t>
            </w:r>
            <w:r w:rsidRPr="00A860A1">
              <w:rPr>
                <w:color w:val="59595D"/>
                <w:spacing w:val="-9"/>
              </w:rPr>
              <w:t xml:space="preserve"> </w:t>
            </w:r>
            <w:r w:rsidRPr="00A860A1">
              <w:rPr>
                <w:color w:val="67696B"/>
              </w:rPr>
              <w:t>and</w:t>
            </w:r>
            <w:r w:rsidRPr="00A860A1">
              <w:rPr>
                <w:color w:val="67696B"/>
                <w:spacing w:val="14"/>
              </w:rPr>
              <w:t xml:space="preserve"> </w:t>
            </w:r>
            <w:r w:rsidRPr="00A860A1">
              <w:rPr>
                <w:color w:val="59595D"/>
              </w:rPr>
              <w:t>biomarkers</w:t>
            </w:r>
          </w:p>
        </w:tc>
        <w:tc>
          <w:tcPr>
            <w:tcW w:w="2431" w:type="dxa"/>
          </w:tcPr>
          <w:p w14:paraId="510D0508"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w w:val="105"/>
              </w:rPr>
              <w:t>Safety,</w:t>
            </w:r>
            <w:r w:rsidRPr="00A860A1">
              <w:rPr>
                <w:color w:val="59595D"/>
                <w:spacing w:val="-11"/>
                <w:w w:val="105"/>
              </w:rPr>
              <w:t xml:space="preserve"> </w:t>
            </w:r>
            <w:r w:rsidRPr="00A860A1">
              <w:rPr>
                <w:color w:val="59595D"/>
                <w:w w:val="105"/>
              </w:rPr>
              <w:t>PK,</w:t>
            </w:r>
            <w:r w:rsidRPr="00A860A1">
              <w:rPr>
                <w:color w:val="59595D"/>
                <w:spacing w:val="-8"/>
                <w:w w:val="105"/>
              </w:rPr>
              <w:t xml:space="preserve"> </w:t>
            </w:r>
            <w:r w:rsidRPr="00A860A1">
              <w:rPr>
                <w:color w:val="59595D"/>
                <w:w w:val="105"/>
              </w:rPr>
              <w:t>clinical</w:t>
            </w:r>
            <w:r w:rsidRPr="00A860A1">
              <w:rPr>
                <w:color w:val="59595D"/>
                <w:spacing w:val="-2"/>
                <w:w w:val="105"/>
              </w:rPr>
              <w:t xml:space="preserve"> </w:t>
            </w:r>
            <w:r w:rsidRPr="00A860A1">
              <w:rPr>
                <w:color w:val="67696B"/>
                <w:w w:val="105"/>
              </w:rPr>
              <w:t>ou</w:t>
            </w:r>
            <w:r w:rsidRPr="00A860A1">
              <w:rPr>
                <w:color w:val="343436"/>
                <w:w w:val="105"/>
              </w:rPr>
              <w:t>t</w:t>
            </w:r>
            <w:r w:rsidRPr="00A860A1">
              <w:rPr>
                <w:color w:val="67696B"/>
                <w:w w:val="105"/>
              </w:rPr>
              <w:t>com</w:t>
            </w:r>
            <w:r w:rsidRPr="00A860A1">
              <w:rPr>
                <w:color w:val="4B494F"/>
                <w:w w:val="105"/>
              </w:rPr>
              <w:t xml:space="preserve">e </w:t>
            </w:r>
            <w:r w:rsidRPr="00A860A1">
              <w:rPr>
                <w:color w:val="4B494F"/>
              </w:rPr>
              <w:t>assessments,</w:t>
            </w:r>
            <w:r w:rsidRPr="00A860A1">
              <w:rPr>
                <w:color w:val="4B494F"/>
                <w:spacing w:val="-1"/>
              </w:rPr>
              <w:t xml:space="preserve"> </w:t>
            </w:r>
            <w:r w:rsidRPr="00A860A1">
              <w:rPr>
                <w:color w:val="4B494F"/>
              </w:rPr>
              <w:t xml:space="preserve">and </w:t>
            </w:r>
            <w:r w:rsidRPr="00A860A1">
              <w:rPr>
                <w:color w:val="59595D"/>
              </w:rPr>
              <w:t>biomarke</w:t>
            </w:r>
            <w:r w:rsidRPr="00A860A1">
              <w:rPr>
                <w:color w:val="343436"/>
              </w:rPr>
              <w:t>r</w:t>
            </w:r>
            <w:r w:rsidRPr="00A860A1">
              <w:rPr>
                <w:color w:val="59595D"/>
              </w:rPr>
              <w:t>s</w:t>
            </w:r>
          </w:p>
        </w:tc>
        <w:tc>
          <w:tcPr>
            <w:tcW w:w="2415" w:type="dxa"/>
          </w:tcPr>
          <w:p w14:paraId="7B86E695"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w w:val="105"/>
              </w:rPr>
              <w:t>L</w:t>
            </w:r>
            <w:r w:rsidRPr="00A860A1">
              <w:rPr>
                <w:color w:val="67696B"/>
                <w:w w:val="105"/>
              </w:rPr>
              <w:t>ong-</w:t>
            </w:r>
            <w:r w:rsidRPr="00A860A1">
              <w:rPr>
                <w:color w:val="4B494F"/>
                <w:w w:val="105"/>
              </w:rPr>
              <w:t>term effi</w:t>
            </w:r>
            <w:r w:rsidRPr="00A860A1">
              <w:rPr>
                <w:color w:val="67696B"/>
                <w:w w:val="105"/>
              </w:rPr>
              <w:t>cacy:</w:t>
            </w:r>
            <w:r w:rsidRPr="00A860A1">
              <w:rPr>
                <w:color w:val="67696B"/>
                <w:spacing w:val="-13"/>
                <w:w w:val="105"/>
              </w:rPr>
              <w:t xml:space="preserve"> </w:t>
            </w:r>
            <w:r w:rsidRPr="00A860A1">
              <w:rPr>
                <w:color w:val="59595D"/>
                <w:w w:val="105"/>
              </w:rPr>
              <w:t xml:space="preserve">clinical </w:t>
            </w:r>
            <w:r w:rsidRPr="00A860A1">
              <w:rPr>
                <w:color w:val="67696B"/>
                <w:w w:val="105"/>
              </w:rPr>
              <w:t>outcome</w:t>
            </w:r>
            <w:r w:rsidRPr="00A860A1">
              <w:rPr>
                <w:color w:val="67696B"/>
                <w:spacing w:val="-17"/>
                <w:w w:val="105"/>
              </w:rPr>
              <w:t xml:space="preserve"> </w:t>
            </w:r>
            <w:r w:rsidRPr="00A860A1">
              <w:rPr>
                <w:color w:val="59595D"/>
                <w:w w:val="105"/>
              </w:rPr>
              <w:t>assessments, biomarkers,</w:t>
            </w:r>
            <w:r w:rsidRPr="00A860A1">
              <w:rPr>
                <w:color w:val="59595D"/>
                <w:spacing w:val="-12"/>
                <w:w w:val="105"/>
              </w:rPr>
              <w:t xml:space="preserve"> </w:t>
            </w:r>
            <w:r w:rsidRPr="00A860A1">
              <w:rPr>
                <w:color w:val="59595D"/>
                <w:w w:val="105"/>
              </w:rPr>
              <w:t>PK,</w:t>
            </w:r>
            <w:r w:rsidRPr="00A860A1">
              <w:rPr>
                <w:color w:val="59595D"/>
                <w:spacing w:val="-20"/>
                <w:w w:val="105"/>
              </w:rPr>
              <w:t xml:space="preserve"> </w:t>
            </w:r>
            <w:r w:rsidRPr="00A860A1">
              <w:rPr>
                <w:color w:val="4B494F"/>
                <w:w w:val="105"/>
              </w:rPr>
              <w:t>a</w:t>
            </w:r>
            <w:r w:rsidRPr="00A860A1">
              <w:rPr>
                <w:color w:val="67696B"/>
                <w:w w:val="105"/>
              </w:rPr>
              <w:t>nd</w:t>
            </w:r>
            <w:r w:rsidRPr="00A860A1">
              <w:rPr>
                <w:color w:val="67696B"/>
                <w:spacing w:val="-11"/>
                <w:w w:val="105"/>
              </w:rPr>
              <w:t xml:space="preserve"> </w:t>
            </w:r>
            <w:r w:rsidRPr="00A860A1">
              <w:rPr>
                <w:color w:val="59595D"/>
                <w:w w:val="105"/>
              </w:rPr>
              <w:t>relative</w:t>
            </w:r>
            <w:r w:rsidRPr="00A860A1">
              <w:rPr>
                <w:color w:val="59595D"/>
                <w:spacing w:val="-17"/>
                <w:w w:val="105"/>
              </w:rPr>
              <w:t xml:space="preserve"> </w:t>
            </w:r>
            <w:r w:rsidRPr="00A860A1">
              <w:rPr>
                <w:color w:val="4B494F"/>
                <w:w w:val="105"/>
              </w:rPr>
              <w:t>BA</w:t>
            </w:r>
          </w:p>
        </w:tc>
      </w:tr>
      <w:tr w:rsidR="00A860A1" w:rsidRPr="00A860A1" w14:paraId="5C0ABB65" w14:textId="77777777" w:rsidTr="00D56544">
        <w:trPr>
          <w:trHeight w:val="473"/>
        </w:trPr>
        <w:tc>
          <w:tcPr>
            <w:cnfStyle w:val="001000000000" w:firstRow="0" w:lastRow="0" w:firstColumn="1" w:lastColumn="0" w:oddVBand="0" w:evenVBand="0" w:oddHBand="0" w:evenHBand="0" w:firstRowFirstColumn="0" w:firstRowLastColumn="0" w:lastRowFirstColumn="0" w:lastRowLastColumn="0"/>
            <w:tcW w:w="1731" w:type="dxa"/>
          </w:tcPr>
          <w:p w14:paraId="656479EF" w14:textId="77777777" w:rsidR="00A860A1" w:rsidRPr="00E65859" w:rsidRDefault="00A860A1" w:rsidP="00D56544">
            <w:pPr>
              <w:rPr>
                <w:color w:val="000000" w:themeColor="text1"/>
              </w:rPr>
            </w:pPr>
            <w:r w:rsidRPr="00E65859">
              <w:rPr>
                <w:color w:val="000000" w:themeColor="text1"/>
                <w:spacing w:val="-2"/>
                <w:w w:val="105"/>
              </w:rPr>
              <w:t>Patients:</w:t>
            </w:r>
            <w:r w:rsidRPr="00E65859">
              <w:rPr>
                <w:color w:val="000000" w:themeColor="text1"/>
                <w:spacing w:val="-22"/>
                <w:w w:val="105"/>
              </w:rPr>
              <w:t xml:space="preserve"> </w:t>
            </w:r>
            <w:r w:rsidRPr="00E65859">
              <w:rPr>
                <w:color w:val="000000" w:themeColor="text1"/>
                <w:spacing w:val="-2"/>
                <w:w w:val="105"/>
              </w:rPr>
              <w:t xml:space="preserve">Planned </w:t>
            </w:r>
            <w:r w:rsidRPr="00E65859">
              <w:rPr>
                <w:color w:val="000000" w:themeColor="text1"/>
                <w:w w:val="105"/>
              </w:rPr>
              <w:t>(n)/Actual</w:t>
            </w:r>
            <w:r w:rsidRPr="00E65859">
              <w:rPr>
                <w:color w:val="000000" w:themeColor="text1"/>
                <w:spacing w:val="-17"/>
                <w:w w:val="105"/>
              </w:rPr>
              <w:t xml:space="preserve"> </w:t>
            </w:r>
            <w:r w:rsidRPr="00E65859">
              <w:rPr>
                <w:color w:val="000000" w:themeColor="text1"/>
                <w:w w:val="105"/>
              </w:rPr>
              <w:t>(n)</w:t>
            </w:r>
          </w:p>
        </w:tc>
        <w:tc>
          <w:tcPr>
            <w:tcW w:w="2423" w:type="dxa"/>
          </w:tcPr>
          <w:p w14:paraId="5AA6C042"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5"/>
                <w:w w:val="105"/>
              </w:rPr>
              <w:t>6/6</w:t>
            </w:r>
          </w:p>
        </w:tc>
        <w:tc>
          <w:tcPr>
            <w:tcW w:w="2431" w:type="dxa"/>
          </w:tcPr>
          <w:p w14:paraId="4A2A81A3" w14:textId="72912B50"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2"/>
                <w:w w:val="110"/>
              </w:rPr>
              <w:t>30/31(leniolisib</w:t>
            </w:r>
            <w:r w:rsidRPr="00A860A1">
              <w:rPr>
                <w:color w:val="59595D"/>
                <w:spacing w:val="-14"/>
                <w:w w:val="110"/>
              </w:rPr>
              <w:t xml:space="preserve"> </w:t>
            </w:r>
            <w:r w:rsidRPr="00A860A1">
              <w:rPr>
                <w:color w:val="59595D"/>
                <w:spacing w:val="-2"/>
                <w:w w:val="110"/>
              </w:rPr>
              <w:t>n=21;</w:t>
            </w:r>
            <w:r w:rsidRPr="00A860A1">
              <w:rPr>
                <w:color w:val="59595D"/>
                <w:spacing w:val="-25"/>
                <w:w w:val="110"/>
              </w:rPr>
              <w:t xml:space="preserve"> </w:t>
            </w:r>
            <w:r w:rsidRPr="00A860A1">
              <w:rPr>
                <w:color w:val="59595D"/>
                <w:spacing w:val="-2"/>
                <w:w w:val="110"/>
              </w:rPr>
              <w:t>p</w:t>
            </w:r>
            <w:r w:rsidRPr="00A860A1">
              <w:rPr>
                <w:color w:val="241D23"/>
                <w:spacing w:val="-2"/>
                <w:w w:val="110"/>
              </w:rPr>
              <w:t>l</w:t>
            </w:r>
            <w:r w:rsidRPr="00A860A1">
              <w:rPr>
                <w:color w:val="59595D"/>
                <w:spacing w:val="-2"/>
                <w:w w:val="110"/>
              </w:rPr>
              <w:t xml:space="preserve">acebo </w:t>
            </w:r>
            <w:r w:rsidRPr="00A860A1">
              <w:rPr>
                <w:color w:val="4B494F"/>
                <w:spacing w:val="-2"/>
                <w:w w:val="110"/>
              </w:rPr>
              <w:t>n=</w:t>
            </w:r>
            <w:r w:rsidR="00827427">
              <w:rPr>
                <w:color w:val="4B494F"/>
                <w:spacing w:val="-2"/>
                <w:w w:val="110"/>
              </w:rPr>
              <w:t>10</w:t>
            </w:r>
            <w:r w:rsidRPr="00A860A1">
              <w:rPr>
                <w:color w:val="4B494F"/>
                <w:spacing w:val="-2"/>
                <w:w w:val="110"/>
              </w:rPr>
              <w:t>)</w:t>
            </w:r>
          </w:p>
        </w:tc>
        <w:tc>
          <w:tcPr>
            <w:tcW w:w="2415" w:type="dxa"/>
          </w:tcPr>
          <w:p w14:paraId="5BBC2600"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spacing w:val="-2"/>
                <w:w w:val="110"/>
              </w:rPr>
              <w:t>42</w:t>
            </w:r>
            <w:r w:rsidRPr="00A860A1">
              <w:rPr>
                <w:color w:val="67696B"/>
                <w:spacing w:val="-2"/>
                <w:w w:val="110"/>
              </w:rPr>
              <w:t>/</w:t>
            </w:r>
            <w:r w:rsidRPr="00A860A1">
              <w:rPr>
                <w:color w:val="4B494F"/>
                <w:spacing w:val="-2"/>
                <w:w w:val="110"/>
              </w:rPr>
              <w:t>37</w:t>
            </w:r>
          </w:p>
        </w:tc>
      </w:tr>
      <w:tr w:rsidR="00A860A1" w:rsidRPr="00A860A1" w14:paraId="61DF71A0" w14:textId="77777777" w:rsidTr="00D56544">
        <w:trPr>
          <w:trHeight w:val="512"/>
        </w:trPr>
        <w:tc>
          <w:tcPr>
            <w:cnfStyle w:val="001000000000" w:firstRow="0" w:lastRow="0" w:firstColumn="1" w:lastColumn="0" w:oddVBand="0" w:evenVBand="0" w:oddHBand="0" w:evenHBand="0" w:firstRowFirstColumn="0" w:firstRowLastColumn="0" w:lastRowFirstColumn="0" w:lastRowLastColumn="0"/>
            <w:tcW w:w="1731" w:type="dxa"/>
          </w:tcPr>
          <w:p w14:paraId="22C3F306" w14:textId="77777777" w:rsidR="00A860A1" w:rsidRPr="00E65859" w:rsidRDefault="00A860A1" w:rsidP="00D56544">
            <w:pPr>
              <w:rPr>
                <w:color w:val="000000" w:themeColor="text1"/>
              </w:rPr>
            </w:pPr>
            <w:r w:rsidRPr="00E65859">
              <w:rPr>
                <w:color w:val="000000" w:themeColor="text1"/>
              </w:rPr>
              <w:t>Evaluable</w:t>
            </w:r>
            <w:r w:rsidRPr="00E65859">
              <w:rPr>
                <w:color w:val="000000" w:themeColor="text1"/>
                <w:spacing w:val="-10"/>
              </w:rPr>
              <w:t xml:space="preserve"> </w:t>
            </w:r>
            <w:r w:rsidRPr="00E65859">
              <w:rPr>
                <w:color w:val="000000" w:themeColor="text1"/>
              </w:rPr>
              <w:t>for</w:t>
            </w:r>
            <w:r w:rsidRPr="00E65859">
              <w:rPr>
                <w:color w:val="000000" w:themeColor="text1"/>
                <w:spacing w:val="17"/>
              </w:rPr>
              <w:t xml:space="preserve"> </w:t>
            </w:r>
            <w:r w:rsidRPr="00E65859">
              <w:rPr>
                <w:color w:val="000000" w:themeColor="text1"/>
              </w:rPr>
              <w:t>Efficacy (PD</w:t>
            </w:r>
            <w:r w:rsidRPr="00E65859">
              <w:rPr>
                <w:color w:val="000000" w:themeColor="text1"/>
                <w:spacing w:val="-14"/>
              </w:rPr>
              <w:t xml:space="preserve"> </w:t>
            </w:r>
            <w:r w:rsidRPr="00E65859">
              <w:rPr>
                <w:color w:val="000000" w:themeColor="text1"/>
              </w:rPr>
              <w:t>analysis</w:t>
            </w:r>
            <w:r w:rsidRPr="00E65859">
              <w:rPr>
                <w:color w:val="000000" w:themeColor="text1"/>
                <w:spacing w:val="-4"/>
              </w:rPr>
              <w:t xml:space="preserve"> </w:t>
            </w:r>
            <w:r w:rsidRPr="00E65859">
              <w:rPr>
                <w:color w:val="000000" w:themeColor="text1"/>
              </w:rPr>
              <w:t>set)</w:t>
            </w:r>
          </w:p>
        </w:tc>
        <w:tc>
          <w:tcPr>
            <w:tcW w:w="2423" w:type="dxa"/>
          </w:tcPr>
          <w:p w14:paraId="524F0525"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10"/>
              </w:rPr>
              <w:t>6</w:t>
            </w:r>
          </w:p>
        </w:tc>
        <w:tc>
          <w:tcPr>
            <w:tcW w:w="2431" w:type="dxa"/>
          </w:tcPr>
          <w:p w14:paraId="3C853FB9"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5"/>
                <w:w w:val="110"/>
              </w:rPr>
              <w:t>27</w:t>
            </w:r>
          </w:p>
        </w:tc>
        <w:tc>
          <w:tcPr>
            <w:tcW w:w="2415" w:type="dxa"/>
          </w:tcPr>
          <w:p w14:paraId="5EEA6988"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5"/>
                <w:w w:val="110"/>
              </w:rPr>
              <w:t>37</w:t>
            </w:r>
          </w:p>
        </w:tc>
      </w:tr>
      <w:tr w:rsidR="00A860A1" w:rsidRPr="00A860A1" w14:paraId="0A54F5A0" w14:textId="77777777" w:rsidTr="00D56544">
        <w:trPr>
          <w:trHeight w:val="277"/>
        </w:trPr>
        <w:tc>
          <w:tcPr>
            <w:cnfStyle w:val="001000000000" w:firstRow="0" w:lastRow="0" w:firstColumn="1" w:lastColumn="0" w:oddVBand="0" w:evenVBand="0" w:oddHBand="0" w:evenHBand="0" w:firstRowFirstColumn="0" w:firstRowLastColumn="0" w:lastRowFirstColumn="0" w:lastRowLastColumn="0"/>
            <w:tcW w:w="1731" w:type="dxa"/>
          </w:tcPr>
          <w:p w14:paraId="5417048E" w14:textId="77777777" w:rsidR="00A860A1" w:rsidRPr="00E65859" w:rsidRDefault="00A860A1" w:rsidP="00D56544">
            <w:pPr>
              <w:rPr>
                <w:color w:val="000000" w:themeColor="text1"/>
              </w:rPr>
            </w:pPr>
            <w:r w:rsidRPr="00E65859">
              <w:rPr>
                <w:color w:val="000000" w:themeColor="text1"/>
                <w:w w:val="105"/>
              </w:rPr>
              <w:t>Study</w:t>
            </w:r>
            <w:r w:rsidRPr="00E65859">
              <w:rPr>
                <w:color w:val="000000" w:themeColor="text1"/>
                <w:spacing w:val="-10"/>
                <w:w w:val="105"/>
              </w:rPr>
              <w:t xml:space="preserve"> </w:t>
            </w:r>
            <w:r w:rsidRPr="00E65859">
              <w:rPr>
                <w:color w:val="000000" w:themeColor="text1"/>
                <w:spacing w:val="-2"/>
                <w:w w:val="105"/>
              </w:rPr>
              <w:t>status</w:t>
            </w:r>
          </w:p>
        </w:tc>
        <w:tc>
          <w:tcPr>
            <w:tcW w:w="2423" w:type="dxa"/>
          </w:tcPr>
          <w:p w14:paraId="121697FA"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59595D"/>
                <w:spacing w:val="-2"/>
                <w:w w:val="105"/>
              </w:rPr>
              <w:t>Completed</w:t>
            </w:r>
          </w:p>
        </w:tc>
        <w:tc>
          <w:tcPr>
            <w:tcW w:w="2431" w:type="dxa"/>
          </w:tcPr>
          <w:p w14:paraId="07D103E0"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4B494F"/>
                <w:spacing w:val="-2"/>
                <w:w w:val="105"/>
              </w:rPr>
              <w:t>Completed</w:t>
            </w:r>
          </w:p>
        </w:tc>
        <w:tc>
          <w:tcPr>
            <w:tcW w:w="2415" w:type="dxa"/>
          </w:tcPr>
          <w:p w14:paraId="788E68BC" w14:textId="77777777" w:rsidR="00A860A1" w:rsidRPr="00A860A1" w:rsidRDefault="00A860A1" w:rsidP="00D56544">
            <w:pPr>
              <w:cnfStyle w:val="000000000000" w:firstRow="0" w:lastRow="0" w:firstColumn="0" w:lastColumn="0" w:oddVBand="0" w:evenVBand="0" w:oddHBand="0" w:evenHBand="0" w:firstRowFirstColumn="0" w:firstRowLastColumn="0" w:lastRowFirstColumn="0" w:lastRowLastColumn="0"/>
            </w:pPr>
            <w:r w:rsidRPr="00A860A1">
              <w:rPr>
                <w:color w:val="67696B"/>
                <w:spacing w:val="-2"/>
              </w:rPr>
              <w:t>On</w:t>
            </w:r>
            <w:r w:rsidRPr="00A860A1">
              <w:rPr>
                <w:color w:val="4B494F"/>
                <w:spacing w:val="-2"/>
              </w:rPr>
              <w:t>goi</w:t>
            </w:r>
            <w:r w:rsidRPr="00A860A1">
              <w:rPr>
                <w:color w:val="67696B"/>
                <w:spacing w:val="-2"/>
              </w:rPr>
              <w:t>ng</w:t>
            </w:r>
          </w:p>
        </w:tc>
      </w:tr>
    </w:tbl>
    <w:p w14:paraId="1F0D4C75" w14:textId="2FAB3349" w:rsidR="00F1598B" w:rsidRDefault="00F1598B" w:rsidP="00827427">
      <w:pPr>
        <w:pStyle w:val="TableDescription"/>
        <w:spacing w:before="0"/>
        <w:contextualSpacing/>
      </w:pPr>
      <w:r w:rsidRPr="00F1598B">
        <w:t>APDS=activated phosphoinositide 3-kinase delta syndrome; BA = bioavailability: bid=twice daily; CSR=clinical study report; OLE =open label extension; PD=pha</w:t>
      </w:r>
      <w:r>
        <w:t>rm</w:t>
      </w:r>
      <w:r w:rsidRPr="00F1598B">
        <w:t>acodynamic; PK=pharmacokinetic.</w:t>
      </w:r>
    </w:p>
    <w:p w14:paraId="5505836C" w14:textId="77777777" w:rsidR="00E2412B" w:rsidRDefault="00E2412B" w:rsidP="00E2412B">
      <w:pPr>
        <w:pStyle w:val="Heading5"/>
      </w:pPr>
      <w:bookmarkStart w:id="37" w:name="_Toc314842514"/>
      <w:r>
        <w:t>Pivotal study 2201 part 2 (2201/2)</w:t>
      </w:r>
    </w:p>
    <w:p w14:paraId="1A7D9F6B" w14:textId="4DCC9BC0" w:rsidR="00E2412B" w:rsidRDefault="00E2412B" w:rsidP="00E2412B">
      <w:r>
        <w:t xml:space="preserve">Study 2201/2 was a 12-week placebo-controlled study that examined APDS patients (n=31) randomised 2:1 to placebo (n=10) or </w:t>
      </w:r>
      <w:r w:rsidR="009844A5">
        <w:t>leniolisib</w:t>
      </w:r>
      <w:r>
        <w:t xml:space="preserve"> 70mg BD (n=21)</w:t>
      </w:r>
      <w:r w:rsidR="00A81D87">
        <w:t xml:space="preserve"> (Figure 2)</w:t>
      </w:r>
      <w:r>
        <w:t>.</w:t>
      </w:r>
      <w:r w:rsidR="00605264">
        <w:t xml:space="preserve"> </w:t>
      </w:r>
      <w:r>
        <w:t>Included patients were aged 12-75 years of age and had genetically confirmed APDS with a</w:t>
      </w:r>
      <w:r w:rsidR="00605264">
        <w:t xml:space="preserve"> </w:t>
      </w:r>
      <w:r>
        <w:t>mutation of the PI3Kδ gene. Patients with either APDS type 1 or 2 could be included.</w:t>
      </w:r>
    </w:p>
    <w:p w14:paraId="3ED4F597" w14:textId="1551304A" w:rsidR="00C41DDE" w:rsidRDefault="00605264" w:rsidP="00605264">
      <w:pPr>
        <w:pStyle w:val="FigureTitle"/>
      </w:pPr>
      <w:r w:rsidRPr="00605264">
        <w:t>Figure 2: Design of study 2201/2</w:t>
      </w:r>
    </w:p>
    <w:p w14:paraId="7748B455" w14:textId="4D5C5611" w:rsidR="00EF7393" w:rsidRDefault="00EF7393" w:rsidP="00D56544">
      <w:r>
        <w:rPr>
          <w:noProof/>
        </w:rPr>
        <w:drawing>
          <wp:inline distT="0" distB="0" distL="0" distR="0" wp14:anchorId="6A5E98C6" wp14:editId="0A6E6A06">
            <wp:extent cx="5759450" cy="2635885"/>
            <wp:effectExtent l="0" t="0" r="0" b="0"/>
            <wp:docPr id="100814878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8788" name="Picture 1" descr="A screenshot of a computer screen&#10;&#10;AI-generated content may be incorrect."/>
                    <pic:cNvPicPr/>
                  </pic:nvPicPr>
                  <pic:blipFill>
                    <a:blip r:embed="rId25"/>
                    <a:stretch>
                      <a:fillRect/>
                    </a:stretch>
                  </pic:blipFill>
                  <pic:spPr>
                    <a:xfrm>
                      <a:off x="0" y="0"/>
                      <a:ext cx="5759450" cy="2635885"/>
                    </a:xfrm>
                    <a:prstGeom prst="rect">
                      <a:avLst/>
                    </a:prstGeom>
                  </pic:spPr>
                </pic:pic>
              </a:graphicData>
            </a:graphic>
          </wp:inline>
        </w:drawing>
      </w:r>
    </w:p>
    <w:p w14:paraId="7B92274B" w14:textId="76275E60" w:rsidR="00124703" w:rsidRDefault="00124703" w:rsidP="00124703">
      <w:r>
        <w:t>Included patients had nodal or extranodal lymphoproliferation and clinical findings consistent with APDS such as recurrent infections and/or organ dysfunction. Patients were required to have at least one measurable nodal lesion on CT or MRI for evaluation.</w:t>
      </w:r>
    </w:p>
    <w:p w14:paraId="30FA5CE9" w14:textId="1949D8C4" w:rsidR="00124703" w:rsidRDefault="00124703" w:rsidP="00124703">
      <w:r>
        <w:t>Patients were excluded if they had taken B-cell depleters (</w:t>
      </w:r>
      <w:r w:rsidR="00965206">
        <w:t>e.g.</w:t>
      </w:r>
      <w:r>
        <w:t xml:space="preserve"> </w:t>
      </w:r>
      <w:r w:rsidR="00DA2ADA">
        <w:t>r</w:t>
      </w:r>
      <w:r>
        <w:t>ituximab) within 6 months of the study. Patients taking concurrent use of a strong CYP3A4 inducer that could not be discontinued were excluded.</w:t>
      </w:r>
    </w:p>
    <w:p w14:paraId="0FCB2972" w14:textId="77777777" w:rsidR="00124703" w:rsidRDefault="00124703" w:rsidP="00124703">
      <w:r>
        <w:t>The primary endpoints of the study were:</w:t>
      </w:r>
    </w:p>
    <w:p w14:paraId="0001A2E1" w14:textId="5B059165" w:rsidR="00124703" w:rsidRDefault="00124703" w:rsidP="00DA2ADA">
      <w:pPr>
        <w:pStyle w:val="ListBullet"/>
      </w:pPr>
      <w:r>
        <w:t xml:space="preserve">reduction in the volume of an index nodal lesion, as measured by CT or MRI. This was assessed by taking the log of the sum of the product of the diameters of the lesion </w:t>
      </w:r>
      <w:r>
        <w:lastRenderedPageBreak/>
        <w:t>(Log</w:t>
      </w:r>
      <w:r w:rsidRPr="001B1CA8">
        <w:rPr>
          <w:vertAlign w:val="subscript"/>
        </w:rPr>
        <w:t>10</w:t>
      </w:r>
      <w:r>
        <w:t>SPD). Up to 14 lesions (6 lymph nodes, 4 liver or spleen and 4 other extranodal) were selected for monitoring in each patient, and between 1 and 6 of the largest lymph nodes were used to calculate the SPD for the primary endpoint.</w:t>
      </w:r>
    </w:p>
    <w:p w14:paraId="73349AF6" w14:textId="782CC6F7" w:rsidR="00124703" w:rsidRDefault="00124703" w:rsidP="00DA2ADA">
      <w:pPr>
        <w:pStyle w:val="ListBullet"/>
      </w:pPr>
      <w:r>
        <w:t>Change in the percentage of naïve B cells out of total B cells in whole blood measured in patients with less than 48% naïve B-cells at baseline.</w:t>
      </w:r>
    </w:p>
    <w:p w14:paraId="676FEAEF" w14:textId="6B397C3D" w:rsidR="00605264" w:rsidRDefault="00124703" w:rsidP="00124703">
      <w:r>
        <w:t xml:space="preserve">Of the enrolled patients, 27 (18 </w:t>
      </w:r>
      <w:r w:rsidR="009844A5">
        <w:t>leniolisib</w:t>
      </w:r>
      <w:r>
        <w:t xml:space="preserve"> and 8 placebo) patients were evaluable for efficacy.</w:t>
      </w:r>
    </w:p>
    <w:p w14:paraId="24938632" w14:textId="44E4C19B" w:rsidR="00605264" w:rsidRDefault="00555FFF" w:rsidP="00605264">
      <w:r>
        <w:t xml:space="preserve">Table </w:t>
      </w:r>
      <w:r w:rsidR="00AA6E33">
        <w:t>5</w:t>
      </w:r>
      <w:r>
        <w:t xml:space="preserve"> outlines the s</w:t>
      </w:r>
      <w:r w:rsidRPr="00555FFF">
        <w:t xml:space="preserve">econdary endpoints included </w:t>
      </w:r>
      <w:r w:rsidR="00982179">
        <w:t xml:space="preserve">in </w:t>
      </w:r>
      <w:r w:rsidRPr="00555FFF">
        <w:t>the study</w:t>
      </w:r>
      <w:r w:rsidR="00982179">
        <w:t>.</w:t>
      </w:r>
    </w:p>
    <w:p w14:paraId="7EE0AC8A" w14:textId="4AABB712" w:rsidR="00730DB9" w:rsidRDefault="00730DB9" w:rsidP="00730DB9">
      <w:pPr>
        <w:pStyle w:val="TableTitle"/>
      </w:pPr>
      <w:r>
        <w:t xml:space="preserve">Table </w:t>
      </w:r>
      <w:r w:rsidR="00AA6E33">
        <w:t>5</w:t>
      </w:r>
      <w:r>
        <w:t>. S</w:t>
      </w:r>
      <w:r w:rsidRPr="00730DB9">
        <w:t xml:space="preserve">econdary endpoints </w:t>
      </w:r>
      <w:r>
        <w:t xml:space="preserve">of </w:t>
      </w:r>
      <w:r w:rsidRPr="00730DB9">
        <w:t>study 2201/2</w:t>
      </w:r>
    </w:p>
    <w:tbl>
      <w:tblPr>
        <w:tblStyle w:val="TableTGAblue2023"/>
        <w:tblW w:w="5000" w:type="pct"/>
        <w:tblLook w:val="04A0" w:firstRow="1" w:lastRow="0" w:firstColumn="1" w:lastColumn="0" w:noHBand="0" w:noVBand="1"/>
      </w:tblPr>
      <w:tblGrid>
        <w:gridCol w:w="4617"/>
        <w:gridCol w:w="4443"/>
      </w:tblGrid>
      <w:tr w:rsidR="00187637" w:rsidRPr="00D01DDB" w14:paraId="68E47C0D" w14:textId="77777777" w:rsidTr="00187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tcPr>
          <w:p w14:paraId="3AC8B906" w14:textId="535706C3" w:rsidR="00187637" w:rsidRPr="00D01DDB" w:rsidRDefault="00242C59" w:rsidP="002F2D3A">
            <w:pPr>
              <w:rPr>
                <w:szCs w:val="22"/>
              </w:rPr>
            </w:pPr>
            <w:r w:rsidRPr="00242C59">
              <w:rPr>
                <w:szCs w:val="22"/>
              </w:rPr>
              <w:t>Objective</w:t>
            </w:r>
          </w:p>
        </w:tc>
        <w:tc>
          <w:tcPr>
            <w:tcW w:w="2452" w:type="pct"/>
          </w:tcPr>
          <w:p w14:paraId="416EE8F5" w14:textId="020D328A" w:rsidR="00187637" w:rsidRPr="00D01DDB" w:rsidRDefault="00242C59" w:rsidP="002F2D3A">
            <w:pPr>
              <w:cnfStyle w:val="100000000000" w:firstRow="1" w:lastRow="0" w:firstColumn="0" w:lastColumn="0" w:oddVBand="0" w:evenVBand="0" w:oddHBand="0" w:evenHBand="0" w:firstRowFirstColumn="0" w:firstRowLastColumn="0" w:lastRowFirstColumn="0" w:lastRowLastColumn="0"/>
              <w:rPr>
                <w:szCs w:val="22"/>
              </w:rPr>
            </w:pPr>
            <w:r w:rsidRPr="00242C59">
              <w:rPr>
                <w:szCs w:val="22"/>
              </w:rPr>
              <w:t>Endpoint</w:t>
            </w:r>
          </w:p>
        </w:tc>
      </w:tr>
      <w:tr w:rsidR="00187637" w:rsidRPr="00D01DDB" w14:paraId="0994FB2D"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5D825793" w14:textId="78745B74" w:rsidR="00187637" w:rsidRPr="00D01DDB" w:rsidRDefault="009F0A73" w:rsidP="002F2D3A">
            <w:pPr>
              <w:rPr>
                <w:szCs w:val="22"/>
              </w:rPr>
            </w:pPr>
            <w:r w:rsidRPr="009F0A73">
              <w:rPr>
                <w:szCs w:val="22"/>
              </w:rPr>
              <w:t>To assess the effect of CDZ173 on lymphadenopathy (non-index lesions and spleen)</w:t>
            </w:r>
          </w:p>
        </w:tc>
        <w:tc>
          <w:tcPr>
            <w:tcW w:w="2452" w:type="pct"/>
          </w:tcPr>
          <w:p w14:paraId="6C668EE5" w14:textId="7D0330B6" w:rsidR="00187637" w:rsidRPr="00D01DDB" w:rsidRDefault="004779DC" w:rsidP="002F2D3A">
            <w:pPr>
              <w:cnfStyle w:val="000000000000" w:firstRow="0" w:lastRow="0" w:firstColumn="0" w:lastColumn="0" w:oddVBand="0" w:evenVBand="0" w:oddHBand="0" w:evenHBand="0" w:firstRowFirstColumn="0" w:firstRowLastColumn="0" w:lastRowFirstColumn="0" w:lastRowLastColumn="0"/>
              <w:rPr>
                <w:szCs w:val="22"/>
              </w:rPr>
            </w:pPr>
            <w:r w:rsidRPr="004779DC">
              <w:rPr>
                <w:szCs w:val="22"/>
              </w:rPr>
              <w:t>MRI/CT imaging — e.g. 3D volume of index and measurable non-index lesions selected as per the Cheson methodology, and 3D volume and bi-dimensional size of the spleen</w:t>
            </w:r>
          </w:p>
        </w:tc>
      </w:tr>
      <w:tr w:rsidR="004779DC" w:rsidRPr="00D01DDB" w14:paraId="0F3009A5"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10A974B2" w14:textId="5F8125F2" w:rsidR="004779DC" w:rsidRPr="00D01DDB" w:rsidRDefault="009F0A73" w:rsidP="002F2D3A">
            <w:pPr>
              <w:rPr>
                <w:szCs w:val="22"/>
              </w:rPr>
            </w:pPr>
            <w:r w:rsidRPr="009F0A73">
              <w:rPr>
                <w:szCs w:val="22"/>
              </w:rPr>
              <w:t>To assess the PK of CDZ173 in patients with APDS/PASLI</w:t>
            </w:r>
          </w:p>
        </w:tc>
        <w:tc>
          <w:tcPr>
            <w:tcW w:w="2452" w:type="pct"/>
          </w:tcPr>
          <w:p w14:paraId="4FEE9752" w14:textId="2C02C530" w:rsidR="004779DC" w:rsidRPr="00D01DDB" w:rsidRDefault="004779DC" w:rsidP="002F2D3A">
            <w:pPr>
              <w:cnfStyle w:val="000000000000" w:firstRow="0" w:lastRow="0" w:firstColumn="0" w:lastColumn="0" w:oddVBand="0" w:evenVBand="0" w:oddHBand="0" w:evenHBand="0" w:firstRowFirstColumn="0" w:firstRowLastColumn="0" w:lastRowFirstColumn="0" w:lastRowLastColumn="0"/>
              <w:rPr>
                <w:szCs w:val="22"/>
              </w:rPr>
            </w:pPr>
            <w:r w:rsidRPr="004779DC">
              <w:rPr>
                <w:szCs w:val="22"/>
              </w:rPr>
              <w:t>Single dose CDZ173 PK parameters (including but not limited to Cmax and AUC) and trough evaluations after multiple dose</w:t>
            </w:r>
          </w:p>
        </w:tc>
      </w:tr>
      <w:tr w:rsidR="004779DC" w:rsidRPr="00D01DDB" w14:paraId="70900A8C"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40EEC526" w14:textId="16C9C978" w:rsidR="004779DC" w:rsidRPr="00D01DDB" w:rsidRDefault="009F0A73" w:rsidP="002F2D3A">
            <w:pPr>
              <w:rPr>
                <w:szCs w:val="22"/>
              </w:rPr>
            </w:pPr>
            <w:r w:rsidRPr="009F0A73">
              <w:rPr>
                <w:szCs w:val="22"/>
              </w:rPr>
              <w:t>To assess the efficacy of CDZ173 to modify health-related quality of life in patients with APDS/PASLI</w:t>
            </w:r>
          </w:p>
        </w:tc>
        <w:tc>
          <w:tcPr>
            <w:tcW w:w="2452" w:type="pct"/>
          </w:tcPr>
          <w:p w14:paraId="230E2437" w14:textId="22F36633" w:rsidR="004779DC" w:rsidRPr="00D01DDB" w:rsidRDefault="004779DC" w:rsidP="002F2D3A">
            <w:pPr>
              <w:cnfStyle w:val="000000000000" w:firstRow="0" w:lastRow="0" w:firstColumn="0" w:lastColumn="0" w:oddVBand="0" w:evenVBand="0" w:oddHBand="0" w:evenHBand="0" w:firstRowFirstColumn="0" w:firstRowLastColumn="0" w:lastRowFirstColumn="0" w:lastRowLastColumn="0"/>
              <w:rPr>
                <w:szCs w:val="22"/>
              </w:rPr>
            </w:pPr>
            <w:r w:rsidRPr="004779DC">
              <w:rPr>
                <w:szCs w:val="22"/>
              </w:rPr>
              <w:t>SF-36 (Short Form 36) Survey and WPAI-CIQ (Work Productivity Activity Impairment plus Classroom Impairment Questionnaire)</w:t>
            </w:r>
          </w:p>
        </w:tc>
      </w:tr>
      <w:tr w:rsidR="004779DC" w:rsidRPr="00D01DDB" w14:paraId="02FB545E"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68FACC6A" w14:textId="655E5B2C" w:rsidR="004779DC" w:rsidRPr="00D01DDB" w:rsidRDefault="009F0A73" w:rsidP="002F2D3A">
            <w:pPr>
              <w:rPr>
                <w:szCs w:val="22"/>
              </w:rPr>
            </w:pPr>
            <w:r w:rsidRPr="009F0A73">
              <w:rPr>
                <w:szCs w:val="22"/>
              </w:rPr>
              <w:t>To assess the efficacy of CDZ173 by the Physician's Global Assessment (PGA) and the Patient's Global Assessment (PtGA)</w:t>
            </w:r>
          </w:p>
        </w:tc>
        <w:tc>
          <w:tcPr>
            <w:tcW w:w="2452" w:type="pct"/>
          </w:tcPr>
          <w:p w14:paraId="7880DF16" w14:textId="1601DEA9" w:rsidR="004779DC" w:rsidRPr="00D01DDB" w:rsidRDefault="004779DC" w:rsidP="002F2D3A">
            <w:pPr>
              <w:cnfStyle w:val="000000000000" w:firstRow="0" w:lastRow="0" w:firstColumn="0" w:lastColumn="0" w:oddVBand="0" w:evenVBand="0" w:oddHBand="0" w:evenHBand="0" w:firstRowFirstColumn="0" w:firstRowLastColumn="0" w:lastRowFirstColumn="0" w:lastRowLastColumn="0"/>
              <w:rPr>
                <w:szCs w:val="22"/>
              </w:rPr>
            </w:pPr>
            <w:r w:rsidRPr="004779DC">
              <w:rPr>
                <w:szCs w:val="22"/>
              </w:rPr>
              <w:t>Visual analogue scales for PGA and PtGA (for Part II the PGA is a key secondary endpoint)</w:t>
            </w:r>
          </w:p>
        </w:tc>
      </w:tr>
      <w:tr w:rsidR="004779DC" w:rsidRPr="00D01DDB" w14:paraId="3CBC8CA5"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7EE059E9" w14:textId="4B309A04" w:rsidR="004779DC" w:rsidRPr="00D01DDB" w:rsidRDefault="009F0A73" w:rsidP="002F2D3A">
            <w:pPr>
              <w:rPr>
                <w:szCs w:val="22"/>
              </w:rPr>
            </w:pPr>
            <w:r w:rsidRPr="009F0A73">
              <w:rPr>
                <w:szCs w:val="22"/>
              </w:rPr>
              <w:t>To assess biomarkers reflecting the efficacy of CDZ173 to reduce systemic inflammatory components of the disease</w:t>
            </w:r>
          </w:p>
        </w:tc>
        <w:tc>
          <w:tcPr>
            <w:tcW w:w="2452" w:type="pct"/>
          </w:tcPr>
          <w:p w14:paraId="7FE62F96" w14:textId="29B65F86" w:rsidR="004779DC" w:rsidRPr="00D01DDB" w:rsidRDefault="004779DC" w:rsidP="002F2D3A">
            <w:pPr>
              <w:cnfStyle w:val="000000000000" w:firstRow="0" w:lastRow="0" w:firstColumn="0" w:lastColumn="0" w:oddVBand="0" w:evenVBand="0" w:oddHBand="0" w:evenHBand="0" w:firstRowFirstColumn="0" w:firstRowLastColumn="0" w:lastRowFirstColumn="0" w:lastRowLastColumn="0"/>
              <w:rPr>
                <w:szCs w:val="22"/>
              </w:rPr>
            </w:pPr>
            <w:r w:rsidRPr="004779DC">
              <w:rPr>
                <w:szCs w:val="22"/>
              </w:rPr>
              <w:t xml:space="preserve">C-reactive protein (CRP), Lactate dehydrogenase (LDH) </w:t>
            </w:r>
            <w:r w:rsidR="006C0129">
              <w:rPr>
                <w:szCs w:val="22"/>
              </w:rPr>
              <w:t>β</w:t>
            </w:r>
            <w:r w:rsidRPr="004779DC">
              <w:rPr>
                <w:szCs w:val="22"/>
              </w:rPr>
              <w:t>2 microglobulin, ferritin, fibrinogen and erythrocyte sedimentation rate (ESR)</w:t>
            </w:r>
          </w:p>
        </w:tc>
      </w:tr>
      <w:tr w:rsidR="004779DC" w:rsidRPr="00D01DDB" w14:paraId="365F1721"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286C7939" w14:textId="0117F304" w:rsidR="004779DC" w:rsidRPr="00D01DDB" w:rsidRDefault="009F0A73" w:rsidP="002F2D3A">
            <w:pPr>
              <w:rPr>
                <w:szCs w:val="22"/>
              </w:rPr>
            </w:pPr>
            <w:r w:rsidRPr="009F0A73">
              <w:rPr>
                <w:szCs w:val="22"/>
              </w:rPr>
              <w:t>To assess the treatment benefit to individual patients</w:t>
            </w:r>
          </w:p>
        </w:tc>
        <w:tc>
          <w:tcPr>
            <w:tcW w:w="2452" w:type="pct"/>
          </w:tcPr>
          <w:p w14:paraId="64734D08" w14:textId="52C2D0C5" w:rsidR="004779DC" w:rsidRPr="00D01DDB" w:rsidRDefault="004779DC" w:rsidP="002F2D3A">
            <w:pPr>
              <w:cnfStyle w:val="000000000000" w:firstRow="0" w:lastRow="0" w:firstColumn="0" w:lastColumn="0" w:oddVBand="0" w:evenVBand="0" w:oddHBand="0" w:evenHBand="0" w:firstRowFirstColumn="0" w:firstRowLastColumn="0" w:lastRowFirstColumn="0" w:lastRowLastColumn="0"/>
              <w:rPr>
                <w:szCs w:val="22"/>
              </w:rPr>
            </w:pPr>
            <w:r w:rsidRPr="004779DC">
              <w:rPr>
                <w:szCs w:val="22"/>
              </w:rPr>
              <w:t>Narratives</w:t>
            </w:r>
          </w:p>
        </w:tc>
      </w:tr>
      <w:tr w:rsidR="009F0A73" w:rsidRPr="00D01DDB" w14:paraId="501B3F72" w14:textId="77777777" w:rsidTr="00187637">
        <w:tc>
          <w:tcPr>
            <w:cnfStyle w:val="001000000000" w:firstRow="0" w:lastRow="0" w:firstColumn="1" w:lastColumn="0" w:oddVBand="0" w:evenVBand="0" w:oddHBand="0" w:evenHBand="0" w:firstRowFirstColumn="0" w:firstRowLastColumn="0" w:lastRowFirstColumn="0" w:lastRowLastColumn="0"/>
            <w:tcW w:w="2548" w:type="pct"/>
          </w:tcPr>
          <w:p w14:paraId="7907240D" w14:textId="03D4F5B4" w:rsidR="009F0A73" w:rsidRPr="00D01DDB" w:rsidRDefault="009F0A73" w:rsidP="009F0A73">
            <w:pPr>
              <w:rPr>
                <w:szCs w:val="22"/>
              </w:rPr>
            </w:pPr>
            <w:r w:rsidRPr="004779DC">
              <w:rPr>
                <w:szCs w:val="22"/>
              </w:rPr>
              <w:t>To assess the safety and tolerability of CDZ173 in patients with APDS/PASLI</w:t>
            </w:r>
          </w:p>
        </w:tc>
        <w:tc>
          <w:tcPr>
            <w:tcW w:w="2452" w:type="pct"/>
          </w:tcPr>
          <w:p w14:paraId="21FF097A" w14:textId="4716DF50" w:rsidR="009F0A73" w:rsidRPr="00D01DDB" w:rsidRDefault="009F0A73" w:rsidP="009F0A73">
            <w:pPr>
              <w:cnfStyle w:val="000000000000" w:firstRow="0" w:lastRow="0" w:firstColumn="0" w:lastColumn="0" w:oddVBand="0" w:evenVBand="0" w:oddHBand="0" w:evenHBand="0" w:firstRowFirstColumn="0" w:firstRowLastColumn="0" w:lastRowFirstColumn="0" w:lastRowLastColumn="0"/>
              <w:rPr>
                <w:szCs w:val="22"/>
              </w:rPr>
            </w:pPr>
            <w:r w:rsidRPr="009F0A73">
              <w:rPr>
                <w:szCs w:val="22"/>
              </w:rPr>
              <w:t>All safety parameters, including AEs. physical exam, vital signs, ECG, safety laboratory (hematology, blood chemistry, urinalysis)</w:t>
            </w:r>
          </w:p>
        </w:tc>
      </w:tr>
    </w:tbl>
    <w:p w14:paraId="3DC92470" w14:textId="144A9259" w:rsidR="00187637" w:rsidRDefault="00B72902" w:rsidP="00EF7393">
      <w:pPr>
        <w:pStyle w:val="Heading6"/>
      </w:pPr>
      <w:r w:rsidRPr="00B72902">
        <w:t>Results for primary endpoint study 2201/2</w:t>
      </w:r>
    </w:p>
    <w:p w14:paraId="6107F4D2" w14:textId="3125E701" w:rsidR="00E93FEE" w:rsidRDefault="00E93FEE" w:rsidP="00E93FEE">
      <w:pPr>
        <w:pStyle w:val="TableTitle"/>
      </w:pPr>
      <w:r w:rsidRPr="00E93FEE">
        <w:t xml:space="preserve">Table </w:t>
      </w:r>
      <w:r w:rsidR="00AA6E33">
        <w:t>6</w:t>
      </w:r>
      <w:r w:rsidR="008A1579">
        <w:t>.</w:t>
      </w:r>
      <w:r w:rsidRPr="00E93FEE">
        <w:t xml:space="preserve"> Primary analysis in change from baseline at day 85 in the log10 transformed SPD.</w:t>
      </w:r>
    </w:p>
    <w:tbl>
      <w:tblPr>
        <w:tblW w:w="9047" w:type="dxa"/>
        <w:tblInd w:w="107"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4566"/>
        <w:gridCol w:w="2552"/>
        <w:gridCol w:w="1929"/>
      </w:tblGrid>
      <w:tr w:rsidR="005B1BE4" w:rsidRPr="005B1BE4" w14:paraId="651D4389" w14:textId="77777777" w:rsidTr="00D56544">
        <w:trPr>
          <w:trHeight w:val="351"/>
        </w:trPr>
        <w:tc>
          <w:tcPr>
            <w:tcW w:w="4566" w:type="dxa"/>
            <w:shd w:val="clear" w:color="auto" w:fill="DEEAF6"/>
          </w:tcPr>
          <w:p w14:paraId="0B8F414E" w14:textId="77777777" w:rsidR="005B1BE4" w:rsidRPr="005B1BE4" w:rsidRDefault="005B1BE4" w:rsidP="00A010AD">
            <w:pPr>
              <w:pStyle w:val="TableParagraph"/>
              <w:spacing w:before="0"/>
              <w:ind w:left="0"/>
              <w:rPr>
                <w:rFonts w:ascii="Cambria" w:hAnsi="Cambria"/>
                <w:b/>
                <w:bCs/>
                <w:color w:val="263287"/>
              </w:rPr>
            </w:pPr>
          </w:p>
        </w:tc>
        <w:tc>
          <w:tcPr>
            <w:tcW w:w="2552" w:type="dxa"/>
            <w:shd w:val="clear" w:color="auto" w:fill="DEEAF6"/>
          </w:tcPr>
          <w:p w14:paraId="0D325574" w14:textId="428D040B" w:rsidR="005B1BE4" w:rsidRPr="005B1BE4" w:rsidRDefault="005B1BE4" w:rsidP="00A010AD">
            <w:pPr>
              <w:pStyle w:val="TableParagraph"/>
              <w:tabs>
                <w:tab w:val="left" w:pos="2728"/>
              </w:tabs>
              <w:spacing w:before="84"/>
              <w:rPr>
                <w:rFonts w:ascii="Cambria" w:hAnsi="Cambria"/>
                <w:b/>
                <w:bCs/>
                <w:color w:val="263287"/>
              </w:rPr>
            </w:pPr>
            <w:r w:rsidRPr="005B1BE4">
              <w:rPr>
                <w:rFonts w:ascii="Cambria" w:hAnsi="Cambria"/>
                <w:b/>
                <w:bCs/>
                <w:color w:val="263287"/>
              </w:rPr>
              <w:t>Leniolisib</w:t>
            </w:r>
            <w:r w:rsidRPr="005B1BE4">
              <w:rPr>
                <w:rFonts w:ascii="Cambria" w:hAnsi="Cambria"/>
                <w:b/>
                <w:bCs/>
                <w:color w:val="263287"/>
                <w:spacing w:val="23"/>
              </w:rPr>
              <w:t xml:space="preserve"> </w:t>
            </w:r>
            <w:r w:rsidRPr="005B1BE4">
              <w:rPr>
                <w:rFonts w:ascii="Cambria" w:hAnsi="Cambria"/>
                <w:b/>
                <w:bCs/>
                <w:color w:val="263287"/>
                <w:spacing w:val="-2"/>
              </w:rPr>
              <w:t>(n=18)</w:t>
            </w:r>
            <w:r w:rsidRPr="005B1BE4">
              <w:rPr>
                <w:rFonts w:ascii="Cambria" w:hAnsi="Cambria"/>
                <w:b/>
                <w:bCs/>
                <w:color w:val="263287"/>
              </w:rPr>
              <w:tab/>
            </w:r>
          </w:p>
        </w:tc>
        <w:tc>
          <w:tcPr>
            <w:tcW w:w="1929" w:type="dxa"/>
            <w:shd w:val="clear" w:color="auto" w:fill="DEEAF6"/>
          </w:tcPr>
          <w:p w14:paraId="11C8F2F4" w14:textId="501E61DD" w:rsidR="005B1BE4" w:rsidRPr="005B1BE4" w:rsidRDefault="005B1BE4" w:rsidP="00A010AD">
            <w:pPr>
              <w:pStyle w:val="TableParagraph"/>
              <w:tabs>
                <w:tab w:val="left" w:pos="2728"/>
              </w:tabs>
              <w:spacing w:before="84"/>
              <w:rPr>
                <w:rFonts w:ascii="Cambria" w:hAnsi="Cambria"/>
                <w:b/>
                <w:bCs/>
                <w:color w:val="263287"/>
              </w:rPr>
            </w:pPr>
            <w:r w:rsidRPr="005B1BE4">
              <w:rPr>
                <w:rFonts w:ascii="Cambria" w:hAnsi="Cambria"/>
                <w:b/>
                <w:bCs/>
                <w:color w:val="263287"/>
              </w:rPr>
              <w:t>Placebo (n=8)</w:t>
            </w:r>
          </w:p>
        </w:tc>
      </w:tr>
      <w:tr w:rsidR="005B1BE4" w:rsidRPr="005B1BE4" w14:paraId="7322DF52" w14:textId="77777777" w:rsidTr="00D56544">
        <w:trPr>
          <w:trHeight w:val="346"/>
        </w:trPr>
        <w:tc>
          <w:tcPr>
            <w:tcW w:w="4566" w:type="dxa"/>
          </w:tcPr>
          <w:p w14:paraId="2EB4C59C" w14:textId="77777777" w:rsidR="005B1BE4" w:rsidRPr="005B1BE4" w:rsidRDefault="005B1BE4" w:rsidP="00A010AD">
            <w:pPr>
              <w:pStyle w:val="TableParagraph"/>
              <w:spacing w:before="71"/>
              <w:ind w:left="140"/>
              <w:rPr>
                <w:rFonts w:ascii="Cambria" w:hAnsi="Cambria"/>
                <w:b/>
                <w:bCs/>
              </w:rPr>
            </w:pPr>
            <w:r w:rsidRPr="005B1BE4">
              <w:rPr>
                <w:rFonts w:ascii="Cambria" w:hAnsi="Cambria"/>
                <w:b/>
                <w:bCs/>
                <w:color w:val="46484D"/>
              </w:rPr>
              <w:t>Baseline</w:t>
            </w:r>
            <w:r w:rsidRPr="005B1BE4">
              <w:rPr>
                <w:rFonts w:ascii="Cambria" w:hAnsi="Cambria"/>
                <w:b/>
                <w:bCs/>
                <w:color w:val="46484D"/>
                <w:spacing w:val="1"/>
              </w:rPr>
              <w:t xml:space="preserve"> </w:t>
            </w:r>
            <w:r w:rsidRPr="005B1BE4">
              <w:rPr>
                <w:rFonts w:ascii="Cambria" w:hAnsi="Cambria"/>
                <w:b/>
                <w:bCs/>
                <w:color w:val="46484D"/>
              </w:rPr>
              <w:t>mean</w:t>
            </w:r>
            <w:r w:rsidRPr="005B1BE4">
              <w:rPr>
                <w:rFonts w:ascii="Cambria" w:hAnsi="Cambria"/>
                <w:b/>
                <w:bCs/>
                <w:color w:val="46484D"/>
                <w:spacing w:val="1"/>
              </w:rPr>
              <w:t xml:space="preserve"> </w:t>
            </w:r>
            <w:r w:rsidRPr="005B1BE4">
              <w:rPr>
                <w:rFonts w:ascii="Cambria" w:hAnsi="Cambria"/>
                <w:b/>
                <w:bCs/>
                <w:color w:val="46484D"/>
                <w:spacing w:val="-4"/>
              </w:rPr>
              <w:t>(S</w:t>
            </w:r>
            <w:r w:rsidRPr="005B1BE4">
              <w:rPr>
                <w:rFonts w:ascii="Cambria" w:hAnsi="Cambria"/>
                <w:b/>
                <w:bCs/>
                <w:color w:val="1F1C23"/>
                <w:spacing w:val="-4"/>
              </w:rPr>
              <w:t>D</w:t>
            </w:r>
            <w:r w:rsidRPr="005B1BE4">
              <w:rPr>
                <w:rFonts w:ascii="Cambria" w:hAnsi="Cambria"/>
                <w:b/>
                <w:bCs/>
                <w:color w:val="46484D"/>
                <w:spacing w:val="-4"/>
              </w:rPr>
              <w:t>)</w:t>
            </w:r>
          </w:p>
        </w:tc>
        <w:tc>
          <w:tcPr>
            <w:tcW w:w="2552" w:type="dxa"/>
          </w:tcPr>
          <w:p w14:paraId="23DDF1DF" w14:textId="3AFED11B" w:rsidR="005B1BE4" w:rsidRPr="005B1BE4" w:rsidRDefault="005B1BE4" w:rsidP="00A010AD">
            <w:pPr>
              <w:pStyle w:val="TableParagraph"/>
              <w:tabs>
                <w:tab w:val="left" w:pos="2735"/>
              </w:tabs>
              <w:spacing w:before="71"/>
              <w:ind w:left="109"/>
              <w:rPr>
                <w:rFonts w:ascii="Cambria" w:hAnsi="Cambria"/>
              </w:rPr>
            </w:pPr>
            <w:r w:rsidRPr="005B1BE4">
              <w:rPr>
                <w:rFonts w:ascii="Cambria" w:hAnsi="Cambria"/>
                <w:color w:val="46484D"/>
              </w:rPr>
              <w:t>3.03</w:t>
            </w:r>
            <w:r w:rsidRPr="005B1BE4">
              <w:rPr>
                <w:rFonts w:ascii="Cambria" w:hAnsi="Cambria"/>
                <w:color w:val="46484D"/>
                <w:spacing w:val="3"/>
              </w:rPr>
              <w:t xml:space="preserve"> </w:t>
            </w:r>
            <w:r w:rsidRPr="005B1BE4">
              <w:rPr>
                <w:rFonts w:ascii="Cambria" w:hAnsi="Cambria"/>
                <w:color w:val="46484D"/>
                <w:spacing w:val="-2"/>
              </w:rPr>
              <w:t>(0.42)</w:t>
            </w:r>
          </w:p>
        </w:tc>
        <w:tc>
          <w:tcPr>
            <w:tcW w:w="1929" w:type="dxa"/>
          </w:tcPr>
          <w:p w14:paraId="680DC3F1" w14:textId="324277E8" w:rsidR="005B1BE4" w:rsidRPr="005B1BE4" w:rsidRDefault="005B1BE4" w:rsidP="00A010AD">
            <w:pPr>
              <w:pStyle w:val="TableParagraph"/>
              <w:tabs>
                <w:tab w:val="left" w:pos="2735"/>
              </w:tabs>
              <w:spacing w:before="71"/>
              <w:ind w:left="109"/>
              <w:rPr>
                <w:rFonts w:ascii="Cambria" w:hAnsi="Cambria"/>
              </w:rPr>
            </w:pPr>
            <w:r w:rsidRPr="005B1BE4">
              <w:rPr>
                <w:rFonts w:ascii="Cambria" w:hAnsi="Cambria"/>
              </w:rPr>
              <w:t>3.05 (0.39)</w:t>
            </w:r>
          </w:p>
        </w:tc>
      </w:tr>
      <w:tr w:rsidR="005B1BE4" w:rsidRPr="005B1BE4" w14:paraId="7CE43160" w14:textId="77777777" w:rsidTr="00D56544">
        <w:trPr>
          <w:trHeight w:val="339"/>
        </w:trPr>
        <w:tc>
          <w:tcPr>
            <w:tcW w:w="4566" w:type="dxa"/>
          </w:tcPr>
          <w:p w14:paraId="1BDE46C6" w14:textId="77777777" w:rsidR="005B1BE4" w:rsidRPr="005B1BE4" w:rsidRDefault="005B1BE4" w:rsidP="00A010AD">
            <w:pPr>
              <w:pStyle w:val="TableParagraph"/>
              <w:ind w:left="130"/>
              <w:rPr>
                <w:rFonts w:ascii="Cambria" w:hAnsi="Cambria"/>
                <w:b/>
                <w:bCs/>
              </w:rPr>
            </w:pPr>
            <w:r w:rsidRPr="005B1BE4">
              <w:rPr>
                <w:rFonts w:ascii="Cambria" w:hAnsi="Cambria"/>
                <w:b/>
                <w:bCs/>
                <w:color w:val="46484D"/>
              </w:rPr>
              <w:t>Change</w:t>
            </w:r>
            <w:r w:rsidRPr="005B1BE4">
              <w:rPr>
                <w:rFonts w:ascii="Cambria" w:hAnsi="Cambria"/>
                <w:b/>
                <w:bCs/>
                <w:color w:val="46484D"/>
                <w:spacing w:val="6"/>
              </w:rPr>
              <w:t xml:space="preserve"> </w:t>
            </w:r>
            <w:r w:rsidRPr="005B1BE4">
              <w:rPr>
                <w:rFonts w:ascii="Cambria" w:hAnsi="Cambria"/>
                <w:b/>
                <w:bCs/>
                <w:color w:val="46484D"/>
              </w:rPr>
              <w:t>from</w:t>
            </w:r>
            <w:r w:rsidRPr="005B1BE4">
              <w:rPr>
                <w:rFonts w:ascii="Cambria" w:hAnsi="Cambria"/>
                <w:b/>
                <w:bCs/>
                <w:color w:val="46484D"/>
                <w:spacing w:val="-1"/>
              </w:rPr>
              <w:t xml:space="preserve"> </w:t>
            </w:r>
            <w:r w:rsidRPr="005B1BE4">
              <w:rPr>
                <w:rFonts w:ascii="Cambria" w:hAnsi="Cambria"/>
                <w:b/>
                <w:bCs/>
                <w:color w:val="46484D"/>
              </w:rPr>
              <w:t>basel</w:t>
            </w:r>
            <w:r w:rsidRPr="005B1BE4">
              <w:rPr>
                <w:rFonts w:ascii="Cambria" w:hAnsi="Cambria"/>
                <w:b/>
                <w:bCs/>
                <w:color w:val="706667"/>
              </w:rPr>
              <w:t>i</w:t>
            </w:r>
            <w:r w:rsidRPr="005B1BE4">
              <w:rPr>
                <w:rFonts w:ascii="Cambria" w:hAnsi="Cambria"/>
                <w:b/>
                <w:bCs/>
                <w:color w:val="46484D"/>
              </w:rPr>
              <w:t>ne,</w:t>
            </w:r>
            <w:r w:rsidRPr="005B1BE4">
              <w:rPr>
                <w:rFonts w:ascii="Cambria" w:hAnsi="Cambria"/>
                <w:b/>
                <w:bCs/>
                <w:color w:val="46484D"/>
                <w:spacing w:val="12"/>
              </w:rPr>
              <w:t xml:space="preserve"> </w:t>
            </w:r>
            <w:r w:rsidRPr="005B1BE4">
              <w:rPr>
                <w:rFonts w:ascii="Cambria" w:hAnsi="Cambria"/>
                <w:b/>
                <w:bCs/>
                <w:color w:val="46484D"/>
              </w:rPr>
              <w:t>LS</w:t>
            </w:r>
            <w:r w:rsidRPr="005B1BE4">
              <w:rPr>
                <w:rFonts w:ascii="Cambria" w:hAnsi="Cambria"/>
                <w:b/>
                <w:bCs/>
                <w:color w:val="46484D"/>
                <w:spacing w:val="5"/>
              </w:rPr>
              <w:t xml:space="preserve"> </w:t>
            </w:r>
            <w:r w:rsidRPr="005B1BE4">
              <w:rPr>
                <w:rFonts w:ascii="Cambria" w:hAnsi="Cambria"/>
                <w:b/>
                <w:bCs/>
                <w:color w:val="31343D"/>
              </w:rPr>
              <w:t>mean</w:t>
            </w:r>
            <w:r w:rsidRPr="005B1BE4">
              <w:rPr>
                <w:rFonts w:ascii="Cambria" w:hAnsi="Cambria"/>
                <w:b/>
                <w:bCs/>
                <w:color w:val="31343D"/>
                <w:spacing w:val="2"/>
              </w:rPr>
              <w:t xml:space="preserve"> </w:t>
            </w:r>
            <w:r w:rsidRPr="005B1BE4">
              <w:rPr>
                <w:rFonts w:ascii="Cambria" w:hAnsi="Cambria"/>
                <w:b/>
                <w:bCs/>
                <w:color w:val="46484D"/>
                <w:spacing w:val="-4"/>
              </w:rPr>
              <w:t>(S</w:t>
            </w:r>
            <w:r w:rsidRPr="005B1BE4">
              <w:rPr>
                <w:rFonts w:ascii="Cambria" w:hAnsi="Cambria"/>
                <w:b/>
                <w:bCs/>
                <w:color w:val="1F1C23"/>
                <w:spacing w:val="-4"/>
              </w:rPr>
              <w:t>E</w:t>
            </w:r>
            <w:r w:rsidRPr="005B1BE4">
              <w:rPr>
                <w:rFonts w:ascii="Cambria" w:hAnsi="Cambria"/>
                <w:b/>
                <w:bCs/>
                <w:color w:val="46484D"/>
                <w:spacing w:val="-4"/>
              </w:rPr>
              <w:t>)</w:t>
            </w:r>
          </w:p>
        </w:tc>
        <w:tc>
          <w:tcPr>
            <w:tcW w:w="2552" w:type="dxa"/>
          </w:tcPr>
          <w:p w14:paraId="7CCB472C" w14:textId="0B1533EC" w:rsidR="005B1BE4" w:rsidRPr="005B1BE4" w:rsidRDefault="005B1BE4" w:rsidP="00A010AD">
            <w:pPr>
              <w:pStyle w:val="TableParagraph"/>
              <w:tabs>
                <w:tab w:val="left" w:pos="2730"/>
              </w:tabs>
              <w:rPr>
                <w:rFonts w:ascii="Cambria" w:hAnsi="Cambria"/>
              </w:rPr>
            </w:pPr>
            <w:r w:rsidRPr="005B1BE4">
              <w:rPr>
                <w:rFonts w:ascii="Cambria" w:hAnsi="Cambria"/>
                <w:color w:val="46484D"/>
                <w:w w:val="105"/>
              </w:rPr>
              <w:t>-0.27</w:t>
            </w:r>
            <w:r w:rsidRPr="005B1BE4">
              <w:rPr>
                <w:rFonts w:ascii="Cambria" w:hAnsi="Cambria"/>
                <w:color w:val="46484D"/>
                <w:spacing w:val="-13"/>
                <w:w w:val="105"/>
              </w:rPr>
              <w:t xml:space="preserve"> </w:t>
            </w:r>
            <w:r w:rsidRPr="005B1BE4">
              <w:rPr>
                <w:rFonts w:ascii="Cambria" w:hAnsi="Cambria"/>
                <w:color w:val="46484D"/>
                <w:spacing w:val="-2"/>
                <w:w w:val="105"/>
              </w:rPr>
              <w:t>(0.04)</w:t>
            </w:r>
          </w:p>
        </w:tc>
        <w:tc>
          <w:tcPr>
            <w:tcW w:w="1929" w:type="dxa"/>
          </w:tcPr>
          <w:p w14:paraId="394DE8AE" w14:textId="05B1A50A" w:rsidR="005B1BE4" w:rsidRPr="005B1BE4" w:rsidRDefault="005B1BE4" w:rsidP="00A010AD">
            <w:pPr>
              <w:pStyle w:val="TableParagraph"/>
              <w:tabs>
                <w:tab w:val="left" w:pos="2730"/>
              </w:tabs>
              <w:rPr>
                <w:rFonts w:ascii="Cambria" w:hAnsi="Cambria"/>
              </w:rPr>
            </w:pPr>
            <w:r w:rsidRPr="005B1BE4">
              <w:rPr>
                <w:rFonts w:ascii="Cambria" w:hAnsi="Cambria"/>
              </w:rPr>
              <w:t>-0.02 (0.05)</w:t>
            </w:r>
          </w:p>
        </w:tc>
      </w:tr>
      <w:tr w:rsidR="005B1BE4" w:rsidRPr="005B1BE4" w14:paraId="4432F2CA" w14:textId="77777777" w:rsidTr="00D56544">
        <w:trPr>
          <w:trHeight w:val="324"/>
        </w:trPr>
        <w:tc>
          <w:tcPr>
            <w:tcW w:w="4566" w:type="dxa"/>
          </w:tcPr>
          <w:p w14:paraId="59472BBB" w14:textId="77777777" w:rsidR="005B1BE4" w:rsidRPr="005B1BE4" w:rsidRDefault="005B1BE4" w:rsidP="00A010AD">
            <w:pPr>
              <w:pStyle w:val="TableParagraph"/>
              <w:ind w:left="139"/>
              <w:rPr>
                <w:rFonts w:ascii="Cambria" w:hAnsi="Cambria"/>
                <w:b/>
                <w:bCs/>
              </w:rPr>
            </w:pPr>
            <w:r w:rsidRPr="005B1BE4">
              <w:rPr>
                <w:rFonts w:ascii="Cambria" w:hAnsi="Cambria"/>
                <w:b/>
                <w:bCs/>
                <w:color w:val="31343D"/>
                <w:spacing w:val="-2"/>
                <w:w w:val="105"/>
              </w:rPr>
              <w:t>Diff</w:t>
            </w:r>
            <w:r w:rsidRPr="005B1BE4">
              <w:rPr>
                <w:rFonts w:ascii="Cambria" w:hAnsi="Cambria"/>
                <w:b/>
                <w:bCs/>
                <w:color w:val="1F1C23"/>
                <w:spacing w:val="-2"/>
                <w:w w:val="105"/>
              </w:rPr>
              <w:t>e</w:t>
            </w:r>
            <w:r w:rsidRPr="005B1BE4">
              <w:rPr>
                <w:rFonts w:ascii="Cambria" w:hAnsi="Cambria"/>
                <w:b/>
                <w:bCs/>
                <w:color w:val="31343D"/>
                <w:spacing w:val="-2"/>
                <w:w w:val="105"/>
              </w:rPr>
              <w:t>rence</w:t>
            </w:r>
            <w:r w:rsidRPr="005B1BE4">
              <w:rPr>
                <w:rFonts w:ascii="Cambria" w:hAnsi="Cambria"/>
                <w:b/>
                <w:bCs/>
                <w:color w:val="31343D"/>
                <w:spacing w:val="-3"/>
                <w:w w:val="105"/>
              </w:rPr>
              <w:t xml:space="preserve"> </w:t>
            </w:r>
            <w:r w:rsidRPr="005B1BE4">
              <w:rPr>
                <w:rFonts w:ascii="Cambria" w:hAnsi="Cambria"/>
                <w:b/>
                <w:bCs/>
                <w:color w:val="46484D"/>
                <w:spacing w:val="-2"/>
                <w:w w:val="105"/>
              </w:rPr>
              <w:t>vs</w:t>
            </w:r>
            <w:r w:rsidRPr="005B1BE4">
              <w:rPr>
                <w:rFonts w:ascii="Cambria" w:hAnsi="Cambria"/>
                <w:b/>
                <w:bCs/>
                <w:color w:val="46484D"/>
                <w:spacing w:val="-11"/>
                <w:w w:val="105"/>
              </w:rPr>
              <w:t xml:space="preserve"> </w:t>
            </w:r>
            <w:r w:rsidRPr="005B1BE4">
              <w:rPr>
                <w:rFonts w:ascii="Cambria" w:hAnsi="Cambria"/>
                <w:b/>
                <w:bCs/>
                <w:color w:val="46484D"/>
                <w:spacing w:val="-2"/>
                <w:w w:val="105"/>
              </w:rPr>
              <w:t>placebo (95%</w:t>
            </w:r>
            <w:r w:rsidRPr="005B1BE4">
              <w:rPr>
                <w:rFonts w:ascii="Cambria" w:hAnsi="Cambria"/>
                <w:b/>
                <w:bCs/>
                <w:color w:val="46484D"/>
                <w:spacing w:val="-30"/>
                <w:w w:val="105"/>
              </w:rPr>
              <w:t xml:space="preserve"> </w:t>
            </w:r>
            <w:r w:rsidRPr="005B1BE4">
              <w:rPr>
                <w:rFonts w:ascii="Cambria" w:hAnsi="Cambria"/>
                <w:b/>
                <w:bCs/>
                <w:color w:val="46484D"/>
                <w:spacing w:val="-2"/>
                <w:w w:val="105"/>
              </w:rPr>
              <w:t>C</w:t>
            </w:r>
            <w:r w:rsidRPr="005B1BE4">
              <w:rPr>
                <w:rFonts w:ascii="Cambria" w:hAnsi="Cambria"/>
                <w:b/>
                <w:bCs/>
                <w:color w:val="1F1C23"/>
                <w:spacing w:val="-2"/>
                <w:w w:val="105"/>
              </w:rPr>
              <w:t>l</w:t>
            </w:r>
            <w:r w:rsidRPr="005B1BE4">
              <w:rPr>
                <w:rFonts w:ascii="Cambria" w:hAnsi="Cambria"/>
                <w:b/>
                <w:bCs/>
                <w:color w:val="46484D"/>
                <w:spacing w:val="-2"/>
                <w:w w:val="105"/>
              </w:rPr>
              <w:t>);</w:t>
            </w:r>
            <w:r w:rsidRPr="005B1BE4">
              <w:rPr>
                <w:rFonts w:ascii="Cambria" w:hAnsi="Cambria"/>
                <w:b/>
                <w:bCs/>
                <w:color w:val="46484D"/>
                <w:spacing w:val="-6"/>
                <w:w w:val="105"/>
              </w:rPr>
              <w:t xml:space="preserve"> </w:t>
            </w:r>
            <w:r w:rsidRPr="005B1BE4">
              <w:rPr>
                <w:rFonts w:ascii="Cambria" w:hAnsi="Cambria"/>
                <w:b/>
                <w:bCs/>
                <w:color w:val="46484D"/>
                <w:spacing w:val="-2"/>
                <w:w w:val="105"/>
              </w:rPr>
              <w:t>p</w:t>
            </w:r>
            <w:r w:rsidRPr="005B1BE4">
              <w:rPr>
                <w:rFonts w:ascii="Cambria" w:hAnsi="Cambria"/>
                <w:b/>
                <w:bCs/>
                <w:color w:val="46484D"/>
                <w:spacing w:val="5"/>
                <w:w w:val="105"/>
              </w:rPr>
              <w:t xml:space="preserve"> </w:t>
            </w:r>
            <w:r w:rsidRPr="005B1BE4">
              <w:rPr>
                <w:rFonts w:ascii="Cambria" w:hAnsi="Cambria"/>
                <w:b/>
                <w:bCs/>
                <w:color w:val="31343D"/>
                <w:spacing w:val="-2"/>
                <w:w w:val="105"/>
              </w:rPr>
              <w:t>value</w:t>
            </w:r>
          </w:p>
        </w:tc>
        <w:tc>
          <w:tcPr>
            <w:tcW w:w="4481" w:type="dxa"/>
            <w:gridSpan w:val="2"/>
          </w:tcPr>
          <w:p w14:paraId="1A658884" w14:textId="77777777" w:rsidR="005B1BE4" w:rsidRPr="005B1BE4" w:rsidRDefault="005B1BE4" w:rsidP="005B1BE4">
            <w:pPr>
              <w:pStyle w:val="TableParagraph"/>
              <w:rPr>
                <w:rFonts w:ascii="Cambria" w:hAnsi="Cambria"/>
              </w:rPr>
            </w:pPr>
            <w:r w:rsidRPr="005B1BE4">
              <w:rPr>
                <w:rFonts w:ascii="Cambria" w:hAnsi="Cambria"/>
                <w:color w:val="1F1C23"/>
                <w:w w:val="105"/>
              </w:rPr>
              <w:t>-</w:t>
            </w:r>
            <w:r w:rsidRPr="005B1BE4">
              <w:rPr>
                <w:rFonts w:ascii="Cambria" w:hAnsi="Cambria"/>
                <w:color w:val="31343D"/>
                <w:w w:val="105"/>
              </w:rPr>
              <w:t>0.25</w:t>
            </w:r>
            <w:r w:rsidRPr="005B1BE4">
              <w:rPr>
                <w:rFonts w:ascii="Cambria" w:hAnsi="Cambria"/>
                <w:color w:val="31343D"/>
                <w:spacing w:val="-7"/>
                <w:w w:val="105"/>
              </w:rPr>
              <w:t xml:space="preserve"> </w:t>
            </w:r>
            <w:r w:rsidRPr="005B1BE4">
              <w:rPr>
                <w:rFonts w:ascii="Cambria" w:hAnsi="Cambria"/>
                <w:color w:val="46484D"/>
                <w:w w:val="105"/>
              </w:rPr>
              <w:t>(-0.38,</w:t>
            </w:r>
            <w:r w:rsidRPr="005B1BE4">
              <w:rPr>
                <w:rFonts w:ascii="Cambria" w:hAnsi="Cambria"/>
                <w:color w:val="46484D"/>
                <w:spacing w:val="-19"/>
                <w:w w:val="105"/>
              </w:rPr>
              <w:t xml:space="preserve"> </w:t>
            </w:r>
            <w:r w:rsidRPr="005B1BE4">
              <w:rPr>
                <w:rFonts w:ascii="Cambria" w:hAnsi="Cambria"/>
                <w:color w:val="46484D"/>
                <w:w w:val="105"/>
              </w:rPr>
              <w:t>-0.12);</w:t>
            </w:r>
            <w:r w:rsidRPr="005B1BE4">
              <w:rPr>
                <w:rFonts w:ascii="Cambria" w:hAnsi="Cambria"/>
                <w:color w:val="46484D"/>
                <w:spacing w:val="-16"/>
                <w:w w:val="105"/>
              </w:rPr>
              <w:t xml:space="preserve"> </w:t>
            </w:r>
            <w:r w:rsidRPr="005B1BE4">
              <w:rPr>
                <w:rFonts w:ascii="Cambria" w:hAnsi="Cambria"/>
                <w:color w:val="46484D"/>
                <w:w w:val="105"/>
              </w:rPr>
              <w:t>p</w:t>
            </w:r>
            <w:r w:rsidRPr="005B1BE4">
              <w:rPr>
                <w:rFonts w:ascii="Cambria" w:hAnsi="Cambria"/>
                <w:color w:val="46484D"/>
                <w:spacing w:val="-4"/>
                <w:w w:val="105"/>
              </w:rPr>
              <w:t xml:space="preserve"> </w:t>
            </w:r>
            <w:r w:rsidRPr="005B1BE4">
              <w:rPr>
                <w:rFonts w:ascii="Cambria" w:hAnsi="Cambria"/>
                <w:color w:val="1F1C23"/>
                <w:w w:val="105"/>
              </w:rPr>
              <w:t>=</w:t>
            </w:r>
            <w:r w:rsidRPr="005B1BE4">
              <w:rPr>
                <w:rFonts w:ascii="Cambria" w:hAnsi="Cambria"/>
                <w:color w:val="1F1C23"/>
                <w:spacing w:val="-23"/>
                <w:w w:val="105"/>
              </w:rPr>
              <w:t xml:space="preserve"> </w:t>
            </w:r>
            <w:r w:rsidRPr="005B1BE4">
              <w:rPr>
                <w:rFonts w:ascii="Cambria" w:hAnsi="Cambria"/>
                <w:color w:val="46484D"/>
                <w:w w:val="105"/>
              </w:rPr>
              <w:t>0.0006,</w:t>
            </w:r>
            <w:r w:rsidRPr="005B1BE4">
              <w:rPr>
                <w:rFonts w:ascii="Cambria" w:hAnsi="Cambria"/>
                <w:color w:val="46484D"/>
                <w:spacing w:val="-9"/>
                <w:w w:val="105"/>
              </w:rPr>
              <w:t xml:space="preserve"> </w:t>
            </w:r>
            <w:r w:rsidRPr="005B1BE4">
              <w:rPr>
                <w:rFonts w:ascii="Cambria" w:hAnsi="Cambria"/>
                <w:color w:val="31343D"/>
                <w:w w:val="105"/>
              </w:rPr>
              <w:t>2</w:t>
            </w:r>
            <w:r w:rsidRPr="005B1BE4">
              <w:rPr>
                <w:rFonts w:ascii="Cambria" w:hAnsi="Cambria"/>
                <w:color w:val="1F1C23"/>
                <w:w w:val="105"/>
              </w:rPr>
              <w:t>-</w:t>
            </w:r>
            <w:r w:rsidRPr="005B1BE4">
              <w:rPr>
                <w:rFonts w:ascii="Cambria" w:hAnsi="Cambria"/>
                <w:color w:val="31343D"/>
                <w:spacing w:val="-2"/>
                <w:w w:val="105"/>
              </w:rPr>
              <w:t>s</w:t>
            </w:r>
            <w:r w:rsidRPr="005B1BE4">
              <w:rPr>
                <w:rFonts w:ascii="Cambria" w:hAnsi="Cambria"/>
                <w:color w:val="706667"/>
                <w:spacing w:val="-2"/>
                <w:w w:val="105"/>
              </w:rPr>
              <w:t>i</w:t>
            </w:r>
            <w:r w:rsidRPr="005B1BE4">
              <w:rPr>
                <w:rFonts w:ascii="Cambria" w:hAnsi="Cambria"/>
                <w:color w:val="46484D"/>
                <w:spacing w:val="-2"/>
                <w:w w:val="105"/>
              </w:rPr>
              <w:t>ded</w:t>
            </w:r>
          </w:p>
        </w:tc>
      </w:tr>
    </w:tbl>
    <w:p w14:paraId="1BCB443D" w14:textId="41C9C77E" w:rsidR="004F6C6D" w:rsidRDefault="00261BD8" w:rsidP="005B1BE4">
      <w:pPr>
        <w:pStyle w:val="TableDescription"/>
        <w:spacing w:before="0"/>
        <w:contextualSpacing/>
      </w:pPr>
      <w:r w:rsidRPr="00261BD8">
        <w:lastRenderedPageBreak/>
        <w:t>Data were analysed using an ANCOVA model with treatment as a fixed effect and log10-transformed baseline SPD as a covariate. The use of both glucocorticoids and concomitant IRT at baseline were included as categorical (yes/no) covariates. The PD analysis set excluded 2 patients from each treatment group. In addition, 1 patient had a complete response and was excluded.</w:t>
      </w:r>
    </w:p>
    <w:p w14:paraId="301320CA" w14:textId="408C221D" w:rsidR="00E93FEE" w:rsidRDefault="00F8432E" w:rsidP="00F8432E">
      <w:r w:rsidRPr="00F8432E">
        <w:t>For the primary endpoint analysis there was a statistically significant reduction in Log</w:t>
      </w:r>
      <w:r w:rsidRPr="001B1CA8">
        <w:rPr>
          <w:vertAlign w:val="subscript"/>
        </w:rPr>
        <w:t>10</w:t>
      </w:r>
      <w:r w:rsidRPr="00F8432E">
        <w:t xml:space="preserve">SPD at 12 weeks for patients treated with </w:t>
      </w:r>
      <w:r w:rsidR="009844A5">
        <w:t>leniolisib</w:t>
      </w:r>
      <w:r w:rsidRPr="00F8432E">
        <w:t xml:space="preserve"> compared to those who received placebo. The Sponsor has stated that a difference of -0.225 corresponds to a difference of about 40% in the volume of the lesions.</w:t>
      </w:r>
    </w:p>
    <w:p w14:paraId="20E3210A" w14:textId="24AD7016" w:rsidR="00F8432E" w:rsidRDefault="008A1579" w:rsidP="008A1579">
      <w:pPr>
        <w:pStyle w:val="TableTitle"/>
      </w:pPr>
      <w:r w:rsidRPr="008A1579">
        <w:t xml:space="preserve">Table </w:t>
      </w:r>
      <w:r w:rsidR="002004E7">
        <w:t>7</w:t>
      </w:r>
      <w:r>
        <w:t>.</w:t>
      </w:r>
      <w:r w:rsidRPr="008A1579">
        <w:t xml:space="preserve"> Analysis of B-cell phenotype normalisation in patients with less than 48% naïve B-cells at baseline</w:t>
      </w:r>
    </w:p>
    <w:tbl>
      <w:tblPr>
        <w:tblW w:w="8972" w:type="dxa"/>
        <w:tblInd w:w="107"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4708"/>
        <w:gridCol w:w="2126"/>
        <w:gridCol w:w="2138"/>
      </w:tblGrid>
      <w:tr w:rsidR="00E65859" w:rsidRPr="00E65859" w14:paraId="391F3508" w14:textId="77777777" w:rsidTr="00D56544">
        <w:trPr>
          <w:trHeight w:val="332"/>
        </w:trPr>
        <w:tc>
          <w:tcPr>
            <w:tcW w:w="4708" w:type="dxa"/>
            <w:shd w:val="clear" w:color="auto" w:fill="DEEAF6"/>
          </w:tcPr>
          <w:p w14:paraId="076BF35D" w14:textId="77777777" w:rsidR="00E65859" w:rsidRPr="00E65859" w:rsidRDefault="00E65859" w:rsidP="00A010AD">
            <w:pPr>
              <w:pStyle w:val="TableParagraph"/>
              <w:rPr>
                <w:rFonts w:ascii="Cambria" w:hAnsi="Cambria"/>
                <w:color w:val="263287"/>
              </w:rPr>
            </w:pPr>
          </w:p>
        </w:tc>
        <w:tc>
          <w:tcPr>
            <w:tcW w:w="2126" w:type="dxa"/>
            <w:shd w:val="clear" w:color="auto" w:fill="DEEAF6"/>
          </w:tcPr>
          <w:p w14:paraId="3D12AEFC" w14:textId="72B6F619" w:rsidR="00E65859" w:rsidRPr="00E65859" w:rsidRDefault="00E65859" w:rsidP="00A010AD">
            <w:pPr>
              <w:pStyle w:val="TableParagraph"/>
              <w:tabs>
                <w:tab w:val="left" w:pos="2778"/>
              </w:tabs>
              <w:spacing w:before="74"/>
              <w:ind w:left="102"/>
              <w:rPr>
                <w:rFonts w:ascii="Cambria" w:hAnsi="Cambria"/>
                <w:b/>
                <w:bCs/>
                <w:color w:val="263287"/>
              </w:rPr>
            </w:pPr>
            <w:r w:rsidRPr="00E65859">
              <w:rPr>
                <w:rFonts w:ascii="Cambria" w:hAnsi="Cambria"/>
                <w:b/>
                <w:bCs/>
                <w:color w:val="263287"/>
                <w:w w:val="110"/>
              </w:rPr>
              <w:t>Leniolisib</w:t>
            </w:r>
            <w:r w:rsidRPr="00E65859">
              <w:rPr>
                <w:rFonts w:ascii="Cambria" w:hAnsi="Cambria"/>
                <w:b/>
                <w:bCs/>
                <w:color w:val="263287"/>
                <w:spacing w:val="-2"/>
                <w:w w:val="110"/>
              </w:rPr>
              <w:t xml:space="preserve"> (n=8)</w:t>
            </w:r>
            <w:r w:rsidRPr="00E65859">
              <w:rPr>
                <w:rFonts w:ascii="Cambria" w:hAnsi="Cambria"/>
                <w:b/>
                <w:bCs/>
                <w:color w:val="263287"/>
              </w:rPr>
              <w:tab/>
            </w:r>
          </w:p>
        </w:tc>
        <w:tc>
          <w:tcPr>
            <w:tcW w:w="2138" w:type="dxa"/>
            <w:shd w:val="clear" w:color="auto" w:fill="DEEAF6"/>
          </w:tcPr>
          <w:p w14:paraId="5363DCEC" w14:textId="76B6AB9F" w:rsidR="00E65859" w:rsidRPr="00E65859" w:rsidRDefault="00E65859" w:rsidP="00A010AD">
            <w:pPr>
              <w:pStyle w:val="TableParagraph"/>
              <w:tabs>
                <w:tab w:val="left" w:pos="2778"/>
              </w:tabs>
              <w:spacing w:before="74"/>
              <w:ind w:left="102"/>
              <w:rPr>
                <w:rFonts w:ascii="Cambria" w:hAnsi="Cambria"/>
                <w:b/>
                <w:bCs/>
                <w:color w:val="263287"/>
              </w:rPr>
            </w:pPr>
            <w:r w:rsidRPr="00E65859">
              <w:rPr>
                <w:rFonts w:ascii="Cambria" w:hAnsi="Cambria"/>
                <w:b/>
                <w:bCs/>
                <w:color w:val="263287"/>
              </w:rPr>
              <w:t>Placebo (n=5)</w:t>
            </w:r>
          </w:p>
        </w:tc>
      </w:tr>
      <w:tr w:rsidR="00E65859" w:rsidRPr="00E65859" w14:paraId="7E31C4DD" w14:textId="77777777" w:rsidTr="00D56544">
        <w:trPr>
          <w:trHeight w:val="338"/>
        </w:trPr>
        <w:tc>
          <w:tcPr>
            <w:tcW w:w="4708" w:type="dxa"/>
          </w:tcPr>
          <w:p w14:paraId="7D4251F0" w14:textId="77777777" w:rsidR="00E65859" w:rsidRPr="00E65859" w:rsidRDefault="00E65859" w:rsidP="00A010AD">
            <w:pPr>
              <w:pStyle w:val="TableParagraph"/>
              <w:spacing w:before="72"/>
              <w:ind w:left="136"/>
              <w:rPr>
                <w:rFonts w:ascii="Cambria" w:hAnsi="Cambria"/>
                <w:b/>
                <w:bCs/>
              </w:rPr>
            </w:pPr>
            <w:r w:rsidRPr="00E65859">
              <w:rPr>
                <w:rFonts w:ascii="Cambria" w:hAnsi="Cambria"/>
                <w:b/>
                <w:bCs/>
                <w:color w:val="282F31"/>
                <w:w w:val="105"/>
              </w:rPr>
              <w:t>Baseline</w:t>
            </w:r>
            <w:r w:rsidRPr="00E65859">
              <w:rPr>
                <w:rFonts w:ascii="Cambria" w:hAnsi="Cambria"/>
                <w:b/>
                <w:bCs/>
                <w:color w:val="282F31"/>
                <w:spacing w:val="11"/>
                <w:w w:val="105"/>
              </w:rPr>
              <w:t xml:space="preserve"> </w:t>
            </w:r>
            <w:r w:rsidRPr="00E65859">
              <w:rPr>
                <w:rFonts w:ascii="Cambria" w:hAnsi="Cambria"/>
                <w:b/>
                <w:bCs/>
                <w:color w:val="3B4244"/>
                <w:w w:val="105"/>
              </w:rPr>
              <w:t>mean</w:t>
            </w:r>
            <w:r w:rsidRPr="00E65859">
              <w:rPr>
                <w:rFonts w:ascii="Cambria" w:hAnsi="Cambria"/>
                <w:b/>
                <w:bCs/>
                <w:color w:val="3B4244"/>
                <w:spacing w:val="-1"/>
                <w:w w:val="105"/>
              </w:rPr>
              <w:t xml:space="preserve"> </w:t>
            </w:r>
            <w:r w:rsidRPr="00E65859">
              <w:rPr>
                <w:rFonts w:ascii="Cambria" w:hAnsi="Cambria"/>
                <w:b/>
                <w:bCs/>
                <w:color w:val="3B4244"/>
                <w:spacing w:val="-4"/>
                <w:w w:val="105"/>
              </w:rPr>
              <w:t>(SD)</w:t>
            </w:r>
          </w:p>
        </w:tc>
        <w:tc>
          <w:tcPr>
            <w:tcW w:w="2126" w:type="dxa"/>
          </w:tcPr>
          <w:p w14:paraId="62CB2001" w14:textId="7DC9AC27" w:rsidR="00E65859" w:rsidRPr="00E65859" w:rsidRDefault="00E65859" w:rsidP="00A010AD">
            <w:pPr>
              <w:pStyle w:val="TableParagraph"/>
              <w:tabs>
                <w:tab w:val="left" w:pos="2778"/>
              </w:tabs>
              <w:spacing w:before="63"/>
              <w:ind w:left="111"/>
              <w:rPr>
                <w:rFonts w:ascii="Cambria" w:hAnsi="Cambria"/>
              </w:rPr>
            </w:pPr>
            <w:r w:rsidRPr="00E65859">
              <w:rPr>
                <w:rFonts w:ascii="Cambria" w:hAnsi="Cambria"/>
                <w:color w:val="3B4244"/>
                <w:w w:val="115"/>
              </w:rPr>
              <w:t>27.16</w:t>
            </w:r>
            <w:r w:rsidRPr="00E65859">
              <w:rPr>
                <w:rFonts w:ascii="Cambria" w:hAnsi="Cambria"/>
                <w:color w:val="3B4244"/>
                <w:spacing w:val="-12"/>
                <w:w w:val="115"/>
              </w:rPr>
              <w:t xml:space="preserve"> </w:t>
            </w:r>
            <w:r w:rsidRPr="00E65859">
              <w:rPr>
                <w:rFonts w:ascii="Cambria" w:hAnsi="Cambria"/>
                <w:color w:val="3B4244"/>
                <w:spacing w:val="-2"/>
                <w:w w:val="115"/>
              </w:rPr>
              <w:t>(13.16)</w:t>
            </w:r>
            <w:r w:rsidRPr="00E65859">
              <w:rPr>
                <w:rFonts w:ascii="Cambria" w:hAnsi="Cambria"/>
                <w:color w:val="3B4244"/>
              </w:rPr>
              <w:tab/>
            </w:r>
          </w:p>
        </w:tc>
        <w:tc>
          <w:tcPr>
            <w:tcW w:w="2138" w:type="dxa"/>
          </w:tcPr>
          <w:p w14:paraId="744E62D0" w14:textId="11B03CD6" w:rsidR="00E65859" w:rsidRPr="00E65859" w:rsidRDefault="00E65859" w:rsidP="00A010AD">
            <w:pPr>
              <w:pStyle w:val="TableParagraph"/>
              <w:tabs>
                <w:tab w:val="left" w:pos="2778"/>
              </w:tabs>
              <w:spacing w:before="63"/>
              <w:ind w:left="111"/>
              <w:rPr>
                <w:rFonts w:ascii="Cambria" w:hAnsi="Cambria"/>
              </w:rPr>
            </w:pPr>
            <w:r w:rsidRPr="00E65859">
              <w:rPr>
                <w:rFonts w:ascii="Cambria" w:hAnsi="Cambria"/>
              </w:rPr>
              <w:t>30.51 (7.97</w:t>
            </w:r>
            <w:r>
              <w:rPr>
                <w:rFonts w:ascii="Cambria" w:hAnsi="Cambria"/>
              </w:rPr>
              <w:t>)</w:t>
            </w:r>
          </w:p>
        </w:tc>
      </w:tr>
      <w:tr w:rsidR="00E65859" w:rsidRPr="00E65859" w14:paraId="26E8BFC2" w14:textId="77777777" w:rsidTr="00D56544">
        <w:trPr>
          <w:trHeight w:val="339"/>
        </w:trPr>
        <w:tc>
          <w:tcPr>
            <w:tcW w:w="4708" w:type="dxa"/>
          </w:tcPr>
          <w:p w14:paraId="565A4380" w14:textId="77777777" w:rsidR="00E65859" w:rsidRPr="00E65859" w:rsidRDefault="00E65859" w:rsidP="00A010AD">
            <w:pPr>
              <w:pStyle w:val="TableParagraph"/>
              <w:spacing w:before="71"/>
              <w:ind w:left="134"/>
              <w:rPr>
                <w:rFonts w:ascii="Cambria" w:hAnsi="Cambria"/>
                <w:b/>
                <w:bCs/>
              </w:rPr>
            </w:pPr>
            <w:r w:rsidRPr="00E65859">
              <w:rPr>
                <w:rFonts w:ascii="Cambria" w:hAnsi="Cambria"/>
                <w:b/>
                <w:bCs/>
                <w:color w:val="3B4244"/>
                <w:w w:val="105"/>
              </w:rPr>
              <w:t>C</w:t>
            </w:r>
            <w:r w:rsidRPr="00E65859">
              <w:rPr>
                <w:rFonts w:ascii="Cambria" w:hAnsi="Cambria"/>
                <w:b/>
                <w:bCs/>
                <w:color w:val="4F5B60"/>
                <w:w w:val="105"/>
              </w:rPr>
              <w:t>h</w:t>
            </w:r>
            <w:r w:rsidRPr="00E65859">
              <w:rPr>
                <w:rFonts w:ascii="Cambria" w:hAnsi="Cambria"/>
                <w:b/>
                <w:bCs/>
                <w:color w:val="3B4244"/>
                <w:w w:val="105"/>
              </w:rPr>
              <w:t>ange</w:t>
            </w:r>
            <w:r w:rsidRPr="00E65859">
              <w:rPr>
                <w:rFonts w:ascii="Cambria" w:hAnsi="Cambria"/>
                <w:b/>
                <w:bCs/>
                <w:color w:val="3B4244"/>
                <w:spacing w:val="11"/>
                <w:w w:val="105"/>
              </w:rPr>
              <w:t xml:space="preserve"> </w:t>
            </w:r>
            <w:r w:rsidRPr="00E65859">
              <w:rPr>
                <w:rFonts w:ascii="Cambria" w:hAnsi="Cambria"/>
                <w:b/>
                <w:bCs/>
                <w:color w:val="3B4244"/>
                <w:w w:val="105"/>
              </w:rPr>
              <w:t>from</w:t>
            </w:r>
            <w:r w:rsidRPr="00E65859">
              <w:rPr>
                <w:rFonts w:ascii="Cambria" w:hAnsi="Cambria"/>
                <w:b/>
                <w:bCs/>
                <w:color w:val="3B4244"/>
                <w:spacing w:val="-8"/>
                <w:w w:val="105"/>
              </w:rPr>
              <w:t xml:space="preserve"> </w:t>
            </w:r>
            <w:r w:rsidRPr="00E65859">
              <w:rPr>
                <w:rFonts w:ascii="Cambria" w:hAnsi="Cambria"/>
                <w:b/>
                <w:bCs/>
                <w:color w:val="3B4244"/>
                <w:w w:val="105"/>
              </w:rPr>
              <w:t>baseline,</w:t>
            </w:r>
            <w:r w:rsidRPr="00E65859">
              <w:rPr>
                <w:rFonts w:ascii="Cambria" w:hAnsi="Cambria"/>
                <w:b/>
                <w:bCs/>
                <w:color w:val="3B4244"/>
                <w:spacing w:val="14"/>
                <w:w w:val="105"/>
              </w:rPr>
              <w:t xml:space="preserve"> </w:t>
            </w:r>
            <w:r w:rsidRPr="00E65859">
              <w:rPr>
                <w:rFonts w:ascii="Cambria" w:hAnsi="Cambria"/>
                <w:b/>
                <w:bCs/>
                <w:color w:val="282F31"/>
                <w:w w:val="105"/>
              </w:rPr>
              <w:t>LS</w:t>
            </w:r>
            <w:r w:rsidRPr="00E65859">
              <w:rPr>
                <w:rFonts w:ascii="Cambria" w:hAnsi="Cambria"/>
                <w:b/>
                <w:bCs/>
                <w:color w:val="282F31"/>
                <w:spacing w:val="-2"/>
                <w:w w:val="105"/>
              </w:rPr>
              <w:t xml:space="preserve"> </w:t>
            </w:r>
            <w:r w:rsidRPr="00E65859">
              <w:rPr>
                <w:rFonts w:ascii="Cambria" w:hAnsi="Cambria"/>
                <w:b/>
                <w:bCs/>
                <w:color w:val="3B4244"/>
                <w:w w:val="105"/>
              </w:rPr>
              <w:t>mean</w:t>
            </w:r>
            <w:r w:rsidRPr="00E65859">
              <w:rPr>
                <w:rFonts w:ascii="Cambria" w:hAnsi="Cambria"/>
                <w:b/>
                <w:bCs/>
                <w:color w:val="3B4244"/>
                <w:spacing w:val="13"/>
                <w:w w:val="105"/>
              </w:rPr>
              <w:t xml:space="preserve"> </w:t>
            </w:r>
            <w:r w:rsidRPr="00E65859">
              <w:rPr>
                <w:rFonts w:ascii="Cambria" w:hAnsi="Cambria"/>
                <w:b/>
                <w:bCs/>
                <w:color w:val="3B4244"/>
                <w:spacing w:val="-4"/>
                <w:w w:val="105"/>
              </w:rPr>
              <w:t>{SE)</w:t>
            </w:r>
          </w:p>
        </w:tc>
        <w:tc>
          <w:tcPr>
            <w:tcW w:w="2126" w:type="dxa"/>
          </w:tcPr>
          <w:p w14:paraId="1FB7BEC0" w14:textId="149AB42F" w:rsidR="00E65859" w:rsidRPr="00E65859" w:rsidRDefault="00E65859" w:rsidP="00A010AD">
            <w:pPr>
              <w:pStyle w:val="TableParagraph"/>
              <w:tabs>
                <w:tab w:val="left" w:pos="2779"/>
              </w:tabs>
              <w:spacing w:before="62"/>
              <w:ind w:left="107"/>
              <w:rPr>
                <w:rFonts w:ascii="Cambria" w:hAnsi="Cambria"/>
              </w:rPr>
            </w:pPr>
            <w:r w:rsidRPr="00E65859">
              <w:rPr>
                <w:rFonts w:ascii="Cambria" w:hAnsi="Cambria"/>
                <w:color w:val="3B4244"/>
                <w:w w:val="115"/>
              </w:rPr>
              <w:t>37.39</w:t>
            </w:r>
            <w:r w:rsidRPr="00E65859">
              <w:rPr>
                <w:rFonts w:ascii="Cambria" w:hAnsi="Cambria"/>
                <w:color w:val="3B4244"/>
                <w:spacing w:val="-9"/>
                <w:w w:val="115"/>
              </w:rPr>
              <w:t xml:space="preserve"> </w:t>
            </w:r>
            <w:r w:rsidRPr="00E65859">
              <w:rPr>
                <w:rFonts w:ascii="Cambria" w:hAnsi="Cambria"/>
                <w:color w:val="3B4244"/>
                <w:spacing w:val="-2"/>
                <w:w w:val="115"/>
              </w:rPr>
              <w:t>(5</w:t>
            </w:r>
            <w:r w:rsidRPr="00E65859">
              <w:rPr>
                <w:rFonts w:ascii="Cambria" w:hAnsi="Cambria"/>
                <w:color w:val="646E67"/>
                <w:spacing w:val="-2"/>
                <w:w w:val="115"/>
              </w:rPr>
              <w:t>.</w:t>
            </w:r>
            <w:r w:rsidRPr="00E65859">
              <w:rPr>
                <w:rFonts w:ascii="Cambria" w:hAnsi="Cambria"/>
                <w:color w:val="3B4244"/>
                <w:spacing w:val="-2"/>
                <w:w w:val="115"/>
              </w:rPr>
              <w:t>35)</w:t>
            </w:r>
            <w:r w:rsidRPr="00E65859">
              <w:rPr>
                <w:rFonts w:ascii="Cambria" w:hAnsi="Cambria"/>
                <w:color w:val="3B4244"/>
              </w:rPr>
              <w:tab/>
            </w:r>
          </w:p>
        </w:tc>
        <w:tc>
          <w:tcPr>
            <w:tcW w:w="2138" w:type="dxa"/>
          </w:tcPr>
          <w:p w14:paraId="5FDC7105" w14:textId="6B3FB473" w:rsidR="00E65859" w:rsidRPr="00E65859" w:rsidRDefault="00E65859" w:rsidP="00A010AD">
            <w:pPr>
              <w:pStyle w:val="TableParagraph"/>
              <w:tabs>
                <w:tab w:val="left" w:pos="2779"/>
              </w:tabs>
              <w:spacing w:before="62"/>
              <w:ind w:left="107"/>
              <w:rPr>
                <w:rFonts w:ascii="Cambria" w:hAnsi="Cambria"/>
              </w:rPr>
            </w:pPr>
            <w:r w:rsidRPr="00E65859">
              <w:rPr>
                <w:rFonts w:ascii="Cambria" w:hAnsi="Cambria"/>
              </w:rPr>
              <w:t>0.09 {6.66)</w:t>
            </w:r>
          </w:p>
        </w:tc>
      </w:tr>
      <w:tr w:rsidR="00E65859" w:rsidRPr="00E65859" w14:paraId="6840B0CE" w14:textId="77777777" w:rsidTr="00D56544">
        <w:trPr>
          <w:trHeight w:val="318"/>
        </w:trPr>
        <w:tc>
          <w:tcPr>
            <w:tcW w:w="4708" w:type="dxa"/>
          </w:tcPr>
          <w:p w14:paraId="4A114161" w14:textId="77777777" w:rsidR="00E65859" w:rsidRPr="00E65859" w:rsidRDefault="00E65859" w:rsidP="00A010AD">
            <w:pPr>
              <w:pStyle w:val="TableParagraph"/>
              <w:spacing w:before="75"/>
              <w:ind w:left="135"/>
              <w:rPr>
                <w:rFonts w:ascii="Cambria" w:hAnsi="Cambria"/>
                <w:b/>
                <w:bCs/>
              </w:rPr>
            </w:pPr>
            <w:r w:rsidRPr="00E65859">
              <w:rPr>
                <w:rFonts w:ascii="Cambria" w:hAnsi="Cambria"/>
                <w:b/>
                <w:bCs/>
                <w:color w:val="282F31"/>
                <w:w w:val="110"/>
              </w:rPr>
              <w:t>Difference</w:t>
            </w:r>
            <w:r w:rsidRPr="00E65859">
              <w:rPr>
                <w:rFonts w:ascii="Cambria" w:hAnsi="Cambria"/>
                <w:b/>
                <w:bCs/>
                <w:color w:val="282F31"/>
                <w:spacing w:val="-13"/>
                <w:w w:val="110"/>
              </w:rPr>
              <w:t xml:space="preserve"> </w:t>
            </w:r>
            <w:r w:rsidRPr="00E65859">
              <w:rPr>
                <w:rFonts w:ascii="Cambria" w:hAnsi="Cambria"/>
                <w:b/>
                <w:bCs/>
                <w:color w:val="282F31"/>
                <w:w w:val="110"/>
              </w:rPr>
              <w:t>vs</w:t>
            </w:r>
            <w:r w:rsidRPr="00E65859">
              <w:rPr>
                <w:rFonts w:ascii="Cambria" w:hAnsi="Cambria"/>
                <w:b/>
                <w:bCs/>
                <w:color w:val="282F31"/>
                <w:spacing w:val="-14"/>
                <w:w w:val="110"/>
              </w:rPr>
              <w:t xml:space="preserve"> </w:t>
            </w:r>
            <w:r w:rsidRPr="00E65859">
              <w:rPr>
                <w:rFonts w:ascii="Cambria" w:hAnsi="Cambria"/>
                <w:b/>
                <w:bCs/>
                <w:color w:val="3B4244"/>
                <w:w w:val="110"/>
              </w:rPr>
              <w:t>placebo</w:t>
            </w:r>
            <w:r w:rsidRPr="00E65859">
              <w:rPr>
                <w:rFonts w:ascii="Cambria" w:hAnsi="Cambria"/>
                <w:b/>
                <w:bCs/>
                <w:color w:val="3B4244"/>
                <w:spacing w:val="-8"/>
                <w:w w:val="110"/>
              </w:rPr>
              <w:t xml:space="preserve"> </w:t>
            </w:r>
            <w:r w:rsidRPr="00E65859">
              <w:rPr>
                <w:rFonts w:ascii="Cambria" w:hAnsi="Cambria"/>
                <w:b/>
                <w:bCs/>
                <w:color w:val="3B4244"/>
                <w:w w:val="110"/>
              </w:rPr>
              <w:t>{95%</w:t>
            </w:r>
            <w:r w:rsidRPr="00E65859">
              <w:rPr>
                <w:rFonts w:ascii="Cambria" w:hAnsi="Cambria"/>
                <w:b/>
                <w:bCs/>
                <w:color w:val="3B4244"/>
                <w:spacing w:val="-30"/>
                <w:w w:val="110"/>
              </w:rPr>
              <w:t xml:space="preserve"> </w:t>
            </w:r>
            <w:r w:rsidRPr="00E65859">
              <w:rPr>
                <w:rFonts w:ascii="Cambria" w:hAnsi="Cambria"/>
                <w:b/>
                <w:bCs/>
                <w:color w:val="3B4244"/>
                <w:w w:val="110"/>
              </w:rPr>
              <w:t>Cl);</w:t>
            </w:r>
            <w:r w:rsidRPr="00E65859">
              <w:rPr>
                <w:rFonts w:ascii="Cambria" w:hAnsi="Cambria"/>
                <w:b/>
                <w:bCs/>
                <w:color w:val="3B4244"/>
                <w:spacing w:val="-17"/>
                <w:w w:val="110"/>
              </w:rPr>
              <w:t xml:space="preserve"> </w:t>
            </w:r>
            <w:r w:rsidRPr="00E65859">
              <w:rPr>
                <w:rFonts w:ascii="Cambria" w:hAnsi="Cambria"/>
                <w:b/>
                <w:bCs/>
                <w:color w:val="282F31"/>
                <w:w w:val="110"/>
              </w:rPr>
              <w:t>p</w:t>
            </w:r>
            <w:r w:rsidRPr="00E65859">
              <w:rPr>
                <w:rFonts w:ascii="Cambria" w:hAnsi="Cambria"/>
                <w:b/>
                <w:bCs/>
                <w:color w:val="282F31"/>
                <w:spacing w:val="-5"/>
                <w:w w:val="110"/>
              </w:rPr>
              <w:t xml:space="preserve"> </w:t>
            </w:r>
            <w:r w:rsidRPr="00E65859">
              <w:rPr>
                <w:rFonts w:ascii="Cambria" w:hAnsi="Cambria"/>
                <w:b/>
                <w:bCs/>
                <w:color w:val="3B4244"/>
                <w:spacing w:val="-2"/>
                <w:w w:val="110"/>
              </w:rPr>
              <w:t>value</w:t>
            </w:r>
          </w:p>
        </w:tc>
        <w:tc>
          <w:tcPr>
            <w:tcW w:w="4264" w:type="dxa"/>
            <w:gridSpan w:val="2"/>
          </w:tcPr>
          <w:p w14:paraId="13060028" w14:textId="77777777" w:rsidR="00E65859" w:rsidRPr="00E65859" w:rsidRDefault="00E65859" w:rsidP="00E65859">
            <w:pPr>
              <w:pStyle w:val="TableParagraph"/>
              <w:spacing w:before="66"/>
              <w:rPr>
                <w:rFonts w:ascii="Cambria" w:hAnsi="Cambria"/>
              </w:rPr>
            </w:pPr>
            <w:r w:rsidRPr="00E65859">
              <w:rPr>
                <w:rFonts w:ascii="Cambria" w:hAnsi="Cambria"/>
                <w:color w:val="282F31"/>
                <w:w w:val="115"/>
              </w:rPr>
              <w:t>37.30</w:t>
            </w:r>
            <w:r w:rsidRPr="00E65859">
              <w:rPr>
                <w:rFonts w:ascii="Cambria" w:hAnsi="Cambria"/>
                <w:color w:val="282F31"/>
                <w:spacing w:val="-13"/>
                <w:w w:val="115"/>
              </w:rPr>
              <w:t xml:space="preserve"> </w:t>
            </w:r>
            <w:r w:rsidRPr="00E65859">
              <w:rPr>
                <w:rFonts w:ascii="Cambria" w:hAnsi="Cambria"/>
                <w:color w:val="282F31"/>
                <w:w w:val="115"/>
              </w:rPr>
              <w:t>(24.06,</w:t>
            </w:r>
            <w:r w:rsidRPr="00E65859">
              <w:rPr>
                <w:rFonts w:ascii="Cambria" w:hAnsi="Cambria"/>
                <w:color w:val="282F31"/>
                <w:spacing w:val="-14"/>
                <w:w w:val="115"/>
              </w:rPr>
              <w:t xml:space="preserve"> </w:t>
            </w:r>
            <w:r w:rsidRPr="00E65859">
              <w:rPr>
                <w:rFonts w:ascii="Cambria" w:hAnsi="Cambria"/>
                <w:color w:val="282F31"/>
                <w:w w:val="115"/>
              </w:rPr>
              <w:t>50.54)</w:t>
            </w:r>
            <w:r w:rsidRPr="00E65859">
              <w:rPr>
                <w:rFonts w:ascii="Cambria" w:hAnsi="Cambria"/>
                <w:color w:val="282F31"/>
                <w:spacing w:val="-13"/>
                <w:w w:val="115"/>
              </w:rPr>
              <w:t xml:space="preserve"> </w:t>
            </w:r>
            <w:r w:rsidRPr="00E65859">
              <w:rPr>
                <w:rFonts w:ascii="Cambria" w:hAnsi="Cambria"/>
                <w:color w:val="3B4244"/>
                <w:w w:val="115"/>
              </w:rPr>
              <w:t>p</w:t>
            </w:r>
            <w:r w:rsidRPr="00E65859">
              <w:rPr>
                <w:rFonts w:ascii="Cambria" w:hAnsi="Cambria"/>
                <w:color w:val="3B4244"/>
                <w:spacing w:val="-14"/>
                <w:w w:val="115"/>
              </w:rPr>
              <w:t xml:space="preserve"> </w:t>
            </w:r>
            <w:r w:rsidRPr="00E65859">
              <w:rPr>
                <w:rFonts w:ascii="Cambria" w:hAnsi="Cambria"/>
                <w:color w:val="282F31"/>
                <w:w w:val="115"/>
              </w:rPr>
              <w:t>=</w:t>
            </w:r>
            <w:r w:rsidRPr="00E65859">
              <w:rPr>
                <w:rFonts w:ascii="Cambria" w:hAnsi="Cambria"/>
                <w:color w:val="282F31"/>
                <w:spacing w:val="-24"/>
                <w:w w:val="115"/>
              </w:rPr>
              <w:t xml:space="preserve"> </w:t>
            </w:r>
            <w:r w:rsidRPr="00E65859">
              <w:rPr>
                <w:rFonts w:ascii="Cambria" w:hAnsi="Cambria"/>
                <w:color w:val="282F31"/>
                <w:w w:val="115"/>
              </w:rPr>
              <w:t>0</w:t>
            </w:r>
            <w:r w:rsidRPr="00E65859">
              <w:rPr>
                <w:rFonts w:ascii="Cambria" w:hAnsi="Cambria"/>
                <w:color w:val="4F5B60"/>
                <w:w w:val="115"/>
              </w:rPr>
              <w:t>.</w:t>
            </w:r>
            <w:r w:rsidRPr="00E65859">
              <w:rPr>
                <w:rFonts w:ascii="Cambria" w:hAnsi="Cambria"/>
                <w:color w:val="3B4244"/>
                <w:w w:val="115"/>
              </w:rPr>
              <w:t>0002,</w:t>
            </w:r>
            <w:r w:rsidRPr="00E65859">
              <w:rPr>
                <w:rFonts w:ascii="Cambria" w:hAnsi="Cambria"/>
                <w:color w:val="3B4244"/>
                <w:spacing w:val="-3"/>
                <w:w w:val="115"/>
              </w:rPr>
              <w:t xml:space="preserve"> </w:t>
            </w:r>
            <w:r w:rsidRPr="00E65859">
              <w:rPr>
                <w:rFonts w:ascii="Cambria" w:hAnsi="Cambria"/>
                <w:color w:val="282F31"/>
                <w:w w:val="115"/>
              </w:rPr>
              <w:t>2-</w:t>
            </w:r>
            <w:r w:rsidRPr="00E65859">
              <w:rPr>
                <w:rFonts w:ascii="Cambria" w:hAnsi="Cambria"/>
                <w:color w:val="282F31"/>
                <w:spacing w:val="-2"/>
                <w:w w:val="115"/>
              </w:rPr>
              <w:t>s</w:t>
            </w:r>
            <w:r w:rsidRPr="00E65859">
              <w:rPr>
                <w:rFonts w:ascii="Cambria" w:hAnsi="Cambria"/>
                <w:color w:val="646E67"/>
                <w:spacing w:val="-2"/>
                <w:w w:val="115"/>
              </w:rPr>
              <w:t>i</w:t>
            </w:r>
            <w:r w:rsidRPr="00E65859">
              <w:rPr>
                <w:rFonts w:ascii="Cambria" w:hAnsi="Cambria"/>
                <w:color w:val="3B4244"/>
                <w:spacing w:val="-2"/>
                <w:w w:val="115"/>
              </w:rPr>
              <w:t>ded</w:t>
            </w:r>
          </w:p>
        </w:tc>
      </w:tr>
    </w:tbl>
    <w:p w14:paraId="30C577F6" w14:textId="77456237" w:rsidR="00FA7140" w:rsidRDefault="00FA7140" w:rsidP="00E65859">
      <w:pPr>
        <w:pStyle w:val="TableDescription"/>
        <w:spacing w:before="0"/>
        <w:contextualSpacing/>
      </w:pPr>
      <w:r w:rsidRPr="00FA7140">
        <w:t>Data were analysed using an ANCOVA model with treatment as a fixed effect and baseline as a covariate. and log10-transformed baseline SPD as a covariate. The use of both baseline glucocorticoids and IRT were included as categorical covariates (yes/no). Baseline was defined as the arithmetic mean of the baseline and Day 1 values when both are available, and if either baseline or the Day 1 value is missing., the existing value is used. The PD analysis set excluded 2 patients from each treatment group. In addition, 5 patients in the leniolisib group and 3 patients in the placebo group had .48% naïve B cells at Baseline. The leniolisib group had 5 patients with no measurement on Day 85 and 1 patient with no baseline measurement.</w:t>
      </w:r>
    </w:p>
    <w:p w14:paraId="2CB371A5" w14:textId="5B413433" w:rsidR="005D6D73" w:rsidRDefault="005D6D73" w:rsidP="005D6D73">
      <w:r>
        <w:t xml:space="preserve">There was a statistically significant improvement in the percentage of naïve B-cells circulating in patients treated with </w:t>
      </w:r>
      <w:r w:rsidR="009844A5">
        <w:t>leniolisib</w:t>
      </w:r>
      <w:r>
        <w:t xml:space="preserve"> compared to those who received placebo, in whom there was essentially no change. The Delegate</w:t>
      </w:r>
      <w:r w:rsidR="00375677">
        <w:rPr>
          <w:rStyle w:val="FootnoteReference"/>
        </w:rPr>
        <w:footnoteReference w:id="5"/>
      </w:r>
      <w:r>
        <w:t xml:space="preserve"> notes that this is a small subset of the total efficacy population with 8 patients treated with </w:t>
      </w:r>
      <w:r w:rsidR="009844A5">
        <w:t>leniolisib</w:t>
      </w:r>
      <w:r>
        <w:t xml:space="preserve"> and 5 treated with placebo.</w:t>
      </w:r>
    </w:p>
    <w:p w14:paraId="7B1B9CE2" w14:textId="77777777" w:rsidR="005D6D73" w:rsidRDefault="005D6D73" w:rsidP="00D27E29">
      <w:pPr>
        <w:pStyle w:val="Heading6"/>
      </w:pPr>
      <w:r>
        <w:t>Quality of life endpoints study 2201/2</w:t>
      </w:r>
    </w:p>
    <w:p w14:paraId="6D5E710D" w14:textId="02559831" w:rsidR="005D6D73" w:rsidRDefault="005D6D73" w:rsidP="005D6D73">
      <w:r>
        <w:t xml:space="preserve">The difference in quality-of-life indexes (SF-36, WPAI-CIQ, Physicians Global Assessment score and Patients Global Assessment score) showed no statistically significant improvement for patients treated with </w:t>
      </w:r>
      <w:r w:rsidR="009844A5">
        <w:t>leniolisib</w:t>
      </w:r>
      <w:r>
        <w:t xml:space="preserve"> over 12 weeks compared to placebo, although there was generally a numerical improvement.</w:t>
      </w:r>
    </w:p>
    <w:p w14:paraId="5B23EFBD" w14:textId="77777777" w:rsidR="005D6D73" w:rsidRDefault="005D6D73" w:rsidP="00D27E29">
      <w:pPr>
        <w:pStyle w:val="Heading6"/>
      </w:pPr>
      <w:r>
        <w:t>Study 2201 open-label-extension (2201/E1)</w:t>
      </w:r>
    </w:p>
    <w:p w14:paraId="0CB114C8" w14:textId="77777777" w:rsidR="005D6D73" w:rsidRDefault="005D6D73" w:rsidP="005D6D73">
      <w:r>
        <w:t>Study 2201/E1 was an extension study that included patients who had participated in study 2201 parts 1 or 2 (including placebo), or newly enrolled patients with APDS. Overall, 37 patients were enrolled, two of whom were new to the study. Of these, 31 patients were ongoing at the time of the data analysis submitted in this application.</w:t>
      </w:r>
    </w:p>
    <w:p w14:paraId="700C2152" w14:textId="53C15309" w:rsidR="005D6D73" w:rsidRDefault="005D6D73" w:rsidP="005D6D73">
      <w:r>
        <w:t>The endpoints examined in the extension phase were all considered equally ranked and included:</w:t>
      </w:r>
    </w:p>
    <w:p w14:paraId="1C6732B1" w14:textId="6F5B382E" w:rsidR="005D6D73" w:rsidRDefault="00792F09" w:rsidP="005515F8">
      <w:pPr>
        <w:pStyle w:val="ListBullet"/>
      </w:pPr>
      <w:r>
        <w:t>i</w:t>
      </w:r>
      <w:r w:rsidR="005D6D73">
        <w:t>nflammatory biomarkers/clinical chemistry parameters: hsCRP/LDH</w:t>
      </w:r>
    </w:p>
    <w:p w14:paraId="3E105E88" w14:textId="70675AB9" w:rsidR="005D6D73" w:rsidRDefault="00792F09" w:rsidP="005515F8">
      <w:pPr>
        <w:pStyle w:val="ListBullet"/>
      </w:pPr>
      <w:r>
        <w:t>p</w:t>
      </w:r>
      <w:r w:rsidR="005D6D73">
        <w:t>atient reported outcomes: SF-36 and WPAI-CIQ questionnaires.</w:t>
      </w:r>
    </w:p>
    <w:p w14:paraId="15076405" w14:textId="1B528311" w:rsidR="005D6D73" w:rsidRDefault="00792F09" w:rsidP="005515F8">
      <w:pPr>
        <w:pStyle w:val="ListBullet"/>
      </w:pPr>
      <w:r>
        <w:t>P</w:t>
      </w:r>
      <w:r w:rsidR="001B1CA8" w:rsidRPr="001B1CA8">
        <w:t>hysicians Global Assessment (PGA</w:t>
      </w:r>
      <w:r>
        <w:t xml:space="preserve"> and PtGA</w:t>
      </w:r>
      <w:r w:rsidR="001B1CA8" w:rsidRPr="001B1CA8">
        <w:t>) of disease severity</w:t>
      </w:r>
    </w:p>
    <w:p w14:paraId="0499B84C" w14:textId="50610121" w:rsidR="005D6D73" w:rsidRDefault="00792F09" w:rsidP="00336D9A">
      <w:pPr>
        <w:pStyle w:val="ListBullet"/>
      </w:pPr>
      <w:r>
        <w:lastRenderedPageBreak/>
        <w:t>i</w:t>
      </w:r>
      <w:r w:rsidR="005D6D73">
        <w:t>nvestigator narratives.</w:t>
      </w:r>
    </w:p>
    <w:p w14:paraId="00DB707B" w14:textId="5BE90FE2" w:rsidR="005D6D73" w:rsidRDefault="005D6D73" w:rsidP="005D6D73">
      <w:r>
        <w:t>The extension study provided data for a mean exposure duration of 159.76 weeks, ranging from</w:t>
      </w:r>
      <w:r w:rsidR="005515F8">
        <w:t xml:space="preserve"> </w:t>
      </w:r>
      <w:r>
        <w:t xml:space="preserve">62.3 to 312.9 weeks. 30/37 patients received &gt;96 weeks of </w:t>
      </w:r>
      <w:r w:rsidR="009844A5">
        <w:t>leniolisib</w:t>
      </w:r>
      <w:r>
        <w:t xml:space="preserve"> treatment, and 5 patients received &gt;260 weeks of treatment.</w:t>
      </w:r>
    </w:p>
    <w:p w14:paraId="1450B296" w14:textId="6D975892" w:rsidR="00DA7FA2" w:rsidRDefault="00513066" w:rsidP="00513066">
      <w:pPr>
        <w:pStyle w:val="TableTitle"/>
      </w:pPr>
      <w:r w:rsidRPr="00513066">
        <w:t xml:space="preserve">Table </w:t>
      </w:r>
      <w:r w:rsidR="006C0129">
        <w:t>8</w:t>
      </w:r>
      <w:r w:rsidR="00254437">
        <w:t>.</w:t>
      </w:r>
      <w:r w:rsidRPr="00513066">
        <w:t xml:space="preserve"> Mean change from baseline in PGA and PtGA</w:t>
      </w:r>
      <w:r w:rsidR="001B1CA8">
        <w:t xml:space="preserve"> </w:t>
      </w:r>
      <w:r w:rsidRPr="00513066">
        <w:t>of disease severity.</w:t>
      </w:r>
    </w:p>
    <w:p w14:paraId="2338C696" w14:textId="2EFB9DAE" w:rsidR="00DA7FA2" w:rsidRDefault="00DA7FA2" w:rsidP="005D6D73">
      <w:r>
        <w:rPr>
          <w:noProof/>
        </w:rPr>
        <w:drawing>
          <wp:inline distT="0" distB="0" distL="0" distR="0" wp14:anchorId="05DCE066" wp14:editId="05EE019B">
            <wp:extent cx="5759450" cy="1844040"/>
            <wp:effectExtent l="0" t="0" r="0" b="3810"/>
            <wp:docPr id="30451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3903" name=""/>
                    <pic:cNvPicPr/>
                  </pic:nvPicPr>
                  <pic:blipFill>
                    <a:blip r:embed="rId26"/>
                    <a:stretch>
                      <a:fillRect/>
                    </a:stretch>
                  </pic:blipFill>
                  <pic:spPr>
                    <a:xfrm>
                      <a:off x="0" y="0"/>
                      <a:ext cx="5759450" cy="1844040"/>
                    </a:xfrm>
                    <a:prstGeom prst="rect">
                      <a:avLst/>
                    </a:prstGeom>
                  </pic:spPr>
                </pic:pic>
              </a:graphicData>
            </a:graphic>
          </wp:inline>
        </w:drawing>
      </w:r>
    </w:p>
    <w:p w14:paraId="652972E6" w14:textId="77777777" w:rsidR="007B14B4" w:rsidRDefault="007B14B4" w:rsidP="007B14B4">
      <w:r>
        <w:t>The extension phase showed that the numerical improvements in global assessment endpoints were sustained over longer treatment, but did not significantly improve.</w:t>
      </w:r>
    </w:p>
    <w:p w14:paraId="0229BDB8" w14:textId="04FE3477" w:rsidR="007B14B4" w:rsidRDefault="007B14B4" w:rsidP="007B14B4">
      <w:r>
        <w:t>A similar pattern of sustained, but not significantly improving, numerical improvement was observed for the SF-36 (physical and mental component) and the WPAI-CIQ (examining</w:t>
      </w:r>
      <w:r w:rsidR="001B1CA8">
        <w:t xml:space="preserve"> </w:t>
      </w:r>
      <w:r>
        <w:t>workplace or classroom impairment).</w:t>
      </w:r>
    </w:p>
    <w:p w14:paraId="7BD412C9" w14:textId="3B88DE2D" w:rsidR="007B14B4" w:rsidRDefault="007B14B4" w:rsidP="007B14B4">
      <w:r>
        <w:t xml:space="preserve">The EMA requested additional information regarding direct clinical </w:t>
      </w:r>
      <w:r w:rsidR="00D56544">
        <w:t>benefits,</w:t>
      </w:r>
      <w:r>
        <w:t xml:space="preserve"> and the Sponsor has conducted a review of real-world data on the quality-of-life effects of </w:t>
      </w:r>
      <w:r w:rsidR="009844A5">
        <w:t>leniolisib</w:t>
      </w:r>
      <w:r>
        <w:t xml:space="preserve"> treatment. The key findings of the review are that frequent infections and lymphoproliferation are common clinical manifestations which have real effects on health-related quality of life. The notable impacts on patients with APDS include difficulties completing ADLs due to fatigue or pain, with significant impacts on work and education as well as emotional impacts.</w:t>
      </w:r>
    </w:p>
    <w:p w14:paraId="499880CD" w14:textId="1F77753F" w:rsidR="007B14B4" w:rsidRDefault="007B14B4" w:rsidP="007B14B4">
      <w:r>
        <w:t>Of the 35 participants with treatment experience with leniolisib included in this study, 20 (57.1%) participants reported experiencing at least one symptom-related improvement since starting treatment with leniolisib, 13 (37.1%) reported no improvement in the identified symptoms, and 2 (5.7%) reported a worsening. Of the 20 participants reporting symptom improvements, improvement in fatigue was the most frequently reported (n=14, 70%), followed by improvement in GI symptoms (n=7, 35%). Most notably, 12 (34.3%) individuals explicitly noted an improvement in their fatigue since beginning treatment with leniolisib, which enabled them to do more in their daily lives and increased their ability to do physical activities, such as improved attendance at work and school, attend to household chores, and to travel and exercise.</w:t>
      </w:r>
    </w:p>
    <w:p w14:paraId="2DC20ADA" w14:textId="77777777" w:rsidR="00B44DFD" w:rsidRDefault="00B44DFD" w:rsidP="00B44DFD">
      <w:pPr>
        <w:pStyle w:val="Heading4"/>
      </w:pPr>
      <w:bookmarkStart w:id="38" w:name="_Toc203144793"/>
      <w:r>
        <w:t>Safety</w:t>
      </w:r>
      <w:bookmarkEnd w:id="38"/>
    </w:p>
    <w:p w14:paraId="56F8E2F8" w14:textId="18770A10" w:rsidR="007B14B4" w:rsidRDefault="00B44DFD" w:rsidP="00B44DFD">
      <w:r>
        <w:t xml:space="preserve">The submitted dossier contains data on 38 patients with APDS who received </w:t>
      </w:r>
      <w:r w:rsidR="009844A5">
        <w:t>leniolisib</w:t>
      </w:r>
      <w:r w:rsidR="00162A82">
        <w:t xml:space="preserve"> (Figure 3)</w:t>
      </w:r>
      <w:r>
        <w:t>.</w:t>
      </w:r>
    </w:p>
    <w:p w14:paraId="211DCDA1" w14:textId="6BCF1F83" w:rsidR="00DC363F" w:rsidRDefault="00DC363F" w:rsidP="00DC363F">
      <w:pPr>
        <w:pStyle w:val="FigureTitle"/>
      </w:pPr>
      <w:r w:rsidRPr="00DC363F">
        <w:lastRenderedPageBreak/>
        <w:t xml:space="preserve">Figure 3: Exposure of APDS patients to </w:t>
      </w:r>
      <w:r w:rsidR="009844A5">
        <w:t>leniolisib</w:t>
      </w:r>
    </w:p>
    <w:p w14:paraId="52672CF4" w14:textId="54CAC331" w:rsidR="00B5026F" w:rsidRDefault="00B5026F" w:rsidP="00B44DFD">
      <w:r>
        <w:rPr>
          <w:noProof/>
        </w:rPr>
        <w:drawing>
          <wp:inline distT="0" distB="0" distL="0" distR="0" wp14:anchorId="01AF14B5" wp14:editId="380867FD">
            <wp:extent cx="5759450" cy="4532630"/>
            <wp:effectExtent l="0" t="0" r="0" b="1270"/>
            <wp:docPr id="667840933" name="Picture 1" descr="A flowchart of patient'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40933" name="Picture 1" descr="A flowchart of patient's flow&#10;&#10;AI-generated content may be incorrect."/>
                    <pic:cNvPicPr/>
                  </pic:nvPicPr>
                  <pic:blipFill>
                    <a:blip r:embed="rId27"/>
                    <a:stretch>
                      <a:fillRect/>
                    </a:stretch>
                  </pic:blipFill>
                  <pic:spPr>
                    <a:xfrm>
                      <a:off x="0" y="0"/>
                      <a:ext cx="5759450" cy="4532630"/>
                    </a:xfrm>
                    <a:prstGeom prst="rect">
                      <a:avLst/>
                    </a:prstGeom>
                  </pic:spPr>
                </pic:pic>
              </a:graphicData>
            </a:graphic>
          </wp:inline>
        </w:drawing>
      </w:r>
    </w:p>
    <w:p w14:paraId="57EB3E9C" w14:textId="0BFAF38B" w:rsidR="00C91730" w:rsidRDefault="00C91730" w:rsidP="00C91730">
      <w:pPr>
        <w:pStyle w:val="TableTitle"/>
      </w:pPr>
      <w:r w:rsidRPr="00C91730">
        <w:t xml:space="preserve">Table </w:t>
      </w:r>
      <w:r w:rsidR="00254437">
        <w:t>9.</w:t>
      </w:r>
      <w:r w:rsidRPr="00C91730">
        <w:t xml:space="preserve"> Summary of duration of exposure to </w:t>
      </w:r>
      <w:r w:rsidR="009844A5">
        <w:t>leniolisib</w:t>
      </w:r>
      <w:r w:rsidRPr="00C91730">
        <w:t xml:space="preserve"> in study 2201</w:t>
      </w:r>
    </w:p>
    <w:p w14:paraId="133D5F32" w14:textId="03C7BCD1" w:rsidR="008756AD" w:rsidRDefault="00873982" w:rsidP="00B44DFD">
      <w:r w:rsidRPr="00873982">
        <w:rPr>
          <w:noProof/>
        </w:rPr>
        <w:drawing>
          <wp:inline distT="0" distB="0" distL="0" distR="0" wp14:anchorId="20A3597F" wp14:editId="2C6AD973">
            <wp:extent cx="5759450" cy="3464560"/>
            <wp:effectExtent l="0" t="0" r="0" b="2540"/>
            <wp:docPr id="1615169008" name="Picture 1" descr="A table of inform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69008" name="Picture 1" descr="A table of information with numbers and symbols&#10;&#10;AI-generated content may be incorrect."/>
                    <pic:cNvPicPr/>
                  </pic:nvPicPr>
                  <pic:blipFill>
                    <a:blip r:embed="rId28"/>
                    <a:stretch>
                      <a:fillRect/>
                    </a:stretch>
                  </pic:blipFill>
                  <pic:spPr>
                    <a:xfrm>
                      <a:off x="0" y="0"/>
                      <a:ext cx="5759450" cy="3464560"/>
                    </a:xfrm>
                    <a:prstGeom prst="rect">
                      <a:avLst/>
                    </a:prstGeom>
                  </pic:spPr>
                </pic:pic>
              </a:graphicData>
            </a:graphic>
          </wp:inline>
        </w:drawing>
      </w:r>
    </w:p>
    <w:p w14:paraId="31261D08" w14:textId="42FB74B8" w:rsidR="00A95CE5" w:rsidRDefault="00A95CE5" w:rsidP="00A95CE5">
      <w:r w:rsidRPr="00A95CE5">
        <w:t xml:space="preserve">There are a relatively small number of patients available for safety analysis due to the extreme rarity of APDS. The majority of patients have received </w:t>
      </w:r>
      <w:r w:rsidR="009844A5">
        <w:t>leniolisib</w:t>
      </w:r>
      <w:r w:rsidRPr="00A95CE5">
        <w:t xml:space="preserve"> for between 84-156 weeks in </w:t>
      </w:r>
      <w:r w:rsidRPr="00A95CE5">
        <w:lastRenderedPageBreak/>
        <w:t>the open label extension stage of 2201. However, there is only 12 weeks of controlled exposure providing comparative adverse event rates to placebo.</w:t>
      </w:r>
    </w:p>
    <w:p w14:paraId="5931660E" w14:textId="64719EB5" w:rsidR="000D5FA4" w:rsidRDefault="000D5FA4" w:rsidP="000D5FA4">
      <w:pPr>
        <w:pStyle w:val="TableTitle"/>
      </w:pPr>
      <w:r w:rsidRPr="000D5FA4">
        <w:t xml:space="preserve">Table </w:t>
      </w:r>
      <w:r w:rsidR="00254437">
        <w:t>10.</w:t>
      </w:r>
      <w:r w:rsidRPr="000D5FA4">
        <w:t xml:space="preserve"> Adverse events reported by at least 2 patients in study 2201/2</w:t>
      </w:r>
    </w:p>
    <w:tbl>
      <w:tblPr>
        <w:tblW w:w="0" w:type="auto"/>
        <w:tblInd w:w="120"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2196"/>
        <w:gridCol w:w="2899"/>
        <w:gridCol w:w="2520"/>
      </w:tblGrid>
      <w:tr w:rsidR="00AA33C3" w:rsidRPr="00AA33C3" w14:paraId="1446678A" w14:textId="77777777" w:rsidTr="00D55F3E">
        <w:trPr>
          <w:trHeight w:val="354"/>
        </w:trPr>
        <w:tc>
          <w:tcPr>
            <w:tcW w:w="2196" w:type="dxa"/>
            <w:shd w:val="clear" w:color="auto" w:fill="DEEAF6"/>
          </w:tcPr>
          <w:p w14:paraId="37C2F653" w14:textId="77777777" w:rsidR="00AA33C3" w:rsidRPr="00AA33C3" w:rsidRDefault="00AA33C3" w:rsidP="00D56544">
            <w:r w:rsidRPr="00AA33C3">
              <w:t>Adverse</w:t>
            </w:r>
            <w:r w:rsidRPr="00AA33C3">
              <w:rPr>
                <w:spacing w:val="12"/>
              </w:rPr>
              <w:t xml:space="preserve"> </w:t>
            </w:r>
            <w:r w:rsidRPr="00AA33C3">
              <w:rPr>
                <w:spacing w:val="-2"/>
              </w:rPr>
              <w:t>Event</w:t>
            </w:r>
          </w:p>
        </w:tc>
        <w:tc>
          <w:tcPr>
            <w:tcW w:w="2899" w:type="dxa"/>
            <w:shd w:val="clear" w:color="auto" w:fill="DEEAF6"/>
          </w:tcPr>
          <w:p w14:paraId="4D709AC4" w14:textId="77777777" w:rsidR="00AA33C3" w:rsidRPr="00AA33C3" w:rsidRDefault="00AA33C3" w:rsidP="00D56544">
            <w:r w:rsidRPr="00AA33C3">
              <w:rPr>
                <w:w w:val="105"/>
              </w:rPr>
              <w:t>Leniolisib</w:t>
            </w:r>
            <w:r w:rsidRPr="00AA33C3">
              <w:rPr>
                <w:spacing w:val="-8"/>
                <w:w w:val="105"/>
              </w:rPr>
              <w:t xml:space="preserve"> </w:t>
            </w:r>
            <w:r w:rsidRPr="00AA33C3">
              <w:rPr>
                <w:w w:val="105"/>
              </w:rPr>
              <w:t>(N=21);</w:t>
            </w:r>
            <w:r w:rsidRPr="00AA33C3">
              <w:rPr>
                <w:spacing w:val="-6"/>
                <w:w w:val="105"/>
              </w:rPr>
              <w:t xml:space="preserve"> </w:t>
            </w:r>
            <w:r w:rsidRPr="00AA33C3">
              <w:rPr>
                <w:w w:val="105"/>
              </w:rPr>
              <w:t>n</w:t>
            </w:r>
            <w:r w:rsidRPr="00AA33C3">
              <w:rPr>
                <w:spacing w:val="14"/>
                <w:w w:val="105"/>
              </w:rPr>
              <w:t xml:space="preserve"> </w:t>
            </w:r>
            <w:r w:rsidRPr="00AA33C3">
              <w:rPr>
                <w:spacing w:val="-5"/>
                <w:w w:val="105"/>
              </w:rPr>
              <w:t>(%)</w:t>
            </w:r>
          </w:p>
        </w:tc>
        <w:tc>
          <w:tcPr>
            <w:tcW w:w="2520" w:type="dxa"/>
            <w:shd w:val="clear" w:color="auto" w:fill="DEEAF6"/>
          </w:tcPr>
          <w:p w14:paraId="73EE33CE" w14:textId="77777777" w:rsidR="00AA33C3" w:rsidRPr="00AA33C3" w:rsidRDefault="00AA33C3" w:rsidP="00D56544">
            <w:r w:rsidRPr="00AA33C3">
              <w:t>Placebo</w:t>
            </w:r>
            <w:r w:rsidRPr="00AA33C3">
              <w:rPr>
                <w:spacing w:val="33"/>
              </w:rPr>
              <w:t xml:space="preserve"> </w:t>
            </w:r>
            <w:r w:rsidRPr="00AA33C3">
              <w:t>(N=l0);</w:t>
            </w:r>
            <w:r w:rsidRPr="00AA33C3">
              <w:rPr>
                <w:spacing w:val="39"/>
              </w:rPr>
              <w:t xml:space="preserve"> </w:t>
            </w:r>
            <w:r w:rsidRPr="00AA33C3">
              <w:t>n</w:t>
            </w:r>
            <w:r w:rsidRPr="00AA33C3">
              <w:rPr>
                <w:spacing w:val="24"/>
              </w:rPr>
              <w:t xml:space="preserve"> </w:t>
            </w:r>
            <w:r w:rsidRPr="00AA33C3">
              <w:rPr>
                <w:spacing w:val="-5"/>
              </w:rPr>
              <w:t>(%)</w:t>
            </w:r>
          </w:p>
        </w:tc>
      </w:tr>
      <w:tr w:rsidR="00AA33C3" w:rsidRPr="00AA33C3" w14:paraId="3EFE8630" w14:textId="77777777" w:rsidTr="00D55F3E">
        <w:trPr>
          <w:trHeight w:val="329"/>
        </w:trPr>
        <w:tc>
          <w:tcPr>
            <w:tcW w:w="2196" w:type="dxa"/>
          </w:tcPr>
          <w:p w14:paraId="6BFEDCCA" w14:textId="77777777" w:rsidR="00AA33C3" w:rsidRPr="00AA33C3" w:rsidRDefault="00AA33C3" w:rsidP="00D56544">
            <w:r w:rsidRPr="00AA33C3">
              <w:rPr>
                <w:color w:val="424456"/>
                <w:spacing w:val="-2"/>
                <w:w w:val="105"/>
              </w:rPr>
              <w:t>Headache</w:t>
            </w:r>
          </w:p>
        </w:tc>
        <w:tc>
          <w:tcPr>
            <w:tcW w:w="2899" w:type="dxa"/>
          </w:tcPr>
          <w:p w14:paraId="2B693269" w14:textId="77777777" w:rsidR="00AA33C3" w:rsidRPr="00AA33C3" w:rsidRDefault="00AA33C3" w:rsidP="00D56544">
            <w:r w:rsidRPr="00AA33C3">
              <w:rPr>
                <w:color w:val="424456"/>
                <w:w w:val="105"/>
              </w:rPr>
              <w:t>5</w:t>
            </w:r>
            <w:r w:rsidRPr="00AA33C3">
              <w:rPr>
                <w:color w:val="424456"/>
                <w:spacing w:val="-2"/>
                <w:w w:val="105"/>
              </w:rPr>
              <w:t xml:space="preserve"> (23.8)</w:t>
            </w:r>
          </w:p>
        </w:tc>
        <w:tc>
          <w:tcPr>
            <w:tcW w:w="2520" w:type="dxa"/>
          </w:tcPr>
          <w:p w14:paraId="7DBFB7E3" w14:textId="77777777" w:rsidR="00AA33C3" w:rsidRPr="00AA33C3" w:rsidRDefault="00AA33C3" w:rsidP="00D56544">
            <w:r w:rsidRPr="00AA33C3">
              <w:rPr>
                <w:color w:val="424456"/>
                <w:w w:val="110"/>
              </w:rPr>
              <w:t>2</w:t>
            </w:r>
            <w:r w:rsidRPr="00AA33C3">
              <w:rPr>
                <w:color w:val="424456"/>
                <w:spacing w:val="-12"/>
                <w:w w:val="110"/>
              </w:rPr>
              <w:t xml:space="preserve"> </w:t>
            </w:r>
            <w:r w:rsidRPr="00AA33C3">
              <w:rPr>
                <w:color w:val="3A4675"/>
                <w:spacing w:val="-2"/>
                <w:w w:val="110"/>
              </w:rPr>
              <w:t>(20.0)</w:t>
            </w:r>
          </w:p>
        </w:tc>
      </w:tr>
      <w:tr w:rsidR="00AA33C3" w:rsidRPr="00AA33C3" w14:paraId="0D9A27D1" w14:textId="77777777" w:rsidTr="00D55F3E">
        <w:trPr>
          <w:trHeight w:val="321"/>
        </w:trPr>
        <w:tc>
          <w:tcPr>
            <w:tcW w:w="2196" w:type="dxa"/>
          </w:tcPr>
          <w:p w14:paraId="456EA9B1" w14:textId="77777777" w:rsidR="00AA33C3" w:rsidRPr="00AA33C3" w:rsidRDefault="00AA33C3" w:rsidP="00D56544">
            <w:r w:rsidRPr="00AA33C3">
              <w:rPr>
                <w:color w:val="424456"/>
                <w:spacing w:val="-2"/>
                <w:w w:val="105"/>
              </w:rPr>
              <w:t>S</w:t>
            </w:r>
            <w:r w:rsidRPr="00AA33C3">
              <w:rPr>
                <w:color w:val="3D7074"/>
                <w:spacing w:val="-2"/>
                <w:w w:val="105"/>
              </w:rPr>
              <w:t>i</w:t>
            </w:r>
            <w:r w:rsidRPr="00AA33C3">
              <w:rPr>
                <w:color w:val="424456"/>
                <w:spacing w:val="-2"/>
                <w:w w:val="105"/>
              </w:rPr>
              <w:t>nus</w:t>
            </w:r>
            <w:r w:rsidRPr="00AA33C3">
              <w:rPr>
                <w:color w:val="7B3B60"/>
                <w:spacing w:val="-2"/>
                <w:w w:val="105"/>
              </w:rPr>
              <w:t>i</w:t>
            </w:r>
            <w:r w:rsidRPr="00AA33C3">
              <w:rPr>
                <w:color w:val="424456"/>
                <w:spacing w:val="-2"/>
                <w:w w:val="105"/>
              </w:rPr>
              <w:t>t</w:t>
            </w:r>
            <w:r w:rsidRPr="00AA33C3">
              <w:rPr>
                <w:color w:val="2D368E"/>
                <w:spacing w:val="-2"/>
                <w:w w:val="105"/>
              </w:rPr>
              <w:t>i</w:t>
            </w:r>
            <w:r w:rsidRPr="00AA33C3">
              <w:rPr>
                <w:color w:val="4D546B"/>
                <w:spacing w:val="-2"/>
                <w:w w:val="105"/>
              </w:rPr>
              <w:t>s</w:t>
            </w:r>
          </w:p>
        </w:tc>
        <w:tc>
          <w:tcPr>
            <w:tcW w:w="2899" w:type="dxa"/>
          </w:tcPr>
          <w:p w14:paraId="4170C55D" w14:textId="77777777" w:rsidR="00AA33C3" w:rsidRPr="00AA33C3" w:rsidRDefault="00AA33C3" w:rsidP="00D56544">
            <w:r w:rsidRPr="00AA33C3">
              <w:rPr>
                <w:color w:val="424456"/>
                <w:w w:val="105"/>
              </w:rPr>
              <w:t>4</w:t>
            </w:r>
            <w:r w:rsidRPr="00AA33C3">
              <w:rPr>
                <w:color w:val="424456"/>
                <w:spacing w:val="-7"/>
                <w:w w:val="105"/>
              </w:rPr>
              <w:t xml:space="preserve"> </w:t>
            </w:r>
            <w:r w:rsidRPr="00AA33C3">
              <w:rPr>
                <w:color w:val="424456"/>
                <w:spacing w:val="-2"/>
                <w:w w:val="110"/>
              </w:rPr>
              <w:t>(19.0)</w:t>
            </w:r>
          </w:p>
        </w:tc>
        <w:tc>
          <w:tcPr>
            <w:tcW w:w="2520" w:type="dxa"/>
          </w:tcPr>
          <w:p w14:paraId="1E50675D" w14:textId="77777777" w:rsidR="00AA33C3" w:rsidRPr="00AA33C3" w:rsidRDefault="00AA33C3" w:rsidP="00D56544">
            <w:r w:rsidRPr="00AA33C3">
              <w:rPr>
                <w:color w:val="424456"/>
                <w:spacing w:val="-10"/>
                <w:w w:val="110"/>
              </w:rPr>
              <w:t>0</w:t>
            </w:r>
          </w:p>
        </w:tc>
      </w:tr>
      <w:tr w:rsidR="00AA33C3" w:rsidRPr="00AA33C3" w14:paraId="3CFB88F7" w14:textId="77777777" w:rsidTr="00D55F3E">
        <w:trPr>
          <w:trHeight w:val="325"/>
        </w:trPr>
        <w:tc>
          <w:tcPr>
            <w:tcW w:w="2196" w:type="dxa"/>
          </w:tcPr>
          <w:p w14:paraId="6DF625E9" w14:textId="77777777" w:rsidR="00AA33C3" w:rsidRPr="00AA33C3" w:rsidRDefault="00AA33C3" w:rsidP="00D56544">
            <w:r w:rsidRPr="00AA33C3">
              <w:rPr>
                <w:color w:val="424456"/>
                <w:spacing w:val="-2"/>
                <w:w w:val="105"/>
              </w:rPr>
              <w:t>Fa</w:t>
            </w:r>
            <w:r w:rsidRPr="00AA33C3">
              <w:rPr>
                <w:color w:val="603D4D"/>
                <w:spacing w:val="-2"/>
                <w:w w:val="105"/>
              </w:rPr>
              <w:t>t</w:t>
            </w:r>
            <w:r w:rsidRPr="00AA33C3">
              <w:rPr>
                <w:color w:val="2D368E"/>
                <w:spacing w:val="-2"/>
                <w:w w:val="105"/>
              </w:rPr>
              <w:t>i</w:t>
            </w:r>
            <w:r w:rsidRPr="00AA33C3">
              <w:rPr>
                <w:color w:val="424456"/>
                <w:spacing w:val="-2"/>
                <w:w w:val="105"/>
              </w:rPr>
              <w:t>gue</w:t>
            </w:r>
          </w:p>
        </w:tc>
        <w:tc>
          <w:tcPr>
            <w:tcW w:w="2899" w:type="dxa"/>
          </w:tcPr>
          <w:p w14:paraId="17194333" w14:textId="77777777" w:rsidR="00AA33C3" w:rsidRPr="00AA33C3" w:rsidRDefault="00AA33C3" w:rsidP="00D56544">
            <w:r w:rsidRPr="00AA33C3">
              <w:rPr>
                <w:color w:val="4D546B"/>
                <w:w w:val="105"/>
              </w:rPr>
              <w:t>2</w:t>
            </w:r>
            <w:r w:rsidRPr="00AA33C3">
              <w:rPr>
                <w:color w:val="4D546B"/>
                <w:spacing w:val="-13"/>
                <w:w w:val="105"/>
              </w:rPr>
              <w:t xml:space="preserve"> </w:t>
            </w:r>
            <w:r w:rsidRPr="00AA33C3">
              <w:rPr>
                <w:color w:val="424456"/>
                <w:spacing w:val="-4"/>
                <w:w w:val="105"/>
              </w:rPr>
              <w:t>(9.5)</w:t>
            </w:r>
          </w:p>
        </w:tc>
        <w:tc>
          <w:tcPr>
            <w:tcW w:w="2520" w:type="dxa"/>
          </w:tcPr>
          <w:p w14:paraId="3F33B034" w14:textId="77777777" w:rsidR="00AA33C3" w:rsidRPr="00AA33C3" w:rsidRDefault="00AA33C3" w:rsidP="00D56544">
            <w:r w:rsidRPr="00AA33C3">
              <w:rPr>
                <w:color w:val="424456"/>
                <w:w w:val="105"/>
              </w:rPr>
              <w:t>1</w:t>
            </w:r>
            <w:r w:rsidRPr="00AA33C3">
              <w:rPr>
                <w:color w:val="424456"/>
                <w:spacing w:val="-8"/>
                <w:w w:val="105"/>
              </w:rPr>
              <w:t xml:space="preserve"> </w:t>
            </w:r>
            <w:r w:rsidRPr="00AA33C3">
              <w:rPr>
                <w:color w:val="3A4675"/>
                <w:spacing w:val="-2"/>
                <w:w w:val="105"/>
              </w:rPr>
              <w:t>(</w:t>
            </w:r>
            <w:r w:rsidRPr="00AA33C3">
              <w:rPr>
                <w:color w:val="232B50"/>
                <w:spacing w:val="-2"/>
                <w:w w:val="105"/>
              </w:rPr>
              <w:t>1</w:t>
            </w:r>
            <w:r w:rsidRPr="00AA33C3">
              <w:rPr>
                <w:color w:val="424456"/>
                <w:spacing w:val="-2"/>
                <w:w w:val="105"/>
              </w:rPr>
              <w:t>0</w:t>
            </w:r>
            <w:r w:rsidRPr="00AA33C3">
              <w:rPr>
                <w:color w:val="3A4675"/>
                <w:spacing w:val="-2"/>
                <w:w w:val="105"/>
              </w:rPr>
              <w:t>.</w:t>
            </w:r>
            <w:r w:rsidRPr="00AA33C3">
              <w:rPr>
                <w:color w:val="424456"/>
                <w:spacing w:val="-2"/>
                <w:w w:val="105"/>
              </w:rPr>
              <w:t>0</w:t>
            </w:r>
            <w:r w:rsidRPr="00AA33C3">
              <w:rPr>
                <w:color w:val="3A4675"/>
                <w:spacing w:val="-2"/>
                <w:w w:val="105"/>
              </w:rPr>
              <w:t>)</w:t>
            </w:r>
          </w:p>
        </w:tc>
      </w:tr>
      <w:tr w:rsidR="00AA33C3" w:rsidRPr="00AA33C3" w14:paraId="0ECBE383" w14:textId="77777777" w:rsidTr="00D55F3E">
        <w:trPr>
          <w:trHeight w:val="325"/>
        </w:trPr>
        <w:tc>
          <w:tcPr>
            <w:tcW w:w="2196" w:type="dxa"/>
          </w:tcPr>
          <w:p w14:paraId="18C24FEA" w14:textId="77777777" w:rsidR="00AA33C3" w:rsidRPr="00AA33C3" w:rsidRDefault="00AA33C3" w:rsidP="00D56544">
            <w:r w:rsidRPr="00AA33C3">
              <w:rPr>
                <w:color w:val="424456"/>
                <w:spacing w:val="-2"/>
                <w:w w:val="105"/>
              </w:rPr>
              <w:t>Alopecia</w:t>
            </w:r>
          </w:p>
        </w:tc>
        <w:tc>
          <w:tcPr>
            <w:tcW w:w="2899" w:type="dxa"/>
          </w:tcPr>
          <w:p w14:paraId="718071DC" w14:textId="77777777" w:rsidR="00AA33C3" w:rsidRPr="00AA33C3" w:rsidRDefault="00AA33C3" w:rsidP="00D56544">
            <w:r w:rsidRPr="00AA33C3">
              <w:rPr>
                <w:color w:val="424456"/>
                <w:w w:val="105"/>
              </w:rPr>
              <w:t>2</w:t>
            </w:r>
            <w:r w:rsidRPr="00AA33C3">
              <w:rPr>
                <w:color w:val="424456"/>
                <w:spacing w:val="-13"/>
                <w:w w:val="105"/>
              </w:rPr>
              <w:t xml:space="preserve"> </w:t>
            </w:r>
            <w:r w:rsidRPr="00AA33C3">
              <w:rPr>
                <w:color w:val="424456"/>
                <w:spacing w:val="-4"/>
                <w:w w:val="105"/>
              </w:rPr>
              <w:t>(9.5)</w:t>
            </w:r>
          </w:p>
        </w:tc>
        <w:tc>
          <w:tcPr>
            <w:tcW w:w="2520" w:type="dxa"/>
          </w:tcPr>
          <w:p w14:paraId="679D0B6B" w14:textId="77777777" w:rsidR="00AA33C3" w:rsidRPr="00AA33C3" w:rsidRDefault="00AA33C3" w:rsidP="00D56544">
            <w:r w:rsidRPr="00AA33C3">
              <w:rPr>
                <w:color w:val="424456"/>
                <w:spacing w:val="-10"/>
                <w:w w:val="105"/>
              </w:rPr>
              <w:t>0</w:t>
            </w:r>
          </w:p>
        </w:tc>
      </w:tr>
      <w:tr w:rsidR="00AA33C3" w:rsidRPr="00AA33C3" w14:paraId="7D6BFF23" w14:textId="77777777" w:rsidTr="00D55F3E">
        <w:trPr>
          <w:trHeight w:val="325"/>
        </w:trPr>
        <w:tc>
          <w:tcPr>
            <w:tcW w:w="2196" w:type="dxa"/>
          </w:tcPr>
          <w:p w14:paraId="3EE3D1B0" w14:textId="77777777" w:rsidR="00AA33C3" w:rsidRPr="00AA33C3" w:rsidRDefault="00AA33C3" w:rsidP="00D56544">
            <w:r w:rsidRPr="00AA33C3">
              <w:rPr>
                <w:color w:val="424456"/>
              </w:rPr>
              <w:t>B</w:t>
            </w:r>
            <w:r w:rsidRPr="00AA33C3">
              <w:rPr>
                <w:color w:val="603D4D"/>
              </w:rPr>
              <w:t>a</w:t>
            </w:r>
            <w:r w:rsidRPr="00AA33C3">
              <w:rPr>
                <w:color w:val="5B696E"/>
              </w:rPr>
              <w:t>ck</w:t>
            </w:r>
            <w:r w:rsidRPr="00AA33C3">
              <w:rPr>
                <w:color w:val="5B696E"/>
                <w:spacing w:val="-8"/>
              </w:rPr>
              <w:t xml:space="preserve"> </w:t>
            </w:r>
            <w:r w:rsidRPr="00AA33C3">
              <w:rPr>
                <w:color w:val="3A4675"/>
                <w:spacing w:val="-4"/>
              </w:rPr>
              <w:t>pa</w:t>
            </w:r>
            <w:r w:rsidRPr="00AA33C3">
              <w:rPr>
                <w:color w:val="7C214F"/>
                <w:spacing w:val="-4"/>
              </w:rPr>
              <w:t>i</w:t>
            </w:r>
            <w:r w:rsidRPr="00AA33C3">
              <w:rPr>
                <w:color w:val="4D546B"/>
                <w:spacing w:val="-4"/>
              </w:rPr>
              <w:t>n</w:t>
            </w:r>
          </w:p>
        </w:tc>
        <w:tc>
          <w:tcPr>
            <w:tcW w:w="2899" w:type="dxa"/>
          </w:tcPr>
          <w:p w14:paraId="44F01026" w14:textId="77777777" w:rsidR="00AA33C3" w:rsidRPr="00AA33C3" w:rsidRDefault="00AA33C3" w:rsidP="00D56544">
            <w:r w:rsidRPr="00AA33C3">
              <w:rPr>
                <w:color w:val="424456"/>
                <w:w w:val="105"/>
              </w:rPr>
              <w:t>2</w:t>
            </w:r>
            <w:r w:rsidRPr="00AA33C3">
              <w:rPr>
                <w:color w:val="424456"/>
                <w:spacing w:val="-13"/>
                <w:w w:val="105"/>
              </w:rPr>
              <w:t xml:space="preserve"> </w:t>
            </w:r>
            <w:r w:rsidRPr="00AA33C3">
              <w:rPr>
                <w:color w:val="424456"/>
                <w:spacing w:val="-4"/>
                <w:w w:val="105"/>
              </w:rPr>
              <w:t>(9.5)</w:t>
            </w:r>
          </w:p>
        </w:tc>
        <w:tc>
          <w:tcPr>
            <w:tcW w:w="2520" w:type="dxa"/>
          </w:tcPr>
          <w:p w14:paraId="48A85905" w14:textId="77777777" w:rsidR="00AA33C3" w:rsidRPr="00AA33C3" w:rsidRDefault="00AA33C3" w:rsidP="00D56544">
            <w:r w:rsidRPr="00AA33C3">
              <w:rPr>
                <w:color w:val="424456"/>
                <w:spacing w:val="-10"/>
                <w:w w:val="105"/>
              </w:rPr>
              <w:t>0</w:t>
            </w:r>
          </w:p>
        </w:tc>
      </w:tr>
      <w:tr w:rsidR="00AA33C3" w:rsidRPr="00AA33C3" w14:paraId="6A3DA6D0" w14:textId="77777777" w:rsidTr="00D55F3E">
        <w:trPr>
          <w:trHeight w:val="317"/>
        </w:trPr>
        <w:tc>
          <w:tcPr>
            <w:tcW w:w="2196" w:type="dxa"/>
          </w:tcPr>
          <w:p w14:paraId="3327D841" w14:textId="77777777" w:rsidR="00AA33C3" w:rsidRPr="00AA33C3" w:rsidRDefault="00AA33C3" w:rsidP="00D56544">
            <w:r w:rsidRPr="00AA33C3">
              <w:rPr>
                <w:color w:val="424456"/>
                <w:spacing w:val="-2"/>
                <w:w w:val="105"/>
              </w:rPr>
              <w:t>Diarrhoea</w:t>
            </w:r>
          </w:p>
        </w:tc>
        <w:tc>
          <w:tcPr>
            <w:tcW w:w="2899" w:type="dxa"/>
          </w:tcPr>
          <w:p w14:paraId="1A9FF6E1" w14:textId="77777777" w:rsidR="00AA33C3" w:rsidRPr="00AA33C3" w:rsidRDefault="00AA33C3" w:rsidP="00D56544">
            <w:r w:rsidRPr="00AA33C3">
              <w:rPr>
                <w:color w:val="424456"/>
                <w:w w:val="105"/>
              </w:rPr>
              <w:t>2</w:t>
            </w:r>
            <w:r w:rsidRPr="00AA33C3">
              <w:rPr>
                <w:color w:val="424456"/>
                <w:spacing w:val="-13"/>
                <w:w w:val="105"/>
              </w:rPr>
              <w:t xml:space="preserve"> </w:t>
            </w:r>
            <w:r w:rsidRPr="00AA33C3">
              <w:rPr>
                <w:color w:val="424456"/>
                <w:spacing w:val="-4"/>
                <w:w w:val="105"/>
              </w:rPr>
              <w:t>(9.5)</w:t>
            </w:r>
          </w:p>
        </w:tc>
        <w:tc>
          <w:tcPr>
            <w:tcW w:w="2520" w:type="dxa"/>
          </w:tcPr>
          <w:p w14:paraId="05CED13C" w14:textId="77777777" w:rsidR="00AA33C3" w:rsidRPr="00AA33C3" w:rsidRDefault="00AA33C3" w:rsidP="00D56544">
            <w:r w:rsidRPr="00AA33C3">
              <w:rPr>
                <w:color w:val="424456"/>
                <w:spacing w:val="-10"/>
                <w:w w:val="105"/>
              </w:rPr>
              <w:t>0</w:t>
            </w:r>
          </w:p>
        </w:tc>
      </w:tr>
      <w:tr w:rsidR="00AA33C3" w:rsidRPr="00AA33C3" w14:paraId="16B097EA" w14:textId="77777777" w:rsidTr="00D55F3E">
        <w:trPr>
          <w:trHeight w:val="325"/>
        </w:trPr>
        <w:tc>
          <w:tcPr>
            <w:tcW w:w="2196" w:type="dxa"/>
          </w:tcPr>
          <w:p w14:paraId="5A35665B" w14:textId="77777777" w:rsidR="00AA33C3" w:rsidRPr="00AA33C3" w:rsidRDefault="00AA33C3" w:rsidP="00D56544">
            <w:r w:rsidRPr="00AA33C3">
              <w:rPr>
                <w:color w:val="424456"/>
                <w:spacing w:val="-2"/>
              </w:rPr>
              <w:t>Eczema</w:t>
            </w:r>
          </w:p>
        </w:tc>
        <w:tc>
          <w:tcPr>
            <w:tcW w:w="2899" w:type="dxa"/>
          </w:tcPr>
          <w:p w14:paraId="4DA4A75F" w14:textId="77777777" w:rsidR="00AA33C3" w:rsidRPr="00AA33C3" w:rsidRDefault="00AA33C3" w:rsidP="00D56544">
            <w:r w:rsidRPr="00AA33C3">
              <w:rPr>
                <w:color w:val="424456"/>
                <w:w w:val="105"/>
              </w:rPr>
              <w:t>2</w:t>
            </w:r>
            <w:r w:rsidRPr="00AA33C3">
              <w:rPr>
                <w:color w:val="424456"/>
                <w:spacing w:val="-12"/>
                <w:w w:val="105"/>
              </w:rPr>
              <w:t xml:space="preserve"> </w:t>
            </w:r>
            <w:r w:rsidRPr="00AA33C3">
              <w:rPr>
                <w:color w:val="424456"/>
                <w:spacing w:val="-4"/>
                <w:w w:val="105"/>
              </w:rPr>
              <w:t>(9.5)</w:t>
            </w:r>
          </w:p>
        </w:tc>
        <w:tc>
          <w:tcPr>
            <w:tcW w:w="2520" w:type="dxa"/>
          </w:tcPr>
          <w:p w14:paraId="40B5BA15" w14:textId="77777777" w:rsidR="00AA33C3" w:rsidRPr="00AA33C3" w:rsidRDefault="00AA33C3" w:rsidP="00D56544">
            <w:r w:rsidRPr="00AA33C3">
              <w:rPr>
                <w:color w:val="424456"/>
                <w:spacing w:val="-10"/>
                <w:w w:val="105"/>
              </w:rPr>
              <w:t>0</w:t>
            </w:r>
          </w:p>
        </w:tc>
      </w:tr>
      <w:tr w:rsidR="00AA33C3" w:rsidRPr="00AA33C3" w14:paraId="160AB38E" w14:textId="77777777" w:rsidTr="00D55F3E">
        <w:trPr>
          <w:trHeight w:val="325"/>
        </w:trPr>
        <w:tc>
          <w:tcPr>
            <w:tcW w:w="2196" w:type="dxa"/>
          </w:tcPr>
          <w:p w14:paraId="0FC0AF26" w14:textId="77777777" w:rsidR="00AA33C3" w:rsidRPr="00AA33C3" w:rsidRDefault="00AA33C3" w:rsidP="00D56544">
            <w:r w:rsidRPr="00AA33C3">
              <w:rPr>
                <w:color w:val="424456"/>
              </w:rPr>
              <w:t>Neck</w:t>
            </w:r>
            <w:r w:rsidRPr="00AA33C3">
              <w:rPr>
                <w:color w:val="424456"/>
                <w:spacing w:val="-7"/>
              </w:rPr>
              <w:t xml:space="preserve"> </w:t>
            </w:r>
            <w:r w:rsidRPr="00AA33C3">
              <w:rPr>
                <w:color w:val="4D546B"/>
                <w:spacing w:val="-4"/>
                <w:w w:val="110"/>
              </w:rPr>
              <w:t>pa</w:t>
            </w:r>
            <w:r w:rsidRPr="00AA33C3">
              <w:rPr>
                <w:color w:val="7B3B60"/>
                <w:spacing w:val="-4"/>
                <w:w w:val="110"/>
              </w:rPr>
              <w:t>i</w:t>
            </w:r>
            <w:r w:rsidRPr="00AA33C3">
              <w:rPr>
                <w:color w:val="4D546B"/>
                <w:spacing w:val="-4"/>
                <w:w w:val="110"/>
              </w:rPr>
              <w:t>n</w:t>
            </w:r>
          </w:p>
        </w:tc>
        <w:tc>
          <w:tcPr>
            <w:tcW w:w="2899" w:type="dxa"/>
          </w:tcPr>
          <w:p w14:paraId="6E0BEEB0" w14:textId="77777777" w:rsidR="00AA33C3" w:rsidRPr="00AA33C3" w:rsidRDefault="00AA33C3" w:rsidP="00D56544">
            <w:r w:rsidRPr="00AA33C3">
              <w:rPr>
                <w:color w:val="424456"/>
                <w:w w:val="110"/>
              </w:rPr>
              <w:t>2</w:t>
            </w:r>
            <w:r w:rsidRPr="00AA33C3">
              <w:rPr>
                <w:color w:val="424456"/>
                <w:spacing w:val="-20"/>
                <w:w w:val="110"/>
              </w:rPr>
              <w:t xml:space="preserve"> </w:t>
            </w:r>
            <w:r w:rsidRPr="00AA33C3">
              <w:rPr>
                <w:color w:val="424456"/>
                <w:spacing w:val="-4"/>
                <w:w w:val="110"/>
              </w:rPr>
              <w:t>(9.5)</w:t>
            </w:r>
          </w:p>
        </w:tc>
        <w:tc>
          <w:tcPr>
            <w:tcW w:w="2520" w:type="dxa"/>
          </w:tcPr>
          <w:p w14:paraId="5AD0C461" w14:textId="77777777" w:rsidR="00AA33C3" w:rsidRPr="00AA33C3" w:rsidRDefault="00AA33C3" w:rsidP="00D56544">
            <w:r w:rsidRPr="00AA33C3">
              <w:rPr>
                <w:color w:val="424456"/>
                <w:spacing w:val="-10"/>
                <w:w w:val="105"/>
              </w:rPr>
              <w:t>0</w:t>
            </w:r>
          </w:p>
        </w:tc>
      </w:tr>
      <w:tr w:rsidR="00AA33C3" w:rsidRPr="00AA33C3" w14:paraId="05026240" w14:textId="77777777" w:rsidTr="00D55F3E">
        <w:trPr>
          <w:trHeight w:val="304"/>
        </w:trPr>
        <w:tc>
          <w:tcPr>
            <w:tcW w:w="2196" w:type="dxa"/>
          </w:tcPr>
          <w:p w14:paraId="3396FACB" w14:textId="77777777" w:rsidR="00AA33C3" w:rsidRPr="00AA33C3" w:rsidRDefault="00AA33C3" w:rsidP="00D56544">
            <w:r w:rsidRPr="00AA33C3">
              <w:rPr>
                <w:color w:val="424456"/>
                <w:spacing w:val="-2"/>
                <w:w w:val="105"/>
              </w:rPr>
              <w:t>Py</w:t>
            </w:r>
            <w:r w:rsidRPr="00AA33C3">
              <w:rPr>
                <w:color w:val="5B2A4F"/>
                <w:spacing w:val="-2"/>
                <w:w w:val="105"/>
              </w:rPr>
              <w:t>r</w:t>
            </w:r>
            <w:r w:rsidRPr="00AA33C3">
              <w:rPr>
                <w:color w:val="424456"/>
                <w:spacing w:val="-2"/>
                <w:w w:val="105"/>
              </w:rPr>
              <w:t>ex</w:t>
            </w:r>
            <w:r w:rsidRPr="00AA33C3">
              <w:rPr>
                <w:color w:val="3D7074"/>
                <w:spacing w:val="-2"/>
                <w:w w:val="105"/>
              </w:rPr>
              <w:t>i</w:t>
            </w:r>
            <w:r w:rsidRPr="00AA33C3">
              <w:rPr>
                <w:color w:val="4D546B"/>
                <w:spacing w:val="-2"/>
                <w:w w:val="105"/>
              </w:rPr>
              <w:t>a</w:t>
            </w:r>
          </w:p>
        </w:tc>
        <w:tc>
          <w:tcPr>
            <w:tcW w:w="2899" w:type="dxa"/>
          </w:tcPr>
          <w:p w14:paraId="42201E07" w14:textId="77777777" w:rsidR="00AA33C3" w:rsidRPr="00AA33C3" w:rsidRDefault="00AA33C3" w:rsidP="00D56544">
            <w:r w:rsidRPr="00AA33C3">
              <w:rPr>
                <w:color w:val="424456"/>
                <w:w w:val="105"/>
              </w:rPr>
              <w:t>2</w:t>
            </w:r>
            <w:r w:rsidRPr="00AA33C3">
              <w:rPr>
                <w:color w:val="424456"/>
                <w:spacing w:val="-13"/>
                <w:w w:val="105"/>
              </w:rPr>
              <w:t xml:space="preserve"> </w:t>
            </w:r>
            <w:r w:rsidRPr="00AA33C3">
              <w:rPr>
                <w:color w:val="424456"/>
                <w:spacing w:val="-4"/>
                <w:w w:val="105"/>
              </w:rPr>
              <w:t>(9.5)</w:t>
            </w:r>
          </w:p>
        </w:tc>
        <w:tc>
          <w:tcPr>
            <w:tcW w:w="2520" w:type="dxa"/>
          </w:tcPr>
          <w:p w14:paraId="652CDC0A" w14:textId="77777777" w:rsidR="00AA33C3" w:rsidRPr="00AA33C3" w:rsidRDefault="00AA33C3" w:rsidP="00D56544">
            <w:r w:rsidRPr="00AA33C3">
              <w:rPr>
                <w:color w:val="424456"/>
                <w:spacing w:val="-10"/>
                <w:w w:val="105"/>
              </w:rPr>
              <w:t>0</w:t>
            </w:r>
          </w:p>
        </w:tc>
      </w:tr>
    </w:tbl>
    <w:p w14:paraId="4A652B31" w14:textId="77777777" w:rsidR="00D56544" w:rsidRDefault="00D56544" w:rsidP="00D56544"/>
    <w:p w14:paraId="54E564B9" w14:textId="2118AB02" w:rsidR="009E5C31" w:rsidRDefault="009E5C31" w:rsidP="00D56544">
      <w:r>
        <w:t xml:space="preserve">The most frequently reported AE was infection/infestations, which occurred in 52.4% of </w:t>
      </w:r>
      <w:r w:rsidR="009844A5">
        <w:t>leniolisib</w:t>
      </w:r>
      <w:r>
        <w:t xml:space="preserve"> patients and 40.0% of placebo patients in the entire safety analysis population (data not shown). Headache and sinusitis were more frequently reported in the </w:t>
      </w:r>
      <w:r w:rsidR="009844A5">
        <w:t>leniolisib</w:t>
      </w:r>
      <w:r>
        <w:t xml:space="preserve"> than placebo arm of the controlled stage of study 2201, although the Delegate notes the small patient numbers involved.</w:t>
      </w:r>
    </w:p>
    <w:p w14:paraId="7F55F74D" w14:textId="423E61C6" w:rsidR="009E5C31" w:rsidRDefault="009E5C31" w:rsidP="009E5C31">
      <w:r>
        <w:t xml:space="preserve">The majority of AE occurred in the early stages of </w:t>
      </w:r>
      <w:r w:rsidR="009844A5">
        <w:t>leniolisib</w:t>
      </w:r>
      <w:r>
        <w:t xml:space="preserve"> treatment with lower rates reported over longer periods of treatment.</w:t>
      </w:r>
    </w:p>
    <w:p w14:paraId="537E93A5" w14:textId="77777777" w:rsidR="009E5C31" w:rsidRDefault="009E5C31" w:rsidP="009E5C31">
      <w:r>
        <w:t>Of the adverse effects considered related to treatment in study 2201/2 included alopecia (2 patients), weight increased (1 patient), aphthous ulcer (1 patient), vomiting (1 patient), taste disorder (1 patient).</w:t>
      </w:r>
    </w:p>
    <w:p w14:paraId="39F2FAB5" w14:textId="77777777" w:rsidR="009E5C31" w:rsidRDefault="009E5C31" w:rsidP="009E5C31">
      <w:r>
        <w:t>Two deaths were reported across the APDS clinical development program.</w:t>
      </w:r>
    </w:p>
    <w:p w14:paraId="3988BC75" w14:textId="5F818369" w:rsidR="009E5C31" w:rsidRDefault="009E5C31" w:rsidP="001B1CA8">
      <w:pPr>
        <w:pStyle w:val="ListBullet"/>
      </w:pPr>
      <w:r>
        <w:t xml:space="preserve">One death was reported in a 22-year-old male Caucasian who was in the 70 mg bd group (Study 2202 Part 2 rolled over to Study 2201E1), who had been exposed to leniolisib for 866 days. The cause of death/PT was cardiac arrest (not considered related to treatment), attributed to the multiple medical issues the patient was experiencing, including a worsening of chronic disseminated </w:t>
      </w:r>
      <w:r w:rsidRPr="00BB6746">
        <w:rPr>
          <w:i/>
          <w:iCs/>
        </w:rPr>
        <w:t>mycoplasma orale</w:t>
      </w:r>
      <w:r>
        <w:t xml:space="preserve"> infection and underlying cardiomyopathy. The patient had a medical history of malnutrition, tachycardia, cardiomyopathy, pericardial effusion, ECG QT prolonged, and failure to thrive.</w:t>
      </w:r>
    </w:p>
    <w:p w14:paraId="4DB2B204" w14:textId="0B8980AB" w:rsidR="009E5C31" w:rsidRDefault="009E5C31" w:rsidP="001B1CA8">
      <w:pPr>
        <w:pStyle w:val="ListBullet"/>
      </w:pPr>
      <w:r>
        <w:t>One death was reported in a 44-year-old female who had completed treatment with placebo in Study 2201 Part 2 and died of pulmonary hypertension approximately 4.5 months after the last dose of study medication. The patient had a long and protracted medical history of bronchiectasis and pseudomonas infections.</w:t>
      </w:r>
    </w:p>
    <w:p w14:paraId="5B64114D" w14:textId="738FC137" w:rsidR="009E5C31" w:rsidRDefault="009E5C31" w:rsidP="009E5C31">
      <w:r>
        <w:t xml:space="preserve">Serious adverse events occurred in 3 (14.3%) of the </w:t>
      </w:r>
      <w:r w:rsidR="009844A5">
        <w:t>leniolisib</w:t>
      </w:r>
      <w:r>
        <w:t xml:space="preserve"> arm and 2 (20.0%) of the placebo arm of study 2201/2. In the </w:t>
      </w:r>
      <w:r w:rsidR="009844A5">
        <w:t>leniolisib</w:t>
      </w:r>
      <w:r>
        <w:t xml:space="preserve"> group these included mastoiditis (1 patient), failure to thrive and fatal cardiac arrest (1 patient), and alcohol poisoning (1 patient).</w:t>
      </w:r>
      <w:r w:rsidR="006848E7">
        <w:t xml:space="preserve"> None of these were treatment-related. </w:t>
      </w:r>
    </w:p>
    <w:p w14:paraId="28F8AC9D" w14:textId="77777777" w:rsidR="009E5C31" w:rsidRDefault="009E5C31" w:rsidP="009E5C31">
      <w:r>
        <w:t>No new malignancies were reported in study 2201/2.</w:t>
      </w:r>
    </w:p>
    <w:p w14:paraId="6702BD41" w14:textId="587C6D63" w:rsidR="009E5C31" w:rsidRDefault="009E5C31" w:rsidP="009E5C31">
      <w:r>
        <w:lastRenderedPageBreak/>
        <w:t xml:space="preserve">Haematological adverse events showed no trend in </w:t>
      </w:r>
      <w:r w:rsidR="009844A5">
        <w:t>leniolisib</w:t>
      </w:r>
      <w:r>
        <w:t xml:space="preserve"> treated patients’ in study 202</w:t>
      </w:r>
      <w:r w:rsidR="00AE1E57">
        <w:t>1</w:t>
      </w:r>
      <w:r>
        <w:t>/2 and parameters outside the normal were not considered clinically significant.</w:t>
      </w:r>
    </w:p>
    <w:p w14:paraId="6F23459F" w14:textId="3AD72B79" w:rsidR="009E5C31" w:rsidRDefault="001B1CA8" w:rsidP="009E5C31">
      <w:r>
        <w:t>There was</w:t>
      </w:r>
      <w:r w:rsidR="009E5C31">
        <w:t xml:space="preserve"> one case of hyperglycaemia which occurred in a patient taking </w:t>
      </w:r>
      <w:r w:rsidR="009844A5">
        <w:t>leniolisib</w:t>
      </w:r>
      <w:r w:rsidR="009E5C31">
        <w:t xml:space="preserve"> after 2 years of treatment. The Sponsor has noted that </w:t>
      </w:r>
      <w:r>
        <w:t>hyperglycaemia</w:t>
      </w:r>
      <w:r w:rsidR="009E5C31">
        <w:t xml:space="preserve"> is relatively common in treatment with PI3Kα inhibitors, of which several are approved for treatment of cancer (e.g. </w:t>
      </w:r>
      <w:r>
        <w:t>d</w:t>
      </w:r>
      <w:r w:rsidR="009E5C31">
        <w:t xml:space="preserve">uvelisib used to treat </w:t>
      </w:r>
      <w:r>
        <w:t>chronic lymphocytic leukaemia</w:t>
      </w:r>
      <w:r w:rsidR="009E5C31">
        <w:t xml:space="preserve"> and lymphoma). However, </w:t>
      </w:r>
      <w:r w:rsidR="009844A5">
        <w:t>leniolisib</w:t>
      </w:r>
      <w:r w:rsidR="009E5C31">
        <w:t xml:space="preserve"> lacks any activity against PI3Kα and in vitro studies do not suggest off-target activity against this isoform. </w:t>
      </w:r>
      <w:r w:rsidR="004117E3">
        <w:t>Therefore,</w:t>
      </w:r>
      <w:r w:rsidR="009E5C31">
        <w:t xml:space="preserve"> the relevance of the case of </w:t>
      </w:r>
      <w:r>
        <w:t>hyperglycaemia</w:t>
      </w:r>
      <w:r w:rsidR="009E5C31">
        <w:t xml:space="preserve"> to </w:t>
      </w:r>
      <w:r w:rsidR="009844A5">
        <w:t>leniolisib</w:t>
      </w:r>
      <w:r w:rsidR="009E5C31">
        <w:t xml:space="preserve"> treatment is unclear.</w:t>
      </w:r>
    </w:p>
    <w:p w14:paraId="3732CAE4" w14:textId="77777777" w:rsidR="009E5C31" w:rsidRDefault="009E5C31" w:rsidP="00197138">
      <w:pPr>
        <w:pStyle w:val="Heading6"/>
      </w:pPr>
      <w:r>
        <w:t>Other PI3K inhibitors</w:t>
      </w:r>
    </w:p>
    <w:p w14:paraId="6B2B0FC0" w14:textId="4261852F" w:rsidR="009E5C31" w:rsidRDefault="00197138" w:rsidP="009E5C31">
      <w:r>
        <w:t>I</w:t>
      </w:r>
      <w:r w:rsidR="009E5C31">
        <w:t>delalisib is a PI3Kδ inhibitor that is registered in Australia for the</w:t>
      </w:r>
      <w:r>
        <w:t xml:space="preserve"> </w:t>
      </w:r>
      <w:r w:rsidR="009E5C31">
        <w:t>treatment of leukaemia and lymphoma.</w:t>
      </w:r>
      <w:r>
        <w:t xml:space="preserve"> </w:t>
      </w:r>
      <w:r w:rsidR="009E5C31">
        <w:t xml:space="preserve">The PI for </w:t>
      </w:r>
      <w:r w:rsidR="0020540B">
        <w:t>i</w:t>
      </w:r>
      <w:r w:rsidR="0020540B" w:rsidRPr="0020540B">
        <w:t xml:space="preserve">delalisib </w:t>
      </w:r>
      <w:r w:rsidR="009E5C31">
        <w:t>includes a black box warning to the effect that there is an increased risk of serious infections, pneumonitis and death associated with treatment.</w:t>
      </w:r>
    </w:p>
    <w:p w14:paraId="6E082937" w14:textId="6D665393" w:rsidR="009E5C31" w:rsidRDefault="009E5C31" w:rsidP="009E5C31">
      <w:r>
        <w:t xml:space="preserve">The EMA raised the potential of comparable adverse effects with </w:t>
      </w:r>
      <w:r w:rsidR="009844A5">
        <w:t>leniolisib</w:t>
      </w:r>
      <w:r>
        <w:t xml:space="preserve"> treatment in their evaluation.</w:t>
      </w:r>
    </w:p>
    <w:p w14:paraId="4A22158C" w14:textId="6DF1FE0F" w:rsidR="009E5C31" w:rsidRDefault="0020540B" w:rsidP="009E5C31">
      <w:r>
        <w:t>T</w:t>
      </w:r>
      <w:r w:rsidR="009E5C31">
        <w:t xml:space="preserve">he Sponsor </w:t>
      </w:r>
      <w:r w:rsidR="00AA37D2">
        <w:t>was</w:t>
      </w:r>
      <w:r w:rsidR="00AA37D2" w:rsidRPr="00AA37D2">
        <w:t xml:space="preserve"> required by </w:t>
      </w:r>
      <w:r w:rsidR="00AA37D2">
        <w:t xml:space="preserve">the </w:t>
      </w:r>
      <w:r w:rsidR="00AA37D2" w:rsidRPr="00AA37D2">
        <w:t xml:space="preserve">EMA to include in the draft labelling </w:t>
      </w:r>
      <w:r w:rsidR="00AA37D2">
        <w:t xml:space="preserve">and the </w:t>
      </w:r>
      <w:r w:rsidR="00AA37D2" w:rsidRPr="00AA37D2">
        <w:t>RMP</w:t>
      </w:r>
      <w:r w:rsidR="00AA37D2">
        <w:t xml:space="preserve"> </w:t>
      </w:r>
      <w:r w:rsidR="009E5C31">
        <w:t xml:space="preserve">that immune mediated adverse events (e.g. pneumonitis) are a potential class effect of PI3K inhibitors. For this </w:t>
      </w:r>
      <w:r w:rsidR="00B05990">
        <w:t>reason,</w:t>
      </w:r>
      <w:r w:rsidR="009E5C31">
        <w:t xml:space="preserve"> surveillance of these adverse events has been added to the RMP although there is no direct evidence of them occurring with </w:t>
      </w:r>
      <w:r w:rsidR="009844A5">
        <w:t>leniolisib</w:t>
      </w:r>
      <w:r w:rsidR="009E5C31">
        <w:t xml:space="preserve"> treatment.</w:t>
      </w:r>
    </w:p>
    <w:p w14:paraId="18A16B5C" w14:textId="219A8C10" w:rsidR="009E5C31" w:rsidRDefault="0020540B" w:rsidP="009E5C31">
      <w:r>
        <w:t>T</w:t>
      </w:r>
      <w:r w:rsidR="009E5C31">
        <w:t xml:space="preserve">he oncology population is quite different from the APDS population. Furthermore, while </w:t>
      </w:r>
      <w:r w:rsidR="009844A5">
        <w:t>leniolisib</w:t>
      </w:r>
      <w:r w:rsidR="009E5C31">
        <w:t xml:space="preserve"> and </w:t>
      </w:r>
      <w:r w:rsidRPr="0020540B">
        <w:t xml:space="preserve">idelalisib </w:t>
      </w:r>
      <w:r w:rsidR="009E5C31">
        <w:t>are both P</w:t>
      </w:r>
      <w:r w:rsidR="00AA37D2">
        <w:t>I3K</w:t>
      </w:r>
      <w:r w:rsidR="009E5C31">
        <w:t>δ inhibitors, the specificity for this isoform over other isoforms differs.</w:t>
      </w:r>
    </w:p>
    <w:p w14:paraId="3E170881" w14:textId="73AF093A" w:rsidR="009E5C31" w:rsidRDefault="0020540B" w:rsidP="009E5C31">
      <w:r>
        <w:t>A</w:t>
      </w:r>
      <w:r w:rsidR="009E5C31">
        <w:t xml:space="preserve">n approximate calculation (‘rule of 3’) suggests that the absence of immune mediated toxicity in the </w:t>
      </w:r>
      <w:r w:rsidR="009844A5">
        <w:t>leniolisib</w:t>
      </w:r>
      <w:r w:rsidR="009E5C31">
        <w:t xml:space="preserve"> population means that the rate is less than about 3/37 or 8.1% with 95% confidence. </w:t>
      </w:r>
    </w:p>
    <w:p w14:paraId="267CF016" w14:textId="60CE6523" w:rsidR="00DC363F" w:rsidRDefault="009E5C31" w:rsidP="009E5C31">
      <w:r>
        <w:t xml:space="preserve">The Delegate notes that there is very little safety data in </w:t>
      </w:r>
      <w:r w:rsidR="009844A5">
        <w:t>leniolisib</w:t>
      </w:r>
      <w:r>
        <w:t xml:space="preserve"> to make a determination of the potential for class effects of PI3Kδ to occur. However, mitigating this is the low number of patients exposed to treatment for APDS as this reduces the potential for stochastic adverse events to occur.</w:t>
      </w:r>
    </w:p>
    <w:p w14:paraId="2858B006" w14:textId="5AA3100E" w:rsidR="00C22214" w:rsidRDefault="00C22214" w:rsidP="00C22214">
      <w:pPr>
        <w:pStyle w:val="Heading3"/>
        <w:rPr>
          <w:lang w:eastAsia="en-AU"/>
        </w:rPr>
      </w:pPr>
      <w:bookmarkStart w:id="39" w:name="_Toc103679298"/>
      <w:bookmarkStart w:id="40" w:name="_Toc203144794"/>
      <w:r>
        <w:rPr>
          <w:lang w:eastAsia="en-AU"/>
        </w:rPr>
        <w:t>Risk management plan</w:t>
      </w:r>
      <w:bookmarkEnd w:id="37"/>
      <w:bookmarkEnd w:id="39"/>
      <w:r w:rsidR="0020540B">
        <w:rPr>
          <w:lang w:eastAsia="en-AU"/>
        </w:rPr>
        <w:t xml:space="preserve"> evaluation summary</w:t>
      </w:r>
      <w:bookmarkEnd w:id="40"/>
    </w:p>
    <w:p w14:paraId="29E07D39" w14:textId="294FC994" w:rsidR="00C665D9" w:rsidRDefault="00C665D9" w:rsidP="00C22214">
      <w:pPr>
        <w:rPr>
          <w:szCs w:val="22"/>
        </w:rPr>
      </w:pPr>
      <w:bookmarkStart w:id="41" w:name="_Toc247691531"/>
      <w:bookmarkStart w:id="42" w:name="_Toc314842515"/>
      <w:r>
        <w:rPr>
          <w:szCs w:val="22"/>
        </w:rPr>
        <w:t>S</w:t>
      </w:r>
      <w:r w:rsidR="00C22214" w:rsidRPr="00BD5DBD">
        <w:rPr>
          <w:szCs w:val="22"/>
        </w:rPr>
        <w:t>afety concerns and their associated risk monitoring and mitigation strategies are summarised in</w:t>
      </w:r>
      <w:r w:rsidR="003B149C">
        <w:rPr>
          <w:szCs w:val="22"/>
        </w:rPr>
        <w:t xml:space="preserve"> </w:t>
      </w:r>
      <w:r>
        <w:rPr>
          <w:szCs w:val="22"/>
        </w:rPr>
        <w:t>Table</w:t>
      </w:r>
      <w:r w:rsidR="00005FC8">
        <w:rPr>
          <w:szCs w:val="22"/>
        </w:rPr>
        <w:t xml:space="preserve"> </w:t>
      </w:r>
      <w:r w:rsidR="00AA33C3">
        <w:rPr>
          <w:szCs w:val="22"/>
        </w:rPr>
        <w:t>11</w:t>
      </w:r>
      <w:r w:rsidR="0020540B">
        <w:rPr>
          <w:szCs w:val="22"/>
        </w:rPr>
        <w:t>.</w:t>
      </w:r>
    </w:p>
    <w:p w14:paraId="0E7D3ADC" w14:textId="744F504A" w:rsidR="00127A74" w:rsidRDefault="00C22214" w:rsidP="00D574A6">
      <w:pPr>
        <w:pStyle w:val="TableTitle"/>
      </w:pPr>
      <w:bookmarkStart w:id="43" w:name="_Ref97629131"/>
      <w:r>
        <w:t>Table</w:t>
      </w:r>
      <w:bookmarkEnd w:id="43"/>
      <w:r w:rsidR="00005FC8">
        <w:t xml:space="preserve"> </w:t>
      </w:r>
      <w:r w:rsidR="00AA33C3">
        <w:t>11.</w:t>
      </w:r>
      <w:r>
        <w:t xml:space="preserve"> Summary of safety concerns</w:t>
      </w:r>
    </w:p>
    <w:tbl>
      <w:tblPr>
        <w:tblStyle w:val="TableTGAblue2023"/>
        <w:tblW w:w="8878" w:type="dxa"/>
        <w:tblLayout w:type="fixed"/>
        <w:tblLook w:val="04A0" w:firstRow="1" w:lastRow="0" w:firstColumn="1" w:lastColumn="0" w:noHBand="0" w:noVBand="1"/>
      </w:tblPr>
      <w:tblGrid>
        <w:gridCol w:w="1615"/>
        <w:gridCol w:w="2160"/>
        <w:gridCol w:w="1134"/>
        <w:gridCol w:w="1418"/>
        <w:gridCol w:w="1134"/>
        <w:gridCol w:w="1417"/>
      </w:tblGrid>
      <w:tr w:rsidR="00127A74" w:rsidRPr="007A1992" w14:paraId="359A0C59" w14:textId="77777777" w:rsidTr="00507DF0">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775" w:type="dxa"/>
            <w:gridSpan w:val="2"/>
            <w:vMerge w:val="restart"/>
          </w:tcPr>
          <w:p w14:paraId="24B1F090" w14:textId="77777777" w:rsidR="00127A74" w:rsidRPr="00127A74" w:rsidRDefault="00127A74" w:rsidP="00507DF0">
            <w:r w:rsidRPr="00127A74">
              <w:t>Summary of safety concerns</w:t>
            </w:r>
          </w:p>
        </w:tc>
        <w:tc>
          <w:tcPr>
            <w:tcW w:w="2552" w:type="dxa"/>
            <w:gridSpan w:val="2"/>
          </w:tcPr>
          <w:p w14:paraId="596694C9" w14:textId="77777777" w:rsidR="00127A74" w:rsidRPr="00127A74" w:rsidRDefault="00127A74" w:rsidP="00507DF0">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507DF0">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507DF0">
        <w:trPr>
          <w:trHeight w:val="150"/>
        </w:trPr>
        <w:tc>
          <w:tcPr>
            <w:cnfStyle w:val="001000000000" w:firstRow="0" w:lastRow="0" w:firstColumn="1" w:lastColumn="0" w:oddVBand="0" w:evenVBand="0" w:oddHBand="0" w:evenHBand="0" w:firstRowFirstColumn="0" w:firstRowLastColumn="0" w:lastRowFirstColumn="0" w:lastRowLastColumn="0"/>
            <w:tcW w:w="3775" w:type="dxa"/>
            <w:gridSpan w:val="2"/>
            <w:vMerge/>
          </w:tcPr>
          <w:p w14:paraId="71D88F2A" w14:textId="77777777" w:rsidR="00127A74" w:rsidRPr="00127A74" w:rsidRDefault="00127A74" w:rsidP="00507DF0"/>
        </w:tc>
        <w:tc>
          <w:tcPr>
            <w:tcW w:w="1134" w:type="dxa"/>
            <w:shd w:val="clear" w:color="auto" w:fill="DEEAF6"/>
          </w:tcPr>
          <w:p w14:paraId="1BF9407C" w14:textId="77777777" w:rsidR="00127A74" w:rsidRPr="00127A74" w:rsidRDefault="00127A74" w:rsidP="00507DF0">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507DF0">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507DF0">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507DF0">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127A74" w:rsidRPr="007A1992" w14:paraId="05599231" w14:textId="77777777" w:rsidTr="00507DF0">
        <w:trPr>
          <w:trHeight w:val="137"/>
        </w:trPr>
        <w:tc>
          <w:tcPr>
            <w:cnfStyle w:val="001000000000" w:firstRow="0" w:lastRow="0" w:firstColumn="1" w:lastColumn="0" w:oddVBand="0" w:evenVBand="0" w:oddHBand="0" w:evenHBand="0" w:firstRowFirstColumn="0" w:firstRowLastColumn="0" w:lastRowFirstColumn="0" w:lastRowLastColumn="0"/>
            <w:tcW w:w="1615" w:type="dxa"/>
          </w:tcPr>
          <w:p w14:paraId="67382D75" w14:textId="77777777" w:rsidR="00127A74" w:rsidRPr="00127A74" w:rsidRDefault="00127A74" w:rsidP="00127A74">
            <w:pPr>
              <w:rPr>
                <w:b/>
                <w:bCs/>
              </w:rPr>
            </w:pPr>
            <w:r w:rsidRPr="00127A74">
              <w:rPr>
                <w:b/>
                <w:bCs/>
              </w:rPr>
              <w:t>Important identified risks</w:t>
            </w:r>
          </w:p>
        </w:tc>
        <w:tc>
          <w:tcPr>
            <w:tcW w:w="2160" w:type="dxa"/>
          </w:tcPr>
          <w:p w14:paraId="7134CBC0" w14:textId="57A2060B"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None</w:t>
            </w:r>
          </w:p>
        </w:tc>
        <w:tc>
          <w:tcPr>
            <w:tcW w:w="1134" w:type="dxa"/>
          </w:tcPr>
          <w:p w14:paraId="11797452" w14:textId="7DCEB134"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B703318" w14:textId="7D711697"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A652099" w14:textId="767CA50D"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4A0513E" w14:textId="26D4C9DA"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176B93B3" w14:textId="77777777" w:rsidTr="00507DF0">
        <w:trPr>
          <w:trHeight w:val="159"/>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77F0DB3E" w14:textId="77777777" w:rsidR="00127A74" w:rsidRPr="00127A74" w:rsidRDefault="00127A74" w:rsidP="00127A74">
            <w:pPr>
              <w:rPr>
                <w:b/>
                <w:bCs/>
              </w:rPr>
            </w:pPr>
            <w:r w:rsidRPr="00127A74">
              <w:rPr>
                <w:b/>
                <w:bCs/>
              </w:rPr>
              <w:t>Important potential risks</w:t>
            </w:r>
          </w:p>
        </w:tc>
        <w:tc>
          <w:tcPr>
            <w:tcW w:w="2160" w:type="dxa"/>
          </w:tcPr>
          <w:p w14:paraId="6E17E14A" w14:textId="7271B61F"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Immune-related adverse events</w:t>
            </w:r>
          </w:p>
        </w:tc>
        <w:tc>
          <w:tcPr>
            <w:tcW w:w="1134" w:type="dxa"/>
          </w:tcPr>
          <w:p w14:paraId="252AD92F" w14:textId="53CD6F28"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sym w:font="Wingdings 2" w:char="F050"/>
            </w:r>
          </w:p>
        </w:tc>
        <w:tc>
          <w:tcPr>
            <w:tcW w:w="1418" w:type="dxa"/>
          </w:tcPr>
          <w:p w14:paraId="77DA98F1" w14:textId="6E230FA5"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sym w:font="Wingdings 2" w:char="F050"/>
            </w:r>
            <w:r w:rsidR="00FE6491">
              <w:t>§</w:t>
            </w:r>
          </w:p>
        </w:tc>
        <w:tc>
          <w:tcPr>
            <w:tcW w:w="1134" w:type="dxa"/>
          </w:tcPr>
          <w:p w14:paraId="182A5096" w14:textId="06062465"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sym w:font="Wingdings 2" w:char="F050"/>
            </w:r>
          </w:p>
        </w:tc>
        <w:tc>
          <w:tcPr>
            <w:tcW w:w="1417" w:type="dxa"/>
          </w:tcPr>
          <w:p w14:paraId="2A6247DC" w14:textId="34AEDE08"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w:t>
            </w:r>
          </w:p>
        </w:tc>
      </w:tr>
      <w:tr w:rsidR="00127A74" w:rsidRPr="007A1992" w14:paraId="1D3B7AB5" w14:textId="77777777" w:rsidTr="00507DF0">
        <w:trPr>
          <w:trHeight w:val="122"/>
        </w:trPr>
        <w:tc>
          <w:tcPr>
            <w:cnfStyle w:val="001000000000" w:firstRow="0" w:lastRow="0" w:firstColumn="1" w:lastColumn="0" w:oddVBand="0" w:evenVBand="0" w:oddHBand="0" w:evenHBand="0" w:firstRowFirstColumn="0" w:firstRowLastColumn="0" w:lastRowFirstColumn="0" w:lastRowLastColumn="0"/>
            <w:tcW w:w="1615" w:type="dxa"/>
            <w:vMerge/>
          </w:tcPr>
          <w:p w14:paraId="150DE62A" w14:textId="77777777" w:rsidR="00127A74" w:rsidRPr="00127A74" w:rsidRDefault="00127A74" w:rsidP="00127A74">
            <w:pPr>
              <w:rPr>
                <w:b/>
                <w:bCs/>
              </w:rPr>
            </w:pPr>
          </w:p>
        </w:tc>
        <w:tc>
          <w:tcPr>
            <w:tcW w:w="2160" w:type="dxa"/>
          </w:tcPr>
          <w:p w14:paraId="51438C35" w14:textId="4AB73479"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Embryofetal toxicity</w:t>
            </w:r>
          </w:p>
        </w:tc>
        <w:tc>
          <w:tcPr>
            <w:tcW w:w="1134" w:type="dxa"/>
          </w:tcPr>
          <w:p w14:paraId="2766BAE0" w14:textId="33889A3F"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sym w:font="Wingdings 2" w:char="F050"/>
            </w:r>
          </w:p>
        </w:tc>
        <w:tc>
          <w:tcPr>
            <w:tcW w:w="1418" w:type="dxa"/>
          </w:tcPr>
          <w:p w14:paraId="2B1BF340" w14:textId="1D086142"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sym w:font="Wingdings 2" w:char="F050"/>
            </w:r>
            <w:r w:rsidR="00FE6491">
              <w:t>§</w:t>
            </w:r>
          </w:p>
        </w:tc>
        <w:tc>
          <w:tcPr>
            <w:tcW w:w="1134" w:type="dxa"/>
          </w:tcPr>
          <w:p w14:paraId="6A4FA9DA" w14:textId="73AFA597"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sym w:font="Wingdings 2" w:char="F050"/>
            </w:r>
          </w:p>
        </w:tc>
        <w:tc>
          <w:tcPr>
            <w:tcW w:w="1417" w:type="dxa"/>
          </w:tcPr>
          <w:p w14:paraId="0D33F49A" w14:textId="26C069D8" w:rsidR="00127A74" w:rsidRPr="00127A74" w:rsidRDefault="00005FC8" w:rsidP="00127A74">
            <w:pPr>
              <w:cnfStyle w:val="000000000000" w:firstRow="0" w:lastRow="0" w:firstColumn="0" w:lastColumn="0" w:oddVBand="0" w:evenVBand="0" w:oddHBand="0" w:evenHBand="0" w:firstRowFirstColumn="0" w:firstRowLastColumn="0" w:lastRowFirstColumn="0" w:lastRowLastColumn="0"/>
            </w:pPr>
            <w:r>
              <w:t>-</w:t>
            </w:r>
          </w:p>
        </w:tc>
      </w:tr>
      <w:tr w:rsidR="00005FC8" w:rsidRPr="007A1992" w14:paraId="74C5E610" w14:textId="77777777" w:rsidTr="00507DF0">
        <w:trPr>
          <w:trHeight w:val="178"/>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262C65E3" w14:textId="2636CADF" w:rsidR="00507DF0" w:rsidRPr="00507DF0" w:rsidRDefault="00005FC8" w:rsidP="00D56544">
            <w:r w:rsidRPr="00127A74">
              <w:rPr>
                <w:b/>
                <w:bCs/>
              </w:rPr>
              <w:lastRenderedPageBreak/>
              <w:t>Missing information</w:t>
            </w:r>
          </w:p>
        </w:tc>
        <w:tc>
          <w:tcPr>
            <w:tcW w:w="2160" w:type="dxa"/>
          </w:tcPr>
          <w:p w14:paraId="104D79CD" w14:textId="5FBAC31C"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t>Safety in patients with hepatic or renal impairment</w:t>
            </w:r>
          </w:p>
        </w:tc>
        <w:tc>
          <w:tcPr>
            <w:tcW w:w="1134" w:type="dxa"/>
          </w:tcPr>
          <w:p w14:paraId="07467A21" w14:textId="45BC94B7"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sym w:font="Wingdings 2" w:char="F050"/>
            </w:r>
          </w:p>
        </w:tc>
        <w:tc>
          <w:tcPr>
            <w:tcW w:w="1418" w:type="dxa"/>
          </w:tcPr>
          <w:p w14:paraId="35C7F07F" w14:textId="69633179"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sym w:font="Wingdings 2" w:char="F050"/>
            </w:r>
            <w:r w:rsidR="00507DF0">
              <w:t>‡</w:t>
            </w:r>
          </w:p>
        </w:tc>
        <w:tc>
          <w:tcPr>
            <w:tcW w:w="1134" w:type="dxa"/>
          </w:tcPr>
          <w:p w14:paraId="52620DEE" w14:textId="5ABA6EB7"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sym w:font="Wingdings 2" w:char="F050"/>
            </w:r>
          </w:p>
        </w:tc>
        <w:tc>
          <w:tcPr>
            <w:tcW w:w="1417" w:type="dxa"/>
          </w:tcPr>
          <w:p w14:paraId="16BD3C7B" w14:textId="3EA95DFC"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t>-</w:t>
            </w:r>
          </w:p>
        </w:tc>
      </w:tr>
      <w:tr w:rsidR="00005FC8" w:rsidRPr="007A1992" w14:paraId="0E5AEFE4" w14:textId="77777777" w:rsidTr="00507DF0">
        <w:trPr>
          <w:trHeight w:val="103"/>
        </w:trPr>
        <w:tc>
          <w:tcPr>
            <w:cnfStyle w:val="001000000000" w:firstRow="0" w:lastRow="0" w:firstColumn="1" w:lastColumn="0" w:oddVBand="0" w:evenVBand="0" w:oddHBand="0" w:evenHBand="0" w:firstRowFirstColumn="0" w:firstRowLastColumn="0" w:lastRowFirstColumn="0" w:lastRowLastColumn="0"/>
            <w:tcW w:w="1615" w:type="dxa"/>
            <w:vMerge/>
          </w:tcPr>
          <w:p w14:paraId="6717FA88" w14:textId="77777777" w:rsidR="00005FC8" w:rsidRPr="00127A74" w:rsidRDefault="00005FC8" w:rsidP="00005FC8"/>
        </w:tc>
        <w:tc>
          <w:tcPr>
            <w:tcW w:w="2160" w:type="dxa"/>
          </w:tcPr>
          <w:p w14:paraId="1DF32407" w14:textId="1CCA8E57"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t>Long-term safety</w:t>
            </w:r>
          </w:p>
        </w:tc>
        <w:tc>
          <w:tcPr>
            <w:tcW w:w="1134" w:type="dxa"/>
          </w:tcPr>
          <w:p w14:paraId="13B9D43F" w14:textId="1C96D3EA"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sym w:font="Wingdings 2" w:char="F050"/>
            </w:r>
            <w:r w:rsidR="00507DF0">
              <w:t>*</w:t>
            </w:r>
          </w:p>
        </w:tc>
        <w:tc>
          <w:tcPr>
            <w:tcW w:w="1418" w:type="dxa"/>
          </w:tcPr>
          <w:p w14:paraId="5B103519" w14:textId="1D6DE92B"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sym w:font="Wingdings 2" w:char="F050"/>
            </w:r>
            <w:r w:rsidR="00507DF0">
              <w:t>†</w:t>
            </w:r>
            <w:r w:rsidR="00FE6491">
              <w:t>§</w:t>
            </w:r>
          </w:p>
        </w:tc>
        <w:tc>
          <w:tcPr>
            <w:tcW w:w="1134" w:type="dxa"/>
          </w:tcPr>
          <w:p w14:paraId="17D1F379" w14:textId="4C866306"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p>
        </w:tc>
        <w:tc>
          <w:tcPr>
            <w:tcW w:w="1417" w:type="dxa"/>
          </w:tcPr>
          <w:p w14:paraId="6C76384E" w14:textId="02875036" w:rsidR="00005FC8" w:rsidRPr="00127A74" w:rsidRDefault="00005FC8" w:rsidP="00005FC8">
            <w:pPr>
              <w:cnfStyle w:val="000000000000" w:firstRow="0" w:lastRow="0" w:firstColumn="0" w:lastColumn="0" w:oddVBand="0" w:evenVBand="0" w:oddHBand="0" w:evenHBand="0" w:firstRowFirstColumn="0" w:firstRowLastColumn="0" w:lastRowFirstColumn="0" w:lastRowLastColumn="0"/>
            </w:pPr>
            <w:r>
              <w:t>-</w:t>
            </w:r>
          </w:p>
        </w:tc>
      </w:tr>
    </w:tbl>
    <w:p w14:paraId="23A7866C" w14:textId="1855B7B0" w:rsidR="00507DF0" w:rsidRDefault="00507DF0" w:rsidP="00507DF0">
      <w:pPr>
        <w:pStyle w:val="TableDescription"/>
        <w:contextualSpacing/>
      </w:pPr>
      <w:bookmarkStart w:id="44" w:name="_Toc103679299"/>
      <w:r>
        <w:t>*Study CCDZ173X2201E1</w:t>
      </w:r>
    </w:p>
    <w:p w14:paraId="4A1A577B" w14:textId="1CE5DC3C" w:rsidR="005C06C0" w:rsidRDefault="005C06C0" w:rsidP="00507DF0">
      <w:pPr>
        <w:pStyle w:val="TableDescription"/>
        <w:contextualSpacing/>
      </w:pPr>
      <w:r w:rsidRPr="005C06C0">
        <w:t>†</w:t>
      </w:r>
      <w:r>
        <w:t>National APDS observational registry</w:t>
      </w:r>
    </w:p>
    <w:p w14:paraId="4DB91F26" w14:textId="29D071AC" w:rsidR="005C06C0" w:rsidRDefault="005C06C0" w:rsidP="00507DF0">
      <w:pPr>
        <w:pStyle w:val="TableDescription"/>
        <w:contextualSpacing/>
      </w:pPr>
      <w:r w:rsidRPr="005C06C0">
        <w:t>§</w:t>
      </w:r>
      <w:r>
        <w:t xml:space="preserve"> PAESS (LE4401)</w:t>
      </w:r>
    </w:p>
    <w:p w14:paraId="7F7672F9" w14:textId="3E828FF6" w:rsidR="005C06C0" w:rsidRDefault="005C06C0" w:rsidP="00507DF0">
      <w:pPr>
        <w:pStyle w:val="TableDescription"/>
        <w:contextualSpacing/>
      </w:pPr>
      <w:r w:rsidRPr="005C06C0">
        <w:t>‡</w:t>
      </w:r>
      <w:r>
        <w:t>Hepatic impairment study</w:t>
      </w:r>
    </w:p>
    <w:p w14:paraId="74A4F87F" w14:textId="3D7DC5D4" w:rsidR="00C22214" w:rsidRDefault="00C22214" w:rsidP="00C22214">
      <w:pPr>
        <w:pStyle w:val="Heading3"/>
      </w:pPr>
      <w:bookmarkStart w:id="45" w:name="_Toc203144795"/>
      <w:r>
        <w:t>Risk-benefit analysis</w:t>
      </w:r>
      <w:bookmarkEnd w:id="41"/>
      <w:bookmarkEnd w:id="42"/>
      <w:bookmarkEnd w:id="44"/>
      <w:bookmarkEnd w:id="45"/>
    </w:p>
    <w:p w14:paraId="77DE2655" w14:textId="77777777" w:rsidR="00C22214" w:rsidRDefault="00C22214" w:rsidP="00C22214">
      <w:pPr>
        <w:pStyle w:val="Heading4"/>
      </w:pPr>
      <w:bookmarkStart w:id="46" w:name="_Toc98931932"/>
      <w:bookmarkStart w:id="47" w:name="_Toc203144796"/>
      <w:r>
        <w:t>Delegate’s considerations</w:t>
      </w:r>
      <w:bookmarkEnd w:id="46"/>
      <w:bookmarkEnd w:id="47"/>
    </w:p>
    <w:p w14:paraId="6ADD5B00" w14:textId="77777777" w:rsidR="00EB44E8" w:rsidRDefault="00EB44E8" w:rsidP="00D56544">
      <w:r>
        <w:t>APDS is a very rare condition and the small number of patients in the clinical development program make conclusions about the safety and efficacy of treatment difficult to validate statistically. This is not an unusual situation for Regulators when considering data to support the registration of treatments for rare conditions, and large clinical studies are very unlikely to ever be conducted in APDS. Data for longer treatment timelines should become available but is limited in balancing losses from study with a low rate of recruiting new patients.</w:t>
      </w:r>
    </w:p>
    <w:p w14:paraId="1C764E8B" w14:textId="3FA0A87A" w:rsidR="00EB44E8" w:rsidRDefault="00EB44E8" w:rsidP="00D56544">
      <w:r>
        <w:t xml:space="preserve">The pivotal data in study 2201/2 and 2201/E1 provide evidence of a positive effect of </w:t>
      </w:r>
      <w:r w:rsidR="009844A5">
        <w:t>leniolisib</w:t>
      </w:r>
      <w:r>
        <w:t xml:space="preserve"> treatment on some pathological features of APDS. Treatment reduces lymphadenopathy and</w:t>
      </w:r>
      <w:r w:rsidR="005C06C0">
        <w:t xml:space="preserve"> </w:t>
      </w:r>
      <w:r>
        <w:t xml:space="preserve">improves the phenotype of circulating B-cells compared to placebo over 12 weeks. </w:t>
      </w:r>
      <w:r w:rsidR="008642AF">
        <w:t>The extension phase showed that the numerical improvements in global assessment endpoints were sustained over longer treatment, but did not significantly improve. A similar pattern of sustained, but not significantly improving, numerical improvement was observed for the SF-36 (physical and mental component) and the WPAI-CIQ (examining workplace or classroom impairment).</w:t>
      </w:r>
    </w:p>
    <w:p w14:paraId="38D8051D" w14:textId="50B2552F" w:rsidR="00FD205F" w:rsidRDefault="00EB44E8" w:rsidP="00D56544">
      <w:r w:rsidRPr="00D55F3E">
        <w:t xml:space="preserve">The major clinical improvements observed on </w:t>
      </w:r>
      <w:r w:rsidR="009844A5" w:rsidRPr="00D55F3E">
        <w:t>leniolisib</w:t>
      </w:r>
      <w:r w:rsidRPr="00D55F3E">
        <w:t xml:space="preserve"> treatment</w:t>
      </w:r>
      <w:r w:rsidR="00187E61" w:rsidRPr="00D55F3E">
        <w:t xml:space="preserve"> in the long term OLE study</w:t>
      </w:r>
      <w:r w:rsidRPr="00D55F3E">
        <w:t xml:space="preserve"> appear to be in qualitative symptoms such as fatigue (which is significant for </w:t>
      </w:r>
      <w:r w:rsidR="00055ED4" w:rsidRPr="00D55F3E">
        <w:t xml:space="preserve">activities of daily living, </w:t>
      </w:r>
      <w:r w:rsidRPr="00D55F3E">
        <w:t xml:space="preserve">work and employment) and GI symptoms. There is no good evidence that </w:t>
      </w:r>
      <w:r w:rsidR="009844A5" w:rsidRPr="00D55F3E">
        <w:t>leniolisib</w:t>
      </w:r>
      <w:r w:rsidRPr="00D55F3E">
        <w:t xml:space="preserve"> improves the rate of infections or malignancy</w:t>
      </w:r>
      <w:r>
        <w:t>, both of which are a significant component of the morbidity and mortality from APDS</w:t>
      </w:r>
      <w:r w:rsidR="004E3B9C">
        <w:t xml:space="preserve"> (t</w:t>
      </w:r>
      <w:r w:rsidR="00612C05">
        <w:t>he Sponsor</w:t>
      </w:r>
      <w:r w:rsidR="00426503">
        <w:t xml:space="preserve"> </w:t>
      </w:r>
      <w:r w:rsidR="004E3B9C">
        <w:t xml:space="preserve">will conduct </w:t>
      </w:r>
      <w:r w:rsidR="004E3B9C" w:rsidRPr="004E3B9C">
        <w:t xml:space="preserve">ongoing post-marketing surveillance to address </w:t>
      </w:r>
      <w:r w:rsidR="004E3B9C">
        <w:t xml:space="preserve">this </w:t>
      </w:r>
      <w:r w:rsidR="004E3B9C" w:rsidRPr="004E3B9C">
        <w:t>malignancy risk</w:t>
      </w:r>
      <w:r w:rsidR="004E3B9C">
        <w:t>).</w:t>
      </w:r>
      <w:r w:rsidR="00612C05">
        <w:t xml:space="preserve"> </w:t>
      </w:r>
      <w:r>
        <w:t>The Delegate notes, however, that these endpoints may never be reached in clinical trials for such a rare condition unless the effect of treatment is large enough to be compared to historical controls.</w:t>
      </w:r>
      <w:r w:rsidR="00FD205F">
        <w:t xml:space="preserve"> Improvements in clinical outcomes persisted for patients in the extension Study 2201E1. The B and T cell compartments continued to normalize, and lymphadenopathy and splenomegaly continued to resolve without an increase in antibiotic use. In addition, leniolisib reduced infections over time and reduced the use of IRT due to a sustained stabilization of the immune system. Patients also experienced clinical outcome improvements exceeding the thresholds for clinically meaningful changes.</w:t>
      </w:r>
    </w:p>
    <w:p w14:paraId="01AFEDDC" w14:textId="5248EF11" w:rsidR="00EB44E8" w:rsidRDefault="00FD205F" w:rsidP="00D56544">
      <w:r>
        <w:t>Long-term aspects of the natural history of APDS were reduced or absent in Study 2201E1 including no surgeries to treat lymphoproliferation or complications of infection</w:t>
      </w:r>
    </w:p>
    <w:p w14:paraId="4BE15B33" w14:textId="0BE4FDF0" w:rsidR="00EB44E8" w:rsidRDefault="00EB44E8" w:rsidP="00D56544">
      <w:r>
        <w:t xml:space="preserve">There is very little on which to base an analysis of the safety of </w:t>
      </w:r>
      <w:r w:rsidR="009844A5">
        <w:t>leniolisib</w:t>
      </w:r>
      <w:r w:rsidR="00FD205F">
        <w:t xml:space="preserve">, </w:t>
      </w:r>
      <w:r w:rsidR="00FD205F" w:rsidRPr="00FD205F">
        <w:t>which is to be expected in such a rare condition</w:t>
      </w:r>
      <w:r>
        <w:t xml:space="preserve">. The Delegate considers it likely that long term treatment will lead to the emergence of rarer adverse events associated with PI3Kδ inhibition in some patients. However, </w:t>
      </w:r>
      <w:r>
        <w:lastRenderedPageBreak/>
        <w:t xml:space="preserve">as noted, the rate of these events will be difficult to quantify given the low number of patients who will ever be exposed to </w:t>
      </w:r>
      <w:r w:rsidR="009844A5">
        <w:t>leniolisib</w:t>
      </w:r>
      <w:r>
        <w:t xml:space="preserve"> for APDS treatment and may only be known if </w:t>
      </w:r>
      <w:r w:rsidR="009844A5">
        <w:t>leniolisib</w:t>
      </w:r>
      <w:r>
        <w:t xml:space="preserve"> acquires a more common indication in the future. The Delegate, however, considers the safety of </w:t>
      </w:r>
      <w:r w:rsidR="009844A5">
        <w:t>leniolisib</w:t>
      </w:r>
      <w:r>
        <w:t xml:space="preserve"> to be acceptable in the context of APDS being an incurable, debilitating and life-threatening condition. </w:t>
      </w:r>
      <w:r w:rsidR="00B05990">
        <w:t>Certainly,</w:t>
      </w:r>
      <w:r>
        <w:t xml:space="preserve"> the alternative standard of care for APDS also has significant potential adverse treatment effects.</w:t>
      </w:r>
    </w:p>
    <w:p w14:paraId="3916F296" w14:textId="77777777" w:rsidR="00C22214" w:rsidRDefault="00C22214" w:rsidP="00C22214">
      <w:pPr>
        <w:pStyle w:val="Heading4"/>
      </w:pPr>
      <w:bookmarkStart w:id="48" w:name="_Toc98931933"/>
      <w:bookmarkStart w:id="49" w:name="_Toc203144797"/>
      <w:r w:rsidRPr="00D23139">
        <w:t>Proposed action</w:t>
      </w:r>
      <w:bookmarkEnd w:id="48"/>
      <w:bookmarkEnd w:id="49"/>
    </w:p>
    <w:p w14:paraId="17988864" w14:textId="511F19B2" w:rsidR="00EB44E8" w:rsidRPr="00EB44E8" w:rsidRDefault="00EB44E8" w:rsidP="00EB44E8">
      <w:r w:rsidRPr="00EB44E8">
        <w:t xml:space="preserve">The Delegate is currently minded to register </w:t>
      </w:r>
      <w:r w:rsidR="009844A5">
        <w:t>leniolisib</w:t>
      </w:r>
      <w:r w:rsidRPr="00EB44E8">
        <w:t xml:space="preserve"> for the treatment of activated phosphoinositide 3 kinase delta syndrome (APDS) in adults and adolescents 12 years of age and older weighing 45kg or more.</w:t>
      </w:r>
    </w:p>
    <w:p w14:paraId="318CFABC" w14:textId="77777777" w:rsidR="00C22214" w:rsidRPr="00F73346" w:rsidRDefault="00C22214" w:rsidP="00C22214">
      <w:pPr>
        <w:pStyle w:val="Heading4"/>
      </w:pPr>
      <w:bookmarkStart w:id="50" w:name="_Toc98931936"/>
      <w:bookmarkStart w:id="51" w:name="_Toc203144798"/>
      <w:bookmarkStart w:id="52" w:name="_Toc247691532"/>
      <w:bookmarkStart w:id="53" w:name="_Toc314842516"/>
      <w:r w:rsidRPr="00F73346">
        <w:t>Advisory Committee considerations</w:t>
      </w:r>
      <w:bookmarkEnd w:id="50"/>
      <w:bookmarkEnd w:id="51"/>
    </w:p>
    <w:p w14:paraId="087BB9CB" w14:textId="7E52664B" w:rsidR="00C22214" w:rsidRDefault="00C22214" w:rsidP="00C22214">
      <w:pPr>
        <w:rPr>
          <w:bCs/>
          <w:szCs w:val="22"/>
        </w:rPr>
      </w:pPr>
      <w:r w:rsidRPr="00BD5DBD">
        <w:rPr>
          <w:bCs/>
          <w:szCs w:val="22"/>
        </w:rPr>
        <w:t xml:space="preserve">The </w:t>
      </w:r>
      <w:hyperlink r:id="rId29" w:history="1">
        <w:r w:rsidRPr="00BD5DBD">
          <w:rPr>
            <w:rStyle w:val="Hyperlink"/>
            <w:szCs w:val="22"/>
          </w:rPr>
          <w:t>Advisory Committee on Medicines (ACM)</w:t>
        </w:r>
      </w:hyperlink>
      <w:r w:rsidRPr="00BD5DBD">
        <w:rPr>
          <w:color w:val="007099"/>
          <w:szCs w:val="22"/>
        </w:rPr>
        <w:t xml:space="preserve"> </w:t>
      </w:r>
      <w:r w:rsidRPr="00BD5DBD">
        <w:rPr>
          <w:bCs/>
          <w:szCs w:val="22"/>
        </w:rPr>
        <w:t>having considered the evaluations and the Delegate’s overview, as well as the sponsor’s response to these documents, advised the following</w:t>
      </w:r>
      <w:r w:rsidR="00BB6746">
        <w:rPr>
          <w:bCs/>
          <w:szCs w:val="22"/>
        </w:rPr>
        <w:t>:</w:t>
      </w:r>
    </w:p>
    <w:p w14:paraId="59A76C7D" w14:textId="26F71C06" w:rsidR="00A829F9" w:rsidRDefault="00A829F9" w:rsidP="002923D0">
      <w:pPr>
        <w:pStyle w:val="DelegatesQuestions"/>
      </w:pPr>
      <w:r w:rsidRPr="00A829F9">
        <w:t>Is the scale and kind of efficacy of leniolisib demonstrated for the treatment of APDS sufficient to support registration?</w:t>
      </w:r>
    </w:p>
    <w:p w14:paraId="41E8CB6D" w14:textId="77777777" w:rsidR="002923D0" w:rsidRPr="002923D0" w:rsidRDefault="002923D0" w:rsidP="002923D0">
      <w:pPr>
        <w:rPr>
          <w:bCs/>
          <w:szCs w:val="22"/>
        </w:rPr>
      </w:pPr>
      <w:r w:rsidRPr="002923D0">
        <w:rPr>
          <w:bCs/>
          <w:szCs w:val="22"/>
        </w:rPr>
        <w:t>The ACM advised that the efficacy of leniolisib was sufficient to support registration, with the data showing excellent short-term efficacy. There were clinically significant improvements in parameters such as immunodeficiency, lymphoproliferation and autoimmune features, which don’t normally respond to other treatment modalities.</w:t>
      </w:r>
    </w:p>
    <w:p w14:paraId="1AD0F927" w14:textId="77777777" w:rsidR="002923D0" w:rsidRPr="002923D0" w:rsidRDefault="002923D0" w:rsidP="002923D0">
      <w:pPr>
        <w:rPr>
          <w:bCs/>
          <w:szCs w:val="22"/>
        </w:rPr>
      </w:pPr>
      <w:r w:rsidRPr="002923D0">
        <w:rPr>
          <w:bCs/>
          <w:szCs w:val="22"/>
        </w:rPr>
        <w:t>The ACM noted that there was a trend toward similar outcomes for adults and adolescents.</w:t>
      </w:r>
    </w:p>
    <w:p w14:paraId="347A30C9" w14:textId="77777777" w:rsidR="002923D0" w:rsidRPr="002923D0" w:rsidRDefault="002923D0" w:rsidP="002923D0">
      <w:pPr>
        <w:rPr>
          <w:bCs/>
          <w:szCs w:val="22"/>
        </w:rPr>
      </w:pPr>
      <w:r w:rsidRPr="0046173D">
        <w:rPr>
          <w:bCs/>
          <w:szCs w:val="22"/>
        </w:rPr>
        <w:t>The ACM were uncertain if early treatment could lead to the prevention of long-term structural disease or malignancy.</w:t>
      </w:r>
    </w:p>
    <w:p w14:paraId="4EAE55E7" w14:textId="503E9C99" w:rsidR="002923D0" w:rsidRPr="002923D0" w:rsidRDefault="002923D0" w:rsidP="002923D0">
      <w:pPr>
        <w:pStyle w:val="DelegatesQuestions"/>
      </w:pPr>
      <w:r w:rsidRPr="002923D0">
        <w:t>Are there specific safety concerns for the treatment of APDS with leniolisib and, if so, are there specific regulatory actions recommended to address these?</w:t>
      </w:r>
    </w:p>
    <w:p w14:paraId="11225251" w14:textId="77777777" w:rsidR="002923D0" w:rsidRPr="002923D0" w:rsidRDefault="002923D0" w:rsidP="002923D0">
      <w:pPr>
        <w:rPr>
          <w:bCs/>
          <w:szCs w:val="22"/>
        </w:rPr>
      </w:pPr>
      <w:r w:rsidRPr="002923D0">
        <w:rPr>
          <w:bCs/>
          <w:szCs w:val="22"/>
        </w:rPr>
        <w:t>The ACM noted that the available data were encouraging and did not raise safety issues of concern with leniolisib treatment.</w:t>
      </w:r>
    </w:p>
    <w:p w14:paraId="6CBCA745" w14:textId="77777777" w:rsidR="002923D0" w:rsidRPr="002923D0" w:rsidRDefault="002923D0" w:rsidP="002923D0">
      <w:pPr>
        <w:rPr>
          <w:bCs/>
          <w:szCs w:val="22"/>
        </w:rPr>
      </w:pPr>
      <w:r w:rsidRPr="002923D0">
        <w:rPr>
          <w:bCs/>
          <w:szCs w:val="22"/>
        </w:rPr>
        <w:t>The ACM highlighted the small numbers of patients in the studies, noting that treatment emergent adverse events may become more apparent in time. The ACM was of the view that due to the ultra-rare nature of APDS, larger datasets would be difficult to acquire.</w:t>
      </w:r>
    </w:p>
    <w:p w14:paraId="1C69E49A" w14:textId="77777777" w:rsidR="002923D0" w:rsidRPr="002923D0" w:rsidRDefault="002923D0" w:rsidP="002923D0">
      <w:pPr>
        <w:rPr>
          <w:bCs/>
          <w:szCs w:val="22"/>
        </w:rPr>
      </w:pPr>
      <w:r w:rsidRPr="002923D0">
        <w:rPr>
          <w:bCs/>
          <w:szCs w:val="22"/>
        </w:rPr>
        <w:t>The ACM noted that, due to leniolisib’s mechanism of action (highly targeted to the aberrant protein), the drug is less likely to cause notable safety issues.</w:t>
      </w:r>
    </w:p>
    <w:p w14:paraId="25739607" w14:textId="77777777" w:rsidR="002923D0" w:rsidRPr="002923D0" w:rsidRDefault="002923D0" w:rsidP="002923D0">
      <w:pPr>
        <w:rPr>
          <w:bCs/>
          <w:szCs w:val="22"/>
        </w:rPr>
      </w:pPr>
      <w:r w:rsidRPr="002923D0">
        <w:rPr>
          <w:bCs/>
          <w:szCs w:val="22"/>
        </w:rPr>
        <w:t>The ACM advised that ongoing pharmacovigilance regarding adverse effects would be beneficial, especially following long term use, acknowledging the limited duration of follow up, including placebo-controlled follow-up</w:t>
      </w:r>
    </w:p>
    <w:p w14:paraId="5E4F5937" w14:textId="77777777" w:rsidR="002923D0" w:rsidRPr="002923D0" w:rsidRDefault="002923D0" w:rsidP="002923D0">
      <w:pPr>
        <w:rPr>
          <w:bCs/>
          <w:szCs w:val="22"/>
        </w:rPr>
      </w:pPr>
      <w:r w:rsidRPr="002923D0">
        <w:rPr>
          <w:bCs/>
          <w:szCs w:val="22"/>
        </w:rPr>
        <w:t>The ACM discussed the relevance of having a 45kg weight restriction in the proposed indication for treatment. The ACM noted that many patients with APDS struggle to gain and maintain weight, and that patients with a lower body weight tend to have increased symptoms. The ACM expressed concern that the clinical studies had an exclusion criterion for patients with a body weight of less than 45kg. The ACM supported not having a weight restriction in the proposed indication for leniolisib, as this could disadvantage patients with low body weight, including adolescents.</w:t>
      </w:r>
    </w:p>
    <w:p w14:paraId="251E888C" w14:textId="7E75F5D2" w:rsidR="002923D0" w:rsidRPr="002923D0" w:rsidRDefault="002923D0" w:rsidP="002923D0">
      <w:pPr>
        <w:rPr>
          <w:bCs/>
          <w:szCs w:val="22"/>
        </w:rPr>
      </w:pPr>
      <w:r w:rsidRPr="002923D0">
        <w:rPr>
          <w:bCs/>
          <w:szCs w:val="22"/>
        </w:rPr>
        <w:lastRenderedPageBreak/>
        <w:t>The ACM also highlighted the importance of an accurate diagnosis of APDS and advised that a finding of a ‘Pathogenic’ or ‘Likely Pathogenic’ variant in an APDS-associated gene, through a National Association of Testing Authorities</w:t>
      </w:r>
      <w:r w:rsidR="00351670">
        <w:rPr>
          <w:bCs/>
          <w:szCs w:val="22"/>
        </w:rPr>
        <w:t xml:space="preserve"> </w:t>
      </w:r>
      <w:r w:rsidRPr="002923D0">
        <w:rPr>
          <w:bCs/>
          <w:szCs w:val="22"/>
        </w:rPr>
        <w:t>accredited laboratory, be included in the proposed PI.</w:t>
      </w:r>
    </w:p>
    <w:p w14:paraId="1D82134E" w14:textId="77777777" w:rsidR="002923D0" w:rsidRPr="002923D0" w:rsidRDefault="002923D0" w:rsidP="002923D0">
      <w:pPr>
        <w:pStyle w:val="Heading5"/>
      </w:pPr>
      <w:r w:rsidRPr="002923D0">
        <w:t>ACM conclusion</w:t>
      </w:r>
    </w:p>
    <w:p w14:paraId="222B56BA" w14:textId="77777777" w:rsidR="002923D0" w:rsidRPr="002923D0" w:rsidRDefault="002923D0" w:rsidP="002923D0">
      <w:pPr>
        <w:rPr>
          <w:bCs/>
          <w:szCs w:val="22"/>
        </w:rPr>
      </w:pPr>
      <w:r w:rsidRPr="002923D0">
        <w:rPr>
          <w:bCs/>
          <w:szCs w:val="22"/>
        </w:rPr>
        <w:t>The ACM considered this product to have an overall positive benefit-risk profile for the indication:</w:t>
      </w:r>
    </w:p>
    <w:p w14:paraId="75599E49" w14:textId="4A41C6DE" w:rsidR="002923D0" w:rsidRPr="00BD5DBD" w:rsidRDefault="002923D0" w:rsidP="002923D0">
      <w:pPr>
        <w:rPr>
          <w:bCs/>
          <w:szCs w:val="22"/>
        </w:rPr>
      </w:pPr>
      <w:r w:rsidRPr="002923D0">
        <w:rPr>
          <w:bCs/>
          <w:szCs w:val="22"/>
        </w:rPr>
        <w:t>For treatment of severe manifestations of APDS in adults and adolescents 12 years of age and older confirmed to have APDS and being treated by a clinical immunologist.</w:t>
      </w:r>
    </w:p>
    <w:p w14:paraId="307F236C" w14:textId="5BA0D35D" w:rsidR="00C22214" w:rsidRPr="002E238E" w:rsidRDefault="0046285C" w:rsidP="00C22214">
      <w:pPr>
        <w:pStyle w:val="Heading2"/>
      </w:pPr>
      <w:bookmarkStart w:id="54" w:name="_Toc103679300"/>
      <w:bookmarkStart w:id="55" w:name="_Toc203144799"/>
      <w:r>
        <w:t>Assessment</w:t>
      </w:r>
      <w:r w:rsidR="00190853">
        <w:t xml:space="preserve"> </w:t>
      </w:r>
      <w:r>
        <w:t>o</w:t>
      </w:r>
      <w:r w:rsidR="00C22214">
        <w:t>utcome</w:t>
      </w:r>
      <w:bookmarkEnd w:id="52"/>
      <w:bookmarkEnd w:id="53"/>
      <w:bookmarkEnd w:id="54"/>
      <w:bookmarkEnd w:id="55"/>
    </w:p>
    <w:p w14:paraId="4EF22939" w14:textId="30316565"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2923D0" w:rsidRPr="002923D0">
        <w:t xml:space="preserve">JOENJA </w:t>
      </w:r>
      <w:r w:rsidR="002923D0">
        <w:t>(</w:t>
      </w:r>
      <w:r w:rsidR="002923D0" w:rsidRPr="002923D0">
        <w:t>leniolisib</w:t>
      </w:r>
      <w:r w:rsidR="002923D0">
        <w:t>)</w:t>
      </w:r>
      <w:r w:rsidRPr="0017005C">
        <w:t xml:space="preserve"> for the following indication</w:t>
      </w:r>
      <w:r w:rsidR="00D23D3E">
        <w:t>:</w:t>
      </w:r>
    </w:p>
    <w:p w14:paraId="0CF1737B" w14:textId="304D2C48" w:rsidR="00696626" w:rsidRPr="0017005C" w:rsidRDefault="00696626" w:rsidP="00696626">
      <w:pPr>
        <w:pStyle w:val="Indication"/>
      </w:pPr>
      <w:r w:rsidRPr="00696626">
        <w:t>JOENJA is indicated for the treatment of activated phosphoinositide 3-kinase delta syndrome (APDS) in adults and adolescents 12 years of age and older.</w:t>
      </w:r>
    </w:p>
    <w:p w14:paraId="0D732DA4" w14:textId="4AE9D6F3" w:rsidR="00854D98" w:rsidRDefault="00854D98" w:rsidP="008B3B9D">
      <w:pPr>
        <w:pStyle w:val="Heading4"/>
      </w:pPr>
      <w:bookmarkStart w:id="56" w:name="_Toc203144800"/>
      <w:bookmarkStart w:id="57" w:name="_Toc103679301"/>
      <w:r w:rsidRPr="00D23139">
        <w:t>Specific conditions of registration</w:t>
      </w:r>
      <w:bookmarkEnd w:id="56"/>
      <w:r w:rsidRPr="00D23139">
        <w:t xml:space="preserve"> </w:t>
      </w:r>
      <w:bookmarkEnd w:id="57"/>
    </w:p>
    <w:p w14:paraId="3FFA413C" w14:textId="6D30826E" w:rsidR="002962C2" w:rsidRDefault="002962C2" w:rsidP="002962C2">
      <w:r>
        <w:t>JOENJA (leniolisib) is to be included in the Black Triangle Scheme. The PI and CMI for JOENJA must include the black triangle symbol and mandatory accompanying text for five years, which starts from the date of first supply of the product.</w:t>
      </w:r>
    </w:p>
    <w:p w14:paraId="2AC9364A" w14:textId="21F1A68B" w:rsidR="002962C2" w:rsidRDefault="002962C2" w:rsidP="002962C2">
      <w:r>
        <w:t>The JOENJA EU-Risk Management Plan (RMP) (version 0.3, dated 4 October 2023, data lock point 19 July 2023), with Australian Specific Annex (version 0.3, dated 17 November 2023), included with submission PM-2023-03256-1-2, and any subsequent revisions, as agreed with the TGA will be implemented in Australia.</w:t>
      </w:r>
    </w:p>
    <w:p w14:paraId="66FD4C54" w14:textId="77777777" w:rsidR="002962C2" w:rsidRDefault="002962C2" w:rsidP="002962C2">
      <w:r>
        <w:t>An obligatory component of risk management plans is routine pharmacovigilance. Routine pharmacovigilance includes the submission of periodic safety update reports (PSURs).</w:t>
      </w:r>
    </w:p>
    <w:p w14:paraId="574644FE" w14:textId="4DE7F8A1" w:rsidR="002962C2" w:rsidRDefault="002962C2" w:rsidP="002962C2">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3DD1B950" w14:textId="77777777" w:rsidR="002962C2" w:rsidRDefault="002962C2" w:rsidP="002962C2">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31BF0143" w14:textId="77777777" w:rsidR="002962C2" w:rsidRDefault="002962C2" w:rsidP="002962C2">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3C4EB513" w14:textId="2F290AE6" w:rsidR="002962C2" w:rsidRPr="002962C2" w:rsidRDefault="002962C2" w:rsidP="002962C2">
      <w:r>
        <w:lastRenderedPageBreak/>
        <w:t>The Sponsor must submit a post-approval variation application with the TGA to redefine the regulatory starting materials as PH-D4, D5-OH and PH-D9 and to add the new active material manufacturing site by 30 June 2026.</w:t>
      </w:r>
    </w:p>
    <w:p w14:paraId="0F9C1952" w14:textId="597561E2" w:rsidR="00BA657C" w:rsidRPr="00BA657C" w:rsidRDefault="00BA657C" w:rsidP="00D56544">
      <w:pPr>
        <w:pStyle w:val="Heading2"/>
      </w:pPr>
      <w:bookmarkStart w:id="58" w:name="_Toc196738290"/>
      <w:bookmarkStart w:id="59" w:name="_Toc203144801"/>
      <w:r w:rsidRPr="00BA657C">
        <w:t>Product Information and Consumer Medicines Information</w:t>
      </w:r>
      <w:bookmarkEnd w:id="58"/>
      <w:bookmarkEnd w:id="59"/>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30" w:history="1">
        <w:r w:rsidRPr="004D0933">
          <w:rPr>
            <w:rStyle w:val="Hyperlink"/>
          </w:rPr>
          <w:t>PI/CMI search facility.</w:t>
        </w:r>
      </w:hyperlink>
    </w:p>
    <w:p w14:paraId="53357BF3" w14:textId="0EBE2C07" w:rsidR="00F24F79" w:rsidRPr="00F24F79" w:rsidRDefault="00F24F79" w:rsidP="00F24F79">
      <w:pPr>
        <w:tabs>
          <w:tab w:val="center" w:pos="4535"/>
        </w:tabs>
        <w:rPr>
          <w:lang w:eastAsia="ja-JP"/>
        </w:rPr>
        <w:sectPr w:rsidR="00F24F79" w:rsidRPr="00F24F79" w:rsidSect="007452E8">
          <w:headerReference w:type="default" r:id="rId31"/>
          <w:footerReference w:type="default" r:id="rId32"/>
          <w:pgSz w:w="11906" w:h="16838" w:code="9"/>
          <w:pgMar w:top="1134" w:right="1418" w:bottom="1361" w:left="1418" w:header="573" w:footer="567" w:gutter="0"/>
          <w:cols w:space="708"/>
          <w:docGrid w:linePitch="360"/>
        </w:sectPr>
      </w:pPr>
      <w:r>
        <w:rPr>
          <w:lang w:eastAsia="ja-JP"/>
        </w:rPr>
        <w:tab/>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5B1E05" w14:paraId="3C0C07BF" w14:textId="77777777" w:rsidTr="007452E8">
        <w:trPr>
          <w:trHeight w:hRule="exact" w:val="565"/>
          <w:jc w:val="center"/>
        </w:trPr>
        <w:tc>
          <w:tcPr>
            <w:tcW w:w="9145" w:type="dxa"/>
          </w:tcPr>
          <w:bookmarkEnd w:id="3"/>
          <w:bookmarkEnd w:id="4"/>
          <w:p w14:paraId="7E090B86" w14:textId="77777777" w:rsidR="00F02AEC" w:rsidRPr="005B1E05" w:rsidRDefault="00F02AEC" w:rsidP="007452E8">
            <w:pPr>
              <w:pStyle w:val="TGASignoff"/>
              <w:rPr>
                <w:rFonts w:cs="Arial"/>
              </w:rPr>
            </w:pPr>
            <w:r w:rsidRPr="005B1E05">
              <w:rPr>
                <w:rFonts w:cs="Arial"/>
              </w:rPr>
              <w:lastRenderedPageBreak/>
              <w:t>Therapeutic Goods Administration</w:t>
            </w:r>
          </w:p>
        </w:tc>
      </w:tr>
      <w:tr w:rsidR="00F02AEC" w:rsidRPr="005B1E05" w14:paraId="70F47EA1" w14:textId="77777777" w:rsidTr="007452E8">
        <w:trPr>
          <w:trHeight w:val="963"/>
          <w:jc w:val="center"/>
        </w:trPr>
        <w:tc>
          <w:tcPr>
            <w:tcW w:w="9145" w:type="dxa"/>
            <w:tcMar>
              <w:top w:w="28" w:type="dxa"/>
            </w:tcMar>
          </w:tcPr>
          <w:p w14:paraId="3491EBCD" w14:textId="77777777" w:rsidR="00F02AEC" w:rsidRPr="005B1E05" w:rsidRDefault="00F02AEC" w:rsidP="007452E8">
            <w:pPr>
              <w:pStyle w:val="Address"/>
              <w:jc w:val="center"/>
              <w:rPr>
                <w:rFonts w:cs="Arial"/>
              </w:rPr>
            </w:pPr>
            <w:r w:rsidRPr="005B1E05">
              <w:rPr>
                <w:rFonts w:cs="Arial"/>
              </w:rPr>
              <w:t>PO Box 100 Woden ACT 2606 Australia</w:t>
            </w:r>
          </w:p>
          <w:p w14:paraId="5D0FE0E7" w14:textId="53CB9479" w:rsidR="00F02AEC" w:rsidRPr="005B1E05" w:rsidRDefault="00F02AEC">
            <w:pPr>
              <w:pStyle w:val="Address"/>
              <w:jc w:val="center"/>
              <w:rPr>
                <w:rFonts w:cs="Arial"/>
                <w:sz w:val="22"/>
                <w:szCs w:val="22"/>
              </w:rPr>
            </w:pPr>
            <w:r w:rsidRPr="005B1E05">
              <w:rPr>
                <w:rFonts w:cs="Arial"/>
              </w:rPr>
              <w:t xml:space="preserve">Email: </w:t>
            </w:r>
            <w:hyperlink r:id="rId33" w:history="1">
              <w:r w:rsidRPr="005B1E05">
                <w:rPr>
                  <w:rStyle w:val="Hyperlink"/>
                  <w:rFonts w:ascii="Arial" w:hAnsi="Arial" w:cs="Arial"/>
                </w:rPr>
                <w:t>info@tga.gov.au</w:t>
              </w:r>
            </w:hyperlink>
            <w:r w:rsidRPr="005B1E05">
              <w:rPr>
                <w:rFonts w:cs="Arial"/>
              </w:rPr>
              <w:t xml:space="preserve">  Phone: 1800 020 653  Fax: 02 6203 1605</w:t>
            </w:r>
          </w:p>
          <w:p w14:paraId="4533D80F" w14:textId="1519D7A3" w:rsidR="00F02AEC" w:rsidRPr="00D56544" w:rsidRDefault="00F02AEC">
            <w:pPr>
              <w:pStyle w:val="Address"/>
              <w:jc w:val="center"/>
              <w:rPr>
                <w:rStyle w:val="Hyperlink"/>
                <w:rFonts w:ascii="Arial" w:hAnsi="Arial" w:cs="Arial"/>
                <w:color w:val="auto"/>
                <w:sz w:val="22"/>
              </w:rPr>
            </w:pPr>
            <w:hyperlink r:id="rId34" w:history="1">
              <w:r w:rsidRPr="00D56544">
                <w:rPr>
                  <w:rStyle w:val="Hyperlink"/>
                  <w:rFonts w:ascii="Arial" w:hAnsi="Arial" w:cs="Arial"/>
                </w:rPr>
                <w:t>https://www.tga.gov.au</w:t>
              </w:r>
            </w:hyperlink>
          </w:p>
        </w:tc>
      </w:tr>
    </w:tbl>
    <w:p w14:paraId="788B80FD" w14:textId="77777777" w:rsidR="007452E8" w:rsidRDefault="007452E8" w:rsidP="00D56544"/>
    <w:sectPr w:rsidR="007452E8" w:rsidSect="007452E8">
      <w:headerReference w:type="first" r:id="rId35"/>
      <w:footerReference w:type="first" r:id="rId3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63703" w14:textId="77777777" w:rsidR="00214C00" w:rsidRDefault="00214C00" w:rsidP="00F02AEC">
      <w:pPr>
        <w:spacing w:after="0" w:line="240" w:lineRule="auto"/>
      </w:pPr>
      <w:r>
        <w:separator/>
      </w:r>
    </w:p>
  </w:endnote>
  <w:endnote w:type="continuationSeparator" w:id="0">
    <w:p w14:paraId="47417F2C" w14:textId="77777777" w:rsidR="00214C00" w:rsidRDefault="00214C0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E8B2C6A" w:rsidR="007452E8" w:rsidRPr="004A3084" w:rsidRDefault="007452E8" w:rsidP="007452E8">
          <w:pPr>
            <w:pStyle w:val="Footer"/>
          </w:pPr>
          <w:r w:rsidRPr="00487162">
            <w:t>AusPA</w:t>
          </w:r>
          <w:r>
            <w:t xml:space="preserve">R - </w:t>
          </w:r>
          <w:r w:rsidR="004B143A" w:rsidRPr="004B143A">
            <w:t>JOENJA - leniolisib - Ballia Holdings Pty Ltd - PM-2023-03256-1-2</w:t>
          </w:r>
          <w:r w:rsidR="000276CD">
            <w:t xml:space="preserve"> – Type A </w:t>
          </w:r>
          <w:r>
            <w:br/>
          </w:r>
          <w:r w:rsidRPr="00AA1B5A">
            <w:t>Date of Finalisation</w:t>
          </w:r>
          <w:r w:rsidR="00AA1B5A">
            <w:t>: 11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3BE526C8" w14:textId="77777777" w:rsidR="00F24F79" w:rsidRDefault="00F24F79" w:rsidP="00441E0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8FAA6" w14:textId="77777777" w:rsidR="00214C00" w:rsidRDefault="00214C00" w:rsidP="00F02AEC">
      <w:pPr>
        <w:spacing w:after="0" w:line="240" w:lineRule="auto"/>
      </w:pPr>
      <w:r>
        <w:separator/>
      </w:r>
    </w:p>
  </w:footnote>
  <w:footnote w:type="continuationSeparator" w:id="0">
    <w:p w14:paraId="725014D8" w14:textId="77777777" w:rsidR="00214C00" w:rsidRDefault="00214C00" w:rsidP="00F02AEC">
      <w:pPr>
        <w:spacing w:after="0" w:line="240" w:lineRule="auto"/>
      </w:pPr>
      <w:r>
        <w:continuationSeparator/>
      </w:r>
    </w:p>
  </w:footnote>
  <w:footnote w:id="1">
    <w:p w14:paraId="28487D52" w14:textId="42BC827B" w:rsidR="007E50E2" w:rsidRDefault="007E50E2">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2">
    <w:p w14:paraId="370DAA6F" w14:textId="2CFF1617" w:rsidR="00723AE4" w:rsidRDefault="00723AE4">
      <w:pPr>
        <w:pStyle w:val="FootnoteText"/>
      </w:pPr>
      <w:r>
        <w:rPr>
          <w:rStyle w:val="FootnoteReference"/>
        </w:rPr>
        <w:footnoteRef/>
      </w:r>
      <w:r>
        <w:t xml:space="preserve"> </w:t>
      </w:r>
      <w:r w:rsidRPr="00723AE4">
        <w:t>Singh, A, Joshi, B, Kumar, A, An updated review on activated PI3 kinase delta syndrome (APDS), Genes and Diseases, 7 (2020)</w:t>
      </w:r>
    </w:p>
  </w:footnote>
  <w:footnote w:id="3">
    <w:p w14:paraId="7952857D" w14:textId="3FA24A4F" w:rsidR="003F012D" w:rsidRDefault="003F012D">
      <w:pPr>
        <w:pStyle w:val="FootnoteText"/>
      </w:pPr>
      <w:r>
        <w:rPr>
          <w:rStyle w:val="FootnoteReference"/>
        </w:rPr>
        <w:footnoteRef/>
      </w:r>
      <w:r>
        <w:t xml:space="preserve"> </w:t>
      </w:r>
      <w:r w:rsidRPr="003F012D">
        <w:t>Hanson, J, Bonnen, P, Systematic review of morality and survival rates for APDS, Clin Exp Med 24 (2024)</w:t>
      </w:r>
    </w:p>
  </w:footnote>
  <w:footnote w:id="4">
    <w:p w14:paraId="5460E2D9" w14:textId="63B73A10" w:rsidR="00155AB2" w:rsidRDefault="00155AB2">
      <w:pPr>
        <w:pStyle w:val="FootnoteText"/>
      </w:pPr>
      <w:r>
        <w:rPr>
          <w:rStyle w:val="FootnoteReference"/>
        </w:rPr>
        <w:footnoteRef/>
      </w:r>
      <w:r>
        <w:t xml:space="preserve">Evaluators are </w:t>
      </w:r>
      <w:r w:rsidRPr="00155AB2">
        <w:t>TGA experts, or external experts engaged by the TGA, that assess the safety, quality, and efficacy of therapeutic goods before they can be registered and supplied in Australia.</w:t>
      </w:r>
    </w:p>
  </w:footnote>
  <w:footnote w:id="5">
    <w:p w14:paraId="6F7C7AA4" w14:textId="532DC726" w:rsidR="00375677" w:rsidRDefault="00375677">
      <w:pPr>
        <w:pStyle w:val="FootnoteText"/>
      </w:pPr>
      <w:r>
        <w:rPr>
          <w:rStyle w:val="FootnoteReference"/>
        </w:rPr>
        <w:footnoteRef/>
      </w:r>
      <w:r>
        <w:t xml:space="preserve"> A </w:t>
      </w:r>
      <w:r w:rsidRPr="00375677">
        <w:t>"</w:t>
      </w:r>
      <w:r w:rsidR="00F01506">
        <w:t>D</w:t>
      </w:r>
      <w:r w:rsidRPr="00375677">
        <w:t xml:space="preserve">elegate" refers to a person within the TGA who has been </w:t>
      </w:r>
      <w:r>
        <w:t>conferred</w:t>
      </w:r>
      <w:r w:rsidRPr="00375677">
        <w:t xml:space="preserve"> the authority to make decisions about the approval of therapeutic goods for supply in Australia, under section 25 of the Therapeutic Goods Act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AA19E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AFBC" w14:textId="59EE0E69" w:rsidR="00F24F79" w:rsidRDefault="007452E8" w:rsidP="007B14B4">
    <w:pPr>
      <w:pStyle w:val="Header"/>
    </w:pPr>
    <w:r w:rsidRPr="000F5176">
      <w:t>Therapeutic Goods Administrati</w:t>
    </w:r>
    <w:r w:rsidR="005B1E05">
      <w:t>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D7553"/>
    <w:multiLevelType w:val="multilevel"/>
    <w:tmpl w:val="71288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0"/>
  </w:num>
  <w:num w:numId="5" w16cid:durableId="1652950129">
    <w:abstractNumId w:val="6"/>
  </w:num>
  <w:num w:numId="6" w16cid:durableId="1053193207">
    <w:abstractNumId w:val="8"/>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2"/>
  </w:num>
  <w:num w:numId="10" w16cid:durableId="2108043357">
    <w:abstractNumId w:val="5"/>
  </w:num>
  <w:num w:numId="11" w16cid:durableId="1725904230">
    <w:abstractNumId w:val="7"/>
  </w:num>
  <w:num w:numId="12" w16cid:durableId="141579354">
    <w:abstractNumId w:val="11"/>
  </w:num>
  <w:num w:numId="13" w16cid:durableId="283735081">
    <w:abstractNumId w:val="12"/>
  </w:num>
  <w:num w:numId="14" w16cid:durableId="4587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FC8"/>
    <w:rsid w:val="0001064C"/>
    <w:rsid w:val="00010D9A"/>
    <w:rsid w:val="0001384A"/>
    <w:rsid w:val="00014D51"/>
    <w:rsid w:val="00017CE5"/>
    <w:rsid w:val="00021C13"/>
    <w:rsid w:val="000276CD"/>
    <w:rsid w:val="00032A0F"/>
    <w:rsid w:val="000354EC"/>
    <w:rsid w:val="00040D8D"/>
    <w:rsid w:val="00046423"/>
    <w:rsid w:val="00046C03"/>
    <w:rsid w:val="00047212"/>
    <w:rsid w:val="000477F5"/>
    <w:rsid w:val="00054A1A"/>
    <w:rsid w:val="00055ED4"/>
    <w:rsid w:val="00060AB1"/>
    <w:rsid w:val="0006104E"/>
    <w:rsid w:val="000640BD"/>
    <w:rsid w:val="00065839"/>
    <w:rsid w:val="00065FDF"/>
    <w:rsid w:val="0006693A"/>
    <w:rsid w:val="00071E94"/>
    <w:rsid w:val="00076520"/>
    <w:rsid w:val="00077844"/>
    <w:rsid w:val="00083763"/>
    <w:rsid w:val="00090510"/>
    <w:rsid w:val="00090FDF"/>
    <w:rsid w:val="000917AE"/>
    <w:rsid w:val="00094B81"/>
    <w:rsid w:val="00095C6A"/>
    <w:rsid w:val="000975AA"/>
    <w:rsid w:val="000B153F"/>
    <w:rsid w:val="000B6B15"/>
    <w:rsid w:val="000C0517"/>
    <w:rsid w:val="000C25A7"/>
    <w:rsid w:val="000D3458"/>
    <w:rsid w:val="000D5FA4"/>
    <w:rsid w:val="000D78EC"/>
    <w:rsid w:val="000D7934"/>
    <w:rsid w:val="000E2434"/>
    <w:rsid w:val="000E2597"/>
    <w:rsid w:val="000E504E"/>
    <w:rsid w:val="000E6746"/>
    <w:rsid w:val="000F4475"/>
    <w:rsid w:val="000F7B51"/>
    <w:rsid w:val="00101BEE"/>
    <w:rsid w:val="00101CE6"/>
    <w:rsid w:val="00101FB1"/>
    <w:rsid w:val="0010558A"/>
    <w:rsid w:val="001101FF"/>
    <w:rsid w:val="00111989"/>
    <w:rsid w:val="00113F9F"/>
    <w:rsid w:val="00114025"/>
    <w:rsid w:val="001236B4"/>
    <w:rsid w:val="00124703"/>
    <w:rsid w:val="0012473C"/>
    <w:rsid w:val="00127A74"/>
    <w:rsid w:val="0013132F"/>
    <w:rsid w:val="00131B1B"/>
    <w:rsid w:val="0013306D"/>
    <w:rsid w:val="00133F91"/>
    <w:rsid w:val="0013528C"/>
    <w:rsid w:val="001372EE"/>
    <w:rsid w:val="00143FB8"/>
    <w:rsid w:val="001442A2"/>
    <w:rsid w:val="001468CA"/>
    <w:rsid w:val="001500A8"/>
    <w:rsid w:val="00151032"/>
    <w:rsid w:val="00155AB2"/>
    <w:rsid w:val="00155D85"/>
    <w:rsid w:val="00156ED4"/>
    <w:rsid w:val="00162A82"/>
    <w:rsid w:val="001659BE"/>
    <w:rsid w:val="00165D28"/>
    <w:rsid w:val="0017005C"/>
    <w:rsid w:val="00175CD8"/>
    <w:rsid w:val="001768BE"/>
    <w:rsid w:val="00182BD8"/>
    <w:rsid w:val="00183A66"/>
    <w:rsid w:val="00185646"/>
    <w:rsid w:val="00187637"/>
    <w:rsid w:val="00187E61"/>
    <w:rsid w:val="00190853"/>
    <w:rsid w:val="001961E0"/>
    <w:rsid w:val="00197138"/>
    <w:rsid w:val="001A4208"/>
    <w:rsid w:val="001A716C"/>
    <w:rsid w:val="001A76F9"/>
    <w:rsid w:val="001B06FF"/>
    <w:rsid w:val="001B1703"/>
    <w:rsid w:val="001B1CA8"/>
    <w:rsid w:val="001B5CA6"/>
    <w:rsid w:val="001C1C2E"/>
    <w:rsid w:val="001C31A1"/>
    <w:rsid w:val="001C3FA2"/>
    <w:rsid w:val="001C5EE2"/>
    <w:rsid w:val="001C7CC0"/>
    <w:rsid w:val="001D0077"/>
    <w:rsid w:val="001E2E7E"/>
    <w:rsid w:val="001E407B"/>
    <w:rsid w:val="001E7FC6"/>
    <w:rsid w:val="001F2502"/>
    <w:rsid w:val="001F6EE3"/>
    <w:rsid w:val="001F70A5"/>
    <w:rsid w:val="002004E7"/>
    <w:rsid w:val="0020235D"/>
    <w:rsid w:val="00202C75"/>
    <w:rsid w:val="0020369B"/>
    <w:rsid w:val="0020540B"/>
    <w:rsid w:val="00207B4D"/>
    <w:rsid w:val="0021007C"/>
    <w:rsid w:val="00210F9B"/>
    <w:rsid w:val="002117B1"/>
    <w:rsid w:val="00214C00"/>
    <w:rsid w:val="00217CCE"/>
    <w:rsid w:val="002203B1"/>
    <w:rsid w:val="002227C6"/>
    <w:rsid w:val="00226F39"/>
    <w:rsid w:val="002334AD"/>
    <w:rsid w:val="00241B60"/>
    <w:rsid w:val="00242C59"/>
    <w:rsid w:val="00254437"/>
    <w:rsid w:val="00256193"/>
    <w:rsid w:val="0025785B"/>
    <w:rsid w:val="00257969"/>
    <w:rsid w:val="00261BD8"/>
    <w:rsid w:val="00264B66"/>
    <w:rsid w:val="00265CD1"/>
    <w:rsid w:val="00280048"/>
    <w:rsid w:val="0028489E"/>
    <w:rsid w:val="002848DE"/>
    <w:rsid w:val="00286C95"/>
    <w:rsid w:val="0028794E"/>
    <w:rsid w:val="002923D0"/>
    <w:rsid w:val="00295E4D"/>
    <w:rsid w:val="002962C2"/>
    <w:rsid w:val="0029733B"/>
    <w:rsid w:val="002A44FC"/>
    <w:rsid w:val="002A5841"/>
    <w:rsid w:val="002B1EDF"/>
    <w:rsid w:val="002B2061"/>
    <w:rsid w:val="002B3811"/>
    <w:rsid w:val="002C1232"/>
    <w:rsid w:val="002C1E44"/>
    <w:rsid w:val="002C5B12"/>
    <w:rsid w:val="002C5C92"/>
    <w:rsid w:val="002C5E29"/>
    <w:rsid w:val="002D0478"/>
    <w:rsid w:val="002D7127"/>
    <w:rsid w:val="002E6235"/>
    <w:rsid w:val="002F00EC"/>
    <w:rsid w:val="002F0B4F"/>
    <w:rsid w:val="002F116C"/>
    <w:rsid w:val="002F599E"/>
    <w:rsid w:val="003008D8"/>
    <w:rsid w:val="00301D9A"/>
    <w:rsid w:val="00303959"/>
    <w:rsid w:val="00306E72"/>
    <w:rsid w:val="00310BEB"/>
    <w:rsid w:val="00312AC3"/>
    <w:rsid w:val="00314430"/>
    <w:rsid w:val="003163BC"/>
    <w:rsid w:val="00317CE3"/>
    <w:rsid w:val="003212D9"/>
    <w:rsid w:val="003221E4"/>
    <w:rsid w:val="0032351A"/>
    <w:rsid w:val="00324B33"/>
    <w:rsid w:val="0032633D"/>
    <w:rsid w:val="00327488"/>
    <w:rsid w:val="0033169F"/>
    <w:rsid w:val="00336FE1"/>
    <w:rsid w:val="00342D56"/>
    <w:rsid w:val="003456E7"/>
    <w:rsid w:val="00346EC2"/>
    <w:rsid w:val="003477F9"/>
    <w:rsid w:val="00347EBD"/>
    <w:rsid w:val="00351670"/>
    <w:rsid w:val="0035227F"/>
    <w:rsid w:val="0035444D"/>
    <w:rsid w:val="00356D62"/>
    <w:rsid w:val="00363EE3"/>
    <w:rsid w:val="00367C0E"/>
    <w:rsid w:val="003735F3"/>
    <w:rsid w:val="00374729"/>
    <w:rsid w:val="00375677"/>
    <w:rsid w:val="00376E2D"/>
    <w:rsid w:val="00381038"/>
    <w:rsid w:val="00382CD3"/>
    <w:rsid w:val="003850C3"/>
    <w:rsid w:val="00387298"/>
    <w:rsid w:val="00387984"/>
    <w:rsid w:val="00390D89"/>
    <w:rsid w:val="003933CB"/>
    <w:rsid w:val="00395140"/>
    <w:rsid w:val="003A2422"/>
    <w:rsid w:val="003B149C"/>
    <w:rsid w:val="003B774B"/>
    <w:rsid w:val="003C0FDB"/>
    <w:rsid w:val="003C1192"/>
    <w:rsid w:val="003C1E6E"/>
    <w:rsid w:val="003C55E2"/>
    <w:rsid w:val="003C63D5"/>
    <w:rsid w:val="003C7AA8"/>
    <w:rsid w:val="003D5FD2"/>
    <w:rsid w:val="003D71A1"/>
    <w:rsid w:val="003D77E4"/>
    <w:rsid w:val="003E4C3A"/>
    <w:rsid w:val="003E4FBE"/>
    <w:rsid w:val="003F012D"/>
    <w:rsid w:val="003F450A"/>
    <w:rsid w:val="00403316"/>
    <w:rsid w:val="004117E3"/>
    <w:rsid w:val="00415CD9"/>
    <w:rsid w:val="0041688F"/>
    <w:rsid w:val="00421D79"/>
    <w:rsid w:val="0042376F"/>
    <w:rsid w:val="004246B8"/>
    <w:rsid w:val="004248F1"/>
    <w:rsid w:val="00426503"/>
    <w:rsid w:val="00433318"/>
    <w:rsid w:val="00434B5A"/>
    <w:rsid w:val="004411D9"/>
    <w:rsid w:val="00441E06"/>
    <w:rsid w:val="00442A56"/>
    <w:rsid w:val="004444B0"/>
    <w:rsid w:val="00446390"/>
    <w:rsid w:val="0044709A"/>
    <w:rsid w:val="00450315"/>
    <w:rsid w:val="0045060B"/>
    <w:rsid w:val="0046173D"/>
    <w:rsid w:val="004626FF"/>
    <w:rsid w:val="0046285C"/>
    <w:rsid w:val="00470A52"/>
    <w:rsid w:val="00471BD5"/>
    <w:rsid w:val="004762CA"/>
    <w:rsid w:val="004779DC"/>
    <w:rsid w:val="00477C4E"/>
    <w:rsid w:val="00477F07"/>
    <w:rsid w:val="00480A4C"/>
    <w:rsid w:val="00481503"/>
    <w:rsid w:val="00481D12"/>
    <w:rsid w:val="004854A6"/>
    <w:rsid w:val="00490473"/>
    <w:rsid w:val="00491A55"/>
    <w:rsid w:val="00494C3E"/>
    <w:rsid w:val="004960BD"/>
    <w:rsid w:val="00497DF1"/>
    <w:rsid w:val="004A318E"/>
    <w:rsid w:val="004A45D4"/>
    <w:rsid w:val="004A57E8"/>
    <w:rsid w:val="004A5A16"/>
    <w:rsid w:val="004B143A"/>
    <w:rsid w:val="004B3081"/>
    <w:rsid w:val="004B4A09"/>
    <w:rsid w:val="004C41CE"/>
    <w:rsid w:val="004C631B"/>
    <w:rsid w:val="004D0933"/>
    <w:rsid w:val="004D2F00"/>
    <w:rsid w:val="004D31D8"/>
    <w:rsid w:val="004D35D1"/>
    <w:rsid w:val="004D5388"/>
    <w:rsid w:val="004E3B9C"/>
    <w:rsid w:val="004E6042"/>
    <w:rsid w:val="004E7F16"/>
    <w:rsid w:val="004F18EC"/>
    <w:rsid w:val="004F528D"/>
    <w:rsid w:val="004F6C6D"/>
    <w:rsid w:val="00500D68"/>
    <w:rsid w:val="005032F8"/>
    <w:rsid w:val="005042C7"/>
    <w:rsid w:val="00506AFA"/>
    <w:rsid w:val="00507DF0"/>
    <w:rsid w:val="00513066"/>
    <w:rsid w:val="0051313F"/>
    <w:rsid w:val="00516A28"/>
    <w:rsid w:val="005229A9"/>
    <w:rsid w:val="00526477"/>
    <w:rsid w:val="0053377D"/>
    <w:rsid w:val="00535DFE"/>
    <w:rsid w:val="005373B5"/>
    <w:rsid w:val="00537AB7"/>
    <w:rsid w:val="00543610"/>
    <w:rsid w:val="0054669B"/>
    <w:rsid w:val="005515F8"/>
    <w:rsid w:val="00555FFF"/>
    <w:rsid w:val="00557684"/>
    <w:rsid w:val="005610D1"/>
    <w:rsid w:val="00562F42"/>
    <w:rsid w:val="00565739"/>
    <w:rsid w:val="00566A78"/>
    <w:rsid w:val="0056766D"/>
    <w:rsid w:val="00574029"/>
    <w:rsid w:val="00574BAB"/>
    <w:rsid w:val="00575215"/>
    <w:rsid w:val="005775D0"/>
    <w:rsid w:val="0058012F"/>
    <w:rsid w:val="00581138"/>
    <w:rsid w:val="005818C9"/>
    <w:rsid w:val="0058575E"/>
    <w:rsid w:val="0058783C"/>
    <w:rsid w:val="005911AE"/>
    <w:rsid w:val="005926E2"/>
    <w:rsid w:val="0059313A"/>
    <w:rsid w:val="0059487B"/>
    <w:rsid w:val="005A54EA"/>
    <w:rsid w:val="005B023F"/>
    <w:rsid w:val="005B02A2"/>
    <w:rsid w:val="005B1417"/>
    <w:rsid w:val="005B1BE4"/>
    <w:rsid w:val="005B1E05"/>
    <w:rsid w:val="005B69CF"/>
    <w:rsid w:val="005B7044"/>
    <w:rsid w:val="005C06C0"/>
    <w:rsid w:val="005C3F07"/>
    <w:rsid w:val="005C4B46"/>
    <w:rsid w:val="005C5DC5"/>
    <w:rsid w:val="005D2089"/>
    <w:rsid w:val="005D5F54"/>
    <w:rsid w:val="005D6D73"/>
    <w:rsid w:val="005D7514"/>
    <w:rsid w:val="005E0FC6"/>
    <w:rsid w:val="005E1A7B"/>
    <w:rsid w:val="005E231F"/>
    <w:rsid w:val="005E6F79"/>
    <w:rsid w:val="005F5295"/>
    <w:rsid w:val="00602D6E"/>
    <w:rsid w:val="00605264"/>
    <w:rsid w:val="00605C05"/>
    <w:rsid w:val="00606C9C"/>
    <w:rsid w:val="00611351"/>
    <w:rsid w:val="0061217D"/>
    <w:rsid w:val="006129AE"/>
    <w:rsid w:val="00612C05"/>
    <w:rsid w:val="006277A1"/>
    <w:rsid w:val="00631A1A"/>
    <w:rsid w:val="00633BD7"/>
    <w:rsid w:val="00634580"/>
    <w:rsid w:val="00634884"/>
    <w:rsid w:val="006351D9"/>
    <w:rsid w:val="00637130"/>
    <w:rsid w:val="00637F0E"/>
    <w:rsid w:val="006423F2"/>
    <w:rsid w:val="006428C5"/>
    <w:rsid w:val="00650234"/>
    <w:rsid w:val="0066044B"/>
    <w:rsid w:val="0066092B"/>
    <w:rsid w:val="006630AA"/>
    <w:rsid w:val="00663544"/>
    <w:rsid w:val="00666539"/>
    <w:rsid w:val="006665A4"/>
    <w:rsid w:val="00666911"/>
    <w:rsid w:val="00675F81"/>
    <w:rsid w:val="0068143E"/>
    <w:rsid w:val="006848E7"/>
    <w:rsid w:val="0068507D"/>
    <w:rsid w:val="00686FDE"/>
    <w:rsid w:val="00691AF2"/>
    <w:rsid w:val="00692B80"/>
    <w:rsid w:val="00692CCD"/>
    <w:rsid w:val="00692D51"/>
    <w:rsid w:val="00694DD7"/>
    <w:rsid w:val="0069636B"/>
    <w:rsid w:val="00696626"/>
    <w:rsid w:val="006A1762"/>
    <w:rsid w:val="006A19CE"/>
    <w:rsid w:val="006A1F0B"/>
    <w:rsid w:val="006A277A"/>
    <w:rsid w:val="006A5973"/>
    <w:rsid w:val="006B04F3"/>
    <w:rsid w:val="006B7126"/>
    <w:rsid w:val="006C0129"/>
    <w:rsid w:val="006C6B86"/>
    <w:rsid w:val="006D0E86"/>
    <w:rsid w:val="006D4553"/>
    <w:rsid w:val="006D4A35"/>
    <w:rsid w:val="006D6B44"/>
    <w:rsid w:val="006E0F71"/>
    <w:rsid w:val="006E1442"/>
    <w:rsid w:val="006E27FE"/>
    <w:rsid w:val="00701110"/>
    <w:rsid w:val="00702E91"/>
    <w:rsid w:val="0070330F"/>
    <w:rsid w:val="00703624"/>
    <w:rsid w:val="007046ED"/>
    <w:rsid w:val="007054D2"/>
    <w:rsid w:val="007072A1"/>
    <w:rsid w:val="0071060C"/>
    <w:rsid w:val="00710BC5"/>
    <w:rsid w:val="007121CA"/>
    <w:rsid w:val="0072003B"/>
    <w:rsid w:val="00721059"/>
    <w:rsid w:val="007211E6"/>
    <w:rsid w:val="007220C4"/>
    <w:rsid w:val="00723AE4"/>
    <w:rsid w:val="00723FFB"/>
    <w:rsid w:val="0072490F"/>
    <w:rsid w:val="00724E19"/>
    <w:rsid w:val="00725BF8"/>
    <w:rsid w:val="007305ED"/>
    <w:rsid w:val="00730DB9"/>
    <w:rsid w:val="00732361"/>
    <w:rsid w:val="007357B9"/>
    <w:rsid w:val="00741AB9"/>
    <w:rsid w:val="00742D03"/>
    <w:rsid w:val="00744216"/>
    <w:rsid w:val="007452E8"/>
    <w:rsid w:val="00745F49"/>
    <w:rsid w:val="00746990"/>
    <w:rsid w:val="00747093"/>
    <w:rsid w:val="00750D70"/>
    <w:rsid w:val="007575D0"/>
    <w:rsid w:val="007601BF"/>
    <w:rsid w:val="00760FE8"/>
    <w:rsid w:val="007662E0"/>
    <w:rsid w:val="007720E9"/>
    <w:rsid w:val="00772EFC"/>
    <w:rsid w:val="00776E9C"/>
    <w:rsid w:val="007816D8"/>
    <w:rsid w:val="00784150"/>
    <w:rsid w:val="00792F09"/>
    <w:rsid w:val="00793272"/>
    <w:rsid w:val="0079499A"/>
    <w:rsid w:val="00794B64"/>
    <w:rsid w:val="007967C3"/>
    <w:rsid w:val="007A0A33"/>
    <w:rsid w:val="007A383E"/>
    <w:rsid w:val="007B04DE"/>
    <w:rsid w:val="007B0AE6"/>
    <w:rsid w:val="007B14B4"/>
    <w:rsid w:val="007B5063"/>
    <w:rsid w:val="007B6221"/>
    <w:rsid w:val="007C0F0B"/>
    <w:rsid w:val="007C153A"/>
    <w:rsid w:val="007C4B4B"/>
    <w:rsid w:val="007C57BC"/>
    <w:rsid w:val="007D04CA"/>
    <w:rsid w:val="007D0A2B"/>
    <w:rsid w:val="007D12A1"/>
    <w:rsid w:val="007D40E5"/>
    <w:rsid w:val="007D4138"/>
    <w:rsid w:val="007E4178"/>
    <w:rsid w:val="007E41E9"/>
    <w:rsid w:val="007E50E2"/>
    <w:rsid w:val="007E6443"/>
    <w:rsid w:val="007F028E"/>
    <w:rsid w:val="007F0A77"/>
    <w:rsid w:val="007F1E37"/>
    <w:rsid w:val="007F50D3"/>
    <w:rsid w:val="007F6458"/>
    <w:rsid w:val="007F6B1F"/>
    <w:rsid w:val="008013F0"/>
    <w:rsid w:val="00802B51"/>
    <w:rsid w:val="00803926"/>
    <w:rsid w:val="00804897"/>
    <w:rsid w:val="00813068"/>
    <w:rsid w:val="0081498C"/>
    <w:rsid w:val="00827427"/>
    <w:rsid w:val="008329DB"/>
    <w:rsid w:val="00832BC7"/>
    <w:rsid w:val="008335ED"/>
    <w:rsid w:val="008350B3"/>
    <w:rsid w:val="008361C5"/>
    <w:rsid w:val="0083628F"/>
    <w:rsid w:val="00837AB9"/>
    <w:rsid w:val="00850637"/>
    <w:rsid w:val="00854D98"/>
    <w:rsid w:val="0085751E"/>
    <w:rsid w:val="00860B29"/>
    <w:rsid w:val="00861A56"/>
    <w:rsid w:val="008622E8"/>
    <w:rsid w:val="008642AF"/>
    <w:rsid w:val="008645EE"/>
    <w:rsid w:val="00870144"/>
    <w:rsid w:val="0087072C"/>
    <w:rsid w:val="00871312"/>
    <w:rsid w:val="00873982"/>
    <w:rsid w:val="00873D7A"/>
    <w:rsid w:val="00874FF7"/>
    <w:rsid w:val="008756AD"/>
    <w:rsid w:val="00877CB3"/>
    <w:rsid w:val="008804CF"/>
    <w:rsid w:val="00882D58"/>
    <w:rsid w:val="00882F19"/>
    <w:rsid w:val="00883D35"/>
    <w:rsid w:val="00884569"/>
    <w:rsid w:val="00887A51"/>
    <w:rsid w:val="0089038A"/>
    <w:rsid w:val="00890D9B"/>
    <w:rsid w:val="00891C6C"/>
    <w:rsid w:val="0089369C"/>
    <w:rsid w:val="00893A48"/>
    <w:rsid w:val="00893CCD"/>
    <w:rsid w:val="008964B3"/>
    <w:rsid w:val="008A1579"/>
    <w:rsid w:val="008B1CB5"/>
    <w:rsid w:val="008B3B9D"/>
    <w:rsid w:val="008C2D69"/>
    <w:rsid w:val="008C49C6"/>
    <w:rsid w:val="008C754C"/>
    <w:rsid w:val="008D00EA"/>
    <w:rsid w:val="008D4762"/>
    <w:rsid w:val="008D56C9"/>
    <w:rsid w:val="008D56CA"/>
    <w:rsid w:val="008D6A54"/>
    <w:rsid w:val="008E2585"/>
    <w:rsid w:val="008E2D7A"/>
    <w:rsid w:val="008F1D71"/>
    <w:rsid w:val="008F3215"/>
    <w:rsid w:val="008F4A62"/>
    <w:rsid w:val="008F4C85"/>
    <w:rsid w:val="008F7256"/>
    <w:rsid w:val="0090424C"/>
    <w:rsid w:val="0090605E"/>
    <w:rsid w:val="009108CE"/>
    <w:rsid w:val="00915A9F"/>
    <w:rsid w:val="00930D58"/>
    <w:rsid w:val="00935AAA"/>
    <w:rsid w:val="0095031E"/>
    <w:rsid w:val="00951C21"/>
    <w:rsid w:val="00954297"/>
    <w:rsid w:val="00960A56"/>
    <w:rsid w:val="00965206"/>
    <w:rsid w:val="00966EF1"/>
    <w:rsid w:val="00967223"/>
    <w:rsid w:val="009751F7"/>
    <w:rsid w:val="00982179"/>
    <w:rsid w:val="0098350E"/>
    <w:rsid w:val="009844A5"/>
    <w:rsid w:val="00990C12"/>
    <w:rsid w:val="00993095"/>
    <w:rsid w:val="0099404F"/>
    <w:rsid w:val="00996FA5"/>
    <w:rsid w:val="009A08A0"/>
    <w:rsid w:val="009A4F6C"/>
    <w:rsid w:val="009A5735"/>
    <w:rsid w:val="009B40A9"/>
    <w:rsid w:val="009B5662"/>
    <w:rsid w:val="009C2211"/>
    <w:rsid w:val="009C40E8"/>
    <w:rsid w:val="009C45C5"/>
    <w:rsid w:val="009E5C31"/>
    <w:rsid w:val="009E6858"/>
    <w:rsid w:val="009E6F8C"/>
    <w:rsid w:val="009E7D7F"/>
    <w:rsid w:val="009F0A73"/>
    <w:rsid w:val="009F405F"/>
    <w:rsid w:val="009F5F16"/>
    <w:rsid w:val="00A01C56"/>
    <w:rsid w:val="00A037B9"/>
    <w:rsid w:val="00A264FF"/>
    <w:rsid w:val="00A32C50"/>
    <w:rsid w:val="00A344DA"/>
    <w:rsid w:val="00A358E7"/>
    <w:rsid w:val="00A4380B"/>
    <w:rsid w:val="00A43A42"/>
    <w:rsid w:val="00A45987"/>
    <w:rsid w:val="00A517D3"/>
    <w:rsid w:val="00A51A2D"/>
    <w:rsid w:val="00A5596B"/>
    <w:rsid w:val="00A63C07"/>
    <w:rsid w:val="00A63D9B"/>
    <w:rsid w:val="00A704DC"/>
    <w:rsid w:val="00A72949"/>
    <w:rsid w:val="00A756AF"/>
    <w:rsid w:val="00A77769"/>
    <w:rsid w:val="00A81D87"/>
    <w:rsid w:val="00A829F9"/>
    <w:rsid w:val="00A848E6"/>
    <w:rsid w:val="00A860A1"/>
    <w:rsid w:val="00A87E88"/>
    <w:rsid w:val="00A93DC6"/>
    <w:rsid w:val="00A9411A"/>
    <w:rsid w:val="00A95CE5"/>
    <w:rsid w:val="00AA19E0"/>
    <w:rsid w:val="00AA1B5A"/>
    <w:rsid w:val="00AA33C3"/>
    <w:rsid w:val="00AA37D2"/>
    <w:rsid w:val="00AA468D"/>
    <w:rsid w:val="00AA4A4B"/>
    <w:rsid w:val="00AA6682"/>
    <w:rsid w:val="00AA6E33"/>
    <w:rsid w:val="00AA7003"/>
    <w:rsid w:val="00AA7396"/>
    <w:rsid w:val="00AB0613"/>
    <w:rsid w:val="00AB2799"/>
    <w:rsid w:val="00AB7C5C"/>
    <w:rsid w:val="00AB7CBF"/>
    <w:rsid w:val="00AC605C"/>
    <w:rsid w:val="00AD0111"/>
    <w:rsid w:val="00AD0B68"/>
    <w:rsid w:val="00AD4C72"/>
    <w:rsid w:val="00AD5451"/>
    <w:rsid w:val="00AD7520"/>
    <w:rsid w:val="00AE1947"/>
    <w:rsid w:val="00AE1E57"/>
    <w:rsid w:val="00AF1C8B"/>
    <w:rsid w:val="00AF299B"/>
    <w:rsid w:val="00AF3A4C"/>
    <w:rsid w:val="00AF7E43"/>
    <w:rsid w:val="00B02AE0"/>
    <w:rsid w:val="00B035BA"/>
    <w:rsid w:val="00B03F25"/>
    <w:rsid w:val="00B05326"/>
    <w:rsid w:val="00B05990"/>
    <w:rsid w:val="00B14545"/>
    <w:rsid w:val="00B14E60"/>
    <w:rsid w:val="00B17BA2"/>
    <w:rsid w:val="00B2194C"/>
    <w:rsid w:val="00B26DC3"/>
    <w:rsid w:val="00B27E5F"/>
    <w:rsid w:val="00B30B9D"/>
    <w:rsid w:val="00B44DFD"/>
    <w:rsid w:val="00B4574D"/>
    <w:rsid w:val="00B468E1"/>
    <w:rsid w:val="00B46BC0"/>
    <w:rsid w:val="00B46DFB"/>
    <w:rsid w:val="00B473EC"/>
    <w:rsid w:val="00B5026F"/>
    <w:rsid w:val="00B5141B"/>
    <w:rsid w:val="00B55681"/>
    <w:rsid w:val="00B57AAD"/>
    <w:rsid w:val="00B6318C"/>
    <w:rsid w:val="00B6374E"/>
    <w:rsid w:val="00B72902"/>
    <w:rsid w:val="00B72B16"/>
    <w:rsid w:val="00B80408"/>
    <w:rsid w:val="00B81397"/>
    <w:rsid w:val="00B92554"/>
    <w:rsid w:val="00B925DB"/>
    <w:rsid w:val="00B94697"/>
    <w:rsid w:val="00B967FF"/>
    <w:rsid w:val="00B974B9"/>
    <w:rsid w:val="00BA3F6D"/>
    <w:rsid w:val="00BA4BE6"/>
    <w:rsid w:val="00BA4FC0"/>
    <w:rsid w:val="00BA61E0"/>
    <w:rsid w:val="00BA657C"/>
    <w:rsid w:val="00BA6909"/>
    <w:rsid w:val="00BA7E42"/>
    <w:rsid w:val="00BA7F7D"/>
    <w:rsid w:val="00BB1C14"/>
    <w:rsid w:val="00BB25A3"/>
    <w:rsid w:val="00BB6746"/>
    <w:rsid w:val="00BB6847"/>
    <w:rsid w:val="00BB7F8F"/>
    <w:rsid w:val="00BC5C31"/>
    <w:rsid w:val="00BC716A"/>
    <w:rsid w:val="00BD07DF"/>
    <w:rsid w:val="00BD26F4"/>
    <w:rsid w:val="00BD5DBD"/>
    <w:rsid w:val="00BD5DF6"/>
    <w:rsid w:val="00BE0041"/>
    <w:rsid w:val="00BE0B5C"/>
    <w:rsid w:val="00BE640F"/>
    <w:rsid w:val="00BE6D2A"/>
    <w:rsid w:val="00BF4638"/>
    <w:rsid w:val="00BF5130"/>
    <w:rsid w:val="00BF5761"/>
    <w:rsid w:val="00C00844"/>
    <w:rsid w:val="00C033B0"/>
    <w:rsid w:val="00C059D0"/>
    <w:rsid w:val="00C07551"/>
    <w:rsid w:val="00C1109F"/>
    <w:rsid w:val="00C12D65"/>
    <w:rsid w:val="00C133AB"/>
    <w:rsid w:val="00C20B56"/>
    <w:rsid w:val="00C22214"/>
    <w:rsid w:val="00C26F72"/>
    <w:rsid w:val="00C309A7"/>
    <w:rsid w:val="00C335AB"/>
    <w:rsid w:val="00C407AB"/>
    <w:rsid w:val="00C41DDE"/>
    <w:rsid w:val="00C43700"/>
    <w:rsid w:val="00C46ECF"/>
    <w:rsid w:val="00C52B3A"/>
    <w:rsid w:val="00C52B7B"/>
    <w:rsid w:val="00C547CD"/>
    <w:rsid w:val="00C570FF"/>
    <w:rsid w:val="00C57CEA"/>
    <w:rsid w:val="00C60FEC"/>
    <w:rsid w:val="00C61C01"/>
    <w:rsid w:val="00C61D69"/>
    <w:rsid w:val="00C62B1C"/>
    <w:rsid w:val="00C6574E"/>
    <w:rsid w:val="00C663D1"/>
    <w:rsid w:val="00C665D9"/>
    <w:rsid w:val="00C707FD"/>
    <w:rsid w:val="00C718E7"/>
    <w:rsid w:val="00C72DFE"/>
    <w:rsid w:val="00C75718"/>
    <w:rsid w:val="00C76DEB"/>
    <w:rsid w:val="00C816C6"/>
    <w:rsid w:val="00C85F7F"/>
    <w:rsid w:val="00C863A7"/>
    <w:rsid w:val="00C912F4"/>
    <w:rsid w:val="00C9156F"/>
    <w:rsid w:val="00C91730"/>
    <w:rsid w:val="00C92699"/>
    <w:rsid w:val="00C93FD0"/>
    <w:rsid w:val="00C9581A"/>
    <w:rsid w:val="00C96AC5"/>
    <w:rsid w:val="00C97D29"/>
    <w:rsid w:val="00CA449C"/>
    <w:rsid w:val="00CB0550"/>
    <w:rsid w:val="00CB6813"/>
    <w:rsid w:val="00CD09F5"/>
    <w:rsid w:val="00CF6A55"/>
    <w:rsid w:val="00CF6DC6"/>
    <w:rsid w:val="00CF6DCF"/>
    <w:rsid w:val="00D01DDB"/>
    <w:rsid w:val="00D027C2"/>
    <w:rsid w:val="00D04D19"/>
    <w:rsid w:val="00D078BE"/>
    <w:rsid w:val="00D12528"/>
    <w:rsid w:val="00D13F8A"/>
    <w:rsid w:val="00D16F60"/>
    <w:rsid w:val="00D22981"/>
    <w:rsid w:val="00D22E80"/>
    <w:rsid w:val="00D23D3E"/>
    <w:rsid w:val="00D27E29"/>
    <w:rsid w:val="00D3349B"/>
    <w:rsid w:val="00D33F34"/>
    <w:rsid w:val="00D424A8"/>
    <w:rsid w:val="00D55F3E"/>
    <w:rsid w:val="00D56544"/>
    <w:rsid w:val="00D574A6"/>
    <w:rsid w:val="00D6036F"/>
    <w:rsid w:val="00D62877"/>
    <w:rsid w:val="00D63760"/>
    <w:rsid w:val="00D64CD2"/>
    <w:rsid w:val="00D6703F"/>
    <w:rsid w:val="00D6773E"/>
    <w:rsid w:val="00D734EB"/>
    <w:rsid w:val="00D75E1B"/>
    <w:rsid w:val="00D82713"/>
    <w:rsid w:val="00D8506B"/>
    <w:rsid w:val="00D86F00"/>
    <w:rsid w:val="00D918D5"/>
    <w:rsid w:val="00D94290"/>
    <w:rsid w:val="00D943F2"/>
    <w:rsid w:val="00D94C8E"/>
    <w:rsid w:val="00DA2ADA"/>
    <w:rsid w:val="00DA7FA2"/>
    <w:rsid w:val="00DB1372"/>
    <w:rsid w:val="00DB192C"/>
    <w:rsid w:val="00DB1CF3"/>
    <w:rsid w:val="00DB5425"/>
    <w:rsid w:val="00DB72A6"/>
    <w:rsid w:val="00DC363F"/>
    <w:rsid w:val="00DC6611"/>
    <w:rsid w:val="00DD5AFB"/>
    <w:rsid w:val="00DD7E46"/>
    <w:rsid w:val="00DE1344"/>
    <w:rsid w:val="00DE4F22"/>
    <w:rsid w:val="00DE768C"/>
    <w:rsid w:val="00DF5BFE"/>
    <w:rsid w:val="00E032E1"/>
    <w:rsid w:val="00E0523F"/>
    <w:rsid w:val="00E22701"/>
    <w:rsid w:val="00E232B2"/>
    <w:rsid w:val="00E23E50"/>
    <w:rsid w:val="00E2412B"/>
    <w:rsid w:val="00E26213"/>
    <w:rsid w:val="00E274DF"/>
    <w:rsid w:val="00E34D66"/>
    <w:rsid w:val="00E362C4"/>
    <w:rsid w:val="00E46CC2"/>
    <w:rsid w:val="00E47E0C"/>
    <w:rsid w:val="00E51813"/>
    <w:rsid w:val="00E52C0B"/>
    <w:rsid w:val="00E53D3F"/>
    <w:rsid w:val="00E5579B"/>
    <w:rsid w:val="00E57FF4"/>
    <w:rsid w:val="00E65859"/>
    <w:rsid w:val="00E670F3"/>
    <w:rsid w:val="00E679D1"/>
    <w:rsid w:val="00E67C1C"/>
    <w:rsid w:val="00E73ABC"/>
    <w:rsid w:val="00E76A89"/>
    <w:rsid w:val="00E77F3D"/>
    <w:rsid w:val="00E80D58"/>
    <w:rsid w:val="00E827D7"/>
    <w:rsid w:val="00E82B7A"/>
    <w:rsid w:val="00E86E63"/>
    <w:rsid w:val="00E918F0"/>
    <w:rsid w:val="00E91F11"/>
    <w:rsid w:val="00E920BB"/>
    <w:rsid w:val="00E93FEE"/>
    <w:rsid w:val="00E9706D"/>
    <w:rsid w:val="00EA3AF4"/>
    <w:rsid w:val="00EB3F98"/>
    <w:rsid w:val="00EB44E8"/>
    <w:rsid w:val="00ED781F"/>
    <w:rsid w:val="00EE4B01"/>
    <w:rsid w:val="00EE7F95"/>
    <w:rsid w:val="00EF3F0B"/>
    <w:rsid w:val="00EF5583"/>
    <w:rsid w:val="00EF7393"/>
    <w:rsid w:val="00F01506"/>
    <w:rsid w:val="00F0289D"/>
    <w:rsid w:val="00F02AEC"/>
    <w:rsid w:val="00F07572"/>
    <w:rsid w:val="00F157FC"/>
    <w:rsid w:val="00F1598B"/>
    <w:rsid w:val="00F24F79"/>
    <w:rsid w:val="00F277A2"/>
    <w:rsid w:val="00F30AF3"/>
    <w:rsid w:val="00F43CD1"/>
    <w:rsid w:val="00F45AE0"/>
    <w:rsid w:val="00F5794B"/>
    <w:rsid w:val="00F60CF2"/>
    <w:rsid w:val="00F61DB3"/>
    <w:rsid w:val="00F637FA"/>
    <w:rsid w:val="00F657B4"/>
    <w:rsid w:val="00F738E3"/>
    <w:rsid w:val="00F74561"/>
    <w:rsid w:val="00F7649F"/>
    <w:rsid w:val="00F8083B"/>
    <w:rsid w:val="00F82D1B"/>
    <w:rsid w:val="00F8432E"/>
    <w:rsid w:val="00F8568E"/>
    <w:rsid w:val="00F865A7"/>
    <w:rsid w:val="00FA0754"/>
    <w:rsid w:val="00FA1BC9"/>
    <w:rsid w:val="00FA1C1E"/>
    <w:rsid w:val="00FA49C3"/>
    <w:rsid w:val="00FA7140"/>
    <w:rsid w:val="00FB236E"/>
    <w:rsid w:val="00FB3F7B"/>
    <w:rsid w:val="00FB4C2A"/>
    <w:rsid w:val="00FC2107"/>
    <w:rsid w:val="00FC48FE"/>
    <w:rsid w:val="00FC6F56"/>
    <w:rsid w:val="00FD205F"/>
    <w:rsid w:val="00FD3AB7"/>
    <w:rsid w:val="00FE087C"/>
    <w:rsid w:val="00FE6491"/>
    <w:rsid w:val="00FE79A0"/>
    <w:rsid w:val="00FF0939"/>
    <w:rsid w:val="00FF34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544"/>
    <w:rPr>
      <w:rFonts w:ascii="Cambria" w:hAnsi="Cambria"/>
      <w:sz w:val="22"/>
    </w:rPr>
  </w:style>
  <w:style w:type="paragraph" w:styleId="Heading1">
    <w:name w:val="heading 1"/>
    <w:basedOn w:val="Normal"/>
    <w:next w:val="Normal"/>
    <w:link w:val="Heading1Char"/>
    <w:uiPriority w:val="9"/>
    <w:qFormat/>
    <w:rsid w:val="002923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574029"/>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574029"/>
    <w:pPr>
      <w:keepNext/>
      <w:keepLines/>
      <w:spacing w:before="240" w:line="240" w:lineRule="atLeast"/>
      <w:outlineLvl w:val="5"/>
    </w:pPr>
    <w:rPr>
      <w:rFonts w:ascii="Arial" w:eastAsia="Times New Roman" w:hAnsi="Arial" w:cs="Times New Roman"/>
      <w:b/>
      <w:bCs/>
      <w:i/>
      <w:color w:val="00187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574029"/>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574029"/>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2923D0"/>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9A08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A860A1"/>
    <w:pPr>
      <w:widowControl w:val="0"/>
      <w:autoSpaceDE w:val="0"/>
      <w:autoSpaceDN w:val="0"/>
      <w:spacing w:before="68" w:after="0" w:line="240" w:lineRule="auto"/>
      <w:ind w:left="99"/>
    </w:pPr>
    <w:rPr>
      <w:rFonts w:ascii="Arial" w:eastAsia="Arial" w:hAnsi="Arial"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50085493">
      <w:bodyDiv w:val="1"/>
      <w:marLeft w:val="0"/>
      <w:marRight w:val="0"/>
      <w:marTop w:val="0"/>
      <w:marBottom w:val="0"/>
      <w:divBdr>
        <w:top w:val="none" w:sz="0" w:space="0" w:color="auto"/>
        <w:left w:val="none" w:sz="0" w:space="0" w:color="auto"/>
        <w:bottom w:val="none" w:sz="0" w:space="0" w:color="auto"/>
        <w:right w:val="none" w:sz="0" w:space="0" w:color="auto"/>
      </w:divBdr>
    </w:div>
    <w:div w:id="820346754">
      <w:bodyDiv w:val="1"/>
      <w:marLeft w:val="0"/>
      <w:marRight w:val="0"/>
      <w:marTop w:val="0"/>
      <w:marBottom w:val="0"/>
      <w:divBdr>
        <w:top w:val="none" w:sz="0" w:space="0" w:color="auto"/>
        <w:left w:val="none" w:sz="0" w:space="0" w:color="auto"/>
        <w:bottom w:val="none" w:sz="0" w:space="0" w:color="auto"/>
        <w:right w:val="none" w:sz="0" w:space="0" w:color="auto"/>
      </w:divBdr>
      <w:divsChild>
        <w:div w:id="273564673">
          <w:marLeft w:val="0"/>
          <w:marRight w:val="0"/>
          <w:marTop w:val="0"/>
          <w:marBottom w:val="0"/>
          <w:divBdr>
            <w:top w:val="none" w:sz="0" w:space="0" w:color="auto"/>
            <w:left w:val="none" w:sz="0" w:space="0" w:color="auto"/>
            <w:bottom w:val="none" w:sz="0" w:space="0" w:color="auto"/>
            <w:right w:val="none" w:sz="0" w:space="0" w:color="auto"/>
          </w:divBdr>
          <w:divsChild>
            <w:div w:id="208349537">
              <w:marLeft w:val="0"/>
              <w:marRight w:val="0"/>
              <w:marTop w:val="0"/>
              <w:marBottom w:val="0"/>
              <w:divBdr>
                <w:top w:val="none" w:sz="0" w:space="0" w:color="auto"/>
                <w:left w:val="none" w:sz="0" w:space="0" w:color="auto"/>
                <w:bottom w:val="none" w:sz="0" w:space="0" w:color="auto"/>
                <w:right w:val="none" w:sz="0" w:space="0" w:color="auto"/>
              </w:divBdr>
              <w:divsChild>
                <w:div w:id="167669048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881400351">
      <w:bodyDiv w:val="1"/>
      <w:marLeft w:val="0"/>
      <w:marRight w:val="0"/>
      <w:marTop w:val="0"/>
      <w:marBottom w:val="0"/>
      <w:divBdr>
        <w:top w:val="none" w:sz="0" w:space="0" w:color="auto"/>
        <w:left w:val="none" w:sz="0" w:space="0" w:color="auto"/>
        <w:bottom w:val="none" w:sz="0" w:space="0" w:color="auto"/>
        <w:right w:val="none" w:sz="0" w:space="0" w:color="auto"/>
      </w:divBdr>
    </w:div>
    <w:div w:id="94608071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79229612">
      <w:bodyDiv w:val="1"/>
      <w:marLeft w:val="0"/>
      <w:marRight w:val="0"/>
      <w:marTop w:val="0"/>
      <w:marBottom w:val="0"/>
      <w:divBdr>
        <w:top w:val="none" w:sz="0" w:space="0" w:color="auto"/>
        <w:left w:val="none" w:sz="0" w:space="0" w:color="auto"/>
        <w:bottom w:val="none" w:sz="0" w:space="0" w:color="auto"/>
        <w:right w:val="none" w:sz="0" w:space="0" w:color="auto"/>
      </w:divBdr>
      <w:divsChild>
        <w:div w:id="1308053692">
          <w:marLeft w:val="0"/>
          <w:marRight w:val="0"/>
          <w:marTop w:val="0"/>
          <w:marBottom w:val="0"/>
          <w:divBdr>
            <w:top w:val="none" w:sz="0" w:space="0" w:color="auto"/>
            <w:left w:val="none" w:sz="0" w:space="0" w:color="auto"/>
            <w:bottom w:val="none" w:sz="0" w:space="0" w:color="auto"/>
            <w:right w:val="none" w:sz="0" w:space="0" w:color="auto"/>
          </w:divBdr>
          <w:divsChild>
            <w:div w:id="480582953">
              <w:marLeft w:val="0"/>
              <w:marRight w:val="0"/>
              <w:marTop w:val="0"/>
              <w:marBottom w:val="0"/>
              <w:divBdr>
                <w:top w:val="none" w:sz="0" w:space="0" w:color="auto"/>
                <w:left w:val="none" w:sz="0" w:space="0" w:color="auto"/>
                <w:bottom w:val="none" w:sz="0" w:space="0" w:color="auto"/>
                <w:right w:val="none" w:sz="0" w:space="0" w:color="auto"/>
              </w:divBdr>
              <w:divsChild>
                <w:div w:id="3739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2969">
      <w:bodyDiv w:val="1"/>
      <w:marLeft w:val="0"/>
      <w:marRight w:val="0"/>
      <w:marTop w:val="0"/>
      <w:marBottom w:val="0"/>
      <w:divBdr>
        <w:top w:val="none" w:sz="0" w:space="0" w:color="auto"/>
        <w:left w:val="none" w:sz="0" w:space="0" w:color="auto"/>
        <w:bottom w:val="none" w:sz="0" w:space="0" w:color="auto"/>
        <w:right w:val="none" w:sz="0" w:space="0" w:color="auto"/>
      </w:divBdr>
    </w:div>
    <w:div w:id="213347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ebs.tga.gov.au/" TargetMode="External"/><Relationship Id="rId25" Type="http://schemas.openxmlformats.org/officeDocument/2006/relationships/image" Target="media/image6.png"/><Relationship Id="rId33" Type="http://schemas.openxmlformats.org/officeDocument/2006/relationships/hyperlink" Target="mailto:info@tg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black-triangle-scheme" TargetMode="External"/><Relationship Id="rId20" Type="http://schemas.openxmlformats.org/officeDocument/2006/relationships/image" Target="media/image4.png"/><Relationship Id="rId29" Type="http://schemas.openxmlformats.org/officeDocument/2006/relationships/hyperlink" Target="https://www.tga.gov.au/committee/advisory-committee-medicines-a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resources/artg/416199" TargetMode="External"/><Relationship Id="rId23" Type="http://schemas.openxmlformats.org/officeDocument/2006/relationships/hyperlink" Target="https://www.tga.gov.au/resources/resource/guidance/orphan-drug-designation" TargetMode="External"/><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tga.gov.au/obstetric-drug-information-service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resources/publication/publications/priority-registration-process" TargetMode="External"/><Relationship Id="rId27" Type="http://schemas.openxmlformats.org/officeDocument/2006/relationships/image" Target="media/image8.png"/><Relationship Id="rId30" Type="http://schemas.openxmlformats.org/officeDocument/2006/relationships/hyperlink" Target="https://www.ebs.tga.gov.au/" TargetMode="External"/><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6835</Words>
  <Characters>38965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Australian public assessment report for Joenja</vt:lpstr>
    </vt:vector>
  </TitlesOfParts>
  <Company>Department of Health, Disability and Ageing</Company>
  <LinksUpToDate>false</LinksUpToDate>
  <CharactersWithSpaces>45709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Joenja</dc:title>
  <dc:subject>Prescription medicines</dc:subject>
  <dc:creator>Therapeutic Goods Administration</dc:creator>
  <cp:keywords/>
  <dc:description/>
  <cp:lastModifiedBy>LACK, Janet</cp:lastModifiedBy>
  <cp:revision>4</cp:revision>
  <cp:lastPrinted>2025-07-29T01:35:00Z</cp:lastPrinted>
  <dcterms:created xsi:type="dcterms:W3CDTF">2025-07-29T01:25:00Z</dcterms:created>
  <dcterms:modified xsi:type="dcterms:W3CDTF">2025-07-29T01:52:00Z</dcterms:modified>
</cp:coreProperties>
</file>