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4AD8701" w:rsidR="00F02AEC" w:rsidRPr="00215D48" w:rsidRDefault="00346EC2" w:rsidP="007452E8">
            <w:pPr>
              <w:pStyle w:val="Title"/>
            </w:pPr>
            <w:r w:rsidRPr="00346EC2">
              <w:t xml:space="preserve">Australian Public Assessment Report for </w:t>
            </w:r>
            <w:r w:rsidR="008350B3" w:rsidRPr="008350B3">
              <w:t>FABHALTA</w:t>
            </w:r>
          </w:p>
        </w:tc>
      </w:tr>
      <w:tr w:rsidR="00F02AEC" w:rsidRPr="00215D48" w14:paraId="318A40A3" w14:textId="77777777" w:rsidTr="00346EC2">
        <w:trPr>
          <w:trHeight w:val="995"/>
        </w:trPr>
        <w:tc>
          <w:tcPr>
            <w:tcW w:w="8720" w:type="dxa"/>
          </w:tcPr>
          <w:p w14:paraId="1AA7C701" w14:textId="2F8E53C3" w:rsidR="00F02AEC" w:rsidRPr="00215D48" w:rsidRDefault="00346EC2" w:rsidP="007452E8">
            <w:pPr>
              <w:pStyle w:val="Subtitle"/>
              <w:ind w:left="0"/>
            </w:pPr>
            <w:r w:rsidRPr="00346EC2">
              <w:t xml:space="preserve">Active ingredient: </w:t>
            </w:r>
            <w:r w:rsidR="00C8521E">
              <w:t>i</w:t>
            </w:r>
            <w:r w:rsidR="00E920BB" w:rsidRPr="00E920BB">
              <w:t>ptacopan</w:t>
            </w:r>
          </w:p>
        </w:tc>
      </w:tr>
      <w:tr w:rsidR="00346EC2" w:rsidRPr="00215D48" w14:paraId="362CCAE4" w14:textId="77777777" w:rsidTr="007452E8">
        <w:trPr>
          <w:trHeight w:val="1916"/>
        </w:trPr>
        <w:tc>
          <w:tcPr>
            <w:tcW w:w="8720" w:type="dxa"/>
          </w:tcPr>
          <w:p w14:paraId="709C45C0" w14:textId="346292D9" w:rsidR="00346EC2" w:rsidRPr="00215D48" w:rsidRDefault="003105E1" w:rsidP="007452E8">
            <w:pPr>
              <w:pStyle w:val="Subtitle"/>
              <w:ind w:left="0"/>
            </w:pPr>
            <w:r>
              <w:t>Sponsor</w:t>
            </w:r>
            <w:r w:rsidR="00346EC2" w:rsidRPr="00346EC2">
              <w:t>:</w:t>
            </w:r>
            <w:r w:rsidR="004960BD">
              <w:t xml:space="preserve"> </w:t>
            </w:r>
            <w:r w:rsidR="004960BD" w:rsidRPr="004960BD">
              <w:t>Novartis Pharmaceuticals Australia Pty Ltd</w:t>
            </w:r>
          </w:p>
        </w:tc>
      </w:tr>
      <w:tr w:rsidR="00F02AEC" w:rsidRPr="00215D48" w14:paraId="37F2AA1F" w14:textId="77777777" w:rsidTr="007452E8">
        <w:tc>
          <w:tcPr>
            <w:tcW w:w="8720" w:type="dxa"/>
          </w:tcPr>
          <w:p w14:paraId="1FDE8DCD" w14:textId="68F3C0AD" w:rsidR="00F02AEC" w:rsidRPr="00215D48" w:rsidRDefault="004960BD" w:rsidP="007452E8">
            <w:pPr>
              <w:pStyle w:val="Date"/>
            </w:pPr>
            <w:r>
              <w:t>June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446583BC" w14:textId="140B7222" w:rsidR="00C8521E"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4181033" w:history="1">
            <w:r w:rsidR="00C8521E" w:rsidRPr="00FC6CEC">
              <w:rPr>
                <w:rStyle w:val="Hyperlink"/>
                <w:noProof/>
              </w:rPr>
              <w:t>List of abbreviations</w:t>
            </w:r>
            <w:r w:rsidR="00C8521E">
              <w:rPr>
                <w:noProof/>
                <w:webHidden/>
              </w:rPr>
              <w:tab/>
            </w:r>
            <w:r w:rsidR="00C8521E">
              <w:rPr>
                <w:noProof/>
                <w:webHidden/>
              </w:rPr>
              <w:fldChar w:fldCharType="begin"/>
            </w:r>
            <w:r w:rsidR="00C8521E">
              <w:rPr>
                <w:noProof/>
                <w:webHidden/>
              </w:rPr>
              <w:instrText xml:space="preserve"> PAGEREF _Toc204181033 \h </w:instrText>
            </w:r>
            <w:r w:rsidR="00C8521E">
              <w:rPr>
                <w:noProof/>
                <w:webHidden/>
              </w:rPr>
            </w:r>
            <w:r w:rsidR="00C8521E">
              <w:rPr>
                <w:noProof/>
                <w:webHidden/>
              </w:rPr>
              <w:fldChar w:fldCharType="separate"/>
            </w:r>
            <w:r w:rsidR="002167BA">
              <w:rPr>
                <w:noProof/>
                <w:webHidden/>
              </w:rPr>
              <w:t>4</w:t>
            </w:r>
            <w:r w:rsidR="00C8521E">
              <w:rPr>
                <w:noProof/>
                <w:webHidden/>
              </w:rPr>
              <w:fldChar w:fldCharType="end"/>
            </w:r>
          </w:hyperlink>
        </w:p>
        <w:p w14:paraId="057BA229" w14:textId="563EB168" w:rsidR="00C8521E" w:rsidRDefault="00C8521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181034" w:history="1">
            <w:r w:rsidRPr="00FC6CEC">
              <w:rPr>
                <w:rStyle w:val="Hyperlink"/>
                <w:noProof/>
              </w:rPr>
              <w:t>FABHALTA (iptacopan) submission</w:t>
            </w:r>
            <w:r>
              <w:rPr>
                <w:noProof/>
                <w:webHidden/>
              </w:rPr>
              <w:tab/>
            </w:r>
            <w:r>
              <w:rPr>
                <w:noProof/>
                <w:webHidden/>
              </w:rPr>
              <w:fldChar w:fldCharType="begin"/>
            </w:r>
            <w:r>
              <w:rPr>
                <w:noProof/>
                <w:webHidden/>
              </w:rPr>
              <w:instrText xml:space="preserve"> PAGEREF _Toc204181034 \h </w:instrText>
            </w:r>
            <w:r>
              <w:rPr>
                <w:noProof/>
                <w:webHidden/>
              </w:rPr>
            </w:r>
            <w:r>
              <w:rPr>
                <w:noProof/>
                <w:webHidden/>
              </w:rPr>
              <w:fldChar w:fldCharType="separate"/>
            </w:r>
            <w:r w:rsidR="002167BA">
              <w:rPr>
                <w:noProof/>
                <w:webHidden/>
              </w:rPr>
              <w:t>5</w:t>
            </w:r>
            <w:r>
              <w:rPr>
                <w:noProof/>
                <w:webHidden/>
              </w:rPr>
              <w:fldChar w:fldCharType="end"/>
            </w:r>
          </w:hyperlink>
        </w:p>
        <w:p w14:paraId="7308B0B8" w14:textId="3CF2A4C3" w:rsidR="00C8521E" w:rsidRDefault="00C852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81035" w:history="1">
            <w:r w:rsidRPr="00FC6CEC">
              <w:rPr>
                <w:rStyle w:val="Hyperlink"/>
                <w:noProof/>
              </w:rPr>
              <w:t>Proposed indication</w:t>
            </w:r>
            <w:r>
              <w:rPr>
                <w:noProof/>
                <w:webHidden/>
              </w:rPr>
              <w:tab/>
            </w:r>
            <w:r>
              <w:rPr>
                <w:noProof/>
                <w:webHidden/>
              </w:rPr>
              <w:fldChar w:fldCharType="begin"/>
            </w:r>
            <w:r>
              <w:rPr>
                <w:noProof/>
                <w:webHidden/>
              </w:rPr>
              <w:instrText xml:space="preserve"> PAGEREF _Toc204181035 \h </w:instrText>
            </w:r>
            <w:r>
              <w:rPr>
                <w:noProof/>
                <w:webHidden/>
              </w:rPr>
            </w:r>
            <w:r>
              <w:rPr>
                <w:noProof/>
                <w:webHidden/>
              </w:rPr>
              <w:fldChar w:fldCharType="separate"/>
            </w:r>
            <w:r w:rsidR="002167BA">
              <w:rPr>
                <w:noProof/>
                <w:webHidden/>
              </w:rPr>
              <w:t>6</w:t>
            </w:r>
            <w:r>
              <w:rPr>
                <w:noProof/>
                <w:webHidden/>
              </w:rPr>
              <w:fldChar w:fldCharType="end"/>
            </w:r>
          </w:hyperlink>
        </w:p>
        <w:p w14:paraId="2F707B08" w14:textId="0E98D694" w:rsidR="00C8521E" w:rsidRDefault="00C852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81036" w:history="1">
            <w:r w:rsidRPr="00FC6CEC">
              <w:rPr>
                <w:rStyle w:val="Hyperlink"/>
                <w:noProof/>
              </w:rPr>
              <w:t>Paroxysmal nocturnal hemoglobinuria</w:t>
            </w:r>
            <w:r>
              <w:rPr>
                <w:noProof/>
                <w:webHidden/>
              </w:rPr>
              <w:tab/>
            </w:r>
            <w:r>
              <w:rPr>
                <w:noProof/>
                <w:webHidden/>
              </w:rPr>
              <w:fldChar w:fldCharType="begin"/>
            </w:r>
            <w:r>
              <w:rPr>
                <w:noProof/>
                <w:webHidden/>
              </w:rPr>
              <w:instrText xml:space="preserve"> PAGEREF _Toc204181036 \h </w:instrText>
            </w:r>
            <w:r>
              <w:rPr>
                <w:noProof/>
                <w:webHidden/>
              </w:rPr>
            </w:r>
            <w:r>
              <w:rPr>
                <w:noProof/>
                <w:webHidden/>
              </w:rPr>
              <w:fldChar w:fldCharType="separate"/>
            </w:r>
            <w:r w:rsidR="002167BA">
              <w:rPr>
                <w:noProof/>
                <w:webHidden/>
              </w:rPr>
              <w:t>6</w:t>
            </w:r>
            <w:r>
              <w:rPr>
                <w:noProof/>
                <w:webHidden/>
              </w:rPr>
              <w:fldChar w:fldCharType="end"/>
            </w:r>
          </w:hyperlink>
        </w:p>
        <w:p w14:paraId="092CA2DF" w14:textId="1DCEF50A" w:rsidR="00C8521E" w:rsidRDefault="00C852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81037" w:history="1">
            <w:r w:rsidRPr="00FC6CEC">
              <w:rPr>
                <w:rStyle w:val="Hyperlink"/>
                <w:noProof/>
              </w:rPr>
              <w:t>Current treatment options</w:t>
            </w:r>
            <w:r>
              <w:rPr>
                <w:noProof/>
                <w:webHidden/>
              </w:rPr>
              <w:tab/>
            </w:r>
            <w:r>
              <w:rPr>
                <w:noProof/>
                <w:webHidden/>
              </w:rPr>
              <w:fldChar w:fldCharType="begin"/>
            </w:r>
            <w:r>
              <w:rPr>
                <w:noProof/>
                <w:webHidden/>
              </w:rPr>
              <w:instrText xml:space="preserve"> PAGEREF _Toc204181037 \h </w:instrText>
            </w:r>
            <w:r>
              <w:rPr>
                <w:noProof/>
                <w:webHidden/>
              </w:rPr>
            </w:r>
            <w:r>
              <w:rPr>
                <w:noProof/>
                <w:webHidden/>
              </w:rPr>
              <w:fldChar w:fldCharType="separate"/>
            </w:r>
            <w:r w:rsidR="002167BA">
              <w:rPr>
                <w:noProof/>
                <w:webHidden/>
              </w:rPr>
              <w:t>6</w:t>
            </w:r>
            <w:r>
              <w:rPr>
                <w:noProof/>
                <w:webHidden/>
              </w:rPr>
              <w:fldChar w:fldCharType="end"/>
            </w:r>
          </w:hyperlink>
        </w:p>
        <w:p w14:paraId="10710AFF" w14:textId="07FCE9EB" w:rsidR="00C8521E" w:rsidRDefault="00C852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81038" w:history="1">
            <w:r w:rsidRPr="00FC6CEC">
              <w:rPr>
                <w:rStyle w:val="Hyperlink"/>
                <w:noProof/>
              </w:rPr>
              <w:t>Clinical rationale</w:t>
            </w:r>
            <w:r>
              <w:rPr>
                <w:noProof/>
                <w:webHidden/>
              </w:rPr>
              <w:tab/>
            </w:r>
            <w:r>
              <w:rPr>
                <w:noProof/>
                <w:webHidden/>
              </w:rPr>
              <w:fldChar w:fldCharType="begin"/>
            </w:r>
            <w:r>
              <w:rPr>
                <w:noProof/>
                <w:webHidden/>
              </w:rPr>
              <w:instrText xml:space="preserve"> PAGEREF _Toc204181038 \h </w:instrText>
            </w:r>
            <w:r>
              <w:rPr>
                <w:noProof/>
                <w:webHidden/>
              </w:rPr>
            </w:r>
            <w:r>
              <w:rPr>
                <w:noProof/>
                <w:webHidden/>
              </w:rPr>
              <w:fldChar w:fldCharType="separate"/>
            </w:r>
            <w:r w:rsidR="002167BA">
              <w:rPr>
                <w:noProof/>
                <w:webHidden/>
              </w:rPr>
              <w:t>7</w:t>
            </w:r>
            <w:r>
              <w:rPr>
                <w:noProof/>
                <w:webHidden/>
              </w:rPr>
              <w:fldChar w:fldCharType="end"/>
            </w:r>
          </w:hyperlink>
        </w:p>
        <w:p w14:paraId="5BBFA523" w14:textId="6B3A1CE7" w:rsidR="00C8521E" w:rsidRDefault="00C852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81039" w:history="1">
            <w:r w:rsidRPr="00FC6CEC">
              <w:rPr>
                <w:rStyle w:val="Hyperlink"/>
                <w:noProof/>
              </w:rPr>
              <w:t>Regulatory status</w:t>
            </w:r>
            <w:r>
              <w:rPr>
                <w:noProof/>
                <w:webHidden/>
              </w:rPr>
              <w:tab/>
            </w:r>
            <w:r>
              <w:rPr>
                <w:noProof/>
                <w:webHidden/>
              </w:rPr>
              <w:fldChar w:fldCharType="begin"/>
            </w:r>
            <w:r>
              <w:rPr>
                <w:noProof/>
                <w:webHidden/>
              </w:rPr>
              <w:instrText xml:space="preserve"> PAGEREF _Toc204181039 \h </w:instrText>
            </w:r>
            <w:r>
              <w:rPr>
                <w:noProof/>
                <w:webHidden/>
              </w:rPr>
            </w:r>
            <w:r>
              <w:rPr>
                <w:noProof/>
                <w:webHidden/>
              </w:rPr>
              <w:fldChar w:fldCharType="separate"/>
            </w:r>
            <w:r w:rsidR="002167BA">
              <w:rPr>
                <w:noProof/>
                <w:webHidden/>
              </w:rPr>
              <w:t>7</w:t>
            </w:r>
            <w:r>
              <w:rPr>
                <w:noProof/>
                <w:webHidden/>
              </w:rPr>
              <w:fldChar w:fldCharType="end"/>
            </w:r>
          </w:hyperlink>
        </w:p>
        <w:p w14:paraId="622F1B03" w14:textId="02F39481" w:rsidR="00C8521E" w:rsidRDefault="00C852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81040" w:history="1">
            <w:r w:rsidRPr="00FC6CEC">
              <w:rPr>
                <w:rStyle w:val="Hyperlink"/>
                <w:noProof/>
              </w:rPr>
              <w:t>Registration timeline</w:t>
            </w:r>
            <w:r>
              <w:rPr>
                <w:noProof/>
                <w:webHidden/>
              </w:rPr>
              <w:tab/>
            </w:r>
            <w:r>
              <w:rPr>
                <w:noProof/>
                <w:webHidden/>
              </w:rPr>
              <w:fldChar w:fldCharType="begin"/>
            </w:r>
            <w:r>
              <w:rPr>
                <w:noProof/>
                <w:webHidden/>
              </w:rPr>
              <w:instrText xml:space="preserve"> PAGEREF _Toc204181040 \h </w:instrText>
            </w:r>
            <w:r>
              <w:rPr>
                <w:noProof/>
                <w:webHidden/>
              </w:rPr>
            </w:r>
            <w:r>
              <w:rPr>
                <w:noProof/>
                <w:webHidden/>
              </w:rPr>
              <w:fldChar w:fldCharType="separate"/>
            </w:r>
            <w:r w:rsidR="002167BA">
              <w:rPr>
                <w:noProof/>
                <w:webHidden/>
              </w:rPr>
              <w:t>8</w:t>
            </w:r>
            <w:r>
              <w:rPr>
                <w:noProof/>
                <w:webHidden/>
              </w:rPr>
              <w:fldChar w:fldCharType="end"/>
            </w:r>
          </w:hyperlink>
        </w:p>
        <w:p w14:paraId="442C2020" w14:textId="460BB2D3" w:rsidR="00C8521E" w:rsidRDefault="00C8521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181041" w:history="1">
            <w:r w:rsidRPr="00FC6CEC">
              <w:rPr>
                <w:rStyle w:val="Hyperlink"/>
                <w:noProof/>
              </w:rPr>
              <w:t>Assessment overview</w:t>
            </w:r>
            <w:r>
              <w:rPr>
                <w:noProof/>
                <w:webHidden/>
              </w:rPr>
              <w:tab/>
            </w:r>
            <w:r>
              <w:rPr>
                <w:noProof/>
                <w:webHidden/>
              </w:rPr>
              <w:fldChar w:fldCharType="begin"/>
            </w:r>
            <w:r>
              <w:rPr>
                <w:noProof/>
                <w:webHidden/>
              </w:rPr>
              <w:instrText xml:space="preserve"> PAGEREF _Toc204181041 \h </w:instrText>
            </w:r>
            <w:r>
              <w:rPr>
                <w:noProof/>
                <w:webHidden/>
              </w:rPr>
            </w:r>
            <w:r>
              <w:rPr>
                <w:noProof/>
                <w:webHidden/>
              </w:rPr>
              <w:fldChar w:fldCharType="separate"/>
            </w:r>
            <w:r w:rsidR="002167BA">
              <w:rPr>
                <w:noProof/>
                <w:webHidden/>
              </w:rPr>
              <w:t>8</w:t>
            </w:r>
            <w:r>
              <w:rPr>
                <w:noProof/>
                <w:webHidden/>
              </w:rPr>
              <w:fldChar w:fldCharType="end"/>
            </w:r>
          </w:hyperlink>
        </w:p>
        <w:p w14:paraId="6BD943E3" w14:textId="0661EE69" w:rsidR="00C8521E" w:rsidRDefault="00C852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81042" w:history="1">
            <w:r w:rsidRPr="00FC6CEC">
              <w:rPr>
                <w:rStyle w:val="Hyperlink"/>
                <w:noProof/>
              </w:rPr>
              <w:t>Quality evaluation summary</w:t>
            </w:r>
            <w:r>
              <w:rPr>
                <w:noProof/>
                <w:webHidden/>
              </w:rPr>
              <w:tab/>
            </w:r>
            <w:r>
              <w:rPr>
                <w:noProof/>
                <w:webHidden/>
              </w:rPr>
              <w:fldChar w:fldCharType="begin"/>
            </w:r>
            <w:r>
              <w:rPr>
                <w:noProof/>
                <w:webHidden/>
              </w:rPr>
              <w:instrText xml:space="preserve"> PAGEREF _Toc204181042 \h </w:instrText>
            </w:r>
            <w:r>
              <w:rPr>
                <w:noProof/>
                <w:webHidden/>
              </w:rPr>
            </w:r>
            <w:r>
              <w:rPr>
                <w:noProof/>
                <w:webHidden/>
              </w:rPr>
              <w:fldChar w:fldCharType="separate"/>
            </w:r>
            <w:r w:rsidR="002167BA">
              <w:rPr>
                <w:noProof/>
                <w:webHidden/>
              </w:rPr>
              <w:t>8</w:t>
            </w:r>
            <w:r>
              <w:rPr>
                <w:noProof/>
                <w:webHidden/>
              </w:rPr>
              <w:fldChar w:fldCharType="end"/>
            </w:r>
          </w:hyperlink>
        </w:p>
        <w:p w14:paraId="090E5A9F" w14:textId="0FBD88BA" w:rsidR="00C8521E" w:rsidRDefault="00C852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81043" w:history="1">
            <w:r w:rsidRPr="00FC6CEC">
              <w:rPr>
                <w:rStyle w:val="Hyperlink"/>
                <w:noProof/>
              </w:rPr>
              <w:t>Nonclinical evaluation summary</w:t>
            </w:r>
            <w:r>
              <w:rPr>
                <w:noProof/>
                <w:webHidden/>
              </w:rPr>
              <w:tab/>
            </w:r>
            <w:r>
              <w:rPr>
                <w:noProof/>
                <w:webHidden/>
              </w:rPr>
              <w:fldChar w:fldCharType="begin"/>
            </w:r>
            <w:r>
              <w:rPr>
                <w:noProof/>
                <w:webHidden/>
              </w:rPr>
              <w:instrText xml:space="preserve"> PAGEREF _Toc204181043 \h </w:instrText>
            </w:r>
            <w:r>
              <w:rPr>
                <w:noProof/>
                <w:webHidden/>
              </w:rPr>
            </w:r>
            <w:r>
              <w:rPr>
                <w:noProof/>
                <w:webHidden/>
              </w:rPr>
              <w:fldChar w:fldCharType="separate"/>
            </w:r>
            <w:r w:rsidR="002167BA">
              <w:rPr>
                <w:noProof/>
                <w:webHidden/>
              </w:rPr>
              <w:t>8</w:t>
            </w:r>
            <w:r>
              <w:rPr>
                <w:noProof/>
                <w:webHidden/>
              </w:rPr>
              <w:fldChar w:fldCharType="end"/>
            </w:r>
          </w:hyperlink>
        </w:p>
        <w:p w14:paraId="06B742AF" w14:textId="434B2533" w:rsidR="00C8521E" w:rsidRDefault="00C852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81044" w:history="1">
            <w:r w:rsidRPr="00FC6CEC">
              <w:rPr>
                <w:rStyle w:val="Hyperlink"/>
                <w:noProof/>
              </w:rPr>
              <w:t>Clinical evaluation summary</w:t>
            </w:r>
            <w:r>
              <w:rPr>
                <w:noProof/>
                <w:webHidden/>
              </w:rPr>
              <w:tab/>
            </w:r>
            <w:r>
              <w:rPr>
                <w:noProof/>
                <w:webHidden/>
              </w:rPr>
              <w:fldChar w:fldCharType="begin"/>
            </w:r>
            <w:r>
              <w:rPr>
                <w:noProof/>
                <w:webHidden/>
              </w:rPr>
              <w:instrText xml:space="preserve"> PAGEREF _Toc204181044 \h </w:instrText>
            </w:r>
            <w:r>
              <w:rPr>
                <w:noProof/>
                <w:webHidden/>
              </w:rPr>
            </w:r>
            <w:r>
              <w:rPr>
                <w:noProof/>
                <w:webHidden/>
              </w:rPr>
              <w:fldChar w:fldCharType="separate"/>
            </w:r>
            <w:r w:rsidR="002167BA">
              <w:rPr>
                <w:noProof/>
                <w:webHidden/>
              </w:rPr>
              <w:t>10</w:t>
            </w:r>
            <w:r>
              <w:rPr>
                <w:noProof/>
                <w:webHidden/>
              </w:rPr>
              <w:fldChar w:fldCharType="end"/>
            </w:r>
          </w:hyperlink>
        </w:p>
        <w:p w14:paraId="3F85DA8A" w14:textId="6707C107" w:rsidR="00C8521E" w:rsidRDefault="00C852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81045" w:history="1">
            <w:r w:rsidRPr="00FC6CEC">
              <w:rPr>
                <w:rStyle w:val="Hyperlink"/>
                <w:noProof/>
              </w:rPr>
              <w:t>Pharmacology</w:t>
            </w:r>
            <w:r>
              <w:rPr>
                <w:noProof/>
                <w:webHidden/>
              </w:rPr>
              <w:tab/>
            </w:r>
            <w:r>
              <w:rPr>
                <w:noProof/>
                <w:webHidden/>
              </w:rPr>
              <w:fldChar w:fldCharType="begin"/>
            </w:r>
            <w:r>
              <w:rPr>
                <w:noProof/>
                <w:webHidden/>
              </w:rPr>
              <w:instrText xml:space="preserve"> PAGEREF _Toc204181045 \h </w:instrText>
            </w:r>
            <w:r>
              <w:rPr>
                <w:noProof/>
                <w:webHidden/>
              </w:rPr>
            </w:r>
            <w:r>
              <w:rPr>
                <w:noProof/>
                <w:webHidden/>
              </w:rPr>
              <w:fldChar w:fldCharType="separate"/>
            </w:r>
            <w:r w:rsidR="002167BA">
              <w:rPr>
                <w:noProof/>
                <w:webHidden/>
              </w:rPr>
              <w:t>10</w:t>
            </w:r>
            <w:r>
              <w:rPr>
                <w:noProof/>
                <w:webHidden/>
              </w:rPr>
              <w:fldChar w:fldCharType="end"/>
            </w:r>
          </w:hyperlink>
        </w:p>
        <w:p w14:paraId="0D1DA4FF" w14:textId="1DB44EB5" w:rsidR="00C8521E" w:rsidRDefault="00C852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81046" w:history="1">
            <w:r w:rsidRPr="00FC6CEC">
              <w:rPr>
                <w:rStyle w:val="Hyperlink"/>
                <w:noProof/>
              </w:rPr>
              <w:t>Efficacy</w:t>
            </w:r>
            <w:r>
              <w:rPr>
                <w:noProof/>
                <w:webHidden/>
              </w:rPr>
              <w:tab/>
            </w:r>
            <w:r>
              <w:rPr>
                <w:noProof/>
                <w:webHidden/>
              </w:rPr>
              <w:fldChar w:fldCharType="begin"/>
            </w:r>
            <w:r>
              <w:rPr>
                <w:noProof/>
                <w:webHidden/>
              </w:rPr>
              <w:instrText xml:space="preserve"> PAGEREF _Toc204181046 \h </w:instrText>
            </w:r>
            <w:r>
              <w:rPr>
                <w:noProof/>
                <w:webHidden/>
              </w:rPr>
            </w:r>
            <w:r>
              <w:rPr>
                <w:noProof/>
                <w:webHidden/>
              </w:rPr>
              <w:fldChar w:fldCharType="separate"/>
            </w:r>
            <w:r w:rsidR="002167BA">
              <w:rPr>
                <w:noProof/>
                <w:webHidden/>
              </w:rPr>
              <w:t>13</w:t>
            </w:r>
            <w:r>
              <w:rPr>
                <w:noProof/>
                <w:webHidden/>
              </w:rPr>
              <w:fldChar w:fldCharType="end"/>
            </w:r>
          </w:hyperlink>
        </w:p>
        <w:p w14:paraId="454F7B57" w14:textId="04400B86" w:rsidR="00C8521E" w:rsidRDefault="00C852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81047" w:history="1">
            <w:r w:rsidRPr="00FC6CEC">
              <w:rPr>
                <w:rStyle w:val="Hyperlink"/>
                <w:noProof/>
              </w:rPr>
              <w:t>Safety</w:t>
            </w:r>
            <w:r>
              <w:rPr>
                <w:noProof/>
                <w:webHidden/>
              </w:rPr>
              <w:tab/>
            </w:r>
            <w:r>
              <w:rPr>
                <w:noProof/>
                <w:webHidden/>
              </w:rPr>
              <w:fldChar w:fldCharType="begin"/>
            </w:r>
            <w:r>
              <w:rPr>
                <w:noProof/>
                <w:webHidden/>
              </w:rPr>
              <w:instrText xml:space="preserve"> PAGEREF _Toc204181047 \h </w:instrText>
            </w:r>
            <w:r>
              <w:rPr>
                <w:noProof/>
                <w:webHidden/>
              </w:rPr>
            </w:r>
            <w:r>
              <w:rPr>
                <w:noProof/>
                <w:webHidden/>
              </w:rPr>
              <w:fldChar w:fldCharType="separate"/>
            </w:r>
            <w:r w:rsidR="002167BA">
              <w:rPr>
                <w:noProof/>
                <w:webHidden/>
              </w:rPr>
              <w:t>22</w:t>
            </w:r>
            <w:r>
              <w:rPr>
                <w:noProof/>
                <w:webHidden/>
              </w:rPr>
              <w:fldChar w:fldCharType="end"/>
            </w:r>
          </w:hyperlink>
        </w:p>
        <w:p w14:paraId="153B94FF" w14:textId="262765CF" w:rsidR="00C8521E" w:rsidRDefault="00C852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81048" w:history="1">
            <w:r w:rsidRPr="00FC6CEC">
              <w:rPr>
                <w:rStyle w:val="Hyperlink"/>
                <w:noProof/>
              </w:rPr>
              <w:t>Risk Management Plan (RMP) evaluation summary</w:t>
            </w:r>
            <w:r>
              <w:rPr>
                <w:noProof/>
                <w:webHidden/>
              </w:rPr>
              <w:tab/>
            </w:r>
            <w:r>
              <w:rPr>
                <w:noProof/>
                <w:webHidden/>
              </w:rPr>
              <w:fldChar w:fldCharType="begin"/>
            </w:r>
            <w:r>
              <w:rPr>
                <w:noProof/>
                <w:webHidden/>
              </w:rPr>
              <w:instrText xml:space="preserve"> PAGEREF _Toc204181048 \h </w:instrText>
            </w:r>
            <w:r>
              <w:rPr>
                <w:noProof/>
                <w:webHidden/>
              </w:rPr>
            </w:r>
            <w:r>
              <w:rPr>
                <w:noProof/>
                <w:webHidden/>
              </w:rPr>
              <w:fldChar w:fldCharType="separate"/>
            </w:r>
            <w:r w:rsidR="002167BA">
              <w:rPr>
                <w:noProof/>
                <w:webHidden/>
              </w:rPr>
              <w:t>27</w:t>
            </w:r>
            <w:r>
              <w:rPr>
                <w:noProof/>
                <w:webHidden/>
              </w:rPr>
              <w:fldChar w:fldCharType="end"/>
            </w:r>
          </w:hyperlink>
        </w:p>
        <w:p w14:paraId="29CFACB1" w14:textId="616CAEC1" w:rsidR="00C8521E" w:rsidRDefault="00C8521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81049" w:history="1">
            <w:r w:rsidRPr="00FC6CEC">
              <w:rPr>
                <w:rStyle w:val="Hyperlink"/>
                <w:noProof/>
              </w:rPr>
              <w:t>Risk-benefit analysis</w:t>
            </w:r>
            <w:r>
              <w:rPr>
                <w:noProof/>
                <w:webHidden/>
              </w:rPr>
              <w:tab/>
            </w:r>
            <w:r>
              <w:rPr>
                <w:noProof/>
                <w:webHidden/>
              </w:rPr>
              <w:fldChar w:fldCharType="begin"/>
            </w:r>
            <w:r>
              <w:rPr>
                <w:noProof/>
                <w:webHidden/>
              </w:rPr>
              <w:instrText xml:space="preserve"> PAGEREF _Toc204181049 \h </w:instrText>
            </w:r>
            <w:r>
              <w:rPr>
                <w:noProof/>
                <w:webHidden/>
              </w:rPr>
            </w:r>
            <w:r>
              <w:rPr>
                <w:noProof/>
                <w:webHidden/>
              </w:rPr>
              <w:fldChar w:fldCharType="separate"/>
            </w:r>
            <w:r w:rsidR="002167BA">
              <w:rPr>
                <w:noProof/>
                <w:webHidden/>
              </w:rPr>
              <w:t>28</w:t>
            </w:r>
            <w:r>
              <w:rPr>
                <w:noProof/>
                <w:webHidden/>
              </w:rPr>
              <w:fldChar w:fldCharType="end"/>
            </w:r>
          </w:hyperlink>
        </w:p>
        <w:p w14:paraId="1F20C2AB" w14:textId="3A5246B5" w:rsidR="00C8521E" w:rsidRDefault="00C852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81050" w:history="1">
            <w:r w:rsidRPr="00FC6CEC">
              <w:rPr>
                <w:rStyle w:val="Hyperlink"/>
                <w:noProof/>
              </w:rPr>
              <w:t>Efficacy</w:t>
            </w:r>
            <w:r>
              <w:rPr>
                <w:noProof/>
                <w:webHidden/>
              </w:rPr>
              <w:tab/>
            </w:r>
            <w:r>
              <w:rPr>
                <w:noProof/>
                <w:webHidden/>
              </w:rPr>
              <w:fldChar w:fldCharType="begin"/>
            </w:r>
            <w:r>
              <w:rPr>
                <w:noProof/>
                <w:webHidden/>
              </w:rPr>
              <w:instrText xml:space="preserve"> PAGEREF _Toc204181050 \h </w:instrText>
            </w:r>
            <w:r>
              <w:rPr>
                <w:noProof/>
                <w:webHidden/>
              </w:rPr>
            </w:r>
            <w:r>
              <w:rPr>
                <w:noProof/>
                <w:webHidden/>
              </w:rPr>
              <w:fldChar w:fldCharType="separate"/>
            </w:r>
            <w:r w:rsidR="002167BA">
              <w:rPr>
                <w:noProof/>
                <w:webHidden/>
              </w:rPr>
              <w:t>28</w:t>
            </w:r>
            <w:r>
              <w:rPr>
                <w:noProof/>
                <w:webHidden/>
              </w:rPr>
              <w:fldChar w:fldCharType="end"/>
            </w:r>
          </w:hyperlink>
        </w:p>
        <w:p w14:paraId="46D8CEB8" w14:textId="2AEE77FF" w:rsidR="00C8521E" w:rsidRDefault="00C852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81051" w:history="1">
            <w:r w:rsidRPr="00FC6CEC">
              <w:rPr>
                <w:rStyle w:val="Hyperlink"/>
                <w:noProof/>
              </w:rPr>
              <w:t>Safety</w:t>
            </w:r>
            <w:r>
              <w:rPr>
                <w:noProof/>
                <w:webHidden/>
              </w:rPr>
              <w:tab/>
            </w:r>
            <w:r>
              <w:rPr>
                <w:noProof/>
                <w:webHidden/>
              </w:rPr>
              <w:fldChar w:fldCharType="begin"/>
            </w:r>
            <w:r>
              <w:rPr>
                <w:noProof/>
                <w:webHidden/>
              </w:rPr>
              <w:instrText xml:space="preserve"> PAGEREF _Toc204181051 \h </w:instrText>
            </w:r>
            <w:r>
              <w:rPr>
                <w:noProof/>
                <w:webHidden/>
              </w:rPr>
            </w:r>
            <w:r>
              <w:rPr>
                <w:noProof/>
                <w:webHidden/>
              </w:rPr>
              <w:fldChar w:fldCharType="separate"/>
            </w:r>
            <w:r w:rsidR="002167BA">
              <w:rPr>
                <w:noProof/>
                <w:webHidden/>
              </w:rPr>
              <w:t>29</w:t>
            </w:r>
            <w:r>
              <w:rPr>
                <w:noProof/>
                <w:webHidden/>
              </w:rPr>
              <w:fldChar w:fldCharType="end"/>
            </w:r>
          </w:hyperlink>
        </w:p>
        <w:p w14:paraId="067F5651" w14:textId="17FDDFBA" w:rsidR="00C8521E" w:rsidRDefault="00C852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81052" w:history="1">
            <w:r w:rsidRPr="00FC6CEC">
              <w:rPr>
                <w:rStyle w:val="Hyperlink"/>
                <w:noProof/>
              </w:rPr>
              <w:t>Independent expert advice</w:t>
            </w:r>
            <w:r>
              <w:rPr>
                <w:noProof/>
                <w:webHidden/>
              </w:rPr>
              <w:tab/>
            </w:r>
            <w:r>
              <w:rPr>
                <w:noProof/>
                <w:webHidden/>
              </w:rPr>
              <w:fldChar w:fldCharType="begin"/>
            </w:r>
            <w:r>
              <w:rPr>
                <w:noProof/>
                <w:webHidden/>
              </w:rPr>
              <w:instrText xml:space="preserve"> PAGEREF _Toc204181052 \h </w:instrText>
            </w:r>
            <w:r>
              <w:rPr>
                <w:noProof/>
                <w:webHidden/>
              </w:rPr>
            </w:r>
            <w:r>
              <w:rPr>
                <w:noProof/>
                <w:webHidden/>
              </w:rPr>
              <w:fldChar w:fldCharType="separate"/>
            </w:r>
            <w:r w:rsidR="002167BA">
              <w:rPr>
                <w:noProof/>
                <w:webHidden/>
              </w:rPr>
              <w:t>30</w:t>
            </w:r>
            <w:r>
              <w:rPr>
                <w:noProof/>
                <w:webHidden/>
              </w:rPr>
              <w:fldChar w:fldCharType="end"/>
            </w:r>
          </w:hyperlink>
        </w:p>
        <w:p w14:paraId="5E1F235C" w14:textId="26DB0656" w:rsidR="00C8521E" w:rsidRDefault="00C8521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181053" w:history="1">
            <w:r w:rsidRPr="00FC6CEC">
              <w:rPr>
                <w:rStyle w:val="Hyperlink"/>
                <w:noProof/>
              </w:rPr>
              <w:t>Assessment outcome</w:t>
            </w:r>
            <w:r>
              <w:rPr>
                <w:noProof/>
                <w:webHidden/>
              </w:rPr>
              <w:tab/>
            </w:r>
            <w:r>
              <w:rPr>
                <w:noProof/>
                <w:webHidden/>
              </w:rPr>
              <w:fldChar w:fldCharType="begin"/>
            </w:r>
            <w:r>
              <w:rPr>
                <w:noProof/>
                <w:webHidden/>
              </w:rPr>
              <w:instrText xml:space="preserve"> PAGEREF _Toc204181053 \h </w:instrText>
            </w:r>
            <w:r>
              <w:rPr>
                <w:noProof/>
                <w:webHidden/>
              </w:rPr>
            </w:r>
            <w:r>
              <w:rPr>
                <w:noProof/>
                <w:webHidden/>
              </w:rPr>
              <w:fldChar w:fldCharType="separate"/>
            </w:r>
            <w:r w:rsidR="002167BA">
              <w:rPr>
                <w:noProof/>
                <w:webHidden/>
              </w:rPr>
              <w:t>34</w:t>
            </w:r>
            <w:r>
              <w:rPr>
                <w:noProof/>
                <w:webHidden/>
              </w:rPr>
              <w:fldChar w:fldCharType="end"/>
            </w:r>
          </w:hyperlink>
        </w:p>
        <w:p w14:paraId="6B9C7AA1" w14:textId="701EE871" w:rsidR="00C8521E" w:rsidRDefault="00C8521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81054" w:history="1">
            <w:r w:rsidRPr="00FC6CEC">
              <w:rPr>
                <w:rStyle w:val="Hyperlink"/>
                <w:noProof/>
              </w:rPr>
              <w:t>Specific conditions of registration</w:t>
            </w:r>
            <w:r>
              <w:rPr>
                <w:noProof/>
                <w:webHidden/>
              </w:rPr>
              <w:tab/>
            </w:r>
            <w:r>
              <w:rPr>
                <w:noProof/>
                <w:webHidden/>
              </w:rPr>
              <w:fldChar w:fldCharType="begin"/>
            </w:r>
            <w:r>
              <w:rPr>
                <w:noProof/>
                <w:webHidden/>
              </w:rPr>
              <w:instrText xml:space="preserve"> PAGEREF _Toc204181054 \h </w:instrText>
            </w:r>
            <w:r>
              <w:rPr>
                <w:noProof/>
                <w:webHidden/>
              </w:rPr>
            </w:r>
            <w:r>
              <w:rPr>
                <w:noProof/>
                <w:webHidden/>
              </w:rPr>
              <w:fldChar w:fldCharType="separate"/>
            </w:r>
            <w:r w:rsidR="002167BA">
              <w:rPr>
                <w:noProof/>
                <w:webHidden/>
              </w:rPr>
              <w:t>34</w:t>
            </w:r>
            <w:r>
              <w:rPr>
                <w:noProof/>
                <w:webHidden/>
              </w:rPr>
              <w:fldChar w:fldCharType="end"/>
            </w:r>
          </w:hyperlink>
        </w:p>
        <w:p w14:paraId="6D195624" w14:textId="53B55BB5" w:rsidR="00C8521E" w:rsidRDefault="00C8521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181055" w:history="1">
            <w:r w:rsidRPr="00FC6CEC">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_Toc204181055 \h </w:instrText>
            </w:r>
            <w:r>
              <w:rPr>
                <w:noProof/>
                <w:webHidden/>
              </w:rPr>
            </w:r>
            <w:r>
              <w:rPr>
                <w:noProof/>
                <w:webHidden/>
              </w:rPr>
              <w:fldChar w:fldCharType="separate"/>
            </w:r>
            <w:r w:rsidR="002167BA">
              <w:rPr>
                <w:noProof/>
                <w:webHidden/>
              </w:rPr>
              <w:t>35</w:t>
            </w:r>
            <w:r>
              <w:rPr>
                <w:noProof/>
                <w:webHidden/>
              </w:rPr>
              <w:fldChar w:fldCharType="end"/>
            </w:r>
          </w:hyperlink>
        </w:p>
        <w:p w14:paraId="77659F2D" w14:textId="000A9366"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56193">
      <w:pPr>
        <w:pStyle w:val="Heading3"/>
      </w:pPr>
      <w:bookmarkStart w:id="0" w:name="_Toc98931917"/>
      <w:bookmarkStart w:id="1" w:name="_Toc103679287"/>
      <w:bookmarkStart w:id="2" w:name="_Toc204181033"/>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549"/>
        <w:gridCol w:w="6511"/>
      </w:tblGrid>
      <w:tr w:rsidR="004A77B1" w:rsidRPr="006F7B91" w14:paraId="4AB60A62" w14:textId="77777777" w:rsidTr="0092543A">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407" w:type="pct"/>
          </w:tcPr>
          <w:p w14:paraId="36FB489E" w14:textId="77777777" w:rsidR="004A77B1" w:rsidRPr="006F7B91" w:rsidRDefault="004A77B1" w:rsidP="0092543A">
            <w:pPr>
              <w:rPr>
                <w:szCs w:val="22"/>
              </w:rPr>
            </w:pPr>
            <w:r w:rsidRPr="006F7B91">
              <w:rPr>
                <w:szCs w:val="22"/>
              </w:rPr>
              <w:t>Abbreviation</w:t>
            </w:r>
          </w:p>
        </w:tc>
        <w:tc>
          <w:tcPr>
            <w:tcW w:w="3593" w:type="pct"/>
          </w:tcPr>
          <w:p w14:paraId="611DAE56" w14:textId="77777777" w:rsidR="004A77B1" w:rsidRPr="006F7B91" w:rsidRDefault="004A77B1" w:rsidP="0092543A">
            <w:pPr>
              <w:cnfStyle w:val="100000000000" w:firstRow="1" w:lastRow="0" w:firstColumn="0" w:lastColumn="0" w:oddVBand="0" w:evenVBand="0" w:oddHBand="0" w:evenHBand="0" w:firstRowFirstColumn="0" w:firstRowLastColumn="0" w:lastRowFirstColumn="0" w:lastRowLastColumn="0"/>
              <w:rPr>
                <w:szCs w:val="22"/>
              </w:rPr>
            </w:pPr>
            <w:r w:rsidRPr="006F7B91">
              <w:rPr>
                <w:szCs w:val="22"/>
              </w:rPr>
              <w:t>Meaning</w:t>
            </w:r>
          </w:p>
        </w:tc>
      </w:tr>
      <w:tr w:rsidR="004A77B1" w:rsidRPr="006F7B91" w14:paraId="49A7D212"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44B93615" w14:textId="77777777" w:rsidR="004A77B1" w:rsidRPr="006F7B91" w:rsidRDefault="004A77B1" w:rsidP="0092543A">
            <w:pPr>
              <w:rPr>
                <w:szCs w:val="22"/>
              </w:rPr>
            </w:pPr>
            <w:r w:rsidRPr="006F7B91">
              <w:rPr>
                <w:szCs w:val="22"/>
              </w:rPr>
              <w:t>AESI</w:t>
            </w:r>
          </w:p>
        </w:tc>
        <w:tc>
          <w:tcPr>
            <w:tcW w:w="3593" w:type="pct"/>
          </w:tcPr>
          <w:p w14:paraId="105C8D5D" w14:textId="77777777" w:rsidR="004A77B1" w:rsidRPr="006F7B91" w:rsidRDefault="004A77B1" w:rsidP="0092543A">
            <w:pPr>
              <w:tabs>
                <w:tab w:val="left" w:pos="3917"/>
              </w:tabs>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6F7B91">
              <w:rPr>
                <w:szCs w:val="22"/>
              </w:rPr>
              <w:t>dverse events of special interest</w:t>
            </w:r>
          </w:p>
        </w:tc>
      </w:tr>
      <w:tr w:rsidR="004A77B1" w:rsidRPr="006F7B91" w14:paraId="59374555"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4632D99A" w14:textId="77777777" w:rsidR="004A77B1" w:rsidRPr="006F7B91" w:rsidRDefault="004A77B1" w:rsidP="0092543A">
            <w:pPr>
              <w:rPr>
                <w:szCs w:val="22"/>
              </w:rPr>
            </w:pPr>
            <w:r w:rsidRPr="006F7B91">
              <w:rPr>
                <w:szCs w:val="22"/>
              </w:rPr>
              <w:t>ARTG</w:t>
            </w:r>
          </w:p>
        </w:tc>
        <w:tc>
          <w:tcPr>
            <w:tcW w:w="3593" w:type="pct"/>
          </w:tcPr>
          <w:p w14:paraId="27D2B35A"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Australian Register of Therapeutic Goods</w:t>
            </w:r>
          </w:p>
        </w:tc>
      </w:tr>
      <w:tr w:rsidR="004A77B1" w:rsidRPr="006F7B91" w14:paraId="2FF6E5C9"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386BAC37" w14:textId="77777777" w:rsidR="004A77B1" w:rsidRPr="006F7B91" w:rsidRDefault="004A77B1" w:rsidP="0092543A">
            <w:pPr>
              <w:rPr>
                <w:szCs w:val="22"/>
              </w:rPr>
            </w:pPr>
            <w:r w:rsidRPr="006F7B91">
              <w:rPr>
                <w:szCs w:val="22"/>
              </w:rPr>
              <w:t>AUC</w:t>
            </w:r>
            <w:r w:rsidRPr="006F7B91">
              <w:rPr>
                <w:szCs w:val="22"/>
                <w:vertAlign w:val="subscript"/>
              </w:rPr>
              <w:sym w:font="Symbol" w:char="F074"/>
            </w:r>
          </w:p>
        </w:tc>
        <w:tc>
          <w:tcPr>
            <w:tcW w:w="3593" w:type="pct"/>
          </w:tcPr>
          <w:p w14:paraId="15BA87C2"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6F7B91">
              <w:rPr>
                <w:szCs w:val="22"/>
              </w:rPr>
              <w:t>rea under the concentration time curve over one dosing interval</w:t>
            </w:r>
          </w:p>
        </w:tc>
      </w:tr>
      <w:tr w:rsidR="004A77B1" w:rsidRPr="006F7B91" w14:paraId="573908BC"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2DDA0E5C" w14:textId="77777777" w:rsidR="004A77B1" w:rsidRPr="006F7B91" w:rsidRDefault="004A77B1" w:rsidP="0092543A">
            <w:pPr>
              <w:rPr>
                <w:szCs w:val="22"/>
              </w:rPr>
            </w:pPr>
            <w:r w:rsidRPr="006F7B91">
              <w:rPr>
                <w:szCs w:val="22"/>
              </w:rPr>
              <w:t>Bb</w:t>
            </w:r>
          </w:p>
        </w:tc>
        <w:tc>
          <w:tcPr>
            <w:tcW w:w="3593" w:type="pct"/>
          </w:tcPr>
          <w:p w14:paraId="2165BE0F"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Fragment Bb of complement Factor B</w:t>
            </w:r>
          </w:p>
        </w:tc>
      </w:tr>
      <w:tr w:rsidR="004A77B1" w:rsidRPr="006F7B91" w14:paraId="0C005B04"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4210F27B" w14:textId="77777777" w:rsidR="004A77B1" w:rsidRPr="006F7B91" w:rsidRDefault="004A77B1" w:rsidP="0092543A">
            <w:pPr>
              <w:rPr>
                <w:szCs w:val="22"/>
              </w:rPr>
            </w:pPr>
            <w:r w:rsidRPr="006F7B91">
              <w:rPr>
                <w:szCs w:val="22"/>
              </w:rPr>
              <w:t>CL/F</w:t>
            </w:r>
          </w:p>
        </w:tc>
        <w:tc>
          <w:tcPr>
            <w:tcW w:w="3593" w:type="pct"/>
          </w:tcPr>
          <w:p w14:paraId="1F333EE3"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6F7B91">
              <w:rPr>
                <w:szCs w:val="22"/>
              </w:rPr>
              <w:t>pparent clearance</w:t>
            </w:r>
          </w:p>
        </w:tc>
      </w:tr>
      <w:tr w:rsidR="004A77B1" w:rsidRPr="006F7B91" w14:paraId="1BDF47FC"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04B0660C" w14:textId="77777777" w:rsidR="004A77B1" w:rsidRPr="006F7B91" w:rsidRDefault="004A77B1" w:rsidP="0092543A">
            <w:pPr>
              <w:rPr>
                <w:szCs w:val="22"/>
              </w:rPr>
            </w:pPr>
            <w:r w:rsidRPr="006F7B91">
              <w:rPr>
                <w:szCs w:val="22"/>
              </w:rPr>
              <w:t>CI</w:t>
            </w:r>
          </w:p>
        </w:tc>
        <w:tc>
          <w:tcPr>
            <w:tcW w:w="3593" w:type="pct"/>
          </w:tcPr>
          <w:p w14:paraId="7E4799AC"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Confidence interval</w:t>
            </w:r>
          </w:p>
        </w:tc>
      </w:tr>
      <w:tr w:rsidR="004A77B1" w:rsidRPr="006F7B91" w14:paraId="4FD520B6"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5FD9429F" w14:textId="77777777" w:rsidR="004A77B1" w:rsidRPr="006F7B91" w:rsidRDefault="004A77B1" w:rsidP="0092543A">
            <w:pPr>
              <w:rPr>
                <w:szCs w:val="22"/>
              </w:rPr>
            </w:pPr>
            <w:r w:rsidRPr="006F7B91">
              <w:rPr>
                <w:szCs w:val="22"/>
              </w:rPr>
              <w:t>C</w:t>
            </w:r>
            <w:r w:rsidRPr="006F7B91">
              <w:rPr>
                <w:szCs w:val="22"/>
                <w:vertAlign w:val="subscript"/>
              </w:rPr>
              <w:t>max</w:t>
            </w:r>
          </w:p>
        </w:tc>
        <w:tc>
          <w:tcPr>
            <w:tcW w:w="3593" w:type="pct"/>
          </w:tcPr>
          <w:p w14:paraId="2CDDB0D2"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Maximum concentration</w:t>
            </w:r>
          </w:p>
        </w:tc>
      </w:tr>
      <w:tr w:rsidR="004A77B1" w:rsidRPr="006F7B91" w14:paraId="4F4093CF"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3E54B757" w14:textId="77777777" w:rsidR="004A77B1" w:rsidRPr="006F7B91" w:rsidRDefault="004A77B1" w:rsidP="0092543A">
            <w:pPr>
              <w:rPr>
                <w:szCs w:val="22"/>
              </w:rPr>
            </w:pPr>
            <w:r w:rsidRPr="006F7B91">
              <w:rPr>
                <w:szCs w:val="22"/>
              </w:rPr>
              <w:t>C</w:t>
            </w:r>
            <w:r w:rsidRPr="006F7B91">
              <w:rPr>
                <w:szCs w:val="22"/>
                <w:vertAlign w:val="subscript"/>
              </w:rPr>
              <w:t>trough</w:t>
            </w:r>
            <w:r w:rsidRPr="006F7B91">
              <w:rPr>
                <w:szCs w:val="22"/>
              </w:rPr>
              <w:t xml:space="preserve">, </w:t>
            </w:r>
            <w:r w:rsidRPr="006F7B91">
              <w:rPr>
                <w:szCs w:val="22"/>
                <w:vertAlign w:val="subscript"/>
              </w:rPr>
              <w:t>ss</w:t>
            </w:r>
          </w:p>
        </w:tc>
        <w:tc>
          <w:tcPr>
            <w:tcW w:w="3593" w:type="pct"/>
          </w:tcPr>
          <w:p w14:paraId="530A5A8C"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6F7B91">
              <w:rPr>
                <w:szCs w:val="22"/>
              </w:rPr>
              <w:t>re-dose concentration</w:t>
            </w:r>
            <w:r>
              <w:rPr>
                <w:szCs w:val="22"/>
              </w:rPr>
              <w:t>, steady state</w:t>
            </w:r>
          </w:p>
        </w:tc>
      </w:tr>
      <w:tr w:rsidR="004A77B1" w:rsidRPr="006F7B91" w14:paraId="765F8894"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7B735C10" w14:textId="77777777" w:rsidR="004A77B1" w:rsidRPr="006F7B91" w:rsidRDefault="004A77B1" w:rsidP="0092543A">
            <w:pPr>
              <w:rPr>
                <w:szCs w:val="22"/>
              </w:rPr>
            </w:pPr>
            <w:r w:rsidRPr="006F7B91">
              <w:rPr>
                <w:szCs w:val="22"/>
              </w:rPr>
              <w:t>DCO</w:t>
            </w:r>
          </w:p>
        </w:tc>
        <w:tc>
          <w:tcPr>
            <w:tcW w:w="3593" w:type="pct"/>
          </w:tcPr>
          <w:p w14:paraId="139FD949"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Data cut -off</w:t>
            </w:r>
          </w:p>
        </w:tc>
      </w:tr>
      <w:tr w:rsidR="004A77B1" w:rsidRPr="006F7B91" w14:paraId="18C5BA80"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4A078569" w14:textId="77777777" w:rsidR="004A77B1" w:rsidRPr="006F7B91" w:rsidRDefault="004A77B1" w:rsidP="0092543A">
            <w:pPr>
              <w:rPr>
                <w:szCs w:val="22"/>
              </w:rPr>
            </w:pPr>
            <w:r w:rsidRPr="006F7B91">
              <w:rPr>
                <w:szCs w:val="22"/>
              </w:rPr>
              <w:t>GPI</w:t>
            </w:r>
          </w:p>
        </w:tc>
        <w:tc>
          <w:tcPr>
            <w:tcW w:w="3593" w:type="pct"/>
          </w:tcPr>
          <w:p w14:paraId="1D95D980"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 xml:space="preserve">Glycosylphosphatidylinositol </w:t>
            </w:r>
          </w:p>
        </w:tc>
      </w:tr>
      <w:tr w:rsidR="004A77B1" w:rsidRPr="006F7B91" w14:paraId="6C0DD803"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74908069" w14:textId="77777777" w:rsidR="004A77B1" w:rsidRPr="006F7B91" w:rsidRDefault="004A77B1" w:rsidP="0092543A">
            <w:pPr>
              <w:rPr>
                <w:szCs w:val="22"/>
              </w:rPr>
            </w:pPr>
            <w:r w:rsidRPr="006F7B91">
              <w:rPr>
                <w:szCs w:val="22"/>
              </w:rPr>
              <w:t>Hb</w:t>
            </w:r>
          </w:p>
        </w:tc>
        <w:tc>
          <w:tcPr>
            <w:tcW w:w="3593" w:type="pct"/>
          </w:tcPr>
          <w:p w14:paraId="669B3A06"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Haemoglobin</w:t>
            </w:r>
          </w:p>
        </w:tc>
      </w:tr>
      <w:tr w:rsidR="004A77B1" w:rsidRPr="006F7B91" w14:paraId="1C840DAA"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6A24D124" w14:textId="77777777" w:rsidR="004A77B1" w:rsidRPr="006F7B91" w:rsidRDefault="004A77B1" w:rsidP="0092543A">
            <w:pPr>
              <w:rPr>
                <w:szCs w:val="22"/>
              </w:rPr>
            </w:pPr>
            <w:r w:rsidRPr="006F7B91">
              <w:rPr>
                <w:szCs w:val="22"/>
              </w:rPr>
              <w:t>PD</w:t>
            </w:r>
          </w:p>
        </w:tc>
        <w:tc>
          <w:tcPr>
            <w:tcW w:w="3593" w:type="pct"/>
          </w:tcPr>
          <w:p w14:paraId="21783B34"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Pharmacodynamic(s)</w:t>
            </w:r>
          </w:p>
        </w:tc>
      </w:tr>
      <w:tr w:rsidR="004A77B1" w:rsidRPr="006F7B91" w14:paraId="102755D5"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110CE916" w14:textId="77777777" w:rsidR="004A77B1" w:rsidRPr="006F7B91" w:rsidRDefault="004A77B1" w:rsidP="0092543A">
            <w:pPr>
              <w:rPr>
                <w:szCs w:val="22"/>
              </w:rPr>
            </w:pPr>
            <w:r w:rsidRPr="006F7B91">
              <w:rPr>
                <w:szCs w:val="22"/>
              </w:rPr>
              <w:t>PI</w:t>
            </w:r>
          </w:p>
        </w:tc>
        <w:tc>
          <w:tcPr>
            <w:tcW w:w="3593" w:type="pct"/>
          </w:tcPr>
          <w:p w14:paraId="3756988E"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Product Information</w:t>
            </w:r>
          </w:p>
        </w:tc>
      </w:tr>
      <w:tr w:rsidR="004A77B1" w:rsidRPr="006F7B91" w14:paraId="17571900"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5014827A" w14:textId="77777777" w:rsidR="004A77B1" w:rsidRPr="006F7B91" w:rsidRDefault="004A77B1" w:rsidP="0092543A">
            <w:pPr>
              <w:rPr>
                <w:szCs w:val="22"/>
              </w:rPr>
            </w:pPr>
            <w:r w:rsidRPr="006F7B91">
              <w:rPr>
                <w:szCs w:val="22"/>
              </w:rPr>
              <w:t>PK</w:t>
            </w:r>
          </w:p>
        </w:tc>
        <w:tc>
          <w:tcPr>
            <w:tcW w:w="3593" w:type="pct"/>
          </w:tcPr>
          <w:p w14:paraId="3DDE61B4"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Pharmacokinetic(s)</w:t>
            </w:r>
          </w:p>
        </w:tc>
      </w:tr>
      <w:tr w:rsidR="004A77B1" w:rsidRPr="006F7B91" w14:paraId="76104C79"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0366C9FA" w14:textId="77777777" w:rsidR="004A77B1" w:rsidRPr="006F7B91" w:rsidRDefault="004A77B1" w:rsidP="0092543A">
            <w:pPr>
              <w:rPr>
                <w:szCs w:val="22"/>
              </w:rPr>
            </w:pPr>
            <w:r w:rsidRPr="006F7B91">
              <w:rPr>
                <w:szCs w:val="22"/>
              </w:rPr>
              <w:t>PNH</w:t>
            </w:r>
          </w:p>
        </w:tc>
        <w:tc>
          <w:tcPr>
            <w:tcW w:w="3593" w:type="pct"/>
          </w:tcPr>
          <w:p w14:paraId="195F3F69"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Paroxysmal nocturnal</w:t>
            </w:r>
            <w:r w:rsidRPr="006F7B91">
              <w:rPr>
                <w:b/>
                <w:bCs/>
                <w:szCs w:val="22"/>
              </w:rPr>
              <w:t xml:space="preserve"> </w:t>
            </w:r>
            <w:r w:rsidRPr="006F7B91">
              <w:rPr>
                <w:szCs w:val="22"/>
              </w:rPr>
              <w:t>hemoglobinuria</w:t>
            </w:r>
          </w:p>
        </w:tc>
      </w:tr>
      <w:tr w:rsidR="004A77B1" w:rsidRPr="006F7B91" w14:paraId="63A66014"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6A52BA09" w14:textId="77777777" w:rsidR="004A77B1" w:rsidRPr="006F7B91" w:rsidRDefault="004A77B1" w:rsidP="0092543A">
            <w:pPr>
              <w:rPr>
                <w:szCs w:val="22"/>
              </w:rPr>
            </w:pPr>
            <w:r w:rsidRPr="006F7B91">
              <w:rPr>
                <w:szCs w:val="22"/>
              </w:rPr>
              <w:t>popPK</w:t>
            </w:r>
          </w:p>
        </w:tc>
        <w:tc>
          <w:tcPr>
            <w:tcW w:w="3593" w:type="pct"/>
          </w:tcPr>
          <w:p w14:paraId="02B7E3AF"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Population pharmacokinetic(s)</w:t>
            </w:r>
          </w:p>
        </w:tc>
      </w:tr>
      <w:tr w:rsidR="004A77B1" w:rsidRPr="006F7B91" w14:paraId="2DF43568"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00C0BF41" w14:textId="77777777" w:rsidR="004A77B1" w:rsidRPr="006F7B91" w:rsidRDefault="004A77B1" w:rsidP="0092543A">
            <w:pPr>
              <w:rPr>
                <w:szCs w:val="22"/>
              </w:rPr>
            </w:pPr>
            <w:r w:rsidRPr="006F7B91">
              <w:rPr>
                <w:szCs w:val="22"/>
              </w:rPr>
              <w:t>PSUR</w:t>
            </w:r>
          </w:p>
        </w:tc>
        <w:tc>
          <w:tcPr>
            <w:tcW w:w="3593" w:type="pct"/>
          </w:tcPr>
          <w:p w14:paraId="7D75DEE0"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Periodic safety update report</w:t>
            </w:r>
          </w:p>
        </w:tc>
      </w:tr>
      <w:tr w:rsidR="004A77B1" w:rsidRPr="006F7B91" w14:paraId="3D108EC6"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0CB1A9BB" w14:textId="77777777" w:rsidR="004A77B1" w:rsidRPr="006F7B91" w:rsidRDefault="004A77B1" w:rsidP="0092543A">
            <w:pPr>
              <w:rPr>
                <w:szCs w:val="22"/>
              </w:rPr>
            </w:pPr>
            <w:r w:rsidRPr="006F7B91">
              <w:rPr>
                <w:szCs w:val="22"/>
              </w:rPr>
              <w:t>RMP</w:t>
            </w:r>
          </w:p>
        </w:tc>
        <w:tc>
          <w:tcPr>
            <w:tcW w:w="3593" w:type="pct"/>
          </w:tcPr>
          <w:p w14:paraId="16C92156"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Risk management plan</w:t>
            </w:r>
          </w:p>
        </w:tc>
      </w:tr>
      <w:tr w:rsidR="004A77B1" w:rsidRPr="006F7B91" w14:paraId="01E330D1"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3F42140D" w14:textId="77777777" w:rsidR="004A77B1" w:rsidRPr="006F7B91" w:rsidRDefault="004A77B1" w:rsidP="0092543A">
            <w:pPr>
              <w:rPr>
                <w:szCs w:val="22"/>
              </w:rPr>
            </w:pPr>
            <w:r w:rsidRPr="006F7B91">
              <w:rPr>
                <w:szCs w:val="22"/>
              </w:rPr>
              <w:t>SAEs</w:t>
            </w:r>
          </w:p>
        </w:tc>
        <w:tc>
          <w:tcPr>
            <w:tcW w:w="3593" w:type="pct"/>
          </w:tcPr>
          <w:p w14:paraId="6508138F"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 xml:space="preserve">Serious adverse event(s) </w:t>
            </w:r>
          </w:p>
        </w:tc>
      </w:tr>
      <w:tr w:rsidR="004A77B1" w:rsidRPr="006F7B91" w14:paraId="3DB58204"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03D46991" w14:textId="77777777" w:rsidR="004A77B1" w:rsidRPr="006F7B91" w:rsidRDefault="004A77B1" w:rsidP="0092543A">
            <w:pPr>
              <w:rPr>
                <w:szCs w:val="22"/>
              </w:rPr>
            </w:pPr>
            <w:r w:rsidRPr="006F7B91">
              <w:rPr>
                <w:szCs w:val="22"/>
              </w:rPr>
              <w:t xml:space="preserve">SD </w:t>
            </w:r>
          </w:p>
        </w:tc>
        <w:tc>
          <w:tcPr>
            <w:tcW w:w="3593" w:type="pct"/>
          </w:tcPr>
          <w:p w14:paraId="06E29688"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Standard deviation</w:t>
            </w:r>
          </w:p>
        </w:tc>
      </w:tr>
      <w:tr w:rsidR="004A77B1" w:rsidRPr="006F7B91" w14:paraId="5743FE6D"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77499AE3" w14:textId="77777777" w:rsidR="004A77B1" w:rsidRPr="006F7B91" w:rsidRDefault="004A77B1" w:rsidP="0092543A">
            <w:pPr>
              <w:rPr>
                <w:szCs w:val="22"/>
              </w:rPr>
            </w:pPr>
            <w:r w:rsidRPr="006F7B91">
              <w:rPr>
                <w:szCs w:val="22"/>
              </w:rPr>
              <w:t>TEAE</w:t>
            </w:r>
          </w:p>
        </w:tc>
        <w:tc>
          <w:tcPr>
            <w:tcW w:w="3593" w:type="pct"/>
          </w:tcPr>
          <w:p w14:paraId="5DC7DBB1"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 xml:space="preserve"> treatment-emergent adverse event</w:t>
            </w:r>
            <w:r>
              <w:rPr>
                <w:szCs w:val="22"/>
              </w:rPr>
              <w:t>(s)</w:t>
            </w:r>
          </w:p>
        </w:tc>
      </w:tr>
      <w:tr w:rsidR="004A77B1" w:rsidRPr="006F7B91" w14:paraId="08D0F0AC"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66846F5E" w14:textId="77777777" w:rsidR="004A77B1" w:rsidRPr="006F7B91" w:rsidRDefault="004A77B1" w:rsidP="0092543A">
            <w:pPr>
              <w:rPr>
                <w:szCs w:val="22"/>
              </w:rPr>
            </w:pPr>
            <w:r w:rsidRPr="006F7B91">
              <w:rPr>
                <w:szCs w:val="22"/>
              </w:rPr>
              <w:t>TGA</w:t>
            </w:r>
          </w:p>
        </w:tc>
        <w:tc>
          <w:tcPr>
            <w:tcW w:w="3593" w:type="pct"/>
          </w:tcPr>
          <w:p w14:paraId="01B145D7"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Therapeutic Goods Administration</w:t>
            </w:r>
          </w:p>
        </w:tc>
      </w:tr>
      <w:tr w:rsidR="004A77B1" w:rsidRPr="006F7B91" w14:paraId="6971DE8E"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52ADA65D" w14:textId="3DFF1136" w:rsidR="004A77B1" w:rsidRPr="006F7B91" w:rsidRDefault="004A77B1" w:rsidP="0092543A">
            <w:pPr>
              <w:rPr>
                <w:szCs w:val="22"/>
              </w:rPr>
            </w:pPr>
            <w:r w:rsidRPr="006F7B91">
              <w:rPr>
                <w:szCs w:val="22"/>
              </w:rPr>
              <w:t>T</w:t>
            </w:r>
            <w:r w:rsidRPr="006F7B91">
              <w:rPr>
                <w:szCs w:val="22"/>
                <w:vertAlign w:val="subscript"/>
              </w:rPr>
              <w:t>max</w:t>
            </w:r>
            <w:r w:rsidRPr="006F7B91">
              <w:rPr>
                <w:szCs w:val="22"/>
              </w:rPr>
              <w:t xml:space="preserve"> </w:t>
            </w:r>
          </w:p>
        </w:tc>
        <w:tc>
          <w:tcPr>
            <w:tcW w:w="3593" w:type="pct"/>
          </w:tcPr>
          <w:p w14:paraId="6AD4313D" w14:textId="15B2EEEB" w:rsidR="004A77B1" w:rsidRPr="006F7B91" w:rsidRDefault="000E2FCD"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Time to reach C</w:t>
            </w:r>
            <w:r w:rsidRPr="00886A3F">
              <w:rPr>
                <w:szCs w:val="22"/>
                <w:vertAlign w:val="subscript"/>
              </w:rPr>
              <w:t>max</w:t>
            </w:r>
          </w:p>
        </w:tc>
      </w:tr>
      <w:tr w:rsidR="004A77B1" w:rsidRPr="006F7B91" w14:paraId="79CBF785"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407" w:type="pct"/>
          </w:tcPr>
          <w:p w14:paraId="5073CEEB" w14:textId="42BA9342" w:rsidR="004A77B1" w:rsidRPr="006F7B91" w:rsidRDefault="004A77B1" w:rsidP="0092543A">
            <w:pPr>
              <w:rPr>
                <w:szCs w:val="22"/>
              </w:rPr>
            </w:pPr>
            <w:r w:rsidRPr="006F7B91">
              <w:rPr>
                <w:szCs w:val="22"/>
              </w:rPr>
              <w:t>V</w:t>
            </w:r>
            <w:r w:rsidRPr="004A77B1">
              <w:rPr>
                <w:szCs w:val="22"/>
                <w:vertAlign w:val="subscript"/>
              </w:rPr>
              <w:t>z</w:t>
            </w:r>
            <w:r w:rsidRPr="006F7B91">
              <w:rPr>
                <w:szCs w:val="22"/>
              </w:rPr>
              <w:t xml:space="preserve">/F </w:t>
            </w:r>
          </w:p>
        </w:tc>
        <w:tc>
          <w:tcPr>
            <w:tcW w:w="3593" w:type="pct"/>
          </w:tcPr>
          <w:p w14:paraId="05D5E557" w14:textId="77777777" w:rsidR="004A77B1" w:rsidRPr="006F7B91" w:rsidRDefault="004A77B1" w:rsidP="0092543A">
            <w:pPr>
              <w:cnfStyle w:val="000000000000" w:firstRow="0" w:lastRow="0" w:firstColumn="0" w:lastColumn="0" w:oddVBand="0" w:evenVBand="0" w:oddHBand="0" w:evenHBand="0" w:firstRowFirstColumn="0" w:firstRowLastColumn="0" w:lastRowFirstColumn="0" w:lastRowLastColumn="0"/>
              <w:rPr>
                <w:szCs w:val="22"/>
              </w:rPr>
            </w:pPr>
            <w:r w:rsidRPr="006F7B91">
              <w:rPr>
                <w:szCs w:val="22"/>
              </w:rPr>
              <w:t>Volume of distribution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6ED0E7C1" w:rsidR="00324B33" w:rsidRDefault="00D94290" w:rsidP="00324B33">
      <w:pPr>
        <w:pStyle w:val="Heading2"/>
      </w:pPr>
      <w:bookmarkStart w:id="5" w:name="_Toc204181034"/>
      <w:r w:rsidRPr="00D94290">
        <w:lastRenderedPageBreak/>
        <w:t>FABHALTA</w:t>
      </w:r>
      <w:r w:rsidR="001B5CA6" w:rsidRPr="001B5CA6">
        <w:t xml:space="preserve"> (</w:t>
      </w:r>
      <w:r w:rsidR="00090FDF" w:rsidRPr="00090FDF">
        <w:t>iptacopan</w:t>
      </w:r>
      <w:r w:rsidR="001B5CA6" w:rsidRPr="001B5CA6">
        <w:t>) submission</w:t>
      </w:r>
      <w:bookmarkEnd w:id="5"/>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2B9868F" w:rsidR="00324B33" w:rsidRPr="00BD5DBD" w:rsidRDefault="00324B33" w:rsidP="007452E8">
            <w:pPr>
              <w:rPr>
                <w:i/>
                <w:szCs w:val="22"/>
              </w:rPr>
            </w:pPr>
            <w:r w:rsidRPr="00BD5DBD">
              <w:rPr>
                <w:i/>
                <w:szCs w:val="22"/>
              </w:rPr>
              <w:t>Type of submission:</w:t>
            </w:r>
          </w:p>
        </w:tc>
        <w:tc>
          <w:tcPr>
            <w:tcW w:w="3423" w:type="pct"/>
          </w:tcPr>
          <w:p w14:paraId="4F07C303" w14:textId="2E4FAF57"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1F1F6AEE" w:rsidR="00324B33" w:rsidRPr="00BD5DBD" w:rsidRDefault="00324B33" w:rsidP="007452E8">
            <w:pPr>
              <w:rPr>
                <w:i/>
                <w:szCs w:val="22"/>
              </w:rPr>
            </w:pPr>
            <w:r w:rsidRPr="00BD5DBD">
              <w:rPr>
                <w:i/>
                <w:szCs w:val="22"/>
              </w:rPr>
              <w:t>Product name:</w:t>
            </w:r>
          </w:p>
        </w:tc>
        <w:tc>
          <w:tcPr>
            <w:tcW w:w="3423" w:type="pct"/>
          </w:tcPr>
          <w:p w14:paraId="0E2DEF76" w14:textId="61A20179" w:rsidR="00324B33" w:rsidRPr="00BD5DBD" w:rsidRDefault="0044709A" w:rsidP="007452E8">
            <w:pPr>
              <w:rPr>
                <w:szCs w:val="22"/>
              </w:rPr>
            </w:pPr>
            <w:r w:rsidRPr="0044709A">
              <w:rPr>
                <w:szCs w:val="22"/>
              </w:rPr>
              <w:t>FABHALTA</w:t>
            </w:r>
          </w:p>
        </w:tc>
      </w:tr>
      <w:tr w:rsidR="00324B33" w:rsidRPr="00BD5DBD" w14:paraId="01255B5B" w14:textId="77777777" w:rsidTr="00F865A7">
        <w:tc>
          <w:tcPr>
            <w:tcW w:w="1577" w:type="pct"/>
          </w:tcPr>
          <w:p w14:paraId="52B4F3D7" w14:textId="1355FC7D" w:rsidR="00324B33" w:rsidRPr="00BD5DBD" w:rsidRDefault="00324B33" w:rsidP="007452E8">
            <w:pPr>
              <w:rPr>
                <w:i/>
                <w:szCs w:val="22"/>
              </w:rPr>
            </w:pPr>
            <w:r w:rsidRPr="00BD5DBD">
              <w:rPr>
                <w:i/>
                <w:szCs w:val="22"/>
              </w:rPr>
              <w:t>Active ingredient:</w:t>
            </w:r>
          </w:p>
        </w:tc>
        <w:tc>
          <w:tcPr>
            <w:tcW w:w="3423" w:type="pct"/>
          </w:tcPr>
          <w:p w14:paraId="02FB6383" w14:textId="35AB6C03" w:rsidR="00324B33" w:rsidRPr="00BD5DBD" w:rsidRDefault="00E232B2" w:rsidP="007452E8">
            <w:pPr>
              <w:rPr>
                <w:szCs w:val="22"/>
              </w:rPr>
            </w:pPr>
            <w:r w:rsidRPr="00E232B2">
              <w:rPr>
                <w:szCs w:val="22"/>
              </w:rPr>
              <w:t>iptacopan</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2F953924"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12631F5E" w:rsidR="00AE1947" w:rsidRPr="00BD5DBD" w:rsidRDefault="001A4208" w:rsidP="00442373">
            <w:pPr>
              <w:rPr>
                <w:szCs w:val="22"/>
              </w:rPr>
            </w:pPr>
            <w:r w:rsidRPr="001A4208">
              <w:rPr>
                <w:szCs w:val="22"/>
              </w:rPr>
              <w:t>6 August 2024</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43293B12" w:rsidR="00324B33" w:rsidRPr="00BD5DBD" w:rsidRDefault="002227C6" w:rsidP="007452E8">
            <w:pPr>
              <w:rPr>
                <w:szCs w:val="22"/>
              </w:rPr>
            </w:pPr>
            <w:r w:rsidRPr="002227C6">
              <w:rPr>
                <w:szCs w:val="22"/>
              </w:rPr>
              <w:t>12 August 2024</w:t>
            </w:r>
          </w:p>
        </w:tc>
      </w:tr>
      <w:tr w:rsidR="00324B33" w:rsidRPr="00BD5DBD" w14:paraId="547E08D7" w14:textId="77777777" w:rsidTr="00F865A7">
        <w:tc>
          <w:tcPr>
            <w:tcW w:w="1577" w:type="pct"/>
          </w:tcPr>
          <w:p w14:paraId="5030EF30" w14:textId="72931416" w:rsidR="00324B33" w:rsidRPr="00BD5DBD" w:rsidRDefault="00324B33" w:rsidP="007452E8">
            <w:pPr>
              <w:rPr>
                <w:i/>
                <w:szCs w:val="22"/>
              </w:rPr>
            </w:pPr>
            <w:r w:rsidRPr="00BD5DBD">
              <w:rPr>
                <w:i/>
                <w:szCs w:val="22"/>
              </w:rPr>
              <w:t>ARTG number:</w:t>
            </w:r>
          </w:p>
        </w:tc>
        <w:tc>
          <w:tcPr>
            <w:tcW w:w="3423" w:type="pct"/>
          </w:tcPr>
          <w:p w14:paraId="0054E912" w14:textId="10CB2ABE" w:rsidR="00324B33" w:rsidRPr="00BD5DBD" w:rsidRDefault="00A84C55" w:rsidP="007452E8">
            <w:pPr>
              <w:rPr>
                <w:szCs w:val="22"/>
              </w:rPr>
            </w:pPr>
            <w:hyperlink r:id="rId18" w:history="1">
              <w:r w:rsidRPr="00A84C55">
                <w:rPr>
                  <w:rStyle w:val="Hyperlink"/>
                  <w:szCs w:val="22"/>
                </w:rPr>
                <w:t>410830</w:t>
              </w:r>
            </w:hyperlink>
          </w:p>
        </w:tc>
      </w:tr>
      <w:tr w:rsidR="00324B33" w:rsidRPr="00BD5DBD" w14:paraId="7618393F" w14:textId="77777777" w:rsidTr="00F865A7">
        <w:tc>
          <w:tcPr>
            <w:tcW w:w="1577" w:type="pct"/>
          </w:tcPr>
          <w:p w14:paraId="02260DE2" w14:textId="42CC2D58" w:rsidR="00324B33" w:rsidRPr="00BD5DBD" w:rsidRDefault="00324B33" w:rsidP="00A84C55">
            <w:pPr>
              <w:rPr>
                <w:i/>
                <w:szCs w:val="22"/>
              </w:rPr>
            </w:pPr>
            <w:r w:rsidRPr="00BD5DBD">
              <w:rPr>
                <w:rFonts w:ascii="Wingdings 3" w:hAnsi="Wingdings 3"/>
                <w:szCs w:val="22"/>
                <w:lang w:eastAsia="en-AU"/>
              </w:rPr>
              <w:t></w:t>
            </w:r>
            <w:hyperlink r:id="rId19" w:history="1">
              <w:r w:rsidRPr="00BD5DBD">
                <w:rPr>
                  <w:rStyle w:val="Hyperlink"/>
                  <w:i/>
                  <w:szCs w:val="22"/>
                </w:rPr>
                <w:t>Black Triangle Scheme</w:t>
              </w:r>
            </w:hyperlink>
          </w:p>
        </w:tc>
        <w:tc>
          <w:tcPr>
            <w:tcW w:w="3423" w:type="pct"/>
          </w:tcPr>
          <w:p w14:paraId="6FF3C6A2" w14:textId="07A7EC87"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08F5C07E" w:rsidR="00324B33" w:rsidRPr="00BD5DBD" w:rsidRDefault="003105E1" w:rsidP="007452E8">
            <w:pPr>
              <w:rPr>
                <w:i/>
                <w:szCs w:val="22"/>
              </w:rPr>
            </w:pPr>
            <w:r>
              <w:rPr>
                <w:i/>
                <w:szCs w:val="22"/>
              </w:rPr>
              <w:t>Sponsor</w:t>
            </w:r>
            <w:r w:rsidR="00324B33" w:rsidRPr="00BD5DBD">
              <w:rPr>
                <w:i/>
                <w:szCs w:val="22"/>
              </w:rPr>
              <w:t>’s name and address:</w:t>
            </w:r>
          </w:p>
        </w:tc>
        <w:tc>
          <w:tcPr>
            <w:tcW w:w="3423" w:type="pct"/>
          </w:tcPr>
          <w:p w14:paraId="68DD94B0" w14:textId="2ADEEF22" w:rsidR="00324B33" w:rsidRPr="00BD5DBD" w:rsidRDefault="00A3480F" w:rsidP="00A3480F">
            <w:pPr>
              <w:rPr>
                <w:szCs w:val="22"/>
              </w:rPr>
            </w:pPr>
            <w:r w:rsidRPr="00A3480F">
              <w:rPr>
                <w:szCs w:val="22"/>
              </w:rPr>
              <w:t>Novartis Pharmaceuticals Australia Pty Limited</w:t>
            </w:r>
            <w:r>
              <w:rPr>
                <w:szCs w:val="22"/>
              </w:rPr>
              <w:t xml:space="preserve">, </w:t>
            </w:r>
            <w:r w:rsidRPr="00A3480F">
              <w:rPr>
                <w:szCs w:val="22"/>
              </w:rPr>
              <w:t>54 Waterloo</w:t>
            </w:r>
            <w:r>
              <w:rPr>
                <w:szCs w:val="22"/>
              </w:rPr>
              <w:t xml:space="preserve"> </w:t>
            </w:r>
            <w:r w:rsidRPr="00A3480F">
              <w:rPr>
                <w:szCs w:val="22"/>
              </w:rPr>
              <w:t>Road</w:t>
            </w:r>
            <w:r>
              <w:rPr>
                <w:szCs w:val="22"/>
              </w:rPr>
              <w:t xml:space="preserve">, </w:t>
            </w:r>
            <w:r w:rsidRPr="00A3480F">
              <w:rPr>
                <w:szCs w:val="22"/>
              </w:rPr>
              <w:t>Macquarie Park NSW 2113</w:t>
            </w:r>
          </w:p>
        </w:tc>
      </w:tr>
      <w:tr w:rsidR="00324B33" w:rsidRPr="00BD5DBD" w14:paraId="5322B989" w14:textId="77777777" w:rsidTr="00F865A7">
        <w:tc>
          <w:tcPr>
            <w:tcW w:w="1577" w:type="pct"/>
          </w:tcPr>
          <w:p w14:paraId="24F217E3" w14:textId="6CA7F868" w:rsidR="00324B33" w:rsidRPr="00BD5DBD" w:rsidRDefault="00324B33" w:rsidP="007452E8">
            <w:pPr>
              <w:rPr>
                <w:i/>
                <w:szCs w:val="22"/>
              </w:rPr>
            </w:pPr>
            <w:r w:rsidRPr="00BD5DBD">
              <w:rPr>
                <w:i/>
                <w:szCs w:val="22"/>
              </w:rPr>
              <w:t>Dose form:</w:t>
            </w:r>
          </w:p>
        </w:tc>
        <w:tc>
          <w:tcPr>
            <w:tcW w:w="3423" w:type="pct"/>
          </w:tcPr>
          <w:p w14:paraId="768B254C" w14:textId="668693A7" w:rsidR="00324B33" w:rsidRPr="00BD5DBD" w:rsidRDefault="001071EA" w:rsidP="007452E8">
            <w:pPr>
              <w:rPr>
                <w:szCs w:val="22"/>
              </w:rPr>
            </w:pPr>
            <w:r>
              <w:rPr>
                <w:szCs w:val="22"/>
              </w:rPr>
              <w:t>Capsule</w:t>
            </w:r>
          </w:p>
        </w:tc>
      </w:tr>
      <w:tr w:rsidR="00324B33" w:rsidRPr="00BD5DBD" w14:paraId="115243E6" w14:textId="77777777" w:rsidTr="00F865A7">
        <w:tc>
          <w:tcPr>
            <w:tcW w:w="1577" w:type="pct"/>
          </w:tcPr>
          <w:p w14:paraId="7634B062" w14:textId="2D65DF15" w:rsidR="00324B33" w:rsidRPr="00BD5DBD" w:rsidRDefault="00324B33" w:rsidP="007452E8">
            <w:pPr>
              <w:rPr>
                <w:i/>
                <w:szCs w:val="22"/>
              </w:rPr>
            </w:pPr>
            <w:r w:rsidRPr="00BD5DBD">
              <w:rPr>
                <w:i/>
                <w:szCs w:val="22"/>
              </w:rPr>
              <w:t>Strength:</w:t>
            </w:r>
          </w:p>
        </w:tc>
        <w:tc>
          <w:tcPr>
            <w:tcW w:w="3423" w:type="pct"/>
          </w:tcPr>
          <w:p w14:paraId="5E5F83DB" w14:textId="13868033" w:rsidR="00324B33" w:rsidRPr="00BD5DBD" w:rsidRDefault="001071EA" w:rsidP="007452E8">
            <w:pPr>
              <w:rPr>
                <w:szCs w:val="22"/>
              </w:rPr>
            </w:pPr>
            <w:r w:rsidRPr="001071EA">
              <w:rPr>
                <w:szCs w:val="22"/>
              </w:rPr>
              <w:t>Each capsule contains 200 mg iptacopan (as 225.8 mg iptacopan hydrochloride monohydrate).</w:t>
            </w:r>
          </w:p>
        </w:tc>
      </w:tr>
      <w:tr w:rsidR="00324B33" w:rsidRPr="00BD5DBD" w14:paraId="34B07BA6" w14:textId="77777777" w:rsidTr="00F865A7">
        <w:tc>
          <w:tcPr>
            <w:tcW w:w="1577" w:type="pct"/>
          </w:tcPr>
          <w:p w14:paraId="1C039224" w14:textId="058CD5AF" w:rsidR="00324B33" w:rsidRPr="00BD5DBD" w:rsidRDefault="00324B33" w:rsidP="007452E8">
            <w:pPr>
              <w:rPr>
                <w:i/>
                <w:szCs w:val="22"/>
              </w:rPr>
            </w:pPr>
            <w:r w:rsidRPr="00BD5DBD">
              <w:rPr>
                <w:i/>
                <w:szCs w:val="22"/>
              </w:rPr>
              <w:t>Container:</w:t>
            </w:r>
          </w:p>
        </w:tc>
        <w:tc>
          <w:tcPr>
            <w:tcW w:w="3423" w:type="pct"/>
          </w:tcPr>
          <w:p w14:paraId="500A42C6" w14:textId="7E54DB18" w:rsidR="00324B33" w:rsidRPr="00BD5DBD" w:rsidRDefault="0060180A" w:rsidP="007452E8">
            <w:pPr>
              <w:rPr>
                <w:szCs w:val="22"/>
              </w:rPr>
            </w:pPr>
            <w:r w:rsidRPr="0060180A">
              <w:rPr>
                <w:szCs w:val="22"/>
              </w:rPr>
              <w:t>PVC/PE/</w:t>
            </w:r>
            <w:proofErr w:type="spellStart"/>
            <w:r w:rsidRPr="0060180A">
              <w:rPr>
                <w:szCs w:val="22"/>
              </w:rPr>
              <w:t>PVdC</w:t>
            </w:r>
            <w:proofErr w:type="spellEnd"/>
            <w:r w:rsidRPr="0060180A">
              <w:rPr>
                <w:szCs w:val="22"/>
              </w:rPr>
              <w:t xml:space="preserve"> (triplex) blister packs backed with aluminium foil.</w:t>
            </w:r>
          </w:p>
        </w:tc>
      </w:tr>
      <w:tr w:rsidR="00324B33" w:rsidRPr="00BD5DBD" w14:paraId="176B6773" w14:textId="77777777" w:rsidTr="00F865A7">
        <w:tc>
          <w:tcPr>
            <w:tcW w:w="1577" w:type="pct"/>
          </w:tcPr>
          <w:p w14:paraId="71846159" w14:textId="0D8A51C7" w:rsidR="00324B33" w:rsidRPr="00BD5DBD" w:rsidRDefault="00324B33" w:rsidP="007452E8">
            <w:pPr>
              <w:rPr>
                <w:i/>
                <w:szCs w:val="22"/>
              </w:rPr>
            </w:pPr>
            <w:r w:rsidRPr="00BD5DBD">
              <w:rPr>
                <w:i/>
                <w:szCs w:val="22"/>
              </w:rPr>
              <w:t>Pack size:</w:t>
            </w:r>
          </w:p>
        </w:tc>
        <w:tc>
          <w:tcPr>
            <w:tcW w:w="3423" w:type="pct"/>
          </w:tcPr>
          <w:p w14:paraId="7E978F8F" w14:textId="1B8FFFCB" w:rsidR="00324B33" w:rsidRPr="00BD5DBD" w:rsidRDefault="00E84449" w:rsidP="007452E8">
            <w:pPr>
              <w:rPr>
                <w:szCs w:val="22"/>
              </w:rPr>
            </w:pPr>
            <w:r w:rsidRPr="00E84449">
              <w:rPr>
                <w:szCs w:val="22"/>
              </w:rPr>
              <w:t>56 capsules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48937557" w:rsidR="00324B33" w:rsidRPr="00BD5DBD" w:rsidRDefault="005420E4" w:rsidP="007452E8">
            <w:pPr>
              <w:rPr>
                <w:szCs w:val="22"/>
              </w:rPr>
            </w:pPr>
            <w:r w:rsidRPr="005420E4">
              <w:rPr>
                <w:szCs w:val="22"/>
              </w:rPr>
              <w:t>FABHALTA is indicated for the treatment of adult patients with paroxysmal nocturnal haemoglobinuria (PNH)</w:t>
            </w:r>
          </w:p>
        </w:tc>
      </w:tr>
      <w:tr w:rsidR="00324B33" w:rsidRPr="00BD5DBD" w14:paraId="5AFDEED3" w14:textId="77777777" w:rsidTr="00F865A7">
        <w:tc>
          <w:tcPr>
            <w:tcW w:w="1577" w:type="pct"/>
          </w:tcPr>
          <w:p w14:paraId="03884BD1" w14:textId="427D097A" w:rsidR="00324B33" w:rsidRPr="00BD5DBD" w:rsidRDefault="00324B33" w:rsidP="007452E8">
            <w:pPr>
              <w:rPr>
                <w:i/>
                <w:szCs w:val="22"/>
              </w:rPr>
            </w:pPr>
            <w:r w:rsidRPr="00BD5DBD">
              <w:rPr>
                <w:i/>
                <w:szCs w:val="22"/>
              </w:rPr>
              <w:t>Route of administration:</w:t>
            </w:r>
          </w:p>
        </w:tc>
        <w:tc>
          <w:tcPr>
            <w:tcW w:w="3423" w:type="pct"/>
          </w:tcPr>
          <w:p w14:paraId="1ED1357E" w14:textId="0B9A1DE5" w:rsidR="00324B33" w:rsidRPr="00BD5DBD" w:rsidRDefault="00F477C5"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21476ACE" w:rsidR="00666911" w:rsidRDefault="0038478F" w:rsidP="007452E8">
            <w:pPr>
              <w:rPr>
                <w:szCs w:val="22"/>
              </w:rPr>
            </w:pPr>
            <w:r w:rsidRPr="0038478F">
              <w:rPr>
                <w:szCs w:val="22"/>
              </w:rPr>
              <w:t>200 mg taken orally twice daily</w:t>
            </w:r>
          </w:p>
          <w:p w14:paraId="3D0B2D5C" w14:textId="5749658D" w:rsidR="00324B33" w:rsidRPr="00BD5DBD" w:rsidRDefault="00324B33" w:rsidP="007452E8">
            <w:pPr>
              <w:rPr>
                <w:szCs w:val="22"/>
              </w:rPr>
            </w:pPr>
            <w:r w:rsidRPr="00BD5DBD">
              <w:rPr>
                <w:szCs w:val="22"/>
              </w:rPr>
              <w:t>For further information regarding dosage</w:t>
            </w:r>
            <w:r w:rsidR="00F5794B">
              <w:rPr>
                <w:szCs w:val="22"/>
              </w:rPr>
              <w:t xml:space="preserve">, </w:t>
            </w:r>
            <w:r w:rsidRPr="00BD5DBD">
              <w:rPr>
                <w:szCs w:val="22"/>
              </w:rPr>
              <w:t xml:space="preserve">refer to the </w:t>
            </w:r>
            <w:hyperlink r:id="rId20" w:history="1">
              <w:r w:rsidRPr="00543610">
                <w:rPr>
                  <w:rStyle w:val="Hyperlink"/>
                  <w:szCs w:val="22"/>
                </w:rPr>
                <w:t>Product Information</w:t>
              </w:r>
            </w:hyperlink>
            <w:r w:rsidRPr="00BD5DBD">
              <w:rPr>
                <w:szCs w:val="22"/>
              </w:rPr>
              <w:t>.</w:t>
            </w:r>
          </w:p>
        </w:tc>
      </w:tr>
      <w:tr w:rsidR="00286C95" w:rsidRPr="00BD5DBD" w14:paraId="7B7BB6AE" w14:textId="77777777" w:rsidTr="00F865A7">
        <w:tc>
          <w:tcPr>
            <w:tcW w:w="1577" w:type="pct"/>
          </w:tcPr>
          <w:p w14:paraId="3A76AFF7" w14:textId="230E496D" w:rsidR="00D461A5" w:rsidRPr="00D461A5" w:rsidRDefault="00286C95" w:rsidP="00C5699C">
            <w:r w:rsidRPr="00BD5DBD">
              <w:rPr>
                <w:i/>
                <w:szCs w:val="22"/>
              </w:rPr>
              <w:t>Pregnancy category:</w:t>
            </w:r>
          </w:p>
        </w:tc>
        <w:tc>
          <w:tcPr>
            <w:tcW w:w="3423" w:type="pct"/>
          </w:tcPr>
          <w:p w14:paraId="780AE956" w14:textId="77777777" w:rsidR="00C5699C" w:rsidRPr="00995FD3" w:rsidRDefault="00C5699C" w:rsidP="00C5699C">
            <w:r w:rsidRPr="00995FD3">
              <w:t>Category B1</w:t>
            </w:r>
          </w:p>
          <w:p w14:paraId="55A689B8" w14:textId="77777777" w:rsidR="00C5699C" w:rsidRPr="00995FD3" w:rsidRDefault="00C5699C" w:rsidP="00C5699C">
            <w:r w:rsidRPr="00995FD3">
              <w:t>Drugs which have been taken by only a limited number of pregnant women and women of childbearing age, without an increase in the frequency of malformation or other direct or indirect harmful effects on the human fetus having been observed.</w:t>
            </w:r>
          </w:p>
          <w:p w14:paraId="70FE2CE2" w14:textId="77777777" w:rsidR="00C5699C" w:rsidRPr="00995FD3" w:rsidRDefault="00C5699C" w:rsidP="00C5699C">
            <w:r w:rsidRPr="00995FD3">
              <w:t>Studies in animals have not shown evidence of an increased occurrence of fetal damage.</w:t>
            </w:r>
          </w:p>
          <w:p w14:paraId="76497789" w14:textId="620CE085" w:rsidR="00286C95" w:rsidRPr="00BD5DBD" w:rsidRDefault="00C5699C" w:rsidP="00C5699C">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1"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8203923" w:rsidR="00324B33" w:rsidRDefault="00853C69" w:rsidP="00C8521E">
      <w:pPr>
        <w:pStyle w:val="Heading3"/>
      </w:pPr>
      <w:bookmarkStart w:id="6" w:name="_Toc204181035"/>
      <w:r>
        <w:lastRenderedPageBreak/>
        <w:t>P</w:t>
      </w:r>
      <w:r w:rsidR="006D0E86" w:rsidRPr="006D0E86">
        <w:t>roposed indication</w:t>
      </w:r>
      <w:bookmarkEnd w:id="6"/>
    </w:p>
    <w:p w14:paraId="6CE6D5A8" w14:textId="5C7B5444" w:rsidR="0082343E" w:rsidRDefault="00324B33" w:rsidP="0082343E">
      <w:r w:rsidRPr="00065839">
        <w:t xml:space="preserve">This AusPAR describes the submission by </w:t>
      </w:r>
      <w:r w:rsidR="00853C69" w:rsidRPr="00853C69">
        <w:t>Novartis Pharmaceuticals Australia Pty Limited</w:t>
      </w:r>
      <w:r w:rsidRPr="00065839">
        <w:t xml:space="preserve"> (the </w:t>
      </w:r>
      <w:r w:rsidR="003105E1">
        <w:t>Sponsor</w:t>
      </w:r>
      <w:r w:rsidRPr="00065839">
        <w:t xml:space="preserve">) to register </w:t>
      </w:r>
      <w:r w:rsidR="00E15282" w:rsidRPr="00E15282">
        <w:t xml:space="preserve">FABHALTA </w:t>
      </w:r>
      <w:r w:rsidR="00E15282">
        <w:t>(</w:t>
      </w:r>
      <w:r w:rsidR="00E15282" w:rsidRPr="00E15282">
        <w:t>iptacopan</w:t>
      </w:r>
      <w:r w:rsidR="00E15282">
        <w:t>)</w:t>
      </w:r>
      <w:r w:rsidRPr="00065839">
        <w:t xml:space="preserve"> for the following proposed indication:</w:t>
      </w:r>
      <w:r w:rsidR="00D63760" w:rsidRPr="00065839">
        <w:rPr>
          <w:vertAlign w:val="superscript"/>
        </w:rPr>
        <w:footnoteReference w:id="1"/>
      </w:r>
      <w:bookmarkStart w:id="7" w:name="_Toc314842485"/>
      <w:bookmarkStart w:id="8" w:name="_Toc247691504"/>
    </w:p>
    <w:p w14:paraId="0FFB20E1" w14:textId="7BE068DE" w:rsidR="0082343E" w:rsidRDefault="0082343E" w:rsidP="0082343E">
      <w:pPr>
        <w:pStyle w:val="Indication"/>
        <w:rPr>
          <w:b/>
          <w:bCs/>
        </w:rPr>
      </w:pPr>
      <w:r>
        <w:t>T</w:t>
      </w:r>
      <w:r w:rsidRPr="0082343E">
        <w:t>he treatment of adult patients with paroxysmal nocturnal</w:t>
      </w:r>
      <w:r>
        <w:rPr>
          <w:b/>
          <w:bCs/>
        </w:rPr>
        <w:t xml:space="preserve"> </w:t>
      </w:r>
      <w:r w:rsidRPr="0082343E">
        <w:t>hemoglobinuria (PNH).</w:t>
      </w:r>
    </w:p>
    <w:p w14:paraId="1E63A2AE" w14:textId="255C2317" w:rsidR="00CB6813" w:rsidRDefault="0082343E" w:rsidP="00C8521E">
      <w:pPr>
        <w:pStyle w:val="Heading3"/>
      </w:pPr>
      <w:bookmarkStart w:id="9" w:name="_Toc204181036"/>
      <w:r>
        <w:t>P</w:t>
      </w:r>
      <w:r w:rsidRPr="0082343E">
        <w:t>aroxysmal nocturnal hemoglobinuria</w:t>
      </w:r>
      <w:bookmarkEnd w:id="9"/>
    </w:p>
    <w:p w14:paraId="3AC2FD49" w14:textId="78C1F854" w:rsidR="00861007" w:rsidRDefault="00861007" w:rsidP="00861007">
      <w:r w:rsidRPr="00861007">
        <w:t xml:space="preserve">Paroxysmal nocturnal hemoglobinuria </w:t>
      </w:r>
      <w:r>
        <w:t>(PNH) is caused by a somatic mutation in the PIG-A (phosphatidylinositol glycan class A) gene of haematopoietic stem cells.</w:t>
      </w:r>
      <w:r w:rsidR="004D7E1F">
        <w:rPr>
          <w:rStyle w:val="FootnoteReference"/>
        </w:rPr>
        <w:footnoteReference w:id="2"/>
      </w:r>
      <w:r>
        <w:t xml:space="preserve"> This results in impaired production of the glycosylphosphatidylinositol </w:t>
      </w:r>
      <w:r w:rsidR="00AB4318">
        <w:t xml:space="preserve">(GPI) </w:t>
      </w:r>
      <w:r>
        <w:t>anchor, with subsequent loss of phosphatidylinositol-bound cell surface proteins including the complement regulatory protein CD55 and CD59 on cells including red blood cells.</w:t>
      </w:r>
      <w:r w:rsidR="00CD2127">
        <w:rPr>
          <w:rStyle w:val="FootnoteReference"/>
        </w:rPr>
        <w:footnoteReference w:id="3"/>
      </w:r>
      <w:r>
        <w:t xml:space="preserve"> Deficiencies of these regulators results in PNH red blood cells to be highly susceptible to complement-mediated haemolysis by the membrane attack complex (C5b-9 or MAC).</w:t>
      </w:r>
      <w:r w:rsidR="002766D1">
        <w:rPr>
          <w:rStyle w:val="FootnoteReference"/>
        </w:rPr>
        <w:footnoteReference w:id="4"/>
      </w:r>
    </w:p>
    <w:p w14:paraId="657BB0A9" w14:textId="62497AE2" w:rsidR="00861007" w:rsidRDefault="00861007" w:rsidP="00861007">
      <w:r>
        <w:t>Variable presentations can be mild to life-threatening and include haemolytic anaemia, thrombosis, smooth muscle dystonia, fatigue, haemoglobinuria, chronic renal impairment and pulmonary hypertension.</w:t>
      </w:r>
      <w:r w:rsidR="009E5E19">
        <w:rPr>
          <w:rStyle w:val="FootnoteReference"/>
        </w:rPr>
        <w:footnoteReference w:id="5"/>
      </w:r>
      <w:r>
        <w:t xml:space="preserve"> Thromboembolism is a known cause of mortality in patients with PNH and represents 40% to 67% of deaths. Anaemia is </w:t>
      </w:r>
      <w:proofErr w:type="gramStart"/>
      <w:r>
        <w:t>as a result of</w:t>
      </w:r>
      <w:proofErr w:type="gramEnd"/>
      <w:r>
        <w:t xml:space="preserve"> haemolysis and bone marrow failure.</w:t>
      </w:r>
    </w:p>
    <w:p w14:paraId="7886F1C9" w14:textId="264D93E4" w:rsidR="00CB6813" w:rsidRDefault="00861007" w:rsidP="00861007">
      <w:r>
        <w:t xml:space="preserve">PNH is estimated to </w:t>
      </w:r>
      <w:r w:rsidR="00240AE4">
        <w:t xml:space="preserve">affect </w:t>
      </w:r>
      <w:r>
        <w:t>between 10 and 20 cases/million individuals.</w:t>
      </w:r>
      <w:r w:rsidR="00F00B76">
        <w:rPr>
          <w:rStyle w:val="FootnoteReference"/>
        </w:rPr>
        <w:footnoteReference w:id="6"/>
      </w:r>
      <w:r>
        <w:t xml:space="preserve"> The estimated incidence in the general population is between 1.0 and 1.5 cases/million individuals</w:t>
      </w:r>
      <w:r w:rsidR="00F00B76">
        <w:rPr>
          <w:rStyle w:val="FootnoteReference"/>
        </w:rPr>
        <w:footnoteReference w:id="7"/>
      </w:r>
      <w:r>
        <w:t>.</w:t>
      </w:r>
    </w:p>
    <w:p w14:paraId="255E083A" w14:textId="4E0FF873" w:rsidR="00CB6813" w:rsidRDefault="00480A4C" w:rsidP="00C8521E">
      <w:pPr>
        <w:pStyle w:val="Heading3"/>
      </w:pPr>
      <w:bookmarkStart w:id="10" w:name="_Toc204181037"/>
      <w:r w:rsidRPr="00480A4C">
        <w:t>Current treatment options</w:t>
      </w:r>
      <w:bookmarkEnd w:id="10"/>
    </w:p>
    <w:p w14:paraId="62ABBAC7" w14:textId="77777777" w:rsidR="002944D8" w:rsidRDefault="002944D8" w:rsidP="002944D8">
      <w:r>
        <w:t>Therapy is directed against the venous thrombosis and the haemolytic anaemia. The treatment offered to patients may be guided by the severity of symptoms and the degree of haemolysis.</w:t>
      </w:r>
    </w:p>
    <w:p w14:paraId="617EE1E0" w14:textId="25746310" w:rsidR="00C309A7" w:rsidRDefault="002944D8" w:rsidP="002944D8">
      <w:r>
        <w:t xml:space="preserve">The only potentially curative treatment for PNH is allogeneic bone marrow transplantation, however not all patients can tolerate the conditioning therapy, and the graft procedure itself has its own treatment related mortality and morbidity (e.g. </w:t>
      </w:r>
      <w:r w:rsidR="000C2686">
        <w:t>graft-versus-host disease</w:t>
      </w:r>
      <w:r>
        <w:t xml:space="preserve"> and infection).</w:t>
      </w:r>
      <w:r w:rsidR="00292C77">
        <w:t xml:space="preserve"> </w:t>
      </w:r>
    </w:p>
    <w:p w14:paraId="1E2EF8CE" w14:textId="77777777" w:rsidR="00292C77" w:rsidRDefault="00292C77" w:rsidP="00292C77">
      <w:r>
        <w:t xml:space="preserve">The anti-C5 monoclonal antibodies eculizumab and ravulizumab have become the standard of care for haemolytic PNH. These antibodies target the terminal component of the complement cascade, binding C5 and preventing cleavage of C5a and C5b needed for MAC formation. The </w:t>
      </w:r>
      <w:r>
        <w:lastRenderedPageBreak/>
        <w:t>haematologic response to these antibodies can be variable although anti-C5 treatment inhibits intravascular haemolysis in most PNH patients and reduces the thromboembolic risk.</w:t>
      </w:r>
    </w:p>
    <w:p w14:paraId="0B0BB6C1" w14:textId="77777777" w:rsidR="00292C77" w:rsidRDefault="00292C77" w:rsidP="00292C77">
      <w:r>
        <w:t>Ravulizumab has been found to be non-inferior to eculizumab. During maintenance therapy, eculizumab is given intravenously every 2 weeks and ravulizumab is given intravenously every 8 weeks.</w:t>
      </w:r>
    </w:p>
    <w:p w14:paraId="5B6EBB44" w14:textId="3A9E94F1" w:rsidR="00292C77" w:rsidRDefault="00292C77" w:rsidP="00292C77">
      <w:r>
        <w:t>Approximately two-thirds of patients treated with eculizumab have persistent anaemia with ongoing need for red blood cell transfusion</w:t>
      </w:r>
      <w:r w:rsidR="00CF4E33">
        <w:rPr>
          <w:rStyle w:val="FootnoteReference"/>
        </w:rPr>
        <w:footnoteReference w:id="8"/>
      </w:r>
      <w:r w:rsidR="00CF4E33" w:rsidRPr="00BB10D3">
        <w:rPr>
          <w:vertAlign w:val="superscript"/>
        </w:rPr>
        <w:t>,</w:t>
      </w:r>
      <w:r w:rsidR="00BB10D3">
        <w:rPr>
          <w:rStyle w:val="FootnoteReference"/>
        </w:rPr>
        <w:footnoteReference w:id="9"/>
      </w:r>
      <w:r>
        <w:t>. Moreover, inhibition of C5 may result in C3-mediated extravascular haemolysis which could contribute to residual anaemia and transfusion dependence.</w:t>
      </w:r>
    </w:p>
    <w:p w14:paraId="3C2A26F4" w14:textId="302AB5D8" w:rsidR="00292C77" w:rsidRPr="001D111E" w:rsidRDefault="00292C77" w:rsidP="00292C77">
      <w:r>
        <w:t xml:space="preserve">A new agent, pegcetacoplan which targets C3 of the complement system is also available. However, some patients remain transfusion-dependent and discontinue pegcetacoplan due to breakthrough haemolysis. Pegcetacoplan requires twice weekly </w:t>
      </w:r>
      <w:r w:rsidR="00FE36DB">
        <w:t>subcutaneous</w:t>
      </w:r>
      <w:r>
        <w:t xml:space="preserve"> infusion of a relatively large volume</w:t>
      </w:r>
      <w:r w:rsidR="00FE36DB">
        <w:t>,</w:t>
      </w:r>
      <w:r>
        <w:t xml:space="preserve"> which can be an inconvenience.</w:t>
      </w:r>
    </w:p>
    <w:p w14:paraId="37C47E09" w14:textId="55BB321C" w:rsidR="00CB6813" w:rsidRDefault="002F116C" w:rsidP="00C8521E">
      <w:pPr>
        <w:pStyle w:val="Heading3"/>
      </w:pPr>
      <w:bookmarkStart w:id="11" w:name="_Toc204181038"/>
      <w:r w:rsidRPr="002F116C">
        <w:t>Clinical rationale</w:t>
      </w:r>
      <w:bookmarkEnd w:id="11"/>
    </w:p>
    <w:p w14:paraId="4F438EFA" w14:textId="6C6213D2" w:rsidR="00287EF9" w:rsidRPr="00287EF9" w:rsidRDefault="00287EF9" w:rsidP="00287EF9">
      <w:r>
        <w:t xml:space="preserve">Iptacopan is a first-in-class, orally administered Factor B inhibitor of the alternative complement pathway developed for the treatment of PNH. Iptacopan targets the alternative pathway of the complement cascade proximally. In PNH, an alternative complement pathway driven disease, iptacopan through its mechanism of action has the potential to fully inhibit complement mediated </w:t>
      </w:r>
      <w:r w:rsidR="00786411">
        <w:t>haemolysis</w:t>
      </w:r>
      <w:r>
        <w:t xml:space="preserve"> (intra- and extravascular)</w:t>
      </w:r>
      <w:r w:rsidR="00B11582">
        <w:t xml:space="preserve">. This may </w:t>
      </w:r>
      <w:r>
        <w:t>improv</w:t>
      </w:r>
      <w:r w:rsidR="00B11582">
        <w:t>e</w:t>
      </w:r>
      <w:r>
        <w:t xml:space="preserve"> </w:t>
      </w:r>
      <w:r w:rsidR="00786411">
        <w:t>anaemia</w:t>
      </w:r>
      <w:r>
        <w:t xml:space="preserve"> and decreas</w:t>
      </w:r>
      <w:r w:rsidR="00B11582">
        <w:t>e</w:t>
      </w:r>
      <w:r>
        <w:t xml:space="preserve"> the associated need for transfusion, improving patient’s fatigue with the potential to</w:t>
      </w:r>
      <w:r w:rsidR="00B11582">
        <w:t xml:space="preserve"> </w:t>
      </w:r>
      <w:r>
        <w:t>ultimately reduce hospital visits.</w:t>
      </w:r>
    </w:p>
    <w:p w14:paraId="0D615854" w14:textId="77777777" w:rsidR="00324B33" w:rsidRPr="003F31A2" w:rsidRDefault="00324B33" w:rsidP="00C8521E">
      <w:pPr>
        <w:pStyle w:val="Heading3"/>
      </w:pPr>
      <w:bookmarkStart w:id="12" w:name="_Toc103679291"/>
      <w:bookmarkStart w:id="13" w:name="_Toc204181039"/>
      <w:r>
        <w:t>Regulatory status</w:t>
      </w:r>
      <w:bookmarkEnd w:id="7"/>
      <w:bookmarkEnd w:id="8"/>
      <w:bookmarkEnd w:id="12"/>
      <w:bookmarkEnd w:id="13"/>
    </w:p>
    <w:p w14:paraId="72C889D6" w14:textId="7E200950" w:rsidR="0017005C" w:rsidRPr="00BD5DBD" w:rsidRDefault="0017005C" w:rsidP="00714A6C">
      <w:pPr>
        <w:pStyle w:val="Heading5"/>
      </w:pPr>
      <w:r w:rsidRPr="00BD5DBD">
        <w:t>Australian regulatory</w:t>
      </w:r>
      <w:r>
        <w:t xml:space="preserve"> sta</w:t>
      </w:r>
      <w:r w:rsidR="0025785B">
        <w:t>t</w:t>
      </w:r>
      <w:r>
        <w:t>us</w:t>
      </w:r>
    </w:p>
    <w:p w14:paraId="6A8633FA" w14:textId="24741613"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4EF98FA1" w:rsidR="0017005C" w:rsidRDefault="00131B1B" w:rsidP="00714A6C">
      <w:pPr>
        <w:pStyle w:val="Heading5"/>
      </w:pPr>
      <w:r>
        <w:t xml:space="preserve">International </w:t>
      </w:r>
      <w:r w:rsidR="0017005C" w:rsidRPr="00BD5DBD">
        <w:t>regulatory</w:t>
      </w:r>
      <w:r w:rsidR="0017005C">
        <w:t xml:space="preserve"> status</w:t>
      </w:r>
    </w:p>
    <w:p w14:paraId="7FDF4A0B" w14:textId="7E17F2E4" w:rsidR="008F4A62" w:rsidRDefault="008F4A62" w:rsidP="008F4A62">
      <w:pPr>
        <w:rPr>
          <w:szCs w:val="22"/>
        </w:rPr>
      </w:pPr>
      <w:r w:rsidRPr="009C0386">
        <w:rPr>
          <w:b/>
          <w:bCs/>
          <w:i/>
          <w:iCs/>
          <w:szCs w:val="22"/>
        </w:rPr>
        <w:t>At the time the TGA considered this submission,</w:t>
      </w:r>
      <w:r w:rsidRPr="00BD5DBD">
        <w:rPr>
          <w:szCs w:val="22"/>
        </w:rPr>
        <w:t xml:space="preserve"> a similar submission had been </w:t>
      </w:r>
      <w:r>
        <w:rPr>
          <w:szCs w:val="22"/>
        </w:rPr>
        <w:t xml:space="preserve">considered by other regulatory agencies. </w:t>
      </w:r>
    </w:p>
    <w:p w14:paraId="4B184615" w14:textId="16A5C01B" w:rsidR="00AF0E9C" w:rsidRDefault="00AF0E9C" w:rsidP="00AF0E9C">
      <w:r>
        <w:t xml:space="preserve">The US FDA approved iptacopan on 5 December 2023 for the same indication proposed for Australia. </w:t>
      </w:r>
    </w:p>
    <w:p w14:paraId="7D4569B8" w14:textId="77777777" w:rsidR="00AF0E9C" w:rsidRDefault="00AF0E9C" w:rsidP="00AF0E9C">
      <w:r>
        <w:t>In the EU, the CHMP adopted a positive opinion for iptacopan on 21 March 2024 for the indication:</w:t>
      </w:r>
    </w:p>
    <w:p w14:paraId="060D8501" w14:textId="05955BDB" w:rsidR="009C0386" w:rsidRPr="0017005C" w:rsidRDefault="00AF0E9C" w:rsidP="00AF0E9C">
      <w:r>
        <w:t>“FABHALTA is indicated as monotherapy in the treatment of adult patients with paroxysmal nocturnal haemoglobinuria (PNH) who have haemolytic anaemia.”</w:t>
      </w:r>
    </w:p>
    <w:p w14:paraId="6D92589C" w14:textId="09786CEF" w:rsidR="00324B33" w:rsidRDefault="00324B33" w:rsidP="00C8521E">
      <w:pPr>
        <w:pStyle w:val="Heading3"/>
      </w:pPr>
      <w:bookmarkStart w:id="14" w:name="_Toc504480011"/>
      <w:bookmarkStart w:id="15" w:name="_Toc103679293"/>
      <w:bookmarkStart w:id="16" w:name="_Toc204181040"/>
      <w:r>
        <w:lastRenderedPageBreak/>
        <w:t>Registration timeline</w:t>
      </w:r>
      <w:bookmarkEnd w:id="14"/>
      <w:bookmarkEnd w:id="15"/>
      <w:bookmarkEnd w:id="16"/>
    </w:p>
    <w:p w14:paraId="225E3D87" w14:textId="49A82091" w:rsidR="00324B33" w:rsidRPr="00BD5DBD" w:rsidRDefault="007A5AF7" w:rsidP="00324B33">
      <w:pPr>
        <w:rPr>
          <w:szCs w:val="22"/>
        </w:rPr>
      </w:pPr>
      <w:r>
        <w:rPr>
          <w:szCs w:val="22"/>
        </w:rPr>
        <w:t>T</w:t>
      </w:r>
      <w:r w:rsidR="00324B33" w:rsidRPr="00BD5DBD">
        <w:rPr>
          <w:szCs w:val="22"/>
        </w:rPr>
        <w:t xml:space="preserve">able </w:t>
      </w:r>
      <w:r>
        <w:rPr>
          <w:szCs w:val="22"/>
        </w:rPr>
        <w:t xml:space="preserve">1 </w:t>
      </w:r>
      <w:r w:rsidR="00324B33" w:rsidRPr="00BD5DBD">
        <w:rPr>
          <w:szCs w:val="22"/>
        </w:rPr>
        <w:t>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3" w:history="1">
        <w:r w:rsidRPr="00BD5DBD">
          <w:rPr>
            <w:rStyle w:val="Hyperlink"/>
            <w:szCs w:val="22"/>
          </w:rPr>
          <w:t>standard prescription medicines registration process</w:t>
        </w:r>
      </w:hyperlink>
      <w:r w:rsidRPr="00BD5DBD">
        <w:rPr>
          <w:szCs w:val="22"/>
        </w:rPr>
        <w:t>.</w:t>
      </w:r>
    </w:p>
    <w:p w14:paraId="5B779104" w14:textId="30A20007" w:rsidR="0017005C" w:rsidRDefault="0017005C" w:rsidP="0017005C">
      <w:r w:rsidRPr="00BD5DBD">
        <w:rPr>
          <w:szCs w:val="22"/>
        </w:rPr>
        <w:t>Th</w:t>
      </w:r>
      <w:r w:rsidR="00804897">
        <w:rPr>
          <w:szCs w:val="22"/>
        </w:rPr>
        <w:t>e active ingredient with its proposed indication was given</w:t>
      </w:r>
      <w:r w:rsidR="00804897" w:rsidRPr="00804897">
        <w:t xml:space="preserve"> </w:t>
      </w:r>
      <w:hyperlink r:id="rId24" w:history="1">
        <w:r w:rsidR="00804897">
          <w:rPr>
            <w:rStyle w:val="Hyperlink"/>
          </w:rPr>
          <w:t>orphan drug designation</w:t>
        </w:r>
      </w:hyperlink>
      <w:r w:rsidR="007A5AF7">
        <w:t xml:space="preserve"> on </w:t>
      </w:r>
      <w:r w:rsidR="007A5AF7" w:rsidRPr="007A5AF7">
        <w:t>16 May 2023</w:t>
      </w:r>
      <w:r w:rsidR="00804897">
        <w:t>.</w:t>
      </w:r>
    </w:p>
    <w:p w14:paraId="44628C5F" w14:textId="159F6D79" w:rsidR="00324B33" w:rsidRDefault="00324B33" w:rsidP="002C1232">
      <w:pPr>
        <w:pStyle w:val="TableTitle"/>
      </w:pPr>
      <w:r w:rsidRPr="002C1232">
        <w:t xml:space="preserve">Table </w:t>
      </w:r>
      <w:r w:rsidR="007A5AF7">
        <w:t>1</w:t>
      </w:r>
      <w:r w:rsidRPr="002C1232">
        <w:t>: Timeline for</w:t>
      </w:r>
      <w:r w:rsidR="00EC23B5" w:rsidRPr="00EC23B5">
        <w:t xml:space="preserve"> FABHALTA </w:t>
      </w:r>
      <w:r w:rsidR="00EC23B5">
        <w:t>(</w:t>
      </w:r>
      <w:r w:rsidR="00EC23B5" w:rsidRPr="00EC23B5">
        <w:t>iptacopan</w:t>
      </w:r>
      <w:r w:rsidR="00EC23B5">
        <w:t>),</w:t>
      </w:r>
      <w:r w:rsidR="00EC23B5" w:rsidRPr="00EC23B5">
        <w:t xml:space="preserve"> </w:t>
      </w:r>
      <w:r w:rsidR="00EC23B5">
        <w:t xml:space="preserve">submission </w:t>
      </w:r>
      <w:r w:rsidR="00EC23B5" w:rsidRPr="00EC23B5">
        <w:t>PM-2023-02564-1-6</w:t>
      </w:r>
    </w:p>
    <w:tbl>
      <w:tblPr>
        <w:tblStyle w:val="TableTGAblue2023"/>
        <w:tblW w:w="8642" w:type="dxa"/>
        <w:tblLook w:val="04A0" w:firstRow="1" w:lastRow="0" w:firstColumn="1" w:lastColumn="0" w:noHBand="0" w:noVBand="1"/>
      </w:tblPr>
      <w:tblGrid>
        <w:gridCol w:w="6374"/>
        <w:gridCol w:w="2268"/>
      </w:tblGrid>
      <w:tr w:rsidR="00324B33" w:rsidRPr="00D01DDB" w14:paraId="6C59BE9C" w14:textId="77777777" w:rsidTr="00C5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C5699C">
        <w:tc>
          <w:tcPr>
            <w:cnfStyle w:val="001000000000" w:firstRow="0" w:lastRow="0" w:firstColumn="1" w:lastColumn="0" w:oddVBand="0" w:evenVBand="0" w:oddHBand="0" w:evenHBand="0" w:firstRowFirstColumn="0" w:firstRowLastColumn="0" w:lastRowFirstColumn="0" w:lastRowLastColumn="0"/>
            <w:tcW w:w="6374" w:type="dxa"/>
          </w:tcPr>
          <w:p w14:paraId="1106CC1E" w14:textId="56269E33" w:rsidR="00324B33" w:rsidRPr="00E679D1" w:rsidRDefault="00324B33" w:rsidP="00133F91">
            <w:pPr>
              <w:ind w:left="71"/>
            </w:pPr>
            <w:r w:rsidRPr="00E679D1">
              <w:t>Designation (Orphan)</w:t>
            </w:r>
          </w:p>
        </w:tc>
        <w:tc>
          <w:tcPr>
            <w:tcW w:w="2268" w:type="dxa"/>
          </w:tcPr>
          <w:p w14:paraId="4CD143CF" w14:textId="0BB6C363" w:rsidR="00324B33" w:rsidRPr="00D01DDB" w:rsidRDefault="00EC23B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May 2023</w:t>
            </w:r>
          </w:p>
        </w:tc>
      </w:tr>
      <w:tr w:rsidR="00324B33" w:rsidRPr="00D01DDB" w14:paraId="23610C53" w14:textId="77777777" w:rsidTr="00C5699C">
        <w:tc>
          <w:tcPr>
            <w:cnfStyle w:val="001000000000" w:firstRow="0" w:lastRow="0" w:firstColumn="1" w:lastColumn="0" w:oddVBand="0" w:evenVBand="0" w:oddHBand="0" w:evenHBand="0" w:firstRowFirstColumn="0" w:firstRowLastColumn="0" w:lastRowFirstColumn="0" w:lastRowLastColumn="0"/>
            <w:tcW w:w="6374" w:type="dxa"/>
          </w:tcPr>
          <w:p w14:paraId="759D2A12" w14:textId="4F4E722F" w:rsidR="00324B33" w:rsidRPr="00E679D1" w:rsidRDefault="00324B33" w:rsidP="00133F91">
            <w:pPr>
              <w:ind w:left="71"/>
            </w:pPr>
            <w:r w:rsidRPr="00E679D1">
              <w:t>Submission dossier accepted and evaluation commenced</w:t>
            </w:r>
          </w:p>
        </w:tc>
        <w:tc>
          <w:tcPr>
            <w:tcW w:w="2268" w:type="dxa"/>
          </w:tcPr>
          <w:p w14:paraId="2963D9D8" w14:textId="4C1E11C9" w:rsidR="00324B33" w:rsidRPr="00D01DDB" w:rsidRDefault="00A6302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July 2023</w:t>
            </w:r>
          </w:p>
        </w:tc>
      </w:tr>
      <w:tr w:rsidR="00803926" w:rsidRPr="00D01DDB" w14:paraId="16D13F79" w14:textId="77777777" w:rsidTr="00C5699C">
        <w:tc>
          <w:tcPr>
            <w:cnfStyle w:val="001000000000" w:firstRow="0" w:lastRow="0" w:firstColumn="1" w:lastColumn="0" w:oddVBand="0" w:evenVBand="0" w:oddHBand="0" w:evenHBand="0" w:firstRowFirstColumn="0" w:firstRowLastColumn="0" w:lastRowFirstColumn="0" w:lastRowLastColumn="0"/>
            <w:tcW w:w="6374" w:type="dxa"/>
          </w:tcPr>
          <w:p w14:paraId="6858B45A" w14:textId="4A6E19A0" w:rsidR="00803926" w:rsidRPr="00E679D1" w:rsidDel="00C62B1C" w:rsidRDefault="00803926" w:rsidP="00133F91">
            <w:pPr>
              <w:ind w:left="71"/>
            </w:pPr>
            <w:r>
              <w:t>Evaluation completed</w:t>
            </w:r>
          </w:p>
        </w:tc>
        <w:tc>
          <w:tcPr>
            <w:tcW w:w="2268" w:type="dxa"/>
          </w:tcPr>
          <w:p w14:paraId="2E0BD403" w14:textId="5464728C" w:rsidR="00803926" w:rsidRPr="00D01DDB" w:rsidRDefault="0052023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April 2024</w:t>
            </w:r>
          </w:p>
        </w:tc>
      </w:tr>
      <w:tr w:rsidR="00324B33" w:rsidRPr="00D01DDB" w14:paraId="6E5D32FE" w14:textId="77777777" w:rsidTr="00C5699C">
        <w:tc>
          <w:tcPr>
            <w:cnfStyle w:val="001000000000" w:firstRow="0" w:lastRow="0" w:firstColumn="1" w:lastColumn="0" w:oddVBand="0" w:evenVBand="0" w:oddHBand="0" w:evenHBand="0" w:firstRowFirstColumn="0" w:firstRowLastColumn="0" w:lastRowFirstColumn="0" w:lastRowLastColumn="0"/>
            <w:tcW w:w="6374" w:type="dxa"/>
          </w:tcPr>
          <w:p w14:paraId="4E95C44C" w14:textId="667D38FF" w:rsidR="00324B33" w:rsidRPr="00E679D1" w:rsidRDefault="00324B33" w:rsidP="00133F91">
            <w:pPr>
              <w:ind w:left="71"/>
            </w:pPr>
            <w:r w:rsidRPr="00E679D1">
              <w:t>Registration decision (</w:t>
            </w:r>
            <w:r w:rsidR="00EC23B5">
              <w:t>Approved</w:t>
            </w:r>
            <w:r w:rsidRPr="00E679D1">
              <w:t>)</w:t>
            </w:r>
          </w:p>
        </w:tc>
        <w:tc>
          <w:tcPr>
            <w:tcW w:w="2268" w:type="dxa"/>
          </w:tcPr>
          <w:p w14:paraId="62987ABD" w14:textId="39346074" w:rsidR="00324B33" w:rsidRPr="00D01DDB" w:rsidRDefault="006D134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August 2024</w:t>
            </w:r>
          </w:p>
        </w:tc>
      </w:tr>
      <w:tr w:rsidR="00324B33" w:rsidRPr="00D01DDB" w14:paraId="6DDCDDA4" w14:textId="77777777" w:rsidTr="00C5699C">
        <w:tc>
          <w:tcPr>
            <w:cnfStyle w:val="001000000000" w:firstRow="0" w:lastRow="0" w:firstColumn="1" w:lastColumn="0" w:oddVBand="0" w:evenVBand="0" w:oddHBand="0" w:evenHBand="0" w:firstRowFirstColumn="0" w:firstRowLastColumn="0" w:lastRowFirstColumn="0" w:lastRowLastColumn="0"/>
            <w:tcW w:w="6374"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268" w:type="dxa"/>
          </w:tcPr>
          <w:p w14:paraId="5A8923FD" w14:textId="560898E9" w:rsidR="00324B33" w:rsidRPr="00D01DDB" w:rsidRDefault="006D134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August 2024</w:t>
            </w:r>
          </w:p>
        </w:tc>
      </w:tr>
      <w:tr w:rsidR="00324B33" w:rsidRPr="00D01DDB" w14:paraId="56D922E2" w14:textId="77777777" w:rsidTr="00C5699C">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268" w:type="dxa"/>
          </w:tcPr>
          <w:p w14:paraId="5BAF9FA1" w14:textId="20403E44" w:rsidR="00324B33" w:rsidRPr="00D01DDB" w:rsidRDefault="006D1348" w:rsidP="00324B33">
            <w:pPr>
              <w:cnfStyle w:val="000000000000" w:firstRow="0" w:lastRow="0" w:firstColumn="0" w:lastColumn="0" w:oddVBand="0" w:evenVBand="0" w:oddHBand="0" w:evenHBand="0" w:firstRowFirstColumn="0" w:firstRowLastColumn="0" w:lastRowFirstColumn="0" w:lastRowLastColumn="0"/>
              <w:rPr>
                <w:szCs w:val="22"/>
              </w:rPr>
            </w:pPr>
            <w:r w:rsidRPr="006D1348">
              <w:rPr>
                <w:szCs w:val="22"/>
              </w:rPr>
              <w:t>175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46787B76" w:rsidR="00C22214" w:rsidRPr="00792A32" w:rsidRDefault="00083763" w:rsidP="00C22214">
      <w:pPr>
        <w:pStyle w:val="Heading2"/>
      </w:pPr>
      <w:bookmarkStart w:id="17" w:name="_Toc204181041"/>
      <w:bookmarkStart w:id="18" w:name="_Toc196046504"/>
      <w:bookmarkStart w:id="19" w:name="_Toc247691527"/>
      <w:bookmarkStart w:id="20" w:name="_Toc314842510"/>
      <w:bookmarkStart w:id="21" w:name="_Toc103679294"/>
      <w:r>
        <w:t xml:space="preserve">Assessment </w:t>
      </w:r>
      <w:r w:rsidR="00C22214" w:rsidRPr="00006FAB">
        <w:t>overview</w:t>
      </w:r>
      <w:bookmarkEnd w:id="17"/>
      <w:r w:rsidR="00C22214" w:rsidRPr="00006FAB">
        <w:t xml:space="preserve"> </w:t>
      </w:r>
      <w:bookmarkEnd w:id="18"/>
      <w:bookmarkEnd w:id="19"/>
      <w:bookmarkEnd w:id="20"/>
      <w:bookmarkEnd w:id="21"/>
    </w:p>
    <w:p w14:paraId="37F5A1C0" w14:textId="24C35B4E" w:rsidR="00C22214" w:rsidRDefault="00095C6A" w:rsidP="00C22214">
      <w:pPr>
        <w:pStyle w:val="Heading3"/>
      </w:pPr>
      <w:bookmarkStart w:id="22" w:name="_Toc247691528"/>
      <w:bookmarkStart w:id="23" w:name="_Toc314842511"/>
      <w:bookmarkStart w:id="24" w:name="_Toc103679295"/>
      <w:bookmarkStart w:id="25" w:name="_Toc204181042"/>
      <w:r>
        <w:t>Q</w:t>
      </w:r>
      <w:r w:rsidR="00C22214">
        <w:t>uality</w:t>
      </w:r>
      <w:bookmarkEnd w:id="22"/>
      <w:bookmarkEnd w:id="23"/>
      <w:bookmarkEnd w:id="24"/>
      <w:r w:rsidR="007E6443">
        <w:t xml:space="preserve"> evaluation</w:t>
      </w:r>
      <w:r>
        <w:t xml:space="preserve"> summary</w:t>
      </w:r>
      <w:bookmarkEnd w:id="25"/>
    </w:p>
    <w:p w14:paraId="4F7EBA73" w14:textId="5EF6FBAC" w:rsidR="00810516" w:rsidRPr="00810516" w:rsidRDefault="00810516" w:rsidP="00810516">
      <w:r w:rsidRPr="00810516">
        <w:t>The application and the supporting data relating to the composition, development, manufacture, quality control, stability and of the product have been assessed and checked for compliance, as applicable, with Australian legislation and requirements for new medicines and in accordance with pharmacopoeial standards and the technical guidelines adopted by the TGA.</w:t>
      </w:r>
      <w:r w:rsidR="001071A8">
        <w:t xml:space="preserve"> There were no objections to approval from a quality perspective. </w:t>
      </w:r>
    </w:p>
    <w:p w14:paraId="2BE90AAE" w14:textId="35796FD3" w:rsidR="00C22214" w:rsidRDefault="00C22214" w:rsidP="00C22214">
      <w:pPr>
        <w:pStyle w:val="Heading3"/>
      </w:pPr>
      <w:bookmarkStart w:id="26" w:name="_Toc314842512"/>
      <w:bookmarkStart w:id="27" w:name="_Toc103679296"/>
      <w:bookmarkStart w:id="28" w:name="_Toc204181043"/>
      <w:r>
        <w:t>Nonclinical</w:t>
      </w:r>
      <w:bookmarkEnd w:id="26"/>
      <w:bookmarkEnd w:id="27"/>
      <w:r w:rsidR="007E6443">
        <w:t xml:space="preserve"> evaluation</w:t>
      </w:r>
      <w:r w:rsidR="00095C6A">
        <w:t xml:space="preserve"> summary</w:t>
      </w:r>
      <w:bookmarkEnd w:id="28"/>
    </w:p>
    <w:p w14:paraId="188F84AC" w14:textId="01354FB9" w:rsidR="00A5067F" w:rsidRDefault="00A5067F" w:rsidP="00A5067F">
      <w:r>
        <w:t xml:space="preserve">The nonclinical </w:t>
      </w:r>
      <w:r w:rsidR="00D547A1">
        <w:t xml:space="preserve">data submitted </w:t>
      </w:r>
      <w:r w:rsidR="005F7C56">
        <w:t xml:space="preserve">was </w:t>
      </w:r>
      <w:r>
        <w:t>of high overall quality and adequate in scope, consistent with ICH M3 (R2)</w:t>
      </w:r>
      <w:r w:rsidR="009F5D14">
        <w:rPr>
          <w:rStyle w:val="FootnoteReference"/>
        </w:rPr>
        <w:footnoteReference w:id="10"/>
      </w:r>
      <w:r>
        <w:t>.</w:t>
      </w:r>
    </w:p>
    <w:p w14:paraId="6428D55E" w14:textId="779583FD" w:rsidR="00A5067F" w:rsidRDefault="00A5067F" w:rsidP="00A5067F">
      <w:r>
        <w:t>All pivotal safety-related studies were G</w:t>
      </w:r>
      <w:r w:rsidR="00FE36DB">
        <w:t>ood Laboratory Practice</w:t>
      </w:r>
      <w:r>
        <w:t>-compliant.</w:t>
      </w:r>
    </w:p>
    <w:p w14:paraId="11CED255" w14:textId="1E74EEA0" w:rsidR="004903D0" w:rsidRDefault="004903D0" w:rsidP="004903D0">
      <w:r>
        <w:t xml:space="preserve">In vitro experiments established that the drug possesses nanomolar affinity for human complement factor B; functional inhibition of the alternative pathway of the complement cascade was demonstrated, with potency similar across humans and laboratory animal species. Iptacopan was shown to inhibit the haemolysis of red blood cells obtained from patients with PNH and of normal human erythrocytes treated with anti-CD55 and anti-CD59 antibodies (to render them similarly vulnerable to complement-mediated lysis as in PNH); inhibition of C3 deposition of the surface of erythrocytes from PNH patients was also demonstrated. Inhibition of the alternative pathway after oral administration was demonstrated in animals in vivo. Relevant </w:t>
      </w:r>
      <w:r>
        <w:lastRenderedPageBreak/>
        <w:t>animal models of PNH are not available. The pharmacology studies offer support for the utility of iptacopan for the proposed indication.</w:t>
      </w:r>
    </w:p>
    <w:p w14:paraId="17C35FEF" w14:textId="7C30410F" w:rsidR="004903D0" w:rsidRDefault="004903D0" w:rsidP="004903D0">
      <w:r>
        <w:t xml:space="preserve">Secondary pharmacodynamic studies revealed some inhibitory activity against </w:t>
      </w:r>
      <w:r w:rsidR="00A730BE">
        <w:t xml:space="preserve">the </w:t>
      </w:r>
      <w:r w:rsidR="00A730BE" w:rsidRPr="00A730BE">
        <w:t xml:space="preserve">mammalian target of rapamycin </w:t>
      </w:r>
      <w:r w:rsidR="00A730BE">
        <w:t>(</w:t>
      </w:r>
      <w:r>
        <w:t>mTOR</w:t>
      </w:r>
      <w:r w:rsidR="00A730BE">
        <w:t xml:space="preserve">; </w:t>
      </w:r>
      <w:r>
        <w:t>the IC</w:t>
      </w:r>
      <w:r w:rsidRPr="005F7C56">
        <w:rPr>
          <w:vertAlign w:val="subscript"/>
        </w:rPr>
        <w:t>50</w:t>
      </w:r>
      <w:r>
        <w:t xml:space="preserve"> being 5.5-times higher than the peak unbound plasma concentration in patients).</w:t>
      </w:r>
      <w:r w:rsidR="005F7C56">
        <w:t xml:space="preserve"> </w:t>
      </w:r>
      <w:r>
        <w:t>The relevance of this finding to the observed toxicity in animals is not known, and relevance to patients unclear.</w:t>
      </w:r>
    </w:p>
    <w:p w14:paraId="3D442486" w14:textId="6EE3847B" w:rsidR="004903D0" w:rsidRDefault="004903D0" w:rsidP="004903D0">
      <w:r>
        <w:t xml:space="preserve">Bactericidal activity against </w:t>
      </w:r>
      <w:r w:rsidRPr="005F7C56">
        <w:rPr>
          <w:i/>
          <w:iCs/>
        </w:rPr>
        <w:t>Neisseria meningitidis</w:t>
      </w:r>
      <w:r>
        <w:t xml:space="preserve"> and </w:t>
      </w:r>
      <w:r w:rsidRPr="005F7C56">
        <w:rPr>
          <w:i/>
          <w:iCs/>
        </w:rPr>
        <w:t>Streptococcus pneumoniae</w:t>
      </w:r>
      <w:r>
        <w:t xml:space="preserve"> in human serum or blood obtained from non-vaccinated individuals was severely inhibited or abolished in the presence of iptacopan in vitro, consistent with the known role of the alternative complement pathway in the clearance of encapsulated bacteria. </w:t>
      </w:r>
      <w:r w:rsidR="00960A2B">
        <w:t xml:space="preserve">Bactericidal activity is improved with vaccination. </w:t>
      </w:r>
      <w:r>
        <w:t xml:space="preserve">Contraindication in patients who are not currently vaccinated against </w:t>
      </w:r>
      <w:r w:rsidRPr="00972B2F">
        <w:rPr>
          <w:i/>
          <w:iCs/>
        </w:rPr>
        <w:t>Neisseria meningitidis</w:t>
      </w:r>
      <w:r>
        <w:t xml:space="preserve"> and </w:t>
      </w:r>
      <w:r w:rsidRPr="00972B2F">
        <w:rPr>
          <w:i/>
          <w:iCs/>
        </w:rPr>
        <w:t>Streptococcus pneumoniae</w:t>
      </w:r>
      <w:r>
        <w:t xml:space="preserve"> is included in the Product Information document and warranted.</w:t>
      </w:r>
    </w:p>
    <w:p w14:paraId="7A39F434" w14:textId="275C4002" w:rsidR="004903D0" w:rsidRDefault="004903D0" w:rsidP="004903D0">
      <w:r>
        <w:t>Safety pharmacology and other studies indicated no likely pharmacologically mediated adverse effects on CNS, cardiovascular or respiratory function in patients treated with FABHALTA. Decreased blood pressure and increased heart rate were observed in dogs, but only at high multiples of the clinical C</w:t>
      </w:r>
      <w:r w:rsidRPr="00972B2F">
        <w:rPr>
          <w:vertAlign w:val="subscript"/>
        </w:rPr>
        <w:t>max</w:t>
      </w:r>
      <w:r>
        <w:t xml:space="preserve"> for unbound drug.</w:t>
      </w:r>
    </w:p>
    <w:p w14:paraId="1C5A72B1" w14:textId="21F71FFC" w:rsidR="004903D0" w:rsidRDefault="004903D0" w:rsidP="004903D0">
      <w:r>
        <w:t xml:space="preserve">Oral absorption of iptacopan was rapid to moderate in laboratory animal species, and </w:t>
      </w:r>
      <w:proofErr w:type="gramStart"/>
      <w:r>
        <w:t>similar to</w:t>
      </w:r>
      <w:proofErr w:type="gramEnd"/>
      <w:r>
        <w:t xml:space="preserve"> humans. Oral bioavailability in mice, rats and dogs was moderate. Plasma protein binding was concentration-dependent, decreasing with increasing drug concentration as binding to the primary pharmacological target was saturated. Partitioning into red blood cells was seen. Rapid and wide tissue distribution of </w:t>
      </w:r>
      <w:r w:rsidRPr="00972B2F">
        <w:rPr>
          <w:vertAlign w:val="superscript"/>
        </w:rPr>
        <w:t>14</w:t>
      </w:r>
      <w:r>
        <w:t>C-iptacopan-derived radioactivity was demonstrated in rats, with negligible penetration of the blood-brain barrier and some binding to melanin apparent.</w:t>
      </w:r>
    </w:p>
    <w:p w14:paraId="54EEB742" w14:textId="3964596E" w:rsidR="004903D0" w:rsidRDefault="004903D0" w:rsidP="004903D0">
      <w:r>
        <w:t>Metabolism of iptacopan involves N-dealkylation, O-deethylation, C-oxidation and glucuronidation, with a chief role for CYP2C8 identified. Excretion of iptacopan and/or its metabolites was predominantly via the faeces in rats and humans. Biliary excretion was demonstrated in rats and indicated from in vitro experiments with cultured human hepatocytes.</w:t>
      </w:r>
    </w:p>
    <w:p w14:paraId="64F93957" w14:textId="582D5778" w:rsidR="004903D0" w:rsidRDefault="004903D0" w:rsidP="004903D0">
      <w:r>
        <w:t>In vitro data indicate the potential for CYP2C8 inducers/inhibitors to alter iptacopan exposure in patients, and for iptacopan to cause interactions through inhibition of</w:t>
      </w:r>
    </w:p>
    <w:p w14:paraId="48199AB1" w14:textId="77777777" w:rsidR="004903D0" w:rsidRDefault="004903D0" w:rsidP="004903D0">
      <w:r>
        <w:t>P-glycoprotein and OATP1B1. Clinical drug-interaction studies investigating such effects have been conducted.</w:t>
      </w:r>
    </w:p>
    <w:p w14:paraId="19505B35" w14:textId="69494D61" w:rsidR="004903D0" w:rsidRDefault="004903D0" w:rsidP="004903D0">
      <w:r>
        <w:t xml:space="preserve">Iptacopan </w:t>
      </w:r>
      <w:r w:rsidR="009C0386">
        <w:t>had</w:t>
      </w:r>
      <w:r>
        <w:t xml:space="preserve"> a low order of acute toxicity by the oral route in animals.</w:t>
      </w:r>
    </w:p>
    <w:p w14:paraId="6F5E0EA7" w14:textId="03281323" w:rsidR="004903D0" w:rsidRDefault="004903D0" w:rsidP="004903D0">
      <w:r>
        <w:t>Repeat-dose toxicity studies by the oral route were conducted in mice (up to 4 weeks), rats (up to 6 months) and dogs (up to 9 months). The thyroid, male reproductive organs, bone marrow and heart/cardiovascular system were identified as the key targets in these studies. Clinical relevance is judged to be low.</w:t>
      </w:r>
    </w:p>
    <w:p w14:paraId="598C1920" w14:textId="62CFDFF6" w:rsidR="00D547A1" w:rsidRDefault="00D547A1" w:rsidP="00D547A1">
      <w:r>
        <w:t xml:space="preserve">Iptacopan was </w:t>
      </w:r>
      <w:r w:rsidR="009C0386">
        <w:t>not</w:t>
      </w:r>
      <w:r>
        <w:t xml:space="preserve"> genotoxic in a standard battery of in vitro and in vivo studies, and not carcinogenic in transgenic mice or in rats.</w:t>
      </w:r>
    </w:p>
    <w:p w14:paraId="6EACD0A4" w14:textId="372DD5A1" w:rsidR="00D547A1" w:rsidRDefault="00D547A1" w:rsidP="00D547A1">
      <w:r>
        <w:t xml:space="preserve">Iptacopan did not impair male or female fertility in rats, produce malformations or other adverse effects on embryofetal development in rats and rabbits, or cause adverse effects on postnatal development in rats. Assignment to Pregnancy Category B1 (rather than Category C as the </w:t>
      </w:r>
      <w:r w:rsidR="003105E1">
        <w:t>Sponsor</w:t>
      </w:r>
      <w:r>
        <w:t xml:space="preserve"> proposes) is warranted.</w:t>
      </w:r>
    </w:p>
    <w:p w14:paraId="76CD129E" w14:textId="0ADD2FCB" w:rsidR="00D547A1" w:rsidRDefault="00D547A1" w:rsidP="00D547A1">
      <w:r>
        <w:t xml:space="preserve">While FABHALTA is not proposed for paediatric use, the submission </w:t>
      </w:r>
      <w:r w:rsidR="009C0386">
        <w:t>included</w:t>
      </w:r>
      <w:r>
        <w:t xml:space="preserve"> data on juvenile toxicity which revealed increased sensitivity of juvenile dogs to adverse effects on the heart and aorta cf. adults.</w:t>
      </w:r>
    </w:p>
    <w:p w14:paraId="34503F18" w14:textId="2F113B8C" w:rsidR="00D547A1" w:rsidRDefault="00D547A1" w:rsidP="00C5699C">
      <w:r>
        <w:lastRenderedPageBreak/>
        <w:t>Phototoxicity is not predicted in patients, based on the results of in vitro and in vivo studies.</w:t>
      </w:r>
    </w:p>
    <w:p w14:paraId="5B015A08" w14:textId="2D64C2AF" w:rsidR="00D547A1" w:rsidRPr="00A5067F" w:rsidRDefault="00D547A1" w:rsidP="00D547A1">
      <w:r>
        <w:t>There are no nonclinical objections to the registration of FABHALTA for the proposed indication.</w:t>
      </w:r>
    </w:p>
    <w:p w14:paraId="35B580A5" w14:textId="40B226DC" w:rsidR="00C22214" w:rsidRDefault="00C22214" w:rsidP="008804CF">
      <w:pPr>
        <w:pStyle w:val="Heading3"/>
      </w:pPr>
      <w:bookmarkStart w:id="29" w:name="_Toc247691530"/>
      <w:bookmarkStart w:id="30" w:name="_Toc314842513"/>
      <w:bookmarkStart w:id="31" w:name="_Toc103679297"/>
      <w:bookmarkStart w:id="32" w:name="_Toc204181044"/>
      <w:r>
        <w:t>Clinical</w:t>
      </w:r>
      <w:bookmarkEnd w:id="29"/>
      <w:bookmarkEnd w:id="30"/>
      <w:bookmarkEnd w:id="31"/>
      <w:r w:rsidR="00095C6A">
        <w:t xml:space="preserve"> evaluation summary</w:t>
      </w:r>
      <w:bookmarkEnd w:id="32"/>
    </w:p>
    <w:p w14:paraId="758A2291" w14:textId="77777777" w:rsidR="003D3C05" w:rsidRDefault="003D3C05" w:rsidP="0031503D">
      <w:pPr>
        <w:pStyle w:val="Heading4"/>
      </w:pPr>
      <w:bookmarkStart w:id="33" w:name="_Toc204181045"/>
      <w:r>
        <w:t>Pharmacology</w:t>
      </w:r>
      <w:bookmarkEnd w:id="33"/>
    </w:p>
    <w:p w14:paraId="4F5CFD33" w14:textId="77777777" w:rsidR="003D3C05" w:rsidRDefault="003D3C05" w:rsidP="003D3C05">
      <w:r>
        <w:t>The pharmacology data for iptacopan comes from the following studies:</w:t>
      </w:r>
    </w:p>
    <w:p w14:paraId="3D6A765A" w14:textId="4A38ACE3" w:rsidR="003D3C05" w:rsidRDefault="003D3C05" w:rsidP="0031503D">
      <w:pPr>
        <w:pStyle w:val="ListBullet"/>
      </w:pPr>
      <w:r>
        <w:t>2 PK studies in healthy adults (CLNP023X2101 and CLNP023A2101)</w:t>
      </w:r>
    </w:p>
    <w:p w14:paraId="384B38F5" w14:textId="5F550D9D" w:rsidR="003D3C05" w:rsidRDefault="003D3C05" w:rsidP="0031503D">
      <w:pPr>
        <w:pStyle w:val="ListBullet"/>
      </w:pPr>
      <w:r>
        <w:t>2 studies in special populations (CLNP023A2105 (hepatic impairment) and CLNP023X1102 (healthy Japanese male subjects))</w:t>
      </w:r>
    </w:p>
    <w:p w14:paraId="38D4D5D0" w14:textId="3680E6FA" w:rsidR="003D3C05" w:rsidRDefault="003D3C05" w:rsidP="0031503D">
      <w:pPr>
        <w:pStyle w:val="ListBullet"/>
      </w:pPr>
      <w:r>
        <w:t>1 study on PK interactions (CLNP023A2104)</w:t>
      </w:r>
    </w:p>
    <w:p w14:paraId="581B58FD" w14:textId="1AAC1D9E" w:rsidR="003D3C05" w:rsidRDefault="003D3C05" w:rsidP="0031503D">
      <w:pPr>
        <w:pStyle w:val="ListBullet"/>
      </w:pPr>
      <w:r>
        <w:t xml:space="preserve">1 pharmacodynamic study on </w:t>
      </w:r>
      <w:r w:rsidR="00B37F3C">
        <w:t>c</w:t>
      </w:r>
      <w:r w:rsidR="00B37F3C" w:rsidRPr="00B37F3C">
        <w:t xml:space="preserve">orrected QT Interval </w:t>
      </w:r>
      <w:r w:rsidR="00B37F3C">
        <w:t>(</w:t>
      </w:r>
      <w:r>
        <w:t>QTc</w:t>
      </w:r>
      <w:r w:rsidR="00B37F3C">
        <w:t xml:space="preserve">; </w:t>
      </w:r>
      <w:r>
        <w:t>CLNP023A2107)</w:t>
      </w:r>
    </w:p>
    <w:p w14:paraId="2C31C63E" w14:textId="11D0EEE0" w:rsidR="003D3C05" w:rsidRDefault="0031503D" w:rsidP="003D3C05">
      <w:r>
        <w:t>T</w:t>
      </w:r>
      <w:r w:rsidR="003D3C05">
        <w:t>here were also limited PK studies as part of the phase II and III studies i.e., in the target population</w:t>
      </w:r>
    </w:p>
    <w:p w14:paraId="633F9F51" w14:textId="7DF7F551" w:rsidR="003D3C05" w:rsidRDefault="003D3C05" w:rsidP="0031503D">
      <w:pPr>
        <w:pStyle w:val="Heading5"/>
      </w:pPr>
      <w:r>
        <w:t>Pharmacokinetics</w:t>
      </w:r>
    </w:p>
    <w:p w14:paraId="1ACFC2BD" w14:textId="72B27318" w:rsidR="003D3C05" w:rsidRDefault="003D3C05" w:rsidP="003D3C05">
      <w:r>
        <w:t>Iptacopan</w:t>
      </w:r>
      <w:r w:rsidR="0031503D">
        <w:t xml:space="preserve"> p</w:t>
      </w:r>
      <w:r w:rsidR="0031503D" w:rsidRPr="0031503D">
        <w:t>harmacokinetics</w:t>
      </w:r>
      <w:r>
        <w:t xml:space="preserve"> </w:t>
      </w:r>
      <w:r w:rsidR="0031503D">
        <w:t>(</w:t>
      </w:r>
      <w:r>
        <w:t>PK</w:t>
      </w:r>
      <w:r w:rsidR="0031503D">
        <w:t>)</w:t>
      </w:r>
      <w:r>
        <w:t xml:space="preserve"> were similar in both healthy subjects and patients with PNH.</w:t>
      </w:r>
    </w:p>
    <w:p w14:paraId="2F6E9E1C" w14:textId="77777777" w:rsidR="003D3C05" w:rsidRDefault="003D3C05" w:rsidP="0031503D">
      <w:pPr>
        <w:pStyle w:val="Heading6"/>
      </w:pPr>
      <w:r>
        <w:t>Absorption</w:t>
      </w:r>
    </w:p>
    <w:p w14:paraId="41B45CA8" w14:textId="084EC196" w:rsidR="003D3C05" w:rsidRDefault="003D3C05" w:rsidP="00161CA1">
      <w:pPr>
        <w:pStyle w:val="ListBullet"/>
      </w:pPr>
      <w:r>
        <w:t xml:space="preserve">Iptacopan is to be orally administered as a single </w:t>
      </w:r>
      <w:r w:rsidR="002B633A">
        <w:t>immediate release</w:t>
      </w:r>
      <w:r>
        <w:t xml:space="preserve"> capsule containing 200 mg of drug b</w:t>
      </w:r>
      <w:r w:rsidR="684B0817">
        <w:t>.</w:t>
      </w:r>
      <w:r w:rsidR="00E02555">
        <w:t>i</w:t>
      </w:r>
      <w:r w:rsidR="1E1888ED">
        <w:t>.</w:t>
      </w:r>
      <w:r>
        <w:t>d. Following a single oral 200 mg dose of iptacopan the median T</w:t>
      </w:r>
      <w:r w:rsidRPr="3E1995BD">
        <w:rPr>
          <w:vertAlign w:val="subscript"/>
        </w:rPr>
        <w:t>max</w:t>
      </w:r>
      <w:r>
        <w:t xml:space="preserve"> was 1.13 h.</w:t>
      </w:r>
    </w:p>
    <w:p w14:paraId="3F53739F" w14:textId="75322257" w:rsidR="003D3C05" w:rsidRDefault="003D3C05" w:rsidP="00161CA1">
      <w:pPr>
        <w:pStyle w:val="ListBullet"/>
      </w:pPr>
      <w:r>
        <w:t xml:space="preserve">No clinical studies have investigated the absolute bioavailability of iptacopan. The </w:t>
      </w:r>
      <w:r w:rsidR="003105E1">
        <w:t>Sponsor</w:t>
      </w:r>
      <w:r>
        <w:t xml:space="preserve"> has provided a justification for this, which was accepted by the clinical </w:t>
      </w:r>
      <w:r w:rsidR="003105E1">
        <w:t>Evaluator</w:t>
      </w:r>
      <w:r>
        <w:t>.</w:t>
      </w:r>
    </w:p>
    <w:p w14:paraId="7F876563" w14:textId="55CADBF3" w:rsidR="003D3C05" w:rsidRDefault="003D3C05" w:rsidP="00161CA1">
      <w:pPr>
        <w:pStyle w:val="ListBullet"/>
      </w:pPr>
      <w:r>
        <w:t xml:space="preserve">A high fat meal </w:t>
      </w:r>
      <w:proofErr w:type="gramStart"/>
      <w:r>
        <w:t xml:space="preserve">had </w:t>
      </w:r>
      <w:r w:rsidR="00E02555">
        <w:t xml:space="preserve"> no</w:t>
      </w:r>
      <w:proofErr w:type="gramEnd"/>
      <w:r w:rsidR="00E02555">
        <w:t xml:space="preserve"> clinically relevant</w:t>
      </w:r>
      <w:r>
        <w:t xml:space="preserve"> effect on iptacopan PKs when compared to the fasted state.</w:t>
      </w:r>
    </w:p>
    <w:p w14:paraId="084983E0" w14:textId="7E1BCFB1" w:rsidR="003D3C05" w:rsidRDefault="003D3C05" w:rsidP="00161CA1">
      <w:pPr>
        <w:pStyle w:val="ListBullet"/>
      </w:pPr>
      <w:r>
        <w:t>Following ascending single or multiple doses administered b</w:t>
      </w:r>
      <w:r w:rsidR="00E02555">
        <w:t>i</w:t>
      </w:r>
      <w:r>
        <w:t>d, increases in iptacopan exposure were dose-dependent but less than dose-proportional.</w:t>
      </w:r>
    </w:p>
    <w:p w14:paraId="0754D410" w14:textId="245AFF28" w:rsidR="003D3C05" w:rsidRDefault="5BBDCCC8" w:rsidP="00161CA1">
      <w:pPr>
        <w:pStyle w:val="ListBullet"/>
      </w:pPr>
      <w:r>
        <w:t xml:space="preserve">Following multiple doses </w:t>
      </w:r>
      <w:r w:rsidR="00BB60BD">
        <w:t xml:space="preserve">administered </w:t>
      </w:r>
      <w:proofErr w:type="spellStart"/>
      <w:r>
        <w:t>b</w:t>
      </w:r>
      <w:r w:rsidR="763604A9">
        <w:t>.</w:t>
      </w:r>
      <w:r w:rsidR="344EEA8B">
        <w:t>i</w:t>
      </w:r>
      <w:r w:rsidR="763604A9">
        <w:t>.</w:t>
      </w:r>
      <w:r>
        <w:t>d</w:t>
      </w:r>
      <w:proofErr w:type="spellEnd"/>
      <w:r>
        <w:t>, the accumulation ratio for C</w:t>
      </w:r>
      <w:r w:rsidRPr="519EC437">
        <w:rPr>
          <w:vertAlign w:val="subscript"/>
        </w:rPr>
        <w:t>max</w:t>
      </w:r>
      <w:r>
        <w:t xml:space="preserve"> </w:t>
      </w:r>
      <w:r w:rsidR="18B163C9">
        <w:t xml:space="preserve">at steady </w:t>
      </w:r>
      <w:proofErr w:type="gramStart"/>
      <w:r w:rsidR="18B163C9">
        <w:t xml:space="preserve">state </w:t>
      </w:r>
      <w:r w:rsidR="25873565">
        <w:t xml:space="preserve"> </w:t>
      </w:r>
      <w:r w:rsidR="00BB60BD">
        <w:t>was</w:t>
      </w:r>
      <w:proofErr w:type="gramEnd"/>
      <w:r w:rsidR="6247D740">
        <w:t xml:space="preserve"> </w:t>
      </w:r>
      <w:proofErr w:type="gramStart"/>
      <w:r w:rsidR="6247D740">
        <w:t>similar to</w:t>
      </w:r>
      <w:proofErr w:type="gramEnd"/>
      <w:r>
        <w:t xml:space="preserve"> AUC</w:t>
      </w:r>
      <w:r w:rsidR="00E71D7B">
        <w:rPr>
          <w:vertAlign w:val="subscript"/>
        </w:rPr>
        <w:sym w:font="Symbol" w:char="F074"/>
      </w:r>
      <w:r>
        <w:t xml:space="preserve"> </w:t>
      </w:r>
      <w:r w:rsidR="12C46E8C">
        <w:t>ran</w:t>
      </w:r>
      <w:r w:rsidR="48A54EDC">
        <w:t>ged</w:t>
      </w:r>
      <w:r w:rsidR="12C46E8C">
        <w:t xml:space="preserve"> from </w:t>
      </w:r>
      <w:r>
        <w:t>1.1</w:t>
      </w:r>
      <w:r w:rsidR="164EBE47">
        <w:t>0</w:t>
      </w:r>
      <w:r>
        <w:t xml:space="preserve">- and </w:t>
      </w:r>
      <w:r w:rsidR="12C46E8C">
        <w:t>1.4</w:t>
      </w:r>
      <w:r w:rsidR="3BCAC752">
        <w:t>9-fold</w:t>
      </w:r>
      <w:r>
        <w:t xml:space="preserve">. </w:t>
      </w:r>
      <w:proofErr w:type="gramStart"/>
      <w:r>
        <w:t>Steady-state</w:t>
      </w:r>
      <w:proofErr w:type="gramEnd"/>
      <w:r>
        <w:t xml:space="preserve"> was attained following approximately </w:t>
      </w:r>
      <w:r w:rsidR="344EEA8B">
        <w:t xml:space="preserve">5 to </w:t>
      </w:r>
      <w:r>
        <w:t>7 days of dosing.</w:t>
      </w:r>
    </w:p>
    <w:p w14:paraId="5C581951" w14:textId="46925CE4" w:rsidR="003D3C05" w:rsidRDefault="003D3C05" w:rsidP="00161CA1">
      <w:pPr>
        <w:pStyle w:val="ListBullet"/>
      </w:pPr>
      <w:r>
        <w:t>The proposed b</w:t>
      </w:r>
      <w:r w:rsidR="00E02555">
        <w:t>i</w:t>
      </w:r>
      <w:r>
        <w:t xml:space="preserve">d dosing regimen appears appropriate as following </w:t>
      </w:r>
      <w:proofErr w:type="spellStart"/>
      <w:r>
        <w:t>b</w:t>
      </w:r>
      <w:r w:rsidR="004244D9">
        <w:t>.</w:t>
      </w:r>
      <w:r w:rsidR="00E02555">
        <w:t>i</w:t>
      </w:r>
      <w:r w:rsidR="004244D9">
        <w:t>.</w:t>
      </w:r>
      <w:r>
        <w:t>d</w:t>
      </w:r>
      <w:proofErr w:type="spellEnd"/>
      <w:r>
        <w:t xml:space="preserve"> dosing a consistent iptacopan trough plasma concentration was maintained throughout the multiple ascending dose study</w:t>
      </w:r>
    </w:p>
    <w:p w14:paraId="5C4541C5" w14:textId="77777777" w:rsidR="003D3C05" w:rsidRDefault="003D3C05" w:rsidP="0031503D">
      <w:pPr>
        <w:pStyle w:val="Heading6"/>
      </w:pPr>
      <w:r>
        <w:t>Distribution</w:t>
      </w:r>
    </w:p>
    <w:p w14:paraId="67F9034C" w14:textId="1C08FFCC" w:rsidR="003D3C05" w:rsidRDefault="003D3C05" w:rsidP="00161CA1">
      <w:pPr>
        <w:pStyle w:val="ListBullet"/>
      </w:pPr>
      <w:r>
        <w:t>Following a single dose of 200mg the mean volume of distribution (V</w:t>
      </w:r>
      <w:r w:rsidRPr="0066503D">
        <w:rPr>
          <w:vertAlign w:val="subscript"/>
        </w:rPr>
        <w:t>z</w:t>
      </w:r>
      <w:r>
        <w:t>/F) of iptacopan was 3.46L. The steady state V</w:t>
      </w:r>
      <w:r w:rsidRPr="0066503D">
        <w:rPr>
          <w:vertAlign w:val="subscript"/>
        </w:rPr>
        <w:t>z</w:t>
      </w:r>
      <w:r>
        <w:t>/F value following administration of 200mg iptacopan b</w:t>
      </w:r>
      <w:r w:rsidR="00E02555">
        <w:t>i</w:t>
      </w:r>
      <w:r>
        <w:t>d to 6 healthy subjects was 288L.</w:t>
      </w:r>
    </w:p>
    <w:p w14:paraId="5700678E" w14:textId="3C7963D2" w:rsidR="003D3C05" w:rsidRDefault="5BBDCCC8" w:rsidP="00161CA1">
      <w:pPr>
        <w:pStyle w:val="ListBullet"/>
      </w:pPr>
      <w:r>
        <w:t xml:space="preserve">Iptacopan bound to </w:t>
      </w:r>
      <w:r w:rsidR="1244215D">
        <w:t>human serum albumin</w:t>
      </w:r>
      <w:r>
        <w:t xml:space="preserve">, </w:t>
      </w:r>
      <w:r w:rsidR="6268015D">
        <w:t>α-1-acid glycoprotein</w:t>
      </w:r>
      <w:r>
        <w:t xml:space="preserve"> and lipoproteins in a non-concentration dependent </w:t>
      </w:r>
      <w:proofErr w:type="gramStart"/>
      <w:r>
        <w:t>manner</w:t>
      </w:r>
      <w:proofErr w:type="gramEnd"/>
      <w:r>
        <w:t xml:space="preserve"> and they accounted for 28.4%, 9.25% and 16.0% of total plasma protein binding, respectively. By contrast, binding to </w:t>
      </w:r>
      <w:r w:rsidR="000F12E9" w:rsidRPr="000F12E9">
        <w:t>Factor B (</w:t>
      </w:r>
      <w:r w:rsidR="4ABDFE39">
        <w:t>FB</w:t>
      </w:r>
      <w:r w:rsidR="000F12E9">
        <w:t>)</w:t>
      </w:r>
      <w:r>
        <w:t xml:space="preserve"> was concentration-dependent up to the point of saturation.</w:t>
      </w:r>
    </w:p>
    <w:p w14:paraId="45919079" w14:textId="77777777" w:rsidR="003D3C05" w:rsidRDefault="003D3C05" w:rsidP="00B061E2">
      <w:pPr>
        <w:pStyle w:val="Heading6"/>
      </w:pPr>
      <w:r>
        <w:lastRenderedPageBreak/>
        <w:t>Metabolism</w:t>
      </w:r>
    </w:p>
    <w:p w14:paraId="7C603C48" w14:textId="37D2B4C5" w:rsidR="003D3C05" w:rsidRDefault="003D3C05" w:rsidP="00161CA1">
      <w:pPr>
        <w:pStyle w:val="ListBullet"/>
      </w:pPr>
      <w:r>
        <w:t>Following a single 100-mg oral dose of [</w:t>
      </w:r>
      <w:r w:rsidRPr="00940340">
        <w:rPr>
          <w:vertAlign w:val="superscript"/>
        </w:rPr>
        <w:t>14</w:t>
      </w:r>
      <w:proofErr w:type="gramStart"/>
      <w:r>
        <w:t>C]LNP</w:t>
      </w:r>
      <w:proofErr w:type="gramEnd"/>
      <w:r>
        <w:t>023</w:t>
      </w:r>
      <w:r w:rsidR="00561DC0">
        <w:t xml:space="preserve"> (</w:t>
      </w:r>
      <w:r w:rsidR="00561DC0" w:rsidRPr="00561DC0">
        <w:t>iptacopan</w:t>
      </w:r>
      <w:r w:rsidR="00561DC0">
        <w:t>)</w:t>
      </w:r>
      <w:r>
        <w:t xml:space="preserve"> to healthy subjects, two circulating metabolites were identified, which were formed via </w:t>
      </w:r>
      <w:r w:rsidR="009B625B">
        <w:t xml:space="preserve">direct </w:t>
      </w:r>
      <w:r>
        <w:t>acyl glucuronidation (M8) and O- deethylation/acyl glucuronidation (M9).</w:t>
      </w:r>
    </w:p>
    <w:p w14:paraId="12F59D8E" w14:textId="5EFC7277" w:rsidR="003D3C05" w:rsidRDefault="003D3C05" w:rsidP="00161CA1">
      <w:pPr>
        <w:pStyle w:val="ListBullet"/>
      </w:pPr>
      <w:r>
        <w:t>The most abundant circulating component of iptacopan in plasma was parent drug, which accounted for 83% of the total radioactivity, whereas the two circulating metabolites M8 and M9 accounted for 8.05% and 5.17%, respectively. The</w:t>
      </w:r>
      <w:r w:rsidR="009B625B">
        <w:t>se two</w:t>
      </w:r>
      <w:r>
        <w:t xml:space="preserve"> circulating metabolites </w:t>
      </w:r>
      <w:r w:rsidR="009B625B">
        <w:t xml:space="preserve">in plasma </w:t>
      </w:r>
      <w:r>
        <w:t>and the major metabolite identified in faeces (M2) were 27-fold and 150- fold less potent than iptacopan.</w:t>
      </w:r>
    </w:p>
    <w:p w14:paraId="73AA0CC0" w14:textId="77777777" w:rsidR="003D3C05" w:rsidRDefault="003D3C05" w:rsidP="00161CA1">
      <w:pPr>
        <w:pStyle w:val="Heading6"/>
      </w:pPr>
      <w:r>
        <w:t>Excretion</w:t>
      </w:r>
    </w:p>
    <w:p w14:paraId="5DB81C7B" w14:textId="17F73F8A" w:rsidR="003D3C05" w:rsidRDefault="003D3C05" w:rsidP="00D1317D">
      <w:pPr>
        <w:pStyle w:val="ListBullet"/>
      </w:pPr>
      <w:r>
        <w:t>Iptacopan elimination primarily occurs via multiple hepatic pathways which are responsible for approximately 79.5% of its elimination, whereas the remaining 20.5% is eliminated renally.</w:t>
      </w:r>
    </w:p>
    <w:p w14:paraId="7B2988E6" w14:textId="6D4CE66D" w:rsidR="003D3C05" w:rsidRDefault="003D3C05" w:rsidP="00D1317D">
      <w:pPr>
        <w:pStyle w:val="ListBullet"/>
      </w:pPr>
      <w:r>
        <w:t>Iptacopan CL/F increased dose-dependently but less than dose-proportionally.</w:t>
      </w:r>
    </w:p>
    <w:p w14:paraId="0375E72E" w14:textId="7DE58091" w:rsidR="003D3C05" w:rsidRDefault="003D3C05" w:rsidP="00D1317D">
      <w:pPr>
        <w:pStyle w:val="ListBullet"/>
      </w:pPr>
      <w:r>
        <w:t>Following a single 100-mg oral dose of [</w:t>
      </w:r>
      <w:r w:rsidRPr="00940340">
        <w:rPr>
          <w:vertAlign w:val="superscript"/>
        </w:rPr>
        <w:t>14</w:t>
      </w:r>
      <w:proofErr w:type="gramStart"/>
      <w:r>
        <w:t>C]LNP</w:t>
      </w:r>
      <w:proofErr w:type="gramEnd"/>
      <w:r>
        <w:t>023, radioactivity was predominantly excreted in faeces (71.5%), whereas excretion in urine was 24.8%.</w:t>
      </w:r>
    </w:p>
    <w:p w14:paraId="5D327A7E" w14:textId="77777777" w:rsidR="003D3C05" w:rsidRDefault="003D3C05" w:rsidP="00D1317D">
      <w:pPr>
        <w:pStyle w:val="Heading6"/>
      </w:pPr>
      <w:r>
        <w:t>Inter-subject variability</w:t>
      </w:r>
    </w:p>
    <w:p w14:paraId="7492291C" w14:textId="2A4F1C97" w:rsidR="003D3C05" w:rsidRDefault="003D3C05" w:rsidP="003D3C05">
      <w:r>
        <w:t xml:space="preserve">Following dosing with 25 to 200 mg bd the </w:t>
      </w:r>
      <w:r w:rsidR="00684197">
        <w:t>i</w:t>
      </w:r>
      <w:r w:rsidR="00684197" w:rsidRPr="00684197">
        <w:t xml:space="preserve">ntra-individual </w:t>
      </w:r>
      <w:r w:rsidR="00684197">
        <w:t>v</w:t>
      </w:r>
      <w:r w:rsidR="00684197" w:rsidRPr="00684197">
        <w:t xml:space="preserve">ariability </w:t>
      </w:r>
      <w:r>
        <w:t>values for iptacopan C</w:t>
      </w:r>
      <w:r w:rsidRPr="00B061E2">
        <w:rPr>
          <w:vertAlign w:val="subscript"/>
        </w:rPr>
        <w:t>max</w:t>
      </w:r>
      <w:r>
        <w:t xml:space="preserve"> and AUC ranged from 11.7% to 26.8%. The intra-subject variability in </w:t>
      </w:r>
      <w:proofErr w:type="gramStart"/>
      <w:r>
        <w:t>C</w:t>
      </w:r>
      <w:r w:rsidRPr="00B061E2">
        <w:rPr>
          <w:vertAlign w:val="subscript"/>
        </w:rPr>
        <w:t>trough</w:t>
      </w:r>
      <w:r>
        <w:t>,</w:t>
      </w:r>
      <w:r w:rsidRPr="00F63EF6">
        <w:rPr>
          <w:vertAlign w:val="subscript"/>
        </w:rPr>
        <w:t>ss</w:t>
      </w:r>
      <w:proofErr w:type="gramEnd"/>
      <w:r>
        <w:t xml:space="preserve"> was 13.3%, whereas in patients with PNH, intra-subject variability on </w:t>
      </w:r>
      <w:r w:rsidR="00C53DF6">
        <w:t>C</w:t>
      </w:r>
      <w:r w:rsidR="00C53DF6" w:rsidRPr="009668C9">
        <w:rPr>
          <w:vertAlign w:val="subscript"/>
        </w:rPr>
        <w:t>max</w:t>
      </w:r>
      <w:r w:rsidR="00C53DF6">
        <w:t xml:space="preserve"> and AUC</w:t>
      </w:r>
      <w:r w:rsidR="00FC1E26">
        <w:rPr>
          <w:vertAlign w:val="subscript"/>
        </w:rPr>
        <w:sym w:font="Symbol" w:char="F074"/>
      </w:r>
      <w:r w:rsidR="00C53DF6">
        <w:t xml:space="preserve"> </w:t>
      </w:r>
      <w:r>
        <w:t xml:space="preserve">ranged from </w:t>
      </w:r>
      <w:r w:rsidR="00C53DF6">
        <w:t>26.9</w:t>
      </w:r>
      <w:r>
        <w:t xml:space="preserve">% to </w:t>
      </w:r>
      <w:r w:rsidR="00C53DF6">
        <w:t>22.6</w:t>
      </w:r>
      <w:r>
        <w:t>%</w:t>
      </w:r>
      <w:r w:rsidR="00C53DF6">
        <w:t>, respectively</w:t>
      </w:r>
      <w:r>
        <w:t>.</w:t>
      </w:r>
    </w:p>
    <w:p w14:paraId="2640023F" w14:textId="77777777" w:rsidR="003D3C05" w:rsidRDefault="003D3C05" w:rsidP="00D1317D">
      <w:pPr>
        <w:pStyle w:val="Heading6"/>
      </w:pPr>
      <w:r>
        <w:t>Special populations</w:t>
      </w:r>
    </w:p>
    <w:p w14:paraId="00A2F419" w14:textId="5B536867" w:rsidR="003D3C05" w:rsidRDefault="003D3C05" w:rsidP="00D1317D">
      <w:pPr>
        <w:pStyle w:val="ListBullet"/>
      </w:pPr>
      <w:r>
        <w:t xml:space="preserve">Hepatic impairment had little effect on </w:t>
      </w:r>
      <w:r w:rsidR="00C53DF6">
        <w:t xml:space="preserve">total </w:t>
      </w:r>
      <w:proofErr w:type="gramStart"/>
      <w:r>
        <w:t xml:space="preserve">iptacopan </w:t>
      </w:r>
      <w:r w:rsidR="00C53DF6">
        <w:t xml:space="preserve"> exposure</w:t>
      </w:r>
      <w:proofErr w:type="gramEnd"/>
      <w:r>
        <w:t xml:space="preserve">, whereas </w:t>
      </w:r>
      <w:r w:rsidR="00C53DF6">
        <w:t xml:space="preserve">iptacopan unbound </w:t>
      </w:r>
      <w:r>
        <w:t>exposure increased significantly with the level of hepatic impairment. The PI states that no dose adjustment is necessary for hepatic impairment, which is appropriate.</w:t>
      </w:r>
    </w:p>
    <w:p w14:paraId="067B01F5" w14:textId="3F1FAAA6" w:rsidR="003D3C05" w:rsidRDefault="003D3C05" w:rsidP="00D1317D">
      <w:pPr>
        <w:pStyle w:val="ListBullet"/>
      </w:pPr>
      <w:r>
        <w:t>There was no difference between iptacopan PKs in healthy Japanese males and healthy non-Japanese subjects.</w:t>
      </w:r>
    </w:p>
    <w:p w14:paraId="3806C130" w14:textId="77777777" w:rsidR="003D3C05" w:rsidRDefault="003D3C05" w:rsidP="00D1317D">
      <w:pPr>
        <w:pStyle w:val="Heading6"/>
      </w:pPr>
      <w:r>
        <w:t>Pharmacokinetic Interactions</w:t>
      </w:r>
    </w:p>
    <w:p w14:paraId="762E21B6" w14:textId="0E9175A8" w:rsidR="003D3C05" w:rsidRDefault="003D3C05" w:rsidP="00BC66E3">
      <w:pPr>
        <w:pStyle w:val="ListBullet"/>
      </w:pPr>
      <w:r>
        <w:t>Both CYP2C8- and OATP-inhibition have a mild effect on iptacopan PKs and suggest that iptacopan is a relatively weak to mild substrate for CYP2C8 and OATP.</w:t>
      </w:r>
    </w:p>
    <w:p w14:paraId="62D04ACF" w14:textId="1B7652AF" w:rsidR="003D3C05" w:rsidRDefault="003D3C05" w:rsidP="00BC66E3">
      <w:pPr>
        <w:pStyle w:val="ListBullet"/>
      </w:pPr>
      <w:r>
        <w:t>Iptacopan had little to no effect on the PKs of P-gp-substrates nor did it inhibit uptake via the OATP transporter.</w:t>
      </w:r>
    </w:p>
    <w:p w14:paraId="05825A86" w14:textId="6119A388" w:rsidR="003D3C05" w:rsidRDefault="003D3C05" w:rsidP="00BC66E3">
      <w:pPr>
        <w:pStyle w:val="Heading5"/>
      </w:pPr>
      <w:r>
        <w:t xml:space="preserve">Population </w:t>
      </w:r>
      <w:r w:rsidR="0031503D">
        <w:t>pharmacokinetics</w:t>
      </w:r>
    </w:p>
    <w:p w14:paraId="74D7737C" w14:textId="32A239A9" w:rsidR="003D3C05" w:rsidRDefault="003D3C05" w:rsidP="003D3C05">
      <w:r>
        <w:t xml:space="preserve">A separate evaluation of the following </w:t>
      </w:r>
      <w:r w:rsidR="0031503D">
        <w:t>p</w:t>
      </w:r>
      <w:r w:rsidR="0031503D" w:rsidRPr="0031503D">
        <w:t>opulation pharmacokinetics</w:t>
      </w:r>
      <w:r w:rsidR="0031503D">
        <w:t xml:space="preserve"> (popPK) </w:t>
      </w:r>
      <w:r>
        <w:t xml:space="preserve">data was conducted by a specialist popPK </w:t>
      </w:r>
      <w:r w:rsidR="003105E1">
        <w:t>Evaluator</w:t>
      </w:r>
      <w:r>
        <w:t>:</w:t>
      </w:r>
    </w:p>
    <w:p w14:paraId="3D902E16" w14:textId="2758F3AD" w:rsidR="003D3C05" w:rsidRDefault="003D3C05" w:rsidP="008C5009">
      <w:pPr>
        <w:pStyle w:val="ListBullet"/>
      </w:pPr>
      <w:r>
        <w:t>Population pharmacokinetics of iptacopan in PNH, C3 glomerulopathy and IgA nephropathy: Modelling Report</w:t>
      </w:r>
    </w:p>
    <w:p w14:paraId="5F44DC34" w14:textId="119227A8" w:rsidR="003D3C05" w:rsidRDefault="003D3C05" w:rsidP="008C5009">
      <w:pPr>
        <w:pStyle w:val="ListBullet"/>
      </w:pPr>
      <w:r>
        <w:t>Biomarker exposure-response analysis of iptacopan in healthy volunteers and patients with PNH, C3 glomerulopathy and IgA nephropathy: Modelling Report</w:t>
      </w:r>
    </w:p>
    <w:p w14:paraId="6FC0AB67" w14:textId="2C166C00" w:rsidR="003D3C05" w:rsidRDefault="003D3C05" w:rsidP="003D3C05">
      <w:r>
        <w:t xml:space="preserve">The </w:t>
      </w:r>
      <w:r w:rsidR="003105E1">
        <w:t>Evaluator</w:t>
      </w:r>
      <w:r>
        <w:t xml:space="preserve"> concluded:</w:t>
      </w:r>
    </w:p>
    <w:p w14:paraId="4D7C7991" w14:textId="3E3484BD" w:rsidR="003D3C05" w:rsidRDefault="003D3C05" w:rsidP="00C5699C">
      <w:pPr>
        <w:ind w:left="720"/>
        <w:rPr>
          <w:i/>
        </w:rPr>
      </w:pPr>
      <w:r w:rsidRPr="008C5009">
        <w:lastRenderedPageBreak/>
        <w:t>“The modelling reports provided detailed descriptions of the data handling, methods and results and discussion of the population PK and PK-</w:t>
      </w:r>
      <w:r w:rsidR="00F1594F">
        <w:t>pharmacodynamic (PD)</w:t>
      </w:r>
      <w:r w:rsidRPr="008C5009">
        <w:t xml:space="preserve"> results of iptacopan in PNH, C3G and </w:t>
      </w:r>
      <w:r w:rsidR="00F85ED9" w:rsidRPr="00F85ED9">
        <w:t>IgA nephropathy</w:t>
      </w:r>
      <w:r w:rsidRPr="008C5009">
        <w:t xml:space="preserve"> patients. However, the population PK model assumptions and parameter estimates do not align with values reported elsewhere. It is possible that there is flip- flop kinetics which influences the interpretation of the PK parameters or there is simply a scaling issue in the reporting of the PK parameters. If neither are correct, then the model should be re-estimated with initial estimates based on the results of the noncompartmental analysis. In any case, the parameters of the final population PK model require clarification. Covariate effects should be considered cautiously until the final population model is clarified.</w:t>
      </w:r>
    </w:p>
    <w:p w14:paraId="3B507FED" w14:textId="506135EB" w:rsidR="003D3C05" w:rsidRDefault="003D3C05" w:rsidP="00C5699C">
      <w:pPr>
        <w:ind w:left="720"/>
        <w:rPr>
          <w:i/>
        </w:rPr>
      </w:pPr>
      <w:r w:rsidRPr="008C5009">
        <w:t xml:space="preserve">PK/PD analysis used time-matched iptacopan concentrations and complement pathway biomarkers, Wieslab activity, plasma </w:t>
      </w:r>
      <w:r w:rsidR="003E6E4A" w:rsidRPr="003E6E4A">
        <w:t xml:space="preserve">complement factor B </w:t>
      </w:r>
      <w:r w:rsidRPr="008C5009">
        <w:t xml:space="preserve">and plasma soluble C5b-9. There was an inhibitory effect of iptacopan on each of the three biomarkers which was dependent on the magnitude of the baseline biomarker; patient population also influenced the Wieslab and plasma </w:t>
      </w:r>
      <w:r w:rsidR="005502A9">
        <w:t>f</w:t>
      </w:r>
      <w:r w:rsidR="005502A9" w:rsidRPr="005502A9">
        <w:t xml:space="preserve">ragment Bb of </w:t>
      </w:r>
      <w:r w:rsidR="00F27AC8">
        <w:t xml:space="preserve">complement </w:t>
      </w:r>
      <w:r w:rsidR="005502A9" w:rsidRPr="005502A9">
        <w:t>Factor B</w:t>
      </w:r>
      <w:r w:rsidR="005502A9">
        <w:t xml:space="preserve"> (</w:t>
      </w:r>
      <w:r w:rsidRPr="008C5009">
        <w:t>Bb</w:t>
      </w:r>
      <w:r w:rsidR="005502A9">
        <w:t>)</w:t>
      </w:r>
      <w:r w:rsidRPr="008C5009">
        <w:t xml:space="preserve"> responses. Although dose-exposure-response simulations used the population PK model together with the PK-PD model, observed data was overlaid and demonstrated the effectiveness of the 200 mg BID regimen to achieve consistent responses above the EC90 for all biomarkers. PK-PD simulations incorporating the population PK and PK-PD models were used to evaluate the proportion of subjects expected to achieve EC</w:t>
      </w:r>
      <w:r w:rsidRPr="007B682D">
        <w:rPr>
          <w:vertAlign w:val="subscript"/>
        </w:rPr>
        <w:t>90</w:t>
      </w:r>
      <w:r w:rsidRPr="008C5009">
        <w:t xml:space="preserve"> and the impact of missed doses on PD profiles over time.</w:t>
      </w:r>
    </w:p>
    <w:p w14:paraId="1A486F2E" w14:textId="4CC90AB7" w:rsidR="003D3C05" w:rsidRDefault="003D3C05" w:rsidP="00C5699C">
      <w:pPr>
        <w:ind w:left="720"/>
      </w:pPr>
      <w:r w:rsidRPr="008C5009">
        <w:t>These should be re-evaluated once the final PK model is clarified.”</w:t>
      </w:r>
    </w:p>
    <w:p w14:paraId="67DE0782" w14:textId="38B1BE1D" w:rsidR="003D3C05" w:rsidRDefault="003D3C05" w:rsidP="003D3C05">
      <w:r>
        <w:t xml:space="preserve">In response, the </w:t>
      </w:r>
      <w:r w:rsidR="003105E1">
        <w:t>Sponsor</w:t>
      </w:r>
      <w:r>
        <w:t xml:space="preserve"> provided clarification regarding the data pool used for the popPK analysis, as well as the model assumptions and parameter estimates. The model was re- estimated using different initial conditions, showing similar covariate effects compared to the original model.</w:t>
      </w:r>
    </w:p>
    <w:p w14:paraId="4BD2F139" w14:textId="7A72A560" w:rsidR="003D3C05" w:rsidRDefault="003D3C05" w:rsidP="003D3C05">
      <w:r>
        <w:t xml:space="preserve">The limitations of the popPK model are acknowledged by the </w:t>
      </w:r>
      <w:r w:rsidR="003105E1">
        <w:t>Sponsor</w:t>
      </w:r>
      <w:r>
        <w:t xml:space="preserve"> </w:t>
      </w:r>
      <w:proofErr w:type="gramStart"/>
      <w:r>
        <w:t>and also</w:t>
      </w:r>
      <w:proofErr w:type="gramEnd"/>
      <w:r>
        <w:t xml:space="preserve"> the FDA in their integrated review:</w:t>
      </w:r>
    </w:p>
    <w:p w14:paraId="347EC02F" w14:textId="169D9E45" w:rsidR="003D3C05" w:rsidRDefault="003D3C05" w:rsidP="00C5699C">
      <w:pPr>
        <w:ind w:left="720"/>
        <w:rPr>
          <w:i/>
        </w:rPr>
      </w:pPr>
      <w:r w:rsidRPr="00CF3AFC">
        <w:t>“The final population PK model and sensitivity population PK model were reproduced. The model estimated a flip-flop PK for iptacopan. A small apparent volume of distribution was estimated with a large shrinkage in the final model, which may be due to the inappropriate model structure. However, a two-compartment model would lead to large shrinkage in CL/F; therefore, a one-compartment model was selected. As a result, there are limitations to the population PK analysis.”</w:t>
      </w:r>
    </w:p>
    <w:p w14:paraId="7D9FA283" w14:textId="1395A4C5" w:rsidR="003D3C05" w:rsidRPr="00CF3AFC" w:rsidRDefault="003D3C05" w:rsidP="00C5699C">
      <w:pPr>
        <w:ind w:left="720"/>
        <w:rPr>
          <w:i/>
        </w:rPr>
      </w:pPr>
      <w:r w:rsidRPr="00CF3AFC">
        <w:t>“The proposed PK/PD analyses for the three biomarkers appeared to be acceptable.”</w:t>
      </w:r>
    </w:p>
    <w:p w14:paraId="702A7AD1" w14:textId="77777777" w:rsidR="003D3C05" w:rsidRDefault="003D3C05" w:rsidP="003D3C05">
      <w:r>
        <w:t>Nevertheless, the submission also contains adequate clinical evidence of the PK of iptacopan, which supports the 200mg dose, and the limitations of the popPK model are not considered a barrier to registration.</w:t>
      </w:r>
    </w:p>
    <w:p w14:paraId="7E7BFD7F" w14:textId="5E407DB9" w:rsidR="003D3C05" w:rsidRDefault="003D3C05" w:rsidP="00CF3AFC">
      <w:pPr>
        <w:pStyle w:val="Heading5"/>
      </w:pPr>
      <w:r>
        <w:t>Pharmacodynamics</w:t>
      </w:r>
    </w:p>
    <w:p w14:paraId="75B8DF94" w14:textId="77777777" w:rsidR="003D3C05" w:rsidRDefault="003D3C05" w:rsidP="00B63AFF">
      <w:pPr>
        <w:pStyle w:val="Heading6"/>
      </w:pPr>
      <w:r>
        <w:t>Mechanism of action</w:t>
      </w:r>
    </w:p>
    <w:p w14:paraId="50662714" w14:textId="2B0153C4" w:rsidR="003D3C05" w:rsidRDefault="003D3C05" w:rsidP="003D3C05">
      <w:r>
        <w:t>Iptacopan is a proximal complement inhibitor that targets FB to selectively inhibit the alternative pathway while leaving the direct signalling from the lectin and classical pathways intact.</w:t>
      </w:r>
    </w:p>
    <w:p w14:paraId="6CF45DE5" w14:textId="77777777" w:rsidR="003D3C05" w:rsidRDefault="003D3C05" w:rsidP="003D3C05">
      <w:r>
        <w:t>Inhibition of FB prevents the activity of alternative pathway related C3 convertase and the subsequent formation of C5 convertase.</w:t>
      </w:r>
    </w:p>
    <w:p w14:paraId="75C2FFB7" w14:textId="77777777" w:rsidR="003D3C05" w:rsidRDefault="003D3C05" w:rsidP="003D3C05">
      <w:r>
        <w:lastRenderedPageBreak/>
        <w:t>In PNH, intravascular haemolysis (IVH) is mediated by the downstream membrane attack complex (MAC), while extravascular haemolysis (EVH) is facilitated by C3b opsonization. Iptacopan acts proximally in the alternative pathway of the complement cascade to control both C3b-mediated EVH and terminal complement-mediated IVH.</w:t>
      </w:r>
    </w:p>
    <w:p w14:paraId="54D9147A" w14:textId="77777777" w:rsidR="003D3C05" w:rsidRDefault="003D3C05" w:rsidP="00B63AFF">
      <w:pPr>
        <w:pStyle w:val="Heading6"/>
      </w:pPr>
      <w:r>
        <w:t>Primary pharmacodynamic effects</w:t>
      </w:r>
    </w:p>
    <w:p w14:paraId="26F3760C" w14:textId="0074E4F8" w:rsidR="003D3C05" w:rsidRDefault="003D3C05" w:rsidP="00DF3D35">
      <w:pPr>
        <w:pStyle w:val="ListBullet"/>
      </w:pPr>
      <w:r>
        <w:t xml:space="preserve">Following iptacopan single ascending dose from 5 to 400 mg and multiple ascending doses from 25 to 200 mg, rapid and significant (&gt;80%) suppression of alternative pathway activity was identified 2h post-dose for </w:t>
      </w:r>
      <w:proofErr w:type="gramStart"/>
      <w:r>
        <w:t>all of</w:t>
      </w:r>
      <w:proofErr w:type="gramEnd"/>
      <w:r>
        <w:t xml:space="preserve"> the doses tested except for the 5mg dose and &gt;60% suppression was generally maintained throughout the entire multiple ascending dosing period.</w:t>
      </w:r>
    </w:p>
    <w:p w14:paraId="65046926" w14:textId="4B23FC83" w:rsidR="003D3C05" w:rsidRDefault="003D3C05" w:rsidP="00DF3D35">
      <w:pPr>
        <w:pStyle w:val="ListBullet"/>
      </w:pPr>
      <w:r>
        <w:t>In contrast to placebo dosing, administration of iptacopan induced decreases in Bb levels 2 h following dosing, which were generally maintained until 12h post-dose; however, the magnitude of decrease in Bb level was largely dependent on Bb</w:t>
      </w:r>
      <w:r w:rsidR="005B525D">
        <w:t xml:space="preserve"> </w:t>
      </w:r>
      <w:r>
        <w:t>levels at baseline.</w:t>
      </w:r>
    </w:p>
    <w:p w14:paraId="7542B8E2" w14:textId="5B61F17C" w:rsidR="003D3C05" w:rsidRDefault="003D3C05" w:rsidP="00DF3D35">
      <w:pPr>
        <w:pStyle w:val="ListBullet"/>
      </w:pPr>
      <w:r>
        <w:t>Decreased levels of sC5b-9 were also identified following iptacopan administration; however, decreases, albeit smaller in magnitude, were also detected in placebo treated subjects. By contrast,</w:t>
      </w:r>
      <w:r w:rsidR="00454D17">
        <w:t xml:space="preserve"> the CH</w:t>
      </w:r>
      <w:r w:rsidR="00454D17" w:rsidRPr="00127D8F">
        <w:rPr>
          <w:vertAlign w:val="subscript"/>
        </w:rPr>
        <w:t>50</w:t>
      </w:r>
      <w:r w:rsidR="00454D17">
        <w:t xml:space="preserve"> assay showed that</w:t>
      </w:r>
      <w:r>
        <w:t xml:space="preserve"> iptacopan had no significant effects on the classical complement pathways following the highest doses used in the multiple ascending dose study.</w:t>
      </w:r>
    </w:p>
    <w:p w14:paraId="1BBBAD64" w14:textId="77777777" w:rsidR="003D3C05" w:rsidRDefault="003D3C05" w:rsidP="00DF3D35">
      <w:pPr>
        <w:pStyle w:val="Heading6"/>
      </w:pPr>
      <w:r>
        <w:t>Secondary pharmacodynamic effects</w:t>
      </w:r>
    </w:p>
    <w:p w14:paraId="09F78F67" w14:textId="63D2AF96" w:rsidR="003D3C05" w:rsidRDefault="003D3C05" w:rsidP="003D3C05">
      <w:r>
        <w:t>At the geometric mean</w:t>
      </w:r>
      <w:r w:rsidR="00C8520B">
        <w:t xml:space="preserve"> </w:t>
      </w:r>
      <w:r>
        <w:t>C</w:t>
      </w:r>
      <w:r w:rsidRPr="00DF3D35">
        <w:rPr>
          <w:vertAlign w:val="subscript"/>
        </w:rPr>
        <w:t>max</w:t>
      </w:r>
      <w:r>
        <w:t xml:space="preserve"> values attained following doses of 400 mg, 800 mg and 1200 mg iptacopan, the upper bound of the two-sided 90% CI for model-derived placebo adjusted </w:t>
      </w:r>
      <w:proofErr w:type="spellStart"/>
      <w:r>
        <w:t>Δ</w:t>
      </w:r>
      <w:r w:rsidR="00933848" w:rsidRPr="00933848">
        <w:t>Fridericia</w:t>
      </w:r>
      <w:proofErr w:type="spellEnd"/>
      <w:r w:rsidR="00933848" w:rsidRPr="00933848">
        <w:t>‐corrected QT</w:t>
      </w:r>
      <w:r w:rsidR="007F74CD">
        <w:t xml:space="preserve"> values</w:t>
      </w:r>
      <w:r>
        <w:t xml:space="preserve"> were 2.82 msec, 2.94 msec and 3.22 msec, respectively.</w:t>
      </w:r>
    </w:p>
    <w:p w14:paraId="691572FE" w14:textId="77777777" w:rsidR="003D3C05" w:rsidRDefault="003D3C05" w:rsidP="00B63AFF">
      <w:pPr>
        <w:pStyle w:val="Heading4"/>
      </w:pPr>
      <w:bookmarkStart w:id="34" w:name="_Toc204181046"/>
      <w:r>
        <w:t>Efficacy</w:t>
      </w:r>
      <w:bookmarkEnd w:id="34"/>
    </w:p>
    <w:p w14:paraId="76E9698A" w14:textId="7F29D480" w:rsidR="003D3C05" w:rsidRDefault="003D3C05" w:rsidP="003D3C05">
      <w:r>
        <w:t xml:space="preserve">The primary efficacy and safety data supporting the PNH indication were provided by the pivotal phase III study CLNP023C12302 (the APPLY-PNH study), a randomised, active- controlled study comparing iptacopan monotherapy 200mg bd to anti-C5 treatment in PNH patients with residual anaemia despite prior anti-C5 therapy. In addition, there was a supportive study CLNP023C12301 (the APPOINT-PNH study), a single arm, open-label study evaluating </w:t>
      </w:r>
      <w:proofErr w:type="spellStart"/>
      <w:r>
        <w:t>iptacopan</w:t>
      </w:r>
      <w:proofErr w:type="spellEnd"/>
      <w:r>
        <w:t xml:space="preserve"> monotherapy 200mg </w:t>
      </w:r>
      <w:proofErr w:type="spellStart"/>
      <w:r>
        <w:t>b</w:t>
      </w:r>
      <w:r w:rsidR="00127D8F">
        <w:t>.</w:t>
      </w:r>
      <w:r>
        <w:t>d</w:t>
      </w:r>
      <w:r w:rsidR="00127D8F">
        <w:t>.</w:t>
      </w:r>
      <w:proofErr w:type="spellEnd"/>
      <w:r>
        <w:t xml:space="preserve"> in PNH patients who were complement inhibitor treatment-naïve.</w:t>
      </w:r>
    </w:p>
    <w:p w14:paraId="7382C938" w14:textId="77777777" w:rsidR="003D3C05" w:rsidRDefault="003D3C05" w:rsidP="003D3C05">
      <w:r>
        <w:t>There were 2 additional, open-label phase II studies to support efficacy (study CLNP023X2204 in complement inhibitor-naïve PNH patients and study CLNP023X2201 in anti-C5 exposed PNH patients).</w:t>
      </w:r>
    </w:p>
    <w:p w14:paraId="1EC3CC34" w14:textId="19F66E6A" w:rsidR="00E347C3" w:rsidRDefault="00E347C3" w:rsidP="00CD6BDD">
      <w:pPr>
        <w:pStyle w:val="Heading5"/>
      </w:pPr>
      <w:r>
        <w:t xml:space="preserve">Pivotal </w:t>
      </w:r>
      <w:r w:rsidR="00587321">
        <w:t>s</w:t>
      </w:r>
      <w:r>
        <w:t>tudy: APPLY-PNH</w:t>
      </w:r>
    </w:p>
    <w:p w14:paraId="0F37337A" w14:textId="21AE70AD" w:rsidR="00E347C3" w:rsidRDefault="00E347C3" w:rsidP="00E347C3">
      <w:r>
        <w:t xml:space="preserve">APPLY-PNH was a randomised, multicentre, open-label trial comparing iptacopan with an anti- C5 antibody. The study occurred in three phases: a screening period lasting up to 8 weeks; a </w:t>
      </w:r>
      <w:proofErr w:type="gramStart"/>
      <w:r>
        <w:t>24 week</w:t>
      </w:r>
      <w:proofErr w:type="gramEnd"/>
      <w:r>
        <w:t xml:space="preserve"> randomised, open-label active control treatment period for the primary efficacy and safety analyses; and a </w:t>
      </w:r>
      <w:proofErr w:type="gramStart"/>
      <w:r>
        <w:t>24 week</w:t>
      </w:r>
      <w:proofErr w:type="gramEnd"/>
      <w:r>
        <w:t xml:space="preserve"> open-label extension </w:t>
      </w:r>
      <w:proofErr w:type="gramStart"/>
      <w:r>
        <w:t>period</w:t>
      </w:r>
      <w:r w:rsidR="00CD6BDD">
        <w:t xml:space="preserve">  (</w:t>
      </w:r>
      <w:proofErr w:type="gramEnd"/>
      <w:r w:rsidR="00CD6BDD" w:rsidRPr="00CD6BDD">
        <w:t xml:space="preserve">Figure </w:t>
      </w:r>
      <w:r w:rsidR="00DF6494">
        <w:t>1</w:t>
      </w:r>
      <w:r w:rsidR="00CD6BDD">
        <w:t>)</w:t>
      </w:r>
      <w:r>
        <w:t>:</w:t>
      </w:r>
    </w:p>
    <w:p w14:paraId="46A3ABE4" w14:textId="7F5C0840" w:rsidR="00A8558A" w:rsidRDefault="00A8558A" w:rsidP="00E347C3">
      <w:pPr>
        <w:pStyle w:val="FigureTitle"/>
      </w:pPr>
      <w:r w:rsidRPr="00A8558A">
        <w:lastRenderedPageBreak/>
        <w:t xml:space="preserve">Figure </w:t>
      </w:r>
      <w:r w:rsidR="00DF6494">
        <w:t>1</w:t>
      </w:r>
      <w:r w:rsidRPr="00A8558A">
        <w:t>: Study design: CLNP023C12302, APPLY-PNH</w:t>
      </w:r>
    </w:p>
    <w:p w14:paraId="610E7BD4" w14:textId="03B15B6C" w:rsidR="00CB2FCB" w:rsidRDefault="00CB2FCB" w:rsidP="003D3C05">
      <w:r>
        <w:rPr>
          <w:noProof/>
          <w:sz w:val="20"/>
        </w:rPr>
        <w:drawing>
          <wp:inline distT="0" distB="0" distL="0" distR="0" wp14:anchorId="460CE4D3" wp14:editId="1EB43EA9">
            <wp:extent cx="5499587" cy="1993900"/>
            <wp:effectExtent l="0" t="0" r="6350" b="6350"/>
            <wp:docPr id="8" name="Image 8" descr="Figure 1: Study design: CLNP023C12302, APPLY-PN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Figure 1: Study design: CLNP023C12302, APPLY-PNH"/>
                    <pic:cNvPicPr/>
                  </pic:nvPicPr>
                  <pic:blipFill rotWithShape="1">
                    <a:blip r:embed="rId25" cstate="print"/>
                    <a:srcRect t="1" b="-965"/>
                    <a:stretch/>
                  </pic:blipFill>
                  <pic:spPr bwMode="auto">
                    <a:xfrm>
                      <a:off x="0" y="0"/>
                      <a:ext cx="5500292" cy="1994155"/>
                    </a:xfrm>
                    <a:prstGeom prst="rect">
                      <a:avLst/>
                    </a:prstGeom>
                    <a:ln>
                      <a:noFill/>
                    </a:ln>
                    <a:extLst>
                      <a:ext uri="{53640926-AAD7-44D8-BBD7-CCE9431645EC}">
                        <a14:shadowObscured xmlns:a14="http://schemas.microsoft.com/office/drawing/2010/main"/>
                      </a:ext>
                    </a:extLst>
                  </pic:spPr>
                </pic:pic>
              </a:graphicData>
            </a:graphic>
          </wp:inline>
        </w:drawing>
      </w:r>
    </w:p>
    <w:p w14:paraId="713A9582" w14:textId="5D137796" w:rsidR="00E347C3" w:rsidRDefault="00845072" w:rsidP="003D3C05">
      <w:r w:rsidRPr="00845072">
        <w:t xml:space="preserve">Key aspects of the study are described in the PICO table </w:t>
      </w:r>
      <w:r w:rsidR="00310C85">
        <w:t>(Table 2)</w:t>
      </w:r>
      <w:r w:rsidRPr="00845072">
        <w:t>:</w:t>
      </w:r>
    </w:p>
    <w:p w14:paraId="3AADB923" w14:textId="13DEEC4F" w:rsidR="00F86E26" w:rsidRDefault="00F86E26" w:rsidP="00CD6BDD">
      <w:pPr>
        <w:pStyle w:val="TableTitle"/>
      </w:pPr>
      <w:r w:rsidRPr="00F86E26">
        <w:t xml:space="preserve">Table </w:t>
      </w:r>
      <w:r w:rsidR="00310C85">
        <w:t>2</w:t>
      </w:r>
      <w:r w:rsidRPr="00F86E26">
        <w:t>: PICO table: CLNP023C12302, APPLY-PNH</w:t>
      </w:r>
    </w:p>
    <w:tbl>
      <w:tblPr>
        <w:tblW w:w="9018" w:type="dxa"/>
        <w:tblInd w:w="349"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1414"/>
        <w:gridCol w:w="7604"/>
      </w:tblGrid>
      <w:tr w:rsidR="00610A68" w:rsidRPr="00CD6BDD" w14:paraId="6A7E6DC3" w14:textId="77777777" w:rsidTr="00D476D1">
        <w:trPr>
          <w:trHeight w:val="3801"/>
        </w:trPr>
        <w:tc>
          <w:tcPr>
            <w:tcW w:w="1414" w:type="dxa"/>
            <w:shd w:val="clear" w:color="auto" w:fill="DEEAF6"/>
          </w:tcPr>
          <w:p w14:paraId="27A48CD0" w14:textId="77777777" w:rsidR="00610A68" w:rsidRPr="00863685" w:rsidRDefault="00610A68" w:rsidP="00C5699C">
            <w:r w:rsidRPr="00863685">
              <w:t>Population</w:t>
            </w:r>
          </w:p>
        </w:tc>
        <w:tc>
          <w:tcPr>
            <w:tcW w:w="7604" w:type="dxa"/>
          </w:tcPr>
          <w:p w14:paraId="6EBABC76" w14:textId="77777777" w:rsidR="00610A68" w:rsidRPr="00CD6BDD" w:rsidRDefault="00610A68" w:rsidP="00C5699C">
            <w:r w:rsidRPr="00CD6BDD">
              <w:t>Adult</w:t>
            </w:r>
            <w:r w:rsidRPr="00CD6BDD">
              <w:rPr>
                <w:spacing w:val="-5"/>
              </w:rPr>
              <w:t xml:space="preserve"> </w:t>
            </w:r>
            <w:r w:rsidRPr="00CD6BDD">
              <w:t>patients</w:t>
            </w:r>
            <w:r w:rsidRPr="00CD6BDD">
              <w:rPr>
                <w:spacing w:val="-5"/>
              </w:rPr>
              <w:t xml:space="preserve"> </w:t>
            </w:r>
            <w:r w:rsidRPr="00CD6BDD">
              <w:t>with</w:t>
            </w:r>
            <w:r w:rsidRPr="00CD6BDD">
              <w:rPr>
                <w:spacing w:val="-4"/>
              </w:rPr>
              <w:t xml:space="preserve"> </w:t>
            </w:r>
            <w:r w:rsidRPr="00CD6BDD">
              <w:t>PNH</w:t>
            </w:r>
            <w:r w:rsidRPr="00CD6BDD">
              <w:rPr>
                <w:spacing w:val="-6"/>
              </w:rPr>
              <w:t xml:space="preserve"> </w:t>
            </w:r>
            <w:r w:rsidRPr="00CD6BDD">
              <w:t>with</w:t>
            </w:r>
            <w:r w:rsidRPr="00CD6BDD">
              <w:rPr>
                <w:spacing w:val="-4"/>
              </w:rPr>
              <w:t xml:space="preserve"> </w:t>
            </w:r>
            <w:r w:rsidRPr="00CD6BDD">
              <w:t>residual</w:t>
            </w:r>
            <w:r w:rsidRPr="00CD6BDD">
              <w:rPr>
                <w:spacing w:val="-5"/>
              </w:rPr>
              <w:t xml:space="preserve"> </w:t>
            </w:r>
            <w:r w:rsidRPr="00CD6BDD">
              <w:t>anaemia</w:t>
            </w:r>
            <w:r w:rsidRPr="00CD6BDD">
              <w:rPr>
                <w:spacing w:val="-6"/>
              </w:rPr>
              <w:t xml:space="preserve"> </w:t>
            </w:r>
            <w:r w:rsidRPr="00CD6BDD">
              <w:t>(haemoglobin</w:t>
            </w:r>
            <w:r w:rsidRPr="00CD6BDD">
              <w:rPr>
                <w:spacing w:val="-5"/>
              </w:rPr>
              <w:t xml:space="preserve"> </w:t>
            </w:r>
            <w:r w:rsidRPr="00CD6BDD">
              <w:t>[Hb]</w:t>
            </w:r>
            <w:r w:rsidRPr="00CD6BDD">
              <w:rPr>
                <w:spacing w:val="-5"/>
              </w:rPr>
              <w:t xml:space="preserve"> </w:t>
            </w:r>
            <w:r w:rsidRPr="00CD6BDD">
              <w:t>&lt;10g/dL) despite stable treatment regimen with an anti-C5 antibody (eculizumab or ravulizumab) for at least 6 months prior to randomisation.</w:t>
            </w:r>
          </w:p>
          <w:p w14:paraId="0CDCDDDA" w14:textId="77777777" w:rsidR="00610A68" w:rsidRPr="00CD6BDD" w:rsidRDefault="00610A68" w:rsidP="00C5699C">
            <w:r w:rsidRPr="00CD6BDD">
              <w:t xml:space="preserve">Vaccination against </w:t>
            </w:r>
            <w:r w:rsidRPr="00CD6BDD">
              <w:rPr>
                <w:i/>
              </w:rPr>
              <w:t xml:space="preserve">Neisseria meningitidis, Streptococcus pneumoniae </w:t>
            </w:r>
            <w:r w:rsidRPr="00CD6BDD">
              <w:t xml:space="preserve">and </w:t>
            </w:r>
            <w:r w:rsidRPr="00CD6BDD">
              <w:rPr>
                <w:i/>
              </w:rPr>
              <w:t>Haemophilus</w:t>
            </w:r>
            <w:r w:rsidRPr="00CD6BDD">
              <w:rPr>
                <w:i/>
                <w:spacing w:val="-3"/>
              </w:rPr>
              <w:t xml:space="preserve"> </w:t>
            </w:r>
            <w:r w:rsidRPr="00CD6BDD">
              <w:rPr>
                <w:i/>
              </w:rPr>
              <w:t>influenzae</w:t>
            </w:r>
            <w:r w:rsidRPr="00CD6BDD">
              <w:rPr>
                <w:i/>
                <w:spacing w:val="-5"/>
              </w:rPr>
              <w:t xml:space="preserve"> </w:t>
            </w:r>
            <w:r w:rsidRPr="00CD6BDD">
              <w:t>were</w:t>
            </w:r>
            <w:r w:rsidRPr="00CD6BDD">
              <w:rPr>
                <w:spacing w:val="-4"/>
              </w:rPr>
              <w:t xml:space="preserve"> </w:t>
            </w:r>
            <w:r w:rsidRPr="00CD6BDD">
              <w:t>required</w:t>
            </w:r>
            <w:r w:rsidRPr="00CD6BDD">
              <w:rPr>
                <w:spacing w:val="-4"/>
              </w:rPr>
              <w:t xml:space="preserve"> </w:t>
            </w:r>
            <w:r w:rsidRPr="00CD6BDD">
              <w:t>at</w:t>
            </w:r>
            <w:r w:rsidRPr="00CD6BDD">
              <w:rPr>
                <w:spacing w:val="-4"/>
              </w:rPr>
              <w:t xml:space="preserve"> </w:t>
            </w:r>
            <w:r w:rsidRPr="00CD6BDD">
              <w:t>least</w:t>
            </w:r>
            <w:r w:rsidRPr="00CD6BDD">
              <w:rPr>
                <w:spacing w:val="-4"/>
              </w:rPr>
              <w:t xml:space="preserve"> </w:t>
            </w:r>
            <w:r w:rsidRPr="00CD6BDD">
              <w:t>2</w:t>
            </w:r>
            <w:r w:rsidRPr="00CD6BDD">
              <w:rPr>
                <w:spacing w:val="-3"/>
              </w:rPr>
              <w:t xml:space="preserve"> </w:t>
            </w:r>
            <w:r w:rsidRPr="00CD6BDD">
              <w:t>weeks</w:t>
            </w:r>
            <w:r w:rsidRPr="00CD6BDD">
              <w:rPr>
                <w:spacing w:val="-4"/>
              </w:rPr>
              <w:t xml:space="preserve"> </w:t>
            </w:r>
            <w:r w:rsidRPr="00CD6BDD">
              <w:t>prior</w:t>
            </w:r>
            <w:r w:rsidRPr="00CD6BDD">
              <w:rPr>
                <w:spacing w:val="-5"/>
              </w:rPr>
              <w:t xml:space="preserve"> </w:t>
            </w:r>
            <w:r w:rsidRPr="00CD6BDD">
              <w:t>to</w:t>
            </w:r>
            <w:r w:rsidRPr="00CD6BDD">
              <w:rPr>
                <w:spacing w:val="-3"/>
              </w:rPr>
              <w:t xml:space="preserve"> </w:t>
            </w:r>
            <w:r w:rsidRPr="00CD6BDD">
              <w:t>first</w:t>
            </w:r>
            <w:r w:rsidRPr="00CD6BDD">
              <w:rPr>
                <w:spacing w:val="-4"/>
              </w:rPr>
              <w:t xml:space="preserve"> </w:t>
            </w:r>
            <w:r w:rsidRPr="00CD6BDD">
              <w:t>dose.</w:t>
            </w:r>
            <w:r w:rsidRPr="00CD6BDD">
              <w:rPr>
                <w:spacing w:val="-4"/>
              </w:rPr>
              <w:t xml:space="preserve"> </w:t>
            </w:r>
            <w:r w:rsidRPr="00CD6BDD">
              <w:t>If iptacopan treatment had to start earlier than 2 weeks post vaccination, prophylactic antibiotic treatment was initiated.</w:t>
            </w:r>
          </w:p>
          <w:p w14:paraId="1037A5BA" w14:textId="23BAF4EC" w:rsidR="00610A68" w:rsidRPr="00CD6BDD" w:rsidRDefault="00610A68" w:rsidP="00C5699C">
            <w:r w:rsidRPr="00CD6BDD">
              <w:t>Patients</w:t>
            </w:r>
            <w:r w:rsidRPr="00CD6BDD">
              <w:rPr>
                <w:spacing w:val="-3"/>
              </w:rPr>
              <w:t xml:space="preserve"> </w:t>
            </w:r>
            <w:r w:rsidRPr="00CD6BDD">
              <w:t>were</w:t>
            </w:r>
            <w:r w:rsidRPr="00CD6BDD">
              <w:rPr>
                <w:spacing w:val="-3"/>
              </w:rPr>
              <w:t xml:space="preserve"> </w:t>
            </w:r>
            <w:r w:rsidRPr="00CD6BDD">
              <w:t>enrolled</w:t>
            </w:r>
            <w:r w:rsidRPr="00CD6BDD">
              <w:rPr>
                <w:spacing w:val="-3"/>
              </w:rPr>
              <w:t xml:space="preserve"> </w:t>
            </w:r>
            <w:r w:rsidRPr="00CD6BDD">
              <w:t>in</w:t>
            </w:r>
            <w:r w:rsidRPr="00CD6BDD">
              <w:rPr>
                <w:spacing w:val="-3"/>
              </w:rPr>
              <w:t xml:space="preserve"> </w:t>
            </w:r>
            <w:r w:rsidRPr="00CD6BDD">
              <w:t>Brazil,</w:t>
            </w:r>
            <w:r w:rsidRPr="00CD6BDD">
              <w:rPr>
                <w:spacing w:val="-3"/>
              </w:rPr>
              <w:t xml:space="preserve"> </w:t>
            </w:r>
            <w:r w:rsidRPr="00CD6BDD">
              <w:t>Czech,</w:t>
            </w:r>
            <w:r w:rsidRPr="00CD6BDD">
              <w:rPr>
                <w:spacing w:val="-3"/>
              </w:rPr>
              <w:t xml:space="preserve"> </w:t>
            </w:r>
            <w:r w:rsidRPr="00CD6BDD">
              <w:t>France,</w:t>
            </w:r>
            <w:r w:rsidRPr="00CD6BDD">
              <w:rPr>
                <w:spacing w:val="-6"/>
              </w:rPr>
              <w:t xml:space="preserve"> </w:t>
            </w:r>
            <w:r w:rsidRPr="00CD6BDD">
              <w:t>Germany,</w:t>
            </w:r>
            <w:r w:rsidRPr="00CD6BDD">
              <w:rPr>
                <w:spacing w:val="-3"/>
              </w:rPr>
              <w:t xml:space="preserve"> </w:t>
            </w:r>
            <w:r w:rsidRPr="00CD6BDD">
              <w:t>Italy,</w:t>
            </w:r>
            <w:r w:rsidRPr="00CD6BDD">
              <w:rPr>
                <w:spacing w:val="-3"/>
              </w:rPr>
              <w:t xml:space="preserve"> </w:t>
            </w:r>
            <w:r w:rsidRPr="00CD6BDD">
              <w:t>Japan,</w:t>
            </w:r>
            <w:r w:rsidRPr="00CD6BDD">
              <w:rPr>
                <w:spacing w:val="-6"/>
              </w:rPr>
              <w:t xml:space="preserve"> </w:t>
            </w:r>
            <w:r w:rsidRPr="00CD6BDD">
              <w:t xml:space="preserve">South Korea, Netherlands, Spain, Taiwan, United Kingdom and the United States. The first patient first visit occurred on 25 January 2021, and the </w:t>
            </w:r>
            <w:r w:rsidR="00B37F3C">
              <w:t>data cut-off (</w:t>
            </w:r>
            <w:r w:rsidRPr="00CD6BDD">
              <w:t>DCO</w:t>
            </w:r>
            <w:r w:rsidR="00B37F3C">
              <w:t>)</w:t>
            </w:r>
            <w:r w:rsidRPr="00CD6BDD">
              <w:t xml:space="preserve"> for the data provided in the original submission was 26 September 2022. During evaluation, the final data for the entire 48-week study was provided with a DCO of 6 March 2023.</w:t>
            </w:r>
          </w:p>
          <w:p w14:paraId="41DD8685" w14:textId="5652C83E" w:rsidR="00610A68" w:rsidRPr="00CD6BDD" w:rsidRDefault="00610A68" w:rsidP="00C5699C">
            <w:r w:rsidRPr="00CD6BDD">
              <w:t>Patients</w:t>
            </w:r>
            <w:r w:rsidRPr="00CD6BDD">
              <w:rPr>
                <w:spacing w:val="-7"/>
              </w:rPr>
              <w:t xml:space="preserve"> </w:t>
            </w:r>
            <w:r w:rsidRPr="00CD6BDD">
              <w:t>were</w:t>
            </w:r>
            <w:r w:rsidRPr="00CD6BDD">
              <w:rPr>
                <w:spacing w:val="-5"/>
              </w:rPr>
              <w:t xml:space="preserve"> </w:t>
            </w:r>
            <w:r w:rsidRPr="00CD6BDD">
              <w:t>randomised</w:t>
            </w:r>
            <w:r w:rsidRPr="00CD6BDD">
              <w:rPr>
                <w:spacing w:val="-8"/>
              </w:rPr>
              <w:t xml:space="preserve"> </w:t>
            </w:r>
            <w:r w:rsidRPr="00CD6BDD">
              <w:t>8:5</w:t>
            </w:r>
            <w:r w:rsidRPr="00CD6BDD">
              <w:rPr>
                <w:spacing w:val="-4"/>
              </w:rPr>
              <w:t xml:space="preserve"> </w:t>
            </w:r>
            <w:r w:rsidRPr="00CD6BDD">
              <w:t>to</w:t>
            </w:r>
            <w:r w:rsidRPr="00CD6BDD">
              <w:rPr>
                <w:spacing w:val="-4"/>
              </w:rPr>
              <w:t xml:space="preserve"> </w:t>
            </w:r>
            <w:r w:rsidRPr="00CD6BDD">
              <w:t>the</w:t>
            </w:r>
            <w:r w:rsidRPr="00CD6BDD">
              <w:rPr>
                <w:spacing w:val="-5"/>
              </w:rPr>
              <w:t xml:space="preserve"> </w:t>
            </w:r>
            <w:r w:rsidRPr="00CD6BDD">
              <w:t>iptacopan</w:t>
            </w:r>
            <w:r w:rsidRPr="00CD6BDD">
              <w:rPr>
                <w:spacing w:val="-5"/>
              </w:rPr>
              <w:t xml:space="preserve"> </w:t>
            </w:r>
            <w:r w:rsidRPr="00CD6BDD">
              <w:t>or</w:t>
            </w:r>
            <w:r w:rsidRPr="00CD6BDD">
              <w:rPr>
                <w:spacing w:val="-6"/>
              </w:rPr>
              <w:t xml:space="preserve"> </w:t>
            </w:r>
            <w:r w:rsidRPr="00CD6BDD">
              <w:t>control</w:t>
            </w:r>
            <w:r w:rsidRPr="00CD6BDD">
              <w:rPr>
                <w:spacing w:val="-5"/>
              </w:rPr>
              <w:t xml:space="preserve"> </w:t>
            </w:r>
            <w:r w:rsidRPr="00CD6BDD">
              <w:t>groups</w:t>
            </w:r>
            <w:r w:rsidR="00B37F3C">
              <w:t>,</w:t>
            </w:r>
            <w:r w:rsidRPr="00CD6BDD">
              <w:rPr>
                <w:spacing w:val="-4"/>
              </w:rPr>
              <w:t xml:space="preserve"> </w:t>
            </w:r>
            <w:r w:rsidRPr="00CD6BDD">
              <w:t>respectively</w:t>
            </w:r>
          </w:p>
        </w:tc>
      </w:tr>
      <w:tr w:rsidR="00610A68" w:rsidRPr="00CD6BDD" w14:paraId="0889B3AD" w14:textId="77777777" w:rsidTr="00D476D1">
        <w:trPr>
          <w:trHeight w:val="486"/>
        </w:trPr>
        <w:tc>
          <w:tcPr>
            <w:tcW w:w="1414" w:type="dxa"/>
            <w:shd w:val="clear" w:color="auto" w:fill="DEEAF6"/>
          </w:tcPr>
          <w:p w14:paraId="0F45BCB1" w14:textId="77777777" w:rsidR="00610A68" w:rsidRPr="00863685" w:rsidRDefault="00610A68" w:rsidP="00C5699C">
            <w:r w:rsidRPr="00863685">
              <w:t>Intervention</w:t>
            </w:r>
          </w:p>
        </w:tc>
        <w:tc>
          <w:tcPr>
            <w:tcW w:w="7604" w:type="dxa"/>
          </w:tcPr>
          <w:p w14:paraId="01648688" w14:textId="77777777" w:rsidR="00610A68" w:rsidRPr="00CD6BDD" w:rsidRDefault="00610A68" w:rsidP="00C5699C">
            <w:r w:rsidRPr="00CD6BDD">
              <w:t>Iptacopan</w:t>
            </w:r>
            <w:r w:rsidRPr="00CD6BDD">
              <w:rPr>
                <w:spacing w:val="-8"/>
              </w:rPr>
              <w:t xml:space="preserve"> </w:t>
            </w:r>
            <w:r w:rsidRPr="00CD6BDD">
              <w:t>200mg</w:t>
            </w:r>
            <w:r w:rsidRPr="00CD6BDD">
              <w:rPr>
                <w:spacing w:val="-4"/>
              </w:rPr>
              <w:t xml:space="preserve"> </w:t>
            </w:r>
            <w:r w:rsidRPr="00CD6BDD">
              <w:t>orally</w:t>
            </w:r>
            <w:r w:rsidRPr="00CD6BDD">
              <w:rPr>
                <w:spacing w:val="-6"/>
              </w:rPr>
              <w:t xml:space="preserve"> </w:t>
            </w:r>
            <w:r w:rsidRPr="00CD6BDD">
              <w:rPr>
                <w:spacing w:val="-5"/>
              </w:rPr>
              <w:t>bd</w:t>
            </w:r>
          </w:p>
        </w:tc>
      </w:tr>
      <w:tr w:rsidR="00610A68" w:rsidRPr="00CD6BDD" w14:paraId="3D9A3D00" w14:textId="77777777" w:rsidTr="00D476D1">
        <w:trPr>
          <w:trHeight w:val="484"/>
        </w:trPr>
        <w:tc>
          <w:tcPr>
            <w:tcW w:w="1414" w:type="dxa"/>
            <w:shd w:val="clear" w:color="auto" w:fill="DEEAF6"/>
          </w:tcPr>
          <w:p w14:paraId="25BEA408" w14:textId="76D2D689" w:rsidR="00610A68" w:rsidRPr="00863685" w:rsidRDefault="006402C8" w:rsidP="00C5699C">
            <w:r w:rsidRPr="00863685">
              <w:t>Con</w:t>
            </w:r>
            <w:r>
              <w:t>t</w:t>
            </w:r>
            <w:r w:rsidRPr="00863685">
              <w:t>rol</w:t>
            </w:r>
          </w:p>
        </w:tc>
        <w:tc>
          <w:tcPr>
            <w:tcW w:w="7604" w:type="dxa"/>
          </w:tcPr>
          <w:p w14:paraId="1DA77E05" w14:textId="77777777" w:rsidR="00610A68" w:rsidRPr="00CD6BDD" w:rsidRDefault="00610A68" w:rsidP="00C5699C">
            <w:r w:rsidRPr="00CD6BDD">
              <w:t>IV</w:t>
            </w:r>
            <w:r w:rsidRPr="00CD6BDD">
              <w:rPr>
                <w:spacing w:val="-5"/>
              </w:rPr>
              <w:t xml:space="preserve"> </w:t>
            </w:r>
            <w:r w:rsidRPr="00CD6BDD">
              <w:t>anti-C5 antibody</w:t>
            </w:r>
          </w:p>
        </w:tc>
      </w:tr>
      <w:tr w:rsidR="00610A68" w:rsidRPr="00CD6BDD" w14:paraId="5080AF28" w14:textId="77777777" w:rsidTr="00E0572A">
        <w:trPr>
          <w:trHeight w:val="1061"/>
        </w:trPr>
        <w:tc>
          <w:tcPr>
            <w:tcW w:w="1414" w:type="dxa"/>
            <w:shd w:val="clear" w:color="auto" w:fill="DEEAF6"/>
          </w:tcPr>
          <w:p w14:paraId="61230D84" w14:textId="77777777" w:rsidR="00610A68" w:rsidRPr="00863685" w:rsidRDefault="00610A68" w:rsidP="00C5699C">
            <w:r w:rsidRPr="00863685">
              <w:t>Outcome</w:t>
            </w:r>
          </w:p>
        </w:tc>
        <w:tc>
          <w:tcPr>
            <w:tcW w:w="7604" w:type="dxa"/>
          </w:tcPr>
          <w:p w14:paraId="18CA6150" w14:textId="77777777" w:rsidR="00610A68" w:rsidRPr="00CD6BDD" w:rsidRDefault="00610A68" w:rsidP="00C5699C">
            <w:r w:rsidRPr="00CD6BDD">
              <w:t>Primary</w:t>
            </w:r>
            <w:r w:rsidRPr="00CD6BDD">
              <w:rPr>
                <w:spacing w:val="-7"/>
              </w:rPr>
              <w:t xml:space="preserve"> </w:t>
            </w:r>
            <w:r w:rsidRPr="00CD6BDD">
              <w:t>endpoints:</w:t>
            </w:r>
          </w:p>
          <w:p w14:paraId="2704042B" w14:textId="77777777" w:rsidR="00610A68" w:rsidRPr="00CD6BDD" w:rsidRDefault="00610A68" w:rsidP="00C5699C">
            <w:r w:rsidRPr="00CD6BDD">
              <w:t>increase</w:t>
            </w:r>
            <w:r w:rsidRPr="00CD6BDD">
              <w:rPr>
                <w:spacing w:val="-5"/>
              </w:rPr>
              <w:t xml:space="preserve"> </w:t>
            </w:r>
            <w:r w:rsidRPr="00CD6BDD">
              <w:t>from</w:t>
            </w:r>
            <w:r w:rsidRPr="00CD6BDD">
              <w:rPr>
                <w:spacing w:val="-4"/>
              </w:rPr>
              <w:t xml:space="preserve"> </w:t>
            </w:r>
            <w:r w:rsidRPr="00CD6BDD">
              <w:t>baseline</w:t>
            </w:r>
            <w:r w:rsidRPr="00CD6BDD">
              <w:rPr>
                <w:spacing w:val="-3"/>
              </w:rPr>
              <w:t xml:space="preserve"> </w:t>
            </w:r>
            <w:r w:rsidRPr="00CD6BDD">
              <w:t>Hb</w:t>
            </w:r>
            <w:r w:rsidRPr="00CD6BDD">
              <w:rPr>
                <w:spacing w:val="-6"/>
              </w:rPr>
              <w:t xml:space="preserve"> </w:t>
            </w:r>
            <w:r w:rsidRPr="00CD6BDD">
              <w:rPr>
                <w:u w:val="single"/>
              </w:rPr>
              <w:t>&gt;</w:t>
            </w:r>
            <w:r w:rsidRPr="00CD6BDD">
              <w:t>2g/dL</w:t>
            </w:r>
            <w:r w:rsidRPr="00CD6BDD">
              <w:rPr>
                <w:spacing w:val="-6"/>
              </w:rPr>
              <w:t xml:space="preserve"> </w:t>
            </w:r>
            <w:r w:rsidRPr="00CD6BDD">
              <w:t>(assessed</w:t>
            </w:r>
            <w:r w:rsidRPr="00CD6BDD">
              <w:rPr>
                <w:spacing w:val="-3"/>
              </w:rPr>
              <w:t xml:space="preserve"> </w:t>
            </w:r>
            <w:r w:rsidRPr="00CD6BDD">
              <w:t>between</w:t>
            </w:r>
            <w:r w:rsidRPr="00CD6BDD">
              <w:rPr>
                <w:spacing w:val="-6"/>
              </w:rPr>
              <w:t xml:space="preserve"> </w:t>
            </w:r>
            <w:r w:rsidRPr="00CD6BDD">
              <w:t>day</w:t>
            </w:r>
            <w:r w:rsidRPr="00CD6BDD">
              <w:rPr>
                <w:spacing w:val="-4"/>
              </w:rPr>
              <w:t xml:space="preserve"> </w:t>
            </w:r>
            <w:r w:rsidRPr="00CD6BDD">
              <w:t>126 and</w:t>
            </w:r>
            <w:r w:rsidRPr="00CD6BDD">
              <w:rPr>
                <w:spacing w:val="-3"/>
              </w:rPr>
              <w:t xml:space="preserve"> </w:t>
            </w:r>
            <w:r w:rsidRPr="00CD6BDD">
              <w:t>168) in the absence of red blood cell transfusion between day 14 and 168</w:t>
            </w:r>
          </w:p>
          <w:p w14:paraId="6020B1BF" w14:textId="77777777" w:rsidR="00610A68" w:rsidRPr="00CD6BDD" w:rsidRDefault="00610A68" w:rsidP="00C5699C">
            <w:r w:rsidRPr="00CD6BDD">
              <w:t>Hb</w:t>
            </w:r>
            <w:r w:rsidRPr="00CD6BDD">
              <w:rPr>
                <w:spacing w:val="-4"/>
              </w:rPr>
              <w:t xml:space="preserve"> </w:t>
            </w:r>
            <w:r w:rsidRPr="00CD6BDD">
              <w:t>levels</w:t>
            </w:r>
            <w:r w:rsidRPr="00CD6BDD">
              <w:rPr>
                <w:spacing w:val="-3"/>
              </w:rPr>
              <w:t xml:space="preserve"> </w:t>
            </w:r>
            <w:r w:rsidRPr="00CD6BDD">
              <w:rPr>
                <w:u w:val="single"/>
              </w:rPr>
              <w:t>&gt;</w:t>
            </w:r>
            <w:r w:rsidRPr="00CD6BDD">
              <w:t>12g/dL</w:t>
            </w:r>
            <w:r w:rsidRPr="00CD6BDD">
              <w:rPr>
                <w:spacing w:val="-4"/>
              </w:rPr>
              <w:t xml:space="preserve"> </w:t>
            </w:r>
            <w:r w:rsidRPr="00CD6BDD">
              <w:t>(assessed</w:t>
            </w:r>
            <w:r w:rsidRPr="00CD6BDD">
              <w:rPr>
                <w:spacing w:val="-3"/>
              </w:rPr>
              <w:t xml:space="preserve"> </w:t>
            </w:r>
            <w:r w:rsidRPr="00CD6BDD">
              <w:t>between</w:t>
            </w:r>
            <w:r w:rsidRPr="00CD6BDD">
              <w:rPr>
                <w:spacing w:val="-3"/>
              </w:rPr>
              <w:t xml:space="preserve"> </w:t>
            </w:r>
            <w:r w:rsidRPr="00CD6BDD">
              <w:t>day</w:t>
            </w:r>
            <w:r w:rsidRPr="00CD6BDD">
              <w:rPr>
                <w:spacing w:val="-6"/>
              </w:rPr>
              <w:t xml:space="preserve"> </w:t>
            </w:r>
            <w:r w:rsidRPr="00CD6BDD">
              <w:t>126 and</w:t>
            </w:r>
            <w:r w:rsidRPr="00CD6BDD">
              <w:rPr>
                <w:spacing w:val="-5"/>
              </w:rPr>
              <w:t xml:space="preserve"> </w:t>
            </w:r>
            <w:r w:rsidRPr="00CD6BDD">
              <w:t>168) in</w:t>
            </w:r>
            <w:r w:rsidRPr="00CD6BDD">
              <w:rPr>
                <w:spacing w:val="-3"/>
              </w:rPr>
              <w:t xml:space="preserve"> </w:t>
            </w:r>
            <w:r w:rsidRPr="00CD6BDD">
              <w:t>the</w:t>
            </w:r>
            <w:r w:rsidRPr="00CD6BDD">
              <w:rPr>
                <w:spacing w:val="-3"/>
              </w:rPr>
              <w:t xml:space="preserve"> </w:t>
            </w:r>
            <w:r w:rsidRPr="00CD6BDD">
              <w:t>absence</w:t>
            </w:r>
            <w:r w:rsidRPr="00CD6BDD">
              <w:rPr>
                <w:spacing w:val="-3"/>
              </w:rPr>
              <w:t xml:space="preserve"> </w:t>
            </w:r>
            <w:r w:rsidRPr="00CD6BDD">
              <w:t>of red blood cell transfusion between day 14 and 168</w:t>
            </w:r>
          </w:p>
          <w:p w14:paraId="614FDB34" w14:textId="77777777" w:rsidR="00610A68" w:rsidRPr="00CD6BDD" w:rsidRDefault="00610A68" w:rsidP="00C5699C">
            <w:r w:rsidRPr="00CD6BDD">
              <w:t>Multiplicity</w:t>
            </w:r>
            <w:r w:rsidRPr="00CD6BDD">
              <w:rPr>
                <w:spacing w:val="-4"/>
              </w:rPr>
              <w:t xml:space="preserve"> </w:t>
            </w:r>
            <w:r w:rsidRPr="00CD6BDD">
              <w:t>adjustment:</w:t>
            </w:r>
            <w:r w:rsidRPr="00CD6BDD">
              <w:rPr>
                <w:spacing w:val="-5"/>
              </w:rPr>
              <w:t xml:space="preserve"> </w:t>
            </w:r>
            <w:r w:rsidRPr="00CD6BDD">
              <w:t>weighted</w:t>
            </w:r>
            <w:r w:rsidRPr="00CD6BDD">
              <w:rPr>
                <w:spacing w:val="-4"/>
              </w:rPr>
              <w:t xml:space="preserve"> </w:t>
            </w:r>
            <w:r w:rsidRPr="00CD6BDD">
              <w:t>permutation</w:t>
            </w:r>
            <w:r w:rsidRPr="00CD6BDD">
              <w:rPr>
                <w:spacing w:val="-4"/>
              </w:rPr>
              <w:t xml:space="preserve"> </w:t>
            </w:r>
            <w:r w:rsidRPr="00CD6BDD">
              <w:t>test</w:t>
            </w:r>
            <w:r w:rsidRPr="00CD6BDD">
              <w:rPr>
                <w:spacing w:val="-4"/>
              </w:rPr>
              <w:t xml:space="preserve"> </w:t>
            </w:r>
            <w:r w:rsidRPr="00CD6BDD">
              <w:t>with</w:t>
            </w:r>
            <w:r w:rsidRPr="00CD6BDD">
              <w:rPr>
                <w:spacing w:val="-3"/>
              </w:rPr>
              <w:t xml:space="preserve"> </w:t>
            </w:r>
            <w:r w:rsidRPr="00CD6BDD">
              <w:t>equal</w:t>
            </w:r>
            <w:r w:rsidRPr="00CD6BDD">
              <w:rPr>
                <w:spacing w:val="-4"/>
              </w:rPr>
              <w:t xml:space="preserve"> </w:t>
            </w:r>
            <w:r w:rsidRPr="00CD6BDD">
              <w:t>weights</w:t>
            </w:r>
            <w:r w:rsidRPr="00CD6BDD">
              <w:rPr>
                <w:spacing w:val="-5"/>
              </w:rPr>
              <w:t xml:space="preserve"> </w:t>
            </w:r>
            <w:r w:rsidRPr="00CD6BDD">
              <w:t>to</w:t>
            </w:r>
            <w:r w:rsidRPr="00CD6BDD">
              <w:rPr>
                <w:spacing w:val="-3"/>
              </w:rPr>
              <w:t xml:space="preserve"> </w:t>
            </w:r>
            <w:r w:rsidRPr="00CD6BDD">
              <w:t>each</w:t>
            </w:r>
            <w:r w:rsidRPr="00CD6BDD">
              <w:rPr>
                <w:spacing w:val="-3"/>
              </w:rPr>
              <w:t xml:space="preserve"> </w:t>
            </w:r>
            <w:r w:rsidRPr="00CD6BDD">
              <w:t>of the two primary endpoints</w:t>
            </w:r>
          </w:p>
          <w:p w14:paraId="4F994C88" w14:textId="77777777" w:rsidR="00610A68" w:rsidRPr="00CD6BDD" w:rsidRDefault="00610A68" w:rsidP="00C5699C">
            <w:r w:rsidRPr="00CD6BDD">
              <w:t>Secondary</w:t>
            </w:r>
            <w:r w:rsidRPr="00CD6BDD">
              <w:rPr>
                <w:spacing w:val="-8"/>
              </w:rPr>
              <w:t xml:space="preserve"> </w:t>
            </w:r>
            <w:r w:rsidRPr="00CD6BDD">
              <w:t>endpoints:</w:t>
            </w:r>
          </w:p>
          <w:p w14:paraId="4719D3CC" w14:textId="3763A09E" w:rsidR="00610A68" w:rsidRPr="00CD6BDD" w:rsidRDefault="00610A68" w:rsidP="00C5699C">
            <w:r w:rsidRPr="00CD6BDD">
              <w:t>Absence</w:t>
            </w:r>
            <w:r w:rsidRPr="00CD6BDD">
              <w:rPr>
                <w:spacing w:val="-8"/>
              </w:rPr>
              <w:t xml:space="preserve"> </w:t>
            </w:r>
            <w:r w:rsidRPr="00CD6BDD">
              <w:t>of</w:t>
            </w:r>
            <w:r w:rsidRPr="00CD6BDD">
              <w:rPr>
                <w:spacing w:val="-5"/>
              </w:rPr>
              <w:t xml:space="preserve"> </w:t>
            </w:r>
            <w:r w:rsidRPr="00CD6BDD">
              <w:t>administration</w:t>
            </w:r>
            <w:r w:rsidRPr="00CD6BDD">
              <w:rPr>
                <w:spacing w:val="-8"/>
              </w:rPr>
              <w:t xml:space="preserve"> </w:t>
            </w:r>
            <w:r w:rsidRPr="00CD6BDD">
              <w:t>of</w:t>
            </w:r>
            <w:r w:rsidRPr="00CD6BDD">
              <w:rPr>
                <w:spacing w:val="-5"/>
              </w:rPr>
              <w:t xml:space="preserve"> </w:t>
            </w:r>
            <w:r w:rsidR="00E02409" w:rsidRPr="00E02409">
              <w:t xml:space="preserve">packed red blood cell transfusion </w:t>
            </w:r>
            <w:r w:rsidRPr="00CD6BDD">
              <w:t>transfusions</w:t>
            </w:r>
            <w:r w:rsidRPr="00CD6BDD">
              <w:rPr>
                <w:spacing w:val="-5"/>
              </w:rPr>
              <w:t xml:space="preserve"> </w:t>
            </w:r>
            <w:r w:rsidRPr="00CD6BDD">
              <w:t>between</w:t>
            </w:r>
            <w:r w:rsidRPr="00CD6BDD">
              <w:rPr>
                <w:spacing w:val="-6"/>
              </w:rPr>
              <w:t xml:space="preserve"> </w:t>
            </w:r>
            <w:r w:rsidRPr="00CD6BDD">
              <w:t>Day</w:t>
            </w:r>
            <w:r w:rsidRPr="00CD6BDD">
              <w:rPr>
                <w:spacing w:val="-6"/>
              </w:rPr>
              <w:t xml:space="preserve"> </w:t>
            </w:r>
            <w:r w:rsidRPr="00CD6BDD">
              <w:t>14</w:t>
            </w:r>
            <w:r w:rsidRPr="00CD6BDD">
              <w:rPr>
                <w:spacing w:val="-5"/>
              </w:rPr>
              <w:t xml:space="preserve"> </w:t>
            </w:r>
            <w:r w:rsidRPr="00CD6BDD">
              <w:t>and</w:t>
            </w:r>
            <w:r w:rsidRPr="00CD6BDD">
              <w:rPr>
                <w:spacing w:val="-7"/>
              </w:rPr>
              <w:t xml:space="preserve"> </w:t>
            </w:r>
            <w:r w:rsidRPr="00CD6BDD">
              <w:rPr>
                <w:spacing w:val="-5"/>
              </w:rPr>
              <w:t>168</w:t>
            </w:r>
          </w:p>
          <w:p w14:paraId="44DF2382" w14:textId="20A19627" w:rsidR="00610A68" w:rsidRPr="00CD6BDD" w:rsidRDefault="00610A68" w:rsidP="00C5699C">
            <w:r w:rsidRPr="00CD6BDD">
              <w:t>Change</w:t>
            </w:r>
            <w:r w:rsidRPr="00CD6BDD">
              <w:rPr>
                <w:spacing w:val="-5"/>
              </w:rPr>
              <w:t xml:space="preserve"> </w:t>
            </w:r>
            <w:r w:rsidRPr="00CD6BDD">
              <w:t>from</w:t>
            </w:r>
            <w:r w:rsidRPr="00CD6BDD">
              <w:rPr>
                <w:spacing w:val="-6"/>
              </w:rPr>
              <w:t xml:space="preserve"> </w:t>
            </w:r>
            <w:r w:rsidRPr="00CD6BDD">
              <w:t>baseline</w:t>
            </w:r>
            <w:r w:rsidRPr="00CD6BDD">
              <w:rPr>
                <w:spacing w:val="-5"/>
              </w:rPr>
              <w:t xml:space="preserve"> </w:t>
            </w:r>
            <w:r w:rsidRPr="00CD6BDD">
              <w:t>Hb,</w:t>
            </w:r>
            <w:r w:rsidRPr="00CD6BDD">
              <w:rPr>
                <w:spacing w:val="-5"/>
              </w:rPr>
              <w:t xml:space="preserve"> </w:t>
            </w:r>
            <w:r w:rsidRPr="00CD6BDD">
              <w:t>FACIT-Fatigue</w:t>
            </w:r>
            <w:r w:rsidRPr="00CD6BDD">
              <w:rPr>
                <w:spacing w:val="-5"/>
              </w:rPr>
              <w:t xml:space="preserve"> </w:t>
            </w:r>
            <w:r w:rsidRPr="00CD6BDD">
              <w:t>scores,</w:t>
            </w:r>
            <w:r w:rsidRPr="00CD6BDD">
              <w:rPr>
                <w:spacing w:val="-5"/>
              </w:rPr>
              <w:t xml:space="preserve"> </w:t>
            </w:r>
            <w:r w:rsidRPr="00CD6BDD">
              <w:t>reticulocyte</w:t>
            </w:r>
            <w:r w:rsidRPr="00CD6BDD">
              <w:rPr>
                <w:spacing w:val="-5"/>
              </w:rPr>
              <w:t xml:space="preserve"> </w:t>
            </w:r>
            <w:r w:rsidRPr="00CD6BDD">
              <w:t>count,</w:t>
            </w:r>
            <w:r w:rsidRPr="00CD6BDD">
              <w:rPr>
                <w:spacing w:val="-5"/>
              </w:rPr>
              <w:t xml:space="preserve"> </w:t>
            </w:r>
            <w:r w:rsidR="00E02409">
              <w:rPr>
                <w:spacing w:val="-5"/>
              </w:rPr>
              <w:t>lactate dehydrogenase (</w:t>
            </w:r>
            <w:r w:rsidRPr="00CD6BDD">
              <w:t>LDH</w:t>
            </w:r>
            <w:r w:rsidR="00E02409">
              <w:t>)</w:t>
            </w:r>
            <w:r w:rsidRPr="00CD6BDD">
              <w:t xml:space="preserve"> levels between day 126 – 168</w:t>
            </w:r>
          </w:p>
          <w:p w14:paraId="3F62095E" w14:textId="09AC3B01" w:rsidR="00610A68" w:rsidRPr="00CD6BDD" w:rsidRDefault="00610A68" w:rsidP="00C5699C">
            <w:r w:rsidRPr="00CD6BDD">
              <w:lastRenderedPageBreak/>
              <w:t>Occurrences</w:t>
            </w:r>
            <w:r w:rsidRPr="00CD6BDD">
              <w:rPr>
                <w:spacing w:val="-6"/>
              </w:rPr>
              <w:t xml:space="preserve"> </w:t>
            </w:r>
            <w:r w:rsidRPr="00CD6BDD">
              <w:t>of</w:t>
            </w:r>
            <w:r w:rsidRPr="00CD6BDD">
              <w:rPr>
                <w:spacing w:val="-4"/>
              </w:rPr>
              <w:t xml:space="preserve"> </w:t>
            </w:r>
            <w:r w:rsidRPr="00CD6BDD">
              <w:t>breakthrough</w:t>
            </w:r>
            <w:r w:rsidRPr="00CD6BDD">
              <w:rPr>
                <w:spacing w:val="-6"/>
              </w:rPr>
              <w:t xml:space="preserve"> </w:t>
            </w:r>
            <w:r w:rsidRPr="00CD6BDD">
              <w:t>haemolysis</w:t>
            </w:r>
            <w:r w:rsidRPr="00CD6BDD">
              <w:rPr>
                <w:spacing w:val="-5"/>
              </w:rPr>
              <w:t xml:space="preserve"> </w:t>
            </w:r>
            <w:r w:rsidRPr="00CD6BDD">
              <w:t>and</w:t>
            </w:r>
            <w:r w:rsidRPr="00CD6BDD">
              <w:rPr>
                <w:spacing w:val="-5"/>
              </w:rPr>
              <w:t xml:space="preserve"> </w:t>
            </w:r>
            <w:r w:rsidR="00E37D7A" w:rsidRPr="00E37D7A">
              <w:t>major adverse vascular event</w:t>
            </w:r>
            <w:r w:rsidR="00E37D7A">
              <w:t>s (MAVEs)</w:t>
            </w:r>
            <w:r w:rsidRPr="00CD6BDD">
              <w:rPr>
                <w:spacing w:val="-5"/>
              </w:rPr>
              <w:t xml:space="preserve"> </w:t>
            </w:r>
            <w:r w:rsidRPr="00CD6BDD">
              <w:t>between</w:t>
            </w:r>
            <w:r w:rsidRPr="00CD6BDD">
              <w:rPr>
                <w:spacing w:val="-5"/>
              </w:rPr>
              <w:t xml:space="preserve"> </w:t>
            </w:r>
            <w:r w:rsidRPr="00CD6BDD">
              <w:t>day</w:t>
            </w:r>
            <w:r w:rsidRPr="00CD6BDD">
              <w:rPr>
                <w:spacing w:val="-6"/>
              </w:rPr>
              <w:t xml:space="preserve"> </w:t>
            </w:r>
            <w:r w:rsidRPr="00CD6BDD">
              <w:t>1</w:t>
            </w:r>
            <w:r w:rsidRPr="00CD6BDD">
              <w:rPr>
                <w:spacing w:val="-5"/>
              </w:rPr>
              <w:t xml:space="preserve"> </w:t>
            </w:r>
            <w:r w:rsidRPr="00CD6BDD">
              <w:t>–</w:t>
            </w:r>
            <w:r w:rsidRPr="00CD6BDD">
              <w:rPr>
                <w:spacing w:val="-7"/>
              </w:rPr>
              <w:t xml:space="preserve"> </w:t>
            </w:r>
            <w:r w:rsidRPr="00CD6BDD">
              <w:rPr>
                <w:spacing w:val="-5"/>
              </w:rPr>
              <w:t>168</w:t>
            </w:r>
          </w:p>
          <w:p w14:paraId="2F0E3E81" w14:textId="77777777" w:rsidR="00610A68" w:rsidRPr="00CD6BDD" w:rsidRDefault="00610A68" w:rsidP="00C5699C">
            <w:r w:rsidRPr="00CD6BDD">
              <w:t>Safety</w:t>
            </w:r>
            <w:r w:rsidRPr="00CD6BDD">
              <w:rPr>
                <w:spacing w:val="-4"/>
              </w:rPr>
              <w:t xml:space="preserve"> </w:t>
            </w:r>
            <w:r w:rsidRPr="00CD6BDD">
              <w:t>evaluations</w:t>
            </w:r>
          </w:p>
        </w:tc>
      </w:tr>
    </w:tbl>
    <w:p w14:paraId="58EA11CE" w14:textId="6D2BB74D" w:rsidR="00D85D1B" w:rsidRDefault="00D85D1B" w:rsidP="00587321">
      <w:pPr>
        <w:pStyle w:val="Heading6"/>
      </w:pPr>
      <w:r>
        <w:lastRenderedPageBreak/>
        <w:t xml:space="preserve">Participant </w:t>
      </w:r>
      <w:r w:rsidR="00587321">
        <w:t>f</w:t>
      </w:r>
      <w:r>
        <w:t xml:space="preserve">low and </w:t>
      </w:r>
      <w:r w:rsidR="00587321">
        <w:t>b</w:t>
      </w:r>
      <w:r>
        <w:t xml:space="preserve">aseline </w:t>
      </w:r>
      <w:r w:rsidR="00587321">
        <w:t>c</w:t>
      </w:r>
      <w:r>
        <w:t>haracteristics</w:t>
      </w:r>
    </w:p>
    <w:p w14:paraId="26B9E574" w14:textId="77777777" w:rsidR="00D85D1B" w:rsidRDefault="00D85D1B" w:rsidP="00D85D1B">
      <w:r>
        <w:t>125 patients were screened, 97 were randomised, 62 to the iptacopan group and 35 to the anti- C5 group. 61 (98.4%) in the iptacopan group and 35 (100%) in the anti-C5 group completed the treatment period on treatment. One patient in the iptacopan group discontinued study treatment due to pregnancy (later had a healthy baby after a normal full-term pregnancy).</w:t>
      </w:r>
    </w:p>
    <w:p w14:paraId="3ACD93B9" w14:textId="77777777" w:rsidR="003105E1" w:rsidRDefault="7644476B" w:rsidP="001C2FEA">
      <w:r>
        <w:t>Of the 96 patients who completed the 24-week treatment period, 95 entered the extension study with assignment to iptacopan, and 94 completed the extension period</w:t>
      </w:r>
      <w:r w:rsidR="21A955BE">
        <w:t xml:space="preserve"> on iptacopan</w:t>
      </w:r>
      <w:r>
        <w:t xml:space="preserve">. 1 patient (1.1%) discontinued the initial study due to investigator’s decision (patient clinical condition) and 1 patient (1.1%) </w:t>
      </w:r>
      <w:r w:rsidR="2F0229D7">
        <w:t xml:space="preserve">discontinued </w:t>
      </w:r>
      <w:r w:rsidR="6F7F4A34">
        <w:t>iptacopan due to pregnancy and continued all study assessment until the end of the extens</w:t>
      </w:r>
      <w:r w:rsidR="38F337C0">
        <w:t xml:space="preserve">ion </w:t>
      </w:r>
      <w:r w:rsidR="270FB90C">
        <w:t xml:space="preserve">period. </w:t>
      </w:r>
    </w:p>
    <w:p w14:paraId="7160EBCD" w14:textId="1C2B0E3A" w:rsidR="00D85D1B" w:rsidRDefault="00D85D1B" w:rsidP="00AB6369">
      <w:pPr>
        <w:pStyle w:val="Heading6"/>
      </w:pPr>
      <w:r>
        <w:t>Results (DCO 26 September 2022)</w:t>
      </w:r>
    </w:p>
    <w:p w14:paraId="396A1C7C" w14:textId="1DAB1897" w:rsidR="0047165D" w:rsidRDefault="0047165D" w:rsidP="00D85D1B">
      <w:r w:rsidRPr="0047165D">
        <w:t xml:space="preserve">After the initial submission, which included data from the interim 24-week database lock for APPLY-PNH, it was discovered that an additional red blood cell transfusion had been administered to a patient in the iptacopan arm during the 24-week randomized period. Subsequently, the database was updated, the efficacy analyses were </w:t>
      </w:r>
      <w:proofErr w:type="gramStart"/>
      <w:r w:rsidRPr="0047165D">
        <w:t>repeated</w:t>
      </w:r>
      <w:proofErr w:type="gramEnd"/>
      <w:r w:rsidRPr="0047165D">
        <w:t xml:space="preserve"> and minor numerical updates were made to the efficacy results. </w:t>
      </w:r>
    </w:p>
    <w:p w14:paraId="2E431414" w14:textId="675F767D" w:rsidR="00D85D1B" w:rsidRDefault="7644476B" w:rsidP="00D85D1B">
      <w:r>
        <w:t xml:space="preserve">For the primary endpoint of </w:t>
      </w:r>
      <w:r w:rsidR="00335991" w:rsidRPr="00335991">
        <w:t>≥</w:t>
      </w:r>
      <w:r w:rsidR="5CCFDC30" w:rsidRPr="00335991">
        <w:t xml:space="preserve"> </w:t>
      </w:r>
      <w:r>
        <w:t xml:space="preserve">2g/dL in Hb from baseline in the absence of RBC transfusions, </w:t>
      </w:r>
      <w:r w:rsidRPr="00844011">
        <w:t>51 of 6</w:t>
      </w:r>
      <w:r w:rsidR="00A17095" w:rsidRPr="00844011">
        <w:t>0</w:t>
      </w:r>
      <w:r w:rsidRPr="00844011">
        <w:t xml:space="preserve"> (82.3%)</w:t>
      </w:r>
      <w:r>
        <w:t xml:space="preserve"> patients in the iptacopan group compared to 0 of 35 (0%) in the control group achieved this. The </w:t>
      </w:r>
      <w:proofErr w:type="gramStart"/>
      <w:r w:rsidR="00BF25BC">
        <w:t>model based</w:t>
      </w:r>
      <w:proofErr w:type="gramEnd"/>
      <w:r w:rsidR="00BF25BC">
        <w:t xml:space="preserve"> </w:t>
      </w:r>
      <w:r>
        <w:t>difference was 80.</w:t>
      </w:r>
      <w:r w:rsidR="00A17095">
        <w:t>2</w:t>
      </w:r>
      <w:r>
        <w:t>% (95% CI 71.3 – 87.6, p&lt;0.0001) in favour of iptacopan. For the other primary endpoint of Hb levels</w:t>
      </w:r>
      <w:r w:rsidR="00261FA1">
        <w:t xml:space="preserve"> </w:t>
      </w:r>
      <w:r w:rsidR="00335991" w:rsidRPr="00335991">
        <w:t>≥</w:t>
      </w:r>
      <w:r>
        <w:t>12g/dL, 42 (6</w:t>
      </w:r>
      <w:r w:rsidR="00EF5E91">
        <w:t>8</w:t>
      </w:r>
      <w:r>
        <w:t xml:space="preserve">.8%) patients in the iptacopan group achieved this compared to 0 (0%) in the control group. The </w:t>
      </w:r>
      <w:proofErr w:type="gramStart"/>
      <w:r w:rsidR="00BF25BC">
        <w:t>model based</w:t>
      </w:r>
      <w:proofErr w:type="gramEnd"/>
      <w:r w:rsidR="00BF25BC">
        <w:t xml:space="preserve"> </w:t>
      </w:r>
      <w:r>
        <w:t xml:space="preserve">difference was 67.0% (95% CI </w:t>
      </w:r>
      <w:r w:rsidRPr="00844011">
        <w:t>56.</w:t>
      </w:r>
      <w:r w:rsidR="009F1564" w:rsidRPr="009668C9">
        <w:t>4</w:t>
      </w:r>
      <w:r w:rsidRPr="009668C9">
        <w:t>-76.9</w:t>
      </w:r>
      <w:r>
        <w:t xml:space="preserve">, p&lt;0.0001). In terms of marginal proportions, the values for iptacopan were 82.3% (73.4, 90.2) and for anti-C5 was 2.0% (95% CI: 1.1, 4.1) in terms of increase in the haemoglobin levels from baseline of &gt;2g/dL and for sustained haemoglobin levels of &gt;12g/dL these values were 68.8% (95% CI: 58.3, 78.9) and 1.8% (95% CI: 0.9, 4.0) for the iptacopan and anti-C5 groups, respectively. These results are shown in </w:t>
      </w:r>
      <w:r w:rsidR="769DB048">
        <w:t>Table</w:t>
      </w:r>
      <w:r w:rsidR="6BED5764">
        <w:t>s</w:t>
      </w:r>
      <w:r w:rsidR="769DB048">
        <w:t xml:space="preserve"> </w:t>
      </w:r>
      <w:r w:rsidR="136CFCB4">
        <w:t>3</w:t>
      </w:r>
      <w:r w:rsidR="6BED5764">
        <w:t xml:space="preserve"> and 4</w:t>
      </w:r>
      <w:r>
        <w:t>:</w:t>
      </w:r>
    </w:p>
    <w:p w14:paraId="4204FA59" w14:textId="5037E2F1" w:rsidR="00610A68" w:rsidRDefault="00D85D1B" w:rsidP="00587321">
      <w:pPr>
        <w:pStyle w:val="TableTitle"/>
      </w:pPr>
      <w:r>
        <w:lastRenderedPageBreak/>
        <w:t xml:space="preserve">Table </w:t>
      </w:r>
      <w:r w:rsidR="34E1DB44">
        <w:t>3</w:t>
      </w:r>
      <w:r>
        <w:t>: APPLY-PNH Study, Results for primary and secondary endpoints – randomised treatment period</w:t>
      </w:r>
    </w:p>
    <w:tbl>
      <w:tblPr>
        <w:tblpPr w:leftFromText="187" w:rightFromText="187" w:vertAnchor="text" w:tblpY="1"/>
        <w:tblOverlap w:val="never"/>
        <w:tblW w:w="9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9"/>
        <w:gridCol w:w="1529"/>
        <w:gridCol w:w="1404"/>
        <w:gridCol w:w="2141"/>
      </w:tblGrid>
      <w:tr w:rsidR="002A6ACA" w:rsidRPr="00CC23E1" w14:paraId="75171425" w14:textId="77777777" w:rsidTr="00A60DC7">
        <w:trPr>
          <w:tblHeader/>
        </w:trPr>
        <w:tc>
          <w:tcPr>
            <w:tcW w:w="3999" w:type="dxa"/>
          </w:tcPr>
          <w:p w14:paraId="25FC44E5" w14:textId="77777777" w:rsidR="002A6ACA" w:rsidRPr="00CC23E1" w:rsidRDefault="002A6ACA" w:rsidP="00F140E7">
            <w:pPr>
              <w:widowControl w:val="0"/>
              <w:autoSpaceDE w:val="0"/>
              <w:autoSpaceDN w:val="0"/>
              <w:spacing w:after="0" w:line="268" w:lineRule="exact"/>
              <w:ind w:left="107"/>
              <w:rPr>
                <w:rFonts w:ascii="Calibri" w:eastAsia="Calibri" w:hAnsi="Calibri" w:cs="Calibri"/>
                <w:b/>
                <w:szCs w:val="22"/>
                <w:lang w:val="en-US"/>
              </w:rPr>
            </w:pPr>
            <w:r w:rsidRPr="00CC23E1">
              <w:rPr>
                <w:rFonts w:ascii="Calibri" w:eastAsia="Calibri" w:hAnsi="Calibri" w:cs="Calibri"/>
                <w:b/>
                <w:spacing w:val="-2"/>
                <w:szCs w:val="22"/>
                <w:lang w:val="en-US"/>
              </w:rPr>
              <w:t>Endpoints</w:t>
            </w:r>
          </w:p>
        </w:tc>
        <w:tc>
          <w:tcPr>
            <w:tcW w:w="1529" w:type="dxa"/>
          </w:tcPr>
          <w:p w14:paraId="59EBB90A" w14:textId="77777777" w:rsidR="002A6ACA" w:rsidRPr="00CC23E1" w:rsidRDefault="002A6ACA" w:rsidP="00F140E7">
            <w:pPr>
              <w:widowControl w:val="0"/>
              <w:autoSpaceDE w:val="0"/>
              <w:autoSpaceDN w:val="0"/>
              <w:spacing w:after="0" w:line="240" w:lineRule="auto"/>
              <w:ind w:left="455" w:hanging="176"/>
              <w:rPr>
                <w:rFonts w:ascii="Calibri" w:eastAsia="Calibri" w:hAnsi="Calibri" w:cs="Calibri"/>
                <w:b/>
                <w:szCs w:val="22"/>
                <w:lang w:val="en-US"/>
              </w:rPr>
            </w:pPr>
            <w:r w:rsidRPr="00CC23E1">
              <w:rPr>
                <w:rFonts w:ascii="Calibri" w:eastAsia="Calibri" w:hAnsi="Calibri" w:cs="Calibri"/>
                <w:b/>
                <w:spacing w:val="-2"/>
                <w:szCs w:val="22"/>
                <w:lang w:val="en-US"/>
              </w:rPr>
              <w:t>FABHALTA (N=62)</w:t>
            </w:r>
          </w:p>
        </w:tc>
        <w:tc>
          <w:tcPr>
            <w:tcW w:w="1404" w:type="dxa"/>
          </w:tcPr>
          <w:p w14:paraId="4326A925" w14:textId="77777777" w:rsidR="002A6ACA" w:rsidRPr="00CC23E1" w:rsidRDefault="002A6ACA" w:rsidP="00F140E7">
            <w:pPr>
              <w:widowControl w:val="0"/>
              <w:autoSpaceDE w:val="0"/>
              <w:autoSpaceDN w:val="0"/>
              <w:spacing w:after="0" w:line="240" w:lineRule="auto"/>
              <w:ind w:left="393" w:right="350" w:hanging="32"/>
              <w:rPr>
                <w:rFonts w:ascii="Calibri" w:eastAsia="Calibri" w:hAnsi="Calibri" w:cs="Calibri"/>
                <w:b/>
                <w:szCs w:val="22"/>
                <w:lang w:val="en-US"/>
              </w:rPr>
            </w:pPr>
            <w:r w:rsidRPr="00CC23E1">
              <w:rPr>
                <w:rFonts w:ascii="Calibri" w:eastAsia="Calibri" w:hAnsi="Calibri" w:cs="Calibri"/>
                <w:b/>
                <w:spacing w:val="-2"/>
                <w:szCs w:val="22"/>
                <w:lang w:val="en-US"/>
              </w:rPr>
              <w:t>Anti-C5 (N=35)</w:t>
            </w:r>
          </w:p>
        </w:tc>
        <w:tc>
          <w:tcPr>
            <w:tcW w:w="2141" w:type="dxa"/>
          </w:tcPr>
          <w:p w14:paraId="3D33DB97" w14:textId="77777777" w:rsidR="002A6ACA" w:rsidRPr="00CC23E1" w:rsidRDefault="002A6ACA" w:rsidP="00F140E7">
            <w:pPr>
              <w:widowControl w:val="0"/>
              <w:autoSpaceDE w:val="0"/>
              <w:autoSpaceDN w:val="0"/>
              <w:spacing w:after="0" w:line="240" w:lineRule="auto"/>
              <w:ind w:left="402" w:right="384"/>
              <w:jc w:val="center"/>
              <w:rPr>
                <w:rFonts w:ascii="Calibri" w:eastAsia="Calibri" w:hAnsi="Calibri" w:cs="Calibri"/>
                <w:b/>
                <w:szCs w:val="22"/>
                <w:lang w:val="en-US"/>
              </w:rPr>
            </w:pPr>
            <w:r w:rsidRPr="00CC23E1">
              <w:rPr>
                <w:rFonts w:ascii="Calibri" w:eastAsia="Calibri" w:hAnsi="Calibri" w:cs="Calibri"/>
                <w:b/>
                <w:spacing w:val="-2"/>
                <w:szCs w:val="22"/>
                <w:lang w:val="en-US"/>
              </w:rPr>
              <w:t xml:space="preserve">Difference </w:t>
            </w:r>
            <w:r w:rsidRPr="00CC23E1">
              <w:rPr>
                <w:rFonts w:ascii="Calibri" w:eastAsia="Calibri" w:hAnsi="Calibri" w:cs="Calibri"/>
                <w:b/>
                <w:szCs w:val="22"/>
                <w:lang w:val="en-US"/>
              </w:rPr>
              <w:t>(95% CI)</w:t>
            </w:r>
          </w:p>
          <w:p w14:paraId="097BFFF5" w14:textId="77777777" w:rsidR="002A6ACA" w:rsidRPr="00CC23E1" w:rsidRDefault="002A6ACA" w:rsidP="00F140E7">
            <w:pPr>
              <w:widowControl w:val="0"/>
              <w:autoSpaceDE w:val="0"/>
              <w:autoSpaceDN w:val="0"/>
              <w:spacing w:after="0" w:line="249" w:lineRule="exact"/>
              <w:ind w:left="15" w:right="4"/>
              <w:jc w:val="center"/>
              <w:rPr>
                <w:rFonts w:ascii="Calibri" w:eastAsia="Calibri" w:hAnsi="Calibri" w:cs="Calibri"/>
                <w:b/>
                <w:szCs w:val="22"/>
                <w:lang w:val="en-US"/>
              </w:rPr>
            </w:pPr>
            <w:r w:rsidRPr="00CC23E1">
              <w:rPr>
                <w:rFonts w:ascii="Calibri" w:eastAsia="Calibri" w:hAnsi="Calibri" w:cs="Calibri"/>
                <w:b/>
                <w:spacing w:val="-2"/>
                <w:szCs w:val="22"/>
                <w:lang w:val="en-US"/>
              </w:rPr>
              <w:t>p-value</w:t>
            </w:r>
          </w:p>
        </w:tc>
      </w:tr>
      <w:tr w:rsidR="002A6ACA" w:rsidRPr="00CC23E1" w14:paraId="1621C1CB" w14:textId="77777777" w:rsidTr="00A60DC7">
        <w:trPr>
          <w:tblHeader/>
        </w:trPr>
        <w:tc>
          <w:tcPr>
            <w:tcW w:w="9073" w:type="dxa"/>
            <w:gridSpan w:val="4"/>
          </w:tcPr>
          <w:p w14:paraId="116CCDD9" w14:textId="77777777" w:rsidR="002A6ACA" w:rsidRPr="00CC23E1" w:rsidRDefault="002A6ACA" w:rsidP="00F140E7">
            <w:pPr>
              <w:widowControl w:val="0"/>
              <w:autoSpaceDE w:val="0"/>
              <w:autoSpaceDN w:val="0"/>
              <w:spacing w:after="0" w:line="248" w:lineRule="exact"/>
              <w:ind w:left="107"/>
              <w:rPr>
                <w:rFonts w:ascii="Calibri" w:eastAsia="Calibri" w:hAnsi="Calibri" w:cs="Calibri"/>
                <w:b/>
                <w:szCs w:val="22"/>
                <w:lang w:val="en-US"/>
              </w:rPr>
            </w:pPr>
            <w:r w:rsidRPr="00CC23E1">
              <w:rPr>
                <w:rFonts w:ascii="Calibri" w:eastAsia="Calibri" w:hAnsi="Calibri" w:cs="Calibri"/>
                <w:b/>
                <w:szCs w:val="22"/>
                <w:lang w:val="en-US"/>
              </w:rPr>
              <w:t>Primary</w:t>
            </w:r>
            <w:r w:rsidRPr="00CC23E1">
              <w:rPr>
                <w:rFonts w:ascii="Calibri" w:eastAsia="Calibri" w:hAnsi="Calibri" w:cs="Calibri"/>
                <w:b/>
                <w:spacing w:val="-5"/>
                <w:szCs w:val="22"/>
                <w:lang w:val="en-US"/>
              </w:rPr>
              <w:t xml:space="preserve"> </w:t>
            </w:r>
            <w:r w:rsidRPr="00CC23E1">
              <w:rPr>
                <w:rFonts w:ascii="Calibri" w:eastAsia="Calibri" w:hAnsi="Calibri" w:cs="Calibri"/>
                <w:b/>
                <w:spacing w:val="-2"/>
                <w:szCs w:val="22"/>
                <w:lang w:val="en-US"/>
              </w:rPr>
              <w:t>endpoints</w:t>
            </w:r>
          </w:p>
        </w:tc>
      </w:tr>
      <w:tr w:rsidR="002A6ACA" w:rsidRPr="00CC23E1" w14:paraId="63569E8E" w14:textId="77777777" w:rsidTr="00A60DC7">
        <w:trPr>
          <w:tblHeader/>
        </w:trPr>
        <w:tc>
          <w:tcPr>
            <w:tcW w:w="3999" w:type="dxa"/>
            <w:tcBorders>
              <w:bottom w:val="nil"/>
            </w:tcBorders>
          </w:tcPr>
          <w:p w14:paraId="281458EC" w14:textId="77777777" w:rsidR="002A6ACA" w:rsidRPr="00CC23E1" w:rsidRDefault="002A6ACA" w:rsidP="00F140E7">
            <w:pPr>
              <w:widowControl w:val="0"/>
              <w:autoSpaceDE w:val="0"/>
              <w:autoSpaceDN w:val="0"/>
              <w:spacing w:after="0" w:line="268" w:lineRule="exact"/>
              <w:ind w:left="107"/>
              <w:rPr>
                <w:rFonts w:ascii="Calibri" w:eastAsia="Calibri" w:hAnsi="Calibri" w:cs="Calibri"/>
                <w:szCs w:val="22"/>
                <w:lang w:val="en-US"/>
              </w:rPr>
            </w:pPr>
            <w:r w:rsidRPr="00CC23E1">
              <w:rPr>
                <w:rFonts w:ascii="Calibri" w:eastAsia="Calibri" w:hAnsi="Calibri" w:cs="Calibri"/>
                <w:szCs w:val="22"/>
                <w:lang w:val="en-US"/>
              </w:rPr>
              <w:t>Number</w:t>
            </w:r>
            <w:r w:rsidRPr="00CC23E1">
              <w:rPr>
                <w:rFonts w:ascii="Calibri" w:eastAsia="Calibri" w:hAnsi="Calibri" w:cs="Calibri"/>
                <w:spacing w:val="-6"/>
                <w:szCs w:val="22"/>
                <w:lang w:val="en-US"/>
              </w:rPr>
              <w:t xml:space="preserve"> </w:t>
            </w:r>
            <w:r w:rsidRPr="00CC23E1">
              <w:rPr>
                <w:rFonts w:ascii="Calibri" w:eastAsia="Calibri" w:hAnsi="Calibri" w:cs="Calibri"/>
                <w:szCs w:val="22"/>
                <w:lang w:val="en-US"/>
              </w:rPr>
              <w:t>of</w:t>
            </w:r>
            <w:r w:rsidRPr="00CC23E1">
              <w:rPr>
                <w:rFonts w:ascii="Calibri" w:eastAsia="Calibri" w:hAnsi="Calibri" w:cs="Calibri"/>
                <w:spacing w:val="-4"/>
                <w:szCs w:val="22"/>
                <w:lang w:val="en-US"/>
              </w:rPr>
              <w:t xml:space="preserve"> </w:t>
            </w:r>
            <w:r w:rsidRPr="00CC23E1">
              <w:rPr>
                <w:rFonts w:ascii="Calibri" w:eastAsia="Calibri" w:hAnsi="Calibri" w:cs="Calibri"/>
                <w:szCs w:val="22"/>
                <w:lang w:val="en-US"/>
              </w:rPr>
              <w:t>patients</w:t>
            </w:r>
            <w:r w:rsidRPr="00CC23E1">
              <w:rPr>
                <w:rFonts w:ascii="Calibri" w:eastAsia="Calibri" w:hAnsi="Calibri" w:cs="Calibri"/>
                <w:spacing w:val="-3"/>
                <w:szCs w:val="22"/>
                <w:lang w:val="en-US"/>
              </w:rPr>
              <w:t xml:space="preserve"> </w:t>
            </w:r>
            <w:r w:rsidRPr="00CC23E1">
              <w:rPr>
                <w:rFonts w:ascii="Calibri" w:eastAsia="Calibri" w:hAnsi="Calibri" w:cs="Calibri"/>
                <w:spacing w:val="-2"/>
                <w:szCs w:val="22"/>
                <w:lang w:val="en-US"/>
              </w:rPr>
              <w:t>achieving</w:t>
            </w:r>
          </w:p>
        </w:tc>
        <w:tc>
          <w:tcPr>
            <w:tcW w:w="1529" w:type="dxa"/>
            <w:tcBorders>
              <w:bottom w:val="nil"/>
            </w:tcBorders>
          </w:tcPr>
          <w:p w14:paraId="2FA416D9" w14:textId="77777777" w:rsidR="002A6ACA" w:rsidRPr="00CC23E1" w:rsidRDefault="002A6ACA" w:rsidP="00F140E7">
            <w:pPr>
              <w:widowControl w:val="0"/>
              <w:autoSpaceDE w:val="0"/>
              <w:autoSpaceDN w:val="0"/>
              <w:spacing w:after="0" w:line="268" w:lineRule="exact"/>
              <w:ind w:left="11" w:right="3"/>
              <w:jc w:val="center"/>
              <w:rPr>
                <w:rFonts w:ascii="Calibri" w:eastAsia="Calibri" w:hAnsi="Calibri" w:cs="Calibri"/>
                <w:szCs w:val="22"/>
                <w:lang w:val="en-US"/>
              </w:rPr>
            </w:pPr>
            <w:r w:rsidRPr="00CC23E1">
              <w:rPr>
                <w:rFonts w:ascii="Calibri" w:eastAsia="Calibri" w:hAnsi="Calibri" w:cs="Calibri"/>
                <w:spacing w:val="-2"/>
                <w:szCs w:val="22"/>
                <w:lang w:val="en-US"/>
              </w:rPr>
              <w:t>51/60</w:t>
            </w:r>
            <w:r w:rsidRPr="00CC23E1">
              <w:rPr>
                <w:rFonts w:ascii="Calibri" w:eastAsia="Calibri" w:hAnsi="Calibri" w:cs="Calibri"/>
                <w:spacing w:val="-2"/>
                <w:szCs w:val="22"/>
                <w:vertAlign w:val="superscript"/>
                <w:lang w:val="en-US"/>
              </w:rPr>
              <w:t>b</w:t>
            </w:r>
          </w:p>
        </w:tc>
        <w:tc>
          <w:tcPr>
            <w:tcW w:w="1404" w:type="dxa"/>
            <w:tcBorders>
              <w:bottom w:val="nil"/>
            </w:tcBorders>
          </w:tcPr>
          <w:p w14:paraId="450D56C0" w14:textId="77777777" w:rsidR="002A6ACA" w:rsidRPr="00CC23E1" w:rsidRDefault="002A6ACA" w:rsidP="00F140E7">
            <w:pPr>
              <w:widowControl w:val="0"/>
              <w:autoSpaceDE w:val="0"/>
              <w:autoSpaceDN w:val="0"/>
              <w:spacing w:after="0" w:line="268" w:lineRule="exact"/>
              <w:ind w:left="9" w:right="3"/>
              <w:jc w:val="center"/>
              <w:rPr>
                <w:rFonts w:ascii="Calibri" w:eastAsia="Calibri" w:hAnsi="Calibri" w:cs="Calibri"/>
                <w:szCs w:val="22"/>
                <w:lang w:val="en-US"/>
              </w:rPr>
            </w:pPr>
            <w:r w:rsidRPr="00CC23E1">
              <w:rPr>
                <w:rFonts w:ascii="Calibri" w:eastAsia="Calibri" w:hAnsi="Calibri" w:cs="Calibri"/>
                <w:spacing w:val="-2"/>
                <w:szCs w:val="22"/>
                <w:lang w:val="en-US"/>
              </w:rPr>
              <w:t>0/35</w:t>
            </w:r>
            <w:r w:rsidRPr="00CC23E1">
              <w:rPr>
                <w:rFonts w:ascii="Calibri" w:eastAsia="Calibri" w:hAnsi="Calibri" w:cs="Calibri"/>
                <w:spacing w:val="-2"/>
                <w:szCs w:val="22"/>
                <w:vertAlign w:val="superscript"/>
                <w:lang w:val="en-US"/>
              </w:rPr>
              <w:t>b</w:t>
            </w:r>
          </w:p>
        </w:tc>
        <w:tc>
          <w:tcPr>
            <w:tcW w:w="2141" w:type="dxa"/>
            <w:tcBorders>
              <w:bottom w:val="nil"/>
            </w:tcBorders>
          </w:tcPr>
          <w:p w14:paraId="2BC5EE60" w14:textId="77777777" w:rsidR="002A6ACA" w:rsidRPr="00CC23E1" w:rsidRDefault="002A6ACA" w:rsidP="00F140E7">
            <w:pPr>
              <w:widowControl w:val="0"/>
              <w:autoSpaceDE w:val="0"/>
              <w:autoSpaceDN w:val="0"/>
              <w:spacing w:after="0" w:line="240" w:lineRule="auto"/>
              <w:rPr>
                <w:rFonts w:ascii="Times New Roman" w:eastAsia="Calibri" w:hAnsi="Calibri" w:cs="Calibri"/>
                <w:sz w:val="20"/>
                <w:szCs w:val="22"/>
                <w:lang w:val="en-US"/>
              </w:rPr>
            </w:pPr>
          </w:p>
        </w:tc>
      </w:tr>
      <w:tr w:rsidR="002A6ACA" w:rsidRPr="00CC23E1" w14:paraId="5BCB7EBD" w14:textId="77777777" w:rsidTr="00A60DC7">
        <w:trPr>
          <w:tblHeader/>
        </w:trPr>
        <w:tc>
          <w:tcPr>
            <w:tcW w:w="3999" w:type="dxa"/>
            <w:tcBorders>
              <w:top w:val="nil"/>
              <w:bottom w:val="nil"/>
            </w:tcBorders>
          </w:tcPr>
          <w:p w14:paraId="0D0DAAF2" w14:textId="77777777" w:rsidR="002A6ACA" w:rsidRPr="00CC23E1" w:rsidRDefault="002A6ACA" w:rsidP="00F140E7">
            <w:pPr>
              <w:widowControl w:val="0"/>
              <w:autoSpaceDE w:val="0"/>
              <w:autoSpaceDN w:val="0"/>
              <w:spacing w:after="0" w:line="249" w:lineRule="exact"/>
              <w:ind w:left="107"/>
              <w:rPr>
                <w:rFonts w:ascii="Calibri" w:eastAsia="Calibri" w:hAnsi="Calibri" w:cs="Calibri"/>
                <w:szCs w:val="22"/>
                <w:lang w:val="en-US"/>
              </w:rPr>
            </w:pPr>
            <w:r w:rsidRPr="00CC23E1">
              <w:rPr>
                <w:rFonts w:ascii="Calibri" w:eastAsia="Calibri" w:hAnsi="Calibri" w:cs="Calibri"/>
                <w:szCs w:val="22"/>
                <w:lang w:val="en-US"/>
              </w:rPr>
              <w:t>haemoglobin</w:t>
            </w:r>
            <w:r w:rsidRPr="00CC23E1">
              <w:rPr>
                <w:rFonts w:ascii="Calibri" w:eastAsia="Calibri" w:hAnsi="Calibri" w:cs="Calibri"/>
                <w:spacing w:val="-9"/>
                <w:szCs w:val="22"/>
                <w:lang w:val="en-US"/>
              </w:rPr>
              <w:t xml:space="preserve"> </w:t>
            </w:r>
            <w:r w:rsidRPr="00CC23E1">
              <w:rPr>
                <w:rFonts w:ascii="Calibri" w:eastAsia="Calibri" w:hAnsi="Calibri" w:cs="Calibri"/>
                <w:szCs w:val="22"/>
                <w:lang w:val="en-US"/>
              </w:rPr>
              <w:t>improvement</w:t>
            </w:r>
            <w:r w:rsidRPr="00CC23E1">
              <w:rPr>
                <w:rFonts w:ascii="Calibri" w:eastAsia="Calibri" w:hAnsi="Calibri" w:cs="Calibri"/>
                <w:spacing w:val="-10"/>
                <w:szCs w:val="22"/>
                <w:lang w:val="en-US"/>
              </w:rPr>
              <w:t xml:space="preserve"> </w:t>
            </w:r>
            <w:r w:rsidRPr="00CC23E1">
              <w:rPr>
                <w:rFonts w:ascii="Calibri" w:eastAsia="Calibri" w:hAnsi="Calibri" w:cs="Calibri"/>
                <w:spacing w:val="-2"/>
                <w:szCs w:val="22"/>
                <w:lang w:val="en-US"/>
              </w:rPr>
              <w:t>(sustained</w:t>
            </w:r>
          </w:p>
        </w:tc>
        <w:tc>
          <w:tcPr>
            <w:tcW w:w="1529" w:type="dxa"/>
            <w:tcBorders>
              <w:top w:val="nil"/>
              <w:bottom w:val="nil"/>
            </w:tcBorders>
          </w:tcPr>
          <w:p w14:paraId="6063B4F8"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6C226AA1"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7F6188D6"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r>
      <w:tr w:rsidR="002A6ACA" w:rsidRPr="00CC23E1" w14:paraId="3AF7236D" w14:textId="77777777" w:rsidTr="00A60DC7">
        <w:trPr>
          <w:tblHeader/>
        </w:trPr>
        <w:tc>
          <w:tcPr>
            <w:tcW w:w="3999" w:type="dxa"/>
            <w:tcBorders>
              <w:top w:val="nil"/>
              <w:bottom w:val="nil"/>
            </w:tcBorders>
          </w:tcPr>
          <w:p w14:paraId="28CA0263" w14:textId="77777777" w:rsidR="002A6ACA" w:rsidRPr="00CC23E1" w:rsidRDefault="002A6ACA" w:rsidP="00F140E7">
            <w:pPr>
              <w:widowControl w:val="0"/>
              <w:autoSpaceDE w:val="0"/>
              <w:autoSpaceDN w:val="0"/>
              <w:spacing w:after="0" w:line="249" w:lineRule="exact"/>
              <w:ind w:left="107"/>
              <w:rPr>
                <w:rFonts w:ascii="Calibri" w:eastAsia="Calibri" w:hAnsi="Calibri" w:cs="Calibri"/>
                <w:szCs w:val="22"/>
                <w:lang w:val="en-US"/>
              </w:rPr>
            </w:pPr>
            <w:r w:rsidRPr="00CC23E1">
              <w:rPr>
                <w:rFonts w:ascii="Calibri" w:eastAsia="Calibri" w:hAnsi="Calibri" w:cs="Calibri"/>
                <w:szCs w:val="22"/>
                <w:lang w:val="en-US"/>
              </w:rPr>
              <w:t>increase</w:t>
            </w:r>
            <w:r w:rsidRPr="00CC23E1">
              <w:rPr>
                <w:rFonts w:ascii="Calibri" w:eastAsia="Calibri" w:hAnsi="Calibri" w:cs="Calibri"/>
                <w:spacing w:val="-6"/>
                <w:szCs w:val="22"/>
                <w:lang w:val="en-US"/>
              </w:rPr>
              <w:t xml:space="preserve"> </w:t>
            </w:r>
            <w:r w:rsidRPr="00CC23E1">
              <w:rPr>
                <w:rFonts w:ascii="Calibri" w:eastAsia="Calibri" w:hAnsi="Calibri" w:cs="Calibri"/>
                <w:szCs w:val="22"/>
                <w:lang w:val="en-US"/>
              </w:rPr>
              <w:t>of</w:t>
            </w:r>
            <w:r w:rsidRPr="00CC23E1">
              <w:rPr>
                <w:rFonts w:ascii="Calibri" w:eastAsia="Calibri" w:hAnsi="Calibri" w:cs="Calibri"/>
                <w:spacing w:val="-3"/>
                <w:szCs w:val="22"/>
                <w:lang w:val="en-US"/>
              </w:rPr>
              <w:t xml:space="preserve"> </w:t>
            </w:r>
            <w:r w:rsidRPr="00CC23E1">
              <w:rPr>
                <w:rFonts w:ascii="Calibri" w:eastAsia="Calibri" w:hAnsi="Calibri" w:cs="Calibri"/>
                <w:szCs w:val="22"/>
                <w:lang w:val="en-US"/>
              </w:rPr>
              <w:t>haemoglobin</w:t>
            </w:r>
            <w:r w:rsidRPr="00CC23E1">
              <w:rPr>
                <w:rFonts w:ascii="Calibri" w:eastAsia="Calibri" w:hAnsi="Calibri" w:cs="Calibri"/>
                <w:spacing w:val="-3"/>
                <w:szCs w:val="22"/>
                <w:lang w:val="en-US"/>
              </w:rPr>
              <w:t xml:space="preserve"> </w:t>
            </w:r>
            <w:r w:rsidRPr="00CC23E1">
              <w:rPr>
                <w:rFonts w:ascii="Calibri" w:eastAsia="Calibri" w:hAnsi="Calibri" w:cs="Calibri"/>
                <w:szCs w:val="22"/>
                <w:lang w:val="en-US"/>
              </w:rPr>
              <w:t>levels</w:t>
            </w:r>
            <w:r w:rsidRPr="00CC23E1">
              <w:rPr>
                <w:rFonts w:ascii="Calibri" w:eastAsia="Calibri" w:hAnsi="Calibri" w:cs="Calibri"/>
                <w:spacing w:val="-5"/>
                <w:szCs w:val="22"/>
                <w:lang w:val="en-US"/>
              </w:rPr>
              <w:t xml:space="preserve"> </w:t>
            </w:r>
            <w:r w:rsidRPr="00CC23E1">
              <w:rPr>
                <w:rFonts w:ascii="Calibri" w:eastAsia="Calibri" w:hAnsi="Calibri" w:cs="Calibri"/>
                <w:szCs w:val="22"/>
                <w:lang w:val="en-US"/>
              </w:rPr>
              <w:t>≥2</w:t>
            </w:r>
            <w:r w:rsidRPr="00CC23E1">
              <w:rPr>
                <w:rFonts w:ascii="Calibri" w:eastAsia="Calibri" w:hAnsi="Calibri" w:cs="Calibri"/>
                <w:spacing w:val="-4"/>
                <w:szCs w:val="22"/>
                <w:lang w:val="en-US"/>
              </w:rPr>
              <w:t xml:space="preserve"> g/dL</w:t>
            </w:r>
          </w:p>
        </w:tc>
        <w:tc>
          <w:tcPr>
            <w:tcW w:w="1529" w:type="dxa"/>
            <w:tcBorders>
              <w:top w:val="nil"/>
              <w:bottom w:val="nil"/>
            </w:tcBorders>
          </w:tcPr>
          <w:p w14:paraId="68CA4EC1"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343C2432"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02456317"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r>
      <w:tr w:rsidR="002A6ACA" w:rsidRPr="00CC23E1" w14:paraId="72BF405C" w14:textId="77777777" w:rsidTr="00A60DC7">
        <w:trPr>
          <w:tblHeader/>
        </w:trPr>
        <w:tc>
          <w:tcPr>
            <w:tcW w:w="3999" w:type="dxa"/>
            <w:tcBorders>
              <w:top w:val="nil"/>
              <w:bottom w:val="nil"/>
            </w:tcBorders>
          </w:tcPr>
          <w:p w14:paraId="3616DDAC" w14:textId="77777777" w:rsidR="002A6ACA" w:rsidRPr="00CC23E1" w:rsidRDefault="002A6ACA" w:rsidP="00F140E7">
            <w:pPr>
              <w:widowControl w:val="0"/>
              <w:autoSpaceDE w:val="0"/>
              <w:autoSpaceDN w:val="0"/>
              <w:spacing w:after="0" w:line="249" w:lineRule="exact"/>
              <w:ind w:left="107"/>
              <w:rPr>
                <w:rFonts w:ascii="Calibri" w:eastAsia="Calibri" w:hAnsi="Calibri" w:cs="Calibri"/>
                <w:szCs w:val="22"/>
                <w:lang w:val="en-US"/>
              </w:rPr>
            </w:pPr>
            <w:r w:rsidRPr="00CC23E1">
              <w:rPr>
                <w:rFonts w:ascii="Calibri" w:eastAsia="Calibri" w:hAnsi="Calibri" w:cs="Calibri"/>
                <w:szCs w:val="22"/>
                <w:lang w:val="en-US"/>
              </w:rPr>
              <w:t>from</w:t>
            </w:r>
            <w:r w:rsidRPr="00CC23E1">
              <w:rPr>
                <w:rFonts w:ascii="Calibri" w:eastAsia="Calibri" w:hAnsi="Calibri" w:cs="Calibri"/>
                <w:spacing w:val="-6"/>
                <w:szCs w:val="22"/>
                <w:lang w:val="en-US"/>
              </w:rPr>
              <w:t xml:space="preserve"> </w:t>
            </w:r>
            <w:proofErr w:type="spellStart"/>
            <w:r w:rsidRPr="00CC23E1">
              <w:rPr>
                <w:rFonts w:ascii="Calibri" w:eastAsia="Calibri" w:hAnsi="Calibri" w:cs="Calibri"/>
                <w:szCs w:val="22"/>
                <w:lang w:val="en-US"/>
              </w:rPr>
              <w:t>baseline</w:t>
            </w:r>
            <w:r w:rsidRPr="00CC23E1">
              <w:rPr>
                <w:rFonts w:ascii="Calibri" w:eastAsia="Calibri" w:hAnsi="Calibri" w:cs="Calibri"/>
                <w:szCs w:val="22"/>
                <w:vertAlign w:val="superscript"/>
                <w:lang w:val="en-US"/>
              </w:rPr>
              <w:t>a</w:t>
            </w:r>
            <w:proofErr w:type="spellEnd"/>
            <w:r w:rsidRPr="00CC23E1">
              <w:rPr>
                <w:rFonts w:ascii="Calibri" w:eastAsia="Calibri" w:hAnsi="Calibri" w:cs="Calibri"/>
                <w:spacing w:val="-6"/>
                <w:szCs w:val="22"/>
                <w:lang w:val="en-US"/>
              </w:rPr>
              <w:t xml:space="preserve"> </w:t>
            </w:r>
            <w:r w:rsidRPr="00CC23E1">
              <w:rPr>
                <w:rFonts w:ascii="Calibri" w:eastAsia="Calibri" w:hAnsi="Calibri" w:cs="Calibri"/>
                <w:szCs w:val="22"/>
                <w:lang w:val="en-US"/>
              </w:rPr>
              <w:t>in</w:t>
            </w:r>
            <w:r w:rsidRPr="00CC23E1">
              <w:rPr>
                <w:rFonts w:ascii="Calibri" w:eastAsia="Calibri" w:hAnsi="Calibri" w:cs="Calibri"/>
                <w:spacing w:val="-6"/>
                <w:szCs w:val="22"/>
                <w:lang w:val="en-US"/>
              </w:rPr>
              <w:t xml:space="preserve"> </w:t>
            </w:r>
            <w:r w:rsidRPr="00CC23E1">
              <w:rPr>
                <w:rFonts w:ascii="Calibri" w:eastAsia="Calibri" w:hAnsi="Calibri" w:cs="Calibri"/>
                <w:szCs w:val="22"/>
                <w:lang w:val="en-US"/>
              </w:rPr>
              <w:t>the</w:t>
            </w:r>
            <w:r w:rsidRPr="00CC23E1">
              <w:rPr>
                <w:rFonts w:ascii="Calibri" w:eastAsia="Calibri" w:hAnsi="Calibri" w:cs="Calibri"/>
                <w:spacing w:val="-6"/>
                <w:szCs w:val="22"/>
                <w:lang w:val="en-US"/>
              </w:rPr>
              <w:t xml:space="preserve"> </w:t>
            </w:r>
            <w:r w:rsidRPr="00CC23E1">
              <w:rPr>
                <w:rFonts w:ascii="Calibri" w:eastAsia="Calibri" w:hAnsi="Calibri" w:cs="Calibri"/>
                <w:szCs w:val="22"/>
                <w:lang w:val="en-US"/>
              </w:rPr>
              <w:t>absence</w:t>
            </w:r>
            <w:r w:rsidRPr="00CC23E1">
              <w:rPr>
                <w:rFonts w:ascii="Calibri" w:eastAsia="Calibri" w:hAnsi="Calibri" w:cs="Calibri"/>
                <w:spacing w:val="-6"/>
                <w:szCs w:val="22"/>
                <w:lang w:val="en-US"/>
              </w:rPr>
              <w:t xml:space="preserve"> </w:t>
            </w:r>
            <w:r w:rsidRPr="00CC23E1">
              <w:rPr>
                <w:rFonts w:ascii="Calibri" w:eastAsia="Calibri" w:hAnsi="Calibri" w:cs="Calibri"/>
                <w:spacing w:val="-5"/>
                <w:szCs w:val="22"/>
                <w:lang w:val="en-US"/>
              </w:rPr>
              <w:t>of</w:t>
            </w:r>
          </w:p>
        </w:tc>
        <w:tc>
          <w:tcPr>
            <w:tcW w:w="1529" w:type="dxa"/>
            <w:tcBorders>
              <w:top w:val="nil"/>
              <w:bottom w:val="nil"/>
            </w:tcBorders>
          </w:tcPr>
          <w:p w14:paraId="2642EE7F"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70C43DE6"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33879080"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r>
      <w:tr w:rsidR="002A6ACA" w:rsidRPr="00CC23E1" w14:paraId="464D5FA2" w14:textId="77777777" w:rsidTr="00A60DC7">
        <w:trPr>
          <w:tblHeader/>
        </w:trPr>
        <w:tc>
          <w:tcPr>
            <w:tcW w:w="3999" w:type="dxa"/>
            <w:tcBorders>
              <w:top w:val="nil"/>
              <w:bottom w:val="nil"/>
            </w:tcBorders>
          </w:tcPr>
          <w:p w14:paraId="2E14FCAA" w14:textId="77777777" w:rsidR="002A6ACA" w:rsidRPr="00CC23E1" w:rsidRDefault="002A6ACA" w:rsidP="00F140E7">
            <w:pPr>
              <w:widowControl w:val="0"/>
              <w:autoSpaceDE w:val="0"/>
              <w:autoSpaceDN w:val="0"/>
              <w:spacing w:after="0" w:line="249" w:lineRule="exact"/>
              <w:ind w:left="107"/>
              <w:rPr>
                <w:rFonts w:ascii="Calibri" w:eastAsia="Calibri" w:hAnsi="Calibri" w:cs="Calibri"/>
                <w:szCs w:val="22"/>
                <w:lang w:val="en-US"/>
              </w:rPr>
            </w:pPr>
            <w:r w:rsidRPr="00CC23E1">
              <w:rPr>
                <w:rFonts w:ascii="Calibri" w:eastAsia="Calibri" w:hAnsi="Calibri" w:cs="Calibri"/>
                <w:spacing w:val="-2"/>
                <w:szCs w:val="22"/>
                <w:lang w:val="en-US"/>
              </w:rPr>
              <w:t>transfusions)</w:t>
            </w:r>
          </w:p>
        </w:tc>
        <w:tc>
          <w:tcPr>
            <w:tcW w:w="1529" w:type="dxa"/>
            <w:tcBorders>
              <w:top w:val="nil"/>
              <w:bottom w:val="nil"/>
            </w:tcBorders>
          </w:tcPr>
          <w:p w14:paraId="762DC751"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55446C28"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3CF60C94"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r>
      <w:tr w:rsidR="002A6ACA" w:rsidRPr="00CC23E1" w14:paraId="59552575" w14:textId="77777777" w:rsidTr="00A60DC7">
        <w:trPr>
          <w:tblHeader/>
        </w:trPr>
        <w:tc>
          <w:tcPr>
            <w:tcW w:w="3999" w:type="dxa"/>
            <w:tcBorders>
              <w:top w:val="nil"/>
              <w:bottom w:val="nil"/>
            </w:tcBorders>
          </w:tcPr>
          <w:p w14:paraId="215AA9D6"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529" w:type="dxa"/>
            <w:tcBorders>
              <w:top w:val="nil"/>
              <w:bottom w:val="nil"/>
            </w:tcBorders>
          </w:tcPr>
          <w:p w14:paraId="2E32445F" w14:textId="77777777" w:rsidR="002A6ACA" w:rsidRPr="00CC23E1" w:rsidRDefault="002A6ACA" w:rsidP="00F140E7">
            <w:pPr>
              <w:widowControl w:val="0"/>
              <w:autoSpaceDE w:val="0"/>
              <w:autoSpaceDN w:val="0"/>
              <w:spacing w:after="0" w:line="249" w:lineRule="exact"/>
              <w:ind w:left="11" w:right="1"/>
              <w:jc w:val="center"/>
              <w:rPr>
                <w:rFonts w:ascii="Calibri" w:eastAsia="Calibri" w:hAnsi="Calibri" w:cs="Calibri"/>
                <w:szCs w:val="22"/>
                <w:lang w:val="en-US"/>
              </w:rPr>
            </w:pPr>
            <w:r w:rsidRPr="00CC23E1">
              <w:rPr>
                <w:rFonts w:ascii="Calibri" w:eastAsia="Calibri" w:hAnsi="Calibri" w:cs="Calibri"/>
                <w:spacing w:val="-4"/>
                <w:szCs w:val="22"/>
                <w:lang w:val="en-US"/>
              </w:rPr>
              <w:t>82.3</w:t>
            </w:r>
          </w:p>
        </w:tc>
        <w:tc>
          <w:tcPr>
            <w:tcW w:w="1404" w:type="dxa"/>
            <w:tcBorders>
              <w:top w:val="nil"/>
              <w:bottom w:val="nil"/>
            </w:tcBorders>
          </w:tcPr>
          <w:p w14:paraId="5975AAE1" w14:textId="77777777" w:rsidR="002A6ACA" w:rsidRPr="00CC23E1" w:rsidRDefault="002A6ACA" w:rsidP="00F140E7">
            <w:pPr>
              <w:widowControl w:val="0"/>
              <w:autoSpaceDE w:val="0"/>
              <w:autoSpaceDN w:val="0"/>
              <w:spacing w:after="0" w:line="249" w:lineRule="exact"/>
              <w:ind w:left="9"/>
              <w:jc w:val="center"/>
              <w:rPr>
                <w:rFonts w:ascii="Calibri" w:eastAsia="Calibri" w:hAnsi="Calibri" w:cs="Calibri"/>
                <w:szCs w:val="22"/>
                <w:lang w:val="en-US"/>
              </w:rPr>
            </w:pPr>
            <w:r w:rsidRPr="00CC23E1">
              <w:rPr>
                <w:rFonts w:ascii="Calibri" w:eastAsia="Calibri" w:hAnsi="Calibri" w:cs="Calibri"/>
                <w:spacing w:val="-5"/>
                <w:szCs w:val="22"/>
                <w:lang w:val="en-US"/>
              </w:rPr>
              <w:t>2.0</w:t>
            </w:r>
          </w:p>
        </w:tc>
        <w:tc>
          <w:tcPr>
            <w:tcW w:w="2141" w:type="dxa"/>
            <w:tcBorders>
              <w:top w:val="nil"/>
              <w:bottom w:val="nil"/>
            </w:tcBorders>
          </w:tcPr>
          <w:p w14:paraId="122966B0" w14:textId="77777777" w:rsidR="002A6ACA" w:rsidRPr="00CC23E1" w:rsidRDefault="002A6ACA" w:rsidP="00F140E7">
            <w:pPr>
              <w:widowControl w:val="0"/>
              <w:autoSpaceDE w:val="0"/>
              <w:autoSpaceDN w:val="0"/>
              <w:spacing w:after="0" w:line="249" w:lineRule="exact"/>
              <w:ind w:left="15" w:right="1"/>
              <w:jc w:val="center"/>
              <w:rPr>
                <w:rFonts w:ascii="Calibri" w:eastAsia="Calibri" w:hAnsi="Calibri" w:cs="Calibri"/>
                <w:szCs w:val="22"/>
                <w:lang w:val="en-US"/>
              </w:rPr>
            </w:pPr>
            <w:r w:rsidRPr="00CC23E1">
              <w:rPr>
                <w:rFonts w:ascii="Calibri" w:eastAsia="Calibri" w:hAnsi="Calibri" w:cs="Calibri"/>
                <w:spacing w:val="-4"/>
                <w:szCs w:val="22"/>
                <w:lang w:val="en-US"/>
              </w:rPr>
              <w:t>80.2</w:t>
            </w:r>
          </w:p>
        </w:tc>
      </w:tr>
      <w:tr w:rsidR="002A6ACA" w:rsidRPr="00CC23E1" w14:paraId="7B53D915" w14:textId="77777777" w:rsidTr="00A60DC7">
        <w:trPr>
          <w:tblHeader/>
        </w:trPr>
        <w:tc>
          <w:tcPr>
            <w:tcW w:w="3999" w:type="dxa"/>
            <w:tcBorders>
              <w:top w:val="nil"/>
              <w:bottom w:val="nil"/>
            </w:tcBorders>
          </w:tcPr>
          <w:p w14:paraId="328AEA32" w14:textId="77777777" w:rsidR="002A6ACA" w:rsidRPr="00CC23E1" w:rsidRDefault="002A6ACA" w:rsidP="00F140E7">
            <w:pPr>
              <w:widowControl w:val="0"/>
              <w:autoSpaceDE w:val="0"/>
              <w:autoSpaceDN w:val="0"/>
              <w:spacing w:after="0" w:line="249" w:lineRule="exact"/>
              <w:ind w:left="107"/>
              <w:rPr>
                <w:rFonts w:ascii="Calibri" w:eastAsia="Calibri" w:hAnsi="Calibri" w:cs="Calibri"/>
                <w:szCs w:val="22"/>
                <w:lang w:val="en-US"/>
              </w:rPr>
            </w:pPr>
            <w:r w:rsidRPr="00CC23E1">
              <w:rPr>
                <w:rFonts w:ascii="Calibri" w:eastAsia="Calibri" w:hAnsi="Calibri" w:cs="Calibri"/>
                <w:szCs w:val="22"/>
                <w:lang w:val="en-US"/>
              </w:rPr>
              <w:t>Response</w:t>
            </w:r>
            <w:r w:rsidRPr="00CC23E1">
              <w:rPr>
                <w:rFonts w:ascii="Calibri" w:eastAsia="Calibri" w:hAnsi="Calibri" w:cs="Calibri"/>
                <w:spacing w:val="-6"/>
                <w:szCs w:val="22"/>
                <w:lang w:val="en-US"/>
              </w:rPr>
              <w:t xml:space="preserve"> </w:t>
            </w:r>
            <w:proofErr w:type="spellStart"/>
            <w:r w:rsidRPr="00CC23E1">
              <w:rPr>
                <w:rFonts w:ascii="Calibri" w:eastAsia="Calibri" w:hAnsi="Calibri" w:cs="Calibri"/>
                <w:szCs w:val="22"/>
                <w:lang w:val="en-US"/>
              </w:rPr>
              <w:t>rate</w:t>
            </w:r>
            <w:r w:rsidRPr="00CC23E1">
              <w:rPr>
                <w:rFonts w:ascii="Calibri" w:eastAsia="Calibri" w:hAnsi="Calibri" w:cs="Calibri"/>
                <w:szCs w:val="22"/>
                <w:vertAlign w:val="superscript"/>
                <w:lang w:val="en-US"/>
              </w:rPr>
              <w:t>c</w:t>
            </w:r>
            <w:proofErr w:type="spellEnd"/>
            <w:r w:rsidRPr="00CC23E1">
              <w:rPr>
                <w:rFonts w:ascii="Calibri" w:eastAsia="Calibri" w:hAnsi="Calibri" w:cs="Calibri"/>
                <w:spacing w:val="-7"/>
                <w:szCs w:val="22"/>
                <w:lang w:val="en-US"/>
              </w:rPr>
              <w:t xml:space="preserve"> </w:t>
            </w:r>
            <w:r w:rsidRPr="00CC23E1">
              <w:rPr>
                <w:rFonts w:ascii="Calibri" w:eastAsia="Calibri" w:hAnsi="Calibri" w:cs="Calibri"/>
                <w:spacing w:val="-5"/>
                <w:szCs w:val="22"/>
                <w:lang w:val="en-US"/>
              </w:rPr>
              <w:t>(%)</w:t>
            </w:r>
          </w:p>
        </w:tc>
        <w:tc>
          <w:tcPr>
            <w:tcW w:w="1529" w:type="dxa"/>
            <w:tcBorders>
              <w:top w:val="nil"/>
              <w:bottom w:val="nil"/>
            </w:tcBorders>
          </w:tcPr>
          <w:p w14:paraId="16476133"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4B689D9F"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0773AA2B" w14:textId="77777777" w:rsidR="002A6ACA" w:rsidRPr="00CC23E1" w:rsidRDefault="002A6ACA" w:rsidP="00F140E7">
            <w:pPr>
              <w:widowControl w:val="0"/>
              <w:autoSpaceDE w:val="0"/>
              <w:autoSpaceDN w:val="0"/>
              <w:spacing w:after="0" w:line="249" w:lineRule="exact"/>
              <w:ind w:left="15" w:right="3"/>
              <w:jc w:val="center"/>
              <w:rPr>
                <w:rFonts w:ascii="Calibri" w:eastAsia="Calibri" w:hAnsi="Calibri" w:cs="Calibri"/>
                <w:szCs w:val="22"/>
                <w:lang w:val="en-US"/>
              </w:rPr>
            </w:pPr>
            <w:r w:rsidRPr="00CC23E1">
              <w:rPr>
                <w:rFonts w:ascii="Calibri" w:eastAsia="Calibri" w:hAnsi="Calibri" w:cs="Calibri"/>
                <w:szCs w:val="22"/>
                <w:lang w:val="en-US"/>
              </w:rPr>
              <w:t>(71.2,</w:t>
            </w:r>
            <w:r w:rsidRPr="00CC23E1">
              <w:rPr>
                <w:rFonts w:ascii="Calibri" w:eastAsia="Calibri" w:hAnsi="Calibri" w:cs="Calibri"/>
                <w:spacing w:val="-5"/>
                <w:szCs w:val="22"/>
                <w:lang w:val="en-US"/>
              </w:rPr>
              <w:t xml:space="preserve"> </w:t>
            </w:r>
            <w:r w:rsidRPr="00CC23E1">
              <w:rPr>
                <w:rFonts w:ascii="Calibri" w:eastAsia="Calibri" w:hAnsi="Calibri" w:cs="Calibri"/>
                <w:spacing w:val="-2"/>
                <w:szCs w:val="22"/>
                <w:lang w:val="en-US"/>
              </w:rPr>
              <w:t>87.6)</w:t>
            </w:r>
          </w:p>
        </w:tc>
      </w:tr>
      <w:tr w:rsidR="002A6ACA" w:rsidRPr="00CC23E1" w14:paraId="345C7397" w14:textId="77777777" w:rsidTr="00A60DC7">
        <w:trPr>
          <w:tblHeader/>
        </w:trPr>
        <w:tc>
          <w:tcPr>
            <w:tcW w:w="3999" w:type="dxa"/>
            <w:tcBorders>
              <w:top w:val="nil"/>
            </w:tcBorders>
          </w:tcPr>
          <w:p w14:paraId="5ABBF3F0"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529" w:type="dxa"/>
            <w:tcBorders>
              <w:top w:val="nil"/>
            </w:tcBorders>
          </w:tcPr>
          <w:p w14:paraId="778A1B05"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tcBorders>
          </w:tcPr>
          <w:p w14:paraId="083B910C"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tcBorders>
          </w:tcPr>
          <w:p w14:paraId="70382125" w14:textId="77777777" w:rsidR="002A6ACA" w:rsidRPr="00CC23E1" w:rsidRDefault="002A6ACA" w:rsidP="00F140E7">
            <w:pPr>
              <w:widowControl w:val="0"/>
              <w:autoSpaceDE w:val="0"/>
              <w:autoSpaceDN w:val="0"/>
              <w:spacing w:after="0" w:line="229" w:lineRule="exact"/>
              <w:ind w:left="15" w:right="1"/>
              <w:jc w:val="center"/>
              <w:rPr>
                <w:rFonts w:ascii="Calibri" w:eastAsia="Calibri" w:hAnsi="Calibri" w:cs="Calibri"/>
                <w:szCs w:val="22"/>
                <w:lang w:val="en-US"/>
              </w:rPr>
            </w:pPr>
            <w:r w:rsidRPr="00CC23E1">
              <w:rPr>
                <w:rFonts w:ascii="Calibri" w:eastAsia="Calibri" w:hAnsi="Calibri" w:cs="Calibri"/>
                <w:spacing w:val="-2"/>
                <w:szCs w:val="22"/>
                <w:lang w:val="en-US"/>
              </w:rPr>
              <w:t>&lt;0.0001</w:t>
            </w:r>
          </w:p>
        </w:tc>
      </w:tr>
      <w:tr w:rsidR="002A6ACA" w:rsidRPr="00CC23E1" w14:paraId="2587DFCA" w14:textId="77777777" w:rsidTr="00A60DC7">
        <w:trPr>
          <w:tblHeader/>
        </w:trPr>
        <w:tc>
          <w:tcPr>
            <w:tcW w:w="3999" w:type="dxa"/>
            <w:tcBorders>
              <w:bottom w:val="nil"/>
            </w:tcBorders>
          </w:tcPr>
          <w:p w14:paraId="59CB381A" w14:textId="77777777" w:rsidR="002A6ACA" w:rsidRPr="00CC23E1" w:rsidRDefault="002A6ACA" w:rsidP="00F140E7">
            <w:pPr>
              <w:widowControl w:val="0"/>
              <w:autoSpaceDE w:val="0"/>
              <w:autoSpaceDN w:val="0"/>
              <w:spacing w:after="0" w:line="268" w:lineRule="exact"/>
              <w:ind w:left="107"/>
              <w:rPr>
                <w:rFonts w:ascii="Calibri" w:eastAsia="Calibri" w:hAnsi="Calibri" w:cs="Calibri"/>
                <w:szCs w:val="22"/>
                <w:lang w:val="en-US"/>
              </w:rPr>
            </w:pPr>
            <w:r w:rsidRPr="00CC23E1">
              <w:rPr>
                <w:rFonts w:ascii="Calibri" w:eastAsia="Calibri" w:hAnsi="Calibri" w:cs="Calibri"/>
                <w:szCs w:val="22"/>
                <w:lang w:val="en-US"/>
              </w:rPr>
              <w:t>Number</w:t>
            </w:r>
            <w:r w:rsidRPr="00CC23E1">
              <w:rPr>
                <w:rFonts w:ascii="Calibri" w:eastAsia="Calibri" w:hAnsi="Calibri" w:cs="Calibri"/>
                <w:spacing w:val="-8"/>
                <w:szCs w:val="22"/>
                <w:lang w:val="en-US"/>
              </w:rPr>
              <w:t xml:space="preserve"> </w:t>
            </w:r>
            <w:r w:rsidRPr="00CC23E1">
              <w:rPr>
                <w:rFonts w:ascii="Calibri" w:eastAsia="Calibri" w:hAnsi="Calibri" w:cs="Calibri"/>
                <w:szCs w:val="22"/>
                <w:lang w:val="en-US"/>
              </w:rPr>
              <w:t>of</w:t>
            </w:r>
            <w:r w:rsidRPr="00CC23E1">
              <w:rPr>
                <w:rFonts w:ascii="Calibri" w:eastAsia="Calibri" w:hAnsi="Calibri" w:cs="Calibri"/>
                <w:spacing w:val="-5"/>
                <w:szCs w:val="22"/>
                <w:lang w:val="en-US"/>
              </w:rPr>
              <w:t xml:space="preserve"> </w:t>
            </w:r>
            <w:r w:rsidRPr="00CC23E1">
              <w:rPr>
                <w:rFonts w:ascii="Calibri" w:eastAsia="Calibri" w:hAnsi="Calibri" w:cs="Calibri"/>
                <w:szCs w:val="22"/>
                <w:lang w:val="en-US"/>
              </w:rPr>
              <w:t>patients</w:t>
            </w:r>
            <w:r w:rsidRPr="00CC23E1">
              <w:rPr>
                <w:rFonts w:ascii="Calibri" w:eastAsia="Calibri" w:hAnsi="Calibri" w:cs="Calibri"/>
                <w:spacing w:val="-4"/>
                <w:szCs w:val="22"/>
                <w:lang w:val="en-US"/>
              </w:rPr>
              <w:t xml:space="preserve"> </w:t>
            </w:r>
            <w:r w:rsidRPr="00CC23E1">
              <w:rPr>
                <w:rFonts w:ascii="Calibri" w:eastAsia="Calibri" w:hAnsi="Calibri" w:cs="Calibri"/>
                <w:szCs w:val="22"/>
                <w:lang w:val="en-US"/>
              </w:rPr>
              <w:t>achieving</w:t>
            </w:r>
            <w:r w:rsidRPr="00CC23E1">
              <w:rPr>
                <w:rFonts w:ascii="Calibri" w:eastAsia="Calibri" w:hAnsi="Calibri" w:cs="Calibri"/>
                <w:spacing w:val="-6"/>
                <w:szCs w:val="22"/>
                <w:lang w:val="en-US"/>
              </w:rPr>
              <w:t xml:space="preserve"> </w:t>
            </w:r>
            <w:r w:rsidRPr="00CC23E1">
              <w:rPr>
                <w:rFonts w:ascii="Calibri" w:eastAsia="Calibri" w:hAnsi="Calibri" w:cs="Calibri"/>
                <w:spacing w:val="-2"/>
                <w:szCs w:val="22"/>
                <w:lang w:val="en-US"/>
              </w:rPr>
              <w:t>sustained</w:t>
            </w:r>
          </w:p>
        </w:tc>
        <w:tc>
          <w:tcPr>
            <w:tcW w:w="1529" w:type="dxa"/>
            <w:tcBorders>
              <w:bottom w:val="nil"/>
            </w:tcBorders>
          </w:tcPr>
          <w:p w14:paraId="64342BE3" w14:textId="77777777" w:rsidR="002A6ACA" w:rsidRPr="00CC23E1" w:rsidRDefault="002A6ACA" w:rsidP="00F140E7">
            <w:pPr>
              <w:widowControl w:val="0"/>
              <w:autoSpaceDE w:val="0"/>
              <w:autoSpaceDN w:val="0"/>
              <w:spacing w:after="0" w:line="268" w:lineRule="exact"/>
              <w:ind w:left="11" w:right="3"/>
              <w:jc w:val="center"/>
              <w:rPr>
                <w:rFonts w:ascii="Calibri" w:eastAsia="Calibri" w:hAnsi="Calibri" w:cs="Calibri"/>
                <w:szCs w:val="22"/>
                <w:lang w:val="en-US"/>
              </w:rPr>
            </w:pPr>
            <w:r w:rsidRPr="00CC23E1">
              <w:rPr>
                <w:rFonts w:ascii="Calibri" w:eastAsia="Calibri" w:hAnsi="Calibri" w:cs="Calibri"/>
                <w:spacing w:val="-2"/>
                <w:szCs w:val="22"/>
                <w:lang w:val="en-US"/>
              </w:rPr>
              <w:t>42/60</w:t>
            </w:r>
            <w:r w:rsidRPr="00CC23E1">
              <w:rPr>
                <w:rFonts w:ascii="Calibri" w:eastAsia="Calibri" w:hAnsi="Calibri" w:cs="Calibri"/>
                <w:spacing w:val="-2"/>
                <w:szCs w:val="22"/>
                <w:vertAlign w:val="superscript"/>
                <w:lang w:val="en-US"/>
              </w:rPr>
              <w:t>b</w:t>
            </w:r>
          </w:p>
        </w:tc>
        <w:tc>
          <w:tcPr>
            <w:tcW w:w="1404" w:type="dxa"/>
            <w:tcBorders>
              <w:bottom w:val="nil"/>
            </w:tcBorders>
          </w:tcPr>
          <w:p w14:paraId="408499A1" w14:textId="77777777" w:rsidR="002A6ACA" w:rsidRPr="00CC23E1" w:rsidRDefault="002A6ACA" w:rsidP="00F140E7">
            <w:pPr>
              <w:widowControl w:val="0"/>
              <w:autoSpaceDE w:val="0"/>
              <w:autoSpaceDN w:val="0"/>
              <w:spacing w:after="0" w:line="268" w:lineRule="exact"/>
              <w:ind w:left="9" w:right="3"/>
              <w:jc w:val="center"/>
              <w:rPr>
                <w:rFonts w:ascii="Calibri" w:eastAsia="Calibri" w:hAnsi="Calibri" w:cs="Calibri"/>
                <w:szCs w:val="22"/>
                <w:lang w:val="en-US"/>
              </w:rPr>
            </w:pPr>
            <w:r w:rsidRPr="00CC23E1">
              <w:rPr>
                <w:rFonts w:ascii="Calibri" w:eastAsia="Calibri" w:hAnsi="Calibri" w:cs="Calibri"/>
                <w:spacing w:val="-2"/>
                <w:szCs w:val="22"/>
                <w:lang w:val="en-US"/>
              </w:rPr>
              <w:t>0/35</w:t>
            </w:r>
            <w:r w:rsidRPr="00CC23E1">
              <w:rPr>
                <w:rFonts w:ascii="Calibri" w:eastAsia="Calibri" w:hAnsi="Calibri" w:cs="Calibri"/>
                <w:spacing w:val="-2"/>
                <w:szCs w:val="22"/>
                <w:vertAlign w:val="superscript"/>
                <w:lang w:val="en-US"/>
              </w:rPr>
              <w:t>b</w:t>
            </w:r>
          </w:p>
        </w:tc>
        <w:tc>
          <w:tcPr>
            <w:tcW w:w="2141" w:type="dxa"/>
            <w:tcBorders>
              <w:bottom w:val="nil"/>
            </w:tcBorders>
          </w:tcPr>
          <w:p w14:paraId="3A067A20" w14:textId="77777777" w:rsidR="002A6ACA" w:rsidRPr="00CC23E1" w:rsidRDefault="002A6ACA" w:rsidP="00F140E7">
            <w:pPr>
              <w:widowControl w:val="0"/>
              <w:autoSpaceDE w:val="0"/>
              <w:autoSpaceDN w:val="0"/>
              <w:spacing w:after="0" w:line="240" w:lineRule="auto"/>
              <w:rPr>
                <w:rFonts w:ascii="Times New Roman" w:eastAsia="Calibri" w:hAnsi="Calibri" w:cs="Calibri"/>
                <w:sz w:val="20"/>
                <w:szCs w:val="22"/>
                <w:lang w:val="en-US"/>
              </w:rPr>
            </w:pPr>
          </w:p>
        </w:tc>
      </w:tr>
      <w:tr w:rsidR="002A6ACA" w:rsidRPr="00CC23E1" w14:paraId="019EDBBE" w14:textId="77777777" w:rsidTr="00A60DC7">
        <w:trPr>
          <w:tblHeader/>
        </w:trPr>
        <w:tc>
          <w:tcPr>
            <w:tcW w:w="3999" w:type="dxa"/>
            <w:tcBorders>
              <w:top w:val="nil"/>
              <w:bottom w:val="nil"/>
            </w:tcBorders>
          </w:tcPr>
          <w:p w14:paraId="68A10AC4" w14:textId="77777777" w:rsidR="002A6ACA" w:rsidRPr="00CC23E1" w:rsidRDefault="002A6ACA" w:rsidP="00F140E7">
            <w:pPr>
              <w:widowControl w:val="0"/>
              <w:autoSpaceDE w:val="0"/>
              <w:autoSpaceDN w:val="0"/>
              <w:spacing w:after="0" w:line="248" w:lineRule="exact"/>
              <w:ind w:left="107"/>
              <w:rPr>
                <w:rFonts w:ascii="Calibri" w:eastAsia="Calibri" w:hAnsi="Calibri" w:cs="Calibri"/>
                <w:szCs w:val="22"/>
                <w:lang w:val="en-US"/>
              </w:rPr>
            </w:pPr>
            <w:proofErr w:type="spellStart"/>
            <w:r w:rsidRPr="00CC23E1">
              <w:rPr>
                <w:rFonts w:ascii="Calibri" w:eastAsia="Calibri" w:hAnsi="Calibri" w:cs="Calibri"/>
                <w:szCs w:val="22"/>
                <w:lang w:val="en-US"/>
              </w:rPr>
              <w:t>haemoglobin</w:t>
            </w:r>
            <w:proofErr w:type="spellEnd"/>
            <w:r w:rsidRPr="00CC23E1">
              <w:rPr>
                <w:rFonts w:ascii="Calibri" w:eastAsia="Calibri" w:hAnsi="Calibri" w:cs="Calibri"/>
                <w:spacing w:val="-4"/>
                <w:szCs w:val="22"/>
                <w:lang w:val="en-US"/>
              </w:rPr>
              <w:t xml:space="preserve"> </w:t>
            </w:r>
            <w:r w:rsidRPr="00CC23E1">
              <w:rPr>
                <w:rFonts w:ascii="Calibri" w:eastAsia="Calibri" w:hAnsi="Calibri" w:cs="Calibri"/>
                <w:szCs w:val="22"/>
                <w:lang w:val="en-US"/>
              </w:rPr>
              <w:t>level</w:t>
            </w:r>
            <w:r w:rsidRPr="00CC23E1">
              <w:rPr>
                <w:rFonts w:ascii="Calibri" w:eastAsia="Calibri" w:hAnsi="Calibri" w:cs="Calibri"/>
                <w:spacing w:val="-6"/>
                <w:szCs w:val="22"/>
                <w:lang w:val="en-US"/>
              </w:rPr>
              <w:t xml:space="preserve"> </w:t>
            </w:r>
            <w:r w:rsidRPr="00CC23E1">
              <w:rPr>
                <w:rFonts w:ascii="Calibri" w:eastAsia="Calibri" w:hAnsi="Calibri" w:cs="Calibri"/>
                <w:szCs w:val="22"/>
                <w:lang w:val="en-US"/>
              </w:rPr>
              <w:t>≥12</w:t>
            </w:r>
            <w:r w:rsidRPr="00CC23E1">
              <w:rPr>
                <w:rFonts w:ascii="Calibri" w:eastAsia="Calibri" w:hAnsi="Calibri" w:cs="Calibri"/>
                <w:spacing w:val="-4"/>
                <w:szCs w:val="22"/>
                <w:lang w:val="en-US"/>
              </w:rPr>
              <w:t xml:space="preserve"> </w:t>
            </w:r>
            <w:r w:rsidRPr="00CC23E1">
              <w:rPr>
                <w:rFonts w:ascii="Calibri" w:eastAsia="Calibri" w:hAnsi="Calibri" w:cs="Calibri"/>
                <w:szCs w:val="22"/>
                <w:lang w:val="en-US"/>
              </w:rPr>
              <w:t>g/</w:t>
            </w:r>
            <w:proofErr w:type="spellStart"/>
            <w:r w:rsidRPr="00CC23E1">
              <w:rPr>
                <w:rFonts w:ascii="Calibri" w:eastAsia="Calibri" w:hAnsi="Calibri" w:cs="Calibri"/>
                <w:szCs w:val="22"/>
                <w:lang w:val="en-US"/>
              </w:rPr>
              <w:t>dL</w:t>
            </w:r>
            <w:r w:rsidRPr="00CC23E1">
              <w:rPr>
                <w:rFonts w:ascii="Calibri" w:eastAsia="Calibri" w:hAnsi="Calibri" w:cs="Calibri"/>
                <w:szCs w:val="22"/>
                <w:vertAlign w:val="superscript"/>
                <w:lang w:val="en-US"/>
              </w:rPr>
              <w:t>a</w:t>
            </w:r>
            <w:proofErr w:type="spellEnd"/>
            <w:r w:rsidRPr="00CC23E1">
              <w:rPr>
                <w:rFonts w:ascii="Calibri" w:eastAsia="Calibri" w:hAnsi="Calibri" w:cs="Calibri"/>
                <w:spacing w:val="-2"/>
                <w:szCs w:val="22"/>
                <w:lang w:val="en-US"/>
              </w:rPr>
              <w:t xml:space="preserve"> </w:t>
            </w:r>
            <w:r w:rsidRPr="00CC23E1">
              <w:rPr>
                <w:rFonts w:ascii="Calibri" w:eastAsia="Calibri" w:hAnsi="Calibri" w:cs="Calibri"/>
                <w:szCs w:val="22"/>
                <w:lang w:val="en-US"/>
              </w:rPr>
              <w:t>in</w:t>
            </w:r>
            <w:r w:rsidRPr="00CC23E1">
              <w:rPr>
                <w:rFonts w:ascii="Calibri" w:eastAsia="Calibri" w:hAnsi="Calibri" w:cs="Calibri"/>
                <w:spacing w:val="-6"/>
                <w:szCs w:val="22"/>
                <w:lang w:val="en-US"/>
              </w:rPr>
              <w:t xml:space="preserve"> </w:t>
            </w:r>
            <w:r w:rsidRPr="00CC23E1">
              <w:rPr>
                <w:rFonts w:ascii="Calibri" w:eastAsia="Calibri" w:hAnsi="Calibri" w:cs="Calibri"/>
                <w:spacing w:val="-5"/>
                <w:szCs w:val="22"/>
                <w:lang w:val="en-US"/>
              </w:rPr>
              <w:t>the</w:t>
            </w:r>
          </w:p>
        </w:tc>
        <w:tc>
          <w:tcPr>
            <w:tcW w:w="1529" w:type="dxa"/>
            <w:tcBorders>
              <w:top w:val="nil"/>
              <w:bottom w:val="nil"/>
            </w:tcBorders>
          </w:tcPr>
          <w:p w14:paraId="0526FEDD"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440C08DA"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1CBC5F40"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r>
      <w:tr w:rsidR="002A6ACA" w:rsidRPr="00CC23E1" w14:paraId="55A92AFA" w14:textId="77777777" w:rsidTr="00A60DC7">
        <w:trPr>
          <w:tblHeader/>
        </w:trPr>
        <w:tc>
          <w:tcPr>
            <w:tcW w:w="3999" w:type="dxa"/>
            <w:tcBorders>
              <w:top w:val="nil"/>
              <w:bottom w:val="nil"/>
            </w:tcBorders>
          </w:tcPr>
          <w:p w14:paraId="4660B20F" w14:textId="77777777" w:rsidR="002A6ACA" w:rsidRPr="00CC23E1" w:rsidRDefault="002A6ACA" w:rsidP="00F140E7">
            <w:pPr>
              <w:widowControl w:val="0"/>
              <w:autoSpaceDE w:val="0"/>
              <w:autoSpaceDN w:val="0"/>
              <w:spacing w:after="0" w:line="247" w:lineRule="exact"/>
              <w:ind w:left="107"/>
              <w:rPr>
                <w:rFonts w:ascii="Calibri" w:eastAsia="Calibri" w:hAnsi="Calibri" w:cs="Calibri"/>
                <w:szCs w:val="22"/>
                <w:lang w:val="en-US"/>
              </w:rPr>
            </w:pPr>
            <w:r w:rsidRPr="00CC23E1">
              <w:rPr>
                <w:rFonts w:ascii="Calibri" w:eastAsia="Calibri" w:hAnsi="Calibri" w:cs="Calibri"/>
                <w:szCs w:val="22"/>
                <w:lang w:val="en-US"/>
              </w:rPr>
              <w:t>absence</w:t>
            </w:r>
            <w:r w:rsidRPr="00CC23E1">
              <w:rPr>
                <w:rFonts w:ascii="Calibri" w:eastAsia="Calibri" w:hAnsi="Calibri" w:cs="Calibri"/>
                <w:spacing w:val="-3"/>
                <w:szCs w:val="22"/>
                <w:lang w:val="en-US"/>
              </w:rPr>
              <w:t xml:space="preserve"> </w:t>
            </w:r>
            <w:r w:rsidRPr="00CC23E1">
              <w:rPr>
                <w:rFonts w:ascii="Calibri" w:eastAsia="Calibri" w:hAnsi="Calibri" w:cs="Calibri"/>
                <w:szCs w:val="22"/>
                <w:lang w:val="en-US"/>
              </w:rPr>
              <w:t xml:space="preserve">of </w:t>
            </w:r>
            <w:r w:rsidRPr="00CC23E1">
              <w:rPr>
                <w:rFonts w:ascii="Calibri" w:eastAsia="Calibri" w:hAnsi="Calibri" w:cs="Calibri"/>
                <w:spacing w:val="-2"/>
                <w:szCs w:val="22"/>
                <w:lang w:val="en-US"/>
              </w:rPr>
              <w:t>transfusions</w:t>
            </w:r>
          </w:p>
        </w:tc>
        <w:tc>
          <w:tcPr>
            <w:tcW w:w="1529" w:type="dxa"/>
            <w:tcBorders>
              <w:top w:val="nil"/>
              <w:bottom w:val="nil"/>
            </w:tcBorders>
          </w:tcPr>
          <w:p w14:paraId="069BBF79" w14:textId="77777777" w:rsidR="002A6ACA" w:rsidRPr="00CC23E1" w:rsidRDefault="002A6ACA" w:rsidP="00F140E7">
            <w:pPr>
              <w:widowControl w:val="0"/>
              <w:autoSpaceDE w:val="0"/>
              <w:autoSpaceDN w:val="0"/>
              <w:spacing w:after="0" w:line="240" w:lineRule="auto"/>
              <w:rPr>
                <w:rFonts w:ascii="Times New Roman" w:eastAsia="Calibri" w:hAnsi="Calibri" w:cs="Calibri"/>
                <w:szCs w:val="22"/>
                <w:lang w:val="en-US"/>
              </w:rPr>
            </w:pPr>
          </w:p>
        </w:tc>
        <w:tc>
          <w:tcPr>
            <w:tcW w:w="1404" w:type="dxa"/>
            <w:tcBorders>
              <w:top w:val="nil"/>
              <w:bottom w:val="nil"/>
            </w:tcBorders>
          </w:tcPr>
          <w:p w14:paraId="200D319E" w14:textId="77777777" w:rsidR="002A6ACA" w:rsidRPr="00CC23E1" w:rsidRDefault="002A6ACA" w:rsidP="00F140E7">
            <w:pPr>
              <w:widowControl w:val="0"/>
              <w:autoSpaceDE w:val="0"/>
              <w:autoSpaceDN w:val="0"/>
              <w:spacing w:after="0" w:line="240" w:lineRule="auto"/>
              <w:rPr>
                <w:rFonts w:ascii="Times New Roman" w:eastAsia="Calibri" w:hAnsi="Calibri" w:cs="Calibri"/>
                <w:szCs w:val="22"/>
                <w:lang w:val="en-US"/>
              </w:rPr>
            </w:pPr>
          </w:p>
        </w:tc>
        <w:tc>
          <w:tcPr>
            <w:tcW w:w="2141" w:type="dxa"/>
            <w:tcBorders>
              <w:top w:val="nil"/>
              <w:bottom w:val="nil"/>
            </w:tcBorders>
          </w:tcPr>
          <w:p w14:paraId="353537C4" w14:textId="77777777" w:rsidR="002A6ACA" w:rsidRPr="00CC23E1" w:rsidRDefault="002A6ACA" w:rsidP="00F140E7">
            <w:pPr>
              <w:widowControl w:val="0"/>
              <w:autoSpaceDE w:val="0"/>
              <w:autoSpaceDN w:val="0"/>
              <w:spacing w:after="0" w:line="240" w:lineRule="auto"/>
              <w:rPr>
                <w:rFonts w:ascii="Times New Roman" w:eastAsia="Calibri" w:hAnsi="Calibri" w:cs="Calibri"/>
                <w:szCs w:val="22"/>
                <w:lang w:val="en-US"/>
              </w:rPr>
            </w:pPr>
          </w:p>
        </w:tc>
      </w:tr>
      <w:tr w:rsidR="002A6ACA" w:rsidRPr="00CC23E1" w14:paraId="5F607761" w14:textId="77777777" w:rsidTr="00A60DC7">
        <w:trPr>
          <w:tblHeader/>
        </w:trPr>
        <w:tc>
          <w:tcPr>
            <w:tcW w:w="3999" w:type="dxa"/>
            <w:tcBorders>
              <w:top w:val="nil"/>
              <w:bottom w:val="nil"/>
            </w:tcBorders>
          </w:tcPr>
          <w:p w14:paraId="55E28B51" w14:textId="77777777" w:rsidR="002A6ACA" w:rsidRPr="00CC23E1" w:rsidRDefault="002A6ACA" w:rsidP="00F140E7">
            <w:pPr>
              <w:widowControl w:val="0"/>
              <w:autoSpaceDE w:val="0"/>
              <w:autoSpaceDN w:val="0"/>
              <w:spacing w:before="115" w:after="0" w:line="240" w:lineRule="auto"/>
              <w:ind w:left="107"/>
              <w:rPr>
                <w:rFonts w:ascii="Calibri" w:eastAsia="Calibri" w:hAnsi="Calibri" w:cs="Calibri"/>
                <w:szCs w:val="22"/>
                <w:lang w:val="en-US"/>
              </w:rPr>
            </w:pPr>
            <w:r w:rsidRPr="00CC23E1">
              <w:rPr>
                <w:rFonts w:ascii="Calibri" w:eastAsia="Calibri" w:hAnsi="Calibri" w:cs="Calibri"/>
                <w:szCs w:val="22"/>
                <w:lang w:val="en-US"/>
              </w:rPr>
              <w:t>Response</w:t>
            </w:r>
            <w:r w:rsidRPr="00CC23E1">
              <w:rPr>
                <w:rFonts w:ascii="Calibri" w:eastAsia="Calibri" w:hAnsi="Calibri" w:cs="Calibri"/>
                <w:spacing w:val="-6"/>
                <w:szCs w:val="22"/>
                <w:lang w:val="en-US"/>
              </w:rPr>
              <w:t xml:space="preserve"> </w:t>
            </w:r>
            <w:proofErr w:type="spellStart"/>
            <w:r w:rsidRPr="00CC23E1">
              <w:rPr>
                <w:rFonts w:ascii="Calibri" w:eastAsia="Calibri" w:hAnsi="Calibri" w:cs="Calibri"/>
                <w:szCs w:val="22"/>
                <w:lang w:val="en-US"/>
              </w:rPr>
              <w:t>rate</w:t>
            </w:r>
            <w:r w:rsidRPr="00CC23E1">
              <w:rPr>
                <w:rFonts w:ascii="Calibri" w:eastAsia="Calibri" w:hAnsi="Calibri" w:cs="Calibri"/>
                <w:szCs w:val="22"/>
                <w:vertAlign w:val="superscript"/>
                <w:lang w:val="en-US"/>
              </w:rPr>
              <w:t>c</w:t>
            </w:r>
            <w:proofErr w:type="spellEnd"/>
            <w:r w:rsidRPr="00CC23E1">
              <w:rPr>
                <w:rFonts w:ascii="Calibri" w:eastAsia="Calibri" w:hAnsi="Calibri" w:cs="Calibri"/>
                <w:spacing w:val="-7"/>
                <w:szCs w:val="22"/>
                <w:lang w:val="en-US"/>
              </w:rPr>
              <w:t xml:space="preserve"> </w:t>
            </w:r>
            <w:r w:rsidRPr="00CC23E1">
              <w:rPr>
                <w:rFonts w:ascii="Calibri" w:eastAsia="Calibri" w:hAnsi="Calibri" w:cs="Calibri"/>
                <w:spacing w:val="-5"/>
                <w:szCs w:val="22"/>
                <w:lang w:val="en-US"/>
              </w:rPr>
              <w:t>(%)</w:t>
            </w:r>
          </w:p>
        </w:tc>
        <w:tc>
          <w:tcPr>
            <w:tcW w:w="1529" w:type="dxa"/>
            <w:tcBorders>
              <w:top w:val="nil"/>
              <w:bottom w:val="nil"/>
            </w:tcBorders>
          </w:tcPr>
          <w:p w14:paraId="6F077BBD" w14:textId="77777777" w:rsidR="002A6ACA" w:rsidRPr="00CC23E1" w:rsidRDefault="002A6ACA" w:rsidP="00F140E7">
            <w:pPr>
              <w:widowControl w:val="0"/>
              <w:autoSpaceDE w:val="0"/>
              <w:autoSpaceDN w:val="0"/>
              <w:spacing w:before="115" w:after="0" w:line="240" w:lineRule="auto"/>
              <w:ind w:left="11" w:right="1"/>
              <w:jc w:val="center"/>
              <w:rPr>
                <w:rFonts w:ascii="Calibri" w:eastAsia="Calibri" w:hAnsi="Calibri" w:cs="Calibri"/>
                <w:szCs w:val="22"/>
                <w:lang w:val="en-US"/>
              </w:rPr>
            </w:pPr>
            <w:r w:rsidRPr="00CC23E1">
              <w:rPr>
                <w:rFonts w:ascii="Calibri" w:eastAsia="Calibri" w:hAnsi="Calibri" w:cs="Calibri"/>
                <w:spacing w:val="-4"/>
                <w:szCs w:val="22"/>
                <w:lang w:val="en-US"/>
              </w:rPr>
              <w:t>68.8</w:t>
            </w:r>
          </w:p>
        </w:tc>
        <w:tc>
          <w:tcPr>
            <w:tcW w:w="1404" w:type="dxa"/>
            <w:tcBorders>
              <w:top w:val="nil"/>
              <w:bottom w:val="nil"/>
            </w:tcBorders>
          </w:tcPr>
          <w:p w14:paraId="0D22EF49" w14:textId="77777777" w:rsidR="002A6ACA" w:rsidRPr="00CC23E1" w:rsidRDefault="002A6ACA" w:rsidP="00F140E7">
            <w:pPr>
              <w:widowControl w:val="0"/>
              <w:autoSpaceDE w:val="0"/>
              <w:autoSpaceDN w:val="0"/>
              <w:spacing w:before="115" w:after="0" w:line="240" w:lineRule="auto"/>
              <w:ind w:left="9"/>
              <w:jc w:val="center"/>
              <w:rPr>
                <w:rFonts w:ascii="Calibri" w:eastAsia="Calibri" w:hAnsi="Calibri" w:cs="Calibri"/>
                <w:szCs w:val="22"/>
                <w:lang w:val="en-US"/>
              </w:rPr>
            </w:pPr>
            <w:r w:rsidRPr="00CC23E1">
              <w:rPr>
                <w:rFonts w:ascii="Calibri" w:eastAsia="Calibri" w:hAnsi="Calibri" w:cs="Calibri"/>
                <w:spacing w:val="-5"/>
                <w:szCs w:val="22"/>
                <w:lang w:val="en-US"/>
              </w:rPr>
              <w:t>1.8</w:t>
            </w:r>
          </w:p>
        </w:tc>
        <w:tc>
          <w:tcPr>
            <w:tcW w:w="2141" w:type="dxa"/>
            <w:tcBorders>
              <w:top w:val="nil"/>
              <w:bottom w:val="nil"/>
            </w:tcBorders>
          </w:tcPr>
          <w:p w14:paraId="10426D1C" w14:textId="77777777" w:rsidR="002A6ACA" w:rsidRPr="00CC23E1" w:rsidRDefault="002A6ACA" w:rsidP="00F140E7">
            <w:pPr>
              <w:widowControl w:val="0"/>
              <w:autoSpaceDE w:val="0"/>
              <w:autoSpaceDN w:val="0"/>
              <w:spacing w:before="115" w:after="0" w:line="240" w:lineRule="auto"/>
              <w:ind w:left="15" w:right="1"/>
              <w:jc w:val="center"/>
              <w:rPr>
                <w:rFonts w:ascii="Calibri" w:eastAsia="Calibri" w:hAnsi="Calibri" w:cs="Calibri"/>
                <w:szCs w:val="22"/>
                <w:lang w:val="en-US"/>
              </w:rPr>
            </w:pPr>
            <w:r w:rsidRPr="00CC23E1">
              <w:rPr>
                <w:rFonts w:ascii="Calibri" w:eastAsia="Calibri" w:hAnsi="Calibri" w:cs="Calibri"/>
                <w:spacing w:val="-4"/>
                <w:szCs w:val="22"/>
                <w:lang w:val="en-US"/>
              </w:rPr>
              <w:t>67.0</w:t>
            </w:r>
          </w:p>
        </w:tc>
      </w:tr>
      <w:tr w:rsidR="002A6ACA" w:rsidRPr="00CC23E1" w14:paraId="52C7C2C3" w14:textId="77777777" w:rsidTr="00A60DC7">
        <w:trPr>
          <w:tblHeader/>
        </w:trPr>
        <w:tc>
          <w:tcPr>
            <w:tcW w:w="3999" w:type="dxa"/>
            <w:tcBorders>
              <w:top w:val="nil"/>
              <w:bottom w:val="nil"/>
            </w:tcBorders>
          </w:tcPr>
          <w:p w14:paraId="12D0A486"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529" w:type="dxa"/>
            <w:tcBorders>
              <w:top w:val="nil"/>
              <w:bottom w:val="nil"/>
            </w:tcBorders>
          </w:tcPr>
          <w:p w14:paraId="69446BD0"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00E9012E"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05DEE36F" w14:textId="77777777" w:rsidR="002A6ACA" w:rsidRPr="00CC23E1" w:rsidRDefault="002A6ACA" w:rsidP="00F140E7">
            <w:pPr>
              <w:widowControl w:val="0"/>
              <w:autoSpaceDE w:val="0"/>
              <w:autoSpaceDN w:val="0"/>
              <w:spacing w:after="0" w:line="249" w:lineRule="exact"/>
              <w:ind w:left="15" w:right="3"/>
              <w:jc w:val="center"/>
              <w:rPr>
                <w:rFonts w:ascii="Calibri" w:eastAsia="Calibri" w:hAnsi="Calibri" w:cs="Calibri"/>
                <w:szCs w:val="22"/>
                <w:lang w:val="en-US"/>
              </w:rPr>
            </w:pPr>
            <w:r w:rsidRPr="00CC23E1">
              <w:rPr>
                <w:rFonts w:ascii="Calibri" w:eastAsia="Calibri" w:hAnsi="Calibri" w:cs="Calibri"/>
                <w:szCs w:val="22"/>
                <w:lang w:val="en-US"/>
              </w:rPr>
              <w:t>(56.4,</w:t>
            </w:r>
            <w:r w:rsidRPr="00CC23E1">
              <w:rPr>
                <w:rFonts w:ascii="Calibri" w:eastAsia="Calibri" w:hAnsi="Calibri" w:cs="Calibri"/>
                <w:spacing w:val="-5"/>
                <w:szCs w:val="22"/>
                <w:lang w:val="en-US"/>
              </w:rPr>
              <w:t xml:space="preserve"> </w:t>
            </w:r>
            <w:r w:rsidRPr="00CC23E1">
              <w:rPr>
                <w:rFonts w:ascii="Calibri" w:eastAsia="Calibri" w:hAnsi="Calibri" w:cs="Calibri"/>
                <w:spacing w:val="-2"/>
                <w:szCs w:val="22"/>
                <w:lang w:val="en-US"/>
              </w:rPr>
              <w:t>76.9)</w:t>
            </w:r>
          </w:p>
        </w:tc>
      </w:tr>
      <w:tr w:rsidR="002A6ACA" w:rsidRPr="00CC23E1" w14:paraId="67990411" w14:textId="77777777" w:rsidTr="00A60DC7">
        <w:trPr>
          <w:tblHeader/>
        </w:trPr>
        <w:tc>
          <w:tcPr>
            <w:tcW w:w="3999" w:type="dxa"/>
            <w:tcBorders>
              <w:top w:val="nil"/>
            </w:tcBorders>
          </w:tcPr>
          <w:p w14:paraId="548782F8"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529" w:type="dxa"/>
            <w:tcBorders>
              <w:top w:val="nil"/>
            </w:tcBorders>
          </w:tcPr>
          <w:p w14:paraId="6DB853A9"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tcBorders>
          </w:tcPr>
          <w:p w14:paraId="536E65FE"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tcBorders>
          </w:tcPr>
          <w:p w14:paraId="4D4B94D1" w14:textId="77777777" w:rsidR="002A6ACA" w:rsidRPr="00CC23E1" w:rsidRDefault="002A6ACA" w:rsidP="00F140E7">
            <w:pPr>
              <w:widowControl w:val="0"/>
              <w:autoSpaceDE w:val="0"/>
              <w:autoSpaceDN w:val="0"/>
              <w:spacing w:after="0" w:line="229" w:lineRule="exact"/>
              <w:ind w:left="15" w:right="1"/>
              <w:jc w:val="center"/>
              <w:rPr>
                <w:rFonts w:ascii="Calibri" w:eastAsia="Calibri" w:hAnsi="Calibri" w:cs="Calibri"/>
                <w:szCs w:val="22"/>
                <w:lang w:val="en-US"/>
              </w:rPr>
            </w:pPr>
            <w:r w:rsidRPr="00CC23E1">
              <w:rPr>
                <w:rFonts w:ascii="Calibri" w:eastAsia="Calibri" w:hAnsi="Calibri" w:cs="Calibri"/>
                <w:spacing w:val="-2"/>
                <w:szCs w:val="22"/>
                <w:lang w:val="en-US"/>
              </w:rPr>
              <w:t>&lt;0.0001</w:t>
            </w:r>
          </w:p>
        </w:tc>
      </w:tr>
      <w:tr w:rsidR="002A6ACA" w:rsidRPr="00CC23E1" w14:paraId="09B29A23" w14:textId="77777777" w:rsidTr="00A60DC7">
        <w:trPr>
          <w:tblHeader/>
        </w:trPr>
        <w:tc>
          <w:tcPr>
            <w:tcW w:w="9073" w:type="dxa"/>
            <w:gridSpan w:val="4"/>
          </w:tcPr>
          <w:p w14:paraId="743E00D3" w14:textId="77777777" w:rsidR="002A6ACA" w:rsidRPr="00CC23E1" w:rsidRDefault="002A6ACA" w:rsidP="00F140E7">
            <w:pPr>
              <w:widowControl w:val="0"/>
              <w:autoSpaceDE w:val="0"/>
              <w:autoSpaceDN w:val="0"/>
              <w:spacing w:after="0" w:line="248" w:lineRule="exact"/>
              <w:ind w:left="107"/>
              <w:rPr>
                <w:rFonts w:ascii="Calibri" w:eastAsia="Calibri" w:hAnsi="Calibri" w:cs="Calibri"/>
                <w:b/>
                <w:szCs w:val="22"/>
                <w:lang w:val="en-US"/>
              </w:rPr>
            </w:pPr>
            <w:r w:rsidRPr="00CC23E1">
              <w:rPr>
                <w:rFonts w:ascii="Calibri" w:eastAsia="Calibri" w:hAnsi="Calibri" w:cs="Calibri"/>
                <w:b/>
                <w:szCs w:val="22"/>
                <w:lang w:val="en-US"/>
              </w:rPr>
              <w:t>Secondary</w:t>
            </w:r>
            <w:r w:rsidRPr="00CC23E1">
              <w:rPr>
                <w:rFonts w:ascii="Calibri" w:eastAsia="Calibri" w:hAnsi="Calibri" w:cs="Calibri"/>
                <w:b/>
                <w:spacing w:val="-6"/>
                <w:szCs w:val="22"/>
                <w:lang w:val="en-US"/>
              </w:rPr>
              <w:t xml:space="preserve"> </w:t>
            </w:r>
            <w:r w:rsidRPr="00CC23E1">
              <w:rPr>
                <w:rFonts w:ascii="Calibri" w:eastAsia="Calibri" w:hAnsi="Calibri" w:cs="Calibri"/>
                <w:b/>
                <w:spacing w:val="-2"/>
                <w:szCs w:val="22"/>
                <w:lang w:val="en-US"/>
              </w:rPr>
              <w:t>endpoints</w:t>
            </w:r>
          </w:p>
        </w:tc>
      </w:tr>
      <w:tr w:rsidR="002A6ACA" w:rsidRPr="00CC23E1" w14:paraId="47144297" w14:textId="77777777" w:rsidTr="00A60DC7">
        <w:trPr>
          <w:tblHeader/>
        </w:trPr>
        <w:tc>
          <w:tcPr>
            <w:tcW w:w="3999" w:type="dxa"/>
            <w:tcBorders>
              <w:bottom w:val="nil"/>
            </w:tcBorders>
          </w:tcPr>
          <w:p w14:paraId="23CFF161" w14:textId="77777777" w:rsidR="002A6ACA" w:rsidRPr="00CC23E1" w:rsidRDefault="002A6ACA" w:rsidP="00F140E7">
            <w:pPr>
              <w:widowControl w:val="0"/>
              <w:autoSpaceDE w:val="0"/>
              <w:autoSpaceDN w:val="0"/>
              <w:spacing w:after="0" w:line="268" w:lineRule="exact"/>
              <w:ind w:left="107"/>
              <w:rPr>
                <w:rFonts w:ascii="Calibri" w:eastAsia="Calibri" w:hAnsi="Calibri" w:cs="Calibri"/>
                <w:szCs w:val="22"/>
                <w:lang w:val="en-US"/>
              </w:rPr>
            </w:pPr>
            <w:r w:rsidRPr="00CC23E1">
              <w:rPr>
                <w:rFonts w:ascii="Calibri" w:eastAsia="Calibri" w:hAnsi="Calibri" w:cs="Calibri"/>
                <w:szCs w:val="22"/>
                <w:lang w:val="en-US"/>
              </w:rPr>
              <w:t>Number</w:t>
            </w:r>
            <w:r w:rsidRPr="00CC23E1">
              <w:rPr>
                <w:rFonts w:ascii="Calibri" w:eastAsia="Calibri" w:hAnsi="Calibri" w:cs="Calibri"/>
                <w:spacing w:val="-6"/>
                <w:szCs w:val="22"/>
                <w:lang w:val="en-US"/>
              </w:rPr>
              <w:t xml:space="preserve"> </w:t>
            </w:r>
            <w:r w:rsidRPr="00CC23E1">
              <w:rPr>
                <w:rFonts w:ascii="Calibri" w:eastAsia="Calibri" w:hAnsi="Calibri" w:cs="Calibri"/>
                <w:szCs w:val="22"/>
                <w:lang w:val="en-US"/>
              </w:rPr>
              <w:t>of</w:t>
            </w:r>
            <w:r w:rsidRPr="00CC23E1">
              <w:rPr>
                <w:rFonts w:ascii="Calibri" w:eastAsia="Calibri" w:hAnsi="Calibri" w:cs="Calibri"/>
                <w:spacing w:val="-4"/>
                <w:szCs w:val="22"/>
                <w:lang w:val="en-US"/>
              </w:rPr>
              <w:t xml:space="preserve"> </w:t>
            </w:r>
            <w:r w:rsidRPr="00CC23E1">
              <w:rPr>
                <w:rFonts w:ascii="Calibri" w:eastAsia="Calibri" w:hAnsi="Calibri" w:cs="Calibri"/>
                <w:szCs w:val="22"/>
                <w:lang w:val="en-US"/>
              </w:rPr>
              <w:t>patients</w:t>
            </w:r>
            <w:r w:rsidRPr="00CC23E1">
              <w:rPr>
                <w:rFonts w:ascii="Calibri" w:eastAsia="Calibri" w:hAnsi="Calibri" w:cs="Calibri"/>
                <w:spacing w:val="-3"/>
                <w:szCs w:val="22"/>
                <w:lang w:val="en-US"/>
              </w:rPr>
              <w:t xml:space="preserve"> </w:t>
            </w:r>
            <w:r w:rsidRPr="00CC23E1">
              <w:rPr>
                <w:rFonts w:ascii="Calibri" w:eastAsia="Calibri" w:hAnsi="Calibri" w:cs="Calibri"/>
                <w:spacing w:val="-2"/>
                <w:szCs w:val="22"/>
                <w:lang w:val="en-US"/>
              </w:rPr>
              <w:t>avoiding</w:t>
            </w:r>
          </w:p>
        </w:tc>
        <w:tc>
          <w:tcPr>
            <w:tcW w:w="1529" w:type="dxa"/>
            <w:tcBorders>
              <w:bottom w:val="nil"/>
            </w:tcBorders>
          </w:tcPr>
          <w:p w14:paraId="7B6BE6B5" w14:textId="77777777" w:rsidR="002A6ACA" w:rsidRPr="00CC23E1" w:rsidRDefault="002A6ACA" w:rsidP="00F140E7">
            <w:pPr>
              <w:widowControl w:val="0"/>
              <w:autoSpaceDE w:val="0"/>
              <w:autoSpaceDN w:val="0"/>
              <w:spacing w:after="0" w:line="268" w:lineRule="exact"/>
              <w:ind w:left="11" w:right="3"/>
              <w:jc w:val="center"/>
              <w:rPr>
                <w:rFonts w:ascii="Calibri" w:eastAsia="Calibri" w:hAnsi="Calibri" w:cs="Calibri"/>
                <w:szCs w:val="22"/>
                <w:lang w:val="en-US"/>
              </w:rPr>
            </w:pPr>
            <w:r w:rsidRPr="00CC23E1">
              <w:rPr>
                <w:rFonts w:ascii="Calibri" w:eastAsia="Calibri" w:hAnsi="Calibri" w:cs="Calibri"/>
                <w:spacing w:val="-2"/>
                <w:szCs w:val="22"/>
                <w:lang w:val="en-US"/>
              </w:rPr>
              <w:t>59/62</w:t>
            </w:r>
            <w:r w:rsidRPr="00CC23E1">
              <w:rPr>
                <w:rFonts w:ascii="Calibri" w:eastAsia="Calibri" w:hAnsi="Calibri" w:cs="Calibri"/>
                <w:spacing w:val="-2"/>
                <w:szCs w:val="22"/>
                <w:vertAlign w:val="superscript"/>
                <w:lang w:val="en-US"/>
              </w:rPr>
              <w:t>b</w:t>
            </w:r>
          </w:p>
        </w:tc>
        <w:tc>
          <w:tcPr>
            <w:tcW w:w="1404" w:type="dxa"/>
            <w:tcBorders>
              <w:bottom w:val="nil"/>
            </w:tcBorders>
          </w:tcPr>
          <w:p w14:paraId="757EB11A" w14:textId="77777777" w:rsidR="002A6ACA" w:rsidRPr="00CC23E1" w:rsidRDefault="002A6ACA" w:rsidP="00F140E7">
            <w:pPr>
              <w:widowControl w:val="0"/>
              <w:autoSpaceDE w:val="0"/>
              <w:autoSpaceDN w:val="0"/>
              <w:spacing w:after="0" w:line="268" w:lineRule="exact"/>
              <w:ind w:left="9" w:right="1"/>
              <w:jc w:val="center"/>
              <w:rPr>
                <w:rFonts w:ascii="Calibri" w:eastAsia="Calibri" w:hAnsi="Calibri" w:cs="Calibri"/>
                <w:szCs w:val="22"/>
                <w:lang w:val="en-US"/>
              </w:rPr>
            </w:pPr>
            <w:r w:rsidRPr="00CC23E1">
              <w:rPr>
                <w:rFonts w:ascii="Calibri" w:eastAsia="Calibri" w:hAnsi="Calibri" w:cs="Calibri"/>
                <w:spacing w:val="-2"/>
                <w:szCs w:val="22"/>
                <w:lang w:val="en-US"/>
              </w:rPr>
              <w:t>14/35</w:t>
            </w:r>
            <w:r w:rsidRPr="00CC23E1">
              <w:rPr>
                <w:rFonts w:ascii="Calibri" w:eastAsia="Calibri" w:hAnsi="Calibri" w:cs="Calibri"/>
                <w:spacing w:val="-2"/>
                <w:szCs w:val="22"/>
                <w:vertAlign w:val="superscript"/>
                <w:lang w:val="en-US"/>
              </w:rPr>
              <w:t>b</w:t>
            </w:r>
          </w:p>
        </w:tc>
        <w:tc>
          <w:tcPr>
            <w:tcW w:w="2141" w:type="dxa"/>
            <w:tcBorders>
              <w:bottom w:val="nil"/>
            </w:tcBorders>
          </w:tcPr>
          <w:p w14:paraId="185D1C52" w14:textId="77777777" w:rsidR="002A6ACA" w:rsidRPr="00CC23E1" w:rsidRDefault="002A6ACA" w:rsidP="00F140E7">
            <w:pPr>
              <w:widowControl w:val="0"/>
              <w:autoSpaceDE w:val="0"/>
              <w:autoSpaceDN w:val="0"/>
              <w:spacing w:after="0" w:line="240" w:lineRule="auto"/>
              <w:rPr>
                <w:rFonts w:ascii="Times New Roman" w:eastAsia="Calibri" w:hAnsi="Calibri" w:cs="Calibri"/>
                <w:sz w:val="20"/>
                <w:szCs w:val="22"/>
                <w:lang w:val="en-US"/>
              </w:rPr>
            </w:pPr>
          </w:p>
        </w:tc>
      </w:tr>
      <w:tr w:rsidR="002A6ACA" w:rsidRPr="00CC23E1" w14:paraId="4ED6D93A" w14:textId="77777777" w:rsidTr="00A60DC7">
        <w:trPr>
          <w:tblHeader/>
        </w:trPr>
        <w:tc>
          <w:tcPr>
            <w:tcW w:w="3999" w:type="dxa"/>
            <w:tcBorders>
              <w:top w:val="nil"/>
              <w:bottom w:val="nil"/>
            </w:tcBorders>
          </w:tcPr>
          <w:p w14:paraId="6F4B7BA9" w14:textId="77777777" w:rsidR="002A6ACA" w:rsidRPr="00CC23E1" w:rsidRDefault="002A6ACA" w:rsidP="00F140E7">
            <w:pPr>
              <w:widowControl w:val="0"/>
              <w:autoSpaceDE w:val="0"/>
              <w:autoSpaceDN w:val="0"/>
              <w:spacing w:after="0" w:line="249" w:lineRule="exact"/>
              <w:ind w:left="107"/>
              <w:rPr>
                <w:rFonts w:ascii="Calibri" w:eastAsia="Calibri" w:hAnsi="Calibri" w:cs="Calibri"/>
                <w:szCs w:val="22"/>
                <w:lang w:val="en-US"/>
              </w:rPr>
            </w:pPr>
            <w:proofErr w:type="spellStart"/>
            <w:proofErr w:type="gramStart"/>
            <w:r w:rsidRPr="00CC23E1">
              <w:rPr>
                <w:rFonts w:ascii="Calibri" w:eastAsia="Calibri" w:hAnsi="Calibri" w:cs="Calibri"/>
                <w:spacing w:val="-2"/>
                <w:szCs w:val="22"/>
                <w:lang w:val="en-US"/>
              </w:rPr>
              <w:t>transfusion</w:t>
            </w:r>
            <w:r w:rsidRPr="00CC23E1">
              <w:rPr>
                <w:rFonts w:ascii="Calibri" w:eastAsia="Calibri" w:hAnsi="Calibri" w:cs="Calibri"/>
                <w:spacing w:val="-2"/>
                <w:szCs w:val="22"/>
                <w:vertAlign w:val="superscript"/>
                <w:lang w:val="en-US"/>
              </w:rPr>
              <w:t>d,e</w:t>
            </w:r>
            <w:proofErr w:type="spellEnd"/>
            <w:proofErr w:type="gramEnd"/>
          </w:p>
        </w:tc>
        <w:tc>
          <w:tcPr>
            <w:tcW w:w="1529" w:type="dxa"/>
            <w:tcBorders>
              <w:top w:val="nil"/>
              <w:bottom w:val="nil"/>
            </w:tcBorders>
          </w:tcPr>
          <w:p w14:paraId="3DD3F64F"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079D0E8B"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2F4395CE"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r>
      <w:tr w:rsidR="002A6ACA" w:rsidRPr="00CC23E1" w14:paraId="504EF4BA" w14:textId="77777777" w:rsidTr="00A60DC7">
        <w:trPr>
          <w:tblHeader/>
        </w:trPr>
        <w:tc>
          <w:tcPr>
            <w:tcW w:w="3999" w:type="dxa"/>
            <w:tcBorders>
              <w:top w:val="nil"/>
              <w:bottom w:val="nil"/>
            </w:tcBorders>
          </w:tcPr>
          <w:p w14:paraId="2358544C"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529" w:type="dxa"/>
            <w:tcBorders>
              <w:top w:val="nil"/>
              <w:bottom w:val="nil"/>
            </w:tcBorders>
          </w:tcPr>
          <w:p w14:paraId="0EA6B35D" w14:textId="77777777" w:rsidR="002A6ACA" w:rsidRPr="00CC23E1" w:rsidRDefault="002A6ACA" w:rsidP="00F140E7">
            <w:pPr>
              <w:widowControl w:val="0"/>
              <w:autoSpaceDE w:val="0"/>
              <w:autoSpaceDN w:val="0"/>
              <w:spacing w:after="0" w:line="249" w:lineRule="exact"/>
              <w:ind w:left="11" w:right="1"/>
              <w:jc w:val="center"/>
              <w:rPr>
                <w:rFonts w:ascii="Calibri" w:eastAsia="Calibri" w:hAnsi="Calibri" w:cs="Calibri"/>
                <w:szCs w:val="22"/>
                <w:lang w:val="en-US"/>
              </w:rPr>
            </w:pPr>
            <w:r w:rsidRPr="00CC23E1">
              <w:rPr>
                <w:rFonts w:ascii="Calibri" w:eastAsia="Calibri" w:hAnsi="Calibri" w:cs="Calibri"/>
                <w:spacing w:val="-4"/>
                <w:szCs w:val="22"/>
                <w:lang w:val="en-US"/>
              </w:rPr>
              <w:t>94.8</w:t>
            </w:r>
          </w:p>
        </w:tc>
        <w:tc>
          <w:tcPr>
            <w:tcW w:w="1404" w:type="dxa"/>
            <w:tcBorders>
              <w:top w:val="nil"/>
              <w:bottom w:val="nil"/>
            </w:tcBorders>
          </w:tcPr>
          <w:p w14:paraId="2C3BC2C4" w14:textId="77777777" w:rsidR="002A6ACA" w:rsidRPr="00CC23E1" w:rsidRDefault="002A6ACA" w:rsidP="00F140E7">
            <w:pPr>
              <w:widowControl w:val="0"/>
              <w:autoSpaceDE w:val="0"/>
              <w:autoSpaceDN w:val="0"/>
              <w:spacing w:after="0" w:line="249" w:lineRule="exact"/>
              <w:ind w:left="9" w:right="3"/>
              <w:jc w:val="center"/>
              <w:rPr>
                <w:rFonts w:ascii="Calibri" w:eastAsia="Calibri" w:hAnsi="Calibri" w:cs="Calibri"/>
                <w:szCs w:val="22"/>
                <w:lang w:val="en-US"/>
              </w:rPr>
            </w:pPr>
            <w:r w:rsidRPr="00CC23E1">
              <w:rPr>
                <w:rFonts w:ascii="Calibri" w:eastAsia="Calibri" w:hAnsi="Calibri" w:cs="Calibri"/>
                <w:spacing w:val="-4"/>
                <w:szCs w:val="22"/>
                <w:lang w:val="en-US"/>
              </w:rPr>
              <w:t>25.9</w:t>
            </w:r>
          </w:p>
        </w:tc>
        <w:tc>
          <w:tcPr>
            <w:tcW w:w="2141" w:type="dxa"/>
            <w:tcBorders>
              <w:top w:val="nil"/>
              <w:bottom w:val="nil"/>
            </w:tcBorders>
          </w:tcPr>
          <w:p w14:paraId="0BAB93BA" w14:textId="77777777" w:rsidR="002A6ACA" w:rsidRPr="00CC23E1" w:rsidRDefault="002A6ACA" w:rsidP="00F140E7">
            <w:pPr>
              <w:widowControl w:val="0"/>
              <w:autoSpaceDE w:val="0"/>
              <w:autoSpaceDN w:val="0"/>
              <w:spacing w:after="0" w:line="249" w:lineRule="exact"/>
              <w:ind w:left="15" w:right="1"/>
              <w:jc w:val="center"/>
              <w:rPr>
                <w:rFonts w:ascii="Calibri" w:eastAsia="Calibri" w:hAnsi="Calibri" w:cs="Calibri"/>
                <w:szCs w:val="22"/>
                <w:lang w:val="en-US"/>
              </w:rPr>
            </w:pPr>
            <w:r w:rsidRPr="00CC23E1">
              <w:rPr>
                <w:rFonts w:ascii="Calibri" w:eastAsia="Calibri" w:hAnsi="Calibri" w:cs="Calibri"/>
                <w:spacing w:val="-4"/>
                <w:szCs w:val="22"/>
                <w:lang w:val="en-US"/>
              </w:rPr>
              <w:t>68.9</w:t>
            </w:r>
          </w:p>
        </w:tc>
      </w:tr>
      <w:tr w:rsidR="002A6ACA" w:rsidRPr="00CC23E1" w14:paraId="23F0DC39" w14:textId="77777777" w:rsidTr="00A60DC7">
        <w:trPr>
          <w:tblHeader/>
        </w:trPr>
        <w:tc>
          <w:tcPr>
            <w:tcW w:w="3999" w:type="dxa"/>
            <w:tcBorders>
              <w:top w:val="nil"/>
              <w:bottom w:val="nil"/>
            </w:tcBorders>
          </w:tcPr>
          <w:p w14:paraId="000F5938" w14:textId="77777777" w:rsidR="002A6ACA" w:rsidRPr="00CC23E1" w:rsidRDefault="002A6ACA" w:rsidP="00F140E7">
            <w:pPr>
              <w:widowControl w:val="0"/>
              <w:autoSpaceDE w:val="0"/>
              <w:autoSpaceDN w:val="0"/>
              <w:spacing w:after="0" w:line="249" w:lineRule="exact"/>
              <w:ind w:left="107"/>
              <w:rPr>
                <w:rFonts w:ascii="Calibri" w:eastAsia="Calibri" w:hAnsi="Calibri" w:cs="Calibri"/>
                <w:szCs w:val="22"/>
                <w:lang w:val="en-US"/>
              </w:rPr>
            </w:pPr>
            <w:r w:rsidRPr="00CC23E1">
              <w:rPr>
                <w:rFonts w:ascii="Calibri" w:eastAsia="Calibri" w:hAnsi="Calibri" w:cs="Calibri"/>
                <w:szCs w:val="22"/>
                <w:lang w:val="en-US"/>
              </w:rPr>
              <w:t>Transfusion</w:t>
            </w:r>
            <w:r w:rsidRPr="00CC23E1">
              <w:rPr>
                <w:rFonts w:ascii="Calibri" w:eastAsia="Calibri" w:hAnsi="Calibri" w:cs="Calibri"/>
                <w:spacing w:val="-8"/>
                <w:szCs w:val="22"/>
                <w:lang w:val="en-US"/>
              </w:rPr>
              <w:t xml:space="preserve"> </w:t>
            </w:r>
            <w:r w:rsidRPr="00CC23E1">
              <w:rPr>
                <w:rFonts w:ascii="Calibri" w:eastAsia="Calibri" w:hAnsi="Calibri" w:cs="Calibri"/>
                <w:szCs w:val="22"/>
                <w:lang w:val="en-US"/>
              </w:rPr>
              <w:t>avoidance</w:t>
            </w:r>
            <w:r w:rsidRPr="00CC23E1">
              <w:rPr>
                <w:rFonts w:ascii="Calibri" w:eastAsia="Calibri" w:hAnsi="Calibri" w:cs="Calibri"/>
                <w:spacing w:val="-7"/>
                <w:szCs w:val="22"/>
                <w:lang w:val="en-US"/>
              </w:rPr>
              <w:t xml:space="preserve"> </w:t>
            </w:r>
            <w:proofErr w:type="spellStart"/>
            <w:r w:rsidRPr="00CC23E1">
              <w:rPr>
                <w:rFonts w:ascii="Calibri" w:eastAsia="Calibri" w:hAnsi="Calibri" w:cs="Calibri"/>
                <w:szCs w:val="22"/>
                <w:lang w:val="en-US"/>
              </w:rPr>
              <w:t>rate</w:t>
            </w:r>
            <w:r w:rsidRPr="00CC23E1">
              <w:rPr>
                <w:rFonts w:ascii="Calibri" w:eastAsia="Calibri" w:hAnsi="Calibri" w:cs="Calibri"/>
                <w:szCs w:val="22"/>
                <w:vertAlign w:val="superscript"/>
                <w:lang w:val="en-US"/>
              </w:rPr>
              <w:t>c</w:t>
            </w:r>
            <w:proofErr w:type="spellEnd"/>
            <w:r w:rsidRPr="00CC23E1">
              <w:rPr>
                <w:rFonts w:ascii="Calibri" w:eastAsia="Calibri" w:hAnsi="Calibri" w:cs="Calibri"/>
                <w:spacing w:val="-6"/>
                <w:szCs w:val="22"/>
                <w:lang w:val="en-US"/>
              </w:rPr>
              <w:t xml:space="preserve"> </w:t>
            </w:r>
            <w:r w:rsidRPr="00CC23E1">
              <w:rPr>
                <w:rFonts w:ascii="Calibri" w:eastAsia="Calibri" w:hAnsi="Calibri" w:cs="Calibri"/>
                <w:spacing w:val="-5"/>
                <w:szCs w:val="22"/>
                <w:lang w:val="en-US"/>
              </w:rPr>
              <w:t>(%)</w:t>
            </w:r>
          </w:p>
        </w:tc>
        <w:tc>
          <w:tcPr>
            <w:tcW w:w="1529" w:type="dxa"/>
            <w:tcBorders>
              <w:top w:val="nil"/>
              <w:bottom w:val="nil"/>
            </w:tcBorders>
          </w:tcPr>
          <w:p w14:paraId="67DE5E0E"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58CB3F70"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084D98F0" w14:textId="77777777" w:rsidR="002A6ACA" w:rsidRPr="00CC23E1" w:rsidRDefault="002A6ACA" w:rsidP="00F140E7">
            <w:pPr>
              <w:widowControl w:val="0"/>
              <w:autoSpaceDE w:val="0"/>
              <w:autoSpaceDN w:val="0"/>
              <w:spacing w:after="0" w:line="249" w:lineRule="exact"/>
              <w:ind w:left="15" w:right="3"/>
              <w:jc w:val="center"/>
              <w:rPr>
                <w:rFonts w:ascii="Calibri" w:eastAsia="Calibri" w:hAnsi="Calibri" w:cs="Calibri"/>
                <w:szCs w:val="22"/>
                <w:lang w:val="en-US"/>
              </w:rPr>
            </w:pPr>
            <w:r w:rsidRPr="00CC23E1">
              <w:rPr>
                <w:rFonts w:ascii="Calibri" w:eastAsia="Calibri" w:hAnsi="Calibri" w:cs="Calibri"/>
                <w:szCs w:val="22"/>
                <w:lang w:val="en-US"/>
              </w:rPr>
              <w:t>(51.4,</w:t>
            </w:r>
            <w:r w:rsidRPr="00CC23E1">
              <w:rPr>
                <w:rFonts w:ascii="Calibri" w:eastAsia="Calibri" w:hAnsi="Calibri" w:cs="Calibri"/>
                <w:spacing w:val="-4"/>
                <w:szCs w:val="22"/>
                <w:lang w:val="en-US"/>
              </w:rPr>
              <w:t xml:space="preserve"> </w:t>
            </w:r>
            <w:r w:rsidRPr="00CC23E1">
              <w:rPr>
                <w:rFonts w:ascii="Calibri" w:eastAsia="Calibri" w:hAnsi="Calibri" w:cs="Calibri"/>
                <w:spacing w:val="-2"/>
                <w:szCs w:val="22"/>
                <w:lang w:val="en-US"/>
              </w:rPr>
              <w:t>83.9)</w:t>
            </w:r>
          </w:p>
        </w:tc>
      </w:tr>
      <w:tr w:rsidR="002A6ACA" w:rsidRPr="00CC23E1" w14:paraId="71042A6E" w14:textId="77777777" w:rsidTr="00A60DC7">
        <w:trPr>
          <w:tblHeader/>
        </w:trPr>
        <w:tc>
          <w:tcPr>
            <w:tcW w:w="3999" w:type="dxa"/>
            <w:tcBorders>
              <w:top w:val="nil"/>
            </w:tcBorders>
          </w:tcPr>
          <w:p w14:paraId="6A3D308D"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529" w:type="dxa"/>
            <w:tcBorders>
              <w:top w:val="nil"/>
            </w:tcBorders>
          </w:tcPr>
          <w:p w14:paraId="487C73C1"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tcBorders>
          </w:tcPr>
          <w:p w14:paraId="6971877B" w14:textId="77777777" w:rsidR="002A6ACA" w:rsidRPr="00CC23E1" w:rsidRDefault="002A6ACA"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tcBorders>
          </w:tcPr>
          <w:p w14:paraId="436767C1" w14:textId="77777777" w:rsidR="002A6ACA" w:rsidRPr="00CC23E1" w:rsidRDefault="002A6ACA" w:rsidP="00F140E7">
            <w:pPr>
              <w:widowControl w:val="0"/>
              <w:autoSpaceDE w:val="0"/>
              <w:autoSpaceDN w:val="0"/>
              <w:spacing w:after="0" w:line="229" w:lineRule="exact"/>
              <w:ind w:left="15" w:right="1"/>
              <w:jc w:val="center"/>
              <w:rPr>
                <w:rFonts w:ascii="Calibri" w:eastAsia="Calibri" w:hAnsi="Calibri" w:cs="Calibri"/>
                <w:szCs w:val="22"/>
                <w:lang w:val="en-US"/>
              </w:rPr>
            </w:pPr>
            <w:r w:rsidRPr="00CC23E1">
              <w:rPr>
                <w:rFonts w:ascii="Calibri" w:eastAsia="Calibri" w:hAnsi="Calibri" w:cs="Calibri"/>
                <w:spacing w:val="-2"/>
                <w:szCs w:val="22"/>
                <w:lang w:val="en-US"/>
              </w:rPr>
              <w:t>&lt;0.0001</w:t>
            </w:r>
          </w:p>
        </w:tc>
      </w:tr>
      <w:tr w:rsidR="002A6ACA" w:rsidRPr="00CC23E1" w14:paraId="33550651" w14:textId="77777777" w:rsidTr="00A60DC7">
        <w:trPr>
          <w:tblHeader/>
        </w:trPr>
        <w:tc>
          <w:tcPr>
            <w:tcW w:w="3999" w:type="dxa"/>
          </w:tcPr>
          <w:p w14:paraId="47DCBD90" w14:textId="77777777" w:rsidR="002A6ACA" w:rsidRPr="00CC23E1" w:rsidRDefault="002A6ACA" w:rsidP="00F140E7">
            <w:pPr>
              <w:widowControl w:val="0"/>
              <w:autoSpaceDE w:val="0"/>
              <w:autoSpaceDN w:val="0"/>
              <w:spacing w:after="0" w:line="240" w:lineRule="auto"/>
              <w:ind w:left="107"/>
              <w:rPr>
                <w:rFonts w:ascii="Calibri" w:eastAsia="Calibri" w:hAnsi="Calibri" w:cs="Calibri"/>
                <w:szCs w:val="22"/>
                <w:lang w:val="en-US"/>
              </w:rPr>
            </w:pPr>
            <w:r w:rsidRPr="00CC23E1">
              <w:rPr>
                <w:rFonts w:ascii="Calibri" w:eastAsia="Calibri" w:hAnsi="Calibri" w:cs="Calibri"/>
                <w:szCs w:val="22"/>
                <w:lang w:val="en-US"/>
              </w:rPr>
              <w:t>Haemoglobin</w:t>
            </w:r>
            <w:r w:rsidRPr="00CC23E1">
              <w:rPr>
                <w:rFonts w:ascii="Calibri" w:eastAsia="Calibri" w:hAnsi="Calibri" w:cs="Calibri"/>
                <w:spacing w:val="-8"/>
                <w:szCs w:val="22"/>
                <w:lang w:val="en-US"/>
              </w:rPr>
              <w:t xml:space="preserve"> </w:t>
            </w:r>
            <w:r w:rsidRPr="00CC23E1">
              <w:rPr>
                <w:rFonts w:ascii="Calibri" w:eastAsia="Calibri" w:hAnsi="Calibri" w:cs="Calibri"/>
                <w:szCs w:val="22"/>
                <w:lang w:val="en-US"/>
              </w:rPr>
              <w:t>level</w:t>
            </w:r>
            <w:r w:rsidRPr="00CC23E1">
              <w:rPr>
                <w:rFonts w:ascii="Calibri" w:eastAsia="Calibri" w:hAnsi="Calibri" w:cs="Calibri"/>
                <w:spacing w:val="-10"/>
                <w:szCs w:val="22"/>
                <w:lang w:val="en-US"/>
              </w:rPr>
              <w:t xml:space="preserve"> </w:t>
            </w:r>
            <w:r w:rsidRPr="00CC23E1">
              <w:rPr>
                <w:rFonts w:ascii="Calibri" w:eastAsia="Calibri" w:hAnsi="Calibri" w:cs="Calibri"/>
                <w:szCs w:val="22"/>
                <w:lang w:val="en-US"/>
              </w:rPr>
              <w:t>change</w:t>
            </w:r>
            <w:r w:rsidRPr="00CC23E1">
              <w:rPr>
                <w:rFonts w:ascii="Calibri" w:eastAsia="Calibri" w:hAnsi="Calibri" w:cs="Calibri"/>
                <w:spacing w:val="-10"/>
                <w:szCs w:val="22"/>
                <w:lang w:val="en-US"/>
              </w:rPr>
              <w:t xml:space="preserve"> </w:t>
            </w:r>
            <w:r w:rsidRPr="00CC23E1">
              <w:rPr>
                <w:rFonts w:ascii="Calibri" w:eastAsia="Calibri" w:hAnsi="Calibri" w:cs="Calibri"/>
                <w:szCs w:val="22"/>
                <w:lang w:val="en-US"/>
              </w:rPr>
              <w:t>from</w:t>
            </w:r>
            <w:r w:rsidRPr="00CC23E1">
              <w:rPr>
                <w:rFonts w:ascii="Calibri" w:eastAsia="Calibri" w:hAnsi="Calibri" w:cs="Calibri"/>
                <w:spacing w:val="-10"/>
                <w:szCs w:val="22"/>
                <w:lang w:val="en-US"/>
              </w:rPr>
              <w:t xml:space="preserve"> </w:t>
            </w:r>
            <w:r w:rsidRPr="00CC23E1">
              <w:rPr>
                <w:rFonts w:ascii="Calibri" w:eastAsia="Calibri" w:hAnsi="Calibri" w:cs="Calibri"/>
                <w:szCs w:val="22"/>
                <w:lang w:val="en-US"/>
              </w:rPr>
              <w:t xml:space="preserve">baseline (g/dL) (adjusted </w:t>
            </w:r>
            <w:proofErr w:type="spellStart"/>
            <w:r w:rsidRPr="00CC23E1">
              <w:rPr>
                <w:rFonts w:ascii="Calibri" w:eastAsia="Calibri" w:hAnsi="Calibri" w:cs="Calibri"/>
                <w:szCs w:val="22"/>
                <w:lang w:val="en-US"/>
              </w:rPr>
              <w:t>mean</w:t>
            </w:r>
            <w:r w:rsidRPr="00CC23E1">
              <w:rPr>
                <w:rFonts w:ascii="Calibri" w:eastAsia="Calibri" w:hAnsi="Calibri" w:cs="Calibri"/>
                <w:szCs w:val="22"/>
                <w:vertAlign w:val="superscript"/>
                <w:lang w:val="en-US"/>
              </w:rPr>
              <w:t>f</w:t>
            </w:r>
            <w:proofErr w:type="spellEnd"/>
            <w:r w:rsidRPr="00CC23E1">
              <w:rPr>
                <w:rFonts w:ascii="Calibri" w:eastAsia="Calibri" w:hAnsi="Calibri" w:cs="Calibri"/>
                <w:szCs w:val="22"/>
                <w:lang w:val="en-US"/>
              </w:rPr>
              <w:t>)</w:t>
            </w:r>
          </w:p>
        </w:tc>
        <w:tc>
          <w:tcPr>
            <w:tcW w:w="1529" w:type="dxa"/>
          </w:tcPr>
          <w:p w14:paraId="7A612409" w14:textId="77777777" w:rsidR="002A6ACA" w:rsidRPr="00CC23E1" w:rsidRDefault="002A6ACA" w:rsidP="00F140E7">
            <w:pPr>
              <w:widowControl w:val="0"/>
              <w:autoSpaceDE w:val="0"/>
              <w:autoSpaceDN w:val="0"/>
              <w:spacing w:after="0" w:line="268" w:lineRule="exact"/>
              <w:ind w:left="11" w:right="1"/>
              <w:jc w:val="center"/>
              <w:rPr>
                <w:rFonts w:ascii="Calibri" w:eastAsia="Calibri" w:hAnsi="Calibri" w:cs="Calibri"/>
                <w:szCs w:val="22"/>
                <w:lang w:val="en-US"/>
              </w:rPr>
            </w:pPr>
            <w:r w:rsidRPr="00CC23E1">
              <w:rPr>
                <w:rFonts w:ascii="Calibri" w:eastAsia="Calibri" w:hAnsi="Calibri" w:cs="Calibri"/>
                <w:spacing w:val="-4"/>
                <w:szCs w:val="22"/>
                <w:lang w:val="en-US"/>
              </w:rPr>
              <w:t>3.60</w:t>
            </w:r>
          </w:p>
        </w:tc>
        <w:tc>
          <w:tcPr>
            <w:tcW w:w="1404" w:type="dxa"/>
          </w:tcPr>
          <w:p w14:paraId="7BB06E98" w14:textId="77777777" w:rsidR="002A6ACA" w:rsidRPr="00CC23E1" w:rsidRDefault="002A6ACA" w:rsidP="00F140E7">
            <w:pPr>
              <w:widowControl w:val="0"/>
              <w:autoSpaceDE w:val="0"/>
              <w:autoSpaceDN w:val="0"/>
              <w:spacing w:after="0" w:line="268" w:lineRule="exact"/>
              <w:ind w:left="9" w:right="2"/>
              <w:jc w:val="center"/>
              <w:rPr>
                <w:rFonts w:ascii="Calibri" w:eastAsia="Calibri" w:hAnsi="Calibri" w:cs="Calibri"/>
                <w:szCs w:val="22"/>
                <w:lang w:val="en-US"/>
              </w:rPr>
            </w:pPr>
            <w:r w:rsidRPr="00CC23E1">
              <w:rPr>
                <w:rFonts w:ascii="Calibri" w:eastAsia="Calibri" w:hAnsi="Calibri" w:cs="Calibri"/>
                <w:spacing w:val="-2"/>
                <w:szCs w:val="22"/>
                <w:lang w:val="en-US"/>
              </w:rPr>
              <w:t>-</w:t>
            </w:r>
            <w:r w:rsidRPr="00CC23E1">
              <w:rPr>
                <w:rFonts w:ascii="Calibri" w:eastAsia="Calibri" w:hAnsi="Calibri" w:cs="Calibri"/>
                <w:spacing w:val="-4"/>
                <w:szCs w:val="22"/>
                <w:lang w:val="en-US"/>
              </w:rPr>
              <w:t>0.06</w:t>
            </w:r>
          </w:p>
        </w:tc>
        <w:tc>
          <w:tcPr>
            <w:tcW w:w="2141" w:type="dxa"/>
          </w:tcPr>
          <w:p w14:paraId="3A8FAAD7" w14:textId="77777777" w:rsidR="002A6ACA" w:rsidRPr="00CC23E1" w:rsidRDefault="002A6ACA" w:rsidP="00F140E7">
            <w:pPr>
              <w:widowControl w:val="0"/>
              <w:autoSpaceDE w:val="0"/>
              <w:autoSpaceDN w:val="0"/>
              <w:spacing w:after="0" w:line="268" w:lineRule="exact"/>
              <w:ind w:left="15"/>
              <w:jc w:val="center"/>
              <w:rPr>
                <w:rFonts w:ascii="Calibri" w:eastAsia="Calibri" w:hAnsi="Calibri" w:cs="Calibri"/>
                <w:szCs w:val="22"/>
                <w:lang w:val="en-US"/>
              </w:rPr>
            </w:pPr>
            <w:r w:rsidRPr="00CC23E1">
              <w:rPr>
                <w:rFonts w:ascii="Calibri" w:eastAsia="Calibri" w:hAnsi="Calibri" w:cs="Calibri"/>
                <w:spacing w:val="-4"/>
                <w:szCs w:val="22"/>
                <w:lang w:val="en-US"/>
              </w:rPr>
              <w:t>3.66</w:t>
            </w:r>
          </w:p>
          <w:p w14:paraId="3499CA0E" w14:textId="77777777" w:rsidR="002A6ACA" w:rsidRPr="00CC23E1" w:rsidRDefault="002A6ACA" w:rsidP="00F140E7">
            <w:pPr>
              <w:widowControl w:val="0"/>
              <w:autoSpaceDE w:val="0"/>
              <w:autoSpaceDN w:val="0"/>
              <w:spacing w:after="0" w:line="240" w:lineRule="auto"/>
              <w:ind w:left="15" w:right="3"/>
              <w:jc w:val="center"/>
              <w:rPr>
                <w:rFonts w:ascii="Calibri" w:eastAsia="Calibri" w:hAnsi="Calibri" w:cs="Calibri"/>
                <w:szCs w:val="22"/>
                <w:lang w:val="en-US"/>
              </w:rPr>
            </w:pPr>
            <w:r w:rsidRPr="00CC23E1">
              <w:rPr>
                <w:rFonts w:ascii="Calibri" w:eastAsia="Calibri" w:hAnsi="Calibri" w:cs="Calibri"/>
                <w:szCs w:val="22"/>
                <w:lang w:val="en-US"/>
              </w:rPr>
              <w:t>(3.20,</w:t>
            </w:r>
            <w:r w:rsidRPr="00CC23E1">
              <w:rPr>
                <w:rFonts w:ascii="Calibri" w:eastAsia="Calibri" w:hAnsi="Calibri" w:cs="Calibri"/>
                <w:spacing w:val="-5"/>
                <w:szCs w:val="22"/>
                <w:lang w:val="en-US"/>
              </w:rPr>
              <w:t xml:space="preserve"> </w:t>
            </w:r>
            <w:r w:rsidRPr="00CC23E1">
              <w:rPr>
                <w:rFonts w:ascii="Calibri" w:eastAsia="Calibri" w:hAnsi="Calibri" w:cs="Calibri"/>
                <w:spacing w:val="-2"/>
                <w:szCs w:val="22"/>
                <w:lang w:val="en-US"/>
              </w:rPr>
              <w:t>4.12)</w:t>
            </w:r>
          </w:p>
          <w:p w14:paraId="0AE94DA9" w14:textId="77777777" w:rsidR="002A6ACA" w:rsidRPr="00CC23E1" w:rsidRDefault="002A6ACA" w:rsidP="00F140E7">
            <w:pPr>
              <w:widowControl w:val="0"/>
              <w:autoSpaceDE w:val="0"/>
              <w:autoSpaceDN w:val="0"/>
              <w:spacing w:after="0" w:line="249" w:lineRule="exact"/>
              <w:ind w:left="15" w:right="1"/>
              <w:jc w:val="center"/>
              <w:rPr>
                <w:rFonts w:ascii="Calibri" w:eastAsia="Calibri" w:hAnsi="Calibri" w:cs="Calibri"/>
                <w:szCs w:val="22"/>
                <w:lang w:val="en-US"/>
              </w:rPr>
            </w:pPr>
            <w:r w:rsidRPr="00CC23E1">
              <w:rPr>
                <w:rFonts w:ascii="Calibri" w:eastAsia="Calibri" w:hAnsi="Calibri" w:cs="Calibri"/>
                <w:spacing w:val="-2"/>
                <w:szCs w:val="22"/>
                <w:lang w:val="en-US"/>
              </w:rPr>
              <w:t>&lt;0.0001</w:t>
            </w:r>
          </w:p>
        </w:tc>
      </w:tr>
      <w:tr w:rsidR="002A6ACA" w:rsidRPr="00CC23E1" w14:paraId="28A31316" w14:textId="77777777" w:rsidTr="00A60DC7">
        <w:trPr>
          <w:tblHeader/>
        </w:trPr>
        <w:tc>
          <w:tcPr>
            <w:tcW w:w="3999" w:type="dxa"/>
          </w:tcPr>
          <w:p w14:paraId="5FE0148F" w14:textId="77777777" w:rsidR="002A6ACA" w:rsidRPr="00CC23E1" w:rsidRDefault="002A6ACA" w:rsidP="00F140E7">
            <w:pPr>
              <w:widowControl w:val="0"/>
              <w:autoSpaceDE w:val="0"/>
              <w:autoSpaceDN w:val="0"/>
              <w:spacing w:after="0" w:line="240" w:lineRule="auto"/>
              <w:ind w:left="107"/>
              <w:rPr>
                <w:rFonts w:ascii="Calibri" w:eastAsia="Calibri" w:hAnsi="Calibri" w:cs="Calibri"/>
                <w:szCs w:val="22"/>
                <w:lang w:val="en-US"/>
              </w:rPr>
            </w:pPr>
            <w:r w:rsidRPr="00CC23E1">
              <w:rPr>
                <w:rFonts w:ascii="Calibri" w:eastAsia="Calibri" w:hAnsi="Calibri" w:cs="Calibri"/>
                <w:szCs w:val="22"/>
                <w:lang w:val="en-US"/>
              </w:rPr>
              <w:t>FACIT-Fatigue</w:t>
            </w:r>
            <w:r w:rsidRPr="00CC23E1">
              <w:rPr>
                <w:rFonts w:ascii="Calibri" w:eastAsia="Calibri" w:hAnsi="Calibri" w:cs="Calibri"/>
                <w:spacing w:val="-9"/>
                <w:szCs w:val="22"/>
                <w:lang w:val="en-US"/>
              </w:rPr>
              <w:t xml:space="preserve"> </w:t>
            </w:r>
            <w:r w:rsidRPr="00CC23E1">
              <w:rPr>
                <w:rFonts w:ascii="Calibri" w:eastAsia="Calibri" w:hAnsi="Calibri" w:cs="Calibri"/>
                <w:szCs w:val="22"/>
                <w:lang w:val="en-US"/>
              </w:rPr>
              <w:t>score</w:t>
            </w:r>
            <w:r w:rsidRPr="00CC23E1">
              <w:rPr>
                <w:rFonts w:ascii="Calibri" w:eastAsia="Calibri" w:hAnsi="Calibri" w:cs="Calibri"/>
                <w:spacing w:val="-11"/>
                <w:szCs w:val="22"/>
                <w:lang w:val="en-US"/>
              </w:rPr>
              <w:t xml:space="preserve"> </w:t>
            </w:r>
            <w:proofErr w:type="gramStart"/>
            <w:r w:rsidRPr="00CC23E1">
              <w:rPr>
                <w:rFonts w:ascii="Calibri" w:eastAsia="Calibri" w:hAnsi="Calibri" w:cs="Calibri"/>
                <w:szCs w:val="22"/>
                <w:lang w:val="en-US"/>
              </w:rPr>
              <w:t>change</w:t>
            </w:r>
            <w:proofErr w:type="gramEnd"/>
            <w:r w:rsidRPr="00CC23E1">
              <w:rPr>
                <w:rFonts w:ascii="Calibri" w:eastAsia="Calibri" w:hAnsi="Calibri" w:cs="Calibri"/>
                <w:spacing w:val="-9"/>
                <w:szCs w:val="22"/>
                <w:lang w:val="en-US"/>
              </w:rPr>
              <w:t xml:space="preserve"> </w:t>
            </w:r>
            <w:r w:rsidRPr="00CC23E1">
              <w:rPr>
                <w:rFonts w:ascii="Calibri" w:eastAsia="Calibri" w:hAnsi="Calibri" w:cs="Calibri"/>
                <w:szCs w:val="22"/>
                <w:lang w:val="en-US"/>
              </w:rPr>
              <w:t>from</w:t>
            </w:r>
            <w:r w:rsidRPr="00CC23E1">
              <w:rPr>
                <w:rFonts w:ascii="Calibri" w:eastAsia="Calibri" w:hAnsi="Calibri" w:cs="Calibri"/>
                <w:spacing w:val="-8"/>
                <w:szCs w:val="22"/>
                <w:lang w:val="en-US"/>
              </w:rPr>
              <w:t xml:space="preserve"> </w:t>
            </w:r>
            <w:r w:rsidRPr="00CC23E1">
              <w:rPr>
                <w:rFonts w:ascii="Calibri" w:eastAsia="Calibri" w:hAnsi="Calibri" w:cs="Calibri"/>
                <w:szCs w:val="22"/>
                <w:lang w:val="en-US"/>
              </w:rPr>
              <w:t xml:space="preserve">baseline (adjusted </w:t>
            </w:r>
            <w:proofErr w:type="spellStart"/>
            <w:r w:rsidRPr="00CC23E1">
              <w:rPr>
                <w:rFonts w:ascii="Calibri" w:eastAsia="Calibri" w:hAnsi="Calibri" w:cs="Calibri"/>
                <w:szCs w:val="22"/>
                <w:lang w:val="en-US"/>
              </w:rPr>
              <w:t>mean</w:t>
            </w:r>
            <w:r w:rsidRPr="00CC23E1">
              <w:rPr>
                <w:rFonts w:ascii="Calibri" w:eastAsia="Calibri" w:hAnsi="Calibri" w:cs="Calibri"/>
                <w:szCs w:val="22"/>
                <w:vertAlign w:val="superscript"/>
                <w:lang w:val="en-US"/>
              </w:rPr>
              <w:t>g</w:t>
            </w:r>
            <w:proofErr w:type="spellEnd"/>
            <w:r w:rsidRPr="00CC23E1">
              <w:rPr>
                <w:rFonts w:ascii="Calibri" w:eastAsia="Calibri" w:hAnsi="Calibri" w:cs="Calibri"/>
                <w:szCs w:val="22"/>
                <w:lang w:val="en-US"/>
              </w:rPr>
              <w:t>)</w:t>
            </w:r>
          </w:p>
        </w:tc>
        <w:tc>
          <w:tcPr>
            <w:tcW w:w="1529" w:type="dxa"/>
          </w:tcPr>
          <w:p w14:paraId="3281A890" w14:textId="77777777" w:rsidR="002A6ACA" w:rsidRPr="00CC23E1" w:rsidRDefault="002A6ACA" w:rsidP="00F140E7">
            <w:pPr>
              <w:widowControl w:val="0"/>
              <w:autoSpaceDE w:val="0"/>
              <w:autoSpaceDN w:val="0"/>
              <w:spacing w:after="0" w:line="268" w:lineRule="exact"/>
              <w:ind w:left="11" w:right="1"/>
              <w:jc w:val="center"/>
              <w:rPr>
                <w:rFonts w:ascii="Calibri" w:eastAsia="Calibri" w:hAnsi="Calibri" w:cs="Calibri"/>
                <w:szCs w:val="22"/>
                <w:lang w:val="en-US"/>
              </w:rPr>
            </w:pPr>
            <w:r w:rsidRPr="00CC23E1">
              <w:rPr>
                <w:rFonts w:ascii="Calibri" w:eastAsia="Calibri" w:hAnsi="Calibri" w:cs="Calibri"/>
                <w:spacing w:val="-4"/>
                <w:szCs w:val="22"/>
                <w:lang w:val="en-US"/>
              </w:rPr>
              <w:t>8.59</w:t>
            </w:r>
          </w:p>
        </w:tc>
        <w:tc>
          <w:tcPr>
            <w:tcW w:w="1404" w:type="dxa"/>
          </w:tcPr>
          <w:p w14:paraId="332C6465" w14:textId="77777777" w:rsidR="002A6ACA" w:rsidRPr="00CC23E1" w:rsidRDefault="002A6ACA" w:rsidP="00F140E7">
            <w:pPr>
              <w:widowControl w:val="0"/>
              <w:autoSpaceDE w:val="0"/>
              <w:autoSpaceDN w:val="0"/>
              <w:spacing w:after="0" w:line="268" w:lineRule="exact"/>
              <w:ind w:left="9" w:right="3"/>
              <w:jc w:val="center"/>
              <w:rPr>
                <w:rFonts w:ascii="Calibri" w:eastAsia="Calibri" w:hAnsi="Calibri" w:cs="Calibri"/>
                <w:szCs w:val="22"/>
                <w:lang w:val="en-US"/>
              </w:rPr>
            </w:pPr>
            <w:r w:rsidRPr="00CC23E1">
              <w:rPr>
                <w:rFonts w:ascii="Calibri" w:eastAsia="Calibri" w:hAnsi="Calibri" w:cs="Calibri"/>
                <w:spacing w:val="-4"/>
                <w:szCs w:val="22"/>
                <w:lang w:val="en-US"/>
              </w:rPr>
              <w:t>0.31</w:t>
            </w:r>
          </w:p>
        </w:tc>
        <w:tc>
          <w:tcPr>
            <w:tcW w:w="2141" w:type="dxa"/>
          </w:tcPr>
          <w:p w14:paraId="4914467D" w14:textId="77777777" w:rsidR="002A6ACA" w:rsidRPr="00CC23E1" w:rsidRDefault="002A6ACA" w:rsidP="00F140E7">
            <w:pPr>
              <w:widowControl w:val="0"/>
              <w:autoSpaceDE w:val="0"/>
              <w:autoSpaceDN w:val="0"/>
              <w:spacing w:after="0" w:line="268" w:lineRule="exact"/>
              <w:ind w:left="15" w:right="1"/>
              <w:jc w:val="center"/>
              <w:rPr>
                <w:rFonts w:ascii="Calibri" w:eastAsia="Calibri" w:hAnsi="Calibri" w:cs="Calibri"/>
                <w:szCs w:val="22"/>
                <w:lang w:val="en-US"/>
              </w:rPr>
            </w:pPr>
            <w:r w:rsidRPr="00CC23E1">
              <w:rPr>
                <w:rFonts w:ascii="Calibri" w:eastAsia="Calibri" w:hAnsi="Calibri" w:cs="Calibri"/>
                <w:spacing w:val="-4"/>
                <w:szCs w:val="22"/>
                <w:lang w:val="en-US"/>
              </w:rPr>
              <w:t>8.29</w:t>
            </w:r>
          </w:p>
          <w:p w14:paraId="29E11469" w14:textId="77777777" w:rsidR="002A6ACA" w:rsidRPr="00CC23E1" w:rsidRDefault="002A6ACA" w:rsidP="00F140E7">
            <w:pPr>
              <w:widowControl w:val="0"/>
              <w:autoSpaceDE w:val="0"/>
              <w:autoSpaceDN w:val="0"/>
              <w:spacing w:after="0" w:line="267" w:lineRule="exact"/>
              <w:ind w:left="15" w:right="1"/>
              <w:jc w:val="center"/>
              <w:rPr>
                <w:rFonts w:ascii="Calibri" w:eastAsia="Calibri" w:hAnsi="Calibri" w:cs="Calibri"/>
                <w:szCs w:val="22"/>
                <w:lang w:val="en-US"/>
              </w:rPr>
            </w:pPr>
            <w:r w:rsidRPr="00CC23E1">
              <w:rPr>
                <w:rFonts w:ascii="Calibri" w:eastAsia="Calibri" w:hAnsi="Calibri" w:cs="Calibri"/>
                <w:szCs w:val="22"/>
                <w:lang w:val="en-US"/>
              </w:rPr>
              <w:t>(5.28,</w:t>
            </w:r>
            <w:r w:rsidRPr="00CC23E1">
              <w:rPr>
                <w:rFonts w:ascii="Calibri" w:eastAsia="Calibri" w:hAnsi="Calibri" w:cs="Calibri"/>
                <w:spacing w:val="-6"/>
                <w:szCs w:val="22"/>
                <w:lang w:val="en-US"/>
              </w:rPr>
              <w:t xml:space="preserve"> </w:t>
            </w:r>
            <w:r w:rsidRPr="00CC23E1">
              <w:rPr>
                <w:rFonts w:ascii="Calibri" w:eastAsia="Calibri" w:hAnsi="Calibri" w:cs="Calibri"/>
                <w:spacing w:val="-2"/>
                <w:szCs w:val="22"/>
                <w:lang w:val="en-US"/>
              </w:rPr>
              <w:t>11.29)</w:t>
            </w:r>
          </w:p>
          <w:p w14:paraId="3AD8C24F" w14:textId="77777777" w:rsidR="002A6ACA" w:rsidRPr="00CC23E1" w:rsidRDefault="002A6ACA" w:rsidP="00F140E7">
            <w:pPr>
              <w:widowControl w:val="0"/>
              <w:autoSpaceDE w:val="0"/>
              <w:autoSpaceDN w:val="0"/>
              <w:spacing w:after="0" w:line="251" w:lineRule="exact"/>
              <w:ind w:left="15" w:right="1"/>
              <w:jc w:val="center"/>
              <w:rPr>
                <w:rFonts w:ascii="Calibri" w:eastAsia="Calibri" w:hAnsi="Calibri" w:cs="Calibri"/>
                <w:szCs w:val="22"/>
                <w:lang w:val="en-US"/>
              </w:rPr>
            </w:pPr>
            <w:r w:rsidRPr="00CC23E1">
              <w:rPr>
                <w:rFonts w:ascii="Calibri" w:eastAsia="Calibri" w:hAnsi="Calibri" w:cs="Calibri"/>
                <w:spacing w:val="-2"/>
                <w:szCs w:val="22"/>
                <w:lang w:val="en-US"/>
              </w:rPr>
              <w:t>&lt;0.0001</w:t>
            </w:r>
          </w:p>
        </w:tc>
      </w:tr>
      <w:tr w:rsidR="00196D08" w:rsidRPr="00CC23E1" w14:paraId="3C7C09BF" w14:textId="77777777" w:rsidTr="00A60DC7">
        <w:trPr>
          <w:tblHeader/>
        </w:trPr>
        <w:tc>
          <w:tcPr>
            <w:tcW w:w="3999" w:type="dxa"/>
            <w:tcBorders>
              <w:bottom w:val="nil"/>
            </w:tcBorders>
          </w:tcPr>
          <w:p w14:paraId="53418900" w14:textId="77777777" w:rsidR="00196D08" w:rsidRPr="00CC23E1" w:rsidRDefault="00196D08" w:rsidP="00F140E7">
            <w:pPr>
              <w:widowControl w:val="0"/>
              <w:autoSpaceDE w:val="0"/>
              <w:autoSpaceDN w:val="0"/>
              <w:spacing w:after="0" w:line="268" w:lineRule="exact"/>
              <w:ind w:left="107"/>
              <w:rPr>
                <w:rFonts w:ascii="Calibri" w:eastAsia="Calibri" w:hAnsi="Calibri" w:cs="Calibri"/>
                <w:szCs w:val="22"/>
                <w:lang w:val="en-US"/>
              </w:rPr>
            </w:pPr>
            <w:bookmarkStart w:id="35" w:name="_Hlk204085657"/>
            <w:r w:rsidRPr="00CC23E1">
              <w:rPr>
                <w:rFonts w:ascii="Calibri" w:eastAsia="Calibri" w:hAnsi="Calibri" w:cs="Calibri"/>
                <w:szCs w:val="22"/>
                <w:lang w:val="en-US"/>
              </w:rPr>
              <w:t>Clinical</w:t>
            </w:r>
            <w:r w:rsidRPr="00CC23E1">
              <w:rPr>
                <w:rFonts w:ascii="Calibri" w:eastAsia="Calibri" w:hAnsi="Calibri" w:cs="Calibri"/>
                <w:spacing w:val="-10"/>
                <w:szCs w:val="22"/>
                <w:lang w:val="en-US"/>
              </w:rPr>
              <w:t xml:space="preserve"> </w:t>
            </w:r>
            <w:r w:rsidRPr="00CC23E1">
              <w:rPr>
                <w:rFonts w:ascii="Calibri" w:eastAsia="Calibri" w:hAnsi="Calibri" w:cs="Calibri"/>
                <w:szCs w:val="22"/>
                <w:lang w:val="en-US"/>
              </w:rPr>
              <w:t>breakthrough</w:t>
            </w:r>
            <w:r w:rsidRPr="00CC23E1">
              <w:rPr>
                <w:rFonts w:ascii="Calibri" w:eastAsia="Calibri" w:hAnsi="Calibri" w:cs="Calibri"/>
                <w:spacing w:val="-6"/>
                <w:szCs w:val="22"/>
                <w:lang w:val="en-US"/>
              </w:rPr>
              <w:t xml:space="preserve"> </w:t>
            </w:r>
            <w:proofErr w:type="spellStart"/>
            <w:r w:rsidRPr="00CC23E1">
              <w:rPr>
                <w:rFonts w:ascii="Calibri" w:eastAsia="Calibri" w:hAnsi="Calibri" w:cs="Calibri"/>
                <w:szCs w:val="22"/>
                <w:lang w:val="en-US"/>
              </w:rPr>
              <w:t>haemolysis</w:t>
            </w:r>
            <w:proofErr w:type="spellEnd"/>
            <w:r w:rsidRPr="00CC23E1">
              <w:rPr>
                <w:rFonts w:ascii="Calibri" w:eastAsia="Calibri" w:hAnsi="Calibri" w:cs="Calibri"/>
                <w:spacing w:val="-18"/>
                <w:szCs w:val="22"/>
                <w:lang w:val="en-US"/>
              </w:rPr>
              <w:t xml:space="preserve"> </w:t>
            </w:r>
            <w:proofErr w:type="spellStart"/>
            <w:proofErr w:type="gramStart"/>
            <w:r w:rsidRPr="00CC23E1">
              <w:rPr>
                <w:rFonts w:ascii="Calibri" w:eastAsia="Calibri" w:hAnsi="Calibri" w:cs="Calibri"/>
                <w:szCs w:val="22"/>
                <w:vertAlign w:val="superscript"/>
                <w:lang w:val="en-US"/>
              </w:rPr>
              <w:t>h,i</w:t>
            </w:r>
            <w:proofErr w:type="spellEnd"/>
            <w:proofErr w:type="gramEnd"/>
            <w:r w:rsidRPr="00CC23E1">
              <w:rPr>
                <w:rFonts w:ascii="Calibri" w:eastAsia="Calibri" w:hAnsi="Calibri" w:cs="Calibri"/>
                <w:szCs w:val="22"/>
                <w:lang w:val="en-US"/>
              </w:rPr>
              <w:t>,</w:t>
            </w:r>
            <w:r w:rsidRPr="00CC23E1">
              <w:rPr>
                <w:rFonts w:ascii="Calibri" w:eastAsia="Calibri" w:hAnsi="Calibri" w:cs="Calibri"/>
                <w:spacing w:val="-5"/>
                <w:szCs w:val="22"/>
                <w:lang w:val="en-US"/>
              </w:rPr>
              <w:t xml:space="preserve"> </w:t>
            </w:r>
            <w:r w:rsidRPr="00CC23E1">
              <w:rPr>
                <w:rFonts w:ascii="Calibri" w:eastAsia="Calibri" w:hAnsi="Calibri" w:cs="Calibri"/>
                <w:spacing w:val="-10"/>
                <w:szCs w:val="22"/>
                <w:lang w:val="en-US"/>
              </w:rPr>
              <w:t>%</w:t>
            </w:r>
          </w:p>
        </w:tc>
        <w:tc>
          <w:tcPr>
            <w:tcW w:w="1529" w:type="dxa"/>
            <w:tcBorders>
              <w:bottom w:val="nil"/>
            </w:tcBorders>
          </w:tcPr>
          <w:p w14:paraId="14319D58" w14:textId="77777777" w:rsidR="00196D08" w:rsidRPr="00CC23E1" w:rsidRDefault="00196D08" w:rsidP="00F140E7">
            <w:pPr>
              <w:widowControl w:val="0"/>
              <w:autoSpaceDE w:val="0"/>
              <w:autoSpaceDN w:val="0"/>
              <w:spacing w:after="0" w:line="268" w:lineRule="exact"/>
              <w:ind w:left="323"/>
              <w:rPr>
                <w:rFonts w:ascii="Calibri" w:eastAsia="Calibri" w:hAnsi="Calibri" w:cs="Calibri"/>
                <w:szCs w:val="22"/>
                <w:lang w:val="en-US"/>
              </w:rPr>
            </w:pPr>
            <w:r w:rsidRPr="00CC23E1">
              <w:rPr>
                <w:rFonts w:ascii="Calibri" w:eastAsia="Calibri" w:hAnsi="Calibri" w:cs="Calibri"/>
                <w:szCs w:val="22"/>
                <w:lang w:val="en-US"/>
              </w:rPr>
              <w:t>3.2</w:t>
            </w:r>
            <w:r w:rsidRPr="00CC23E1">
              <w:rPr>
                <w:rFonts w:ascii="Calibri" w:eastAsia="Calibri" w:hAnsi="Calibri" w:cs="Calibri"/>
                <w:spacing w:val="-2"/>
                <w:szCs w:val="22"/>
                <w:lang w:val="en-US"/>
              </w:rPr>
              <w:t xml:space="preserve"> (2/62)</w:t>
            </w:r>
          </w:p>
        </w:tc>
        <w:tc>
          <w:tcPr>
            <w:tcW w:w="1404" w:type="dxa"/>
            <w:tcBorders>
              <w:bottom w:val="nil"/>
            </w:tcBorders>
          </w:tcPr>
          <w:p w14:paraId="4E6DF25D" w14:textId="77777777" w:rsidR="00196D08" w:rsidRPr="00CC23E1" w:rsidRDefault="00196D08" w:rsidP="00F140E7">
            <w:pPr>
              <w:widowControl w:val="0"/>
              <w:autoSpaceDE w:val="0"/>
              <w:autoSpaceDN w:val="0"/>
              <w:spacing w:after="0" w:line="268" w:lineRule="exact"/>
              <w:ind w:left="203"/>
              <w:rPr>
                <w:rFonts w:ascii="Calibri" w:eastAsia="Calibri" w:hAnsi="Calibri" w:cs="Calibri"/>
                <w:szCs w:val="22"/>
                <w:lang w:val="en-US"/>
              </w:rPr>
            </w:pPr>
            <w:r w:rsidRPr="00CC23E1">
              <w:rPr>
                <w:rFonts w:ascii="Calibri" w:eastAsia="Calibri" w:hAnsi="Calibri" w:cs="Calibri"/>
                <w:szCs w:val="22"/>
                <w:lang w:val="en-US"/>
              </w:rPr>
              <w:t>17.1</w:t>
            </w:r>
            <w:r w:rsidRPr="00CC23E1">
              <w:rPr>
                <w:rFonts w:ascii="Calibri" w:eastAsia="Calibri" w:hAnsi="Calibri" w:cs="Calibri"/>
                <w:spacing w:val="-2"/>
                <w:szCs w:val="22"/>
                <w:lang w:val="en-US"/>
              </w:rPr>
              <w:t xml:space="preserve"> (6/35)</w:t>
            </w:r>
          </w:p>
        </w:tc>
        <w:tc>
          <w:tcPr>
            <w:tcW w:w="2141" w:type="dxa"/>
            <w:tcBorders>
              <w:bottom w:val="nil"/>
            </w:tcBorders>
          </w:tcPr>
          <w:p w14:paraId="6AF7B8DE"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r>
      <w:tr w:rsidR="00196D08" w:rsidRPr="00CC23E1" w14:paraId="364EF177" w14:textId="77777777" w:rsidTr="00A60DC7">
        <w:trPr>
          <w:tblHeader/>
        </w:trPr>
        <w:tc>
          <w:tcPr>
            <w:tcW w:w="3999" w:type="dxa"/>
            <w:tcBorders>
              <w:top w:val="nil"/>
              <w:bottom w:val="nil"/>
            </w:tcBorders>
          </w:tcPr>
          <w:p w14:paraId="7D8EA9D8" w14:textId="77777777" w:rsidR="00196D08" w:rsidRPr="00CC23E1" w:rsidRDefault="00196D08" w:rsidP="00F140E7">
            <w:pPr>
              <w:widowControl w:val="0"/>
              <w:autoSpaceDE w:val="0"/>
              <w:autoSpaceDN w:val="0"/>
              <w:spacing w:after="0" w:line="249" w:lineRule="exact"/>
              <w:ind w:left="107"/>
              <w:rPr>
                <w:rFonts w:ascii="Calibri" w:eastAsia="Calibri" w:hAnsi="Calibri" w:cs="Calibri"/>
                <w:szCs w:val="22"/>
                <w:lang w:val="en-US"/>
              </w:rPr>
            </w:pPr>
            <w:r w:rsidRPr="00CC23E1">
              <w:rPr>
                <w:rFonts w:ascii="Calibri" w:eastAsia="Calibri" w:hAnsi="Calibri" w:cs="Calibri"/>
                <w:spacing w:val="-2"/>
                <w:szCs w:val="22"/>
                <w:lang w:val="en-US"/>
              </w:rPr>
              <w:t>(n/N)</w:t>
            </w:r>
          </w:p>
        </w:tc>
        <w:tc>
          <w:tcPr>
            <w:tcW w:w="1529" w:type="dxa"/>
            <w:tcBorders>
              <w:top w:val="nil"/>
              <w:bottom w:val="nil"/>
            </w:tcBorders>
          </w:tcPr>
          <w:p w14:paraId="6516ABEB"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31CE384E"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4F52CB52"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r>
      <w:tr w:rsidR="00196D08" w:rsidRPr="00CC23E1" w14:paraId="7C57BF87" w14:textId="77777777" w:rsidTr="00A60DC7">
        <w:trPr>
          <w:tblHeader/>
        </w:trPr>
        <w:tc>
          <w:tcPr>
            <w:tcW w:w="3999" w:type="dxa"/>
            <w:tcBorders>
              <w:top w:val="nil"/>
              <w:bottom w:val="nil"/>
            </w:tcBorders>
          </w:tcPr>
          <w:p w14:paraId="0D92328F"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1529" w:type="dxa"/>
            <w:tcBorders>
              <w:top w:val="nil"/>
              <w:bottom w:val="nil"/>
            </w:tcBorders>
          </w:tcPr>
          <w:p w14:paraId="3CAA40A3" w14:textId="77777777" w:rsidR="00196D08" w:rsidRPr="00CC23E1" w:rsidRDefault="00196D08" w:rsidP="00F140E7">
            <w:pPr>
              <w:widowControl w:val="0"/>
              <w:autoSpaceDE w:val="0"/>
              <w:autoSpaceDN w:val="0"/>
              <w:spacing w:after="0" w:line="249" w:lineRule="exact"/>
              <w:ind w:left="11" w:right="1"/>
              <w:jc w:val="center"/>
              <w:rPr>
                <w:rFonts w:ascii="Calibri" w:eastAsia="Calibri" w:hAnsi="Calibri" w:cs="Calibri"/>
                <w:szCs w:val="22"/>
                <w:lang w:val="en-US"/>
              </w:rPr>
            </w:pPr>
            <w:r w:rsidRPr="00CC23E1">
              <w:rPr>
                <w:rFonts w:ascii="Calibri" w:eastAsia="Calibri" w:hAnsi="Calibri" w:cs="Calibri"/>
                <w:spacing w:val="-4"/>
                <w:szCs w:val="22"/>
                <w:lang w:val="en-US"/>
              </w:rPr>
              <w:t>0.07</w:t>
            </w:r>
          </w:p>
        </w:tc>
        <w:tc>
          <w:tcPr>
            <w:tcW w:w="1404" w:type="dxa"/>
            <w:tcBorders>
              <w:top w:val="nil"/>
              <w:bottom w:val="nil"/>
            </w:tcBorders>
          </w:tcPr>
          <w:p w14:paraId="6A7E78E4" w14:textId="77777777" w:rsidR="00196D08" w:rsidRPr="00CC23E1" w:rsidRDefault="00196D08" w:rsidP="00F140E7">
            <w:pPr>
              <w:widowControl w:val="0"/>
              <w:autoSpaceDE w:val="0"/>
              <w:autoSpaceDN w:val="0"/>
              <w:spacing w:after="0" w:line="249" w:lineRule="exact"/>
              <w:ind w:left="9" w:right="3"/>
              <w:jc w:val="center"/>
              <w:rPr>
                <w:rFonts w:ascii="Calibri" w:eastAsia="Calibri" w:hAnsi="Calibri" w:cs="Calibri"/>
                <w:szCs w:val="22"/>
                <w:lang w:val="en-US"/>
              </w:rPr>
            </w:pPr>
            <w:r w:rsidRPr="00CC23E1">
              <w:rPr>
                <w:rFonts w:ascii="Calibri" w:eastAsia="Calibri" w:hAnsi="Calibri" w:cs="Calibri"/>
                <w:spacing w:val="-4"/>
                <w:szCs w:val="22"/>
                <w:lang w:val="en-US"/>
              </w:rPr>
              <w:t>0.67</w:t>
            </w:r>
          </w:p>
        </w:tc>
        <w:tc>
          <w:tcPr>
            <w:tcW w:w="2141" w:type="dxa"/>
            <w:tcBorders>
              <w:top w:val="nil"/>
              <w:bottom w:val="nil"/>
            </w:tcBorders>
          </w:tcPr>
          <w:p w14:paraId="10F0AE34" w14:textId="77777777" w:rsidR="00196D08" w:rsidRPr="00CC23E1" w:rsidRDefault="00196D08" w:rsidP="00F140E7">
            <w:pPr>
              <w:widowControl w:val="0"/>
              <w:autoSpaceDE w:val="0"/>
              <w:autoSpaceDN w:val="0"/>
              <w:spacing w:after="0" w:line="249" w:lineRule="exact"/>
              <w:ind w:left="15" w:right="3"/>
              <w:jc w:val="center"/>
              <w:rPr>
                <w:rFonts w:ascii="Calibri" w:eastAsia="Calibri" w:hAnsi="Calibri" w:cs="Calibri"/>
                <w:szCs w:val="22"/>
                <w:lang w:val="en-US"/>
              </w:rPr>
            </w:pPr>
            <w:r w:rsidRPr="00CC23E1">
              <w:rPr>
                <w:rFonts w:ascii="Calibri" w:eastAsia="Calibri" w:hAnsi="Calibri" w:cs="Calibri"/>
                <w:spacing w:val="-2"/>
                <w:szCs w:val="22"/>
                <w:lang w:val="en-US"/>
              </w:rPr>
              <w:t>RR=0.10</w:t>
            </w:r>
          </w:p>
        </w:tc>
      </w:tr>
      <w:tr w:rsidR="00196D08" w:rsidRPr="00CC23E1" w14:paraId="7FB83949" w14:textId="77777777" w:rsidTr="00A60DC7">
        <w:trPr>
          <w:tblHeader/>
        </w:trPr>
        <w:tc>
          <w:tcPr>
            <w:tcW w:w="3999" w:type="dxa"/>
            <w:tcBorders>
              <w:top w:val="nil"/>
              <w:bottom w:val="nil"/>
            </w:tcBorders>
          </w:tcPr>
          <w:p w14:paraId="4D5B988D" w14:textId="77777777" w:rsidR="00196D08" w:rsidRPr="00CC23E1" w:rsidRDefault="00196D08" w:rsidP="00F140E7">
            <w:pPr>
              <w:widowControl w:val="0"/>
              <w:autoSpaceDE w:val="0"/>
              <w:autoSpaceDN w:val="0"/>
              <w:spacing w:after="0" w:line="249" w:lineRule="exact"/>
              <w:ind w:left="107"/>
              <w:rPr>
                <w:rFonts w:ascii="Calibri" w:eastAsia="Calibri" w:hAnsi="Calibri" w:cs="Calibri"/>
                <w:szCs w:val="22"/>
                <w:lang w:val="en-US"/>
              </w:rPr>
            </w:pPr>
            <w:r w:rsidRPr="00CC23E1">
              <w:rPr>
                <w:rFonts w:ascii="Calibri" w:eastAsia="Calibri" w:hAnsi="Calibri" w:cs="Calibri"/>
                <w:szCs w:val="22"/>
                <w:lang w:val="en-US"/>
              </w:rPr>
              <w:t>Annualized</w:t>
            </w:r>
            <w:r w:rsidRPr="00CC23E1">
              <w:rPr>
                <w:rFonts w:ascii="Calibri" w:eastAsia="Calibri" w:hAnsi="Calibri" w:cs="Calibri"/>
                <w:spacing w:val="-4"/>
                <w:szCs w:val="22"/>
                <w:lang w:val="en-US"/>
              </w:rPr>
              <w:t xml:space="preserve"> </w:t>
            </w:r>
            <w:r w:rsidRPr="00CC23E1">
              <w:rPr>
                <w:rFonts w:ascii="Calibri" w:eastAsia="Calibri" w:hAnsi="Calibri" w:cs="Calibri"/>
                <w:szCs w:val="22"/>
                <w:lang w:val="en-US"/>
              </w:rPr>
              <w:t>rate</w:t>
            </w:r>
            <w:r w:rsidRPr="00CC23E1">
              <w:rPr>
                <w:rFonts w:ascii="Calibri" w:eastAsia="Calibri" w:hAnsi="Calibri" w:cs="Calibri"/>
                <w:spacing w:val="-3"/>
                <w:szCs w:val="22"/>
                <w:lang w:val="en-US"/>
              </w:rPr>
              <w:t xml:space="preserve"> </w:t>
            </w:r>
            <w:r w:rsidRPr="00CC23E1">
              <w:rPr>
                <w:rFonts w:ascii="Calibri" w:eastAsia="Calibri" w:hAnsi="Calibri" w:cs="Calibri"/>
                <w:szCs w:val="22"/>
                <w:lang w:val="en-US"/>
              </w:rPr>
              <w:t>of</w:t>
            </w:r>
            <w:r w:rsidRPr="00CC23E1">
              <w:rPr>
                <w:rFonts w:ascii="Calibri" w:eastAsia="Calibri" w:hAnsi="Calibri" w:cs="Calibri"/>
                <w:spacing w:val="-3"/>
                <w:szCs w:val="22"/>
                <w:lang w:val="en-US"/>
              </w:rPr>
              <w:t xml:space="preserve"> </w:t>
            </w:r>
            <w:r w:rsidRPr="00CC23E1">
              <w:rPr>
                <w:rFonts w:ascii="Calibri" w:eastAsia="Calibri" w:hAnsi="Calibri" w:cs="Calibri"/>
                <w:szCs w:val="22"/>
                <w:lang w:val="en-US"/>
              </w:rPr>
              <w:t>clinical</w:t>
            </w:r>
            <w:r w:rsidRPr="00CC23E1">
              <w:rPr>
                <w:rFonts w:ascii="Calibri" w:eastAsia="Calibri" w:hAnsi="Calibri" w:cs="Calibri"/>
                <w:spacing w:val="-6"/>
                <w:szCs w:val="22"/>
                <w:lang w:val="en-US"/>
              </w:rPr>
              <w:t xml:space="preserve"> </w:t>
            </w:r>
            <w:r w:rsidRPr="00CC23E1">
              <w:rPr>
                <w:rFonts w:ascii="Calibri" w:eastAsia="Calibri" w:hAnsi="Calibri" w:cs="Calibri"/>
                <w:spacing w:val="-2"/>
                <w:szCs w:val="22"/>
                <w:lang w:val="en-US"/>
              </w:rPr>
              <w:t>breakthrough</w:t>
            </w:r>
          </w:p>
        </w:tc>
        <w:tc>
          <w:tcPr>
            <w:tcW w:w="1529" w:type="dxa"/>
            <w:tcBorders>
              <w:top w:val="nil"/>
              <w:bottom w:val="nil"/>
            </w:tcBorders>
          </w:tcPr>
          <w:p w14:paraId="4DF83276"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45B4BF85"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42242550" w14:textId="77777777" w:rsidR="00196D08" w:rsidRPr="00CC23E1" w:rsidRDefault="00196D08" w:rsidP="00F140E7">
            <w:pPr>
              <w:widowControl w:val="0"/>
              <w:autoSpaceDE w:val="0"/>
              <w:autoSpaceDN w:val="0"/>
              <w:spacing w:after="0" w:line="249" w:lineRule="exact"/>
              <w:ind w:left="15" w:right="3"/>
              <w:jc w:val="center"/>
              <w:rPr>
                <w:rFonts w:ascii="Calibri" w:eastAsia="Calibri" w:hAnsi="Calibri" w:cs="Calibri"/>
                <w:szCs w:val="22"/>
                <w:lang w:val="en-US"/>
              </w:rPr>
            </w:pPr>
            <w:r w:rsidRPr="00CC23E1">
              <w:rPr>
                <w:rFonts w:ascii="Calibri" w:eastAsia="Calibri" w:hAnsi="Calibri" w:cs="Calibri"/>
                <w:szCs w:val="22"/>
                <w:lang w:val="en-US"/>
              </w:rPr>
              <w:t>(0.02,</w:t>
            </w:r>
            <w:r w:rsidRPr="00CC23E1">
              <w:rPr>
                <w:rFonts w:ascii="Calibri" w:eastAsia="Calibri" w:hAnsi="Calibri" w:cs="Calibri"/>
                <w:spacing w:val="-4"/>
                <w:szCs w:val="22"/>
                <w:lang w:val="en-US"/>
              </w:rPr>
              <w:t xml:space="preserve"> </w:t>
            </w:r>
            <w:r w:rsidRPr="00CC23E1">
              <w:rPr>
                <w:rFonts w:ascii="Calibri" w:eastAsia="Calibri" w:hAnsi="Calibri" w:cs="Calibri"/>
                <w:spacing w:val="-2"/>
                <w:szCs w:val="22"/>
                <w:lang w:val="en-US"/>
              </w:rPr>
              <w:t>0.61)</w:t>
            </w:r>
          </w:p>
        </w:tc>
      </w:tr>
      <w:tr w:rsidR="00196D08" w:rsidRPr="00CC23E1" w14:paraId="532D834E" w14:textId="77777777" w:rsidTr="00A60DC7">
        <w:trPr>
          <w:tblHeader/>
        </w:trPr>
        <w:tc>
          <w:tcPr>
            <w:tcW w:w="3999" w:type="dxa"/>
            <w:tcBorders>
              <w:top w:val="nil"/>
            </w:tcBorders>
          </w:tcPr>
          <w:p w14:paraId="597AB3CF" w14:textId="77777777" w:rsidR="00196D08" w:rsidRPr="00CC23E1" w:rsidRDefault="00196D08" w:rsidP="00F140E7">
            <w:pPr>
              <w:widowControl w:val="0"/>
              <w:autoSpaceDE w:val="0"/>
              <w:autoSpaceDN w:val="0"/>
              <w:spacing w:after="0" w:line="229" w:lineRule="exact"/>
              <w:ind w:left="107"/>
              <w:rPr>
                <w:rFonts w:ascii="Calibri" w:eastAsia="Calibri" w:hAnsi="Calibri" w:cs="Calibri"/>
                <w:szCs w:val="22"/>
                <w:lang w:val="en-US"/>
              </w:rPr>
            </w:pPr>
            <w:r w:rsidRPr="00CC23E1">
              <w:rPr>
                <w:rFonts w:ascii="Calibri" w:eastAsia="Calibri" w:hAnsi="Calibri" w:cs="Calibri"/>
                <w:spacing w:val="-2"/>
                <w:szCs w:val="22"/>
                <w:lang w:val="en-US"/>
              </w:rPr>
              <w:t>haemolysis</w:t>
            </w:r>
          </w:p>
        </w:tc>
        <w:tc>
          <w:tcPr>
            <w:tcW w:w="1529" w:type="dxa"/>
            <w:tcBorders>
              <w:top w:val="nil"/>
            </w:tcBorders>
          </w:tcPr>
          <w:p w14:paraId="5350E3A4"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tcBorders>
          </w:tcPr>
          <w:p w14:paraId="6139E371"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tcBorders>
          </w:tcPr>
          <w:p w14:paraId="04D7503A" w14:textId="77777777" w:rsidR="00196D08" w:rsidRPr="00CC23E1" w:rsidRDefault="00196D08" w:rsidP="00F140E7">
            <w:pPr>
              <w:widowControl w:val="0"/>
              <w:autoSpaceDE w:val="0"/>
              <w:autoSpaceDN w:val="0"/>
              <w:spacing w:after="0" w:line="229" w:lineRule="exact"/>
              <w:ind w:left="15" w:right="1"/>
              <w:jc w:val="center"/>
              <w:rPr>
                <w:rFonts w:ascii="Calibri" w:eastAsia="Calibri" w:hAnsi="Calibri" w:cs="Calibri"/>
                <w:szCs w:val="22"/>
                <w:lang w:val="en-US"/>
              </w:rPr>
            </w:pPr>
            <w:r w:rsidRPr="00CC23E1">
              <w:rPr>
                <w:rFonts w:ascii="Calibri" w:eastAsia="Calibri" w:hAnsi="Calibri" w:cs="Calibri"/>
                <w:spacing w:val="-4"/>
                <w:szCs w:val="22"/>
                <w:lang w:val="en-US"/>
              </w:rPr>
              <w:t>0.01</w:t>
            </w:r>
          </w:p>
        </w:tc>
      </w:tr>
      <w:tr w:rsidR="00196D08" w:rsidRPr="00CC23E1" w14:paraId="28B202BE" w14:textId="77777777" w:rsidTr="00A60DC7">
        <w:trPr>
          <w:tblHeader/>
        </w:trPr>
        <w:tc>
          <w:tcPr>
            <w:tcW w:w="3999" w:type="dxa"/>
          </w:tcPr>
          <w:p w14:paraId="1413370F" w14:textId="77777777" w:rsidR="00196D08" w:rsidRPr="00CC23E1" w:rsidRDefault="00196D08" w:rsidP="00F140E7">
            <w:pPr>
              <w:widowControl w:val="0"/>
              <w:autoSpaceDE w:val="0"/>
              <w:autoSpaceDN w:val="0"/>
              <w:spacing w:before="1" w:after="0" w:line="237" w:lineRule="auto"/>
              <w:ind w:left="107"/>
              <w:rPr>
                <w:rFonts w:ascii="Calibri" w:eastAsia="Calibri" w:hAnsi="Calibri" w:cs="Calibri"/>
                <w:szCs w:val="22"/>
                <w:lang w:val="en-US"/>
              </w:rPr>
            </w:pPr>
            <w:r w:rsidRPr="00CC23E1">
              <w:rPr>
                <w:rFonts w:ascii="Calibri" w:eastAsia="Calibri" w:hAnsi="Calibri" w:cs="Calibri"/>
                <w:szCs w:val="22"/>
                <w:lang w:val="en-US"/>
              </w:rPr>
              <w:t>Absolute</w:t>
            </w:r>
            <w:r w:rsidRPr="00CC23E1">
              <w:rPr>
                <w:rFonts w:ascii="Calibri" w:eastAsia="Calibri" w:hAnsi="Calibri" w:cs="Calibri"/>
                <w:spacing w:val="-10"/>
                <w:szCs w:val="22"/>
                <w:lang w:val="en-US"/>
              </w:rPr>
              <w:t xml:space="preserve"> </w:t>
            </w:r>
            <w:r w:rsidRPr="00CC23E1">
              <w:rPr>
                <w:rFonts w:ascii="Calibri" w:eastAsia="Calibri" w:hAnsi="Calibri" w:cs="Calibri"/>
                <w:szCs w:val="22"/>
                <w:lang w:val="en-US"/>
              </w:rPr>
              <w:t>reticulocyte</w:t>
            </w:r>
            <w:r w:rsidRPr="00CC23E1">
              <w:rPr>
                <w:rFonts w:ascii="Calibri" w:eastAsia="Calibri" w:hAnsi="Calibri" w:cs="Calibri"/>
                <w:spacing w:val="-12"/>
                <w:szCs w:val="22"/>
                <w:lang w:val="en-US"/>
              </w:rPr>
              <w:t xml:space="preserve"> </w:t>
            </w:r>
            <w:r w:rsidRPr="00CC23E1">
              <w:rPr>
                <w:rFonts w:ascii="Calibri" w:eastAsia="Calibri" w:hAnsi="Calibri" w:cs="Calibri"/>
                <w:szCs w:val="22"/>
                <w:lang w:val="en-US"/>
              </w:rPr>
              <w:t>counts</w:t>
            </w:r>
            <w:r w:rsidRPr="00CC23E1">
              <w:rPr>
                <w:rFonts w:ascii="Calibri" w:eastAsia="Calibri" w:hAnsi="Calibri" w:cs="Calibri"/>
                <w:spacing w:val="-9"/>
                <w:szCs w:val="22"/>
                <w:lang w:val="en-US"/>
              </w:rPr>
              <w:t xml:space="preserve"> </w:t>
            </w:r>
            <w:r w:rsidRPr="00CC23E1">
              <w:rPr>
                <w:rFonts w:ascii="Calibri" w:eastAsia="Calibri" w:hAnsi="Calibri" w:cs="Calibri"/>
                <w:szCs w:val="22"/>
                <w:lang w:val="en-US"/>
              </w:rPr>
              <w:t>change</w:t>
            </w:r>
            <w:r w:rsidRPr="00CC23E1">
              <w:rPr>
                <w:rFonts w:ascii="Calibri" w:eastAsia="Calibri" w:hAnsi="Calibri" w:cs="Calibri"/>
                <w:spacing w:val="-10"/>
                <w:szCs w:val="22"/>
                <w:lang w:val="en-US"/>
              </w:rPr>
              <w:t xml:space="preserve"> </w:t>
            </w:r>
            <w:r w:rsidRPr="00CC23E1">
              <w:rPr>
                <w:rFonts w:ascii="Calibri" w:eastAsia="Calibri" w:hAnsi="Calibri" w:cs="Calibri"/>
                <w:szCs w:val="22"/>
                <w:lang w:val="en-US"/>
              </w:rPr>
              <w:t>from baseline (10</w:t>
            </w:r>
            <w:r w:rsidRPr="00CC23E1">
              <w:rPr>
                <w:rFonts w:ascii="Calibri" w:eastAsia="Calibri" w:hAnsi="Calibri" w:cs="Calibri"/>
                <w:szCs w:val="22"/>
                <w:vertAlign w:val="superscript"/>
                <w:lang w:val="en-US"/>
              </w:rPr>
              <w:t>9</w:t>
            </w:r>
            <w:r w:rsidRPr="00CC23E1">
              <w:rPr>
                <w:rFonts w:ascii="Calibri" w:eastAsia="Calibri" w:hAnsi="Calibri" w:cs="Calibri"/>
                <w:szCs w:val="22"/>
                <w:lang w:val="en-US"/>
              </w:rPr>
              <w:t xml:space="preserve">/L) (adjusted </w:t>
            </w:r>
            <w:proofErr w:type="spellStart"/>
            <w:r w:rsidRPr="00CC23E1">
              <w:rPr>
                <w:rFonts w:ascii="Calibri" w:eastAsia="Calibri" w:hAnsi="Calibri" w:cs="Calibri"/>
                <w:szCs w:val="22"/>
                <w:lang w:val="en-US"/>
              </w:rPr>
              <w:t>mean</w:t>
            </w:r>
            <w:r w:rsidRPr="00CC23E1">
              <w:rPr>
                <w:rFonts w:ascii="Calibri" w:eastAsia="Calibri" w:hAnsi="Calibri" w:cs="Calibri"/>
                <w:szCs w:val="22"/>
                <w:vertAlign w:val="superscript"/>
                <w:lang w:val="en-US"/>
              </w:rPr>
              <w:t>g</w:t>
            </w:r>
            <w:proofErr w:type="spellEnd"/>
            <w:r w:rsidRPr="00CC23E1">
              <w:rPr>
                <w:rFonts w:ascii="Calibri" w:eastAsia="Calibri" w:hAnsi="Calibri" w:cs="Calibri"/>
                <w:szCs w:val="22"/>
                <w:lang w:val="en-US"/>
              </w:rPr>
              <w:t>)</w:t>
            </w:r>
          </w:p>
        </w:tc>
        <w:tc>
          <w:tcPr>
            <w:tcW w:w="1529" w:type="dxa"/>
          </w:tcPr>
          <w:p w14:paraId="4033E742" w14:textId="77777777" w:rsidR="00196D08" w:rsidRPr="00CC23E1" w:rsidRDefault="00196D08" w:rsidP="00F140E7">
            <w:pPr>
              <w:widowControl w:val="0"/>
              <w:autoSpaceDE w:val="0"/>
              <w:autoSpaceDN w:val="0"/>
              <w:spacing w:after="0" w:line="268" w:lineRule="exact"/>
              <w:ind w:left="11"/>
              <w:jc w:val="center"/>
              <w:rPr>
                <w:rFonts w:ascii="Calibri" w:eastAsia="Calibri" w:hAnsi="Calibri" w:cs="Calibri"/>
                <w:szCs w:val="22"/>
                <w:lang w:val="en-US"/>
              </w:rPr>
            </w:pPr>
            <w:r w:rsidRPr="00CC23E1">
              <w:rPr>
                <w:rFonts w:ascii="Calibri" w:eastAsia="Calibri" w:hAnsi="Calibri" w:cs="Calibri"/>
                <w:spacing w:val="-2"/>
                <w:szCs w:val="22"/>
                <w:lang w:val="en-US"/>
              </w:rPr>
              <w:t>-</w:t>
            </w:r>
            <w:r w:rsidRPr="00CC23E1">
              <w:rPr>
                <w:rFonts w:ascii="Calibri" w:eastAsia="Calibri" w:hAnsi="Calibri" w:cs="Calibri"/>
                <w:spacing w:val="-4"/>
                <w:szCs w:val="22"/>
                <w:lang w:val="en-US"/>
              </w:rPr>
              <w:t>115.8</w:t>
            </w:r>
          </w:p>
        </w:tc>
        <w:tc>
          <w:tcPr>
            <w:tcW w:w="1404" w:type="dxa"/>
          </w:tcPr>
          <w:p w14:paraId="223B9A48" w14:textId="77777777" w:rsidR="00196D08" w:rsidRPr="00CC23E1" w:rsidRDefault="00196D08" w:rsidP="00F140E7">
            <w:pPr>
              <w:widowControl w:val="0"/>
              <w:autoSpaceDE w:val="0"/>
              <w:autoSpaceDN w:val="0"/>
              <w:spacing w:after="0" w:line="268" w:lineRule="exact"/>
              <w:ind w:left="9" w:right="1"/>
              <w:jc w:val="center"/>
              <w:rPr>
                <w:rFonts w:ascii="Calibri" w:eastAsia="Calibri" w:hAnsi="Calibri" w:cs="Calibri"/>
                <w:szCs w:val="22"/>
                <w:lang w:val="en-US"/>
              </w:rPr>
            </w:pPr>
            <w:r w:rsidRPr="00CC23E1">
              <w:rPr>
                <w:rFonts w:ascii="Calibri" w:eastAsia="Calibri" w:hAnsi="Calibri" w:cs="Calibri"/>
                <w:spacing w:val="-5"/>
                <w:szCs w:val="22"/>
                <w:lang w:val="en-US"/>
              </w:rPr>
              <w:t>0.3</w:t>
            </w:r>
          </w:p>
        </w:tc>
        <w:tc>
          <w:tcPr>
            <w:tcW w:w="2141" w:type="dxa"/>
          </w:tcPr>
          <w:p w14:paraId="639A84AF" w14:textId="77777777" w:rsidR="00196D08" w:rsidRPr="00CC23E1" w:rsidRDefault="00196D08" w:rsidP="00F140E7">
            <w:pPr>
              <w:widowControl w:val="0"/>
              <w:autoSpaceDE w:val="0"/>
              <w:autoSpaceDN w:val="0"/>
              <w:spacing w:after="0" w:line="267" w:lineRule="exact"/>
              <w:ind w:left="15" w:right="1"/>
              <w:jc w:val="center"/>
              <w:rPr>
                <w:rFonts w:ascii="Calibri" w:eastAsia="Calibri" w:hAnsi="Calibri" w:cs="Calibri"/>
                <w:szCs w:val="22"/>
                <w:lang w:val="en-US"/>
              </w:rPr>
            </w:pPr>
            <w:r w:rsidRPr="00CC23E1">
              <w:rPr>
                <w:rFonts w:ascii="Calibri" w:eastAsia="Calibri" w:hAnsi="Calibri" w:cs="Calibri"/>
                <w:spacing w:val="-2"/>
                <w:szCs w:val="22"/>
                <w:lang w:val="en-US"/>
              </w:rPr>
              <w:t>-116.2</w:t>
            </w:r>
          </w:p>
          <w:p w14:paraId="39E1272F" w14:textId="77777777" w:rsidR="00196D08" w:rsidRPr="00CC23E1" w:rsidRDefault="00196D08" w:rsidP="00F140E7">
            <w:pPr>
              <w:widowControl w:val="0"/>
              <w:autoSpaceDE w:val="0"/>
              <w:autoSpaceDN w:val="0"/>
              <w:spacing w:after="0" w:line="267" w:lineRule="exact"/>
              <w:ind w:left="15" w:right="5"/>
              <w:jc w:val="center"/>
              <w:rPr>
                <w:rFonts w:ascii="Calibri" w:eastAsia="Calibri" w:hAnsi="Calibri" w:cs="Calibri"/>
                <w:szCs w:val="22"/>
                <w:lang w:val="en-US"/>
              </w:rPr>
            </w:pPr>
            <w:r w:rsidRPr="00CC23E1">
              <w:rPr>
                <w:rFonts w:ascii="Calibri" w:eastAsia="Calibri" w:hAnsi="Calibri" w:cs="Calibri"/>
                <w:szCs w:val="22"/>
                <w:lang w:val="en-US"/>
              </w:rPr>
              <w:t>(-132.0,</w:t>
            </w:r>
            <w:r w:rsidRPr="00CC23E1">
              <w:rPr>
                <w:rFonts w:ascii="Calibri" w:eastAsia="Calibri" w:hAnsi="Calibri" w:cs="Calibri"/>
                <w:spacing w:val="-7"/>
                <w:szCs w:val="22"/>
                <w:lang w:val="en-US"/>
              </w:rPr>
              <w:t xml:space="preserve"> </w:t>
            </w:r>
            <w:r w:rsidRPr="00CC23E1">
              <w:rPr>
                <w:rFonts w:ascii="Calibri" w:eastAsia="Calibri" w:hAnsi="Calibri" w:cs="Calibri"/>
                <w:szCs w:val="22"/>
                <w:lang w:val="en-US"/>
              </w:rPr>
              <w:t>-</w:t>
            </w:r>
            <w:r w:rsidRPr="00CC23E1">
              <w:rPr>
                <w:rFonts w:ascii="Calibri" w:eastAsia="Calibri" w:hAnsi="Calibri" w:cs="Calibri"/>
                <w:spacing w:val="-2"/>
                <w:szCs w:val="22"/>
                <w:lang w:val="en-US"/>
              </w:rPr>
              <w:t>100.3)</w:t>
            </w:r>
          </w:p>
          <w:p w14:paraId="0DA90859" w14:textId="77777777" w:rsidR="00196D08" w:rsidRPr="00CC23E1" w:rsidRDefault="00196D08" w:rsidP="00F140E7">
            <w:pPr>
              <w:widowControl w:val="0"/>
              <w:autoSpaceDE w:val="0"/>
              <w:autoSpaceDN w:val="0"/>
              <w:spacing w:after="0" w:line="249" w:lineRule="exact"/>
              <w:ind w:left="15" w:right="1"/>
              <w:jc w:val="center"/>
              <w:rPr>
                <w:rFonts w:ascii="Calibri" w:eastAsia="Calibri" w:hAnsi="Calibri" w:cs="Calibri"/>
                <w:szCs w:val="22"/>
                <w:lang w:val="en-US"/>
              </w:rPr>
            </w:pPr>
            <w:r w:rsidRPr="00CC23E1">
              <w:rPr>
                <w:rFonts w:ascii="Calibri" w:eastAsia="Calibri" w:hAnsi="Calibri" w:cs="Calibri"/>
                <w:spacing w:val="-2"/>
                <w:szCs w:val="22"/>
                <w:lang w:val="en-US"/>
              </w:rPr>
              <w:t>&lt;0.0001</w:t>
            </w:r>
          </w:p>
        </w:tc>
      </w:tr>
      <w:tr w:rsidR="00196D08" w:rsidRPr="00CC23E1" w14:paraId="73172D69" w14:textId="77777777" w:rsidTr="00A60DC7">
        <w:trPr>
          <w:tblHeader/>
        </w:trPr>
        <w:tc>
          <w:tcPr>
            <w:tcW w:w="3999" w:type="dxa"/>
          </w:tcPr>
          <w:p w14:paraId="502006A5" w14:textId="77777777" w:rsidR="00196D08" w:rsidRPr="00CC23E1" w:rsidRDefault="00196D08" w:rsidP="00F140E7">
            <w:pPr>
              <w:widowControl w:val="0"/>
              <w:autoSpaceDE w:val="0"/>
              <w:autoSpaceDN w:val="0"/>
              <w:spacing w:after="0" w:line="240" w:lineRule="auto"/>
              <w:ind w:left="107"/>
              <w:rPr>
                <w:rFonts w:ascii="Calibri" w:eastAsia="Calibri" w:hAnsi="Calibri" w:cs="Calibri"/>
                <w:szCs w:val="22"/>
                <w:lang w:val="en-US"/>
              </w:rPr>
            </w:pPr>
            <w:r w:rsidRPr="00CC23E1">
              <w:rPr>
                <w:rFonts w:ascii="Calibri" w:eastAsia="Calibri" w:hAnsi="Calibri" w:cs="Calibri"/>
                <w:szCs w:val="22"/>
                <w:lang w:val="en-US"/>
              </w:rPr>
              <w:t>LDH</w:t>
            </w:r>
            <w:r w:rsidRPr="00CC23E1">
              <w:rPr>
                <w:rFonts w:ascii="Calibri" w:eastAsia="Calibri" w:hAnsi="Calibri" w:cs="Calibri"/>
                <w:spacing w:val="-8"/>
                <w:szCs w:val="22"/>
                <w:lang w:val="en-US"/>
              </w:rPr>
              <w:t xml:space="preserve"> </w:t>
            </w:r>
            <w:r w:rsidRPr="00CC23E1">
              <w:rPr>
                <w:rFonts w:ascii="Calibri" w:eastAsia="Calibri" w:hAnsi="Calibri" w:cs="Calibri"/>
                <w:szCs w:val="22"/>
                <w:lang w:val="en-US"/>
              </w:rPr>
              <w:t>ratio</w:t>
            </w:r>
            <w:r w:rsidRPr="00CC23E1">
              <w:rPr>
                <w:rFonts w:ascii="Calibri" w:eastAsia="Calibri" w:hAnsi="Calibri" w:cs="Calibri"/>
                <w:spacing w:val="-9"/>
                <w:szCs w:val="22"/>
                <w:lang w:val="en-US"/>
              </w:rPr>
              <w:t xml:space="preserve"> </w:t>
            </w:r>
            <w:r w:rsidRPr="00CC23E1">
              <w:rPr>
                <w:rFonts w:ascii="Calibri" w:eastAsia="Calibri" w:hAnsi="Calibri" w:cs="Calibri"/>
                <w:szCs w:val="22"/>
                <w:lang w:val="en-US"/>
              </w:rPr>
              <w:t>to</w:t>
            </w:r>
            <w:r w:rsidRPr="00CC23E1">
              <w:rPr>
                <w:rFonts w:ascii="Calibri" w:eastAsia="Calibri" w:hAnsi="Calibri" w:cs="Calibri"/>
                <w:spacing w:val="-9"/>
                <w:szCs w:val="22"/>
                <w:lang w:val="en-US"/>
              </w:rPr>
              <w:t xml:space="preserve"> </w:t>
            </w:r>
            <w:r w:rsidRPr="00CC23E1">
              <w:rPr>
                <w:rFonts w:ascii="Calibri" w:eastAsia="Calibri" w:hAnsi="Calibri" w:cs="Calibri"/>
                <w:szCs w:val="22"/>
                <w:lang w:val="en-US"/>
              </w:rPr>
              <w:t>baseline</w:t>
            </w:r>
            <w:r w:rsidRPr="00CC23E1">
              <w:rPr>
                <w:rFonts w:ascii="Calibri" w:eastAsia="Calibri" w:hAnsi="Calibri" w:cs="Calibri"/>
                <w:spacing w:val="-9"/>
                <w:szCs w:val="22"/>
                <w:lang w:val="en-US"/>
              </w:rPr>
              <w:t xml:space="preserve"> </w:t>
            </w:r>
            <w:r w:rsidRPr="00CC23E1">
              <w:rPr>
                <w:rFonts w:ascii="Calibri" w:eastAsia="Calibri" w:hAnsi="Calibri" w:cs="Calibri"/>
                <w:szCs w:val="22"/>
                <w:lang w:val="en-US"/>
              </w:rPr>
              <w:t>(adjusted</w:t>
            </w:r>
            <w:r w:rsidRPr="00CC23E1">
              <w:rPr>
                <w:rFonts w:ascii="Calibri" w:eastAsia="Calibri" w:hAnsi="Calibri" w:cs="Calibri"/>
                <w:spacing w:val="-8"/>
                <w:szCs w:val="22"/>
                <w:lang w:val="en-US"/>
              </w:rPr>
              <w:t xml:space="preserve"> </w:t>
            </w:r>
            <w:r w:rsidRPr="00CC23E1">
              <w:rPr>
                <w:rFonts w:ascii="Calibri" w:eastAsia="Calibri" w:hAnsi="Calibri" w:cs="Calibri"/>
                <w:szCs w:val="22"/>
                <w:lang w:val="en-US"/>
              </w:rPr>
              <w:t xml:space="preserve">geometric </w:t>
            </w:r>
            <w:proofErr w:type="spellStart"/>
            <w:r w:rsidRPr="00CC23E1">
              <w:rPr>
                <w:rFonts w:ascii="Calibri" w:eastAsia="Calibri" w:hAnsi="Calibri" w:cs="Calibri"/>
                <w:spacing w:val="-2"/>
                <w:szCs w:val="22"/>
                <w:lang w:val="en-US"/>
              </w:rPr>
              <w:t>mean</w:t>
            </w:r>
            <w:r w:rsidRPr="00CC23E1">
              <w:rPr>
                <w:rFonts w:ascii="Calibri" w:eastAsia="Calibri" w:hAnsi="Calibri" w:cs="Calibri"/>
                <w:spacing w:val="-2"/>
                <w:szCs w:val="22"/>
                <w:vertAlign w:val="superscript"/>
                <w:lang w:val="en-US"/>
              </w:rPr>
              <w:t>g</w:t>
            </w:r>
            <w:proofErr w:type="spellEnd"/>
            <w:r w:rsidRPr="00CC23E1">
              <w:rPr>
                <w:rFonts w:ascii="Calibri" w:eastAsia="Calibri" w:hAnsi="Calibri" w:cs="Calibri"/>
                <w:spacing w:val="-2"/>
                <w:szCs w:val="22"/>
                <w:lang w:val="en-US"/>
              </w:rPr>
              <w:t>)</w:t>
            </w:r>
          </w:p>
        </w:tc>
        <w:tc>
          <w:tcPr>
            <w:tcW w:w="1529" w:type="dxa"/>
          </w:tcPr>
          <w:p w14:paraId="77ABB6B0" w14:textId="77777777" w:rsidR="00196D08" w:rsidRPr="00CC23E1" w:rsidRDefault="00196D08" w:rsidP="00F140E7">
            <w:pPr>
              <w:widowControl w:val="0"/>
              <w:autoSpaceDE w:val="0"/>
              <w:autoSpaceDN w:val="0"/>
              <w:spacing w:after="0" w:line="268" w:lineRule="exact"/>
              <w:ind w:left="11" w:right="1"/>
              <w:jc w:val="center"/>
              <w:rPr>
                <w:rFonts w:ascii="Calibri" w:eastAsia="Calibri" w:hAnsi="Calibri" w:cs="Calibri"/>
                <w:szCs w:val="22"/>
                <w:lang w:val="en-US"/>
              </w:rPr>
            </w:pPr>
            <w:r w:rsidRPr="00CC23E1">
              <w:rPr>
                <w:rFonts w:ascii="Calibri" w:eastAsia="Calibri" w:hAnsi="Calibri" w:cs="Calibri"/>
                <w:spacing w:val="-4"/>
                <w:szCs w:val="22"/>
                <w:lang w:val="en-US"/>
              </w:rPr>
              <w:t>0.96</w:t>
            </w:r>
          </w:p>
        </w:tc>
        <w:tc>
          <w:tcPr>
            <w:tcW w:w="1404" w:type="dxa"/>
          </w:tcPr>
          <w:p w14:paraId="118C7A79" w14:textId="77777777" w:rsidR="00196D08" w:rsidRPr="00CC23E1" w:rsidRDefault="00196D08" w:rsidP="00F140E7">
            <w:pPr>
              <w:widowControl w:val="0"/>
              <w:autoSpaceDE w:val="0"/>
              <w:autoSpaceDN w:val="0"/>
              <w:spacing w:after="0" w:line="268" w:lineRule="exact"/>
              <w:ind w:left="9" w:right="3"/>
              <w:jc w:val="center"/>
              <w:rPr>
                <w:rFonts w:ascii="Calibri" w:eastAsia="Calibri" w:hAnsi="Calibri" w:cs="Calibri"/>
                <w:szCs w:val="22"/>
                <w:lang w:val="en-US"/>
              </w:rPr>
            </w:pPr>
            <w:r w:rsidRPr="00CC23E1">
              <w:rPr>
                <w:rFonts w:ascii="Calibri" w:eastAsia="Calibri" w:hAnsi="Calibri" w:cs="Calibri"/>
                <w:spacing w:val="-4"/>
                <w:szCs w:val="22"/>
                <w:lang w:val="en-US"/>
              </w:rPr>
              <w:t>0.98</w:t>
            </w:r>
          </w:p>
        </w:tc>
        <w:tc>
          <w:tcPr>
            <w:tcW w:w="2141" w:type="dxa"/>
          </w:tcPr>
          <w:p w14:paraId="5543233C" w14:textId="77777777" w:rsidR="00196D08" w:rsidRPr="00CC23E1" w:rsidRDefault="00196D08" w:rsidP="00F140E7">
            <w:pPr>
              <w:widowControl w:val="0"/>
              <w:autoSpaceDE w:val="0"/>
              <w:autoSpaceDN w:val="0"/>
              <w:spacing w:after="0" w:line="268" w:lineRule="exact"/>
              <w:ind w:left="15" w:right="2"/>
              <w:jc w:val="center"/>
              <w:rPr>
                <w:rFonts w:ascii="Calibri" w:eastAsia="Calibri" w:hAnsi="Calibri" w:cs="Calibri"/>
                <w:szCs w:val="22"/>
                <w:lang w:val="en-US"/>
              </w:rPr>
            </w:pPr>
            <w:r w:rsidRPr="00CC23E1">
              <w:rPr>
                <w:rFonts w:ascii="Calibri" w:eastAsia="Calibri" w:hAnsi="Calibri" w:cs="Calibri"/>
                <w:szCs w:val="22"/>
                <w:lang w:val="en-US"/>
              </w:rPr>
              <w:t>Ratio</w:t>
            </w:r>
            <w:r w:rsidRPr="00CC23E1">
              <w:rPr>
                <w:rFonts w:ascii="Calibri" w:eastAsia="Calibri" w:hAnsi="Calibri" w:cs="Calibri"/>
                <w:spacing w:val="-4"/>
                <w:szCs w:val="22"/>
                <w:lang w:val="en-US"/>
              </w:rPr>
              <w:t xml:space="preserve"> </w:t>
            </w:r>
            <w:r w:rsidRPr="00CC23E1">
              <w:rPr>
                <w:rFonts w:ascii="Calibri" w:eastAsia="Calibri" w:hAnsi="Calibri" w:cs="Calibri"/>
                <w:szCs w:val="22"/>
                <w:lang w:val="en-US"/>
              </w:rPr>
              <w:t>=</w:t>
            </w:r>
            <w:r w:rsidRPr="00CC23E1">
              <w:rPr>
                <w:rFonts w:ascii="Calibri" w:eastAsia="Calibri" w:hAnsi="Calibri" w:cs="Calibri"/>
                <w:spacing w:val="-3"/>
                <w:szCs w:val="22"/>
                <w:lang w:val="en-US"/>
              </w:rPr>
              <w:t xml:space="preserve"> </w:t>
            </w:r>
            <w:r w:rsidRPr="00CC23E1">
              <w:rPr>
                <w:rFonts w:ascii="Calibri" w:eastAsia="Calibri" w:hAnsi="Calibri" w:cs="Calibri"/>
                <w:spacing w:val="-4"/>
                <w:szCs w:val="22"/>
                <w:lang w:val="en-US"/>
              </w:rPr>
              <w:t>0.99</w:t>
            </w:r>
          </w:p>
          <w:p w14:paraId="0BABA63E" w14:textId="77777777" w:rsidR="00196D08" w:rsidRPr="00CC23E1" w:rsidRDefault="00196D08" w:rsidP="00F140E7">
            <w:pPr>
              <w:widowControl w:val="0"/>
              <w:autoSpaceDE w:val="0"/>
              <w:autoSpaceDN w:val="0"/>
              <w:spacing w:before="1" w:after="0" w:line="240" w:lineRule="auto"/>
              <w:ind w:left="15" w:right="3"/>
              <w:jc w:val="center"/>
              <w:rPr>
                <w:rFonts w:ascii="Calibri" w:eastAsia="Calibri" w:hAnsi="Calibri" w:cs="Calibri"/>
                <w:szCs w:val="22"/>
                <w:lang w:val="en-US"/>
              </w:rPr>
            </w:pPr>
            <w:r w:rsidRPr="00CC23E1">
              <w:rPr>
                <w:rFonts w:ascii="Calibri" w:eastAsia="Calibri" w:hAnsi="Calibri" w:cs="Calibri"/>
                <w:szCs w:val="22"/>
                <w:lang w:val="en-US"/>
              </w:rPr>
              <w:t>(0.89,</w:t>
            </w:r>
            <w:r w:rsidRPr="00CC23E1">
              <w:rPr>
                <w:rFonts w:ascii="Calibri" w:eastAsia="Calibri" w:hAnsi="Calibri" w:cs="Calibri"/>
                <w:spacing w:val="-4"/>
                <w:szCs w:val="22"/>
                <w:lang w:val="en-US"/>
              </w:rPr>
              <w:t xml:space="preserve"> </w:t>
            </w:r>
            <w:r w:rsidRPr="00CC23E1">
              <w:rPr>
                <w:rFonts w:ascii="Calibri" w:eastAsia="Calibri" w:hAnsi="Calibri" w:cs="Calibri"/>
                <w:spacing w:val="-2"/>
                <w:szCs w:val="22"/>
                <w:lang w:val="en-US"/>
              </w:rPr>
              <w:t>1.10)</w:t>
            </w:r>
          </w:p>
          <w:p w14:paraId="53154C26" w14:textId="77777777" w:rsidR="00196D08" w:rsidRPr="00CC23E1" w:rsidRDefault="00196D08" w:rsidP="00F140E7">
            <w:pPr>
              <w:widowControl w:val="0"/>
              <w:autoSpaceDE w:val="0"/>
              <w:autoSpaceDN w:val="0"/>
              <w:spacing w:after="0" w:line="249" w:lineRule="exact"/>
              <w:ind w:left="15"/>
              <w:jc w:val="center"/>
              <w:rPr>
                <w:rFonts w:ascii="Calibri" w:eastAsia="Calibri" w:hAnsi="Calibri" w:cs="Calibri"/>
                <w:szCs w:val="22"/>
                <w:lang w:val="en-US"/>
              </w:rPr>
            </w:pPr>
            <w:r w:rsidRPr="00CC23E1">
              <w:rPr>
                <w:rFonts w:ascii="Calibri" w:eastAsia="Calibri" w:hAnsi="Calibri" w:cs="Calibri"/>
                <w:spacing w:val="-4"/>
                <w:szCs w:val="22"/>
                <w:lang w:val="en-US"/>
              </w:rPr>
              <w:t>0.84</w:t>
            </w:r>
          </w:p>
        </w:tc>
      </w:tr>
      <w:tr w:rsidR="00196D08" w:rsidRPr="00CC23E1" w14:paraId="0C1D44C3" w14:textId="77777777" w:rsidTr="00A60DC7">
        <w:trPr>
          <w:tblHeader/>
        </w:trPr>
        <w:tc>
          <w:tcPr>
            <w:tcW w:w="3999" w:type="dxa"/>
            <w:tcBorders>
              <w:bottom w:val="nil"/>
            </w:tcBorders>
          </w:tcPr>
          <w:p w14:paraId="5B360CA7" w14:textId="77777777" w:rsidR="00196D08" w:rsidRPr="00CC23E1" w:rsidRDefault="00196D08" w:rsidP="00F140E7">
            <w:pPr>
              <w:widowControl w:val="0"/>
              <w:autoSpaceDE w:val="0"/>
              <w:autoSpaceDN w:val="0"/>
              <w:spacing w:after="0" w:line="268" w:lineRule="exact"/>
              <w:ind w:left="107"/>
              <w:rPr>
                <w:rFonts w:ascii="Calibri" w:eastAsia="Calibri" w:hAnsi="Calibri" w:cs="Calibri"/>
                <w:szCs w:val="22"/>
                <w:lang w:val="en-US"/>
              </w:rPr>
            </w:pPr>
            <w:proofErr w:type="spellStart"/>
            <w:r w:rsidRPr="00CC23E1">
              <w:rPr>
                <w:rFonts w:ascii="Calibri" w:eastAsia="Calibri" w:hAnsi="Calibri" w:cs="Calibri"/>
                <w:szCs w:val="22"/>
                <w:lang w:val="en-US"/>
              </w:rPr>
              <w:t>MAVEs</w:t>
            </w:r>
            <w:r w:rsidRPr="00CC23E1">
              <w:rPr>
                <w:rFonts w:ascii="Calibri" w:eastAsia="Calibri" w:hAnsi="Calibri" w:cs="Calibri"/>
                <w:szCs w:val="22"/>
                <w:vertAlign w:val="superscript"/>
                <w:lang w:val="en-US"/>
              </w:rPr>
              <w:t>h</w:t>
            </w:r>
            <w:proofErr w:type="spellEnd"/>
            <w:r w:rsidRPr="00CC23E1">
              <w:rPr>
                <w:rFonts w:ascii="Calibri" w:eastAsia="Calibri" w:hAnsi="Calibri" w:cs="Calibri"/>
                <w:spacing w:val="9"/>
                <w:szCs w:val="22"/>
                <w:lang w:val="en-US"/>
              </w:rPr>
              <w:t xml:space="preserve"> </w:t>
            </w:r>
            <w:r w:rsidRPr="00CC23E1">
              <w:rPr>
                <w:rFonts w:ascii="Calibri" w:eastAsia="Calibri" w:hAnsi="Calibri" w:cs="Calibri"/>
                <w:szCs w:val="22"/>
                <w:lang w:val="en-US"/>
              </w:rPr>
              <w:t>%</w:t>
            </w:r>
            <w:r w:rsidRPr="00CC23E1">
              <w:rPr>
                <w:rFonts w:ascii="Calibri" w:eastAsia="Calibri" w:hAnsi="Calibri" w:cs="Calibri"/>
                <w:spacing w:val="-4"/>
                <w:szCs w:val="22"/>
                <w:lang w:val="en-US"/>
              </w:rPr>
              <w:t xml:space="preserve"> (n/N)</w:t>
            </w:r>
          </w:p>
        </w:tc>
        <w:tc>
          <w:tcPr>
            <w:tcW w:w="1529" w:type="dxa"/>
            <w:tcBorders>
              <w:bottom w:val="nil"/>
            </w:tcBorders>
          </w:tcPr>
          <w:p w14:paraId="43905815" w14:textId="77777777" w:rsidR="00196D08" w:rsidRPr="00CC23E1" w:rsidRDefault="00196D08" w:rsidP="00F140E7">
            <w:pPr>
              <w:widowControl w:val="0"/>
              <w:autoSpaceDE w:val="0"/>
              <w:autoSpaceDN w:val="0"/>
              <w:spacing w:after="0" w:line="268" w:lineRule="exact"/>
              <w:ind w:left="11" w:right="3"/>
              <w:jc w:val="center"/>
              <w:rPr>
                <w:rFonts w:ascii="Calibri" w:eastAsia="Calibri" w:hAnsi="Calibri" w:cs="Calibri"/>
                <w:szCs w:val="22"/>
                <w:lang w:val="en-US"/>
              </w:rPr>
            </w:pPr>
            <w:r w:rsidRPr="00CC23E1">
              <w:rPr>
                <w:rFonts w:ascii="Calibri" w:eastAsia="Calibri" w:hAnsi="Calibri" w:cs="Calibri"/>
                <w:spacing w:val="-5"/>
                <w:szCs w:val="22"/>
                <w:lang w:val="en-US"/>
              </w:rPr>
              <w:t>1.6</w:t>
            </w:r>
          </w:p>
        </w:tc>
        <w:tc>
          <w:tcPr>
            <w:tcW w:w="1404" w:type="dxa"/>
            <w:tcBorders>
              <w:bottom w:val="nil"/>
            </w:tcBorders>
          </w:tcPr>
          <w:p w14:paraId="138FE94F" w14:textId="77777777" w:rsidR="00196D08" w:rsidRPr="00CC23E1" w:rsidRDefault="00196D08" w:rsidP="00F140E7">
            <w:pPr>
              <w:widowControl w:val="0"/>
              <w:autoSpaceDE w:val="0"/>
              <w:autoSpaceDN w:val="0"/>
              <w:spacing w:after="0" w:line="268" w:lineRule="exact"/>
              <w:ind w:left="9" w:right="1"/>
              <w:jc w:val="center"/>
              <w:rPr>
                <w:rFonts w:ascii="Calibri" w:eastAsia="Calibri" w:hAnsi="Calibri" w:cs="Calibri"/>
                <w:szCs w:val="22"/>
                <w:lang w:val="en-US"/>
              </w:rPr>
            </w:pPr>
            <w:r w:rsidRPr="00CC23E1">
              <w:rPr>
                <w:rFonts w:ascii="Calibri" w:eastAsia="Calibri" w:hAnsi="Calibri" w:cs="Calibri"/>
                <w:spacing w:val="-10"/>
                <w:szCs w:val="22"/>
                <w:lang w:val="en-US"/>
              </w:rPr>
              <w:t>0</w:t>
            </w:r>
          </w:p>
        </w:tc>
        <w:tc>
          <w:tcPr>
            <w:tcW w:w="2141" w:type="dxa"/>
            <w:tcBorders>
              <w:bottom w:val="nil"/>
            </w:tcBorders>
          </w:tcPr>
          <w:p w14:paraId="12F640B6"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r>
      <w:tr w:rsidR="00196D08" w:rsidRPr="00CC23E1" w14:paraId="6B8AD7C8" w14:textId="77777777" w:rsidTr="00A60DC7">
        <w:trPr>
          <w:tblHeader/>
        </w:trPr>
        <w:tc>
          <w:tcPr>
            <w:tcW w:w="3999" w:type="dxa"/>
            <w:tcBorders>
              <w:top w:val="nil"/>
              <w:bottom w:val="nil"/>
            </w:tcBorders>
          </w:tcPr>
          <w:p w14:paraId="59E39A9F"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1529" w:type="dxa"/>
            <w:tcBorders>
              <w:top w:val="nil"/>
              <w:bottom w:val="nil"/>
            </w:tcBorders>
          </w:tcPr>
          <w:p w14:paraId="0BAF9EEE" w14:textId="77777777" w:rsidR="00196D08" w:rsidRPr="00CC23E1" w:rsidRDefault="00196D08" w:rsidP="00F140E7">
            <w:pPr>
              <w:widowControl w:val="0"/>
              <w:autoSpaceDE w:val="0"/>
              <w:autoSpaceDN w:val="0"/>
              <w:spacing w:after="0" w:line="249" w:lineRule="exact"/>
              <w:ind w:left="11" w:right="3"/>
              <w:jc w:val="center"/>
              <w:rPr>
                <w:rFonts w:ascii="Calibri" w:eastAsia="Calibri" w:hAnsi="Calibri" w:cs="Calibri"/>
                <w:szCs w:val="22"/>
                <w:lang w:val="en-US"/>
              </w:rPr>
            </w:pPr>
            <w:r w:rsidRPr="00CC23E1">
              <w:rPr>
                <w:rFonts w:ascii="Calibri" w:eastAsia="Calibri" w:hAnsi="Calibri" w:cs="Calibri"/>
                <w:spacing w:val="-2"/>
                <w:szCs w:val="22"/>
                <w:lang w:val="en-US"/>
              </w:rPr>
              <w:t>(1/62)</w:t>
            </w:r>
          </w:p>
        </w:tc>
        <w:tc>
          <w:tcPr>
            <w:tcW w:w="1404" w:type="dxa"/>
            <w:tcBorders>
              <w:top w:val="nil"/>
              <w:bottom w:val="nil"/>
            </w:tcBorders>
          </w:tcPr>
          <w:p w14:paraId="6B70C9C7"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60F9D5C5"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r>
      <w:tr w:rsidR="00196D08" w:rsidRPr="00CC23E1" w14:paraId="4406A080" w14:textId="77777777" w:rsidTr="00A60DC7">
        <w:trPr>
          <w:tblHeader/>
        </w:trPr>
        <w:tc>
          <w:tcPr>
            <w:tcW w:w="3999" w:type="dxa"/>
            <w:tcBorders>
              <w:top w:val="nil"/>
              <w:bottom w:val="nil"/>
            </w:tcBorders>
          </w:tcPr>
          <w:p w14:paraId="4884FF1A" w14:textId="77777777" w:rsidR="00196D08" w:rsidRPr="00CC23E1" w:rsidRDefault="00196D08" w:rsidP="00F140E7">
            <w:pPr>
              <w:widowControl w:val="0"/>
              <w:autoSpaceDE w:val="0"/>
              <w:autoSpaceDN w:val="0"/>
              <w:spacing w:before="114" w:after="0" w:line="240" w:lineRule="auto"/>
              <w:ind w:left="107"/>
              <w:rPr>
                <w:rFonts w:ascii="Calibri" w:eastAsia="Calibri" w:hAnsi="Calibri" w:cs="Calibri"/>
                <w:szCs w:val="22"/>
                <w:lang w:val="en-US"/>
              </w:rPr>
            </w:pPr>
            <w:r w:rsidRPr="00CC23E1">
              <w:rPr>
                <w:rFonts w:ascii="Calibri" w:eastAsia="Calibri" w:hAnsi="Calibri" w:cs="Calibri"/>
                <w:szCs w:val="22"/>
                <w:lang w:val="en-US"/>
              </w:rPr>
              <w:t>Annualized</w:t>
            </w:r>
            <w:r w:rsidRPr="00CC23E1">
              <w:rPr>
                <w:rFonts w:ascii="Calibri" w:eastAsia="Calibri" w:hAnsi="Calibri" w:cs="Calibri"/>
                <w:spacing w:val="-3"/>
                <w:szCs w:val="22"/>
                <w:lang w:val="en-US"/>
              </w:rPr>
              <w:t xml:space="preserve"> </w:t>
            </w:r>
            <w:r w:rsidRPr="00CC23E1">
              <w:rPr>
                <w:rFonts w:ascii="Calibri" w:eastAsia="Calibri" w:hAnsi="Calibri" w:cs="Calibri"/>
                <w:szCs w:val="22"/>
                <w:lang w:val="en-US"/>
              </w:rPr>
              <w:t>rate</w:t>
            </w:r>
            <w:r w:rsidRPr="00CC23E1">
              <w:rPr>
                <w:rFonts w:ascii="Calibri" w:eastAsia="Calibri" w:hAnsi="Calibri" w:cs="Calibri"/>
                <w:spacing w:val="-3"/>
                <w:szCs w:val="22"/>
                <w:lang w:val="en-US"/>
              </w:rPr>
              <w:t xml:space="preserve"> </w:t>
            </w:r>
            <w:r w:rsidRPr="00CC23E1">
              <w:rPr>
                <w:rFonts w:ascii="Calibri" w:eastAsia="Calibri" w:hAnsi="Calibri" w:cs="Calibri"/>
                <w:szCs w:val="22"/>
                <w:lang w:val="en-US"/>
              </w:rPr>
              <w:t>of</w:t>
            </w:r>
            <w:r w:rsidRPr="00CC23E1">
              <w:rPr>
                <w:rFonts w:ascii="Calibri" w:eastAsia="Calibri" w:hAnsi="Calibri" w:cs="Calibri"/>
                <w:spacing w:val="-3"/>
                <w:szCs w:val="22"/>
                <w:lang w:val="en-US"/>
              </w:rPr>
              <w:t xml:space="preserve"> </w:t>
            </w:r>
            <w:proofErr w:type="spellStart"/>
            <w:r w:rsidRPr="00CC23E1">
              <w:rPr>
                <w:rFonts w:ascii="Calibri" w:eastAsia="Calibri" w:hAnsi="Calibri" w:cs="Calibri"/>
                <w:spacing w:val="-2"/>
                <w:szCs w:val="22"/>
                <w:lang w:val="en-US"/>
              </w:rPr>
              <w:t>MAVEs</w:t>
            </w:r>
            <w:r w:rsidRPr="00CC23E1">
              <w:rPr>
                <w:rFonts w:ascii="Calibri" w:eastAsia="Calibri" w:hAnsi="Calibri" w:cs="Calibri"/>
                <w:spacing w:val="-2"/>
                <w:szCs w:val="22"/>
                <w:vertAlign w:val="superscript"/>
                <w:lang w:val="en-US"/>
              </w:rPr>
              <w:t>h</w:t>
            </w:r>
            <w:proofErr w:type="spellEnd"/>
          </w:p>
        </w:tc>
        <w:tc>
          <w:tcPr>
            <w:tcW w:w="1529" w:type="dxa"/>
            <w:tcBorders>
              <w:top w:val="nil"/>
              <w:bottom w:val="nil"/>
            </w:tcBorders>
          </w:tcPr>
          <w:p w14:paraId="313B7491" w14:textId="77777777" w:rsidR="00196D08" w:rsidRPr="00CC23E1" w:rsidRDefault="00196D08" w:rsidP="00F140E7">
            <w:pPr>
              <w:widowControl w:val="0"/>
              <w:autoSpaceDE w:val="0"/>
              <w:autoSpaceDN w:val="0"/>
              <w:spacing w:before="114" w:after="0" w:line="240" w:lineRule="auto"/>
              <w:ind w:left="11" w:right="1"/>
              <w:jc w:val="center"/>
              <w:rPr>
                <w:rFonts w:ascii="Calibri" w:eastAsia="Calibri" w:hAnsi="Calibri" w:cs="Calibri"/>
                <w:szCs w:val="22"/>
                <w:lang w:val="en-US"/>
              </w:rPr>
            </w:pPr>
            <w:r w:rsidRPr="00CC23E1">
              <w:rPr>
                <w:rFonts w:ascii="Calibri" w:eastAsia="Calibri" w:hAnsi="Calibri" w:cs="Calibri"/>
                <w:spacing w:val="-4"/>
                <w:szCs w:val="22"/>
                <w:lang w:val="en-US"/>
              </w:rPr>
              <w:t>0.03</w:t>
            </w:r>
          </w:p>
        </w:tc>
        <w:tc>
          <w:tcPr>
            <w:tcW w:w="1404" w:type="dxa"/>
            <w:tcBorders>
              <w:top w:val="nil"/>
              <w:bottom w:val="nil"/>
            </w:tcBorders>
          </w:tcPr>
          <w:p w14:paraId="50F3BCA3" w14:textId="77777777" w:rsidR="00196D08" w:rsidRPr="00CC23E1" w:rsidRDefault="00196D08" w:rsidP="00F140E7">
            <w:pPr>
              <w:widowControl w:val="0"/>
              <w:autoSpaceDE w:val="0"/>
              <w:autoSpaceDN w:val="0"/>
              <w:spacing w:before="114" w:after="0" w:line="240" w:lineRule="auto"/>
              <w:ind w:left="9" w:right="1"/>
              <w:jc w:val="center"/>
              <w:rPr>
                <w:rFonts w:ascii="Calibri" w:eastAsia="Calibri" w:hAnsi="Calibri" w:cs="Calibri"/>
                <w:szCs w:val="22"/>
                <w:lang w:val="en-US"/>
              </w:rPr>
            </w:pPr>
            <w:r w:rsidRPr="00CC23E1">
              <w:rPr>
                <w:rFonts w:ascii="Calibri" w:eastAsia="Calibri" w:hAnsi="Calibri" w:cs="Calibri"/>
                <w:spacing w:val="-10"/>
                <w:szCs w:val="22"/>
                <w:lang w:val="en-US"/>
              </w:rPr>
              <w:t>0</w:t>
            </w:r>
          </w:p>
        </w:tc>
        <w:tc>
          <w:tcPr>
            <w:tcW w:w="2141" w:type="dxa"/>
            <w:tcBorders>
              <w:top w:val="nil"/>
              <w:bottom w:val="nil"/>
            </w:tcBorders>
          </w:tcPr>
          <w:p w14:paraId="31988A83" w14:textId="77777777" w:rsidR="00196D08" w:rsidRPr="00CC23E1" w:rsidRDefault="00196D08" w:rsidP="00F140E7">
            <w:pPr>
              <w:widowControl w:val="0"/>
              <w:autoSpaceDE w:val="0"/>
              <w:autoSpaceDN w:val="0"/>
              <w:spacing w:before="114" w:after="0" w:line="240" w:lineRule="auto"/>
              <w:ind w:left="15" w:right="1"/>
              <w:jc w:val="center"/>
              <w:rPr>
                <w:rFonts w:ascii="Calibri" w:eastAsia="Calibri" w:hAnsi="Calibri" w:cs="Calibri"/>
                <w:szCs w:val="22"/>
                <w:lang w:val="en-US"/>
              </w:rPr>
            </w:pPr>
            <w:r w:rsidRPr="00CC23E1">
              <w:rPr>
                <w:rFonts w:ascii="Calibri" w:eastAsia="Calibri" w:hAnsi="Calibri" w:cs="Calibri"/>
                <w:spacing w:val="-4"/>
                <w:szCs w:val="22"/>
                <w:lang w:val="en-US"/>
              </w:rPr>
              <w:t>0.03</w:t>
            </w:r>
          </w:p>
        </w:tc>
      </w:tr>
      <w:tr w:rsidR="00196D08" w:rsidRPr="00CC23E1" w14:paraId="3A3D3301" w14:textId="77777777" w:rsidTr="00A60DC7">
        <w:trPr>
          <w:tblHeader/>
        </w:trPr>
        <w:tc>
          <w:tcPr>
            <w:tcW w:w="3999" w:type="dxa"/>
            <w:tcBorders>
              <w:top w:val="nil"/>
              <w:bottom w:val="nil"/>
            </w:tcBorders>
          </w:tcPr>
          <w:p w14:paraId="4D483154"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1529" w:type="dxa"/>
            <w:tcBorders>
              <w:top w:val="nil"/>
              <w:bottom w:val="nil"/>
            </w:tcBorders>
          </w:tcPr>
          <w:p w14:paraId="659953C2"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bottom w:val="nil"/>
            </w:tcBorders>
          </w:tcPr>
          <w:p w14:paraId="462F1710"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bottom w:val="nil"/>
            </w:tcBorders>
          </w:tcPr>
          <w:p w14:paraId="179495A2" w14:textId="77777777" w:rsidR="00196D08" w:rsidRPr="00CC23E1" w:rsidRDefault="00196D08" w:rsidP="00F140E7">
            <w:pPr>
              <w:widowControl w:val="0"/>
              <w:autoSpaceDE w:val="0"/>
              <w:autoSpaceDN w:val="0"/>
              <w:spacing w:after="0" w:line="249" w:lineRule="exact"/>
              <w:ind w:left="15" w:right="3"/>
              <w:jc w:val="center"/>
              <w:rPr>
                <w:rFonts w:ascii="Calibri" w:eastAsia="Calibri" w:hAnsi="Calibri" w:cs="Calibri"/>
                <w:szCs w:val="22"/>
                <w:lang w:val="en-US"/>
              </w:rPr>
            </w:pPr>
            <w:r w:rsidRPr="00CC23E1">
              <w:rPr>
                <w:rFonts w:ascii="Calibri" w:eastAsia="Calibri" w:hAnsi="Calibri" w:cs="Calibri"/>
                <w:szCs w:val="22"/>
                <w:lang w:val="en-US"/>
              </w:rPr>
              <w:t>(-0.03,</w:t>
            </w:r>
            <w:r w:rsidRPr="00CC23E1">
              <w:rPr>
                <w:rFonts w:ascii="Calibri" w:eastAsia="Calibri" w:hAnsi="Calibri" w:cs="Calibri"/>
                <w:spacing w:val="-5"/>
                <w:szCs w:val="22"/>
                <w:lang w:val="en-US"/>
              </w:rPr>
              <w:t xml:space="preserve"> </w:t>
            </w:r>
            <w:r w:rsidRPr="00CC23E1">
              <w:rPr>
                <w:rFonts w:ascii="Calibri" w:eastAsia="Calibri" w:hAnsi="Calibri" w:cs="Calibri"/>
                <w:spacing w:val="-2"/>
                <w:szCs w:val="22"/>
                <w:lang w:val="en-US"/>
              </w:rPr>
              <w:t>0.10)</w:t>
            </w:r>
          </w:p>
        </w:tc>
      </w:tr>
      <w:tr w:rsidR="00196D08" w:rsidRPr="00CC23E1" w14:paraId="6D528834" w14:textId="77777777" w:rsidTr="00A60DC7">
        <w:trPr>
          <w:tblHeader/>
        </w:trPr>
        <w:tc>
          <w:tcPr>
            <w:tcW w:w="3999" w:type="dxa"/>
            <w:tcBorders>
              <w:top w:val="nil"/>
            </w:tcBorders>
          </w:tcPr>
          <w:p w14:paraId="58DA8E52"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1529" w:type="dxa"/>
            <w:tcBorders>
              <w:top w:val="nil"/>
            </w:tcBorders>
          </w:tcPr>
          <w:p w14:paraId="5392BB47"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1404" w:type="dxa"/>
            <w:tcBorders>
              <w:top w:val="nil"/>
            </w:tcBorders>
          </w:tcPr>
          <w:p w14:paraId="3F276451" w14:textId="77777777" w:rsidR="00196D08" w:rsidRPr="00CC23E1" w:rsidRDefault="00196D08" w:rsidP="00F140E7">
            <w:pPr>
              <w:widowControl w:val="0"/>
              <w:autoSpaceDE w:val="0"/>
              <w:autoSpaceDN w:val="0"/>
              <w:spacing w:after="0" w:line="240" w:lineRule="auto"/>
              <w:rPr>
                <w:rFonts w:ascii="Times New Roman" w:eastAsia="Calibri" w:hAnsi="Calibri" w:cs="Calibri"/>
                <w:sz w:val="18"/>
                <w:szCs w:val="22"/>
                <w:lang w:val="en-US"/>
              </w:rPr>
            </w:pPr>
          </w:p>
        </w:tc>
        <w:tc>
          <w:tcPr>
            <w:tcW w:w="2141" w:type="dxa"/>
            <w:tcBorders>
              <w:top w:val="nil"/>
            </w:tcBorders>
          </w:tcPr>
          <w:p w14:paraId="654042E0" w14:textId="77777777" w:rsidR="00196D08" w:rsidRPr="00CC23E1" w:rsidRDefault="00196D08" w:rsidP="00F140E7">
            <w:pPr>
              <w:widowControl w:val="0"/>
              <w:autoSpaceDE w:val="0"/>
              <w:autoSpaceDN w:val="0"/>
              <w:spacing w:after="0" w:line="229" w:lineRule="exact"/>
              <w:ind w:left="15" w:right="1"/>
              <w:jc w:val="center"/>
              <w:rPr>
                <w:rFonts w:ascii="Calibri" w:eastAsia="Calibri" w:hAnsi="Calibri" w:cs="Calibri"/>
                <w:szCs w:val="22"/>
                <w:lang w:val="en-US"/>
              </w:rPr>
            </w:pPr>
            <w:r w:rsidRPr="00CC23E1">
              <w:rPr>
                <w:rFonts w:ascii="Calibri" w:eastAsia="Calibri" w:hAnsi="Calibri" w:cs="Calibri"/>
                <w:spacing w:val="-4"/>
                <w:szCs w:val="22"/>
                <w:lang w:val="en-US"/>
              </w:rPr>
              <w:t>0.32</w:t>
            </w:r>
          </w:p>
        </w:tc>
      </w:tr>
    </w:tbl>
    <w:bookmarkEnd w:id="35"/>
    <w:p w14:paraId="79B50BE6" w14:textId="77777777" w:rsidR="00A60DC7" w:rsidRDefault="00A60DC7" w:rsidP="00C73D68">
      <w:pPr>
        <w:pStyle w:val="TableDescription"/>
        <w:contextualSpacing/>
      </w:pPr>
      <w:r>
        <w:t>Abbreviations: RR, rate ratio; LDH, lactate dehydrogenase; MAVEs, major adverse vascular events.</w:t>
      </w:r>
    </w:p>
    <w:p w14:paraId="31966347" w14:textId="77777777" w:rsidR="00A60DC7" w:rsidRDefault="00A60DC7" w:rsidP="00C73D68">
      <w:pPr>
        <w:pStyle w:val="TableDescription"/>
        <w:contextualSpacing/>
      </w:pPr>
      <w:proofErr w:type="gramStart"/>
      <w:r>
        <w:t>a</w:t>
      </w:r>
      <w:proofErr w:type="gramEnd"/>
      <w:r>
        <w:t xml:space="preserve"> Assessed between Day 126 and 168.</w:t>
      </w:r>
    </w:p>
    <w:p w14:paraId="716B63D8" w14:textId="77777777" w:rsidR="00A60DC7" w:rsidRDefault="00A60DC7" w:rsidP="00C73D68">
      <w:pPr>
        <w:pStyle w:val="TableDescription"/>
        <w:contextualSpacing/>
      </w:pPr>
      <w:r>
        <w:t>b Based on observed data among evaluable patients (in 2 patients with partially missing central haemoglobin data between days 126 and 168, the haematological response could not be established unequivocally). The haematological response was derived using multiple imputation. These patients did not discontinue).</w:t>
      </w:r>
    </w:p>
    <w:p w14:paraId="3FE2597E" w14:textId="77777777" w:rsidR="00A60DC7" w:rsidRDefault="00A60DC7" w:rsidP="00C73D68">
      <w:pPr>
        <w:pStyle w:val="TableDescription"/>
        <w:contextualSpacing/>
      </w:pPr>
      <w:r>
        <w:t>c Response rate reflects the adjusted proportion.</w:t>
      </w:r>
    </w:p>
    <w:p w14:paraId="699012B5" w14:textId="77777777" w:rsidR="00A60DC7" w:rsidRDefault="00A60DC7" w:rsidP="00C73D68">
      <w:pPr>
        <w:pStyle w:val="TableDescription"/>
        <w:contextualSpacing/>
      </w:pPr>
      <w:r>
        <w:lastRenderedPageBreak/>
        <w:t>d Assessed between Day 14 and 168.</w:t>
      </w:r>
    </w:p>
    <w:p w14:paraId="572AA516" w14:textId="77777777" w:rsidR="00A60DC7" w:rsidRDefault="00A60DC7" w:rsidP="00C73D68">
      <w:pPr>
        <w:pStyle w:val="TableDescription"/>
        <w:contextualSpacing/>
      </w:pPr>
      <w:r>
        <w:t>e Transfusion avoidance is defined as absence of administration of packed-red blood cell transfusions or meeting the criteria for transfusion between Day 14 and 168.</w:t>
      </w:r>
    </w:p>
    <w:p w14:paraId="1A0C1616" w14:textId="77777777" w:rsidR="00A60DC7" w:rsidRDefault="00A60DC7" w:rsidP="00C73D68">
      <w:pPr>
        <w:pStyle w:val="TableDescription"/>
        <w:contextualSpacing/>
      </w:pPr>
      <w:r>
        <w:t>f Adjusted mean assessed between Day 126 and 168, values within 30 days after transfusion were excluded from the analysis.</w:t>
      </w:r>
    </w:p>
    <w:p w14:paraId="5CB7FC58" w14:textId="77777777" w:rsidR="00A60DC7" w:rsidRDefault="00A60DC7" w:rsidP="00C73D68">
      <w:pPr>
        <w:pStyle w:val="TableDescription"/>
        <w:contextualSpacing/>
      </w:pPr>
      <w:r>
        <w:t>g Adjusted mean assessed between Day 126 and 168, values within 30 days after transfusion were included in the analysis.</w:t>
      </w:r>
    </w:p>
    <w:p w14:paraId="19589835" w14:textId="77777777" w:rsidR="00A60DC7" w:rsidRDefault="00A60DC7" w:rsidP="00C73D68">
      <w:pPr>
        <w:pStyle w:val="TableDescription"/>
        <w:contextualSpacing/>
      </w:pPr>
      <w:r>
        <w:t>h Assessed between Day 1 and 168.</w:t>
      </w:r>
    </w:p>
    <w:p w14:paraId="0AB0CFA4" w14:textId="7D4EA40A" w:rsidR="00486733" w:rsidRDefault="00A60DC7" w:rsidP="00C73D68">
      <w:pPr>
        <w:pStyle w:val="TableDescription"/>
        <w:contextualSpacing/>
      </w:pPr>
      <w:proofErr w:type="spellStart"/>
      <w:r>
        <w:t>i</w:t>
      </w:r>
      <w:proofErr w:type="spellEnd"/>
      <w:r>
        <w:t xml:space="preserve"> Clinical breakthrough haemolysis defined as meeting clinical criteria (either decrease of Haemoglobin level ≥ 2 g/dL compared to the last assessment or within 15 days; or signs or symptoms of gross haemoglobinuria, painful crisis, dysphagia or any other significant clinical PNH-related signs and symptoms) and laboratory criteria (LDH&gt; 1.5-times ULN</w:t>
      </w:r>
      <w:r w:rsidR="00C73D68">
        <w:t xml:space="preserve"> </w:t>
      </w:r>
      <w:r>
        <w:t>and increased as compared to the last 2 assessments).</w:t>
      </w:r>
    </w:p>
    <w:p w14:paraId="08BE18A0" w14:textId="50F23C06" w:rsidR="00A914E5" w:rsidRDefault="00C25453" w:rsidP="002B5B42">
      <w:pPr>
        <w:pStyle w:val="TableTitle"/>
      </w:pPr>
      <w:r w:rsidRPr="00C25453">
        <w:t xml:space="preserve">Table </w:t>
      </w:r>
      <w:r w:rsidR="00310C85">
        <w:t>4</w:t>
      </w:r>
      <w:r w:rsidRPr="00C25453">
        <w:t>: APPLY-PNH Study, Responder analysis results</w:t>
      </w:r>
    </w:p>
    <w:p w14:paraId="7B6E4D5F" w14:textId="253EB4F8" w:rsidR="003D3C05" w:rsidRDefault="00CA6015" w:rsidP="003D3C05">
      <w:r>
        <w:rPr>
          <w:noProof/>
        </w:rPr>
        <w:drawing>
          <wp:inline distT="0" distB="0" distL="0" distR="0" wp14:anchorId="71B15280" wp14:editId="41497FE0">
            <wp:extent cx="4823393" cy="3433997"/>
            <wp:effectExtent l="0" t="0" r="0" b="0"/>
            <wp:docPr id="1817834746" name="Picture 1" descr="Table 4: APPLY-PNH Study, Responder analysi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34746" name="Picture 1" descr="Table 4: APPLY-PNH Study, Responder analysis results"/>
                    <pic:cNvPicPr/>
                  </pic:nvPicPr>
                  <pic:blipFill>
                    <a:blip r:embed="rId26"/>
                    <a:stretch>
                      <a:fillRect/>
                    </a:stretch>
                  </pic:blipFill>
                  <pic:spPr>
                    <a:xfrm>
                      <a:off x="0" y="0"/>
                      <a:ext cx="4844225" cy="3448828"/>
                    </a:xfrm>
                    <a:prstGeom prst="rect">
                      <a:avLst/>
                    </a:prstGeom>
                  </pic:spPr>
                </pic:pic>
              </a:graphicData>
            </a:graphic>
          </wp:inline>
        </w:drawing>
      </w:r>
    </w:p>
    <w:p w14:paraId="62FA97CD" w14:textId="77777777" w:rsidR="00811D96" w:rsidRDefault="00811D96" w:rsidP="00811D96">
      <w:pPr>
        <w:pStyle w:val="TableDescription"/>
        <w:contextualSpacing/>
      </w:pPr>
      <w:r w:rsidRPr="00811D96">
        <w:t xml:space="preserve">N = The total number of patients in the treatment group included in the model (without missing covariates). </w:t>
      </w:r>
    </w:p>
    <w:p w14:paraId="55F94386" w14:textId="77777777" w:rsidR="00811D96" w:rsidRDefault="00811D96" w:rsidP="00811D96">
      <w:pPr>
        <w:pStyle w:val="TableDescription"/>
        <w:contextualSpacing/>
      </w:pPr>
      <w:r w:rsidRPr="00811D96">
        <w:t xml:space="preserve">n = The number of patients who responded based on non-missing data </w:t>
      </w:r>
    </w:p>
    <w:p w14:paraId="5D1396F0" w14:textId="77777777" w:rsidR="00811D96" w:rsidRDefault="00811D96" w:rsidP="00811D96">
      <w:pPr>
        <w:pStyle w:val="TableDescription"/>
        <w:contextualSpacing/>
      </w:pPr>
      <w:r w:rsidRPr="00811D96">
        <w:t xml:space="preserve">M = The number of patients in the treatment group with response variable defined based on non-missing data (evaluable patients). </w:t>
      </w:r>
    </w:p>
    <w:p w14:paraId="2E8715DF" w14:textId="0C561C94" w:rsidR="00811D96" w:rsidRDefault="00811D96" w:rsidP="00811D96">
      <w:pPr>
        <w:pStyle w:val="TableDescription"/>
        <w:contextualSpacing/>
      </w:pPr>
      <w:r w:rsidRPr="00811D96">
        <w:t xml:space="preserve">1 Logistic regression model using Firth correction with common intercept and randomization strata, sex, indicator variable of age &gt;= 45 years, indicator variable of baseline </w:t>
      </w:r>
      <w:r w:rsidR="006402C8" w:rsidRPr="00811D96">
        <w:t>haemoglobin</w:t>
      </w:r>
      <w:r w:rsidRPr="00811D96">
        <w:t xml:space="preserve"> &gt;= 9 g/dL as factors. The 95% CI is computed using bootstrap. </w:t>
      </w:r>
    </w:p>
    <w:p w14:paraId="7E73F20A" w14:textId="1BDF8C56" w:rsidR="00811D96" w:rsidRDefault="00811D96" w:rsidP="00811D96">
      <w:pPr>
        <w:pStyle w:val="TableDescription"/>
        <w:contextualSpacing/>
      </w:pPr>
      <w:r w:rsidRPr="00811D96">
        <w:t>2 Logistic regression model using Firth correction with randomization strata, sex, indicator variable of age</w:t>
      </w:r>
      <w:proofErr w:type="gramStart"/>
      <w:r w:rsidRPr="00811D96">
        <w:t xml:space="preserve"> ?..</w:t>
      </w:r>
      <w:proofErr w:type="gramEnd"/>
      <w:r w:rsidRPr="00811D96">
        <w:t xml:space="preserve"> 45 years, indicator variable of baseline </w:t>
      </w:r>
      <w:r w:rsidR="006402C8" w:rsidRPr="00811D96">
        <w:t>haemoglobin</w:t>
      </w:r>
      <w:r w:rsidRPr="00811D96">
        <w:t xml:space="preserve"> &gt;= 9 g/dL as factors. </w:t>
      </w:r>
    </w:p>
    <w:p w14:paraId="0884F6E8" w14:textId="77777777" w:rsidR="00811D96" w:rsidRDefault="00811D96" w:rsidP="00811D96">
      <w:pPr>
        <w:pStyle w:val="TableDescription"/>
        <w:contextualSpacing/>
      </w:pPr>
      <w:r w:rsidRPr="00811D96">
        <w:t xml:space="preserve">$ between Day 126 and 168 (at least 3 out of 4 scheduled measurements). </w:t>
      </w:r>
    </w:p>
    <w:p w14:paraId="6E79EA67" w14:textId="41197407" w:rsidR="00811D96" w:rsidRDefault="00811D96" w:rsidP="00811D96">
      <w:pPr>
        <w:pStyle w:val="TableDescription"/>
        <w:contextualSpacing/>
      </w:pPr>
      <w:r w:rsidRPr="00811D96">
        <w:t># between Day 14 and Day 168. Requiring RBC transfusions refers to any patient receiving transfusions or meeting protocol defined criteria.</w:t>
      </w:r>
    </w:p>
    <w:p w14:paraId="4502234E" w14:textId="77777777" w:rsidR="00642B93" w:rsidRDefault="00642B93" w:rsidP="00642B93">
      <w:bookmarkStart w:id="36" w:name="_Toc314842514"/>
      <w:r>
        <w:t>Consistency of the 2 primary analyses was confirmed by the results of 2 sensitivity analyses, 2 post hoc analyses and a supportive analysis using a Cochran-Mantel-Haenszel test. Pre-specified sub-group analyses for the 2 primary haematological endpoints were consistent across subgroups including the groups having transfusion history in the 6 months prior to randomisation (Yes/No), number of transfusions in the last 6 months prior to randomisation (&lt;2/&gt;2) and baseline haemoglobin value (&lt;9g/dL/&gt;9g/dL).</w:t>
      </w:r>
    </w:p>
    <w:p w14:paraId="7E1139E7" w14:textId="77777777" w:rsidR="00642B93" w:rsidRDefault="00642B93" w:rsidP="00642B93">
      <w:r>
        <w:t>The results for secondary endpoints are included in table 2, above. Iptacopan was superior to anti-C5 therapy in terms of avoiding transfusion between day 14 – 168, change from baseline in Hb, reticulocyte count, and LDH, and the annualised adjusted rate of breakthrough haemolysis.</w:t>
      </w:r>
    </w:p>
    <w:p w14:paraId="75E75990" w14:textId="633C6F05" w:rsidR="00642B93" w:rsidRDefault="00642B93" w:rsidP="00642B93">
      <w:r>
        <w:lastRenderedPageBreak/>
        <w:t xml:space="preserve">Iptacopan was not statistically significantly superior to anti-C5 therapy for MAVEs between day 1 and 168 of the randomised treatment period. Event rates however were small: 1 patient in the iptacopan group had a MAVE, a </w:t>
      </w:r>
      <w:r w:rsidR="00212B71">
        <w:t>transient ischemic attack</w:t>
      </w:r>
      <w:r>
        <w:t>, translating into an annualised rate (95% CI) of 0.03% (0.00, 0.25) and there being no event in the anti-C5 group (p=0.3173).</w:t>
      </w:r>
    </w:p>
    <w:p w14:paraId="5B9E25C1" w14:textId="77777777" w:rsidR="00642B93" w:rsidRDefault="00642B93" w:rsidP="00041E49">
      <w:pPr>
        <w:pStyle w:val="Heading6"/>
      </w:pPr>
      <w:r>
        <w:t>Results (DCO 6 March 2023)</w:t>
      </w:r>
    </w:p>
    <w:p w14:paraId="5D1B4E67" w14:textId="6A964BD5" w:rsidR="00642B93" w:rsidRDefault="00642B93" w:rsidP="00642B93">
      <w:r>
        <w:t xml:space="preserve">No formal statistical inference was planned for the endpoints in the extension phase of the APPLY-PNH study. Nevertheless, the </w:t>
      </w:r>
      <w:proofErr w:type="gramStart"/>
      <w:r>
        <w:t>48 week</w:t>
      </w:r>
      <w:proofErr w:type="gramEnd"/>
      <w:r>
        <w:t xml:space="preserve"> efficacy results supported the durability of iptacopan at 200mg bd in terms of the increase in mean Hb levels, and transfusion independence</w:t>
      </w:r>
      <w:r w:rsidR="00DF6494">
        <w:t xml:space="preserve"> (Figure 2)</w:t>
      </w:r>
      <w:r>
        <w:t xml:space="preserve">. The following figure shows the arithmetic mean (SD) of </w:t>
      </w:r>
      <w:r w:rsidR="006402C8">
        <w:t>haemoglobin</w:t>
      </w:r>
      <w:r>
        <w:t xml:space="preserve"> (g/dL) by treatment group and visit. For patients initially randomised to iptacopan, increased Hb levels were maintained throughout the extension period (mean (SD) </w:t>
      </w:r>
      <w:r w:rsidR="006402C8">
        <w:t>haemoglobin</w:t>
      </w:r>
      <w:r>
        <w:t xml:space="preserve"> was 8.93 (0.70) g/dL at baseline, 12.61 (1.43) g/dL at Day 168 (24 weeks) and 12.19 (1.57) g/dL at Day 336). For patients who switched from a C5 inhibitor to iptacopan for the extension period, an increase in mean Hb was seen following the switch, and was maintained throughout the extension period (mean (SD) </w:t>
      </w:r>
      <w:r w:rsidR="006402C8">
        <w:t>haemoglobin</w:t>
      </w:r>
      <w:r>
        <w:t xml:space="preserve"> was 8.85 (0.90) g/dL at baseline, 9.15 (1.41) g/dL at Day 168 (24 weeks) (last assessment before switch) and 12.12 (1.41) g/dL at Day 336 (48 weeks). Note that the trial eligibility criteria required residual anaemia despite anti-C5 therapy, thus, is it not know how iptacopan compares to C5 inhibitors in the general PNH population.</w:t>
      </w:r>
    </w:p>
    <w:p w14:paraId="569DBCD8" w14:textId="0B8FBA52" w:rsidR="00642B93" w:rsidRDefault="00642B93" w:rsidP="00DE51DF">
      <w:pPr>
        <w:pStyle w:val="FigureTitle"/>
      </w:pPr>
      <w:r>
        <w:t xml:space="preserve">Figure 2: </w:t>
      </w:r>
      <w:r w:rsidR="00D41FD2" w:rsidRPr="00D41FD2">
        <w:t>Plot of haemoglobin values over time in available data up to Week 48 in APPLY-PNH (FAS)</w:t>
      </w:r>
    </w:p>
    <w:p w14:paraId="746FC034" w14:textId="57427594" w:rsidR="00CD4688" w:rsidRDefault="00CD4688" w:rsidP="00A26BF3">
      <w:r>
        <w:rPr>
          <w:noProof/>
        </w:rPr>
        <w:drawing>
          <wp:inline distT="0" distB="0" distL="0" distR="0" wp14:anchorId="2BA59472" wp14:editId="11DB3E5B">
            <wp:extent cx="6165850" cy="2145030"/>
            <wp:effectExtent l="0" t="0" r="6350" b="7620"/>
            <wp:docPr id="1757695579" name="Picture 1" descr="Figure 2: Plot of haemoglobin values over time in available data up to Week 48 in APPLY-PNH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95579" name="Picture 1" descr="Figure 2: Plot of haemoglobin values over time in available data up to Week 48 in APPLY-PNH (FAS)"/>
                    <pic:cNvPicPr/>
                  </pic:nvPicPr>
                  <pic:blipFill>
                    <a:blip r:embed="rId27"/>
                    <a:stretch>
                      <a:fillRect/>
                    </a:stretch>
                  </pic:blipFill>
                  <pic:spPr>
                    <a:xfrm>
                      <a:off x="0" y="0"/>
                      <a:ext cx="6165850" cy="2145030"/>
                    </a:xfrm>
                    <a:prstGeom prst="rect">
                      <a:avLst/>
                    </a:prstGeom>
                  </pic:spPr>
                </pic:pic>
              </a:graphicData>
            </a:graphic>
          </wp:inline>
        </w:drawing>
      </w:r>
    </w:p>
    <w:p w14:paraId="26102DF6" w14:textId="77777777" w:rsidR="001106F5" w:rsidRDefault="001106F5" w:rsidP="00A26BF3">
      <w:pPr>
        <w:pStyle w:val="FigureDescription"/>
      </w:pPr>
      <w:r>
        <w:t>Bas: Baseline.</w:t>
      </w:r>
    </w:p>
    <w:p w14:paraId="55BFFF6C" w14:textId="77777777" w:rsidR="001106F5" w:rsidRDefault="001106F5" w:rsidP="00A26BF3">
      <w:pPr>
        <w:pStyle w:val="FigureDescription"/>
      </w:pPr>
      <w:r>
        <w:t>SD: standard deviation.</w:t>
      </w:r>
    </w:p>
    <w:p w14:paraId="41B6AFE5" w14:textId="77777777" w:rsidR="001106F5" w:rsidRDefault="001106F5" w:rsidP="00A26BF3">
      <w:pPr>
        <w:pStyle w:val="FigureDescription"/>
      </w:pPr>
      <w:r>
        <w:t>At each visit-window, only patients with a value at both baseline and that visit-window are included.</w:t>
      </w:r>
    </w:p>
    <w:p w14:paraId="1886BFFB" w14:textId="121402E1" w:rsidR="001106F5" w:rsidRDefault="001106F5" w:rsidP="00A26BF3">
      <w:pPr>
        <w:pStyle w:val="FigureDescription"/>
      </w:pPr>
      <w:r>
        <w:t>Haemoglobin values within 30 days following the transfusion are considered missing.</w:t>
      </w:r>
    </w:p>
    <w:p w14:paraId="047FC738" w14:textId="77777777" w:rsidR="001106F5" w:rsidRDefault="001106F5" w:rsidP="00A26BF3">
      <w:pPr>
        <w:pStyle w:val="FigureDescription"/>
      </w:pPr>
      <w:r>
        <w:t>The number of patients used for analysis are presented for each treatment group.</w:t>
      </w:r>
    </w:p>
    <w:p w14:paraId="419C93D4" w14:textId="03DF17E8" w:rsidR="001106F5" w:rsidRDefault="001106F5" w:rsidP="00A26BF3">
      <w:pPr>
        <w:pStyle w:val="FigureDescription"/>
      </w:pPr>
      <w:r>
        <w:t xml:space="preserve">The plot shows the </w:t>
      </w:r>
      <w:proofErr w:type="gramStart"/>
      <w:r>
        <w:t>mean(</w:t>
      </w:r>
      <w:proofErr w:type="gramEnd"/>
      <w:r>
        <w:t>+/- SD) based on observed central lab haemoglobin data.</w:t>
      </w:r>
    </w:p>
    <w:p w14:paraId="1B9528C0" w14:textId="0DD77D9E" w:rsidR="00EF3E66" w:rsidRDefault="00EF3E66" w:rsidP="00EF3E66">
      <w:r>
        <w:t>In patients randomised to iptacopan, from Day 14 of treatment with iptacopan until the end of the study (Day 336), 57 of 62 (91.9%) patients remained transfusion free. In the patients randomized to anti-C5 and switching to iptacopan at Day 168, 94.1% patients remained transfusion free from Day 14 of iptacopan treatment to Day 336. LDH levels were comparable in both groups throughout the extension period.</w:t>
      </w:r>
    </w:p>
    <w:p w14:paraId="44491B27" w14:textId="174B0948" w:rsidR="00EF3E66" w:rsidRDefault="00EF3E66" w:rsidP="00DE51DF">
      <w:pPr>
        <w:pStyle w:val="Heading5"/>
      </w:pPr>
      <w:r>
        <w:lastRenderedPageBreak/>
        <w:t xml:space="preserve">Supportive </w:t>
      </w:r>
      <w:r w:rsidR="00A26BF3">
        <w:t>s</w:t>
      </w:r>
      <w:r>
        <w:t>tudies</w:t>
      </w:r>
    </w:p>
    <w:p w14:paraId="43A372FF" w14:textId="77777777" w:rsidR="00EF3E66" w:rsidRDefault="00EF3E66" w:rsidP="00DE51DF">
      <w:pPr>
        <w:pStyle w:val="Heading6"/>
      </w:pPr>
      <w:r>
        <w:t>APPOINT-PNH (CLNP023C12301) (DCO 2 November 2022)</w:t>
      </w:r>
    </w:p>
    <w:p w14:paraId="707F7394" w14:textId="77777777" w:rsidR="00EF3E66" w:rsidRDefault="00EF3E66" w:rsidP="00EF3E66">
      <w:r>
        <w:t>This was a multicentre, single-arm, open-label study investigating the efficacy and safety of iptacopan in patients who had not previously received a complement inhibitor. The study was conducted in China, the Czech Republic, France, Germany, Italy, Japan, South Korea, Malaysia, Singapore and the United Kingdom, from 17 July 2021 to the DCO on 2 November 2022.</w:t>
      </w:r>
    </w:p>
    <w:p w14:paraId="7B990D88" w14:textId="2093BE4E" w:rsidR="00EF3E66" w:rsidRDefault="00EF3E66" w:rsidP="00EF3E66">
      <w:r>
        <w:t>The trial consisted of 3 periods: a screening period lasting up to 8 weeks; a core treatment period for 24 weeks; and an extension treatment period for 24 weeks</w:t>
      </w:r>
      <w:r w:rsidR="00DE51DF">
        <w:t xml:space="preserve"> (Table </w:t>
      </w:r>
      <w:r w:rsidR="00310C85">
        <w:t>5</w:t>
      </w:r>
      <w:r w:rsidR="00DE51DF">
        <w:t>)</w:t>
      </w:r>
      <w:r>
        <w:t>.</w:t>
      </w:r>
    </w:p>
    <w:p w14:paraId="3ACD7DCF" w14:textId="7ABB2556" w:rsidR="00DE51DF" w:rsidRDefault="00DE51DF" w:rsidP="00E92E0E">
      <w:pPr>
        <w:pStyle w:val="TableTitle"/>
      </w:pPr>
      <w:r>
        <w:t xml:space="preserve">Table </w:t>
      </w:r>
      <w:r w:rsidR="00310C85">
        <w:t>5</w:t>
      </w:r>
      <w:r>
        <w:t xml:space="preserve">: </w:t>
      </w:r>
      <w:r w:rsidRPr="00DE51DF">
        <w:t>APPOINT-PNH (CLNP023C12301)</w:t>
      </w:r>
      <w:r w:rsidR="00E92E0E">
        <w:t xml:space="preserve"> study</w:t>
      </w:r>
    </w:p>
    <w:tbl>
      <w:tblPr>
        <w:tblW w:w="0" w:type="auto"/>
        <w:tblInd w:w="349"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1838"/>
        <w:gridCol w:w="7178"/>
      </w:tblGrid>
      <w:tr w:rsidR="009F444F" w:rsidRPr="00E92E0E" w14:paraId="0538FEF0" w14:textId="77777777" w:rsidTr="217C41E6">
        <w:trPr>
          <w:trHeight w:val="1590"/>
        </w:trPr>
        <w:tc>
          <w:tcPr>
            <w:tcW w:w="1838" w:type="dxa"/>
            <w:shd w:val="clear" w:color="auto" w:fill="DEEAF6" w:themeFill="accent5" w:themeFillTint="33"/>
          </w:tcPr>
          <w:p w14:paraId="271631A4" w14:textId="77777777" w:rsidR="009F444F" w:rsidRPr="00E92E0E" w:rsidRDefault="009F444F" w:rsidP="00A26BF3">
            <w:r w:rsidRPr="00E92E0E">
              <w:t>Population</w:t>
            </w:r>
          </w:p>
        </w:tc>
        <w:tc>
          <w:tcPr>
            <w:tcW w:w="7178" w:type="dxa"/>
          </w:tcPr>
          <w:p w14:paraId="197B1B8D" w14:textId="77777777" w:rsidR="009F444F" w:rsidRPr="00E92E0E" w:rsidRDefault="009F444F" w:rsidP="00A26BF3">
            <w:r w:rsidRPr="00E92E0E">
              <w:t>Complement</w:t>
            </w:r>
            <w:r w:rsidRPr="00E92E0E">
              <w:rPr>
                <w:spacing w:val="-4"/>
              </w:rPr>
              <w:t xml:space="preserve"> </w:t>
            </w:r>
            <w:r w:rsidRPr="00E92E0E">
              <w:t>inhibitor</w:t>
            </w:r>
            <w:r w:rsidRPr="00E92E0E">
              <w:rPr>
                <w:spacing w:val="-5"/>
              </w:rPr>
              <w:t xml:space="preserve"> </w:t>
            </w:r>
            <w:r w:rsidRPr="00E92E0E">
              <w:t>naïve</w:t>
            </w:r>
            <w:r w:rsidRPr="00E92E0E">
              <w:rPr>
                <w:spacing w:val="-4"/>
              </w:rPr>
              <w:t xml:space="preserve"> </w:t>
            </w:r>
            <w:r w:rsidRPr="00E92E0E">
              <w:t>patients</w:t>
            </w:r>
            <w:r w:rsidRPr="00E92E0E">
              <w:rPr>
                <w:spacing w:val="-4"/>
              </w:rPr>
              <w:t xml:space="preserve"> </w:t>
            </w:r>
            <w:r w:rsidRPr="00E92E0E">
              <w:t>with</w:t>
            </w:r>
            <w:r w:rsidRPr="00E92E0E">
              <w:rPr>
                <w:spacing w:val="-3"/>
              </w:rPr>
              <w:t xml:space="preserve"> </w:t>
            </w:r>
            <w:r w:rsidRPr="00E92E0E">
              <w:t>PNH,</w:t>
            </w:r>
            <w:r w:rsidRPr="00E92E0E">
              <w:rPr>
                <w:spacing w:val="-4"/>
              </w:rPr>
              <w:t xml:space="preserve"> </w:t>
            </w:r>
            <w:r w:rsidRPr="00E92E0E">
              <w:t>and</w:t>
            </w:r>
            <w:r w:rsidRPr="00E92E0E">
              <w:rPr>
                <w:spacing w:val="-4"/>
              </w:rPr>
              <w:t xml:space="preserve"> </w:t>
            </w:r>
            <w:r w:rsidRPr="00E92E0E">
              <w:t>haemolysis</w:t>
            </w:r>
            <w:r w:rsidRPr="00E92E0E">
              <w:rPr>
                <w:spacing w:val="-4"/>
              </w:rPr>
              <w:t xml:space="preserve"> </w:t>
            </w:r>
            <w:r w:rsidRPr="00E92E0E">
              <w:t>(LDH</w:t>
            </w:r>
            <w:r w:rsidRPr="00E92E0E">
              <w:rPr>
                <w:spacing w:val="-8"/>
              </w:rPr>
              <w:t xml:space="preserve"> </w:t>
            </w:r>
            <w:r w:rsidRPr="00E92E0E">
              <w:t>&gt;1.5 ULN) and anaemia (Hb &lt;10g/dL).</w:t>
            </w:r>
          </w:p>
          <w:p w14:paraId="22DCA1D4" w14:textId="77777777" w:rsidR="009F444F" w:rsidRPr="00E92E0E" w:rsidRDefault="009F444F" w:rsidP="00A26BF3">
            <w:r w:rsidRPr="00E92E0E">
              <w:t>40 patients</w:t>
            </w:r>
            <w:r w:rsidRPr="00E92E0E">
              <w:rPr>
                <w:spacing w:val="-3"/>
              </w:rPr>
              <w:t xml:space="preserve"> </w:t>
            </w:r>
            <w:r w:rsidRPr="00E92E0E">
              <w:t>were</w:t>
            </w:r>
            <w:r w:rsidRPr="00E92E0E">
              <w:rPr>
                <w:spacing w:val="-3"/>
              </w:rPr>
              <w:t xml:space="preserve"> </w:t>
            </w:r>
            <w:r w:rsidRPr="00E92E0E">
              <w:t>planned,</w:t>
            </w:r>
            <w:r w:rsidRPr="00E92E0E">
              <w:rPr>
                <w:spacing w:val="-6"/>
              </w:rPr>
              <w:t xml:space="preserve"> </w:t>
            </w:r>
            <w:r w:rsidRPr="00E92E0E">
              <w:t>52 were</w:t>
            </w:r>
            <w:r w:rsidRPr="00E92E0E">
              <w:rPr>
                <w:spacing w:val="-5"/>
              </w:rPr>
              <w:t xml:space="preserve"> </w:t>
            </w:r>
            <w:r w:rsidRPr="00E92E0E">
              <w:t>screened</w:t>
            </w:r>
            <w:r w:rsidRPr="00E92E0E">
              <w:rPr>
                <w:spacing w:val="-3"/>
              </w:rPr>
              <w:t xml:space="preserve"> </w:t>
            </w:r>
            <w:r w:rsidRPr="00E92E0E">
              <w:t>and</w:t>
            </w:r>
            <w:r w:rsidRPr="00E92E0E">
              <w:rPr>
                <w:spacing w:val="-3"/>
              </w:rPr>
              <w:t xml:space="preserve"> </w:t>
            </w:r>
            <w:r w:rsidRPr="00E92E0E">
              <w:t>40 enrolled.</w:t>
            </w:r>
            <w:r w:rsidRPr="00E92E0E">
              <w:rPr>
                <w:spacing w:val="-3"/>
              </w:rPr>
              <w:t xml:space="preserve"> </w:t>
            </w:r>
            <w:r w:rsidRPr="00E92E0E">
              <w:t>All</w:t>
            </w:r>
            <w:r w:rsidRPr="00E92E0E">
              <w:rPr>
                <w:spacing w:val="-3"/>
              </w:rPr>
              <w:t xml:space="preserve"> </w:t>
            </w:r>
            <w:r w:rsidRPr="00E92E0E">
              <w:t>40 patients completed the core treatment period. 39 patients entered the extension period and at the DCO, 7 (17.5%) had completed the extension period.</w:t>
            </w:r>
          </w:p>
        </w:tc>
      </w:tr>
      <w:tr w:rsidR="009F444F" w:rsidRPr="00E92E0E" w14:paraId="4E7DF0AF" w14:textId="77777777" w:rsidTr="217C41E6">
        <w:trPr>
          <w:trHeight w:val="486"/>
        </w:trPr>
        <w:tc>
          <w:tcPr>
            <w:tcW w:w="1838" w:type="dxa"/>
            <w:shd w:val="clear" w:color="auto" w:fill="DEEAF6" w:themeFill="accent5" w:themeFillTint="33"/>
          </w:tcPr>
          <w:p w14:paraId="7698E426" w14:textId="77777777" w:rsidR="009F444F" w:rsidRPr="00E92E0E" w:rsidRDefault="009F444F" w:rsidP="00A26BF3">
            <w:r w:rsidRPr="00E92E0E">
              <w:t>Intervention</w:t>
            </w:r>
          </w:p>
        </w:tc>
        <w:tc>
          <w:tcPr>
            <w:tcW w:w="7178" w:type="dxa"/>
          </w:tcPr>
          <w:p w14:paraId="62757106" w14:textId="77777777" w:rsidR="009F444F" w:rsidRPr="00E92E0E" w:rsidRDefault="009F444F" w:rsidP="00A26BF3">
            <w:r w:rsidRPr="00E92E0E">
              <w:t>Iptacopan</w:t>
            </w:r>
            <w:r w:rsidRPr="00E92E0E">
              <w:rPr>
                <w:spacing w:val="-10"/>
              </w:rPr>
              <w:t xml:space="preserve"> </w:t>
            </w:r>
            <w:r w:rsidRPr="00E92E0E">
              <w:t>200mg</w:t>
            </w:r>
            <w:r w:rsidRPr="00E92E0E">
              <w:rPr>
                <w:spacing w:val="-4"/>
              </w:rPr>
              <w:t xml:space="preserve"> </w:t>
            </w:r>
            <w:r w:rsidRPr="00E92E0E">
              <w:t>bd</w:t>
            </w:r>
            <w:r w:rsidRPr="00E92E0E">
              <w:rPr>
                <w:spacing w:val="-4"/>
              </w:rPr>
              <w:t xml:space="preserve"> </w:t>
            </w:r>
            <w:r w:rsidRPr="00E92E0E">
              <w:t>orally</w:t>
            </w:r>
            <w:r w:rsidRPr="00E92E0E">
              <w:rPr>
                <w:spacing w:val="-9"/>
              </w:rPr>
              <w:t xml:space="preserve"> </w:t>
            </w:r>
            <w:r w:rsidRPr="00E92E0E">
              <w:t>during</w:t>
            </w:r>
            <w:r w:rsidRPr="00E92E0E">
              <w:rPr>
                <w:spacing w:val="-3"/>
              </w:rPr>
              <w:t xml:space="preserve"> </w:t>
            </w:r>
            <w:r w:rsidRPr="00E92E0E">
              <w:t>the</w:t>
            </w:r>
            <w:r w:rsidRPr="00E92E0E">
              <w:rPr>
                <w:spacing w:val="-7"/>
              </w:rPr>
              <w:t xml:space="preserve"> </w:t>
            </w:r>
            <w:r w:rsidRPr="00E92E0E">
              <w:t>core</w:t>
            </w:r>
            <w:r w:rsidRPr="00E92E0E">
              <w:rPr>
                <w:spacing w:val="-5"/>
              </w:rPr>
              <w:t xml:space="preserve"> </w:t>
            </w:r>
            <w:r w:rsidRPr="00E92E0E">
              <w:t>and</w:t>
            </w:r>
            <w:r w:rsidRPr="00E92E0E">
              <w:rPr>
                <w:spacing w:val="-4"/>
              </w:rPr>
              <w:t xml:space="preserve"> </w:t>
            </w:r>
            <w:r w:rsidRPr="00E92E0E">
              <w:t>extension</w:t>
            </w:r>
            <w:r w:rsidRPr="00E92E0E">
              <w:rPr>
                <w:spacing w:val="-5"/>
              </w:rPr>
              <w:t xml:space="preserve"> </w:t>
            </w:r>
            <w:r w:rsidRPr="00E92E0E">
              <w:t>treatment</w:t>
            </w:r>
            <w:r w:rsidRPr="00E92E0E">
              <w:rPr>
                <w:spacing w:val="-4"/>
              </w:rPr>
              <w:t xml:space="preserve"> </w:t>
            </w:r>
            <w:r w:rsidRPr="00E92E0E">
              <w:t>periods</w:t>
            </w:r>
          </w:p>
        </w:tc>
      </w:tr>
      <w:tr w:rsidR="009F444F" w:rsidRPr="00E92E0E" w14:paraId="7FD24536" w14:textId="77777777" w:rsidTr="217C41E6">
        <w:trPr>
          <w:trHeight w:val="486"/>
        </w:trPr>
        <w:tc>
          <w:tcPr>
            <w:tcW w:w="1838" w:type="dxa"/>
            <w:shd w:val="clear" w:color="auto" w:fill="DEEAF6" w:themeFill="accent5" w:themeFillTint="33"/>
          </w:tcPr>
          <w:p w14:paraId="50874CEE" w14:textId="77777777" w:rsidR="009F444F" w:rsidRPr="00E92E0E" w:rsidRDefault="009F444F" w:rsidP="00A26BF3">
            <w:r w:rsidRPr="00E92E0E">
              <w:t>Control</w:t>
            </w:r>
          </w:p>
        </w:tc>
        <w:tc>
          <w:tcPr>
            <w:tcW w:w="7178" w:type="dxa"/>
          </w:tcPr>
          <w:p w14:paraId="719F1AC1" w14:textId="77777777" w:rsidR="009F444F" w:rsidRPr="00E92E0E" w:rsidRDefault="009F444F" w:rsidP="00A26BF3">
            <w:r w:rsidRPr="00E92E0E">
              <w:rPr>
                <w:spacing w:val="-5"/>
              </w:rPr>
              <w:t>N/A</w:t>
            </w:r>
          </w:p>
        </w:tc>
      </w:tr>
      <w:tr w:rsidR="008D0760" w:rsidRPr="00E92E0E" w14:paraId="21E9848A" w14:textId="77777777" w:rsidTr="217C41E6">
        <w:trPr>
          <w:trHeight w:val="2214"/>
        </w:trPr>
        <w:tc>
          <w:tcPr>
            <w:tcW w:w="1838" w:type="dxa"/>
            <w:vMerge w:val="restart"/>
            <w:shd w:val="clear" w:color="auto" w:fill="DEEAF6" w:themeFill="accent5" w:themeFillTint="33"/>
          </w:tcPr>
          <w:p w14:paraId="40B6266C" w14:textId="77777777" w:rsidR="008D0760" w:rsidRPr="00E92E0E" w:rsidRDefault="008D0760" w:rsidP="00A26BF3">
            <w:r w:rsidRPr="00E92E0E">
              <w:t>Outcome</w:t>
            </w:r>
          </w:p>
        </w:tc>
        <w:tc>
          <w:tcPr>
            <w:tcW w:w="7178" w:type="dxa"/>
          </w:tcPr>
          <w:p w14:paraId="26ECD62D" w14:textId="77777777" w:rsidR="008D0760" w:rsidRPr="00E92E0E" w:rsidRDefault="008D0760" w:rsidP="00A26BF3">
            <w:r w:rsidRPr="00E92E0E">
              <w:t>Primary</w:t>
            </w:r>
            <w:r w:rsidRPr="00E92E0E">
              <w:rPr>
                <w:spacing w:val="-7"/>
              </w:rPr>
              <w:t xml:space="preserve"> </w:t>
            </w:r>
            <w:r w:rsidRPr="00E92E0E">
              <w:t>endpoint:</w:t>
            </w:r>
          </w:p>
          <w:p w14:paraId="66E14720" w14:textId="77777777" w:rsidR="008D0760" w:rsidRPr="00E92E0E" w:rsidRDefault="4AD231EB" w:rsidP="00A26BF3">
            <w:r w:rsidRPr="00E92E0E">
              <w:t>sustained increase from baseline in Hb of ≥2g/dL in the absence of red</w:t>
            </w:r>
            <w:r w:rsidRPr="00E92E0E">
              <w:rPr>
                <w:spacing w:val="-4"/>
              </w:rPr>
              <w:t xml:space="preserve"> </w:t>
            </w:r>
            <w:r w:rsidRPr="00E92E0E">
              <w:t>blood</w:t>
            </w:r>
            <w:r w:rsidRPr="00E92E0E">
              <w:rPr>
                <w:spacing w:val="-4"/>
              </w:rPr>
              <w:t xml:space="preserve"> </w:t>
            </w:r>
            <w:r w:rsidRPr="00E92E0E">
              <w:t>cell</w:t>
            </w:r>
            <w:r w:rsidRPr="00E92E0E">
              <w:rPr>
                <w:spacing w:val="-4"/>
              </w:rPr>
              <w:t xml:space="preserve"> </w:t>
            </w:r>
            <w:r w:rsidRPr="00E92E0E">
              <w:t>transfusion</w:t>
            </w:r>
            <w:r w:rsidRPr="00E92E0E">
              <w:rPr>
                <w:spacing w:val="-5"/>
              </w:rPr>
              <w:t xml:space="preserve"> </w:t>
            </w:r>
            <w:r w:rsidRPr="00E92E0E">
              <w:t>(proportion</w:t>
            </w:r>
            <w:r w:rsidRPr="00E92E0E">
              <w:rPr>
                <w:spacing w:val="-4"/>
              </w:rPr>
              <w:t xml:space="preserve"> </w:t>
            </w:r>
            <w:r w:rsidRPr="00E92E0E">
              <w:t>of</w:t>
            </w:r>
            <w:r w:rsidRPr="00E92E0E">
              <w:rPr>
                <w:spacing w:val="-3"/>
              </w:rPr>
              <w:t xml:space="preserve"> </w:t>
            </w:r>
            <w:r w:rsidRPr="00E92E0E">
              <w:t>patients</w:t>
            </w:r>
            <w:r w:rsidRPr="00E92E0E">
              <w:rPr>
                <w:spacing w:val="-4"/>
              </w:rPr>
              <w:t xml:space="preserve"> </w:t>
            </w:r>
            <w:r w:rsidRPr="00E92E0E">
              <w:t>reaching</w:t>
            </w:r>
            <w:r w:rsidRPr="00E92E0E">
              <w:rPr>
                <w:spacing w:val="-3"/>
              </w:rPr>
              <w:t xml:space="preserve"> </w:t>
            </w:r>
            <w:r w:rsidRPr="00E92E0E">
              <w:t>the</w:t>
            </w:r>
            <w:r w:rsidRPr="00E92E0E">
              <w:rPr>
                <w:spacing w:val="-6"/>
              </w:rPr>
              <w:t xml:space="preserve"> </w:t>
            </w:r>
            <w:r w:rsidRPr="00E92E0E">
              <w:t>status of responder).</w:t>
            </w:r>
          </w:p>
          <w:p w14:paraId="6B727B1A" w14:textId="77777777" w:rsidR="008D0760" w:rsidRPr="00E92E0E" w:rsidRDefault="008D0760" w:rsidP="00A26BF3">
            <w:r w:rsidRPr="00E92E0E">
              <w:t>92.2%</w:t>
            </w:r>
            <w:r w:rsidRPr="00E92E0E">
              <w:rPr>
                <w:spacing w:val="39"/>
              </w:rPr>
              <w:t xml:space="preserve"> </w:t>
            </w:r>
            <w:r w:rsidRPr="00E92E0E">
              <w:t>(95%</w:t>
            </w:r>
            <w:r w:rsidRPr="00E92E0E">
              <w:rPr>
                <w:spacing w:val="-7"/>
              </w:rPr>
              <w:t xml:space="preserve"> </w:t>
            </w:r>
            <w:r w:rsidRPr="00E92E0E">
              <w:t>CI:</w:t>
            </w:r>
            <w:r w:rsidRPr="00E92E0E">
              <w:rPr>
                <w:spacing w:val="-5"/>
              </w:rPr>
              <w:t xml:space="preserve"> </w:t>
            </w:r>
            <w:r w:rsidRPr="00E92E0E">
              <w:t>82.5-100.0)</w:t>
            </w:r>
            <w:r w:rsidRPr="00E92E0E">
              <w:rPr>
                <w:spacing w:val="-3"/>
              </w:rPr>
              <w:t xml:space="preserve"> </w:t>
            </w:r>
            <w:r w:rsidRPr="00E92E0E">
              <w:t>of</w:t>
            </w:r>
            <w:r w:rsidRPr="00E92E0E">
              <w:rPr>
                <w:spacing w:val="-3"/>
              </w:rPr>
              <w:t xml:space="preserve"> </w:t>
            </w:r>
            <w:r w:rsidRPr="00E92E0E">
              <w:t>patients</w:t>
            </w:r>
            <w:r w:rsidRPr="00E92E0E">
              <w:rPr>
                <w:spacing w:val="-4"/>
              </w:rPr>
              <w:t xml:space="preserve"> </w:t>
            </w:r>
            <w:r w:rsidRPr="00E92E0E">
              <w:t>achieve</w:t>
            </w:r>
            <w:r w:rsidRPr="00E92E0E">
              <w:rPr>
                <w:spacing w:val="-4"/>
              </w:rPr>
              <w:t xml:space="preserve"> </w:t>
            </w:r>
            <w:r w:rsidRPr="00E92E0E">
              <w:t>a</w:t>
            </w:r>
            <w:r w:rsidRPr="00E92E0E">
              <w:rPr>
                <w:spacing w:val="-4"/>
              </w:rPr>
              <w:t xml:space="preserve"> </w:t>
            </w:r>
            <w:r w:rsidRPr="00E92E0E">
              <w:t>sustained increase in Hb from baseline of ≥2g/dL without RBC transfusions.</w:t>
            </w:r>
          </w:p>
        </w:tc>
      </w:tr>
      <w:tr w:rsidR="008D0760" w:rsidRPr="00E92E0E" w14:paraId="5DBE33BB" w14:textId="77777777" w:rsidTr="217C41E6">
        <w:trPr>
          <w:trHeight w:val="2214"/>
        </w:trPr>
        <w:tc>
          <w:tcPr>
            <w:tcW w:w="1838" w:type="dxa"/>
            <w:vMerge/>
          </w:tcPr>
          <w:p w14:paraId="0A54B953" w14:textId="77777777" w:rsidR="008D0760" w:rsidRPr="00E92E0E" w:rsidRDefault="008D0760" w:rsidP="00A26BF3"/>
        </w:tc>
        <w:tc>
          <w:tcPr>
            <w:tcW w:w="7178" w:type="dxa"/>
          </w:tcPr>
          <w:p w14:paraId="6A077C19" w14:textId="77777777" w:rsidR="008D0760" w:rsidRDefault="008D0760" w:rsidP="00A26BF3">
            <w:pPr>
              <w:rPr>
                <w:sz w:val="21"/>
              </w:rPr>
            </w:pPr>
            <w:r>
              <w:rPr>
                <w:sz w:val="21"/>
              </w:rPr>
              <w:t>Secondary</w:t>
            </w:r>
            <w:r>
              <w:rPr>
                <w:spacing w:val="-8"/>
                <w:sz w:val="21"/>
              </w:rPr>
              <w:t xml:space="preserve"> </w:t>
            </w:r>
            <w:r>
              <w:rPr>
                <w:sz w:val="21"/>
              </w:rPr>
              <w:t>endpoints:</w:t>
            </w:r>
          </w:p>
          <w:p w14:paraId="3C30C7B0" w14:textId="77777777" w:rsidR="008D0760" w:rsidRDefault="008D0760" w:rsidP="00A26BF3">
            <w:pPr>
              <w:rPr>
                <w:sz w:val="21"/>
              </w:rPr>
            </w:pPr>
            <w:r>
              <w:rPr>
                <w:sz w:val="21"/>
              </w:rPr>
              <w:t>Hb</w:t>
            </w:r>
            <w:r>
              <w:rPr>
                <w:spacing w:val="-4"/>
                <w:sz w:val="21"/>
              </w:rPr>
              <w:t xml:space="preserve"> </w:t>
            </w:r>
            <w:r>
              <w:rPr>
                <w:sz w:val="21"/>
              </w:rPr>
              <w:t>≥12g/dL</w:t>
            </w:r>
            <w:r>
              <w:rPr>
                <w:spacing w:val="-4"/>
                <w:sz w:val="21"/>
              </w:rPr>
              <w:t xml:space="preserve"> </w:t>
            </w:r>
            <w:r>
              <w:rPr>
                <w:sz w:val="21"/>
              </w:rPr>
              <w:t>in</w:t>
            </w:r>
            <w:r>
              <w:rPr>
                <w:spacing w:val="-3"/>
                <w:sz w:val="21"/>
              </w:rPr>
              <w:t xml:space="preserve"> </w:t>
            </w:r>
            <w:r>
              <w:rPr>
                <w:sz w:val="21"/>
              </w:rPr>
              <w:t>the</w:t>
            </w:r>
            <w:r>
              <w:rPr>
                <w:spacing w:val="-4"/>
                <w:sz w:val="21"/>
              </w:rPr>
              <w:t xml:space="preserve"> </w:t>
            </w:r>
            <w:r>
              <w:rPr>
                <w:sz w:val="21"/>
              </w:rPr>
              <w:t>absence</w:t>
            </w:r>
            <w:r>
              <w:rPr>
                <w:spacing w:val="-5"/>
                <w:sz w:val="21"/>
              </w:rPr>
              <w:t xml:space="preserve"> </w:t>
            </w:r>
            <w:r>
              <w:rPr>
                <w:sz w:val="21"/>
              </w:rPr>
              <w:t>of RBC</w:t>
            </w:r>
            <w:r>
              <w:rPr>
                <w:spacing w:val="-4"/>
                <w:sz w:val="21"/>
              </w:rPr>
              <w:t xml:space="preserve"> </w:t>
            </w:r>
            <w:r>
              <w:rPr>
                <w:sz w:val="21"/>
              </w:rPr>
              <w:t>transfusion</w:t>
            </w:r>
          </w:p>
          <w:p w14:paraId="36698766" w14:textId="77777777" w:rsidR="008D0760" w:rsidRDefault="008D0760" w:rsidP="00A26BF3">
            <w:pPr>
              <w:rPr>
                <w:sz w:val="21"/>
              </w:rPr>
            </w:pPr>
            <w:r>
              <w:rPr>
                <w:rFonts w:ascii="Courier New"/>
                <w:sz w:val="21"/>
              </w:rPr>
              <w:t>o</w:t>
            </w:r>
            <w:r>
              <w:rPr>
                <w:rFonts w:ascii="Courier New"/>
                <w:spacing w:val="34"/>
                <w:w w:val="150"/>
                <w:sz w:val="21"/>
              </w:rPr>
              <w:t xml:space="preserve"> </w:t>
            </w:r>
            <w:r>
              <w:rPr>
                <w:sz w:val="21"/>
              </w:rPr>
              <w:t>62.8%</w:t>
            </w:r>
            <w:r>
              <w:rPr>
                <w:spacing w:val="-4"/>
                <w:sz w:val="21"/>
              </w:rPr>
              <w:t xml:space="preserve"> </w:t>
            </w:r>
            <w:r>
              <w:rPr>
                <w:sz w:val="21"/>
              </w:rPr>
              <w:t>of</w:t>
            </w:r>
            <w:r>
              <w:rPr>
                <w:spacing w:val="-1"/>
                <w:sz w:val="21"/>
              </w:rPr>
              <w:t xml:space="preserve"> </w:t>
            </w:r>
            <w:r>
              <w:rPr>
                <w:sz w:val="21"/>
              </w:rPr>
              <w:t>patients</w:t>
            </w:r>
            <w:r>
              <w:rPr>
                <w:spacing w:val="-5"/>
                <w:sz w:val="21"/>
              </w:rPr>
              <w:t xml:space="preserve"> </w:t>
            </w:r>
            <w:r>
              <w:rPr>
                <w:sz w:val="21"/>
              </w:rPr>
              <w:t>(95%</w:t>
            </w:r>
            <w:r>
              <w:rPr>
                <w:spacing w:val="-4"/>
                <w:sz w:val="21"/>
              </w:rPr>
              <w:t xml:space="preserve"> </w:t>
            </w:r>
            <w:r>
              <w:rPr>
                <w:sz w:val="21"/>
              </w:rPr>
              <w:t>CI:</w:t>
            </w:r>
            <w:r>
              <w:rPr>
                <w:spacing w:val="-6"/>
                <w:sz w:val="21"/>
              </w:rPr>
              <w:t xml:space="preserve"> </w:t>
            </w:r>
            <w:r>
              <w:rPr>
                <w:sz w:val="21"/>
              </w:rPr>
              <w:t>47.5-</w:t>
            </w:r>
            <w:r>
              <w:rPr>
                <w:spacing w:val="-4"/>
                <w:sz w:val="21"/>
              </w:rPr>
              <w:t>77.5)</w:t>
            </w:r>
          </w:p>
          <w:p w14:paraId="097C3371" w14:textId="77777777" w:rsidR="008D0760" w:rsidRDefault="008D0760" w:rsidP="00A26BF3">
            <w:pPr>
              <w:rPr>
                <w:sz w:val="21"/>
              </w:rPr>
            </w:pPr>
            <w:r>
              <w:rPr>
                <w:sz w:val="21"/>
              </w:rPr>
              <w:t>Transfusion</w:t>
            </w:r>
            <w:r>
              <w:rPr>
                <w:spacing w:val="-10"/>
                <w:sz w:val="21"/>
              </w:rPr>
              <w:t xml:space="preserve"> </w:t>
            </w:r>
            <w:r>
              <w:rPr>
                <w:sz w:val="21"/>
              </w:rPr>
              <w:t>avoidance</w:t>
            </w:r>
          </w:p>
          <w:p w14:paraId="7CCE324A" w14:textId="77777777" w:rsidR="008D0760" w:rsidRDefault="008D0760" w:rsidP="00A26BF3">
            <w:pPr>
              <w:rPr>
                <w:sz w:val="21"/>
              </w:rPr>
            </w:pPr>
            <w:r>
              <w:rPr>
                <w:rFonts w:ascii="Courier New"/>
                <w:sz w:val="21"/>
              </w:rPr>
              <w:t>o</w:t>
            </w:r>
            <w:r>
              <w:rPr>
                <w:rFonts w:ascii="Courier New"/>
                <w:spacing w:val="36"/>
                <w:w w:val="150"/>
                <w:sz w:val="21"/>
              </w:rPr>
              <w:t xml:space="preserve"> </w:t>
            </w:r>
            <w:r>
              <w:rPr>
                <w:sz w:val="21"/>
              </w:rPr>
              <w:t>97.6%</w:t>
            </w:r>
            <w:r>
              <w:rPr>
                <w:spacing w:val="-3"/>
                <w:sz w:val="21"/>
              </w:rPr>
              <w:t xml:space="preserve"> </w:t>
            </w:r>
            <w:r>
              <w:rPr>
                <w:sz w:val="21"/>
              </w:rPr>
              <w:t>of patients</w:t>
            </w:r>
            <w:r>
              <w:rPr>
                <w:spacing w:val="-4"/>
                <w:sz w:val="21"/>
              </w:rPr>
              <w:t xml:space="preserve"> </w:t>
            </w:r>
            <w:r>
              <w:rPr>
                <w:sz w:val="21"/>
              </w:rPr>
              <w:t>(95%</w:t>
            </w:r>
            <w:r>
              <w:rPr>
                <w:spacing w:val="-3"/>
                <w:sz w:val="21"/>
              </w:rPr>
              <w:t xml:space="preserve"> </w:t>
            </w:r>
            <w:r>
              <w:rPr>
                <w:sz w:val="21"/>
              </w:rPr>
              <w:t>CI:</w:t>
            </w:r>
            <w:r>
              <w:rPr>
                <w:spacing w:val="-6"/>
                <w:sz w:val="21"/>
              </w:rPr>
              <w:t xml:space="preserve"> </w:t>
            </w:r>
            <w:r>
              <w:rPr>
                <w:sz w:val="21"/>
              </w:rPr>
              <w:t>92.5</w:t>
            </w:r>
            <w:r>
              <w:rPr>
                <w:spacing w:val="-1"/>
                <w:sz w:val="21"/>
              </w:rPr>
              <w:t xml:space="preserve"> </w:t>
            </w:r>
            <w:r>
              <w:rPr>
                <w:sz w:val="21"/>
              </w:rPr>
              <w:t>-</w:t>
            </w:r>
            <w:r>
              <w:rPr>
                <w:spacing w:val="-4"/>
                <w:sz w:val="21"/>
              </w:rPr>
              <w:t xml:space="preserve"> </w:t>
            </w:r>
            <w:r>
              <w:rPr>
                <w:sz w:val="21"/>
              </w:rPr>
              <w:t>100.0)</w:t>
            </w:r>
          </w:p>
          <w:p w14:paraId="0D6C4296" w14:textId="77777777" w:rsidR="008D0760" w:rsidRDefault="008D0760" w:rsidP="00A26BF3">
            <w:pPr>
              <w:rPr>
                <w:sz w:val="21"/>
              </w:rPr>
            </w:pPr>
            <w:r>
              <w:rPr>
                <w:sz w:val="21"/>
              </w:rPr>
              <w:t>Change</w:t>
            </w:r>
            <w:r>
              <w:rPr>
                <w:spacing w:val="-4"/>
                <w:sz w:val="21"/>
              </w:rPr>
              <w:t xml:space="preserve"> </w:t>
            </w:r>
            <w:r>
              <w:rPr>
                <w:sz w:val="21"/>
              </w:rPr>
              <w:t>from</w:t>
            </w:r>
            <w:r>
              <w:rPr>
                <w:spacing w:val="-5"/>
                <w:sz w:val="21"/>
              </w:rPr>
              <w:t xml:space="preserve"> </w:t>
            </w:r>
            <w:r>
              <w:rPr>
                <w:sz w:val="21"/>
              </w:rPr>
              <w:t>baseline</w:t>
            </w:r>
            <w:r>
              <w:rPr>
                <w:spacing w:val="-4"/>
                <w:sz w:val="21"/>
              </w:rPr>
              <w:t xml:space="preserve"> </w:t>
            </w:r>
            <w:r>
              <w:rPr>
                <w:sz w:val="21"/>
              </w:rPr>
              <w:t>in</w:t>
            </w:r>
            <w:r>
              <w:rPr>
                <w:spacing w:val="-4"/>
                <w:sz w:val="21"/>
              </w:rPr>
              <w:t xml:space="preserve"> </w:t>
            </w:r>
            <w:r>
              <w:rPr>
                <w:sz w:val="21"/>
              </w:rPr>
              <w:t>Hb</w:t>
            </w:r>
            <w:r>
              <w:rPr>
                <w:spacing w:val="-5"/>
                <w:sz w:val="21"/>
              </w:rPr>
              <w:t xml:space="preserve"> </w:t>
            </w:r>
            <w:r>
              <w:rPr>
                <w:sz w:val="21"/>
              </w:rPr>
              <w:t>levels</w:t>
            </w:r>
            <w:r>
              <w:rPr>
                <w:spacing w:val="-5"/>
                <w:sz w:val="21"/>
              </w:rPr>
              <w:t xml:space="preserve"> </w:t>
            </w:r>
            <w:r>
              <w:rPr>
                <w:sz w:val="21"/>
              </w:rPr>
              <w:t>(g/dL)</w:t>
            </w:r>
          </w:p>
          <w:p w14:paraId="0D433828" w14:textId="207BF9B2" w:rsidR="008D0760" w:rsidRDefault="008D0760" w:rsidP="00A26BF3">
            <w:pPr>
              <w:rPr>
                <w:sz w:val="21"/>
                <w:szCs w:val="21"/>
              </w:rPr>
            </w:pPr>
            <w:r w:rsidRPr="050E35B8">
              <w:rPr>
                <w:rFonts w:ascii="Courier New"/>
                <w:sz w:val="21"/>
                <w:szCs w:val="21"/>
              </w:rPr>
              <w:t>o</w:t>
            </w:r>
            <w:r w:rsidRPr="050E35B8">
              <w:rPr>
                <w:rFonts w:ascii="Courier New"/>
                <w:spacing w:val="34"/>
                <w:w w:val="150"/>
                <w:sz w:val="21"/>
                <w:szCs w:val="21"/>
              </w:rPr>
              <w:t xml:space="preserve"> </w:t>
            </w:r>
            <w:r w:rsidRPr="050E35B8">
              <w:rPr>
                <w:sz w:val="21"/>
                <w:szCs w:val="21"/>
              </w:rPr>
              <w:t>Adjusted</w:t>
            </w:r>
            <w:r w:rsidRPr="050E35B8">
              <w:rPr>
                <w:spacing w:val="-3"/>
                <w:sz w:val="21"/>
                <w:szCs w:val="21"/>
              </w:rPr>
              <w:t xml:space="preserve"> </w:t>
            </w:r>
            <w:r w:rsidRPr="050E35B8">
              <w:rPr>
                <w:sz w:val="21"/>
                <w:szCs w:val="21"/>
              </w:rPr>
              <w:t>mean:</w:t>
            </w:r>
            <w:r w:rsidRPr="050E35B8">
              <w:rPr>
                <w:spacing w:val="-3"/>
                <w:sz w:val="21"/>
                <w:szCs w:val="21"/>
              </w:rPr>
              <w:t xml:space="preserve"> </w:t>
            </w:r>
            <w:r w:rsidRPr="050E35B8">
              <w:rPr>
                <w:sz w:val="21"/>
                <w:szCs w:val="21"/>
              </w:rPr>
              <w:t>4.28 (95%</w:t>
            </w:r>
            <w:r w:rsidRPr="050E35B8">
              <w:rPr>
                <w:spacing w:val="-6"/>
                <w:sz w:val="21"/>
                <w:szCs w:val="21"/>
              </w:rPr>
              <w:t xml:space="preserve"> </w:t>
            </w:r>
            <w:r w:rsidRPr="050E35B8">
              <w:rPr>
                <w:sz w:val="21"/>
                <w:szCs w:val="21"/>
              </w:rPr>
              <w:t>CI:</w:t>
            </w:r>
            <w:r w:rsidRPr="050E35B8">
              <w:rPr>
                <w:spacing w:val="-6"/>
                <w:sz w:val="21"/>
                <w:szCs w:val="21"/>
              </w:rPr>
              <w:t xml:space="preserve"> </w:t>
            </w:r>
            <w:r w:rsidRPr="050E35B8">
              <w:rPr>
                <w:sz w:val="21"/>
                <w:szCs w:val="21"/>
              </w:rPr>
              <w:t>3.</w:t>
            </w:r>
            <w:r w:rsidR="007B4077">
              <w:rPr>
                <w:sz w:val="21"/>
                <w:szCs w:val="21"/>
              </w:rPr>
              <w:t>8</w:t>
            </w:r>
            <w:r w:rsidRPr="050E35B8">
              <w:rPr>
                <w:sz w:val="21"/>
                <w:szCs w:val="21"/>
              </w:rPr>
              <w:t>7-</w:t>
            </w:r>
            <w:r w:rsidRPr="050E35B8">
              <w:rPr>
                <w:spacing w:val="-4"/>
                <w:sz w:val="21"/>
                <w:szCs w:val="21"/>
              </w:rPr>
              <w:t>4.70)</w:t>
            </w:r>
          </w:p>
          <w:p w14:paraId="66CE0AD4" w14:textId="77777777" w:rsidR="008D0760" w:rsidRDefault="008D0760" w:rsidP="00A26BF3">
            <w:pPr>
              <w:rPr>
                <w:sz w:val="21"/>
              </w:rPr>
            </w:pPr>
            <w:r>
              <w:rPr>
                <w:sz w:val="21"/>
              </w:rPr>
              <w:t>Change</w:t>
            </w:r>
            <w:r>
              <w:rPr>
                <w:spacing w:val="-5"/>
                <w:sz w:val="21"/>
              </w:rPr>
              <w:t xml:space="preserve"> </w:t>
            </w:r>
            <w:r>
              <w:rPr>
                <w:sz w:val="21"/>
              </w:rPr>
              <w:t>from</w:t>
            </w:r>
            <w:r>
              <w:rPr>
                <w:spacing w:val="-4"/>
                <w:sz w:val="21"/>
              </w:rPr>
              <w:t xml:space="preserve"> </w:t>
            </w:r>
            <w:r>
              <w:rPr>
                <w:sz w:val="21"/>
              </w:rPr>
              <w:t>baseline</w:t>
            </w:r>
            <w:r>
              <w:rPr>
                <w:spacing w:val="-4"/>
                <w:sz w:val="21"/>
              </w:rPr>
              <w:t xml:space="preserve"> </w:t>
            </w:r>
            <w:r>
              <w:rPr>
                <w:sz w:val="21"/>
              </w:rPr>
              <w:t>in</w:t>
            </w:r>
            <w:r>
              <w:rPr>
                <w:spacing w:val="-5"/>
                <w:sz w:val="21"/>
              </w:rPr>
              <w:t xml:space="preserve"> </w:t>
            </w:r>
            <w:r>
              <w:rPr>
                <w:sz w:val="21"/>
              </w:rPr>
              <w:t>LDH</w:t>
            </w:r>
            <w:r>
              <w:rPr>
                <w:spacing w:val="-4"/>
                <w:sz w:val="21"/>
              </w:rPr>
              <w:t xml:space="preserve"> </w:t>
            </w:r>
            <w:r>
              <w:rPr>
                <w:sz w:val="21"/>
              </w:rPr>
              <w:t>levels</w:t>
            </w:r>
            <w:r>
              <w:rPr>
                <w:spacing w:val="-4"/>
                <w:sz w:val="21"/>
              </w:rPr>
              <w:t xml:space="preserve"> </w:t>
            </w:r>
            <w:r>
              <w:rPr>
                <w:spacing w:val="-5"/>
                <w:sz w:val="21"/>
              </w:rPr>
              <w:t>(%)</w:t>
            </w:r>
          </w:p>
          <w:p w14:paraId="09825EFB" w14:textId="77777777" w:rsidR="008D0760" w:rsidRDefault="008D0760" w:rsidP="00A26BF3">
            <w:pPr>
              <w:rPr>
                <w:sz w:val="21"/>
              </w:rPr>
            </w:pPr>
            <w:r>
              <w:rPr>
                <w:rFonts w:ascii="Courier New"/>
                <w:sz w:val="21"/>
              </w:rPr>
              <w:t>o</w:t>
            </w:r>
            <w:r>
              <w:rPr>
                <w:rFonts w:ascii="Courier New"/>
                <w:spacing w:val="36"/>
                <w:w w:val="150"/>
                <w:sz w:val="21"/>
              </w:rPr>
              <w:t xml:space="preserve"> </w:t>
            </w:r>
            <w:r>
              <w:rPr>
                <w:sz w:val="21"/>
              </w:rPr>
              <w:t>-83.55</w:t>
            </w:r>
            <w:r>
              <w:rPr>
                <w:spacing w:val="-5"/>
                <w:sz w:val="21"/>
              </w:rPr>
              <w:t xml:space="preserve"> </w:t>
            </w:r>
            <w:r>
              <w:rPr>
                <w:sz w:val="21"/>
              </w:rPr>
              <w:t>(95%</w:t>
            </w:r>
            <w:r>
              <w:rPr>
                <w:spacing w:val="-3"/>
                <w:sz w:val="21"/>
              </w:rPr>
              <w:t xml:space="preserve"> </w:t>
            </w:r>
            <w:r>
              <w:rPr>
                <w:sz w:val="21"/>
              </w:rPr>
              <w:t>CI:</w:t>
            </w:r>
            <w:r>
              <w:rPr>
                <w:spacing w:val="-4"/>
                <w:sz w:val="21"/>
              </w:rPr>
              <w:t xml:space="preserve"> </w:t>
            </w:r>
            <w:r>
              <w:rPr>
                <w:sz w:val="21"/>
              </w:rPr>
              <w:t>-84.90-</w:t>
            </w:r>
            <w:r>
              <w:rPr>
                <w:spacing w:val="-4"/>
                <w:sz w:val="21"/>
              </w:rPr>
              <w:t xml:space="preserve"> </w:t>
            </w:r>
            <w:r>
              <w:rPr>
                <w:sz w:val="21"/>
              </w:rPr>
              <w:t>-82.08)</w:t>
            </w:r>
          </w:p>
          <w:p w14:paraId="69826F3D" w14:textId="77777777" w:rsidR="008D0760" w:rsidRDefault="008D0760" w:rsidP="00A26BF3">
            <w:pPr>
              <w:rPr>
                <w:sz w:val="21"/>
              </w:rPr>
            </w:pPr>
            <w:r>
              <w:rPr>
                <w:sz w:val="21"/>
              </w:rPr>
              <w:t>Breakthrough</w:t>
            </w:r>
            <w:r>
              <w:rPr>
                <w:spacing w:val="-10"/>
                <w:sz w:val="21"/>
              </w:rPr>
              <w:t xml:space="preserve"> </w:t>
            </w:r>
            <w:r>
              <w:rPr>
                <w:sz w:val="21"/>
              </w:rPr>
              <w:t>haemolysis</w:t>
            </w:r>
            <w:r>
              <w:rPr>
                <w:spacing w:val="-9"/>
                <w:sz w:val="21"/>
              </w:rPr>
              <w:t xml:space="preserve"> </w:t>
            </w:r>
            <w:r>
              <w:rPr>
                <w:sz w:val="21"/>
              </w:rPr>
              <w:t>events</w:t>
            </w:r>
          </w:p>
          <w:p w14:paraId="4BF26FDF" w14:textId="77777777" w:rsidR="008D0760" w:rsidRDefault="008D0760" w:rsidP="00A26BF3">
            <w:pPr>
              <w:rPr>
                <w:sz w:val="21"/>
              </w:rPr>
            </w:pPr>
            <w:r>
              <w:rPr>
                <w:sz w:val="21"/>
              </w:rPr>
              <w:t>No</w:t>
            </w:r>
            <w:r>
              <w:rPr>
                <w:spacing w:val="-4"/>
                <w:sz w:val="21"/>
              </w:rPr>
              <w:t xml:space="preserve"> </w:t>
            </w:r>
            <w:r>
              <w:rPr>
                <w:sz w:val="21"/>
              </w:rPr>
              <w:t>events</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z w:val="21"/>
              </w:rPr>
              <w:t>treatment</w:t>
            </w:r>
            <w:r>
              <w:rPr>
                <w:spacing w:val="-6"/>
                <w:sz w:val="21"/>
              </w:rPr>
              <w:t xml:space="preserve"> </w:t>
            </w:r>
            <w:r>
              <w:rPr>
                <w:sz w:val="21"/>
              </w:rPr>
              <w:t>period</w:t>
            </w:r>
          </w:p>
          <w:p w14:paraId="2EBA8964" w14:textId="77777777" w:rsidR="008D0760" w:rsidRDefault="008D0760" w:rsidP="00A26BF3">
            <w:pPr>
              <w:rPr>
                <w:sz w:val="21"/>
              </w:rPr>
            </w:pPr>
            <w:r>
              <w:rPr>
                <w:spacing w:val="-4"/>
                <w:sz w:val="21"/>
              </w:rPr>
              <w:t>MAVEs</w:t>
            </w:r>
          </w:p>
          <w:p w14:paraId="6F565315" w14:textId="453590D4" w:rsidR="008D0760" w:rsidRPr="00E92E0E" w:rsidRDefault="4AD231EB" w:rsidP="00A26BF3">
            <w:pPr>
              <w:rPr>
                <w:sz w:val="21"/>
                <w:szCs w:val="21"/>
              </w:rPr>
            </w:pPr>
            <w:r w:rsidRPr="217C41E6">
              <w:rPr>
                <w:sz w:val="21"/>
                <w:szCs w:val="21"/>
              </w:rPr>
              <w:t>No</w:t>
            </w:r>
            <w:r w:rsidRPr="217C41E6">
              <w:rPr>
                <w:spacing w:val="-4"/>
                <w:sz w:val="21"/>
                <w:szCs w:val="21"/>
              </w:rPr>
              <w:t xml:space="preserve"> </w:t>
            </w:r>
            <w:r w:rsidRPr="217C41E6">
              <w:rPr>
                <w:sz w:val="21"/>
                <w:szCs w:val="21"/>
              </w:rPr>
              <w:t>events</w:t>
            </w:r>
            <w:r w:rsidRPr="217C41E6">
              <w:rPr>
                <w:spacing w:val="-4"/>
                <w:sz w:val="21"/>
                <w:szCs w:val="21"/>
              </w:rPr>
              <w:t xml:space="preserve"> </w:t>
            </w:r>
            <w:r w:rsidRPr="217C41E6">
              <w:rPr>
                <w:sz w:val="21"/>
                <w:szCs w:val="21"/>
              </w:rPr>
              <w:t>in</w:t>
            </w:r>
            <w:r w:rsidRPr="217C41E6">
              <w:rPr>
                <w:spacing w:val="-4"/>
                <w:sz w:val="21"/>
                <w:szCs w:val="21"/>
              </w:rPr>
              <w:t xml:space="preserve"> </w:t>
            </w:r>
            <w:r w:rsidRPr="217C41E6">
              <w:rPr>
                <w:sz w:val="21"/>
                <w:szCs w:val="21"/>
              </w:rPr>
              <w:t>the</w:t>
            </w:r>
            <w:r w:rsidRPr="217C41E6">
              <w:rPr>
                <w:spacing w:val="-4"/>
                <w:sz w:val="21"/>
                <w:szCs w:val="21"/>
              </w:rPr>
              <w:t xml:space="preserve"> </w:t>
            </w:r>
            <w:r w:rsidRPr="217C41E6">
              <w:rPr>
                <w:sz w:val="21"/>
                <w:szCs w:val="21"/>
              </w:rPr>
              <w:t>treatment</w:t>
            </w:r>
            <w:r w:rsidRPr="217C41E6">
              <w:rPr>
                <w:spacing w:val="-6"/>
                <w:sz w:val="21"/>
                <w:szCs w:val="21"/>
              </w:rPr>
              <w:t xml:space="preserve"> </w:t>
            </w:r>
            <w:r w:rsidRPr="217C41E6">
              <w:rPr>
                <w:sz w:val="21"/>
                <w:szCs w:val="21"/>
              </w:rPr>
              <w:t>period</w:t>
            </w:r>
          </w:p>
        </w:tc>
      </w:tr>
    </w:tbl>
    <w:p w14:paraId="2B1646F5" w14:textId="77777777" w:rsidR="007F7615" w:rsidRDefault="007F7615" w:rsidP="008D0760">
      <w:pPr>
        <w:pStyle w:val="Heading6"/>
      </w:pPr>
      <w:r>
        <w:lastRenderedPageBreak/>
        <w:t>APPOINT-PNH (CLNP023C12301) (DCO 29 April 2023)</w:t>
      </w:r>
    </w:p>
    <w:p w14:paraId="10ACF88D" w14:textId="447DF7A4" w:rsidR="007F7615" w:rsidRDefault="5EC099A6" w:rsidP="007F7615">
      <w:r>
        <w:t>At the end of this study, all 40 patients had completed the extension period to 48 weeks. The results from the extension period support the durability of iptacopan 200mg bd in terms of haemoglobin increase and transfusion avoidance. At baseline, patients had a mean (SD) haemoglobin level of 8.16 (1.087) g/dL, 12.56 (1.486) g/dL at Day 168 and 13.24 g/dL (1.798) at Day 336, resulting in a mean increase from baseline of 5.09 (2.010) g/dL. One patient required</w:t>
      </w:r>
      <w:r w:rsidR="003105E1">
        <w:t xml:space="preserve"> </w:t>
      </w:r>
      <w:r>
        <w:t>transfusion</w:t>
      </w:r>
      <w:r w:rsidR="003F557F">
        <w:t>s</w:t>
      </w:r>
      <w:r>
        <w:t xml:space="preserve"> during the extension </w:t>
      </w:r>
      <w:r w:rsidR="194670A1">
        <w:t>period</w:t>
      </w:r>
      <w:r w:rsidR="00531DDE">
        <w:t xml:space="preserve"> </w:t>
      </w:r>
      <w:r w:rsidR="00245A94">
        <w:t>(case confounded by</w:t>
      </w:r>
      <w:r w:rsidR="00531DDE">
        <w:t xml:space="preserve"> </w:t>
      </w:r>
      <w:r w:rsidR="00245A94">
        <w:t>emergence of cold agglutinins)</w:t>
      </w:r>
      <w:r w:rsidR="194670A1">
        <w:t>;</w:t>
      </w:r>
      <w:r>
        <w:t xml:space="preserve"> therefore 39/40 patients (97.5%) did not require a transfusion between day 14 and 336.</w:t>
      </w:r>
    </w:p>
    <w:p w14:paraId="51DB5DA7" w14:textId="77777777" w:rsidR="007F7615" w:rsidRDefault="007F7615" w:rsidP="008D0760">
      <w:pPr>
        <w:pStyle w:val="Heading6"/>
      </w:pPr>
      <w:r>
        <w:t>Study CLNP023X2204 (study X2204)</w:t>
      </w:r>
    </w:p>
    <w:p w14:paraId="67A4A4C9" w14:textId="77777777" w:rsidR="007F7615" w:rsidRDefault="007F7615" w:rsidP="007F7615">
      <w:r>
        <w:t>This is a phase II randomised, open-label, multicentre study of iptacopan in PNH patients who had not previously received a complement inhibitor. The study was conducted between 5 April 2019-9 February 2022 in the Republic of Korea, Malaysia, Singapore and Taiwan.</w:t>
      </w:r>
    </w:p>
    <w:p w14:paraId="3EF84E8B" w14:textId="7AF9528C" w:rsidR="009F444F" w:rsidRDefault="007F7615" w:rsidP="007F7615">
      <w:r>
        <w:t xml:space="preserve">The study consisted of an </w:t>
      </w:r>
      <w:proofErr w:type="gramStart"/>
      <w:r>
        <w:t>8 week</w:t>
      </w:r>
      <w:proofErr w:type="gramEnd"/>
      <w:r>
        <w:t xml:space="preserve"> screening period, a </w:t>
      </w:r>
      <w:proofErr w:type="gramStart"/>
      <w:r>
        <w:t>4 week</w:t>
      </w:r>
      <w:proofErr w:type="gramEnd"/>
      <w:r>
        <w:t xml:space="preserve"> treatment period at the first dose (period 1), an </w:t>
      </w:r>
      <w:proofErr w:type="gramStart"/>
      <w:r>
        <w:t>8 week</w:t>
      </w:r>
      <w:proofErr w:type="gramEnd"/>
      <w:r>
        <w:t xml:space="preserve"> period at the second dose (period 2), then a </w:t>
      </w:r>
      <w:proofErr w:type="gramStart"/>
      <w:r>
        <w:t>2 year</w:t>
      </w:r>
      <w:proofErr w:type="gramEnd"/>
      <w:r>
        <w:t xml:space="preserve"> extension period (period 3) for patients who responded. Patients were enrolled in one of two cohorts</w:t>
      </w:r>
      <w:r w:rsidR="008D0760">
        <w:t xml:space="preserve"> (Table </w:t>
      </w:r>
      <w:r w:rsidR="00DF6494">
        <w:t>6</w:t>
      </w:r>
      <w:r w:rsidR="008D0760">
        <w:t>)</w:t>
      </w:r>
      <w:r>
        <w:t>.</w:t>
      </w:r>
    </w:p>
    <w:p w14:paraId="7B11DDBA" w14:textId="4F2B662D" w:rsidR="008D0760" w:rsidRDefault="008D0760" w:rsidP="008D0760">
      <w:pPr>
        <w:pStyle w:val="TableTitle"/>
      </w:pPr>
      <w:r w:rsidRPr="008D0760">
        <w:t xml:space="preserve">Table </w:t>
      </w:r>
      <w:r w:rsidR="00DF6494">
        <w:t>6</w:t>
      </w:r>
      <w:r>
        <w:t xml:space="preserve">: </w:t>
      </w:r>
      <w:r w:rsidRPr="008D0760">
        <w:t>Study CLNP023X2204</w:t>
      </w:r>
    </w:p>
    <w:tbl>
      <w:tblPr>
        <w:tblW w:w="9016" w:type="dxa"/>
        <w:tblInd w:w="349"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1838"/>
        <w:gridCol w:w="7178"/>
      </w:tblGrid>
      <w:tr w:rsidR="00832037" w:rsidRPr="008D0760" w14:paraId="32777CB8" w14:textId="77777777" w:rsidTr="00A26BF3">
        <w:trPr>
          <w:trHeight w:val="1345"/>
        </w:trPr>
        <w:tc>
          <w:tcPr>
            <w:tcW w:w="1838" w:type="dxa"/>
            <w:shd w:val="clear" w:color="auto" w:fill="DEEAF6" w:themeFill="accent5" w:themeFillTint="33"/>
          </w:tcPr>
          <w:p w14:paraId="2AC4C042" w14:textId="77777777" w:rsidR="00832037" w:rsidRPr="008D0760" w:rsidRDefault="00832037" w:rsidP="00A26BF3">
            <w:r w:rsidRPr="008D0760">
              <w:t>Population</w:t>
            </w:r>
          </w:p>
        </w:tc>
        <w:tc>
          <w:tcPr>
            <w:tcW w:w="7178" w:type="dxa"/>
          </w:tcPr>
          <w:p w14:paraId="59107965" w14:textId="77777777" w:rsidR="00832037" w:rsidRPr="008D0760" w:rsidRDefault="00832037" w:rsidP="00A26BF3">
            <w:bookmarkStart w:id="37" w:name="Complement_inhibitor_naïve_patients_with"/>
            <w:bookmarkEnd w:id="37"/>
            <w:r w:rsidRPr="008D0760">
              <w:rPr>
                <w:color w:val="001422"/>
              </w:rPr>
              <w:t>Complement</w:t>
            </w:r>
            <w:r w:rsidRPr="008D0760">
              <w:rPr>
                <w:color w:val="001422"/>
                <w:spacing w:val="-6"/>
              </w:rPr>
              <w:t xml:space="preserve"> </w:t>
            </w:r>
            <w:r w:rsidRPr="008D0760">
              <w:rPr>
                <w:color w:val="001422"/>
              </w:rPr>
              <w:t>inhibitor</w:t>
            </w:r>
            <w:r w:rsidRPr="008D0760">
              <w:rPr>
                <w:color w:val="001422"/>
                <w:spacing w:val="-6"/>
              </w:rPr>
              <w:t xml:space="preserve"> </w:t>
            </w:r>
            <w:r w:rsidRPr="008D0760">
              <w:rPr>
                <w:color w:val="001422"/>
              </w:rPr>
              <w:t>naïve</w:t>
            </w:r>
            <w:r w:rsidRPr="008D0760">
              <w:rPr>
                <w:color w:val="001422"/>
                <w:spacing w:val="-5"/>
              </w:rPr>
              <w:t xml:space="preserve"> </w:t>
            </w:r>
            <w:r w:rsidRPr="008D0760">
              <w:rPr>
                <w:color w:val="001422"/>
              </w:rPr>
              <w:t>patients</w:t>
            </w:r>
            <w:r w:rsidRPr="008D0760">
              <w:rPr>
                <w:color w:val="001422"/>
                <w:spacing w:val="-5"/>
              </w:rPr>
              <w:t xml:space="preserve"> </w:t>
            </w:r>
            <w:r w:rsidRPr="008D0760">
              <w:rPr>
                <w:color w:val="001422"/>
              </w:rPr>
              <w:t>with</w:t>
            </w:r>
            <w:r w:rsidRPr="008D0760">
              <w:rPr>
                <w:color w:val="001422"/>
                <w:spacing w:val="-4"/>
              </w:rPr>
              <w:t xml:space="preserve"> </w:t>
            </w:r>
            <w:r w:rsidRPr="008D0760">
              <w:rPr>
                <w:color w:val="001422"/>
              </w:rPr>
              <w:t>PNH,</w:t>
            </w:r>
            <w:r w:rsidRPr="008D0760">
              <w:rPr>
                <w:color w:val="001422"/>
                <w:spacing w:val="-5"/>
              </w:rPr>
              <w:t xml:space="preserve"> </w:t>
            </w:r>
            <w:r w:rsidRPr="008D0760">
              <w:rPr>
                <w:color w:val="001422"/>
              </w:rPr>
              <w:t>LDH</w:t>
            </w:r>
            <w:r w:rsidRPr="008D0760">
              <w:rPr>
                <w:color w:val="001422"/>
                <w:spacing w:val="-6"/>
              </w:rPr>
              <w:t xml:space="preserve"> </w:t>
            </w:r>
            <w:r w:rsidRPr="008D0760">
              <w:rPr>
                <w:color w:val="001422"/>
              </w:rPr>
              <w:t>values</w:t>
            </w:r>
            <w:r w:rsidRPr="008D0760">
              <w:rPr>
                <w:color w:val="001422"/>
                <w:spacing w:val="-6"/>
              </w:rPr>
              <w:t xml:space="preserve"> </w:t>
            </w:r>
            <w:r w:rsidRPr="008D0760">
              <w:rPr>
                <w:color w:val="001422"/>
              </w:rPr>
              <w:t>≥</w:t>
            </w:r>
            <w:r w:rsidRPr="008D0760">
              <w:rPr>
                <w:color w:val="001422"/>
                <w:spacing w:val="-4"/>
              </w:rPr>
              <w:t xml:space="preserve"> </w:t>
            </w:r>
            <w:r w:rsidRPr="008D0760">
              <w:rPr>
                <w:color w:val="001422"/>
              </w:rPr>
              <w:t>1.5</w:t>
            </w:r>
            <w:r w:rsidRPr="008D0760">
              <w:rPr>
                <w:color w:val="001422"/>
                <w:spacing w:val="-4"/>
              </w:rPr>
              <w:t xml:space="preserve"> </w:t>
            </w:r>
            <w:r w:rsidRPr="008D0760">
              <w:rPr>
                <w:color w:val="001422"/>
              </w:rPr>
              <w:t>×</w:t>
            </w:r>
            <w:r w:rsidRPr="008D0760">
              <w:rPr>
                <w:color w:val="001422"/>
                <w:spacing w:val="-4"/>
              </w:rPr>
              <w:t xml:space="preserve"> </w:t>
            </w:r>
            <w:r w:rsidRPr="008D0760">
              <w:rPr>
                <w:color w:val="001422"/>
              </w:rPr>
              <w:t>ULN</w:t>
            </w:r>
            <w:r w:rsidRPr="008D0760">
              <w:rPr>
                <w:color w:val="001422"/>
                <w:spacing w:val="-5"/>
              </w:rPr>
              <w:t xml:space="preserve"> and</w:t>
            </w:r>
          </w:p>
          <w:p w14:paraId="680DF43A" w14:textId="77777777" w:rsidR="00832037" w:rsidRPr="008D0760" w:rsidRDefault="00832037" w:rsidP="00A26BF3">
            <w:r w:rsidRPr="008D0760">
              <w:rPr>
                <w:color w:val="001422"/>
              </w:rPr>
              <w:t>Hemoglobin</w:t>
            </w:r>
            <w:r w:rsidRPr="008D0760">
              <w:rPr>
                <w:color w:val="001422"/>
                <w:spacing w:val="-7"/>
              </w:rPr>
              <w:t xml:space="preserve"> </w:t>
            </w:r>
            <w:r w:rsidRPr="008D0760">
              <w:rPr>
                <w:color w:val="001422"/>
              </w:rPr>
              <w:t>level</w:t>
            </w:r>
            <w:r w:rsidRPr="008D0760">
              <w:rPr>
                <w:color w:val="001422"/>
                <w:spacing w:val="-6"/>
              </w:rPr>
              <w:t xml:space="preserve"> </w:t>
            </w:r>
            <w:r w:rsidRPr="008D0760">
              <w:rPr>
                <w:color w:val="001422"/>
              </w:rPr>
              <w:t>&lt;</w:t>
            </w:r>
            <w:r w:rsidRPr="008D0760">
              <w:rPr>
                <w:color w:val="001422"/>
                <w:spacing w:val="-3"/>
              </w:rPr>
              <w:t xml:space="preserve"> </w:t>
            </w:r>
            <w:r w:rsidRPr="008D0760">
              <w:rPr>
                <w:color w:val="001422"/>
              </w:rPr>
              <w:t>10.5</w:t>
            </w:r>
            <w:r w:rsidRPr="008D0760">
              <w:rPr>
                <w:color w:val="001422"/>
                <w:spacing w:val="-3"/>
              </w:rPr>
              <w:t xml:space="preserve"> </w:t>
            </w:r>
            <w:r w:rsidRPr="008D0760">
              <w:rPr>
                <w:color w:val="001422"/>
                <w:spacing w:val="-4"/>
              </w:rPr>
              <w:t>g/dL</w:t>
            </w:r>
          </w:p>
          <w:p w14:paraId="7A5F3B6B" w14:textId="77777777" w:rsidR="00832037" w:rsidRPr="008D0760" w:rsidRDefault="00832037" w:rsidP="00A26BF3">
            <w:r w:rsidRPr="008D0760">
              <w:t>13 patients</w:t>
            </w:r>
            <w:r w:rsidRPr="008D0760">
              <w:rPr>
                <w:spacing w:val="-3"/>
              </w:rPr>
              <w:t xml:space="preserve"> </w:t>
            </w:r>
            <w:r w:rsidRPr="008D0760">
              <w:t>were</w:t>
            </w:r>
            <w:r w:rsidRPr="008D0760">
              <w:rPr>
                <w:spacing w:val="-3"/>
              </w:rPr>
              <w:t xml:space="preserve"> </w:t>
            </w:r>
            <w:r w:rsidRPr="008D0760">
              <w:t>enrolled,</w:t>
            </w:r>
            <w:r w:rsidRPr="008D0760">
              <w:rPr>
                <w:spacing w:val="-6"/>
              </w:rPr>
              <w:t xml:space="preserve"> </w:t>
            </w:r>
            <w:r w:rsidRPr="008D0760">
              <w:t>7 were</w:t>
            </w:r>
            <w:r w:rsidRPr="008D0760">
              <w:rPr>
                <w:spacing w:val="-3"/>
              </w:rPr>
              <w:t xml:space="preserve"> </w:t>
            </w:r>
            <w:r w:rsidRPr="008D0760">
              <w:t>randomized</w:t>
            </w:r>
            <w:r w:rsidRPr="008D0760">
              <w:rPr>
                <w:spacing w:val="-3"/>
              </w:rPr>
              <w:t xml:space="preserve"> </w:t>
            </w:r>
            <w:r w:rsidRPr="008D0760">
              <w:t>to</w:t>
            </w:r>
            <w:r w:rsidRPr="008D0760">
              <w:rPr>
                <w:spacing w:val="-5"/>
              </w:rPr>
              <w:t xml:space="preserve"> </w:t>
            </w:r>
            <w:r w:rsidRPr="008D0760">
              <w:t>Cohort</w:t>
            </w:r>
            <w:r w:rsidRPr="008D0760">
              <w:rPr>
                <w:spacing w:val="-3"/>
              </w:rPr>
              <w:t xml:space="preserve"> </w:t>
            </w:r>
            <w:r w:rsidRPr="008D0760">
              <w:t>1 and</w:t>
            </w:r>
            <w:r w:rsidRPr="008D0760">
              <w:rPr>
                <w:spacing w:val="-3"/>
              </w:rPr>
              <w:t xml:space="preserve"> </w:t>
            </w:r>
            <w:r w:rsidRPr="008D0760">
              <w:t>6 to cohort</w:t>
            </w:r>
            <w:r w:rsidRPr="008D0760">
              <w:rPr>
                <w:spacing w:val="-3"/>
              </w:rPr>
              <w:t xml:space="preserve"> </w:t>
            </w:r>
            <w:r w:rsidRPr="008D0760">
              <w:t>2. 11 patients completed the study.</w:t>
            </w:r>
          </w:p>
        </w:tc>
      </w:tr>
      <w:tr w:rsidR="00832037" w:rsidRPr="008D0760" w14:paraId="51731E29" w14:textId="77777777" w:rsidTr="00A26BF3">
        <w:trPr>
          <w:trHeight w:val="3186"/>
        </w:trPr>
        <w:tc>
          <w:tcPr>
            <w:tcW w:w="1838" w:type="dxa"/>
            <w:shd w:val="clear" w:color="auto" w:fill="DEEAF6" w:themeFill="accent5" w:themeFillTint="33"/>
          </w:tcPr>
          <w:p w14:paraId="2CF87AA2" w14:textId="77777777" w:rsidR="00832037" w:rsidRPr="008D0760" w:rsidRDefault="00832037" w:rsidP="00A26BF3">
            <w:bookmarkStart w:id="38" w:name="Cohort_1"/>
            <w:bookmarkEnd w:id="38"/>
            <w:r w:rsidRPr="008D0760">
              <w:t>Cohort</w:t>
            </w:r>
            <w:r w:rsidRPr="008D0760">
              <w:rPr>
                <w:spacing w:val="-5"/>
              </w:rPr>
              <w:t xml:space="preserve"> </w:t>
            </w:r>
            <w:r w:rsidRPr="008D0760">
              <w:rPr>
                <w:spacing w:val="-10"/>
              </w:rPr>
              <w:t>1</w:t>
            </w:r>
          </w:p>
        </w:tc>
        <w:tc>
          <w:tcPr>
            <w:tcW w:w="7178" w:type="dxa"/>
          </w:tcPr>
          <w:p w14:paraId="53855FE2" w14:textId="77777777" w:rsidR="00832037" w:rsidRPr="008D0760" w:rsidRDefault="00832037" w:rsidP="00A26BF3">
            <w:bookmarkStart w:id="39" w:name="Sequence_1:"/>
            <w:bookmarkEnd w:id="39"/>
            <w:r w:rsidRPr="008D0760">
              <w:rPr>
                <w:color w:val="001422"/>
              </w:rPr>
              <w:t>Sequence</w:t>
            </w:r>
            <w:r w:rsidRPr="008D0760">
              <w:rPr>
                <w:color w:val="001422"/>
                <w:spacing w:val="-7"/>
              </w:rPr>
              <w:t xml:space="preserve"> </w:t>
            </w:r>
            <w:r w:rsidRPr="008D0760">
              <w:rPr>
                <w:color w:val="001422"/>
                <w:spacing w:val="-5"/>
              </w:rPr>
              <w:t>1:</w:t>
            </w:r>
          </w:p>
          <w:p w14:paraId="3EBC426F" w14:textId="77777777" w:rsidR="00832037" w:rsidRPr="008D0760" w:rsidRDefault="00832037" w:rsidP="00A26BF3">
            <w:r w:rsidRPr="008D0760">
              <w:t>4 weeks of treatment with iptacopan 25mg bd in period 1 followed by iptacopan</w:t>
            </w:r>
            <w:r w:rsidRPr="008D0760">
              <w:rPr>
                <w:spacing w:val="-6"/>
              </w:rPr>
              <w:t xml:space="preserve"> </w:t>
            </w:r>
            <w:r w:rsidRPr="008D0760">
              <w:t>100mg bd</w:t>
            </w:r>
            <w:r w:rsidRPr="008D0760">
              <w:rPr>
                <w:spacing w:val="-3"/>
              </w:rPr>
              <w:t xml:space="preserve"> </w:t>
            </w:r>
            <w:r w:rsidRPr="008D0760">
              <w:t>for</w:t>
            </w:r>
            <w:r w:rsidRPr="008D0760">
              <w:rPr>
                <w:spacing w:val="-4"/>
              </w:rPr>
              <w:t xml:space="preserve"> </w:t>
            </w:r>
            <w:r w:rsidRPr="008D0760">
              <w:t>8</w:t>
            </w:r>
            <w:r w:rsidRPr="008D0760">
              <w:rPr>
                <w:spacing w:val="-5"/>
              </w:rPr>
              <w:t xml:space="preserve"> </w:t>
            </w:r>
            <w:r w:rsidRPr="008D0760">
              <w:t>weeks</w:t>
            </w:r>
            <w:r w:rsidRPr="008D0760">
              <w:rPr>
                <w:spacing w:val="-5"/>
              </w:rPr>
              <w:t xml:space="preserve"> </w:t>
            </w:r>
            <w:r w:rsidRPr="008D0760">
              <w:t>(period</w:t>
            </w:r>
            <w:r w:rsidRPr="008D0760">
              <w:rPr>
                <w:spacing w:val="-3"/>
              </w:rPr>
              <w:t xml:space="preserve"> </w:t>
            </w:r>
            <w:r w:rsidRPr="008D0760">
              <w:t>2) and</w:t>
            </w:r>
            <w:r w:rsidRPr="008D0760">
              <w:rPr>
                <w:spacing w:val="-5"/>
              </w:rPr>
              <w:t xml:space="preserve"> </w:t>
            </w:r>
            <w:r w:rsidRPr="008D0760">
              <w:t>during the</w:t>
            </w:r>
            <w:r w:rsidRPr="008D0760">
              <w:rPr>
                <w:spacing w:val="-3"/>
              </w:rPr>
              <w:t xml:space="preserve"> </w:t>
            </w:r>
            <w:r w:rsidRPr="008D0760">
              <w:t>extension</w:t>
            </w:r>
            <w:r w:rsidRPr="008D0760">
              <w:rPr>
                <w:spacing w:val="-3"/>
              </w:rPr>
              <w:t xml:space="preserve"> </w:t>
            </w:r>
            <w:r w:rsidRPr="008D0760">
              <w:t>period (period 3).</w:t>
            </w:r>
          </w:p>
          <w:p w14:paraId="574D744A" w14:textId="4D94568D" w:rsidR="00832037" w:rsidRPr="008D0760" w:rsidRDefault="00832037" w:rsidP="00A26BF3">
            <w:r w:rsidRPr="008D0760">
              <w:t xml:space="preserve">If during period 1, LDH was not reduced by </w:t>
            </w:r>
            <w:r w:rsidRPr="008D0760">
              <w:rPr>
                <w:u w:val="single"/>
              </w:rPr>
              <w:t>&gt;</w:t>
            </w:r>
            <w:r w:rsidRPr="008D0760">
              <w:t xml:space="preserve">40% for the mean of pre- treatment values by week 2, the iptacopan dose was to be </w:t>
            </w:r>
            <w:proofErr w:type="gramStart"/>
            <w:r w:rsidRPr="008D0760">
              <w:t>up-titrated</w:t>
            </w:r>
            <w:proofErr w:type="gramEnd"/>
            <w:r w:rsidRPr="008D0760">
              <w:t xml:space="preserve"> to 100mg</w:t>
            </w:r>
            <w:r w:rsidRPr="008D0760">
              <w:rPr>
                <w:spacing w:val="-1"/>
              </w:rPr>
              <w:t xml:space="preserve"> </w:t>
            </w:r>
            <w:r w:rsidRPr="008D0760">
              <w:t>bd from</w:t>
            </w:r>
            <w:r w:rsidRPr="008D0760">
              <w:rPr>
                <w:spacing w:val="-3"/>
              </w:rPr>
              <w:t xml:space="preserve"> </w:t>
            </w:r>
            <w:r w:rsidRPr="008D0760">
              <w:t>study</w:t>
            </w:r>
            <w:r w:rsidRPr="008D0760">
              <w:rPr>
                <w:spacing w:val="-3"/>
              </w:rPr>
              <w:t xml:space="preserve"> </w:t>
            </w:r>
            <w:r w:rsidRPr="008D0760">
              <w:t>day</w:t>
            </w:r>
            <w:r w:rsidRPr="008D0760">
              <w:rPr>
                <w:spacing w:val="-3"/>
              </w:rPr>
              <w:t xml:space="preserve"> </w:t>
            </w:r>
            <w:r w:rsidRPr="008D0760">
              <w:t>17.</w:t>
            </w:r>
            <w:r w:rsidRPr="008D0760">
              <w:rPr>
                <w:spacing w:val="-5"/>
              </w:rPr>
              <w:t xml:space="preserve"> </w:t>
            </w:r>
            <w:r w:rsidRPr="008D0760">
              <w:t>If</w:t>
            </w:r>
            <w:r w:rsidRPr="008D0760">
              <w:rPr>
                <w:spacing w:val="-1"/>
              </w:rPr>
              <w:t xml:space="preserve"> </w:t>
            </w:r>
            <w:r w:rsidRPr="008D0760">
              <w:t>the LDH</w:t>
            </w:r>
            <w:r w:rsidRPr="008D0760">
              <w:rPr>
                <w:spacing w:val="-3"/>
              </w:rPr>
              <w:t xml:space="preserve"> </w:t>
            </w:r>
            <w:r w:rsidRPr="008D0760">
              <w:t>was not reduced by</w:t>
            </w:r>
            <w:r w:rsidRPr="008D0760">
              <w:rPr>
                <w:spacing w:val="-3"/>
              </w:rPr>
              <w:t xml:space="preserve"> </w:t>
            </w:r>
            <w:r w:rsidRPr="008D0760">
              <w:rPr>
                <w:u w:val="single"/>
              </w:rPr>
              <w:t>&gt;</w:t>
            </w:r>
            <w:r w:rsidRPr="008D0760">
              <w:t>40%</w:t>
            </w:r>
            <w:r w:rsidRPr="008D0760">
              <w:rPr>
                <w:spacing w:val="-5"/>
              </w:rPr>
              <w:t xml:space="preserve"> </w:t>
            </w:r>
            <w:r w:rsidRPr="008D0760">
              <w:t>from</w:t>
            </w:r>
            <w:r w:rsidRPr="008D0760">
              <w:rPr>
                <w:spacing w:val="-3"/>
              </w:rPr>
              <w:t xml:space="preserve"> </w:t>
            </w:r>
            <w:r w:rsidRPr="008D0760">
              <w:t xml:space="preserve">the mean of pre-treatment values at week 4, the iptacopan dose was to be up- titrated to 200mg bd in period 2 and 3 starting from day 30. In the approximate </w:t>
            </w:r>
            <w:r w:rsidR="006402C8" w:rsidRPr="008D0760">
              <w:t>2-year</w:t>
            </w:r>
            <w:r w:rsidRPr="008D0760">
              <w:t xml:space="preserve"> extension period (extension period 3), patients maintained the same treatment regimen as used in period 2.</w:t>
            </w:r>
          </w:p>
        </w:tc>
      </w:tr>
      <w:tr w:rsidR="00832037" w:rsidRPr="008D0760" w14:paraId="7930EE7C" w14:textId="77777777" w:rsidTr="00A26BF3">
        <w:trPr>
          <w:trHeight w:val="2450"/>
        </w:trPr>
        <w:tc>
          <w:tcPr>
            <w:tcW w:w="1838" w:type="dxa"/>
            <w:shd w:val="clear" w:color="auto" w:fill="DEEAF6" w:themeFill="accent5" w:themeFillTint="33"/>
          </w:tcPr>
          <w:p w14:paraId="4858FE95" w14:textId="77777777" w:rsidR="00832037" w:rsidRPr="008D0760" w:rsidRDefault="00832037" w:rsidP="00A26BF3">
            <w:bookmarkStart w:id="40" w:name="Cohort_2"/>
            <w:bookmarkEnd w:id="40"/>
            <w:r w:rsidRPr="008D0760">
              <w:t>Cohort</w:t>
            </w:r>
            <w:r w:rsidRPr="008D0760">
              <w:rPr>
                <w:spacing w:val="-5"/>
              </w:rPr>
              <w:t xml:space="preserve"> </w:t>
            </w:r>
            <w:r w:rsidRPr="008D0760">
              <w:rPr>
                <w:spacing w:val="-10"/>
              </w:rPr>
              <w:t>2</w:t>
            </w:r>
          </w:p>
        </w:tc>
        <w:tc>
          <w:tcPr>
            <w:tcW w:w="7178" w:type="dxa"/>
          </w:tcPr>
          <w:p w14:paraId="192B855B" w14:textId="77777777" w:rsidR="00832037" w:rsidRPr="008D0760" w:rsidRDefault="00832037" w:rsidP="00A26BF3">
            <w:bookmarkStart w:id="41" w:name="Sequence_2:"/>
            <w:bookmarkEnd w:id="41"/>
            <w:r w:rsidRPr="008D0760">
              <w:rPr>
                <w:color w:val="001422"/>
              </w:rPr>
              <w:t>Sequence</w:t>
            </w:r>
            <w:r w:rsidRPr="008D0760">
              <w:rPr>
                <w:color w:val="001422"/>
                <w:spacing w:val="-7"/>
              </w:rPr>
              <w:t xml:space="preserve"> </w:t>
            </w:r>
            <w:r w:rsidRPr="008D0760">
              <w:rPr>
                <w:color w:val="001422"/>
                <w:spacing w:val="-5"/>
              </w:rPr>
              <w:t>2:</w:t>
            </w:r>
          </w:p>
          <w:p w14:paraId="35A7A4C3" w14:textId="77777777" w:rsidR="00832037" w:rsidRPr="008D0760" w:rsidRDefault="00832037" w:rsidP="00A26BF3">
            <w:r w:rsidRPr="008D0760">
              <w:t>4 weeks of treatment with iptacopan 50mg bd in period 1 followed by iptacopan</w:t>
            </w:r>
            <w:r w:rsidRPr="008D0760">
              <w:rPr>
                <w:spacing w:val="-6"/>
              </w:rPr>
              <w:t xml:space="preserve"> </w:t>
            </w:r>
            <w:r w:rsidRPr="008D0760">
              <w:t>200mg bd</w:t>
            </w:r>
            <w:r w:rsidRPr="008D0760">
              <w:rPr>
                <w:spacing w:val="-3"/>
              </w:rPr>
              <w:t xml:space="preserve"> </w:t>
            </w:r>
            <w:r w:rsidRPr="008D0760">
              <w:t>for</w:t>
            </w:r>
            <w:r w:rsidRPr="008D0760">
              <w:rPr>
                <w:spacing w:val="-4"/>
              </w:rPr>
              <w:t xml:space="preserve"> </w:t>
            </w:r>
            <w:r w:rsidRPr="008D0760">
              <w:t>8</w:t>
            </w:r>
            <w:r w:rsidRPr="008D0760">
              <w:rPr>
                <w:spacing w:val="-5"/>
              </w:rPr>
              <w:t xml:space="preserve"> </w:t>
            </w:r>
            <w:r w:rsidRPr="008D0760">
              <w:t>weeks</w:t>
            </w:r>
            <w:r w:rsidRPr="008D0760">
              <w:rPr>
                <w:spacing w:val="-5"/>
              </w:rPr>
              <w:t xml:space="preserve"> </w:t>
            </w:r>
            <w:r w:rsidRPr="008D0760">
              <w:t>(period</w:t>
            </w:r>
            <w:r w:rsidRPr="008D0760">
              <w:rPr>
                <w:spacing w:val="-3"/>
              </w:rPr>
              <w:t xml:space="preserve"> </w:t>
            </w:r>
            <w:r w:rsidRPr="008D0760">
              <w:t>2) and</w:t>
            </w:r>
            <w:r w:rsidRPr="008D0760">
              <w:rPr>
                <w:spacing w:val="-5"/>
              </w:rPr>
              <w:t xml:space="preserve"> </w:t>
            </w:r>
            <w:r w:rsidRPr="008D0760">
              <w:t>during the</w:t>
            </w:r>
            <w:r w:rsidRPr="008D0760">
              <w:rPr>
                <w:spacing w:val="-3"/>
              </w:rPr>
              <w:t xml:space="preserve"> </w:t>
            </w:r>
            <w:r w:rsidRPr="008D0760">
              <w:t>extension</w:t>
            </w:r>
            <w:r w:rsidRPr="008D0760">
              <w:rPr>
                <w:spacing w:val="-3"/>
              </w:rPr>
              <w:t xml:space="preserve"> </w:t>
            </w:r>
            <w:r w:rsidRPr="008D0760">
              <w:t>period (period 3)</w:t>
            </w:r>
          </w:p>
          <w:p w14:paraId="7B68A939" w14:textId="1B2E4F00" w:rsidR="00832037" w:rsidRPr="008D0760" w:rsidRDefault="00832037" w:rsidP="00A26BF3">
            <w:r w:rsidRPr="008D0760">
              <w:t xml:space="preserve">If during period 1, LDH was not reduced by </w:t>
            </w:r>
            <w:r w:rsidRPr="008D0760">
              <w:rPr>
                <w:u w:val="single"/>
              </w:rPr>
              <w:t>&gt;</w:t>
            </w:r>
            <w:r w:rsidRPr="008D0760">
              <w:t>40% for the mean of pre- treatment</w:t>
            </w:r>
            <w:r w:rsidRPr="008D0760">
              <w:rPr>
                <w:spacing w:val="-3"/>
              </w:rPr>
              <w:t xml:space="preserve"> </w:t>
            </w:r>
            <w:r w:rsidRPr="008D0760">
              <w:t>values</w:t>
            </w:r>
            <w:r w:rsidRPr="008D0760">
              <w:rPr>
                <w:spacing w:val="-3"/>
              </w:rPr>
              <w:t xml:space="preserve"> </w:t>
            </w:r>
            <w:r w:rsidRPr="008D0760">
              <w:t>by</w:t>
            </w:r>
            <w:r w:rsidRPr="008D0760">
              <w:rPr>
                <w:spacing w:val="-4"/>
              </w:rPr>
              <w:t xml:space="preserve"> </w:t>
            </w:r>
            <w:r w:rsidRPr="008D0760">
              <w:t>week</w:t>
            </w:r>
            <w:r w:rsidRPr="008D0760">
              <w:rPr>
                <w:spacing w:val="-6"/>
              </w:rPr>
              <w:t xml:space="preserve"> </w:t>
            </w:r>
            <w:r w:rsidRPr="008D0760">
              <w:t>2,</w:t>
            </w:r>
            <w:r w:rsidRPr="008D0760">
              <w:rPr>
                <w:spacing w:val="-3"/>
              </w:rPr>
              <w:t xml:space="preserve"> </w:t>
            </w:r>
            <w:r w:rsidRPr="008D0760">
              <w:t>the</w:t>
            </w:r>
            <w:r w:rsidRPr="008D0760">
              <w:rPr>
                <w:spacing w:val="-3"/>
              </w:rPr>
              <w:t xml:space="preserve"> </w:t>
            </w:r>
            <w:r w:rsidRPr="008D0760">
              <w:t>dose</w:t>
            </w:r>
            <w:r w:rsidRPr="008D0760">
              <w:rPr>
                <w:spacing w:val="-3"/>
              </w:rPr>
              <w:t xml:space="preserve"> </w:t>
            </w:r>
            <w:r w:rsidRPr="008D0760">
              <w:t>was</w:t>
            </w:r>
            <w:r w:rsidRPr="008D0760">
              <w:rPr>
                <w:spacing w:val="-3"/>
              </w:rPr>
              <w:t xml:space="preserve"> </w:t>
            </w:r>
            <w:proofErr w:type="gramStart"/>
            <w:r w:rsidRPr="008D0760">
              <w:t>up-titrated</w:t>
            </w:r>
            <w:proofErr w:type="gramEnd"/>
            <w:r w:rsidRPr="008D0760">
              <w:rPr>
                <w:spacing w:val="-5"/>
              </w:rPr>
              <w:t xml:space="preserve"> </w:t>
            </w:r>
            <w:r w:rsidRPr="008D0760">
              <w:t>to 200mg bd</w:t>
            </w:r>
            <w:r w:rsidRPr="008D0760">
              <w:rPr>
                <w:spacing w:val="-3"/>
              </w:rPr>
              <w:t xml:space="preserve"> </w:t>
            </w:r>
            <w:r w:rsidRPr="008D0760">
              <w:t>from</w:t>
            </w:r>
            <w:r w:rsidRPr="008D0760">
              <w:rPr>
                <w:spacing w:val="-4"/>
              </w:rPr>
              <w:t xml:space="preserve"> </w:t>
            </w:r>
            <w:r w:rsidRPr="008D0760">
              <w:t xml:space="preserve">study day 17. In the approximate </w:t>
            </w:r>
            <w:r w:rsidR="006402C8" w:rsidRPr="008D0760">
              <w:t>2-year</w:t>
            </w:r>
            <w:r w:rsidRPr="008D0760">
              <w:t xml:space="preserve"> extension period 3, patients remained on 200mg bd.</w:t>
            </w:r>
          </w:p>
        </w:tc>
      </w:tr>
      <w:tr w:rsidR="00832037" w:rsidRPr="008D0760" w14:paraId="55D99DD9" w14:textId="77777777" w:rsidTr="00A26BF3">
        <w:trPr>
          <w:trHeight w:val="7031"/>
        </w:trPr>
        <w:tc>
          <w:tcPr>
            <w:tcW w:w="1838" w:type="dxa"/>
            <w:shd w:val="clear" w:color="auto" w:fill="DEEAF6" w:themeFill="accent5" w:themeFillTint="33"/>
          </w:tcPr>
          <w:p w14:paraId="6539F1C6" w14:textId="77777777" w:rsidR="00832037" w:rsidRPr="008D0760" w:rsidRDefault="00832037" w:rsidP="00A26BF3">
            <w:bookmarkStart w:id="42" w:name="Outcome"/>
            <w:bookmarkEnd w:id="42"/>
            <w:r w:rsidRPr="008D0760">
              <w:lastRenderedPageBreak/>
              <w:t>Outcome</w:t>
            </w:r>
          </w:p>
        </w:tc>
        <w:tc>
          <w:tcPr>
            <w:tcW w:w="7178" w:type="dxa"/>
          </w:tcPr>
          <w:p w14:paraId="7AFD13F7" w14:textId="77777777" w:rsidR="00832037" w:rsidRPr="008D0760" w:rsidRDefault="00832037" w:rsidP="00A26BF3">
            <w:bookmarkStart w:id="43" w:name="Primary_endpoint:"/>
            <w:bookmarkEnd w:id="43"/>
            <w:r w:rsidRPr="008D0760">
              <w:rPr>
                <w:color w:val="001422"/>
              </w:rPr>
              <w:t>Primary</w:t>
            </w:r>
            <w:r w:rsidRPr="008D0760">
              <w:rPr>
                <w:color w:val="001422"/>
                <w:spacing w:val="-7"/>
              </w:rPr>
              <w:t xml:space="preserve"> </w:t>
            </w:r>
            <w:r w:rsidRPr="008D0760">
              <w:rPr>
                <w:color w:val="001422"/>
              </w:rPr>
              <w:t>endpoint:</w:t>
            </w:r>
          </w:p>
          <w:p w14:paraId="59F3DF2B" w14:textId="77777777" w:rsidR="00832037" w:rsidRPr="008D0760" w:rsidRDefault="00832037" w:rsidP="00A26BF3">
            <w:r w:rsidRPr="008D0760">
              <w:t>Proportion</w:t>
            </w:r>
            <w:r w:rsidRPr="008D0760">
              <w:rPr>
                <w:spacing w:val="-3"/>
              </w:rPr>
              <w:t xml:space="preserve"> </w:t>
            </w:r>
            <w:r w:rsidRPr="008D0760">
              <w:t>of patients</w:t>
            </w:r>
            <w:r w:rsidRPr="008D0760">
              <w:rPr>
                <w:spacing w:val="-3"/>
              </w:rPr>
              <w:t xml:space="preserve"> </w:t>
            </w:r>
            <w:r w:rsidRPr="008D0760">
              <w:t>with</w:t>
            </w:r>
            <w:r w:rsidRPr="008D0760">
              <w:rPr>
                <w:spacing w:val="-4"/>
              </w:rPr>
              <w:t xml:space="preserve"> </w:t>
            </w:r>
            <w:r w:rsidRPr="008D0760">
              <w:t>60%</w:t>
            </w:r>
            <w:r w:rsidRPr="008D0760">
              <w:rPr>
                <w:spacing w:val="-4"/>
              </w:rPr>
              <w:t xml:space="preserve"> </w:t>
            </w:r>
            <w:r w:rsidRPr="008D0760">
              <w:t>reduction</w:t>
            </w:r>
            <w:r w:rsidRPr="008D0760">
              <w:rPr>
                <w:spacing w:val="-3"/>
              </w:rPr>
              <w:t xml:space="preserve"> </w:t>
            </w:r>
            <w:r w:rsidRPr="008D0760">
              <w:t>in</w:t>
            </w:r>
            <w:r w:rsidRPr="008D0760">
              <w:rPr>
                <w:spacing w:val="-3"/>
              </w:rPr>
              <w:t xml:space="preserve"> </w:t>
            </w:r>
            <w:r w:rsidRPr="008D0760">
              <w:t>LDH</w:t>
            </w:r>
            <w:r w:rsidRPr="008D0760">
              <w:rPr>
                <w:spacing w:val="-4"/>
              </w:rPr>
              <w:t xml:space="preserve"> </w:t>
            </w:r>
            <w:r w:rsidRPr="008D0760">
              <w:t>or</w:t>
            </w:r>
            <w:r w:rsidRPr="008D0760">
              <w:rPr>
                <w:spacing w:val="-4"/>
              </w:rPr>
              <w:t xml:space="preserve"> </w:t>
            </w:r>
            <w:r w:rsidRPr="008D0760">
              <w:t>LDH</w:t>
            </w:r>
            <w:r w:rsidRPr="008D0760">
              <w:rPr>
                <w:spacing w:val="-4"/>
              </w:rPr>
              <w:t xml:space="preserve"> </w:t>
            </w:r>
            <w:r w:rsidRPr="008D0760">
              <w:t>below ULN, after up to 12 weeks of treatment</w:t>
            </w:r>
          </w:p>
          <w:p w14:paraId="7BC558F2" w14:textId="77777777" w:rsidR="00832037" w:rsidRPr="008D0760" w:rsidRDefault="00832037" w:rsidP="00A26BF3">
            <w:r w:rsidRPr="008D0760">
              <w:t>Of</w:t>
            </w:r>
            <w:r w:rsidRPr="008D0760">
              <w:rPr>
                <w:spacing w:val="-3"/>
              </w:rPr>
              <w:t xml:space="preserve"> </w:t>
            </w:r>
            <w:r w:rsidRPr="008D0760">
              <w:t>the</w:t>
            </w:r>
            <w:r w:rsidRPr="008D0760">
              <w:rPr>
                <w:spacing w:val="-6"/>
              </w:rPr>
              <w:t xml:space="preserve"> </w:t>
            </w:r>
            <w:r w:rsidRPr="008D0760">
              <w:t>13</w:t>
            </w:r>
            <w:r w:rsidRPr="008D0760">
              <w:rPr>
                <w:spacing w:val="-3"/>
              </w:rPr>
              <w:t xml:space="preserve"> </w:t>
            </w:r>
            <w:r w:rsidRPr="008D0760">
              <w:t>patients</w:t>
            </w:r>
            <w:r w:rsidRPr="008D0760">
              <w:rPr>
                <w:spacing w:val="-4"/>
              </w:rPr>
              <w:t xml:space="preserve"> </w:t>
            </w:r>
            <w:r w:rsidRPr="008D0760">
              <w:t>enrolled,</w:t>
            </w:r>
            <w:r w:rsidRPr="008D0760">
              <w:rPr>
                <w:spacing w:val="-6"/>
              </w:rPr>
              <w:t xml:space="preserve"> </w:t>
            </w:r>
            <w:r w:rsidRPr="008D0760">
              <w:t>12</w:t>
            </w:r>
            <w:r w:rsidRPr="008D0760">
              <w:rPr>
                <w:spacing w:val="-3"/>
              </w:rPr>
              <w:t xml:space="preserve"> </w:t>
            </w:r>
            <w:r w:rsidRPr="008D0760">
              <w:t>were</w:t>
            </w:r>
            <w:r w:rsidRPr="008D0760">
              <w:rPr>
                <w:spacing w:val="-4"/>
              </w:rPr>
              <w:t xml:space="preserve"> </w:t>
            </w:r>
            <w:r w:rsidRPr="008D0760">
              <w:t>assessed</w:t>
            </w:r>
            <w:r w:rsidRPr="008D0760">
              <w:rPr>
                <w:spacing w:val="-4"/>
              </w:rPr>
              <w:t xml:space="preserve"> </w:t>
            </w:r>
            <w:r w:rsidRPr="008D0760">
              <w:t>for</w:t>
            </w:r>
            <w:r w:rsidRPr="008D0760">
              <w:rPr>
                <w:spacing w:val="-5"/>
              </w:rPr>
              <w:t xml:space="preserve"> </w:t>
            </w:r>
            <w:r w:rsidRPr="008D0760">
              <w:t>efficacy</w:t>
            </w:r>
            <w:r w:rsidRPr="008D0760">
              <w:rPr>
                <w:spacing w:val="-5"/>
              </w:rPr>
              <w:t xml:space="preserve"> </w:t>
            </w:r>
            <w:r w:rsidRPr="008D0760">
              <w:t>and all 12 (100%) achieved the primary endpoint by week 12</w:t>
            </w:r>
          </w:p>
          <w:p w14:paraId="5CF2446F" w14:textId="7055FA0D" w:rsidR="00832037" w:rsidRPr="008D0760" w:rsidRDefault="00832037" w:rsidP="00A26BF3">
            <w:r w:rsidRPr="008D0760">
              <w:t>No</w:t>
            </w:r>
            <w:r w:rsidRPr="008D0760">
              <w:rPr>
                <w:spacing w:val="-7"/>
              </w:rPr>
              <w:t xml:space="preserve"> </w:t>
            </w:r>
            <w:r w:rsidRPr="008D0760">
              <w:t>patients</w:t>
            </w:r>
            <w:r w:rsidRPr="008D0760">
              <w:rPr>
                <w:spacing w:val="-7"/>
              </w:rPr>
              <w:t xml:space="preserve"> </w:t>
            </w:r>
            <w:r w:rsidRPr="008D0760">
              <w:t>required</w:t>
            </w:r>
            <w:r w:rsidRPr="008D0760">
              <w:rPr>
                <w:spacing w:val="-6"/>
              </w:rPr>
              <w:t xml:space="preserve"> </w:t>
            </w:r>
            <w:r w:rsidRPr="008D0760">
              <w:t>up</w:t>
            </w:r>
            <w:r w:rsidR="004120EB">
              <w:t xml:space="preserve"> </w:t>
            </w:r>
            <w:r w:rsidRPr="008D0760">
              <w:t>titration</w:t>
            </w:r>
            <w:r w:rsidRPr="008D0760">
              <w:rPr>
                <w:spacing w:val="-7"/>
              </w:rPr>
              <w:t xml:space="preserve"> </w:t>
            </w:r>
            <w:r w:rsidRPr="008D0760">
              <w:t>of</w:t>
            </w:r>
            <w:r w:rsidRPr="008D0760">
              <w:rPr>
                <w:spacing w:val="-7"/>
              </w:rPr>
              <w:t xml:space="preserve"> </w:t>
            </w:r>
            <w:r w:rsidRPr="008D0760">
              <w:t>iptacopan</w:t>
            </w:r>
            <w:r w:rsidRPr="008D0760">
              <w:rPr>
                <w:spacing w:val="-6"/>
              </w:rPr>
              <w:t xml:space="preserve"> </w:t>
            </w:r>
            <w:r w:rsidRPr="008D0760">
              <w:rPr>
                <w:spacing w:val="-4"/>
              </w:rPr>
              <w:t>dose</w:t>
            </w:r>
          </w:p>
          <w:p w14:paraId="55382E5D" w14:textId="2C0A7E10" w:rsidR="00832037" w:rsidRPr="008D0760" w:rsidRDefault="3DCF26CA" w:rsidP="00A26BF3">
            <w:r w:rsidRPr="050E35B8">
              <w:rPr>
                <w:u w:val="single"/>
              </w:rPr>
              <w:t>Cohort</w:t>
            </w:r>
            <w:r w:rsidRPr="050E35B8">
              <w:rPr>
                <w:spacing w:val="-4"/>
                <w:u w:val="single"/>
              </w:rPr>
              <w:t xml:space="preserve"> </w:t>
            </w:r>
            <w:r w:rsidRPr="050E35B8">
              <w:rPr>
                <w:u w:val="single"/>
              </w:rPr>
              <w:t>1:</w:t>
            </w:r>
            <w:r w:rsidRPr="008D0760">
              <w:rPr>
                <w:spacing w:val="-5"/>
              </w:rPr>
              <w:t xml:space="preserve"> </w:t>
            </w:r>
            <w:r w:rsidRPr="050E35B8">
              <w:t>mean</w:t>
            </w:r>
            <w:r w:rsidRPr="008D0760">
              <w:rPr>
                <w:spacing w:val="-4"/>
              </w:rPr>
              <w:t xml:space="preserve"> </w:t>
            </w:r>
            <w:r w:rsidRPr="050E35B8">
              <w:t>reduction</w:t>
            </w:r>
            <w:r w:rsidRPr="008D0760">
              <w:rPr>
                <w:spacing w:val="-4"/>
              </w:rPr>
              <w:t xml:space="preserve"> </w:t>
            </w:r>
            <w:r w:rsidRPr="050E35B8">
              <w:t>in</w:t>
            </w:r>
            <w:r w:rsidRPr="008D0760">
              <w:rPr>
                <w:spacing w:val="-4"/>
              </w:rPr>
              <w:t xml:space="preserve"> </w:t>
            </w:r>
            <w:r w:rsidRPr="050E35B8">
              <w:t>LDH</w:t>
            </w:r>
            <w:r w:rsidRPr="008D0760">
              <w:rPr>
                <w:spacing w:val="-5"/>
              </w:rPr>
              <w:t xml:space="preserve"> </w:t>
            </w:r>
            <w:r w:rsidRPr="050E35B8">
              <w:t>from</w:t>
            </w:r>
            <w:r w:rsidRPr="008D0760">
              <w:rPr>
                <w:spacing w:val="-5"/>
              </w:rPr>
              <w:t xml:space="preserve"> </w:t>
            </w:r>
            <w:r w:rsidRPr="050E35B8">
              <w:t>baseline</w:t>
            </w:r>
            <w:r w:rsidRPr="008D0760">
              <w:rPr>
                <w:spacing w:val="-4"/>
              </w:rPr>
              <w:t xml:space="preserve"> </w:t>
            </w:r>
            <w:r w:rsidR="006C0DB5">
              <w:t>was</w:t>
            </w:r>
            <w:r w:rsidRPr="050E35B8">
              <w:t xml:space="preserve"> 86.2% at week 12</w:t>
            </w:r>
          </w:p>
          <w:p w14:paraId="67579008" w14:textId="711061B2" w:rsidR="00832037" w:rsidRPr="008D0760" w:rsidRDefault="3DCF26CA" w:rsidP="00A26BF3">
            <w:r w:rsidRPr="050E35B8">
              <w:rPr>
                <w:u w:val="single"/>
              </w:rPr>
              <w:t>Cohort</w:t>
            </w:r>
            <w:r w:rsidRPr="050E35B8">
              <w:rPr>
                <w:spacing w:val="-4"/>
                <w:u w:val="single"/>
              </w:rPr>
              <w:t xml:space="preserve"> </w:t>
            </w:r>
            <w:r w:rsidRPr="050E35B8">
              <w:rPr>
                <w:u w:val="single"/>
              </w:rPr>
              <w:t>2:</w:t>
            </w:r>
            <w:r w:rsidRPr="008D0760">
              <w:rPr>
                <w:spacing w:val="-5"/>
              </w:rPr>
              <w:t xml:space="preserve"> </w:t>
            </w:r>
            <w:r w:rsidRPr="050E35B8">
              <w:t>mean</w:t>
            </w:r>
            <w:r w:rsidRPr="008D0760">
              <w:rPr>
                <w:spacing w:val="-4"/>
              </w:rPr>
              <w:t xml:space="preserve"> </w:t>
            </w:r>
            <w:r w:rsidRPr="050E35B8">
              <w:t>reduction</w:t>
            </w:r>
            <w:r w:rsidRPr="008D0760">
              <w:rPr>
                <w:spacing w:val="-4"/>
              </w:rPr>
              <w:t xml:space="preserve"> </w:t>
            </w:r>
            <w:r w:rsidRPr="050E35B8">
              <w:t>in</w:t>
            </w:r>
            <w:r w:rsidRPr="008D0760">
              <w:rPr>
                <w:spacing w:val="-4"/>
              </w:rPr>
              <w:t xml:space="preserve"> </w:t>
            </w:r>
            <w:r w:rsidRPr="050E35B8">
              <w:t>LDH</w:t>
            </w:r>
            <w:r w:rsidRPr="008D0760">
              <w:rPr>
                <w:spacing w:val="-5"/>
              </w:rPr>
              <w:t xml:space="preserve"> </w:t>
            </w:r>
            <w:r w:rsidRPr="050E35B8">
              <w:t>from</w:t>
            </w:r>
            <w:r w:rsidRPr="008D0760">
              <w:rPr>
                <w:spacing w:val="-5"/>
              </w:rPr>
              <w:t xml:space="preserve"> </w:t>
            </w:r>
            <w:r w:rsidRPr="050E35B8">
              <w:t>baseline</w:t>
            </w:r>
            <w:r w:rsidRPr="008D0760">
              <w:rPr>
                <w:spacing w:val="-4"/>
              </w:rPr>
              <w:t xml:space="preserve"> </w:t>
            </w:r>
            <w:r w:rsidR="006C0DB5">
              <w:t>was</w:t>
            </w:r>
            <w:r w:rsidRPr="050E35B8">
              <w:t xml:space="preserve"> 85.9% at week 12</w:t>
            </w:r>
          </w:p>
          <w:p w14:paraId="253D727A" w14:textId="77777777" w:rsidR="00832037" w:rsidRPr="008D0760" w:rsidRDefault="00832037" w:rsidP="00A26BF3">
            <w:r w:rsidRPr="008D0760">
              <w:t>Long-term persistence of LDH reduction (into treatment extension period 3) of over 80% was seen in both cohorts with all</w:t>
            </w:r>
            <w:r w:rsidRPr="008D0760">
              <w:rPr>
                <w:spacing w:val="-3"/>
              </w:rPr>
              <w:t xml:space="preserve"> </w:t>
            </w:r>
            <w:r w:rsidRPr="008D0760">
              <w:t>patients</w:t>
            </w:r>
            <w:r w:rsidRPr="008D0760">
              <w:rPr>
                <w:spacing w:val="-3"/>
              </w:rPr>
              <w:t xml:space="preserve"> </w:t>
            </w:r>
            <w:r w:rsidRPr="008D0760">
              <w:t>who</w:t>
            </w:r>
            <w:r w:rsidRPr="008D0760">
              <w:rPr>
                <w:spacing w:val="-5"/>
              </w:rPr>
              <w:t xml:space="preserve"> </w:t>
            </w:r>
            <w:r w:rsidRPr="008D0760">
              <w:t>continued</w:t>
            </w:r>
            <w:r w:rsidRPr="008D0760">
              <w:rPr>
                <w:spacing w:val="-3"/>
              </w:rPr>
              <w:t xml:space="preserve"> </w:t>
            </w:r>
            <w:r w:rsidRPr="008D0760">
              <w:t>treatment</w:t>
            </w:r>
            <w:r w:rsidRPr="008D0760">
              <w:rPr>
                <w:spacing w:val="-3"/>
              </w:rPr>
              <w:t xml:space="preserve"> </w:t>
            </w:r>
            <w:r w:rsidRPr="008D0760">
              <w:t>up</w:t>
            </w:r>
            <w:r w:rsidRPr="008D0760">
              <w:rPr>
                <w:spacing w:val="-3"/>
              </w:rPr>
              <w:t xml:space="preserve"> </w:t>
            </w:r>
            <w:r w:rsidRPr="008D0760">
              <w:t>to week</w:t>
            </w:r>
            <w:r w:rsidRPr="008D0760">
              <w:rPr>
                <w:spacing w:val="-6"/>
              </w:rPr>
              <w:t xml:space="preserve"> </w:t>
            </w:r>
            <w:r w:rsidRPr="008D0760">
              <w:t>108</w:t>
            </w:r>
            <w:r w:rsidRPr="008D0760">
              <w:rPr>
                <w:spacing w:val="-5"/>
              </w:rPr>
              <w:t xml:space="preserve"> </w:t>
            </w:r>
            <w:r w:rsidRPr="008D0760">
              <w:t>(5 patients in cohort 1 and 4 in cohort 2).</w:t>
            </w:r>
          </w:p>
          <w:p w14:paraId="415D778E" w14:textId="77777777" w:rsidR="00832037" w:rsidRPr="008D0760" w:rsidRDefault="00832037" w:rsidP="00A26BF3">
            <w:r w:rsidRPr="008D0760">
              <w:t>Secondary</w:t>
            </w:r>
            <w:r w:rsidRPr="008D0760">
              <w:rPr>
                <w:spacing w:val="-8"/>
              </w:rPr>
              <w:t xml:space="preserve"> </w:t>
            </w:r>
            <w:r w:rsidRPr="008D0760">
              <w:t>endpoints:</w:t>
            </w:r>
          </w:p>
          <w:p w14:paraId="39C05622" w14:textId="77777777" w:rsidR="00832037" w:rsidRPr="008D0760" w:rsidRDefault="00832037" w:rsidP="00A26BF3">
            <w:r w:rsidRPr="008D0760">
              <w:t>Dose-response</w:t>
            </w:r>
            <w:r w:rsidRPr="008D0760">
              <w:rPr>
                <w:spacing w:val="-6"/>
              </w:rPr>
              <w:t xml:space="preserve"> </w:t>
            </w:r>
            <w:r w:rsidRPr="008D0760">
              <w:t>effect</w:t>
            </w:r>
            <w:r w:rsidRPr="008D0760">
              <w:rPr>
                <w:spacing w:val="-6"/>
              </w:rPr>
              <w:t xml:space="preserve"> </w:t>
            </w:r>
            <w:r w:rsidRPr="008D0760">
              <w:t>of</w:t>
            </w:r>
            <w:r w:rsidRPr="008D0760">
              <w:rPr>
                <w:spacing w:val="-5"/>
              </w:rPr>
              <w:t xml:space="preserve"> </w:t>
            </w:r>
            <w:r w:rsidRPr="008D0760">
              <w:t>iptacopan</w:t>
            </w:r>
            <w:r w:rsidRPr="008D0760">
              <w:rPr>
                <w:spacing w:val="-6"/>
              </w:rPr>
              <w:t xml:space="preserve"> </w:t>
            </w:r>
            <w:r w:rsidRPr="008D0760">
              <w:t>on</w:t>
            </w:r>
            <w:r w:rsidRPr="008D0760">
              <w:rPr>
                <w:spacing w:val="-6"/>
              </w:rPr>
              <w:t xml:space="preserve"> </w:t>
            </w:r>
            <w:r w:rsidRPr="008D0760">
              <w:t>reduction</w:t>
            </w:r>
            <w:r w:rsidRPr="008D0760">
              <w:rPr>
                <w:spacing w:val="-6"/>
              </w:rPr>
              <w:t xml:space="preserve"> </w:t>
            </w:r>
            <w:r w:rsidRPr="008D0760">
              <w:t>of</w:t>
            </w:r>
            <w:r w:rsidRPr="008D0760">
              <w:rPr>
                <w:spacing w:val="-5"/>
              </w:rPr>
              <w:t xml:space="preserve"> </w:t>
            </w:r>
            <w:r w:rsidRPr="008D0760">
              <w:t>PNH-associated haemolysis</w:t>
            </w:r>
          </w:p>
          <w:p w14:paraId="22B51E23" w14:textId="77777777" w:rsidR="00832037" w:rsidRPr="008D0760" w:rsidRDefault="00832037" w:rsidP="00A26BF3">
            <w:r w:rsidRPr="008D0760">
              <w:t>Markers</w:t>
            </w:r>
            <w:r w:rsidRPr="008D0760">
              <w:rPr>
                <w:spacing w:val="-8"/>
              </w:rPr>
              <w:t xml:space="preserve"> </w:t>
            </w:r>
            <w:r w:rsidRPr="008D0760">
              <w:t>of</w:t>
            </w:r>
            <w:r w:rsidRPr="008D0760">
              <w:rPr>
                <w:spacing w:val="-6"/>
              </w:rPr>
              <w:t xml:space="preserve"> </w:t>
            </w:r>
            <w:r w:rsidRPr="008D0760">
              <w:t>intravascular</w:t>
            </w:r>
            <w:r w:rsidRPr="008D0760">
              <w:rPr>
                <w:spacing w:val="-6"/>
              </w:rPr>
              <w:t xml:space="preserve"> </w:t>
            </w:r>
            <w:r w:rsidRPr="008D0760">
              <w:t>and</w:t>
            </w:r>
            <w:r w:rsidRPr="008D0760">
              <w:rPr>
                <w:spacing w:val="-7"/>
              </w:rPr>
              <w:t xml:space="preserve"> </w:t>
            </w:r>
            <w:r w:rsidRPr="008D0760">
              <w:t>extravascular</w:t>
            </w:r>
            <w:r w:rsidRPr="008D0760">
              <w:rPr>
                <w:spacing w:val="-6"/>
              </w:rPr>
              <w:t xml:space="preserve"> </w:t>
            </w:r>
            <w:r w:rsidRPr="008D0760">
              <w:t>haemolysis</w:t>
            </w:r>
          </w:p>
          <w:p w14:paraId="1951D8A5" w14:textId="77777777" w:rsidR="00832037" w:rsidRPr="008D0760" w:rsidRDefault="00832037" w:rsidP="00A26BF3">
            <w:r w:rsidRPr="008D0760">
              <w:t>In cohort 1, there was improvement in haemoglobin levels with</w:t>
            </w:r>
            <w:r w:rsidRPr="008D0760">
              <w:rPr>
                <w:spacing w:val="-3"/>
              </w:rPr>
              <w:t xml:space="preserve"> </w:t>
            </w:r>
            <w:r w:rsidRPr="008D0760">
              <w:t>levels</w:t>
            </w:r>
            <w:r w:rsidRPr="008D0760">
              <w:rPr>
                <w:spacing w:val="-4"/>
              </w:rPr>
              <w:t xml:space="preserve"> </w:t>
            </w:r>
            <w:r w:rsidRPr="008D0760">
              <w:rPr>
                <w:u w:val="single"/>
              </w:rPr>
              <w:t>&gt;</w:t>
            </w:r>
            <w:r w:rsidRPr="008D0760">
              <w:t>120g/dL</w:t>
            </w:r>
            <w:r w:rsidRPr="008D0760">
              <w:rPr>
                <w:spacing w:val="-5"/>
              </w:rPr>
              <w:t xml:space="preserve"> </w:t>
            </w:r>
            <w:r w:rsidRPr="008D0760">
              <w:t>in</w:t>
            </w:r>
            <w:r w:rsidRPr="008D0760">
              <w:rPr>
                <w:spacing w:val="-4"/>
              </w:rPr>
              <w:t xml:space="preserve"> </w:t>
            </w:r>
            <w:r w:rsidRPr="008D0760">
              <w:t>3</w:t>
            </w:r>
            <w:r w:rsidRPr="008D0760">
              <w:rPr>
                <w:spacing w:val="-6"/>
              </w:rPr>
              <w:t xml:space="preserve"> </w:t>
            </w:r>
            <w:r w:rsidRPr="008D0760">
              <w:t>patients</w:t>
            </w:r>
            <w:r w:rsidRPr="008D0760">
              <w:rPr>
                <w:spacing w:val="-4"/>
              </w:rPr>
              <w:t xml:space="preserve"> </w:t>
            </w:r>
            <w:r w:rsidRPr="008D0760">
              <w:t>and</w:t>
            </w:r>
            <w:r w:rsidRPr="008D0760">
              <w:rPr>
                <w:spacing w:val="-4"/>
              </w:rPr>
              <w:t xml:space="preserve"> </w:t>
            </w:r>
            <w:r w:rsidRPr="008D0760">
              <w:t>between</w:t>
            </w:r>
            <w:r w:rsidRPr="008D0760">
              <w:rPr>
                <w:spacing w:val="-4"/>
              </w:rPr>
              <w:t xml:space="preserve"> </w:t>
            </w:r>
            <w:r w:rsidRPr="008D0760">
              <w:rPr>
                <w:u w:val="single"/>
              </w:rPr>
              <w:t>&gt;</w:t>
            </w:r>
            <w:r w:rsidRPr="008D0760">
              <w:t>100g/l</w:t>
            </w:r>
            <w:r w:rsidRPr="008D0760">
              <w:rPr>
                <w:spacing w:val="-4"/>
              </w:rPr>
              <w:t xml:space="preserve"> </w:t>
            </w:r>
            <w:r w:rsidRPr="008D0760">
              <w:t>and</w:t>
            </w:r>
          </w:p>
          <w:p w14:paraId="73F0E0B2" w14:textId="77777777" w:rsidR="00832037" w:rsidRPr="008D0760" w:rsidRDefault="00832037" w:rsidP="00A26BF3">
            <w:r w:rsidRPr="008D0760">
              <w:t>&lt;120g/l</w:t>
            </w:r>
            <w:r w:rsidRPr="008D0760">
              <w:rPr>
                <w:spacing w:val="-7"/>
              </w:rPr>
              <w:t xml:space="preserve"> </w:t>
            </w:r>
            <w:r w:rsidRPr="008D0760">
              <w:t>in</w:t>
            </w:r>
            <w:r w:rsidRPr="008D0760">
              <w:rPr>
                <w:spacing w:val="-4"/>
              </w:rPr>
              <w:t xml:space="preserve"> </w:t>
            </w:r>
            <w:r w:rsidRPr="008D0760">
              <w:t>the</w:t>
            </w:r>
            <w:r w:rsidRPr="008D0760">
              <w:rPr>
                <w:spacing w:val="-4"/>
              </w:rPr>
              <w:t xml:space="preserve"> </w:t>
            </w:r>
            <w:r w:rsidRPr="008D0760">
              <w:t>remaining</w:t>
            </w:r>
            <w:r w:rsidRPr="008D0760">
              <w:rPr>
                <w:spacing w:val="-4"/>
              </w:rPr>
              <w:t xml:space="preserve"> </w:t>
            </w:r>
            <w:r w:rsidRPr="008D0760">
              <w:t>3</w:t>
            </w:r>
            <w:r w:rsidRPr="008D0760">
              <w:rPr>
                <w:spacing w:val="-6"/>
              </w:rPr>
              <w:t xml:space="preserve"> </w:t>
            </w:r>
            <w:r w:rsidRPr="008D0760">
              <w:t>patients</w:t>
            </w:r>
            <w:r w:rsidRPr="008D0760">
              <w:rPr>
                <w:spacing w:val="-4"/>
              </w:rPr>
              <w:t xml:space="preserve"> </w:t>
            </w:r>
            <w:r w:rsidRPr="008D0760">
              <w:t>at</w:t>
            </w:r>
            <w:r w:rsidRPr="008D0760">
              <w:rPr>
                <w:spacing w:val="-4"/>
              </w:rPr>
              <w:t xml:space="preserve"> </w:t>
            </w:r>
            <w:r w:rsidRPr="008D0760">
              <w:t>week</w:t>
            </w:r>
            <w:r w:rsidRPr="008D0760">
              <w:rPr>
                <w:spacing w:val="-4"/>
              </w:rPr>
              <w:t xml:space="preserve"> </w:t>
            </w:r>
            <w:r w:rsidRPr="008D0760">
              <w:rPr>
                <w:spacing w:val="-5"/>
              </w:rPr>
              <w:t>12.</w:t>
            </w:r>
          </w:p>
          <w:p w14:paraId="7AE8F3B0" w14:textId="77777777" w:rsidR="00832037" w:rsidRPr="008D0760" w:rsidRDefault="00832037" w:rsidP="00A26BF3">
            <w:r w:rsidRPr="008D0760">
              <w:t>In cohort 2,</w:t>
            </w:r>
            <w:r w:rsidRPr="008D0760">
              <w:rPr>
                <w:spacing w:val="-3"/>
              </w:rPr>
              <w:t xml:space="preserve"> </w:t>
            </w:r>
            <w:r w:rsidRPr="008D0760">
              <w:t>2 of 3 patients at week</w:t>
            </w:r>
            <w:r w:rsidRPr="008D0760">
              <w:rPr>
                <w:spacing w:val="-3"/>
              </w:rPr>
              <w:t xml:space="preserve"> </w:t>
            </w:r>
            <w:r w:rsidRPr="008D0760">
              <w:t>12 showed improvement in</w:t>
            </w:r>
            <w:r w:rsidRPr="008D0760">
              <w:rPr>
                <w:spacing w:val="-5"/>
              </w:rPr>
              <w:t xml:space="preserve"> </w:t>
            </w:r>
            <w:r w:rsidRPr="008D0760">
              <w:t>haemoglobin</w:t>
            </w:r>
            <w:r w:rsidRPr="008D0760">
              <w:rPr>
                <w:spacing w:val="-5"/>
              </w:rPr>
              <w:t xml:space="preserve"> </w:t>
            </w:r>
            <w:r w:rsidRPr="008D0760">
              <w:t>concentrations</w:t>
            </w:r>
            <w:r w:rsidRPr="008D0760">
              <w:rPr>
                <w:spacing w:val="-5"/>
              </w:rPr>
              <w:t xml:space="preserve"> </w:t>
            </w:r>
            <w:r w:rsidRPr="008D0760">
              <w:t>with</w:t>
            </w:r>
            <w:r w:rsidRPr="008D0760">
              <w:rPr>
                <w:spacing w:val="-5"/>
              </w:rPr>
              <w:t xml:space="preserve"> </w:t>
            </w:r>
            <w:r w:rsidRPr="008D0760">
              <w:t>levels</w:t>
            </w:r>
            <w:r w:rsidRPr="008D0760">
              <w:rPr>
                <w:spacing w:val="-5"/>
              </w:rPr>
              <w:t xml:space="preserve"> </w:t>
            </w:r>
            <w:r w:rsidRPr="008D0760">
              <w:rPr>
                <w:u w:val="single"/>
              </w:rPr>
              <w:t>&gt;</w:t>
            </w:r>
            <w:r w:rsidRPr="008D0760">
              <w:t>120g/dL.</w:t>
            </w:r>
            <w:r w:rsidRPr="008D0760">
              <w:rPr>
                <w:spacing w:val="-8"/>
              </w:rPr>
              <w:t xml:space="preserve"> </w:t>
            </w:r>
            <w:r w:rsidRPr="008D0760">
              <w:t>A</w:t>
            </w:r>
            <w:r w:rsidRPr="008D0760">
              <w:rPr>
                <w:spacing w:val="-5"/>
              </w:rPr>
              <w:t xml:space="preserve"> </w:t>
            </w:r>
            <w:r w:rsidRPr="008D0760">
              <w:t xml:space="preserve">total of 3 patients achieved haemoglobin normalisation by week </w:t>
            </w:r>
            <w:r w:rsidRPr="008D0760">
              <w:rPr>
                <w:spacing w:val="-6"/>
              </w:rPr>
              <w:t>12</w:t>
            </w:r>
          </w:p>
        </w:tc>
      </w:tr>
    </w:tbl>
    <w:p w14:paraId="297CA848" w14:textId="77777777" w:rsidR="00C075A3" w:rsidRDefault="00C075A3" w:rsidP="00CA7FD8">
      <w:pPr>
        <w:pStyle w:val="Heading6"/>
      </w:pPr>
      <w:r>
        <w:t>Study CLNP023X2201 (X2201)</w:t>
      </w:r>
    </w:p>
    <w:p w14:paraId="5B39D03A" w14:textId="28EC5C8C" w:rsidR="00C075A3" w:rsidRDefault="00C075A3" w:rsidP="00C075A3">
      <w:r>
        <w:t>This was an open-label, multiple dose phase II study of iptacopan given in addition to an anti-C5 antibody in patients with PNH and active haemolysis. The study was conducted in France, Germany and Italy over 13 weeks, and patients were enrolled in one of two cohorts, as shown below</w:t>
      </w:r>
      <w:r w:rsidR="00CA7FD8">
        <w:t xml:space="preserve"> (Table </w:t>
      </w:r>
      <w:r w:rsidR="00DF6494">
        <w:t>7</w:t>
      </w:r>
      <w:r w:rsidR="00CA7FD8">
        <w:t>)</w:t>
      </w:r>
      <w:r>
        <w:t>.</w:t>
      </w:r>
    </w:p>
    <w:p w14:paraId="591F0DC0" w14:textId="40E2CAC7" w:rsidR="00CA7FD8" w:rsidRDefault="00CA7FD8" w:rsidP="00CA7FD8">
      <w:pPr>
        <w:pStyle w:val="TableTitle"/>
      </w:pPr>
      <w:r w:rsidRPr="00CA7FD8">
        <w:t xml:space="preserve">Table </w:t>
      </w:r>
      <w:r w:rsidR="00DF6494">
        <w:t>7</w:t>
      </w:r>
      <w:r>
        <w:t xml:space="preserve">: </w:t>
      </w:r>
      <w:r w:rsidRPr="00CA7FD8">
        <w:t>Study CLNP023X2201</w:t>
      </w:r>
    </w:p>
    <w:tbl>
      <w:tblPr>
        <w:tblW w:w="9016" w:type="dxa"/>
        <w:tblInd w:w="349"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1838"/>
        <w:gridCol w:w="7178"/>
      </w:tblGrid>
      <w:tr w:rsidR="004E14C6" w14:paraId="59E74CDB" w14:textId="77777777" w:rsidTr="00CA7FD8">
        <w:trPr>
          <w:trHeight w:val="3942"/>
        </w:trPr>
        <w:tc>
          <w:tcPr>
            <w:tcW w:w="1838" w:type="dxa"/>
            <w:shd w:val="clear" w:color="auto" w:fill="DEEAF6"/>
          </w:tcPr>
          <w:p w14:paraId="41DDE382" w14:textId="77777777" w:rsidR="004E14C6" w:rsidRPr="00CA7FD8" w:rsidRDefault="004E14C6" w:rsidP="00A26BF3">
            <w:r w:rsidRPr="00CA7FD8">
              <w:t>Population</w:t>
            </w:r>
          </w:p>
        </w:tc>
        <w:tc>
          <w:tcPr>
            <w:tcW w:w="7178" w:type="dxa"/>
          </w:tcPr>
          <w:p w14:paraId="786DCE89" w14:textId="77777777" w:rsidR="004E14C6" w:rsidRDefault="004E14C6" w:rsidP="00A26BF3">
            <w:r>
              <w:t>Patients</w:t>
            </w:r>
            <w:r>
              <w:rPr>
                <w:spacing w:val="-3"/>
              </w:rPr>
              <w:t xml:space="preserve"> </w:t>
            </w:r>
            <w:r>
              <w:t>with PNH</w:t>
            </w:r>
            <w:r>
              <w:rPr>
                <w:spacing w:val="-4"/>
              </w:rPr>
              <w:t xml:space="preserve"> </w:t>
            </w:r>
            <w:r>
              <w:t>who</w:t>
            </w:r>
            <w:r>
              <w:rPr>
                <w:spacing w:val="-5"/>
              </w:rPr>
              <w:t xml:space="preserve"> </w:t>
            </w:r>
            <w:r>
              <w:t>had</w:t>
            </w:r>
            <w:r>
              <w:rPr>
                <w:spacing w:val="-3"/>
              </w:rPr>
              <w:t xml:space="preserve"> </w:t>
            </w:r>
            <w:r>
              <w:t>signs</w:t>
            </w:r>
            <w:r>
              <w:rPr>
                <w:spacing w:val="-3"/>
              </w:rPr>
              <w:t xml:space="preserve"> </w:t>
            </w:r>
            <w:r>
              <w:t>of active</w:t>
            </w:r>
            <w:r>
              <w:rPr>
                <w:spacing w:val="-5"/>
              </w:rPr>
              <w:t xml:space="preserve"> </w:t>
            </w:r>
            <w:r>
              <w:t>haemolysis</w:t>
            </w:r>
            <w:r>
              <w:rPr>
                <w:spacing w:val="-3"/>
              </w:rPr>
              <w:t xml:space="preserve"> </w:t>
            </w:r>
            <w:r>
              <w:t>were</w:t>
            </w:r>
            <w:r>
              <w:rPr>
                <w:spacing w:val="-3"/>
              </w:rPr>
              <w:t xml:space="preserve"> </w:t>
            </w:r>
            <w:r>
              <w:t>enrolled.</w:t>
            </w:r>
            <w:r>
              <w:rPr>
                <w:spacing w:val="-3"/>
              </w:rPr>
              <w:t xml:space="preserve"> </w:t>
            </w:r>
            <w:r>
              <w:t>Patients were required to be on a stable regimen of standard of care (anti-C5 monoclonal antibody) for at least 3 months prior to the first iptacopan dose.</w:t>
            </w:r>
          </w:p>
          <w:p w14:paraId="27995595" w14:textId="77777777" w:rsidR="004E14C6" w:rsidRDefault="004E14C6" w:rsidP="00A26BF3">
            <w:r>
              <w:t>15 patients</w:t>
            </w:r>
            <w:r>
              <w:rPr>
                <w:spacing w:val="-3"/>
              </w:rPr>
              <w:t xml:space="preserve"> </w:t>
            </w:r>
            <w:r>
              <w:t>were</w:t>
            </w:r>
            <w:r>
              <w:rPr>
                <w:spacing w:val="-3"/>
              </w:rPr>
              <w:t xml:space="preserve"> </w:t>
            </w:r>
            <w:r>
              <w:t>planned,</w:t>
            </w:r>
            <w:r>
              <w:rPr>
                <w:spacing w:val="-6"/>
              </w:rPr>
              <w:t xml:space="preserve"> </w:t>
            </w:r>
            <w:r>
              <w:t>16 were</w:t>
            </w:r>
            <w:r>
              <w:rPr>
                <w:spacing w:val="-5"/>
              </w:rPr>
              <w:t xml:space="preserve"> </w:t>
            </w:r>
            <w:r>
              <w:t>enrolled,</w:t>
            </w:r>
            <w:r>
              <w:rPr>
                <w:spacing w:val="-6"/>
              </w:rPr>
              <w:t xml:space="preserve"> </w:t>
            </w:r>
            <w:r>
              <w:t>10 patients</w:t>
            </w:r>
            <w:r>
              <w:rPr>
                <w:spacing w:val="-3"/>
              </w:rPr>
              <w:t xml:space="preserve"> </w:t>
            </w:r>
            <w:r>
              <w:t>in</w:t>
            </w:r>
            <w:r>
              <w:rPr>
                <w:spacing w:val="-3"/>
              </w:rPr>
              <w:t xml:space="preserve"> </w:t>
            </w:r>
            <w:r>
              <w:t>cohort</w:t>
            </w:r>
            <w:r>
              <w:rPr>
                <w:spacing w:val="-3"/>
              </w:rPr>
              <w:t xml:space="preserve"> </w:t>
            </w:r>
            <w:r>
              <w:t>1 and</w:t>
            </w:r>
            <w:r>
              <w:rPr>
                <w:spacing w:val="-3"/>
              </w:rPr>
              <w:t xml:space="preserve"> </w:t>
            </w:r>
            <w:r>
              <w:t>6 in cohort 2. All patients completed part 1 of the study (13 weeks) and 13 (81.3%) completed part 2.</w:t>
            </w:r>
          </w:p>
          <w:p w14:paraId="4074F9B0" w14:textId="77777777" w:rsidR="004E14C6" w:rsidRDefault="004E14C6" w:rsidP="00A26BF3">
            <w:r>
              <w:t>There</w:t>
            </w:r>
            <w:r>
              <w:rPr>
                <w:spacing w:val="-3"/>
              </w:rPr>
              <w:t xml:space="preserve"> </w:t>
            </w:r>
            <w:r>
              <w:t>were</w:t>
            </w:r>
            <w:r>
              <w:rPr>
                <w:spacing w:val="-3"/>
              </w:rPr>
              <w:t xml:space="preserve"> </w:t>
            </w:r>
            <w:r>
              <w:t>3 deaths</w:t>
            </w:r>
            <w:r>
              <w:rPr>
                <w:spacing w:val="-3"/>
              </w:rPr>
              <w:t xml:space="preserve"> </w:t>
            </w:r>
            <w:r>
              <w:t>in</w:t>
            </w:r>
            <w:r>
              <w:rPr>
                <w:spacing w:val="-3"/>
              </w:rPr>
              <w:t xml:space="preserve"> </w:t>
            </w:r>
            <w:r>
              <w:t>cohort</w:t>
            </w:r>
            <w:r>
              <w:rPr>
                <w:spacing w:val="-3"/>
              </w:rPr>
              <w:t xml:space="preserve"> </w:t>
            </w:r>
            <w:r>
              <w:t>1,</w:t>
            </w:r>
            <w:r>
              <w:rPr>
                <w:spacing w:val="-3"/>
              </w:rPr>
              <w:t xml:space="preserve"> </w:t>
            </w:r>
            <w:r>
              <w:t>further</w:t>
            </w:r>
            <w:r>
              <w:rPr>
                <w:spacing w:val="-4"/>
              </w:rPr>
              <w:t xml:space="preserve"> </w:t>
            </w:r>
            <w:r>
              <w:t>discussed</w:t>
            </w:r>
            <w:r>
              <w:rPr>
                <w:spacing w:val="-3"/>
              </w:rPr>
              <w:t xml:space="preserve"> </w:t>
            </w:r>
            <w:r>
              <w:t>in</w:t>
            </w:r>
            <w:r>
              <w:rPr>
                <w:spacing w:val="-3"/>
              </w:rPr>
              <w:t xml:space="preserve"> </w:t>
            </w:r>
            <w:r>
              <w:t>the</w:t>
            </w:r>
            <w:r>
              <w:rPr>
                <w:spacing w:val="-3"/>
              </w:rPr>
              <w:t xml:space="preserve"> </w:t>
            </w:r>
            <w:r>
              <w:t>safety</w:t>
            </w:r>
            <w:r>
              <w:rPr>
                <w:spacing w:val="-4"/>
              </w:rPr>
              <w:t xml:space="preserve"> </w:t>
            </w:r>
            <w:r>
              <w:t>section</w:t>
            </w:r>
            <w:r>
              <w:rPr>
                <w:spacing w:val="-3"/>
              </w:rPr>
              <w:t xml:space="preserve"> </w:t>
            </w:r>
            <w:r>
              <w:t>of this overview. In summary:</w:t>
            </w:r>
          </w:p>
          <w:p w14:paraId="629BB67E" w14:textId="77777777" w:rsidR="004E14C6" w:rsidRDefault="004E14C6" w:rsidP="00A26BF3">
            <w:r>
              <w:t>Two patients</w:t>
            </w:r>
            <w:r>
              <w:rPr>
                <w:spacing w:val="-1"/>
              </w:rPr>
              <w:t xml:space="preserve"> </w:t>
            </w:r>
            <w:r>
              <w:t>in</w:t>
            </w:r>
            <w:r>
              <w:rPr>
                <w:spacing w:val="-1"/>
              </w:rPr>
              <w:t xml:space="preserve"> </w:t>
            </w:r>
            <w:r>
              <w:t>cohort</w:t>
            </w:r>
            <w:r>
              <w:rPr>
                <w:spacing w:val="-3"/>
              </w:rPr>
              <w:t xml:space="preserve"> </w:t>
            </w:r>
            <w:r>
              <w:t>1 died</w:t>
            </w:r>
            <w:r>
              <w:rPr>
                <w:spacing w:val="-1"/>
              </w:rPr>
              <w:t xml:space="preserve"> </w:t>
            </w:r>
            <w:r>
              <w:t>due</w:t>
            </w:r>
            <w:r>
              <w:rPr>
                <w:spacing w:val="-1"/>
              </w:rPr>
              <w:t xml:space="preserve"> </w:t>
            </w:r>
            <w:r>
              <w:t>to TEAEs,</w:t>
            </w:r>
            <w:r>
              <w:rPr>
                <w:spacing w:val="-1"/>
              </w:rPr>
              <w:t xml:space="preserve"> </w:t>
            </w:r>
            <w:r>
              <w:t>1 due</w:t>
            </w:r>
            <w:r>
              <w:rPr>
                <w:spacing w:val="-1"/>
              </w:rPr>
              <w:t xml:space="preserve"> </w:t>
            </w:r>
            <w:r>
              <w:t>to general</w:t>
            </w:r>
            <w:r>
              <w:rPr>
                <w:spacing w:val="-1"/>
              </w:rPr>
              <w:t xml:space="preserve"> </w:t>
            </w:r>
            <w:r>
              <w:t>physical health</w:t>
            </w:r>
            <w:r>
              <w:rPr>
                <w:spacing w:val="-4"/>
              </w:rPr>
              <w:t xml:space="preserve"> </w:t>
            </w:r>
            <w:r>
              <w:t>deterioration</w:t>
            </w:r>
            <w:r>
              <w:rPr>
                <w:spacing w:val="-4"/>
              </w:rPr>
              <w:t xml:space="preserve"> </w:t>
            </w:r>
            <w:r>
              <w:t>following</w:t>
            </w:r>
            <w:r>
              <w:rPr>
                <w:spacing w:val="-4"/>
              </w:rPr>
              <w:t xml:space="preserve"> </w:t>
            </w:r>
            <w:r>
              <w:rPr>
                <w:i/>
              </w:rPr>
              <w:t>Escherichia</w:t>
            </w:r>
            <w:r>
              <w:rPr>
                <w:i/>
                <w:spacing w:val="-5"/>
              </w:rPr>
              <w:t xml:space="preserve"> </w:t>
            </w:r>
            <w:r>
              <w:rPr>
                <w:i/>
              </w:rPr>
              <w:t>coli</w:t>
            </w:r>
            <w:r>
              <w:rPr>
                <w:i/>
                <w:spacing w:val="-4"/>
              </w:rPr>
              <w:t xml:space="preserve"> </w:t>
            </w:r>
            <w:r>
              <w:t>sepsis</w:t>
            </w:r>
            <w:r>
              <w:rPr>
                <w:spacing w:val="-4"/>
              </w:rPr>
              <w:t xml:space="preserve"> </w:t>
            </w:r>
            <w:r>
              <w:t>after</w:t>
            </w:r>
            <w:r>
              <w:rPr>
                <w:spacing w:val="-5"/>
              </w:rPr>
              <w:t xml:space="preserve"> </w:t>
            </w:r>
            <w:r>
              <w:t>surgery</w:t>
            </w:r>
            <w:r>
              <w:rPr>
                <w:spacing w:val="-5"/>
              </w:rPr>
              <w:t xml:space="preserve"> </w:t>
            </w:r>
            <w:r>
              <w:t>for aortic repair and 1 from squamous cell carcinoma of the oral cavity.</w:t>
            </w:r>
          </w:p>
          <w:p w14:paraId="0AB4ECA6" w14:textId="77777777" w:rsidR="004E14C6" w:rsidRDefault="004E14C6" w:rsidP="00A26BF3">
            <w:r>
              <w:t>there</w:t>
            </w:r>
            <w:r>
              <w:rPr>
                <w:spacing w:val="-3"/>
              </w:rPr>
              <w:t xml:space="preserve"> </w:t>
            </w:r>
            <w:r>
              <w:t>was</w:t>
            </w:r>
            <w:r>
              <w:rPr>
                <w:spacing w:val="-3"/>
              </w:rPr>
              <w:t xml:space="preserve"> </w:t>
            </w:r>
            <w:r>
              <w:t>1</w:t>
            </w:r>
            <w:r>
              <w:rPr>
                <w:spacing w:val="-5"/>
              </w:rPr>
              <w:t xml:space="preserve"> </w:t>
            </w:r>
            <w:r>
              <w:t>death</w:t>
            </w:r>
            <w:r>
              <w:rPr>
                <w:spacing w:val="-4"/>
              </w:rPr>
              <w:t xml:space="preserve"> </w:t>
            </w:r>
            <w:r>
              <w:t>due</w:t>
            </w:r>
            <w:r>
              <w:rPr>
                <w:spacing w:val="-3"/>
              </w:rPr>
              <w:t xml:space="preserve"> </w:t>
            </w:r>
            <w:r>
              <w:t>to sepsis</w:t>
            </w:r>
            <w:r>
              <w:rPr>
                <w:spacing w:val="-3"/>
              </w:rPr>
              <w:t xml:space="preserve"> </w:t>
            </w:r>
            <w:r>
              <w:t>following</w:t>
            </w:r>
            <w:r>
              <w:rPr>
                <w:spacing w:val="-4"/>
              </w:rPr>
              <w:t xml:space="preserve"> </w:t>
            </w:r>
            <w:r>
              <w:t>salvage</w:t>
            </w:r>
            <w:r>
              <w:rPr>
                <w:spacing w:val="-6"/>
              </w:rPr>
              <w:t xml:space="preserve"> </w:t>
            </w:r>
            <w:r>
              <w:t>chemotherapy</w:t>
            </w:r>
            <w:r>
              <w:rPr>
                <w:spacing w:val="-4"/>
              </w:rPr>
              <w:t xml:space="preserve"> </w:t>
            </w:r>
            <w:r>
              <w:t>for</w:t>
            </w:r>
            <w:r>
              <w:rPr>
                <w:spacing w:val="-4"/>
              </w:rPr>
              <w:t xml:space="preserve"> </w:t>
            </w:r>
            <w:r>
              <w:t>a lymphoproliferative disorder.</w:t>
            </w:r>
          </w:p>
        </w:tc>
      </w:tr>
      <w:tr w:rsidR="004E14C6" w14:paraId="31C51997" w14:textId="77777777" w:rsidTr="00CA7FD8">
        <w:trPr>
          <w:trHeight w:val="851"/>
        </w:trPr>
        <w:tc>
          <w:tcPr>
            <w:tcW w:w="1838" w:type="dxa"/>
            <w:shd w:val="clear" w:color="auto" w:fill="DEEAF6"/>
          </w:tcPr>
          <w:p w14:paraId="197C6260" w14:textId="77777777" w:rsidR="004E14C6" w:rsidRPr="00CA7FD8" w:rsidRDefault="004E14C6" w:rsidP="00A26BF3">
            <w:r w:rsidRPr="00CA7FD8">
              <w:lastRenderedPageBreak/>
              <w:t>Cohort</w:t>
            </w:r>
            <w:r w:rsidRPr="00CA7FD8">
              <w:rPr>
                <w:spacing w:val="-5"/>
              </w:rPr>
              <w:t xml:space="preserve"> </w:t>
            </w:r>
            <w:r w:rsidRPr="00CA7FD8">
              <w:rPr>
                <w:spacing w:val="-10"/>
              </w:rPr>
              <w:t>1</w:t>
            </w:r>
          </w:p>
        </w:tc>
        <w:tc>
          <w:tcPr>
            <w:tcW w:w="7178" w:type="dxa"/>
          </w:tcPr>
          <w:p w14:paraId="53D6B72B" w14:textId="77777777" w:rsidR="004E14C6" w:rsidRDefault="004E14C6" w:rsidP="00A26BF3">
            <w:r>
              <w:t>Iptacopan</w:t>
            </w:r>
            <w:r>
              <w:rPr>
                <w:spacing w:val="-9"/>
              </w:rPr>
              <w:t xml:space="preserve"> </w:t>
            </w:r>
            <w:r>
              <w:t>200mg</w:t>
            </w:r>
            <w:r>
              <w:rPr>
                <w:spacing w:val="-3"/>
              </w:rPr>
              <w:t xml:space="preserve"> </w:t>
            </w:r>
            <w:r>
              <w:t>bd</w:t>
            </w:r>
            <w:r>
              <w:rPr>
                <w:spacing w:val="-3"/>
              </w:rPr>
              <w:t xml:space="preserve"> </w:t>
            </w:r>
            <w:r>
              <w:t>for</w:t>
            </w:r>
            <w:r>
              <w:rPr>
                <w:spacing w:val="-5"/>
              </w:rPr>
              <w:t xml:space="preserve"> </w:t>
            </w:r>
            <w:r>
              <w:t>13</w:t>
            </w:r>
            <w:r>
              <w:rPr>
                <w:spacing w:val="-6"/>
              </w:rPr>
              <w:t xml:space="preserve"> </w:t>
            </w:r>
            <w:r>
              <w:t>weeks</w:t>
            </w:r>
            <w:r>
              <w:rPr>
                <w:spacing w:val="-3"/>
              </w:rPr>
              <w:t xml:space="preserve"> </w:t>
            </w:r>
            <w:r>
              <w:t>(part</w:t>
            </w:r>
            <w:r>
              <w:rPr>
                <w:spacing w:val="-4"/>
              </w:rPr>
              <w:t xml:space="preserve"> </w:t>
            </w:r>
            <w:r>
              <w:t>1)</w:t>
            </w:r>
            <w:r>
              <w:rPr>
                <w:spacing w:val="-3"/>
              </w:rPr>
              <w:t xml:space="preserve"> </w:t>
            </w:r>
            <w:r>
              <w:t>and</w:t>
            </w:r>
            <w:r>
              <w:rPr>
                <w:spacing w:val="-4"/>
              </w:rPr>
              <w:t xml:space="preserve"> </w:t>
            </w:r>
            <w:r>
              <w:t>ongoing</w:t>
            </w:r>
            <w:r>
              <w:rPr>
                <w:spacing w:val="-3"/>
              </w:rPr>
              <w:t xml:space="preserve"> </w:t>
            </w:r>
            <w:r>
              <w:t>for</w:t>
            </w:r>
            <w:r>
              <w:rPr>
                <w:spacing w:val="-5"/>
              </w:rPr>
              <w:t xml:space="preserve"> </w:t>
            </w:r>
            <w:r>
              <w:t>2-3</w:t>
            </w:r>
            <w:r>
              <w:rPr>
                <w:spacing w:val="-3"/>
              </w:rPr>
              <w:t xml:space="preserve"> </w:t>
            </w:r>
            <w:r>
              <w:t>years</w:t>
            </w:r>
            <w:r>
              <w:rPr>
                <w:spacing w:val="-4"/>
              </w:rPr>
              <w:t xml:space="preserve"> </w:t>
            </w:r>
            <w:r>
              <w:t>(part</w:t>
            </w:r>
            <w:r>
              <w:rPr>
                <w:spacing w:val="-3"/>
              </w:rPr>
              <w:t xml:space="preserve"> </w:t>
            </w:r>
            <w:r>
              <w:rPr>
                <w:spacing w:val="-5"/>
              </w:rPr>
              <w:t>2)</w:t>
            </w:r>
          </w:p>
          <w:p w14:paraId="6F3DD299" w14:textId="77777777" w:rsidR="004E14C6" w:rsidRDefault="004E14C6" w:rsidP="00A26BF3">
            <w:r>
              <w:t>+</w:t>
            </w:r>
            <w:r>
              <w:rPr>
                <w:spacing w:val="-4"/>
              </w:rPr>
              <w:t xml:space="preserve"> </w:t>
            </w:r>
            <w:r>
              <w:t>‘standard</w:t>
            </w:r>
            <w:r>
              <w:rPr>
                <w:spacing w:val="-5"/>
              </w:rPr>
              <w:t xml:space="preserve"> </w:t>
            </w:r>
            <w:r>
              <w:t>of</w:t>
            </w:r>
            <w:r>
              <w:rPr>
                <w:spacing w:val="-3"/>
              </w:rPr>
              <w:t xml:space="preserve"> </w:t>
            </w:r>
            <w:r>
              <w:t>care’</w:t>
            </w:r>
            <w:r>
              <w:rPr>
                <w:spacing w:val="-4"/>
              </w:rPr>
              <w:t xml:space="preserve"> </w:t>
            </w:r>
            <w:r>
              <w:t>treatment</w:t>
            </w:r>
            <w:r>
              <w:rPr>
                <w:spacing w:val="-5"/>
              </w:rPr>
              <w:t xml:space="preserve"> </w:t>
            </w:r>
            <w:r>
              <w:t>with</w:t>
            </w:r>
            <w:r>
              <w:rPr>
                <w:spacing w:val="-3"/>
              </w:rPr>
              <w:t xml:space="preserve"> </w:t>
            </w:r>
            <w:r>
              <w:t>an</w:t>
            </w:r>
            <w:r>
              <w:rPr>
                <w:spacing w:val="-5"/>
              </w:rPr>
              <w:t xml:space="preserve"> </w:t>
            </w:r>
            <w:r>
              <w:t>anti-C5</w:t>
            </w:r>
            <w:r>
              <w:rPr>
                <w:spacing w:val="-3"/>
              </w:rPr>
              <w:t xml:space="preserve"> </w:t>
            </w:r>
            <w:r>
              <w:t>antibody</w:t>
            </w:r>
          </w:p>
        </w:tc>
      </w:tr>
      <w:tr w:rsidR="004E14C6" w14:paraId="623B6EE8" w14:textId="77777777" w:rsidTr="00CA7FD8">
        <w:trPr>
          <w:trHeight w:val="854"/>
        </w:trPr>
        <w:tc>
          <w:tcPr>
            <w:tcW w:w="1838" w:type="dxa"/>
            <w:shd w:val="clear" w:color="auto" w:fill="DEEAF6"/>
          </w:tcPr>
          <w:p w14:paraId="71737FCF" w14:textId="77777777" w:rsidR="004E14C6" w:rsidRPr="00CA7FD8" w:rsidRDefault="004E14C6" w:rsidP="00A26BF3">
            <w:r w:rsidRPr="00CA7FD8">
              <w:t>Cohort</w:t>
            </w:r>
            <w:r w:rsidRPr="00CA7FD8">
              <w:rPr>
                <w:spacing w:val="-5"/>
              </w:rPr>
              <w:t xml:space="preserve"> </w:t>
            </w:r>
            <w:r w:rsidRPr="00CA7FD8">
              <w:rPr>
                <w:spacing w:val="-10"/>
              </w:rPr>
              <w:t>2</w:t>
            </w:r>
          </w:p>
        </w:tc>
        <w:tc>
          <w:tcPr>
            <w:tcW w:w="7178" w:type="dxa"/>
          </w:tcPr>
          <w:p w14:paraId="76FB0CC0" w14:textId="77777777" w:rsidR="004E14C6" w:rsidRDefault="004E14C6" w:rsidP="00A26BF3">
            <w:r>
              <w:t>Iptacopan</w:t>
            </w:r>
            <w:r>
              <w:rPr>
                <w:spacing w:val="-9"/>
              </w:rPr>
              <w:t xml:space="preserve"> </w:t>
            </w:r>
            <w:r>
              <w:t>50mg bd</w:t>
            </w:r>
            <w:r>
              <w:rPr>
                <w:spacing w:val="-6"/>
              </w:rPr>
              <w:t xml:space="preserve"> </w:t>
            </w:r>
            <w:r>
              <w:t>for</w:t>
            </w:r>
            <w:r>
              <w:rPr>
                <w:spacing w:val="-4"/>
              </w:rPr>
              <w:t xml:space="preserve"> </w:t>
            </w:r>
            <w:r>
              <w:t>at</w:t>
            </w:r>
            <w:r>
              <w:rPr>
                <w:spacing w:val="-4"/>
              </w:rPr>
              <w:t xml:space="preserve"> </w:t>
            </w:r>
            <w:r>
              <w:t>least</w:t>
            </w:r>
            <w:r>
              <w:rPr>
                <w:spacing w:val="-5"/>
              </w:rPr>
              <w:t xml:space="preserve"> </w:t>
            </w:r>
            <w:r>
              <w:t>2</w:t>
            </w:r>
            <w:r>
              <w:rPr>
                <w:spacing w:val="-3"/>
              </w:rPr>
              <w:t xml:space="preserve"> </w:t>
            </w:r>
            <w:r>
              <w:t>weeks,</w:t>
            </w:r>
            <w:r>
              <w:rPr>
                <w:spacing w:val="-3"/>
              </w:rPr>
              <w:t xml:space="preserve"> </w:t>
            </w:r>
            <w:r>
              <w:t>then</w:t>
            </w:r>
            <w:r>
              <w:rPr>
                <w:spacing w:val="-4"/>
              </w:rPr>
              <w:t xml:space="preserve"> </w:t>
            </w:r>
            <w:r>
              <w:t>increased</w:t>
            </w:r>
            <w:r>
              <w:rPr>
                <w:spacing w:val="-3"/>
              </w:rPr>
              <w:t xml:space="preserve"> </w:t>
            </w:r>
            <w:r>
              <w:t>to</w:t>
            </w:r>
            <w:r>
              <w:rPr>
                <w:spacing w:val="-3"/>
              </w:rPr>
              <w:t xml:space="preserve"> </w:t>
            </w:r>
            <w:r>
              <w:t xml:space="preserve">200mg </w:t>
            </w:r>
            <w:r>
              <w:rPr>
                <w:spacing w:val="-5"/>
              </w:rPr>
              <w:t>bd</w:t>
            </w:r>
          </w:p>
          <w:p w14:paraId="182518F7" w14:textId="77777777" w:rsidR="004E14C6" w:rsidRDefault="004E14C6" w:rsidP="00A26BF3">
            <w:r>
              <w:t>+</w:t>
            </w:r>
            <w:r>
              <w:rPr>
                <w:spacing w:val="-4"/>
              </w:rPr>
              <w:t xml:space="preserve"> </w:t>
            </w:r>
            <w:r>
              <w:t>‘standard</w:t>
            </w:r>
            <w:r>
              <w:rPr>
                <w:spacing w:val="-5"/>
              </w:rPr>
              <w:t xml:space="preserve"> </w:t>
            </w:r>
            <w:r>
              <w:t>of</w:t>
            </w:r>
            <w:r>
              <w:rPr>
                <w:spacing w:val="-3"/>
              </w:rPr>
              <w:t xml:space="preserve"> </w:t>
            </w:r>
            <w:r>
              <w:t>care’</w:t>
            </w:r>
            <w:r>
              <w:rPr>
                <w:spacing w:val="-4"/>
              </w:rPr>
              <w:t xml:space="preserve"> </w:t>
            </w:r>
            <w:r>
              <w:t>treatment</w:t>
            </w:r>
            <w:r>
              <w:rPr>
                <w:spacing w:val="-5"/>
              </w:rPr>
              <w:t xml:space="preserve"> </w:t>
            </w:r>
            <w:r>
              <w:t>with</w:t>
            </w:r>
            <w:r>
              <w:rPr>
                <w:spacing w:val="-3"/>
              </w:rPr>
              <w:t xml:space="preserve"> </w:t>
            </w:r>
            <w:r>
              <w:t>an</w:t>
            </w:r>
            <w:r>
              <w:rPr>
                <w:spacing w:val="-5"/>
              </w:rPr>
              <w:t xml:space="preserve"> </w:t>
            </w:r>
            <w:r>
              <w:t>anti-C5</w:t>
            </w:r>
            <w:r>
              <w:rPr>
                <w:spacing w:val="-3"/>
              </w:rPr>
              <w:t xml:space="preserve"> </w:t>
            </w:r>
            <w:r>
              <w:t>antibody</w:t>
            </w:r>
          </w:p>
        </w:tc>
      </w:tr>
      <w:tr w:rsidR="004E14C6" w14:paraId="1A7131AB" w14:textId="77777777" w:rsidTr="00CA7FD8">
        <w:trPr>
          <w:trHeight w:val="5049"/>
        </w:trPr>
        <w:tc>
          <w:tcPr>
            <w:tcW w:w="1838" w:type="dxa"/>
            <w:shd w:val="clear" w:color="auto" w:fill="DEEAF6"/>
          </w:tcPr>
          <w:p w14:paraId="1D1A9672" w14:textId="77777777" w:rsidR="004E14C6" w:rsidRPr="00CA7FD8" w:rsidRDefault="004E14C6" w:rsidP="00A26BF3">
            <w:r w:rsidRPr="00CA7FD8">
              <w:t>Outcome</w:t>
            </w:r>
          </w:p>
        </w:tc>
        <w:tc>
          <w:tcPr>
            <w:tcW w:w="7178" w:type="dxa"/>
          </w:tcPr>
          <w:p w14:paraId="200A56ED" w14:textId="77777777" w:rsidR="004E14C6" w:rsidRDefault="004E14C6" w:rsidP="00A26BF3">
            <w:r>
              <w:t>Primary</w:t>
            </w:r>
            <w:r>
              <w:rPr>
                <w:spacing w:val="-7"/>
              </w:rPr>
              <w:t xml:space="preserve"> </w:t>
            </w:r>
            <w:r>
              <w:t>endpoint:</w:t>
            </w:r>
          </w:p>
          <w:p w14:paraId="47B58ED3" w14:textId="77777777" w:rsidR="004E14C6" w:rsidRDefault="004E14C6" w:rsidP="00A26BF3">
            <w:r>
              <w:t>Reduction</w:t>
            </w:r>
            <w:r>
              <w:rPr>
                <w:spacing w:val="-4"/>
              </w:rPr>
              <w:t xml:space="preserve"> </w:t>
            </w:r>
            <w:r>
              <w:t>in</w:t>
            </w:r>
            <w:r>
              <w:rPr>
                <w:spacing w:val="-4"/>
              </w:rPr>
              <w:t xml:space="preserve"> </w:t>
            </w:r>
            <w:r>
              <w:t>chronic</w:t>
            </w:r>
            <w:r>
              <w:rPr>
                <w:spacing w:val="-6"/>
              </w:rPr>
              <w:t xml:space="preserve"> </w:t>
            </w:r>
            <w:r>
              <w:t>haemolysis,</w:t>
            </w:r>
            <w:r>
              <w:rPr>
                <w:spacing w:val="-4"/>
              </w:rPr>
              <w:t xml:space="preserve"> </w:t>
            </w:r>
            <w:r>
              <w:t>as</w:t>
            </w:r>
            <w:r>
              <w:rPr>
                <w:spacing w:val="-4"/>
              </w:rPr>
              <w:t xml:space="preserve"> </w:t>
            </w:r>
            <w:r>
              <w:t>assessed</w:t>
            </w:r>
            <w:r>
              <w:rPr>
                <w:spacing w:val="-4"/>
              </w:rPr>
              <w:t xml:space="preserve"> </w:t>
            </w:r>
            <w:r>
              <w:t>by</w:t>
            </w:r>
            <w:r>
              <w:rPr>
                <w:spacing w:val="-5"/>
              </w:rPr>
              <w:t xml:space="preserve"> </w:t>
            </w:r>
            <w:r>
              <w:t>LDH</w:t>
            </w:r>
            <w:r>
              <w:rPr>
                <w:spacing w:val="-5"/>
              </w:rPr>
              <w:t xml:space="preserve"> </w:t>
            </w:r>
            <w:r>
              <w:t>levels</w:t>
            </w:r>
            <w:r>
              <w:rPr>
                <w:spacing w:val="-4"/>
              </w:rPr>
              <w:t xml:space="preserve"> </w:t>
            </w:r>
            <w:r>
              <w:t>at</w:t>
            </w:r>
            <w:r>
              <w:rPr>
                <w:spacing w:val="-4"/>
              </w:rPr>
              <w:t xml:space="preserve"> </w:t>
            </w:r>
            <w:r>
              <w:t xml:space="preserve">week </w:t>
            </w:r>
            <w:r>
              <w:rPr>
                <w:spacing w:val="-6"/>
              </w:rPr>
              <w:t>13</w:t>
            </w:r>
          </w:p>
          <w:p w14:paraId="1B350E7E" w14:textId="77777777" w:rsidR="004E14C6" w:rsidRDefault="004E14C6" w:rsidP="00A26BF3">
            <w:r>
              <w:t>6/10</w:t>
            </w:r>
            <w:r>
              <w:rPr>
                <w:spacing w:val="-3"/>
              </w:rPr>
              <w:t xml:space="preserve"> </w:t>
            </w:r>
            <w:r>
              <w:t>in</w:t>
            </w:r>
            <w:r>
              <w:rPr>
                <w:spacing w:val="-4"/>
              </w:rPr>
              <w:t xml:space="preserve"> </w:t>
            </w:r>
            <w:r>
              <w:t>cohort</w:t>
            </w:r>
            <w:r>
              <w:rPr>
                <w:spacing w:val="-6"/>
              </w:rPr>
              <w:t xml:space="preserve"> </w:t>
            </w:r>
            <w:r>
              <w:t>1</w:t>
            </w:r>
            <w:r>
              <w:rPr>
                <w:spacing w:val="-3"/>
              </w:rPr>
              <w:t xml:space="preserve"> </w:t>
            </w:r>
            <w:r>
              <w:t>and</w:t>
            </w:r>
            <w:r>
              <w:rPr>
                <w:spacing w:val="-6"/>
              </w:rPr>
              <w:t xml:space="preserve"> </w:t>
            </w:r>
            <w:r>
              <w:t>1/6</w:t>
            </w:r>
            <w:r>
              <w:rPr>
                <w:spacing w:val="-3"/>
              </w:rPr>
              <w:t xml:space="preserve"> </w:t>
            </w:r>
            <w:r>
              <w:t>in</w:t>
            </w:r>
            <w:r>
              <w:rPr>
                <w:spacing w:val="-4"/>
              </w:rPr>
              <w:t xml:space="preserve"> </w:t>
            </w:r>
            <w:r>
              <w:t>cohort</w:t>
            </w:r>
            <w:r>
              <w:rPr>
                <w:spacing w:val="-6"/>
              </w:rPr>
              <w:t xml:space="preserve"> </w:t>
            </w:r>
            <w:r>
              <w:t>2</w:t>
            </w:r>
            <w:r>
              <w:rPr>
                <w:spacing w:val="-3"/>
              </w:rPr>
              <w:t xml:space="preserve"> </w:t>
            </w:r>
            <w:r>
              <w:t>achieved</w:t>
            </w:r>
            <w:r>
              <w:rPr>
                <w:spacing w:val="-6"/>
              </w:rPr>
              <w:t xml:space="preserve"> </w:t>
            </w:r>
            <w:r>
              <w:t>complete normalisation of LDH (&lt;250 U/L)</w:t>
            </w:r>
          </w:p>
          <w:p w14:paraId="5D79C972" w14:textId="77777777" w:rsidR="004E14C6" w:rsidRDefault="004E14C6" w:rsidP="00A26BF3">
            <w:r>
              <w:t>LS</w:t>
            </w:r>
            <w:r>
              <w:rPr>
                <w:spacing w:val="-3"/>
              </w:rPr>
              <w:t xml:space="preserve"> </w:t>
            </w:r>
            <w:r>
              <w:t>means</w:t>
            </w:r>
            <w:r>
              <w:rPr>
                <w:spacing w:val="-3"/>
              </w:rPr>
              <w:t xml:space="preserve"> </w:t>
            </w:r>
            <w:r>
              <w:t>of LDH</w:t>
            </w:r>
            <w:r>
              <w:rPr>
                <w:spacing w:val="-7"/>
              </w:rPr>
              <w:t xml:space="preserve"> </w:t>
            </w:r>
            <w:r>
              <w:t>(95%</w:t>
            </w:r>
            <w:r>
              <w:rPr>
                <w:spacing w:val="-4"/>
              </w:rPr>
              <w:t xml:space="preserve"> </w:t>
            </w:r>
            <w:r>
              <w:t>CI)</w:t>
            </w:r>
            <w:r>
              <w:rPr>
                <w:spacing w:val="-3"/>
              </w:rPr>
              <w:t xml:space="preserve"> </w:t>
            </w:r>
            <w:r>
              <w:t>for</w:t>
            </w:r>
            <w:r>
              <w:rPr>
                <w:spacing w:val="-4"/>
              </w:rPr>
              <w:t xml:space="preserve"> </w:t>
            </w:r>
            <w:r>
              <w:t>cohort</w:t>
            </w:r>
            <w:r>
              <w:rPr>
                <w:spacing w:val="-3"/>
              </w:rPr>
              <w:t xml:space="preserve"> </w:t>
            </w:r>
            <w:r>
              <w:t>1 was</w:t>
            </w:r>
            <w:r>
              <w:rPr>
                <w:spacing w:val="-3"/>
              </w:rPr>
              <w:t xml:space="preserve"> </w:t>
            </w:r>
            <w:r>
              <w:t>189</w:t>
            </w:r>
            <w:r>
              <w:rPr>
                <w:spacing w:val="-5"/>
              </w:rPr>
              <w:t xml:space="preserve"> </w:t>
            </w:r>
            <w:r>
              <w:t>(-</w:t>
            </w:r>
            <w:r>
              <w:rPr>
                <w:spacing w:val="-4"/>
              </w:rPr>
              <w:t>15.8,</w:t>
            </w:r>
          </w:p>
          <w:p w14:paraId="2431F3CE" w14:textId="77777777" w:rsidR="004E14C6" w:rsidRDefault="004E14C6" w:rsidP="00A26BF3">
            <w:r>
              <w:t>394.7)</w:t>
            </w:r>
            <w:r>
              <w:rPr>
                <w:spacing w:val="-3"/>
              </w:rPr>
              <w:t xml:space="preserve"> </w:t>
            </w:r>
            <w:r>
              <w:t>U/L</w:t>
            </w:r>
            <w:r>
              <w:rPr>
                <w:spacing w:val="-5"/>
              </w:rPr>
              <w:t xml:space="preserve"> </w:t>
            </w:r>
            <w:r>
              <w:t>compared</w:t>
            </w:r>
            <w:r>
              <w:rPr>
                <w:spacing w:val="-4"/>
              </w:rPr>
              <w:t xml:space="preserve"> </w:t>
            </w:r>
            <w:r>
              <w:t>to</w:t>
            </w:r>
            <w:r>
              <w:rPr>
                <w:spacing w:val="-3"/>
              </w:rPr>
              <w:t xml:space="preserve"> </w:t>
            </w:r>
            <w:r>
              <w:t>391</w:t>
            </w:r>
            <w:r>
              <w:rPr>
                <w:spacing w:val="-3"/>
              </w:rPr>
              <w:t xml:space="preserve"> </w:t>
            </w:r>
            <w:r>
              <w:t>(106.4,</w:t>
            </w:r>
            <w:r>
              <w:rPr>
                <w:spacing w:val="-4"/>
              </w:rPr>
              <w:t xml:space="preserve"> </w:t>
            </w:r>
            <w:r>
              <w:t>674.8)</w:t>
            </w:r>
            <w:r>
              <w:rPr>
                <w:spacing w:val="-3"/>
              </w:rPr>
              <w:t xml:space="preserve"> </w:t>
            </w:r>
            <w:r>
              <w:t>U/L</w:t>
            </w:r>
            <w:r>
              <w:rPr>
                <w:spacing w:val="-5"/>
              </w:rPr>
              <w:t xml:space="preserve"> </w:t>
            </w:r>
            <w:r>
              <w:t>in</w:t>
            </w:r>
            <w:r>
              <w:rPr>
                <w:spacing w:val="-4"/>
              </w:rPr>
              <w:t xml:space="preserve"> </w:t>
            </w:r>
            <w:r>
              <w:t>cohort</w:t>
            </w:r>
            <w:r>
              <w:rPr>
                <w:spacing w:val="-4"/>
              </w:rPr>
              <w:t xml:space="preserve"> </w:t>
            </w:r>
            <w:r>
              <w:t>2 Secondary endpoints:</w:t>
            </w:r>
          </w:p>
          <w:p w14:paraId="2B62F410" w14:textId="77777777" w:rsidR="004E14C6" w:rsidRDefault="004E14C6" w:rsidP="00A26BF3">
            <w:r>
              <w:t>Markers</w:t>
            </w:r>
            <w:r>
              <w:rPr>
                <w:spacing w:val="-7"/>
              </w:rPr>
              <w:t xml:space="preserve"> </w:t>
            </w:r>
            <w:r>
              <w:t>of</w:t>
            </w:r>
            <w:r>
              <w:rPr>
                <w:spacing w:val="-4"/>
              </w:rPr>
              <w:t xml:space="preserve"> </w:t>
            </w:r>
            <w:r>
              <w:t>intra</w:t>
            </w:r>
            <w:r>
              <w:rPr>
                <w:spacing w:val="-5"/>
              </w:rPr>
              <w:t xml:space="preserve"> </w:t>
            </w:r>
            <w:r>
              <w:t>and</w:t>
            </w:r>
            <w:r>
              <w:rPr>
                <w:spacing w:val="-5"/>
              </w:rPr>
              <w:t xml:space="preserve"> </w:t>
            </w:r>
            <w:r>
              <w:t>extravascular</w:t>
            </w:r>
            <w:r>
              <w:rPr>
                <w:spacing w:val="-7"/>
              </w:rPr>
              <w:t xml:space="preserve"> </w:t>
            </w:r>
            <w:r>
              <w:t>haemolysis</w:t>
            </w:r>
          </w:p>
          <w:p w14:paraId="0E39D592" w14:textId="77777777" w:rsidR="004E14C6" w:rsidRDefault="004E14C6" w:rsidP="00A26BF3">
            <w:r>
              <w:t>mean</w:t>
            </w:r>
            <w:r>
              <w:rPr>
                <w:spacing w:val="-6"/>
              </w:rPr>
              <w:t xml:space="preserve"> </w:t>
            </w:r>
            <w:r>
              <w:t>haemoglobin</w:t>
            </w:r>
            <w:r>
              <w:rPr>
                <w:spacing w:val="-6"/>
              </w:rPr>
              <w:t xml:space="preserve"> </w:t>
            </w:r>
            <w:r>
              <w:t>increased</w:t>
            </w:r>
            <w:r>
              <w:rPr>
                <w:spacing w:val="-5"/>
              </w:rPr>
              <w:t xml:space="preserve"> </w:t>
            </w:r>
            <w:r>
              <w:t>by</w:t>
            </w:r>
            <w:r>
              <w:rPr>
                <w:spacing w:val="-7"/>
              </w:rPr>
              <w:t xml:space="preserve"> </w:t>
            </w:r>
            <w:r>
              <w:t>32.04</w:t>
            </w:r>
            <w:r>
              <w:rPr>
                <w:spacing w:val="-7"/>
              </w:rPr>
              <w:t xml:space="preserve"> </w:t>
            </w:r>
            <w:r>
              <w:t>g/dL</w:t>
            </w:r>
            <w:r>
              <w:rPr>
                <w:spacing w:val="-6"/>
              </w:rPr>
              <w:t xml:space="preserve"> </w:t>
            </w:r>
            <w:r>
              <w:t>from</w:t>
            </w:r>
            <w:r>
              <w:rPr>
                <w:spacing w:val="-7"/>
              </w:rPr>
              <w:t xml:space="preserve"> </w:t>
            </w:r>
            <w:r>
              <w:t>baseline,</w:t>
            </w:r>
            <w:r>
              <w:rPr>
                <w:spacing w:val="-5"/>
              </w:rPr>
              <w:t xml:space="preserve"> to</w:t>
            </w:r>
          </w:p>
          <w:p w14:paraId="5BC2E7A7" w14:textId="77777777" w:rsidR="004E14C6" w:rsidRDefault="004E14C6" w:rsidP="00A26BF3">
            <w:r>
              <w:t>126.60</w:t>
            </w:r>
            <w:r>
              <w:rPr>
                <w:spacing w:val="-4"/>
              </w:rPr>
              <w:t xml:space="preserve"> </w:t>
            </w:r>
            <w:r>
              <w:t>g/dL</w:t>
            </w:r>
            <w:r>
              <w:rPr>
                <w:spacing w:val="-6"/>
              </w:rPr>
              <w:t xml:space="preserve"> </w:t>
            </w:r>
            <w:r>
              <w:t>at</w:t>
            </w:r>
            <w:r>
              <w:rPr>
                <w:spacing w:val="-5"/>
              </w:rPr>
              <w:t xml:space="preserve"> </w:t>
            </w:r>
            <w:r>
              <w:t>day</w:t>
            </w:r>
            <w:r>
              <w:rPr>
                <w:spacing w:val="-6"/>
              </w:rPr>
              <w:t xml:space="preserve"> </w:t>
            </w:r>
            <w:r>
              <w:t>92</w:t>
            </w:r>
            <w:r>
              <w:rPr>
                <w:spacing w:val="-4"/>
              </w:rPr>
              <w:t xml:space="preserve"> </w:t>
            </w:r>
            <w:r>
              <w:t>with</w:t>
            </w:r>
            <w:r>
              <w:rPr>
                <w:spacing w:val="-6"/>
              </w:rPr>
              <w:t xml:space="preserve"> </w:t>
            </w:r>
            <w:r>
              <w:t>sustained</w:t>
            </w:r>
            <w:r>
              <w:rPr>
                <w:spacing w:val="-5"/>
              </w:rPr>
              <w:t xml:space="preserve"> </w:t>
            </w:r>
            <w:r>
              <w:t>increase</w:t>
            </w:r>
            <w:r>
              <w:rPr>
                <w:spacing w:val="-5"/>
              </w:rPr>
              <w:t xml:space="preserve"> </w:t>
            </w:r>
            <w:r>
              <w:t>in haemoglobin</w:t>
            </w:r>
            <w:r>
              <w:rPr>
                <w:spacing w:val="-4"/>
              </w:rPr>
              <w:t xml:space="preserve"> </w:t>
            </w:r>
            <w:r>
              <w:t>of</w:t>
            </w:r>
            <w:r>
              <w:rPr>
                <w:spacing w:val="-6"/>
              </w:rPr>
              <w:t xml:space="preserve"> </w:t>
            </w:r>
            <w:r>
              <w:t>33.08</w:t>
            </w:r>
            <w:r>
              <w:rPr>
                <w:spacing w:val="-6"/>
              </w:rPr>
              <w:t xml:space="preserve"> </w:t>
            </w:r>
            <w:r>
              <w:t>from</w:t>
            </w:r>
            <w:r>
              <w:rPr>
                <w:spacing w:val="-6"/>
              </w:rPr>
              <w:t xml:space="preserve"> </w:t>
            </w:r>
            <w:r>
              <w:t>baseline</w:t>
            </w:r>
            <w:r>
              <w:rPr>
                <w:spacing w:val="-4"/>
              </w:rPr>
              <w:t xml:space="preserve"> </w:t>
            </w:r>
            <w:r>
              <w:t>to</w:t>
            </w:r>
            <w:r>
              <w:rPr>
                <w:spacing w:val="-3"/>
              </w:rPr>
              <w:t xml:space="preserve"> </w:t>
            </w:r>
            <w:r>
              <w:t>day</w:t>
            </w:r>
            <w:r>
              <w:rPr>
                <w:spacing w:val="-6"/>
              </w:rPr>
              <w:t xml:space="preserve"> </w:t>
            </w:r>
            <w:r>
              <w:rPr>
                <w:spacing w:val="-4"/>
              </w:rPr>
              <w:t>1233</w:t>
            </w:r>
          </w:p>
          <w:p w14:paraId="5F3DD28C" w14:textId="77777777" w:rsidR="004E14C6" w:rsidRDefault="004E14C6" w:rsidP="00A26BF3">
            <w:r>
              <w:t>9</w:t>
            </w:r>
            <w:r>
              <w:rPr>
                <w:spacing w:val="-3"/>
              </w:rPr>
              <w:t xml:space="preserve"> </w:t>
            </w:r>
            <w:r>
              <w:t>patients</w:t>
            </w:r>
            <w:r>
              <w:rPr>
                <w:spacing w:val="-4"/>
              </w:rPr>
              <w:t xml:space="preserve"> </w:t>
            </w:r>
            <w:r>
              <w:t>achieved</w:t>
            </w:r>
            <w:r>
              <w:rPr>
                <w:spacing w:val="-4"/>
              </w:rPr>
              <w:t xml:space="preserve"> </w:t>
            </w:r>
            <w:r>
              <w:t>normal</w:t>
            </w:r>
            <w:r>
              <w:rPr>
                <w:spacing w:val="-6"/>
              </w:rPr>
              <w:t xml:space="preserve"> </w:t>
            </w:r>
            <w:r>
              <w:t>haemoglobin</w:t>
            </w:r>
            <w:r>
              <w:rPr>
                <w:spacing w:val="-4"/>
              </w:rPr>
              <w:t xml:space="preserve"> </w:t>
            </w:r>
            <w:r>
              <w:t>levels</w:t>
            </w:r>
            <w:r>
              <w:rPr>
                <w:spacing w:val="-4"/>
              </w:rPr>
              <w:t xml:space="preserve"> </w:t>
            </w:r>
            <w:r>
              <w:t>at</w:t>
            </w:r>
            <w:r>
              <w:rPr>
                <w:spacing w:val="-4"/>
              </w:rPr>
              <w:t xml:space="preserve"> </w:t>
            </w:r>
            <w:r>
              <w:t>day</w:t>
            </w:r>
            <w:r>
              <w:rPr>
                <w:spacing w:val="-7"/>
              </w:rPr>
              <w:t xml:space="preserve"> </w:t>
            </w:r>
            <w:r>
              <w:t>92</w:t>
            </w:r>
            <w:r>
              <w:rPr>
                <w:spacing w:val="-3"/>
              </w:rPr>
              <w:t xml:space="preserve"> </w:t>
            </w:r>
            <w:r>
              <w:t>and in addition 9 patients at day 393 and 8 at day 729</w:t>
            </w:r>
          </w:p>
          <w:p w14:paraId="61C33FBD" w14:textId="77777777" w:rsidR="004E14C6" w:rsidRDefault="004E14C6" w:rsidP="00A26BF3">
            <w:proofErr w:type="gramStart"/>
            <w:r>
              <w:t>The majority of</w:t>
            </w:r>
            <w:proofErr w:type="gramEnd"/>
            <w:r>
              <w:t xml:space="preserve"> patients were transfusion independent although</w:t>
            </w:r>
            <w:r>
              <w:rPr>
                <w:spacing w:val="-4"/>
              </w:rPr>
              <w:t xml:space="preserve"> </w:t>
            </w:r>
            <w:r>
              <w:t>1 patient</w:t>
            </w:r>
            <w:r>
              <w:rPr>
                <w:spacing w:val="-3"/>
              </w:rPr>
              <w:t xml:space="preserve"> </w:t>
            </w:r>
            <w:r>
              <w:t>required</w:t>
            </w:r>
            <w:r>
              <w:rPr>
                <w:spacing w:val="-3"/>
              </w:rPr>
              <w:t xml:space="preserve"> </w:t>
            </w:r>
            <w:r>
              <w:t>red</w:t>
            </w:r>
            <w:r>
              <w:rPr>
                <w:spacing w:val="-3"/>
              </w:rPr>
              <w:t xml:space="preserve"> </w:t>
            </w:r>
            <w:r>
              <w:t>blood</w:t>
            </w:r>
            <w:r>
              <w:rPr>
                <w:spacing w:val="-5"/>
              </w:rPr>
              <w:t xml:space="preserve"> </w:t>
            </w:r>
            <w:r>
              <w:t>cell</w:t>
            </w:r>
            <w:r>
              <w:rPr>
                <w:spacing w:val="-3"/>
              </w:rPr>
              <w:t xml:space="preserve"> </w:t>
            </w:r>
            <w:r>
              <w:t>transfusion</w:t>
            </w:r>
            <w:r>
              <w:rPr>
                <w:spacing w:val="-6"/>
              </w:rPr>
              <w:t xml:space="preserve"> </w:t>
            </w:r>
            <w:r>
              <w:t>on</w:t>
            </w:r>
            <w:r>
              <w:rPr>
                <w:spacing w:val="-3"/>
              </w:rPr>
              <w:t xml:space="preserve"> </w:t>
            </w:r>
            <w:r>
              <w:t>day 1 in cohort 1 and 1 patient on day 2 in cohort 2</w:t>
            </w:r>
          </w:p>
        </w:tc>
      </w:tr>
    </w:tbl>
    <w:p w14:paraId="5BFD23D9" w14:textId="77777777" w:rsidR="00EA25A4" w:rsidRDefault="00EA25A4" w:rsidP="00CA7FD8">
      <w:pPr>
        <w:pStyle w:val="Heading6"/>
      </w:pPr>
      <w:r>
        <w:t>Study CLFG316X2201</w:t>
      </w:r>
    </w:p>
    <w:p w14:paraId="5A4754FE" w14:textId="4A831462" w:rsidR="00EA25A4" w:rsidRDefault="00EA25A4" w:rsidP="00EA25A4">
      <w:r>
        <w:t xml:space="preserve">This was an open-label proof of concept study to assess the use of LFG316 intravenous anti-C5 monoclonal antibody in patients with PNH. Patients received LFG316 IV every 14 days for 4 weeks and entered an optional </w:t>
      </w:r>
      <w:proofErr w:type="gramStart"/>
      <w:r>
        <w:t>48 week</w:t>
      </w:r>
      <w:proofErr w:type="gramEnd"/>
      <w:r>
        <w:t xml:space="preserve"> treatment period continuing LFG316 infusions every 14</w:t>
      </w:r>
      <w:r w:rsidR="008B69D7">
        <w:t xml:space="preserve"> </w:t>
      </w:r>
      <w:r>
        <w:t>days. An additional extension period up to 260 weeks was allowed following which patients were switched to LNP023 (iptacopan) for approximately 21 weeks.</w:t>
      </w:r>
    </w:p>
    <w:p w14:paraId="7D94833D" w14:textId="77777777" w:rsidR="00EA25A4" w:rsidRDefault="00EA25A4" w:rsidP="00EA25A4">
      <w:r>
        <w:t>For those patients who continued into the iptacopan treatment period 4, the minimum exposure was 134 days and maximum exposure 169 days at a dosage of 200mg bd. The primary objective of the study was to assess the IV LFG316 treatment and thus was not directly relevant to the proposed indication. However, it was found that complement inhibition with iptacopan controlled intravascular and extravascular haemolysis.</w:t>
      </w:r>
    </w:p>
    <w:p w14:paraId="0011635A" w14:textId="77777777" w:rsidR="00EA25A4" w:rsidRDefault="00EA25A4" w:rsidP="00CA7FD8">
      <w:pPr>
        <w:pStyle w:val="Heading4"/>
      </w:pPr>
      <w:bookmarkStart w:id="44" w:name="_Toc204181047"/>
      <w:r>
        <w:t>Safety</w:t>
      </w:r>
      <w:bookmarkEnd w:id="44"/>
    </w:p>
    <w:p w14:paraId="361D1D6E" w14:textId="147EE0A3" w:rsidR="00EA25A4" w:rsidRDefault="00EA25A4" w:rsidP="00EA25A4">
      <w:r>
        <w:t>Safety data from APPLY-PNH, APPOINT-PNH, and other studies of iptacopan in C3</w:t>
      </w:r>
      <w:r w:rsidR="00CA7FD8">
        <w:t xml:space="preserve"> </w:t>
      </w:r>
      <w:r>
        <w:t xml:space="preserve">glomerulopathy and IgA nephropathy have been reviewed by the clinical </w:t>
      </w:r>
      <w:r w:rsidR="003105E1">
        <w:t>Evaluator</w:t>
      </w:r>
      <w:r>
        <w:t>. Details can be found in the clinical evaluation report, p55. This overview focuses on the safety data from the randomised period of APPLY-PNH, as this is the key comparative safety data supporting the submission.</w:t>
      </w:r>
    </w:p>
    <w:p w14:paraId="6EB61245" w14:textId="77777777" w:rsidR="00EA25A4" w:rsidRDefault="00EA25A4" w:rsidP="00CA7FD8">
      <w:pPr>
        <w:pStyle w:val="Heading5"/>
      </w:pPr>
      <w:r>
        <w:lastRenderedPageBreak/>
        <w:t>Safety in APPLY-PNH (DCO 26 September 2022)</w:t>
      </w:r>
    </w:p>
    <w:p w14:paraId="59E7CD90" w14:textId="77777777" w:rsidR="00EA25A4" w:rsidRDefault="00EA25A4" w:rsidP="00EA25A4">
      <w:r>
        <w:t>The pivotal study, APPLY-PNH provides comparative safety data between iptacopan and anti-C5 antibodies. Data from the 26 September 2022 data cut (the end of the randomised study period) is presented here, as it allows comparison with C5 inhibitors and therefore provides meaningful safety data. Additional safety data from the extension period of this study, in which all patients received iptacopan, as well as other studies including APPOINT-PNH, are also presented in separate sections of this overview.</w:t>
      </w:r>
    </w:p>
    <w:p w14:paraId="2CC5E7C1" w14:textId="28A614E3" w:rsidR="00EA25A4" w:rsidRDefault="00EA25A4" w:rsidP="00EA25A4">
      <w:r>
        <w:t xml:space="preserve">Median duration of exposure in APPLY-PNH was 24.1 weeks in both groups in the randomised period. 51/62 patients (82.3%) in the iptacopan group compared to 28/35 (80.0%) in the anti- C5 group experienced at least one </w:t>
      </w:r>
      <w:r w:rsidR="001106F5">
        <w:t>treatment-emergent adverse event</w:t>
      </w:r>
      <w:r w:rsidR="00ED2B80">
        <w:t xml:space="preserve"> (</w:t>
      </w:r>
      <w:r>
        <w:t>TEAE</w:t>
      </w:r>
      <w:r w:rsidR="00ED2B80">
        <w:t>)</w:t>
      </w:r>
      <w:r>
        <w:t xml:space="preserve">. Most </w:t>
      </w:r>
      <w:r w:rsidR="00022C87">
        <w:t>adverse events (</w:t>
      </w:r>
      <w:r>
        <w:t>AEs</w:t>
      </w:r>
      <w:r w:rsidR="00022C87">
        <w:t>)</w:t>
      </w:r>
      <w:r>
        <w:t xml:space="preserve"> were tolerable, with no TEAEs leading to dose interruption or discontinuation during the treatment period. Serious </w:t>
      </w:r>
      <w:r w:rsidR="002E79DA">
        <w:t>a</w:t>
      </w:r>
      <w:r>
        <w:t xml:space="preserve">dverse </w:t>
      </w:r>
      <w:r w:rsidR="002E79DA">
        <w:t>e</w:t>
      </w:r>
      <w:r>
        <w:t>vents (SAEs) occurred more frequently in the anti-C5 arm (14.3%) compared to the iptacopan arm (9.7%).</w:t>
      </w:r>
    </w:p>
    <w:p w14:paraId="55083885" w14:textId="66839D90" w:rsidR="00CA7FD8" w:rsidRDefault="00EA25A4" w:rsidP="00EA25A4">
      <w:r>
        <w:t xml:space="preserve">In addition, there were no deaths during the study. A summary of TEAEs is presented </w:t>
      </w:r>
      <w:r w:rsidR="00CA7FD8">
        <w:t xml:space="preserve">in Table </w:t>
      </w:r>
      <w:r w:rsidR="00DF6494">
        <w:t>8</w:t>
      </w:r>
      <w:r w:rsidR="00CA7FD8">
        <w:t>.</w:t>
      </w:r>
    </w:p>
    <w:p w14:paraId="1D1C103C" w14:textId="5FCCB7DB" w:rsidR="004E14C6" w:rsidRDefault="00EA25A4" w:rsidP="00CA7FD8">
      <w:pPr>
        <w:pStyle w:val="TableTitle"/>
      </w:pPr>
      <w:r>
        <w:t xml:space="preserve">Table </w:t>
      </w:r>
      <w:r w:rsidR="00DF6494">
        <w:t>8</w:t>
      </w:r>
      <w:r>
        <w:t>: APPLY-PNH</w:t>
      </w:r>
      <w:r w:rsidR="00BA7879">
        <w:t>, s</w:t>
      </w:r>
      <w:r>
        <w:t>ummary of TEAEs</w:t>
      </w:r>
    </w:p>
    <w:p w14:paraId="7A6DF50D" w14:textId="196B1850" w:rsidR="0002696C" w:rsidRDefault="0002696C" w:rsidP="00EA25A4">
      <w:r>
        <w:rPr>
          <w:noProof/>
        </w:rPr>
        <w:drawing>
          <wp:inline distT="0" distB="0" distL="0" distR="0" wp14:anchorId="4D0EA0E4" wp14:editId="0B59F788">
            <wp:extent cx="5669915" cy="2672443"/>
            <wp:effectExtent l="0" t="0" r="6985" b="0"/>
            <wp:docPr id="1122215946" name="Picture 3" descr="Table 8: APPLY-PNH, summary of TE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15946" name="Picture 3" descr="Table 8: APPLY-PNH, summary of TEAEs"/>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b="38864"/>
                    <a:stretch/>
                  </pic:blipFill>
                  <pic:spPr bwMode="auto">
                    <a:xfrm>
                      <a:off x="0" y="0"/>
                      <a:ext cx="5669915" cy="2672443"/>
                    </a:xfrm>
                    <a:prstGeom prst="rect">
                      <a:avLst/>
                    </a:prstGeom>
                    <a:noFill/>
                    <a:ln>
                      <a:noFill/>
                    </a:ln>
                    <a:extLst>
                      <a:ext uri="{53640926-AAD7-44D8-BBD7-CCE9431645EC}">
                        <a14:shadowObscured xmlns:a14="http://schemas.microsoft.com/office/drawing/2010/main"/>
                      </a:ext>
                    </a:extLst>
                  </pic:spPr>
                </pic:pic>
              </a:graphicData>
            </a:graphic>
          </wp:inline>
        </w:drawing>
      </w:r>
    </w:p>
    <w:p w14:paraId="6161C9C2" w14:textId="77777777" w:rsidR="0061571E" w:rsidRDefault="0061571E" w:rsidP="0061571E">
      <w:pPr>
        <w:pStyle w:val="TableDescription"/>
        <w:contextualSpacing/>
      </w:pPr>
      <w:r w:rsidRPr="0061571E">
        <w:t xml:space="preserve">- A patient with multiple occurrences of an AE under one treatment is counted only once in this AE category for that treatment. </w:t>
      </w:r>
    </w:p>
    <w:p w14:paraId="55448B85" w14:textId="77777777" w:rsidR="0061571E" w:rsidRDefault="0061571E" w:rsidP="0061571E">
      <w:pPr>
        <w:pStyle w:val="TableDescription"/>
        <w:contextualSpacing/>
      </w:pPr>
      <w:r w:rsidRPr="0061571E">
        <w:t xml:space="preserve">- Data collected on AE CRF pages is summarized. </w:t>
      </w:r>
    </w:p>
    <w:p w14:paraId="38342383" w14:textId="77777777" w:rsidR="0061571E" w:rsidRDefault="0061571E" w:rsidP="0061571E">
      <w:pPr>
        <w:pStyle w:val="TableDescription"/>
        <w:contextualSpacing/>
      </w:pPr>
      <w:r w:rsidRPr="0061571E">
        <w:t xml:space="preserve">- Serious events are those marked Yes for SAE. </w:t>
      </w:r>
    </w:p>
    <w:p w14:paraId="19E16FC1" w14:textId="7888EE8A" w:rsidR="0061571E" w:rsidRDefault="0061571E" w:rsidP="0061571E">
      <w:pPr>
        <w:pStyle w:val="TableDescription"/>
        <w:contextualSpacing/>
      </w:pPr>
      <w:r w:rsidRPr="0061571E">
        <w:t xml:space="preserve">- AEs causing study drug discontinuations refer to those with 'Action taken with study treatment' answered as 'Drug withdrawn'. </w:t>
      </w:r>
    </w:p>
    <w:p w14:paraId="02BC059B" w14:textId="77777777" w:rsidR="0061571E" w:rsidRDefault="0061571E" w:rsidP="0061571E">
      <w:pPr>
        <w:pStyle w:val="TableDescription"/>
        <w:contextualSpacing/>
      </w:pPr>
      <w:r w:rsidRPr="0061571E">
        <w:t xml:space="preserve">- AEs causing study drug interruptions refer to those with 'Action taken with study treatment' answered as 'Drug interrupted'. </w:t>
      </w:r>
    </w:p>
    <w:p w14:paraId="7A5B51D9" w14:textId="77777777" w:rsidR="0061571E" w:rsidRDefault="0061571E" w:rsidP="0061571E">
      <w:pPr>
        <w:pStyle w:val="TableDescription"/>
        <w:contextualSpacing/>
      </w:pPr>
      <w:r w:rsidRPr="0061571E">
        <w:t xml:space="preserve">- Treatment Emergent Adverse Event (TEAE) is defined as event started during on-treatment period. </w:t>
      </w:r>
    </w:p>
    <w:p w14:paraId="28AC7D63" w14:textId="77777777" w:rsidR="0061571E" w:rsidRDefault="0061571E" w:rsidP="0061571E">
      <w:pPr>
        <w:pStyle w:val="TableDescription"/>
        <w:contextualSpacing/>
      </w:pPr>
      <w:r w:rsidRPr="0061571E">
        <w:t xml:space="preserve">- On-treatment period for LNP023 is from first dose date until 7 days after the date of last dose administered. </w:t>
      </w:r>
    </w:p>
    <w:p w14:paraId="64D648A0" w14:textId="1C5FF7A7" w:rsidR="0061571E" w:rsidRPr="0061571E" w:rsidRDefault="0061571E" w:rsidP="0061571E">
      <w:pPr>
        <w:pStyle w:val="TableDescription"/>
        <w:contextualSpacing/>
      </w:pPr>
      <w:r w:rsidRPr="0061571E">
        <w:t xml:space="preserve">- On-treatment period for Anti-05 is from the first dose date until one day before the next planned dose. </w:t>
      </w:r>
    </w:p>
    <w:p w14:paraId="3D3E5E65" w14:textId="673EF9B4" w:rsidR="00AF309F" w:rsidRDefault="00AF309F" w:rsidP="00AF309F">
      <w:r>
        <w:t>The most common TEAEs occurring in ≥ 5 patients in either group were headache, diarrhoea, nasopharyngitis, nausea and arthralgia, all occurring more frequently in the iptacopan group compared to the anti-C5 group, as shown below. This may explain the higher numbers of AEs suspected to be due to medication in the iptacopan group (16, 25.8%) compared to the anti-C5 group (3, 8.6%). Breakthrough haemolysis was more frequent in the anti-C5 group</w:t>
      </w:r>
      <w:r w:rsidR="00DF0199">
        <w:t xml:space="preserve"> (Table </w:t>
      </w:r>
      <w:r w:rsidR="00DF6494">
        <w:t>9</w:t>
      </w:r>
      <w:r w:rsidR="00DF0199">
        <w:t>)</w:t>
      </w:r>
      <w:r>
        <w:t>.</w:t>
      </w:r>
    </w:p>
    <w:p w14:paraId="539D959E" w14:textId="4B375414" w:rsidR="00AF309F" w:rsidRDefault="00AF309F" w:rsidP="00DF0199">
      <w:pPr>
        <w:pStyle w:val="TableTitle"/>
      </w:pPr>
      <w:r>
        <w:lastRenderedPageBreak/>
        <w:t xml:space="preserve">Table </w:t>
      </w:r>
      <w:r w:rsidR="00DF6494">
        <w:t>9</w:t>
      </w:r>
      <w:r>
        <w:t>: APPLY-PNH</w:t>
      </w:r>
      <w:r w:rsidR="00E50BA8">
        <w:t>,</w:t>
      </w:r>
      <w:r>
        <w:t xml:space="preserve"> </w:t>
      </w:r>
      <w:r w:rsidR="00E50BA8">
        <w:t>m</w:t>
      </w:r>
      <w:r>
        <w:t>ost common TEAEs (≥ 5 patients in either group) by preferred term in randomised treatment period</w:t>
      </w:r>
    </w:p>
    <w:p w14:paraId="66FB2B4A" w14:textId="48D07AD2" w:rsidR="00CC0625" w:rsidRDefault="00CC0625" w:rsidP="000B3AAA">
      <w:pPr>
        <w:spacing w:after="0"/>
      </w:pPr>
      <w:r>
        <w:rPr>
          <w:noProof/>
        </w:rPr>
        <w:drawing>
          <wp:inline distT="0" distB="0" distL="0" distR="0" wp14:anchorId="0104B810" wp14:editId="2440BEB9">
            <wp:extent cx="5236497" cy="3000375"/>
            <wp:effectExtent l="0" t="0" r="2540" b="0"/>
            <wp:docPr id="15" name="Image 15" descr="Table 9: APPLY-PNH, most common TEAEs (≥ 5 patients in either group) by preferred term in randomised treatment peri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able 9: APPLY-PNH, most common TEAEs (≥ 5 patients in either group) by preferred term in randomised treatment perio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36497" cy="3000375"/>
                    </a:xfrm>
                    <a:prstGeom prst="rect">
                      <a:avLst/>
                    </a:prstGeom>
                  </pic:spPr>
                </pic:pic>
              </a:graphicData>
            </a:graphic>
          </wp:inline>
        </w:drawing>
      </w:r>
    </w:p>
    <w:p w14:paraId="2E8427D6" w14:textId="77777777" w:rsidR="00B626BE" w:rsidRDefault="00B626BE" w:rsidP="000B3AAA">
      <w:pPr>
        <w:pStyle w:val="TableDescription"/>
        <w:spacing w:before="0" w:after="0"/>
        <w:contextualSpacing/>
      </w:pPr>
      <w:r w:rsidRPr="00B626BE">
        <w:t>- A patient with multiple adverse events (preferred te</w:t>
      </w:r>
      <w:r>
        <w:t>rm</w:t>
      </w:r>
      <w:r w:rsidRPr="00B626BE">
        <w:t xml:space="preserve">s) is counted only once in the total row. - A patient with multiple occurrences of an AE under one treatment is counted only once in this AE category for that treatment. </w:t>
      </w:r>
    </w:p>
    <w:p w14:paraId="554E7F04" w14:textId="77777777" w:rsidR="00B626BE" w:rsidRDefault="00B626BE" w:rsidP="000B3AAA">
      <w:pPr>
        <w:pStyle w:val="TableDescription"/>
        <w:spacing w:before="0" w:after="0"/>
        <w:contextualSpacing/>
      </w:pPr>
      <w:r w:rsidRPr="00B626BE">
        <w:t xml:space="preserve">- Preferred terms are sorted in descending frequency of AEs in the LNP023 column. </w:t>
      </w:r>
    </w:p>
    <w:p w14:paraId="1D85AC04" w14:textId="77777777" w:rsidR="00B626BE" w:rsidRDefault="00B626BE" w:rsidP="000B3AAA">
      <w:pPr>
        <w:pStyle w:val="TableDescription"/>
        <w:spacing w:before="0" w:after="0"/>
        <w:contextualSpacing/>
      </w:pPr>
      <w:r w:rsidRPr="00B626BE">
        <w:t xml:space="preserve">- MedDRA Version 25.0 has been used for the reporting of adverse events. </w:t>
      </w:r>
    </w:p>
    <w:p w14:paraId="1B98F47D" w14:textId="77777777" w:rsidR="00B626BE" w:rsidRDefault="00B626BE" w:rsidP="000B3AAA">
      <w:pPr>
        <w:pStyle w:val="TableDescription"/>
        <w:spacing w:before="0" w:after="0"/>
        <w:contextualSpacing/>
      </w:pPr>
      <w:r w:rsidRPr="00B626BE">
        <w:t xml:space="preserve">- Treatment Emergent Adverse Event (TEAE) is defined as event started during on-treatment period. </w:t>
      </w:r>
    </w:p>
    <w:p w14:paraId="431B00C9" w14:textId="77777777" w:rsidR="00B626BE" w:rsidRDefault="00B626BE" w:rsidP="000B3AAA">
      <w:pPr>
        <w:pStyle w:val="TableDescription"/>
        <w:spacing w:before="0" w:after="0"/>
        <w:contextualSpacing/>
      </w:pPr>
      <w:r w:rsidRPr="00B626BE">
        <w:t xml:space="preserve">- On-treatment period for LNP023 is from first dose date until 7 days after the date of last dose administered. </w:t>
      </w:r>
    </w:p>
    <w:p w14:paraId="454C0019" w14:textId="55E81283" w:rsidR="00B626BE" w:rsidRDefault="00B626BE" w:rsidP="000B3AAA">
      <w:pPr>
        <w:pStyle w:val="TableDescription"/>
        <w:spacing w:before="0" w:after="0"/>
        <w:contextualSpacing/>
      </w:pPr>
      <w:r w:rsidRPr="00B626BE">
        <w:t>- On-treatment period for Anti-05 is from the first dose date until one day before the next planned dose.</w:t>
      </w:r>
    </w:p>
    <w:p w14:paraId="4161137E" w14:textId="50A82FCD" w:rsidR="008519BD" w:rsidRDefault="008519BD" w:rsidP="00B626BE">
      <w:pPr>
        <w:pStyle w:val="Heading6"/>
      </w:pPr>
      <w:r>
        <w:t xml:space="preserve">Adverse </w:t>
      </w:r>
      <w:r w:rsidR="00A26BF3">
        <w:t>events of special interest</w:t>
      </w:r>
    </w:p>
    <w:p w14:paraId="4435A250" w14:textId="666D9642" w:rsidR="008519BD" w:rsidRDefault="006179CC" w:rsidP="008519BD">
      <w:r w:rsidRPr="006179CC">
        <w:t xml:space="preserve">Adverse </w:t>
      </w:r>
      <w:r>
        <w:t>e</w:t>
      </w:r>
      <w:r w:rsidRPr="006179CC">
        <w:t xml:space="preserve">vents of </w:t>
      </w:r>
      <w:r>
        <w:t>s</w:t>
      </w:r>
      <w:r w:rsidRPr="006179CC">
        <w:t xml:space="preserve">pecial </w:t>
      </w:r>
      <w:r>
        <w:t>i</w:t>
      </w:r>
      <w:r w:rsidRPr="006179CC">
        <w:t xml:space="preserve">nterest </w:t>
      </w:r>
      <w:r>
        <w:t>(</w:t>
      </w:r>
      <w:r w:rsidR="008519BD">
        <w:t>AESIs</w:t>
      </w:r>
      <w:r>
        <w:t>)</w:t>
      </w:r>
      <w:r w:rsidR="008519BD">
        <w:t xml:space="preserve"> for iptacopan included serious or severe infections, infection caused by encapsulated bacteria, haemolysis and thrombosis events, testicular effects, thyroid changes and decreased platelets, with frequencies shown in </w:t>
      </w:r>
      <w:r w:rsidR="000B3AAA">
        <w:t xml:space="preserve">Table </w:t>
      </w:r>
      <w:r w:rsidR="00DF6494">
        <w:t>10</w:t>
      </w:r>
      <w:r w:rsidR="008519BD">
        <w:t>:</w:t>
      </w:r>
    </w:p>
    <w:p w14:paraId="6A2A9836" w14:textId="300E8BEF" w:rsidR="008519BD" w:rsidRDefault="008519BD" w:rsidP="00B626BE">
      <w:pPr>
        <w:pStyle w:val="TableTitle"/>
      </w:pPr>
      <w:r>
        <w:lastRenderedPageBreak/>
        <w:t xml:space="preserve">Table </w:t>
      </w:r>
      <w:r w:rsidR="00DF6494">
        <w:t>10</w:t>
      </w:r>
      <w:r>
        <w:t xml:space="preserve">: APPLY-PNH, </w:t>
      </w:r>
      <w:r w:rsidR="000840FC">
        <w:t>AESI</w:t>
      </w:r>
      <w:r>
        <w:t xml:space="preserve"> in the randomised treatment period</w:t>
      </w:r>
    </w:p>
    <w:p w14:paraId="1731CD57" w14:textId="6C9F3DCC" w:rsidR="00E17AE9" w:rsidRDefault="00E17AE9" w:rsidP="000B3AAA">
      <w:pPr>
        <w:spacing w:after="0"/>
      </w:pPr>
      <w:r>
        <w:rPr>
          <w:noProof/>
        </w:rPr>
        <w:drawing>
          <wp:inline distT="0" distB="0" distL="0" distR="0" wp14:anchorId="3412A7FB" wp14:editId="7DD82DD9">
            <wp:extent cx="5487523" cy="4806042"/>
            <wp:effectExtent l="0" t="0" r="0" b="0"/>
            <wp:docPr id="17" name="Image 17" descr="Table 10: APPLY-PNH, AESI in the randomised treatment peri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Table 10: APPLY-PNH, AESI in the randomised treatment period"/>
                    <pic:cNvPicPr/>
                  </pic:nvPicPr>
                  <pic:blipFill rotWithShape="1">
                    <a:blip r:embed="rId31" cstate="print">
                      <a:extLst>
                        <a:ext uri="{28A0092B-C50C-407E-A947-70E740481C1C}">
                          <a14:useLocalDpi xmlns:a14="http://schemas.microsoft.com/office/drawing/2010/main" val="0"/>
                        </a:ext>
                      </a:extLst>
                    </a:blip>
                    <a:srcRect b="23850"/>
                    <a:stretch/>
                  </pic:blipFill>
                  <pic:spPr bwMode="auto">
                    <a:xfrm>
                      <a:off x="0" y="0"/>
                      <a:ext cx="5487854" cy="4806332"/>
                    </a:xfrm>
                    <a:prstGeom prst="rect">
                      <a:avLst/>
                    </a:prstGeom>
                    <a:ln>
                      <a:noFill/>
                    </a:ln>
                    <a:extLst>
                      <a:ext uri="{53640926-AAD7-44D8-BBD7-CCE9431645EC}">
                        <a14:shadowObscured xmlns:a14="http://schemas.microsoft.com/office/drawing/2010/main"/>
                      </a:ext>
                    </a:extLst>
                  </pic:spPr>
                </pic:pic>
              </a:graphicData>
            </a:graphic>
          </wp:inline>
        </w:drawing>
      </w:r>
    </w:p>
    <w:p w14:paraId="3C69ACA2" w14:textId="77777777" w:rsidR="000B3AAA" w:rsidRDefault="000B3AAA" w:rsidP="000B3AAA">
      <w:pPr>
        <w:pStyle w:val="TableDescription"/>
        <w:spacing w:before="0" w:after="0"/>
        <w:contextualSpacing/>
      </w:pPr>
      <w:r w:rsidRPr="000B3AAA">
        <w:t xml:space="preserve">- A patient with multiple adverse events within risk is counted only once in the total row. </w:t>
      </w:r>
    </w:p>
    <w:p w14:paraId="42A2951A" w14:textId="77777777" w:rsidR="000B3AAA" w:rsidRDefault="000B3AAA" w:rsidP="000B3AAA">
      <w:pPr>
        <w:pStyle w:val="TableDescription"/>
        <w:contextualSpacing/>
      </w:pPr>
      <w:r w:rsidRPr="000B3AAA">
        <w:t xml:space="preserve">- A patient with multiple occurrences of an AE under one treatment is counted only once in this AE category for that treatment. </w:t>
      </w:r>
    </w:p>
    <w:p w14:paraId="6F159A5F" w14:textId="77777777" w:rsidR="000B3AAA" w:rsidRDefault="000B3AAA" w:rsidP="000B3AAA">
      <w:pPr>
        <w:pStyle w:val="TableDescription"/>
        <w:contextualSpacing/>
      </w:pPr>
      <w:r w:rsidRPr="000B3AAA">
        <w:t xml:space="preserve">- Preferred terms are sorted within risk in descending frequency of AEs in the LNP023 column. </w:t>
      </w:r>
    </w:p>
    <w:p w14:paraId="100FEF0F" w14:textId="77777777" w:rsidR="000B3AAA" w:rsidRDefault="000B3AAA" w:rsidP="000B3AAA">
      <w:pPr>
        <w:pStyle w:val="TableDescription"/>
        <w:contextualSpacing/>
      </w:pPr>
      <w:r w:rsidRPr="000B3AAA">
        <w:t xml:space="preserve">- MedDRA Version 25.0 has been used for the reporting of adverse events. </w:t>
      </w:r>
    </w:p>
    <w:p w14:paraId="57C50F2D" w14:textId="77777777" w:rsidR="000B3AAA" w:rsidRDefault="000B3AAA" w:rsidP="000B3AAA">
      <w:pPr>
        <w:pStyle w:val="TableDescription"/>
        <w:contextualSpacing/>
      </w:pPr>
      <w:r w:rsidRPr="000B3AAA">
        <w:t xml:space="preserve">- Treatment Emergent Adverse Event (TEAE) is defined as event started during on-treatment period. </w:t>
      </w:r>
    </w:p>
    <w:p w14:paraId="7062E40C" w14:textId="77777777" w:rsidR="000B3AAA" w:rsidRDefault="000B3AAA" w:rsidP="000B3AAA">
      <w:pPr>
        <w:pStyle w:val="TableDescription"/>
        <w:contextualSpacing/>
      </w:pPr>
      <w:r w:rsidRPr="000B3AAA">
        <w:t xml:space="preserve">- On-treatment period for LNP023 is from first dose date until 7 days after the date of last dose administered. </w:t>
      </w:r>
    </w:p>
    <w:p w14:paraId="7B7640A5" w14:textId="77777777" w:rsidR="000B3AAA" w:rsidRDefault="000B3AAA" w:rsidP="000B3AAA">
      <w:pPr>
        <w:pStyle w:val="TableDescription"/>
        <w:contextualSpacing/>
      </w:pPr>
      <w:r w:rsidRPr="000B3AAA">
        <w:t xml:space="preserve">- On-treatment period for Anti-CS is from the first dose date until one day before the next planned dose. </w:t>
      </w:r>
    </w:p>
    <w:p w14:paraId="7D64448A" w14:textId="1CD39134" w:rsidR="000B3AAA" w:rsidRDefault="000B3AAA" w:rsidP="000B3AAA">
      <w:pPr>
        <w:pStyle w:val="TableDescription"/>
        <w:contextualSpacing/>
      </w:pPr>
      <w:r w:rsidRPr="000B3AAA">
        <w:t>- A patient with multiple occurrences of a risk under one treatment is counted only once for the same risk for that treatment.</w:t>
      </w:r>
    </w:p>
    <w:p w14:paraId="29BE672C" w14:textId="77777777" w:rsidR="008C37A1" w:rsidRDefault="008C37A1" w:rsidP="00B626BE">
      <w:pPr>
        <w:pStyle w:val="Heading7"/>
      </w:pPr>
      <w:r>
        <w:t>Infections</w:t>
      </w:r>
    </w:p>
    <w:p w14:paraId="0888C526" w14:textId="77777777" w:rsidR="008C37A1" w:rsidRDefault="008C37A1" w:rsidP="008C37A1">
      <w:r>
        <w:t xml:space="preserve">Iptacopan carries a risk of infections, particularly with encapsulated bacteria, due to its mechanism of action inhibiting the alternative complement pathway. In APPLY-PNH, 2 patients (5.0%) randomised to iptacopan experienced infections caused by encapsulated bacteria during the initial </w:t>
      </w:r>
      <w:proofErr w:type="gramStart"/>
      <w:r>
        <w:t>24 week</w:t>
      </w:r>
      <w:proofErr w:type="gramEnd"/>
      <w:r>
        <w:t xml:space="preserve"> study period. One was a case of bronchitis caused by haemophilus influenzae, and the other was pyelonephritis.</w:t>
      </w:r>
    </w:p>
    <w:p w14:paraId="63D87B51" w14:textId="77777777" w:rsidR="000B3AAA" w:rsidRDefault="008C37A1" w:rsidP="000B3AAA">
      <w:pPr>
        <w:pStyle w:val="Heading7"/>
      </w:pPr>
      <w:r>
        <w:t>Haemolysis</w:t>
      </w:r>
    </w:p>
    <w:p w14:paraId="411463A6" w14:textId="7BB4D83C" w:rsidR="008C37A1" w:rsidRDefault="008C37A1" w:rsidP="008C37A1">
      <w:r>
        <w:t>Breakthrough haemolysis occurs in PNH, can be triggered by infection, and can also occur on treatment discontinuation. In APPLY-PNH, the rate of breakthrough haemolysis was lower in the iptacopan group (2 patients, 3.2%) compared to the anti-C5 group (6 patients, 17.1%).</w:t>
      </w:r>
    </w:p>
    <w:p w14:paraId="463FBA5C" w14:textId="77777777" w:rsidR="008C37A1" w:rsidRDefault="008C37A1" w:rsidP="008C37A1">
      <w:r>
        <w:t>Appropriate information about monitoring patients after discontinuation is included in the PI, however a box warning regarding the risk of infection is also needed.</w:t>
      </w:r>
    </w:p>
    <w:p w14:paraId="630ED479" w14:textId="77777777" w:rsidR="008C37A1" w:rsidRDefault="008C37A1" w:rsidP="000B3AAA">
      <w:pPr>
        <w:pStyle w:val="Heading7"/>
      </w:pPr>
      <w:r>
        <w:lastRenderedPageBreak/>
        <w:t>Dyslipidaemia</w:t>
      </w:r>
    </w:p>
    <w:p w14:paraId="4AFA2243" w14:textId="77777777" w:rsidR="008C37A1" w:rsidRDefault="008C37A1" w:rsidP="008C37A1">
      <w:r>
        <w:t>In APPLY-PNH, 6.5% of patients in the iptacopan arm had a TEAE of lipid disorder compared to 0% in the anti-C5 arm. Elevated total cholesterol, LDL-cholesterol, and triglycerides occurred in more patients in the iptacopan arm compared to the anti-C5-arm.</w:t>
      </w:r>
    </w:p>
    <w:p w14:paraId="41B245C0" w14:textId="77777777" w:rsidR="008C37A1" w:rsidRDefault="008C37A1" w:rsidP="000B3AAA">
      <w:pPr>
        <w:pStyle w:val="Heading6"/>
      </w:pPr>
      <w:r>
        <w:t>Safety in APPLY-PNH (6 March 2023 DCO)</w:t>
      </w:r>
    </w:p>
    <w:p w14:paraId="6F2AB7EE" w14:textId="77777777" w:rsidR="008C37A1" w:rsidRDefault="008C37A1" w:rsidP="008C37A1">
      <w:r>
        <w:t xml:space="preserve">At the end of the extension period, for the 62 patients initially randomised to iptacopan, the median duration of exposure was 47.9 weeks, with 31 subjects having at least 48 weeks of exposure. At the end of the </w:t>
      </w:r>
      <w:proofErr w:type="gramStart"/>
      <w:r>
        <w:t>48 week</w:t>
      </w:r>
      <w:proofErr w:type="gramEnd"/>
      <w:r>
        <w:t xml:space="preserve"> extension period, no new safety signals had been detected. Overall, 6 SAEs occurred during the extension period, with only 1 (platelet count decreased in a patient initially randomised to iptacopan) deemed to be related to iptacopan treatment. The only new SAE was portal vein thrombosis, deemed unrelated to iptacopan, in a patient with a prior history of this condition.</w:t>
      </w:r>
    </w:p>
    <w:p w14:paraId="54DF15DA" w14:textId="6D08F156" w:rsidR="008C37A1" w:rsidRDefault="008C37A1" w:rsidP="008C37A1">
      <w:r>
        <w:t xml:space="preserve">In terms of AESI, there was an additional AE of infection (otitis media in a patient initially randomised to anti-C5) in the extension period. There were also additional cases of breakthrough haemolysis in the extension period, however none were serious or severe, and patients </w:t>
      </w:r>
      <w:proofErr w:type="gramStart"/>
      <w:r>
        <w:t>continued on</w:t>
      </w:r>
      <w:proofErr w:type="gramEnd"/>
      <w:r>
        <w:t xml:space="preserve"> iptacopan. There were two SAEs of thrombosis (one of portal vein thrombosis previously mentioned; the other a </w:t>
      </w:r>
      <w:r w:rsidR="00212B71">
        <w:t>“</w:t>
      </w:r>
      <w:r>
        <w:t>non-</w:t>
      </w:r>
      <w:r w:rsidR="000B3AAA">
        <w:t>serious</w:t>
      </w:r>
      <w:r w:rsidR="00212B71">
        <w:t>”</w:t>
      </w:r>
      <w:r w:rsidR="000B3AAA">
        <w:t>’</w:t>
      </w:r>
      <w:r>
        <w:t xml:space="preserve"> </w:t>
      </w:r>
      <w:r w:rsidR="00212B71" w:rsidRPr="00212B71">
        <w:t>transient ischemic attacks</w:t>
      </w:r>
      <w:r>
        <w:t>). There were also increases in mean total cholesterol.</w:t>
      </w:r>
    </w:p>
    <w:p w14:paraId="0D5637B9" w14:textId="77777777" w:rsidR="008C37A1" w:rsidRDefault="008C37A1" w:rsidP="008C37A1">
      <w:r>
        <w:t>There were no deaths and no TEAEs leading to discontinuation of iptacopan during the extension period. No events were reported for hypersensitivity, testicular effects, or thyroid effects.</w:t>
      </w:r>
    </w:p>
    <w:p w14:paraId="3FA45A6C" w14:textId="1A033452" w:rsidR="008C37A1" w:rsidRDefault="57771B0A" w:rsidP="008C37A1">
      <w:r>
        <w:t xml:space="preserve">The FDA identified a death in the Rollover Extension Study, for which the study report is not yet available. This death was due to encapsulated organism infection in a </w:t>
      </w:r>
      <w:proofErr w:type="gramStart"/>
      <w:r>
        <w:t>69 year old</w:t>
      </w:r>
      <w:proofErr w:type="gramEnd"/>
      <w:r>
        <w:t xml:space="preserve"> female patient who had received iptacopan. This highlights the importance of a box warning in the PI clearly stating the risk of infections with encapsulated bacteria.</w:t>
      </w:r>
    </w:p>
    <w:p w14:paraId="3657F1A1" w14:textId="77777777" w:rsidR="008C37A1" w:rsidRDefault="008C37A1" w:rsidP="000B3AAA">
      <w:pPr>
        <w:pStyle w:val="Heading5"/>
      </w:pPr>
      <w:r>
        <w:t>Safety in other studies:</w:t>
      </w:r>
    </w:p>
    <w:p w14:paraId="66DD8620" w14:textId="77777777" w:rsidR="008C37A1" w:rsidRDefault="008C37A1" w:rsidP="000B3AAA">
      <w:pPr>
        <w:pStyle w:val="Heading6"/>
      </w:pPr>
      <w:r>
        <w:t>APPOINT-PNH:</w:t>
      </w:r>
    </w:p>
    <w:p w14:paraId="2FB17CFF" w14:textId="2B17AE0C" w:rsidR="008C37A1" w:rsidRDefault="008C37A1" w:rsidP="008C37A1">
      <w:r>
        <w:t>In APPOINT-PNH, median duration of exposure was 21.1 weeks for the core treatment period and 45.4 weeks including the extension period. A total of 37/40 patients (92.5%) had at least 1</w:t>
      </w:r>
      <w:r w:rsidR="000B3AAA">
        <w:t xml:space="preserve"> </w:t>
      </w:r>
      <w:r>
        <w:t xml:space="preserve">TEAE and </w:t>
      </w:r>
      <w:proofErr w:type="gramStart"/>
      <w:r>
        <w:t>the majority of</w:t>
      </w:r>
      <w:proofErr w:type="gramEnd"/>
      <w:r>
        <w:t xml:space="preserve"> AEs were mild or moderate. 48.5% were investigator assessed as treatment related.</w:t>
      </w:r>
    </w:p>
    <w:p w14:paraId="4715205F" w14:textId="77777777" w:rsidR="008C37A1" w:rsidRDefault="008C37A1" w:rsidP="008C37A1">
      <w:r>
        <w:t xml:space="preserve">There was 1 (2.5%) SAE of chest pain and bacterial pneumonia in the initial </w:t>
      </w:r>
      <w:proofErr w:type="gramStart"/>
      <w:r>
        <w:t>24 week</w:t>
      </w:r>
      <w:proofErr w:type="gramEnd"/>
      <w:r>
        <w:t xml:space="preserve"> period. At the 48-week data cut, SAEs were reported in 8 (20.0%) patients; 2 (5.0%) patients had SAEs assessed as treatment-related, pneumonia as described above, and COVID-19.</w:t>
      </w:r>
    </w:p>
    <w:p w14:paraId="1087BF45" w14:textId="77777777" w:rsidR="008C37A1" w:rsidRDefault="008C37A1" w:rsidP="008C37A1">
      <w:r>
        <w:t>Two infections were reported as being caused by encapsulated bacteria, 1 patient having serious bacterial lobar pneumonia described above, and another patient with a non-serious staphylococcal skin infection of moderate severity in the extension treatment period. Iptacopan treatment was continued for both events, which resolved with treatment.</w:t>
      </w:r>
    </w:p>
    <w:p w14:paraId="42C17CFA" w14:textId="10DED7A9" w:rsidR="008C37A1" w:rsidRDefault="57771B0A" w:rsidP="008C37A1">
      <w:r>
        <w:t xml:space="preserve">In the extension treatment period, </w:t>
      </w:r>
      <w:r w:rsidR="00C53348">
        <w:t>2</w:t>
      </w:r>
      <w:r>
        <w:t xml:space="preserve"> patient</w:t>
      </w:r>
      <w:r w:rsidR="00C53348">
        <w:t>s</w:t>
      </w:r>
      <w:r>
        <w:t xml:space="preserve"> had </w:t>
      </w:r>
      <w:r w:rsidR="00C53348">
        <w:t>one</w:t>
      </w:r>
      <w:r w:rsidR="003105E1">
        <w:t xml:space="preserve"> </w:t>
      </w:r>
      <w:r>
        <w:t>event</w:t>
      </w:r>
      <w:r w:rsidR="00C53348">
        <w:t xml:space="preserve"> each</w:t>
      </w:r>
      <w:r>
        <w:t xml:space="preserve"> of breakthrough haemolysis. Iptacopan treatment was continued in both instances and the events resolved.</w:t>
      </w:r>
    </w:p>
    <w:p w14:paraId="13E46488" w14:textId="77777777" w:rsidR="008C37A1" w:rsidRDefault="008C37A1" w:rsidP="008C37A1">
      <w:r>
        <w:t xml:space="preserve">There were 4 patients (10%) with severe TEAEs in the extension period, one case of malignant melanoma in an </w:t>
      </w:r>
      <w:proofErr w:type="gramStart"/>
      <w:r>
        <w:t>82 year old</w:t>
      </w:r>
      <w:proofErr w:type="gramEnd"/>
      <w:r>
        <w:t xml:space="preserve"> patient was not suspected to be related to iptacopan by the treating physician, and one case of pneumonia (described above) which was assessed as treatment related.</w:t>
      </w:r>
    </w:p>
    <w:p w14:paraId="3BF1637D" w14:textId="77777777" w:rsidR="008C37A1" w:rsidRDefault="008C37A1" w:rsidP="008C37A1">
      <w:r>
        <w:lastRenderedPageBreak/>
        <w:t>Across the 48-week study, there were no events reported for thrombosis, hypersensitivity, testicular effects or thyroid effects.</w:t>
      </w:r>
    </w:p>
    <w:p w14:paraId="36828116" w14:textId="77777777" w:rsidR="008C37A1" w:rsidRDefault="008C37A1" w:rsidP="008C37A1">
      <w:r>
        <w:t>When comparing the safety profile between the APPLY-PNH and APPOINT-PNH studies, there were broadly comparable events during iptacopan therapy i.e., in patients who were either anti- C5 experienced or anti-C5-naïve.</w:t>
      </w:r>
    </w:p>
    <w:p w14:paraId="38A4496A" w14:textId="02C39A58" w:rsidR="008C37A1" w:rsidRDefault="008C37A1" w:rsidP="000B3AAA">
      <w:pPr>
        <w:pStyle w:val="Heading6"/>
      </w:pPr>
      <w:r>
        <w:t>X2204 Study</w:t>
      </w:r>
    </w:p>
    <w:p w14:paraId="11A14AA4" w14:textId="4CD74725" w:rsidR="008C37A1" w:rsidRDefault="006402C8" w:rsidP="008C37A1">
      <w:r>
        <w:t>In this phase II study</w:t>
      </w:r>
      <w:r w:rsidR="008C37A1">
        <w:t xml:space="preserve"> of the 13 patients receiving iptacopan, 9 (69.2%) had AEs and the majority of these were mild. Only 1 subject (7.7%) had an AE of moderate headache leading to treatment discontinuation, whilst on a 50mg bd dose.</w:t>
      </w:r>
    </w:p>
    <w:p w14:paraId="2331DB32" w14:textId="600C2008" w:rsidR="008C37A1" w:rsidRDefault="008C37A1" w:rsidP="000B3AAA">
      <w:pPr>
        <w:pStyle w:val="Heading6"/>
      </w:pPr>
      <w:r>
        <w:t>X2201 Study</w:t>
      </w:r>
    </w:p>
    <w:p w14:paraId="4AB2E38E" w14:textId="56CA54B3" w:rsidR="008C37A1" w:rsidRDefault="008C37A1" w:rsidP="008C37A1">
      <w:r>
        <w:t xml:space="preserve">In this phase II study, patients received both iptacopan and an anti-C5 antibody at the same time. All 16 patients experienced at least one TEAE. </w:t>
      </w:r>
      <w:r w:rsidR="000B3AAA">
        <w:t>Three</w:t>
      </w:r>
      <w:r>
        <w:t xml:space="preserve"> of the 16 patients (18.6%) died during the </w:t>
      </w:r>
      <w:proofErr w:type="gramStart"/>
      <w:r>
        <w:t>study;</w:t>
      </w:r>
      <w:proofErr w:type="gramEnd"/>
      <w:r>
        <w:t xml:space="preserve"> as follows:</w:t>
      </w:r>
    </w:p>
    <w:p w14:paraId="4BD0A8FC" w14:textId="490A005B" w:rsidR="008C37A1" w:rsidRDefault="008C37A1" w:rsidP="000B3AAA">
      <w:pPr>
        <w:pStyle w:val="ListBullet"/>
      </w:pPr>
      <w:r>
        <w:t>A 78y</w:t>
      </w:r>
      <w:r w:rsidR="000B3AAA">
        <w:t>o</w:t>
      </w:r>
      <w:r>
        <w:t xml:space="preserve"> male patient died due to a TEAE of general physical health deterioration following Escherichia coli sepsis after surgery for aortic repair. The event was not suspected to be related to iptacopan</w:t>
      </w:r>
    </w:p>
    <w:p w14:paraId="1EEFA2B1" w14:textId="6A689431" w:rsidR="008C37A1" w:rsidRDefault="008C37A1" w:rsidP="000B3AAA">
      <w:pPr>
        <w:pStyle w:val="ListBullet"/>
      </w:pPr>
      <w:r>
        <w:t>A 52</w:t>
      </w:r>
      <w:r w:rsidR="000B3AAA">
        <w:t>yo</w:t>
      </w:r>
      <w:r>
        <w:t xml:space="preserve"> male patient died following an SAE of squamous cell carcinoma of the oral cavity. This was not suspected to be related to iptacopan</w:t>
      </w:r>
    </w:p>
    <w:p w14:paraId="6A411D4A" w14:textId="3F4CE2E3" w:rsidR="008C37A1" w:rsidRDefault="008C37A1" w:rsidP="000B3AAA">
      <w:pPr>
        <w:pStyle w:val="ListBullet"/>
      </w:pPr>
      <w:r>
        <w:t>A 45yo female patient died after developing an SAE of lymphoproliferative disorder and sepsis after chemotherapy. The involvement of iptacopan could not be excluded, however causality is difficult to determine.</w:t>
      </w:r>
    </w:p>
    <w:p w14:paraId="27EE873C" w14:textId="607C50FC" w:rsidR="008C37A1" w:rsidRDefault="008C37A1" w:rsidP="008C37A1">
      <w:r>
        <w:t xml:space="preserve">Although not necessarily related to treatment, Study X2201 raises safety concerns regarding combination treatment. </w:t>
      </w:r>
    </w:p>
    <w:p w14:paraId="04C6E03E" w14:textId="77777777" w:rsidR="008C37A1" w:rsidRDefault="008C37A1" w:rsidP="000B3AAA">
      <w:pPr>
        <w:pStyle w:val="Heading7"/>
      </w:pPr>
      <w:r>
        <w:t>Studies of other conditions: X2202 and X2203</w:t>
      </w:r>
    </w:p>
    <w:p w14:paraId="691E995A" w14:textId="386C9415" w:rsidR="008C37A1" w:rsidRDefault="008C37A1" w:rsidP="008C37A1">
      <w:r>
        <w:t xml:space="preserve">No new safety signals were reported in studies of other conditions, and the pattern of AEs was </w:t>
      </w:r>
      <w:proofErr w:type="gramStart"/>
      <w:r>
        <w:t>similar to</w:t>
      </w:r>
      <w:proofErr w:type="gramEnd"/>
      <w:r>
        <w:t xml:space="preserve"> that of the pivotal trial. </w:t>
      </w:r>
    </w:p>
    <w:p w14:paraId="55EDFA4B" w14:textId="03B6399B" w:rsidR="008C37A1" w:rsidRDefault="008C37A1" w:rsidP="000B3AAA">
      <w:pPr>
        <w:pStyle w:val="Heading3"/>
      </w:pPr>
      <w:bookmarkStart w:id="45" w:name="_Toc204181048"/>
      <w:r>
        <w:t>Risk Management Plan (RMP) evaluation</w:t>
      </w:r>
      <w:r w:rsidR="000B3AAA">
        <w:t xml:space="preserve"> summary</w:t>
      </w:r>
      <w:bookmarkEnd w:id="45"/>
    </w:p>
    <w:p w14:paraId="25A7FEF7" w14:textId="77777777" w:rsidR="008C37A1" w:rsidRDefault="008C37A1" w:rsidP="008C37A1">
      <w:r>
        <w:t>An EU-RMP version 1.0 (dated 06 April 2023; DLP 02 November 2022) and ASA version 1.0 (dated 20 June 2023) were submitted and evaluated by the TGA.</w:t>
      </w:r>
    </w:p>
    <w:p w14:paraId="7D3B9566" w14:textId="0352A330" w:rsidR="00CE15B7" w:rsidRDefault="008C37A1" w:rsidP="008C37A1">
      <w:r>
        <w:t xml:space="preserve">The summary of safety concerns </w:t>
      </w:r>
      <w:proofErr w:type="gramStart"/>
      <w:r>
        <w:t>are</w:t>
      </w:r>
      <w:proofErr w:type="gramEnd"/>
      <w:r>
        <w:t xml:space="preserve"> outlined in </w:t>
      </w:r>
      <w:r w:rsidR="000B3AAA">
        <w:t xml:space="preserve">Table </w:t>
      </w:r>
      <w:r w:rsidR="00DF6494">
        <w:t>11</w:t>
      </w:r>
      <w:r>
        <w:t>.</w:t>
      </w:r>
    </w:p>
    <w:p w14:paraId="72E7B742" w14:textId="10329FBB" w:rsidR="000B3AAA" w:rsidRDefault="000B3AAA" w:rsidP="004F4997">
      <w:pPr>
        <w:pStyle w:val="TableTitle"/>
      </w:pPr>
      <w:r>
        <w:t xml:space="preserve">Table </w:t>
      </w:r>
      <w:r w:rsidR="00DF6494">
        <w:t>11</w:t>
      </w:r>
      <w:r>
        <w:t>: Summary of safety concerns</w:t>
      </w:r>
    </w:p>
    <w:tbl>
      <w:tblPr>
        <w:tblStyle w:val="TableTGAblue2023"/>
        <w:tblW w:w="8951" w:type="dxa"/>
        <w:tblLayout w:type="fixed"/>
        <w:tblLook w:val="01E0" w:firstRow="1" w:lastRow="1" w:firstColumn="1" w:lastColumn="1" w:noHBand="0" w:noVBand="0"/>
      </w:tblPr>
      <w:tblGrid>
        <w:gridCol w:w="1481"/>
        <w:gridCol w:w="2625"/>
        <w:gridCol w:w="1134"/>
        <w:gridCol w:w="1371"/>
        <w:gridCol w:w="990"/>
        <w:gridCol w:w="1350"/>
      </w:tblGrid>
      <w:tr w:rsidR="0057606F" w:rsidRPr="000B3AAA" w14:paraId="655F0017" w14:textId="77777777" w:rsidTr="00A26BF3">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106" w:type="dxa"/>
            <w:gridSpan w:val="2"/>
            <w:vMerge w:val="restart"/>
          </w:tcPr>
          <w:p w14:paraId="6E753757" w14:textId="77777777" w:rsidR="0057606F" w:rsidRPr="000B3AAA" w:rsidRDefault="0057606F" w:rsidP="00A26BF3">
            <w:pPr>
              <w:rPr>
                <w:b w:val="0"/>
              </w:rPr>
            </w:pPr>
            <w:r w:rsidRPr="000B3AAA">
              <w:t>Summary</w:t>
            </w:r>
            <w:r w:rsidRPr="000B3AAA">
              <w:rPr>
                <w:spacing w:val="-8"/>
              </w:rPr>
              <w:t xml:space="preserve"> </w:t>
            </w:r>
            <w:r w:rsidRPr="000B3AAA">
              <w:t>of</w:t>
            </w:r>
            <w:r w:rsidRPr="000B3AAA">
              <w:rPr>
                <w:spacing w:val="-6"/>
              </w:rPr>
              <w:t xml:space="preserve"> </w:t>
            </w:r>
            <w:r w:rsidRPr="000B3AAA">
              <w:t>safety</w:t>
            </w:r>
            <w:r w:rsidRPr="000B3AAA">
              <w:rPr>
                <w:spacing w:val="-6"/>
              </w:rPr>
              <w:t xml:space="preserve"> </w:t>
            </w:r>
            <w:r w:rsidRPr="000B3AAA">
              <w:rPr>
                <w:spacing w:val="-2"/>
              </w:rPr>
              <w:t>concerns</w:t>
            </w:r>
          </w:p>
        </w:tc>
        <w:tc>
          <w:tcPr>
            <w:tcW w:w="2505" w:type="dxa"/>
            <w:gridSpan w:val="2"/>
          </w:tcPr>
          <w:p w14:paraId="21D8E99C" w14:textId="77777777" w:rsidR="0057606F" w:rsidRPr="000B3AAA" w:rsidRDefault="0057606F" w:rsidP="00A26BF3">
            <w:pPr>
              <w:cnfStyle w:val="100000000000" w:firstRow="1" w:lastRow="0" w:firstColumn="0" w:lastColumn="0" w:oddVBand="0" w:evenVBand="0" w:oddHBand="0" w:evenHBand="0" w:firstRowFirstColumn="0" w:firstRowLastColumn="0" w:lastRowFirstColumn="0" w:lastRowLastColumn="0"/>
              <w:rPr>
                <w:b w:val="0"/>
              </w:rPr>
            </w:pPr>
            <w:r w:rsidRPr="000B3AAA">
              <w:rPr>
                <w:spacing w:val="-2"/>
              </w:rPr>
              <w:t>Pharmacovigilance</w:t>
            </w:r>
          </w:p>
        </w:tc>
        <w:tc>
          <w:tcPr>
            <w:tcW w:w="2340" w:type="dxa"/>
            <w:gridSpan w:val="2"/>
          </w:tcPr>
          <w:p w14:paraId="1986D9D2" w14:textId="77777777" w:rsidR="0057606F" w:rsidRPr="000B3AAA" w:rsidRDefault="0057606F" w:rsidP="00A26BF3">
            <w:pPr>
              <w:ind w:left="0"/>
              <w:cnfStyle w:val="100000000000" w:firstRow="1" w:lastRow="0" w:firstColumn="0" w:lastColumn="0" w:oddVBand="0" w:evenVBand="0" w:oddHBand="0" w:evenHBand="0" w:firstRowFirstColumn="0" w:firstRowLastColumn="0" w:lastRowFirstColumn="0" w:lastRowLastColumn="0"/>
              <w:rPr>
                <w:b w:val="0"/>
              </w:rPr>
            </w:pPr>
            <w:r w:rsidRPr="000B3AAA">
              <w:t>Risk</w:t>
            </w:r>
            <w:r w:rsidRPr="000B3AAA">
              <w:rPr>
                <w:spacing w:val="-1"/>
              </w:rPr>
              <w:t xml:space="preserve"> </w:t>
            </w:r>
            <w:r w:rsidRPr="000B3AAA">
              <w:rPr>
                <w:spacing w:val="-2"/>
              </w:rPr>
              <w:t>Minimisation</w:t>
            </w:r>
          </w:p>
        </w:tc>
      </w:tr>
      <w:tr w:rsidR="004F4997" w:rsidRPr="000B3AAA" w14:paraId="04D29A00" w14:textId="77777777" w:rsidTr="00A26BF3">
        <w:trPr>
          <w:trHeight w:val="474"/>
        </w:trPr>
        <w:tc>
          <w:tcPr>
            <w:cnfStyle w:val="001000000000" w:firstRow="0" w:lastRow="0" w:firstColumn="1" w:lastColumn="0" w:oddVBand="0" w:evenVBand="0" w:oddHBand="0" w:evenHBand="0" w:firstRowFirstColumn="0" w:firstRowLastColumn="0" w:lastRowFirstColumn="0" w:lastRowLastColumn="0"/>
            <w:tcW w:w="4106" w:type="dxa"/>
            <w:gridSpan w:val="2"/>
            <w:vMerge/>
          </w:tcPr>
          <w:p w14:paraId="0893520B" w14:textId="77777777" w:rsidR="0057606F" w:rsidRPr="000B3AAA" w:rsidRDefault="0057606F" w:rsidP="00A26BF3">
            <w:pPr>
              <w:rPr>
                <w:szCs w:val="22"/>
              </w:rPr>
            </w:pPr>
          </w:p>
        </w:tc>
        <w:tc>
          <w:tcPr>
            <w:tcW w:w="1134" w:type="dxa"/>
          </w:tcPr>
          <w:p w14:paraId="16BF21C0" w14:textId="77777777" w:rsidR="0057606F" w:rsidRPr="000B3AAA" w:rsidRDefault="0057606F" w:rsidP="00A26BF3">
            <w:pPr>
              <w:ind w:left="0"/>
              <w:cnfStyle w:val="000000000000" w:firstRow="0" w:lastRow="0" w:firstColumn="0" w:lastColumn="0" w:oddVBand="0" w:evenVBand="0" w:oddHBand="0" w:evenHBand="0" w:firstRowFirstColumn="0" w:firstRowLastColumn="0" w:lastRowFirstColumn="0" w:lastRowLastColumn="0"/>
            </w:pPr>
            <w:r w:rsidRPr="000B3AAA">
              <w:rPr>
                <w:spacing w:val="-2"/>
              </w:rPr>
              <w:t>Routine</w:t>
            </w:r>
          </w:p>
        </w:tc>
        <w:tc>
          <w:tcPr>
            <w:tcW w:w="1371" w:type="dxa"/>
          </w:tcPr>
          <w:p w14:paraId="3D7E8D9B" w14:textId="77777777" w:rsidR="0057606F" w:rsidRPr="000B3AAA" w:rsidRDefault="0057606F" w:rsidP="00A26BF3">
            <w:pPr>
              <w:ind w:left="0"/>
              <w:cnfStyle w:val="000000000000" w:firstRow="0" w:lastRow="0" w:firstColumn="0" w:lastColumn="0" w:oddVBand="0" w:evenVBand="0" w:oddHBand="0" w:evenHBand="0" w:firstRowFirstColumn="0" w:firstRowLastColumn="0" w:lastRowFirstColumn="0" w:lastRowLastColumn="0"/>
            </w:pPr>
            <w:r w:rsidRPr="000B3AAA">
              <w:rPr>
                <w:spacing w:val="-2"/>
              </w:rPr>
              <w:t>Additional</w:t>
            </w:r>
          </w:p>
        </w:tc>
        <w:tc>
          <w:tcPr>
            <w:tcW w:w="990" w:type="dxa"/>
          </w:tcPr>
          <w:p w14:paraId="3B0B3865" w14:textId="77777777" w:rsidR="0057606F" w:rsidRPr="000B3AAA" w:rsidRDefault="0057606F" w:rsidP="00A26BF3">
            <w:pPr>
              <w:ind w:left="0"/>
              <w:cnfStyle w:val="000000000000" w:firstRow="0" w:lastRow="0" w:firstColumn="0" w:lastColumn="0" w:oddVBand="0" w:evenVBand="0" w:oddHBand="0" w:evenHBand="0" w:firstRowFirstColumn="0" w:firstRowLastColumn="0" w:lastRowFirstColumn="0" w:lastRowLastColumn="0"/>
            </w:pPr>
            <w:r w:rsidRPr="000B3AAA">
              <w:rPr>
                <w:spacing w:val="-2"/>
              </w:rPr>
              <w:t>Routine</w:t>
            </w:r>
          </w:p>
        </w:tc>
        <w:tc>
          <w:tcPr>
            <w:tcW w:w="1350" w:type="dxa"/>
          </w:tcPr>
          <w:p w14:paraId="387F404D" w14:textId="77777777" w:rsidR="0057606F" w:rsidRPr="000B3AAA" w:rsidRDefault="0057606F" w:rsidP="00A26BF3">
            <w:pPr>
              <w:ind w:left="0"/>
              <w:cnfStyle w:val="000000000000" w:firstRow="0" w:lastRow="0" w:firstColumn="0" w:lastColumn="0" w:oddVBand="0" w:evenVBand="0" w:oddHBand="0" w:evenHBand="0" w:firstRowFirstColumn="0" w:firstRowLastColumn="0" w:lastRowFirstColumn="0" w:lastRowLastColumn="0"/>
            </w:pPr>
            <w:r w:rsidRPr="000B3AAA">
              <w:rPr>
                <w:spacing w:val="-2"/>
              </w:rPr>
              <w:t>Additional</w:t>
            </w:r>
          </w:p>
        </w:tc>
      </w:tr>
      <w:tr w:rsidR="004F4997" w:rsidRPr="000B3AAA" w14:paraId="362640C6" w14:textId="77777777" w:rsidTr="00A26BF3">
        <w:trPr>
          <w:trHeight w:val="959"/>
        </w:trPr>
        <w:tc>
          <w:tcPr>
            <w:cnfStyle w:val="001000000000" w:firstRow="0" w:lastRow="0" w:firstColumn="1" w:lastColumn="0" w:oddVBand="0" w:evenVBand="0" w:oddHBand="0" w:evenHBand="0" w:firstRowFirstColumn="0" w:firstRowLastColumn="0" w:lastRowFirstColumn="0" w:lastRowLastColumn="0"/>
            <w:tcW w:w="1481" w:type="dxa"/>
          </w:tcPr>
          <w:p w14:paraId="1E6AA52E" w14:textId="77777777" w:rsidR="0057606F" w:rsidRPr="000B3AAA" w:rsidRDefault="0057606F" w:rsidP="00A26BF3">
            <w:r w:rsidRPr="000B3AAA">
              <w:rPr>
                <w:spacing w:val="-2"/>
              </w:rPr>
              <w:t>Important</w:t>
            </w:r>
            <w:r w:rsidRPr="000B3AAA">
              <w:t xml:space="preserve"> </w:t>
            </w:r>
            <w:r w:rsidRPr="000B3AAA">
              <w:rPr>
                <w:spacing w:val="-2"/>
              </w:rPr>
              <w:t>identified</w:t>
            </w:r>
            <w:r w:rsidRPr="000B3AAA">
              <w:t xml:space="preserve"> </w:t>
            </w:r>
            <w:r w:rsidRPr="000B3AAA">
              <w:rPr>
                <w:spacing w:val="-2"/>
              </w:rPr>
              <w:t>risks</w:t>
            </w:r>
          </w:p>
        </w:tc>
        <w:tc>
          <w:tcPr>
            <w:tcW w:w="2625" w:type="dxa"/>
          </w:tcPr>
          <w:p w14:paraId="7C4F8B82" w14:textId="77777777" w:rsidR="0057606F" w:rsidRPr="000B3AAA" w:rsidRDefault="0057606F" w:rsidP="00A26BF3">
            <w:pPr>
              <w:cnfStyle w:val="000000000000" w:firstRow="0" w:lastRow="0" w:firstColumn="0" w:lastColumn="0" w:oddVBand="0" w:evenVBand="0" w:oddHBand="0" w:evenHBand="0" w:firstRowFirstColumn="0" w:firstRowLastColumn="0" w:lastRowFirstColumn="0" w:lastRowLastColumn="0"/>
            </w:pPr>
            <w:r w:rsidRPr="000B3AAA">
              <w:t>Infections</w:t>
            </w:r>
            <w:r w:rsidRPr="000B3AAA">
              <w:rPr>
                <w:spacing w:val="-8"/>
              </w:rPr>
              <w:t xml:space="preserve"> </w:t>
            </w:r>
            <w:r w:rsidRPr="000B3AAA">
              <w:t>caused</w:t>
            </w:r>
            <w:r w:rsidRPr="000B3AAA">
              <w:rPr>
                <w:spacing w:val="-8"/>
              </w:rPr>
              <w:t xml:space="preserve"> </w:t>
            </w:r>
            <w:r w:rsidRPr="000B3AAA">
              <w:t>by</w:t>
            </w:r>
            <w:r w:rsidRPr="000B3AAA">
              <w:rPr>
                <w:spacing w:val="-8"/>
              </w:rPr>
              <w:t xml:space="preserve"> </w:t>
            </w:r>
            <w:r w:rsidRPr="000B3AAA">
              <w:t>encapsulated</w:t>
            </w:r>
            <w:r w:rsidRPr="000B3AAA">
              <w:rPr>
                <w:spacing w:val="-8"/>
              </w:rPr>
              <w:t xml:space="preserve"> </w:t>
            </w:r>
            <w:r w:rsidRPr="000B3AAA">
              <w:rPr>
                <w:spacing w:val="-2"/>
              </w:rPr>
              <w:t>bacteria</w:t>
            </w:r>
          </w:p>
        </w:tc>
        <w:tc>
          <w:tcPr>
            <w:tcW w:w="1134" w:type="dxa"/>
          </w:tcPr>
          <w:p w14:paraId="12A7E41A"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p w14:paraId="4DE6863F" w14:textId="4584B207" w:rsidR="0057606F" w:rsidRPr="00414A56" w:rsidRDefault="00414A56" w:rsidP="00A26BF3">
            <w:pPr>
              <w:cnfStyle w:val="000000000000" w:firstRow="0" w:lastRow="0" w:firstColumn="0" w:lastColumn="0" w:oddVBand="0" w:evenVBand="0" w:oddHBand="0" w:evenHBand="0" w:firstRowFirstColumn="0" w:firstRowLastColumn="0" w:lastRowFirstColumn="0" w:lastRowLastColumn="0"/>
            </w:pPr>
            <w:r w:rsidRPr="00414A56">
              <w:rPr>
                <w:rFonts w:ascii="Wingdings 2" w:eastAsia="Wingdings 2" w:hAnsi="Wingdings 2" w:cs="Wingdings 2"/>
                <w:spacing w:val="-10"/>
              </w:rPr>
              <w:t>P</w:t>
            </w:r>
          </w:p>
        </w:tc>
        <w:tc>
          <w:tcPr>
            <w:tcW w:w="1371" w:type="dxa"/>
          </w:tcPr>
          <w:p w14:paraId="1FB8FFB2"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p w14:paraId="17361D38" w14:textId="435F8165" w:rsidR="0057606F" w:rsidRPr="00414A56" w:rsidRDefault="00414A56" w:rsidP="00A26BF3">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spacing w:val="-5"/>
              </w:rPr>
              <w:t>P</w:t>
            </w:r>
            <w:r w:rsidR="0057606F" w:rsidRPr="00414A56">
              <w:rPr>
                <w:spacing w:val="-5"/>
              </w:rPr>
              <w:t>*§</w:t>
            </w:r>
          </w:p>
        </w:tc>
        <w:tc>
          <w:tcPr>
            <w:tcW w:w="990" w:type="dxa"/>
          </w:tcPr>
          <w:p w14:paraId="120BA0BF"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p w14:paraId="63228A17" w14:textId="78FD3B67" w:rsidR="0057606F" w:rsidRPr="00414A56" w:rsidRDefault="00177719" w:rsidP="00A26BF3">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350" w:type="dxa"/>
          </w:tcPr>
          <w:p w14:paraId="3F1871DE"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p w14:paraId="27D51F80" w14:textId="0301A9BE" w:rsidR="0057606F" w:rsidRPr="00414A56" w:rsidRDefault="00177719" w:rsidP="00A26BF3">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spacing w:val="-5"/>
              </w:rPr>
              <w:t>P</w:t>
            </w:r>
            <w:r w:rsidR="0057606F" w:rsidRPr="00414A56">
              <w:rPr>
                <w:spacing w:val="-5"/>
              </w:rPr>
              <w:t>†‡</w:t>
            </w:r>
          </w:p>
        </w:tc>
      </w:tr>
      <w:tr w:rsidR="004F4997" w:rsidRPr="000B3AAA" w14:paraId="2C5AB231" w14:textId="77777777" w:rsidTr="00A26BF3">
        <w:trPr>
          <w:trHeight w:val="719"/>
        </w:trPr>
        <w:tc>
          <w:tcPr>
            <w:cnfStyle w:val="001000000000" w:firstRow="0" w:lastRow="0" w:firstColumn="1" w:lastColumn="0" w:oddVBand="0" w:evenVBand="0" w:oddHBand="0" w:evenHBand="0" w:firstRowFirstColumn="0" w:firstRowLastColumn="0" w:lastRowFirstColumn="0" w:lastRowLastColumn="0"/>
            <w:tcW w:w="1481" w:type="dxa"/>
            <w:vMerge w:val="restart"/>
          </w:tcPr>
          <w:p w14:paraId="748FCC82" w14:textId="77777777" w:rsidR="0057606F" w:rsidRPr="000B3AAA" w:rsidRDefault="0057606F" w:rsidP="00A26BF3">
            <w:r w:rsidRPr="000B3AAA">
              <w:rPr>
                <w:spacing w:val="-2"/>
              </w:rPr>
              <w:lastRenderedPageBreak/>
              <w:t>Important</w:t>
            </w:r>
            <w:r w:rsidRPr="000B3AAA">
              <w:t xml:space="preserve"> </w:t>
            </w:r>
            <w:r w:rsidRPr="000B3AAA">
              <w:rPr>
                <w:spacing w:val="-2"/>
              </w:rPr>
              <w:t>potential</w:t>
            </w:r>
            <w:r w:rsidRPr="000B3AAA">
              <w:t xml:space="preserve"> </w:t>
            </w:r>
            <w:r w:rsidRPr="000B3AAA">
              <w:rPr>
                <w:spacing w:val="-2"/>
              </w:rPr>
              <w:t>risks</w:t>
            </w:r>
          </w:p>
        </w:tc>
        <w:tc>
          <w:tcPr>
            <w:tcW w:w="2625" w:type="dxa"/>
          </w:tcPr>
          <w:p w14:paraId="4BA59C99" w14:textId="77777777" w:rsidR="0057606F" w:rsidRPr="000B3AAA" w:rsidRDefault="0057606F" w:rsidP="00A26BF3">
            <w:pPr>
              <w:cnfStyle w:val="000000000000" w:firstRow="0" w:lastRow="0" w:firstColumn="0" w:lastColumn="0" w:oddVBand="0" w:evenVBand="0" w:oddHBand="0" w:evenHBand="0" w:firstRowFirstColumn="0" w:firstRowLastColumn="0" w:lastRowFirstColumn="0" w:lastRowLastColumn="0"/>
            </w:pPr>
            <w:r w:rsidRPr="000B3AAA">
              <w:t>Serious</w:t>
            </w:r>
            <w:r w:rsidRPr="000B3AAA">
              <w:rPr>
                <w:spacing w:val="-10"/>
              </w:rPr>
              <w:t xml:space="preserve"> </w:t>
            </w:r>
            <w:r w:rsidRPr="000B3AAA">
              <w:t>haemolysis</w:t>
            </w:r>
            <w:r w:rsidRPr="000B3AAA">
              <w:rPr>
                <w:spacing w:val="-10"/>
              </w:rPr>
              <w:t xml:space="preserve"> </w:t>
            </w:r>
            <w:r w:rsidRPr="000B3AAA">
              <w:t>following</w:t>
            </w:r>
            <w:r w:rsidRPr="000B3AAA">
              <w:rPr>
                <w:spacing w:val="-7"/>
              </w:rPr>
              <w:t xml:space="preserve"> </w:t>
            </w:r>
            <w:r w:rsidRPr="000B3AAA">
              <w:t>discontinuation</w:t>
            </w:r>
            <w:r w:rsidRPr="000B3AAA">
              <w:rPr>
                <w:spacing w:val="-11"/>
              </w:rPr>
              <w:t xml:space="preserve"> </w:t>
            </w:r>
            <w:r w:rsidRPr="000B3AAA">
              <w:t xml:space="preserve">of </w:t>
            </w:r>
            <w:r w:rsidRPr="000B3AAA">
              <w:rPr>
                <w:spacing w:val="-2"/>
              </w:rPr>
              <w:t>iptacopan</w:t>
            </w:r>
          </w:p>
        </w:tc>
        <w:tc>
          <w:tcPr>
            <w:tcW w:w="1134" w:type="dxa"/>
          </w:tcPr>
          <w:p w14:paraId="2B757FB6"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p w14:paraId="55B132B2"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tc>
        <w:tc>
          <w:tcPr>
            <w:tcW w:w="1371" w:type="dxa"/>
          </w:tcPr>
          <w:p w14:paraId="09F2BEBE"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p w14:paraId="408C3DF7" w14:textId="0B367628" w:rsidR="0057606F" w:rsidRPr="00414A56" w:rsidRDefault="00414A56" w:rsidP="00A26BF3">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spacing w:val="-5"/>
              </w:rPr>
              <w:t>P</w:t>
            </w:r>
            <w:r w:rsidR="0057606F" w:rsidRPr="00414A56">
              <w:rPr>
                <w:spacing w:val="-5"/>
              </w:rPr>
              <w:t>*§</w:t>
            </w:r>
          </w:p>
        </w:tc>
        <w:tc>
          <w:tcPr>
            <w:tcW w:w="990" w:type="dxa"/>
          </w:tcPr>
          <w:p w14:paraId="5F31F662"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p w14:paraId="1AC5FCA6" w14:textId="25B57CE0" w:rsidR="0057606F" w:rsidRPr="00414A56" w:rsidRDefault="00177719" w:rsidP="00A26BF3">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350" w:type="dxa"/>
          </w:tcPr>
          <w:p w14:paraId="387A2720"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p w14:paraId="413BC0A8" w14:textId="527A60C7" w:rsidR="0057606F" w:rsidRPr="00414A56" w:rsidRDefault="00414A56" w:rsidP="00A26BF3">
            <w:pPr>
              <w:cnfStyle w:val="000000000000" w:firstRow="0" w:lastRow="0" w:firstColumn="0" w:lastColumn="0" w:oddVBand="0" w:evenVBand="0" w:oddHBand="0" w:evenHBand="0" w:firstRowFirstColumn="0" w:firstRowLastColumn="0" w:lastRowFirstColumn="0" w:lastRowLastColumn="0"/>
            </w:pPr>
            <w:r w:rsidRPr="00414A56">
              <w:rPr>
                <w:rFonts w:ascii="Wingdings 2" w:eastAsia="Wingdings 2" w:hAnsi="Wingdings 2" w:cs="Wingdings 2"/>
                <w:spacing w:val="-5"/>
              </w:rPr>
              <w:t>P</w:t>
            </w:r>
            <w:r w:rsidR="0057606F" w:rsidRPr="00414A56">
              <w:rPr>
                <w:spacing w:val="-5"/>
              </w:rPr>
              <w:t>‡</w:t>
            </w:r>
          </w:p>
        </w:tc>
      </w:tr>
      <w:tr w:rsidR="004F4997" w:rsidRPr="000B3AAA" w14:paraId="28A149D1" w14:textId="77777777" w:rsidTr="00A26BF3">
        <w:trPr>
          <w:trHeight w:val="479"/>
        </w:trPr>
        <w:tc>
          <w:tcPr>
            <w:cnfStyle w:val="001000000000" w:firstRow="0" w:lastRow="0" w:firstColumn="1" w:lastColumn="0" w:oddVBand="0" w:evenVBand="0" w:oddHBand="0" w:evenHBand="0" w:firstRowFirstColumn="0" w:firstRowLastColumn="0" w:lastRowFirstColumn="0" w:lastRowLastColumn="0"/>
            <w:tcW w:w="1481" w:type="dxa"/>
            <w:vMerge/>
          </w:tcPr>
          <w:p w14:paraId="2E72CE61" w14:textId="77777777" w:rsidR="0057606F" w:rsidRPr="000B3AAA" w:rsidRDefault="0057606F" w:rsidP="00A26BF3">
            <w:pPr>
              <w:rPr>
                <w:szCs w:val="22"/>
              </w:rPr>
            </w:pPr>
          </w:p>
        </w:tc>
        <w:tc>
          <w:tcPr>
            <w:tcW w:w="2625" w:type="dxa"/>
          </w:tcPr>
          <w:p w14:paraId="05642B25" w14:textId="77777777" w:rsidR="0057606F" w:rsidRPr="000B3AAA" w:rsidRDefault="0057606F" w:rsidP="00A26BF3">
            <w:pPr>
              <w:cnfStyle w:val="000000000000" w:firstRow="0" w:lastRow="0" w:firstColumn="0" w:lastColumn="0" w:oddVBand="0" w:evenVBand="0" w:oddHBand="0" w:evenHBand="0" w:firstRowFirstColumn="0" w:firstRowLastColumn="0" w:lastRowFirstColumn="0" w:lastRowLastColumn="0"/>
            </w:pPr>
            <w:r w:rsidRPr="000B3AAA">
              <w:rPr>
                <w:spacing w:val="-2"/>
              </w:rPr>
              <w:t>Malignancies</w:t>
            </w:r>
          </w:p>
        </w:tc>
        <w:tc>
          <w:tcPr>
            <w:tcW w:w="1134" w:type="dxa"/>
          </w:tcPr>
          <w:p w14:paraId="6ED7DDFD"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tc>
        <w:tc>
          <w:tcPr>
            <w:tcW w:w="1371" w:type="dxa"/>
          </w:tcPr>
          <w:p w14:paraId="6A6C31E9" w14:textId="45FCB848" w:rsidR="0057606F" w:rsidRPr="00414A56" w:rsidRDefault="00414A56" w:rsidP="00A26BF3">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spacing w:val="-5"/>
              </w:rPr>
              <w:t>P</w:t>
            </w:r>
            <w:r w:rsidR="0057606F" w:rsidRPr="00414A56">
              <w:rPr>
                <w:spacing w:val="-5"/>
              </w:rPr>
              <w:t>*§</w:t>
            </w:r>
          </w:p>
        </w:tc>
        <w:tc>
          <w:tcPr>
            <w:tcW w:w="990" w:type="dxa"/>
          </w:tcPr>
          <w:p w14:paraId="53C3B35A" w14:textId="76DEF8B0" w:rsidR="0057606F" w:rsidRPr="00414A56" w:rsidRDefault="00177719" w:rsidP="00A26BF3">
            <w:pPr>
              <w:cnfStyle w:val="000000000000" w:firstRow="0" w:lastRow="0" w:firstColumn="0" w:lastColumn="0" w:oddVBand="0" w:evenVBand="0" w:oddHBand="0" w:evenHBand="0" w:firstRowFirstColumn="0" w:firstRowLastColumn="0" w:lastRowFirstColumn="0" w:lastRowLastColumn="0"/>
            </w:pPr>
            <w:r>
              <w:rPr>
                <w:spacing w:val="-10"/>
              </w:rPr>
              <w:t>-</w:t>
            </w:r>
          </w:p>
        </w:tc>
        <w:tc>
          <w:tcPr>
            <w:tcW w:w="1350" w:type="dxa"/>
          </w:tcPr>
          <w:p w14:paraId="15C45944"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r w:rsidRPr="00414A56">
              <w:rPr>
                <w:spacing w:val="-10"/>
              </w:rPr>
              <w:t>–</w:t>
            </w:r>
          </w:p>
        </w:tc>
      </w:tr>
      <w:tr w:rsidR="004F4997" w:rsidRPr="000B3AAA" w14:paraId="03056542" w14:textId="77777777" w:rsidTr="00A26BF3">
        <w:trPr>
          <w:trHeight w:val="474"/>
        </w:trPr>
        <w:tc>
          <w:tcPr>
            <w:cnfStyle w:val="001000000000" w:firstRow="0" w:lastRow="0" w:firstColumn="1" w:lastColumn="0" w:oddVBand="0" w:evenVBand="0" w:oddHBand="0" w:evenHBand="0" w:firstRowFirstColumn="0" w:firstRowLastColumn="0" w:lastRowFirstColumn="0" w:lastRowLastColumn="0"/>
            <w:tcW w:w="1481" w:type="dxa"/>
            <w:vMerge w:val="restart"/>
          </w:tcPr>
          <w:p w14:paraId="4E998EAC" w14:textId="77777777" w:rsidR="0057606F" w:rsidRPr="000B3AAA" w:rsidRDefault="0057606F" w:rsidP="00A26BF3">
            <w:r w:rsidRPr="000B3AAA">
              <w:rPr>
                <w:spacing w:val="-2"/>
              </w:rPr>
              <w:t>Missing</w:t>
            </w:r>
            <w:r w:rsidRPr="000B3AAA">
              <w:t xml:space="preserve"> </w:t>
            </w:r>
            <w:r w:rsidRPr="000B3AAA">
              <w:rPr>
                <w:spacing w:val="-2"/>
              </w:rPr>
              <w:t>information</w:t>
            </w:r>
          </w:p>
        </w:tc>
        <w:tc>
          <w:tcPr>
            <w:tcW w:w="2625" w:type="dxa"/>
          </w:tcPr>
          <w:p w14:paraId="74033BB7" w14:textId="77777777" w:rsidR="0057606F" w:rsidRPr="000B3AAA" w:rsidRDefault="0057606F" w:rsidP="00A26BF3">
            <w:pPr>
              <w:cnfStyle w:val="000000000000" w:firstRow="0" w:lastRow="0" w:firstColumn="0" w:lastColumn="0" w:oddVBand="0" w:evenVBand="0" w:oddHBand="0" w:evenHBand="0" w:firstRowFirstColumn="0" w:firstRowLastColumn="0" w:lastRowFirstColumn="0" w:lastRowLastColumn="0"/>
            </w:pPr>
            <w:r w:rsidRPr="000B3AAA">
              <w:t>Use</w:t>
            </w:r>
            <w:r w:rsidRPr="000B3AAA">
              <w:rPr>
                <w:spacing w:val="-5"/>
              </w:rPr>
              <w:t xml:space="preserve"> </w:t>
            </w:r>
            <w:r w:rsidRPr="000B3AAA">
              <w:t>in</w:t>
            </w:r>
            <w:r w:rsidRPr="000B3AAA">
              <w:rPr>
                <w:spacing w:val="-7"/>
              </w:rPr>
              <w:t xml:space="preserve"> </w:t>
            </w:r>
            <w:r w:rsidRPr="000B3AAA">
              <w:t>pregnant</w:t>
            </w:r>
            <w:r w:rsidRPr="000B3AAA">
              <w:rPr>
                <w:spacing w:val="-5"/>
              </w:rPr>
              <w:t xml:space="preserve"> </w:t>
            </w:r>
            <w:r w:rsidRPr="000B3AAA">
              <w:rPr>
                <w:spacing w:val="-2"/>
              </w:rPr>
              <w:t>patients</w:t>
            </w:r>
          </w:p>
        </w:tc>
        <w:tc>
          <w:tcPr>
            <w:tcW w:w="1134" w:type="dxa"/>
          </w:tcPr>
          <w:p w14:paraId="3B16D683"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tc>
        <w:tc>
          <w:tcPr>
            <w:tcW w:w="1371" w:type="dxa"/>
          </w:tcPr>
          <w:p w14:paraId="76304351" w14:textId="6DD2AB26" w:rsidR="0057606F" w:rsidRPr="00414A56" w:rsidRDefault="00414A56" w:rsidP="00A26BF3">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spacing w:val="-5"/>
              </w:rPr>
              <w:t>P</w:t>
            </w:r>
            <w:r w:rsidR="0057606F" w:rsidRPr="00414A56">
              <w:rPr>
                <w:spacing w:val="-5"/>
              </w:rPr>
              <w:t>§</w:t>
            </w:r>
          </w:p>
        </w:tc>
        <w:tc>
          <w:tcPr>
            <w:tcW w:w="990" w:type="dxa"/>
          </w:tcPr>
          <w:p w14:paraId="34937190" w14:textId="4F6D7F0E" w:rsidR="0057606F" w:rsidRPr="00414A56" w:rsidRDefault="00177719" w:rsidP="00A26BF3">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P</w:t>
            </w:r>
          </w:p>
        </w:tc>
        <w:tc>
          <w:tcPr>
            <w:tcW w:w="1350" w:type="dxa"/>
          </w:tcPr>
          <w:p w14:paraId="177873F6"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r w:rsidRPr="00414A56">
              <w:rPr>
                <w:spacing w:val="-10"/>
              </w:rPr>
              <w:t>–</w:t>
            </w:r>
          </w:p>
        </w:tc>
      </w:tr>
      <w:tr w:rsidR="004F4997" w:rsidRPr="000B3AAA" w14:paraId="4B6E749E" w14:textId="77777777" w:rsidTr="00A26BF3">
        <w:trPr>
          <w:trHeight w:val="476"/>
        </w:trPr>
        <w:tc>
          <w:tcPr>
            <w:cnfStyle w:val="001000000000" w:firstRow="0" w:lastRow="0" w:firstColumn="1" w:lastColumn="0" w:oddVBand="0" w:evenVBand="0" w:oddHBand="0" w:evenHBand="0" w:firstRowFirstColumn="0" w:firstRowLastColumn="0" w:lastRowFirstColumn="0" w:lastRowLastColumn="0"/>
            <w:tcW w:w="1481" w:type="dxa"/>
            <w:vMerge/>
          </w:tcPr>
          <w:p w14:paraId="010A53FF" w14:textId="77777777" w:rsidR="0057606F" w:rsidRPr="000B3AAA" w:rsidRDefault="0057606F" w:rsidP="00A26BF3">
            <w:pPr>
              <w:rPr>
                <w:szCs w:val="22"/>
              </w:rPr>
            </w:pPr>
          </w:p>
        </w:tc>
        <w:tc>
          <w:tcPr>
            <w:tcW w:w="2625" w:type="dxa"/>
          </w:tcPr>
          <w:p w14:paraId="044507E7" w14:textId="77777777" w:rsidR="0057606F" w:rsidRPr="000B3AAA" w:rsidRDefault="0057606F" w:rsidP="00A26BF3">
            <w:pPr>
              <w:cnfStyle w:val="000000000000" w:firstRow="0" w:lastRow="0" w:firstColumn="0" w:lastColumn="0" w:oddVBand="0" w:evenVBand="0" w:oddHBand="0" w:evenHBand="0" w:firstRowFirstColumn="0" w:firstRowLastColumn="0" w:lastRowFirstColumn="0" w:lastRowLastColumn="0"/>
            </w:pPr>
            <w:r w:rsidRPr="000B3AAA">
              <w:t>Long-term</w:t>
            </w:r>
            <w:r w:rsidRPr="000B3AAA">
              <w:rPr>
                <w:spacing w:val="-8"/>
              </w:rPr>
              <w:t xml:space="preserve"> </w:t>
            </w:r>
            <w:r w:rsidRPr="000B3AAA">
              <w:t>safety</w:t>
            </w:r>
            <w:r w:rsidRPr="000B3AAA">
              <w:rPr>
                <w:spacing w:val="-7"/>
              </w:rPr>
              <w:t xml:space="preserve"> </w:t>
            </w:r>
            <w:r w:rsidRPr="000B3AAA">
              <w:t>(&gt;2</w:t>
            </w:r>
            <w:r w:rsidRPr="000B3AAA">
              <w:rPr>
                <w:spacing w:val="-7"/>
              </w:rPr>
              <w:t xml:space="preserve"> </w:t>
            </w:r>
            <w:r w:rsidRPr="000B3AAA">
              <w:rPr>
                <w:spacing w:val="-2"/>
              </w:rPr>
              <w:t>years)</w:t>
            </w:r>
          </w:p>
        </w:tc>
        <w:tc>
          <w:tcPr>
            <w:tcW w:w="1134" w:type="dxa"/>
          </w:tcPr>
          <w:p w14:paraId="674CDE1C"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p>
        </w:tc>
        <w:tc>
          <w:tcPr>
            <w:tcW w:w="1371" w:type="dxa"/>
          </w:tcPr>
          <w:p w14:paraId="0AF1C3E7" w14:textId="091E6343" w:rsidR="0057606F" w:rsidRPr="00414A56" w:rsidRDefault="00414A56" w:rsidP="00A26BF3">
            <w:pPr>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spacing w:val="-5"/>
              </w:rPr>
              <w:t>P</w:t>
            </w:r>
            <w:r w:rsidR="0057606F" w:rsidRPr="00414A56">
              <w:rPr>
                <w:spacing w:val="-5"/>
              </w:rPr>
              <w:t>*§</w:t>
            </w:r>
          </w:p>
        </w:tc>
        <w:tc>
          <w:tcPr>
            <w:tcW w:w="990" w:type="dxa"/>
          </w:tcPr>
          <w:p w14:paraId="77F537E7" w14:textId="1A7A0B77" w:rsidR="0057606F" w:rsidRPr="00414A56" w:rsidRDefault="00177719" w:rsidP="00A26BF3">
            <w:pPr>
              <w:cnfStyle w:val="000000000000" w:firstRow="0" w:lastRow="0" w:firstColumn="0" w:lastColumn="0" w:oddVBand="0" w:evenVBand="0" w:oddHBand="0" w:evenHBand="0" w:firstRowFirstColumn="0" w:firstRowLastColumn="0" w:lastRowFirstColumn="0" w:lastRowLastColumn="0"/>
            </w:pPr>
            <w:r>
              <w:rPr>
                <w:spacing w:val="-10"/>
              </w:rPr>
              <w:t>-</w:t>
            </w:r>
          </w:p>
        </w:tc>
        <w:tc>
          <w:tcPr>
            <w:tcW w:w="1350" w:type="dxa"/>
          </w:tcPr>
          <w:p w14:paraId="156E8199" w14:textId="77777777" w:rsidR="0057606F" w:rsidRPr="00414A56" w:rsidRDefault="0057606F" w:rsidP="00A26BF3">
            <w:pPr>
              <w:cnfStyle w:val="000000000000" w:firstRow="0" w:lastRow="0" w:firstColumn="0" w:lastColumn="0" w:oddVBand="0" w:evenVBand="0" w:oddHBand="0" w:evenHBand="0" w:firstRowFirstColumn="0" w:firstRowLastColumn="0" w:lastRowFirstColumn="0" w:lastRowLastColumn="0"/>
            </w:pPr>
            <w:r w:rsidRPr="00414A56">
              <w:rPr>
                <w:spacing w:val="-10"/>
              </w:rPr>
              <w:t>–</w:t>
            </w:r>
          </w:p>
        </w:tc>
      </w:tr>
    </w:tbl>
    <w:p w14:paraId="27771356" w14:textId="77777777" w:rsidR="0000471E" w:rsidRDefault="0000471E" w:rsidP="0000471E">
      <w:pPr>
        <w:pStyle w:val="TableDescription"/>
        <w:spacing w:after="0"/>
        <w:contextualSpacing/>
      </w:pPr>
      <w:r>
        <w:t>* Study CLNP023C12001 B</w:t>
      </w:r>
    </w:p>
    <w:p w14:paraId="1E2DA189" w14:textId="77777777" w:rsidR="0000471E" w:rsidRDefault="0000471E" w:rsidP="0000471E">
      <w:pPr>
        <w:pStyle w:val="TableDescription"/>
        <w:spacing w:after="0"/>
        <w:contextualSpacing/>
      </w:pPr>
      <w:r>
        <w:t>§ PASS in Iptacopan-treated patients using registry data</w:t>
      </w:r>
    </w:p>
    <w:p w14:paraId="579ACFB2" w14:textId="77777777" w:rsidR="0000471E" w:rsidRDefault="0000471E" w:rsidP="0000471E">
      <w:pPr>
        <w:pStyle w:val="TableDescription"/>
        <w:spacing w:after="0"/>
        <w:contextualSpacing/>
      </w:pPr>
      <w:r>
        <w:t>‡ HCP guide, Patient/caregiver guide</w:t>
      </w:r>
    </w:p>
    <w:p w14:paraId="1611841A" w14:textId="691ED214" w:rsidR="00414A56" w:rsidRDefault="0000471E" w:rsidP="0000471E">
      <w:pPr>
        <w:pStyle w:val="TableDescription"/>
        <w:spacing w:after="0"/>
        <w:contextualSpacing/>
      </w:pPr>
      <w:r>
        <w:t>† Patient Safety card, System for controlled access; annual reminder of mandatory vaccinations</w:t>
      </w:r>
    </w:p>
    <w:p w14:paraId="5121FDC2" w14:textId="77777777" w:rsidR="0000471E" w:rsidRDefault="0000471E" w:rsidP="0000471E">
      <w:pPr>
        <w:pStyle w:val="TableDescription"/>
        <w:spacing w:after="0"/>
        <w:contextualSpacing/>
      </w:pPr>
    </w:p>
    <w:p w14:paraId="67D14F8F" w14:textId="5E368E67" w:rsidR="00971D96" w:rsidRDefault="00971D96" w:rsidP="00971D96">
      <w:r>
        <w:t xml:space="preserve">The clinical </w:t>
      </w:r>
      <w:r w:rsidR="003105E1">
        <w:t>Evaluator</w:t>
      </w:r>
      <w:r>
        <w:t xml:space="preserve"> did not identify any new safety concerns. Malignancy has been added as an Important Potential Risk in EU-RMP and ASA (both version 1.1). The summary of safety concerns in the ASA aligns with the EU-RMP and is satisfactory.</w:t>
      </w:r>
    </w:p>
    <w:p w14:paraId="63E61D2E" w14:textId="0446E392" w:rsidR="00971D96" w:rsidRDefault="00971D96" w:rsidP="00971D96">
      <w:r>
        <w:t>Routine and additional pharmacovigilance activities are proposed. Additional pharmacovigilance activities include ongoing Study CLNP023C12001B and a planned PASS which will utilise data from the international PNH registry. The pharmacovigilance plan in the ASA aligns with the EU-RMP and is acceptable.</w:t>
      </w:r>
    </w:p>
    <w:p w14:paraId="32DF03D0" w14:textId="2E94FB1B" w:rsidR="00126D5E" w:rsidRDefault="00971D96" w:rsidP="00971D96">
      <w:r>
        <w:t xml:space="preserve">Routine and additional risk minimisation activities are proposed. Additional risk minimisation activities include a Health Care Practitioner Guide, a Patient/Carer Guide and a Patient safety card. In addition to these measures, there will also be a system for controlled access and an annual reminder to physicians or pharmacists of mandatory revaccinations as additional risk minimisation activities to mitigate the Important Identified Risk “Infections caused by encapsulated bacteria”. This is </w:t>
      </w:r>
      <w:proofErr w:type="gramStart"/>
      <w:r>
        <w:t>similar to</w:t>
      </w:r>
      <w:proofErr w:type="gramEnd"/>
      <w:r>
        <w:t xml:space="preserve"> other products with the same safety risk.</w:t>
      </w:r>
    </w:p>
    <w:p w14:paraId="5113A452" w14:textId="1578A88D" w:rsidR="00E76D12" w:rsidRDefault="000F3D40" w:rsidP="00414A56">
      <w:pPr>
        <w:pStyle w:val="Heading3"/>
      </w:pPr>
      <w:bookmarkStart w:id="46" w:name="_Toc204181049"/>
      <w:r w:rsidRPr="000F3D40">
        <w:t>Risk-benefit analysis</w:t>
      </w:r>
      <w:bookmarkEnd w:id="46"/>
    </w:p>
    <w:p w14:paraId="7993B740" w14:textId="77777777" w:rsidR="00E76D12" w:rsidRDefault="00E76D12" w:rsidP="00E76D12">
      <w:r>
        <w:t>PNH is a rare and life-threatening chronic disease. Iptacopan presents an opportunity for oral treatment for patients who will need to be on life-long therapy. This represents a substantial benefit in terms of quality of life.</w:t>
      </w:r>
    </w:p>
    <w:p w14:paraId="582085E8" w14:textId="77777777" w:rsidR="00E76D12" w:rsidRDefault="00E76D12" w:rsidP="00414A56">
      <w:pPr>
        <w:pStyle w:val="Heading4"/>
      </w:pPr>
      <w:bookmarkStart w:id="47" w:name="_Toc204181050"/>
      <w:r>
        <w:t>Efficacy</w:t>
      </w:r>
      <w:bookmarkEnd w:id="47"/>
    </w:p>
    <w:p w14:paraId="2FB232CD" w14:textId="77D70FA7" w:rsidR="00E76D12" w:rsidRDefault="00E76D12" w:rsidP="00E76D12">
      <w:r>
        <w:t>The efficacy of iptacopan has been demonstrated in the pivotal study, APPLY-PNH, and the supportive study APPOINT-PNH. APPLY-PNH is a well designed randomised controlled trial comparing iptacopan to the currently registered anti-C5 inhibitors eculizumab or ravulizumab. Efficacy has been demonstrated at 24 weeks, in terms of increases in Hb and transfusion avoidance, with 82% of the iptacopan group having a ≥ 2g/dL increase in Hb from baseline (without RBC transfusions) compared to 0% in the anti-C5 group. Transfusion avoidance</w:t>
      </w:r>
      <w:r w:rsidR="00680118">
        <w:t xml:space="preserve"> </w:t>
      </w:r>
      <w:r>
        <w:t>occurred in 95% of the iptacopan group compared to 46% of anti-C5 treated subjects. This study enrolled patients with residual anaemia despite treatment with an anti-C5 antibody and therefore, there is robust comparative evidence of efficacy in this patient group.</w:t>
      </w:r>
    </w:p>
    <w:p w14:paraId="6253BD82" w14:textId="00B86CF8" w:rsidR="00E76D12" w:rsidRDefault="00E76D12" w:rsidP="00E76D12">
      <w:r>
        <w:lastRenderedPageBreak/>
        <w:t xml:space="preserve">APPOINT-PNH was a single arm study in patients with PNH and anaemia in patients who had not previously received a complement inhibitor. 77.5% of patients achieved a sustained increase in Hb of ≥ 2g/dL from baseline without RBC transfusions. Although this was a single arm study, it is unlikely than an effect of this magnitude would occur spontaneously. The </w:t>
      </w:r>
      <w:r w:rsidR="003105E1">
        <w:t>Delegate</w:t>
      </w:r>
      <w:r>
        <w:t xml:space="preserve"> is therefore of the view that in the context of this rare disease, this is sufficient evidence to support the use of iptacopan in patients who have not previously received a C5 inhibitor.</w:t>
      </w:r>
    </w:p>
    <w:p w14:paraId="4FB115F0" w14:textId="77777777" w:rsidR="00E76D12" w:rsidRDefault="00E76D12" w:rsidP="00680118">
      <w:pPr>
        <w:pStyle w:val="Heading5"/>
      </w:pPr>
      <w:r>
        <w:t>Proposed indication</w:t>
      </w:r>
    </w:p>
    <w:p w14:paraId="57A36C68" w14:textId="59183610" w:rsidR="00E76D12" w:rsidRDefault="00E76D12" w:rsidP="00E76D12">
      <w:r>
        <w:t xml:space="preserve">The clinical </w:t>
      </w:r>
      <w:r w:rsidR="003105E1">
        <w:t>Evaluator</w:t>
      </w:r>
      <w:r>
        <w:t xml:space="preserve"> recommended restricting the indication to patients who have received an anti-C5 antibody. However, the </w:t>
      </w:r>
      <w:r w:rsidR="003105E1">
        <w:t>Delegate</w:t>
      </w:r>
      <w:r>
        <w:t xml:space="preserve"> is of the view that the indication should not be restricted. Although the evidence for iptacopan in anti-C5 naïve patients is limited to the single arm study APPOINT-PNH, it is reasonably likely that the magnitude of benefit seen in this study can be attributed to iptacopan. Given the rarity of PNH, the feasibility of another randomised controlled trial is uncertain. Iptacopan will only be prescribed by experienced clinicians in Australia, and an unrestricted indication will allow clinicians to choose the best treatment option for each individual patient. Although there is more uncertainty in the C5-inhibitor naïve population, there are clear benefits of having an oral treatment available, plus the benefits demonstrated in the APPOINT-PNH which are reasonably likely to be due to iptacopan. The </w:t>
      </w:r>
      <w:r w:rsidR="003105E1">
        <w:t>Delegate</w:t>
      </w:r>
      <w:r>
        <w:t xml:space="preserve"> is of the view that the risk-benefit balance is favourable in both C5-naïve and C5- experienced patients. Expert advice is requested on the optimal indication for Australia.</w:t>
      </w:r>
    </w:p>
    <w:p w14:paraId="37F03992" w14:textId="77777777" w:rsidR="00E76D12" w:rsidRDefault="00E76D12" w:rsidP="00680118">
      <w:pPr>
        <w:pStyle w:val="Heading4"/>
      </w:pPr>
      <w:bookmarkStart w:id="48" w:name="_Toc204181051"/>
      <w:r>
        <w:t>Safety</w:t>
      </w:r>
      <w:bookmarkEnd w:id="48"/>
    </w:p>
    <w:p w14:paraId="15DD6E88" w14:textId="2708684D" w:rsidR="00E76D12" w:rsidRDefault="00E76D12" w:rsidP="00E76D12">
      <w:r>
        <w:t>In general, the risks of ip</w:t>
      </w:r>
      <w:r w:rsidR="00680118">
        <w:t>ta</w:t>
      </w:r>
      <w:r>
        <w:t xml:space="preserve">copan were </w:t>
      </w:r>
      <w:proofErr w:type="gramStart"/>
      <w:r>
        <w:t>similar to</w:t>
      </w:r>
      <w:proofErr w:type="gramEnd"/>
      <w:r>
        <w:t xml:space="preserve"> other complement inhibitors used in PNH.</w:t>
      </w:r>
    </w:p>
    <w:p w14:paraId="6AE61EBC" w14:textId="77777777" w:rsidR="00E76D12" w:rsidRDefault="00E76D12" w:rsidP="00E76D12">
      <w:r>
        <w:t xml:space="preserve">Common AEs associated with iptacopan seen it the trials were headache, nasopharyngitis, diarrhoea, abdominal pain, infection, and nausea. The risk of serious infections, particularly with encapsulated bacteria, is an important AESI which occurred in the trials. The PI must contain a box warning with vaccination information </w:t>
      </w:r>
      <w:proofErr w:type="gramStart"/>
      <w:r>
        <w:t>in order for</w:t>
      </w:r>
      <w:proofErr w:type="gramEnd"/>
      <w:r>
        <w:t xml:space="preserve"> this risk to be appropriately mitigated. This would bring iptacopan into line with other complement inhibitors registered in Australia, which all have box warnings for this risk. Dyslipidaemia was another AESI emerging from the trials, and further details in the PI have been requested.</w:t>
      </w:r>
    </w:p>
    <w:p w14:paraId="19360F81" w14:textId="65502E9E" w:rsidR="00E76D12" w:rsidRDefault="00E76D12" w:rsidP="00E76D12">
      <w:r>
        <w:t xml:space="preserve">The Risk Management Plan for iptacopan includes a patient card, and patient/carer guide and a health practitioner guide. The </w:t>
      </w:r>
      <w:r w:rsidR="003105E1">
        <w:t>Sponsor</w:t>
      </w:r>
      <w:r>
        <w:t xml:space="preserve"> is also planning a system for controlled access and an annual reminder to clinicians regarding mandatory vaccinations. These are important risk mitigation measures that would be enhanced by a box warning. A box warning is essential communication to GPs, emergency physicians and other primary care health practitioners that may see a patient who presents with infection. These clinicians would not have received the health practitioner guide or be included in the vaccination reminders; therefore, the PI is an essential means of communication for these practitioners, who require this vital information if seeing the patient in a primary care or </w:t>
      </w:r>
      <w:proofErr w:type="gramStart"/>
      <w:r>
        <w:t>emergency situation</w:t>
      </w:r>
      <w:proofErr w:type="gramEnd"/>
      <w:r>
        <w:t>.</w:t>
      </w:r>
    </w:p>
    <w:p w14:paraId="49FD8F6B" w14:textId="77777777" w:rsidR="00E76D12" w:rsidRDefault="00E76D12" w:rsidP="00E76D12">
      <w:r>
        <w:t>The risk of haemolysis when stopping treatment or switching to another treatment is mitigated by appropriate information in the PI including monitoring for PNH manifestations after discontinuation of iptacopan.</w:t>
      </w:r>
    </w:p>
    <w:p w14:paraId="1F73E79F" w14:textId="77777777" w:rsidR="00E76D12" w:rsidRDefault="00E76D12" w:rsidP="00E76D12">
      <w:r>
        <w:t xml:space="preserve">The </w:t>
      </w:r>
      <w:proofErr w:type="gramStart"/>
      <w:r>
        <w:t>long term</w:t>
      </w:r>
      <w:proofErr w:type="gramEnd"/>
      <w:r>
        <w:t xml:space="preserve"> safety of iptacopan is an important consideration, as patients may be on treatment for their lifetime. The proposed conditions of registration will provide longer term safety data to further characterise the risks of iptacopan.</w:t>
      </w:r>
    </w:p>
    <w:p w14:paraId="011592A5" w14:textId="16FAF630" w:rsidR="00E76D12" w:rsidRDefault="00E76D12" w:rsidP="00680118">
      <w:pPr>
        <w:pStyle w:val="Heading5"/>
      </w:pPr>
      <w:r>
        <w:lastRenderedPageBreak/>
        <w:t>Study X2201: Combination treatment with iptacopan and anti-C5 antibody</w:t>
      </w:r>
    </w:p>
    <w:p w14:paraId="33A7789E" w14:textId="77777777" w:rsidR="00E76D12" w:rsidRDefault="00E76D12" w:rsidP="00E76D12">
      <w:r>
        <w:t xml:space="preserve">Study X2201 was a small phase II study of 16 patients treated with both iptacopan and an anti- C5 antibody. There were 3 deaths in this study, two of which involved sepsis. Although causality is difficult to determine, </w:t>
      </w:r>
      <w:proofErr w:type="gramStart"/>
      <w:r>
        <w:t>this raises</w:t>
      </w:r>
      <w:proofErr w:type="gramEnd"/>
      <w:r>
        <w:t xml:space="preserve"> concerns that the safety of combination treatment is unacceptable. Furthermore, there is very little evidence of efficacy for combination treatment. Expert advice is requested on whether a contraindication or specific wording should be added to the PI advising against the use of Iptacopan with anti-C5 antibodies.</w:t>
      </w:r>
    </w:p>
    <w:p w14:paraId="1BB6F8A4" w14:textId="1D0DA0CC" w:rsidR="00E76D12" w:rsidRDefault="00E76D12" w:rsidP="00680118">
      <w:pPr>
        <w:pStyle w:val="Heading5"/>
      </w:pPr>
      <w:r>
        <w:t>Conditions of registration</w:t>
      </w:r>
    </w:p>
    <w:p w14:paraId="556D681F" w14:textId="1C18C8EE" w:rsidR="00E76D12" w:rsidRDefault="00E76D12" w:rsidP="00E76D12">
      <w:r>
        <w:t xml:space="preserve">The FDA have imposed the following post-market requirements, and the </w:t>
      </w:r>
      <w:r w:rsidR="003105E1">
        <w:t>Delegate</w:t>
      </w:r>
      <w:r>
        <w:t xml:space="preserve"> intends to impose similar conditions of registration in Australia:</w:t>
      </w:r>
    </w:p>
    <w:p w14:paraId="61403E1C" w14:textId="7057C9C1" w:rsidR="00E76D12" w:rsidRDefault="00E76D12" w:rsidP="000F3D40">
      <w:pPr>
        <w:pStyle w:val="ListBullet"/>
      </w:pPr>
      <w:r>
        <w:t>Participate in a registry to characterize the long-term safety of iptacopan in adults with paroxysmal nocturnal hemoglobinuria, with up to 5 years of follow-up. Submit yearly safety follow-up data and a summary of the major safety findings for all patients and all serious infections with encapsulated bacteria. The final study report should include an integrated safety dataset and patient-level data, including data on iptacopan dosing, meningococcal, pneumococcal, and H. influenza vaccination status, and concomitant medications. Draft Protocol: 04/2024 Final Protocol: 08/2024 Interim Report #1: 12/2025 Interim Report #2: 12/2026 Interim Report #3: 12/2027 Interim Report #4: 12/2028</w:t>
      </w:r>
    </w:p>
    <w:p w14:paraId="789B91A2" w14:textId="77777777" w:rsidR="00E76D12" w:rsidRDefault="00E76D12" w:rsidP="000F3D40">
      <w:pPr>
        <w:pStyle w:val="ListBullet"/>
        <w:numPr>
          <w:ilvl w:val="0"/>
          <w:numId w:val="0"/>
        </w:numPr>
        <w:ind w:left="360"/>
      </w:pPr>
      <w:r>
        <w:t>Final Report Submission: 7/2030</w:t>
      </w:r>
    </w:p>
    <w:p w14:paraId="3AA356DA" w14:textId="5FA1BE2C" w:rsidR="00E76D12" w:rsidRDefault="00E76D12" w:rsidP="000F3D40">
      <w:pPr>
        <w:pStyle w:val="ListBullet"/>
      </w:pPr>
      <w:r>
        <w:t xml:space="preserve">Complete study APPLY-PNH (CLNP023C12302): “A randomized, multicenter, active comparator controlled, open-label trial to evaluate efficacy and safety of oral, twice daily LNP023 in adult patients with PNH and residual </w:t>
      </w:r>
      <w:r w:rsidR="006402C8">
        <w:t>anaemia</w:t>
      </w:r>
      <w:r>
        <w:t>, despite treatment with an intravenous anti-C5 antibody”. Include an updated summary of safety and efficacy analyses and datasets at the time of final clinical study report submission.</w:t>
      </w:r>
    </w:p>
    <w:p w14:paraId="2747BC85" w14:textId="77777777" w:rsidR="00E76D12" w:rsidRDefault="00E76D12" w:rsidP="000F3D40">
      <w:pPr>
        <w:pStyle w:val="ListBullet"/>
        <w:numPr>
          <w:ilvl w:val="0"/>
          <w:numId w:val="0"/>
        </w:numPr>
        <w:ind w:left="360"/>
      </w:pPr>
      <w:r>
        <w:t>Final Report Submission: 7/2024</w:t>
      </w:r>
    </w:p>
    <w:p w14:paraId="6265CFBF" w14:textId="21E7330B" w:rsidR="00E76D12" w:rsidRDefault="00E76D12" w:rsidP="000F3D40">
      <w:pPr>
        <w:pStyle w:val="ListBullet"/>
      </w:pPr>
      <w:r>
        <w:t>Complete study APPOINT-PNH (CLNP023C12301): “A multicenter, single-arm, open- label trial to evaluate efficacy and safety of oral, twice daily iptacopan in adult PNH patients who are naive to complement inhibitor therapy.” Include an updated summary of safety and efficacy analyses and datasets at the time of final clinical study report submission.</w:t>
      </w:r>
    </w:p>
    <w:p w14:paraId="76DFCD91" w14:textId="77777777" w:rsidR="00E76D12" w:rsidRDefault="00E76D12" w:rsidP="000F3D40">
      <w:pPr>
        <w:pStyle w:val="ListBullet"/>
        <w:numPr>
          <w:ilvl w:val="0"/>
          <w:numId w:val="0"/>
        </w:numPr>
        <w:ind w:left="360"/>
      </w:pPr>
      <w:r>
        <w:t>Final Report Submission: 7/2024</w:t>
      </w:r>
    </w:p>
    <w:p w14:paraId="1F45A9D6" w14:textId="41698285" w:rsidR="00E76D12" w:rsidRDefault="00E76D12" w:rsidP="000F3D40">
      <w:pPr>
        <w:pStyle w:val="ListBullet"/>
      </w:pPr>
      <w:r>
        <w:t>Complete study CLNP023C12001B PNH REP: “An open label, multicenter roll-over extension program to characterize the long-term safety and tolerability of iptacopan in patients with paroxysmal nocturnal hemoglobinuria (PNH) who have completed PNH phase 2 and phase 3 studies with iptacopan.” Include an updated summary of safety and efficacy analyses and datasets at the time of final clinical study report submission.</w:t>
      </w:r>
    </w:p>
    <w:p w14:paraId="4E9132D6" w14:textId="77777777" w:rsidR="00E76D12" w:rsidRDefault="00E76D12" w:rsidP="000F3D40">
      <w:pPr>
        <w:pStyle w:val="ListBullet"/>
        <w:numPr>
          <w:ilvl w:val="0"/>
          <w:numId w:val="0"/>
        </w:numPr>
        <w:ind w:left="360"/>
      </w:pPr>
      <w:r>
        <w:t>Final Report Submission: 5/2029</w:t>
      </w:r>
    </w:p>
    <w:p w14:paraId="69DA4FFF" w14:textId="6C20BFE1" w:rsidR="00E76D12" w:rsidRDefault="00E76D12" w:rsidP="00E76D12">
      <w:r>
        <w:t xml:space="preserve">Overall, provided the </w:t>
      </w:r>
      <w:r w:rsidR="003105E1">
        <w:t>Sponsor</w:t>
      </w:r>
      <w:r>
        <w:t xml:space="preserve"> agrees to the requested PI changes and box warning, the </w:t>
      </w:r>
      <w:r w:rsidR="003105E1">
        <w:t>Delegate</w:t>
      </w:r>
      <w:r>
        <w:t xml:space="preserve"> is of the view that the risk benefit balance of iptacopan in the proposed indication is favourable. The </w:t>
      </w:r>
      <w:r w:rsidR="003105E1">
        <w:t>Delegate</w:t>
      </w:r>
      <w:r>
        <w:t xml:space="preserve"> is requesting expert advice on the indication and PI/CMI to ensure the most appropriate wording for Australia.</w:t>
      </w:r>
    </w:p>
    <w:p w14:paraId="0D171812" w14:textId="77777777" w:rsidR="00C22214" w:rsidRDefault="00C22214" w:rsidP="00C22214">
      <w:pPr>
        <w:pStyle w:val="Heading4"/>
      </w:pPr>
      <w:bookmarkStart w:id="49" w:name="_Toc204181052"/>
      <w:bookmarkEnd w:id="36"/>
      <w:r>
        <w:t>Independent expert advice</w:t>
      </w:r>
      <w:bookmarkEnd w:id="49"/>
    </w:p>
    <w:p w14:paraId="4A031B64" w14:textId="42F4A31B" w:rsidR="00C22214" w:rsidRDefault="00C22214" w:rsidP="00C22214">
      <w:pPr>
        <w:rPr>
          <w:szCs w:val="22"/>
        </w:rPr>
      </w:pPr>
      <w:r w:rsidRPr="00BD5DBD">
        <w:rPr>
          <w:szCs w:val="22"/>
        </w:rPr>
        <w:t xml:space="preserve">The </w:t>
      </w:r>
      <w:r w:rsidR="003105E1">
        <w:rPr>
          <w:szCs w:val="22"/>
        </w:rPr>
        <w:t>Delegate</w:t>
      </w:r>
      <w:r w:rsidRPr="00BD5DBD">
        <w:rPr>
          <w:szCs w:val="22"/>
        </w:rPr>
        <w:t xml:space="preserve"> received the following independent expert advice.</w:t>
      </w:r>
    </w:p>
    <w:p w14:paraId="46761D15" w14:textId="2AA04428" w:rsidR="00535D49" w:rsidRPr="00535D49" w:rsidRDefault="006C6239" w:rsidP="00535D49">
      <w:pPr>
        <w:rPr>
          <w:szCs w:val="22"/>
        </w:rPr>
      </w:pPr>
      <w:r w:rsidRPr="006C6239">
        <w:rPr>
          <w:szCs w:val="22"/>
        </w:rPr>
        <w:lastRenderedPageBreak/>
        <w:t>19 July 2024:</w:t>
      </w:r>
      <w:r>
        <w:rPr>
          <w:szCs w:val="22"/>
        </w:rPr>
        <w:t xml:space="preserve"> wr</w:t>
      </w:r>
      <w:r w:rsidR="00535D49" w:rsidRPr="00535D49">
        <w:rPr>
          <w:szCs w:val="22"/>
        </w:rPr>
        <w:t>itten expert advice was requested from two independent Australian clinical experts in the field of haematology.</w:t>
      </w:r>
    </w:p>
    <w:p w14:paraId="3C46961B" w14:textId="3F52AB3A" w:rsidR="00535D49" w:rsidRPr="00535D49" w:rsidRDefault="00535D49" w:rsidP="00535D49">
      <w:pPr>
        <w:rPr>
          <w:szCs w:val="22"/>
        </w:rPr>
      </w:pPr>
      <w:r w:rsidRPr="00535D49">
        <w:rPr>
          <w:szCs w:val="22"/>
        </w:rPr>
        <w:t xml:space="preserve">The first expert provided the following responses to the </w:t>
      </w:r>
      <w:r w:rsidR="003105E1">
        <w:rPr>
          <w:szCs w:val="22"/>
        </w:rPr>
        <w:t>Delegate</w:t>
      </w:r>
      <w:r w:rsidRPr="00535D49">
        <w:rPr>
          <w:szCs w:val="22"/>
        </w:rPr>
        <w:t>’s questions:</w:t>
      </w:r>
    </w:p>
    <w:p w14:paraId="7AF95DBA" w14:textId="77777777" w:rsidR="00535D49" w:rsidRPr="00535D49" w:rsidRDefault="00535D49" w:rsidP="006C6239">
      <w:pPr>
        <w:pStyle w:val="DelegatesQuestions"/>
      </w:pPr>
      <w:r w:rsidRPr="00535D49">
        <w:t>Uncertainty in anti-C5 antibody naïve patients</w:t>
      </w:r>
    </w:p>
    <w:p w14:paraId="4B8D9331" w14:textId="7644E83E" w:rsidR="00535D49" w:rsidRPr="00535D49" w:rsidRDefault="0B0BF107" w:rsidP="217C41E6">
      <w:r>
        <w:t>The evidence presented in the C5</w:t>
      </w:r>
      <w:r w:rsidR="752B1F1A">
        <w:t xml:space="preserve"> </w:t>
      </w:r>
      <w:r>
        <w:t xml:space="preserve">antibody naïve patients relies on the small, single arm, open label APPOINT-PNH clinical trial. There is no randomised controlled comparison to standard of care – the anti-C5 monoclonal antibody therapy. However, the data suggests that the response to iptacopan is clinically significant and that this is of the same magnitude that has been seen in prior clinical trials of anti-C5 monoclonal antibody therapy when used in treatment naïve patients. I would agree with the </w:t>
      </w:r>
      <w:r w:rsidR="003105E1">
        <w:t>Delegate</w:t>
      </w:r>
      <w:r>
        <w:t xml:space="preserve"> that the evidence would support an unrestricted indication and allow treatment of PNH by iptacopan in the treatment naïve context.</w:t>
      </w:r>
    </w:p>
    <w:p w14:paraId="1154AAED" w14:textId="77777777" w:rsidR="00535D49" w:rsidRDefault="00535D49" w:rsidP="00535D49">
      <w:pPr>
        <w:rPr>
          <w:szCs w:val="22"/>
        </w:rPr>
      </w:pPr>
      <w:r w:rsidRPr="00535D49">
        <w:rPr>
          <w:szCs w:val="22"/>
        </w:rPr>
        <w:t>Preferred wording for an unrestricted listing would be: Iptacopan is approved to treat adult patients with paroxysmal nocturnal haemoglobinuria (PNH).</w:t>
      </w:r>
    </w:p>
    <w:p w14:paraId="176A66F7" w14:textId="77777777" w:rsidR="00535D49" w:rsidRPr="00535D49" w:rsidRDefault="00535D49" w:rsidP="001E2F32">
      <w:pPr>
        <w:pStyle w:val="DelegatesQuestions"/>
      </w:pPr>
      <w:r w:rsidRPr="00535D49">
        <w:t>Format of safety data in the PI</w:t>
      </w:r>
    </w:p>
    <w:p w14:paraId="67FCC85A" w14:textId="358E39D2" w:rsidR="00535D49" w:rsidRPr="00535D49" w:rsidRDefault="00535D49" w:rsidP="00535D49">
      <w:pPr>
        <w:rPr>
          <w:szCs w:val="22"/>
        </w:rPr>
      </w:pPr>
      <w:r w:rsidRPr="00535D49">
        <w:rPr>
          <w:szCs w:val="22"/>
        </w:rPr>
        <w:t xml:space="preserve">The </w:t>
      </w:r>
      <w:r w:rsidR="003105E1">
        <w:rPr>
          <w:szCs w:val="22"/>
        </w:rPr>
        <w:t>Sponsor</w:t>
      </w:r>
      <w:r w:rsidRPr="00535D49">
        <w:rPr>
          <w:szCs w:val="22"/>
        </w:rPr>
        <w:t xml:space="preserve"> has proposed to include non-comparative pooled safety data in the PI. I agree with the </w:t>
      </w:r>
      <w:r w:rsidR="003105E1">
        <w:rPr>
          <w:szCs w:val="22"/>
        </w:rPr>
        <w:t>Delegate</w:t>
      </w:r>
      <w:r w:rsidRPr="00535D49">
        <w:rPr>
          <w:szCs w:val="22"/>
        </w:rPr>
        <w:t xml:space="preserve"> and </w:t>
      </w:r>
      <w:r w:rsidR="003105E1">
        <w:rPr>
          <w:szCs w:val="22"/>
        </w:rPr>
        <w:t>Evaluator</w:t>
      </w:r>
      <w:r w:rsidRPr="00535D49">
        <w:rPr>
          <w:szCs w:val="22"/>
        </w:rPr>
        <w:t xml:space="preserve">s that this is not appropriate as the clinical trials presented are in different patient populations with differences in study design. It is not appropriate due to the confounding differences seen. The </w:t>
      </w:r>
      <w:r w:rsidR="003105E1">
        <w:rPr>
          <w:szCs w:val="22"/>
        </w:rPr>
        <w:t>Delegate</w:t>
      </w:r>
      <w:r w:rsidRPr="00535D49">
        <w:rPr>
          <w:szCs w:val="22"/>
        </w:rPr>
        <w:t xml:space="preserve"> has requested the comparative safety data from the APPLY-PNH study with percentages of AEs which would be more consistent with the standard of safety data in a PI in Australia.</w:t>
      </w:r>
    </w:p>
    <w:p w14:paraId="5BFBE3E5" w14:textId="77777777" w:rsidR="00535D49" w:rsidRPr="00535D49" w:rsidRDefault="00535D49" w:rsidP="001E2F32">
      <w:pPr>
        <w:pStyle w:val="DelegatesQuestions"/>
      </w:pPr>
      <w:r w:rsidRPr="00535D49">
        <w:t>Box Warning</w:t>
      </w:r>
    </w:p>
    <w:p w14:paraId="6962A626" w14:textId="77777777" w:rsidR="00535D49" w:rsidRPr="00535D49" w:rsidRDefault="00535D49" w:rsidP="00535D49">
      <w:pPr>
        <w:rPr>
          <w:szCs w:val="22"/>
        </w:rPr>
      </w:pPr>
      <w:r w:rsidRPr="00535D49">
        <w:rPr>
          <w:szCs w:val="22"/>
        </w:rPr>
        <w:t>This is essential and should be the same as the anti-C5 monoclonal antibodies and C3 inhibitors, stipulating the need for vaccination and prophylactic antibiotics. I appreciate that the prescribers will likely be familiar with the risks of these pharmaceuticals due to the specialised nature of this disorder however other medical, nursing, and allied health staff are not, and pharmacists dispensing may also not be as familiar with the risks.</w:t>
      </w:r>
    </w:p>
    <w:p w14:paraId="22FE6D25" w14:textId="77777777" w:rsidR="00535D49" w:rsidRPr="00535D49" w:rsidRDefault="00535D49" w:rsidP="001E2F32">
      <w:pPr>
        <w:pStyle w:val="DelegatesQuestions"/>
      </w:pPr>
      <w:r w:rsidRPr="00535D49">
        <w:t>Combination iptacopan with other complement inhibitors</w:t>
      </w:r>
    </w:p>
    <w:p w14:paraId="21DCC4A3" w14:textId="15ADE0E9" w:rsidR="00535D49" w:rsidRDefault="00535D49" w:rsidP="00535D49">
      <w:pPr>
        <w:rPr>
          <w:szCs w:val="22"/>
        </w:rPr>
      </w:pPr>
      <w:r w:rsidRPr="00535D49">
        <w:rPr>
          <w:szCs w:val="22"/>
        </w:rPr>
        <w:t>The clinical data on combination therapy of iptacopan with eculizumab or ravulizumab is limited and there are clear safety concerns with 3 of 16 patients dying on clinical trial, which whilst not clearly related to the study drug do outweigh the clinical benefit seen. Additionally, there is no evidence of the combination of iptacopan with the C3 inhibitor pegcetacoplan. At this time, I would agree that the safety concerns outweigh any potential benefit of combination therapy with iptacopan and would recommend that the PI does contain a contraindication for use with other medicines for PNH.</w:t>
      </w:r>
    </w:p>
    <w:p w14:paraId="241263F7" w14:textId="10C3B0CA" w:rsidR="00412BDC" w:rsidRPr="00412BDC" w:rsidRDefault="00412BDC" w:rsidP="00412BDC">
      <w:pPr>
        <w:rPr>
          <w:szCs w:val="22"/>
        </w:rPr>
      </w:pPr>
      <w:r w:rsidRPr="00412BDC">
        <w:rPr>
          <w:szCs w:val="22"/>
        </w:rPr>
        <w:t>The second expert provided the following responses</w:t>
      </w:r>
    </w:p>
    <w:p w14:paraId="6E7ED620" w14:textId="77777777" w:rsidR="00412BDC" w:rsidRDefault="00412BDC" w:rsidP="00412BDC">
      <w:pPr>
        <w:pStyle w:val="DelegatesQuestions"/>
      </w:pPr>
      <w:r w:rsidRPr="00412BDC">
        <w:t>Please comment on your preferred wording for the indication of Iptacopan in Australia.</w:t>
      </w:r>
    </w:p>
    <w:p w14:paraId="7091B3E6" w14:textId="12E96D0F" w:rsidR="00412BDC" w:rsidRPr="00412BDC" w:rsidRDefault="00412BDC" w:rsidP="00412BDC">
      <w:pPr>
        <w:rPr>
          <w:szCs w:val="22"/>
        </w:rPr>
      </w:pPr>
      <w:r w:rsidRPr="00412BDC">
        <w:rPr>
          <w:szCs w:val="22"/>
        </w:rPr>
        <w:t>FABHALTA is indicated as monotherapy in the treatment of adult patients with paroxysmal nocturnal haemoglobinuria (PNH) who have haemolytic anaemia. (this is the EMA indication, FDA doesn’t state haemolytic anaemia).</w:t>
      </w:r>
    </w:p>
    <w:p w14:paraId="0545E555" w14:textId="13591580" w:rsidR="00412BDC" w:rsidRPr="00412BDC" w:rsidRDefault="00412BDC" w:rsidP="00412BDC">
      <w:pPr>
        <w:pStyle w:val="DelegatesQuestions"/>
      </w:pPr>
      <w:r w:rsidRPr="00412BDC">
        <w:t>Please provide your opinion on the optimal format of safety data in the PI.</w:t>
      </w:r>
    </w:p>
    <w:p w14:paraId="657B99C9" w14:textId="42E9B2AA" w:rsidR="00412BDC" w:rsidRPr="00412BDC" w:rsidRDefault="00412BDC" w:rsidP="00412BDC">
      <w:pPr>
        <w:rPr>
          <w:szCs w:val="22"/>
        </w:rPr>
      </w:pPr>
      <w:r w:rsidRPr="00412BDC">
        <w:rPr>
          <w:szCs w:val="22"/>
        </w:rPr>
        <w:t xml:space="preserve">I am in favour with the way the data is demonstrated as per FDA. Agree with RMP plan with patient card, patient/carer guide and health practitioner guide. It should be available through restricted access; can we also have a REMS plan in Australia? Note the common AEs listed </w:t>
      </w:r>
      <w:proofErr w:type="gramStart"/>
      <w:r w:rsidRPr="00412BDC">
        <w:rPr>
          <w:szCs w:val="22"/>
        </w:rPr>
        <w:t xml:space="preserve">in </w:t>
      </w:r>
      <w:r w:rsidRPr="00412BDC">
        <w:rPr>
          <w:szCs w:val="22"/>
        </w:rPr>
        <w:lastRenderedPageBreak/>
        <w:t>particular headache</w:t>
      </w:r>
      <w:proofErr w:type="gramEnd"/>
      <w:r w:rsidRPr="00412BDC">
        <w:rPr>
          <w:szCs w:val="22"/>
        </w:rPr>
        <w:t xml:space="preserve">, risk of serious infections (see boxed warning example in Q3), and dyslipidaemia which will need following. I also agree with additional conditions of registration as per </w:t>
      </w:r>
      <w:r w:rsidR="003105E1">
        <w:rPr>
          <w:szCs w:val="22"/>
        </w:rPr>
        <w:t>Delegate</w:t>
      </w:r>
      <w:r w:rsidRPr="00412BDC">
        <w:rPr>
          <w:szCs w:val="22"/>
        </w:rPr>
        <w:t xml:space="preserve"> as longer follow up is needed to assess treatment effects as well as effects of this therapy on the known PNH complications such as thrombosis and infection.</w:t>
      </w:r>
    </w:p>
    <w:p w14:paraId="7223A55D" w14:textId="5150F90F" w:rsidR="00412BDC" w:rsidRPr="00412BDC" w:rsidRDefault="00412BDC" w:rsidP="00442373">
      <w:pPr>
        <w:pStyle w:val="DelegatesQuestions"/>
        <w:rPr>
          <w:szCs w:val="22"/>
        </w:rPr>
      </w:pPr>
      <w:r w:rsidRPr="00412BDC">
        <w:t>Would you support a box warning in the PI regarding the risk of infection with encapsulated organisms and the need for vaccination?</w:t>
      </w:r>
    </w:p>
    <w:p w14:paraId="130CDA5C" w14:textId="5C8BD5E6" w:rsidR="00412BDC" w:rsidRDefault="00412BDC" w:rsidP="00412BDC">
      <w:pPr>
        <w:rPr>
          <w:szCs w:val="22"/>
        </w:rPr>
      </w:pPr>
      <w:r w:rsidRPr="00412BDC">
        <w:rPr>
          <w:szCs w:val="22"/>
        </w:rPr>
        <w:t>Yes, this is the FDA warning:</w:t>
      </w:r>
    </w:p>
    <w:p w14:paraId="53052690" w14:textId="07A54FF0" w:rsidR="0021716D" w:rsidRDefault="0021716D" w:rsidP="00412BDC">
      <w:pPr>
        <w:rPr>
          <w:szCs w:val="22"/>
        </w:rPr>
      </w:pPr>
      <w:r>
        <w:rPr>
          <w:noProof/>
        </w:rPr>
        <w:drawing>
          <wp:inline distT="0" distB="0" distL="0" distR="0" wp14:anchorId="6BF853B2" wp14:editId="10B625D6">
            <wp:extent cx="4533900" cy="3858895"/>
            <wp:effectExtent l="0" t="0" r="0" b="8255"/>
            <wp:docPr id="6" name="Image 6" descr="FDA war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FDA warn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33900" cy="3858895"/>
                    </a:xfrm>
                    <a:prstGeom prst="rect">
                      <a:avLst/>
                    </a:prstGeom>
                  </pic:spPr>
                </pic:pic>
              </a:graphicData>
            </a:graphic>
          </wp:inline>
        </w:drawing>
      </w:r>
    </w:p>
    <w:p w14:paraId="381AF5D5" w14:textId="440338D6" w:rsidR="00D27E66" w:rsidRPr="00D27E66" w:rsidRDefault="00D27E66" w:rsidP="00D27E66">
      <w:pPr>
        <w:pStyle w:val="DelegatesQuestions"/>
      </w:pPr>
      <w:r w:rsidRPr="00D27E66">
        <w:t xml:space="preserve">Should the PI contain a contraindication or </w:t>
      </w:r>
      <w:proofErr w:type="gramStart"/>
      <w:r w:rsidRPr="00D27E66">
        <w:t>particular wording</w:t>
      </w:r>
      <w:proofErr w:type="gramEnd"/>
      <w:r w:rsidRPr="00D27E66">
        <w:t xml:space="preserve"> stating that iptacopan should not be used in combination with other medicines for PNH such as anti-C5 inhibitors?</w:t>
      </w:r>
    </w:p>
    <w:p w14:paraId="12B567F2" w14:textId="7D55BD00" w:rsidR="00D27E66" w:rsidRDefault="00D27E66" w:rsidP="00D27E66">
      <w:pPr>
        <w:rPr>
          <w:szCs w:val="22"/>
        </w:rPr>
      </w:pPr>
      <w:r w:rsidRPr="00D27E66">
        <w:rPr>
          <w:szCs w:val="22"/>
        </w:rPr>
        <w:t>Yes. The studies used this as monotherapy only, but did allow cross over if the patients were on an anti-C5 previously with persisting anaemia and transfusion requirements. So, we need to ensure that new diagnoses and changeover from an anti-C5 to this new therapy is possible with the wording of the indication.</w:t>
      </w:r>
    </w:p>
    <w:p w14:paraId="07EF3FEE" w14:textId="6DA1714B" w:rsidR="001E6433" w:rsidRPr="001E6433" w:rsidRDefault="001E6433" w:rsidP="001E6433">
      <w:pPr>
        <w:rPr>
          <w:szCs w:val="22"/>
        </w:rPr>
      </w:pPr>
      <w:r>
        <w:rPr>
          <w:szCs w:val="22"/>
        </w:rPr>
        <w:t xml:space="preserve">The </w:t>
      </w:r>
      <w:r w:rsidR="003105E1">
        <w:rPr>
          <w:szCs w:val="22"/>
        </w:rPr>
        <w:t>Delegate</w:t>
      </w:r>
      <w:r w:rsidRPr="001E6433">
        <w:rPr>
          <w:szCs w:val="22"/>
        </w:rPr>
        <w:t xml:space="preserve"> reviewed the expert advice outlined above, and the </w:t>
      </w:r>
      <w:r w:rsidR="003105E1">
        <w:rPr>
          <w:szCs w:val="22"/>
        </w:rPr>
        <w:t>Sponsor</w:t>
      </w:r>
      <w:r w:rsidRPr="001E6433">
        <w:rPr>
          <w:szCs w:val="22"/>
        </w:rPr>
        <w:t xml:space="preserve">’s response to the </w:t>
      </w:r>
      <w:r w:rsidR="003105E1">
        <w:rPr>
          <w:szCs w:val="22"/>
        </w:rPr>
        <w:t>Delegate</w:t>
      </w:r>
      <w:r w:rsidRPr="001E6433">
        <w:rPr>
          <w:szCs w:val="22"/>
        </w:rPr>
        <w:t>’s Overview</w:t>
      </w:r>
      <w:r>
        <w:rPr>
          <w:szCs w:val="22"/>
        </w:rPr>
        <w:t xml:space="preserve">. The </w:t>
      </w:r>
      <w:r w:rsidR="003105E1">
        <w:rPr>
          <w:szCs w:val="22"/>
        </w:rPr>
        <w:t>Delegate</w:t>
      </w:r>
      <w:r>
        <w:rPr>
          <w:szCs w:val="22"/>
        </w:rPr>
        <w:t xml:space="preserve"> </w:t>
      </w:r>
      <w:r w:rsidRPr="001E6433">
        <w:rPr>
          <w:szCs w:val="22"/>
        </w:rPr>
        <w:t>propose</w:t>
      </w:r>
      <w:r>
        <w:rPr>
          <w:szCs w:val="22"/>
        </w:rPr>
        <w:t>s</w:t>
      </w:r>
      <w:r w:rsidRPr="001E6433">
        <w:rPr>
          <w:szCs w:val="22"/>
        </w:rPr>
        <w:t xml:space="preserve"> to approve iptacopan for the indication:</w:t>
      </w:r>
    </w:p>
    <w:p w14:paraId="00743314" w14:textId="77777777" w:rsidR="001E6433" w:rsidRPr="001E6433" w:rsidRDefault="001E6433" w:rsidP="001E6433">
      <w:pPr>
        <w:rPr>
          <w:szCs w:val="22"/>
        </w:rPr>
      </w:pPr>
      <w:r w:rsidRPr="001E6433">
        <w:rPr>
          <w:szCs w:val="22"/>
        </w:rPr>
        <w:t>“FABHALTA is indicated for the treatment of adult patients with paroxysmal nocturnal haemoglobinuria (PNH).”</w:t>
      </w:r>
    </w:p>
    <w:p w14:paraId="04D840CA" w14:textId="6B12477F" w:rsidR="001E6433" w:rsidRPr="001E6433" w:rsidRDefault="001E6433" w:rsidP="001E6433">
      <w:pPr>
        <w:rPr>
          <w:szCs w:val="22"/>
        </w:rPr>
      </w:pPr>
      <w:r w:rsidRPr="001E6433">
        <w:rPr>
          <w:szCs w:val="22"/>
        </w:rPr>
        <w:t>Although one of the two experts recommended inclusion of the words ‘who have haemolytic anaemia,’</w:t>
      </w:r>
      <w:r>
        <w:rPr>
          <w:szCs w:val="22"/>
        </w:rPr>
        <w:t xml:space="preserve"> the </w:t>
      </w:r>
      <w:r w:rsidR="003105E1">
        <w:rPr>
          <w:szCs w:val="22"/>
        </w:rPr>
        <w:t>Delegate</w:t>
      </w:r>
      <w:r>
        <w:rPr>
          <w:szCs w:val="22"/>
        </w:rPr>
        <w:t xml:space="preserve"> did </w:t>
      </w:r>
      <w:r w:rsidRPr="001E6433">
        <w:rPr>
          <w:szCs w:val="22"/>
        </w:rPr>
        <w:t xml:space="preserve">not consider this to be necessary given that iptacopan will be used by specialist haematologists in Australia who will be best placed to make individual risk-benefit </w:t>
      </w:r>
      <w:proofErr w:type="gramStart"/>
      <w:r w:rsidRPr="001E6433">
        <w:rPr>
          <w:szCs w:val="22"/>
        </w:rPr>
        <w:t>assessments, and</w:t>
      </w:r>
      <w:proofErr w:type="gramEnd"/>
      <w:r w:rsidRPr="001E6433">
        <w:rPr>
          <w:szCs w:val="22"/>
        </w:rPr>
        <w:t xml:space="preserve"> determine whether iptacopan is appropriate for each individual patient.</w:t>
      </w:r>
    </w:p>
    <w:p w14:paraId="0ED81647" w14:textId="200C2633" w:rsidR="001E6433" w:rsidRPr="001E6433" w:rsidRDefault="001E6433" w:rsidP="001E6433">
      <w:pPr>
        <w:rPr>
          <w:szCs w:val="22"/>
        </w:rPr>
      </w:pPr>
      <w:r>
        <w:rPr>
          <w:szCs w:val="22"/>
        </w:rPr>
        <w:t xml:space="preserve">The </w:t>
      </w:r>
      <w:r w:rsidR="003105E1">
        <w:rPr>
          <w:szCs w:val="22"/>
        </w:rPr>
        <w:t>Delegate</w:t>
      </w:r>
      <w:r>
        <w:rPr>
          <w:szCs w:val="22"/>
        </w:rPr>
        <w:t xml:space="preserve"> </w:t>
      </w:r>
      <w:r w:rsidRPr="001E6433">
        <w:rPr>
          <w:szCs w:val="22"/>
        </w:rPr>
        <w:t>propose</w:t>
      </w:r>
      <w:r>
        <w:rPr>
          <w:szCs w:val="22"/>
        </w:rPr>
        <w:t>s</w:t>
      </w:r>
      <w:r w:rsidRPr="001E6433">
        <w:rPr>
          <w:szCs w:val="22"/>
        </w:rPr>
        <w:t xml:space="preserve"> to impose the following conditions of registration, in addition to standard conditions and the conditions recommended by the RMP </w:t>
      </w:r>
      <w:r w:rsidR="003105E1">
        <w:rPr>
          <w:szCs w:val="22"/>
        </w:rPr>
        <w:t>Evaluator</w:t>
      </w:r>
      <w:r w:rsidRPr="001E6433">
        <w:rPr>
          <w:szCs w:val="22"/>
        </w:rPr>
        <w:t>:</w:t>
      </w:r>
    </w:p>
    <w:p w14:paraId="12DB4DA1" w14:textId="63CD9876" w:rsidR="001E6433" w:rsidRPr="001E6433" w:rsidRDefault="001E6433" w:rsidP="00D60BEC">
      <w:pPr>
        <w:pStyle w:val="ListBullet"/>
      </w:pPr>
      <w:r w:rsidRPr="001E6433">
        <w:lastRenderedPageBreak/>
        <w:t>Participate in a registry to characteri</w:t>
      </w:r>
      <w:r w:rsidR="00E368A8">
        <w:t>s</w:t>
      </w:r>
      <w:r w:rsidRPr="001E6433">
        <w:t>e the long-term safety of iptacopan in adults with paroxysmal nocturnal hemoglobinuria, with up to 5 years of follow-up. Submit annual safety reports from the registry to the TGA with the Periodic Safety Update Reports (PSURs).</w:t>
      </w:r>
    </w:p>
    <w:p w14:paraId="196B4034" w14:textId="0DFE0EEA" w:rsidR="001E6433" w:rsidRPr="001E6433" w:rsidRDefault="001E6433" w:rsidP="00D60BEC">
      <w:pPr>
        <w:pStyle w:val="ListBullet"/>
      </w:pPr>
      <w:r w:rsidRPr="001E6433">
        <w:t>Complete the roll-over extension program (study CLNP023C12001B PNH REP) and submit all study reports to the TGA as soon as available.</w:t>
      </w:r>
    </w:p>
    <w:p w14:paraId="5103BF28" w14:textId="002EEB46" w:rsidR="001E6433" w:rsidRPr="001E6433" w:rsidRDefault="003105E1" w:rsidP="00D60BEC">
      <w:pPr>
        <w:pStyle w:val="Heading5"/>
      </w:pPr>
      <w:r>
        <w:t>Delegate</w:t>
      </w:r>
      <w:r w:rsidR="001E6433" w:rsidRPr="001E6433">
        <w:t>’s review of the PI and CMI:</w:t>
      </w:r>
    </w:p>
    <w:p w14:paraId="17C953BA" w14:textId="630A6CD1" w:rsidR="001E6433" w:rsidRPr="001E6433" w:rsidRDefault="001E6433" w:rsidP="001E6433">
      <w:pPr>
        <w:rPr>
          <w:szCs w:val="22"/>
        </w:rPr>
      </w:pPr>
      <w:r w:rsidRPr="001E6433">
        <w:rPr>
          <w:szCs w:val="22"/>
        </w:rPr>
        <w:t>The following changes to the PI, and equivalent changes to the CMI, are required before a favourable decision can be considered:</w:t>
      </w:r>
    </w:p>
    <w:p w14:paraId="39EEBBEE" w14:textId="0732F6C4" w:rsidR="001E6433" w:rsidRPr="001E6433" w:rsidRDefault="001E6433" w:rsidP="00D60BEC">
      <w:pPr>
        <w:pStyle w:val="Heading6"/>
      </w:pPr>
      <w:r w:rsidRPr="001E6433">
        <w:t>Boxed warning</w:t>
      </w:r>
    </w:p>
    <w:p w14:paraId="16AC6E5C" w14:textId="49316511" w:rsidR="001E6433" w:rsidRPr="001E6433" w:rsidRDefault="001E6433" w:rsidP="001E6433">
      <w:pPr>
        <w:rPr>
          <w:szCs w:val="22"/>
        </w:rPr>
      </w:pPr>
      <w:r w:rsidRPr="001E6433">
        <w:rPr>
          <w:szCs w:val="22"/>
        </w:rPr>
        <w:t xml:space="preserve">As per the expert advice received, a boxed warning is essential and must be added to the Australian PI and CMI to mitigate the serious risk of infection associated with iptacopan. A boxed warning will alert primary care and emergency department staff to the risk of infection in patients taking iptacopan, which may result in more timely and appropriate treatment. A boxed warning is required to ensure a favourable risk-benefit balance for iptacopan. It is suggested that wording </w:t>
      </w:r>
      <w:proofErr w:type="gramStart"/>
      <w:r w:rsidRPr="001E6433">
        <w:rPr>
          <w:szCs w:val="22"/>
        </w:rPr>
        <w:t>similar to</w:t>
      </w:r>
      <w:proofErr w:type="gramEnd"/>
      <w:r w:rsidRPr="001E6433">
        <w:rPr>
          <w:szCs w:val="22"/>
        </w:rPr>
        <w:t xml:space="preserve"> the box warning in the pegcetacoplan Australian PI should be used.</w:t>
      </w:r>
    </w:p>
    <w:p w14:paraId="4C69F6CC" w14:textId="77777777" w:rsidR="001E6433" w:rsidRPr="001E6433" w:rsidRDefault="001E6433" w:rsidP="00E368A8">
      <w:pPr>
        <w:pStyle w:val="Heading6"/>
      </w:pPr>
      <w:r w:rsidRPr="001E6433">
        <w:t>Dosage regimen</w:t>
      </w:r>
    </w:p>
    <w:p w14:paraId="182DC515" w14:textId="0FC998F2" w:rsidR="001E6433" w:rsidRPr="001E6433" w:rsidRDefault="00E368A8" w:rsidP="001E6433">
      <w:pPr>
        <w:rPr>
          <w:szCs w:val="22"/>
        </w:rPr>
      </w:pPr>
      <w:r>
        <w:rPr>
          <w:szCs w:val="22"/>
        </w:rPr>
        <w:t>I</w:t>
      </w:r>
      <w:r w:rsidR="001E6433" w:rsidRPr="001E6433">
        <w:rPr>
          <w:szCs w:val="22"/>
        </w:rPr>
        <w:t>nclude words to the effect of ‘no information is available regarding switching from PNH therapies other than eculizumab and ravulizumab’</w:t>
      </w:r>
    </w:p>
    <w:p w14:paraId="1B00441A" w14:textId="25CC6CA8" w:rsidR="001E6433" w:rsidRPr="001E6433" w:rsidRDefault="001E6433" w:rsidP="00E368A8">
      <w:pPr>
        <w:pStyle w:val="Heading6"/>
      </w:pPr>
      <w:r w:rsidRPr="001E6433">
        <w:t>Hepatic Impairment</w:t>
      </w:r>
    </w:p>
    <w:p w14:paraId="7441620C" w14:textId="5DE5BAA1" w:rsidR="001E6433" w:rsidRPr="001E6433" w:rsidRDefault="001E6433" w:rsidP="001E6433">
      <w:pPr>
        <w:rPr>
          <w:szCs w:val="22"/>
        </w:rPr>
      </w:pPr>
      <w:r w:rsidRPr="001E6433">
        <w:rPr>
          <w:szCs w:val="22"/>
        </w:rPr>
        <w:t>Given that the FDA and EMA PIs both state that iptacopan is not recommended in severe hepatic impairment (Child-Pugh class C), please amend the new statement in the Australian PI to the following (or words to the same effect):</w:t>
      </w:r>
    </w:p>
    <w:p w14:paraId="0B5B66F1" w14:textId="77777777" w:rsidR="001E6433" w:rsidRPr="001E6433" w:rsidRDefault="001E6433" w:rsidP="00E368A8">
      <w:pPr>
        <w:pStyle w:val="Indication"/>
      </w:pPr>
      <w:r w:rsidRPr="001E6433">
        <w:t>“</w:t>
      </w:r>
      <w:proofErr w:type="gramStart"/>
      <w:r w:rsidRPr="001E6433">
        <w:t>the</w:t>
      </w:r>
      <w:proofErr w:type="gramEnd"/>
      <w:r w:rsidRPr="001E6433">
        <w:t xml:space="preserve"> use of iptacopan is not recommended in patients with severe hepatic impairment (Child-Pugh class C). No dose adjustment is required for patients with mild (Child-Pugh class A) or moderate (Child-Pugh class B) hepatic impairment.”</w:t>
      </w:r>
    </w:p>
    <w:p w14:paraId="38207564" w14:textId="77777777" w:rsidR="001E6433" w:rsidRPr="001E6433" w:rsidRDefault="001E6433" w:rsidP="00E368A8">
      <w:pPr>
        <w:pStyle w:val="Heading6"/>
      </w:pPr>
      <w:r w:rsidRPr="001E6433">
        <w:t>Contraindications</w:t>
      </w:r>
    </w:p>
    <w:p w14:paraId="50444D6D" w14:textId="1C7DD7A7" w:rsidR="001E6433" w:rsidRPr="001E6433" w:rsidRDefault="3492CEF1" w:rsidP="001E6433">
      <w:r>
        <w:t xml:space="preserve">Addition of </w:t>
      </w:r>
      <w:r w:rsidRPr="30A1A233">
        <w:rPr>
          <w:i/>
          <w:iCs/>
        </w:rPr>
        <w:t>H</w:t>
      </w:r>
      <w:r w:rsidR="6692A4AA" w:rsidRPr="30A1A233">
        <w:rPr>
          <w:i/>
          <w:iCs/>
        </w:rPr>
        <w:t>aemophilus influenzae</w:t>
      </w:r>
      <w:r w:rsidR="6692A4AA">
        <w:t xml:space="preserve"> type B to the second contraindication i.e. ‘in patients who are not currently vaccinated against </w:t>
      </w:r>
      <w:r w:rsidR="6692A4AA" w:rsidRPr="30A1A233">
        <w:rPr>
          <w:i/>
          <w:iCs/>
        </w:rPr>
        <w:t>Neisseria meningitidis</w:t>
      </w:r>
      <w:r w:rsidR="6692A4AA">
        <w:t xml:space="preserve">, </w:t>
      </w:r>
      <w:r w:rsidR="6692A4AA" w:rsidRPr="30A1A233">
        <w:rPr>
          <w:i/>
          <w:iCs/>
        </w:rPr>
        <w:t>Streptococcus pneumoniae</w:t>
      </w:r>
      <w:r w:rsidR="6692A4AA">
        <w:t xml:space="preserve"> or </w:t>
      </w:r>
      <w:r w:rsidR="6692A4AA" w:rsidRPr="30A1A233">
        <w:rPr>
          <w:i/>
          <w:iCs/>
        </w:rPr>
        <w:t>Haemophilus influenzae</w:t>
      </w:r>
      <w:r w:rsidR="6692A4AA">
        <w:t xml:space="preserve"> type B…’</w:t>
      </w:r>
    </w:p>
    <w:p w14:paraId="7B4CCD14" w14:textId="7E09EB61" w:rsidR="001E6433" w:rsidRPr="001E6433" w:rsidRDefault="001E6433" w:rsidP="001E6433">
      <w:pPr>
        <w:rPr>
          <w:szCs w:val="22"/>
        </w:rPr>
      </w:pPr>
      <w:r w:rsidRPr="001E6433">
        <w:rPr>
          <w:szCs w:val="22"/>
        </w:rPr>
        <w:t>In accordance with the expert advice received, a contraindication should be added to the PI to clearly state that iptacopan must not be used in combination with other therapies for PNH. The risk-benefit balance of combination treatment is unfavourable due to the safety concerns and thus, should be contraindicated. Please ensure that the wording allows for changeover from an anti-C5 therapy to iptacopan.</w:t>
      </w:r>
    </w:p>
    <w:p w14:paraId="4C6467D5" w14:textId="4884DCA8" w:rsidR="001E6433" w:rsidRPr="001E6433" w:rsidRDefault="001E6433" w:rsidP="00E368A8">
      <w:pPr>
        <w:pStyle w:val="Heading6"/>
      </w:pPr>
      <w:r w:rsidRPr="001E6433">
        <w:t xml:space="preserve">Special </w:t>
      </w:r>
      <w:r w:rsidR="00A26BF3" w:rsidRPr="001E6433">
        <w:t>warnings and precautions</w:t>
      </w:r>
    </w:p>
    <w:p w14:paraId="42F0420D" w14:textId="30A96A3A" w:rsidR="001E6433" w:rsidRPr="001E6433" w:rsidRDefault="00E368A8" w:rsidP="001E6433">
      <w:pPr>
        <w:rPr>
          <w:szCs w:val="22"/>
        </w:rPr>
      </w:pPr>
      <w:r>
        <w:rPr>
          <w:szCs w:val="22"/>
        </w:rPr>
        <w:t>A</w:t>
      </w:r>
      <w:r w:rsidR="001E6433" w:rsidRPr="001E6433">
        <w:rPr>
          <w:szCs w:val="22"/>
        </w:rPr>
        <w:t>dd</w:t>
      </w:r>
      <w:r>
        <w:rPr>
          <w:szCs w:val="22"/>
        </w:rPr>
        <w:t>ition of</w:t>
      </w:r>
      <w:r w:rsidR="001E6433" w:rsidRPr="001E6433">
        <w:rPr>
          <w:szCs w:val="22"/>
        </w:rPr>
        <w:t xml:space="preserve"> a subheading ‘PNH laboratory monitoring’ and text recommending regular monitoring for signs of haemolysis, </w:t>
      </w:r>
      <w:proofErr w:type="gramStart"/>
      <w:r w:rsidR="001E6433" w:rsidRPr="001E6433">
        <w:rPr>
          <w:szCs w:val="22"/>
        </w:rPr>
        <w:t>similar to</w:t>
      </w:r>
      <w:proofErr w:type="gramEnd"/>
      <w:r w:rsidR="001E6433" w:rsidRPr="001E6433">
        <w:rPr>
          <w:szCs w:val="22"/>
        </w:rPr>
        <w:t xml:space="preserve"> the EU </w:t>
      </w:r>
      <w:proofErr w:type="spellStart"/>
      <w:r w:rsidR="001E6433" w:rsidRPr="001E6433">
        <w:rPr>
          <w:szCs w:val="22"/>
        </w:rPr>
        <w:t>EmPC</w:t>
      </w:r>
      <w:proofErr w:type="spellEnd"/>
      <w:r w:rsidR="001E6433" w:rsidRPr="001E6433">
        <w:rPr>
          <w:szCs w:val="22"/>
        </w:rPr>
        <w:t>.</w:t>
      </w:r>
    </w:p>
    <w:p w14:paraId="1622C73D" w14:textId="3E7DD6AE" w:rsidR="001E6433" w:rsidRPr="001E6433" w:rsidRDefault="00E368A8" w:rsidP="001E6433">
      <w:pPr>
        <w:rPr>
          <w:szCs w:val="22"/>
        </w:rPr>
      </w:pPr>
      <w:r w:rsidRPr="00E368A8">
        <w:rPr>
          <w:szCs w:val="22"/>
        </w:rPr>
        <w:t xml:space="preserve">Addition of </w:t>
      </w:r>
      <w:r w:rsidR="001E6433" w:rsidRPr="001E6433">
        <w:rPr>
          <w:szCs w:val="22"/>
        </w:rPr>
        <w:t>information about the educational materials that will be available in Australia for physicians and patients.</w:t>
      </w:r>
    </w:p>
    <w:p w14:paraId="4F4232D2" w14:textId="056C0ADD" w:rsidR="001E6433" w:rsidRPr="001E6433" w:rsidRDefault="00E368A8" w:rsidP="001E6433">
      <w:pPr>
        <w:rPr>
          <w:szCs w:val="22"/>
        </w:rPr>
      </w:pPr>
      <w:r w:rsidRPr="00E368A8">
        <w:rPr>
          <w:szCs w:val="22"/>
        </w:rPr>
        <w:t>Addition of</w:t>
      </w:r>
      <w:r>
        <w:rPr>
          <w:szCs w:val="22"/>
        </w:rPr>
        <w:t xml:space="preserve"> a</w:t>
      </w:r>
      <w:r w:rsidR="001E6433" w:rsidRPr="001E6433">
        <w:rPr>
          <w:szCs w:val="22"/>
        </w:rPr>
        <w:t xml:space="preserve"> statement that co-administration with other medicinal products has not been studied and is therefore not recommended.</w:t>
      </w:r>
    </w:p>
    <w:p w14:paraId="0643EC96" w14:textId="52846AB0" w:rsidR="001E6433" w:rsidRPr="001E6433" w:rsidRDefault="001E6433" w:rsidP="008203AA">
      <w:pPr>
        <w:pStyle w:val="Heading6"/>
      </w:pPr>
      <w:r w:rsidRPr="001E6433">
        <w:lastRenderedPageBreak/>
        <w:t>Interactions with other medicines and other forms of interactions</w:t>
      </w:r>
    </w:p>
    <w:p w14:paraId="76D7E279" w14:textId="77609B37" w:rsidR="001E6433" w:rsidRPr="001E6433" w:rsidRDefault="008203AA" w:rsidP="001E6433">
      <w:pPr>
        <w:rPr>
          <w:szCs w:val="22"/>
        </w:rPr>
      </w:pPr>
      <w:r w:rsidRPr="008203AA">
        <w:rPr>
          <w:szCs w:val="22"/>
        </w:rPr>
        <w:t>Addition of</w:t>
      </w:r>
      <w:r w:rsidR="001E6433" w:rsidRPr="001E6433">
        <w:rPr>
          <w:szCs w:val="22"/>
        </w:rPr>
        <w:t xml:space="preserve"> the following wording (from the EU SmPC):</w:t>
      </w:r>
    </w:p>
    <w:p w14:paraId="53182DB3" w14:textId="77777777" w:rsidR="001E6433" w:rsidRPr="00844011" w:rsidRDefault="4C96ACCC" w:rsidP="008203AA">
      <w:pPr>
        <w:pStyle w:val="Indication"/>
        <w:rPr>
          <w:u w:val="single"/>
        </w:rPr>
      </w:pPr>
      <w:r w:rsidRPr="00844011">
        <w:rPr>
          <w:u w:val="single"/>
        </w:rPr>
        <w:t xml:space="preserve">Strong inducers of CYP2C8, UGT1A1, </w:t>
      </w:r>
      <w:proofErr w:type="spellStart"/>
      <w:r w:rsidRPr="00844011">
        <w:rPr>
          <w:u w:val="single"/>
        </w:rPr>
        <w:t>PgP</w:t>
      </w:r>
      <w:proofErr w:type="spellEnd"/>
      <w:r w:rsidRPr="00844011">
        <w:rPr>
          <w:u w:val="single"/>
        </w:rPr>
        <w:t>, BCRP and OATP1B1/3</w:t>
      </w:r>
    </w:p>
    <w:p w14:paraId="619DFBAD" w14:textId="77777777" w:rsidR="001E6433" w:rsidRPr="001E6433" w:rsidRDefault="001E6433" w:rsidP="008203AA">
      <w:pPr>
        <w:pStyle w:val="Indication"/>
      </w:pPr>
      <w:r w:rsidRPr="001E6433">
        <w:t xml:space="preserve">Although concomitant administration of iptacopan with strong inducers of CYP2C8, UGT1A1, </w:t>
      </w:r>
      <w:proofErr w:type="spellStart"/>
      <w:r w:rsidRPr="001E6433">
        <w:t>PgP</w:t>
      </w:r>
      <w:proofErr w:type="spellEnd"/>
      <w:r w:rsidRPr="001E6433">
        <w:t>, BCRP and OATP1B1/3, such as rifampicin, has not been studied clinically, concomitant use with iptacopan is not recommended due to the potential for reduced efficacy of iptacopan (see section 4.4).</w:t>
      </w:r>
    </w:p>
    <w:p w14:paraId="04CCF8EA" w14:textId="77777777" w:rsidR="001E6433" w:rsidRPr="001E6433" w:rsidRDefault="001E6433" w:rsidP="008203AA">
      <w:pPr>
        <w:pStyle w:val="Heading6"/>
      </w:pPr>
      <w:r w:rsidRPr="001E6433">
        <w:t>CYP3A4 substrates</w:t>
      </w:r>
    </w:p>
    <w:p w14:paraId="4675CD0C" w14:textId="77777777" w:rsidR="001E6433" w:rsidRPr="001E6433" w:rsidRDefault="001E6433" w:rsidP="001E6433">
      <w:pPr>
        <w:rPr>
          <w:szCs w:val="22"/>
        </w:rPr>
      </w:pPr>
      <w:r w:rsidRPr="001E6433">
        <w:rPr>
          <w:szCs w:val="22"/>
        </w:rPr>
        <w:t>In vitro data showed iptacopan has potential for induction of CYP3A4 and may decrease the exposure of sensitive CYP3A4 substrates. The concomitant use of iptacopan and sensitive CYP3A4 substrates has not been studied clinically.</w:t>
      </w:r>
    </w:p>
    <w:p w14:paraId="30482D5C" w14:textId="77777777" w:rsidR="001E6433" w:rsidRPr="001E6433" w:rsidRDefault="001E6433" w:rsidP="001E6433">
      <w:pPr>
        <w:rPr>
          <w:szCs w:val="22"/>
        </w:rPr>
      </w:pPr>
      <w:r w:rsidRPr="001E6433">
        <w:rPr>
          <w:szCs w:val="22"/>
        </w:rPr>
        <w:t>Caution should be exercised if co-administration of iptacopan with sensitive CYP3A4 substrates is required, especially for those with a narrow therapeutic index (e.g. carbamazepine, ciclosporin, ergotamine, fentanyl, pimozide, quinidine, sirolimus, tacrolimus).</w:t>
      </w:r>
    </w:p>
    <w:p w14:paraId="5C0100C1" w14:textId="77777777" w:rsidR="001E6433" w:rsidRPr="001E6433" w:rsidRDefault="001E6433" w:rsidP="008203AA">
      <w:pPr>
        <w:pStyle w:val="Heading6"/>
      </w:pPr>
      <w:r w:rsidRPr="001E6433">
        <w:t>CYP2C8 substrates</w:t>
      </w:r>
    </w:p>
    <w:p w14:paraId="2A55E5EC" w14:textId="77777777" w:rsidR="001E6433" w:rsidRPr="001E6433" w:rsidRDefault="001E6433" w:rsidP="001E6433">
      <w:pPr>
        <w:rPr>
          <w:szCs w:val="22"/>
        </w:rPr>
      </w:pPr>
      <w:r w:rsidRPr="001E6433">
        <w:rPr>
          <w:szCs w:val="22"/>
        </w:rPr>
        <w:t>In vitro data showed iptacopan has potential for time-dependent inhibition of CYP2C8 and may increase the exposure of sensitive CYP2C8 substrates, such as repaglinide, dasabuvir or paclitaxel. The concomitant use of iptacopan and sensitive CYP2C8 substrates has not been studied clinically. Caution should be exercised if co-administration of iptacopan with sensitive CYP2C8 substrates is required.</w:t>
      </w:r>
    </w:p>
    <w:p w14:paraId="2233B08A" w14:textId="0D14A2C1" w:rsidR="001E6433" w:rsidRPr="001E6433" w:rsidRDefault="001E6433" w:rsidP="008203AA">
      <w:pPr>
        <w:pStyle w:val="Heading6"/>
      </w:pPr>
      <w:r w:rsidRPr="001E6433">
        <w:t xml:space="preserve">Consumer </w:t>
      </w:r>
      <w:r w:rsidR="00CB7096" w:rsidRPr="001E6433">
        <w:t>medicines information</w:t>
      </w:r>
    </w:p>
    <w:p w14:paraId="5976F070" w14:textId="16046563" w:rsidR="001E6433" w:rsidRDefault="008203AA" w:rsidP="001E6433">
      <w:pPr>
        <w:rPr>
          <w:szCs w:val="22"/>
        </w:rPr>
      </w:pPr>
      <w:r>
        <w:rPr>
          <w:szCs w:val="22"/>
        </w:rPr>
        <w:t>U</w:t>
      </w:r>
      <w:r w:rsidR="001E6433" w:rsidRPr="001E6433">
        <w:rPr>
          <w:szCs w:val="22"/>
        </w:rPr>
        <w:t>pdate the CMI in line with the PI changes requested above, particularly the boxed warning.</w:t>
      </w:r>
    </w:p>
    <w:p w14:paraId="307F236C" w14:textId="5BA0D35D" w:rsidR="00C22214" w:rsidRPr="002E238E" w:rsidRDefault="0046285C" w:rsidP="00C22214">
      <w:pPr>
        <w:pStyle w:val="Heading2"/>
      </w:pPr>
      <w:bookmarkStart w:id="50" w:name="_Toc247691532"/>
      <w:bookmarkStart w:id="51" w:name="_Toc314842516"/>
      <w:bookmarkStart w:id="52" w:name="_Toc103679300"/>
      <w:bookmarkStart w:id="53" w:name="_Toc204181053"/>
      <w:r>
        <w:t>Assessment</w:t>
      </w:r>
      <w:r w:rsidR="00190853">
        <w:t xml:space="preserve"> </w:t>
      </w:r>
      <w:r>
        <w:t>o</w:t>
      </w:r>
      <w:r w:rsidR="00C22214">
        <w:t>utcome</w:t>
      </w:r>
      <w:bookmarkEnd w:id="50"/>
      <w:bookmarkEnd w:id="51"/>
      <w:bookmarkEnd w:id="52"/>
      <w:bookmarkEnd w:id="53"/>
    </w:p>
    <w:p w14:paraId="4EF22939" w14:textId="11AE6584"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8203AA" w:rsidRPr="008203AA">
        <w:t>FABHALTA</w:t>
      </w:r>
      <w:r w:rsidR="008203AA">
        <w:t xml:space="preserve"> (</w:t>
      </w:r>
      <w:r w:rsidR="008203AA" w:rsidRPr="008203AA">
        <w:t>iptacopan</w:t>
      </w:r>
      <w:r w:rsidR="008203AA">
        <w:t>)</w:t>
      </w:r>
      <w:r w:rsidRPr="0017005C">
        <w:t xml:space="preserve"> for the following indication</w:t>
      </w:r>
      <w:r w:rsidR="00D23D3E">
        <w:t>:</w:t>
      </w:r>
    </w:p>
    <w:p w14:paraId="07F2153D" w14:textId="2C915B66" w:rsidR="00C22214" w:rsidRPr="00BD5DBD" w:rsidRDefault="002C51E3" w:rsidP="002C51E3">
      <w:pPr>
        <w:pStyle w:val="Indication"/>
      </w:pPr>
      <w:r w:rsidRPr="002C51E3">
        <w:t>FABHALTA is indicated for the treatment of adult patients with paroxysmal nocturnal haemoglobinuria (PNH)</w:t>
      </w:r>
    </w:p>
    <w:p w14:paraId="0D732DA4" w14:textId="4AE9D6F3" w:rsidR="00854D98" w:rsidRPr="00D23139" w:rsidRDefault="00854D98" w:rsidP="002C51E3">
      <w:pPr>
        <w:pStyle w:val="Heading4"/>
      </w:pPr>
      <w:bookmarkStart w:id="54" w:name="_Toc204181054"/>
      <w:bookmarkStart w:id="55" w:name="_Toc103679301"/>
      <w:r w:rsidRPr="00D23139">
        <w:t>Specific conditions of registration</w:t>
      </w:r>
      <w:bookmarkEnd w:id="54"/>
      <w:r w:rsidRPr="00D23139">
        <w:t xml:space="preserve"> </w:t>
      </w:r>
      <w:bookmarkEnd w:id="55"/>
    </w:p>
    <w:p w14:paraId="682E4F5E" w14:textId="77777777" w:rsidR="0096459C" w:rsidRPr="0096459C" w:rsidRDefault="0096459C" w:rsidP="0096459C">
      <w:pPr>
        <w:pStyle w:val="ListBullet"/>
      </w:pPr>
      <w:r w:rsidRPr="0096459C">
        <w:t>FABHALTA (iptacopan) is to be included in the Black Triangle Scheme. The PI and CMI for FABHALTA must include the black triangle symbol and mandatory accompanying text for five years, which starts from the date of first supply of the product.</w:t>
      </w:r>
    </w:p>
    <w:p w14:paraId="66183C8C" w14:textId="7D9C2365" w:rsidR="0096459C" w:rsidRPr="0096459C" w:rsidRDefault="0096459C" w:rsidP="0096459C">
      <w:pPr>
        <w:pStyle w:val="ListBullet"/>
      </w:pPr>
      <w:r w:rsidRPr="0096459C">
        <w:t xml:space="preserve">The FABHALTA EU-Risk Management Plan (RMP) (version 1.1, dated 6 December 2023, data lock point 2 November 2022), with Australian Specific Annex (version 1.1, dated 22 February 2024, included with submission PM-2023-02564-1-6 and any subsequent revisions, as agreed with the TGA will be implemented in Australia. </w:t>
      </w:r>
    </w:p>
    <w:p w14:paraId="50C63BF6" w14:textId="50E5564A" w:rsidR="0096459C" w:rsidRPr="0096459C" w:rsidRDefault="0096459C" w:rsidP="0096459C">
      <w:pPr>
        <w:pStyle w:val="ListBullet"/>
      </w:pPr>
      <w:r w:rsidRPr="0096459C">
        <w:t>An obligatory component of risk management plans is routine pharmacovigilance. Routine pharmacovigilance includes the submission of periodic safety update reports (PSURs).</w:t>
      </w:r>
    </w:p>
    <w:p w14:paraId="285EE6F8" w14:textId="1BED14C6" w:rsidR="0096459C" w:rsidRPr="0096459C" w:rsidRDefault="0096459C" w:rsidP="0096459C">
      <w:pPr>
        <w:pStyle w:val="ListBullet"/>
        <w:numPr>
          <w:ilvl w:val="0"/>
          <w:numId w:val="0"/>
        </w:numPr>
        <w:ind w:left="360"/>
      </w:pPr>
      <w:r w:rsidRPr="0096459C">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w:t>
      </w:r>
      <w:r w:rsidRPr="0096459C">
        <w:lastRenderedPageBreak/>
        <w:t xml:space="preserve">than annually from the date of the first submitted report until the period covered by such reports is not less than three years from the date of this approval letter. The annual submission may be made up of two PSURs each covering six months. If the </w:t>
      </w:r>
      <w:r w:rsidR="003105E1">
        <w:t>Sponsor</w:t>
      </w:r>
      <w:r w:rsidRPr="0096459C">
        <w:t xml:space="preserve"> wishes, the </w:t>
      </w:r>
      <w:proofErr w:type="gramStart"/>
      <w:r w:rsidRPr="0096459C">
        <w:t>six monthly</w:t>
      </w:r>
      <w:proofErr w:type="gramEnd"/>
      <w:r w:rsidRPr="0096459C">
        <w:t xml:space="preserve"> reports may be submitted separately as they become available. </w:t>
      </w:r>
    </w:p>
    <w:p w14:paraId="437D8240" w14:textId="6BFEEE2F" w:rsidR="0096459C" w:rsidRPr="0096459C" w:rsidRDefault="0096459C" w:rsidP="0096459C">
      <w:pPr>
        <w:pStyle w:val="ListBullet"/>
        <w:numPr>
          <w:ilvl w:val="0"/>
          <w:numId w:val="0"/>
        </w:numPr>
        <w:ind w:left="360"/>
      </w:pPr>
      <w:r w:rsidRPr="0096459C">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 </w:t>
      </w:r>
    </w:p>
    <w:p w14:paraId="69015FDD" w14:textId="59589370" w:rsidR="0096459C" w:rsidRPr="0096459C" w:rsidRDefault="0096459C" w:rsidP="0096459C">
      <w:pPr>
        <w:pStyle w:val="ListBullet"/>
        <w:numPr>
          <w:ilvl w:val="0"/>
          <w:numId w:val="0"/>
        </w:numPr>
        <w:ind w:left="360"/>
      </w:pPr>
      <w:r w:rsidRPr="0096459C">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2937ADD6" w14:textId="4FA6AC9B" w:rsidR="0096459C" w:rsidRPr="0096459C" w:rsidRDefault="0096459C" w:rsidP="0096459C">
      <w:pPr>
        <w:pStyle w:val="ListBullet"/>
      </w:pPr>
      <w:r w:rsidRPr="0096459C">
        <w:t xml:space="preserve">Participate in a registry to characterize the long-term safety of iptacopan in adults with paroxysmal nocturnal hemoglobinuria, with up to 5 years of follow-up. Submit annual safety reports from the registry to the TGA with the Periodic Safety Update Reports (PSURs). </w:t>
      </w:r>
    </w:p>
    <w:p w14:paraId="2AA1D509" w14:textId="15217617" w:rsidR="0096459C" w:rsidRPr="0096459C" w:rsidRDefault="0096459C" w:rsidP="0096459C">
      <w:pPr>
        <w:pStyle w:val="ListBullet"/>
      </w:pPr>
      <w:r w:rsidRPr="0096459C">
        <w:t xml:space="preserve">Complete the roll-over extension program (study CLNP023C12001B PNH REP) and submit all study reports to the TGA as soon as available. </w:t>
      </w:r>
    </w:p>
    <w:p w14:paraId="0F9C1952" w14:textId="597561E2" w:rsidR="00BA657C" w:rsidRPr="00BA657C" w:rsidRDefault="00BA657C" w:rsidP="00CB7096">
      <w:pPr>
        <w:pStyle w:val="Heading2"/>
      </w:pPr>
      <w:bookmarkStart w:id="56" w:name="_Toc196738290"/>
      <w:bookmarkStart w:id="57" w:name="_Toc204181055"/>
      <w:r w:rsidRPr="00BA657C">
        <w:t>Product Information and Consumer Medicines Information</w:t>
      </w:r>
      <w:bookmarkEnd w:id="56"/>
      <w:bookmarkEnd w:id="57"/>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33" w:history="1">
        <w:r w:rsidRPr="004D0933">
          <w:rPr>
            <w:rStyle w:val="Hyperlink"/>
          </w:rPr>
          <w:t>PI/CMI search facility.</w:t>
        </w:r>
      </w:hyperlink>
    </w:p>
    <w:p w14:paraId="48E044C6" w14:textId="07A807B7" w:rsidR="00C51E51" w:rsidRPr="00C51E51" w:rsidRDefault="00C51E51" w:rsidP="00C51E51">
      <w:pPr>
        <w:tabs>
          <w:tab w:val="left" w:pos="5950"/>
        </w:tabs>
        <w:rPr>
          <w:lang w:eastAsia="ja-JP"/>
        </w:rPr>
      </w:pPr>
      <w:r>
        <w:rPr>
          <w:lang w:eastAsia="ja-JP"/>
        </w:rPr>
        <w:tab/>
      </w:r>
    </w:p>
    <w:p w14:paraId="53357BF3" w14:textId="4F97A529" w:rsidR="00C51E51" w:rsidRPr="00C51E51" w:rsidRDefault="00C51E51" w:rsidP="00C51E51">
      <w:pPr>
        <w:tabs>
          <w:tab w:val="left" w:pos="5950"/>
        </w:tabs>
        <w:rPr>
          <w:lang w:eastAsia="ja-JP"/>
        </w:rPr>
        <w:sectPr w:rsidR="00C51E51" w:rsidRPr="00C51E51" w:rsidSect="007452E8">
          <w:headerReference w:type="default" r:id="rId34"/>
          <w:footerReference w:type="default" r:id="rId35"/>
          <w:pgSz w:w="11906" w:h="16838" w:code="9"/>
          <w:pgMar w:top="1134" w:right="1418" w:bottom="1361" w:left="1418" w:header="573" w:footer="567" w:gutter="0"/>
          <w:cols w:space="708"/>
          <w:docGrid w:linePitch="360"/>
        </w:sectPr>
      </w:pPr>
      <w:r>
        <w:rPr>
          <w:lang w:eastAsia="ja-JP"/>
        </w:rPr>
        <w:tab/>
      </w: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36"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37"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151CED04"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38"/>
      <w:footerReference w:type="first" r:id="rId3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53733" w14:textId="77777777" w:rsidR="00D1271C" w:rsidRDefault="00D1271C" w:rsidP="00F02AEC">
      <w:pPr>
        <w:spacing w:after="0" w:line="240" w:lineRule="auto"/>
      </w:pPr>
      <w:r>
        <w:separator/>
      </w:r>
    </w:p>
  </w:endnote>
  <w:endnote w:type="continuationSeparator" w:id="0">
    <w:p w14:paraId="2416763A" w14:textId="77777777" w:rsidR="00D1271C" w:rsidRDefault="00D1271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ahnschrift SemiBold SemiConden">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1800"/>
    </w:tblGrid>
    <w:tr w:rsidR="007452E8" w:rsidRPr="00257138" w14:paraId="162D69C2" w14:textId="77777777" w:rsidTr="00AB6369">
      <w:trPr>
        <w:trHeight w:val="423"/>
      </w:trPr>
      <w:tc>
        <w:tcPr>
          <w:tcW w:w="8550" w:type="dxa"/>
          <w:tcBorders>
            <w:top w:val="single" w:sz="4" w:space="0" w:color="auto"/>
          </w:tcBorders>
        </w:tcPr>
        <w:p w14:paraId="07E86360" w14:textId="36C75821" w:rsidR="007452E8" w:rsidRPr="00CA3534" w:rsidRDefault="00AB6369" w:rsidP="00AB6369">
          <w:pPr>
            <w:pStyle w:val="Footer"/>
            <w:widowControl w:val="0"/>
            <w:contextualSpacing/>
          </w:pPr>
          <w:proofErr w:type="spellStart"/>
          <w:r w:rsidRPr="00CA3534">
            <w:t>AusPAR</w:t>
          </w:r>
          <w:proofErr w:type="spellEnd"/>
          <w:r w:rsidRPr="00CA3534">
            <w:t xml:space="preserve"> - FABHALTA - </w:t>
          </w:r>
          <w:proofErr w:type="spellStart"/>
          <w:r w:rsidRPr="00CA3534">
            <w:t>iptacopan</w:t>
          </w:r>
          <w:proofErr w:type="spellEnd"/>
          <w:r w:rsidRPr="00CA3534">
            <w:t xml:space="preserve"> – Novartis Pharmaceuticals Australia Pty Ltd - PM-2023-02564-1-6 - Type A</w:t>
          </w:r>
        </w:p>
        <w:p w14:paraId="1849C07C" w14:textId="68CE519A" w:rsidR="00CA4D9E" w:rsidRPr="00CA3534" w:rsidRDefault="00CA4D9E" w:rsidP="00AB6369">
          <w:pPr>
            <w:pStyle w:val="Footer"/>
            <w:widowControl w:val="0"/>
            <w:contextualSpacing/>
          </w:pPr>
          <w:r w:rsidRPr="00CA3534">
            <w:t>Date of Finalisation</w:t>
          </w:r>
          <w:r w:rsidR="00CA3534" w:rsidRPr="00CA3534">
            <w:t>: 8 July 2025</w:t>
          </w:r>
        </w:p>
      </w:tc>
      <w:tc>
        <w:tcPr>
          <w:tcW w:w="1800" w:type="dxa"/>
          <w:tcBorders>
            <w:top w:val="single" w:sz="4" w:space="0" w:color="auto"/>
          </w:tcBorders>
        </w:tcPr>
        <w:sdt>
          <w:sdtPr>
            <w:id w:val="1087729233"/>
            <w:docPartObj>
              <w:docPartGallery w:val="Page Numbers (Top of Page)"/>
              <w:docPartUnique/>
            </w:docPartObj>
          </w:sdtPr>
          <w:sdtEndPr/>
          <w:sdtContent>
            <w:p w14:paraId="5EDE6DF6" w14:textId="2EAB5E28" w:rsidR="007452E8" w:rsidRPr="00257138" w:rsidRDefault="007452E8" w:rsidP="00AB6369">
              <w:pPr>
                <w:pStyle w:val="Footer"/>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AB6369">
      <w:trPr>
        <w:trHeight w:val="263"/>
      </w:trPr>
      <w:tc>
        <w:tcPr>
          <w:tcW w:w="8550" w:type="dxa"/>
        </w:tcPr>
        <w:p w14:paraId="673F06D3" w14:textId="3FE67643" w:rsidR="00AB6369" w:rsidRPr="00257138" w:rsidRDefault="00AB6369" w:rsidP="00AB6369">
          <w:pPr>
            <w:pStyle w:val="Footer"/>
            <w:widowControl w:val="0"/>
            <w:tabs>
              <w:tab w:val="clear" w:pos="9026"/>
            </w:tabs>
            <w:contextualSpacing/>
          </w:pPr>
        </w:p>
      </w:tc>
      <w:tc>
        <w:tcPr>
          <w:tcW w:w="180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AB6369">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32"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190"/>
      <w:gridCol w:w="1242"/>
    </w:tblGrid>
    <w:tr w:rsidR="00235325" w:rsidRPr="004A3084" w14:paraId="6266BC33" w14:textId="77777777" w:rsidTr="00235325">
      <w:trPr>
        <w:trHeight w:val="423"/>
      </w:trPr>
      <w:tc>
        <w:tcPr>
          <w:tcW w:w="8190" w:type="dxa"/>
        </w:tcPr>
        <w:p w14:paraId="595E0707" w14:textId="77777777" w:rsidR="00235325" w:rsidRDefault="00235325" w:rsidP="00235325">
          <w:pPr>
            <w:pStyle w:val="Footer"/>
            <w:widowControl w:val="0"/>
            <w:contextualSpacing/>
          </w:pPr>
          <w:proofErr w:type="spellStart"/>
          <w:r w:rsidRPr="00AB6369">
            <w:t>AusPAR</w:t>
          </w:r>
          <w:proofErr w:type="spellEnd"/>
          <w:r w:rsidRPr="00AB6369">
            <w:t xml:space="preserve"> - FABHALTA - </w:t>
          </w:r>
          <w:proofErr w:type="spellStart"/>
          <w:r w:rsidRPr="00AB6369">
            <w:t>iptacopan</w:t>
          </w:r>
          <w:proofErr w:type="spellEnd"/>
          <w:r w:rsidRPr="00AB6369">
            <w:t xml:space="preserve"> </w:t>
          </w:r>
          <w:r>
            <w:t>–</w:t>
          </w:r>
          <w:r w:rsidRPr="00AB6369">
            <w:t xml:space="preserve"> Novartis</w:t>
          </w:r>
          <w:r>
            <w:t xml:space="preserve"> </w:t>
          </w:r>
          <w:r w:rsidRPr="00AB6369">
            <w:t>Pharmaceuticals Australia Pty Ltd - PM-2023-02564-1-6 - Type A</w:t>
          </w:r>
        </w:p>
        <w:p w14:paraId="3C421323" w14:textId="62D57E51" w:rsidR="00235325" w:rsidRPr="004A3084" w:rsidRDefault="00235325" w:rsidP="00235325">
          <w:pPr>
            <w:pStyle w:val="Footer"/>
          </w:pPr>
          <w:r w:rsidRPr="00A26BF3">
            <w:t>Date of Finalisation</w:t>
          </w:r>
          <w:r>
            <w:t>:</w:t>
          </w:r>
          <w:r w:rsidR="00A26BF3">
            <w:t xml:space="preserve"> </w:t>
          </w:r>
          <w:r w:rsidR="00A26BF3" w:rsidRPr="00A26BF3">
            <w:t>8 July 2025</w:t>
          </w:r>
        </w:p>
      </w:tc>
      <w:tc>
        <w:tcPr>
          <w:tcW w:w="1242" w:type="dxa"/>
        </w:tcPr>
        <w:sdt>
          <w:sdtPr>
            <w:id w:val="11571659"/>
            <w:docPartObj>
              <w:docPartGallery w:val="Page Numbers (Top of Page)"/>
              <w:docPartUnique/>
            </w:docPartObj>
          </w:sdtPr>
          <w:sdtEndPr/>
          <w:sdtContent>
            <w:p w14:paraId="4DE4ED0C" w14:textId="29F65FFD" w:rsidR="00235325" w:rsidRPr="004A3084" w:rsidRDefault="00235325" w:rsidP="00235325">
              <w:pPr>
                <w:pStyle w:val="Footer"/>
                <w:jc w:val="right"/>
              </w:pPr>
              <w:r w:rsidRPr="004A3084">
                <w:t xml:space="preserve">Page </w:t>
              </w:r>
              <w:r>
                <w:fldChar w:fldCharType="begin"/>
              </w:r>
              <w:r>
                <w:instrText xml:space="preserve"> PAGE </w:instrText>
              </w:r>
              <w:r>
                <w:fldChar w:fldCharType="separate"/>
              </w:r>
              <w:r>
                <w:rPr>
                  <w:noProof/>
                </w:rPr>
                <w:t>13</w:t>
              </w:r>
              <w:r>
                <w:rPr>
                  <w:noProof/>
                </w:rPr>
                <w:fldChar w:fldCharType="end"/>
              </w:r>
              <w:r w:rsidRPr="004A3084">
                <w:t xml:space="preserve"> of </w:t>
              </w:r>
              <w:r>
                <w:fldChar w:fldCharType="begin"/>
              </w:r>
              <w:r>
                <w:instrText>NUMPAGES</w:instrText>
              </w:r>
              <w:r>
                <w:fldChar w:fldCharType="separate"/>
              </w:r>
              <w:r>
                <w:rPr>
                  <w:noProof/>
                </w:rPr>
                <w:t>17</w:t>
              </w:r>
              <w:r>
                <w:fldChar w:fldCharType="end"/>
              </w:r>
            </w:p>
          </w:sdtContent>
        </w:sdt>
      </w:tc>
    </w:tr>
  </w:tbl>
  <w:p w14:paraId="5C7D8B84" w14:textId="77777777" w:rsidR="000840FC" w:rsidRDefault="000840FC" w:rsidP="004F499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487ED" w14:textId="77777777" w:rsidR="00D1271C" w:rsidRDefault="00D1271C" w:rsidP="00F02AEC">
      <w:pPr>
        <w:spacing w:after="0" w:line="240" w:lineRule="auto"/>
      </w:pPr>
      <w:r>
        <w:separator/>
      </w:r>
    </w:p>
  </w:footnote>
  <w:footnote w:type="continuationSeparator" w:id="0">
    <w:p w14:paraId="2B1EDA60" w14:textId="77777777" w:rsidR="00D1271C" w:rsidRDefault="00D1271C" w:rsidP="00F02AEC">
      <w:pPr>
        <w:spacing w:after="0" w:line="240" w:lineRule="auto"/>
      </w:pPr>
      <w:r>
        <w:continuationSeparator/>
      </w:r>
    </w:p>
  </w:footnote>
  <w:footnote w:id="1">
    <w:p w14:paraId="68402A9B" w14:textId="75D5E1BB"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3105E1">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6CE6FE98" w14:textId="57CE3E11" w:rsidR="004D7E1F" w:rsidRDefault="004D7E1F">
      <w:pPr>
        <w:pStyle w:val="FootnoteText"/>
      </w:pPr>
      <w:r>
        <w:rPr>
          <w:rStyle w:val="FootnoteReference"/>
        </w:rPr>
        <w:footnoteRef/>
      </w:r>
      <w:r>
        <w:t xml:space="preserve"> </w:t>
      </w:r>
      <w:r w:rsidRPr="004D7E1F">
        <w:t>Bessler M, Mason PJ, Hillmen P, Miyata T, Yamada N, Takeda J, Luzzatto L, Kinoshita T. Paroxysmal nocturnal haemoglobinuria (PNH) is caused by somatic mutations in the PIG-A gene. EMBO J. 1994 Jan 1;13(1):110-7. doi: 10.1002/j.1460-2075.1994.tb06240.x. PMID: 8306954; PMCID: PMC394784.</w:t>
      </w:r>
    </w:p>
  </w:footnote>
  <w:footnote w:id="3">
    <w:p w14:paraId="452D76D8" w14:textId="40C33B5D" w:rsidR="00CD2127" w:rsidRDefault="00CD2127">
      <w:pPr>
        <w:pStyle w:val="FootnoteText"/>
      </w:pPr>
      <w:r>
        <w:rPr>
          <w:rStyle w:val="FootnoteReference"/>
        </w:rPr>
        <w:footnoteRef/>
      </w:r>
      <w:r>
        <w:t xml:space="preserve"> </w:t>
      </w:r>
      <w:r w:rsidRPr="00CD2127">
        <w:t>Miyata T, Yamada N, Iida Y, Nishimura J, Takeda J, Kitani T, Kinoshita T. Abnormalities of PIG-A transcripts in granulocytes from patients with paroxysmal nocturnal hemoglobinuria. N Engl J Med. 1994 Jan 27;330(4):249-55. doi: 10.1056/NEJM199401273300404. PMID: 8272086.</w:t>
      </w:r>
    </w:p>
  </w:footnote>
  <w:footnote w:id="4">
    <w:p w14:paraId="3BEA9DE9" w14:textId="27F13DB4" w:rsidR="002766D1" w:rsidRDefault="002766D1">
      <w:pPr>
        <w:pStyle w:val="FootnoteText"/>
      </w:pPr>
      <w:r>
        <w:rPr>
          <w:rStyle w:val="FootnoteReference"/>
        </w:rPr>
        <w:footnoteRef/>
      </w:r>
      <w:r>
        <w:t xml:space="preserve"> </w:t>
      </w:r>
      <w:r w:rsidRPr="002766D1">
        <w:t>Brodsky RA. Paroxysmal nocturnal hemoglobinuria. Blood. 2014 Oct 30;124(18):2804-11. doi: 10.1182/blood-2014-02-522128. Epub 2014 Sep 18. PMID: 25237200; PMCID: PMC4215311.</w:t>
      </w:r>
    </w:p>
  </w:footnote>
  <w:footnote w:id="5">
    <w:p w14:paraId="37FC0BAA" w14:textId="57FF117B" w:rsidR="009E5E19" w:rsidRDefault="009E5E19">
      <w:pPr>
        <w:pStyle w:val="FootnoteText"/>
      </w:pPr>
      <w:r>
        <w:rPr>
          <w:rStyle w:val="FootnoteReference"/>
        </w:rPr>
        <w:footnoteRef/>
      </w:r>
      <w:r>
        <w:t xml:space="preserve"> </w:t>
      </w:r>
      <w:r w:rsidRPr="009E5E19">
        <w:t>Hill A, DeZern AE, Kinoshita T, Brodsky RA. Paroxysmal nocturnal haemoglobinuria. Nat Rev Dis Primers. 2017 May 18;3:17028. doi: 10.1038/nrdp.2017.28. PMID: 28516949; PMCID: PMC7879566.</w:t>
      </w:r>
    </w:p>
  </w:footnote>
  <w:footnote w:id="6">
    <w:p w14:paraId="32946E71" w14:textId="025E9290" w:rsidR="00F00B76" w:rsidRDefault="00F00B76">
      <w:pPr>
        <w:pStyle w:val="FootnoteText"/>
      </w:pPr>
      <w:r>
        <w:rPr>
          <w:rStyle w:val="FootnoteReference"/>
        </w:rPr>
        <w:footnoteRef/>
      </w:r>
      <w:r>
        <w:t xml:space="preserve"> </w:t>
      </w:r>
      <w:r w:rsidRPr="00F00B76">
        <w:t>Cançado RD, Araújo ADS, Sandes AF, Arrais C, Lobo CLC, Figueiredo MS, Gualandro SFM, Saad STO, Costa FF. Consensus statement for diagnosis and treatment of paroxysmal nocturnal haemoglobinuria. Hematol Transfus Cell Ther. 2021 Jul-Sep;43(3):341-348. doi: 10.1016/j.htct.2020.06.006. Epub 2020 Jul 6. PMID: 32713742; PMCID: PMC8446255.</w:t>
      </w:r>
    </w:p>
  </w:footnote>
  <w:footnote w:id="7">
    <w:p w14:paraId="7E7504B5" w14:textId="2F33B6A8" w:rsidR="00F00B76" w:rsidRDefault="00F00B76">
      <w:pPr>
        <w:pStyle w:val="FootnoteText"/>
      </w:pPr>
      <w:r>
        <w:rPr>
          <w:rStyle w:val="FootnoteReference"/>
        </w:rPr>
        <w:footnoteRef/>
      </w:r>
      <w:r>
        <w:t xml:space="preserve"> </w:t>
      </w:r>
      <w:r w:rsidRPr="00F00B76">
        <w:t xml:space="preserve">Hill </w:t>
      </w:r>
      <w:r w:rsidRPr="00F00B76">
        <w:rPr>
          <w:i/>
          <w:iCs/>
        </w:rPr>
        <w:t>e</w:t>
      </w:r>
      <w:r w:rsidR="00444011">
        <w:rPr>
          <w:i/>
          <w:iCs/>
        </w:rPr>
        <w:t>t</w:t>
      </w:r>
      <w:r w:rsidRPr="00F00B76">
        <w:rPr>
          <w:i/>
          <w:iCs/>
        </w:rPr>
        <w:t xml:space="preserve"> al.</w:t>
      </w:r>
      <w:r>
        <w:t>,</w:t>
      </w:r>
      <w:r w:rsidRPr="00F00B76">
        <w:t xml:space="preserve"> 2017</w:t>
      </w:r>
    </w:p>
  </w:footnote>
  <w:footnote w:id="8">
    <w:p w14:paraId="4130FF63" w14:textId="6C74F8E6" w:rsidR="00CF4E33" w:rsidRDefault="00CF4E33">
      <w:pPr>
        <w:pStyle w:val="FootnoteText"/>
      </w:pPr>
      <w:r>
        <w:rPr>
          <w:rStyle w:val="FootnoteReference"/>
        </w:rPr>
        <w:footnoteRef/>
      </w:r>
      <w:r>
        <w:t xml:space="preserve"> </w:t>
      </w:r>
      <w:r w:rsidRPr="00CF4E33">
        <w:t>Risitano AM, Marotta S, Ricci P, Marano L, Frieri C, Cacace F, Sica M, Kulasekararaj A, Calado RT, Scheinberg P, Notaro R, Peffault de Latour R. Anti-complement Treatment for Paroxysmal Nocturnal Hemoglobinuria: Time for Proximal Complement Inhibition? A Position Paper From the SAAWP of the EBMT. Front Immunol. 2019 Jun 14;10:1157. doi: 10.3389/fimmu.2019.01157. PMID: 31258525; PMCID: PMC6587878.</w:t>
      </w:r>
    </w:p>
  </w:footnote>
  <w:footnote w:id="9">
    <w:p w14:paraId="7ABA938E" w14:textId="5E1083D6" w:rsidR="00BB10D3" w:rsidRDefault="00BB10D3">
      <w:pPr>
        <w:pStyle w:val="FootnoteText"/>
      </w:pPr>
      <w:r>
        <w:rPr>
          <w:rStyle w:val="FootnoteReference"/>
        </w:rPr>
        <w:footnoteRef/>
      </w:r>
      <w:r>
        <w:t xml:space="preserve"> </w:t>
      </w:r>
      <w:r w:rsidRPr="00BB10D3">
        <w:t>Debureaux et al. Bone Marrow Transplant 2021;56(10):2600-2602</w:t>
      </w:r>
    </w:p>
  </w:footnote>
  <w:footnote w:id="10">
    <w:p w14:paraId="75402C6B" w14:textId="3D74A81B" w:rsidR="009F5D14" w:rsidRDefault="009F5D14">
      <w:pPr>
        <w:pStyle w:val="FootnoteText"/>
      </w:pPr>
      <w:r>
        <w:rPr>
          <w:rStyle w:val="FootnoteReference"/>
        </w:rPr>
        <w:footnoteRef/>
      </w:r>
      <w:r w:rsidR="00E16410">
        <w:t xml:space="preserve"> </w:t>
      </w:r>
      <w:r w:rsidR="00E16410" w:rsidRPr="00E16410">
        <w:t>International Council for Harmonisation of Technical Requirements for Pharmaceuticals for Human Us</w:t>
      </w:r>
      <w:r w:rsidR="00E16410">
        <w:t xml:space="preserve">. </w:t>
      </w:r>
      <w:hyperlink r:id="rId1" w:history="1">
        <w:r w:rsidRPr="000837CB">
          <w:rPr>
            <w:rStyle w:val="Hyperlink"/>
          </w:rPr>
          <w:t>ICH M3 (R2) Non-clinical safety studies for the conduct of human clinical trials for pharmaceuticals - Scientific guideline</w:t>
        </w:r>
      </w:hyperlink>
      <w:r>
        <w:t xml:space="preserve">. </w:t>
      </w:r>
      <w:r w:rsidR="00E16410">
        <w:t xml:space="preserve">2013.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AF32E5"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067D"/>
    <w:multiLevelType w:val="hybridMultilevel"/>
    <w:tmpl w:val="22BAB432"/>
    <w:lvl w:ilvl="0" w:tplc="70C6C5CA">
      <w:numFmt w:val="bullet"/>
      <w:lvlText w:val=""/>
      <w:lvlJc w:val="left"/>
      <w:pPr>
        <w:ind w:left="500" w:hanging="150"/>
      </w:pPr>
      <w:rPr>
        <w:rFonts w:ascii="Wingdings" w:eastAsia="Wingdings" w:hAnsi="Wingdings" w:cs="Wingdings" w:hint="default"/>
        <w:b w:val="0"/>
        <w:bCs w:val="0"/>
        <w:i w:val="0"/>
        <w:iCs w:val="0"/>
        <w:spacing w:val="-1"/>
        <w:w w:val="95"/>
        <w:sz w:val="17"/>
        <w:szCs w:val="17"/>
        <w:lang w:val="en-US" w:eastAsia="en-US" w:bidi="ar-SA"/>
      </w:rPr>
    </w:lvl>
    <w:lvl w:ilvl="1" w:tplc="53BE12CC">
      <w:numFmt w:val="bullet"/>
      <w:lvlText w:val="•"/>
      <w:lvlJc w:val="left"/>
      <w:pPr>
        <w:ind w:left="551" w:hanging="150"/>
      </w:pPr>
      <w:rPr>
        <w:rFonts w:hint="default"/>
        <w:lang w:val="en-US" w:eastAsia="en-US" w:bidi="ar-SA"/>
      </w:rPr>
    </w:lvl>
    <w:lvl w:ilvl="2" w:tplc="7DEAED7A">
      <w:numFmt w:val="bullet"/>
      <w:lvlText w:val="•"/>
      <w:lvlJc w:val="left"/>
      <w:pPr>
        <w:ind w:left="602" w:hanging="150"/>
      </w:pPr>
      <w:rPr>
        <w:rFonts w:hint="default"/>
        <w:lang w:val="en-US" w:eastAsia="en-US" w:bidi="ar-SA"/>
      </w:rPr>
    </w:lvl>
    <w:lvl w:ilvl="3" w:tplc="28605384">
      <w:numFmt w:val="bullet"/>
      <w:lvlText w:val="•"/>
      <w:lvlJc w:val="left"/>
      <w:pPr>
        <w:ind w:left="653" w:hanging="150"/>
      </w:pPr>
      <w:rPr>
        <w:rFonts w:hint="default"/>
        <w:lang w:val="en-US" w:eastAsia="en-US" w:bidi="ar-SA"/>
      </w:rPr>
    </w:lvl>
    <w:lvl w:ilvl="4" w:tplc="7092100C">
      <w:numFmt w:val="bullet"/>
      <w:lvlText w:val="•"/>
      <w:lvlJc w:val="left"/>
      <w:pPr>
        <w:ind w:left="705" w:hanging="150"/>
      </w:pPr>
      <w:rPr>
        <w:rFonts w:hint="default"/>
        <w:lang w:val="en-US" w:eastAsia="en-US" w:bidi="ar-SA"/>
      </w:rPr>
    </w:lvl>
    <w:lvl w:ilvl="5" w:tplc="0290C134">
      <w:numFmt w:val="bullet"/>
      <w:lvlText w:val="•"/>
      <w:lvlJc w:val="left"/>
      <w:pPr>
        <w:ind w:left="756" w:hanging="150"/>
      </w:pPr>
      <w:rPr>
        <w:rFonts w:hint="default"/>
        <w:lang w:val="en-US" w:eastAsia="en-US" w:bidi="ar-SA"/>
      </w:rPr>
    </w:lvl>
    <w:lvl w:ilvl="6" w:tplc="778802C4">
      <w:numFmt w:val="bullet"/>
      <w:lvlText w:val="•"/>
      <w:lvlJc w:val="left"/>
      <w:pPr>
        <w:ind w:left="807" w:hanging="150"/>
      </w:pPr>
      <w:rPr>
        <w:rFonts w:hint="default"/>
        <w:lang w:val="en-US" w:eastAsia="en-US" w:bidi="ar-SA"/>
      </w:rPr>
    </w:lvl>
    <w:lvl w:ilvl="7" w:tplc="7AA0BED8">
      <w:numFmt w:val="bullet"/>
      <w:lvlText w:val="•"/>
      <w:lvlJc w:val="left"/>
      <w:pPr>
        <w:ind w:left="858" w:hanging="150"/>
      </w:pPr>
      <w:rPr>
        <w:rFonts w:hint="default"/>
        <w:lang w:val="en-US" w:eastAsia="en-US" w:bidi="ar-SA"/>
      </w:rPr>
    </w:lvl>
    <w:lvl w:ilvl="8" w:tplc="028886EC">
      <w:numFmt w:val="bullet"/>
      <w:lvlText w:val="•"/>
      <w:lvlJc w:val="left"/>
      <w:pPr>
        <w:ind w:left="910" w:hanging="150"/>
      </w:pPr>
      <w:rPr>
        <w:rFonts w:hint="default"/>
        <w:lang w:val="en-US" w:eastAsia="en-US" w:bidi="ar-SA"/>
      </w:rPr>
    </w:lvl>
  </w:abstractNum>
  <w:abstractNum w:abstractNumId="1" w15:restartNumberingAfterBreak="0">
    <w:nsid w:val="0A017648"/>
    <w:multiLevelType w:val="hybridMultilevel"/>
    <w:tmpl w:val="F934DD6A"/>
    <w:lvl w:ilvl="0" w:tplc="C088B788">
      <w:numFmt w:val="bullet"/>
      <w:lvlText w:val=""/>
      <w:lvlJc w:val="left"/>
      <w:pPr>
        <w:ind w:left="828" w:hanging="361"/>
      </w:pPr>
      <w:rPr>
        <w:rFonts w:ascii="Symbol" w:eastAsia="Symbol" w:hAnsi="Symbol" w:cs="Symbol" w:hint="default"/>
        <w:b w:val="0"/>
        <w:bCs w:val="0"/>
        <w:i w:val="0"/>
        <w:iCs w:val="0"/>
        <w:spacing w:val="0"/>
        <w:w w:val="100"/>
        <w:sz w:val="21"/>
        <w:szCs w:val="21"/>
        <w:lang w:val="en-US" w:eastAsia="en-US" w:bidi="ar-SA"/>
      </w:rPr>
    </w:lvl>
    <w:lvl w:ilvl="1" w:tplc="8E026F38">
      <w:numFmt w:val="bullet"/>
      <w:lvlText w:val="o"/>
      <w:lvlJc w:val="left"/>
      <w:pPr>
        <w:ind w:left="1548" w:hanging="360"/>
      </w:pPr>
      <w:rPr>
        <w:rFonts w:ascii="Courier New" w:eastAsia="Courier New" w:hAnsi="Courier New" w:cs="Courier New" w:hint="default"/>
        <w:b w:val="0"/>
        <w:bCs w:val="0"/>
        <w:i w:val="0"/>
        <w:iCs w:val="0"/>
        <w:spacing w:val="0"/>
        <w:w w:val="100"/>
        <w:sz w:val="21"/>
        <w:szCs w:val="21"/>
        <w:lang w:val="en-US" w:eastAsia="en-US" w:bidi="ar-SA"/>
      </w:rPr>
    </w:lvl>
    <w:lvl w:ilvl="2" w:tplc="4E24219E">
      <w:numFmt w:val="bullet"/>
      <w:lvlText w:val="•"/>
      <w:lvlJc w:val="left"/>
      <w:pPr>
        <w:ind w:left="2165" w:hanging="360"/>
      </w:pPr>
      <w:rPr>
        <w:rFonts w:hint="default"/>
        <w:lang w:val="en-US" w:eastAsia="en-US" w:bidi="ar-SA"/>
      </w:rPr>
    </w:lvl>
    <w:lvl w:ilvl="3" w:tplc="1A5C7C48">
      <w:numFmt w:val="bullet"/>
      <w:lvlText w:val="•"/>
      <w:lvlJc w:val="left"/>
      <w:pPr>
        <w:ind w:left="2790" w:hanging="360"/>
      </w:pPr>
      <w:rPr>
        <w:rFonts w:hint="default"/>
        <w:lang w:val="en-US" w:eastAsia="en-US" w:bidi="ar-SA"/>
      </w:rPr>
    </w:lvl>
    <w:lvl w:ilvl="4" w:tplc="6E0882E4">
      <w:numFmt w:val="bullet"/>
      <w:lvlText w:val="•"/>
      <w:lvlJc w:val="left"/>
      <w:pPr>
        <w:ind w:left="3416" w:hanging="360"/>
      </w:pPr>
      <w:rPr>
        <w:rFonts w:hint="default"/>
        <w:lang w:val="en-US" w:eastAsia="en-US" w:bidi="ar-SA"/>
      </w:rPr>
    </w:lvl>
    <w:lvl w:ilvl="5" w:tplc="0270CEDE">
      <w:numFmt w:val="bullet"/>
      <w:lvlText w:val="•"/>
      <w:lvlJc w:val="left"/>
      <w:pPr>
        <w:ind w:left="4041" w:hanging="360"/>
      </w:pPr>
      <w:rPr>
        <w:rFonts w:hint="default"/>
        <w:lang w:val="en-US" w:eastAsia="en-US" w:bidi="ar-SA"/>
      </w:rPr>
    </w:lvl>
    <w:lvl w:ilvl="6" w:tplc="C60EB4F4">
      <w:numFmt w:val="bullet"/>
      <w:lvlText w:val="•"/>
      <w:lvlJc w:val="left"/>
      <w:pPr>
        <w:ind w:left="4666" w:hanging="360"/>
      </w:pPr>
      <w:rPr>
        <w:rFonts w:hint="default"/>
        <w:lang w:val="en-US" w:eastAsia="en-US" w:bidi="ar-SA"/>
      </w:rPr>
    </w:lvl>
    <w:lvl w:ilvl="7" w:tplc="78E456A6">
      <w:numFmt w:val="bullet"/>
      <w:lvlText w:val="•"/>
      <w:lvlJc w:val="left"/>
      <w:pPr>
        <w:ind w:left="5292" w:hanging="360"/>
      </w:pPr>
      <w:rPr>
        <w:rFonts w:hint="default"/>
        <w:lang w:val="en-US" w:eastAsia="en-US" w:bidi="ar-SA"/>
      </w:rPr>
    </w:lvl>
    <w:lvl w:ilvl="8" w:tplc="710E86A6">
      <w:numFmt w:val="bullet"/>
      <w:lvlText w:val="•"/>
      <w:lvlJc w:val="left"/>
      <w:pPr>
        <w:ind w:left="5917" w:hanging="360"/>
      </w:pPr>
      <w:rPr>
        <w:rFonts w:hint="default"/>
        <w:lang w:val="en-US" w:eastAsia="en-US" w:bidi="ar-SA"/>
      </w:rPr>
    </w:lvl>
  </w:abstractNum>
  <w:abstractNum w:abstractNumId="2" w15:restartNumberingAfterBreak="0">
    <w:nsid w:val="0CC044DA"/>
    <w:multiLevelType w:val="hybridMultilevel"/>
    <w:tmpl w:val="3CF04C46"/>
    <w:lvl w:ilvl="0" w:tplc="A342B744">
      <w:numFmt w:val="bullet"/>
      <w:lvlText w:val=""/>
      <w:lvlJc w:val="left"/>
      <w:pPr>
        <w:ind w:left="500" w:hanging="150"/>
      </w:pPr>
      <w:rPr>
        <w:rFonts w:ascii="Wingdings" w:eastAsia="Wingdings" w:hAnsi="Wingdings" w:cs="Wingdings" w:hint="default"/>
        <w:b w:val="0"/>
        <w:bCs w:val="0"/>
        <w:i w:val="0"/>
        <w:iCs w:val="0"/>
        <w:spacing w:val="-1"/>
        <w:w w:val="95"/>
        <w:sz w:val="17"/>
        <w:szCs w:val="17"/>
        <w:lang w:val="en-US" w:eastAsia="en-US" w:bidi="ar-SA"/>
      </w:rPr>
    </w:lvl>
    <w:lvl w:ilvl="1" w:tplc="3410AF5E">
      <w:numFmt w:val="bullet"/>
      <w:lvlText w:val="•"/>
      <w:lvlJc w:val="left"/>
      <w:pPr>
        <w:ind w:left="551" w:hanging="150"/>
      </w:pPr>
      <w:rPr>
        <w:rFonts w:hint="default"/>
        <w:lang w:val="en-US" w:eastAsia="en-US" w:bidi="ar-SA"/>
      </w:rPr>
    </w:lvl>
    <w:lvl w:ilvl="2" w:tplc="55702392">
      <w:numFmt w:val="bullet"/>
      <w:lvlText w:val="•"/>
      <w:lvlJc w:val="left"/>
      <w:pPr>
        <w:ind w:left="602" w:hanging="150"/>
      </w:pPr>
      <w:rPr>
        <w:rFonts w:hint="default"/>
        <w:lang w:val="en-US" w:eastAsia="en-US" w:bidi="ar-SA"/>
      </w:rPr>
    </w:lvl>
    <w:lvl w:ilvl="3" w:tplc="1964725C">
      <w:numFmt w:val="bullet"/>
      <w:lvlText w:val="•"/>
      <w:lvlJc w:val="left"/>
      <w:pPr>
        <w:ind w:left="653" w:hanging="150"/>
      </w:pPr>
      <w:rPr>
        <w:rFonts w:hint="default"/>
        <w:lang w:val="en-US" w:eastAsia="en-US" w:bidi="ar-SA"/>
      </w:rPr>
    </w:lvl>
    <w:lvl w:ilvl="4" w:tplc="D1DEB802">
      <w:numFmt w:val="bullet"/>
      <w:lvlText w:val="•"/>
      <w:lvlJc w:val="left"/>
      <w:pPr>
        <w:ind w:left="705" w:hanging="150"/>
      </w:pPr>
      <w:rPr>
        <w:rFonts w:hint="default"/>
        <w:lang w:val="en-US" w:eastAsia="en-US" w:bidi="ar-SA"/>
      </w:rPr>
    </w:lvl>
    <w:lvl w:ilvl="5" w:tplc="DA78D432">
      <w:numFmt w:val="bullet"/>
      <w:lvlText w:val="•"/>
      <w:lvlJc w:val="left"/>
      <w:pPr>
        <w:ind w:left="756" w:hanging="150"/>
      </w:pPr>
      <w:rPr>
        <w:rFonts w:hint="default"/>
        <w:lang w:val="en-US" w:eastAsia="en-US" w:bidi="ar-SA"/>
      </w:rPr>
    </w:lvl>
    <w:lvl w:ilvl="6" w:tplc="4018500E">
      <w:numFmt w:val="bullet"/>
      <w:lvlText w:val="•"/>
      <w:lvlJc w:val="left"/>
      <w:pPr>
        <w:ind w:left="807" w:hanging="150"/>
      </w:pPr>
      <w:rPr>
        <w:rFonts w:hint="default"/>
        <w:lang w:val="en-US" w:eastAsia="en-US" w:bidi="ar-SA"/>
      </w:rPr>
    </w:lvl>
    <w:lvl w:ilvl="7" w:tplc="84D67B84">
      <w:numFmt w:val="bullet"/>
      <w:lvlText w:val="•"/>
      <w:lvlJc w:val="left"/>
      <w:pPr>
        <w:ind w:left="858" w:hanging="150"/>
      </w:pPr>
      <w:rPr>
        <w:rFonts w:hint="default"/>
        <w:lang w:val="en-US" w:eastAsia="en-US" w:bidi="ar-SA"/>
      </w:rPr>
    </w:lvl>
    <w:lvl w:ilvl="8" w:tplc="EEF49478">
      <w:numFmt w:val="bullet"/>
      <w:lvlText w:val="•"/>
      <w:lvlJc w:val="left"/>
      <w:pPr>
        <w:ind w:left="910" w:hanging="150"/>
      </w:pPr>
      <w:rPr>
        <w:rFonts w:hint="default"/>
        <w:lang w:val="en-US" w:eastAsia="en-US" w:bidi="ar-SA"/>
      </w:r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196C0561"/>
    <w:multiLevelType w:val="hybridMultilevel"/>
    <w:tmpl w:val="2CCC17FA"/>
    <w:lvl w:ilvl="0" w:tplc="16AAEA08">
      <w:numFmt w:val="bullet"/>
      <w:lvlText w:val=""/>
      <w:lvlJc w:val="left"/>
      <w:pPr>
        <w:ind w:left="828" w:hanging="361"/>
      </w:pPr>
      <w:rPr>
        <w:rFonts w:ascii="Symbol" w:eastAsia="Symbol" w:hAnsi="Symbol" w:cs="Symbol" w:hint="default"/>
        <w:b w:val="0"/>
        <w:bCs w:val="0"/>
        <w:i w:val="0"/>
        <w:iCs w:val="0"/>
        <w:spacing w:val="0"/>
        <w:w w:val="100"/>
        <w:sz w:val="21"/>
        <w:szCs w:val="21"/>
        <w:lang w:val="en-US" w:eastAsia="en-US" w:bidi="ar-SA"/>
      </w:rPr>
    </w:lvl>
    <w:lvl w:ilvl="1" w:tplc="BC04926E">
      <w:numFmt w:val="bullet"/>
      <w:lvlText w:val="o"/>
      <w:lvlJc w:val="left"/>
      <w:pPr>
        <w:ind w:left="1548" w:hanging="360"/>
      </w:pPr>
      <w:rPr>
        <w:rFonts w:ascii="Courier New" w:eastAsia="Courier New" w:hAnsi="Courier New" w:cs="Courier New" w:hint="default"/>
        <w:b w:val="0"/>
        <w:bCs w:val="0"/>
        <w:i w:val="0"/>
        <w:iCs w:val="0"/>
        <w:spacing w:val="0"/>
        <w:w w:val="100"/>
        <w:sz w:val="21"/>
        <w:szCs w:val="21"/>
        <w:lang w:val="en-US" w:eastAsia="en-US" w:bidi="ar-SA"/>
      </w:rPr>
    </w:lvl>
    <w:lvl w:ilvl="2" w:tplc="E996E30C">
      <w:numFmt w:val="bullet"/>
      <w:lvlText w:val="•"/>
      <w:lvlJc w:val="left"/>
      <w:pPr>
        <w:ind w:left="2165" w:hanging="360"/>
      </w:pPr>
      <w:rPr>
        <w:rFonts w:hint="default"/>
        <w:lang w:val="en-US" w:eastAsia="en-US" w:bidi="ar-SA"/>
      </w:rPr>
    </w:lvl>
    <w:lvl w:ilvl="3" w:tplc="FA6A64AA">
      <w:numFmt w:val="bullet"/>
      <w:lvlText w:val="•"/>
      <w:lvlJc w:val="left"/>
      <w:pPr>
        <w:ind w:left="2790" w:hanging="360"/>
      </w:pPr>
      <w:rPr>
        <w:rFonts w:hint="default"/>
        <w:lang w:val="en-US" w:eastAsia="en-US" w:bidi="ar-SA"/>
      </w:rPr>
    </w:lvl>
    <w:lvl w:ilvl="4" w:tplc="4434E9FC">
      <w:numFmt w:val="bullet"/>
      <w:lvlText w:val="•"/>
      <w:lvlJc w:val="left"/>
      <w:pPr>
        <w:ind w:left="3416" w:hanging="360"/>
      </w:pPr>
      <w:rPr>
        <w:rFonts w:hint="default"/>
        <w:lang w:val="en-US" w:eastAsia="en-US" w:bidi="ar-SA"/>
      </w:rPr>
    </w:lvl>
    <w:lvl w:ilvl="5" w:tplc="0800532A">
      <w:numFmt w:val="bullet"/>
      <w:lvlText w:val="•"/>
      <w:lvlJc w:val="left"/>
      <w:pPr>
        <w:ind w:left="4041" w:hanging="360"/>
      </w:pPr>
      <w:rPr>
        <w:rFonts w:hint="default"/>
        <w:lang w:val="en-US" w:eastAsia="en-US" w:bidi="ar-SA"/>
      </w:rPr>
    </w:lvl>
    <w:lvl w:ilvl="6" w:tplc="C4F0D51A">
      <w:numFmt w:val="bullet"/>
      <w:lvlText w:val="•"/>
      <w:lvlJc w:val="left"/>
      <w:pPr>
        <w:ind w:left="4666" w:hanging="360"/>
      </w:pPr>
      <w:rPr>
        <w:rFonts w:hint="default"/>
        <w:lang w:val="en-US" w:eastAsia="en-US" w:bidi="ar-SA"/>
      </w:rPr>
    </w:lvl>
    <w:lvl w:ilvl="7" w:tplc="EB2457CC">
      <w:numFmt w:val="bullet"/>
      <w:lvlText w:val="•"/>
      <w:lvlJc w:val="left"/>
      <w:pPr>
        <w:ind w:left="5292" w:hanging="360"/>
      </w:pPr>
      <w:rPr>
        <w:rFonts w:hint="default"/>
        <w:lang w:val="en-US" w:eastAsia="en-US" w:bidi="ar-SA"/>
      </w:rPr>
    </w:lvl>
    <w:lvl w:ilvl="8" w:tplc="BEAAFF08">
      <w:numFmt w:val="bullet"/>
      <w:lvlText w:val="•"/>
      <w:lvlJc w:val="left"/>
      <w:pPr>
        <w:ind w:left="5917" w:hanging="360"/>
      </w:pPr>
      <w:rPr>
        <w:rFonts w:hint="default"/>
        <w:lang w:val="en-US" w:eastAsia="en-US" w:bidi="ar-SA"/>
      </w:rPr>
    </w:lvl>
  </w:abstractNum>
  <w:abstractNum w:abstractNumId="9" w15:restartNumberingAfterBreak="0">
    <w:nsid w:val="1E6004DB"/>
    <w:multiLevelType w:val="hybridMultilevel"/>
    <w:tmpl w:val="0660FA1C"/>
    <w:lvl w:ilvl="0" w:tplc="A012636E">
      <w:numFmt w:val="bullet"/>
      <w:lvlText w:val=""/>
      <w:lvlJc w:val="left"/>
      <w:pPr>
        <w:ind w:left="491" w:hanging="150"/>
      </w:pPr>
      <w:rPr>
        <w:rFonts w:ascii="Wingdings" w:eastAsia="Wingdings" w:hAnsi="Wingdings" w:cs="Wingdings" w:hint="default"/>
        <w:b w:val="0"/>
        <w:bCs w:val="0"/>
        <w:i w:val="0"/>
        <w:iCs w:val="0"/>
        <w:spacing w:val="0"/>
        <w:w w:val="99"/>
        <w:sz w:val="17"/>
        <w:szCs w:val="17"/>
        <w:lang w:val="en-US" w:eastAsia="en-US" w:bidi="ar-SA"/>
      </w:rPr>
    </w:lvl>
    <w:lvl w:ilvl="1" w:tplc="FAE26AF8">
      <w:numFmt w:val="bullet"/>
      <w:lvlText w:val="•"/>
      <w:lvlJc w:val="left"/>
      <w:pPr>
        <w:ind w:left="531" w:hanging="150"/>
      </w:pPr>
      <w:rPr>
        <w:rFonts w:hint="default"/>
        <w:lang w:val="en-US" w:eastAsia="en-US" w:bidi="ar-SA"/>
      </w:rPr>
    </w:lvl>
    <w:lvl w:ilvl="2" w:tplc="143C985A">
      <w:numFmt w:val="bullet"/>
      <w:lvlText w:val="•"/>
      <w:lvlJc w:val="left"/>
      <w:pPr>
        <w:ind w:left="563" w:hanging="150"/>
      </w:pPr>
      <w:rPr>
        <w:rFonts w:hint="default"/>
        <w:lang w:val="en-US" w:eastAsia="en-US" w:bidi="ar-SA"/>
      </w:rPr>
    </w:lvl>
    <w:lvl w:ilvl="3" w:tplc="2E84FB62">
      <w:numFmt w:val="bullet"/>
      <w:lvlText w:val="•"/>
      <w:lvlJc w:val="left"/>
      <w:pPr>
        <w:ind w:left="594" w:hanging="150"/>
      </w:pPr>
      <w:rPr>
        <w:rFonts w:hint="default"/>
        <w:lang w:val="en-US" w:eastAsia="en-US" w:bidi="ar-SA"/>
      </w:rPr>
    </w:lvl>
    <w:lvl w:ilvl="4" w:tplc="A126D74C">
      <w:numFmt w:val="bullet"/>
      <w:lvlText w:val="•"/>
      <w:lvlJc w:val="left"/>
      <w:pPr>
        <w:ind w:left="626" w:hanging="150"/>
      </w:pPr>
      <w:rPr>
        <w:rFonts w:hint="default"/>
        <w:lang w:val="en-US" w:eastAsia="en-US" w:bidi="ar-SA"/>
      </w:rPr>
    </w:lvl>
    <w:lvl w:ilvl="5" w:tplc="1A22D810">
      <w:numFmt w:val="bullet"/>
      <w:lvlText w:val="•"/>
      <w:lvlJc w:val="left"/>
      <w:pPr>
        <w:ind w:left="657" w:hanging="150"/>
      </w:pPr>
      <w:rPr>
        <w:rFonts w:hint="default"/>
        <w:lang w:val="en-US" w:eastAsia="en-US" w:bidi="ar-SA"/>
      </w:rPr>
    </w:lvl>
    <w:lvl w:ilvl="6" w:tplc="A0C400FC">
      <w:numFmt w:val="bullet"/>
      <w:lvlText w:val="•"/>
      <w:lvlJc w:val="left"/>
      <w:pPr>
        <w:ind w:left="689" w:hanging="150"/>
      </w:pPr>
      <w:rPr>
        <w:rFonts w:hint="default"/>
        <w:lang w:val="en-US" w:eastAsia="en-US" w:bidi="ar-SA"/>
      </w:rPr>
    </w:lvl>
    <w:lvl w:ilvl="7" w:tplc="FEBC3116">
      <w:numFmt w:val="bullet"/>
      <w:lvlText w:val="•"/>
      <w:lvlJc w:val="left"/>
      <w:pPr>
        <w:ind w:left="720" w:hanging="150"/>
      </w:pPr>
      <w:rPr>
        <w:rFonts w:hint="default"/>
        <w:lang w:val="en-US" w:eastAsia="en-US" w:bidi="ar-SA"/>
      </w:rPr>
    </w:lvl>
    <w:lvl w:ilvl="8" w:tplc="7884063C">
      <w:numFmt w:val="bullet"/>
      <w:lvlText w:val="•"/>
      <w:lvlJc w:val="left"/>
      <w:pPr>
        <w:ind w:left="752" w:hanging="150"/>
      </w:pPr>
      <w:rPr>
        <w:rFonts w:hint="default"/>
        <w:lang w:val="en-US" w:eastAsia="en-US" w:bidi="ar-SA"/>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28CA02A0"/>
    <w:multiLevelType w:val="hybridMultilevel"/>
    <w:tmpl w:val="A8647ABE"/>
    <w:lvl w:ilvl="0" w:tplc="585C1222">
      <w:numFmt w:val="bullet"/>
      <w:lvlText w:val=""/>
      <w:lvlJc w:val="left"/>
      <w:pPr>
        <w:ind w:left="500" w:hanging="150"/>
      </w:pPr>
      <w:rPr>
        <w:rFonts w:ascii="Wingdings" w:eastAsia="Wingdings" w:hAnsi="Wingdings" w:cs="Wingdings" w:hint="default"/>
        <w:b w:val="0"/>
        <w:bCs w:val="0"/>
        <w:i w:val="0"/>
        <w:iCs w:val="0"/>
        <w:spacing w:val="-1"/>
        <w:w w:val="95"/>
        <w:sz w:val="17"/>
        <w:szCs w:val="17"/>
        <w:lang w:val="en-US" w:eastAsia="en-US" w:bidi="ar-SA"/>
      </w:rPr>
    </w:lvl>
    <w:lvl w:ilvl="1" w:tplc="15DE37D8">
      <w:numFmt w:val="bullet"/>
      <w:lvlText w:val="•"/>
      <w:lvlJc w:val="left"/>
      <w:pPr>
        <w:ind w:left="551" w:hanging="150"/>
      </w:pPr>
      <w:rPr>
        <w:rFonts w:hint="default"/>
        <w:lang w:val="en-US" w:eastAsia="en-US" w:bidi="ar-SA"/>
      </w:rPr>
    </w:lvl>
    <w:lvl w:ilvl="2" w:tplc="D70A19B0">
      <w:numFmt w:val="bullet"/>
      <w:lvlText w:val="•"/>
      <w:lvlJc w:val="left"/>
      <w:pPr>
        <w:ind w:left="602" w:hanging="150"/>
      </w:pPr>
      <w:rPr>
        <w:rFonts w:hint="default"/>
        <w:lang w:val="en-US" w:eastAsia="en-US" w:bidi="ar-SA"/>
      </w:rPr>
    </w:lvl>
    <w:lvl w:ilvl="3" w:tplc="C352AB12">
      <w:numFmt w:val="bullet"/>
      <w:lvlText w:val="•"/>
      <w:lvlJc w:val="left"/>
      <w:pPr>
        <w:ind w:left="653" w:hanging="150"/>
      </w:pPr>
      <w:rPr>
        <w:rFonts w:hint="default"/>
        <w:lang w:val="en-US" w:eastAsia="en-US" w:bidi="ar-SA"/>
      </w:rPr>
    </w:lvl>
    <w:lvl w:ilvl="4" w:tplc="46FC9E5E">
      <w:numFmt w:val="bullet"/>
      <w:lvlText w:val="•"/>
      <w:lvlJc w:val="left"/>
      <w:pPr>
        <w:ind w:left="705" w:hanging="150"/>
      </w:pPr>
      <w:rPr>
        <w:rFonts w:hint="default"/>
        <w:lang w:val="en-US" w:eastAsia="en-US" w:bidi="ar-SA"/>
      </w:rPr>
    </w:lvl>
    <w:lvl w:ilvl="5" w:tplc="130E57DC">
      <w:numFmt w:val="bullet"/>
      <w:lvlText w:val="•"/>
      <w:lvlJc w:val="left"/>
      <w:pPr>
        <w:ind w:left="756" w:hanging="150"/>
      </w:pPr>
      <w:rPr>
        <w:rFonts w:hint="default"/>
        <w:lang w:val="en-US" w:eastAsia="en-US" w:bidi="ar-SA"/>
      </w:rPr>
    </w:lvl>
    <w:lvl w:ilvl="6" w:tplc="1960CBEE">
      <w:numFmt w:val="bullet"/>
      <w:lvlText w:val="•"/>
      <w:lvlJc w:val="left"/>
      <w:pPr>
        <w:ind w:left="807" w:hanging="150"/>
      </w:pPr>
      <w:rPr>
        <w:rFonts w:hint="default"/>
        <w:lang w:val="en-US" w:eastAsia="en-US" w:bidi="ar-SA"/>
      </w:rPr>
    </w:lvl>
    <w:lvl w:ilvl="7" w:tplc="DF042682">
      <w:numFmt w:val="bullet"/>
      <w:lvlText w:val="•"/>
      <w:lvlJc w:val="left"/>
      <w:pPr>
        <w:ind w:left="858" w:hanging="150"/>
      </w:pPr>
      <w:rPr>
        <w:rFonts w:hint="default"/>
        <w:lang w:val="en-US" w:eastAsia="en-US" w:bidi="ar-SA"/>
      </w:rPr>
    </w:lvl>
    <w:lvl w:ilvl="8" w:tplc="B448B116">
      <w:numFmt w:val="bullet"/>
      <w:lvlText w:val="•"/>
      <w:lvlJc w:val="left"/>
      <w:pPr>
        <w:ind w:left="910" w:hanging="150"/>
      </w:pPr>
      <w:rPr>
        <w:rFonts w:hint="default"/>
        <w:lang w:val="en-US" w:eastAsia="en-US" w:bidi="ar-SA"/>
      </w:rPr>
    </w:lvl>
  </w:abstractNum>
  <w:abstractNum w:abstractNumId="12" w15:restartNumberingAfterBreak="0">
    <w:nsid w:val="2BAE5DD6"/>
    <w:multiLevelType w:val="hybridMultilevel"/>
    <w:tmpl w:val="37286A4C"/>
    <w:lvl w:ilvl="0" w:tplc="4AECC688">
      <w:numFmt w:val="bullet"/>
      <w:lvlText w:val=""/>
      <w:lvlJc w:val="left"/>
      <w:pPr>
        <w:ind w:left="828" w:hanging="361"/>
      </w:pPr>
      <w:rPr>
        <w:rFonts w:ascii="Symbol" w:eastAsia="Symbol" w:hAnsi="Symbol" w:cs="Symbol" w:hint="default"/>
        <w:b w:val="0"/>
        <w:bCs w:val="0"/>
        <w:i w:val="0"/>
        <w:iCs w:val="0"/>
        <w:spacing w:val="0"/>
        <w:w w:val="100"/>
        <w:sz w:val="21"/>
        <w:szCs w:val="21"/>
        <w:lang w:val="en-US" w:eastAsia="en-US" w:bidi="ar-SA"/>
      </w:rPr>
    </w:lvl>
    <w:lvl w:ilvl="1" w:tplc="E414770C">
      <w:numFmt w:val="bullet"/>
      <w:lvlText w:val="•"/>
      <w:lvlJc w:val="left"/>
      <w:pPr>
        <w:ind w:left="1454" w:hanging="361"/>
      </w:pPr>
      <w:rPr>
        <w:rFonts w:hint="default"/>
        <w:lang w:val="en-US" w:eastAsia="en-US" w:bidi="ar-SA"/>
      </w:rPr>
    </w:lvl>
    <w:lvl w:ilvl="2" w:tplc="A4CE1F16">
      <w:numFmt w:val="bullet"/>
      <w:lvlText w:val="•"/>
      <w:lvlJc w:val="left"/>
      <w:pPr>
        <w:ind w:left="2089" w:hanging="361"/>
      </w:pPr>
      <w:rPr>
        <w:rFonts w:hint="default"/>
        <w:lang w:val="en-US" w:eastAsia="en-US" w:bidi="ar-SA"/>
      </w:rPr>
    </w:lvl>
    <w:lvl w:ilvl="3" w:tplc="EA9AA590">
      <w:numFmt w:val="bullet"/>
      <w:lvlText w:val="•"/>
      <w:lvlJc w:val="left"/>
      <w:pPr>
        <w:ind w:left="2724" w:hanging="361"/>
      </w:pPr>
      <w:rPr>
        <w:rFonts w:hint="default"/>
        <w:lang w:val="en-US" w:eastAsia="en-US" w:bidi="ar-SA"/>
      </w:rPr>
    </w:lvl>
    <w:lvl w:ilvl="4" w:tplc="FC48DEAA">
      <w:numFmt w:val="bullet"/>
      <w:lvlText w:val="•"/>
      <w:lvlJc w:val="left"/>
      <w:pPr>
        <w:ind w:left="3359" w:hanging="361"/>
      </w:pPr>
      <w:rPr>
        <w:rFonts w:hint="default"/>
        <w:lang w:val="en-US" w:eastAsia="en-US" w:bidi="ar-SA"/>
      </w:rPr>
    </w:lvl>
    <w:lvl w:ilvl="5" w:tplc="BB1CD6C8">
      <w:numFmt w:val="bullet"/>
      <w:lvlText w:val="•"/>
      <w:lvlJc w:val="left"/>
      <w:pPr>
        <w:ind w:left="3994" w:hanging="361"/>
      </w:pPr>
      <w:rPr>
        <w:rFonts w:hint="default"/>
        <w:lang w:val="en-US" w:eastAsia="en-US" w:bidi="ar-SA"/>
      </w:rPr>
    </w:lvl>
    <w:lvl w:ilvl="6" w:tplc="2D9E70FC">
      <w:numFmt w:val="bullet"/>
      <w:lvlText w:val="•"/>
      <w:lvlJc w:val="left"/>
      <w:pPr>
        <w:ind w:left="4628" w:hanging="361"/>
      </w:pPr>
      <w:rPr>
        <w:rFonts w:hint="default"/>
        <w:lang w:val="en-US" w:eastAsia="en-US" w:bidi="ar-SA"/>
      </w:rPr>
    </w:lvl>
    <w:lvl w:ilvl="7" w:tplc="10CCE936">
      <w:numFmt w:val="bullet"/>
      <w:lvlText w:val="•"/>
      <w:lvlJc w:val="left"/>
      <w:pPr>
        <w:ind w:left="5263" w:hanging="361"/>
      </w:pPr>
      <w:rPr>
        <w:rFonts w:hint="default"/>
        <w:lang w:val="en-US" w:eastAsia="en-US" w:bidi="ar-SA"/>
      </w:rPr>
    </w:lvl>
    <w:lvl w:ilvl="8" w:tplc="4712CE2C">
      <w:numFmt w:val="bullet"/>
      <w:lvlText w:val="•"/>
      <w:lvlJc w:val="left"/>
      <w:pPr>
        <w:ind w:left="5898" w:hanging="361"/>
      </w:pPr>
      <w:rPr>
        <w:rFonts w:hint="default"/>
        <w:lang w:val="en-US" w:eastAsia="en-US" w:bidi="ar-SA"/>
      </w:rPr>
    </w:lvl>
  </w:abstractNum>
  <w:abstractNum w:abstractNumId="13" w15:restartNumberingAfterBreak="0">
    <w:nsid w:val="2C514C15"/>
    <w:multiLevelType w:val="hybridMultilevel"/>
    <w:tmpl w:val="11A2C91A"/>
    <w:lvl w:ilvl="0" w:tplc="64E65A68">
      <w:numFmt w:val="bullet"/>
      <w:lvlText w:val=""/>
      <w:lvlJc w:val="left"/>
      <w:pPr>
        <w:ind w:left="828" w:hanging="361"/>
      </w:pPr>
      <w:rPr>
        <w:rFonts w:ascii="Symbol" w:eastAsia="Symbol" w:hAnsi="Symbol" w:cs="Symbol" w:hint="default"/>
        <w:b w:val="0"/>
        <w:bCs w:val="0"/>
        <w:i w:val="0"/>
        <w:iCs w:val="0"/>
        <w:spacing w:val="0"/>
        <w:w w:val="100"/>
        <w:sz w:val="21"/>
        <w:szCs w:val="21"/>
        <w:lang w:val="en-US" w:eastAsia="en-US" w:bidi="ar-SA"/>
      </w:rPr>
    </w:lvl>
    <w:lvl w:ilvl="1" w:tplc="AE7694CE">
      <w:numFmt w:val="bullet"/>
      <w:lvlText w:val="o"/>
      <w:lvlJc w:val="left"/>
      <w:pPr>
        <w:ind w:left="1548" w:hanging="360"/>
      </w:pPr>
      <w:rPr>
        <w:rFonts w:ascii="Courier New" w:eastAsia="Courier New" w:hAnsi="Courier New" w:cs="Courier New" w:hint="default"/>
        <w:b w:val="0"/>
        <w:bCs w:val="0"/>
        <w:i w:val="0"/>
        <w:iCs w:val="0"/>
        <w:spacing w:val="0"/>
        <w:w w:val="100"/>
        <w:sz w:val="21"/>
        <w:szCs w:val="21"/>
        <w:lang w:val="en-US" w:eastAsia="en-US" w:bidi="ar-SA"/>
      </w:rPr>
    </w:lvl>
    <w:lvl w:ilvl="2" w:tplc="2FDED1AA">
      <w:numFmt w:val="bullet"/>
      <w:lvlText w:val="•"/>
      <w:lvlJc w:val="left"/>
      <w:pPr>
        <w:ind w:left="2165" w:hanging="360"/>
      </w:pPr>
      <w:rPr>
        <w:rFonts w:hint="default"/>
        <w:lang w:val="en-US" w:eastAsia="en-US" w:bidi="ar-SA"/>
      </w:rPr>
    </w:lvl>
    <w:lvl w:ilvl="3" w:tplc="F7C605C6">
      <w:numFmt w:val="bullet"/>
      <w:lvlText w:val="•"/>
      <w:lvlJc w:val="left"/>
      <w:pPr>
        <w:ind w:left="2790" w:hanging="360"/>
      </w:pPr>
      <w:rPr>
        <w:rFonts w:hint="default"/>
        <w:lang w:val="en-US" w:eastAsia="en-US" w:bidi="ar-SA"/>
      </w:rPr>
    </w:lvl>
    <w:lvl w:ilvl="4" w:tplc="F42A8D3A">
      <w:numFmt w:val="bullet"/>
      <w:lvlText w:val="•"/>
      <w:lvlJc w:val="left"/>
      <w:pPr>
        <w:ind w:left="3416" w:hanging="360"/>
      </w:pPr>
      <w:rPr>
        <w:rFonts w:hint="default"/>
        <w:lang w:val="en-US" w:eastAsia="en-US" w:bidi="ar-SA"/>
      </w:rPr>
    </w:lvl>
    <w:lvl w:ilvl="5" w:tplc="78A6E666">
      <w:numFmt w:val="bullet"/>
      <w:lvlText w:val="•"/>
      <w:lvlJc w:val="left"/>
      <w:pPr>
        <w:ind w:left="4041" w:hanging="360"/>
      </w:pPr>
      <w:rPr>
        <w:rFonts w:hint="default"/>
        <w:lang w:val="en-US" w:eastAsia="en-US" w:bidi="ar-SA"/>
      </w:rPr>
    </w:lvl>
    <w:lvl w:ilvl="6" w:tplc="69B23D4A">
      <w:numFmt w:val="bullet"/>
      <w:lvlText w:val="•"/>
      <w:lvlJc w:val="left"/>
      <w:pPr>
        <w:ind w:left="4666" w:hanging="360"/>
      </w:pPr>
      <w:rPr>
        <w:rFonts w:hint="default"/>
        <w:lang w:val="en-US" w:eastAsia="en-US" w:bidi="ar-SA"/>
      </w:rPr>
    </w:lvl>
    <w:lvl w:ilvl="7" w:tplc="9BEC2CE6">
      <w:numFmt w:val="bullet"/>
      <w:lvlText w:val="•"/>
      <w:lvlJc w:val="left"/>
      <w:pPr>
        <w:ind w:left="5292" w:hanging="360"/>
      </w:pPr>
      <w:rPr>
        <w:rFonts w:hint="default"/>
        <w:lang w:val="en-US" w:eastAsia="en-US" w:bidi="ar-SA"/>
      </w:rPr>
    </w:lvl>
    <w:lvl w:ilvl="8" w:tplc="00FE9036">
      <w:numFmt w:val="bullet"/>
      <w:lvlText w:val="•"/>
      <w:lvlJc w:val="left"/>
      <w:pPr>
        <w:ind w:left="5917" w:hanging="360"/>
      </w:pPr>
      <w:rPr>
        <w:rFonts w:hint="default"/>
        <w:lang w:val="en-US" w:eastAsia="en-US" w:bidi="ar-SA"/>
      </w:rPr>
    </w:lvl>
  </w:abstractNum>
  <w:abstractNum w:abstractNumId="14" w15:restartNumberingAfterBreak="0">
    <w:nsid w:val="2F882998"/>
    <w:multiLevelType w:val="hybridMultilevel"/>
    <w:tmpl w:val="E62CC616"/>
    <w:lvl w:ilvl="0" w:tplc="CF209828">
      <w:numFmt w:val="bullet"/>
      <w:lvlText w:val=""/>
      <w:lvlJc w:val="left"/>
      <w:pPr>
        <w:ind w:left="501" w:hanging="150"/>
      </w:pPr>
      <w:rPr>
        <w:rFonts w:ascii="Wingdings" w:eastAsia="Wingdings" w:hAnsi="Wingdings" w:cs="Wingdings" w:hint="default"/>
        <w:b w:val="0"/>
        <w:bCs w:val="0"/>
        <w:i w:val="0"/>
        <w:iCs w:val="0"/>
        <w:spacing w:val="-1"/>
        <w:w w:val="95"/>
        <w:sz w:val="17"/>
        <w:szCs w:val="17"/>
        <w:lang w:val="en-US" w:eastAsia="en-US" w:bidi="ar-SA"/>
      </w:rPr>
    </w:lvl>
    <w:lvl w:ilvl="1" w:tplc="D5A81B0A">
      <w:numFmt w:val="bullet"/>
      <w:lvlText w:val="•"/>
      <w:lvlJc w:val="left"/>
      <w:pPr>
        <w:ind w:left="553" w:hanging="150"/>
      </w:pPr>
      <w:rPr>
        <w:rFonts w:hint="default"/>
        <w:lang w:val="en-US" w:eastAsia="en-US" w:bidi="ar-SA"/>
      </w:rPr>
    </w:lvl>
    <w:lvl w:ilvl="2" w:tplc="C6264C62">
      <w:numFmt w:val="bullet"/>
      <w:lvlText w:val="•"/>
      <w:lvlJc w:val="left"/>
      <w:pPr>
        <w:ind w:left="607" w:hanging="150"/>
      </w:pPr>
      <w:rPr>
        <w:rFonts w:hint="default"/>
        <w:lang w:val="en-US" w:eastAsia="en-US" w:bidi="ar-SA"/>
      </w:rPr>
    </w:lvl>
    <w:lvl w:ilvl="3" w:tplc="B68C8EA4">
      <w:numFmt w:val="bullet"/>
      <w:lvlText w:val="•"/>
      <w:lvlJc w:val="left"/>
      <w:pPr>
        <w:ind w:left="660" w:hanging="150"/>
      </w:pPr>
      <w:rPr>
        <w:rFonts w:hint="default"/>
        <w:lang w:val="en-US" w:eastAsia="en-US" w:bidi="ar-SA"/>
      </w:rPr>
    </w:lvl>
    <w:lvl w:ilvl="4" w:tplc="9CE481C4">
      <w:numFmt w:val="bullet"/>
      <w:lvlText w:val="•"/>
      <w:lvlJc w:val="left"/>
      <w:pPr>
        <w:ind w:left="714" w:hanging="150"/>
      </w:pPr>
      <w:rPr>
        <w:rFonts w:hint="default"/>
        <w:lang w:val="en-US" w:eastAsia="en-US" w:bidi="ar-SA"/>
      </w:rPr>
    </w:lvl>
    <w:lvl w:ilvl="5" w:tplc="B0880092">
      <w:numFmt w:val="bullet"/>
      <w:lvlText w:val="•"/>
      <w:lvlJc w:val="left"/>
      <w:pPr>
        <w:ind w:left="768" w:hanging="150"/>
      </w:pPr>
      <w:rPr>
        <w:rFonts w:hint="default"/>
        <w:lang w:val="en-US" w:eastAsia="en-US" w:bidi="ar-SA"/>
      </w:rPr>
    </w:lvl>
    <w:lvl w:ilvl="6" w:tplc="1DCC8FB4">
      <w:numFmt w:val="bullet"/>
      <w:lvlText w:val="•"/>
      <w:lvlJc w:val="left"/>
      <w:pPr>
        <w:ind w:left="821" w:hanging="150"/>
      </w:pPr>
      <w:rPr>
        <w:rFonts w:hint="default"/>
        <w:lang w:val="en-US" w:eastAsia="en-US" w:bidi="ar-SA"/>
      </w:rPr>
    </w:lvl>
    <w:lvl w:ilvl="7" w:tplc="7B68A5A0">
      <w:numFmt w:val="bullet"/>
      <w:lvlText w:val="•"/>
      <w:lvlJc w:val="left"/>
      <w:pPr>
        <w:ind w:left="875" w:hanging="150"/>
      </w:pPr>
      <w:rPr>
        <w:rFonts w:hint="default"/>
        <w:lang w:val="en-US" w:eastAsia="en-US" w:bidi="ar-SA"/>
      </w:rPr>
    </w:lvl>
    <w:lvl w:ilvl="8" w:tplc="9E44FD1A">
      <w:numFmt w:val="bullet"/>
      <w:lvlText w:val="•"/>
      <w:lvlJc w:val="left"/>
      <w:pPr>
        <w:ind w:left="929" w:hanging="150"/>
      </w:pPr>
      <w:rPr>
        <w:rFonts w:hint="default"/>
        <w:lang w:val="en-US" w:eastAsia="en-US" w:bidi="ar-SA"/>
      </w:rPr>
    </w:lvl>
  </w:abstractNum>
  <w:abstractNum w:abstractNumId="15" w15:restartNumberingAfterBreak="0">
    <w:nsid w:val="3C7D4BE6"/>
    <w:multiLevelType w:val="hybridMultilevel"/>
    <w:tmpl w:val="D23AB358"/>
    <w:lvl w:ilvl="0" w:tplc="A81E09C2">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C2642118">
      <w:numFmt w:val="bullet"/>
      <w:lvlText w:val="•"/>
      <w:lvlJc w:val="left"/>
      <w:pPr>
        <w:ind w:left="534" w:hanging="150"/>
      </w:pPr>
      <w:rPr>
        <w:rFonts w:hint="default"/>
        <w:lang w:val="en-US" w:eastAsia="en-US" w:bidi="ar-SA"/>
      </w:rPr>
    </w:lvl>
    <w:lvl w:ilvl="2" w:tplc="0FB865F0">
      <w:numFmt w:val="bullet"/>
      <w:lvlText w:val="•"/>
      <w:lvlJc w:val="left"/>
      <w:pPr>
        <w:ind w:left="568" w:hanging="150"/>
      </w:pPr>
      <w:rPr>
        <w:rFonts w:hint="default"/>
        <w:lang w:val="en-US" w:eastAsia="en-US" w:bidi="ar-SA"/>
      </w:rPr>
    </w:lvl>
    <w:lvl w:ilvl="3" w:tplc="FE580596">
      <w:numFmt w:val="bullet"/>
      <w:lvlText w:val="•"/>
      <w:lvlJc w:val="left"/>
      <w:pPr>
        <w:ind w:left="603" w:hanging="150"/>
      </w:pPr>
      <w:rPr>
        <w:rFonts w:hint="default"/>
        <w:lang w:val="en-US" w:eastAsia="en-US" w:bidi="ar-SA"/>
      </w:rPr>
    </w:lvl>
    <w:lvl w:ilvl="4" w:tplc="CBA40E66">
      <w:numFmt w:val="bullet"/>
      <w:lvlText w:val="•"/>
      <w:lvlJc w:val="left"/>
      <w:pPr>
        <w:ind w:left="637" w:hanging="150"/>
      </w:pPr>
      <w:rPr>
        <w:rFonts w:hint="default"/>
        <w:lang w:val="en-US" w:eastAsia="en-US" w:bidi="ar-SA"/>
      </w:rPr>
    </w:lvl>
    <w:lvl w:ilvl="5" w:tplc="B1A0E110">
      <w:numFmt w:val="bullet"/>
      <w:lvlText w:val="•"/>
      <w:lvlJc w:val="left"/>
      <w:pPr>
        <w:ind w:left="672" w:hanging="150"/>
      </w:pPr>
      <w:rPr>
        <w:rFonts w:hint="default"/>
        <w:lang w:val="en-US" w:eastAsia="en-US" w:bidi="ar-SA"/>
      </w:rPr>
    </w:lvl>
    <w:lvl w:ilvl="6" w:tplc="A2F289F8">
      <w:numFmt w:val="bullet"/>
      <w:lvlText w:val="•"/>
      <w:lvlJc w:val="left"/>
      <w:pPr>
        <w:ind w:left="706" w:hanging="150"/>
      </w:pPr>
      <w:rPr>
        <w:rFonts w:hint="default"/>
        <w:lang w:val="en-US" w:eastAsia="en-US" w:bidi="ar-SA"/>
      </w:rPr>
    </w:lvl>
    <w:lvl w:ilvl="7" w:tplc="5E288942">
      <w:numFmt w:val="bullet"/>
      <w:lvlText w:val="•"/>
      <w:lvlJc w:val="left"/>
      <w:pPr>
        <w:ind w:left="741" w:hanging="150"/>
      </w:pPr>
      <w:rPr>
        <w:rFonts w:hint="default"/>
        <w:lang w:val="en-US" w:eastAsia="en-US" w:bidi="ar-SA"/>
      </w:rPr>
    </w:lvl>
    <w:lvl w:ilvl="8" w:tplc="2880371A">
      <w:numFmt w:val="bullet"/>
      <w:lvlText w:val="•"/>
      <w:lvlJc w:val="left"/>
      <w:pPr>
        <w:ind w:left="775" w:hanging="150"/>
      </w:pPr>
      <w:rPr>
        <w:rFonts w:hint="default"/>
        <w:lang w:val="en-US" w:eastAsia="en-US" w:bidi="ar-SA"/>
      </w:rPr>
    </w:lvl>
  </w:abstractNum>
  <w:abstractNum w:abstractNumId="1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7" w15:restartNumberingAfterBreak="0">
    <w:nsid w:val="49BD2056"/>
    <w:multiLevelType w:val="hybridMultilevel"/>
    <w:tmpl w:val="97680284"/>
    <w:lvl w:ilvl="0" w:tplc="F0208A22">
      <w:numFmt w:val="bullet"/>
      <w:lvlText w:val=""/>
      <w:lvlJc w:val="left"/>
      <w:pPr>
        <w:ind w:left="500" w:hanging="150"/>
      </w:pPr>
      <w:rPr>
        <w:rFonts w:ascii="Wingdings" w:eastAsia="Wingdings" w:hAnsi="Wingdings" w:cs="Wingdings" w:hint="default"/>
        <w:b w:val="0"/>
        <w:bCs w:val="0"/>
        <w:i w:val="0"/>
        <w:iCs w:val="0"/>
        <w:spacing w:val="-1"/>
        <w:w w:val="95"/>
        <w:sz w:val="17"/>
        <w:szCs w:val="17"/>
        <w:lang w:val="en-US" w:eastAsia="en-US" w:bidi="ar-SA"/>
      </w:rPr>
    </w:lvl>
    <w:lvl w:ilvl="1" w:tplc="AC58179C">
      <w:numFmt w:val="bullet"/>
      <w:lvlText w:val="•"/>
      <w:lvlJc w:val="left"/>
      <w:pPr>
        <w:ind w:left="551" w:hanging="150"/>
      </w:pPr>
      <w:rPr>
        <w:rFonts w:hint="default"/>
        <w:lang w:val="en-US" w:eastAsia="en-US" w:bidi="ar-SA"/>
      </w:rPr>
    </w:lvl>
    <w:lvl w:ilvl="2" w:tplc="38FEBC46">
      <w:numFmt w:val="bullet"/>
      <w:lvlText w:val="•"/>
      <w:lvlJc w:val="left"/>
      <w:pPr>
        <w:ind w:left="602" w:hanging="150"/>
      </w:pPr>
      <w:rPr>
        <w:rFonts w:hint="default"/>
        <w:lang w:val="en-US" w:eastAsia="en-US" w:bidi="ar-SA"/>
      </w:rPr>
    </w:lvl>
    <w:lvl w:ilvl="3" w:tplc="73E6C04A">
      <w:numFmt w:val="bullet"/>
      <w:lvlText w:val="•"/>
      <w:lvlJc w:val="left"/>
      <w:pPr>
        <w:ind w:left="653" w:hanging="150"/>
      </w:pPr>
      <w:rPr>
        <w:rFonts w:hint="default"/>
        <w:lang w:val="en-US" w:eastAsia="en-US" w:bidi="ar-SA"/>
      </w:rPr>
    </w:lvl>
    <w:lvl w:ilvl="4" w:tplc="90408A9C">
      <w:numFmt w:val="bullet"/>
      <w:lvlText w:val="•"/>
      <w:lvlJc w:val="left"/>
      <w:pPr>
        <w:ind w:left="705" w:hanging="150"/>
      </w:pPr>
      <w:rPr>
        <w:rFonts w:hint="default"/>
        <w:lang w:val="en-US" w:eastAsia="en-US" w:bidi="ar-SA"/>
      </w:rPr>
    </w:lvl>
    <w:lvl w:ilvl="5" w:tplc="1744DA2C">
      <w:numFmt w:val="bullet"/>
      <w:lvlText w:val="•"/>
      <w:lvlJc w:val="left"/>
      <w:pPr>
        <w:ind w:left="756" w:hanging="150"/>
      </w:pPr>
      <w:rPr>
        <w:rFonts w:hint="default"/>
        <w:lang w:val="en-US" w:eastAsia="en-US" w:bidi="ar-SA"/>
      </w:rPr>
    </w:lvl>
    <w:lvl w:ilvl="6" w:tplc="586806C0">
      <w:numFmt w:val="bullet"/>
      <w:lvlText w:val="•"/>
      <w:lvlJc w:val="left"/>
      <w:pPr>
        <w:ind w:left="807" w:hanging="150"/>
      </w:pPr>
      <w:rPr>
        <w:rFonts w:hint="default"/>
        <w:lang w:val="en-US" w:eastAsia="en-US" w:bidi="ar-SA"/>
      </w:rPr>
    </w:lvl>
    <w:lvl w:ilvl="7" w:tplc="4ED01698">
      <w:numFmt w:val="bullet"/>
      <w:lvlText w:val="•"/>
      <w:lvlJc w:val="left"/>
      <w:pPr>
        <w:ind w:left="858" w:hanging="150"/>
      </w:pPr>
      <w:rPr>
        <w:rFonts w:hint="default"/>
        <w:lang w:val="en-US" w:eastAsia="en-US" w:bidi="ar-SA"/>
      </w:rPr>
    </w:lvl>
    <w:lvl w:ilvl="8" w:tplc="2E9A4456">
      <w:numFmt w:val="bullet"/>
      <w:lvlText w:val="•"/>
      <w:lvlJc w:val="left"/>
      <w:pPr>
        <w:ind w:left="910" w:hanging="150"/>
      </w:pPr>
      <w:rPr>
        <w:rFonts w:hint="default"/>
        <w:lang w:val="en-US" w:eastAsia="en-US" w:bidi="ar-SA"/>
      </w:rPr>
    </w:lvl>
  </w:abstractNum>
  <w:abstractNum w:abstractNumId="18" w15:restartNumberingAfterBreak="0">
    <w:nsid w:val="4C995374"/>
    <w:multiLevelType w:val="hybridMultilevel"/>
    <w:tmpl w:val="8996D4CE"/>
    <w:lvl w:ilvl="0" w:tplc="7DBE7930">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8F4E2C4A">
      <w:numFmt w:val="bullet"/>
      <w:lvlText w:val="•"/>
      <w:lvlJc w:val="left"/>
      <w:pPr>
        <w:ind w:left="534" w:hanging="150"/>
      </w:pPr>
      <w:rPr>
        <w:rFonts w:hint="default"/>
        <w:lang w:val="en-US" w:eastAsia="en-US" w:bidi="ar-SA"/>
      </w:rPr>
    </w:lvl>
    <w:lvl w:ilvl="2" w:tplc="81180F30">
      <w:numFmt w:val="bullet"/>
      <w:lvlText w:val="•"/>
      <w:lvlJc w:val="left"/>
      <w:pPr>
        <w:ind w:left="568" w:hanging="150"/>
      </w:pPr>
      <w:rPr>
        <w:rFonts w:hint="default"/>
        <w:lang w:val="en-US" w:eastAsia="en-US" w:bidi="ar-SA"/>
      </w:rPr>
    </w:lvl>
    <w:lvl w:ilvl="3" w:tplc="03229690">
      <w:numFmt w:val="bullet"/>
      <w:lvlText w:val="•"/>
      <w:lvlJc w:val="left"/>
      <w:pPr>
        <w:ind w:left="603" w:hanging="150"/>
      </w:pPr>
      <w:rPr>
        <w:rFonts w:hint="default"/>
        <w:lang w:val="en-US" w:eastAsia="en-US" w:bidi="ar-SA"/>
      </w:rPr>
    </w:lvl>
    <w:lvl w:ilvl="4" w:tplc="A74237FA">
      <w:numFmt w:val="bullet"/>
      <w:lvlText w:val="•"/>
      <w:lvlJc w:val="left"/>
      <w:pPr>
        <w:ind w:left="637" w:hanging="150"/>
      </w:pPr>
      <w:rPr>
        <w:rFonts w:hint="default"/>
        <w:lang w:val="en-US" w:eastAsia="en-US" w:bidi="ar-SA"/>
      </w:rPr>
    </w:lvl>
    <w:lvl w:ilvl="5" w:tplc="BA5023FC">
      <w:numFmt w:val="bullet"/>
      <w:lvlText w:val="•"/>
      <w:lvlJc w:val="left"/>
      <w:pPr>
        <w:ind w:left="672" w:hanging="150"/>
      </w:pPr>
      <w:rPr>
        <w:rFonts w:hint="default"/>
        <w:lang w:val="en-US" w:eastAsia="en-US" w:bidi="ar-SA"/>
      </w:rPr>
    </w:lvl>
    <w:lvl w:ilvl="6" w:tplc="CC6614A0">
      <w:numFmt w:val="bullet"/>
      <w:lvlText w:val="•"/>
      <w:lvlJc w:val="left"/>
      <w:pPr>
        <w:ind w:left="706" w:hanging="150"/>
      </w:pPr>
      <w:rPr>
        <w:rFonts w:hint="default"/>
        <w:lang w:val="en-US" w:eastAsia="en-US" w:bidi="ar-SA"/>
      </w:rPr>
    </w:lvl>
    <w:lvl w:ilvl="7" w:tplc="AF4A4092">
      <w:numFmt w:val="bullet"/>
      <w:lvlText w:val="•"/>
      <w:lvlJc w:val="left"/>
      <w:pPr>
        <w:ind w:left="741" w:hanging="150"/>
      </w:pPr>
      <w:rPr>
        <w:rFonts w:hint="default"/>
        <w:lang w:val="en-US" w:eastAsia="en-US" w:bidi="ar-SA"/>
      </w:rPr>
    </w:lvl>
    <w:lvl w:ilvl="8" w:tplc="6D6C5522">
      <w:numFmt w:val="bullet"/>
      <w:lvlText w:val="•"/>
      <w:lvlJc w:val="left"/>
      <w:pPr>
        <w:ind w:left="775" w:hanging="150"/>
      </w:pPr>
      <w:rPr>
        <w:rFonts w:hint="default"/>
        <w:lang w:val="en-US" w:eastAsia="en-US" w:bidi="ar-SA"/>
      </w:rPr>
    </w:lvl>
  </w:abstractNum>
  <w:abstractNum w:abstractNumId="19" w15:restartNumberingAfterBreak="0">
    <w:nsid w:val="4CB27D47"/>
    <w:multiLevelType w:val="hybridMultilevel"/>
    <w:tmpl w:val="C310C79C"/>
    <w:lvl w:ilvl="0" w:tplc="21C837DC">
      <w:numFmt w:val="bullet"/>
      <w:lvlText w:val=""/>
      <w:lvlJc w:val="left"/>
      <w:pPr>
        <w:ind w:left="827" w:hanging="361"/>
      </w:pPr>
      <w:rPr>
        <w:rFonts w:ascii="Symbol" w:eastAsia="Symbol" w:hAnsi="Symbol" w:cs="Symbol" w:hint="default"/>
        <w:b w:val="0"/>
        <w:bCs w:val="0"/>
        <w:i w:val="0"/>
        <w:iCs w:val="0"/>
        <w:spacing w:val="0"/>
        <w:w w:val="100"/>
        <w:sz w:val="21"/>
        <w:szCs w:val="21"/>
        <w:lang w:val="en-US" w:eastAsia="en-US" w:bidi="ar-SA"/>
      </w:rPr>
    </w:lvl>
    <w:lvl w:ilvl="1" w:tplc="46A21B48">
      <w:numFmt w:val="bullet"/>
      <w:lvlText w:val="o"/>
      <w:lvlJc w:val="left"/>
      <w:pPr>
        <w:ind w:left="1547" w:hanging="360"/>
      </w:pPr>
      <w:rPr>
        <w:rFonts w:ascii="Courier New" w:eastAsia="Courier New" w:hAnsi="Courier New" w:cs="Courier New" w:hint="default"/>
        <w:b w:val="0"/>
        <w:bCs w:val="0"/>
        <w:i w:val="0"/>
        <w:iCs w:val="0"/>
        <w:spacing w:val="0"/>
        <w:w w:val="100"/>
        <w:sz w:val="21"/>
        <w:szCs w:val="21"/>
        <w:lang w:val="en-US" w:eastAsia="en-US" w:bidi="ar-SA"/>
      </w:rPr>
    </w:lvl>
    <w:lvl w:ilvl="2" w:tplc="12A6A74A">
      <w:numFmt w:val="bullet"/>
      <w:lvlText w:val="•"/>
      <w:lvlJc w:val="left"/>
      <w:pPr>
        <w:ind w:left="2165" w:hanging="360"/>
      </w:pPr>
      <w:rPr>
        <w:rFonts w:hint="default"/>
        <w:lang w:val="en-US" w:eastAsia="en-US" w:bidi="ar-SA"/>
      </w:rPr>
    </w:lvl>
    <w:lvl w:ilvl="3" w:tplc="765C23F4">
      <w:numFmt w:val="bullet"/>
      <w:lvlText w:val="•"/>
      <w:lvlJc w:val="left"/>
      <w:pPr>
        <w:ind w:left="2790" w:hanging="360"/>
      </w:pPr>
      <w:rPr>
        <w:rFonts w:hint="default"/>
        <w:lang w:val="en-US" w:eastAsia="en-US" w:bidi="ar-SA"/>
      </w:rPr>
    </w:lvl>
    <w:lvl w:ilvl="4" w:tplc="B3B0EDB2">
      <w:numFmt w:val="bullet"/>
      <w:lvlText w:val="•"/>
      <w:lvlJc w:val="left"/>
      <w:pPr>
        <w:ind w:left="3416" w:hanging="360"/>
      </w:pPr>
      <w:rPr>
        <w:rFonts w:hint="default"/>
        <w:lang w:val="en-US" w:eastAsia="en-US" w:bidi="ar-SA"/>
      </w:rPr>
    </w:lvl>
    <w:lvl w:ilvl="5" w:tplc="8F7E7382">
      <w:numFmt w:val="bullet"/>
      <w:lvlText w:val="•"/>
      <w:lvlJc w:val="left"/>
      <w:pPr>
        <w:ind w:left="4041" w:hanging="360"/>
      </w:pPr>
      <w:rPr>
        <w:rFonts w:hint="default"/>
        <w:lang w:val="en-US" w:eastAsia="en-US" w:bidi="ar-SA"/>
      </w:rPr>
    </w:lvl>
    <w:lvl w:ilvl="6" w:tplc="DB2E00CC">
      <w:numFmt w:val="bullet"/>
      <w:lvlText w:val="•"/>
      <w:lvlJc w:val="left"/>
      <w:pPr>
        <w:ind w:left="4666" w:hanging="360"/>
      </w:pPr>
      <w:rPr>
        <w:rFonts w:hint="default"/>
        <w:lang w:val="en-US" w:eastAsia="en-US" w:bidi="ar-SA"/>
      </w:rPr>
    </w:lvl>
    <w:lvl w:ilvl="7" w:tplc="DC543966">
      <w:numFmt w:val="bullet"/>
      <w:lvlText w:val="•"/>
      <w:lvlJc w:val="left"/>
      <w:pPr>
        <w:ind w:left="5292" w:hanging="360"/>
      </w:pPr>
      <w:rPr>
        <w:rFonts w:hint="default"/>
        <w:lang w:val="en-US" w:eastAsia="en-US" w:bidi="ar-SA"/>
      </w:rPr>
    </w:lvl>
    <w:lvl w:ilvl="8" w:tplc="5CA6E826">
      <w:numFmt w:val="bullet"/>
      <w:lvlText w:val="•"/>
      <w:lvlJc w:val="left"/>
      <w:pPr>
        <w:ind w:left="5917" w:hanging="360"/>
      </w:pPr>
      <w:rPr>
        <w:rFonts w:hint="default"/>
        <w:lang w:val="en-US" w:eastAsia="en-US" w:bidi="ar-SA"/>
      </w:rPr>
    </w:lvl>
  </w:abstractNum>
  <w:abstractNum w:abstractNumId="2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105E67"/>
    <w:multiLevelType w:val="hybridMultilevel"/>
    <w:tmpl w:val="ABCAE6A4"/>
    <w:lvl w:ilvl="0" w:tplc="CBC860BA">
      <w:numFmt w:val="bullet"/>
      <w:lvlText w:val=""/>
      <w:lvlJc w:val="left"/>
      <w:pPr>
        <w:ind w:left="490" w:hanging="150"/>
      </w:pPr>
      <w:rPr>
        <w:rFonts w:ascii="Wingdings" w:eastAsia="Wingdings" w:hAnsi="Wingdings" w:cs="Wingdings" w:hint="default"/>
        <w:b w:val="0"/>
        <w:bCs w:val="0"/>
        <w:i w:val="0"/>
        <w:iCs w:val="0"/>
        <w:spacing w:val="0"/>
        <w:w w:val="99"/>
        <w:sz w:val="17"/>
        <w:szCs w:val="17"/>
        <w:lang w:val="en-US" w:eastAsia="en-US" w:bidi="ar-SA"/>
      </w:rPr>
    </w:lvl>
    <w:lvl w:ilvl="1" w:tplc="4CCCA9B2">
      <w:numFmt w:val="bullet"/>
      <w:lvlText w:val="•"/>
      <w:lvlJc w:val="left"/>
      <w:pPr>
        <w:ind w:left="531" w:hanging="150"/>
      </w:pPr>
      <w:rPr>
        <w:rFonts w:hint="default"/>
        <w:lang w:val="en-US" w:eastAsia="en-US" w:bidi="ar-SA"/>
      </w:rPr>
    </w:lvl>
    <w:lvl w:ilvl="2" w:tplc="B13E1966">
      <w:numFmt w:val="bullet"/>
      <w:lvlText w:val="•"/>
      <w:lvlJc w:val="left"/>
      <w:pPr>
        <w:ind w:left="563" w:hanging="150"/>
      </w:pPr>
      <w:rPr>
        <w:rFonts w:hint="default"/>
        <w:lang w:val="en-US" w:eastAsia="en-US" w:bidi="ar-SA"/>
      </w:rPr>
    </w:lvl>
    <w:lvl w:ilvl="3" w:tplc="C3C04EA2">
      <w:numFmt w:val="bullet"/>
      <w:lvlText w:val="•"/>
      <w:lvlJc w:val="left"/>
      <w:pPr>
        <w:ind w:left="594" w:hanging="150"/>
      </w:pPr>
      <w:rPr>
        <w:rFonts w:hint="default"/>
        <w:lang w:val="en-US" w:eastAsia="en-US" w:bidi="ar-SA"/>
      </w:rPr>
    </w:lvl>
    <w:lvl w:ilvl="4" w:tplc="2E3AF49A">
      <w:numFmt w:val="bullet"/>
      <w:lvlText w:val="•"/>
      <w:lvlJc w:val="left"/>
      <w:pPr>
        <w:ind w:left="626" w:hanging="150"/>
      </w:pPr>
      <w:rPr>
        <w:rFonts w:hint="default"/>
        <w:lang w:val="en-US" w:eastAsia="en-US" w:bidi="ar-SA"/>
      </w:rPr>
    </w:lvl>
    <w:lvl w:ilvl="5" w:tplc="71D20ACA">
      <w:numFmt w:val="bullet"/>
      <w:lvlText w:val="•"/>
      <w:lvlJc w:val="left"/>
      <w:pPr>
        <w:ind w:left="657" w:hanging="150"/>
      </w:pPr>
      <w:rPr>
        <w:rFonts w:hint="default"/>
        <w:lang w:val="en-US" w:eastAsia="en-US" w:bidi="ar-SA"/>
      </w:rPr>
    </w:lvl>
    <w:lvl w:ilvl="6" w:tplc="2456609C">
      <w:numFmt w:val="bullet"/>
      <w:lvlText w:val="•"/>
      <w:lvlJc w:val="left"/>
      <w:pPr>
        <w:ind w:left="689" w:hanging="150"/>
      </w:pPr>
      <w:rPr>
        <w:rFonts w:hint="default"/>
        <w:lang w:val="en-US" w:eastAsia="en-US" w:bidi="ar-SA"/>
      </w:rPr>
    </w:lvl>
    <w:lvl w:ilvl="7" w:tplc="BACA752A">
      <w:numFmt w:val="bullet"/>
      <w:lvlText w:val="•"/>
      <w:lvlJc w:val="left"/>
      <w:pPr>
        <w:ind w:left="720" w:hanging="150"/>
      </w:pPr>
      <w:rPr>
        <w:rFonts w:hint="default"/>
        <w:lang w:val="en-US" w:eastAsia="en-US" w:bidi="ar-SA"/>
      </w:rPr>
    </w:lvl>
    <w:lvl w:ilvl="8" w:tplc="337A44A4">
      <w:numFmt w:val="bullet"/>
      <w:lvlText w:val="•"/>
      <w:lvlJc w:val="left"/>
      <w:pPr>
        <w:ind w:left="752" w:hanging="150"/>
      </w:pPr>
      <w:rPr>
        <w:rFonts w:hint="default"/>
        <w:lang w:val="en-US" w:eastAsia="en-US" w:bidi="ar-SA"/>
      </w:rPr>
    </w:lvl>
  </w:abstractNum>
  <w:abstractNum w:abstractNumId="24"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5" w15:restartNumberingAfterBreak="0">
    <w:nsid w:val="60352119"/>
    <w:multiLevelType w:val="hybridMultilevel"/>
    <w:tmpl w:val="D08C2200"/>
    <w:lvl w:ilvl="0" w:tplc="C1009A10">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BEC4EBBA">
      <w:numFmt w:val="bullet"/>
      <w:lvlText w:val="•"/>
      <w:lvlJc w:val="left"/>
      <w:pPr>
        <w:ind w:left="534" w:hanging="150"/>
      </w:pPr>
      <w:rPr>
        <w:rFonts w:hint="default"/>
        <w:lang w:val="en-US" w:eastAsia="en-US" w:bidi="ar-SA"/>
      </w:rPr>
    </w:lvl>
    <w:lvl w:ilvl="2" w:tplc="EA0A0A58">
      <w:numFmt w:val="bullet"/>
      <w:lvlText w:val="•"/>
      <w:lvlJc w:val="left"/>
      <w:pPr>
        <w:ind w:left="568" w:hanging="150"/>
      </w:pPr>
      <w:rPr>
        <w:rFonts w:hint="default"/>
        <w:lang w:val="en-US" w:eastAsia="en-US" w:bidi="ar-SA"/>
      </w:rPr>
    </w:lvl>
    <w:lvl w:ilvl="3" w:tplc="1B70F45E">
      <w:numFmt w:val="bullet"/>
      <w:lvlText w:val="•"/>
      <w:lvlJc w:val="left"/>
      <w:pPr>
        <w:ind w:left="603" w:hanging="150"/>
      </w:pPr>
      <w:rPr>
        <w:rFonts w:hint="default"/>
        <w:lang w:val="en-US" w:eastAsia="en-US" w:bidi="ar-SA"/>
      </w:rPr>
    </w:lvl>
    <w:lvl w:ilvl="4" w:tplc="63844F94">
      <w:numFmt w:val="bullet"/>
      <w:lvlText w:val="•"/>
      <w:lvlJc w:val="left"/>
      <w:pPr>
        <w:ind w:left="637" w:hanging="150"/>
      </w:pPr>
      <w:rPr>
        <w:rFonts w:hint="default"/>
        <w:lang w:val="en-US" w:eastAsia="en-US" w:bidi="ar-SA"/>
      </w:rPr>
    </w:lvl>
    <w:lvl w:ilvl="5" w:tplc="3C9A3536">
      <w:numFmt w:val="bullet"/>
      <w:lvlText w:val="•"/>
      <w:lvlJc w:val="left"/>
      <w:pPr>
        <w:ind w:left="672" w:hanging="150"/>
      </w:pPr>
      <w:rPr>
        <w:rFonts w:hint="default"/>
        <w:lang w:val="en-US" w:eastAsia="en-US" w:bidi="ar-SA"/>
      </w:rPr>
    </w:lvl>
    <w:lvl w:ilvl="6" w:tplc="C6AC2C78">
      <w:numFmt w:val="bullet"/>
      <w:lvlText w:val="•"/>
      <w:lvlJc w:val="left"/>
      <w:pPr>
        <w:ind w:left="706" w:hanging="150"/>
      </w:pPr>
      <w:rPr>
        <w:rFonts w:hint="default"/>
        <w:lang w:val="en-US" w:eastAsia="en-US" w:bidi="ar-SA"/>
      </w:rPr>
    </w:lvl>
    <w:lvl w:ilvl="7" w:tplc="61A6BCEE">
      <w:numFmt w:val="bullet"/>
      <w:lvlText w:val="•"/>
      <w:lvlJc w:val="left"/>
      <w:pPr>
        <w:ind w:left="741" w:hanging="150"/>
      </w:pPr>
      <w:rPr>
        <w:rFonts w:hint="default"/>
        <w:lang w:val="en-US" w:eastAsia="en-US" w:bidi="ar-SA"/>
      </w:rPr>
    </w:lvl>
    <w:lvl w:ilvl="8" w:tplc="8C148040">
      <w:numFmt w:val="bullet"/>
      <w:lvlText w:val="•"/>
      <w:lvlJc w:val="left"/>
      <w:pPr>
        <w:ind w:left="775" w:hanging="150"/>
      </w:pPr>
      <w:rPr>
        <w:rFonts w:hint="default"/>
        <w:lang w:val="en-US" w:eastAsia="en-US" w:bidi="ar-SA"/>
      </w:rPr>
    </w:lvl>
  </w:abstractNum>
  <w:abstractNum w:abstractNumId="26" w15:restartNumberingAfterBreak="0">
    <w:nsid w:val="682F31CE"/>
    <w:multiLevelType w:val="hybridMultilevel"/>
    <w:tmpl w:val="CDBEA140"/>
    <w:lvl w:ilvl="0" w:tplc="9BEE64FA">
      <w:numFmt w:val="bullet"/>
      <w:lvlText w:val=""/>
      <w:lvlJc w:val="left"/>
      <w:pPr>
        <w:ind w:left="828" w:hanging="361"/>
      </w:pPr>
      <w:rPr>
        <w:rFonts w:ascii="Symbol" w:eastAsia="Symbol" w:hAnsi="Symbol" w:cs="Symbol" w:hint="default"/>
        <w:b w:val="0"/>
        <w:bCs w:val="0"/>
        <w:i w:val="0"/>
        <w:iCs w:val="0"/>
        <w:spacing w:val="0"/>
        <w:w w:val="100"/>
        <w:sz w:val="21"/>
        <w:szCs w:val="21"/>
        <w:lang w:val="en-US" w:eastAsia="en-US" w:bidi="ar-SA"/>
      </w:rPr>
    </w:lvl>
    <w:lvl w:ilvl="1" w:tplc="49467A24">
      <w:numFmt w:val="bullet"/>
      <w:lvlText w:val="o"/>
      <w:lvlJc w:val="left"/>
      <w:pPr>
        <w:ind w:left="1547" w:hanging="360"/>
      </w:pPr>
      <w:rPr>
        <w:rFonts w:ascii="Courier New" w:eastAsia="Courier New" w:hAnsi="Courier New" w:cs="Courier New" w:hint="default"/>
        <w:b w:val="0"/>
        <w:bCs w:val="0"/>
        <w:i w:val="0"/>
        <w:iCs w:val="0"/>
        <w:spacing w:val="0"/>
        <w:w w:val="100"/>
        <w:sz w:val="21"/>
        <w:szCs w:val="21"/>
        <w:lang w:val="en-US" w:eastAsia="en-US" w:bidi="ar-SA"/>
      </w:rPr>
    </w:lvl>
    <w:lvl w:ilvl="2" w:tplc="2C088E74">
      <w:numFmt w:val="bullet"/>
      <w:lvlText w:val="•"/>
      <w:lvlJc w:val="left"/>
      <w:pPr>
        <w:ind w:left="2165" w:hanging="360"/>
      </w:pPr>
      <w:rPr>
        <w:rFonts w:hint="default"/>
        <w:lang w:val="en-US" w:eastAsia="en-US" w:bidi="ar-SA"/>
      </w:rPr>
    </w:lvl>
    <w:lvl w:ilvl="3" w:tplc="75104C0E">
      <w:numFmt w:val="bullet"/>
      <w:lvlText w:val="•"/>
      <w:lvlJc w:val="left"/>
      <w:pPr>
        <w:ind w:left="2790" w:hanging="360"/>
      </w:pPr>
      <w:rPr>
        <w:rFonts w:hint="default"/>
        <w:lang w:val="en-US" w:eastAsia="en-US" w:bidi="ar-SA"/>
      </w:rPr>
    </w:lvl>
    <w:lvl w:ilvl="4" w:tplc="3A30C0E0">
      <w:numFmt w:val="bullet"/>
      <w:lvlText w:val="•"/>
      <w:lvlJc w:val="left"/>
      <w:pPr>
        <w:ind w:left="3416" w:hanging="360"/>
      </w:pPr>
      <w:rPr>
        <w:rFonts w:hint="default"/>
        <w:lang w:val="en-US" w:eastAsia="en-US" w:bidi="ar-SA"/>
      </w:rPr>
    </w:lvl>
    <w:lvl w:ilvl="5" w:tplc="DD46526A">
      <w:numFmt w:val="bullet"/>
      <w:lvlText w:val="•"/>
      <w:lvlJc w:val="left"/>
      <w:pPr>
        <w:ind w:left="4041" w:hanging="360"/>
      </w:pPr>
      <w:rPr>
        <w:rFonts w:hint="default"/>
        <w:lang w:val="en-US" w:eastAsia="en-US" w:bidi="ar-SA"/>
      </w:rPr>
    </w:lvl>
    <w:lvl w:ilvl="6" w:tplc="299800FE">
      <w:numFmt w:val="bullet"/>
      <w:lvlText w:val="•"/>
      <w:lvlJc w:val="left"/>
      <w:pPr>
        <w:ind w:left="4666" w:hanging="360"/>
      </w:pPr>
      <w:rPr>
        <w:rFonts w:hint="default"/>
        <w:lang w:val="en-US" w:eastAsia="en-US" w:bidi="ar-SA"/>
      </w:rPr>
    </w:lvl>
    <w:lvl w:ilvl="7" w:tplc="5BCE83B0">
      <w:numFmt w:val="bullet"/>
      <w:lvlText w:val="•"/>
      <w:lvlJc w:val="left"/>
      <w:pPr>
        <w:ind w:left="5292" w:hanging="360"/>
      </w:pPr>
      <w:rPr>
        <w:rFonts w:hint="default"/>
        <w:lang w:val="en-US" w:eastAsia="en-US" w:bidi="ar-SA"/>
      </w:rPr>
    </w:lvl>
    <w:lvl w:ilvl="8" w:tplc="5784E7F6">
      <w:numFmt w:val="bullet"/>
      <w:lvlText w:val="•"/>
      <w:lvlJc w:val="left"/>
      <w:pPr>
        <w:ind w:left="5917" w:hanging="360"/>
      </w:pPr>
      <w:rPr>
        <w:rFonts w:hint="default"/>
        <w:lang w:val="en-US" w:eastAsia="en-US" w:bidi="ar-SA"/>
      </w:rPr>
    </w:lvl>
  </w:abstractNum>
  <w:abstractNum w:abstractNumId="27" w15:restartNumberingAfterBreak="0">
    <w:nsid w:val="6B207D2A"/>
    <w:multiLevelType w:val="hybridMultilevel"/>
    <w:tmpl w:val="F8F2F718"/>
    <w:lvl w:ilvl="0" w:tplc="F3CA4CB6">
      <w:numFmt w:val="bullet"/>
      <w:lvlText w:val=""/>
      <w:lvlJc w:val="left"/>
      <w:pPr>
        <w:ind w:left="827" w:hanging="361"/>
      </w:pPr>
      <w:rPr>
        <w:rFonts w:ascii="Symbol" w:eastAsia="Symbol" w:hAnsi="Symbol" w:cs="Symbol" w:hint="default"/>
        <w:b w:val="0"/>
        <w:bCs w:val="0"/>
        <w:i w:val="0"/>
        <w:iCs w:val="0"/>
        <w:spacing w:val="0"/>
        <w:w w:val="100"/>
        <w:sz w:val="21"/>
        <w:szCs w:val="21"/>
        <w:lang w:val="en-US" w:eastAsia="en-US" w:bidi="ar-SA"/>
      </w:rPr>
    </w:lvl>
    <w:lvl w:ilvl="1" w:tplc="6CD82AA8">
      <w:numFmt w:val="bullet"/>
      <w:lvlText w:val="•"/>
      <w:lvlJc w:val="left"/>
      <w:pPr>
        <w:ind w:left="1497" w:hanging="361"/>
      </w:pPr>
      <w:rPr>
        <w:rFonts w:hint="default"/>
        <w:lang w:val="en-US" w:eastAsia="en-US" w:bidi="ar-SA"/>
      </w:rPr>
    </w:lvl>
    <w:lvl w:ilvl="2" w:tplc="D38A10DC">
      <w:numFmt w:val="bullet"/>
      <w:lvlText w:val="•"/>
      <w:lvlJc w:val="left"/>
      <w:pPr>
        <w:ind w:left="2174" w:hanging="361"/>
      </w:pPr>
      <w:rPr>
        <w:rFonts w:hint="default"/>
        <w:lang w:val="en-US" w:eastAsia="en-US" w:bidi="ar-SA"/>
      </w:rPr>
    </w:lvl>
    <w:lvl w:ilvl="3" w:tplc="467ECD80">
      <w:numFmt w:val="bullet"/>
      <w:lvlText w:val="•"/>
      <w:lvlJc w:val="left"/>
      <w:pPr>
        <w:ind w:left="2852" w:hanging="361"/>
      </w:pPr>
      <w:rPr>
        <w:rFonts w:hint="default"/>
        <w:lang w:val="en-US" w:eastAsia="en-US" w:bidi="ar-SA"/>
      </w:rPr>
    </w:lvl>
    <w:lvl w:ilvl="4" w:tplc="37483846">
      <w:numFmt w:val="bullet"/>
      <w:lvlText w:val="•"/>
      <w:lvlJc w:val="left"/>
      <w:pPr>
        <w:ind w:left="3529" w:hanging="361"/>
      </w:pPr>
      <w:rPr>
        <w:rFonts w:hint="default"/>
        <w:lang w:val="en-US" w:eastAsia="en-US" w:bidi="ar-SA"/>
      </w:rPr>
    </w:lvl>
    <w:lvl w:ilvl="5" w:tplc="4822CAEC">
      <w:numFmt w:val="bullet"/>
      <w:lvlText w:val="•"/>
      <w:lvlJc w:val="left"/>
      <w:pPr>
        <w:ind w:left="4207" w:hanging="361"/>
      </w:pPr>
      <w:rPr>
        <w:rFonts w:hint="default"/>
        <w:lang w:val="en-US" w:eastAsia="en-US" w:bidi="ar-SA"/>
      </w:rPr>
    </w:lvl>
    <w:lvl w:ilvl="6" w:tplc="4F5CED04">
      <w:numFmt w:val="bullet"/>
      <w:lvlText w:val="•"/>
      <w:lvlJc w:val="left"/>
      <w:pPr>
        <w:ind w:left="4884" w:hanging="361"/>
      </w:pPr>
      <w:rPr>
        <w:rFonts w:hint="default"/>
        <w:lang w:val="en-US" w:eastAsia="en-US" w:bidi="ar-SA"/>
      </w:rPr>
    </w:lvl>
    <w:lvl w:ilvl="7" w:tplc="77C095F2">
      <w:numFmt w:val="bullet"/>
      <w:lvlText w:val="•"/>
      <w:lvlJc w:val="left"/>
      <w:pPr>
        <w:ind w:left="5561" w:hanging="361"/>
      </w:pPr>
      <w:rPr>
        <w:rFonts w:hint="default"/>
        <w:lang w:val="en-US" w:eastAsia="en-US" w:bidi="ar-SA"/>
      </w:rPr>
    </w:lvl>
    <w:lvl w:ilvl="8" w:tplc="F782F00E">
      <w:numFmt w:val="bullet"/>
      <w:lvlText w:val="•"/>
      <w:lvlJc w:val="left"/>
      <w:pPr>
        <w:ind w:left="6239" w:hanging="361"/>
      </w:pPr>
      <w:rPr>
        <w:rFonts w:hint="default"/>
        <w:lang w:val="en-US" w:eastAsia="en-US" w:bidi="ar-SA"/>
      </w:rPr>
    </w:lvl>
  </w:abstractNum>
  <w:abstractNum w:abstractNumId="28" w15:restartNumberingAfterBreak="0">
    <w:nsid w:val="772059D3"/>
    <w:multiLevelType w:val="hybridMultilevel"/>
    <w:tmpl w:val="79AE9136"/>
    <w:lvl w:ilvl="0" w:tplc="6F1E34BC">
      <w:numFmt w:val="bullet"/>
      <w:lvlText w:val=""/>
      <w:lvlJc w:val="left"/>
      <w:pPr>
        <w:ind w:left="491" w:hanging="150"/>
      </w:pPr>
      <w:rPr>
        <w:rFonts w:ascii="Wingdings" w:eastAsia="Wingdings" w:hAnsi="Wingdings" w:cs="Wingdings" w:hint="default"/>
        <w:b w:val="0"/>
        <w:bCs w:val="0"/>
        <w:i w:val="0"/>
        <w:iCs w:val="0"/>
        <w:spacing w:val="0"/>
        <w:w w:val="99"/>
        <w:sz w:val="17"/>
        <w:szCs w:val="17"/>
        <w:lang w:val="en-US" w:eastAsia="en-US" w:bidi="ar-SA"/>
      </w:rPr>
    </w:lvl>
    <w:lvl w:ilvl="1" w:tplc="59C09DD0">
      <w:numFmt w:val="bullet"/>
      <w:lvlText w:val="•"/>
      <w:lvlJc w:val="left"/>
      <w:pPr>
        <w:ind w:left="531" w:hanging="150"/>
      </w:pPr>
      <w:rPr>
        <w:rFonts w:hint="default"/>
        <w:lang w:val="en-US" w:eastAsia="en-US" w:bidi="ar-SA"/>
      </w:rPr>
    </w:lvl>
    <w:lvl w:ilvl="2" w:tplc="E4B8204E">
      <w:numFmt w:val="bullet"/>
      <w:lvlText w:val="•"/>
      <w:lvlJc w:val="left"/>
      <w:pPr>
        <w:ind w:left="563" w:hanging="150"/>
      </w:pPr>
      <w:rPr>
        <w:rFonts w:hint="default"/>
        <w:lang w:val="en-US" w:eastAsia="en-US" w:bidi="ar-SA"/>
      </w:rPr>
    </w:lvl>
    <w:lvl w:ilvl="3" w:tplc="947A7EC6">
      <w:numFmt w:val="bullet"/>
      <w:lvlText w:val="•"/>
      <w:lvlJc w:val="left"/>
      <w:pPr>
        <w:ind w:left="594" w:hanging="150"/>
      </w:pPr>
      <w:rPr>
        <w:rFonts w:hint="default"/>
        <w:lang w:val="en-US" w:eastAsia="en-US" w:bidi="ar-SA"/>
      </w:rPr>
    </w:lvl>
    <w:lvl w:ilvl="4" w:tplc="FF9A5C98">
      <w:numFmt w:val="bullet"/>
      <w:lvlText w:val="•"/>
      <w:lvlJc w:val="left"/>
      <w:pPr>
        <w:ind w:left="626" w:hanging="150"/>
      </w:pPr>
      <w:rPr>
        <w:rFonts w:hint="default"/>
        <w:lang w:val="en-US" w:eastAsia="en-US" w:bidi="ar-SA"/>
      </w:rPr>
    </w:lvl>
    <w:lvl w:ilvl="5" w:tplc="9CDE9EF8">
      <w:numFmt w:val="bullet"/>
      <w:lvlText w:val="•"/>
      <w:lvlJc w:val="left"/>
      <w:pPr>
        <w:ind w:left="657" w:hanging="150"/>
      </w:pPr>
      <w:rPr>
        <w:rFonts w:hint="default"/>
        <w:lang w:val="en-US" w:eastAsia="en-US" w:bidi="ar-SA"/>
      </w:rPr>
    </w:lvl>
    <w:lvl w:ilvl="6" w:tplc="02E8C808">
      <w:numFmt w:val="bullet"/>
      <w:lvlText w:val="•"/>
      <w:lvlJc w:val="left"/>
      <w:pPr>
        <w:ind w:left="689" w:hanging="150"/>
      </w:pPr>
      <w:rPr>
        <w:rFonts w:hint="default"/>
        <w:lang w:val="en-US" w:eastAsia="en-US" w:bidi="ar-SA"/>
      </w:rPr>
    </w:lvl>
    <w:lvl w:ilvl="7" w:tplc="6DEC7B0A">
      <w:numFmt w:val="bullet"/>
      <w:lvlText w:val="•"/>
      <w:lvlJc w:val="left"/>
      <w:pPr>
        <w:ind w:left="720" w:hanging="150"/>
      </w:pPr>
      <w:rPr>
        <w:rFonts w:hint="default"/>
        <w:lang w:val="en-US" w:eastAsia="en-US" w:bidi="ar-SA"/>
      </w:rPr>
    </w:lvl>
    <w:lvl w:ilvl="8" w:tplc="BBE2719C">
      <w:numFmt w:val="bullet"/>
      <w:lvlText w:val="•"/>
      <w:lvlJc w:val="left"/>
      <w:pPr>
        <w:ind w:left="752" w:hanging="150"/>
      </w:pPr>
      <w:rPr>
        <w:rFonts w:hint="default"/>
        <w:lang w:val="en-US" w:eastAsia="en-US" w:bidi="ar-SA"/>
      </w:rPr>
    </w:lvl>
  </w:abstractNum>
  <w:abstractNum w:abstractNumId="29" w15:restartNumberingAfterBreak="0">
    <w:nsid w:val="797D0792"/>
    <w:multiLevelType w:val="hybridMultilevel"/>
    <w:tmpl w:val="1720869C"/>
    <w:lvl w:ilvl="0" w:tplc="77186D28">
      <w:numFmt w:val="bullet"/>
      <w:lvlText w:val="o"/>
      <w:lvlJc w:val="left"/>
      <w:pPr>
        <w:ind w:left="1547" w:hanging="360"/>
      </w:pPr>
      <w:rPr>
        <w:rFonts w:ascii="Courier New" w:eastAsia="Courier New" w:hAnsi="Courier New" w:cs="Courier New" w:hint="default"/>
        <w:b w:val="0"/>
        <w:bCs w:val="0"/>
        <w:i w:val="0"/>
        <w:iCs w:val="0"/>
        <w:spacing w:val="0"/>
        <w:w w:val="100"/>
        <w:sz w:val="21"/>
        <w:szCs w:val="21"/>
        <w:lang w:val="en-US" w:eastAsia="en-US" w:bidi="ar-SA"/>
      </w:rPr>
    </w:lvl>
    <w:lvl w:ilvl="1" w:tplc="2CF07ADE">
      <w:numFmt w:val="bullet"/>
      <w:lvlText w:val="•"/>
      <w:lvlJc w:val="left"/>
      <w:pPr>
        <w:ind w:left="2102" w:hanging="360"/>
      </w:pPr>
      <w:rPr>
        <w:rFonts w:hint="default"/>
        <w:lang w:val="en-US" w:eastAsia="en-US" w:bidi="ar-SA"/>
      </w:rPr>
    </w:lvl>
    <w:lvl w:ilvl="2" w:tplc="21F86EAA">
      <w:numFmt w:val="bullet"/>
      <w:lvlText w:val="•"/>
      <w:lvlJc w:val="left"/>
      <w:pPr>
        <w:ind w:left="2665" w:hanging="360"/>
      </w:pPr>
      <w:rPr>
        <w:rFonts w:hint="default"/>
        <w:lang w:val="en-US" w:eastAsia="en-US" w:bidi="ar-SA"/>
      </w:rPr>
    </w:lvl>
    <w:lvl w:ilvl="3" w:tplc="D10A1146">
      <w:numFmt w:val="bullet"/>
      <w:lvlText w:val="•"/>
      <w:lvlJc w:val="left"/>
      <w:pPr>
        <w:ind w:left="3228" w:hanging="360"/>
      </w:pPr>
      <w:rPr>
        <w:rFonts w:hint="default"/>
        <w:lang w:val="en-US" w:eastAsia="en-US" w:bidi="ar-SA"/>
      </w:rPr>
    </w:lvl>
    <w:lvl w:ilvl="4" w:tplc="1DE8D00C">
      <w:numFmt w:val="bullet"/>
      <w:lvlText w:val="•"/>
      <w:lvlJc w:val="left"/>
      <w:pPr>
        <w:ind w:left="3791" w:hanging="360"/>
      </w:pPr>
      <w:rPr>
        <w:rFonts w:hint="default"/>
        <w:lang w:val="en-US" w:eastAsia="en-US" w:bidi="ar-SA"/>
      </w:rPr>
    </w:lvl>
    <w:lvl w:ilvl="5" w:tplc="032872CE">
      <w:numFmt w:val="bullet"/>
      <w:lvlText w:val="•"/>
      <w:lvlJc w:val="left"/>
      <w:pPr>
        <w:ind w:left="4354" w:hanging="360"/>
      </w:pPr>
      <w:rPr>
        <w:rFonts w:hint="default"/>
        <w:lang w:val="en-US" w:eastAsia="en-US" w:bidi="ar-SA"/>
      </w:rPr>
    </w:lvl>
    <w:lvl w:ilvl="6" w:tplc="CB96C5BE">
      <w:numFmt w:val="bullet"/>
      <w:lvlText w:val="•"/>
      <w:lvlJc w:val="left"/>
      <w:pPr>
        <w:ind w:left="4916" w:hanging="360"/>
      </w:pPr>
      <w:rPr>
        <w:rFonts w:hint="default"/>
        <w:lang w:val="en-US" w:eastAsia="en-US" w:bidi="ar-SA"/>
      </w:rPr>
    </w:lvl>
    <w:lvl w:ilvl="7" w:tplc="B1A0F100">
      <w:numFmt w:val="bullet"/>
      <w:lvlText w:val="•"/>
      <w:lvlJc w:val="left"/>
      <w:pPr>
        <w:ind w:left="5479" w:hanging="360"/>
      </w:pPr>
      <w:rPr>
        <w:rFonts w:hint="default"/>
        <w:lang w:val="en-US" w:eastAsia="en-US" w:bidi="ar-SA"/>
      </w:rPr>
    </w:lvl>
    <w:lvl w:ilvl="8" w:tplc="2C785198">
      <w:numFmt w:val="bullet"/>
      <w:lvlText w:val="•"/>
      <w:lvlJc w:val="left"/>
      <w:pPr>
        <w:ind w:left="6042" w:hanging="360"/>
      </w:pPr>
      <w:rPr>
        <w:rFonts w:hint="default"/>
        <w:lang w:val="en-US" w:eastAsia="en-US" w:bidi="ar-SA"/>
      </w:rPr>
    </w:lvl>
  </w:abstractNum>
  <w:abstractNum w:abstractNumId="30"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1" w15:restartNumberingAfterBreak="0">
    <w:nsid w:val="7C714BDB"/>
    <w:multiLevelType w:val="hybridMultilevel"/>
    <w:tmpl w:val="CB3A15EA"/>
    <w:lvl w:ilvl="0" w:tplc="2512A2F0">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428E93CE">
      <w:numFmt w:val="bullet"/>
      <w:lvlText w:val="•"/>
      <w:lvlJc w:val="left"/>
      <w:pPr>
        <w:ind w:left="534" w:hanging="150"/>
      </w:pPr>
      <w:rPr>
        <w:rFonts w:hint="default"/>
        <w:lang w:val="en-US" w:eastAsia="en-US" w:bidi="ar-SA"/>
      </w:rPr>
    </w:lvl>
    <w:lvl w:ilvl="2" w:tplc="CEC60612">
      <w:numFmt w:val="bullet"/>
      <w:lvlText w:val="•"/>
      <w:lvlJc w:val="left"/>
      <w:pPr>
        <w:ind w:left="568" w:hanging="150"/>
      </w:pPr>
      <w:rPr>
        <w:rFonts w:hint="default"/>
        <w:lang w:val="en-US" w:eastAsia="en-US" w:bidi="ar-SA"/>
      </w:rPr>
    </w:lvl>
    <w:lvl w:ilvl="3" w:tplc="33B645B4">
      <w:numFmt w:val="bullet"/>
      <w:lvlText w:val="•"/>
      <w:lvlJc w:val="left"/>
      <w:pPr>
        <w:ind w:left="603" w:hanging="150"/>
      </w:pPr>
      <w:rPr>
        <w:rFonts w:hint="default"/>
        <w:lang w:val="en-US" w:eastAsia="en-US" w:bidi="ar-SA"/>
      </w:rPr>
    </w:lvl>
    <w:lvl w:ilvl="4" w:tplc="75524766">
      <w:numFmt w:val="bullet"/>
      <w:lvlText w:val="•"/>
      <w:lvlJc w:val="left"/>
      <w:pPr>
        <w:ind w:left="637" w:hanging="150"/>
      </w:pPr>
      <w:rPr>
        <w:rFonts w:hint="default"/>
        <w:lang w:val="en-US" w:eastAsia="en-US" w:bidi="ar-SA"/>
      </w:rPr>
    </w:lvl>
    <w:lvl w:ilvl="5" w:tplc="A7DAD122">
      <w:numFmt w:val="bullet"/>
      <w:lvlText w:val="•"/>
      <w:lvlJc w:val="left"/>
      <w:pPr>
        <w:ind w:left="672" w:hanging="150"/>
      </w:pPr>
      <w:rPr>
        <w:rFonts w:hint="default"/>
        <w:lang w:val="en-US" w:eastAsia="en-US" w:bidi="ar-SA"/>
      </w:rPr>
    </w:lvl>
    <w:lvl w:ilvl="6" w:tplc="A14A0972">
      <w:numFmt w:val="bullet"/>
      <w:lvlText w:val="•"/>
      <w:lvlJc w:val="left"/>
      <w:pPr>
        <w:ind w:left="706" w:hanging="150"/>
      </w:pPr>
      <w:rPr>
        <w:rFonts w:hint="default"/>
        <w:lang w:val="en-US" w:eastAsia="en-US" w:bidi="ar-SA"/>
      </w:rPr>
    </w:lvl>
    <w:lvl w:ilvl="7" w:tplc="C714D6B4">
      <w:numFmt w:val="bullet"/>
      <w:lvlText w:val="•"/>
      <w:lvlJc w:val="left"/>
      <w:pPr>
        <w:ind w:left="741" w:hanging="150"/>
      </w:pPr>
      <w:rPr>
        <w:rFonts w:hint="default"/>
        <w:lang w:val="en-US" w:eastAsia="en-US" w:bidi="ar-SA"/>
      </w:rPr>
    </w:lvl>
    <w:lvl w:ilvl="8" w:tplc="35F0A880">
      <w:numFmt w:val="bullet"/>
      <w:lvlText w:val="•"/>
      <w:lvlJc w:val="left"/>
      <w:pPr>
        <w:ind w:left="775" w:hanging="150"/>
      </w:pPr>
      <w:rPr>
        <w:rFonts w:hint="default"/>
        <w:lang w:val="en-US" w:eastAsia="en-US" w:bidi="ar-SA"/>
      </w:rPr>
    </w:lvl>
  </w:abstractNum>
  <w:num w:numId="1" w16cid:durableId="1032997172">
    <w:abstractNumId w:val="6"/>
  </w:num>
  <w:num w:numId="2" w16cid:durableId="1856573705">
    <w:abstractNumId w:val="3"/>
  </w:num>
  <w:num w:numId="3" w16cid:durableId="357703499">
    <w:abstractNumId w:val="5"/>
  </w:num>
  <w:num w:numId="4" w16cid:durableId="1869176708">
    <w:abstractNumId w:val="22"/>
  </w:num>
  <w:num w:numId="5" w16cid:durableId="1652950129">
    <w:abstractNumId w:val="10"/>
  </w:num>
  <w:num w:numId="6" w16cid:durableId="1053193207">
    <w:abstractNumId w:val="20"/>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1"/>
  </w:num>
  <w:num w:numId="9" w16cid:durableId="173421270">
    <w:abstractNumId w:val="4"/>
  </w:num>
  <w:num w:numId="10" w16cid:durableId="2108043357">
    <w:abstractNumId w:val="7"/>
  </w:num>
  <w:num w:numId="11" w16cid:durableId="1725904230">
    <w:abstractNumId w:val="16"/>
  </w:num>
  <w:num w:numId="12" w16cid:durableId="141579354">
    <w:abstractNumId w:val="24"/>
  </w:num>
  <w:num w:numId="13" w16cid:durableId="283735081">
    <w:abstractNumId w:val="30"/>
  </w:num>
  <w:num w:numId="14" w16cid:durableId="210268765">
    <w:abstractNumId w:val="27"/>
  </w:num>
  <w:num w:numId="15" w16cid:durableId="1136140340">
    <w:abstractNumId w:val="1"/>
  </w:num>
  <w:num w:numId="16" w16cid:durableId="1465153085">
    <w:abstractNumId w:val="8"/>
  </w:num>
  <w:num w:numId="17" w16cid:durableId="1081440340">
    <w:abstractNumId w:val="13"/>
  </w:num>
  <w:num w:numId="18" w16cid:durableId="2143881397">
    <w:abstractNumId w:val="12"/>
  </w:num>
  <w:num w:numId="19" w16cid:durableId="1010761742">
    <w:abstractNumId w:val="29"/>
  </w:num>
  <w:num w:numId="20" w16cid:durableId="1668091818">
    <w:abstractNumId w:val="19"/>
  </w:num>
  <w:num w:numId="21" w16cid:durableId="72362082">
    <w:abstractNumId w:val="26"/>
  </w:num>
  <w:num w:numId="22" w16cid:durableId="1668168671">
    <w:abstractNumId w:val="2"/>
  </w:num>
  <w:num w:numId="23" w16cid:durableId="1008630506">
    <w:abstractNumId w:val="18"/>
  </w:num>
  <w:num w:numId="24" w16cid:durableId="655498112">
    <w:abstractNumId w:val="23"/>
  </w:num>
  <w:num w:numId="25" w16cid:durableId="1793668301">
    <w:abstractNumId w:val="25"/>
  </w:num>
  <w:num w:numId="26" w16cid:durableId="2102288001">
    <w:abstractNumId w:val="17"/>
  </w:num>
  <w:num w:numId="27" w16cid:durableId="286549576">
    <w:abstractNumId w:val="15"/>
  </w:num>
  <w:num w:numId="28" w16cid:durableId="947352732">
    <w:abstractNumId w:val="28"/>
  </w:num>
  <w:num w:numId="29" w16cid:durableId="1200777276">
    <w:abstractNumId w:val="0"/>
  </w:num>
  <w:num w:numId="30" w16cid:durableId="1820229211">
    <w:abstractNumId w:val="31"/>
  </w:num>
  <w:num w:numId="31" w16cid:durableId="1072196855">
    <w:abstractNumId w:val="14"/>
  </w:num>
  <w:num w:numId="32" w16cid:durableId="574361996">
    <w:abstractNumId w:val="9"/>
  </w:num>
  <w:num w:numId="33" w16cid:durableId="7698614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471E"/>
    <w:rsid w:val="00005062"/>
    <w:rsid w:val="0001064C"/>
    <w:rsid w:val="0001384A"/>
    <w:rsid w:val="00015B11"/>
    <w:rsid w:val="0002111F"/>
    <w:rsid w:val="00021C13"/>
    <w:rsid w:val="00022C87"/>
    <w:rsid w:val="0002696C"/>
    <w:rsid w:val="00026ECA"/>
    <w:rsid w:val="00032A0F"/>
    <w:rsid w:val="000354EC"/>
    <w:rsid w:val="00035DB9"/>
    <w:rsid w:val="00040D8D"/>
    <w:rsid w:val="00041E49"/>
    <w:rsid w:val="000428A8"/>
    <w:rsid w:val="00044B05"/>
    <w:rsid w:val="00046423"/>
    <w:rsid w:val="000477F5"/>
    <w:rsid w:val="0005367F"/>
    <w:rsid w:val="0006104E"/>
    <w:rsid w:val="000640BD"/>
    <w:rsid w:val="00065839"/>
    <w:rsid w:val="00065FDF"/>
    <w:rsid w:val="0006693A"/>
    <w:rsid w:val="0006702E"/>
    <w:rsid w:val="00077424"/>
    <w:rsid w:val="00077844"/>
    <w:rsid w:val="00082ABE"/>
    <w:rsid w:val="00083763"/>
    <w:rsid w:val="000837CB"/>
    <w:rsid w:val="000840FC"/>
    <w:rsid w:val="00090510"/>
    <w:rsid w:val="00090FDF"/>
    <w:rsid w:val="000917AE"/>
    <w:rsid w:val="00094375"/>
    <w:rsid w:val="00094B81"/>
    <w:rsid w:val="00095C6A"/>
    <w:rsid w:val="000975AA"/>
    <w:rsid w:val="000A221F"/>
    <w:rsid w:val="000B3AAA"/>
    <w:rsid w:val="000B3F60"/>
    <w:rsid w:val="000B6B15"/>
    <w:rsid w:val="000C25A7"/>
    <w:rsid w:val="000C2686"/>
    <w:rsid w:val="000C5817"/>
    <w:rsid w:val="000D78EC"/>
    <w:rsid w:val="000D7934"/>
    <w:rsid w:val="000E2434"/>
    <w:rsid w:val="000E2597"/>
    <w:rsid w:val="000E2FCD"/>
    <w:rsid w:val="000E504E"/>
    <w:rsid w:val="000E6746"/>
    <w:rsid w:val="000F12E9"/>
    <w:rsid w:val="000F3D40"/>
    <w:rsid w:val="000F7B51"/>
    <w:rsid w:val="00101BEE"/>
    <w:rsid w:val="00101CE6"/>
    <w:rsid w:val="00101FB1"/>
    <w:rsid w:val="0010558A"/>
    <w:rsid w:val="00105E1E"/>
    <w:rsid w:val="001071A8"/>
    <w:rsid w:val="001071EA"/>
    <w:rsid w:val="00107DD1"/>
    <w:rsid w:val="001101FF"/>
    <w:rsid w:val="001106F5"/>
    <w:rsid w:val="001116D1"/>
    <w:rsid w:val="00111989"/>
    <w:rsid w:val="00113F9F"/>
    <w:rsid w:val="00114025"/>
    <w:rsid w:val="001174E3"/>
    <w:rsid w:val="00121480"/>
    <w:rsid w:val="0012473C"/>
    <w:rsid w:val="001254DE"/>
    <w:rsid w:val="001264B8"/>
    <w:rsid w:val="00126D5E"/>
    <w:rsid w:val="00127A74"/>
    <w:rsid w:val="00127D8F"/>
    <w:rsid w:val="0013132F"/>
    <w:rsid w:val="00131B1B"/>
    <w:rsid w:val="00132C9B"/>
    <w:rsid w:val="0013306D"/>
    <w:rsid w:val="00133F91"/>
    <w:rsid w:val="0013528C"/>
    <w:rsid w:val="001417C2"/>
    <w:rsid w:val="00142F40"/>
    <w:rsid w:val="001442A2"/>
    <w:rsid w:val="00144E01"/>
    <w:rsid w:val="001468CA"/>
    <w:rsid w:val="001500A8"/>
    <w:rsid w:val="00150972"/>
    <w:rsid w:val="00155D85"/>
    <w:rsid w:val="00161CA1"/>
    <w:rsid w:val="00163AFF"/>
    <w:rsid w:val="00165D28"/>
    <w:rsid w:val="0017005C"/>
    <w:rsid w:val="00175CD8"/>
    <w:rsid w:val="00177719"/>
    <w:rsid w:val="00182BD8"/>
    <w:rsid w:val="00182FAF"/>
    <w:rsid w:val="00187239"/>
    <w:rsid w:val="00190812"/>
    <w:rsid w:val="00190853"/>
    <w:rsid w:val="00196D08"/>
    <w:rsid w:val="001A4208"/>
    <w:rsid w:val="001A76F9"/>
    <w:rsid w:val="001B06FF"/>
    <w:rsid w:val="001B1703"/>
    <w:rsid w:val="001B3691"/>
    <w:rsid w:val="001B5CA6"/>
    <w:rsid w:val="001C1C2E"/>
    <w:rsid w:val="001C2FEA"/>
    <w:rsid w:val="001C31A1"/>
    <w:rsid w:val="001C3FA2"/>
    <w:rsid w:val="001C4622"/>
    <w:rsid w:val="001C5EE2"/>
    <w:rsid w:val="001D0077"/>
    <w:rsid w:val="001E2F32"/>
    <w:rsid w:val="001E407B"/>
    <w:rsid w:val="001E6433"/>
    <w:rsid w:val="001E7FC6"/>
    <w:rsid w:val="001F2502"/>
    <w:rsid w:val="001F70A5"/>
    <w:rsid w:val="00200C2D"/>
    <w:rsid w:val="0020235D"/>
    <w:rsid w:val="0020369B"/>
    <w:rsid w:val="00207B4D"/>
    <w:rsid w:val="00210F9B"/>
    <w:rsid w:val="002110B4"/>
    <w:rsid w:val="002117B1"/>
    <w:rsid w:val="00212B71"/>
    <w:rsid w:val="002167BA"/>
    <w:rsid w:val="0021716D"/>
    <w:rsid w:val="00217CCE"/>
    <w:rsid w:val="002203B1"/>
    <w:rsid w:val="002227C6"/>
    <w:rsid w:val="00226F39"/>
    <w:rsid w:val="002334AD"/>
    <w:rsid w:val="00235325"/>
    <w:rsid w:val="002373E3"/>
    <w:rsid w:val="00240AE4"/>
    <w:rsid w:val="00241B60"/>
    <w:rsid w:val="00245A94"/>
    <w:rsid w:val="00256193"/>
    <w:rsid w:val="0025785B"/>
    <w:rsid w:val="00257969"/>
    <w:rsid w:val="00260D2E"/>
    <w:rsid w:val="00261FA1"/>
    <w:rsid w:val="00265CD1"/>
    <w:rsid w:val="002766D1"/>
    <w:rsid w:val="00280048"/>
    <w:rsid w:val="0028489E"/>
    <w:rsid w:val="002848DE"/>
    <w:rsid w:val="00286C95"/>
    <w:rsid w:val="0028794E"/>
    <w:rsid w:val="00287EF9"/>
    <w:rsid w:val="00292C77"/>
    <w:rsid w:val="002944D8"/>
    <w:rsid w:val="0029733B"/>
    <w:rsid w:val="002A5841"/>
    <w:rsid w:val="002A6ACA"/>
    <w:rsid w:val="002A6EA2"/>
    <w:rsid w:val="002B1EDF"/>
    <w:rsid w:val="002B2061"/>
    <w:rsid w:val="002B5B42"/>
    <w:rsid w:val="002B633A"/>
    <w:rsid w:val="002C1232"/>
    <w:rsid w:val="002C1E44"/>
    <w:rsid w:val="002C51E3"/>
    <w:rsid w:val="002C5C92"/>
    <w:rsid w:val="002C5E29"/>
    <w:rsid w:val="002D0478"/>
    <w:rsid w:val="002D7127"/>
    <w:rsid w:val="002E79DA"/>
    <w:rsid w:val="002F116C"/>
    <w:rsid w:val="002F599E"/>
    <w:rsid w:val="002F7E52"/>
    <w:rsid w:val="003008D8"/>
    <w:rsid w:val="00301D9A"/>
    <w:rsid w:val="00303959"/>
    <w:rsid w:val="00306E72"/>
    <w:rsid w:val="00307D45"/>
    <w:rsid w:val="003105E1"/>
    <w:rsid w:val="00310C85"/>
    <w:rsid w:val="00312304"/>
    <w:rsid w:val="00312AC3"/>
    <w:rsid w:val="00314430"/>
    <w:rsid w:val="0031503D"/>
    <w:rsid w:val="003163BC"/>
    <w:rsid w:val="003212D9"/>
    <w:rsid w:val="0032351A"/>
    <w:rsid w:val="00324B33"/>
    <w:rsid w:val="00327488"/>
    <w:rsid w:val="00330EB3"/>
    <w:rsid w:val="0033169F"/>
    <w:rsid w:val="00335991"/>
    <w:rsid w:val="00336FE1"/>
    <w:rsid w:val="00342D56"/>
    <w:rsid w:val="003456E7"/>
    <w:rsid w:val="00346EC2"/>
    <w:rsid w:val="003477F9"/>
    <w:rsid w:val="00351E7F"/>
    <w:rsid w:val="0035444D"/>
    <w:rsid w:val="00354BA0"/>
    <w:rsid w:val="0035526C"/>
    <w:rsid w:val="00356D62"/>
    <w:rsid w:val="003612F9"/>
    <w:rsid w:val="00363EE3"/>
    <w:rsid w:val="00364E61"/>
    <w:rsid w:val="003735F3"/>
    <w:rsid w:val="00374226"/>
    <w:rsid w:val="00374729"/>
    <w:rsid w:val="0038478F"/>
    <w:rsid w:val="00387298"/>
    <w:rsid w:val="00387984"/>
    <w:rsid w:val="0039261D"/>
    <w:rsid w:val="00395140"/>
    <w:rsid w:val="003A2422"/>
    <w:rsid w:val="003B149C"/>
    <w:rsid w:val="003B5DF6"/>
    <w:rsid w:val="003C0FDB"/>
    <w:rsid w:val="003C1192"/>
    <w:rsid w:val="003C55E2"/>
    <w:rsid w:val="003C63D5"/>
    <w:rsid w:val="003C7AA8"/>
    <w:rsid w:val="003D3C05"/>
    <w:rsid w:val="003D71A1"/>
    <w:rsid w:val="003D78C2"/>
    <w:rsid w:val="003E6E4A"/>
    <w:rsid w:val="003F557F"/>
    <w:rsid w:val="00401C53"/>
    <w:rsid w:val="004052F6"/>
    <w:rsid w:val="00405C37"/>
    <w:rsid w:val="004120EB"/>
    <w:rsid w:val="00412BDC"/>
    <w:rsid w:val="00414A56"/>
    <w:rsid w:val="0041688F"/>
    <w:rsid w:val="004179DD"/>
    <w:rsid w:val="0042376F"/>
    <w:rsid w:val="004244D9"/>
    <w:rsid w:val="004246B8"/>
    <w:rsid w:val="004248F1"/>
    <w:rsid w:val="00432D0B"/>
    <w:rsid w:val="00433318"/>
    <w:rsid w:val="004411D9"/>
    <w:rsid w:val="00442373"/>
    <w:rsid w:val="00442A56"/>
    <w:rsid w:val="00444011"/>
    <w:rsid w:val="004444B0"/>
    <w:rsid w:val="0044709A"/>
    <w:rsid w:val="00450315"/>
    <w:rsid w:val="0045060B"/>
    <w:rsid w:val="0045261D"/>
    <w:rsid w:val="00454D17"/>
    <w:rsid w:val="004626FF"/>
    <w:rsid w:val="0046285C"/>
    <w:rsid w:val="00470A52"/>
    <w:rsid w:val="0047165D"/>
    <w:rsid w:val="00471BD5"/>
    <w:rsid w:val="00477C4E"/>
    <w:rsid w:val="00477F07"/>
    <w:rsid w:val="00480A4C"/>
    <w:rsid w:val="00481503"/>
    <w:rsid w:val="00481D12"/>
    <w:rsid w:val="004854A6"/>
    <w:rsid w:val="00486733"/>
    <w:rsid w:val="004903D0"/>
    <w:rsid w:val="004915A5"/>
    <w:rsid w:val="00491A55"/>
    <w:rsid w:val="00494C3E"/>
    <w:rsid w:val="00494F10"/>
    <w:rsid w:val="004960BD"/>
    <w:rsid w:val="00496596"/>
    <w:rsid w:val="00497DF1"/>
    <w:rsid w:val="004A318E"/>
    <w:rsid w:val="004A45D4"/>
    <w:rsid w:val="004A57E8"/>
    <w:rsid w:val="004A77B1"/>
    <w:rsid w:val="004B3081"/>
    <w:rsid w:val="004B4A09"/>
    <w:rsid w:val="004C2448"/>
    <w:rsid w:val="004C41CE"/>
    <w:rsid w:val="004C631B"/>
    <w:rsid w:val="004D066F"/>
    <w:rsid w:val="004D0933"/>
    <w:rsid w:val="004D2F00"/>
    <w:rsid w:val="004D31D8"/>
    <w:rsid w:val="004D35D1"/>
    <w:rsid w:val="004D5388"/>
    <w:rsid w:val="004D7E1F"/>
    <w:rsid w:val="004E14C6"/>
    <w:rsid w:val="004E7F16"/>
    <w:rsid w:val="004F18EC"/>
    <w:rsid w:val="004F311A"/>
    <w:rsid w:val="004F4997"/>
    <w:rsid w:val="00500D68"/>
    <w:rsid w:val="005042C7"/>
    <w:rsid w:val="00513469"/>
    <w:rsid w:val="0052023F"/>
    <w:rsid w:val="00530F09"/>
    <w:rsid w:val="00531DDE"/>
    <w:rsid w:val="00532986"/>
    <w:rsid w:val="0053377D"/>
    <w:rsid w:val="00535D49"/>
    <w:rsid w:val="00535DFE"/>
    <w:rsid w:val="005373B5"/>
    <w:rsid w:val="00537AB7"/>
    <w:rsid w:val="005420E4"/>
    <w:rsid w:val="0054239E"/>
    <w:rsid w:val="00542FD0"/>
    <w:rsid w:val="00543610"/>
    <w:rsid w:val="0054669B"/>
    <w:rsid w:val="005476AC"/>
    <w:rsid w:val="005502A9"/>
    <w:rsid w:val="00556E60"/>
    <w:rsid w:val="00557684"/>
    <w:rsid w:val="00560308"/>
    <w:rsid w:val="005606D2"/>
    <w:rsid w:val="005610D1"/>
    <w:rsid w:val="00561DC0"/>
    <w:rsid w:val="00562F42"/>
    <w:rsid w:val="00565739"/>
    <w:rsid w:val="0056766D"/>
    <w:rsid w:val="00575215"/>
    <w:rsid w:val="005754E3"/>
    <w:rsid w:val="0057606F"/>
    <w:rsid w:val="00576090"/>
    <w:rsid w:val="005775D0"/>
    <w:rsid w:val="00581138"/>
    <w:rsid w:val="0058575E"/>
    <w:rsid w:val="00587321"/>
    <w:rsid w:val="0058783C"/>
    <w:rsid w:val="00590BF8"/>
    <w:rsid w:val="00590EA7"/>
    <w:rsid w:val="005911AE"/>
    <w:rsid w:val="005926E2"/>
    <w:rsid w:val="0059313A"/>
    <w:rsid w:val="005A0CDE"/>
    <w:rsid w:val="005A54EA"/>
    <w:rsid w:val="005B023F"/>
    <w:rsid w:val="005B02A2"/>
    <w:rsid w:val="005B1417"/>
    <w:rsid w:val="005B525D"/>
    <w:rsid w:val="005B69CF"/>
    <w:rsid w:val="005C3F07"/>
    <w:rsid w:val="005C4B46"/>
    <w:rsid w:val="005C5DC5"/>
    <w:rsid w:val="005D2089"/>
    <w:rsid w:val="005D7514"/>
    <w:rsid w:val="005E0FC6"/>
    <w:rsid w:val="005E1A7B"/>
    <w:rsid w:val="005E231F"/>
    <w:rsid w:val="005F7C56"/>
    <w:rsid w:val="0060180A"/>
    <w:rsid w:val="00602D6E"/>
    <w:rsid w:val="00605C05"/>
    <w:rsid w:val="00610A68"/>
    <w:rsid w:val="00610DE0"/>
    <w:rsid w:val="00610F36"/>
    <w:rsid w:val="00611351"/>
    <w:rsid w:val="0061217D"/>
    <w:rsid w:val="006129AE"/>
    <w:rsid w:val="00615384"/>
    <w:rsid w:val="0061571E"/>
    <w:rsid w:val="006179CC"/>
    <w:rsid w:val="00626B84"/>
    <w:rsid w:val="006277A1"/>
    <w:rsid w:val="00633BD7"/>
    <w:rsid w:val="00634580"/>
    <w:rsid w:val="00634884"/>
    <w:rsid w:val="006351D9"/>
    <w:rsid w:val="00637130"/>
    <w:rsid w:val="00637566"/>
    <w:rsid w:val="00637F0E"/>
    <w:rsid w:val="006402C8"/>
    <w:rsid w:val="006423F2"/>
    <w:rsid w:val="006428C5"/>
    <w:rsid w:val="00642B93"/>
    <w:rsid w:val="00642EAF"/>
    <w:rsid w:val="00650234"/>
    <w:rsid w:val="0066044B"/>
    <w:rsid w:val="00660566"/>
    <w:rsid w:val="006616D8"/>
    <w:rsid w:val="00662268"/>
    <w:rsid w:val="006630AA"/>
    <w:rsid w:val="00663544"/>
    <w:rsid w:val="0066503D"/>
    <w:rsid w:val="00666539"/>
    <w:rsid w:val="00666911"/>
    <w:rsid w:val="00670CD1"/>
    <w:rsid w:val="00675F81"/>
    <w:rsid w:val="00680118"/>
    <w:rsid w:val="006806E3"/>
    <w:rsid w:val="00680735"/>
    <w:rsid w:val="0068143E"/>
    <w:rsid w:val="00684197"/>
    <w:rsid w:val="0068507D"/>
    <w:rsid w:val="00691AF2"/>
    <w:rsid w:val="00692B80"/>
    <w:rsid w:val="00692CCD"/>
    <w:rsid w:val="00692D51"/>
    <w:rsid w:val="00694DD7"/>
    <w:rsid w:val="0069636B"/>
    <w:rsid w:val="00696C72"/>
    <w:rsid w:val="006A1762"/>
    <w:rsid w:val="006A19CE"/>
    <w:rsid w:val="006A1F0B"/>
    <w:rsid w:val="006A277A"/>
    <w:rsid w:val="006A3FC0"/>
    <w:rsid w:val="006A5973"/>
    <w:rsid w:val="006B04F3"/>
    <w:rsid w:val="006B381B"/>
    <w:rsid w:val="006B7126"/>
    <w:rsid w:val="006C0DB5"/>
    <w:rsid w:val="006C6239"/>
    <w:rsid w:val="006C6B86"/>
    <w:rsid w:val="006D0E86"/>
    <w:rsid w:val="006D1348"/>
    <w:rsid w:val="006D1A8E"/>
    <w:rsid w:val="006D4553"/>
    <w:rsid w:val="006D4A35"/>
    <w:rsid w:val="006D6B44"/>
    <w:rsid w:val="006E0F71"/>
    <w:rsid w:val="006E27FE"/>
    <w:rsid w:val="006F47E4"/>
    <w:rsid w:val="00701110"/>
    <w:rsid w:val="00702E91"/>
    <w:rsid w:val="0070330F"/>
    <w:rsid w:val="00703624"/>
    <w:rsid w:val="007046ED"/>
    <w:rsid w:val="007056E8"/>
    <w:rsid w:val="007072A1"/>
    <w:rsid w:val="0071060C"/>
    <w:rsid w:val="00710BC5"/>
    <w:rsid w:val="007121CA"/>
    <w:rsid w:val="00714A6C"/>
    <w:rsid w:val="0072003B"/>
    <w:rsid w:val="00721059"/>
    <w:rsid w:val="007211E6"/>
    <w:rsid w:val="007220C4"/>
    <w:rsid w:val="007305ED"/>
    <w:rsid w:val="00732361"/>
    <w:rsid w:val="007357B9"/>
    <w:rsid w:val="00741AB9"/>
    <w:rsid w:val="00742D03"/>
    <w:rsid w:val="00744216"/>
    <w:rsid w:val="007452E8"/>
    <w:rsid w:val="00746990"/>
    <w:rsid w:val="00747093"/>
    <w:rsid w:val="00750D70"/>
    <w:rsid w:val="007575D0"/>
    <w:rsid w:val="007662E0"/>
    <w:rsid w:val="00776E9C"/>
    <w:rsid w:val="007816D8"/>
    <w:rsid w:val="00784150"/>
    <w:rsid w:val="00786411"/>
    <w:rsid w:val="007917E3"/>
    <w:rsid w:val="00793272"/>
    <w:rsid w:val="0079499A"/>
    <w:rsid w:val="00794B64"/>
    <w:rsid w:val="007967C3"/>
    <w:rsid w:val="007A0A33"/>
    <w:rsid w:val="007A0B69"/>
    <w:rsid w:val="007A17B5"/>
    <w:rsid w:val="007A5AF7"/>
    <w:rsid w:val="007B04DE"/>
    <w:rsid w:val="007B0902"/>
    <w:rsid w:val="007B0AE6"/>
    <w:rsid w:val="007B4077"/>
    <w:rsid w:val="007B682D"/>
    <w:rsid w:val="007B78F6"/>
    <w:rsid w:val="007C0F0B"/>
    <w:rsid w:val="007C5431"/>
    <w:rsid w:val="007C57BC"/>
    <w:rsid w:val="007D04CA"/>
    <w:rsid w:val="007D0A2B"/>
    <w:rsid w:val="007D12A1"/>
    <w:rsid w:val="007D40E5"/>
    <w:rsid w:val="007D4138"/>
    <w:rsid w:val="007E4178"/>
    <w:rsid w:val="007E6443"/>
    <w:rsid w:val="007F0A77"/>
    <w:rsid w:val="007F1E37"/>
    <w:rsid w:val="007F50D3"/>
    <w:rsid w:val="007F6B1F"/>
    <w:rsid w:val="007F74CD"/>
    <w:rsid w:val="007F7615"/>
    <w:rsid w:val="008013F0"/>
    <w:rsid w:val="00803926"/>
    <w:rsid w:val="00804897"/>
    <w:rsid w:val="00810516"/>
    <w:rsid w:val="00811D96"/>
    <w:rsid w:val="008203AA"/>
    <w:rsid w:val="00822265"/>
    <w:rsid w:val="00822E10"/>
    <w:rsid w:val="0082343E"/>
    <w:rsid w:val="00823CB2"/>
    <w:rsid w:val="00824589"/>
    <w:rsid w:val="00826B4B"/>
    <w:rsid w:val="00832037"/>
    <w:rsid w:val="008329DB"/>
    <w:rsid w:val="00832BC7"/>
    <w:rsid w:val="008350B3"/>
    <w:rsid w:val="008361C5"/>
    <w:rsid w:val="0083628F"/>
    <w:rsid w:val="00837AB9"/>
    <w:rsid w:val="00844011"/>
    <w:rsid w:val="00845072"/>
    <w:rsid w:val="00850637"/>
    <w:rsid w:val="008516DB"/>
    <w:rsid w:val="008519BD"/>
    <w:rsid w:val="00853C69"/>
    <w:rsid w:val="00854D98"/>
    <w:rsid w:val="0085533A"/>
    <w:rsid w:val="008563B6"/>
    <w:rsid w:val="0085751E"/>
    <w:rsid w:val="00860B29"/>
    <w:rsid w:val="00861007"/>
    <w:rsid w:val="00862259"/>
    <w:rsid w:val="008622E8"/>
    <w:rsid w:val="00862E6A"/>
    <w:rsid w:val="00863685"/>
    <w:rsid w:val="008645EE"/>
    <w:rsid w:val="00870144"/>
    <w:rsid w:val="0087072C"/>
    <w:rsid w:val="00871312"/>
    <w:rsid w:val="00873D7A"/>
    <w:rsid w:val="00877CB3"/>
    <w:rsid w:val="008804CF"/>
    <w:rsid w:val="00882D58"/>
    <w:rsid w:val="00882F19"/>
    <w:rsid w:val="00883D35"/>
    <w:rsid w:val="00884569"/>
    <w:rsid w:val="00886A3F"/>
    <w:rsid w:val="00887A51"/>
    <w:rsid w:val="0089038A"/>
    <w:rsid w:val="00890D9B"/>
    <w:rsid w:val="00891C6C"/>
    <w:rsid w:val="00891D57"/>
    <w:rsid w:val="00893CCD"/>
    <w:rsid w:val="008964B3"/>
    <w:rsid w:val="008B1CB5"/>
    <w:rsid w:val="008B676E"/>
    <w:rsid w:val="008B69D7"/>
    <w:rsid w:val="008C2D69"/>
    <w:rsid w:val="008C37A1"/>
    <w:rsid w:val="008C49C6"/>
    <w:rsid w:val="008C5009"/>
    <w:rsid w:val="008C754C"/>
    <w:rsid w:val="008D0760"/>
    <w:rsid w:val="008D1B56"/>
    <w:rsid w:val="008D56C9"/>
    <w:rsid w:val="008D56CA"/>
    <w:rsid w:val="008D6A54"/>
    <w:rsid w:val="008E001F"/>
    <w:rsid w:val="008E2585"/>
    <w:rsid w:val="008E2D7A"/>
    <w:rsid w:val="008E32C3"/>
    <w:rsid w:val="008E3BCA"/>
    <w:rsid w:val="008F3215"/>
    <w:rsid w:val="008F4A62"/>
    <w:rsid w:val="008F6873"/>
    <w:rsid w:val="008F7256"/>
    <w:rsid w:val="0090424C"/>
    <w:rsid w:val="00904F97"/>
    <w:rsid w:val="0090605E"/>
    <w:rsid w:val="009078C1"/>
    <w:rsid w:val="009108CE"/>
    <w:rsid w:val="00915A9F"/>
    <w:rsid w:val="00930D58"/>
    <w:rsid w:val="009310C2"/>
    <w:rsid w:val="00933848"/>
    <w:rsid w:val="00935AAA"/>
    <w:rsid w:val="00937662"/>
    <w:rsid w:val="00940340"/>
    <w:rsid w:val="0095031E"/>
    <w:rsid w:val="00954297"/>
    <w:rsid w:val="00960A2B"/>
    <w:rsid w:val="00960A56"/>
    <w:rsid w:val="0096459C"/>
    <w:rsid w:val="009668C9"/>
    <w:rsid w:val="00966EF1"/>
    <w:rsid w:val="00967223"/>
    <w:rsid w:val="00971D96"/>
    <w:rsid w:val="00972B2F"/>
    <w:rsid w:val="009751F7"/>
    <w:rsid w:val="00983253"/>
    <w:rsid w:val="0098350E"/>
    <w:rsid w:val="00990C12"/>
    <w:rsid w:val="0099404F"/>
    <w:rsid w:val="00996FA5"/>
    <w:rsid w:val="009B40A9"/>
    <w:rsid w:val="009B5662"/>
    <w:rsid w:val="009B625B"/>
    <w:rsid w:val="009C0386"/>
    <w:rsid w:val="009C2211"/>
    <w:rsid w:val="009C2AD6"/>
    <w:rsid w:val="009C40E8"/>
    <w:rsid w:val="009C45C5"/>
    <w:rsid w:val="009C4B9E"/>
    <w:rsid w:val="009C5AF2"/>
    <w:rsid w:val="009E1C91"/>
    <w:rsid w:val="009E5E19"/>
    <w:rsid w:val="009E6858"/>
    <w:rsid w:val="009E6F8C"/>
    <w:rsid w:val="009F1564"/>
    <w:rsid w:val="009F35BD"/>
    <w:rsid w:val="009F405F"/>
    <w:rsid w:val="009F444F"/>
    <w:rsid w:val="009F5D14"/>
    <w:rsid w:val="009F5E46"/>
    <w:rsid w:val="00A01C56"/>
    <w:rsid w:val="00A16A63"/>
    <w:rsid w:val="00A17095"/>
    <w:rsid w:val="00A26BF3"/>
    <w:rsid w:val="00A27E98"/>
    <w:rsid w:val="00A32C50"/>
    <w:rsid w:val="00A3480F"/>
    <w:rsid w:val="00A358E7"/>
    <w:rsid w:val="00A37C14"/>
    <w:rsid w:val="00A4380B"/>
    <w:rsid w:val="00A5067F"/>
    <w:rsid w:val="00A51A2D"/>
    <w:rsid w:val="00A5596B"/>
    <w:rsid w:val="00A57F80"/>
    <w:rsid w:val="00A60DC7"/>
    <w:rsid w:val="00A62900"/>
    <w:rsid w:val="00A63026"/>
    <w:rsid w:val="00A63C07"/>
    <w:rsid w:val="00A63D9B"/>
    <w:rsid w:val="00A655FB"/>
    <w:rsid w:val="00A704DC"/>
    <w:rsid w:val="00A730BE"/>
    <w:rsid w:val="00A756AF"/>
    <w:rsid w:val="00A84C55"/>
    <w:rsid w:val="00A8558A"/>
    <w:rsid w:val="00A914E5"/>
    <w:rsid w:val="00A93DC6"/>
    <w:rsid w:val="00A9411A"/>
    <w:rsid w:val="00AA4A4B"/>
    <w:rsid w:val="00AA5D08"/>
    <w:rsid w:val="00AA6682"/>
    <w:rsid w:val="00AA7396"/>
    <w:rsid w:val="00AB0613"/>
    <w:rsid w:val="00AB4318"/>
    <w:rsid w:val="00AB6313"/>
    <w:rsid w:val="00AB6369"/>
    <w:rsid w:val="00AB7C5C"/>
    <w:rsid w:val="00AB7CBF"/>
    <w:rsid w:val="00AC287E"/>
    <w:rsid w:val="00AC459D"/>
    <w:rsid w:val="00AD0111"/>
    <w:rsid w:val="00AD0B68"/>
    <w:rsid w:val="00AD15E2"/>
    <w:rsid w:val="00AD4C72"/>
    <w:rsid w:val="00AD5451"/>
    <w:rsid w:val="00AE1947"/>
    <w:rsid w:val="00AE2003"/>
    <w:rsid w:val="00AE773A"/>
    <w:rsid w:val="00AF0E9C"/>
    <w:rsid w:val="00AF1C8B"/>
    <w:rsid w:val="00AF299B"/>
    <w:rsid w:val="00AF309F"/>
    <w:rsid w:val="00AF32E5"/>
    <w:rsid w:val="00AF4AAE"/>
    <w:rsid w:val="00AF7E43"/>
    <w:rsid w:val="00B02AE0"/>
    <w:rsid w:val="00B035BA"/>
    <w:rsid w:val="00B03F25"/>
    <w:rsid w:val="00B05326"/>
    <w:rsid w:val="00B061E2"/>
    <w:rsid w:val="00B11582"/>
    <w:rsid w:val="00B13F5C"/>
    <w:rsid w:val="00B14545"/>
    <w:rsid w:val="00B14E60"/>
    <w:rsid w:val="00B17BA2"/>
    <w:rsid w:val="00B26DC3"/>
    <w:rsid w:val="00B30B9D"/>
    <w:rsid w:val="00B31C1C"/>
    <w:rsid w:val="00B37F3C"/>
    <w:rsid w:val="00B4029E"/>
    <w:rsid w:val="00B41872"/>
    <w:rsid w:val="00B4574D"/>
    <w:rsid w:val="00B45892"/>
    <w:rsid w:val="00B468E1"/>
    <w:rsid w:val="00B46BC0"/>
    <w:rsid w:val="00B46DFB"/>
    <w:rsid w:val="00B5141B"/>
    <w:rsid w:val="00B55681"/>
    <w:rsid w:val="00B57AAD"/>
    <w:rsid w:val="00B621D1"/>
    <w:rsid w:val="00B626BE"/>
    <w:rsid w:val="00B626FF"/>
    <w:rsid w:val="00B633D8"/>
    <w:rsid w:val="00B6374E"/>
    <w:rsid w:val="00B63AFF"/>
    <w:rsid w:val="00B72B16"/>
    <w:rsid w:val="00B80408"/>
    <w:rsid w:val="00B81397"/>
    <w:rsid w:val="00B90358"/>
    <w:rsid w:val="00B91B6D"/>
    <w:rsid w:val="00B925DB"/>
    <w:rsid w:val="00B967FF"/>
    <w:rsid w:val="00B974B9"/>
    <w:rsid w:val="00BA3F6D"/>
    <w:rsid w:val="00BA4BE6"/>
    <w:rsid w:val="00BA4FC0"/>
    <w:rsid w:val="00BA61E0"/>
    <w:rsid w:val="00BA657C"/>
    <w:rsid w:val="00BA6909"/>
    <w:rsid w:val="00BA7879"/>
    <w:rsid w:val="00BA7F7D"/>
    <w:rsid w:val="00BB0513"/>
    <w:rsid w:val="00BB10D3"/>
    <w:rsid w:val="00BB1B87"/>
    <w:rsid w:val="00BB1C14"/>
    <w:rsid w:val="00BB5E08"/>
    <w:rsid w:val="00BB60BD"/>
    <w:rsid w:val="00BB6847"/>
    <w:rsid w:val="00BB75FB"/>
    <w:rsid w:val="00BB7F8F"/>
    <w:rsid w:val="00BC66E3"/>
    <w:rsid w:val="00BC716A"/>
    <w:rsid w:val="00BC74D2"/>
    <w:rsid w:val="00BD07DF"/>
    <w:rsid w:val="00BD26F4"/>
    <w:rsid w:val="00BD5DBD"/>
    <w:rsid w:val="00BD5DF6"/>
    <w:rsid w:val="00BE0041"/>
    <w:rsid w:val="00BE04ED"/>
    <w:rsid w:val="00BE2773"/>
    <w:rsid w:val="00BE640F"/>
    <w:rsid w:val="00BE6D2A"/>
    <w:rsid w:val="00BF0890"/>
    <w:rsid w:val="00BF1210"/>
    <w:rsid w:val="00BF25BC"/>
    <w:rsid w:val="00BF4638"/>
    <w:rsid w:val="00BF5130"/>
    <w:rsid w:val="00C00016"/>
    <w:rsid w:val="00C00844"/>
    <w:rsid w:val="00C03414"/>
    <w:rsid w:val="00C059D0"/>
    <w:rsid w:val="00C05BA4"/>
    <w:rsid w:val="00C07551"/>
    <w:rsid w:val="00C075A3"/>
    <w:rsid w:val="00C1109F"/>
    <w:rsid w:val="00C12783"/>
    <w:rsid w:val="00C12D65"/>
    <w:rsid w:val="00C133AB"/>
    <w:rsid w:val="00C14456"/>
    <w:rsid w:val="00C16082"/>
    <w:rsid w:val="00C20B56"/>
    <w:rsid w:val="00C22214"/>
    <w:rsid w:val="00C25453"/>
    <w:rsid w:val="00C26F72"/>
    <w:rsid w:val="00C309A7"/>
    <w:rsid w:val="00C30AA8"/>
    <w:rsid w:val="00C31DDE"/>
    <w:rsid w:val="00C31DE5"/>
    <w:rsid w:val="00C335AB"/>
    <w:rsid w:val="00C407AB"/>
    <w:rsid w:val="00C43819"/>
    <w:rsid w:val="00C46ECF"/>
    <w:rsid w:val="00C51E51"/>
    <w:rsid w:val="00C52B7B"/>
    <w:rsid w:val="00C53348"/>
    <w:rsid w:val="00C53DF6"/>
    <w:rsid w:val="00C547CD"/>
    <w:rsid w:val="00C5699C"/>
    <w:rsid w:val="00C570FF"/>
    <w:rsid w:val="00C57CEA"/>
    <w:rsid w:val="00C60FEC"/>
    <w:rsid w:val="00C62B1C"/>
    <w:rsid w:val="00C63FD7"/>
    <w:rsid w:val="00C65524"/>
    <w:rsid w:val="00C6574E"/>
    <w:rsid w:val="00C663D1"/>
    <w:rsid w:val="00C67B47"/>
    <w:rsid w:val="00C707FD"/>
    <w:rsid w:val="00C73D68"/>
    <w:rsid w:val="00C76DEB"/>
    <w:rsid w:val="00C816C6"/>
    <w:rsid w:val="00C8520B"/>
    <w:rsid w:val="00C8521E"/>
    <w:rsid w:val="00C863A7"/>
    <w:rsid w:val="00C86BDE"/>
    <w:rsid w:val="00C912F4"/>
    <w:rsid w:val="00C9156F"/>
    <w:rsid w:val="00C9581A"/>
    <w:rsid w:val="00C96AC5"/>
    <w:rsid w:val="00C97D29"/>
    <w:rsid w:val="00CA2679"/>
    <w:rsid w:val="00CA3534"/>
    <w:rsid w:val="00CA449C"/>
    <w:rsid w:val="00CA4D9E"/>
    <w:rsid w:val="00CA6015"/>
    <w:rsid w:val="00CA7FD8"/>
    <w:rsid w:val="00CB0550"/>
    <w:rsid w:val="00CB2FCB"/>
    <w:rsid w:val="00CB6813"/>
    <w:rsid w:val="00CB7096"/>
    <w:rsid w:val="00CC0625"/>
    <w:rsid w:val="00CD2127"/>
    <w:rsid w:val="00CD4688"/>
    <w:rsid w:val="00CD6BDD"/>
    <w:rsid w:val="00CE15B7"/>
    <w:rsid w:val="00CE75F9"/>
    <w:rsid w:val="00CF0DA0"/>
    <w:rsid w:val="00CF3AFC"/>
    <w:rsid w:val="00CF4E33"/>
    <w:rsid w:val="00CF6A55"/>
    <w:rsid w:val="00CF6DC6"/>
    <w:rsid w:val="00CF6DCF"/>
    <w:rsid w:val="00D01DDB"/>
    <w:rsid w:val="00D0692F"/>
    <w:rsid w:val="00D078BE"/>
    <w:rsid w:val="00D1271C"/>
    <w:rsid w:val="00D1317D"/>
    <w:rsid w:val="00D13F8A"/>
    <w:rsid w:val="00D16F60"/>
    <w:rsid w:val="00D22981"/>
    <w:rsid w:val="00D23D3E"/>
    <w:rsid w:val="00D27E66"/>
    <w:rsid w:val="00D3349B"/>
    <w:rsid w:val="00D41FD2"/>
    <w:rsid w:val="00D424A8"/>
    <w:rsid w:val="00D461A5"/>
    <w:rsid w:val="00D476D1"/>
    <w:rsid w:val="00D52C04"/>
    <w:rsid w:val="00D547A1"/>
    <w:rsid w:val="00D57802"/>
    <w:rsid w:val="00D6036F"/>
    <w:rsid w:val="00D60BEC"/>
    <w:rsid w:val="00D615EE"/>
    <w:rsid w:val="00D62877"/>
    <w:rsid w:val="00D62996"/>
    <w:rsid w:val="00D63760"/>
    <w:rsid w:val="00D64CD2"/>
    <w:rsid w:val="00D6703F"/>
    <w:rsid w:val="00D704F8"/>
    <w:rsid w:val="00D734EB"/>
    <w:rsid w:val="00D82713"/>
    <w:rsid w:val="00D85D1B"/>
    <w:rsid w:val="00D86F00"/>
    <w:rsid w:val="00D918D5"/>
    <w:rsid w:val="00D94290"/>
    <w:rsid w:val="00D94C8E"/>
    <w:rsid w:val="00D952CA"/>
    <w:rsid w:val="00DA1CB8"/>
    <w:rsid w:val="00DA77EF"/>
    <w:rsid w:val="00DB0576"/>
    <w:rsid w:val="00DB1372"/>
    <w:rsid w:val="00DB192C"/>
    <w:rsid w:val="00DB1CF3"/>
    <w:rsid w:val="00DB5425"/>
    <w:rsid w:val="00DB72A6"/>
    <w:rsid w:val="00DC6611"/>
    <w:rsid w:val="00DD2167"/>
    <w:rsid w:val="00DD4357"/>
    <w:rsid w:val="00DD5AFB"/>
    <w:rsid w:val="00DD7E46"/>
    <w:rsid w:val="00DE1344"/>
    <w:rsid w:val="00DE2688"/>
    <w:rsid w:val="00DE4F22"/>
    <w:rsid w:val="00DE51DF"/>
    <w:rsid w:val="00DF0199"/>
    <w:rsid w:val="00DF3D35"/>
    <w:rsid w:val="00DF5BFE"/>
    <w:rsid w:val="00DF6494"/>
    <w:rsid w:val="00E02409"/>
    <w:rsid w:val="00E02555"/>
    <w:rsid w:val="00E0523F"/>
    <w:rsid w:val="00E0572A"/>
    <w:rsid w:val="00E06982"/>
    <w:rsid w:val="00E143C0"/>
    <w:rsid w:val="00E150AC"/>
    <w:rsid w:val="00E15282"/>
    <w:rsid w:val="00E16410"/>
    <w:rsid w:val="00E16AE9"/>
    <w:rsid w:val="00E17AE9"/>
    <w:rsid w:val="00E232B2"/>
    <w:rsid w:val="00E23E50"/>
    <w:rsid w:val="00E2598C"/>
    <w:rsid w:val="00E25C19"/>
    <w:rsid w:val="00E26213"/>
    <w:rsid w:val="00E274DF"/>
    <w:rsid w:val="00E347C3"/>
    <w:rsid w:val="00E34D66"/>
    <w:rsid w:val="00E34F3B"/>
    <w:rsid w:val="00E362C4"/>
    <w:rsid w:val="00E368A8"/>
    <w:rsid w:val="00E37D7A"/>
    <w:rsid w:val="00E46CC2"/>
    <w:rsid w:val="00E47E0C"/>
    <w:rsid w:val="00E508D3"/>
    <w:rsid w:val="00E50BA8"/>
    <w:rsid w:val="00E50F43"/>
    <w:rsid w:val="00E51813"/>
    <w:rsid w:val="00E52C0B"/>
    <w:rsid w:val="00E53D3F"/>
    <w:rsid w:val="00E54870"/>
    <w:rsid w:val="00E54F22"/>
    <w:rsid w:val="00E5579B"/>
    <w:rsid w:val="00E57286"/>
    <w:rsid w:val="00E57FF4"/>
    <w:rsid w:val="00E61005"/>
    <w:rsid w:val="00E649B8"/>
    <w:rsid w:val="00E66DEC"/>
    <w:rsid w:val="00E679D1"/>
    <w:rsid w:val="00E67C1C"/>
    <w:rsid w:val="00E71D7B"/>
    <w:rsid w:val="00E74618"/>
    <w:rsid w:val="00E76D12"/>
    <w:rsid w:val="00E84449"/>
    <w:rsid w:val="00E918F0"/>
    <w:rsid w:val="00E91F11"/>
    <w:rsid w:val="00E91FFD"/>
    <w:rsid w:val="00E920BB"/>
    <w:rsid w:val="00E92E0E"/>
    <w:rsid w:val="00E9706D"/>
    <w:rsid w:val="00EA25A4"/>
    <w:rsid w:val="00EA3AF4"/>
    <w:rsid w:val="00EA3E15"/>
    <w:rsid w:val="00EA6592"/>
    <w:rsid w:val="00EB7007"/>
    <w:rsid w:val="00EC23B5"/>
    <w:rsid w:val="00EC41C3"/>
    <w:rsid w:val="00EC771C"/>
    <w:rsid w:val="00ED2B80"/>
    <w:rsid w:val="00EE4B01"/>
    <w:rsid w:val="00EF3E66"/>
    <w:rsid w:val="00EF3F0B"/>
    <w:rsid w:val="00EF5583"/>
    <w:rsid w:val="00EF5E91"/>
    <w:rsid w:val="00F00B76"/>
    <w:rsid w:val="00F0289D"/>
    <w:rsid w:val="00F02AEC"/>
    <w:rsid w:val="00F07572"/>
    <w:rsid w:val="00F140E7"/>
    <w:rsid w:val="00F14A57"/>
    <w:rsid w:val="00F157FC"/>
    <w:rsid w:val="00F1594F"/>
    <w:rsid w:val="00F27AC8"/>
    <w:rsid w:val="00F30AF3"/>
    <w:rsid w:val="00F369EB"/>
    <w:rsid w:val="00F43CD1"/>
    <w:rsid w:val="00F45AE0"/>
    <w:rsid w:val="00F477C5"/>
    <w:rsid w:val="00F5794B"/>
    <w:rsid w:val="00F60CF2"/>
    <w:rsid w:val="00F61DB3"/>
    <w:rsid w:val="00F63EF6"/>
    <w:rsid w:val="00F657B4"/>
    <w:rsid w:val="00F7649F"/>
    <w:rsid w:val="00F8083B"/>
    <w:rsid w:val="00F8265A"/>
    <w:rsid w:val="00F82D1B"/>
    <w:rsid w:val="00F84BF1"/>
    <w:rsid w:val="00F8568E"/>
    <w:rsid w:val="00F85ED9"/>
    <w:rsid w:val="00F865A7"/>
    <w:rsid w:val="00F86E26"/>
    <w:rsid w:val="00FA0754"/>
    <w:rsid w:val="00FA0C3E"/>
    <w:rsid w:val="00FA1BC9"/>
    <w:rsid w:val="00FA49C3"/>
    <w:rsid w:val="00FA70D3"/>
    <w:rsid w:val="00FB236E"/>
    <w:rsid w:val="00FB3F7B"/>
    <w:rsid w:val="00FB441B"/>
    <w:rsid w:val="00FB4C2A"/>
    <w:rsid w:val="00FC1E26"/>
    <w:rsid w:val="00FC2107"/>
    <w:rsid w:val="00FC48FE"/>
    <w:rsid w:val="00FC6F56"/>
    <w:rsid w:val="00FD1579"/>
    <w:rsid w:val="00FE087C"/>
    <w:rsid w:val="00FE36DB"/>
    <w:rsid w:val="00FE79A0"/>
    <w:rsid w:val="00FF0939"/>
    <w:rsid w:val="04C6A8F4"/>
    <w:rsid w:val="050E35B8"/>
    <w:rsid w:val="05B1A7AA"/>
    <w:rsid w:val="0736207A"/>
    <w:rsid w:val="07CF5D04"/>
    <w:rsid w:val="080942F9"/>
    <w:rsid w:val="086FC3A9"/>
    <w:rsid w:val="099A5F8A"/>
    <w:rsid w:val="0B0BF107"/>
    <w:rsid w:val="0B7093BE"/>
    <w:rsid w:val="0FB3A116"/>
    <w:rsid w:val="1244215D"/>
    <w:rsid w:val="12C46E8C"/>
    <w:rsid w:val="136CFCB4"/>
    <w:rsid w:val="164EBE47"/>
    <w:rsid w:val="16E36A7A"/>
    <w:rsid w:val="18B163C9"/>
    <w:rsid w:val="18CD3B45"/>
    <w:rsid w:val="194670A1"/>
    <w:rsid w:val="1E1888ED"/>
    <w:rsid w:val="20FEE274"/>
    <w:rsid w:val="217C41E6"/>
    <w:rsid w:val="21A955BE"/>
    <w:rsid w:val="23832782"/>
    <w:rsid w:val="2570FEFA"/>
    <w:rsid w:val="25873565"/>
    <w:rsid w:val="2689D208"/>
    <w:rsid w:val="270FB90C"/>
    <w:rsid w:val="2F0229D7"/>
    <w:rsid w:val="2FCAE090"/>
    <w:rsid w:val="30A1A233"/>
    <w:rsid w:val="32393A92"/>
    <w:rsid w:val="3340F881"/>
    <w:rsid w:val="344EEA8B"/>
    <w:rsid w:val="3492CEF1"/>
    <w:rsid w:val="34E1DB44"/>
    <w:rsid w:val="35650D4D"/>
    <w:rsid w:val="38F337C0"/>
    <w:rsid w:val="3A585DB3"/>
    <w:rsid w:val="3A5EAF25"/>
    <w:rsid w:val="3ABDA069"/>
    <w:rsid w:val="3BCAC752"/>
    <w:rsid w:val="3DCF26CA"/>
    <w:rsid w:val="3E1995BD"/>
    <w:rsid w:val="3E274AF8"/>
    <w:rsid w:val="4169ADAD"/>
    <w:rsid w:val="468CB241"/>
    <w:rsid w:val="4702C60C"/>
    <w:rsid w:val="48A54EDC"/>
    <w:rsid w:val="4ABDFE39"/>
    <w:rsid w:val="4AD231EB"/>
    <w:rsid w:val="4BA1450F"/>
    <w:rsid w:val="4C96ACCC"/>
    <w:rsid w:val="4CB78C4D"/>
    <w:rsid w:val="4D0E1EA8"/>
    <w:rsid w:val="50A6E89F"/>
    <w:rsid w:val="519EC437"/>
    <w:rsid w:val="5209BBA1"/>
    <w:rsid w:val="53482455"/>
    <w:rsid w:val="53BDCB6E"/>
    <w:rsid w:val="57771B0A"/>
    <w:rsid w:val="5A1A67B6"/>
    <w:rsid w:val="5BBDCCC8"/>
    <w:rsid w:val="5C9EEE15"/>
    <w:rsid w:val="5CCFDC30"/>
    <w:rsid w:val="5EC099A6"/>
    <w:rsid w:val="5F20DC67"/>
    <w:rsid w:val="61C06310"/>
    <w:rsid w:val="6247D740"/>
    <w:rsid w:val="6268015D"/>
    <w:rsid w:val="66174C3D"/>
    <w:rsid w:val="6692A4AA"/>
    <w:rsid w:val="670294DD"/>
    <w:rsid w:val="684B0817"/>
    <w:rsid w:val="6BED5764"/>
    <w:rsid w:val="6D4BA991"/>
    <w:rsid w:val="6F548507"/>
    <w:rsid w:val="6F7F4A34"/>
    <w:rsid w:val="6F96D3D0"/>
    <w:rsid w:val="6FFEFE8F"/>
    <w:rsid w:val="70710590"/>
    <w:rsid w:val="7119E01C"/>
    <w:rsid w:val="73A460BD"/>
    <w:rsid w:val="752B1F1A"/>
    <w:rsid w:val="7635C7FC"/>
    <w:rsid w:val="763604A9"/>
    <w:rsid w:val="7644476B"/>
    <w:rsid w:val="764A7C3D"/>
    <w:rsid w:val="769DB048"/>
    <w:rsid w:val="7875F301"/>
    <w:rsid w:val="7911B7E8"/>
    <w:rsid w:val="7AFF2708"/>
    <w:rsid w:val="7C331791"/>
    <w:rsid w:val="7F96CD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54EAC724-7804-4DC1-BDEA-25916965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BF3"/>
    <w:rPr>
      <w:rFonts w:ascii="Cambria" w:hAnsi="Cambria"/>
      <w:sz w:val="22"/>
    </w:rPr>
  </w:style>
  <w:style w:type="paragraph" w:styleId="Heading1">
    <w:name w:val="heading 1"/>
    <w:basedOn w:val="Normal"/>
    <w:next w:val="Normal"/>
    <w:link w:val="Heading1Char"/>
    <w:uiPriority w:val="9"/>
    <w:qFormat/>
    <w:rsid w:val="00A84C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31503D"/>
    <w:pPr>
      <w:keepNext/>
      <w:keepLines/>
      <w:spacing w:before="240" w:line="240" w:lineRule="atLeast"/>
      <w:outlineLvl w:val="5"/>
    </w:pPr>
    <w:rPr>
      <w:rFonts w:ascii="Arial" w:eastAsia="Times New Roman" w:hAnsi="Arial" w:cs="Times New Roman"/>
      <w:b/>
      <w:bCs/>
      <w:i/>
      <w:color w:val="001871"/>
      <w:szCs w:val="21"/>
    </w:rPr>
  </w:style>
  <w:style w:type="paragraph" w:styleId="Heading7">
    <w:name w:val="heading 7"/>
    <w:basedOn w:val="Normal"/>
    <w:next w:val="Normal"/>
    <w:link w:val="Heading7Char"/>
    <w:uiPriority w:val="9"/>
    <w:unhideWhenUsed/>
    <w:qFormat/>
    <w:rsid w:val="00DF3D3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31503D"/>
    <w:rPr>
      <w:rFonts w:ascii="Arial" w:eastAsia="Times New Roman" w:hAnsi="Arial" w:cs="Times New Roman"/>
      <w:b/>
      <w:bCs/>
      <w:i/>
      <w:color w:val="001871"/>
      <w:sz w:val="22"/>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Bold SemiConden" w:hAnsi="Bahnschrift SemiBold SemiConden"/>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A84C55"/>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610A68"/>
    <w:pPr>
      <w:widowControl w:val="0"/>
      <w:autoSpaceDE w:val="0"/>
      <w:autoSpaceDN w:val="0"/>
      <w:spacing w:before="122" w:after="0" w:line="240" w:lineRule="auto"/>
      <w:ind w:left="107"/>
    </w:pPr>
    <w:rPr>
      <w:rFonts w:eastAsia="Cambria" w:cs="Cambria"/>
      <w:szCs w:val="22"/>
      <w:lang w:val="en-US"/>
    </w:rPr>
  </w:style>
  <w:style w:type="paragraph" w:styleId="BodyText">
    <w:name w:val="Body Text"/>
    <w:basedOn w:val="Normal"/>
    <w:link w:val="BodyTextChar"/>
    <w:uiPriority w:val="1"/>
    <w:qFormat/>
    <w:rsid w:val="009F444F"/>
    <w:pPr>
      <w:widowControl w:val="0"/>
      <w:autoSpaceDE w:val="0"/>
      <w:autoSpaceDN w:val="0"/>
      <w:spacing w:after="0" w:line="240" w:lineRule="auto"/>
    </w:pPr>
    <w:rPr>
      <w:rFonts w:eastAsia="Cambria" w:cs="Cambria"/>
      <w:szCs w:val="22"/>
      <w:lang w:val="en-US"/>
    </w:rPr>
  </w:style>
  <w:style w:type="character" w:customStyle="1" w:styleId="BodyTextChar">
    <w:name w:val="Body Text Char"/>
    <w:basedOn w:val="DefaultParagraphFont"/>
    <w:link w:val="BodyText"/>
    <w:uiPriority w:val="1"/>
    <w:rsid w:val="009F444F"/>
    <w:rPr>
      <w:rFonts w:ascii="Cambria" w:eastAsia="Cambria" w:hAnsi="Cambria" w:cs="Cambria"/>
      <w:sz w:val="22"/>
      <w:szCs w:val="22"/>
      <w:lang w:val="en-US"/>
    </w:rPr>
  </w:style>
  <w:style w:type="character" w:customStyle="1" w:styleId="Heading7Char">
    <w:name w:val="Heading 7 Char"/>
    <w:basedOn w:val="DefaultParagraphFont"/>
    <w:link w:val="Heading7"/>
    <w:uiPriority w:val="9"/>
    <w:rsid w:val="00DF3D35"/>
    <w:rPr>
      <w:rFonts w:asciiTheme="majorHAnsi" w:eastAsiaTheme="majorEastAsia" w:hAnsiTheme="majorHAnsi" w:cstheme="majorBidi"/>
      <w:i/>
      <w:iCs/>
      <w:color w:val="1F3763" w:themeColor="accent1" w:themeShade="7F"/>
      <w:sz w:val="22"/>
    </w:rPr>
  </w:style>
  <w:style w:type="character" w:styleId="Mention">
    <w:name w:val="Mention"/>
    <w:basedOn w:val="DefaultParagraphFont"/>
    <w:uiPriority w:val="99"/>
    <w:unhideWhenUsed/>
    <w:rsid w:val="00C1608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24008">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61626803">
      <w:bodyDiv w:val="1"/>
      <w:marLeft w:val="0"/>
      <w:marRight w:val="0"/>
      <w:marTop w:val="0"/>
      <w:marBottom w:val="0"/>
      <w:divBdr>
        <w:top w:val="none" w:sz="0" w:space="0" w:color="auto"/>
        <w:left w:val="none" w:sz="0" w:space="0" w:color="auto"/>
        <w:bottom w:val="none" w:sz="0" w:space="0" w:color="auto"/>
        <w:right w:val="none" w:sz="0" w:space="0" w:color="auto"/>
      </w:divBdr>
    </w:div>
    <w:div w:id="92741975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81078194">
      <w:bodyDiv w:val="1"/>
      <w:marLeft w:val="0"/>
      <w:marRight w:val="0"/>
      <w:marTop w:val="0"/>
      <w:marBottom w:val="0"/>
      <w:divBdr>
        <w:top w:val="none" w:sz="0" w:space="0" w:color="auto"/>
        <w:left w:val="none" w:sz="0" w:space="0" w:color="auto"/>
        <w:bottom w:val="none" w:sz="0" w:space="0" w:color="auto"/>
        <w:right w:val="none" w:sz="0" w:space="0" w:color="auto"/>
      </w:divBdr>
    </w:div>
    <w:div w:id="160746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ga.gov.au/resources/artg/410830" TargetMode="External"/><Relationship Id="rId26" Type="http://schemas.openxmlformats.org/officeDocument/2006/relationships/image" Target="media/image5.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4.jpeg"/><Relationship Id="rId33" Type="http://schemas.openxmlformats.org/officeDocument/2006/relationships/hyperlink" Target="https://www.ebs.tga.gov.au/"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ebs.tga.gov.au/" TargetMode="External"/><Relationship Id="rId29" Type="http://schemas.microsoft.com/office/2007/relationships/hdphoto" Target="media/hdphoto1.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resources/resource/guidance/orphan-drug-designation" TargetMode="External"/><Relationship Id="rId32" Type="http://schemas.openxmlformats.org/officeDocument/2006/relationships/image" Target="media/image10.jpeg"/><Relationship Id="rId37" Type="http://schemas.openxmlformats.org/officeDocument/2006/relationships/hyperlink" Target="https://www.tga.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how-we-regulate/supply-therapeutic-good-0/supply-prescription-medicine/application-process/prescription-medicines-registration-process" TargetMode="External"/><Relationship Id="rId28" Type="http://schemas.openxmlformats.org/officeDocument/2006/relationships/image" Target="media/image7.png"/><Relationship Id="rId36" Type="http://schemas.openxmlformats.org/officeDocument/2006/relationships/hyperlink" Target="mailto:info@tga.gov.au" TargetMode="External"/><Relationship Id="rId10" Type="http://schemas.openxmlformats.org/officeDocument/2006/relationships/endnotes" Target="endnotes.xml"/><Relationship Id="rId19" Type="http://schemas.openxmlformats.org/officeDocument/2006/relationships/hyperlink" Target="https://www.tga.gov.au/black-triangle-scheme"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obstetric-drug-information-services" TargetMode="Externa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ema.europa.eu/en/ich-m3-r2-non-clinical-safety-studies-conduct-human-clinical-trials-pharmaceuticals-scientific-guidelin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D6D5F60CF9F847A0BEB51ADCFA07E3" ma:contentTypeVersion="16" ma:contentTypeDescription="Create a new document." ma:contentTypeScope="" ma:versionID="548e95dbe90608e7ad7d203fdb0d60f6">
  <xsd:schema xmlns:xsd="http://www.w3.org/2001/XMLSchema" xmlns:xs="http://www.w3.org/2001/XMLSchema" xmlns:p="http://schemas.microsoft.com/office/2006/metadata/properties" xmlns:ns1="http://schemas.microsoft.com/sharepoint/v3" xmlns:ns2="2c942def-9ac7-4045-969a-1db4453b7fd6" xmlns:ns3="e046524d-0df0-4eac-beec-d87757cf0c79" targetNamespace="http://schemas.microsoft.com/office/2006/metadata/properties" ma:root="true" ma:fieldsID="c3925185aa0a103a176b9c03d38a609b" ns1:_="" ns2:_="" ns3:_="">
    <xsd:import namespace="http://schemas.microsoft.com/sharepoint/v3"/>
    <xsd:import namespace="2c942def-9ac7-4045-969a-1db4453b7fd6"/>
    <xsd:import namespace="e046524d-0df0-4eac-beec-d87757cf0c7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942def-9ac7-4045-969a-1db4453b7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7bc47b-3997-4ccb-824d-08e9c3bde3a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46524d-0df0-4eac-beec-d87757cf0c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d94497-71af-46d0-88cc-d6b5d099779e}" ma:internalName="TaxCatchAll" ma:showField="CatchAllData" ma:web="e046524d-0df0-4eac-beec-d87757cf0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c942def-9ac7-4045-969a-1db4453b7fd6">
      <Terms xmlns="http://schemas.microsoft.com/office/infopath/2007/PartnerControls"/>
    </lcf76f155ced4ddcb4097134ff3c332f>
    <TaxCatchAll xmlns="e046524d-0df0-4eac-beec-d87757cf0c7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61407B0A-AACE-43EC-9680-8A3326C93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942def-9ac7-4045-969a-1db4453b7fd6"/>
    <ds:schemaRef ds:uri="e046524d-0df0-4eac-beec-d87757cf0c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554F1-87EC-4281-A160-D5DD4B22D68D}">
  <ds:schemaRefs>
    <ds:schemaRef ds:uri="http://schemas.microsoft.com/sharepoint/v3"/>
    <ds:schemaRef ds:uri="e046524d-0df0-4eac-beec-d87757cf0c79"/>
    <ds:schemaRef ds:uri="http://purl.org/dc/terms/"/>
    <ds:schemaRef ds:uri="http://schemas.microsoft.com/office/2006/documentManagement/types"/>
    <ds:schemaRef ds:uri="http://schemas.microsoft.com/office/infopath/2007/PartnerControls"/>
    <ds:schemaRef ds:uri="2c942def-9ac7-4045-969a-1db4453b7fd6"/>
    <ds:schemaRef ds:uri="http://purl.org/dc/dcmitype/"/>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1C2848D-B897-4406-BD41-C3C76ED059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36</Pages>
  <Words>12372</Words>
  <Characters>70523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Australian public assessment report for FABHALTA</vt:lpstr>
    </vt:vector>
  </TitlesOfParts>
  <Company>Department of Health, Disability and Ageing</Company>
  <LinksUpToDate>false</LinksUpToDate>
  <CharactersWithSpaces>82730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FABHALTA</dc:title>
  <dc:subject>Prescription medicines</dc:subject>
  <dc:creator>Therapeutic Goods Administration</dc:creator>
  <cp:keywords/>
  <dc:description/>
  <cp:lastPrinted>2025-07-23T06:53:00Z</cp:lastPrinted>
  <dcterms:created xsi:type="dcterms:W3CDTF">2025-07-23T06:06:00Z</dcterms:created>
  <dcterms:modified xsi:type="dcterms:W3CDTF">2025-07-29T01:59:00Z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0x01010017D6D5F60CF9F847A0BEB51ADCFA07E3</vt:lpwstr>
  </property>
  <property fmtid="{D5CDD505-2E9C-101B-9397-08002B2CF9AE}" pid="3" name="MSIP_Label_3c9bec58-8084-492e-8360-0e1cfe36408c_Enabled">
    <vt:lpwstr>true</vt:lpwstr>
  </property>
  <property fmtid="{D5CDD505-2E9C-101B-9397-08002B2CF9AE}" pid="4" name="MSIP_Label_3c9bec58-8084-492e-8360-0e1cfe36408c_SetDate">
    <vt:lpwstr>2025-06-25T06:23:26Z</vt:lpwstr>
  </property>
  <property fmtid="{D5CDD505-2E9C-101B-9397-08002B2CF9AE}" pid="5" name="MSIP_Label_3c9bec58-8084-492e-8360-0e1cfe36408c_Method">
    <vt:lpwstr>Standard</vt:lpwstr>
  </property>
  <property fmtid="{D5CDD505-2E9C-101B-9397-08002B2CF9AE}" pid="6" name="MSIP_Label_3c9bec58-8084-492e-8360-0e1cfe36408c_Name">
    <vt:lpwstr>Not Protected -Pilot</vt:lpwstr>
  </property>
  <property fmtid="{D5CDD505-2E9C-101B-9397-08002B2CF9AE}" pid="7" name="MSIP_Label_3c9bec58-8084-492e-8360-0e1cfe36408c_SiteId">
    <vt:lpwstr>f35a6974-607f-47d4-82d7-ff31d7dc53a5</vt:lpwstr>
  </property>
  <property fmtid="{D5CDD505-2E9C-101B-9397-08002B2CF9AE}" pid="8" name="MSIP_Label_3c9bec58-8084-492e-8360-0e1cfe36408c_ActionId">
    <vt:lpwstr>1c355778-c1d2-4fd9-a58b-4023af4b4682</vt:lpwstr>
  </property>
  <property fmtid="{D5CDD505-2E9C-101B-9397-08002B2CF9AE}" pid="9" name="MSIP_Label_3c9bec58-8084-492e-8360-0e1cfe36408c_ContentBits">
    <vt:lpwstr>0</vt:lpwstr>
  </property>
  <property fmtid="{D5CDD505-2E9C-101B-9397-08002B2CF9AE}" pid="10" name="MSIP_Label_3c9bec58-8084-492e-8360-0e1cfe36408c_Tag">
    <vt:lpwstr>10, 3, 0, 2</vt:lpwstr>
  </property>
  <property fmtid="{D5CDD505-2E9C-101B-9397-08002B2CF9AE}" pid="11" name="MediaServiceImageTags">
    <vt:lpwstr/>
  </property>
</Properties>
</file>