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1FE16" w14:textId="77777777" w:rsidR="00697367" w:rsidRDefault="00697367"/>
    <w:tbl>
      <w:tblPr>
        <w:tblStyle w:val="TableGrid"/>
        <w:tblpPr w:leftFromText="180" w:rightFromText="180" w:vertAnchor="page" w:horzAnchor="margin" w:tblpY="31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F02AEC" w:rsidRPr="00215D48" w14:paraId="08AE1D54" w14:textId="77777777" w:rsidTr="00697367">
        <w:trPr>
          <w:trHeight w:val="1558"/>
        </w:trPr>
        <w:tc>
          <w:tcPr>
            <w:tcW w:w="8784" w:type="dxa"/>
          </w:tcPr>
          <w:p w14:paraId="3D7E07A2" w14:textId="77777777" w:rsidR="00F02AEC" w:rsidRDefault="00346EC2" w:rsidP="00235196">
            <w:pPr>
              <w:pStyle w:val="Title"/>
            </w:pPr>
            <w:r w:rsidRPr="00346EC2">
              <w:t xml:space="preserve">Australian Public Assessment Report for </w:t>
            </w:r>
            <w:bookmarkStart w:id="0" w:name="_Hlk204690718"/>
            <w:r w:rsidR="000D3990" w:rsidRPr="000D3990">
              <w:t>ENOXACOR</w:t>
            </w:r>
            <w:r w:rsidR="000D3990">
              <w:t xml:space="preserve">, </w:t>
            </w:r>
            <w:r w:rsidR="000D3990" w:rsidRPr="000D3990">
              <w:t>ENOXAJECT and CLASTO</w:t>
            </w:r>
            <w:bookmarkEnd w:id="0"/>
          </w:p>
          <w:p w14:paraId="2538A211" w14:textId="581604F5" w:rsidR="00235196" w:rsidRPr="00215D48" w:rsidRDefault="00235196" w:rsidP="00235196">
            <w:pPr>
              <w:pStyle w:val="Title"/>
            </w:pPr>
          </w:p>
        </w:tc>
      </w:tr>
      <w:tr w:rsidR="00F02AEC" w:rsidRPr="00215D48" w14:paraId="318A40A3" w14:textId="77777777" w:rsidTr="00697367">
        <w:trPr>
          <w:trHeight w:val="995"/>
        </w:trPr>
        <w:tc>
          <w:tcPr>
            <w:tcW w:w="8784" w:type="dxa"/>
          </w:tcPr>
          <w:p w14:paraId="1AA7C701" w14:textId="76C0101D" w:rsidR="00F02AEC" w:rsidRPr="00215D48" w:rsidRDefault="00346EC2" w:rsidP="00697367">
            <w:pPr>
              <w:pStyle w:val="Subtitle"/>
              <w:ind w:left="0"/>
            </w:pPr>
            <w:r w:rsidRPr="00346EC2">
              <w:t>Active ingredient:</w:t>
            </w:r>
            <w:r w:rsidR="0064433B">
              <w:t xml:space="preserve"> </w:t>
            </w:r>
            <w:bookmarkStart w:id="1" w:name="_Hlk204690745"/>
            <w:r w:rsidR="00075101" w:rsidRPr="00075101">
              <w:t>Enoxaparin</w:t>
            </w:r>
            <w:bookmarkEnd w:id="1"/>
          </w:p>
        </w:tc>
      </w:tr>
      <w:tr w:rsidR="00346EC2" w:rsidRPr="00215D48" w14:paraId="362CCAE4" w14:textId="77777777" w:rsidTr="00697367">
        <w:trPr>
          <w:trHeight w:val="1916"/>
        </w:trPr>
        <w:tc>
          <w:tcPr>
            <w:tcW w:w="8784" w:type="dxa"/>
          </w:tcPr>
          <w:p w14:paraId="709C45C0" w14:textId="5744D33F" w:rsidR="00346EC2" w:rsidRPr="00215D48" w:rsidRDefault="005E050B" w:rsidP="00697367">
            <w:pPr>
              <w:pStyle w:val="Subtitle"/>
              <w:ind w:left="0"/>
            </w:pPr>
            <w:r>
              <w:t>Sponsor</w:t>
            </w:r>
            <w:r w:rsidR="00346EC2" w:rsidRPr="00346EC2">
              <w:t>:</w:t>
            </w:r>
            <w:r w:rsidR="0064433B">
              <w:t xml:space="preserve"> </w:t>
            </w:r>
            <w:bookmarkStart w:id="2" w:name="_Hlk204690818"/>
            <w:proofErr w:type="spellStart"/>
            <w:r w:rsidR="00A23B71" w:rsidRPr="00A23B71">
              <w:t>Pharmacor</w:t>
            </w:r>
            <w:proofErr w:type="spellEnd"/>
            <w:r w:rsidR="00A23B71" w:rsidRPr="00A23B71">
              <w:t xml:space="preserve"> </w:t>
            </w:r>
            <w:r w:rsidR="00A23B71">
              <w:t>P</w:t>
            </w:r>
            <w:r w:rsidR="00A23B71" w:rsidRPr="00A23B71">
              <w:t xml:space="preserve">ty </w:t>
            </w:r>
            <w:r w:rsidR="00A23B71">
              <w:t>L</w:t>
            </w:r>
            <w:r w:rsidR="00A23B71" w:rsidRPr="00A23B71">
              <w:t>td</w:t>
            </w:r>
            <w:bookmarkEnd w:id="2"/>
          </w:p>
        </w:tc>
      </w:tr>
      <w:tr w:rsidR="00F02AEC" w:rsidRPr="00215D48" w14:paraId="37F2AA1F" w14:textId="77777777" w:rsidTr="00697367">
        <w:tc>
          <w:tcPr>
            <w:tcW w:w="8784" w:type="dxa"/>
          </w:tcPr>
          <w:p w14:paraId="1FDE8DCD" w14:textId="6AA264E4" w:rsidR="00F02AEC" w:rsidRPr="00215D48" w:rsidRDefault="00A23B71" w:rsidP="00697367">
            <w:pPr>
              <w:pStyle w:val="Date"/>
            </w:pPr>
            <w:r>
              <w:t>July 2025</w:t>
            </w:r>
          </w:p>
        </w:tc>
      </w:tr>
    </w:tbl>
    <w:p w14:paraId="73752706" w14:textId="77777777" w:rsidR="00F02AEC" w:rsidRPr="00215D48" w:rsidRDefault="00F02AEC" w:rsidP="007452E8">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038D0DA4" w:rsidR="00346EC2" w:rsidRPr="00391B0C" w:rsidRDefault="00346EC2" w:rsidP="0056766D">
      <w:pPr>
        <w:pStyle w:val="ListBullet"/>
      </w:pPr>
      <w:r w:rsidRPr="00391B0C">
        <w:t xml:space="preserve">The Therapeutic Goods Administration (TGA) is part of the Australian Government </w:t>
      </w:r>
      <w:r w:rsidRPr="00C22214">
        <w:t>Department of Health</w:t>
      </w:r>
      <w:r w:rsidR="0006693A">
        <w:t>, Disability</w:t>
      </w:r>
      <w:r w:rsidRPr="00C22214">
        <w:t xml:space="preserve"> and Ag</w:t>
      </w:r>
      <w:r w:rsidR="0006693A">
        <w:t>eing</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C976CB8"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2" w:history="1">
        <w:r w:rsidRPr="00A63C07">
          <w:rPr>
            <w:rStyle w:val="Hyperlink"/>
          </w:rPr>
          <w:t>TGA website</w:t>
        </w:r>
      </w:hyperlink>
      <w:r w:rsidRPr="003C6D1F">
        <w:t>.</w:t>
      </w:r>
    </w:p>
    <w:p w14:paraId="737B7A99" w14:textId="77777777" w:rsidR="00346EC2" w:rsidRDefault="00346EC2" w:rsidP="00346EC2">
      <w:pPr>
        <w:pStyle w:val="NonTOCHeading20"/>
      </w:pPr>
      <w:r>
        <w:t>About AusPARs</w:t>
      </w:r>
    </w:p>
    <w:p w14:paraId="631B2209" w14:textId="010FE2EE"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3"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r w:rsidRPr="003C6D1F">
        <w:t>AusPARs are prepared and published by the TGA.</w:t>
      </w:r>
    </w:p>
    <w:p w14:paraId="451B8FD7" w14:textId="77777777" w:rsidR="00346EC2" w:rsidRPr="003C6D1F" w:rsidRDefault="00346EC2" w:rsidP="00346EC2">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796829F4" w:rsidR="00175CD8" w:rsidRPr="00346EC2" w:rsidRDefault="00F02AEC" w:rsidP="00346EC2">
      <w:pPr>
        <w:pStyle w:val="LegalCopy"/>
        <w:rPr>
          <w:rFonts w:cs="Arial"/>
        </w:rPr>
      </w:pPr>
      <w:r w:rsidRPr="00215D48">
        <w:rPr>
          <w:rFonts w:cs="Arial"/>
        </w:rPr>
        <w:t>© Commonwealth of Australia 20</w:t>
      </w:r>
      <w:r>
        <w:rPr>
          <w:rFonts w:cs="Arial"/>
        </w:rPr>
        <w:t>2</w:t>
      </w:r>
      <w:r w:rsidR="00210F9B">
        <w:rPr>
          <w:rFonts w:cs="Arial"/>
        </w:rPr>
        <w:t>5</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0A6ADA2B" w14:textId="77777777" w:rsidR="00F02AEC" w:rsidRPr="00215D48" w:rsidRDefault="00F02AEC" w:rsidP="007452E8">
          <w:pPr>
            <w:pStyle w:val="NonTOCheading2"/>
          </w:pPr>
          <w:r w:rsidRPr="00215D48">
            <w:t>Contents</w:t>
          </w:r>
        </w:p>
        <w:p w14:paraId="6877AE96" w14:textId="0995DE0A" w:rsidR="006B4DA1" w:rsidRDefault="00F02AEC">
          <w:pPr>
            <w:pStyle w:val="TOC3"/>
            <w:rPr>
              <w:rFonts w:asciiTheme="minorHAnsi" w:eastAsiaTheme="minorEastAsia" w:hAnsiTheme="minorHAnsi" w:cstheme="minorBidi"/>
              <w:b w:val="0"/>
              <w:noProof/>
              <w:color w:val="auto"/>
              <w:kern w:val="2"/>
              <w:sz w:val="24"/>
              <w:szCs w:val="24"/>
              <w:lang w:eastAsia="en-AU"/>
              <w14:ligatures w14:val="standardContextual"/>
            </w:rPr>
          </w:pPr>
          <w:r w:rsidRPr="00215D48">
            <w:rPr>
              <w:sz w:val="32"/>
            </w:rPr>
            <w:fldChar w:fldCharType="begin"/>
          </w:r>
          <w:r w:rsidRPr="00215D48">
            <w:instrText xml:space="preserve"> TOC \h \z \u \t "Heading 2,1,Heading 3,2,Heading 4,3" </w:instrText>
          </w:r>
          <w:r w:rsidRPr="00215D48">
            <w:rPr>
              <w:sz w:val="32"/>
            </w:rPr>
            <w:fldChar w:fldCharType="separate"/>
          </w:r>
          <w:hyperlink w:anchor="_Toc203984523" w:history="1">
            <w:r w:rsidR="006B4DA1" w:rsidRPr="00440592">
              <w:rPr>
                <w:rStyle w:val="Hyperlink"/>
                <w:noProof/>
              </w:rPr>
              <w:t>List of abbreviations</w:t>
            </w:r>
            <w:r w:rsidR="006B4DA1">
              <w:rPr>
                <w:noProof/>
                <w:webHidden/>
              </w:rPr>
              <w:tab/>
            </w:r>
            <w:r w:rsidR="006B4DA1">
              <w:rPr>
                <w:noProof/>
                <w:webHidden/>
              </w:rPr>
              <w:fldChar w:fldCharType="begin"/>
            </w:r>
            <w:r w:rsidR="006B4DA1">
              <w:rPr>
                <w:noProof/>
                <w:webHidden/>
              </w:rPr>
              <w:instrText xml:space="preserve"> PAGEREF _Toc203984523 \h </w:instrText>
            </w:r>
            <w:r w:rsidR="006B4DA1">
              <w:rPr>
                <w:noProof/>
                <w:webHidden/>
              </w:rPr>
            </w:r>
            <w:r w:rsidR="006B4DA1">
              <w:rPr>
                <w:noProof/>
                <w:webHidden/>
              </w:rPr>
              <w:fldChar w:fldCharType="separate"/>
            </w:r>
            <w:r w:rsidR="006C6F48">
              <w:rPr>
                <w:noProof/>
                <w:webHidden/>
              </w:rPr>
              <w:t>4</w:t>
            </w:r>
            <w:r w:rsidR="006B4DA1">
              <w:rPr>
                <w:noProof/>
                <w:webHidden/>
              </w:rPr>
              <w:fldChar w:fldCharType="end"/>
            </w:r>
          </w:hyperlink>
        </w:p>
        <w:p w14:paraId="5271A109" w14:textId="586B3832" w:rsidR="006B4DA1" w:rsidRDefault="006B4DA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3984524" w:history="1">
            <w:r w:rsidRPr="00440592">
              <w:rPr>
                <w:rStyle w:val="Hyperlink"/>
                <w:noProof/>
              </w:rPr>
              <w:t>CLASTO, ENOXACOR and ENOXAJECT (enoxaparin) submission</w:t>
            </w:r>
            <w:r>
              <w:rPr>
                <w:noProof/>
                <w:webHidden/>
              </w:rPr>
              <w:tab/>
            </w:r>
            <w:r>
              <w:rPr>
                <w:noProof/>
                <w:webHidden/>
              </w:rPr>
              <w:fldChar w:fldCharType="begin"/>
            </w:r>
            <w:r>
              <w:rPr>
                <w:noProof/>
                <w:webHidden/>
              </w:rPr>
              <w:instrText xml:space="preserve"> PAGEREF _Toc203984524 \h </w:instrText>
            </w:r>
            <w:r>
              <w:rPr>
                <w:noProof/>
                <w:webHidden/>
              </w:rPr>
            </w:r>
            <w:r>
              <w:rPr>
                <w:noProof/>
                <w:webHidden/>
              </w:rPr>
              <w:fldChar w:fldCharType="separate"/>
            </w:r>
            <w:r w:rsidR="006C6F48">
              <w:rPr>
                <w:noProof/>
                <w:webHidden/>
              </w:rPr>
              <w:t>5</w:t>
            </w:r>
            <w:r>
              <w:rPr>
                <w:noProof/>
                <w:webHidden/>
              </w:rPr>
              <w:fldChar w:fldCharType="end"/>
            </w:r>
          </w:hyperlink>
        </w:p>
        <w:p w14:paraId="6C3BA95D" w14:textId="559FEA29" w:rsidR="006B4DA1" w:rsidRDefault="006B4D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3984525" w:history="1">
            <w:r w:rsidRPr="00440592">
              <w:rPr>
                <w:rStyle w:val="Hyperlink"/>
                <w:noProof/>
              </w:rPr>
              <w:t>Proposed indication</w:t>
            </w:r>
            <w:r>
              <w:rPr>
                <w:noProof/>
                <w:webHidden/>
              </w:rPr>
              <w:tab/>
            </w:r>
            <w:r>
              <w:rPr>
                <w:noProof/>
                <w:webHidden/>
              </w:rPr>
              <w:fldChar w:fldCharType="begin"/>
            </w:r>
            <w:r>
              <w:rPr>
                <w:noProof/>
                <w:webHidden/>
              </w:rPr>
              <w:instrText xml:space="preserve"> PAGEREF _Toc203984525 \h </w:instrText>
            </w:r>
            <w:r>
              <w:rPr>
                <w:noProof/>
                <w:webHidden/>
              </w:rPr>
            </w:r>
            <w:r>
              <w:rPr>
                <w:noProof/>
                <w:webHidden/>
              </w:rPr>
              <w:fldChar w:fldCharType="separate"/>
            </w:r>
            <w:r w:rsidR="006C6F48">
              <w:rPr>
                <w:noProof/>
                <w:webHidden/>
              </w:rPr>
              <w:t>8</w:t>
            </w:r>
            <w:r>
              <w:rPr>
                <w:noProof/>
                <w:webHidden/>
              </w:rPr>
              <w:fldChar w:fldCharType="end"/>
            </w:r>
          </w:hyperlink>
        </w:p>
        <w:p w14:paraId="47DD3F7C" w14:textId="2413D276" w:rsidR="006B4DA1" w:rsidRDefault="006B4D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3984526" w:history="1">
            <w:r w:rsidRPr="00440592">
              <w:rPr>
                <w:rStyle w:val="Hyperlink"/>
                <w:noProof/>
              </w:rPr>
              <w:t>Regulatory status</w:t>
            </w:r>
            <w:r>
              <w:rPr>
                <w:noProof/>
                <w:webHidden/>
              </w:rPr>
              <w:tab/>
            </w:r>
            <w:r>
              <w:rPr>
                <w:noProof/>
                <w:webHidden/>
              </w:rPr>
              <w:fldChar w:fldCharType="begin"/>
            </w:r>
            <w:r>
              <w:rPr>
                <w:noProof/>
                <w:webHidden/>
              </w:rPr>
              <w:instrText xml:space="preserve"> PAGEREF _Toc203984526 \h </w:instrText>
            </w:r>
            <w:r>
              <w:rPr>
                <w:noProof/>
                <w:webHidden/>
              </w:rPr>
            </w:r>
            <w:r>
              <w:rPr>
                <w:noProof/>
                <w:webHidden/>
              </w:rPr>
              <w:fldChar w:fldCharType="separate"/>
            </w:r>
            <w:r w:rsidR="006C6F48">
              <w:rPr>
                <w:noProof/>
                <w:webHidden/>
              </w:rPr>
              <w:t>8</w:t>
            </w:r>
            <w:r>
              <w:rPr>
                <w:noProof/>
                <w:webHidden/>
              </w:rPr>
              <w:fldChar w:fldCharType="end"/>
            </w:r>
          </w:hyperlink>
        </w:p>
        <w:p w14:paraId="0DD944B4" w14:textId="1DC1E131" w:rsidR="006B4DA1" w:rsidRDefault="006B4D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3984527" w:history="1">
            <w:r w:rsidRPr="00440592">
              <w:rPr>
                <w:rStyle w:val="Hyperlink"/>
                <w:noProof/>
              </w:rPr>
              <w:t>Registration timeline</w:t>
            </w:r>
            <w:r>
              <w:rPr>
                <w:noProof/>
                <w:webHidden/>
              </w:rPr>
              <w:tab/>
            </w:r>
            <w:r>
              <w:rPr>
                <w:noProof/>
                <w:webHidden/>
              </w:rPr>
              <w:fldChar w:fldCharType="begin"/>
            </w:r>
            <w:r>
              <w:rPr>
                <w:noProof/>
                <w:webHidden/>
              </w:rPr>
              <w:instrText xml:space="preserve"> PAGEREF _Toc203984527 \h </w:instrText>
            </w:r>
            <w:r>
              <w:rPr>
                <w:noProof/>
                <w:webHidden/>
              </w:rPr>
            </w:r>
            <w:r>
              <w:rPr>
                <w:noProof/>
                <w:webHidden/>
              </w:rPr>
              <w:fldChar w:fldCharType="separate"/>
            </w:r>
            <w:r w:rsidR="006C6F48">
              <w:rPr>
                <w:noProof/>
                <w:webHidden/>
              </w:rPr>
              <w:t>8</w:t>
            </w:r>
            <w:r>
              <w:rPr>
                <w:noProof/>
                <w:webHidden/>
              </w:rPr>
              <w:fldChar w:fldCharType="end"/>
            </w:r>
          </w:hyperlink>
        </w:p>
        <w:p w14:paraId="632D59E5" w14:textId="4C6345ED" w:rsidR="006B4DA1" w:rsidRDefault="006B4DA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3984528" w:history="1">
            <w:r w:rsidRPr="00440592">
              <w:rPr>
                <w:rStyle w:val="Hyperlink"/>
                <w:noProof/>
              </w:rPr>
              <w:t>Assessment overview</w:t>
            </w:r>
            <w:r>
              <w:rPr>
                <w:noProof/>
                <w:webHidden/>
              </w:rPr>
              <w:tab/>
            </w:r>
            <w:r>
              <w:rPr>
                <w:noProof/>
                <w:webHidden/>
              </w:rPr>
              <w:fldChar w:fldCharType="begin"/>
            </w:r>
            <w:r>
              <w:rPr>
                <w:noProof/>
                <w:webHidden/>
              </w:rPr>
              <w:instrText xml:space="preserve"> PAGEREF _Toc203984528 \h </w:instrText>
            </w:r>
            <w:r>
              <w:rPr>
                <w:noProof/>
                <w:webHidden/>
              </w:rPr>
            </w:r>
            <w:r>
              <w:rPr>
                <w:noProof/>
                <w:webHidden/>
              </w:rPr>
              <w:fldChar w:fldCharType="separate"/>
            </w:r>
            <w:r w:rsidR="006C6F48">
              <w:rPr>
                <w:noProof/>
                <w:webHidden/>
              </w:rPr>
              <w:t>9</w:t>
            </w:r>
            <w:r>
              <w:rPr>
                <w:noProof/>
                <w:webHidden/>
              </w:rPr>
              <w:fldChar w:fldCharType="end"/>
            </w:r>
          </w:hyperlink>
        </w:p>
        <w:p w14:paraId="5DDEA259" w14:textId="6AF6A1E3" w:rsidR="006B4DA1" w:rsidRDefault="006B4DA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3984529" w:history="1">
            <w:r w:rsidRPr="00440592">
              <w:rPr>
                <w:rStyle w:val="Hyperlink"/>
                <w:noProof/>
              </w:rPr>
              <w:t>Quality evaluation summary</w:t>
            </w:r>
            <w:r>
              <w:rPr>
                <w:noProof/>
                <w:webHidden/>
              </w:rPr>
              <w:tab/>
            </w:r>
            <w:r>
              <w:rPr>
                <w:noProof/>
                <w:webHidden/>
              </w:rPr>
              <w:fldChar w:fldCharType="begin"/>
            </w:r>
            <w:r>
              <w:rPr>
                <w:noProof/>
                <w:webHidden/>
              </w:rPr>
              <w:instrText xml:space="preserve"> PAGEREF _Toc203984529 \h </w:instrText>
            </w:r>
            <w:r>
              <w:rPr>
                <w:noProof/>
                <w:webHidden/>
              </w:rPr>
            </w:r>
            <w:r>
              <w:rPr>
                <w:noProof/>
                <w:webHidden/>
              </w:rPr>
              <w:fldChar w:fldCharType="separate"/>
            </w:r>
            <w:r w:rsidR="006C6F48">
              <w:rPr>
                <w:noProof/>
                <w:webHidden/>
              </w:rPr>
              <w:t>9</w:t>
            </w:r>
            <w:r>
              <w:rPr>
                <w:noProof/>
                <w:webHidden/>
              </w:rPr>
              <w:fldChar w:fldCharType="end"/>
            </w:r>
          </w:hyperlink>
        </w:p>
        <w:p w14:paraId="41070959" w14:textId="24E713C9" w:rsidR="006B4DA1" w:rsidRDefault="006B4D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3984530" w:history="1">
            <w:r w:rsidRPr="00440592">
              <w:rPr>
                <w:rStyle w:val="Hyperlink"/>
                <w:noProof/>
              </w:rPr>
              <w:t>Biosimilarity</w:t>
            </w:r>
            <w:r>
              <w:rPr>
                <w:noProof/>
                <w:webHidden/>
              </w:rPr>
              <w:tab/>
            </w:r>
            <w:r>
              <w:rPr>
                <w:noProof/>
                <w:webHidden/>
              </w:rPr>
              <w:fldChar w:fldCharType="begin"/>
            </w:r>
            <w:r>
              <w:rPr>
                <w:noProof/>
                <w:webHidden/>
              </w:rPr>
              <w:instrText xml:space="preserve"> PAGEREF _Toc203984530 \h </w:instrText>
            </w:r>
            <w:r>
              <w:rPr>
                <w:noProof/>
                <w:webHidden/>
              </w:rPr>
            </w:r>
            <w:r>
              <w:rPr>
                <w:noProof/>
                <w:webHidden/>
              </w:rPr>
              <w:fldChar w:fldCharType="separate"/>
            </w:r>
            <w:r w:rsidR="006C6F48">
              <w:rPr>
                <w:noProof/>
                <w:webHidden/>
              </w:rPr>
              <w:t>10</w:t>
            </w:r>
            <w:r>
              <w:rPr>
                <w:noProof/>
                <w:webHidden/>
              </w:rPr>
              <w:fldChar w:fldCharType="end"/>
            </w:r>
          </w:hyperlink>
        </w:p>
        <w:p w14:paraId="45FE6D14" w14:textId="15C1DE21" w:rsidR="006B4DA1" w:rsidRDefault="006B4DA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3984531" w:history="1">
            <w:r w:rsidRPr="00440592">
              <w:rPr>
                <w:rStyle w:val="Hyperlink"/>
                <w:noProof/>
              </w:rPr>
              <w:t>Nonclinical evaluation summary</w:t>
            </w:r>
            <w:r>
              <w:rPr>
                <w:noProof/>
                <w:webHidden/>
              </w:rPr>
              <w:tab/>
            </w:r>
            <w:r>
              <w:rPr>
                <w:noProof/>
                <w:webHidden/>
              </w:rPr>
              <w:fldChar w:fldCharType="begin"/>
            </w:r>
            <w:r>
              <w:rPr>
                <w:noProof/>
                <w:webHidden/>
              </w:rPr>
              <w:instrText xml:space="preserve"> PAGEREF _Toc203984531 \h </w:instrText>
            </w:r>
            <w:r>
              <w:rPr>
                <w:noProof/>
                <w:webHidden/>
              </w:rPr>
            </w:r>
            <w:r>
              <w:rPr>
                <w:noProof/>
                <w:webHidden/>
              </w:rPr>
              <w:fldChar w:fldCharType="separate"/>
            </w:r>
            <w:r w:rsidR="006C6F48">
              <w:rPr>
                <w:noProof/>
                <w:webHidden/>
              </w:rPr>
              <w:t>10</w:t>
            </w:r>
            <w:r>
              <w:rPr>
                <w:noProof/>
                <w:webHidden/>
              </w:rPr>
              <w:fldChar w:fldCharType="end"/>
            </w:r>
          </w:hyperlink>
        </w:p>
        <w:p w14:paraId="4CAB789F" w14:textId="67E37D3C" w:rsidR="006B4DA1" w:rsidRDefault="006B4DA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3984532" w:history="1">
            <w:r w:rsidRPr="00440592">
              <w:rPr>
                <w:rStyle w:val="Hyperlink"/>
                <w:noProof/>
              </w:rPr>
              <w:t>Clinical evaluation summary</w:t>
            </w:r>
            <w:r>
              <w:rPr>
                <w:noProof/>
                <w:webHidden/>
              </w:rPr>
              <w:tab/>
            </w:r>
            <w:r>
              <w:rPr>
                <w:noProof/>
                <w:webHidden/>
              </w:rPr>
              <w:fldChar w:fldCharType="begin"/>
            </w:r>
            <w:r>
              <w:rPr>
                <w:noProof/>
                <w:webHidden/>
              </w:rPr>
              <w:instrText xml:space="preserve"> PAGEREF _Toc203984532 \h </w:instrText>
            </w:r>
            <w:r>
              <w:rPr>
                <w:noProof/>
                <w:webHidden/>
              </w:rPr>
            </w:r>
            <w:r>
              <w:rPr>
                <w:noProof/>
                <w:webHidden/>
              </w:rPr>
              <w:fldChar w:fldCharType="separate"/>
            </w:r>
            <w:r w:rsidR="006C6F48">
              <w:rPr>
                <w:noProof/>
                <w:webHidden/>
              </w:rPr>
              <w:t>10</w:t>
            </w:r>
            <w:r>
              <w:rPr>
                <w:noProof/>
                <w:webHidden/>
              </w:rPr>
              <w:fldChar w:fldCharType="end"/>
            </w:r>
          </w:hyperlink>
        </w:p>
        <w:p w14:paraId="693F5C3A" w14:textId="7C70AA82" w:rsidR="006B4DA1" w:rsidRDefault="006B4D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3984533" w:history="1">
            <w:r w:rsidRPr="00440592">
              <w:rPr>
                <w:rStyle w:val="Hyperlink"/>
                <w:noProof/>
              </w:rPr>
              <w:t>Pharmacology</w:t>
            </w:r>
            <w:r>
              <w:rPr>
                <w:noProof/>
                <w:webHidden/>
              </w:rPr>
              <w:tab/>
            </w:r>
            <w:r>
              <w:rPr>
                <w:noProof/>
                <w:webHidden/>
              </w:rPr>
              <w:fldChar w:fldCharType="begin"/>
            </w:r>
            <w:r>
              <w:rPr>
                <w:noProof/>
                <w:webHidden/>
              </w:rPr>
              <w:instrText xml:space="preserve"> PAGEREF _Toc203984533 \h </w:instrText>
            </w:r>
            <w:r>
              <w:rPr>
                <w:noProof/>
                <w:webHidden/>
              </w:rPr>
            </w:r>
            <w:r>
              <w:rPr>
                <w:noProof/>
                <w:webHidden/>
              </w:rPr>
              <w:fldChar w:fldCharType="separate"/>
            </w:r>
            <w:r w:rsidR="006C6F48">
              <w:rPr>
                <w:noProof/>
                <w:webHidden/>
              </w:rPr>
              <w:t>11</w:t>
            </w:r>
            <w:r>
              <w:rPr>
                <w:noProof/>
                <w:webHidden/>
              </w:rPr>
              <w:fldChar w:fldCharType="end"/>
            </w:r>
          </w:hyperlink>
        </w:p>
        <w:p w14:paraId="3EC20F90" w14:textId="7D29B90D" w:rsidR="006B4DA1" w:rsidRDefault="006B4DA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3984534" w:history="1">
            <w:r w:rsidRPr="00440592">
              <w:rPr>
                <w:rStyle w:val="Hyperlink"/>
                <w:noProof/>
              </w:rPr>
              <w:t>Risk-benefit analysis</w:t>
            </w:r>
            <w:r>
              <w:rPr>
                <w:noProof/>
                <w:webHidden/>
              </w:rPr>
              <w:tab/>
            </w:r>
            <w:r>
              <w:rPr>
                <w:noProof/>
                <w:webHidden/>
              </w:rPr>
              <w:fldChar w:fldCharType="begin"/>
            </w:r>
            <w:r>
              <w:rPr>
                <w:noProof/>
                <w:webHidden/>
              </w:rPr>
              <w:instrText xml:space="preserve"> PAGEREF _Toc203984534 \h </w:instrText>
            </w:r>
            <w:r>
              <w:rPr>
                <w:noProof/>
                <w:webHidden/>
              </w:rPr>
            </w:r>
            <w:r>
              <w:rPr>
                <w:noProof/>
                <w:webHidden/>
              </w:rPr>
              <w:fldChar w:fldCharType="separate"/>
            </w:r>
            <w:r w:rsidR="006C6F48">
              <w:rPr>
                <w:noProof/>
                <w:webHidden/>
              </w:rPr>
              <w:t>14</w:t>
            </w:r>
            <w:r>
              <w:rPr>
                <w:noProof/>
                <w:webHidden/>
              </w:rPr>
              <w:fldChar w:fldCharType="end"/>
            </w:r>
          </w:hyperlink>
        </w:p>
        <w:p w14:paraId="35DBCFC5" w14:textId="40D62CF2" w:rsidR="006B4DA1" w:rsidRDefault="006B4D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3984535" w:history="1">
            <w:r w:rsidRPr="00440592">
              <w:rPr>
                <w:rStyle w:val="Hyperlink"/>
                <w:noProof/>
              </w:rPr>
              <w:t>Biosimilarity</w:t>
            </w:r>
            <w:r>
              <w:rPr>
                <w:noProof/>
                <w:webHidden/>
              </w:rPr>
              <w:tab/>
            </w:r>
            <w:r>
              <w:rPr>
                <w:noProof/>
                <w:webHidden/>
              </w:rPr>
              <w:fldChar w:fldCharType="begin"/>
            </w:r>
            <w:r>
              <w:rPr>
                <w:noProof/>
                <w:webHidden/>
              </w:rPr>
              <w:instrText xml:space="preserve"> PAGEREF _Toc203984535 \h </w:instrText>
            </w:r>
            <w:r>
              <w:rPr>
                <w:noProof/>
                <w:webHidden/>
              </w:rPr>
            </w:r>
            <w:r>
              <w:rPr>
                <w:noProof/>
                <w:webHidden/>
              </w:rPr>
              <w:fldChar w:fldCharType="separate"/>
            </w:r>
            <w:r w:rsidR="006C6F48">
              <w:rPr>
                <w:noProof/>
                <w:webHidden/>
              </w:rPr>
              <w:t>14</w:t>
            </w:r>
            <w:r>
              <w:rPr>
                <w:noProof/>
                <w:webHidden/>
              </w:rPr>
              <w:fldChar w:fldCharType="end"/>
            </w:r>
          </w:hyperlink>
        </w:p>
        <w:p w14:paraId="4CBE84D8" w14:textId="22EADC28" w:rsidR="006B4DA1" w:rsidRDefault="006B4DA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3984536" w:history="1">
            <w:r w:rsidRPr="00440592">
              <w:rPr>
                <w:rStyle w:val="Hyperlink"/>
                <w:noProof/>
              </w:rPr>
              <w:t>Assessment outcome</w:t>
            </w:r>
            <w:r>
              <w:rPr>
                <w:noProof/>
                <w:webHidden/>
              </w:rPr>
              <w:tab/>
            </w:r>
            <w:r>
              <w:rPr>
                <w:noProof/>
                <w:webHidden/>
              </w:rPr>
              <w:fldChar w:fldCharType="begin"/>
            </w:r>
            <w:r>
              <w:rPr>
                <w:noProof/>
                <w:webHidden/>
              </w:rPr>
              <w:instrText xml:space="preserve"> PAGEREF _Toc203984536 \h </w:instrText>
            </w:r>
            <w:r>
              <w:rPr>
                <w:noProof/>
                <w:webHidden/>
              </w:rPr>
            </w:r>
            <w:r>
              <w:rPr>
                <w:noProof/>
                <w:webHidden/>
              </w:rPr>
              <w:fldChar w:fldCharType="separate"/>
            </w:r>
            <w:r w:rsidR="006C6F48">
              <w:rPr>
                <w:noProof/>
                <w:webHidden/>
              </w:rPr>
              <w:t>15</w:t>
            </w:r>
            <w:r>
              <w:rPr>
                <w:noProof/>
                <w:webHidden/>
              </w:rPr>
              <w:fldChar w:fldCharType="end"/>
            </w:r>
          </w:hyperlink>
        </w:p>
        <w:p w14:paraId="43FB28DC" w14:textId="2B3037BA" w:rsidR="006B4DA1" w:rsidRDefault="006B4D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3984537" w:history="1">
            <w:r w:rsidRPr="00440592">
              <w:rPr>
                <w:rStyle w:val="Hyperlink"/>
                <w:noProof/>
              </w:rPr>
              <w:t>Specific conditions of registration</w:t>
            </w:r>
            <w:r>
              <w:rPr>
                <w:noProof/>
                <w:webHidden/>
              </w:rPr>
              <w:tab/>
            </w:r>
            <w:r>
              <w:rPr>
                <w:noProof/>
                <w:webHidden/>
              </w:rPr>
              <w:fldChar w:fldCharType="begin"/>
            </w:r>
            <w:r>
              <w:rPr>
                <w:noProof/>
                <w:webHidden/>
              </w:rPr>
              <w:instrText xml:space="preserve"> PAGEREF _Toc203984537 \h </w:instrText>
            </w:r>
            <w:r>
              <w:rPr>
                <w:noProof/>
                <w:webHidden/>
              </w:rPr>
            </w:r>
            <w:r>
              <w:rPr>
                <w:noProof/>
                <w:webHidden/>
              </w:rPr>
              <w:fldChar w:fldCharType="separate"/>
            </w:r>
            <w:r w:rsidR="006C6F48">
              <w:rPr>
                <w:noProof/>
                <w:webHidden/>
              </w:rPr>
              <w:t>15</w:t>
            </w:r>
            <w:r>
              <w:rPr>
                <w:noProof/>
                <w:webHidden/>
              </w:rPr>
              <w:fldChar w:fldCharType="end"/>
            </w:r>
          </w:hyperlink>
        </w:p>
        <w:p w14:paraId="155B6A53" w14:textId="0BBA9584" w:rsidR="006B4DA1" w:rsidRDefault="006B4DA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3984538" w:history="1">
            <w:r w:rsidRPr="00440592">
              <w:rPr>
                <w:rStyle w:val="Hyperlink"/>
                <w:noProof/>
              </w:rPr>
              <w:t>Product Information and Consumer Medicines Information</w:t>
            </w:r>
            <w:r>
              <w:rPr>
                <w:noProof/>
                <w:webHidden/>
              </w:rPr>
              <w:tab/>
            </w:r>
            <w:r>
              <w:rPr>
                <w:noProof/>
                <w:webHidden/>
              </w:rPr>
              <w:fldChar w:fldCharType="begin"/>
            </w:r>
            <w:r>
              <w:rPr>
                <w:noProof/>
                <w:webHidden/>
              </w:rPr>
              <w:instrText xml:space="preserve"> PAGEREF _Toc203984538 \h </w:instrText>
            </w:r>
            <w:r>
              <w:rPr>
                <w:noProof/>
                <w:webHidden/>
              </w:rPr>
            </w:r>
            <w:r>
              <w:rPr>
                <w:noProof/>
                <w:webHidden/>
              </w:rPr>
              <w:fldChar w:fldCharType="separate"/>
            </w:r>
            <w:r w:rsidR="006C6F48">
              <w:rPr>
                <w:noProof/>
                <w:webHidden/>
              </w:rPr>
              <w:t>16</w:t>
            </w:r>
            <w:r>
              <w:rPr>
                <w:noProof/>
                <w:webHidden/>
              </w:rPr>
              <w:fldChar w:fldCharType="end"/>
            </w:r>
          </w:hyperlink>
        </w:p>
        <w:p w14:paraId="77659F2D" w14:textId="6F0AA2EE"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D9298B">
      <w:pPr>
        <w:pStyle w:val="Heading4"/>
      </w:pPr>
      <w:bookmarkStart w:id="3" w:name="_Toc98931917"/>
      <w:bookmarkStart w:id="4" w:name="_Toc103679287"/>
      <w:bookmarkStart w:id="5" w:name="_Toc203984523"/>
      <w:bookmarkStart w:id="6" w:name="_Toc323739589"/>
      <w:bookmarkStart w:id="7" w:name="_Toc356305216"/>
      <w:r>
        <w:lastRenderedPageBreak/>
        <w:t>List of abbreviations</w:t>
      </w:r>
      <w:bookmarkEnd w:id="3"/>
      <w:bookmarkEnd w:id="4"/>
      <w:bookmarkEnd w:id="5"/>
    </w:p>
    <w:tbl>
      <w:tblPr>
        <w:tblStyle w:val="TableTGAblue2023"/>
        <w:tblW w:w="5000" w:type="pct"/>
        <w:tblLook w:val="04A0" w:firstRow="1" w:lastRow="0" w:firstColumn="1" w:lastColumn="0" w:noHBand="0" w:noVBand="1"/>
      </w:tblPr>
      <w:tblGrid>
        <w:gridCol w:w="2174"/>
        <w:gridCol w:w="6886"/>
      </w:tblGrid>
      <w:tr w:rsidR="00C17635" w:rsidRPr="00447F01" w14:paraId="081BA9D2" w14:textId="77777777" w:rsidTr="00633AB3">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138C0286" w14:textId="77777777" w:rsidR="00C17635" w:rsidRPr="00447F01" w:rsidRDefault="00C17635" w:rsidP="00633AB3">
            <w:pPr>
              <w:rPr>
                <w:szCs w:val="22"/>
              </w:rPr>
            </w:pPr>
            <w:r w:rsidRPr="00447F01">
              <w:rPr>
                <w:szCs w:val="22"/>
              </w:rPr>
              <w:t>Abbreviation</w:t>
            </w:r>
          </w:p>
        </w:tc>
        <w:tc>
          <w:tcPr>
            <w:tcW w:w="3800" w:type="pct"/>
          </w:tcPr>
          <w:p w14:paraId="7D498260" w14:textId="77777777" w:rsidR="00C17635" w:rsidRPr="00447F01" w:rsidRDefault="00C17635" w:rsidP="00633AB3">
            <w:pPr>
              <w:cnfStyle w:val="100000000000" w:firstRow="1" w:lastRow="0" w:firstColumn="0" w:lastColumn="0" w:oddVBand="0" w:evenVBand="0" w:oddHBand="0" w:evenHBand="0" w:firstRowFirstColumn="0" w:firstRowLastColumn="0" w:lastRowFirstColumn="0" w:lastRowLastColumn="0"/>
              <w:rPr>
                <w:szCs w:val="22"/>
              </w:rPr>
            </w:pPr>
            <w:r w:rsidRPr="00447F01">
              <w:rPr>
                <w:szCs w:val="22"/>
              </w:rPr>
              <w:t>Meaning</w:t>
            </w:r>
          </w:p>
        </w:tc>
      </w:tr>
      <w:tr w:rsidR="00C17635" w:rsidRPr="00447F01" w14:paraId="17DE995B" w14:textId="77777777" w:rsidTr="00633AB3">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84E8407" w14:textId="77777777" w:rsidR="00C17635" w:rsidRPr="00447F01" w:rsidRDefault="00C17635" w:rsidP="00633AB3">
            <w:pPr>
              <w:rPr>
                <w:szCs w:val="22"/>
              </w:rPr>
            </w:pPr>
            <w:r w:rsidRPr="00447F01">
              <w:rPr>
                <w:szCs w:val="22"/>
              </w:rPr>
              <w:t>ARTG</w:t>
            </w:r>
          </w:p>
        </w:tc>
        <w:tc>
          <w:tcPr>
            <w:tcW w:w="3800" w:type="pct"/>
          </w:tcPr>
          <w:p w14:paraId="672BD6DC" w14:textId="77777777" w:rsidR="00C17635" w:rsidRPr="00447F01" w:rsidRDefault="00C17635" w:rsidP="00633AB3">
            <w:pPr>
              <w:cnfStyle w:val="000000000000" w:firstRow="0" w:lastRow="0" w:firstColumn="0" w:lastColumn="0" w:oddVBand="0" w:evenVBand="0" w:oddHBand="0" w:evenHBand="0" w:firstRowFirstColumn="0" w:firstRowLastColumn="0" w:lastRowFirstColumn="0" w:lastRowLastColumn="0"/>
              <w:rPr>
                <w:szCs w:val="22"/>
              </w:rPr>
            </w:pPr>
            <w:r w:rsidRPr="00447F01">
              <w:rPr>
                <w:szCs w:val="22"/>
              </w:rPr>
              <w:t>Australian Register of Therapeutic Goods</w:t>
            </w:r>
          </w:p>
        </w:tc>
      </w:tr>
      <w:tr w:rsidR="00C17635" w:rsidRPr="00447F01" w14:paraId="75B77C5C" w14:textId="77777777" w:rsidTr="00633AB3">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1ADECF5" w14:textId="77777777" w:rsidR="00C17635" w:rsidRPr="00447F01" w:rsidRDefault="00C17635" w:rsidP="00633AB3">
            <w:pPr>
              <w:rPr>
                <w:szCs w:val="22"/>
              </w:rPr>
            </w:pPr>
            <w:r w:rsidRPr="00C0150F">
              <w:rPr>
                <w:szCs w:val="22"/>
              </w:rPr>
              <w:t>AUEC</w:t>
            </w:r>
            <w:r w:rsidRPr="00C0150F">
              <w:rPr>
                <w:szCs w:val="22"/>
                <w:vertAlign w:val="subscript"/>
              </w:rPr>
              <w:t>0–t</w:t>
            </w:r>
          </w:p>
        </w:tc>
        <w:tc>
          <w:tcPr>
            <w:tcW w:w="3800" w:type="pct"/>
          </w:tcPr>
          <w:p w14:paraId="186855FD" w14:textId="062395BB" w:rsidR="00C17635" w:rsidRPr="00447F01" w:rsidRDefault="00C17635" w:rsidP="00633AB3">
            <w:pPr>
              <w:cnfStyle w:val="000000000000" w:firstRow="0" w:lastRow="0" w:firstColumn="0" w:lastColumn="0" w:oddVBand="0" w:evenVBand="0" w:oddHBand="0" w:evenHBand="0" w:firstRowFirstColumn="0" w:firstRowLastColumn="0" w:lastRowFirstColumn="0" w:lastRowLastColumn="0"/>
              <w:rPr>
                <w:szCs w:val="22"/>
              </w:rPr>
            </w:pPr>
            <w:r>
              <w:rPr>
                <w:szCs w:val="22"/>
              </w:rPr>
              <w:t>A</w:t>
            </w:r>
            <w:r w:rsidRPr="00C0150F">
              <w:rPr>
                <w:szCs w:val="22"/>
              </w:rPr>
              <w:t>rea under the effect–time curve from time 0 to the time of the last quantifiable concentration</w:t>
            </w:r>
          </w:p>
        </w:tc>
      </w:tr>
      <w:tr w:rsidR="00C17635" w:rsidRPr="00447F01" w14:paraId="740F75ED" w14:textId="77777777" w:rsidTr="00633AB3">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B2AD122" w14:textId="77777777" w:rsidR="00C17635" w:rsidRPr="00447F01" w:rsidRDefault="00C17635" w:rsidP="00633AB3">
            <w:pPr>
              <w:rPr>
                <w:rFonts w:eastAsia="TimesNewRoman" w:cs="TimesNewRoman"/>
                <w:szCs w:val="22"/>
                <w14:ligatures w14:val="standardContextual"/>
              </w:rPr>
            </w:pPr>
            <w:proofErr w:type="spellStart"/>
            <w:r w:rsidRPr="00447F01">
              <w:rPr>
                <w:rFonts w:eastAsia="TimesNewRoman" w:cs="TimesNewRoman"/>
                <w:szCs w:val="22"/>
                <w14:ligatures w14:val="standardContextual"/>
              </w:rPr>
              <w:t>C</w:t>
            </w:r>
            <w:r w:rsidRPr="00447F01">
              <w:rPr>
                <w:rFonts w:eastAsia="TimesNewRoman" w:cs="TimesNewRoman"/>
                <w:szCs w:val="22"/>
                <w:vertAlign w:val="subscript"/>
                <w14:ligatures w14:val="standardContextual"/>
              </w:rPr>
              <w:t>max</w:t>
            </w:r>
            <w:proofErr w:type="spellEnd"/>
          </w:p>
        </w:tc>
        <w:tc>
          <w:tcPr>
            <w:tcW w:w="3800" w:type="pct"/>
          </w:tcPr>
          <w:p w14:paraId="54A5B4A1" w14:textId="7A58C9EC" w:rsidR="00C17635" w:rsidRPr="00447F01" w:rsidRDefault="00C17635" w:rsidP="00633AB3">
            <w:pPr>
              <w:cnfStyle w:val="000000000000" w:firstRow="0" w:lastRow="0" w:firstColumn="0" w:lastColumn="0" w:oddVBand="0" w:evenVBand="0" w:oddHBand="0" w:evenHBand="0" w:firstRowFirstColumn="0" w:firstRowLastColumn="0" w:lastRowFirstColumn="0" w:lastRowLastColumn="0"/>
              <w:rPr>
                <w:szCs w:val="22"/>
              </w:rPr>
            </w:pPr>
            <w:r>
              <w:rPr>
                <w:szCs w:val="22"/>
              </w:rPr>
              <w:t>M</w:t>
            </w:r>
            <w:r w:rsidRPr="00447F01">
              <w:rPr>
                <w:szCs w:val="22"/>
              </w:rPr>
              <w:t xml:space="preserve">aximum measured </w:t>
            </w:r>
            <w:r>
              <w:rPr>
                <w:szCs w:val="22"/>
              </w:rPr>
              <w:t>concentration</w:t>
            </w:r>
          </w:p>
        </w:tc>
      </w:tr>
      <w:tr w:rsidR="00C17635" w:rsidRPr="00447F01" w14:paraId="5A5142FB" w14:textId="77777777" w:rsidTr="00633AB3">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02C0574" w14:textId="77777777" w:rsidR="00C17635" w:rsidRPr="00447F01" w:rsidRDefault="00C17635" w:rsidP="00633AB3">
            <w:pPr>
              <w:rPr>
                <w:rFonts w:eastAsia="TimesNewRoman" w:cs="TimesNewRoman"/>
                <w:szCs w:val="22"/>
                <w14:ligatures w14:val="standardContextual"/>
              </w:rPr>
            </w:pPr>
            <w:r w:rsidRPr="00C0150F">
              <w:rPr>
                <w:rFonts w:eastAsia="TimesNewRoman" w:cs="TimesNewRoman"/>
                <w:szCs w:val="22"/>
                <w14:ligatures w14:val="standardContextual"/>
              </w:rPr>
              <w:t>PCI</w:t>
            </w:r>
          </w:p>
        </w:tc>
        <w:tc>
          <w:tcPr>
            <w:tcW w:w="3800" w:type="pct"/>
          </w:tcPr>
          <w:p w14:paraId="03D9EC77" w14:textId="77777777" w:rsidR="00C17635" w:rsidRPr="00447F01" w:rsidRDefault="00C17635" w:rsidP="00633AB3">
            <w:pPr>
              <w:cnfStyle w:val="000000000000" w:firstRow="0" w:lastRow="0" w:firstColumn="0" w:lastColumn="0" w:oddVBand="0" w:evenVBand="0" w:oddHBand="0" w:evenHBand="0" w:firstRowFirstColumn="0" w:firstRowLastColumn="0" w:lastRowFirstColumn="0" w:lastRowLastColumn="0"/>
              <w:rPr>
                <w:szCs w:val="22"/>
              </w:rPr>
            </w:pPr>
            <w:r w:rsidRPr="00C0150F">
              <w:rPr>
                <w:szCs w:val="22"/>
              </w:rPr>
              <w:t xml:space="preserve">Percutaneous </w:t>
            </w:r>
            <w:r>
              <w:rPr>
                <w:szCs w:val="22"/>
              </w:rPr>
              <w:t>c</w:t>
            </w:r>
            <w:r w:rsidRPr="00C0150F">
              <w:rPr>
                <w:szCs w:val="22"/>
              </w:rPr>
              <w:t xml:space="preserve">oronary </w:t>
            </w:r>
            <w:r>
              <w:rPr>
                <w:szCs w:val="22"/>
              </w:rPr>
              <w:t>i</w:t>
            </w:r>
            <w:r w:rsidRPr="00C0150F">
              <w:rPr>
                <w:szCs w:val="22"/>
              </w:rPr>
              <w:t>ntervention</w:t>
            </w:r>
          </w:p>
        </w:tc>
      </w:tr>
      <w:tr w:rsidR="00C17635" w:rsidRPr="00447F01" w14:paraId="68C4C69F" w14:textId="77777777" w:rsidTr="00633AB3">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A838866" w14:textId="77777777" w:rsidR="00C17635" w:rsidRPr="00447F01" w:rsidRDefault="00C17635" w:rsidP="00633AB3">
            <w:pPr>
              <w:rPr>
                <w:szCs w:val="22"/>
              </w:rPr>
            </w:pPr>
            <w:r>
              <w:rPr>
                <w:rFonts w:eastAsia="TimesNewRoman" w:cs="TimesNewRoman"/>
                <w:szCs w:val="22"/>
                <w14:ligatures w14:val="standardContextual"/>
              </w:rPr>
              <w:t xml:space="preserve">Ph. Eur. </w:t>
            </w:r>
          </w:p>
        </w:tc>
        <w:tc>
          <w:tcPr>
            <w:tcW w:w="3800" w:type="pct"/>
          </w:tcPr>
          <w:p w14:paraId="23149C81" w14:textId="77777777" w:rsidR="00C17635" w:rsidRPr="00447F01" w:rsidRDefault="00C17635" w:rsidP="00633AB3">
            <w:pPr>
              <w:cnfStyle w:val="000000000000" w:firstRow="0" w:lastRow="0" w:firstColumn="0" w:lastColumn="0" w:oddVBand="0" w:evenVBand="0" w:oddHBand="0" w:evenHBand="0" w:firstRowFirstColumn="0" w:firstRowLastColumn="0" w:lastRowFirstColumn="0" w:lastRowLastColumn="0"/>
              <w:rPr>
                <w:szCs w:val="22"/>
              </w:rPr>
            </w:pPr>
            <w:r w:rsidRPr="00C0150F">
              <w:rPr>
                <w:szCs w:val="22"/>
              </w:rPr>
              <w:t>European Pharmacopoeia</w:t>
            </w:r>
          </w:p>
        </w:tc>
      </w:tr>
      <w:tr w:rsidR="00C17635" w:rsidRPr="00447F01" w14:paraId="0E8C5A61" w14:textId="77777777" w:rsidTr="00633AB3">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D27D0C2" w14:textId="77777777" w:rsidR="00C17635" w:rsidRPr="00447F01" w:rsidRDefault="00C17635" w:rsidP="00633AB3">
            <w:pPr>
              <w:rPr>
                <w:szCs w:val="22"/>
              </w:rPr>
            </w:pPr>
            <w:r w:rsidRPr="00C12A25">
              <w:t>STEMI</w:t>
            </w:r>
          </w:p>
        </w:tc>
        <w:tc>
          <w:tcPr>
            <w:tcW w:w="3800" w:type="pct"/>
          </w:tcPr>
          <w:p w14:paraId="7B8092CA" w14:textId="77777777" w:rsidR="00C17635" w:rsidRPr="00447F01" w:rsidRDefault="00C17635" w:rsidP="00633AB3">
            <w:pPr>
              <w:cnfStyle w:val="000000000000" w:firstRow="0" w:lastRow="0" w:firstColumn="0" w:lastColumn="0" w:oddVBand="0" w:evenVBand="0" w:oddHBand="0" w:evenHBand="0" w:firstRowFirstColumn="0" w:firstRowLastColumn="0" w:lastRowFirstColumn="0" w:lastRowLastColumn="0"/>
              <w:rPr>
                <w:szCs w:val="22"/>
              </w:rPr>
            </w:pPr>
            <w:r w:rsidRPr="00C12A25">
              <w:t>ST-segment Elevation Myocardial Infarction</w:t>
            </w:r>
          </w:p>
        </w:tc>
      </w:tr>
      <w:tr w:rsidR="00C17635" w:rsidRPr="00447F01" w14:paraId="26ED809F" w14:textId="77777777" w:rsidTr="00633AB3">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973EC9E" w14:textId="77777777" w:rsidR="00C17635" w:rsidRPr="00C12A25" w:rsidRDefault="00C17635" w:rsidP="00633AB3">
            <w:r w:rsidRPr="008B5F7B">
              <w:t>TFPI</w:t>
            </w:r>
          </w:p>
        </w:tc>
        <w:tc>
          <w:tcPr>
            <w:tcW w:w="3800" w:type="pct"/>
          </w:tcPr>
          <w:p w14:paraId="2F4937C6" w14:textId="39360AC4" w:rsidR="00C17635" w:rsidRPr="00C12A25" w:rsidRDefault="00C17635" w:rsidP="00633AB3">
            <w:pPr>
              <w:cnfStyle w:val="000000000000" w:firstRow="0" w:lastRow="0" w:firstColumn="0" w:lastColumn="0" w:oddVBand="0" w:evenVBand="0" w:oddHBand="0" w:evenHBand="0" w:firstRowFirstColumn="0" w:firstRowLastColumn="0" w:lastRowFirstColumn="0" w:lastRowLastColumn="0"/>
            </w:pPr>
            <w:r>
              <w:t>T</w:t>
            </w:r>
            <w:r w:rsidRPr="008B5F7B">
              <w:t>issue factor pathway inhibitor</w:t>
            </w:r>
          </w:p>
        </w:tc>
      </w:tr>
      <w:tr w:rsidR="00C17635" w:rsidRPr="00447F01" w14:paraId="7D31070A" w14:textId="77777777" w:rsidTr="00633AB3">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06C1780" w14:textId="77777777" w:rsidR="00C17635" w:rsidRPr="00447F01" w:rsidRDefault="00C17635" w:rsidP="00633AB3">
            <w:pPr>
              <w:rPr>
                <w:szCs w:val="22"/>
              </w:rPr>
            </w:pPr>
            <w:r w:rsidRPr="00447F01">
              <w:rPr>
                <w:szCs w:val="22"/>
              </w:rPr>
              <w:t>TGA</w:t>
            </w:r>
          </w:p>
        </w:tc>
        <w:tc>
          <w:tcPr>
            <w:tcW w:w="3800" w:type="pct"/>
          </w:tcPr>
          <w:p w14:paraId="4DCE44C5" w14:textId="77777777" w:rsidR="00C17635" w:rsidRPr="00447F01" w:rsidRDefault="00C17635" w:rsidP="00633AB3">
            <w:pPr>
              <w:cnfStyle w:val="000000000000" w:firstRow="0" w:lastRow="0" w:firstColumn="0" w:lastColumn="0" w:oddVBand="0" w:evenVBand="0" w:oddHBand="0" w:evenHBand="0" w:firstRowFirstColumn="0" w:firstRowLastColumn="0" w:lastRowFirstColumn="0" w:lastRowLastColumn="0"/>
              <w:rPr>
                <w:szCs w:val="22"/>
              </w:rPr>
            </w:pPr>
            <w:r w:rsidRPr="00447F01">
              <w:rPr>
                <w:szCs w:val="22"/>
              </w:rPr>
              <w:t>Therapeutic Goods Administration</w:t>
            </w:r>
          </w:p>
        </w:tc>
      </w:tr>
      <w:tr w:rsidR="00C17635" w:rsidRPr="00447F01" w14:paraId="45EF3430" w14:textId="77777777" w:rsidTr="00633AB3">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CE80F41" w14:textId="77777777" w:rsidR="00C17635" w:rsidRPr="00447F01" w:rsidRDefault="00C17635" w:rsidP="00633AB3">
            <w:pPr>
              <w:rPr>
                <w:szCs w:val="22"/>
              </w:rPr>
            </w:pPr>
            <w:r w:rsidRPr="004B4779">
              <w:rPr>
                <w:szCs w:val="22"/>
              </w:rPr>
              <w:t xml:space="preserve">USP </w:t>
            </w:r>
          </w:p>
        </w:tc>
        <w:tc>
          <w:tcPr>
            <w:tcW w:w="3800" w:type="pct"/>
          </w:tcPr>
          <w:p w14:paraId="4D9E1DEF" w14:textId="77777777" w:rsidR="00C17635" w:rsidRPr="00447F01" w:rsidRDefault="00C17635" w:rsidP="00633AB3">
            <w:pPr>
              <w:cnfStyle w:val="000000000000" w:firstRow="0" w:lastRow="0" w:firstColumn="0" w:lastColumn="0" w:oddVBand="0" w:evenVBand="0" w:oddHBand="0" w:evenHBand="0" w:firstRowFirstColumn="0" w:firstRowLastColumn="0" w:lastRowFirstColumn="0" w:lastRowLastColumn="0"/>
              <w:rPr>
                <w:szCs w:val="22"/>
              </w:rPr>
            </w:pPr>
            <w:r w:rsidRPr="004B4779">
              <w:rPr>
                <w:szCs w:val="22"/>
              </w:rPr>
              <w:t>U</w:t>
            </w:r>
            <w:r>
              <w:rPr>
                <w:szCs w:val="22"/>
              </w:rPr>
              <w:t xml:space="preserve">nited States Pharmacopeia </w:t>
            </w:r>
          </w:p>
        </w:tc>
      </w:tr>
    </w:tbl>
    <w:p w14:paraId="7378F926" w14:textId="77777777" w:rsidR="00324B33" w:rsidRDefault="00324B33" w:rsidP="00324B33"/>
    <w:p w14:paraId="02FB1F38" w14:textId="77777777" w:rsidR="00324B33" w:rsidRPr="00FD119B" w:rsidRDefault="00324B33" w:rsidP="00324B33">
      <w:pPr>
        <w:spacing w:after="200" w:line="0" w:lineRule="auto"/>
        <w:rPr>
          <w:b/>
          <w:i/>
          <w:sz w:val="24"/>
          <w:szCs w:val="24"/>
        </w:rPr>
      </w:pPr>
      <w:r w:rsidRPr="00FD119B">
        <w:rPr>
          <w:b/>
          <w:i/>
          <w:sz w:val="24"/>
          <w:szCs w:val="24"/>
        </w:rPr>
        <w:br w:type="page"/>
      </w:r>
    </w:p>
    <w:p w14:paraId="44C2A39C" w14:textId="6F4A18F4" w:rsidR="00324B33" w:rsidRDefault="007F6C22" w:rsidP="00324B33">
      <w:pPr>
        <w:pStyle w:val="Heading2"/>
      </w:pPr>
      <w:bookmarkStart w:id="8" w:name="_Toc203984524"/>
      <w:r w:rsidRPr="007F6C22">
        <w:lastRenderedPageBreak/>
        <w:t>CLASTO, ENOXACOR and ENOXAJECT</w:t>
      </w:r>
      <w:r>
        <w:t xml:space="preserve"> (</w:t>
      </w:r>
      <w:r w:rsidRPr="007F6C22">
        <w:t>enoxaparin</w:t>
      </w:r>
      <w:r>
        <w:t>)</w:t>
      </w:r>
      <w:r w:rsidR="001B5CA6" w:rsidRPr="001B5CA6">
        <w:t xml:space="preserve"> submission</w:t>
      </w:r>
      <w:bookmarkEnd w:id="8"/>
    </w:p>
    <w:tbl>
      <w:tblPr>
        <w:tblW w:w="5000" w:type="pct"/>
        <w:tblLook w:val="01E0" w:firstRow="1" w:lastRow="1" w:firstColumn="1" w:lastColumn="1" w:noHBand="0" w:noVBand="0"/>
      </w:tblPr>
      <w:tblGrid>
        <w:gridCol w:w="2861"/>
        <w:gridCol w:w="6209"/>
      </w:tblGrid>
      <w:tr w:rsidR="00324B33" w:rsidRPr="00BD5DBD" w14:paraId="77D11C95" w14:textId="77777777" w:rsidTr="00F865A7">
        <w:tc>
          <w:tcPr>
            <w:tcW w:w="1577" w:type="pct"/>
          </w:tcPr>
          <w:p w14:paraId="10E57D62" w14:textId="52B9868F" w:rsidR="00324B33" w:rsidRPr="00BD5DBD" w:rsidRDefault="00324B33" w:rsidP="007452E8">
            <w:pPr>
              <w:rPr>
                <w:i/>
                <w:szCs w:val="22"/>
              </w:rPr>
            </w:pPr>
            <w:r w:rsidRPr="00BD5DBD">
              <w:rPr>
                <w:i/>
                <w:szCs w:val="22"/>
              </w:rPr>
              <w:t>Type of submission:</w:t>
            </w:r>
          </w:p>
        </w:tc>
        <w:tc>
          <w:tcPr>
            <w:tcW w:w="3423" w:type="pct"/>
          </w:tcPr>
          <w:p w14:paraId="4F07C303" w14:textId="7767574A" w:rsidR="00324B33" w:rsidRPr="00BD5DBD" w:rsidRDefault="00C17759" w:rsidP="007452E8">
            <w:pPr>
              <w:rPr>
                <w:szCs w:val="22"/>
              </w:rPr>
            </w:pPr>
            <w:bookmarkStart w:id="9" w:name="_Hlk204694669"/>
            <w:r>
              <w:rPr>
                <w:szCs w:val="22"/>
              </w:rPr>
              <w:t>N</w:t>
            </w:r>
            <w:r w:rsidR="00FA1C1E">
              <w:rPr>
                <w:szCs w:val="22"/>
              </w:rPr>
              <w:t>ew biosimilar</w:t>
            </w:r>
            <w:r w:rsidR="0009767A">
              <w:rPr>
                <w:szCs w:val="22"/>
              </w:rPr>
              <w:t xml:space="preserve"> (to CLEXANE)</w:t>
            </w:r>
            <w:bookmarkEnd w:id="9"/>
          </w:p>
        </w:tc>
      </w:tr>
      <w:tr w:rsidR="00324B33" w:rsidRPr="00BD5DBD" w14:paraId="13482B61" w14:textId="77777777" w:rsidTr="00F865A7">
        <w:tc>
          <w:tcPr>
            <w:tcW w:w="1577" w:type="pct"/>
          </w:tcPr>
          <w:p w14:paraId="2C427FCF" w14:textId="1F1F6AEE" w:rsidR="00324B33" w:rsidRPr="00BD5DBD" w:rsidRDefault="00324B33" w:rsidP="007452E8">
            <w:pPr>
              <w:rPr>
                <w:i/>
                <w:szCs w:val="22"/>
              </w:rPr>
            </w:pPr>
            <w:r w:rsidRPr="00BD5DBD">
              <w:rPr>
                <w:i/>
                <w:szCs w:val="22"/>
              </w:rPr>
              <w:t>Product name:</w:t>
            </w:r>
          </w:p>
        </w:tc>
        <w:tc>
          <w:tcPr>
            <w:tcW w:w="3423" w:type="pct"/>
          </w:tcPr>
          <w:p w14:paraId="0E2DEF76" w14:textId="18374783" w:rsidR="00324B33" w:rsidRPr="00BD5DBD" w:rsidRDefault="00BC22F8" w:rsidP="007452E8">
            <w:pPr>
              <w:rPr>
                <w:szCs w:val="22"/>
              </w:rPr>
            </w:pPr>
            <w:r w:rsidRPr="00BC22F8">
              <w:rPr>
                <w:szCs w:val="22"/>
              </w:rPr>
              <w:t>CLASTO, ENOXACOR, ENOXAJECT</w:t>
            </w:r>
          </w:p>
        </w:tc>
      </w:tr>
      <w:tr w:rsidR="00324B33" w:rsidRPr="00BD5DBD" w14:paraId="01255B5B" w14:textId="77777777" w:rsidTr="00F865A7">
        <w:tc>
          <w:tcPr>
            <w:tcW w:w="1577" w:type="pct"/>
          </w:tcPr>
          <w:p w14:paraId="52B4F3D7" w14:textId="1355FC7D" w:rsidR="00324B33" w:rsidRPr="00BD5DBD" w:rsidRDefault="00324B33" w:rsidP="007452E8">
            <w:pPr>
              <w:rPr>
                <w:i/>
                <w:szCs w:val="22"/>
              </w:rPr>
            </w:pPr>
            <w:r w:rsidRPr="00BD5DBD">
              <w:rPr>
                <w:i/>
                <w:szCs w:val="22"/>
              </w:rPr>
              <w:t>Active ingredient:</w:t>
            </w:r>
          </w:p>
        </w:tc>
        <w:tc>
          <w:tcPr>
            <w:tcW w:w="3423" w:type="pct"/>
          </w:tcPr>
          <w:p w14:paraId="02FB6383" w14:textId="651D71A9" w:rsidR="00324B33" w:rsidRPr="00BD5DBD" w:rsidRDefault="001D56F6" w:rsidP="007452E8">
            <w:pPr>
              <w:rPr>
                <w:szCs w:val="22"/>
              </w:rPr>
            </w:pPr>
            <w:r w:rsidRPr="001D56F6">
              <w:rPr>
                <w:szCs w:val="22"/>
              </w:rPr>
              <w:t>enoxaparin</w:t>
            </w:r>
          </w:p>
        </w:tc>
      </w:tr>
      <w:tr w:rsidR="00324B33" w:rsidRPr="00BD5DBD" w14:paraId="219A281B" w14:textId="77777777" w:rsidTr="00F865A7">
        <w:tc>
          <w:tcPr>
            <w:tcW w:w="1577" w:type="pct"/>
          </w:tcPr>
          <w:p w14:paraId="112E5F78" w14:textId="77777777" w:rsidR="00324B33" w:rsidRPr="00BD5DBD" w:rsidRDefault="00324B33" w:rsidP="007452E8">
            <w:pPr>
              <w:rPr>
                <w:i/>
                <w:szCs w:val="22"/>
              </w:rPr>
            </w:pPr>
            <w:r w:rsidRPr="00BD5DBD">
              <w:rPr>
                <w:i/>
                <w:szCs w:val="22"/>
              </w:rPr>
              <w:t>Decision:</w:t>
            </w:r>
          </w:p>
        </w:tc>
        <w:tc>
          <w:tcPr>
            <w:tcW w:w="3423" w:type="pct"/>
          </w:tcPr>
          <w:p w14:paraId="3B114BEA" w14:textId="395AB992" w:rsidR="00324B33" w:rsidRPr="00BD5DBD" w:rsidRDefault="001D56F6" w:rsidP="007452E8">
            <w:pPr>
              <w:rPr>
                <w:szCs w:val="22"/>
              </w:rPr>
            </w:pPr>
            <w:r>
              <w:rPr>
                <w:szCs w:val="22"/>
              </w:rPr>
              <w:t>Approved</w:t>
            </w:r>
          </w:p>
        </w:tc>
      </w:tr>
      <w:tr w:rsidR="00AE1947" w:rsidRPr="00BD5DBD" w14:paraId="32B72632" w14:textId="77777777" w:rsidTr="00F865A7">
        <w:tc>
          <w:tcPr>
            <w:tcW w:w="1577" w:type="pct"/>
          </w:tcPr>
          <w:p w14:paraId="332A5CD5" w14:textId="65682B5F" w:rsidR="00AE1947" w:rsidRPr="00BD5DBD" w:rsidRDefault="00AE1947" w:rsidP="007F1E37">
            <w:r w:rsidRPr="00BD5DBD">
              <w:rPr>
                <w:i/>
                <w:szCs w:val="22"/>
              </w:rPr>
              <w:t>Date of decision:</w:t>
            </w:r>
          </w:p>
        </w:tc>
        <w:tc>
          <w:tcPr>
            <w:tcW w:w="3423" w:type="pct"/>
          </w:tcPr>
          <w:p w14:paraId="7B381CD6" w14:textId="2DD14798" w:rsidR="00AE1947" w:rsidRPr="00BD5DBD" w:rsidRDefault="00735777" w:rsidP="00602658">
            <w:pPr>
              <w:rPr>
                <w:szCs w:val="22"/>
              </w:rPr>
            </w:pPr>
            <w:r w:rsidRPr="00735777">
              <w:rPr>
                <w:szCs w:val="22"/>
              </w:rPr>
              <w:t>31 January 2025</w:t>
            </w:r>
          </w:p>
        </w:tc>
      </w:tr>
      <w:tr w:rsidR="00B27E5F" w:rsidRPr="00BD5DBD" w14:paraId="35D7443B" w14:textId="77777777" w:rsidTr="00F865A7">
        <w:tc>
          <w:tcPr>
            <w:tcW w:w="1577" w:type="pct"/>
          </w:tcPr>
          <w:p w14:paraId="67C7FBF3" w14:textId="0A62D219" w:rsidR="00B27E5F" w:rsidRPr="00BD5DBD" w:rsidRDefault="00B27E5F" w:rsidP="007F1E37">
            <w:pPr>
              <w:rPr>
                <w:i/>
                <w:szCs w:val="22"/>
              </w:rPr>
            </w:pPr>
            <w:r w:rsidRPr="00B27E5F">
              <w:rPr>
                <w:i/>
                <w:szCs w:val="22"/>
              </w:rPr>
              <w:t>Date of entry onto ARTG:</w:t>
            </w:r>
          </w:p>
        </w:tc>
        <w:tc>
          <w:tcPr>
            <w:tcW w:w="3423" w:type="pct"/>
          </w:tcPr>
          <w:p w14:paraId="7E1990DC" w14:textId="627A649C" w:rsidR="00B27E5F" w:rsidRPr="00BD5DBD" w:rsidRDefault="008335F2" w:rsidP="00602658">
            <w:pPr>
              <w:rPr>
                <w:szCs w:val="22"/>
              </w:rPr>
            </w:pPr>
            <w:r w:rsidRPr="008335F2">
              <w:rPr>
                <w:szCs w:val="22"/>
              </w:rPr>
              <w:t>17 February 2025</w:t>
            </w:r>
          </w:p>
        </w:tc>
      </w:tr>
      <w:tr w:rsidR="00B27E5F" w:rsidRPr="00BD5DBD" w14:paraId="6AF532DF" w14:textId="77777777" w:rsidTr="00F865A7">
        <w:tc>
          <w:tcPr>
            <w:tcW w:w="1577" w:type="pct"/>
          </w:tcPr>
          <w:p w14:paraId="34BD7C65" w14:textId="55240997" w:rsidR="00B27E5F" w:rsidRPr="00B27E5F" w:rsidRDefault="00B27E5F" w:rsidP="007F1E37">
            <w:pPr>
              <w:rPr>
                <w:i/>
                <w:szCs w:val="22"/>
              </w:rPr>
            </w:pPr>
            <w:r>
              <w:rPr>
                <w:i/>
                <w:szCs w:val="22"/>
              </w:rPr>
              <w:t>ARTG number</w:t>
            </w:r>
            <w:r w:rsidR="009F7143">
              <w:rPr>
                <w:i/>
                <w:szCs w:val="22"/>
              </w:rPr>
              <w:t>s</w:t>
            </w:r>
            <w:r>
              <w:rPr>
                <w:i/>
                <w:szCs w:val="22"/>
              </w:rPr>
              <w:t>:</w:t>
            </w:r>
          </w:p>
        </w:tc>
        <w:tc>
          <w:tcPr>
            <w:tcW w:w="3423" w:type="pct"/>
          </w:tcPr>
          <w:p w14:paraId="3E6662EF" w14:textId="681552FE" w:rsidR="00EE53AA" w:rsidRPr="00EE53AA" w:rsidRDefault="00EE53AA" w:rsidP="00EE53AA">
            <w:pPr>
              <w:rPr>
                <w:szCs w:val="22"/>
              </w:rPr>
            </w:pPr>
            <w:r w:rsidRPr="00EE53AA">
              <w:rPr>
                <w:szCs w:val="22"/>
              </w:rPr>
              <w:t>422248 - CLASTO enoxaparin sodium 20mg/0.2mL solution for injection syringe with safety lock system</w:t>
            </w:r>
          </w:p>
          <w:p w14:paraId="78EE40FD" w14:textId="332B64D3" w:rsidR="00EE53AA" w:rsidRPr="00EE53AA" w:rsidRDefault="00EE53AA" w:rsidP="00EE53AA">
            <w:pPr>
              <w:rPr>
                <w:szCs w:val="22"/>
              </w:rPr>
            </w:pPr>
            <w:r w:rsidRPr="00EE53AA">
              <w:rPr>
                <w:szCs w:val="22"/>
              </w:rPr>
              <w:t>423430 - CLASTO enoxaparin sodium 40mg/0.4mL solution for injection syringe with safety lock system</w:t>
            </w:r>
          </w:p>
          <w:p w14:paraId="674025C4" w14:textId="63C3A90D" w:rsidR="00EE53AA" w:rsidRPr="00EE53AA" w:rsidRDefault="00EE53AA" w:rsidP="00EE53AA">
            <w:pPr>
              <w:rPr>
                <w:szCs w:val="22"/>
              </w:rPr>
            </w:pPr>
            <w:r w:rsidRPr="00EE53AA">
              <w:rPr>
                <w:szCs w:val="22"/>
              </w:rPr>
              <w:t>423431 - CLASTO enoxaparin sodium 60mg/0.6mL solution for injection syringe with safety lock system</w:t>
            </w:r>
          </w:p>
          <w:p w14:paraId="22F5B3C9" w14:textId="02AAA1EB" w:rsidR="00EE53AA" w:rsidRPr="00EE53AA" w:rsidRDefault="00EE53AA" w:rsidP="00EE53AA">
            <w:pPr>
              <w:rPr>
                <w:szCs w:val="22"/>
              </w:rPr>
            </w:pPr>
            <w:r w:rsidRPr="00EE53AA">
              <w:rPr>
                <w:szCs w:val="22"/>
              </w:rPr>
              <w:t>423432 - CLASTO enoxaparin sodium 80mg/0.8mL solution for injection syringe with safety lock system</w:t>
            </w:r>
          </w:p>
          <w:p w14:paraId="46FEE8DB" w14:textId="470D0E2E" w:rsidR="00EE53AA" w:rsidRPr="00EE53AA" w:rsidRDefault="00EE53AA" w:rsidP="00EE53AA">
            <w:pPr>
              <w:rPr>
                <w:szCs w:val="22"/>
              </w:rPr>
            </w:pPr>
            <w:r w:rsidRPr="00EE53AA">
              <w:rPr>
                <w:szCs w:val="22"/>
              </w:rPr>
              <w:t>423433 - CLASTO enoxaparin sodium 100mg/1mL solution for injection syringe with safety lock system</w:t>
            </w:r>
          </w:p>
          <w:p w14:paraId="3C37F44C" w14:textId="3EC18F44" w:rsidR="00EE53AA" w:rsidRPr="00EE53AA" w:rsidRDefault="00EE53AA" w:rsidP="00EE53AA">
            <w:pPr>
              <w:rPr>
                <w:szCs w:val="22"/>
              </w:rPr>
            </w:pPr>
            <w:r w:rsidRPr="00EE53AA">
              <w:rPr>
                <w:szCs w:val="22"/>
              </w:rPr>
              <w:t>423550 - ENOXACOR enoxaparin sodium 20mg/0.2mL solution for injection syringe with safety lock system</w:t>
            </w:r>
          </w:p>
          <w:p w14:paraId="49A3E02D" w14:textId="39860651" w:rsidR="00EE53AA" w:rsidRPr="00EE53AA" w:rsidRDefault="00EE53AA" w:rsidP="00EE53AA">
            <w:pPr>
              <w:rPr>
                <w:szCs w:val="22"/>
              </w:rPr>
            </w:pPr>
            <w:r w:rsidRPr="00EE53AA">
              <w:rPr>
                <w:szCs w:val="22"/>
              </w:rPr>
              <w:t>423551 - ENOXACOR enoxaparin sodium 40mg/0.4mL solution for injection syringe with safety lock system</w:t>
            </w:r>
          </w:p>
          <w:p w14:paraId="2EDBECA6" w14:textId="40A0B305" w:rsidR="00EE53AA" w:rsidRPr="00EE53AA" w:rsidRDefault="00EE53AA" w:rsidP="00EE53AA">
            <w:pPr>
              <w:rPr>
                <w:szCs w:val="22"/>
              </w:rPr>
            </w:pPr>
            <w:r w:rsidRPr="00EE53AA">
              <w:rPr>
                <w:szCs w:val="22"/>
              </w:rPr>
              <w:t>423552 - ENOXACOR enoxaparin sodium 60mg/0.6mL solution for injection syringe with safety lock system</w:t>
            </w:r>
          </w:p>
          <w:p w14:paraId="46126F07" w14:textId="637EFA6F" w:rsidR="00EE53AA" w:rsidRPr="00EE53AA" w:rsidRDefault="00EE53AA" w:rsidP="00EE53AA">
            <w:pPr>
              <w:rPr>
                <w:szCs w:val="22"/>
              </w:rPr>
            </w:pPr>
            <w:r w:rsidRPr="00EE53AA">
              <w:rPr>
                <w:szCs w:val="22"/>
              </w:rPr>
              <w:t>423553 - ENOXACOR enoxaparin sodium 80mg/0.8mL solution for injection syringe with safety lock system</w:t>
            </w:r>
          </w:p>
          <w:p w14:paraId="4C3A2766" w14:textId="3B04D572" w:rsidR="00EE53AA" w:rsidRPr="00EE53AA" w:rsidRDefault="00EE53AA" w:rsidP="00EE53AA">
            <w:pPr>
              <w:rPr>
                <w:szCs w:val="22"/>
              </w:rPr>
            </w:pPr>
            <w:r w:rsidRPr="00EE53AA">
              <w:rPr>
                <w:szCs w:val="22"/>
              </w:rPr>
              <w:t>423554 - ENOXACOR enoxaparin sodium 100mg/1mL solution for injection syringe with safety lock system</w:t>
            </w:r>
          </w:p>
          <w:p w14:paraId="6E06554F" w14:textId="369700A7" w:rsidR="00EE53AA" w:rsidRPr="00EE53AA" w:rsidRDefault="00EE53AA" w:rsidP="00EE53AA">
            <w:pPr>
              <w:rPr>
                <w:szCs w:val="22"/>
              </w:rPr>
            </w:pPr>
            <w:r w:rsidRPr="00EE53AA">
              <w:rPr>
                <w:szCs w:val="22"/>
              </w:rPr>
              <w:t>423555 - ENOXAJECT enoxaparin sodium 20mg/0.2mL solution for injection syringe with safety lock system</w:t>
            </w:r>
          </w:p>
          <w:p w14:paraId="0403AF10" w14:textId="6CFCC08E" w:rsidR="00EE53AA" w:rsidRPr="00EE53AA" w:rsidRDefault="00EE53AA" w:rsidP="00EE53AA">
            <w:pPr>
              <w:rPr>
                <w:szCs w:val="22"/>
              </w:rPr>
            </w:pPr>
            <w:r w:rsidRPr="00EE53AA">
              <w:rPr>
                <w:szCs w:val="22"/>
              </w:rPr>
              <w:t>423556 - ENOXAJECT enoxaparin sodium 40mg/0.4mL solution for injection syringe with safety lock system</w:t>
            </w:r>
          </w:p>
          <w:p w14:paraId="1C5FB9ED" w14:textId="756D8F64" w:rsidR="00EE53AA" w:rsidRPr="00EE53AA" w:rsidRDefault="00EE53AA" w:rsidP="00EE53AA">
            <w:pPr>
              <w:rPr>
                <w:szCs w:val="22"/>
              </w:rPr>
            </w:pPr>
            <w:r w:rsidRPr="00EE53AA">
              <w:rPr>
                <w:szCs w:val="22"/>
              </w:rPr>
              <w:t>423557 - ENOXAJECT enoxaparin sodium 60mg/0.6mL solution for injection syringe with safety lock system</w:t>
            </w:r>
          </w:p>
          <w:p w14:paraId="1F6C8D05" w14:textId="60F5F577" w:rsidR="00EE53AA" w:rsidRPr="00EE53AA" w:rsidRDefault="00EE53AA" w:rsidP="00EE53AA">
            <w:pPr>
              <w:rPr>
                <w:szCs w:val="22"/>
              </w:rPr>
            </w:pPr>
            <w:r w:rsidRPr="00EE53AA">
              <w:rPr>
                <w:szCs w:val="22"/>
              </w:rPr>
              <w:t>423558 - ENOXAJECT enoxaparin sodium 80mg/0.8mL solution for injection syringe with safety lock system</w:t>
            </w:r>
          </w:p>
          <w:p w14:paraId="226ABD14" w14:textId="099CE121" w:rsidR="00EE53AA" w:rsidRPr="00EE53AA" w:rsidRDefault="00EE53AA" w:rsidP="00EE53AA">
            <w:pPr>
              <w:rPr>
                <w:szCs w:val="22"/>
              </w:rPr>
            </w:pPr>
            <w:r w:rsidRPr="00EE53AA">
              <w:rPr>
                <w:szCs w:val="22"/>
              </w:rPr>
              <w:t>423559 - ENOXAJECT enoxaparin sodium 100mg/1mL solution for injection syringe with safety lock system</w:t>
            </w:r>
          </w:p>
          <w:p w14:paraId="73E46DF2" w14:textId="4F827C0B" w:rsidR="00EE53AA" w:rsidRPr="00EE53AA" w:rsidRDefault="00EE53AA" w:rsidP="00EE53AA">
            <w:pPr>
              <w:rPr>
                <w:szCs w:val="22"/>
              </w:rPr>
            </w:pPr>
            <w:r w:rsidRPr="00EE53AA">
              <w:rPr>
                <w:szCs w:val="22"/>
              </w:rPr>
              <w:t>432813 - CLASTO enoxaparin sodium 120mg/0.8mL solution for injection syringe with safety lock system</w:t>
            </w:r>
          </w:p>
          <w:p w14:paraId="1D5ADA46" w14:textId="5F6F69B6" w:rsidR="00EE53AA" w:rsidRPr="00EE53AA" w:rsidRDefault="00EE53AA" w:rsidP="00EE53AA">
            <w:pPr>
              <w:rPr>
                <w:szCs w:val="22"/>
              </w:rPr>
            </w:pPr>
            <w:r w:rsidRPr="00EE53AA">
              <w:rPr>
                <w:szCs w:val="22"/>
              </w:rPr>
              <w:lastRenderedPageBreak/>
              <w:t>432814 - ENOXACOR enoxaparin sodium 120mg/0.8mL solution for injection syringe with safety lock system</w:t>
            </w:r>
          </w:p>
          <w:p w14:paraId="41745E8F" w14:textId="7611FD81" w:rsidR="00EE53AA" w:rsidRPr="00EE53AA" w:rsidRDefault="00EE53AA" w:rsidP="00EE53AA">
            <w:pPr>
              <w:rPr>
                <w:szCs w:val="22"/>
              </w:rPr>
            </w:pPr>
            <w:r w:rsidRPr="00EE53AA">
              <w:rPr>
                <w:szCs w:val="22"/>
              </w:rPr>
              <w:t>432815 - ENOXAJECT enoxaparin sodium 120mg/0.8mL solution for injection syringe with safety lock system</w:t>
            </w:r>
          </w:p>
          <w:p w14:paraId="285C7775" w14:textId="01E77D68" w:rsidR="00EE53AA" w:rsidRPr="00EE53AA" w:rsidRDefault="00EE53AA" w:rsidP="00EE53AA">
            <w:pPr>
              <w:rPr>
                <w:szCs w:val="22"/>
              </w:rPr>
            </w:pPr>
            <w:r w:rsidRPr="00EE53AA">
              <w:rPr>
                <w:szCs w:val="22"/>
              </w:rPr>
              <w:t>432816 - CLASTO enoxaparin sodium 150mg/1.0mL solution for injection syringe with safety lock system</w:t>
            </w:r>
          </w:p>
          <w:p w14:paraId="7E5F7F5E" w14:textId="4F82880E" w:rsidR="00EE53AA" w:rsidRPr="00EE53AA" w:rsidRDefault="00EE53AA" w:rsidP="00EE53AA">
            <w:pPr>
              <w:rPr>
                <w:szCs w:val="22"/>
              </w:rPr>
            </w:pPr>
            <w:r w:rsidRPr="00EE53AA">
              <w:rPr>
                <w:szCs w:val="22"/>
              </w:rPr>
              <w:t>432817 - ENOXACOR enoxaparin sodium 150mg/1.0mL solution for injection syringe with safety lock system</w:t>
            </w:r>
          </w:p>
          <w:p w14:paraId="30A63E5F" w14:textId="6EB66201" w:rsidR="00EE53AA" w:rsidRPr="00EE53AA" w:rsidRDefault="00EE53AA" w:rsidP="00EE53AA">
            <w:pPr>
              <w:rPr>
                <w:szCs w:val="22"/>
              </w:rPr>
            </w:pPr>
            <w:r w:rsidRPr="00EE53AA">
              <w:rPr>
                <w:szCs w:val="22"/>
              </w:rPr>
              <w:t>432818 - ENOXAJECT enoxaparin sodium 150mg/1.0mL solution for injection syringe with safety lock system</w:t>
            </w:r>
          </w:p>
          <w:p w14:paraId="74B39AD9" w14:textId="11ECA584" w:rsidR="00EE53AA" w:rsidRPr="00EE53AA" w:rsidRDefault="00EE53AA" w:rsidP="00EE53AA">
            <w:pPr>
              <w:rPr>
                <w:szCs w:val="22"/>
              </w:rPr>
            </w:pPr>
            <w:r w:rsidRPr="00EE53AA">
              <w:rPr>
                <w:szCs w:val="22"/>
              </w:rPr>
              <w:t>476368 - CLASTO enoxaparin sodium 20mg/0.2mL solution for injection syringe without safety lock system</w:t>
            </w:r>
          </w:p>
          <w:p w14:paraId="29487CF5" w14:textId="2BD8E8FD" w:rsidR="00EE53AA" w:rsidRPr="00EE53AA" w:rsidRDefault="00EE53AA" w:rsidP="00EE53AA">
            <w:pPr>
              <w:rPr>
                <w:szCs w:val="22"/>
              </w:rPr>
            </w:pPr>
            <w:r w:rsidRPr="00EE53AA">
              <w:rPr>
                <w:szCs w:val="22"/>
              </w:rPr>
              <w:t>476369 - CLASTO enoxaparin sodium 40mg/0.4mL solution for injection syringe without safety lock system</w:t>
            </w:r>
          </w:p>
          <w:p w14:paraId="5CEE7BDF" w14:textId="2AFADAC4" w:rsidR="00EE53AA" w:rsidRPr="00EE53AA" w:rsidRDefault="00EE53AA" w:rsidP="00EE53AA">
            <w:pPr>
              <w:rPr>
                <w:szCs w:val="22"/>
              </w:rPr>
            </w:pPr>
            <w:r w:rsidRPr="00EE53AA">
              <w:rPr>
                <w:szCs w:val="22"/>
              </w:rPr>
              <w:t>476370 - CLASTO enoxaparin sodium 60mg/0.6mL solution for injection syringe without safety lock system</w:t>
            </w:r>
          </w:p>
          <w:p w14:paraId="4413150B" w14:textId="51026D5F" w:rsidR="00EE53AA" w:rsidRPr="00EE53AA" w:rsidRDefault="00EE53AA" w:rsidP="00EE53AA">
            <w:pPr>
              <w:rPr>
                <w:szCs w:val="22"/>
              </w:rPr>
            </w:pPr>
            <w:r w:rsidRPr="00EE53AA">
              <w:rPr>
                <w:szCs w:val="22"/>
              </w:rPr>
              <w:t>476371 - CLASTO enoxaparin sodium 80mg/0.8mL solution for injection syringe without safety lock system</w:t>
            </w:r>
          </w:p>
          <w:p w14:paraId="2B1B2A94" w14:textId="340E44EB" w:rsidR="00EE53AA" w:rsidRPr="00EE53AA" w:rsidRDefault="00EE53AA" w:rsidP="00EE53AA">
            <w:pPr>
              <w:rPr>
                <w:szCs w:val="22"/>
              </w:rPr>
            </w:pPr>
            <w:r w:rsidRPr="00EE53AA">
              <w:rPr>
                <w:szCs w:val="22"/>
              </w:rPr>
              <w:t>476372 - CLASTO enoxaparin sodium 100mg/1mL solution for injection syringe without safety lock system</w:t>
            </w:r>
          </w:p>
          <w:p w14:paraId="4C3D329A" w14:textId="3DC3E4F8" w:rsidR="00EE53AA" w:rsidRPr="00EE53AA" w:rsidRDefault="00EE53AA" w:rsidP="00EE53AA">
            <w:pPr>
              <w:rPr>
                <w:szCs w:val="22"/>
              </w:rPr>
            </w:pPr>
            <w:r w:rsidRPr="00EE53AA">
              <w:rPr>
                <w:szCs w:val="22"/>
              </w:rPr>
              <w:t>476379 - CLASTO enoxaparin sodium 120mg/0.8mL solution for injection syringe without safety lock system</w:t>
            </w:r>
          </w:p>
          <w:p w14:paraId="62CB18AF" w14:textId="1FB3E2BF" w:rsidR="00EE53AA" w:rsidRPr="00EE53AA" w:rsidRDefault="00EE53AA" w:rsidP="00EE53AA">
            <w:pPr>
              <w:rPr>
                <w:szCs w:val="22"/>
              </w:rPr>
            </w:pPr>
            <w:r w:rsidRPr="00EE53AA">
              <w:rPr>
                <w:szCs w:val="22"/>
              </w:rPr>
              <w:t>476380 - CLASTO enoxaparin sodium 150mg/1.0mL solution for injection syringe without safety lock system</w:t>
            </w:r>
          </w:p>
          <w:p w14:paraId="247ECA24" w14:textId="6B05F0DE" w:rsidR="00EE53AA" w:rsidRPr="00EE53AA" w:rsidRDefault="00EE53AA" w:rsidP="00EE53AA">
            <w:pPr>
              <w:rPr>
                <w:szCs w:val="22"/>
              </w:rPr>
            </w:pPr>
            <w:r w:rsidRPr="00EE53AA">
              <w:rPr>
                <w:szCs w:val="22"/>
              </w:rPr>
              <w:t>476381 - ENOXACOR enoxaparin sodium 20mg/0.2mL solution for injection syringe without safety lock system</w:t>
            </w:r>
          </w:p>
          <w:p w14:paraId="2F1D9561" w14:textId="53551C49" w:rsidR="00EE53AA" w:rsidRPr="00EE53AA" w:rsidRDefault="00EE53AA" w:rsidP="00EE53AA">
            <w:pPr>
              <w:rPr>
                <w:szCs w:val="22"/>
              </w:rPr>
            </w:pPr>
            <w:r w:rsidRPr="00EE53AA">
              <w:rPr>
                <w:szCs w:val="22"/>
              </w:rPr>
              <w:t>476382 - ENOXACOR enoxaparin sodium 40mg/0.4mL solution for injection syringe without safety lock system</w:t>
            </w:r>
          </w:p>
          <w:p w14:paraId="1CF87CF6" w14:textId="23F7850D" w:rsidR="00EE53AA" w:rsidRPr="00EE53AA" w:rsidRDefault="00EE53AA" w:rsidP="00EE53AA">
            <w:pPr>
              <w:rPr>
                <w:szCs w:val="22"/>
              </w:rPr>
            </w:pPr>
            <w:r w:rsidRPr="00EE53AA">
              <w:rPr>
                <w:szCs w:val="22"/>
              </w:rPr>
              <w:t>476383 - ENOXACOR enoxaparin sodium 60mg/0.6mL solution for injection syringe without safety lock system</w:t>
            </w:r>
          </w:p>
          <w:p w14:paraId="03DEB13A" w14:textId="538491D4" w:rsidR="00EE53AA" w:rsidRPr="00EE53AA" w:rsidRDefault="00EE53AA" w:rsidP="00EE53AA">
            <w:pPr>
              <w:rPr>
                <w:szCs w:val="22"/>
              </w:rPr>
            </w:pPr>
            <w:r w:rsidRPr="00EE53AA">
              <w:rPr>
                <w:szCs w:val="22"/>
              </w:rPr>
              <w:t>476384 - ENOXACOR enoxaparin sodium 80mg/0.8mL solution for injection syringe without safety lock system</w:t>
            </w:r>
          </w:p>
          <w:p w14:paraId="1141B8F8" w14:textId="3BF1171C" w:rsidR="00EE53AA" w:rsidRPr="00EE53AA" w:rsidRDefault="00EE53AA" w:rsidP="00EE53AA">
            <w:pPr>
              <w:rPr>
                <w:szCs w:val="22"/>
              </w:rPr>
            </w:pPr>
            <w:r w:rsidRPr="00EE53AA">
              <w:rPr>
                <w:szCs w:val="22"/>
              </w:rPr>
              <w:t>476385 - ENOXACOR enoxaparin sodium 100mg/1mL solution for injection syringe without safety lock system</w:t>
            </w:r>
          </w:p>
          <w:p w14:paraId="2161ACBB" w14:textId="2DDCC051" w:rsidR="00EE53AA" w:rsidRPr="00EE53AA" w:rsidRDefault="00EE53AA" w:rsidP="00EE53AA">
            <w:pPr>
              <w:rPr>
                <w:szCs w:val="22"/>
              </w:rPr>
            </w:pPr>
            <w:r w:rsidRPr="00EE53AA">
              <w:rPr>
                <w:szCs w:val="22"/>
              </w:rPr>
              <w:t>476386 - ENOXACOR enoxaparin sodium 120mg/0.8mL solution for injection syringe without safety lock system</w:t>
            </w:r>
          </w:p>
          <w:p w14:paraId="3B2C42F9" w14:textId="634A7CB4" w:rsidR="00EE53AA" w:rsidRPr="00EE53AA" w:rsidRDefault="00EE53AA" w:rsidP="00EE53AA">
            <w:pPr>
              <w:rPr>
                <w:szCs w:val="22"/>
              </w:rPr>
            </w:pPr>
            <w:r w:rsidRPr="00EE53AA">
              <w:rPr>
                <w:szCs w:val="22"/>
              </w:rPr>
              <w:t>476387 - ENOXACOR enoxaparin sodium 150mg/1.0mL solution for injection syringe without safety lock system</w:t>
            </w:r>
          </w:p>
          <w:p w14:paraId="2C121769" w14:textId="5B1A12C2" w:rsidR="00EE53AA" w:rsidRPr="00EE53AA" w:rsidRDefault="00EE53AA" w:rsidP="00EE53AA">
            <w:pPr>
              <w:rPr>
                <w:szCs w:val="22"/>
              </w:rPr>
            </w:pPr>
            <w:r w:rsidRPr="00EE53AA">
              <w:rPr>
                <w:szCs w:val="22"/>
              </w:rPr>
              <w:t>476388 - ENOXAJECT enoxaparin sodium 20mg/0.2mL solution for injection syringe without safety lock system</w:t>
            </w:r>
          </w:p>
          <w:p w14:paraId="4D18DF86" w14:textId="66BC177E" w:rsidR="00EE53AA" w:rsidRPr="00EE53AA" w:rsidRDefault="00EE53AA" w:rsidP="00EE53AA">
            <w:pPr>
              <w:rPr>
                <w:szCs w:val="22"/>
              </w:rPr>
            </w:pPr>
            <w:r w:rsidRPr="00EE53AA">
              <w:rPr>
                <w:szCs w:val="22"/>
              </w:rPr>
              <w:t>476395 - ENOXAJECT enoxaparin sodium 40mg/0.4mL solution for injection syringe without safety lock system</w:t>
            </w:r>
          </w:p>
          <w:p w14:paraId="4E44035A" w14:textId="5EC52C49" w:rsidR="00EE53AA" w:rsidRPr="00EE53AA" w:rsidRDefault="00EE53AA" w:rsidP="00EE53AA">
            <w:pPr>
              <w:rPr>
                <w:szCs w:val="22"/>
              </w:rPr>
            </w:pPr>
            <w:r w:rsidRPr="00EE53AA">
              <w:rPr>
                <w:szCs w:val="22"/>
              </w:rPr>
              <w:lastRenderedPageBreak/>
              <w:t>476396 - ENOXAJECT enoxaparin sodium 60mg/0.6mL solution for injection syringe without safety lock system</w:t>
            </w:r>
          </w:p>
          <w:p w14:paraId="22416E36" w14:textId="4D5C172C" w:rsidR="00EE53AA" w:rsidRPr="00EE53AA" w:rsidRDefault="00EE53AA" w:rsidP="00EE53AA">
            <w:pPr>
              <w:rPr>
                <w:szCs w:val="22"/>
              </w:rPr>
            </w:pPr>
            <w:r w:rsidRPr="00EE53AA">
              <w:rPr>
                <w:szCs w:val="22"/>
              </w:rPr>
              <w:t>476397 - ENOXAJECT enoxaparin sodium 80mg/0.8mL solution for injection syringe without safety lock system</w:t>
            </w:r>
          </w:p>
          <w:p w14:paraId="432DD147" w14:textId="3A4DE9AA" w:rsidR="00EE53AA" w:rsidRPr="00EE53AA" w:rsidRDefault="00EE53AA" w:rsidP="00EE53AA">
            <w:pPr>
              <w:rPr>
                <w:szCs w:val="22"/>
              </w:rPr>
            </w:pPr>
            <w:r w:rsidRPr="00EE53AA">
              <w:rPr>
                <w:szCs w:val="22"/>
              </w:rPr>
              <w:t>476398 - ENOXAJECT enoxaparin sodium 100mg/1mL solution for injection syringe without safety lock system</w:t>
            </w:r>
          </w:p>
          <w:p w14:paraId="4FC26B75" w14:textId="4CB80A10" w:rsidR="00EE53AA" w:rsidRPr="00EE53AA" w:rsidRDefault="00EE53AA" w:rsidP="00EE53AA">
            <w:pPr>
              <w:rPr>
                <w:szCs w:val="22"/>
              </w:rPr>
            </w:pPr>
            <w:r w:rsidRPr="00EE53AA">
              <w:rPr>
                <w:szCs w:val="22"/>
              </w:rPr>
              <w:t>476399 - ENOXAJECT enoxaparin sodium 120mg/0.8mL solution for injection syringe without safety lock system</w:t>
            </w:r>
          </w:p>
          <w:p w14:paraId="6459FABE" w14:textId="45199345" w:rsidR="00B44B92" w:rsidRPr="00BD5DBD" w:rsidRDefault="00EE53AA" w:rsidP="00EE53AA">
            <w:pPr>
              <w:rPr>
                <w:szCs w:val="22"/>
              </w:rPr>
            </w:pPr>
            <w:r w:rsidRPr="00EE53AA">
              <w:rPr>
                <w:szCs w:val="22"/>
              </w:rPr>
              <w:t>476400 - ENOXAJECT enoxaparin sodium 150mg/1.0mL solution for injection syringe without safety lock system</w:t>
            </w:r>
            <w:r w:rsidR="000152A0">
              <w:rPr>
                <w:szCs w:val="22"/>
              </w:rPr>
              <w:t xml:space="preserve">. </w:t>
            </w:r>
          </w:p>
        </w:tc>
      </w:tr>
      <w:tr w:rsidR="005D5F54" w:rsidRPr="00BD5DBD" w14:paraId="7618393F" w14:textId="77777777" w:rsidTr="00F865A7">
        <w:tc>
          <w:tcPr>
            <w:tcW w:w="1577" w:type="pct"/>
          </w:tcPr>
          <w:p w14:paraId="02260DE2" w14:textId="692C0A49" w:rsidR="005D5F54" w:rsidRPr="00BD5DBD" w:rsidRDefault="005D5F54" w:rsidP="005D5F54">
            <w:pPr>
              <w:rPr>
                <w:i/>
                <w:szCs w:val="22"/>
              </w:rPr>
            </w:pPr>
            <w:r w:rsidRPr="00BD5DBD">
              <w:rPr>
                <w:rFonts w:ascii="Wingdings 3" w:hAnsi="Wingdings 3"/>
                <w:szCs w:val="22"/>
                <w:lang w:eastAsia="en-AU"/>
              </w:rPr>
              <w:lastRenderedPageBreak/>
              <w:t></w:t>
            </w:r>
            <w:hyperlink r:id="rId15" w:history="1">
              <w:r w:rsidRPr="00BD5DBD">
                <w:rPr>
                  <w:rStyle w:val="Hyperlink"/>
                  <w:i/>
                  <w:szCs w:val="22"/>
                </w:rPr>
                <w:t>Black Triangle Scheme</w:t>
              </w:r>
            </w:hyperlink>
          </w:p>
        </w:tc>
        <w:tc>
          <w:tcPr>
            <w:tcW w:w="3423" w:type="pct"/>
          </w:tcPr>
          <w:p w14:paraId="6FF3C6A2" w14:textId="2E043468" w:rsidR="005D5F54" w:rsidRPr="00BD5DBD" w:rsidRDefault="007F6C22" w:rsidP="005D5F54">
            <w:pPr>
              <w:rPr>
                <w:szCs w:val="22"/>
              </w:rPr>
            </w:pPr>
            <w:r>
              <w:rPr>
                <w:szCs w:val="22"/>
              </w:rPr>
              <w:t>No</w:t>
            </w:r>
          </w:p>
        </w:tc>
      </w:tr>
      <w:tr w:rsidR="005D5F54" w:rsidRPr="00BD5DBD" w14:paraId="179E09FE" w14:textId="77777777" w:rsidTr="00F865A7">
        <w:tc>
          <w:tcPr>
            <w:tcW w:w="1577" w:type="pct"/>
          </w:tcPr>
          <w:p w14:paraId="1A592498" w14:textId="1DF2A609" w:rsidR="005D5F54" w:rsidRPr="00BD5DBD" w:rsidRDefault="005E050B" w:rsidP="005D5F54">
            <w:pPr>
              <w:rPr>
                <w:i/>
                <w:szCs w:val="22"/>
              </w:rPr>
            </w:pPr>
            <w:r>
              <w:rPr>
                <w:i/>
                <w:szCs w:val="22"/>
              </w:rPr>
              <w:t>Sponsor</w:t>
            </w:r>
            <w:r w:rsidR="005D5F54" w:rsidRPr="00BD5DBD">
              <w:rPr>
                <w:i/>
                <w:szCs w:val="22"/>
              </w:rPr>
              <w:t>’s name and address:</w:t>
            </w:r>
          </w:p>
        </w:tc>
        <w:tc>
          <w:tcPr>
            <w:tcW w:w="3423" w:type="pct"/>
          </w:tcPr>
          <w:p w14:paraId="68DD94B0" w14:textId="070B2483" w:rsidR="005D5F54" w:rsidRPr="00BD5DBD" w:rsidRDefault="003F1E4F" w:rsidP="003F1E4F">
            <w:pPr>
              <w:rPr>
                <w:szCs w:val="22"/>
              </w:rPr>
            </w:pPr>
            <w:proofErr w:type="spellStart"/>
            <w:r w:rsidRPr="003F1E4F">
              <w:rPr>
                <w:szCs w:val="22"/>
              </w:rPr>
              <w:t>Pharmacor</w:t>
            </w:r>
            <w:proofErr w:type="spellEnd"/>
            <w:r w:rsidRPr="003F1E4F">
              <w:rPr>
                <w:szCs w:val="22"/>
              </w:rPr>
              <w:t xml:space="preserve"> </w:t>
            </w:r>
            <w:r>
              <w:rPr>
                <w:szCs w:val="22"/>
              </w:rPr>
              <w:t xml:space="preserve">Pty Ltd, </w:t>
            </w:r>
            <w:r w:rsidRPr="003F1E4F">
              <w:rPr>
                <w:szCs w:val="22"/>
              </w:rPr>
              <w:t>Suite 803, Level 8, Tower A, The Zenith,</w:t>
            </w:r>
            <w:r>
              <w:rPr>
                <w:szCs w:val="22"/>
              </w:rPr>
              <w:t xml:space="preserve"> </w:t>
            </w:r>
            <w:r w:rsidRPr="003F1E4F">
              <w:rPr>
                <w:szCs w:val="22"/>
              </w:rPr>
              <w:t>821 Pacific Highway, Chatswood NSW 2067</w:t>
            </w:r>
          </w:p>
        </w:tc>
      </w:tr>
      <w:tr w:rsidR="005D5F54" w:rsidRPr="00BD5DBD" w14:paraId="5322B989" w14:textId="77777777" w:rsidTr="00F865A7">
        <w:tc>
          <w:tcPr>
            <w:tcW w:w="1577" w:type="pct"/>
          </w:tcPr>
          <w:p w14:paraId="24F217E3" w14:textId="1A451E5B" w:rsidR="005D5F54" w:rsidRPr="00BD5DBD" w:rsidRDefault="005D5F54" w:rsidP="005D5F54">
            <w:pPr>
              <w:rPr>
                <w:i/>
                <w:szCs w:val="22"/>
              </w:rPr>
            </w:pPr>
            <w:r w:rsidRPr="00BD5DBD">
              <w:rPr>
                <w:i/>
                <w:szCs w:val="22"/>
              </w:rPr>
              <w:t>Dose form:</w:t>
            </w:r>
          </w:p>
        </w:tc>
        <w:tc>
          <w:tcPr>
            <w:tcW w:w="3423" w:type="pct"/>
          </w:tcPr>
          <w:p w14:paraId="768B254C" w14:textId="69BFF72C" w:rsidR="005D5F54" w:rsidRPr="00BD5DBD" w:rsidRDefault="009F7143" w:rsidP="005D5F54">
            <w:pPr>
              <w:rPr>
                <w:szCs w:val="22"/>
              </w:rPr>
            </w:pPr>
            <w:r>
              <w:rPr>
                <w:szCs w:val="22"/>
              </w:rPr>
              <w:t>S</w:t>
            </w:r>
            <w:r w:rsidR="00706D1E" w:rsidRPr="00706D1E">
              <w:rPr>
                <w:szCs w:val="22"/>
              </w:rPr>
              <w:t>olution</w:t>
            </w:r>
          </w:p>
        </w:tc>
      </w:tr>
      <w:tr w:rsidR="005D5F54" w:rsidRPr="00BD5DBD" w14:paraId="19A2544A" w14:textId="77777777" w:rsidTr="00F865A7">
        <w:tc>
          <w:tcPr>
            <w:tcW w:w="1577" w:type="pct"/>
          </w:tcPr>
          <w:p w14:paraId="0E6C5C0E" w14:textId="4830998E" w:rsidR="007F6C22" w:rsidRPr="007F6C22" w:rsidRDefault="00D70F8C" w:rsidP="00D70F8C">
            <w:pPr>
              <w:rPr>
                <w:szCs w:val="22"/>
              </w:rPr>
            </w:pPr>
            <w:r w:rsidRPr="00BD5DBD">
              <w:rPr>
                <w:i/>
                <w:szCs w:val="22"/>
              </w:rPr>
              <w:t>Approved therapeutic use for the current submission:</w:t>
            </w:r>
          </w:p>
        </w:tc>
        <w:tc>
          <w:tcPr>
            <w:tcW w:w="3423" w:type="pct"/>
          </w:tcPr>
          <w:p w14:paraId="4A34140A" w14:textId="77777777" w:rsidR="00D70F8C" w:rsidRPr="00456FE9" w:rsidRDefault="00D70F8C" w:rsidP="00D70F8C">
            <w:pPr>
              <w:rPr>
                <w:i/>
                <w:iCs/>
              </w:rPr>
            </w:pPr>
            <w:r w:rsidRPr="00456FE9">
              <w:rPr>
                <w:i/>
                <w:iCs/>
              </w:rPr>
              <w:t>Prevention of thrombo-embolic disorders of venous origin in patients undergoing orthopaedic and general surgery.</w:t>
            </w:r>
          </w:p>
          <w:p w14:paraId="4AF196BA" w14:textId="77777777" w:rsidR="00D70F8C" w:rsidRPr="00456FE9" w:rsidRDefault="00D70F8C" w:rsidP="00D70F8C">
            <w:pPr>
              <w:rPr>
                <w:i/>
                <w:iCs/>
              </w:rPr>
            </w:pPr>
            <w:r w:rsidRPr="00456FE9">
              <w:rPr>
                <w:i/>
                <w:iCs/>
              </w:rPr>
              <w:t>Prophylaxis of venous thromboembolism in medical patients bedridden due to acute illness.</w:t>
            </w:r>
          </w:p>
          <w:p w14:paraId="31304845" w14:textId="77777777" w:rsidR="00D70F8C" w:rsidRPr="00456FE9" w:rsidRDefault="00D70F8C" w:rsidP="00D70F8C">
            <w:pPr>
              <w:rPr>
                <w:i/>
                <w:iCs/>
              </w:rPr>
            </w:pPr>
            <w:r w:rsidRPr="00456FE9">
              <w:rPr>
                <w:i/>
                <w:iCs/>
              </w:rPr>
              <w:t>Prevention of thrombosis in extra-corporeal circulation during haemodialysis.</w:t>
            </w:r>
          </w:p>
          <w:p w14:paraId="24514BB8" w14:textId="77777777" w:rsidR="00D70F8C" w:rsidRPr="00456FE9" w:rsidRDefault="00D70F8C" w:rsidP="00D70F8C">
            <w:pPr>
              <w:rPr>
                <w:i/>
                <w:iCs/>
              </w:rPr>
            </w:pPr>
            <w:r w:rsidRPr="00456FE9">
              <w:rPr>
                <w:i/>
                <w:iCs/>
              </w:rPr>
              <w:t>Treatment of established deep vein thrombosis.</w:t>
            </w:r>
          </w:p>
          <w:p w14:paraId="06E870DD" w14:textId="77777777" w:rsidR="005D5F54" w:rsidRDefault="00D70F8C" w:rsidP="00D70F8C">
            <w:pPr>
              <w:rPr>
                <w:i/>
                <w:iCs/>
              </w:rPr>
            </w:pPr>
            <w:r w:rsidRPr="00456FE9">
              <w:rPr>
                <w:i/>
                <w:iCs/>
              </w:rPr>
              <w:t>Treatment of unstable angina and non-Q-wave myocardial infarction, administered concurrently with aspirin.</w:t>
            </w:r>
          </w:p>
          <w:p w14:paraId="6E143E2E" w14:textId="1E3E8AFB" w:rsidR="00D70F8C" w:rsidRPr="00456FE9" w:rsidRDefault="00D70F8C" w:rsidP="00D70F8C">
            <w:pPr>
              <w:rPr>
                <w:i/>
                <w:iCs/>
              </w:rPr>
            </w:pPr>
            <w:r w:rsidRPr="00456FE9">
              <w:rPr>
                <w:i/>
                <w:iCs/>
              </w:rPr>
              <w:t>Treatment of acute ST-segment Elevation Myocardial Infarction (STEMI) as an adjunctive to thrombolytic treatment, including patients to be managed medically or with subsequent Percutaneous Coronary Intervention (PCI).</w:t>
            </w:r>
          </w:p>
        </w:tc>
      </w:tr>
      <w:tr w:rsidR="005D5F54" w:rsidRPr="00BD5DBD" w14:paraId="5AFDEED3" w14:textId="77777777" w:rsidTr="00F865A7">
        <w:tc>
          <w:tcPr>
            <w:tcW w:w="1577" w:type="pct"/>
          </w:tcPr>
          <w:p w14:paraId="03884BD1" w14:textId="1DE8660F" w:rsidR="005D5F54" w:rsidRPr="00BD5DBD" w:rsidRDefault="005D5F54" w:rsidP="005D5F54">
            <w:pPr>
              <w:rPr>
                <w:i/>
                <w:szCs w:val="22"/>
              </w:rPr>
            </w:pPr>
            <w:r w:rsidRPr="00BD5DBD">
              <w:rPr>
                <w:i/>
                <w:szCs w:val="22"/>
              </w:rPr>
              <w:t>Route of administration:</w:t>
            </w:r>
          </w:p>
        </w:tc>
        <w:tc>
          <w:tcPr>
            <w:tcW w:w="3423" w:type="pct"/>
          </w:tcPr>
          <w:p w14:paraId="1ED1357E" w14:textId="5DD62392" w:rsidR="005D5F54" w:rsidRPr="00BD5DBD" w:rsidRDefault="004E2FD1" w:rsidP="005D5F54">
            <w:pPr>
              <w:rPr>
                <w:szCs w:val="22"/>
              </w:rPr>
            </w:pPr>
            <w:r w:rsidRPr="004E2FD1">
              <w:rPr>
                <w:szCs w:val="22"/>
              </w:rPr>
              <w:t>Subcutaneous</w:t>
            </w:r>
            <w:r>
              <w:rPr>
                <w:szCs w:val="22"/>
              </w:rPr>
              <w:t xml:space="preserve">, </w:t>
            </w:r>
            <w:r w:rsidR="006548AD" w:rsidRPr="006548AD">
              <w:rPr>
                <w:szCs w:val="22"/>
              </w:rPr>
              <w:t>intravenous</w:t>
            </w:r>
          </w:p>
        </w:tc>
      </w:tr>
      <w:tr w:rsidR="005D5F54" w:rsidRPr="00BD5DBD" w14:paraId="70D7E9FA" w14:textId="77777777" w:rsidTr="00F865A7">
        <w:tc>
          <w:tcPr>
            <w:tcW w:w="1577" w:type="pct"/>
          </w:tcPr>
          <w:p w14:paraId="5ABFFC80" w14:textId="77777777" w:rsidR="005D5F54" w:rsidRPr="00BD5DBD" w:rsidRDefault="005D5F54" w:rsidP="005D5F54">
            <w:pPr>
              <w:rPr>
                <w:i/>
                <w:szCs w:val="22"/>
              </w:rPr>
            </w:pPr>
            <w:r w:rsidRPr="00BD5DBD">
              <w:rPr>
                <w:i/>
                <w:szCs w:val="22"/>
              </w:rPr>
              <w:t>Dosage:</w:t>
            </w:r>
          </w:p>
        </w:tc>
        <w:tc>
          <w:tcPr>
            <w:tcW w:w="3423" w:type="pct"/>
          </w:tcPr>
          <w:p w14:paraId="3D0B2D5C" w14:textId="5749658D" w:rsidR="005D5F54" w:rsidRPr="00BD5DBD" w:rsidRDefault="005D5F54" w:rsidP="005D5F54">
            <w:pPr>
              <w:rPr>
                <w:szCs w:val="22"/>
              </w:rPr>
            </w:pPr>
            <w:r w:rsidRPr="00BD5DBD">
              <w:rPr>
                <w:szCs w:val="22"/>
              </w:rPr>
              <w:t>For further information regarding dosage</w:t>
            </w:r>
            <w:r>
              <w:rPr>
                <w:szCs w:val="22"/>
              </w:rPr>
              <w:t xml:space="preserve">, </w:t>
            </w:r>
            <w:r w:rsidRPr="00BD5DBD">
              <w:rPr>
                <w:szCs w:val="22"/>
              </w:rPr>
              <w:t xml:space="preserve">refer to the </w:t>
            </w:r>
            <w:hyperlink r:id="rId16" w:history="1">
              <w:r w:rsidRPr="00543610">
                <w:rPr>
                  <w:rStyle w:val="Hyperlink"/>
                  <w:szCs w:val="22"/>
                </w:rPr>
                <w:t>Product Information</w:t>
              </w:r>
            </w:hyperlink>
            <w:r w:rsidRPr="00BD5DBD">
              <w:rPr>
                <w:szCs w:val="22"/>
              </w:rPr>
              <w:t>.</w:t>
            </w:r>
          </w:p>
        </w:tc>
      </w:tr>
      <w:tr w:rsidR="005D5F54" w:rsidRPr="00BD5DBD" w14:paraId="7B7BB6AE" w14:textId="77777777" w:rsidTr="00F865A7">
        <w:tc>
          <w:tcPr>
            <w:tcW w:w="1577" w:type="pct"/>
          </w:tcPr>
          <w:p w14:paraId="3A76AFF7" w14:textId="7C436DD9" w:rsidR="005D5F54" w:rsidRPr="00F8083B" w:rsidRDefault="005D5F54" w:rsidP="005D5F54">
            <w:r w:rsidRPr="00BD5DBD">
              <w:rPr>
                <w:i/>
                <w:szCs w:val="22"/>
              </w:rPr>
              <w:t>Pregnancy category:</w:t>
            </w:r>
          </w:p>
        </w:tc>
        <w:tc>
          <w:tcPr>
            <w:tcW w:w="3423" w:type="pct"/>
          </w:tcPr>
          <w:p w14:paraId="6FF40017" w14:textId="77777777" w:rsidR="005D5F54" w:rsidRPr="00995FD3" w:rsidRDefault="005D5F54" w:rsidP="005D5F54">
            <w:r w:rsidRPr="00995FD3">
              <w:t>Category C</w:t>
            </w:r>
          </w:p>
          <w:p w14:paraId="7EB45E53" w14:textId="77777777" w:rsidR="005D5F54" w:rsidRPr="00995FD3" w:rsidRDefault="005D5F54" w:rsidP="005D5F54">
            <w:r w:rsidRPr="00995FD3">
              <w:t xml:space="preserve">Drugs which, owing to their pharmacological effects, have caused or may be suspected of causing, harmful effects on the human </w:t>
            </w:r>
            <w:proofErr w:type="spellStart"/>
            <w:r w:rsidRPr="00995FD3">
              <w:t>fetus</w:t>
            </w:r>
            <w:proofErr w:type="spellEnd"/>
            <w:r w:rsidRPr="00995FD3">
              <w:t xml:space="preserve"> or neonate without causing malformations. These effects may be reversible.</w:t>
            </w:r>
          </w:p>
          <w:p w14:paraId="76497789" w14:textId="3F5CD71B" w:rsidR="005D5F54" w:rsidRPr="00BD5DBD" w:rsidRDefault="005D5F54" w:rsidP="005D5F54">
            <w:pPr>
              <w:rPr>
                <w:szCs w:val="22"/>
              </w:rPr>
            </w:pPr>
            <w:r w:rsidRPr="00BD5DBD">
              <w:rPr>
                <w:szCs w:val="22"/>
              </w:rPr>
              <w:t xml:space="preserve">The use of any medicine during pregnancy requires careful consideration of both risks and benefits by the treating health professional. </w:t>
            </w:r>
            <w:r>
              <w:rPr>
                <w:szCs w:val="22"/>
              </w:rPr>
              <w:t xml:space="preserve">The </w:t>
            </w:r>
            <w:hyperlink r:id="rId17" w:history="1">
              <w:r w:rsidRPr="00065FDF">
                <w:rPr>
                  <w:rStyle w:val="Hyperlink"/>
                  <w:szCs w:val="22"/>
                </w:rPr>
                <w:t>pregnancy database</w:t>
              </w:r>
            </w:hyperlink>
            <w:r>
              <w:t xml:space="preserve"> </w:t>
            </w:r>
            <w:r w:rsidRPr="00BD5DBD">
              <w:rPr>
                <w:szCs w:val="22"/>
              </w:rPr>
              <w:t xml:space="preserve">must not be used as the sole basis of decision making in the use of medicines during pregnancy. The TGA does not provide advice on the use of medicines in pregnancy for specific cases. More information is available from </w:t>
            </w:r>
            <w:hyperlink r:id="rId18" w:history="1">
              <w:r w:rsidRPr="00C059D0">
                <w:rPr>
                  <w:rStyle w:val="Hyperlink"/>
                  <w:szCs w:val="22"/>
                </w:rPr>
                <w:t>obstetric drug information services</w:t>
              </w:r>
            </w:hyperlink>
            <w:r w:rsidRPr="00BD5DBD">
              <w:rPr>
                <w:szCs w:val="22"/>
              </w:rPr>
              <w:t xml:space="preserve"> in your </w:t>
            </w:r>
            <w:r>
              <w:rPr>
                <w:szCs w:val="22"/>
              </w:rPr>
              <w:t>s</w:t>
            </w:r>
            <w:r w:rsidRPr="00BD5DBD">
              <w:rPr>
                <w:szCs w:val="22"/>
              </w:rPr>
              <w:t xml:space="preserve">tate or </w:t>
            </w:r>
            <w:r>
              <w:rPr>
                <w:szCs w:val="22"/>
              </w:rPr>
              <w:t>t</w:t>
            </w:r>
            <w:r w:rsidRPr="00BD5DBD">
              <w:rPr>
                <w:szCs w:val="22"/>
              </w:rPr>
              <w:t>erritory.</w:t>
            </w:r>
          </w:p>
        </w:tc>
      </w:tr>
    </w:tbl>
    <w:p w14:paraId="51F2479F" w14:textId="4B44F17A" w:rsidR="00324B33" w:rsidRDefault="00574BAB" w:rsidP="00CB5D25">
      <w:pPr>
        <w:pStyle w:val="Heading3"/>
      </w:pPr>
      <w:bookmarkStart w:id="10" w:name="_Toc203984525"/>
      <w:r>
        <w:lastRenderedPageBreak/>
        <w:t>P</w:t>
      </w:r>
      <w:r w:rsidR="006D0E86" w:rsidRPr="006D0E86">
        <w:t>roposed indication</w:t>
      </w:r>
      <w:bookmarkEnd w:id="10"/>
    </w:p>
    <w:p w14:paraId="59BF31D1" w14:textId="51C3E4EC" w:rsidR="001500A8" w:rsidRDefault="00324B33" w:rsidP="00065839">
      <w:r w:rsidRPr="00065839">
        <w:t xml:space="preserve">This AusPAR describes the submission by </w:t>
      </w:r>
      <w:proofErr w:type="spellStart"/>
      <w:r w:rsidR="004B1033" w:rsidRPr="004B1033">
        <w:t>Pharmacor</w:t>
      </w:r>
      <w:proofErr w:type="spellEnd"/>
      <w:r w:rsidR="004B1033" w:rsidRPr="004B1033">
        <w:t xml:space="preserve"> Pty Ltd</w:t>
      </w:r>
      <w:r w:rsidRPr="00065839">
        <w:t xml:space="preserve"> (the </w:t>
      </w:r>
      <w:r w:rsidR="005E050B">
        <w:t>Sponsor</w:t>
      </w:r>
      <w:r w:rsidRPr="00065839">
        <w:t>)</w:t>
      </w:r>
      <w:r w:rsidR="007E50E2">
        <w:rPr>
          <w:rStyle w:val="FootnoteReference"/>
        </w:rPr>
        <w:footnoteReference w:id="1"/>
      </w:r>
      <w:r w:rsidRPr="00065839">
        <w:t xml:space="preserve"> to register </w:t>
      </w:r>
      <w:r w:rsidR="00492B8F" w:rsidRPr="00492B8F">
        <w:t xml:space="preserve">a new biosimilar medicine </w:t>
      </w:r>
      <w:r w:rsidR="00007665">
        <w:t>(</w:t>
      </w:r>
      <w:r w:rsidR="00492B8F" w:rsidRPr="00492B8F">
        <w:t xml:space="preserve">of enoxaparin sodium with the same strengths, indications, doses, and routes of administration as the Australian reference product, </w:t>
      </w:r>
      <w:hyperlink r:id="rId19" w:history="1">
        <w:r w:rsidR="00492B8F" w:rsidRPr="00E349E7">
          <w:rPr>
            <w:rStyle w:val="Hyperlink"/>
          </w:rPr>
          <w:t>CLEXANE</w:t>
        </w:r>
      </w:hyperlink>
      <w:r w:rsidR="00007665">
        <w:t>)</w:t>
      </w:r>
      <w:r w:rsidR="00E349E7">
        <w:t>,</w:t>
      </w:r>
      <w:r w:rsidR="00007665">
        <w:t xml:space="preserve"> </w:t>
      </w:r>
      <w:r w:rsidR="004B1033" w:rsidRPr="004B1033">
        <w:t xml:space="preserve">CLASTO, ENOXACOR, </w:t>
      </w:r>
      <w:r w:rsidR="004B1033">
        <w:t xml:space="preserve">and </w:t>
      </w:r>
      <w:r w:rsidR="004B1033" w:rsidRPr="004B1033">
        <w:t>ENOXAJECT</w:t>
      </w:r>
      <w:r w:rsidR="004B1033">
        <w:t xml:space="preserve"> (enoxaparin)</w:t>
      </w:r>
      <w:r w:rsidR="00E349E7">
        <w:t>,</w:t>
      </w:r>
      <w:r w:rsidR="004B1033">
        <w:t xml:space="preserve"> </w:t>
      </w:r>
      <w:r w:rsidRPr="00065839">
        <w:t>for the following proposed indication</w:t>
      </w:r>
      <w:r w:rsidR="004B1033">
        <w:t>s:</w:t>
      </w:r>
    </w:p>
    <w:p w14:paraId="6FA7B907" w14:textId="5056EE63" w:rsidR="00B737AF" w:rsidRDefault="00B737AF" w:rsidP="00B737AF">
      <w:pPr>
        <w:pStyle w:val="Indication"/>
      </w:pPr>
      <w:r>
        <w:t>Prevention of thrombo-embolic disorders of venous origin in patients undergoing orthopaedic and general surgery.</w:t>
      </w:r>
    </w:p>
    <w:p w14:paraId="107222BA" w14:textId="674FFD4B" w:rsidR="00B737AF" w:rsidRDefault="00B737AF" w:rsidP="00B737AF">
      <w:pPr>
        <w:pStyle w:val="Indication"/>
      </w:pPr>
      <w:r>
        <w:t>Prophylaxis of venous thromboembolism in medical patients bedridden due to acute illness.</w:t>
      </w:r>
    </w:p>
    <w:p w14:paraId="05AB03AE" w14:textId="7A0CA165" w:rsidR="00B737AF" w:rsidRDefault="00B737AF" w:rsidP="00B737AF">
      <w:pPr>
        <w:pStyle w:val="Indication"/>
      </w:pPr>
      <w:r>
        <w:t>Prevention of thrombosis in extra-corporeal circulation during haemodialysis.</w:t>
      </w:r>
    </w:p>
    <w:p w14:paraId="0CB8CFFA" w14:textId="66D38185" w:rsidR="00B737AF" w:rsidRDefault="00B737AF" w:rsidP="00B737AF">
      <w:pPr>
        <w:pStyle w:val="Indication"/>
      </w:pPr>
      <w:r>
        <w:t>Treatment of established deep vein thrombosis.</w:t>
      </w:r>
    </w:p>
    <w:p w14:paraId="509FDA12" w14:textId="2C87E829" w:rsidR="00B737AF" w:rsidRDefault="00B737AF" w:rsidP="00B737AF">
      <w:pPr>
        <w:pStyle w:val="Indication"/>
      </w:pPr>
      <w:r>
        <w:t>Treatment of unstable angina and non-Q-wave myocardial infarction, administered concurrently with aspirin.</w:t>
      </w:r>
    </w:p>
    <w:p w14:paraId="043DF8D8" w14:textId="6AC77363" w:rsidR="00B737AF" w:rsidRPr="00065839" w:rsidRDefault="00B737AF" w:rsidP="00B737AF">
      <w:pPr>
        <w:pStyle w:val="Indication"/>
      </w:pPr>
      <w:r>
        <w:t>Treatment of acute ST-segment Elevation Myocardial Infarction (STEMI) as an adjunctive to thrombolytic treatment, including patients to be managed medically or with subsequent Percutaneous Coronary Intervention (PCI).</w:t>
      </w:r>
    </w:p>
    <w:p w14:paraId="0D615854" w14:textId="77777777" w:rsidR="00324B33" w:rsidRDefault="00324B33" w:rsidP="00CB5D25">
      <w:pPr>
        <w:pStyle w:val="Heading3"/>
      </w:pPr>
      <w:bookmarkStart w:id="11" w:name="_Toc314842485"/>
      <w:bookmarkStart w:id="12" w:name="_Toc247691504"/>
      <w:bookmarkStart w:id="13" w:name="_Toc103679291"/>
      <w:bookmarkStart w:id="14" w:name="_Toc203984526"/>
      <w:r>
        <w:t>Regulatory status</w:t>
      </w:r>
      <w:bookmarkEnd w:id="11"/>
      <w:bookmarkEnd w:id="12"/>
      <w:bookmarkEnd w:id="13"/>
      <w:bookmarkEnd w:id="14"/>
    </w:p>
    <w:p w14:paraId="15DF2D2A" w14:textId="77777777" w:rsidR="00786172" w:rsidRDefault="00786172" w:rsidP="00786172">
      <w:r>
        <w:t xml:space="preserve">This application was submitted to TGA on 11 September 2023.  Various trade names were proposed </w:t>
      </w:r>
      <w:proofErr w:type="gramStart"/>
      <w:r>
        <w:t>during the course of</w:t>
      </w:r>
      <w:proofErr w:type="gramEnd"/>
      <w:r>
        <w:t xml:space="preserve"> the application, and the following trade names are proposed for registration: CLASTO, ENOXAJECT, and ENOXACOR.</w:t>
      </w:r>
    </w:p>
    <w:p w14:paraId="2DD464EC" w14:textId="77777777" w:rsidR="00786172" w:rsidRDefault="00786172" w:rsidP="00786172">
      <w:r>
        <w:t xml:space="preserve">The reference product, CLEXANE, was first registered in Australia on 12 February 1993.  </w:t>
      </w:r>
    </w:p>
    <w:p w14:paraId="6965692C" w14:textId="66DD127F" w:rsidR="00786172" w:rsidRPr="00786172" w:rsidRDefault="00786172" w:rsidP="00786172">
      <w:r>
        <w:t>Several enoxaparin biosimilar products are registered in Australia. ENOXAPO was registered on 10 February 2020 following a complex regulatory history (rejection by initial delegate, rejection confirmed by s60 delegate, review by AAT, then approval by delegate of Minister).   EXARANE and EXARANE FORTE were registered on 28 July 2023</w:t>
      </w:r>
    </w:p>
    <w:p w14:paraId="72C889D6" w14:textId="7E200950" w:rsidR="0017005C" w:rsidRPr="00BD5DBD" w:rsidRDefault="0017005C" w:rsidP="00CB5D25">
      <w:pPr>
        <w:pStyle w:val="Heading4"/>
      </w:pPr>
      <w:r w:rsidRPr="00BD5DBD">
        <w:t>Australian regulatory</w:t>
      </w:r>
      <w:r>
        <w:t xml:space="preserve"> sta</w:t>
      </w:r>
      <w:r w:rsidR="0025785B">
        <w:t>t</w:t>
      </w:r>
      <w:r>
        <w:t>us</w:t>
      </w:r>
    </w:p>
    <w:p w14:paraId="6A8633FA" w14:textId="0AE32A6D" w:rsidR="00324B33" w:rsidRDefault="00324B33" w:rsidP="00324B33">
      <w:pPr>
        <w:rPr>
          <w:szCs w:val="22"/>
        </w:rPr>
      </w:pPr>
      <w:r w:rsidRPr="00BD5DBD">
        <w:rPr>
          <w:szCs w:val="22"/>
        </w:rPr>
        <w:t>This product is a new</w:t>
      </w:r>
      <w:r w:rsidR="00526A23">
        <w:rPr>
          <w:szCs w:val="22"/>
        </w:rPr>
        <w:t xml:space="preserve"> </w:t>
      </w:r>
      <w:r w:rsidRPr="00BD5DBD">
        <w:rPr>
          <w:szCs w:val="22"/>
        </w:rPr>
        <w:t>biosimilar medicine for Australian regulatory purposes.</w:t>
      </w:r>
    </w:p>
    <w:p w14:paraId="546C1031" w14:textId="4EF98FA1" w:rsidR="0017005C" w:rsidRDefault="00131B1B" w:rsidP="00CB5D25">
      <w:pPr>
        <w:pStyle w:val="Heading4"/>
      </w:pPr>
      <w:r>
        <w:t xml:space="preserve">International </w:t>
      </w:r>
      <w:r w:rsidR="0017005C" w:rsidRPr="00BD5DBD">
        <w:t>regulatory</w:t>
      </w:r>
      <w:r w:rsidR="0017005C">
        <w:t xml:space="preserve"> status</w:t>
      </w:r>
    </w:p>
    <w:p w14:paraId="6A1A0506" w14:textId="77777777" w:rsidR="00C51F0F" w:rsidRDefault="00C51F0F" w:rsidP="00C51F0F">
      <w:r>
        <w:t>USA:  Approved 6 June 2023 (applicant BE Pharmaceuticals, ANDA-214646).</w:t>
      </w:r>
    </w:p>
    <w:p w14:paraId="033FB43D" w14:textId="61E41851" w:rsidR="00C51F0F" w:rsidRDefault="00C51F0F" w:rsidP="00C51F0F">
      <w:r>
        <w:t xml:space="preserve">Canada: Approved 26 October 2022 (ELONOX, ELONOX HP, </w:t>
      </w:r>
      <w:r w:rsidR="005E050B">
        <w:t>Sponsor</w:t>
      </w:r>
      <w:r>
        <w:t>ed by Fresenius Kabi).</w:t>
      </w:r>
    </w:p>
    <w:p w14:paraId="71039544" w14:textId="3DF241B5" w:rsidR="00C51F0F" w:rsidRPr="00C51F0F" w:rsidRDefault="00C51F0F" w:rsidP="00C51F0F">
      <w:r>
        <w:t>EU/UK: Applications via the decentralised process in the EU and UK were withdrawn in 2023 for commercial reasons.</w:t>
      </w:r>
    </w:p>
    <w:p w14:paraId="6D92589C" w14:textId="09786CEF" w:rsidR="00324B33" w:rsidRDefault="00324B33" w:rsidP="00697367">
      <w:pPr>
        <w:pStyle w:val="Heading4"/>
      </w:pPr>
      <w:bookmarkStart w:id="15" w:name="_Toc504480011"/>
      <w:bookmarkStart w:id="16" w:name="_Toc103679293"/>
      <w:bookmarkStart w:id="17" w:name="_Toc203984527"/>
      <w:r>
        <w:t>Registration timeline</w:t>
      </w:r>
      <w:bookmarkEnd w:id="15"/>
      <w:bookmarkEnd w:id="16"/>
      <w:bookmarkEnd w:id="17"/>
    </w:p>
    <w:p w14:paraId="225E3D87" w14:textId="3EBB859D" w:rsidR="00324B33" w:rsidRPr="00BD5DBD" w:rsidRDefault="00BB25A3" w:rsidP="00324B33">
      <w:pPr>
        <w:rPr>
          <w:szCs w:val="22"/>
        </w:rPr>
      </w:pPr>
      <w:r>
        <w:rPr>
          <w:szCs w:val="22"/>
        </w:rPr>
        <w:t>T</w:t>
      </w:r>
      <w:r w:rsidR="00324B33" w:rsidRPr="00BD5DBD">
        <w:rPr>
          <w:szCs w:val="22"/>
        </w:rPr>
        <w:t>able</w:t>
      </w:r>
      <w:r>
        <w:rPr>
          <w:szCs w:val="22"/>
        </w:rPr>
        <w:t xml:space="preserve"> </w:t>
      </w:r>
      <w:r w:rsidR="0023129D">
        <w:rPr>
          <w:szCs w:val="22"/>
        </w:rPr>
        <w:t>1</w:t>
      </w:r>
      <w:r w:rsidR="00324B33" w:rsidRPr="00BD5DBD">
        <w:rPr>
          <w:szCs w:val="22"/>
        </w:rPr>
        <w:t xml:space="preserve"> captures the key steps and dates for this submission.</w:t>
      </w:r>
    </w:p>
    <w:p w14:paraId="6BB76942" w14:textId="49C62989" w:rsidR="00477C4E" w:rsidRPr="00BD5DBD" w:rsidRDefault="00477C4E" w:rsidP="00324B33">
      <w:pPr>
        <w:rPr>
          <w:szCs w:val="22"/>
        </w:rPr>
      </w:pPr>
      <w:r w:rsidRPr="00BD5DBD">
        <w:rPr>
          <w:szCs w:val="22"/>
        </w:rPr>
        <w:t xml:space="preserve">This submission was evaluated under the </w:t>
      </w:r>
      <w:hyperlink r:id="rId20" w:history="1">
        <w:r w:rsidRPr="00BD5DBD">
          <w:rPr>
            <w:rStyle w:val="Hyperlink"/>
            <w:szCs w:val="22"/>
          </w:rPr>
          <w:t>standard prescription medicines registration process</w:t>
        </w:r>
      </w:hyperlink>
      <w:r w:rsidRPr="00BD5DBD">
        <w:rPr>
          <w:szCs w:val="22"/>
        </w:rPr>
        <w:t>.</w:t>
      </w:r>
    </w:p>
    <w:p w14:paraId="44628C5F" w14:textId="4C25A3A2" w:rsidR="00324B33" w:rsidRDefault="00324B33" w:rsidP="002C1232">
      <w:pPr>
        <w:pStyle w:val="TableTitle"/>
      </w:pPr>
      <w:r w:rsidRPr="002C1232">
        <w:lastRenderedPageBreak/>
        <w:t xml:space="preserve">Table </w:t>
      </w:r>
      <w:r w:rsidR="0023129D">
        <w:t>1</w:t>
      </w:r>
      <w:r w:rsidRPr="002C1232">
        <w:t xml:space="preserve">: </w:t>
      </w:r>
      <w:r w:rsidR="001A716C" w:rsidRPr="001A716C">
        <w:t>Registration timeline for</w:t>
      </w:r>
      <w:r w:rsidR="001A716C">
        <w:t xml:space="preserve"> </w:t>
      </w:r>
      <w:r w:rsidR="00C51F0F" w:rsidRPr="00C51F0F">
        <w:t xml:space="preserve">CLASTO, ENOXACOR and ENOXAJECT </w:t>
      </w:r>
      <w:r w:rsidR="001A716C" w:rsidRPr="001A716C">
        <w:t>(</w:t>
      </w:r>
      <w:r w:rsidR="00C51F0F" w:rsidRPr="00C51F0F">
        <w:t>enoxaparin</w:t>
      </w:r>
      <w:r w:rsidR="001A716C" w:rsidRPr="001A716C">
        <w:t xml:space="preserve">), submission </w:t>
      </w:r>
      <w:r w:rsidR="00C51F0F" w:rsidRPr="00C51F0F">
        <w:t>PM-2023-04221-1-3</w:t>
      </w:r>
    </w:p>
    <w:tbl>
      <w:tblPr>
        <w:tblStyle w:val="TableTGAblue2023"/>
        <w:tblW w:w="8642" w:type="dxa"/>
        <w:tblLook w:val="04A0" w:firstRow="1" w:lastRow="0" w:firstColumn="1" w:lastColumn="0" w:noHBand="0" w:noVBand="1"/>
      </w:tblPr>
      <w:tblGrid>
        <w:gridCol w:w="6232"/>
        <w:gridCol w:w="2410"/>
      </w:tblGrid>
      <w:tr w:rsidR="00324B33" w:rsidRPr="00D01DDB" w14:paraId="6C59BE9C" w14:textId="77777777" w:rsidTr="00C05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16D80E78" w14:textId="3EC0CCAF" w:rsidR="00324B33" w:rsidRPr="00D01DDB" w:rsidRDefault="00324B33" w:rsidP="00324B33">
            <w:pPr>
              <w:rPr>
                <w:szCs w:val="22"/>
              </w:rPr>
            </w:pPr>
            <w:r w:rsidRPr="00D01DDB">
              <w:rPr>
                <w:szCs w:val="22"/>
              </w:rPr>
              <w:t>Description</w:t>
            </w:r>
          </w:p>
        </w:tc>
        <w:tc>
          <w:tcPr>
            <w:tcW w:w="2410"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24B33" w:rsidRPr="00D01DDB" w14:paraId="23610C53" w14:textId="77777777" w:rsidTr="00C05894">
        <w:tc>
          <w:tcPr>
            <w:cnfStyle w:val="001000000000" w:firstRow="0" w:lastRow="0" w:firstColumn="1" w:lastColumn="0" w:oddVBand="0" w:evenVBand="0" w:oddHBand="0" w:evenHBand="0" w:firstRowFirstColumn="0" w:firstRowLastColumn="0" w:lastRowFirstColumn="0" w:lastRowLastColumn="0"/>
            <w:tcW w:w="6232" w:type="dxa"/>
          </w:tcPr>
          <w:p w14:paraId="759D2A12" w14:textId="4F4E722F" w:rsidR="00324B33" w:rsidRPr="00E679D1" w:rsidRDefault="00324B33" w:rsidP="00133F91">
            <w:pPr>
              <w:ind w:left="71"/>
            </w:pPr>
            <w:r w:rsidRPr="00E679D1">
              <w:t>Submission dossier accepted and evaluation commenced</w:t>
            </w:r>
          </w:p>
        </w:tc>
        <w:tc>
          <w:tcPr>
            <w:tcW w:w="2410" w:type="dxa"/>
          </w:tcPr>
          <w:p w14:paraId="2963D9D8" w14:textId="6621CD05" w:rsidR="00324B33" w:rsidRPr="00D01DDB" w:rsidRDefault="00D3157E"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31 October 2023</w:t>
            </w:r>
          </w:p>
        </w:tc>
      </w:tr>
      <w:tr w:rsidR="00803926" w:rsidRPr="00D01DDB" w14:paraId="16D13F79" w14:textId="77777777" w:rsidTr="00C05894">
        <w:tc>
          <w:tcPr>
            <w:cnfStyle w:val="001000000000" w:firstRow="0" w:lastRow="0" w:firstColumn="1" w:lastColumn="0" w:oddVBand="0" w:evenVBand="0" w:oddHBand="0" w:evenHBand="0" w:firstRowFirstColumn="0" w:firstRowLastColumn="0" w:lastRowFirstColumn="0" w:lastRowLastColumn="0"/>
            <w:tcW w:w="6232" w:type="dxa"/>
          </w:tcPr>
          <w:p w14:paraId="6858B45A" w14:textId="4A6E19A0" w:rsidR="00803926" w:rsidRPr="00E679D1" w:rsidDel="00C62B1C" w:rsidRDefault="00803926" w:rsidP="00133F91">
            <w:pPr>
              <w:ind w:left="71"/>
            </w:pPr>
            <w:r>
              <w:t>Evaluation completed</w:t>
            </w:r>
          </w:p>
        </w:tc>
        <w:tc>
          <w:tcPr>
            <w:tcW w:w="2410" w:type="dxa"/>
          </w:tcPr>
          <w:p w14:paraId="2E0BD403" w14:textId="761533F2" w:rsidR="00803926" w:rsidRPr="00D01DDB" w:rsidRDefault="009573D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26 August 2024 </w:t>
            </w:r>
          </w:p>
        </w:tc>
      </w:tr>
      <w:tr w:rsidR="00324B33" w:rsidRPr="00D01DDB" w14:paraId="6E5D32FE" w14:textId="77777777" w:rsidTr="00C05894">
        <w:tc>
          <w:tcPr>
            <w:cnfStyle w:val="001000000000" w:firstRow="0" w:lastRow="0" w:firstColumn="1" w:lastColumn="0" w:oddVBand="0" w:evenVBand="0" w:oddHBand="0" w:evenHBand="0" w:firstRowFirstColumn="0" w:firstRowLastColumn="0" w:lastRowFirstColumn="0" w:lastRowLastColumn="0"/>
            <w:tcW w:w="6232" w:type="dxa"/>
          </w:tcPr>
          <w:p w14:paraId="4E95C44C" w14:textId="7A91C710" w:rsidR="00324B33" w:rsidRPr="00E679D1" w:rsidRDefault="00324B33" w:rsidP="00133F91">
            <w:pPr>
              <w:ind w:left="71"/>
            </w:pPr>
            <w:r w:rsidRPr="00E679D1">
              <w:t>Registration decision (Outcome)</w:t>
            </w:r>
          </w:p>
        </w:tc>
        <w:tc>
          <w:tcPr>
            <w:tcW w:w="2410" w:type="dxa"/>
          </w:tcPr>
          <w:p w14:paraId="62987ABD" w14:textId="2DABD2A1" w:rsidR="00324B33" w:rsidRPr="00D01DDB" w:rsidRDefault="009573D4" w:rsidP="00324B33">
            <w:pPr>
              <w:cnfStyle w:val="000000000000" w:firstRow="0" w:lastRow="0" w:firstColumn="0" w:lastColumn="0" w:oddVBand="0" w:evenVBand="0" w:oddHBand="0" w:evenHBand="0" w:firstRowFirstColumn="0" w:firstRowLastColumn="0" w:lastRowFirstColumn="0" w:lastRowLastColumn="0"/>
              <w:rPr>
                <w:szCs w:val="22"/>
              </w:rPr>
            </w:pPr>
            <w:r w:rsidRPr="009573D4">
              <w:rPr>
                <w:szCs w:val="22"/>
              </w:rPr>
              <w:t>31 January 2025</w:t>
            </w:r>
          </w:p>
        </w:tc>
      </w:tr>
      <w:tr w:rsidR="00324B33" w:rsidRPr="00D01DDB" w14:paraId="6DDCDDA4" w14:textId="77777777" w:rsidTr="00C05894">
        <w:tc>
          <w:tcPr>
            <w:cnfStyle w:val="001000000000" w:firstRow="0" w:lastRow="0" w:firstColumn="1" w:lastColumn="0" w:oddVBand="0" w:evenVBand="0" w:oddHBand="0" w:evenHBand="0" w:firstRowFirstColumn="0" w:firstRowLastColumn="0" w:lastRowFirstColumn="0" w:lastRowLastColumn="0"/>
            <w:tcW w:w="6232" w:type="dxa"/>
          </w:tcPr>
          <w:p w14:paraId="192FD19D" w14:textId="336B85B1" w:rsidR="00324B33" w:rsidRPr="00E679D1" w:rsidRDefault="00C00844" w:rsidP="00133F91">
            <w:pPr>
              <w:ind w:left="71"/>
            </w:pPr>
            <w:r>
              <w:t>R</w:t>
            </w:r>
            <w:r w:rsidR="0013132F" w:rsidRPr="00E679D1">
              <w:t xml:space="preserve">egistration </w:t>
            </w:r>
            <w:r w:rsidR="005C4B46" w:rsidRPr="00E679D1">
              <w:t xml:space="preserve">in </w:t>
            </w:r>
            <w:r w:rsidR="0013132F" w:rsidRPr="00E679D1">
              <w:t>the ARTG completed</w:t>
            </w:r>
          </w:p>
        </w:tc>
        <w:tc>
          <w:tcPr>
            <w:tcW w:w="2410" w:type="dxa"/>
          </w:tcPr>
          <w:p w14:paraId="5A8923FD" w14:textId="180F3CF5" w:rsidR="00324B33" w:rsidRPr="00D01DDB" w:rsidRDefault="009573D4" w:rsidP="00324B33">
            <w:pPr>
              <w:cnfStyle w:val="000000000000" w:firstRow="0" w:lastRow="0" w:firstColumn="0" w:lastColumn="0" w:oddVBand="0" w:evenVBand="0" w:oddHBand="0" w:evenHBand="0" w:firstRowFirstColumn="0" w:firstRowLastColumn="0" w:lastRowFirstColumn="0" w:lastRowLastColumn="0"/>
              <w:rPr>
                <w:szCs w:val="22"/>
              </w:rPr>
            </w:pPr>
            <w:r w:rsidRPr="009573D4">
              <w:rPr>
                <w:szCs w:val="22"/>
              </w:rPr>
              <w:t>17 February 2025</w:t>
            </w:r>
          </w:p>
        </w:tc>
      </w:tr>
      <w:tr w:rsidR="00324B33" w:rsidRPr="00D01DDB" w14:paraId="56D922E2" w14:textId="77777777" w:rsidTr="00C05894">
        <w:tc>
          <w:tcPr>
            <w:cnfStyle w:val="001000000000" w:firstRow="0" w:lastRow="0" w:firstColumn="1" w:lastColumn="0" w:oddVBand="0" w:evenVBand="0" w:oddHBand="0" w:evenHBand="0" w:firstRowFirstColumn="0" w:firstRowLastColumn="0" w:lastRowFirstColumn="0" w:lastRowLastColumn="0"/>
            <w:tcW w:w="6232" w:type="dxa"/>
          </w:tcPr>
          <w:p w14:paraId="787FD8DD" w14:textId="0E0CF97F" w:rsidR="00324B33" w:rsidRPr="00E679D1" w:rsidRDefault="00324B33" w:rsidP="00133F91">
            <w:pPr>
              <w:ind w:left="71"/>
            </w:pPr>
            <w:r w:rsidRPr="00E679D1">
              <w:t>Number of working days from submission dossier acceptance to registration decision*</w:t>
            </w:r>
          </w:p>
        </w:tc>
        <w:tc>
          <w:tcPr>
            <w:tcW w:w="2410" w:type="dxa"/>
          </w:tcPr>
          <w:p w14:paraId="5BAF9FA1" w14:textId="5997F843" w:rsidR="00324B33" w:rsidRPr="00D01DDB" w:rsidRDefault="009913A6" w:rsidP="00324B33">
            <w:pPr>
              <w:cnfStyle w:val="000000000000" w:firstRow="0" w:lastRow="0" w:firstColumn="0" w:lastColumn="0" w:oddVBand="0" w:evenVBand="0" w:oddHBand="0" w:evenHBand="0" w:firstRowFirstColumn="0" w:firstRowLastColumn="0" w:lastRowFirstColumn="0" w:lastRowLastColumn="0"/>
              <w:rPr>
                <w:szCs w:val="22"/>
              </w:rPr>
            </w:pPr>
            <w:r w:rsidRPr="009913A6">
              <w:rPr>
                <w:szCs w:val="22"/>
              </w:rPr>
              <w:t>318 days</w:t>
            </w:r>
          </w:p>
        </w:tc>
      </w:tr>
    </w:tbl>
    <w:p w14:paraId="7B02554C" w14:textId="77777777" w:rsidR="00433318" w:rsidRDefault="00433318" w:rsidP="00433318">
      <w:pPr>
        <w:pStyle w:val="TableDescription"/>
      </w:pPr>
      <w:r>
        <w:t>*</w:t>
      </w:r>
      <w:r w:rsidRPr="00BF3774">
        <w:t xml:space="preserve">Statutory </w:t>
      </w:r>
      <w:r>
        <w:t>timeframe for standard submissions is 255 working days</w:t>
      </w:r>
    </w:p>
    <w:p w14:paraId="220925F1" w14:textId="46787B76" w:rsidR="00C22214" w:rsidRPr="00792A32" w:rsidRDefault="00083763" w:rsidP="00C22214">
      <w:pPr>
        <w:pStyle w:val="Heading2"/>
      </w:pPr>
      <w:bookmarkStart w:id="18" w:name="_Toc203984528"/>
      <w:bookmarkStart w:id="19" w:name="_Toc196046504"/>
      <w:bookmarkStart w:id="20" w:name="_Toc247691527"/>
      <w:bookmarkStart w:id="21" w:name="_Toc314842510"/>
      <w:bookmarkStart w:id="22" w:name="_Toc103679294"/>
      <w:r>
        <w:t xml:space="preserve">Assessment </w:t>
      </w:r>
      <w:r w:rsidR="00C22214" w:rsidRPr="00006FAB">
        <w:t>overview</w:t>
      </w:r>
      <w:bookmarkEnd w:id="18"/>
      <w:r w:rsidR="00C22214" w:rsidRPr="00006FAB">
        <w:t xml:space="preserve"> </w:t>
      </w:r>
      <w:bookmarkEnd w:id="19"/>
      <w:bookmarkEnd w:id="20"/>
      <w:bookmarkEnd w:id="21"/>
      <w:bookmarkEnd w:id="22"/>
    </w:p>
    <w:p w14:paraId="37F5A1C0" w14:textId="24C35B4E" w:rsidR="00C22214" w:rsidRDefault="00095C6A" w:rsidP="00C22214">
      <w:pPr>
        <w:pStyle w:val="Heading3"/>
      </w:pPr>
      <w:bookmarkStart w:id="23" w:name="_Toc247691528"/>
      <w:bookmarkStart w:id="24" w:name="_Toc314842511"/>
      <w:bookmarkStart w:id="25" w:name="_Toc103679295"/>
      <w:bookmarkStart w:id="26" w:name="_Toc203984529"/>
      <w:r>
        <w:t>Q</w:t>
      </w:r>
      <w:r w:rsidR="00C22214">
        <w:t>uality</w:t>
      </w:r>
      <w:bookmarkEnd w:id="23"/>
      <w:bookmarkEnd w:id="24"/>
      <w:bookmarkEnd w:id="25"/>
      <w:r w:rsidR="007E6443">
        <w:t xml:space="preserve"> evaluation</w:t>
      </w:r>
      <w:r>
        <w:t xml:space="preserve"> summary</w:t>
      </w:r>
      <w:bookmarkEnd w:id="26"/>
    </w:p>
    <w:p w14:paraId="617D77DE" w14:textId="0225DCC0" w:rsidR="00BF636A" w:rsidRPr="00BF636A" w:rsidRDefault="00BF636A" w:rsidP="00BF636A">
      <w:pPr>
        <w:rPr>
          <w:szCs w:val="22"/>
        </w:rPr>
      </w:pPr>
      <w:r w:rsidRPr="00BF636A">
        <w:rPr>
          <w:szCs w:val="22"/>
        </w:rPr>
        <w:t>Enoxaparin sodium is the sodium salt of depolymerised heparin.</w:t>
      </w:r>
      <w:r w:rsidR="00E654CC">
        <w:rPr>
          <w:szCs w:val="22"/>
        </w:rPr>
        <w:t xml:space="preserve">  </w:t>
      </w:r>
      <w:r w:rsidRPr="00BF636A">
        <w:rPr>
          <w:szCs w:val="22"/>
        </w:rPr>
        <w:t xml:space="preserve">It is a mixture of heterogeneous oligosaccharide chains which vary in molecular weight, chain length, degree of sulfation and disaccharide unit composition.  </w:t>
      </w:r>
      <w:proofErr w:type="gramStart"/>
      <w:r w:rsidRPr="00BF636A">
        <w:rPr>
          <w:szCs w:val="22"/>
        </w:rPr>
        <w:t>The majority of</w:t>
      </w:r>
      <w:proofErr w:type="gramEnd"/>
      <w:r w:rsidRPr="00BF636A">
        <w:rPr>
          <w:szCs w:val="22"/>
        </w:rPr>
        <w:t xml:space="preserve"> the components have a 4-enopyranose urinate structure at the nonreducing end of their chain.  About 20% of the materials contain a 1,6-anhydro derivative on the reducing end of the chain, the range being between 15% and 25%.</w:t>
      </w:r>
    </w:p>
    <w:p w14:paraId="256C6A6C" w14:textId="4D5C7052" w:rsidR="00BF636A" w:rsidRPr="00BF636A" w:rsidRDefault="00BF636A" w:rsidP="00BF636A">
      <w:pPr>
        <w:rPr>
          <w:szCs w:val="22"/>
        </w:rPr>
      </w:pPr>
      <w:r w:rsidRPr="00BF636A">
        <w:rPr>
          <w:szCs w:val="22"/>
        </w:rPr>
        <w:t>The enoxaparin sodium drug substance is manufactured at Biological E. Ltd. (India).  The active ingredient is derived from heparin sodium sourced from porcine intestinal mucosa, which is the same starting material in the drug substance manufacturing process as for CLEXANE.  The overall quality of the active substance was demonstrated via adequate controls of the starting material, control of critical steps and intermediates, process validation, extensive characterisation using orthogonal and state-of-the-art analytical methods, control of impurities and contaminants, generation of robust reference materials and batch analyses that covered multiple manufacturing campaigns. Stability data have been generated under real time and stressed conditions to characterise the stability profile of the active ingredient and to establish a shelf life.  The real time data submitted support a shelf life for the drug substance of 48 months when stored at ≤ 25°C.</w:t>
      </w:r>
    </w:p>
    <w:p w14:paraId="4B3B84DB" w14:textId="1AB61567" w:rsidR="00BF636A" w:rsidRPr="00BF636A" w:rsidRDefault="00BF636A" w:rsidP="00BF636A">
      <w:pPr>
        <w:rPr>
          <w:szCs w:val="22"/>
        </w:rPr>
      </w:pPr>
      <w:r w:rsidRPr="00BF636A">
        <w:rPr>
          <w:szCs w:val="22"/>
        </w:rPr>
        <w:t xml:space="preserve">The proposed drug product </w:t>
      </w:r>
      <w:r w:rsidR="00E654CC">
        <w:rPr>
          <w:szCs w:val="22"/>
        </w:rPr>
        <w:t>e</w:t>
      </w:r>
      <w:r w:rsidRPr="00BF636A">
        <w:rPr>
          <w:szCs w:val="22"/>
        </w:rPr>
        <w:t xml:space="preserve">noxaparin </w:t>
      </w:r>
      <w:r w:rsidR="00E654CC">
        <w:rPr>
          <w:szCs w:val="22"/>
        </w:rPr>
        <w:t>s</w:t>
      </w:r>
      <w:r w:rsidRPr="00BF636A">
        <w:rPr>
          <w:szCs w:val="22"/>
        </w:rPr>
        <w:t xml:space="preserve">odium </w:t>
      </w:r>
      <w:r w:rsidR="00E654CC">
        <w:rPr>
          <w:szCs w:val="22"/>
        </w:rPr>
        <w:t>i</w:t>
      </w:r>
      <w:r w:rsidRPr="00BF636A">
        <w:rPr>
          <w:szCs w:val="22"/>
        </w:rPr>
        <w:t>njection USP 20 mg/0.2 mL, 40 mg/0.4 mL, 60 mg/0.6 mL, 80 mg/0.8 mL, 100 mg/1 mL (100 mg/mL) and 120 mg/0.8 mL, 150 mg/1 mL (150 mg/mL) is a clear, colourless to pale yellow coloured solution.  The drug product is presented in Type I glass barrel, 27 G ½ Inch needle with rigid needle shield, plunger stopper and a plunger rod with</w:t>
      </w:r>
      <w:r w:rsidR="00F0528A">
        <w:rPr>
          <w:szCs w:val="22"/>
        </w:rPr>
        <w:t xml:space="preserve"> a</w:t>
      </w:r>
      <w:r w:rsidRPr="00BF636A">
        <w:rPr>
          <w:szCs w:val="22"/>
        </w:rPr>
        <w:t xml:space="preserve"> safety device (</w:t>
      </w:r>
      <w:r w:rsidR="006A12D8">
        <w:rPr>
          <w:szCs w:val="22"/>
        </w:rPr>
        <w:t>PREVENTIS</w:t>
      </w:r>
      <w:r w:rsidRPr="00BF636A">
        <w:rPr>
          <w:szCs w:val="22"/>
        </w:rPr>
        <w:t xml:space="preserve">) and without </w:t>
      </w:r>
      <w:r w:rsidR="00F0528A">
        <w:rPr>
          <w:szCs w:val="22"/>
        </w:rPr>
        <w:t xml:space="preserve">a </w:t>
      </w:r>
      <w:r w:rsidRPr="00BF636A">
        <w:rPr>
          <w:szCs w:val="22"/>
        </w:rPr>
        <w:t xml:space="preserve">safety device.  The composition of the drug product has been developed as per the reference product </w:t>
      </w:r>
      <w:r w:rsidR="00F0528A">
        <w:rPr>
          <w:szCs w:val="22"/>
        </w:rPr>
        <w:t>CLEXANE</w:t>
      </w:r>
      <w:r w:rsidRPr="00BF636A">
        <w:rPr>
          <w:szCs w:val="22"/>
        </w:rPr>
        <w:t>, with same active ingredient and excipient.  The only excipient used is water for injections, which is compliant with Ph. Eur. and USP.  The container closure is considered suitable for its intended use as demonstrated by compatibility and stability studies.</w:t>
      </w:r>
    </w:p>
    <w:p w14:paraId="4564944F" w14:textId="29A6FF14" w:rsidR="00BF636A" w:rsidRPr="00BF636A" w:rsidRDefault="00BF636A" w:rsidP="00BF636A">
      <w:pPr>
        <w:rPr>
          <w:szCs w:val="22"/>
        </w:rPr>
      </w:pPr>
      <w:r w:rsidRPr="00BF636A">
        <w:rPr>
          <w:szCs w:val="22"/>
        </w:rPr>
        <w:t xml:space="preserve">The enoxaparin sodium drug product is manufactured at Biological E. Ltd. (India). The drug substance </w:t>
      </w:r>
      <w:r w:rsidR="00E654CC">
        <w:rPr>
          <w:szCs w:val="22"/>
        </w:rPr>
        <w:t>is subject to</w:t>
      </w:r>
      <w:r w:rsidRPr="00BF636A">
        <w:rPr>
          <w:szCs w:val="22"/>
        </w:rPr>
        <w:t xml:space="preserve"> compounding, filtration, filling and packaging during the manufacturing of enoxaparin sodium drug product. The description of the manufacturing process has been provided in sufficient details. All analytical methods used for testing of the finished product are </w:t>
      </w:r>
      <w:r w:rsidRPr="00BF636A">
        <w:rPr>
          <w:szCs w:val="22"/>
        </w:rPr>
        <w:lastRenderedPageBreak/>
        <w:t xml:space="preserve">satisfactorily described in the dossier.  Stability data have been generated under stressed and real time conditions to characterise the stability profile of the drug product. The recommended storage condition of the drug product is 36 months when stored at ≤25°C. The product labels are acceptable. </w:t>
      </w:r>
    </w:p>
    <w:p w14:paraId="3E9A70DE" w14:textId="39355075" w:rsidR="00BF636A" w:rsidRDefault="00BF636A" w:rsidP="00BF636A">
      <w:pPr>
        <w:rPr>
          <w:szCs w:val="22"/>
        </w:rPr>
      </w:pPr>
      <w:r w:rsidRPr="00BF636A">
        <w:rPr>
          <w:szCs w:val="22"/>
        </w:rPr>
        <w:t>There are no outstanding issues from the secondary quality evaluations (</w:t>
      </w:r>
      <w:r w:rsidR="00E654CC">
        <w:rPr>
          <w:szCs w:val="22"/>
        </w:rPr>
        <w:t>i</w:t>
      </w:r>
      <w:r w:rsidRPr="00BF636A">
        <w:rPr>
          <w:szCs w:val="22"/>
        </w:rPr>
        <w:t>nfectious disease/</w:t>
      </w:r>
      <w:r w:rsidR="00E654CC">
        <w:rPr>
          <w:szCs w:val="22"/>
        </w:rPr>
        <w:t>v</w:t>
      </w:r>
      <w:r w:rsidRPr="00BF636A">
        <w:rPr>
          <w:szCs w:val="22"/>
        </w:rPr>
        <w:t xml:space="preserve">iral safety, </w:t>
      </w:r>
      <w:r w:rsidR="00E654CC">
        <w:rPr>
          <w:szCs w:val="22"/>
        </w:rPr>
        <w:t>c</w:t>
      </w:r>
      <w:r w:rsidRPr="00BF636A">
        <w:rPr>
          <w:szCs w:val="22"/>
        </w:rPr>
        <w:t xml:space="preserve">ontainer </w:t>
      </w:r>
      <w:r w:rsidR="00E654CC">
        <w:rPr>
          <w:szCs w:val="22"/>
        </w:rPr>
        <w:t>s</w:t>
      </w:r>
      <w:r w:rsidRPr="00BF636A">
        <w:rPr>
          <w:szCs w:val="22"/>
        </w:rPr>
        <w:t xml:space="preserve">afety, </w:t>
      </w:r>
      <w:r w:rsidR="00E654CC">
        <w:rPr>
          <w:szCs w:val="22"/>
        </w:rPr>
        <w:t>m</w:t>
      </w:r>
      <w:r w:rsidRPr="00BF636A">
        <w:rPr>
          <w:szCs w:val="22"/>
        </w:rPr>
        <w:t>icrobiology (</w:t>
      </w:r>
      <w:r w:rsidR="00E654CC">
        <w:rPr>
          <w:szCs w:val="22"/>
        </w:rPr>
        <w:t>s</w:t>
      </w:r>
      <w:r w:rsidRPr="00BF636A">
        <w:rPr>
          <w:szCs w:val="22"/>
        </w:rPr>
        <w:t xml:space="preserve">terility), </w:t>
      </w:r>
      <w:r w:rsidR="00E654CC">
        <w:rPr>
          <w:szCs w:val="22"/>
        </w:rPr>
        <w:t>e</w:t>
      </w:r>
      <w:r w:rsidRPr="00BF636A">
        <w:rPr>
          <w:szCs w:val="22"/>
        </w:rPr>
        <w:t>ndotoxin).</w:t>
      </w:r>
    </w:p>
    <w:p w14:paraId="3112088F" w14:textId="32386284" w:rsidR="006A12D8" w:rsidRPr="00BF636A" w:rsidRDefault="006A12D8" w:rsidP="00BF636A">
      <w:pPr>
        <w:rPr>
          <w:szCs w:val="22"/>
        </w:rPr>
      </w:pPr>
      <w:r>
        <w:rPr>
          <w:szCs w:val="22"/>
        </w:rPr>
        <w:t xml:space="preserve">Approval is recommended from a quality perspective. </w:t>
      </w:r>
    </w:p>
    <w:p w14:paraId="45E8CA24" w14:textId="77777777" w:rsidR="00BF636A" w:rsidRPr="00BF636A" w:rsidRDefault="00BF636A" w:rsidP="00BF636A">
      <w:pPr>
        <w:pStyle w:val="Heading4"/>
      </w:pPr>
      <w:bookmarkStart w:id="27" w:name="_Toc203984530"/>
      <w:proofErr w:type="spellStart"/>
      <w:r w:rsidRPr="00BF636A">
        <w:t>Biosimilarity</w:t>
      </w:r>
      <w:bookmarkEnd w:id="27"/>
      <w:proofErr w:type="spellEnd"/>
    </w:p>
    <w:p w14:paraId="0E9FAA96" w14:textId="77777777" w:rsidR="00BF636A" w:rsidRPr="00BF636A" w:rsidRDefault="00BF636A" w:rsidP="00BF636A">
      <w:pPr>
        <w:rPr>
          <w:szCs w:val="22"/>
        </w:rPr>
      </w:pPr>
      <w:r w:rsidRPr="00BF636A">
        <w:rPr>
          <w:szCs w:val="22"/>
        </w:rPr>
        <w:t xml:space="preserve">During development of the proposed enoxaparin sodium, German CLEXANE, UK CLEXANE, and USA LOVENOX were used in comparisons to demonstrate </w:t>
      </w:r>
      <w:proofErr w:type="spellStart"/>
      <w:r w:rsidRPr="00BF636A">
        <w:rPr>
          <w:szCs w:val="22"/>
        </w:rPr>
        <w:t>biosimilarity</w:t>
      </w:r>
      <w:proofErr w:type="spellEnd"/>
      <w:r w:rsidRPr="00BF636A">
        <w:rPr>
          <w:szCs w:val="22"/>
        </w:rPr>
        <w:t xml:space="preserve"> in the quality and non-clinical comparability exercise.  An additional bridging comparability study was performed between EU CLEXANE and Australian CLEXANE. </w:t>
      </w:r>
    </w:p>
    <w:p w14:paraId="1E5FF85D" w14:textId="77777777" w:rsidR="00BF636A" w:rsidRPr="00BF636A" w:rsidRDefault="00BF636A" w:rsidP="00BF636A">
      <w:pPr>
        <w:rPr>
          <w:szCs w:val="22"/>
        </w:rPr>
      </w:pPr>
      <w:r w:rsidRPr="00BF636A">
        <w:rPr>
          <w:szCs w:val="22"/>
        </w:rPr>
        <w:t xml:space="preserve">The </w:t>
      </w:r>
      <w:proofErr w:type="spellStart"/>
      <w:r w:rsidRPr="00BF636A">
        <w:rPr>
          <w:szCs w:val="22"/>
        </w:rPr>
        <w:t>biosimilarity</w:t>
      </w:r>
      <w:proofErr w:type="spellEnd"/>
      <w:r w:rsidRPr="00BF636A">
        <w:rPr>
          <w:szCs w:val="22"/>
        </w:rPr>
        <w:t xml:space="preserve"> assessment covers comparative analyses of physicochemical and biological attributes of the proposed biosimilar product and CLEXANE (and other brands of enoxaparin sodium), which is comprehensive.  Samples have been assessed for similarity with respect to molecular weight distribution, overall chemical composition, starting material, mode of depolymerisation, disaccharide building blocks, fragment mapping profiles, biological and biochemical assays.  Extensive characterisation studies involving comparison of primary, secondary and tertiary structures, physicochemical properties and biological activities showed that the proposed product and the reference medicine CLEXANE are generally similar.  </w:t>
      </w:r>
    </w:p>
    <w:p w14:paraId="62C7C047" w14:textId="523E76A2" w:rsidR="00BF636A" w:rsidRPr="00BF636A" w:rsidRDefault="00BF636A" w:rsidP="00BF636A">
      <w:pPr>
        <w:rPr>
          <w:szCs w:val="22"/>
        </w:rPr>
      </w:pPr>
      <w:r w:rsidRPr="00BF636A">
        <w:rPr>
          <w:szCs w:val="22"/>
        </w:rPr>
        <w:t xml:space="preserve">Overall, the </w:t>
      </w:r>
      <w:r w:rsidR="005E050B">
        <w:rPr>
          <w:szCs w:val="22"/>
        </w:rPr>
        <w:t>Sponsor</w:t>
      </w:r>
      <w:r w:rsidRPr="00BF636A">
        <w:rPr>
          <w:szCs w:val="22"/>
        </w:rPr>
        <w:t xml:space="preserve"> has demonstrated that the proposed product is comparable to CLEXANE in terms of structure, species, function and degradation profile (i.e. </w:t>
      </w:r>
      <w:proofErr w:type="spellStart"/>
      <w:r w:rsidRPr="00BF636A">
        <w:rPr>
          <w:szCs w:val="22"/>
        </w:rPr>
        <w:t>physicochemically</w:t>
      </w:r>
      <w:proofErr w:type="spellEnd"/>
      <w:r w:rsidRPr="00BF636A">
        <w:rPr>
          <w:szCs w:val="22"/>
        </w:rPr>
        <w:t xml:space="preserve"> and biologically).   </w:t>
      </w:r>
    </w:p>
    <w:p w14:paraId="29A3BB75" w14:textId="24286259" w:rsidR="00A01C56" w:rsidRPr="00BD5DBD" w:rsidRDefault="00BF636A" w:rsidP="00BF636A">
      <w:pPr>
        <w:rPr>
          <w:szCs w:val="22"/>
        </w:rPr>
      </w:pPr>
      <w:r w:rsidRPr="00BF636A">
        <w:rPr>
          <w:szCs w:val="22"/>
        </w:rPr>
        <w:t>The proposed Product Information is acceptable from a quality perspective.  The proposed trade names CLASTO, ENOXACOR, and ENOXAJECT are acceptable.</w:t>
      </w:r>
    </w:p>
    <w:p w14:paraId="2BE90AAE" w14:textId="35796FD3" w:rsidR="00C22214" w:rsidRDefault="00C22214" w:rsidP="00C22214">
      <w:pPr>
        <w:pStyle w:val="Heading3"/>
      </w:pPr>
      <w:bookmarkStart w:id="28" w:name="_Toc314842512"/>
      <w:bookmarkStart w:id="29" w:name="_Toc103679296"/>
      <w:bookmarkStart w:id="30" w:name="_Toc203984531"/>
      <w:r>
        <w:t>Nonclinical</w:t>
      </w:r>
      <w:bookmarkEnd w:id="28"/>
      <w:bookmarkEnd w:id="29"/>
      <w:r w:rsidR="007E6443">
        <w:t xml:space="preserve"> evaluation</w:t>
      </w:r>
      <w:r w:rsidR="00095C6A">
        <w:t xml:space="preserve"> summary</w:t>
      </w:r>
      <w:bookmarkEnd w:id="30"/>
    </w:p>
    <w:p w14:paraId="51BAFEAA" w14:textId="77777777" w:rsidR="00FC6AE3" w:rsidRDefault="00004E81" w:rsidP="00004E81">
      <w:r w:rsidRPr="00004E81">
        <w:t xml:space="preserve">The scope of the non-clinical program is adequate under the relevant EU guideline.  The non-clinical dossier contained comparative in vitro and in vivo immunogenicity studies which indicated that the biosimilar enoxaparin and the reference product (EU-sourced CLEXANE) were comparable.  Comparability of EU-sourced and Australian-sourced CLEXANE was confirmed in the </w:t>
      </w:r>
      <w:r>
        <w:t xml:space="preserve">quality </w:t>
      </w:r>
      <w:r w:rsidRPr="00004E81">
        <w:t xml:space="preserve">evaluation.  </w:t>
      </w:r>
    </w:p>
    <w:p w14:paraId="7DDA43C2" w14:textId="69E20F26" w:rsidR="00004E81" w:rsidRDefault="00004E81" w:rsidP="00004E81">
      <w:r w:rsidRPr="00004E81">
        <w:t xml:space="preserve">There </w:t>
      </w:r>
      <w:r w:rsidR="00FC6AE3">
        <w:t>are</w:t>
      </w:r>
      <w:r w:rsidRPr="00004E81">
        <w:t xml:space="preserve"> no objection</w:t>
      </w:r>
      <w:r w:rsidR="00FC6AE3">
        <w:t>s</w:t>
      </w:r>
      <w:r w:rsidRPr="00004E81">
        <w:t xml:space="preserve"> on nonclinical grounds to the registration of the proposed product</w:t>
      </w:r>
      <w:r>
        <w:t xml:space="preserve">. </w:t>
      </w:r>
    </w:p>
    <w:p w14:paraId="35B580A5" w14:textId="40B226DC" w:rsidR="00C22214" w:rsidRDefault="00C22214" w:rsidP="008804CF">
      <w:pPr>
        <w:pStyle w:val="Heading3"/>
      </w:pPr>
      <w:bookmarkStart w:id="31" w:name="_Toc247691530"/>
      <w:bookmarkStart w:id="32" w:name="_Toc314842513"/>
      <w:bookmarkStart w:id="33" w:name="_Toc103679297"/>
      <w:bookmarkStart w:id="34" w:name="_Toc203984532"/>
      <w:r>
        <w:t>Clinical</w:t>
      </w:r>
      <w:bookmarkEnd w:id="31"/>
      <w:bookmarkEnd w:id="32"/>
      <w:bookmarkEnd w:id="33"/>
      <w:r w:rsidR="00095C6A">
        <w:t xml:space="preserve"> evaluation summary</w:t>
      </w:r>
      <w:bookmarkEnd w:id="34"/>
    </w:p>
    <w:p w14:paraId="615EA51D" w14:textId="6F87DB0F" w:rsidR="00A470DD" w:rsidRDefault="00A470DD" w:rsidP="00A470DD">
      <w:r>
        <w:t xml:space="preserve">The clinical dossier included a randomised, two-period, two-sequence, single-dose, cross-over study comparing PD parameters of the test product to EU-sourced CLEXANE.  A justification for use of an overseas reference product, including a bridging study assessing physicochemical, structural and functional similarity of EU- and AU-sourced CLEXANE, was assessed by the </w:t>
      </w:r>
      <w:r w:rsidR="00447F01">
        <w:t>quality</w:t>
      </w:r>
      <w:r>
        <w:t xml:space="preserve"> </w:t>
      </w:r>
      <w:r w:rsidR="00447F01">
        <w:t>E</w:t>
      </w:r>
      <w:r>
        <w:t xml:space="preserve">valuator.  The application did not include a clinical efficacy and safety study. </w:t>
      </w:r>
    </w:p>
    <w:p w14:paraId="06F13F1A" w14:textId="77777777" w:rsidR="00A470DD" w:rsidRDefault="00A470DD" w:rsidP="00A470DD">
      <w:pPr>
        <w:pStyle w:val="Heading4"/>
      </w:pPr>
      <w:bookmarkStart w:id="35" w:name="_Toc203984533"/>
      <w:r>
        <w:lastRenderedPageBreak/>
        <w:t>Pharmacology</w:t>
      </w:r>
      <w:bookmarkEnd w:id="35"/>
    </w:p>
    <w:p w14:paraId="48F1D793" w14:textId="382B8CC5" w:rsidR="00A470DD" w:rsidRDefault="00A470DD" w:rsidP="00A470DD">
      <w:pPr>
        <w:pStyle w:val="Heading5"/>
      </w:pPr>
      <w:r>
        <w:t xml:space="preserve">Pharmacodynamics </w:t>
      </w:r>
    </w:p>
    <w:p w14:paraId="00E7F68D" w14:textId="77777777" w:rsidR="00A470DD" w:rsidRDefault="00A470DD" w:rsidP="00A470DD">
      <w:pPr>
        <w:pStyle w:val="Heading6"/>
      </w:pPr>
      <w:r>
        <w:t>Study 0356-18</w:t>
      </w:r>
    </w:p>
    <w:p w14:paraId="5DEA3206" w14:textId="25C60FF0" w:rsidR="00A470DD" w:rsidRDefault="00A470DD" w:rsidP="00A470DD">
      <w:r>
        <w:t xml:space="preserve">This was an open label, balanced, randomised, two-treatment, two-period, two-sequence, single dose, crossover, bioequivalence study assessing </w:t>
      </w:r>
      <w:r w:rsidR="00E654CC">
        <w:t>pharmacodynamic (</w:t>
      </w:r>
      <w:r>
        <w:t>PD</w:t>
      </w:r>
      <w:r w:rsidR="00E654CC">
        <w:t>)</w:t>
      </w:r>
      <w:r>
        <w:t xml:space="preserve"> end points in healthy adults.  The study was conducted in January 2020 in India.  The study objectives were to compare and characterise the PD profile of the test product with the reference product in normal, healthy, adult, human subjects under fasting conditions and to assess the bioequivalence with respect to PD end points, and to monitor the adverse events, clinically significant deviations from laboratory examinations and physical examinations for the evaluation of safety.</w:t>
      </w:r>
    </w:p>
    <w:p w14:paraId="7C8DEFDC" w14:textId="77777777" w:rsidR="00A470DD" w:rsidRDefault="00A470DD" w:rsidP="00A470DD">
      <w:r>
        <w:t xml:space="preserve">The study compared single 100 mg/1 mL doses of enoxaparin sodium manufactured by Biological E Limited and CLEXANE sourced from Germany, administered by subcutaneous injection.  There was a washout period of 7 days between the successive dosing days.  40 subjects were dosed in </w:t>
      </w:r>
      <w:proofErr w:type="gramStart"/>
      <w:r>
        <w:t>Period</w:t>
      </w:r>
      <w:proofErr w:type="gramEnd"/>
      <w:r>
        <w:t xml:space="preserve"> I, and 39 were dosed in Period II and completed the study (1 subject discontinued from the study on own accord in Period II).</w:t>
      </w:r>
    </w:p>
    <w:p w14:paraId="6C37D4DD" w14:textId="1CC54AF3" w:rsidR="00A470DD" w:rsidRDefault="00A470DD" w:rsidP="00A470DD">
      <w:r>
        <w:t>Bioequivalence was concluded based on the 95% CIs for the geometric mean ratio (GMR) for ln-transformed Anti-</w:t>
      </w:r>
      <w:proofErr w:type="spellStart"/>
      <w:r>
        <w:t>Xamax</w:t>
      </w:r>
      <w:proofErr w:type="spellEnd"/>
      <w:r>
        <w:t xml:space="preserve"> and AUEC</w:t>
      </w:r>
      <w:r w:rsidRPr="00FC6AE3">
        <w:rPr>
          <w:vertAlign w:val="subscript"/>
        </w:rPr>
        <w:t>0-t</w:t>
      </w:r>
      <w:r>
        <w:t xml:space="preserve"> being within the acceptance range of 80-125%.  Supportive measures were the </w:t>
      </w:r>
      <w:r w:rsidR="00E654CC">
        <w:t>geometric mean ratio (</w:t>
      </w:r>
      <w:r>
        <w:t>GMR</w:t>
      </w:r>
      <w:r w:rsidR="00E654CC">
        <w:t>)</w:t>
      </w:r>
      <w:r>
        <w:t xml:space="preserve"> (95% CI) for ln-transformed parameters for </w:t>
      </w:r>
      <w:r w:rsidR="00E654CC">
        <w:t>a</w:t>
      </w:r>
      <w:r>
        <w:t>nti-</w:t>
      </w:r>
      <w:proofErr w:type="spellStart"/>
      <w:r>
        <w:t>IIa</w:t>
      </w:r>
      <w:proofErr w:type="spellEnd"/>
      <w:r>
        <w:t xml:space="preserve">, baseline corrected and uncorrected data of </w:t>
      </w:r>
      <w:r w:rsidR="00E654CC">
        <w:t>t</w:t>
      </w:r>
      <w:r w:rsidR="00482B09" w:rsidRPr="00482B09">
        <w:t xml:space="preserve">issue </w:t>
      </w:r>
      <w:r w:rsidR="00E654CC">
        <w:t>f</w:t>
      </w:r>
      <w:r w:rsidR="00482B09" w:rsidRPr="00482B09">
        <w:t xml:space="preserve">actor </w:t>
      </w:r>
      <w:r w:rsidR="00E654CC">
        <w:t>p</w:t>
      </w:r>
      <w:r w:rsidR="00482B09" w:rsidRPr="00482B09">
        <w:t xml:space="preserve">athway </w:t>
      </w:r>
      <w:r w:rsidR="00E654CC">
        <w:t>i</w:t>
      </w:r>
      <w:r w:rsidR="00482B09" w:rsidRPr="00482B09">
        <w:t>nhibitor</w:t>
      </w:r>
      <w:r w:rsidR="00482B09">
        <w:t xml:space="preserve"> (</w:t>
      </w:r>
      <w:r>
        <w:t>TFPI</w:t>
      </w:r>
      <w:r w:rsidR="00482B09">
        <w:t>)</w:t>
      </w:r>
      <w:r>
        <w:t xml:space="preserve">, and ratio of </w:t>
      </w:r>
      <w:r w:rsidR="00E53940">
        <w:t>a</w:t>
      </w:r>
      <w:r>
        <w:t xml:space="preserve">nti-Xa to </w:t>
      </w:r>
      <w:r w:rsidR="00E53940">
        <w:t>a</w:t>
      </w:r>
      <w:r>
        <w:t>nti-</w:t>
      </w:r>
      <w:proofErr w:type="spellStart"/>
      <w:r>
        <w:t>IIa</w:t>
      </w:r>
      <w:proofErr w:type="spellEnd"/>
      <w:r>
        <w:t xml:space="preserve"> activities.</w:t>
      </w:r>
    </w:p>
    <w:p w14:paraId="34EE0B8F" w14:textId="243D2E69" w:rsidR="00A470DD" w:rsidRDefault="00A470DD" w:rsidP="00A470DD">
      <w:r>
        <w:t>The statistical analysis was performed using an analysis of variance (ANOVA) model.  The model included Sequence, Period, Formulation and Subject as fixed effects.  Each analysis of variance was included for calculation of least-squares means, the difference between adjusted formulation means and the standard error associated with this difference.  An F-test was to be performed to determine the statistical significance of the effects involved in the model at a significance level of 2.5% (</w:t>
      </w:r>
      <w:r w:rsidR="00FC6AE3">
        <w:t>α</w:t>
      </w:r>
      <w:r>
        <w:t>= 0.025).</w:t>
      </w:r>
    </w:p>
    <w:p w14:paraId="2B3E4EBB" w14:textId="44B480B5" w:rsidR="00A470DD" w:rsidRDefault="00A470DD" w:rsidP="00A470DD">
      <w:r>
        <w:t xml:space="preserve">Bioequivalence was demonstrated for all </w:t>
      </w:r>
      <w:r w:rsidR="00E654CC">
        <w:t>a</w:t>
      </w:r>
      <w:r>
        <w:t xml:space="preserve">nti-Xa parameters (Table </w:t>
      </w:r>
      <w:r w:rsidR="006A12D8">
        <w:t>2</w:t>
      </w:r>
      <w:r>
        <w:t xml:space="preserve">).  Statistically significant effects were observed for formulation, sequence, period and subject (Table </w:t>
      </w:r>
      <w:r w:rsidR="006A12D8">
        <w:t>3</w:t>
      </w:r>
      <w:r>
        <w:t>).  Significant fixed effects for subject and formulation are acceptable as the 95% confidence intervals are within the acceptance criteria.  An effect for period might indicate a carryover effect from the previous treatment period, a deterioration in the drug products between treatment periods (e.g. spoilage due to inappropriate storage conditions), or different conditions on the study day (e.g. collection, storage and analysis of study samples).  Sequence effect might indicate a difference between the two sequences (i.e.</w:t>
      </w:r>
      <w:r w:rsidR="00E654CC">
        <w:t>,</w:t>
      </w:r>
      <w:r>
        <w:t xml:space="preserve"> subjects in one of the sequences were more affected than in the other by a period effect).  The presence of a significant sequence or period effect would tend to increase the variability in the data.  The 95% confidence intervals for </w:t>
      </w:r>
      <w:r w:rsidR="00E654CC">
        <w:t>a</w:t>
      </w:r>
      <w:r>
        <w:t>nti-</w:t>
      </w:r>
      <w:proofErr w:type="spellStart"/>
      <w:r>
        <w:t>Xa</w:t>
      </w:r>
      <w:r w:rsidRPr="00E654CC">
        <w:rPr>
          <w:vertAlign w:val="subscript"/>
        </w:rPr>
        <w:t>max</w:t>
      </w:r>
      <w:proofErr w:type="spellEnd"/>
      <w:r>
        <w:t xml:space="preserve"> and AUEC</w:t>
      </w:r>
      <w:r w:rsidRPr="00482B09">
        <w:rPr>
          <w:vertAlign w:val="subscript"/>
        </w:rPr>
        <w:t>0-t</w:t>
      </w:r>
      <w:r>
        <w:t xml:space="preserve"> were narrow and well within the acceptance range of 80% to 125%.  Consequently, the presence of sequence and period effects are considered unlikely to have biased the results.  Bioequivalence was also demonstrated for all </w:t>
      </w:r>
      <w:r w:rsidR="00E654CC">
        <w:t>a</w:t>
      </w:r>
      <w:r>
        <w:t>nti-</w:t>
      </w:r>
      <w:proofErr w:type="spellStart"/>
      <w:r>
        <w:t>IIa</w:t>
      </w:r>
      <w:proofErr w:type="spellEnd"/>
      <w:r>
        <w:t xml:space="preserve"> (Table </w:t>
      </w:r>
      <w:r w:rsidR="006A12D8">
        <w:t>4</w:t>
      </w:r>
      <w:r>
        <w:t xml:space="preserve">, Table </w:t>
      </w:r>
      <w:r w:rsidR="006A12D8">
        <w:t>5</w:t>
      </w:r>
      <w:r>
        <w:t xml:space="preserve">) and TFPI (Table </w:t>
      </w:r>
      <w:r w:rsidR="006A12D8">
        <w:t>6</w:t>
      </w:r>
      <w:r>
        <w:t xml:space="preserve">, Table </w:t>
      </w:r>
      <w:r w:rsidR="006A12D8">
        <w:t>7</w:t>
      </w:r>
      <w:r>
        <w:t>) parameters, and for InC</w:t>
      </w:r>
      <w:r w:rsidRPr="00E53940">
        <w:rPr>
          <w:vertAlign w:val="subscript"/>
        </w:rPr>
        <w:t>max</w:t>
      </w:r>
      <w:r>
        <w:t xml:space="preserve"> and InAUEC</w:t>
      </w:r>
      <w:r w:rsidRPr="00E53940">
        <w:rPr>
          <w:vertAlign w:val="subscript"/>
        </w:rPr>
        <w:t>0-t</w:t>
      </w:r>
      <w:r>
        <w:t xml:space="preserve"> for </w:t>
      </w:r>
      <w:r w:rsidR="00E654CC">
        <w:t>r</w:t>
      </w:r>
      <w:r>
        <w:t xml:space="preserve">atio of </w:t>
      </w:r>
      <w:r w:rsidR="00E654CC">
        <w:t>a</w:t>
      </w:r>
      <w:r>
        <w:t xml:space="preserve">nti-Xa to </w:t>
      </w:r>
      <w:r w:rsidR="00E654CC">
        <w:t>a</w:t>
      </w:r>
      <w:r>
        <w:t>nti-</w:t>
      </w:r>
      <w:proofErr w:type="spellStart"/>
      <w:r>
        <w:t>IIa</w:t>
      </w:r>
      <w:proofErr w:type="spellEnd"/>
      <w:r>
        <w:t xml:space="preserve"> activity (Table </w:t>
      </w:r>
      <w:r w:rsidR="006A12D8">
        <w:t>8</w:t>
      </w:r>
      <w:r>
        <w:t xml:space="preserve">, Table </w:t>
      </w:r>
      <w:r w:rsidR="006A12D8">
        <w:t>9</w:t>
      </w:r>
      <w:r>
        <w:t xml:space="preserve">).  </w:t>
      </w:r>
    </w:p>
    <w:p w14:paraId="1C06B060" w14:textId="77777777" w:rsidR="00D869B9" w:rsidRDefault="00A470DD" w:rsidP="00D869B9">
      <w:r>
        <w:t xml:space="preserve">The PD findings satisfactorily demonstrate bioequivalence of the proposed product to EU-CLEXANE.  Similarity of EU- and AU-CLEXANE was addressed in the </w:t>
      </w:r>
      <w:r w:rsidR="006A12D8">
        <w:t>quality</w:t>
      </w:r>
      <w:r>
        <w:t xml:space="preserve"> evaluation.</w:t>
      </w:r>
    </w:p>
    <w:p w14:paraId="4E0D9E4A" w14:textId="77777777" w:rsidR="00C05894" w:rsidRDefault="00A470DD" w:rsidP="00C05894">
      <w:pPr>
        <w:pStyle w:val="TableTitle"/>
      </w:pPr>
      <w:r>
        <w:lastRenderedPageBreak/>
        <w:t xml:space="preserve">Table </w:t>
      </w:r>
      <w:r w:rsidR="00D869B9">
        <w:t>2</w:t>
      </w:r>
      <w:r w:rsidR="00D914FC">
        <w:t>.</w:t>
      </w:r>
      <w:r>
        <w:t xml:space="preserve"> Relative Bioavailability Results for Anti-Xa activity (N = 39)</w:t>
      </w:r>
    </w:p>
    <w:p w14:paraId="6472C2C4" w14:textId="508D0BE1" w:rsidR="007F6C22" w:rsidRDefault="003509E5" w:rsidP="00C05894">
      <w:r>
        <w:rPr>
          <w:noProof/>
        </w:rPr>
        <w:drawing>
          <wp:inline distT="0" distB="0" distL="0" distR="0" wp14:anchorId="7FF48ADD" wp14:editId="3E8B54A3">
            <wp:extent cx="5292201" cy="1593057"/>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BEBA8EAE-BF5A-486C-A8C5-ECC9F3942E4B}">
                          <a14:imgProps xmlns:a14="http://schemas.microsoft.com/office/drawing/2010/main">
                            <a14:imgLayer r:embed="rId2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298226" cy="1594871"/>
                    </a:xfrm>
                    <a:prstGeom prst="rect">
                      <a:avLst/>
                    </a:prstGeom>
                  </pic:spPr>
                </pic:pic>
              </a:graphicData>
            </a:graphic>
          </wp:inline>
        </w:drawing>
      </w:r>
    </w:p>
    <w:p w14:paraId="488C8C77" w14:textId="77777777" w:rsidR="00C05894" w:rsidRDefault="00D914FC" w:rsidP="007F6C22">
      <w:pPr>
        <w:pStyle w:val="TableTitle"/>
        <w:keepNext w:val="0"/>
        <w:widowControl w:val="0"/>
      </w:pPr>
      <w:r w:rsidRPr="00D914FC">
        <w:t xml:space="preserve">Table </w:t>
      </w:r>
      <w:r w:rsidR="00D869B9">
        <w:t>3</w:t>
      </w:r>
      <w:r>
        <w:t>.</w:t>
      </w:r>
      <w:r w:rsidRPr="00D914FC">
        <w:t xml:space="preserve"> ANOVA p-values for Anti-Xa activity</w:t>
      </w:r>
    </w:p>
    <w:p w14:paraId="3B2F7187" w14:textId="64DE8B22" w:rsidR="006A12D8" w:rsidRDefault="00FF1E42" w:rsidP="00C05894">
      <w:r>
        <w:rPr>
          <w:noProof/>
        </w:rPr>
        <w:drawing>
          <wp:inline distT="0" distB="0" distL="0" distR="0" wp14:anchorId="36165E94" wp14:editId="5B8E4840">
            <wp:extent cx="5298695" cy="1757363"/>
            <wp:effectExtent l="0" t="0" r="0" b="0"/>
            <wp:docPr id="4" name="Picture 4"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table with numbers and text&#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5313656" cy="1762325"/>
                    </a:xfrm>
                    <a:prstGeom prst="rect">
                      <a:avLst/>
                    </a:prstGeom>
                  </pic:spPr>
                </pic:pic>
              </a:graphicData>
            </a:graphic>
          </wp:inline>
        </w:drawing>
      </w:r>
    </w:p>
    <w:p w14:paraId="1EFFF5E3" w14:textId="77777777" w:rsidR="00C05894" w:rsidRDefault="00BA58F0" w:rsidP="007F6C22">
      <w:pPr>
        <w:pStyle w:val="TableTitle"/>
        <w:keepNext w:val="0"/>
        <w:widowControl w:val="0"/>
      </w:pPr>
      <w:r w:rsidRPr="00BA58F0">
        <w:t xml:space="preserve">Table </w:t>
      </w:r>
      <w:r w:rsidR="00D869B9">
        <w:t>4</w:t>
      </w:r>
      <w:r>
        <w:t>.</w:t>
      </w:r>
      <w:r w:rsidRPr="00BA58F0">
        <w:t xml:space="preserve"> Relative Bioavailability </w:t>
      </w:r>
      <w:r>
        <w:t>r</w:t>
      </w:r>
      <w:r w:rsidRPr="00BA58F0">
        <w:t>esults for Anti-</w:t>
      </w:r>
      <w:proofErr w:type="spellStart"/>
      <w:r w:rsidRPr="00BA58F0">
        <w:t>IIa</w:t>
      </w:r>
      <w:proofErr w:type="spellEnd"/>
      <w:r w:rsidRPr="00BA58F0">
        <w:t xml:space="preserve"> activity (N = 28) [Excluding subjects having pre-dose concentration &gt; 5% of </w:t>
      </w:r>
      <w:proofErr w:type="spellStart"/>
      <w:r w:rsidRPr="00BA58F0">
        <w:t>C</w:t>
      </w:r>
      <w:r w:rsidRPr="00BA58F0">
        <w:rPr>
          <w:vertAlign w:val="subscript"/>
        </w:rPr>
        <w:t>max</w:t>
      </w:r>
      <w:proofErr w:type="spellEnd"/>
      <w:r w:rsidRPr="00BA58F0">
        <w:t>]</w:t>
      </w:r>
    </w:p>
    <w:p w14:paraId="78C2FC36" w14:textId="4960BB58" w:rsidR="00BA58F0" w:rsidRDefault="003261BA" w:rsidP="00C05894">
      <w:r>
        <w:rPr>
          <w:noProof/>
        </w:rPr>
        <w:drawing>
          <wp:inline distT="0" distB="0" distL="0" distR="0" wp14:anchorId="3D076639" wp14:editId="47F7B320">
            <wp:extent cx="5300938" cy="1500188"/>
            <wp:effectExtent l="0" t="0" r="0" b="5080"/>
            <wp:docPr id="2" name="Picture 2"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table with numbers and text&#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5307215" cy="1501964"/>
                    </a:xfrm>
                    <a:prstGeom prst="rect">
                      <a:avLst/>
                    </a:prstGeom>
                  </pic:spPr>
                </pic:pic>
              </a:graphicData>
            </a:graphic>
          </wp:inline>
        </w:drawing>
      </w:r>
    </w:p>
    <w:p w14:paraId="25E7EAF6" w14:textId="7A242320" w:rsidR="003261BA" w:rsidRDefault="00C860D3" w:rsidP="00482B09">
      <w:pPr>
        <w:pStyle w:val="TableTitle"/>
      </w:pPr>
      <w:r w:rsidRPr="00C860D3">
        <w:t xml:space="preserve">Table </w:t>
      </w:r>
      <w:r w:rsidR="00D869B9">
        <w:t>5</w:t>
      </w:r>
      <w:r w:rsidR="00547626">
        <w:t>.</w:t>
      </w:r>
      <w:r w:rsidRPr="00C860D3">
        <w:t xml:space="preserve"> Relative Bioavailability Results for Anti-</w:t>
      </w:r>
      <w:proofErr w:type="spellStart"/>
      <w:r w:rsidRPr="00C860D3">
        <w:t>IIa</w:t>
      </w:r>
      <w:proofErr w:type="spellEnd"/>
      <w:r w:rsidRPr="00C860D3">
        <w:t xml:space="preserve"> activity (N = 39) [Including subjects having pre-dose concentration &gt; 5% of </w:t>
      </w:r>
      <w:proofErr w:type="spellStart"/>
      <w:r w:rsidRPr="00C860D3">
        <w:t>C</w:t>
      </w:r>
      <w:r w:rsidRPr="00C860D3">
        <w:rPr>
          <w:vertAlign w:val="subscript"/>
        </w:rPr>
        <w:t>max</w:t>
      </w:r>
      <w:proofErr w:type="spellEnd"/>
      <w:r w:rsidRPr="00C860D3">
        <w:t>]</w:t>
      </w:r>
    </w:p>
    <w:p w14:paraId="3AAADDF6" w14:textId="7B8B084D" w:rsidR="00C860D3" w:rsidRDefault="00547626" w:rsidP="00C05894">
      <w:r>
        <w:rPr>
          <w:noProof/>
        </w:rPr>
        <w:drawing>
          <wp:inline distT="0" distB="0" distL="0" distR="0" wp14:anchorId="1FCA5D92" wp14:editId="69C66C5A">
            <wp:extent cx="5212918" cy="1364456"/>
            <wp:effectExtent l="0" t="0" r="6985" b="7620"/>
            <wp:docPr id="3" name="Picture 3"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table with numbers and text&#10;&#10;AI-generated content may be incorrect."/>
                    <pic:cNvPicPr/>
                  </pic:nvPicPr>
                  <pic:blipFill>
                    <a:blip r:embed="rId25"/>
                    <a:stretch>
                      <a:fillRect/>
                    </a:stretch>
                  </pic:blipFill>
                  <pic:spPr>
                    <a:xfrm>
                      <a:off x="0" y="0"/>
                      <a:ext cx="5279460" cy="1381873"/>
                    </a:xfrm>
                    <a:prstGeom prst="rect">
                      <a:avLst/>
                    </a:prstGeom>
                  </pic:spPr>
                </pic:pic>
              </a:graphicData>
            </a:graphic>
          </wp:inline>
        </w:drawing>
      </w:r>
    </w:p>
    <w:p w14:paraId="4EF81D1E" w14:textId="43471001" w:rsidR="00547626" w:rsidRDefault="003E4F5C" w:rsidP="00482B09">
      <w:pPr>
        <w:pStyle w:val="TableTitle"/>
      </w:pPr>
      <w:r w:rsidRPr="003E4F5C">
        <w:lastRenderedPageBreak/>
        <w:t xml:space="preserve">Table </w:t>
      </w:r>
      <w:r w:rsidR="00D869B9">
        <w:t>6</w:t>
      </w:r>
      <w:r>
        <w:t>.</w:t>
      </w:r>
      <w:r w:rsidRPr="003E4F5C">
        <w:t xml:space="preserve"> Relative Bioavailability Results for TFPI (Baseline corrected data)</w:t>
      </w:r>
    </w:p>
    <w:p w14:paraId="2F582AEB" w14:textId="74CD5130" w:rsidR="003E4F5C" w:rsidRDefault="00E157EB" w:rsidP="00C05894">
      <w:r>
        <w:rPr>
          <w:noProof/>
        </w:rPr>
        <w:drawing>
          <wp:inline distT="0" distB="0" distL="0" distR="0" wp14:anchorId="03B0A1DE" wp14:editId="09132AF3">
            <wp:extent cx="5212715" cy="2001914"/>
            <wp:effectExtent l="0" t="0" r="6985" b="0"/>
            <wp:docPr id="5" name="Picture 5"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table with numbers and text&#10;&#10;AI-generated content may be incorrect."/>
                    <pic:cNvPicPr/>
                  </pic:nvPicPr>
                  <pic:blipFill>
                    <a:blip r:embed="rId26">
                      <a:extLst>
                        <a:ext uri="{BEBA8EAE-BF5A-486C-A8C5-ECC9F3942E4B}">
                          <a14:imgProps xmlns:a14="http://schemas.microsoft.com/office/drawing/2010/main">
                            <a14:imgLayer r:embed="rId27">
                              <a14:imgEffect>
                                <a14:sharpenSoften amount="25000"/>
                              </a14:imgEffect>
                            </a14:imgLayer>
                          </a14:imgProps>
                        </a:ext>
                      </a:extLst>
                    </a:blip>
                    <a:stretch>
                      <a:fillRect/>
                    </a:stretch>
                  </pic:blipFill>
                  <pic:spPr>
                    <a:xfrm>
                      <a:off x="0" y="0"/>
                      <a:ext cx="5283085" cy="2028939"/>
                    </a:xfrm>
                    <a:prstGeom prst="rect">
                      <a:avLst/>
                    </a:prstGeom>
                  </pic:spPr>
                </pic:pic>
              </a:graphicData>
            </a:graphic>
          </wp:inline>
        </w:drawing>
      </w:r>
    </w:p>
    <w:p w14:paraId="5138EB3E" w14:textId="45218170" w:rsidR="00E157EB" w:rsidRDefault="00882A53" w:rsidP="00482B09">
      <w:pPr>
        <w:pStyle w:val="TableTitle"/>
      </w:pPr>
      <w:r w:rsidRPr="00882A53">
        <w:t xml:space="preserve">Table </w:t>
      </w:r>
      <w:r>
        <w:t>7.</w:t>
      </w:r>
      <w:r w:rsidRPr="00882A53">
        <w:t xml:space="preserve"> Relative Bioavailability Results for TFPI (Baseline uncorrected data)</w:t>
      </w:r>
    </w:p>
    <w:p w14:paraId="0CBC57F8" w14:textId="30877A4B" w:rsidR="001D66CD" w:rsidRDefault="001D66CD" w:rsidP="00C05894">
      <w:r>
        <w:rPr>
          <w:noProof/>
        </w:rPr>
        <w:drawing>
          <wp:inline distT="0" distB="0" distL="0" distR="0" wp14:anchorId="586B67BC" wp14:editId="41D24F3F">
            <wp:extent cx="5200650" cy="2082254"/>
            <wp:effectExtent l="0" t="0" r="0" b="0"/>
            <wp:docPr id="6" name="Picture 6" descr="A table with numbers and a few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table with numbers and a few black text&#10;&#10;AI-generated content may be incorrect."/>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5282675" cy="2115095"/>
                    </a:xfrm>
                    <a:prstGeom prst="rect">
                      <a:avLst/>
                    </a:prstGeom>
                  </pic:spPr>
                </pic:pic>
              </a:graphicData>
            </a:graphic>
          </wp:inline>
        </w:drawing>
      </w:r>
    </w:p>
    <w:p w14:paraId="4CAB14F3" w14:textId="060A1215" w:rsidR="008F5897" w:rsidRDefault="008F5897" w:rsidP="008F5897">
      <w:pPr>
        <w:pStyle w:val="TableTitle"/>
      </w:pPr>
      <w:r>
        <w:t xml:space="preserve">Table </w:t>
      </w:r>
      <w:r w:rsidR="006E6A2E">
        <w:t>8.</w:t>
      </w:r>
      <w:r>
        <w:t xml:space="preserve"> Relative Bioavailability Results for Ratio of Anti-Xa to Anti-</w:t>
      </w:r>
      <w:proofErr w:type="spellStart"/>
      <w:r>
        <w:t>IIa</w:t>
      </w:r>
      <w:proofErr w:type="spellEnd"/>
      <w:r>
        <w:t xml:space="preserve"> activity (N=28) [excluding subjects having pre-dose concentration &gt;5% of </w:t>
      </w:r>
      <w:proofErr w:type="spellStart"/>
      <w:r>
        <w:t>Cmax</w:t>
      </w:r>
      <w:proofErr w:type="spellEnd"/>
      <w:r>
        <w:t xml:space="preserve"> for Anti-</w:t>
      </w:r>
      <w:proofErr w:type="spellStart"/>
      <w:r>
        <w:t>IIa</w:t>
      </w:r>
      <w:proofErr w:type="spellEnd"/>
      <w:r>
        <w:t xml:space="preserve"> activity]</w:t>
      </w:r>
    </w:p>
    <w:p w14:paraId="5A4F8904" w14:textId="4C475454" w:rsidR="008F5897" w:rsidRDefault="008F5897" w:rsidP="00C05894">
      <w:r>
        <w:t xml:space="preserve"> </w:t>
      </w:r>
      <w:r w:rsidR="003778DF">
        <w:rPr>
          <w:noProof/>
        </w:rPr>
        <w:drawing>
          <wp:inline distT="0" distB="0" distL="0" distR="0" wp14:anchorId="677AFBD8" wp14:editId="231B4989">
            <wp:extent cx="5169691" cy="1393031"/>
            <wp:effectExtent l="0" t="0" r="0" b="0"/>
            <wp:docPr id="7" name="Picture 7"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table with numbers and text&#10;&#10;AI-generated content may be incorrect."/>
                    <pic:cNvPicPr/>
                  </pic:nvPicPr>
                  <pic:blipFill>
                    <a:blip r:embed="rId30"/>
                    <a:stretch>
                      <a:fillRect/>
                    </a:stretch>
                  </pic:blipFill>
                  <pic:spPr>
                    <a:xfrm>
                      <a:off x="0" y="0"/>
                      <a:ext cx="5241641" cy="1412419"/>
                    </a:xfrm>
                    <a:prstGeom prst="rect">
                      <a:avLst/>
                    </a:prstGeom>
                  </pic:spPr>
                </pic:pic>
              </a:graphicData>
            </a:graphic>
          </wp:inline>
        </w:drawing>
      </w:r>
    </w:p>
    <w:p w14:paraId="0B918381" w14:textId="77777777" w:rsidR="007F6C22" w:rsidRDefault="007F6C22">
      <w:pPr>
        <w:rPr>
          <w:rFonts w:eastAsia="Cambria" w:cs="Times New Roman"/>
          <w:b/>
          <w:szCs w:val="22"/>
        </w:rPr>
      </w:pPr>
      <w:r>
        <w:br w:type="page"/>
      </w:r>
    </w:p>
    <w:p w14:paraId="38483705" w14:textId="49598D60" w:rsidR="008F5897" w:rsidRDefault="008F5897" w:rsidP="007F6C22">
      <w:pPr>
        <w:pStyle w:val="TableTitle"/>
        <w:keepNext w:val="0"/>
        <w:widowControl w:val="0"/>
      </w:pPr>
      <w:r>
        <w:lastRenderedPageBreak/>
        <w:t xml:space="preserve">Table </w:t>
      </w:r>
      <w:r w:rsidR="006E6A2E">
        <w:t>9.</w:t>
      </w:r>
      <w:r>
        <w:t xml:space="preserve"> Relative Bioavailability Results for Ratio of Anti-Xa to Anti-</w:t>
      </w:r>
      <w:proofErr w:type="spellStart"/>
      <w:r>
        <w:t>IIa</w:t>
      </w:r>
      <w:proofErr w:type="spellEnd"/>
      <w:r>
        <w:t xml:space="preserve"> activity (N=39) [including subjects having pre-dose concentration &gt;5% of </w:t>
      </w:r>
      <w:proofErr w:type="spellStart"/>
      <w:r>
        <w:t>Cmax</w:t>
      </w:r>
      <w:proofErr w:type="spellEnd"/>
      <w:r>
        <w:t xml:space="preserve"> for Anti-</w:t>
      </w:r>
      <w:proofErr w:type="spellStart"/>
      <w:r>
        <w:t>IIa</w:t>
      </w:r>
      <w:proofErr w:type="spellEnd"/>
      <w:r>
        <w:t xml:space="preserve"> activity]</w:t>
      </w:r>
    </w:p>
    <w:p w14:paraId="4573891E" w14:textId="1C42541B" w:rsidR="008F5897" w:rsidRDefault="008F5897" w:rsidP="00C05894">
      <w:r>
        <w:t xml:space="preserve"> </w:t>
      </w:r>
      <w:r w:rsidR="009A012F">
        <w:rPr>
          <w:noProof/>
        </w:rPr>
        <w:drawing>
          <wp:inline distT="0" distB="0" distL="0" distR="0" wp14:anchorId="37A15245" wp14:editId="14F763F4">
            <wp:extent cx="5177565" cy="1778794"/>
            <wp:effectExtent l="0" t="0" r="4445" b="0"/>
            <wp:docPr id="8" name="Picture 8"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table with numbers and text&#10;&#10;AI-generated content may be incorrect."/>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5224863" cy="1795043"/>
                    </a:xfrm>
                    <a:prstGeom prst="rect">
                      <a:avLst/>
                    </a:prstGeom>
                  </pic:spPr>
                </pic:pic>
              </a:graphicData>
            </a:graphic>
          </wp:inline>
        </w:drawing>
      </w:r>
    </w:p>
    <w:p w14:paraId="7C60169E" w14:textId="23BC7BDD" w:rsidR="008F5897" w:rsidRDefault="008F5897" w:rsidP="006B4DA1">
      <w:pPr>
        <w:pStyle w:val="Heading4"/>
      </w:pPr>
      <w:r>
        <w:t xml:space="preserve">Efficacy and </w:t>
      </w:r>
      <w:r w:rsidR="00C05894">
        <w:t>s</w:t>
      </w:r>
      <w:r>
        <w:t>afety</w:t>
      </w:r>
    </w:p>
    <w:p w14:paraId="0D50999F" w14:textId="77777777" w:rsidR="008F5897" w:rsidRDefault="008F5897" w:rsidP="009A012F">
      <w:r>
        <w:t xml:space="preserve">No clinical efficacy and safety study was conducted.  Efficacy and safety are expected to be </w:t>
      </w:r>
      <w:proofErr w:type="gramStart"/>
      <w:r>
        <w:t>similar to</w:t>
      </w:r>
      <w:proofErr w:type="gramEnd"/>
      <w:r>
        <w:t xml:space="preserve"> CLEXANE based on the findings of similar physicochemical properties, functional characteristics, and PD profiles.  Immunogenicity was assessed in comparative in vitro and in vivo immunogenicity studies in Module 4.  No new safety concerns were identified in the PD equivalence study.  Post-market safety findings presented in the Quarterly Adverse Drug Experience Report for the period 6 March 2024 to 5 June 2024 did not change the safety profile.</w:t>
      </w:r>
    </w:p>
    <w:p w14:paraId="74A4F87F" w14:textId="77777777" w:rsidR="00C22214" w:rsidRDefault="00C22214" w:rsidP="00C22214">
      <w:pPr>
        <w:pStyle w:val="Heading3"/>
      </w:pPr>
      <w:bookmarkStart w:id="36" w:name="_Toc247691531"/>
      <w:bookmarkStart w:id="37" w:name="_Toc314842515"/>
      <w:bookmarkStart w:id="38" w:name="_Toc103679299"/>
      <w:bookmarkStart w:id="39" w:name="_Toc203984534"/>
      <w:r>
        <w:t>Risk-benefit analysis</w:t>
      </w:r>
      <w:bookmarkEnd w:id="36"/>
      <w:bookmarkEnd w:id="37"/>
      <w:bookmarkEnd w:id="38"/>
      <w:bookmarkEnd w:id="39"/>
    </w:p>
    <w:p w14:paraId="31852ADC" w14:textId="77777777" w:rsidR="00E276E0" w:rsidRDefault="00E276E0" w:rsidP="00E276E0">
      <w:pPr>
        <w:pStyle w:val="Heading4"/>
      </w:pPr>
      <w:bookmarkStart w:id="40" w:name="_Toc203984535"/>
      <w:proofErr w:type="spellStart"/>
      <w:r>
        <w:t>Biosimilarity</w:t>
      </w:r>
      <w:bookmarkEnd w:id="40"/>
      <w:proofErr w:type="spellEnd"/>
    </w:p>
    <w:p w14:paraId="5CCA0C91" w14:textId="45BC9968" w:rsidR="00E276E0" w:rsidRDefault="00E276E0" w:rsidP="00E276E0">
      <w:r>
        <w:t xml:space="preserve">The </w:t>
      </w:r>
      <w:r w:rsidR="005E050B">
        <w:t>Sponsor</w:t>
      </w:r>
      <w:r>
        <w:t xml:space="preserve"> presented comprehensive comparative analyses of physicochemical and biological attributes demonstrating similarity of the proposed product to the reference product CLEXANE, including a bridging study demonstrating similarity of EU-CLEXANE and AU-CLEXANE.  The findings from the comprehensive quality and non-clinical comparability exercise support a conclusion of </w:t>
      </w:r>
      <w:proofErr w:type="spellStart"/>
      <w:r>
        <w:t>biosimilarity</w:t>
      </w:r>
      <w:proofErr w:type="spellEnd"/>
      <w:r>
        <w:t>.  The non-clinical evaluation concluded that immunogenicity was satisfactorily addressed in comparative in vitro and in vivo immunogenicity studies.</w:t>
      </w:r>
    </w:p>
    <w:p w14:paraId="4E50FDED" w14:textId="14BFC5EB" w:rsidR="00E276E0" w:rsidRDefault="00E276E0" w:rsidP="00E276E0">
      <w:r>
        <w:t xml:space="preserve">Bioequivalence of PD parameters of the proposed product to CLEXANE has been satisfactorily demonstrated.  The bioequivalence study evaluated doses of 100 mg by subcutaneous injection.  This dose was selected as it is within the sensitive portion of the dose-response curve and within the recommended therapeutic dose range.  The </w:t>
      </w:r>
      <w:r w:rsidR="00E654CC">
        <w:t>pharmacokinetics</w:t>
      </w:r>
      <w:r>
        <w:t xml:space="preserve"> of enoxaparin (based on PD endpoints) is linear over the recommended dose range, including prophylactic and therapeutic doses.  Extrapolation of bioequivalence to the other proposed strengths is acceptable.  The 100 mg/mL and 150 mg/mL formulations contain no excipients other than water for injections.  Extrapolation to other routes of administration (intravenous, and into arterial line of haemodialysis circuit) is acceptable, as bioequivalence with subcutaneous administration addresses both absorption and elimination.  </w:t>
      </w:r>
    </w:p>
    <w:p w14:paraId="3B449D99" w14:textId="570F5579" w:rsidR="00E276E0" w:rsidRPr="00E276E0" w:rsidRDefault="00E276E0" w:rsidP="00E276E0">
      <w:r>
        <w:t xml:space="preserve">There was no clinical efficacy and safety study.  The demonstration of similar physicochemical properties, functional characteristics, and PD profiles to CLEXANE support a conclusion of similar efficacy and safety.  Immunogenicity was satisfactorily addressed in comparative in vitro and in vivo immunogenicity studies assessed in the non-clinical evaluation.  Safety data from the bioequivalence study raised no new safety concerns.  This approach to determining similar efficacy and safety is consistent with the TGA-adopted </w:t>
      </w:r>
      <w:r w:rsidR="004A6CF0">
        <w:t>g</w:t>
      </w:r>
      <w:r>
        <w:t xml:space="preserve">uideline on non-clinical and clinical </w:t>
      </w:r>
      <w:r>
        <w:lastRenderedPageBreak/>
        <w:t>development of similar biological medicinal products containing low molecular-weight-heparins.</w:t>
      </w:r>
      <w:r w:rsidR="00BC2EE5">
        <w:rPr>
          <w:rStyle w:val="FootnoteReference"/>
        </w:rPr>
        <w:footnoteReference w:id="2"/>
      </w:r>
    </w:p>
    <w:p w14:paraId="307F236C" w14:textId="5BA0D35D" w:rsidR="00C22214" w:rsidRPr="002E238E" w:rsidRDefault="0046285C" w:rsidP="00C22214">
      <w:pPr>
        <w:pStyle w:val="Heading2"/>
      </w:pPr>
      <w:bookmarkStart w:id="41" w:name="_Toc247691532"/>
      <w:bookmarkStart w:id="42" w:name="_Toc314842516"/>
      <w:bookmarkStart w:id="43" w:name="_Toc103679300"/>
      <w:bookmarkStart w:id="44" w:name="_Toc203984536"/>
      <w:r>
        <w:t>Assessment</w:t>
      </w:r>
      <w:r w:rsidR="00190853">
        <w:t xml:space="preserve"> </w:t>
      </w:r>
      <w:r>
        <w:t>o</w:t>
      </w:r>
      <w:r w:rsidR="00C22214">
        <w:t>utcome</w:t>
      </w:r>
      <w:bookmarkEnd w:id="41"/>
      <w:bookmarkEnd w:id="42"/>
      <w:bookmarkEnd w:id="43"/>
      <w:bookmarkEnd w:id="44"/>
    </w:p>
    <w:p w14:paraId="4EF22939" w14:textId="3AC06484" w:rsidR="00C22214" w:rsidRDefault="00C22214" w:rsidP="0006104E">
      <w:r w:rsidRPr="0017005C">
        <w:t xml:space="preserve">Based on a review of quality, safety, and efficacy, the TGA </w:t>
      </w:r>
      <w:r w:rsidR="00B46DFB">
        <w:t>decided to</w:t>
      </w:r>
      <w:r w:rsidRPr="0017005C">
        <w:t xml:space="preserve"> regist</w:t>
      </w:r>
      <w:r w:rsidR="00B46DFB">
        <w:t>er</w:t>
      </w:r>
      <w:r w:rsidRPr="0017005C">
        <w:t xml:space="preserve"> </w:t>
      </w:r>
      <w:r w:rsidR="00456FE9" w:rsidRPr="00456FE9">
        <w:t xml:space="preserve">CLASTO, ENOXACOR and ENOXAJECT </w:t>
      </w:r>
      <w:r w:rsidR="00456FE9">
        <w:t xml:space="preserve">(enoxaparin) </w:t>
      </w:r>
      <w:r w:rsidRPr="0017005C">
        <w:t>for the following indication</w:t>
      </w:r>
      <w:r w:rsidR="00D23D3E">
        <w:t>:</w:t>
      </w:r>
    </w:p>
    <w:p w14:paraId="5150A1AB" w14:textId="677E2549" w:rsidR="00AE5A64" w:rsidRDefault="00AE5A64" w:rsidP="00AE5A64">
      <w:pPr>
        <w:pStyle w:val="Indication"/>
      </w:pPr>
      <w:r>
        <w:t>Prevention of thrombo-embolic disorders of venous origin in patients undergoing orthopaedic and general surgery.</w:t>
      </w:r>
    </w:p>
    <w:p w14:paraId="1D56EE92" w14:textId="77777777" w:rsidR="00AE5A64" w:rsidRDefault="00AE5A64" w:rsidP="00AE5A64">
      <w:pPr>
        <w:pStyle w:val="Indication"/>
      </w:pPr>
      <w:r>
        <w:t>Prophylaxis of venous thromboembolism in medical patients bedridden due to acute illness.</w:t>
      </w:r>
    </w:p>
    <w:p w14:paraId="642BBE44" w14:textId="4DDC75CF" w:rsidR="00AE5A64" w:rsidRDefault="00AE5A64" w:rsidP="00AE5A64">
      <w:pPr>
        <w:pStyle w:val="Indication"/>
      </w:pPr>
      <w:r>
        <w:t>Prevention of thrombosis in extra-corporeal circulation during haemodialysis.</w:t>
      </w:r>
    </w:p>
    <w:p w14:paraId="1512AE36" w14:textId="10F97A7B" w:rsidR="00AE5A64" w:rsidRDefault="00AE5A64" w:rsidP="00AE5A64">
      <w:pPr>
        <w:pStyle w:val="Indication"/>
      </w:pPr>
      <w:r>
        <w:t>Treatment of established deep vein thrombosis.</w:t>
      </w:r>
    </w:p>
    <w:p w14:paraId="2EB5D4D8" w14:textId="77777777" w:rsidR="00AE5A64" w:rsidRDefault="00AE5A64" w:rsidP="00AE5A64">
      <w:pPr>
        <w:pStyle w:val="Indication"/>
      </w:pPr>
      <w:r>
        <w:t>Treatment of unstable angina and non-Q-wave myocardial infarction, administered concurrently with aspirin.</w:t>
      </w:r>
    </w:p>
    <w:p w14:paraId="2906EA8D" w14:textId="42496BFB" w:rsidR="00AE5A64" w:rsidRPr="0017005C" w:rsidRDefault="00AE5A64" w:rsidP="00AE5A64">
      <w:pPr>
        <w:pStyle w:val="Indication"/>
      </w:pPr>
      <w:r>
        <w:t>Treatment of acute ST-segment Elevation Myocardial Infarction (STEMI) as an adjunctive to thrombolytic treatment, including patients to be managed medically or with subsequent Percutaneous Coronary Intervention (PCI).</w:t>
      </w:r>
    </w:p>
    <w:p w14:paraId="0D732DA4" w14:textId="4AE9D6F3" w:rsidR="00854D98" w:rsidRPr="00D23139" w:rsidRDefault="00854D98" w:rsidP="00C05894">
      <w:pPr>
        <w:pStyle w:val="Heading3"/>
      </w:pPr>
      <w:bookmarkStart w:id="45" w:name="_Toc203984537"/>
      <w:bookmarkStart w:id="46" w:name="_Toc103679301"/>
      <w:r w:rsidRPr="00D23139">
        <w:t>Specific conditions of registration</w:t>
      </w:r>
      <w:bookmarkEnd w:id="45"/>
      <w:r w:rsidRPr="00D23139">
        <w:t xml:space="preserve"> </w:t>
      </w:r>
      <w:bookmarkEnd w:id="46"/>
    </w:p>
    <w:p w14:paraId="40C614AE" w14:textId="5AB185B2" w:rsidR="007F6C22" w:rsidRPr="007F6C22" w:rsidRDefault="007F6C22" w:rsidP="00C05894">
      <w:pPr>
        <w:pStyle w:val="Heading4"/>
      </w:pPr>
      <w:r w:rsidRPr="007F6C22">
        <w:t xml:space="preserve">Laboratory testing &amp; compliance with </w:t>
      </w:r>
      <w:r w:rsidR="00C05894" w:rsidRPr="007F6C22">
        <w:t>certified product details</w:t>
      </w:r>
    </w:p>
    <w:p w14:paraId="0A142238" w14:textId="5F422950" w:rsidR="007F6C22" w:rsidRPr="007F6C22" w:rsidRDefault="007F6C22" w:rsidP="007F6C22">
      <w:pPr>
        <w:rPr>
          <w:szCs w:val="22"/>
        </w:rPr>
      </w:pPr>
      <w:r w:rsidRPr="007F6C22">
        <w:rPr>
          <w:szCs w:val="22"/>
        </w:rPr>
        <w:t>All batches of CLASTO, ENOXACOR and ENOXAJECT supplied in Australia must comply with the product details and specifications approved during evaluation and detailed in the Certified Product Details (CPD).</w:t>
      </w:r>
    </w:p>
    <w:p w14:paraId="3722C2BB" w14:textId="50724B27" w:rsidR="007F6C22" w:rsidRPr="007F6C22" w:rsidRDefault="007F6C22" w:rsidP="007F6C22">
      <w:pPr>
        <w:rPr>
          <w:szCs w:val="22"/>
        </w:rPr>
      </w:pPr>
      <w:r w:rsidRPr="007F6C22">
        <w:rPr>
          <w:szCs w:val="22"/>
        </w:rPr>
        <w:t xml:space="preserve">When requested by the TGA, the </w:t>
      </w:r>
      <w:r w:rsidR="005E050B">
        <w:rPr>
          <w:szCs w:val="22"/>
        </w:rPr>
        <w:t>Sponsor</w:t>
      </w:r>
      <w:r w:rsidRPr="007F6C22">
        <w:rPr>
          <w:szCs w:val="22"/>
        </w:rPr>
        <w:t xml:space="preserve"> should be prepared to provide product samples, specified reference materials and documentary evidence to enable the TGA to conduct laboratory testing on the Product. Outcomes of laboratory testing are published biannually in the TGA Database of Laboratory Testing Results http://www.tga.gov.au/ws-labs-index and periodically in testing reports on the TGA website.</w:t>
      </w:r>
    </w:p>
    <w:p w14:paraId="2AD12A91" w14:textId="59593A59" w:rsidR="007F6C22" w:rsidRPr="007F6C22" w:rsidRDefault="007F6C22" w:rsidP="007F6C22">
      <w:pPr>
        <w:pStyle w:val="Heading5"/>
      </w:pPr>
      <w:r w:rsidRPr="007F6C22">
        <w:t xml:space="preserve">Certified </w:t>
      </w:r>
      <w:r w:rsidR="00C05894" w:rsidRPr="007F6C22">
        <w:t>product details</w:t>
      </w:r>
    </w:p>
    <w:p w14:paraId="355AC3EF" w14:textId="572960F4" w:rsidR="007F6C22" w:rsidRPr="007F6C22" w:rsidRDefault="007F6C22" w:rsidP="007F6C22">
      <w:pPr>
        <w:rPr>
          <w:szCs w:val="22"/>
        </w:rPr>
      </w:pPr>
      <w:r w:rsidRPr="007F6C22">
        <w:rPr>
          <w:szCs w:val="22"/>
        </w:rPr>
        <w:t>The Certified Product Details (CPD), as described in Guidance 7: Certified Product Details of the Australian Regulatory Guidelines for Prescription Medicines (ARGPM), in PDF format, for the above products should be provided upon registration of these therapeutic goods. In addition, an updated CPD should be provided when changes to finished product specifications and test methods are approved in a Category 3 application or notified through a self-assessable change.</w:t>
      </w:r>
    </w:p>
    <w:p w14:paraId="16CBD9A2" w14:textId="3AFC7589" w:rsidR="007F6C22" w:rsidRPr="007F6C22" w:rsidRDefault="007F6C22" w:rsidP="007F6C22">
      <w:pPr>
        <w:rPr>
          <w:szCs w:val="22"/>
        </w:rPr>
      </w:pPr>
      <w:r w:rsidRPr="007F6C22">
        <w:rPr>
          <w:szCs w:val="22"/>
        </w:rPr>
        <w:t>A template for preparation of CPD for biological prescription medicines can be obtained from the TGA website</w:t>
      </w:r>
      <w:r>
        <w:rPr>
          <w:szCs w:val="22"/>
        </w:rPr>
        <w:t>:</w:t>
      </w:r>
      <w:r w:rsidRPr="007F6C22">
        <w:rPr>
          <w:szCs w:val="22"/>
        </w:rPr>
        <w:t xml:space="preserve"> </w:t>
      </w:r>
    </w:p>
    <w:p w14:paraId="2568D9F8" w14:textId="3E63D66C" w:rsidR="007F6C22" w:rsidRPr="007F6C22" w:rsidRDefault="007F6C22" w:rsidP="007F6C22">
      <w:pPr>
        <w:rPr>
          <w:szCs w:val="22"/>
        </w:rPr>
      </w:pPr>
      <w:r w:rsidRPr="007F6C22">
        <w:rPr>
          <w:szCs w:val="22"/>
        </w:rPr>
        <w:tab/>
        <w:t xml:space="preserve">[for the form] </w:t>
      </w:r>
      <w:hyperlink r:id="rId33" w:history="1">
        <w:r w:rsidRPr="00A57262">
          <w:rPr>
            <w:rStyle w:val="Hyperlink"/>
            <w:szCs w:val="22"/>
          </w:rPr>
          <w:t>https://www.tga.gov.au/form/certified-product-details-cpd-biological-prescription-medicines</w:t>
        </w:r>
      </w:hyperlink>
      <w:r>
        <w:rPr>
          <w:szCs w:val="22"/>
        </w:rPr>
        <w:t xml:space="preserve"> </w:t>
      </w:r>
      <w:r w:rsidRPr="007F6C22">
        <w:rPr>
          <w:szCs w:val="22"/>
        </w:rPr>
        <w:t xml:space="preserve">  </w:t>
      </w:r>
    </w:p>
    <w:p w14:paraId="7C967F1B" w14:textId="25984F1D" w:rsidR="00854D98" w:rsidRPr="00854D98" w:rsidRDefault="007F6C22" w:rsidP="007F6C22">
      <w:pPr>
        <w:rPr>
          <w:szCs w:val="22"/>
        </w:rPr>
      </w:pPr>
      <w:r w:rsidRPr="007F6C22">
        <w:rPr>
          <w:szCs w:val="22"/>
        </w:rPr>
        <w:tab/>
        <w:t xml:space="preserve">[for the CPD guidance] </w:t>
      </w:r>
      <w:hyperlink r:id="rId34" w:history="1">
        <w:r w:rsidRPr="00A57262">
          <w:rPr>
            <w:rStyle w:val="Hyperlink"/>
            <w:szCs w:val="22"/>
          </w:rPr>
          <w:t>https://www.tga.gov.au/guidance-7-certified-product-details</w:t>
        </w:r>
      </w:hyperlink>
      <w:r>
        <w:rPr>
          <w:szCs w:val="22"/>
        </w:rPr>
        <w:t xml:space="preserve"> </w:t>
      </w:r>
    </w:p>
    <w:p w14:paraId="0F9C1952" w14:textId="597561E2" w:rsidR="00BA657C" w:rsidRPr="00BA657C" w:rsidRDefault="00BA657C" w:rsidP="00C05894">
      <w:pPr>
        <w:pStyle w:val="Heading2"/>
      </w:pPr>
      <w:bookmarkStart w:id="47" w:name="_Toc196738290"/>
      <w:bookmarkStart w:id="48" w:name="_Toc203984538"/>
      <w:r w:rsidRPr="00BA657C">
        <w:lastRenderedPageBreak/>
        <w:t>Product Information and Consumer Medicines Information</w:t>
      </w:r>
      <w:bookmarkEnd w:id="47"/>
      <w:bookmarkEnd w:id="48"/>
    </w:p>
    <w:p w14:paraId="5F276616" w14:textId="77777777" w:rsidR="004D0933" w:rsidRPr="004D0933" w:rsidRDefault="004D0933" w:rsidP="004D0933">
      <w:r w:rsidRPr="004D0933">
        <w:t xml:space="preserve">For the most recent Product Information (PI) and Consumer Medicines Information (CMI), please refer to the TGA </w:t>
      </w:r>
      <w:hyperlink r:id="rId35" w:history="1">
        <w:r w:rsidRPr="004D0933">
          <w:rPr>
            <w:rStyle w:val="Hyperlink"/>
          </w:rPr>
          <w:t>PI/CMI search facility.</w:t>
        </w:r>
      </w:hyperlink>
    </w:p>
    <w:p w14:paraId="32874BCE" w14:textId="77777777" w:rsidR="00E40C3C" w:rsidRDefault="00E40C3C" w:rsidP="00E40C3C">
      <w:pPr>
        <w:rPr>
          <w:lang w:eastAsia="ja-JP"/>
        </w:rPr>
      </w:pPr>
    </w:p>
    <w:p w14:paraId="53357BF3" w14:textId="276457B5" w:rsidR="00E40C3C" w:rsidRPr="00E40C3C" w:rsidRDefault="00E40C3C" w:rsidP="00E40C3C">
      <w:pPr>
        <w:rPr>
          <w:lang w:eastAsia="ja-JP"/>
        </w:rPr>
        <w:sectPr w:rsidR="00E40C3C" w:rsidRPr="00E40C3C" w:rsidSect="007452E8">
          <w:headerReference w:type="default" r:id="rId36"/>
          <w:footerReference w:type="default" r:id="rId37"/>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6"/>
          <w:bookmarkEnd w:id="7"/>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53CB9479" w:rsidR="00F02AEC" w:rsidRDefault="00F02AEC">
            <w:pPr>
              <w:pStyle w:val="Address"/>
              <w:jc w:val="center"/>
              <w:rPr>
                <w:sz w:val="22"/>
                <w:szCs w:val="22"/>
              </w:rPr>
            </w:pPr>
            <w:r w:rsidRPr="00215D48">
              <w:t xml:space="preserve">Email: </w:t>
            </w:r>
            <w:hyperlink r:id="rId38"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533D80F" w14:textId="1519D7A3" w:rsidR="00F02AEC" w:rsidRPr="00C05894" w:rsidRDefault="00F02AEC">
            <w:pPr>
              <w:pStyle w:val="Address"/>
              <w:jc w:val="center"/>
              <w:rPr>
                <w:rStyle w:val="Hyperlink"/>
                <w:color w:val="auto"/>
                <w:sz w:val="22"/>
              </w:rPr>
            </w:pPr>
            <w:hyperlink r:id="rId39" w:history="1">
              <w:r w:rsidRPr="00C05894">
                <w:rPr>
                  <w:rStyle w:val="Hyperlink"/>
                </w:rPr>
                <w:t>https://www.tga.gov.au</w:t>
              </w:r>
            </w:hyperlink>
          </w:p>
        </w:tc>
      </w:tr>
    </w:tbl>
    <w:p w14:paraId="788B80FD" w14:textId="77777777" w:rsidR="007452E8" w:rsidRDefault="007452E8"/>
    <w:sectPr w:rsidR="007452E8" w:rsidSect="007452E8">
      <w:headerReference w:type="first" r:id="rId40"/>
      <w:footerReference w:type="first" r:id="rId41"/>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152AE" w14:textId="77777777" w:rsidR="00336554" w:rsidRDefault="00336554" w:rsidP="00F02AEC">
      <w:pPr>
        <w:spacing w:after="0" w:line="240" w:lineRule="auto"/>
      </w:pPr>
      <w:r>
        <w:separator/>
      </w:r>
    </w:p>
  </w:endnote>
  <w:endnote w:type="continuationSeparator" w:id="0">
    <w:p w14:paraId="65290C87" w14:textId="77777777" w:rsidR="00336554" w:rsidRDefault="00336554"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00"/>
    <w:family w:val="roman"/>
    <w:notTrueType/>
    <w:pitch w:val="default"/>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7F1E37">
                <w:fldChar w:fldCharType="begin"/>
              </w:r>
              <w:r w:rsidR="007F1E37">
                <w:instrText xml:space="preserve"> NUMPAGES  </w:instrText>
              </w:r>
              <w:r w:rsidR="007F1E37">
                <w:fldChar w:fldCharType="separate"/>
              </w:r>
              <w:r>
                <w:rPr>
                  <w:noProof/>
                </w:rPr>
                <w:t>2</w:t>
              </w:r>
              <w:r w:rsidR="007F1E37">
                <w:rPr>
                  <w:noProof/>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29C" w14:textId="77777777"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797"/>
      <w:gridCol w:w="1417"/>
    </w:tblGrid>
    <w:tr w:rsidR="007452E8" w:rsidRPr="004A3084" w14:paraId="6266BC33" w14:textId="77777777" w:rsidTr="00235196">
      <w:trPr>
        <w:trHeight w:val="423"/>
      </w:trPr>
      <w:tc>
        <w:tcPr>
          <w:tcW w:w="7797" w:type="dxa"/>
          <w:tcBorders>
            <w:top w:val="single" w:sz="4" w:space="0" w:color="auto"/>
          </w:tcBorders>
        </w:tcPr>
        <w:p w14:paraId="0ACAAEBB" w14:textId="6DEA96CC" w:rsidR="00235196" w:rsidRDefault="007452E8" w:rsidP="007452E8">
          <w:pPr>
            <w:pStyle w:val="Footer"/>
          </w:pPr>
          <w:r w:rsidRPr="00697367">
            <w:t xml:space="preserve">AusPAR - </w:t>
          </w:r>
          <w:r w:rsidR="00EF665E" w:rsidRPr="00697367">
            <w:t>CLASTO, ENOXACOR and ENOXAJECT</w:t>
          </w:r>
          <w:r w:rsidRPr="00697367">
            <w:t xml:space="preserve"> - </w:t>
          </w:r>
          <w:r w:rsidR="006916E9" w:rsidRPr="00697367">
            <w:t>enoxaparin</w:t>
          </w:r>
          <w:r w:rsidRPr="00697367">
            <w:t xml:space="preserve"> </w:t>
          </w:r>
          <w:r w:rsidR="008C754C" w:rsidRPr="00697367">
            <w:t>-</w:t>
          </w:r>
          <w:r w:rsidRPr="00697367">
            <w:t xml:space="preserve"> </w:t>
          </w:r>
          <w:proofErr w:type="spellStart"/>
          <w:r w:rsidR="002F25DF" w:rsidRPr="00697367">
            <w:t>Pharmacor</w:t>
          </w:r>
          <w:proofErr w:type="spellEnd"/>
          <w:r w:rsidR="002F25DF" w:rsidRPr="00697367">
            <w:t xml:space="preserve"> Pty Ltd</w:t>
          </w:r>
          <w:r w:rsidRPr="00697367">
            <w:t xml:space="preserve"> - </w:t>
          </w:r>
          <w:r w:rsidR="004D2DE1" w:rsidRPr="00697367">
            <w:t>PM-2023-04221-1-3</w:t>
          </w:r>
        </w:p>
        <w:p w14:paraId="3C421323" w14:textId="5FE90DFE" w:rsidR="007452E8" w:rsidRPr="00697367" w:rsidRDefault="007452E8" w:rsidP="007452E8">
          <w:pPr>
            <w:pStyle w:val="Footer"/>
          </w:pPr>
          <w:r w:rsidRPr="00697367">
            <w:t>Date of Finalisation</w:t>
          </w:r>
          <w:r w:rsidR="00697367" w:rsidRPr="00697367">
            <w:t>: 21 July 2025</w:t>
          </w:r>
        </w:p>
      </w:tc>
      <w:tc>
        <w:tcPr>
          <w:tcW w:w="1417"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rsidR="007F1E37">
                <w:fldChar w:fldCharType="begin"/>
              </w:r>
              <w:r w:rsidR="007F1E37">
                <w:instrText xml:space="preserve"> NUMPAGES  </w:instrText>
              </w:r>
              <w:r w:rsidR="007F1E37">
                <w:fldChar w:fldCharType="separate"/>
              </w:r>
              <w:r w:rsidR="006D6B44">
                <w:rPr>
                  <w:noProof/>
                </w:rPr>
                <w:t>17</w:t>
              </w:r>
              <w:r w:rsidR="007F1E37">
                <w:rPr>
                  <w:noProof/>
                </w:rP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B7940" w14:textId="77777777" w:rsidR="00336554" w:rsidRDefault="00336554" w:rsidP="00F02AEC">
      <w:pPr>
        <w:spacing w:after="0" w:line="240" w:lineRule="auto"/>
      </w:pPr>
      <w:r>
        <w:separator/>
      </w:r>
    </w:p>
  </w:footnote>
  <w:footnote w:type="continuationSeparator" w:id="0">
    <w:p w14:paraId="4A1E32C4" w14:textId="77777777" w:rsidR="00336554" w:rsidRDefault="00336554" w:rsidP="00F02AEC">
      <w:pPr>
        <w:spacing w:after="0" w:line="240" w:lineRule="auto"/>
      </w:pPr>
      <w:r>
        <w:continuationSeparator/>
      </w:r>
    </w:p>
  </w:footnote>
  <w:footnote w:id="1">
    <w:p w14:paraId="28487D52" w14:textId="3835B3D0" w:rsidR="007E50E2" w:rsidRDefault="007E50E2">
      <w:pPr>
        <w:pStyle w:val="FootnoteText"/>
      </w:pPr>
      <w:r>
        <w:rPr>
          <w:rStyle w:val="FootnoteReference"/>
        </w:rPr>
        <w:footnoteRef/>
      </w:r>
      <w:r>
        <w:t xml:space="preserve"> </w:t>
      </w:r>
      <w:r w:rsidRPr="007E50E2">
        <w:t xml:space="preserve">A </w:t>
      </w:r>
      <w:r w:rsidR="005E050B">
        <w:t>Sponsor</w:t>
      </w:r>
      <w:r w:rsidRPr="007E50E2">
        <w:t xml:space="preserve"> is a person or company who does one or more of the following: a) exports therapeutic goods from Australia, b) imports therapeutic goods into Australia, c) manufactures therapeutic goods for supply in Australia or d) elsewhere arranges for another party to import, export or manufacture therapeutic goods</w:t>
      </w:r>
    </w:p>
  </w:footnote>
  <w:footnote w:id="2">
    <w:p w14:paraId="4D8CB18A" w14:textId="4D3F0F04" w:rsidR="004A6CF0" w:rsidRDefault="00BC2EE5" w:rsidP="004A6CF0">
      <w:pPr>
        <w:pStyle w:val="FootnoteText"/>
      </w:pPr>
      <w:r>
        <w:rPr>
          <w:rStyle w:val="FootnoteReference"/>
        </w:rPr>
        <w:footnoteRef/>
      </w:r>
      <w:r>
        <w:t xml:space="preserve"> European Medicines Agency. </w:t>
      </w:r>
      <w:hyperlink r:id="rId1" w:history="1">
        <w:r w:rsidRPr="004A6CF0">
          <w:rPr>
            <w:rStyle w:val="Hyperlink"/>
          </w:rPr>
          <w:t>Guideline on non-clinical and clinical development of similar biological medicinal products containing low-molecular-weight-heparins - Revision 1</w:t>
        </w:r>
      </w:hyperlink>
      <w:r w:rsidR="004A6CF0">
        <w:t>. 10 November 2016. EMEA/CHMP/BMWP/118264/2007 Rev. 1</w:t>
      </w:r>
    </w:p>
    <w:p w14:paraId="752F5B15" w14:textId="08148799" w:rsidR="00BC2EE5" w:rsidRDefault="004A6CF0" w:rsidP="004A6CF0">
      <w:pPr>
        <w:pStyle w:val="FootnoteText"/>
      </w:pPr>
      <w:r>
        <w:t xml:space="preserve">Committee for Medicinal products for Human (CHMP).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A863E8" w:rsidP="007452E8">
          <w:pPr>
            <w:ind w:left="-57"/>
            <w:rPr>
              <w:noProof/>
            </w:rPr>
          </w:pP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38802056" w:rsidR="007452E8" w:rsidRDefault="0006693A" w:rsidP="007452E8">
    <w:pPr>
      <w:rPr>
        <w:noProof/>
      </w:rPr>
    </w:pPr>
    <w:r>
      <w:rPr>
        <w:noProof/>
      </w:rPr>
      <w:drawing>
        <wp:inline distT="0" distB="0" distL="0" distR="0" wp14:anchorId="26654E9F" wp14:editId="78E105AB">
          <wp:extent cx="3344545" cy="694055"/>
          <wp:effectExtent l="0" t="0" r="8255" b="0"/>
          <wp:docPr id="159602786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27861" name="Picture 2"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r w:rsidR="007452E8" w:rsidRPr="002B29B2">
      <w:rPr>
        <w:noProof/>
        <w:lang w:val="en-GB" w:eastAsia="en-GB"/>
      </w:rPr>
      <w:drawing>
        <wp:anchor distT="0" distB="0" distL="114300" distR="114300" simplePos="0" relativeHeight="251660288" behindDoc="0" locked="0" layoutInCell="0" allowOverlap="1" wp14:anchorId="14BBEAC1" wp14:editId="5D9F0498">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632D" w14:textId="77777777"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477B" w14:textId="7777777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2"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5"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6"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7"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11"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1032997172">
    <w:abstractNumId w:val="3"/>
  </w:num>
  <w:num w:numId="2" w16cid:durableId="1856573705">
    <w:abstractNumId w:val="0"/>
  </w:num>
  <w:num w:numId="3" w16cid:durableId="357703499">
    <w:abstractNumId w:val="2"/>
  </w:num>
  <w:num w:numId="4" w16cid:durableId="1869176708">
    <w:abstractNumId w:val="9"/>
  </w:num>
  <w:num w:numId="5" w16cid:durableId="1652950129">
    <w:abstractNumId w:val="5"/>
  </w:num>
  <w:num w:numId="6" w16cid:durableId="1053193207">
    <w:abstractNumId w:val="7"/>
  </w:num>
  <w:num w:numId="7" w16cid:durableId="201135927">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8"/>
  </w:num>
  <w:num w:numId="9" w16cid:durableId="173421270">
    <w:abstractNumId w:val="1"/>
  </w:num>
  <w:num w:numId="10" w16cid:durableId="2108043357">
    <w:abstractNumId w:val="4"/>
  </w:num>
  <w:num w:numId="11" w16cid:durableId="1725904230">
    <w:abstractNumId w:val="6"/>
  </w:num>
  <w:num w:numId="12" w16cid:durableId="141579354">
    <w:abstractNumId w:val="10"/>
  </w:num>
  <w:num w:numId="13" w16cid:durableId="2837350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E6E"/>
    <w:rsid w:val="00004431"/>
    <w:rsid w:val="00004E81"/>
    <w:rsid w:val="00005062"/>
    <w:rsid w:val="00007665"/>
    <w:rsid w:val="0001064C"/>
    <w:rsid w:val="0001384A"/>
    <w:rsid w:val="000152A0"/>
    <w:rsid w:val="00021C13"/>
    <w:rsid w:val="00032A0F"/>
    <w:rsid w:val="000354EC"/>
    <w:rsid w:val="00040D8D"/>
    <w:rsid w:val="00046423"/>
    <w:rsid w:val="000477F5"/>
    <w:rsid w:val="0006104E"/>
    <w:rsid w:val="00062DAD"/>
    <w:rsid w:val="000640BD"/>
    <w:rsid w:val="00065839"/>
    <w:rsid w:val="00065FDF"/>
    <w:rsid w:val="0006693A"/>
    <w:rsid w:val="00071E94"/>
    <w:rsid w:val="00075101"/>
    <w:rsid w:val="00077844"/>
    <w:rsid w:val="00083763"/>
    <w:rsid w:val="00090510"/>
    <w:rsid w:val="00090FDF"/>
    <w:rsid w:val="000917AE"/>
    <w:rsid w:val="00094B81"/>
    <w:rsid w:val="00095C6A"/>
    <w:rsid w:val="000975AA"/>
    <w:rsid w:val="0009767A"/>
    <w:rsid w:val="000B6B15"/>
    <w:rsid w:val="000C25A7"/>
    <w:rsid w:val="000D229E"/>
    <w:rsid w:val="000D3990"/>
    <w:rsid w:val="000D78EC"/>
    <w:rsid w:val="000D7934"/>
    <w:rsid w:val="000E2434"/>
    <w:rsid w:val="000E2597"/>
    <w:rsid w:val="000E504E"/>
    <w:rsid w:val="000E6746"/>
    <w:rsid w:val="000F6D53"/>
    <w:rsid w:val="000F7B51"/>
    <w:rsid w:val="00101BEE"/>
    <w:rsid w:val="00101CE6"/>
    <w:rsid w:val="00101FB1"/>
    <w:rsid w:val="0010558A"/>
    <w:rsid w:val="001101FF"/>
    <w:rsid w:val="00111989"/>
    <w:rsid w:val="00113F9F"/>
    <w:rsid w:val="00114025"/>
    <w:rsid w:val="0012473C"/>
    <w:rsid w:val="00127A74"/>
    <w:rsid w:val="0013132F"/>
    <w:rsid w:val="00131B1B"/>
    <w:rsid w:val="0013306D"/>
    <w:rsid w:val="00133F91"/>
    <w:rsid w:val="0013528C"/>
    <w:rsid w:val="001442A2"/>
    <w:rsid w:val="001468CA"/>
    <w:rsid w:val="001500A8"/>
    <w:rsid w:val="00154377"/>
    <w:rsid w:val="00155D85"/>
    <w:rsid w:val="001659BE"/>
    <w:rsid w:val="00165D28"/>
    <w:rsid w:val="0017005C"/>
    <w:rsid w:val="00175CD8"/>
    <w:rsid w:val="001768BE"/>
    <w:rsid w:val="00182BD8"/>
    <w:rsid w:val="00183A66"/>
    <w:rsid w:val="001854B0"/>
    <w:rsid w:val="00185646"/>
    <w:rsid w:val="00190853"/>
    <w:rsid w:val="001955B2"/>
    <w:rsid w:val="001A4208"/>
    <w:rsid w:val="001A716C"/>
    <w:rsid w:val="001A76F9"/>
    <w:rsid w:val="001B06FF"/>
    <w:rsid w:val="001B1703"/>
    <w:rsid w:val="001B5CA6"/>
    <w:rsid w:val="001C1C2E"/>
    <w:rsid w:val="001C31A1"/>
    <w:rsid w:val="001C3FA2"/>
    <w:rsid w:val="001C5EE2"/>
    <w:rsid w:val="001C68F4"/>
    <w:rsid w:val="001C7CC0"/>
    <w:rsid w:val="001D0077"/>
    <w:rsid w:val="001D56F6"/>
    <w:rsid w:val="001D66CD"/>
    <w:rsid w:val="001E407B"/>
    <w:rsid w:val="001E7FC6"/>
    <w:rsid w:val="001F2502"/>
    <w:rsid w:val="001F6EE3"/>
    <w:rsid w:val="001F70A5"/>
    <w:rsid w:val="0020235D"/>
    <w:rsid w:val="0020369B"/>
    <w:rsid w:val="00207B4D"/>
    <w:rsid w:val="0021007C"/>
    <w:rsid w:val="00210F9B"/>
    <w:rsid w:val="002117B1"/>
    <w:rsid w:val="00213C3F"/>
    <w:rsid w:val="00217CCE"/>
    <w:rsid w:val="002203B1"/>
    <w:rsid w:val="002227C6"/>
    <w:rsid w:val="00226F39"/>
    <w:rsid w:val="0023129D"/>
    <w:rsid w:val="002334AD"/>
    <w:rsid w:val="00235196"/>
    <w:rsid w:val="00241B60"/>
    <w:rsid w:val="00256193"/>
    <w:rsid w:val="0025785B"/>
    <w:rsid w:val="00257969"/>
    <w:rsid w:val="00264B66"/>
    <w:rsid w:val="00265CD1"/>
    <w:rsid w:val="00280048"/>
    <w:rsid w:val="0028489E"/>
    <w:rsid w:val="002848DE"/>
    <w:rsid w:val="00286C95"/>
    <w:rsid w:val="0028794E"/>
    <w:rsid w:val="0029733B"/>
    <w:rsid w:val="002A44FC"/>
    <w:rsid w:val="002A5841"/>
    <w:rsid w:val="002B1EDF"/>
    <w:rsid w:val="002B2061"/>
    <w:rsid w:val="002B20F3"/>
    <w:rsid w:val="002B4D05"/>
    <w:rsid w:val="002C1232"/>
    <w:rsid w:val="002C1E44"/>
    <w:rsid w:val="002C5C92"/>
    <w:rsid w:val="002C5E29"/>
    <w:rsid w:val="002D0478"/>
    <w:rsid w:val="002D7127"/>
    <w:rsid w:val="002F116C"/>
    <w:rsid w:val="002F25DF"/>
    <w:rsid w:val="002F599E"/>
    <w:rsid w:val="003008D8"/>
    <w:rsid w:val="00301D9A"/>
    <w:rsid w:val="00303959"/>
    <w:rsid w:val="00306E72"/>
    <w:rsid w:val="00312AC3"/>
    <w:rsid w:val="00314430"/>
    <w:rsid w:val="003163BC"/>
    <w:rsid w:val="00317CE3"/>
    <w:rsid w:val="003212D9"/>
    <w:rsid w:val="0032351A"/>
    <w:rsid w:val="00324B33"/>
    <w:rsid w:val="003261BA"/>
    <w:rsid w:val="00327488"/>
    <w:rsid w:val="0033169F"/>
    <w:rsid w:val="00336554"/>
    <w:rsid w:val="00336FE1"/>
    <w:rsid w:val="00342D56"/>
    <w:rsid w:val="003456E7"/>
    <w:rsid w:val="00346EC2"/>
    <w:rsid w:val="003477F9"/>
    <w:rsid w:val="003509E5"/>
    <w:rsid w:val="0035444D"/>
    <w:rsid w:val="0035591C"/>
    <w:rsid w:val="00356D62"/>
    <w:rsid w:val="00363EE3"/>
    <w:rsid w:val="00365536"/>
    <w:rsid w:val="003735F3"/>
    <w:rsid w:val="00374729"/>
    <w:rsid w:val="003778DF"/>
    <w:rsid w:val="00381038"/>
    <w:rsid w:val="00387298"/>
    <w:rsid w:val="00387984"/>
    <w:rsid w:val="003933CB"/>
    <w:rsid w:val="00395140"/>
    <w:rsid w:val="003A2422"/>
    <w:rsid w:val="003B0AFE"/>
    <w:rsid w:val="003B149C"/>
    <w:rsid w:val="003C0FDB"/>
    <w:rsid w:val="003C1192"/>
    <w:rsid w:val="003C1E6E"/>
    <w:rsid w:val="003C32BE"/>
    <w:rsid w:val="003C55E2"/>
    <w:rsid w:val="003C63D5"/>
    <w:rsid w:val="003C7AA8"/>
    <w:rsid w:val="003D71A1"/>
    <w:rsid w:val="003E4C3A"/>
    <w:rsid w:val="003E4F5C"/>
    <w:rsid w:val="003E4FBE"/>
    <w:rsid w:val="003F1E4F"/>
    <w:rsid w:val="0041688F"/>
    <w:rsid w:val="00421D79"/>
    <w:rsid w:val="0042376F"/>
    <w:rsid w:val="004246B8"/>
    <w:rsid w:val="004248F1"/>
    <w:rsid w:val="004253EA"/>
    <w:rsid w:val="00433318"/>
    <w:rsid w:val="004411D9"/>
    <w:rsid w:val="00442A56"/>
    <w:rsid w:val="004444B0"/>
    <w:rsid w:val="00446390"/>
    <w:rsid w:val="0044709A"/>
    <w:rsid w:val="00447F01"/>
    <w:rsid w:val="00450315"/>
    <w:rsid w:val="0045060B"/>
    <w:rsid w:val="00456362"/>
    <w:rsid w:val="00456FE9"/>
    <w:rsid w:val="004626FF"/>
    <w:rsid w:val="0046285C"/>
    <w:rsid w:val="00470A52"/>
    <w:rsid w:val="00471BD5"/>
    <w:rsid w:val="00477C4E"/>
    <w:rsid w:val="00477F07"/>
    <w:rsid w:val="00480A4C"/>
    <w:rsid w:val="00481503"/>
    <w:rsid w:val="00481D12"/>
    <w:rsid w:val="00482B09"/>
    <w:rsid w:val="0048407D"/>
    <w:rsid w:val="004854A6"/>
    <w:rsid w:val="00491A55"/>
    <w:rsid w:val="00492B8F"/>
    <w:rsid w:val="00494C3E"/>
    <w:rsid w:val="004960BD"/>
    <w:rsid w:val="00497DF1"/>
    <w:rsid w:val="004A318E"/>
    <w:rsid w:val="004A45D4"/>
    <w:rsid w:val="004A47B0"/>
    <w:rsid w:val="004A4FD0"/>
    <w:rsid w:val="004A57E8"/>
    <w:rsid w:val="004A5A16"/>
    <w:rsid w:val="004A6CF0"/>
    <w:rsid w:val="004B1033"/>
    <w:rsid w:val="004B3081"/>
    <w:rsid w:val="004B4A09"/>
    <w:rsid w:val="004C41CE"/>
    <w:rsid w:val="004C631B"/>
    <w:rsid w:val="004D0933"/>
    <w:rsid w:val="004D2DE1"/>
    <w:rsid w:val="004D2F00"/>
    <w:rsid w:val="004D31D8"/>
    <w:rsid w:val="004D35D1"/>
    <w:rsid w:val="004D5388"/>
    <w:rsid w:val="004E2FD1"/>
    <w:rsid w:val="004E4515"/>
    <w:rsid w:val="004E7F16"/>
    <w:rsid w:val="004F18EC"/>
    <w:rsid w:val="00500D68"/>
    <w:rsid w:val="005042C7"/>
    <w:rsid w:val="00512176"/>
    <w:rsid w:val="00526A23"/>
    <w:rsid w:val="0053377D"/>
    <w:rsid w:val="00535DFE"/>
    <w:rsid w:val="005373B5"/>
    <w:rsid w:val="00537AB7"/>
    <w:rsid w:val="00543610"/>
    <w:rsid w:val="0054669B"/>
    <w:rsid w:val="00547626"/>
    <w:rsid w:val="00555599"/>
    <w:rsid w:val="00557684"/>
    <w:rsid w:val="005610D1"/>
    <w:rsid w:val="00562F42"/>
    <w:rsid w:val="005653D0"/>
    <w:rsid w:val="00565739"/>
    <w:rsid w:val="00566A78"/>
    <w:rsid w:val="0056766D"/>
    <w:rsid w:val="00574BAB"/>
    <w:rsid w:val="00575215"/>
    <w:rsid w:val="005775D0"/>
    <w:rsid w:val="00581138"/>
    <w:rsid w:val="0058575E"/>
    <w:rsid w:val="0058783C"/>
    <w:rsid w:val="005911AE"/>
    <w:rsid w:val="005926E2"/>
    <w:rsid w:val="0059313A"/>
    <w:rsid w:val="005A54EA"/>
    <w:rsid w:val="005B023F"/>
    <w:rsid w:val="005B02A2"/>
    <w:rsid w:val="005B1417"/>
    <w:rsid w:val="005B69CF"/>
    <w:rsid w:val="005C3F07"/>
    <w:rsid w:val="005C4B46"/>
    <w:rsid w:val="005C5DC5"/>
    <w:rsid w:val="005C70C3"/>
    <w:rsid w:val="005D2089"/>
    <w:rsid w:val="005D5F54"/>
    <w:rsid w:val="005D7514"/>
    <w:rsid w:val="005E050B"/>
    <w:rsid w:val="005E0FC6"/>
    <w:rsid w:val="005E1A7B"/>
    <w:rsid w:val="005E231F"/>
    <w:rsid w:val="005E6F79"/>
    <w:rsid w:val="00602D6E"/>
    <w:rsid w:val="00605C05"/>
    <w:rsid w:val="00611351"/>
    <w:rsid w:val="0061217D"/>
    <w:rsid w:val="006129AE"/>
    <w:rsid w:val="006277A1"/>
    <w:rsid w:val="00633BD7"/>
    <w:rsid w:val="00634580"/>
    <w:rsid w:val="00634884"/>
    <w:rsid w:val="006351D9"/>
    <w:rsid w:val="00637130"/>
    <w:rsid w:val="00637F0E"/>
    <w:rsid w:val="006423F2"/>
    <w:rsid w:val="006428C5"/>
    <w:rsid w:val="0064433B"/>
    <w:rsid w:val="00650234"/>
    <w:rsid w:val="006548AD"/>
    <w:rsid w:val="0066044B"/>
    <w:rsid w:val="006630AA"/>
    <w:rsid w:val="00663544"/>
    <w:rsid w:val="00666539"/>
    <w:rsid w:val="00666911"/>
    <w:rsid w:val="00675F81"/>
    <w:rsid w:val="0068143E"/>
    <w:rsid w:val="0068507D"/>
    <w:rsid w:val="006913F7"/>
    <w:rsid w:val="006916E9"/>
    <w:rsid w:val="00691AF2"/>
    <w:rsid w:val="00692B80"/>
    <w:rsid w:val="00692CCD"/>
    <w:rsid w:val="00692D51"/>
    <w:rsid w:val="00694DD7"/>
    <w:rsid w:val="0069636B"/>
    <w:rsid w:val="00697367"/>
    <w:rsid w:val="006A0E0B"/>
    <w:rsid w:val="006A12D8"/>
    <w:rsid w:val="006A1762"/>
    <w:rsid w:val="006A19CE"/>
    <w:rsid w:val="006A1F0B"/>
    <w:rsid w:val="006A277A"/>
    <w:rsid w:val="006A5973"/>
    <w:rsid w:val="006B04F3"/>
    <w:rsid w:val="006B4DA1"/>
    <w:rsid w:val="006B7126"/>
    <w:rsid w:val="006C170D"/>
    <w:rsid w:val="006C6B86"/>
    <w:rsid w:val="006C6F48"/>
    <w:rsid w:val="006D0E86"/>
    <w:rsid w:val="006D4553"/>
    <w:rsid w:val="006D4A35"/>
    <w:rsid w:val="006D6B44"/>
    <w:rsid w:val="006E0621"/>
    <w:rsid w:val="006E0F71"/>
    <w:rsid w:val="006E27FE"/>
    <w:rsid w:val="006E6A2E"/>
    <w:rsid w:val="00701110"/>
    <w:rsid w:val="00702E91"/>
    <w:rsid w:val="0070330F"/>
    <w:rsid w:val="00703624"/>
    <w:rsid w:val="007046ED"/>
    <w:rsid w:val="00706D1E"/>
    <w:rsid w:val="007072A1"/>
    <w:rsid w:val="0071060C"/>
    <w:rsid w:val="00710BC5"/>
    <w:rsid w:val="007118A8"/>
    <w:rsid w:val="007121CA"/>
    <w:rsid w:val="0071723F"/>
    <w:rsid w:val="0072003B"/>
    <w:rsid w:val="00721059"/>
    <w:rsid w:val="007211E6"/>
    <w:rsid w:val="007220C4"/>
    <w:rsid w:val="007305ED"/>
    <w:rsid w:val="00732361"/>
    <w:rsid w:val="00735777"/>
    <w:rsid w:val="007357B9"/>
    <w:rsid w:val="00736E5C"/>
    <w:rsid w:val="00741AB9"/>
    <w:rsid w:val="00742D03"/>
    <w:rsid w:val="00744216"/>
    <w:rsid w:val="007452E8"/>
    <w:rsid w:val="00746990"/>
    <w:rsid w:val="00747093"/>
    <w:rsid w:val="00750D70"/>
    <w:rsid w:val="007575D0"/>
    <w:rsid w:val="007662E0"/>
    <w:rsid w:val="00772EFC"/>
    <w:rsid w:val="00776E9C"/>
    <w:rsid w:val="007816D8"/>
    <w:rsid w:val="00783AE7"/>
    <w:rsid w:val="00784150"/>
    <w:rsid w:val="00786172"/>
    <w:rsid w:val="00793272"/>
    <w:rsid w:val="0079499A"/>
    <w:rsid w:val="00794B64"/>
    <w:rsid w:val="007967C3"/>
    <w:rsid w:val="007A0A33"/>
    <w:rsid w:val="007B04DE"/>
    <w:rsid w:val="007B0AE6"/>
    <w:rsid w:val="007C0F0B"/>
    <w:rsid w:val="007C153A"/>
    <w:rsid w:val="007C57BC"/>
    <w:rsid w:val="007D04CA"/>
    <w:rsid w:val="007D0A2B"/>
    <w:rsid w:val="007D12A1"/>
    <w:rsid w:val="007D40E5"/>
    <w:rsid w:val="007D4138"/>
    <w:rsid w:val="007E4178"/>
    <w:rsid w:val="007E50E2"/>
    <w:rsid w:val="007E6443"/>
    <w:rsid w:val="007F028E"/>
    <w:rsid w:val="007F0A77"/>
    <w:rsid w:val="007F193E"/>
    <w:rsid w:val="007F1E37"/>
    <w:rsid w:val="007F50D3"/>
    <w:rsid w:val="007F6B1F"/>
    <w:rsid w:val="007F6C22"/>
    <w:rsid w:val="008013F0"/>
    <w:rsid w:val="00802B51"/>
    <w:rsid w:val="00803926"/>
    <w:rsid w:val="00804897"/>
    <w:rsid w:val="008329DB"/>
    <w:rsid w:val="00832BC7"/>
    <w:rsid w:val="008335F2"/>
    <w:rsid w:val="008350B3"/>
    <w:rsid w:val="008361C5"/>
    <w:rsid w:val="0083628F"/>
    <w:rsid w:val="00837AB9"/>
    <w:rsid w:val="00850637"/>
    <w:rsid w:val="00854D98"/>
    <w:rsid w:val="0085751E"/>
    <w:rsid w:val="00860B29"/>
    <w:rsid w:val="008622E8"/>
    <w:rsid w:val="008645EE"/>
    <w:rsid w:val="00870144"/>
    <w:rsid w:val="0087072C"/>
    <w:rsid w:val="00871312"/>
    <w:rsid w:val="00873D7A"/>
    <w:rsid w:val="00877CB3"/>
    <w:rsid w:val="008804CF"/>
    <w:rsid w:val="00882A53"/>
    <w:rsid w:val="00882D58"/>
    <w:rsid w:val="00882F19"/>
    <w:rsid w:val="00883D35"/>
    <w:rsid w:val="00884569"/>
    <w:rsid w:val="00887A51"/>
    <w:rsid w:val="0089038A"/>
    <w:rsid w:val="00890D9B"/>
    <w:rsid w:val="00891C6C"/>
    <w:rsid w:val="00893CCD"/>
    <w:rsid w:val="008964B3"/>
    <w:rsid w:val="008B1CB5"/>
    <w:rsid w:val="008B7DA8"/>
    <w:rsid w:val="008C2D69"/>
    <w:rsid w:val="008C49C6"/>
    <w:rsid w:val="008C754C"/>
    <w:rsid w:val="008D56C9"/>
    <w:rsid w:val="008D56CA"/>
    <w:rsid w:val="008D6A54"/>
    <w:rsid w:val="008E2585"/>
    <w:rsid w:val="008E2D7A"/>
    <w:rsid w:val="008F3215"/>
    <w:rsid w:val="008F4A62"/>
    <w:rsid w:val="008F5897"/>
    <w:rsid w:val="008F7256"/>
    <w:rsid w:val="0090424C"/>
    <w:rsid w:val="0090605E"/>
    <w:rsid w:val="009108CE"/>
    <w:rsid w:val="00915A9F"/>
    <w:rsid w:val="00930D58"/>
    <w:rsid w:val="00935AAA"/>
    <w:rsid w:val="00935B82"/>
    <w:rsid w:val="0095031E"/>
    <w:rsid w:val="00954297"/>
    <w:rsid w:val="009573D4"/>
    <w:rsid w:val="00960A56"/>
    <w:rsid w:val="0096626D"/>
    <w:rsid w:val="00966EF1"/>
    <w:rsid w:val="00967223"/>
    <w:rsid w:val="009751F7"/>
    <w:rsid w:val="0098350E"/>
    <w:rsid w:val="00990C12"/>
    <w:rsid w:val="009913A6"/>
    <w:rsid w:val="0099404F"/>
    <w:rsid w:val="00996FA5"/>
    <w:rsid w:val="009A012F"/>
    <w:rsid w:val="009B40A9"/>
    <w:rsid w:val="009B5662"/>
    <w:rsid w:val="009C2211"/>
    <w:rsid w:val="009C40E8"/>
    <w:rsid w:val="009C45C5"/>
    <w:rsid w:val="009D36E7"/>
    <w:rsid w:val="009E6858"/>
    <w:rsid w:val="009E6F8C"/>
    <w:rsid w:val="009F405F"/>
    <w:rsid w:val="009F5F16"/>
    <w:rsid w:val="009F7143"/>
    <w:rsid w:val="00A01C56"/>
    <w:rsid w:val="00A23B71"/>
    <w:rsid w:val="00A32C50"/>
    <w:rsid w:val="00A358E7"/>
    <w:rsid w:val="00A4380B"/>
    <w:rsid w:val="00A470DD"/>
    <w:rsid w:val="00A51A2D"/>
    <w:rsid w:val="00A5596B"/>
    <w:rsid w:val="00A63C07"/>
    <w:rsid w:val="00A63D9B"/>
    <w:rsid w:val="00A704DC"/>
    <w:rsid w:val="00A756AF"/>
    <w:rsid w:val="00A87E88"/>
    <w:rsid w:val="00A93DC6"/>
    <w:rsid w:val="00A9411A"/>
    <w:rsid w:val="00AA4A4B"/>
    <w:rsid w:val="00AA6682"/>
    <w:rsid w:val="00AA7003"/>
    <w:rsid w:val="00AA7396"/>
    <w:rsid w:val="00AB0613"/>
    <w:rsid w:val="00AB7C5C"/>
    <w:rsid w:val="00AB7CBF"/>
    <w:rsid w:val="00AC605C"/>
    <w:rsid w:val="00AD0111"/>
    <w:rsid w:val="00AD0B68"/>
    <w:rsid w:val="00AD4C72"/>
    <w:rsid w:val="00AD5451"/>
    <w:rsid w:val="00AE1947"/>
    <w:rsid w:val="00AE5A64"/>
    <w:rsid w:val="00AF1C8B"/>
    <w:rsid w:val="00AF299B"/>
    <w:rsid w:val="00AF7E43"/>
    <w:rsid w:val="00B02AE0"/>
    <w:rsid w:val="00B035BA"/>
    <w:rsid w:val="00B03F25"/>
    <w:rsid w:val="00B05326"/>
    <w:rsid w:val="00B14545"/>
    <w:rsid w:val="00B14E60"/>
    <w:rsid w:val="00B17BA2"/>
    <w:rsid w:val="00B269FE"/>
    <w:rsid w:val="00B26DC3"/>
    <w:rsid w:val="00B27E5F"/>
    <w:rsid w:val="00B30B9D"/>
    <w:rsid w:val="00B44B92"/>
    <w:rsid w:val="00B4574D"/>
    <w:rsid w:val="00B468E1"/>
    <w:rsid w:val="00B46BC0"/>
    <w:rsid w:val="00B46DFB"/>
    <w:rsid w:val="00B5141B"/>
    <w:rsid w:val="00B55681"/>
    <w:rsid w:val="00B57AAD"/>
    <w:rsid w:val="00B6374E"/>
    <w:rsid w:val="00B72B16"/>
    <w:rsid w:val="00B737AF"/>
    <w:rsid w:val="00B80408"/>
    <w:rsid w:val="00B81397"/>
    <w:rsid w:val="00B92554"/>
    <w:rsid w:val="00B925DB"/>
    <w:rsid w:val="00B967FF"/>
    <w:rsid w:val="00B974B9"/>
    <w:rsid w:val="00BA3F6D"/>
    <w:rsid w:val="00BA4BE6"/>
    <w:rsid w:val="00BA4FC0"/>
    <w:rsid w:val="00BA58F0"/>
    <w:rsid w:val="00BA61E0"/>
    <w:rsid w:val="00BA657C"/>
    <w:rsid w:val="00BA6909"/>
    <w:rsid w:val="00BA7E42"/>
    <w:rsid w:val="00BA7F7D"/>
    <w:rsid w:val="00BB1C14"/>
    <w:rsid w:val="00BB25A3"/>
    <w:rsid w:val="00BB6847"/>
    <w:rsid w:val="00BB7F8F"/>
    <w:rsid w:val="00BC22F8"/>
    <w:rsid w:val="00BC2EE5"/>
    <w:rsid w:val="00BC5C31"/>
    <w:rsid w:val="00BC716A"/>
    <w:rsid w:val="00BD07DF"/>
    <w:rsid w:val="00BD26F4"/>
    <w:rsid w:val="00BD5DBD"/>
    <w:rsid w:val="00BD5DF6"/>
    <w:rsid w:val="00BE0041"/>
    <w:rsid w:val="00BE640F"/>
    <w:rsid w:val="00BE6D2A"/>
    <w:rsid w:val="00BE77E1"/>
    <w:rsid w:val="00BF25D5"/>
    <w:rsid w:val="00BF4638"/>
    <w:rsid w:val="00BF5130"/>
    <w:rsid w:val="00BF5761"/>
    <w:rsid w:val="00BF636A"/>
    <w:rsid w:val="00C00844"/>
    <w:rsid w:val="00C05894"/>
    <w:rsid w:val="00C059D0"/>
    <w:rsid w:val="00C07551"/>
    <w:rsid w:val="00C1109F"/>
    <w:rsid w:val="00C12D65"/>
    <w:rsid w:val="00C133AB"/>
    <w:rsid w:val="00C17635"/>
    <w:rsid w:val="00C17759"/>
    <w:rsid w:val="00C20B56"/>
    <w:rsid w:val="00C22214"/>
    <w:rsid w:val="00C26F72"/>
    <w:rsid w:val="00C309A7"/>
    <w:rsid w:val="00C335AB"/>
    <w:rsid w:val="00C407AB"/>
    <w:rsid w:val="00C40DFE"/>
    <w:rsid w:val="00C46ECF"/>
    <w:rsid w:val="00C51F0F"/>
    <w:rsid w:val="00C52B3A"/>
    <w:rsid w:val="00C52B7B"/>
    <w:rsid w:val="00C547CD"/>
    <w:rsid w:val="00C570FF"/>
    <w:rsid w:val="00C57CEA"/>
    <w:rsid w:val="00C60FEC"/>
    <w:rsid w:val="00C61C01"/>
    <w:rsid w:val="00C61D69"/>
    <w:rsid w:val="00C62B1C"/>
    <w:rsid w:val="00C6574E"/>
    <w:rsid w:val="00C663D1"/>
    <w:rsid w:val="00C665D9"/>
    <w:rsid w:val="00C707FD"/>
    <w:rsid w:val="00C76DEB"/>
    <w:rsid w:val="00C77B19"/>
    <w:rsid w:val="00C816C6"/>
    <w:rsid w:val="00C860D3"/>
    <w:rsid w:val="00C863A7"/>
    <w:rsid w:val="00C912F4"/>
    <w:rsid w:val="00C9156F"/>
    <w:rsid w:val="00C93FD0"/>
    <w:rsid w:val="00C9581A"/>
    <w:rsid w:val="00C96AC5"/>
    <w:rsid w:val="00C97D29"/>
    <w:rsid w:val="00CA449C"/>
    <w:rsid w:val="00CB0550"/>
    <w:rsid w:val="00CB5D25"/>
    <w:rsid w:val="00CB6813"/>
    <w:rsid w:val="00CE611D"/>
    <w:rsid w:val="00CF6A55"/>
    <w:rsid w:val="00CF6DC6"/>
    <w:rsid w:val="00CF6DCF"/>
    <w:rsid w:val="00D010CB"/>
    <w:rsid w:val="00D01DDB"/>
    <w:rsid w:val="00D078BE"/>
    <w:rsid w:val="00D13F8A"/>
    <w:rsid w:val="00D16F60"/>
    <w:rsid w:val="00D22981"/>
    <w:rsid w:val="00D23D3E"/>
    <w:rsid w:val="00D3157E"/>
    <w:rsid w:val="00D3349B"/>
    <w:rsid w:val="00D424A8"/>
    <w:rsid w:val="00D6036F"/>
    <w:rsid w:val="00D62877"/>
    <w:rsid w:val="00D63760"/>
    <w:rsid w:val="00D64CD2"/>
    <w:rsid w:val="00D6703F"/>
    <w:rsid w:val="00D70F8C"/>
    <w:rsid w:val="00D734EB"/>
    <w:rsid w:val="00D82713"/>
    <w:rsid w:val="00D8506B"/>
    <w:rsid w:val="00D869B9"/>
    <w:rsid w:val="00D86F00"/>
    <w:rsid w:val="00D914FC"/>
    <w:rsid w:val="00D918D5"/>
    <w:rsid w:val="00D9298B"/>
    <w:rsid w:val="00D94290"/>
    <w:rsid w:val="00D94C8E"/>
    <w:rsid w:val="00DB1372"/>
    <w:rsid w:val="00DB192C"/>
    <w:rsid w:val="00DB1CF3"/>
    <w:rsid w:val="00DB5425"/>
    <w:rsid w:val="00DB72A6"/>
    <w:rsid w:val="00DC6611"/>
    <w:rsid w:val="00DD5AFB"/>
    <w:rsid w:val="00DD7E46"/>
    <w:rsid w:val="00DE1344"/>
    <w:rsid w:val="00DE4F22"/>
    <w:rsid w:val="00DF5BFE"/>
    <w:rsid w:val="00E032E1"/>
    <w:rsid w:val="00E0523F"/>
    <w:rsid w:val="00E157EB"/>
    <w:rsid w:val="00E22701"/>
    <w:rsid w:val="00E232B2"/>
    <w:rsid w:val="00E23E50"/>
    <w:rsid w:val="00E26213"/>
    <w:rsid w:val="00E274DF"/>
    <w:rsid w:val="00E276E0"/>
    <w:rsid w:val="00E349E7"/>
    <w:rsid w:val="00E34D66"/>
    <w:rsid w:val="00E362C4"/>
    <w:rsid w:val="00E40C3C"/>
    <w:rsid w:val="00E46CC2"/>
    <w:rsid w:val="00E47E0C"/>
    <w:rsid w:val="00E51813"/>
    <w:rsid w:val="00E52C0B"/>
    <w:rsid w:val="00E53940"/>
    <w:rsid w:val="00E53D3F"/>
    <w:rsid w:val="00E5579B"/>
    <w:rsid w:val="00E57FF4"/>
    <w:rsid w:val="00E654CC"/>
    <w:rsid w:val="00E679D1"/>
    <w:rsid w:val="00E67C1C"/>
    <w:rsid w:val="00E7632F"/>
    <w:rsid w:val="00E918F0"/>
    <w:rsid w:val="00E91F11"/>
    <w:rsid w:val="00E920BB"/>
    <w:rsid w:val="00E949CD"/>
    <w:rsid w:val="00E9706D"/>
    <w:rsid w:val="00EA3AF4"/>
    <w:rsid w:val="00EE4B01"/>
    <w:rsid w:val="00EE53AA"/>
    <w:rsid w:val="00EE7092"/>
    <w:rsid w:val="00EE7F95"/>
    <w:rsid w:val="00EF3F0B"/>
    <w:rsid w:val="00EF5583"/>
    <w:rsid w:val="00EF665E"/>
    <w:rsid w:val="00F0289D"/>
    <w:rsid w:val="00F02AEC"/>
    <w:rsid w:val="00F0528A"/>
    <w:rsid w:val="00F07572"/>
    <w:rsid w:val="00F157FC"/>
    <w:rsid w:val="00F30AF3"/>
    <w:rsid w:val="00F35456"/>
    <w:rsid w:val="00F43CD1"/>
    <w:rsid w:val="00F45AE0"/>
    <w:rsid w:val="00F520F3"/>
    <w:rsid w:val="00F5794B"/>
    <w:rsid w:val="00F60CF2"/>
    <w:rsid w:val="00F61DB3"/>
    <w:rsid w:val="00F637FA"/>
    <w:rsid w:val="00F657B4"/>
    <w:rsid w:val="00F71064"/>
    <w:rsid w:val="00F74561"/>
    <w:rsid w:val="00F7649F"/>
    <w:rsid w:val="00F8083B"/>
    <w:rsid w:val="00F82D1B"/>
    <w:rsid w:val="00F8568E"/>
    <w:rsid w:val="00F865A7"/>
    <w:rsid w:val="00FA0754"/>
    <w:rsid w:val="00FA1BC9"/>
    <w:rsid w:val="00FA1C1E"/>
    <w:rsid w:val="00FA49C3"/>
    <w:rsid w:val="00FB236E"/>
    <w:rsid w:val="00FB3F7B"/>
    <w:rsid w:val="00FB4C2A"/>
    <w:rsid w:val="00FC2107"/>
    <w:rsid w:val="00FC48FE"/>
    <w:rsid w:val="00FC6AE3"/>
    <w:rsid w:val="00FC6F56"/>
    <w:rsid w:val="00FD3AB7"/>
    <w:rsid w:val="00FE087C"/>
    <w:rsid w:val="00FE79A0"/>
    <w:rsid w:val="00FF0939"/>
    <w:rsid w:val="00FF1E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D25"/>
    <w:rPr>
      <w:rFonts w:ascii="Cambria" w:hAnsi="Cambria"/>
      <w:sz w:val="22"/>
    </w:rPr>
  </w:style>
  <w:style w:type="paragraph" w:styleId="Heading1">
    <w:name w:val="heading 1"/>
    <w:basedOn w:val="Normal"/>
    <w:next w:val="Normal"/>
    <w:link w:val="Heading1Char"/>
    <w:uiPriority w:val="9"/>
    <w:qFormat/>
    <w:rsid w:val="00CE61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456362"/>
    <w:pPr>
      <w:keepNext/>
      <w:keepLines/>
      <w:spacing w:before="240" w:line="240" w:lineRule="atLeast"/>
      <w:outlineLvl w:val="4"/>
    </w:pPr>
    <w:rPr>
      <w:rFonts w:ascii="Arial" w:eastAsia="Times New Roman" w:hAnsi="Arial" w:cs="Times New Roman"/>
      <w:b/>
      <w:bCs/>
      <w:i/>
      <w:color w:val="001871"/>
      <w:sz w:val="24"/>
      <w:szCs w:val="26"/>
    </w:rPr>
  </w:style>
  <w:style w:type="paragraph" w:styleId="Heading6">
    <w:name w:val="heading 6"/>
    <w:basedOn w:val="Normal"/>
    <w:next w:val="Normal"/>
    <w:link w:val="Heading6Char"/>
    <w:uiPriority w:val="9"/>
    <w:rsid w:val="00456362"/>
    <w:pPr>
      <w:keepNext/>
      <w:keepLines/>
      <w:spacing w:before="240" w:line="240" w:lineRule="atLeast"/>
      <w:outlineLvl w:val="5"/>
    </w:pPr>
    <w:rPr>
      <w:rFonts w:ascii="Arial" w:eastAsia="Times New Roman" w:hAnsi="Arial" w:cs="Times New Roman"/>
      <w:b/>
      <w:bCs/>
      <w:i/>
      <w:color w:val="00187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456362"/>
    <w:rPr>
      <w:rFonts w:ascii="Arial" w:eastAsia="Times New Roman" w:hAnsi="Arial" w:cs="Times New Roman"/>
      <w:b/>
      <w:bCs/>
      <w:i/>
      <w:color w:val="001871"/>
      <w:sz w:val="24"/>
      <w:szCs w:val="26"/>
    </w:rPr>
  </w:style>
  <w:style w:type="character" w:customStyle="1" w:styleId="Heading6Char">
    <w:name w:val="Heading 6 Char"/>
    <w:basedOn w:val="DefaultParagraphFont"/>
    <w:link w:val="Heading6"/>
    <w:uiPriority w:val="9"/>
    <w:rsid w:val="00456362"/>
    <w:rPr>
      <w:rFonts w:ascii="Arial" w:eastAsia="Times New Roman" w:hAnsi="Arial" w:cs="Times New Roman"/>
      <w:b/>
      <w:bCs/>
      <w:i/>
      <w:color w:val="001871"/>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AB0613"/>
    <w:pPr>
      <w:keepNext/>
    </w:pPr>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34"/>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character" w:customStyle="1" w:styleId="Heading1Char">
    <w:name w:val="Heading 1 Char"/>
    <w:basedOn w:val="DefaultParagraphFont"/>
    <w:link w:val="Heading1"/>
    <w:uiPriority w:val="9"/>
    <w:rsid w:val="00CE611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05559">
      <w:bodyDiv w:val="1"/>
      <w:marLeft w:val="0"/>
      <w:marRight w:val="0"/>
      <w:marTop w:val="0"/>
      <w:marBottom w:val="0"/>
      <w:divBdr>
        <w:top w:val="none" w:sz="0" w:space="0" w:color="auto"/>
        <w:left w:val="none" w:sz="0" w:space="0" w:color="auto"/>
        <w:bottom w:val="none" w:sz="0" w:space="0" w:color="auto"/>
        <w:right w:val="none" w:sz="0" w:space="0" w:color="auto"/>
      </w:divBdr>
      <w:divsChild>
        <w:div w:id="1298031360">
          <w:marLeft w:val="0"/>
          <w:marRight w:val="0"/>
          <w:marTop w:val="0"/>
          <w:marBottom w:val="0"/>
          <w:divBdr>
            <w:top w:val="none" w:sz="0" w:space="0" w:color="auto"/>
            <w:left w:val="none" w:sz="0" w:space="0" w:color="auto"/>
            <w:bottom w:val="none" w:sz="0" w:space="0" w:color="auto"/>
            <w:right w:val="none" w:sz="0" w:space="0" w:color="auto"/>
          </w:divBdr>
        </w:div>
      </w:divsChild>
    </w:div>
    <w:div w:id="475998046">
      <w:bodyDiv w:val="1"/>
      <w:marLeft w:val="0"/>
      <w:marRight w:val="0"/>
      <w:marTop w:val="0"/>
      <w:marBottom w:val="0"/>
      <w:divBdr>
        <w:top w:val="none" w:sz="0" w:space="0" w:color="auto"/>
        <w:left w:val="none" w:sz="0" w:space="0" w:color="auto"/>
        <w:bottom w:val="none" w:sz="0" w:space="0" w:color="auto"/>
        <w:right w:val="none" w:sz="0" w:space="0" w:color="auto"/>
      </w:divBdr>
      <w:divsChild>
        <w:div w:id="831793832">
          <w:marLeft w:val="0"/>
          <w:marRight w:val="0"/>
          <w:marTop w:val="0"/>
          <w:marBottom w:val="0"/>
          <w:divBdr>
            <w:top w:val="none" w:sz="0" w:space="0" w:color="auto"/>
            <w:left w:val="none" w:sz="0" w:space="0" w:color="auto"/>
            <w:bottom w:val="none" w:sz="0" w:space="0" w:color="auto"/>
            <w:right w:val="none" w:sz="0" w:space="0" w:color="auto"/>
          </w:divBdr>
          <w:divsChild>
            <w:div w:id="782843152">
              <w:marLeft w:val="0"/>
              <w:marRight w:val="0"/>
              <w:marTop w:val="0"/>
              <w:marBottom w:val="0"/>
              <w:divBdr>
                <w:top w:val="none" w:sz="0" w:space="0" w:color="auto"/>
                <w:left w:val="none" w:sz="0" w:space="0" w:color="auto"/>
                <w:bottom w:val="none" w:sz="0" w:space="0" w:color="auto"/>
                <w:right w:val="none" w:sz="0" w:space="0" w:color="auto"/>
              </w:divBdr>
              <w:divsChild>
                <w:div w:id="869100329">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1012995923">
      <w:bodyDiv w:val="1"/>
      <w:marLeft w:val="0"/>
      <w:marRight w:val="0"/>
      <w:marTop w:val="0"/>
      <w:marBottom w:val="0"/>
      <w:divBdr>
        <w:top w:val="none" w:sz="0" w:space="0" w:color="auto"/>
        <w:left w:val="none" w:sz="0" w:space="0" w:color="auto"/>
        <w:bottom w:val="none" w:sz="0" w:space="0" w:color="auto"/>
        <w:right w:val="none" w:sz="0" w:space="0" w:color="auto"/>
      </w:divBdr>
      <w:divsChild>
        <w:div w:id="1015033668">
          <w:marLeft w:val="0"/>
          <w:marRight w:val="0"/>
          <w:marTop w:val="0"/>
          <w:marBottom w:val="0"/>
          <w:divBdr>
            <w:top w:val="none" w:sz="0" w:space="0" w:color="auto"/>
            <w:left w:val="none" w:sz="0" w:space="0" w:color="auto"/>
            <w:bottom w:val="none" w:sz="0" w:space="0" w:color="auto"/>
            <w:right w:val="none" w:sz="0" w:space="0" w:color="auto"/>
          </w:divBdr>
        </w:div>
      </w:divsChild>
    </w:div>
    <w:div w:id="1272321077">
      <w:bodyDiv w:val="1"/>
      <w:marLeft w:val="0"/>
      <w:marRight w:val="0"/>
      <w:marTop w:val="0"/>
      <w:marBottom w:val="0"/>
      <w:divBdr>
        <w:top w:val="none" w:sz="0" w:space="0" w:color="auto"/>
        <w:left w:val="none" w:sz="0" w:space="0" w:color="auto"/>
        <w:bottom w:val="none" w:sz="0" w:space="0" w:color="auto"/>
        <w:right w:val="none" w:sz="0" w:space="0" w:color="auto"/>
      </w:divBdr>
      <w:divsChild>
        <w:div w:id="863980494">
          <w:marLeft w:val="0"/>
          <w:marRight w:val="0"/>
          <w:marTop w:val="0"/>
          <w:marBottom w:val="0"/>
          <w:divBdr>
            <w:top w:val="none" w:sz="0" w:space="0" w:color="auto"/>
            <w:left w:val="none" w:sz="0" w:space="0" w:color="auto"/>
            <w:bottom w:val="none" w:sz="0" w:space="0" w:color="auto"/>
            <w:right w:val="none" w:sz="0" w:space="0" w:color="auto"/>
          </w:divBdr>
        </w:div>
      </w:divsChild>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 w:id="1394546973">
      <w:bodyDiv w:val="1"/>
      <w:marLeft w:val="0"/>
      <w:marRight w:val="0"/>
      <w:marTop w:val="0"/>
      <w:marBottom w:val="0"/>
      <w:divBdr>
        <w:top w:val="none" w:sz="0" w:space="0" w:color="auto"/>
        <w:left w:val="none" w:sz="0" w:space="0" w:color="auto"/>
        <w:bottom w:val="none" w:sz="0" w:space="0" w:color="auto"/>
        <w:right w:val="none" w:sz="0" w:space="0" w:color="auto"/>
      </w:divBdr>
      <w:divsChild>
        <w:div w:id="1148011141">
          <w:marLeft w:val="0"/>
          <w:marRight w:val="0"/>
          <w:marTop w:val="0"/>
          <w:marBottom w:val="0"/>
          <w:divBdr>
            <w:top w:val="none" w:sz="0" w:space="0" w:color="auto"/>
            <w:left w:val="none" w:sz="0" w:space="0" w:color="auto"/>
            <w:bottom w:val="none" w:sz="0" w:space="0" w:color="auto"/>
            <w:right w:val="none" w:sz="0" w:space="0" w:color="auto"/>
          </w:divBdr>
        </w:div>
      </w:divsChild>
    </w:div>
    <w:div w:id="1554347253">
      <w:bodyDiv w:val="1"/>
      <w:marLeft w:val="0"/>
      <w:marRight w:val="0"/>
      <w:marTop w:val="0"/>
      <w:marBottom w:val="0"/>
      <w:divBdr>
        <w:top w:val="none" w:sz="0" w:space="0" w:color="auto"/>
        <w:left w:val="none" w:sz="0" w:space="0" w:color="auto"/>
        <w:bottom w:val="none" w:sz="0" w:space="0" w:color="auto"/>
        <w:right w:val="none" w:sz="0" w:space="0" w:color="auto"/>
      </w:divBdr>
      <w:divsChild>
        <w:div w:id="1656449303">
          <w:marLeft w:val="0"/>
          <w:marRight w:val="0"/>
          <w:marTop w:val="0"/>
          <w:marBottom w:val="0"/>
          <w:divBdr>
            <w:top w:val="none" w:sz="0" w:space="0" w:color="auto"/>
            <w:left w:val="none" w:sz="0" w:space="0" w:color="auto"/>
            <w:bottom w:val="none" w:sz="0" w:space="0" w:color="auto"/>
            <w:right w:val="none" w:sz="0" w:space="0" w:color="auto"/>
          </w:divBdr>
        </w:div>
      </w:divsChild>
    </w:div>
    <w:div w:id="1562592146">
      <w:bodyDiv w:val="1"/>
      <w:marLeft w:val="0"/>
      <w:marRight w:val="0"/>
      <w:marTop w:val="0"/>
      <w:marBottom w:val="0"/>
      <w:divBdr>
        <w:top w:val="none" w:sz="0" w:space="0" w:color="auto"/>
        <w:left w:val="none" w:sz="0" w:space="0" w:color="auto"/>
        <w:bottom w:val="none" w:sz="0" w:space="0" w:color="auto"/>
        <w:right w:val="none" w:sz="0" w:space="0" w:color="auto"/>
      </w:divBdr>
    </w:div>
    <w:div w:id="1710449410">
      <w:bodyDiv w:val="1"/>
      <w:marLeft w:val="0"/>
      <w:marRight w:val="0"/>
      <w:marTop w:val="0"/>
      <w:marBottom w:val="0"/>
      <w:divBdr>
        <w:top w:val="none" w:sz="0" w:space="0" w:color="auto"/>
        <w:left w:val="none" w:sz="0" w:space="0" w:color="auto"/>
        <w:bottom w:val="none" w:sz="0" w:space="0" w:color="auto"/>
        <w:right w:val="none" w:sz="0" w:space="0" w:color="auto"/>
      </w:divBdr>
      <w:divsChild>
        <w:div w:id="600258673">
          <w:marLeft w:val="0"/>
          <w:marRight w:val="0"/>
          <w:marTop w:val="0"/>
          <w:marBottom w:val="0"/>
          <w:divBdr>
            <w:top w:val="none" w:sz="0" w:space="0" w:color="auto"/>
            <w:left w:val="none" w:sz="0" w:space="0" w:color="auto"/>
            <w:bottom w:val="none" w:sz="0" w:space="0" w:color="auto"/>
            <w:right w:val="none" w:sz="0" w:space="0" w:color="auto"/>
          </w:divBdr>
        </w:div>
      </w:divsChild>
    </w:div>
    <w:div w:id="1811244510">
      <w:bodyDiv w:val="1"/>
      <w:marLeft w:val="0"/>
      <w:marRight w:val="0"/>
      <w:marTop w:val="0"/>
      <w:marBottom w:val="0"/>
      <w:divBdr>
        <w:top w:val="none" w:sz="0" w:space="0" w:color="auto"/>
        <w:left w:val="none" w:sz="0" w:space="0" w:color="auto"/>
        <w:bottom w:val="none" w:sz="0" w:space="0" w:color="auto"/>
        <w:right w:val="none" w:sz="0" w:space="0" w:color="auto"/>
      </w:divBdr>
      <w:divsChild>
        <w:div w:id="724640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australian-public-assessment-report-auspar-guidance" TargetMode="External"/><Relationship Id="rId18" Type="http://schemas.openxmlformats.org/officeDocument/2006/relationships/hyperlink" Target="https://www.tga.gov.au/obstetric-drug-information-services" TargetMode="External"/><Relationship Id="rId26" Type="http://schemas.openxmlformats.org/officeDocument/2006/relationships/image" Target="media/image8.png"/><Relationship Id="rId39" Type="http://schemas.openxmlformats.org/officeDocument/2006/relationships/hyperlink" Target="https://www.tga.gov.au"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yperlink" Target="https://www.tga.gov.au/guidance-7-certified-product-details"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ga.gov.au/" TargetMode="External"/><Relationship Id="rId17" Type="http://schemas.openxmlformats.org/officeDocument/2006/relationships/hyperlink" Target="https://www.tga.gov.au/products/medicines/find-information-about-medicine/prescribing-medicines-pregnancy-database" TargetMode="External"/><Relationship Id="rId25" Type="http://schemas.openxmlformats.org/officeDocument/2006/relationships/image" Target="media/image7.png"/><Relationship Id="rId33" Type="http://schemas.openxmlformats.org/officeDocument/2006/relationships/hyperlink" Target="https://www.tga.gov.au/form/certified-product-details-cpd-biological-prescription-medicines" TargetMode="External"/><Relationship Id="rId38" Type="http://schemas.openxmlformats.org/officeDocument/2006/relationships/hyperlink" Target="mailto:info@tga.gov.au" TargetMode="External"/><Relationship Id="rId2" Type="http://schemas.openxmlformats.org/officeDocument/2006/relationships/numbering" Target="numbering.xml"/><Relationship Id="rId16" Type="http://schemas.openxmlformats.org/officeDocument/2006/relationships/hyperlink" Target="https://www.ebs.tga.gov.au/" TargetMode="External"/><Relationship Id="rId20" Type="http://schemas.openxmlformats.org/officeDocument/2006/relationships/hyperlink" Target="https://www.tga.gov.au/how-we-regulate/supply-therapeutic-good-0/supply-prescription-medicine/application-process/prescription-medicines-registration-process" TargetMode="External"/><Relationship Id="rId29" Type="http://schemas.microsoft.com/office/2007/relationships/hdphoto" Target="media/hdphoto3.wdp"/><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32" Type="http://schemas.microsoft.com/office/2007/relationships/hdphoto" Target="media/hdphoto4.wdp"/><Relationship Id="rId37" Type="http://schemas.openxmlformats.org/officeDocument/2006/relationships/footer" Target="footer3.xm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tga.gov.au/black-triangle-scheme" TargetMode="External"/><Relationship Id="rId23" Type="http://schemas.openxmlformats.org/officeDocument/2006/relationships/image" Target="media/image5.png"/><Relationship Id="rId28" Type="http://schemas.openxmlformats.org/officeDocument/2006/relationships/image" Target="media/image9.png"/><Relationship Id="rId36"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www.tga.gov.au/resources/artg?keywords=CLEXANE" TargetMode="Externa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ga.copyright@tga.gov.au" TargetMode="External"/><Relationship Id="rId22" Type="http://schemas.microsoft.com/office/2007/relationships/hdphoto" Target="media/hdphoto1.wdp"/><Relationship Id="rId27" Type="http://schemas.microsoft.com/office/2007/relationships/hdphoto" Target="media/hdphoto2.wdp"/><Relationship Id="rId30" Type="http://schemas.openxmlformats.org/officeDocument/2006/relationships/image" Target="media/image10.png"/><Relationship Id="rId35" Type="http://schemas.openxmlformats.org/officeDocument/2006/relationships/hyperlink" Target="https://www.ebs.tga.gov.au/"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ma.europa.eu/en/non-clinical-clinical-development-similar-biological-medicinal-products-containing-low-molecular-weight-heparins-scientific-guidelin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17</Pages>
  <Words>4524</Words>
  <Characters>25791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Australian public assessment report for ENOXACOR, ENOXAJECT and CLASTO</vt:lpstr>
    </vt:vector>
  </TitlesOfParts>
  <Company>Department of Health, Disability and Ageing</Company>
  <LinksUpToDate>false</LinksUpToDate>
  <CharactersWithSpaces>30255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ENOXACOR, ENOXAJECT and CLASTO</dc:title>
  <dc:subject>Prescription medicines</dc:subject>
  <dc:creator>Therapeutic Goods Administration</dc:creator>
  <cp:keywords/>
  <dc:description/>
  <cp:lastModifiedBy>LACK, Janet</cp:lastModifiedBy>
  <cp:revision>4</cp:revision>
  <cp:lastPrinted>2025-07-29T05:23:00Z</cp:lastPrinted>
  <dcterms:created xsi:type="dcterms:W3CDTF">2025-07-29T05:03:00Z</dcterms:created>
  <dcterms:modified xsi:type="dcterms:W3CDTF">2025-07-29T05:41:00Z</dcterms:modified>
</cp:coreProperties>
</file>