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margin" w:tblpY="3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F02AEC" w:rsidRPr="00215D48" w14:paraId="08AE1D54" w14:textId="77777777" w:rsidTr="00346EC2">
        <w:trPr>
          <w:trHeight w:val="1558"/>
        </w:trPr>
        <w:tc>
          <w:tcPr>
            <w:tcW w:w="8720" w:type="dxa"/>
          </w:tcPr>
          <w:p w14:paraId="2538A211" w14:textId="53990354" w:rsidR="00F02AEC" w:rsidRPr="00215D48" w:rsidRDefault="00346EC2" w:rsidP="007452E8">
            <w:pPr>
              <w:pStyle w:val="Title"/>
            </w:pPr>
            <w:r w:rsidRPr="00346EC2">
              <w:t xml:space="preserve">Australian Public Assessment Report for </w:t>
            </w:r>
            <w:bookmarkStart w:id="0" w:name="_Hlk203043867"/>
            <w:r w:rsidR="00DA79A2">
              <w:t>AWIQLI</w:t>
            </w:r>
            <w:bookmarkEnd w:id="0"/>
          </w:p>
        </w:tc>
      </w:tr>
      <w:tr w:rsidR="00F02AEC" w:rsidRPr="00215D48" w14:paraId="318A40A3" w14:textId="77777777" w:rsidTr="00346EC2">
        <w:trPr>
          <w:trHeight w:val="995"/>
        </w:trPr>
        <w:tc>
          <w:tcPr>
            <w:tcW w:w="8720" w:type="dxa"/>
          </w:tcPr>
          <w:p w14:paraId="1AA7C701" w14:textId="6DE09573" w:rsidR="00F02AEC" w:rsidRPr="00215D48" w:rsidRDefault="00346EC2" w:rsidP="007452E8">
            <w:pPr>
              <w:pStyle w:val="Subtitle"/>
              <w:ind w:left="0"/>
            </w:pPr>
            <w:r w:rsidRPr="00346EC2">
              <w:t xml:space="preserve">Active ingredient: </w:t>
            </w:r>
            <w:bookmarkStart w:id="1" w:name="_Hlk203043963"/>
            <w:r w:rsidR="00964DEA">
              <w:t>insulin icodec</w:t>
            </w:r>
            <w:bookmarkEnd w:id="1"/>
          </w:p>
        </w:tc>
      </w:tr>
      <w:tr w:rsidR="00346EC2" w:rsidRPr="00215D48" w14:paraId="362CCAE4" w14:textId="77777777" w:rsidTr="007452E8">
        <w:trPr>
          <w:trHeight w:val="1916"/>
        </w:trPr>
        <w:tc>
          <w:tcPr>
            <w:tcW w:w="8720" w:type="dxa"/>
          </w:tcPr>
          <w:p w14:paraId="709C45C0" w14:textId="6E55B25D" w:rsidR="00346EC2" w:rsidRPr="00215D48" w:rsidRDefault="00346EC2" w:rsidP="007452E8">
            <w:pPr>
              <w:pStyle w:val="Subtitle"/>
              <w:ind w:left="0"/>
            </w:pPr>
            <w:r w:rsidRPr="00346EC2">
              <w:t xml:space="preserve">Sponsor: </w:t>
            </w:r>
            <w:bookmarkStart w:id="2" w:name="_Hlk203043928"/>
            <w:r w:rsidR="001F4C13" w:rsidRPr="001F4C13">
              <w:t>Novo Nordisk Pharmaceuticals Pty Ltd</w:t>
            </w:r>
            <w:bookmarkEnd w:id="2"/>
          </w:p>
        </w:tc>
      </w:tr>
      <w:tr w:rsidR="00F02AEC" w:rsidRPr="00215D48" w14:paraId="37F2AA1F" w14:textId="77777777" w:rsidTr="007452E8">
        <w:tc>
          <w:tcPr>
            <w:tcW w:w="8720" w:type="dxa"/>
          </w:tcPr>
          <w:p w14:paraId="1FDE8DCD" w14:textId="62514093" w:rsidR="00F02AEC" w:rsidRPr="00215D48" w:rsidRDefault="001F4C13" w:rsidP="007452E8">
            <w:pPr>
              <w:pStyle w:val="Date"/>
            </w:pPr>
            <w:r>
              <w:t>June</w:t>
            </w:r>
            <w:r w:rsidR="00F02AEC" w:rsidRPr="00215D48">
              <w:t xml:space="preserve"> </w:t>
            </w:r>
            <w:r>
              <w:t>2025</w:t>
            </w:r>
          </w:p>
        </w:tc>
      </w:tr>
    </w:tbl>
    <w:p w14:paraId="73752706" w14:textId="77777777" w:rsidR="00F02AEC" w:rsidRPr="00215D48" w:rsidRDefault="00F02AEC" w:rsidP="007452E8">
      <w:pPr>
        <w:pStyle w:val="ListBullet"/>
        <w:numPr>
          <w:ilvl w:val="0"/>
          <w:numId w:val="0"/>
        </w:numPr>
        <w:sectPr w:rsidR="00F02AEC" w:rsidRPr="00215D48" w:rsidSect="00CB0550">
          <w:headerReference w:type="default" r:id="rId8"/>
          <w:footerReference w:type="default" r:id="rId9"/>
          <w:headerReference w:type="first" r:id="rId10"/>
          <w:footerReference w:type="first" r:id="rId11"/>
          <w:pgSz w:w="11906" w:h="16838"/>
          <w:pgMar w:top="1440" w:right="1440" w:bottom="1440" w:left="1440" w:header="708" w:footer="708" w:gutter="0"/>
          <w:cols w:space="708"/>
          <w:titlePg/>
          <w:docGrid w:linePitch="360"/>
        </w:sectPr>
      </w:pPr>
    </w:p>
    <w:p w14:paraId="2170A423" w14:textId="77777777" w:rsidR="00346EC2" w:rsidRPr="001F6CBA" w:rsidRDefault="00346EC2" w:rsidP="00346EC2">
      <w:pPr>
        <w:pStyle w:val="NonTOCHeading20"/>
      </w:pPr>
      <w:r w:rsidRPr="001F6CBA">
        <w:lastRenderedPageBreak/>
        <w:t>About the Therapeutic Goods Administration (TGA)</w:t>
      </w:r>
    </w:p>
    <w:p w14:paraId="79558AE9" w14:textId="038D0DA4" w:rsidR="00346EC2" w:rsidRPr="00391B0C" w:rsidRDefault="00346EC2" w:rsidP="0056766D">
      <w:pPr>
        <w:pStyle w:val="ListBullet"/>
      </w:pPr>
      <w:r w:rsidRPr="00391B0C">
        <w:t xml:space="preserve">The Therapeutic Goods Administration (TGA) is part of the Australian Government </w:t>
      </w:r>
      <w:r w:rsidRPr="00C22214">
        <w:t>Department of Health</w:t>
      </w:r>
      <w:r w:rsidR="0006693A">
        <w:t>, Disability</w:t>
      </w:r>
      <w:r w:rsidRPr="00C22214">
        <w:t xml:space="preserve"> and Ag</w:t>
      </w:r>
      <w:r w:rsidR="0006693A">
        <w:t>eing</w:t>
      </w:r>
      <w:r>
        <w:t xml:space="preserve"> </w:t>
      </w:r>
      <w:r w:rsidRPr="00391B0C">
        <w:t>and is responsible for regulating therapeutic goods, including medicines, medical devices, and biologicals.</w:t>
      </w:r>
    </w:p>
    <w:p w14:paraId="61BEFDB6" w14:textId="77777777" w:rsidR="00346EC2" w:rsidRPr="00391B0C" w:rsidRDefault="00346EC2" w:rsidP="00346EC2">
      <w:pPr>
        <w:pStyle w:val="ListBullet"/>
      </w:pPr>
      <w:r w:rsidRPr="00391B0C">
        <w:t xml:space="preserve">The TGA administers the </w:t>
      </w:r>
      <w:r w:rsidRPr="00822FCB">
        <w:rPr>
          <w:i/>
          <w:iCs/>
        </w:rPr>
        <w:t>Therapeutic Goods Act 1989</w:t>
      </w:r>
      <w:r w:rsidRPr="00391B0C">
        <w:t xml:space="preserve"> (the Act), applying a risk management approach designed to ensure therapeutic goods supplied in Australia meet acceptable standards of quality, safety, and efficacy.</w:t>
      </w:r>
    </w:p>
    <w:p w14:paraId="77180CB3" w14:textId="77777777" w:rsidR="00346EC2" w:rsidRPr="003C6D1F" w:rsidRDefault="00346EC2" w:rsidP="00346EC2">
      <w:pPr>
        <w:pStyle w:val="ListBullet"/>
      </w:pPr>
      <w:r w:rsidRPr="003C6D1F">
        <w:t xml:space="preserve">The work of the TGA is based on applying scientific and clinical expertise to decision-making, to ensure that the benefits to </w:t>
      </w:r>
      <w:r>
        <w:t>the Australian public</w:t>
      </w:r>
      <w:r w:rsidRPr="003C6D1F">
        <w:t xml:space="preserve"> outweigh any risks associated with the use of </w:t>
      </w:r>
      <w:r>
        <w:t>therapeutic goods</w:t>
      </w:r>
      <w:r w:rsidRPr="003C6D1F">
        <w:t>.</w:t>
      </w:r>
    </w:p>
    <w:p w14:paraId="70AC2A35" w14:textId="77777777" w:rsidR="00346EC2" w:rsidRPr="003C6D1F" w:rsidRDefault="00346EC2" w:rsidP="00346EC2">
      <w:pPr>
        <w:pStyle w:val="ListBullet"/>
      </w:pPr>
      <w:r w:rsidRPr="003C6D1F">
        <w:t xml:space="preserve">The TGA relies on the public, healthcare professionals and industry to report problems with </w:t>
      </w:r>
      <w:r>
        <w:t>therapeutic goods</w:t>
      </w:r>
      <w:r w:rsidRPr="003C6D1F">
        <w:t>.</w:t>
      </w:r>
      <w:r>
        <w:t xml:space="preserve"> The</w:t>
      </w:r>
      <w:r w:rsidRPr="003C6D1F">
        <w:t xml:space="preserve"> TGA investigates reports received to determine any necessary regulatory action.</w:t>
      </w:r>
    </w:p>
    <w:p w14:paraId="17DC24C6" w14:textId="1C976CB8" w:rsidR="00346EC2" w:rsidRDefault="00346EC2" w:rsidP="00346EC2">
      <w:pPr>
        <w:pStyle w:val="ListBullet"/>
      </w:pPr>
      <w:r w:rsidRPr="003C6D1F">
        <w:t xml:space="preserve">To report a problem with a </w:t>
      </w:r>
      <w:r>
        <w:t>therapeutic good</w:t>
      </w:r>
      <w:r w:rsidRPr="003C6D1F">
        <w:t xml:space="preserve">, please see the information on the </w:t>
      </w:r>
      <w:hyperlink r:id="rId12" w:history="1">
        <w:r w:rsidRPr="00A63C07">
          <w:rPr>
            <w:rStyle w:val="Hyperlink"/>
          </w:rPr>
          <w:t>TGA website</w:t>
        </w:r>
      </w:hyperlink>
      <w:r w:rsidRPr="003C6D1F">
        <w:t>.</w:t>
      </w:r>
    </w:p>
    <w:p w14:paraId="737B7A99" w14:textId="77777777" w:rsidR="00346EC2" w:rsidRDefault="00346EC2" w:rsidP="00346EC2">
      <w:pPr>
        <w:pStyle w:val="NonTOCHeading20"/>
      </w:pPr>
      <w:r>
        <w:t>About AusPARs</w:t>
      </w:r>
    </w:p>
    <w:p w14:paraId="631B2209" w14:textId="010FE2EE" w:rsidR="00346EC2" w:rsidRPr="003C6D1F" w:rsidRDefault="00346EC2" w:rsidP="00346EC2">
      <w:pPr>
        <w:pStyle w:val="ListBullet"/>
      </w:pPr>
      <w:r>
        <w:t>The</w:t>
      </w:r>
      <w:r w:rsidRPr="003C6D1F">
        <w:t xml:space="preserve"> Australian Public Assessment Report (AusPAR) provides information about the evaluation of a prescription medicine and the considerations that led the TGA to approve or not approve a prescription medicine submission.</w:t>
      </w:r>
      <w:r>
        <w:t xml:space="preserve"> Further information can be found in </w:t>
      </w:r>
      <w:hyperlink r:id="rId13" w:history="1">
        <w:r w:rsidRPr="005A2EB8">
          <w:rPr>
            <w:rStyle w:val="Hyperlink"/>
          </w:rPr>
          <w:t>Australian Public Assessment Report (AusPAR) guidance</w:t>
        </w:r>
      </w:hyperlink>
      <w:r>
        <w:t>.</w:t>
      </w:r>
    </w:p>
    <w:p w14:paraId="22F5A730" w14:textId="77777777" w:rsidR="00346EC2" w:rsidRPr="003C6D1F" w:rsidRDefault="00346EC2" w:rsidP="00346EC2">
      <w:pPr>
        <w:pStyle w:val="ListBullet"/>
      </w:pPr>
      <w:r w:rsidRPr="003C6D1F">
        <w:t>AusPARs are prepared and published by the TGA.</w:t>
      </w:r>
    </w:p>
    <w:p w14:paraId="451B8FD7" w14:textId="77777777" w:rsidR="00346EC2" w:rsidRPr="003C6D1F" w:rsidRDefault="00346EC2" w:rsidP="00346EC2">
      <w:pPr>
        <w:pStyle w:val="ListBullet"/>
      </w:pPr>
      <w:r w:rsidRPr="003C6D1F">
        <w:t>AusPAR</w:t>
      </w:r>
      <w:r>
        <w:t xml:space="preserve">s are </w:t>
      </w:r>
      <w:r w:rsidRPr="003C6D1F">
        <w:t>static document</w:t>
      </w:r>
      <w:r>
        <w:t xml:space="preserve">s that </w:t>
      </w:r>
      <w:r w:rsidRPr="003C6D1F">
        <w:t>provide information that relates to a submission at a particular point in time.</w:t>
      </w:r>
      <w:r>
        <w:t xml:space="preserve"> The publication of an AusPAR is an important part of the transparency of the TGA’s decision-making process.</w:t>
      </w:r>
    </w:p>
    <w:p w14:paraId="4D69F5CF" w14:textId="77777777" w:rsidR="00346EC2" w:rsidRPr="003C6D1F" w:rsidRDefault="00346EC2" w:rsidP="00346EC2">
      <w:pPr>
        <w:pStyle w:val="ListBullet"/>
      </w:pPr>
      <w:r w:rsidRPr="003C6D1F">
        <w:t xml:space="preserve">A new AusPAR </w:t>
      </w:r>
      <w:r>
        <w:t xml:space="preserve">may be provided </w:t>
      </w:r>
      <w:r w:rsidRPr="003C6D1F">
        <w:t>to reflect changes to indications or major variations to a prescription medicine subject to evaluation by the TGA.</w:t>
      </w:r>
    </w:p>
    <w:p w14:paraId="7067011F" w14:textId="510D5C5C" w:rsidR="00F02AEC" w:rsidRPr="00E1198B" w:rsidRDefault="00F02AEC" w:rsidP="00FE087C">
      <w:pPr>
        <w:pStyle w:val="LegalSubheading"/>
        <w:spacing w:before="3600"/>
      </w:pPr>
      <w:r w:rsidRPr="00BA0DFC">
        <w:t>Copyright</w:t>
      </w:r>
    </w:p>
    <w:p w14:paraId="170A8A5D" w14:textId="796829F4" w:rsidR="00175CD8" w:rsidRPr="00346EC2" w:rsidRDefault="00F02AEC" w:rsidP="00346EC2">
      <w:pPr>
        <w:pStyle w:val="LegalCopy"/>
        <w:rPr>
          <w:rFonts w:cs="Arial"/>
        </w:rPr>
      </w:pPr>
      <w:r w:rsidRPr="00215D48">
        <w:rPr>
          <w:rFonts w:cs="Arial"/>
        </w:rPr>
        <w:t>© Commonwealth of Australia 20</w:t>
      </w:r>
      <w:r>
        <w:rPr>
          <w:rFonts w:cs="Arial"/>
        </w:rPr>
        <w:t>2</w:t>
      </w:r>
      <w:r w:rsidR="00210F9B">
        <w:rPr>
          <w:rFonts w:cs="Arial"/>
        </w:rPr>
        <w:t>5</w:t>
      </w:r>
      <w:r w:rsidRPr="00215D48">
        <w:rPr>
          <w:rFonts w:cs="Arial"/>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215D48">
        <w:rPr>
          <w:rFonts w:cs="Arial"/>
          <w:i/>
        </w:rPr>
        <w:t>Copyright Act 1968</w:t>
      </w:r>
      <w:r w:rsidRPr="00215D48">
        <w:rPr>
          <w:rFonts w:cs="Arial"/>
        </w:rPr>
        <w:t xml:space="preserve"> or allowed by this copyright notice, all other rights are </w:t>
      </w:r>
      <w:proofErr w:type="gramStart"/>
      <w:r w:rsidRPr="00215D48">
        <w:rPr>
          <w:rFonts w:cs="Arial"/>
        </w:rPr>
        <w:t>reserved</w:t>
      </w:r>
      <w:proofErr w:type="gramEnd"/>
      <w:r w:rsidRPr="00215D48">
        <w:rPr>
          <w:rFonts w:cs="Arial"/>
        </w:rPr>
        <w:t xml:space="preserve">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4" w:history="1">
        <w:r w:rsidRPr="00215D48">
          <w:rPr>
            <w:rStyle w:val="Hyperlink"/>
            <w:rFonts w:cs="Arial"/>
          </w:rPr>
          <w:t>tga.copyright@tga.gov.au</w:t>
        </w:r>
      </w:hyperlink>
      <w:r w:rsidRPr="00215D48">
        <w:rPr>
          <w:rFonts w:cs="Arial"/>
        </w:rPr>
        <w:t>&gt;.</w:t>
      </w:r>
    </w:p>
    <w:sdt>
      <w:sdtPr>
        <w:rPr>
          <w:rFonts w:ascii="Cambria" w:eastAsiaTheme="minorHAnsi" w:hAnsi="Cambria" w:cstheme="minorBidi"/>
          <w:b w:val="0"/>
          <w:color w:val="auto"/>
          <w:sz w:val="22"/>
          <w:szCs w:val="22"/>
        </w:rPr>
        <w:id w:val="21514769"/>
        <w:docPartObj>
          <w:docPartGallery w:val="Table of Contents"/>
          <w:docPartUnique/>
        </w:docPartObj>
      </w:sdtPr>
      <w:sdtEndPr>
        <w:rPr>
          <w:szCs w:val="20"/>
        </w:rPr>
      </w:sdtEndPr>
      <w:sdtContent>
        <w:p w14:paraId="0A6ADA2B" w14:textId="77777777" w:rsidR="00F02AEC" w:rsidRPr="00215D48" w:rsidRDefault="00F02AEC" w:rsidP="007452E8">
          <w:pPr>
            <w:pStyle w:val="NonTOCheading2"/>
          </w:pPr>
          <w:r w:rsidRPr="00215D48">
            <w:t>Contents</w:t>
          </w:r>
        </w:p>
        <w:p w14:paraId="1473A298" w14:textId="13A4CEAA" w:rsidR="00EF3B77" w:rsidRDefault="00F02AEC">
          <w:pPr>
            <w:pStyle w:val="TOC2"/>
            <w:rPr>
              <w:rFonts w:asciiTheme="minorHAnsi" w:eastAsiaTheme="minorEastAsia" w:hAnsiTheme="minorHAnsi" w:cstheme="minorBidi"/>
              <w:b w:val="0"/>
              <w:noProof/>
              <w:color w:val="auto"/>
              <w:kern w:val="2"/>
              <w:sz w:val="24"/>
              <w:szCs w:val="24"/>
              <w:lang w:eastAsia="en-AU"/>
              <w14:ligatures w14:val="standardContextual"/>
            </w:rPr>
          </w:pPr>
          <w:r w:rsidRPr="00215D48">
            <w:rPr>
              <w:sz w:val="32"/>
            </w:rPr>
            <w:fldChar w:fldCharType="begin"/>
          </w:r>
          <w:r w:rsidRPr="00215D48">
            <w:instrText xml:space="preserve"> TOC \h \z \u \t "Heading 2,1,Heading 3,2,Heading 4,3" </w:instrText>
          </w:r>
          <w:r w:rsidRPr="00215D48">
            <w:rPr>
              <w:sz w:val="32"/>
            </w:rPr>
            <w:fldChar w:fldCharType="separate"/>
          </w:r>
          <w:hyperlink w:anchor="_Toc202172217" w:history="1">
            <w:r w:rsidR="00EF3B77" w:rsidRPr="00352F24">
              <w:rPr>
                <w:rStyle w:val="Hyperlink"/>
                <w:noProof/>
              </w:rPr>
              <w:t>List of abbreviations</w:t>
            </w:r>
            <w:r w:rsidR="00EF3B77">
              <w:rPr>
                <w:noProof/>
                <w:webHidden/>
              </w:rPr>
              <w:tab/>
            </w:r>
            <w:r w:rsidR="00EF3B77">
              <w:rPr>
                <w:noProof/>
                <w:webHidden/>
              </w:rPr>
              <w:fldChar w:fldCharType="begin"/>
            </w:r>
            <w:r w:rsidR="00EF3B77">
              <w:rPr>
                <w:noProof/>
                <w:webHidden/>
              </w:rPr>
              <w:instrText xml:space="preserve"> PAGEREF _Toc202172217 \h </w:instrText>
            </w:r>
            <w:r w:rsidR="00EF3B77">
              <w:rPr>
                <w:noProof/>
                <w:webHidden/>
              </w:rPr>
            </w:r>
            <w:r w:rsidR="00EF3B77">
              <w:rPr>
                <w:noProof/>
                <w:webHidden/>
              </w:rPr>
              <w:fldChar w:fldCharType="separate"/>
            </w:r>
            <w:r w:rsidR="00EF3B77">
              <w:rPr>
                <w:noProof/>
                <w:webHidden/>
              </w:rPr>
              <w:t>4</w:t>
            </w:r>
            <w:r w:rsidR="00EF3B77">
              <w:rPr>
                <w:noProof/>
                <w:webHidden/>
              </w:rPr>
              <w:fldChar w:fldCharType="end"/>
            </w:r>
          </w:hyperlink>
        </w:p>
        <w:p w14:paraId="33316255" w14:textId="0410A683" w:rsidR="00EF3B77" w:rsidRDefault="00EF3B77">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02172218" w:history="1">
            <w:r w:rsidRPr="00352F24">
              <w:rPr>
                <w:rStyle w:val="Hyperlink"/>
                <w:noProof/>
              </w:rPr>
              <w:t>AWIQLI (insulin icodec) submission</w:t>
            </w:r>
            <w:r>
              <w:rPr>
                <w:noProof/>
                <w:webHidden/>
              </w:rPr>
              <w:tab/>
            </w:r>
            <w:r>
              <w:rPr>
                <w:noProof/>
                <w:webHidden/>
              </w:rPr>
              <w:fldChar w:fldCharType="begin"/>
            </w:r>
            <w:r>
              <w:rPr>
                <w:noProof/>
                <w:webHidden/>
              </w:rPr>
              <w:instrText xml:space="preserve"> PAGEREF _Toc202172218 \h </w:instrText>
            </w:r>
            <w:r>
              <w:rPr>
                <w:noProof/>
                <w:webHidden/>
              </w:rPr>
            </w:r>
            <w:r>
              <w:rPr>
                <w:noProof/>
                <w:webHidden/>
              </w:rPr>
              <w:fldChar w:fldCharType="separate"/>
            </w:r>
            <w:r>
              <w:rPr>
                <w:noProof/>
                <w:webHidden/>
              </w:rPr>
              <w:t>6</w:t>
            </w:r>
            <w:r>
              <w:rPr>
                <w:noProof/>
                <w:webHidden/>
              </w:rPr>
              <w:fldChar w:fldCharType="end"/>
            </w:r>
          </w:hyperlink>
        </w:p>
        <w:p w14:paraId="08962ACD" w14:textId="21B950BB"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19" w:history="1">
            <w:r w:rsidRPr="00352F24">
              <w:rPr>
                <w:rStyle w:val="Hyperlink"/>
                <w:noProof/>
              </w:rPr>
              <w:t>Proposed indication</w:t>
            </w:r>
            <w:r>
              <w:rPr>
                <w:noProof/>
                <w:webHidden/>
              </w:rPr>
              <w:tab/>
            </w:r>
            <w:r>
              <w:rPr>
                <w:noProof/>
                <w:webHidden/>
              </w:rPr>
              <w:fldChar w:fldCharType="begin"/>
            </w:r>
            <w:r>
              <w:rPr>
                <w:noProof/>
                <w:webHidden/>
              </w:rPr>
              <w:instrText xml:space="preserve"> PAGEREF _Toc202172219 \h </w:instrText>
            </w:r>
            <w:r>
              <w:rPr>
                <w:noProof/>
                <w:webHidden/>
              </w:rPr>
            </w:r>
            <w:r>
              <w:rPr>
                <w:noProof/>
                <w:webHidden/>
              </w:rPr>
              <w:fldChar w:fldCharType="separate"/>
            </w:r>
            <w:r>
              <w:rPr>
                <w:noProof/>
                <w:webHidden/>
              </w:rPr>
              <w:t>8</w:t>
            </w:r>
            <w:r>
              <w:rPr>
                <w:noProof/>
                <w:webHidden/>
              </w:rPr>
              <w:fldChar w:fldCharType="end"/>
            </w:r>
          </w:hyperlink>
        </w:p>
        <w:p w14:paraId="03F4BEBC" w14:textId="45BB38C6"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20" w:history="1">
            <w:r w:rsidRPr="00352F24">
              <w:rPr>
                <w:rStyle w:val="Hyperlink"/>
                <w:noProof/>
              </w:rPr>
              <w:t>The disease</w:t>
            </w:r>
            <w:r>
              <w:rPr>
                <w:noProof/>
                <w:webHidden/>
              </w:rPr>
              <w:tab/>
            </w:r>
            <w:r>
              <w:rPr>
                <w:noProof/>
                <w:webHidden/>
              </w:rPr>
              <w:fldChar w:fldCharType="begin"/>
            </w:r>
            <w:r>
              <w:rPr>
                <w:noProof/>
                <w:webHidden/>
              </w:rPr>
              <w:instrText xml:space="preserve"> PAGEREF _Toc202172220 \h </w:instrText>
            </w:r>
            <w:r>
              <w:rPr>
                <w:noProof/>
                <w:webHidden/>
              </w:rPr>
            </w:r>
            <w:r>
              <w:rPr>
                <w:noProof/>
                <w:webHidden/>
              </w:rPr>
              <w:fldChar w:fldCharType="separate"/>
            </w:r>
            <w:r>
              <w:rPr>
                <w:noProof/>
                <w:webHidden/>
              </w:rPr>
              <w:t>8</w:t>
            </w:r>
            <w:r>
              <w:rPr>
                <w:noProof/>
                <w:webHidden/>
              </w:rPr>
              <w:fldChar w:fldCharType="end"/>
            </w:r>
          </w:hyperlink>
        </w:p>
        <w:p w14:paraId="5F45F7FB" w14:textId="238815FC"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21" w:history="1">
            <w:r w:rsidRPr="00352F24">
              <w:rPr>
                <w:rStyle w:val="Hyperlink"/>
                <w:noProof/>
              </w:rPr>
              <w:t>Current treatment options</w:t>
            </w:r>
            <w:r>
              <w:rPr>
                <w:noProof/>
                <w:webHidden/>
              </w:rPr>
              <w:tab/>
            </w:r>
            <w:r>
              <w:rPr>
                <w:noProof/>
                <w:webHidden/>
              </w:rPr>
              <w:fldChar w:fldCharType="begin"/>
            </w:r>
            <w:r>
              <w:rPr>
                <w:noProof/>
                <w:webHidden/>
              </w:rPr>
              <w:instrText xml:space="preserve"> PAGEREF _Toc202172221 \h </w:instrText>
            </w:r>
            <w:r>
              <w:rPr>
                <w:noProof/>
                <w:webHidden/>
              </w:rPr>
            </w:r>
            <w:r>
              <w:rPr>
                <w:noProof/>
                <w:webHidden/>
              </w:rPr>
              <w:fldChar w:fldCharType="separate"/>
            </w:r>
            <w:r>
              <w:rPr>
                <w:noProof/>
                <w:webHidden/>
              </w:rPr>
              <w:t>8</w:t>
            </w:r>
            <w:r>
              <w:rPr>
                <w:noProof/>
                <w:webHidden/>
              </w:rPr>
              <w:fldChar w:fldCharType="end"/>
            </w:r>
          </w:hyperlink>
        </w:p>
        <w:p w14:paraId="1A472F2E" w14:textId="18F92208"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22" w:history="1">
            <w:r w:rsidRPr="00352F24">
              <w:rPr>
                <w:rStyle w:val="Hyperlink"/>
                <w:noProof/>
              </w:rPr>
              <w:t>Regulatory status</w:t>
            </w:r>
            <w:r>
              <w:rPr>
                <w:noProof/>
                <w:webHidden/>
              </w:rPr>
              <w:tab/>
            </w:r>
            <w:r>
              <w:rPr>
                <w:noProof/>
                <w:webHidden/>
              </w:rPr>
              <w:fldChar w:fldCharType="begin"/>
            </w:r>
            <w:r>
              <w:rPr>
                <w:noProof/>
                <w:webHidden/>
              </w:rPr>
              <w:instrText xml:space="preserve"> PAGEREF _Toc202172222 \h </w:instrText>
            </w:r>
            <w:r>
              <w:rPr>
                <w:noProof/>
                <w:webHidden/>
              </w:rPr>
            </w:r>
            <w:r>
              <w:rPr>
                <w:noProof/>
                <w:webHidden/>
              </w:rPr>
              <w:fldChar w:fldCharType="separate"/>
            </w:r>
            <w:r>
              <w:rPr>
                <w:noProof/>
                <w:webHidden/>
              </w:rPr>
              <w:t>8</w:t>
            </w:r>
            <w:r>
              <w:rPr>
                <w:noProof/>
                <w:webHidden/>
              </w:rPr>
              <w:fldChar w:fldCharType="end"/>
            </w:r>
          </w:hyperlink>
        </w:p>
        <w:p w14:paraId="37E9A6C4" w14:textId="0A7302F6"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23" w:history="1">
            <w:r w:rsidRPr="00352F24">
              <w:rPr>
                <w:rStyle w:val="Hyperlink"/>
                <w:noProof/>
              </w:rPr>
              <w:t>Registration timeline</w:t>
            </w:r>
            <w:r>
              <w:rPr>
                <w:noProof/>
                <w:webHidden/>
              </w:rPr>
              <w:tab/>
            </w:r>
            <w:r>
              <w:rPr>
                <w:noProof/>
                <w:webHidden/>
              </w:rPr>
              <w:fldChar w:fldCharType="begin"/>
            </w:r>
            <w:r>
              <w:rPr>
                <w:noProof/>
                <w:webHidden/>
              </w:rPr>
              <w:instrText xml:space="preserve"> PAGEREF _Toc202172223 \h </w:instrText>
            </w:r>
            <w:r>
              <w:rPr>
                <w:noProof/>
                <w:webHidden/>
              </w:rPr>
            </w:r>
            <w:r>
              <w:rPr>
                <w:noProof/>
                <w:webHidden/>
              </w:rPr>
              <w:fldChar w:fldCharType="separate"/>
            </w:r>
            <w:r>
              <w:rPr>
                <w:noProof/>
                <w:webHidden/>
              </w:rPr>
              <w:t>9</w:t>
            </w:r>
            <w:r>
              <w:rPr>
                <w:noProof/>
                <w:webHidden/>
              </w:rPr>
              <w:fldChar w:fldCharType="end"/>
            </w:r>
          </w:hyperlink>
        </w:p>
        <w:p w14:paraId="19AF89BE" w14:textId="52343F21" w:rsidR="00EF3B77" w:rsidRDefault="00EF3B77">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02172224" w:history="1">
            <w:r w:rsidRPr="00352F24">
              <w:rPr>
                <w:rStyle w:val="Hyperlink"/>
                <w:noProof/>
              </w:rPr>
              <w:t>Assessment overview</w:t>
            </w:r>
            <w:r>
              <w:rPr>
                <w:noProof/>
                <w:webHidden/>
              </w:rPr>
              <w:tab/>
            </w:r>
            <w:r>
              <w:rPr>
                <w:noProof/>
                <w:webHidden/>
              </w:rPr>
              <w:fldChar w:fldCharType="begin"/>
            </w:r>
            <w:r>
              <w:rPr>
                <w:noProof/>
                <w:webHidden/>
              </w:rPr>
              <w:instrText xml:space="preserve"> PAGEREF _Toc202172224 \h </w:instrText>
            </w:r>
            <w:r>
              <w:rPr>
                <w:noProof/>
                <w:webHidden/>
              </w:rPr>
            </w:r>
            <w:r>
              <w:rPr>
                <w:noProof/>
                <w:webHidden/>
              </w:rPr>
              <w:fldChar w:fldCharType="separate"/>
            </w:r>
            <w:r>
              <w:rPr>
                <w:noProof/>
                <w:webHidden/>
              </w:rPr>
              <w:t>9</w:t>
            </w:r>
            <w:r>
              <w:rPr>
                <w:noProof/>
                <w:webHidden/>
              </w:rPr>
              <w:fldChar w:fldCharType="end"/>
            </w:r>
          </w:hyperlink>
        </w:p>
        <w:p w14:paraId="7E43FE02" w14:textId="2B4B2B74" w:rsidR="00EF3B77" w:rsidRDefault="00EF3B7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2172225" w:history="1">
            <w:r w:rsidRPr="00352F24">
              <w:rPr>
                <w:rStyle w:val="Hyperlink"/>
                <w:noProof/>
              </w:rPr>
              <w:t>Quality evaluation summary</w:t>
            </w:r>
            <w:r>
              <w:rPr>
                <w:noProof/>
                <w:webHidden/>
              </w:rPr>
              <w:tab/>
            </w:r>
            <w:r>
              <w:rPr>
                <w:noProof/>
                <w:webHidden/>
              </w:rPr>
              <w:fldChar w:fldCharType="begin"/>
            </w:r>
            <w:r>
              <w:rPr>
                <w:noProof/>
                <w:webHidden/>
              </w:rPr>
              <w:instrText xml:space="preserve"> PAGEREF _Toc202172225 \h </w:instrText>
            </w:r>
            <w:r>
              <w:rPr>
                <w:noProof/>
                <w:webHidden/>
              </w:rPr>
            </w:r>
            <w:r>
              <w:rPr>
                <w:noProof/>
                <w:webHidden/>
              </w:rPr>
              <w:fldChar w:fldCharType="separate"/>
            </w:r>
            <w:r>
              <w:rPr>
                <w:noProof/>
                <w:webHidden/>
              </w:rPr>
              <w:t>9</w:t>
            </w:r>
            <w:r>
              <w:rPr>
                <w:noProof/>
                <w:webHidden/>
              </w:rPr>
              <w:fldChar w:fldCharType="end"/>
            </w:r>
          </w:hyperlink>
        </w:p>
        <w:p w14:paraId="11749794" w14:textId="3B88DC96" w:rsidR="00EF3B77" w:rsidRDefault="00EF3B7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2172226" w:history="1">
            <w:r w:rsidRPr="00352F24">
              <w:rPr>
                <w:rStyle w:val="Hyperlink"/>
                <w:noProof/>
              </w:rPr>
              <w:t>Nonclinical evaluation summary</w:t>
            </w:r>
            <w:r>
              <w:rPr>
                <w:noProof/>
                <w:webHidden/>
              </w:rPr>
              <w:tab/>
            </w:r>
            <w:r>
              <w:rPr>
                <w:noProof/>
                <w:webHidden/>
              </w:rPr>
              <w:fldChar w:fldCharType="begin"/>
            </w:r>
            <w:r>
              <w:rPr>
                <w:noProof/>
                <w:webHidden/>
              </w:rPr>
              <w:instrText xml:space="preserve"> PAGEREF _Toc202172226 \h </w:instrText>
            </w:r>
            <w:r>
              <w:rPr>
                <w:noProof/>
                <w:webHidden/>
              </w:rPr>
            </w:r>
            <w:r>
              <w:rPr>
                <w:noProof/>
                <w:webHidden/>
              </w:rPr>
              <w:fldChar w:fldCharType="separate"/>
            </w:r>
            <w:r>
              <w:rPr>
                <w:noProof/>
                <w:webHidden/>
              </w:rPr>
              <w:t>11</w:t>
            </w:r>
            <w:r>
              <w:rPr>
                <w:noProof/>
                <w:webHidden/>
              </w:rPr>
              <w:fldChar w:fldCharType="end"/>
            </w:r>
          </w:hyperlink>
        </w:p>
        <w:p w14:paraId="40E7BE31" w14:textId="3C160D2B" w:rsidR="00EF3B77" w:rsidRDefault="00EF3B7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2172227" w:history="1">
            <w:r w:rsidRPr="00352F24">
              <w:rPr>
                <w:rStyle w:val="Hyperlink"/>
                <w:noProof/>
              </w:rPr>
              <w:t>Clinical evaluation summary</w:t>
            </w:r>
            <w:r>
              <w:rPr>
                <w:noProof/>
                <w:webHidden/>
              </w:rPr>
              <w:tab/>
            </w:r>
            <w:r>
              <w:rPr>
                <w:noProof/>
                <w:webHidden/>
              </w:rPr>
              <w:fldChar w:fldCharType="begin"/>
            </w:r>
            <w:r>
              <w:rPr>
                <w:noProof/>
                <w:webHidden/>
              </w:rPr>
              <w:instrText xml:space="preserve"> PAGEREF _Toc202172227 \h </w:instrText>
            </w:r>
            <w:r>
              <w:rPr>
                <w:noProof/>
                <w:webHidden/>
              </w:rPr>
            </w:r>
            <w:r>
              <w:rPr>
                <w:noProof/>
                <w:webHidden/>
              </w:rPr>
              <w:fldChar w:fldCharType="separate"/>
            </w:r>
            <w:r>
              <w:rPr>
                <w:noProof/>
                <w:webHidden/>
              </w:rPr>
              <w:t>14</w:t>
            </w:r>
            <w:r>
              <w:rPr>
                <w:noProof/>
                <w:webHidden/>
              </w:rPr>
              <w:fldChar w:fldCharType="end"/>
            </w:r>
          </w:hyperlink>
        </w:p>
        <w:p w14:paraId="157824D6" w14:textId="79C9CD48"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28" w:history="1">
            <w:r w:rsidRPr="00352F24">
              <w:rPr>
                <w:rStyle w:val="Hyperlink"/>
                <w:noProof/>
              </w:rPr>
              <w:t>Summary of clinical studies</w:t>
            </w:r>
            <w:r>
              <w:rPr>
                <w:noProof/>
                <w:webHidden/>
              </w:rPr>
              <w:tab/>
            </w:r>
            <w:r>
              <w:rPr>
                <w:noProof/>
                <w:webHidden/>
              </w:rPr>
              <w:fldChar w:fldCharType="begin"/>
            </w:r>
            <w:r>
              <w:rPr>
                <w:noProof/>
                <w:webHidden/>
              </w:rPr>
              <w:instrText xml:space="preserve"> PAGEREF _Toc202172228 \h </w:instrText>
            </w:r>
            <w:r>
              <w:rPr>
                <w:noProof/>
                <w:webHidden/>
              </w:rPr>
            </w:r>
            <w:r>
              <w:rPr>
                <w:noProof/>
                <w:webHidden/>
              </w:rPr>
              <w:fldChar w:fldCharType="separate"/>
            </w:r>
            <w:r>
              <w:rPr>
                <w:noProof/>
                <w:webHidden/>
              </w:rPr>
              <w:t>14</w:t>
            </w:r>
            <w:r>
              <w:rPr>
                <w:noProof/>
                <w:webHidden/>
              </w:rPr>
              <w:fldChar w:fldCharType="end"/>
            </w:r>
          </w:hyperlink>
        </w:p>
        <w:p w14:paraId="3D29E0B6" w14:textId="2BC1E38B"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29" w:history="1">
            <w:r w:rsidRPr="00352F24">
              <w:rPr>
                <w:rStyle w:val="Hyperlink"/>
                <w:noProof/>
              </w:rPr>
              <w:t>Pharmacology</w:t>
            </w:r>
            <w:r>
              <w:rPr>
                <w:noProof/>
                <w:webHidden/>
              </w:rPr>
              <w:tab/>
            </w:r>
            <w:r>
              <w:rPr>
                <w:noProof/>
                <w:webHidden/>
              </w:rPr>
              <w:fldChar w:fldCharType="begin"/>
            </w:r>
            <w:r>
              <w:rPr>
                <w:noProof/>
                <w:webHidden/>
              </w:rPr>
              <w:instrText xml:space="preserve"> PAGEREF _Toc202172229 \h </w:instrText>
            </w:r>
            <w:r>
              <w:rPr>
                <w:noProof/>
                <w:webHidden/>
              </w:rPr>
            </w:r>
            <w:r>
              <w:rPr>
                <w:noProof/>
                <w:webHidden/>
              </w:rPr>
              <w:fldChar w:fldCharType="separate"/>
            </w:r>
            <w:r>
              <w:rPr>
                <w:noProof/>
                <w:webHidden/>
              </w:rPr>
              <w:t>14</w:t>
            </w:r>
            <w:r>
              <w:rPr>
                <w:noProof/>
                <w:webHidden/>
              </w:rPr>
              <w:fldChar w:fldCharType="end"/>
            </w:r>
          </w:hyperlink>
        </w:p>
        <w:p w14:paraId="0A9E7E16" w14:textId="5604C42C"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30" w:history="1">
            <w:r w:rsidRPr="00352F24">
              <w:rPr>
                <w:rStyle w:val="Hyperlink"/>
                <w:noProof/>
              </w:rPr>
              <w:t>Efficacy</w:t>
            </w:r>
            <w:r>
              <w:rPr>
                <w:noProof/>
                <w:webHidden/>
              </w:rPr>
              <w:tab/>
            </w:r>
            <w:r>
              <w:rPr>
                <w:noProof/>
                <w:webHidden/>
              </w:rPr>
              <w:fldChar w:fldCharType="begin"/>
            </w:r>
            <w:r>
              <w:rPr>
                <w:noProof/>
                <w:webHidden/>
              </w:rPr>
              <w:instrText xml:space="preserve"> PAGEREF _Toc202172230 \h </w:instrText>
            </w:r>
            <w:r>
              <w:rPr>
                <w:noProof/>
                <w:webHidden/>
              </w:rPr>
            </w:r>
            <w:r>
              <w:rPr>
                <w:noProof/>
                <w:webHidden/>
              </w:rPr>
              <w:fldChar w:fldCharType="separate"/>
            </w:r>
            <w:r>
              <w:rPr>
                <w:noProof/>
                <w:webHidden/>
              </w:rPr>
              <w:t>24</w:t>
            </w:r>
            <w:r>
              <w:rPr>
                <w:noProof/>
                <w:webHidden/>
              </w:rPr>
              <w:fldChar w:fldCharType="end"/>
            </w:r>
          </w:hyperlink>
        </w:p>
        <w:p w14:paraId="7D57CEE8" w14:textId="0D7F0567"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31" w:history="1">
            <w:r w:rsidRPr="00352F24">
              <w:rPr>
                <w:rStyle w:val="Hyperlink"/>
                <w:noProof/>
              </w:rPr>
              <w:t>Safety</w:t>
            </w:r>
            <w:r>
              <w:rPr>
                <w:noProof/>
                <w:webHidden/>
              </w:rPr>
              <w:tab/>
            </w:r>
            <w:r>
              <w:rPr>
                <w:noProof/>
                <w:webHidden/>
              </w:rPr>
              <w:fldChar w:fldCharType="begin"/>
            </w:r>
            <w:r>
              <w:rPr>
                <w:noProof/>
                <w:webHidden/>
              </w:rPr>
              <w:instrText xml:space="preserve"> PAGEREF _Toc202172231 \h </w:instrText>
            </w:r>
            <w:r>
              <w:rPr>
                <w:noProof/>
                <w:webHidden/>
              </w:rPr>
            </w:r>
            <w:r>
              <w:rPr>
                <w:noProof/>
                <w:webHidden/>
              </w:rPr>
              <w:fldChar w:fldCharType="separate"/>
            </w:r>
            <w:r>
              <w:rPr>
                <w:noProof/>
                <w:webHidden/>
              </w:rPr>
              <w:t>47</w:t>
            </w:r>
            <w:r>
              <w:rPr>
                <w:noProof/>
                <w:webHidden/>
              </w:rPr>
              <w:fldChar w:fldCharType="end"/>
            </w:r>
          </w:hyperlink>
        </w:p>
        <w:p w14:paraId="2CA98DF9" w14:textId="57B941EC" w:rsidR="00EF3B77" w:rsidRDefault="00EF3B7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2172232" w:history="1">
            <w:r w:rsidRPr="00352F24">
              <w:rPr>
                <w:rStyle w:val="Hyperlink"/>
                <w:noProof/>
                <w:lang w:eastAsia="en-AU"/>
              </w:rPr>
              <w:t>Risk management plan evaluation summary</w:t>
            </w:r>
            <w:r>
              <w:rPr>
                <w:noProof/>
                <w:webHidden/>
              </w:rPr>
              <w:tab/>
            </w:r>
            <w:r>
              <w:rPr>
                <w:noProof/>
                <w:webHidden/>
              </w:rPr>
              <w:fldChar w:fldCharType="begin"/>
            </w:r>
            <w:r>
              <w:rPr>
                <w:noProof/>
                <w:webHidden/>
              </w:rPr>
              <w:instrText xml:space="preserve"> PAGEREF _Toc202172232 \h </w:instrText>
            </w:r>
            <w:r>
              <w:rPr>
                <w:noProof/>
                <w:webHidden/>
              </w:rPr>
            </w:r>
            <w:r>
              <w:rPr>
                <w:noProof/>
                <w:webHidden/>
              </w:rPr>
              <w:fldChar w:fldCharType="separate"/>
            </w:r>
            <w:r>
              <w:rPr>
                <w:noProof/>
                <w:webHidden/>
              </w:rPr>
              <w:t>62</w:t>
            </w:r>
            <w:r>
              <w:rPr>
                <w:noProof/>
                <w:webHidden/>
              </w:rPr>
              <w:fldChar w:fldCharType="end"/>
            </w:r>
          </w:hyperlink>
        </w:p>
        <w:p w14:paraId="7FB84E50" w14:textId="07F96094" w:rsidR="00EF3B77" w:rsidRDefault="00EF3B77">
          <w:pPr>
            <w:pStyle w:val="TOC2"/>
            <w:rPr>
              <w:rFonts w:asciiTheme="minorHAnsi" w:eastAsiaTheme="minorEastAsia" w:hAnsiTheme="minorHAnsi" w:cstheme="minorBidi"/>
              <w:b w:val="0"/>
              <w:noProof/>
              <w:color w:val="auto"/>
              <w:kern w:val="2"/>
              <w:sz w:val="24"/>
              <w:szCs w:val="24"/>
              <w:lang w:eastAsia="en-AU"/>
              <w14:ligatures w14:val="standardContextual"/>
            </w:rPr>
          </w:pPr>
          <w:hyperlink w:anchor="_Toc202172233" w:history="1">
            <w:r w:rsidRPr="00352F24">
              <w:rPr>
                <w:rStyle w:val="Hyperlink"/>
                <w:noProof/>
              </w:rPr>
              <w:t>Risk-benefit analysis</w:t>
            </w:r>
            <w:r>
              <w:rPr>
                <w:noProof/>
                <w:webHidden/>
              </w:rPr>
              <w:tab/>
            </w:r>
            <w:r>
              <w:rPr>
                <w:noProof/>
                <w:webHidden/>
              </w:rPr>
              <w:fldChar w:fldCharType="begin"/>
            </w:r>
            <w:r>
              <w:rPr>
                <w:noProof/>
                <w:webHidden/>
              </w:rPr>
              <w:instrText xml:space="preserve"> PAGEREF _Toc202172233 \h </w:instrText>
            </w:r>
            <w:r>
              <w:rPr>
                <w:noProof/>
                <w:webHidden/>
              </w:rPr>
            </w:r>
            <w:r>
              <w:rPr>
                <w:noProof/>
                <w:webHidden/>
              </w:rPr>
              <w:fldChar w:fldCharType="separate"/>
            </w:r>
            <w:r>
              <w:rPr>
                <w:noProof/>
                <w:webHidden/>
              </w:rPr>
              <w:t>63</w:t>
            </w:r>
            <w:r>
              <w:rPr>
                <w:noProof/>
                <w:webHidden/>
              </w:rPr>
              <w:fldChar w:fldCharType="end"/>
            </w:r>
          </w:hyperlink>
        </w:p>
        <w:p w14:paraId="5CA1507E" w14:textId="7FA99959"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34" w:history="1">
            <w:r w:rsidRPr="00352F24">
              <w:rPr>
                <w:rStyle w:val="Hyperlink"/>
                <w:noProof/>
              </w:rPr>
              <w:t>Advisory Committee considerations</w:t>
            </w:r>
            <w:r>
              <w:rPr>
                <w:noProof/>
                <w:webHidden/>
              </w:rPr>
              <w:tab/>
            </w:r>
            <w:r>
              <w:rPr>
                <w:noProof/>
                <w:webHidden/>
              </w:rPr>
              <w:fldChar w:fldCharType="begin"/>
            </w:r>
            <w:r>
              <w:rPr>
                <w:noProof/>
                <w:webHidden/>
              </w:rPr>
              <w:instrText xml:space="preserve"> PAGEREF _Toc202172234 \h </w:instrText>
            </w:r>
            <w:r>
              <w:rPr>
                <w:noProof/>
                <w:webHidden/>
              </w:rPr>
            </w:r>
            <w:r>
              <w:rPr>
                <w:noProof/>
                <w:webHidden/>
              </w:rPr>
              <w:fldChar w:fldCharType="separate"/>
            </w:r>
            <w:r>
              <w:rPr>
                <w:noProof/>
                <w:webHidden/>
              </w:rPr>
              <w:t>66</w:t>
            </w:r>
            <w:r>
              <w:rPr>
                <w:noProof/>
                <w:webHidden/>
              </w:rPr>
              <w:fldChar w:fldCharType="end"/>
            </w:r>
          </w:hyperlink>
        </w:p>
        <w:p w14:paraId="3399CE50" w14:textId="51F6233E" w:rsidR="00EF3B77" w:rsidRDefault="00EF3B77">
          <w:pPr>
            <w:pStyle w:val="TOC1"/>
            <w:rPr>
              <w:rFonts w:asciiTheme="minorHAnsi" w:eastAsiaTheme="minorEastAsia" w:hAnsiTheme="minorHAnsi" w:cstheme="minorBidi"/>
              <w:b w:val="0"/>
              <w:noProof/>
              <w:color w:val="auto"/>
              <w:kern w:val="2"/>
              <w:sz w:val="24"/>
              <w:szCs w:val="24"/>
              <w:lang w:eastAsia="en-AU"/>
              <w14:ligatures w14:val="standardContextual"/>
            </w:rPr>
          </w:pPr>
          <w:hyperlink w:anchor="_Toc202172235" w:history="1">
            <w:r w:rsidRPr="00352F24">
              <w:rPr>
                <w:rStyle w:val="Hyperlink"/>
                <w:noProof/>
              </w:rPr>
              <w:t>Assessment outcome</w:t>
            </w:r>
            <w:r>
              <w:rPr>
                <w:noProof/>
                <w:webHidden/>
              </w:rPr>
              <w:tab/>
            </w:r>
            <w:r>
              <w:rPr>
                <w:noProof/>
                <w:webHidden/>
              </w:rPr>
              <w:fldChar w:fldCharType="begin"/>
            </w:r>
            <w:r>
              <w:rPr>
                <w:noProof/>
                <w:webHidden/>
              </w:rPr>
              <w:instrText xml:space="preserve"> PAGEREF _Toc202172235 \h </w:instrText>
            </w:r>
            <w:r>
              <w:rPr>
                <w:noProof/>
                <w:webHidden/>
              </w:rPr>
            </w:r>
            <w:r>
              <w:rPr>
                <w:noProof/>
                <w:webHidden/>
              </w:rPr>
              <w:fldChar w:fldCharType="separate"/>
            </w:r>
            <w:r>
              <w:rPr>
                <w:noProof/>
                <w:webHidden/>
              </w:rPr>
              <w:t>67</w:t>
            </w:r>
            <w:r>
              <w:rPr>
                <w:noProof/>
                <w:webHidden/>
              </w:rPr>
              <w:fldChar w:fldCharType="end"/>
            </w:r>
          </w:hyperlink>
        </w:p>
        <w:p w14:paraId="2E8C930D" w14:textId="42842758"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36" w:history="1">
            <w:r w:rsidRPr="00352F24">
              <w:rPr>
                <w:rStyle w:val="Hyperlink"/>
                <w:noProof/>
              </w:rPr>
              <w:t>Specific conditions of registration</w:t>
            </w:r>
            <w:r>
              <w:rPr>
                <w:noProof/>
                <w:webHidden/>
              </w:rPr>
              <w:tab/>
            </w:r>
            <w:r>
              <w:rPr>
                <w:noProof/>
                <w:webHidden/>
              </w:rPr>
              <w:fldChar w:fldCharType="begin"/>
            </w:r>
            <w:r>
              <w:rPr>
                <w:noProof/>
                <w:webHidden/>
              </w:rPr>
              <w:instrText xml:space="preserve"> PAGEREF _Toc202172236 \h </w:instrText>
            </w:r>
            <w:r>
              <w:rPr>
                <w:noProof/>
                <w:webHidden/>
              </w:rPr>
            </w:r>
            <w:r>
              <w:rPr>
                <w:noProof/>
                <w:webHidden/>
              </w:rPr>
              <w:fldChar w:fldCharType="separate"/>
            </w:r>
            <w:r>
              <w:rPr>
                <w:noProof/>
                <w:webHidden/>
              </w:rPr>
              <w:t>67</w:t>
            </w:r>
            <w:r>
              <w:rPr>
                <w:noProof/>
                <w:webHidden/>
              </w:rPr>
              <w:fldChar w:fldCharType="end"/>
            </w:r>
          </w:hyperlink>
        </w:p>
        <w:p w14:paraId="61F23835" w14:textId="00C0566F" w:rsidR="00EF3B77" w:rsidRDefault="00EF3B77">
          <w:pPr>
            <w:pStyle w:val="TOC3"/>
            <w:rPr>
              <w:rFonts w:asciiTheme="minorHAnsi" w:eastAsiaTheme="minorEastAsia" w:hAnsiTheme="minorHAnsi" w:cstheme="minorBidi"/>
              <w:b w:val="0"/>
              <w:noProof/>
              <w:color w:val="auto"/>
              <w:kern w:val="2"/>
              <w:sz w:val="24"/>
              <w:szCs w:val="24"/>
              <w:lang w:eastAsia="en-AU"/>
              <w14:ligatures w14:val="standardContextual"/>
            </w:rPr>
          </w:pPr>
          <w:hyperlink w:anchor="_Toc202172237" w:history="1">
            <w:r w:rsidRPr="00352F24">
              <w:rPr>
                <w:rStyle w:val="Hyperlink"/>
                <w:noProof/>
              </w:rPr>
              <w:t>Product Information and Consumer Medicines Information</w:t>
            </w:r>
            <w:r>
              <w:rPr>
                <w:noProof/>
                <w:webHidden/>
              </w:rPr>
              <w:tab/>
            </w:r>
            <w:r>
              <w:rPr>
                <w:noProof/>
                <w:webHidden/>
              </w:rPr>
              <w:fldChar w:fldCharType="begin"/>
            </w:r>
            <w:r>
              <w:rPr>
                <w:noProof/>
                <w:webHidden/>
              </w:rPr>
              <w:instrText xml:space="preserve"> PAGEREF _Toc202172237 \h </w:instrText>
            </w:r>
            <w:r>
              <w:rPr>
                <w:noProof/>
                <w:webHidden/>
              </w:rPr>
            </w:r>
            <w:r>
              <w:rPr>
                <w:noProof/>
                <w:webHidden/>
              </w:rPr>
              <w:fldChar w:fldCharType="separate"/>
            </w:r>
            <w:r>
              <w:rPr>
                <w:noProof/>
                <w:webHidden/>
              </w:rPr>
              <w:t>68</w:t>
            </w:r>
            <w:r>
              <w:rPr>
                <w:noProof/>
                <w:webHidden/>
              </w:rPr>
              <w:fldChar w:fldCharType="end"/>
            </w:r>
          </w:hyperlink>
        </w:p>
        <w:p w14:paraId="77659F2D" w14:textId="246324F8" w:rsidR="00F02AEC" w:rsidRPr="00215D48" w:rsidRDefault="00F02AEC" w:rsidP="007452E8">
          <w:r w:rsidRPr="00215D48">
            <w:fldChar w:fldCharType="end"/>
          </w:r>
        </w:p>
      </w:sdtContent>
    </w:sdt>
    <w:p w14:paraId="10987AE2" w14:textId="77777777" w:rsidR="00F02AEC" w:rsidRPr="00215D48" w:rsidRDefault="00F02AEC" w:rsidP="007452E8">
      <w:r w:rsidRPr="00215D48">
        <w:br w:type="page"/>
      </w:r>
    </w:p>
    <w:p w14:paraId="1E73AB93" w14:textId="77777777" w:rsidR="00324B33" w:rsidRDefault="00324B33" w:rsidP="00256193">
      <w:pPr>
        <w:pStyle w:val="Heading3"/>
      </w:pPr>
      <w:bookmarkStart w:id="3" w:name="_Toc98931917"/>
      <w:bookmarkStart w:id="4" w:name="_Toc103679287"/>
      <w:bookmarkStart w:id="5" w:name="_Toc202172217"/>
      <w:bookmarkStart w:id="6" w:name="_Toc323739589"/>
      <w:bookmarkStart w:id="7" w:name="_Toc356305216"/>
      <w:r>
        <w:lastRenderedPageBreak/>
        <w:t>List of abbreviations</w:t>
      </w:r>
      <w:bookmarkEnd w:id="3"/>
      <w:bookmarkEnd w:id="4"/>
      <w:bookmarkEnd w:id="5"/>
    </w:p>
    <w:tbl>
      <w:tblPr>
        <w:tblStyle w:val="TableTGAblue2023"/>
        <w:tblW w:w="5000" w:type="pct"/>
        <w:tblLook w:val="04A0" w:firstRow="1" w:lastRow="0" w:firstColumn="1" w:lastColumn="0" w:noHBand="0" w:noVBand="1"/>
      </w:tblPr>
      <w:tblGrid>
        <w:gridCol w:w="2174"/>
        <w:gridCol w:w="6886"/>
      </w:tblGrid>
      <w:tr w:rsidR="003F6B31" w:rsidRPr="00D01DDB" w14:paraId="189564C4" w14:textId="77777777" w:rsidTr="00FD4746">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1200" w:type="pct"/>
          </w:tcPr>
          <w:p w14:paraId="432ACD2B" w14:textId="77777777" w:rsidR="003F6B31" w:rsidRPr="00D01DDB" w:rsidRDefault="003F6B31" w:rsidP="00FD4746">
            <w:pPr>
              <w:rPr>
                <w:szCs w:val="22"/>
              </w:rPr>
            </w:pPr>
            <w:bookmarkStart w:id="8" w:name="_Hlk201223805"/>
            <w:r w:rsidRPr="00D01DDB">
              <w:rPr>
                <w:szCs w:val="22"/>
              </w:rPr>
              <w:t>Abbreviation</w:t>
            </w:r>
          </w:p>
        </w:tc>
        <w:tc>
          <w:tcPr>
            <w:tcW w:w="3800" w:type="pct"/>
          </w:tcPr>
          <w:p w14:paraId="5C0DCD9A" w14:textId="77777777" w:rsidR="003F6B31" w:rsidRPr="00D01DDB" w:rsidRDefault="003F6B31" w:rsidP="00FD4746">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Meaning</w:t>
            </w:r>
          </w:p>
        </w:tc>
      </w:tr>
      <w:tr w:rsidR="003F6B31" w:rsidRPr="00D01DDB" w14:paraId="5403D00D"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47622F" w14:textId="77777777" w:rsidR="003F6B31" w:rsidRPr="00D01DDB" w:rsidRDefault="003F6B31" w:rsidP="00FD4746">
            <w:pPr>
              <w:rPr>
                <w:szCs w:val="22"/>
              </w:rPr>
            </w:pPr>
            <w:r w:rsidRPr="00D01DDB">
              <w:rPr>
                <w:szCs w:val="22"/>
              </w:rPr>
              <w:t>ACM</w:t>
            </w:r>
          </w:p>
        </w:tc>
        <w:tc>
          <w:tcPr>
            <w:tcW w:w="3800" w:type="pct"/>
          </w:tcPr>
          <w:p w14:paraId="6B8E7AA4" w14:textId="77777777" w:rsidR="003F6B31" w:rsidRPr="00D01DDB" w:rsidRDefault="003F6B31" w:rsidP="00FD4746">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Advisory Committee on Medicines</w:t>
            </w:r>
          </w:p>
        </w:tc>
      </w:tr>
      <w:tr w:rsidR="003F6B31" w:rsidRPr="00D01DDB" w14:paraId="7B708797"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15160E9" w14:textId="77777777" w:rsidR="003F6B31" w:rsidRPr="00D01DDB" w:rsidRDefault="003F6B31" w:rsidP="00FD4746">
            <w:pPr>
              <w:rPr>
                <w:szCs w:val="22"/>
              </w:rPr>
            </w:pPr>
            <w:r w:rsidRPr="00D01DDB">
              <w:rPr>
                <w:szCs w:val="22"/>
              </w:rPr>
              <w:t>ARTG</w:t>
            </w:r>
          </w:p>
        </w:tc>
        <w:tc>
          <w:tcPr>
            <w:tcW w:w="3800" w:type="pct"/>
          </w:tcPr>
          <w:p w14:paraId="19FF8A7C" w14:textId="77777777" w:rsidR="003F6B31" w:rsidRPr="00D01DDB" w:rsidRDefault="003F6B31" w:rsidP="00FD4746">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Australian Register of Therapeutic Goods</w:t>
            </w:r>
          </w:p>
        </w:tc>
      </w:tr>
      <w:tr w:rsidR="003F6B31" w:rsidRPr="00D01DDB" w14:paraId="26B94EA2"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70EB62D" w14:textId="77777777" w:rsidR="003F6B31" w:rsidRPr="00D01DDB" w:rsidRDefault="003F6B31" w:rsidP="00FD4746">
            <w:pPr>
              <w:rPr>
                <w:szCs w:val="22"/>
              </w:rPr>
            </w:pPr>
            <w:r w:rsidRPr="00D01DDB">
              <w:rPr>
                <w:szCs w:val="22"/>
              </w:rPr>
              <w:t>ASA</w:t>
            </w:r>
          </w:p>
        </w:tc>
        <w:tc>
          <w:tcPr>
            <w:tcW w:w="3800" w:type="pct"/>
          </w:tcPr>
          <w:p w14:paraId="7A6F9BCF" w14:textId="77777777" w:rsidR="003F6B31" w:rsidRPr="00D01DDB" w:rsidRDefault="003F6B31" w:rsidP="00FD4746">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Australia</w:t>
            </w:r>
            <w:r>
              <w:rPr>
                <w:szCs w:val="22"/>
              </w:rPr>
              <w:noBreakHyphen/>
            </w:r>
            <w:r w:rsidRPr="00D01DDB">
              <w:rPr>
                <w:szCs w:val="22"/>
              </w:rPr>
              <w:t>specific annex</w:t>
            </w:r>
          </w:p>
        </w:tc>
      </w:tr>
      <w:tr w:rsidR="00027143" w:rsidRPr="00D01DDB" w14:paraId="66AC9542"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89DB939" w14:textId="07504E77" w:rsidR="00027143" w:rsidRPr="00D01DDB" w:rsidRDefault="00027143" w:rsidP="00027143">
            <w:pPr>
              <w:rPr>
                <w:szCs w:val="22"/>
              </w:rPr>
            </w:pPr>
            <w:r>
              <w:rPr>
                <w:szCs w:val="22"/>
              </w:rPr>
              <w:t>AUC</w:t>
            </w:r>
            <w:r w:rsidRPr="00D02D70">
              <w:rPr>
                <w:szCs w:val="22"/>
                <w:vertAlign w:val="subscript"/>
              </w:rPr>
              <w:t>GIR</w:t>
            </w:r>
          </w:p>
        </w:tc>
        <w:tc>
          <w:tcPr>
            <w:tcW w:w="3800" w:type="pct"/>
          </w:tcPr>
          <w:p w14:paraId="75D77B92" w14:textId="3C2BBE1B" w:rsidR="00027143" w:rsidRPr="00D01DDB" w:rsidRDefault="00737893" w:rsidP="00027143">
            <w:pPr>
              <w:cnfStyle w:val="000000000000" w:firstRow="0" w:lastRow="0" w:firstColumn="0" w:lastColumn="0" w:oddVBand="0" w:evenVBand="0" w:oddHBand="0" w:evenHBand="0" w:firstRowFirstColumn="0" w:firstRowLastColumn="0" w:lastRowFirstColumn="0" w:lastRowLastColumn="0"/>
              <w:rPr>
                <w:szCs w:val="22"/>
              </w:rPr>
            </w:pPr>
            <w:r>
              <w:rPr>
                <w:szCs w:val="22"/>
              </w:rPr>
              <w:t>a</w:t>
            </w:r>
            <w:r w:rsidR="00027143" w:rsidRPr="00561B8D">
              <w:rPr>
                <w:szCs w:val="22"/>
              </w:rPr>
              <w:t xml:space="preserve">rea under the glucose infusion rate </w:t>
            </w:r>
            <w:r w:rsidR="00027143">
              <w:rPr>
                <w:szCs w:val="22"/>
              </w:rPr>
              <w:t>(</w:t>
            </w:r>
            <w:r w:rsidR="00027143" w:rsidRPr="00561B8D">
              <w:rPr>
                <w:szCs w:val="22"/>
              </w:rPr>
              <w:t>GIR</w:t>
            </w:r>
            <w:r w:rsidR="00027143">
              <w:rPr>
                <w:szCs w:val="22"/>
              </w:rPr>
              <w:t>)</w:t>
            </w:r>
            <w:r w:rsidR="00027143" w:rsidRPr="00561B8D">
              <w:rPr>
                <w:szCs w:val="22"/>
              </w:rPr>
              <w:t xml:space="preserve"> curve</w:t>
            </w:r>
          </w:p>
        </w:tc>
      </w:tr>
      <w:tr w:rsidR="003F6B31" w:rsidRPr="00D01DDB" w14:paraId="253A0DC8"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E0A6F33" w14:textId="77777777" w:rsidR="003F6B31" w:rsidRPr="00D01DDB" w:rsidRDefault="003F6B31" w:rsidP="00FD4746">
            <w:pPr>
              <w:rPr>
                <w:szCs w:val="22"/>
              </w:rPr>
            </w:pPr>
            <w:r>
              <w:rPr>
                <w:szCs w:val="22"/>
              </w:rPr>
              <w:t>BW</w:t>
            </w:r>
          </w:p>
        </w:tc>
        <w:tc>
          <w:tcPr>
            <w:tcW w:w="3800" w:type="pct"/>
          </w:tcPr>
          <w:p w14:paraId="6158C2E7" w14:textId="165E314E"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rPr>
                <w:szCs w:val="22"/>
              </w:rPr>
              <w:t>b</w:t>
            </w:r>
            <w:r w:rsidR="003F6B31">
              <w:rPr>
                <w:szCs w:val="22"/>
              </w:rPr>
              <w:t>ody weight</w:t>
            </w:r>
          </w:p>
        </w:tc>
      </w:tr>
      <w:tr w:rsidR="003F6B31" w:rsidRPr="00D01DDB" w14:paraId="0191B03A"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F2F80C8" w14:textId="77777777" w:rsidR="003F6B31" w:rsidRPr="00D01DDB" w:rsidRDefault="003F6B31" w:rsidP="00FD4746">
            <w:pPr>
              <w:rPr>
                <w:szCs w:val="22"/>
              </w:rPr>
            </w:pPr>
            <w:r w:rsidRPr="00E91C77">
              <w:t>CGM</w:t>
            </w:r>
          </w:p>
        </w:tc>
        <w:tc>
          <w:tcPr>
            <w:tcW w:w="3800" w:type="pct"/>
          </w:tcPr>
          <w:p w14:paraId="1C6C4B4E" w14:textId="3C7B8125"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t>c</w:t>
            </w:r>
            <w:r w:rsidR="003F6B31" w:rsidRPr="00E91C77">
              <w:t xml:space="preserve">ontinuous </w:t>
            </w:r>
            <w:r w:rsidR="003F6B31">
              <w:t>g</w:t>
            </w:r>
            <w:r w:rsidR="003F6B31" w:rsidRPr="00E91C77">
              <w:t xml:space="preserve">lucose </w:t>
            </w:r>
            <w:r w:rsidR="003F6B31">
              <w:t>m</w:t>
            </w:r>
            <w:r w:rsidR="003F6B31" w:rsidRPr="00E91C77">
              <w:t>onitoring</w:t>
            </w:r>
          </w:p>
        </w:tc>
      </w:tr>
      <w:tr w:rsidR="003F6B31" w:rsidRPr="00D01DDB" w14:paraId="6504096B"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D226016" w14:textId="77777777" w:rsidR="003F6B31" w:rsidRPr="00D01DDB" w:rsidRDefault="003F6B31" w:rsidP="00FD4746">
            <w:pPr>
              <w:rPr>
                <w:szCs w:val="22"/>
              </w:rPr>
            </w:pPr>
            <w:r>
              <w:rPr>
                <w:szCs w:val="22"/>
              </w:rPr>
              <w:t>CL/F</w:t>
            </w:r>
          </w:p>
        </w:tc>
        <w:tc>
          <w:tcPr>
            <w:tcW w:w="3800" w:type="pct"/>
          </w:tcPr>
          <w:p w14:paraId="3ACCFC9E" w14:textId="79FE0E5D"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rPr>
                <w:szCs w:val="22"/>
              </w:rPr>
              <w:t>a</w:t>
            </w:r>
            <w:r w:rsidR="003F6B31" w:rsidRPr="005F29C6">
              <w:rPr>
                <w:szCs w:val="22"/>
              </w:rPr>
              <w:t>pparent total plasma clearance</w:t>
            </w:r>
          </w:p>
        </w:tc>
      </w:tr>
      <w:tr w:rsidR="003F6B31" w:rsidRPr="00D01DDB" w14:paraId="0583393C"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6EA4DC6" w14:textId="77777777" w:rsidR="003F6B31" w:rsidRPr="00D01DDB" w:rsidRDefault="003F6B31" w:rsidP="00FD4746">
            <w:pPr>
              <w:rPr>
                <w:szCs w:val="22"/>
              </w:rPr>
            </w:pPr>
            <w:r w:rsidRPr="00D01DDB">
              <w:rPr>
                <w:szCs w:val="22"/>
              </w:rPr>
              <w:t>CMI</w:t>
            </w:r>
          </w:p>
        </w:tc>
        <w:tc>
          <w:tcPr>
            <w:tcW w:w="3800" w:type="pct"/>
          </w:tcPr>
          <w:p w14:paraId="45B68117" w14:textId="77777777" w:rsidR="003F6B31" w:rsidRPr="00D01DDB" w:rsidRDefault="003F6B31" w:rsidP="00FD4746">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Consumer Medicines Information</w:t>
            </w:r>
          </w:p>
        </w:tc>
      </w:tr>
      <w:tr w:rsidR="003F6B31" w:rsidRPr="00D01DDB" w14:paraId="77ED24F7"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637592A" w14:textId="77777777" w:rsidR="003F6B31" w:rsidRPr="00D01DDB" w:rsidRDefault="003F6B31" w:rsidP="00FD4746">
            <w:pPr>
              <w:rPr>
                <w:szCs w:val="22"/>
              </w:rPr>
            </w:pPr>
            <w:r>
              <w:rPr>
                <w:szCs w:val="22"/>
              </w:rPr>
              <w:t>Delegate</w:t>
            </w:r>
          </w:p>
        </w:tc>
        <w:tc>
          <w:tcPr>
            <w:tcW w:w="3800" w:type="pct"/>
          </w:tcPr>
          <w:p w14:paraId="646453BB" w14:textId="5DE6F834"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rPr>
                <w:szCs w:val="22"/>
              </w:rPr>
              <w:t>The d</w:t>
            </w:r>
            <w:r w:rsidR="003F6B31" w:rsidRPr="004E12BD">
              <w:rPr>
                <w:szCs w:val="22"/>
              </w:rPr>
              <w:t>elegate of the Secretary of the Department of Health and Aged Care who made the final decision to either include the new medicine/indication on the ARTG or reject the submission, under section 25 of the Therapeutic Goods Act</w:t>
            </w:r>
          </w:p>
        </w:tc>
      </w:tr>
      <w:tr w:rsidR="003F6B31" w:rsidRPr="00D01DDB" w14:paraId="0E5AB36A"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FC9F3F2" w14:textId="77777777" w:rsidR="003F6B31" w:rsidRPr="00D01DDB" w:rsidRDefault="003F6B31" w:rsidP="00FD4746">
            <w:pPr>
              <w:rPr>
                <w:szCs w:val="22"/>
              </w:rPr>
            </w:pPr>
            <w:r w:rsidRPr="00A63E9D">
              <w:t>DPP4</w:t>
            </w:r>
          </w:p>
        </w:tc>
        <w:tc>
          <w:tcPr>
            <w:tcW w:w="3800" w:type="pct"/>
          </w:tcPr>
          <w:p w14:paraId="51A05145" w14:textId="123C26B6" w:rsidR="003F6B31" w:rsidRPr="00D01DDB" w:rsidRDefault="00737893" w:rsidP="00FD4746">
            <w:pPr>
              <w:tabs>
                <w:tab w:val="center" w:pos="3374"/>
              </w:tabs>
              <w:cnfStyle w:val="000000000000" w:firstRow="0" w:lastRow="0" w:firstColumn="0" w:lastColumn="0" w:oddVBand="0" w:evenVBand="0" w:oddHBand="0" w:evenHBand="0" w:firstRowFirstColumn="0" w:firstRowLastColumn="0" w:lastRowFirstColumn="0" w:lastRowLastColumn="0"/>
              <w:rPr>
                <w:szCs w:val="22"/>
              </w:rPr>
            </w:pPr>
            <w:r>
              <w:t>d</w:t>
            </w:r>
            <w:r w:rsidR="003F6B31" w:rsidRPr="00A63E9D">
              <w:t>ipeptidyl peptidase-4</w:t>
            </w:r>
          </w:p>
        </w:tc>
      </w:tr>
      <w:tr w:rsidR="003F6B31" w:rsidRPr="00D01DDB" w14:paraId="22157B54"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8A199D6" w14:textId="77777777" w:rsidR="003F6B31" w:rsidRPr="00A63E9D" w:rsidRDefault="003F6B31" w:rsidP="00FD4746">
            <w:r w:rsidRPr="00332A4A">
              <w:t>DTSQ</w:t>
            </w:r>
          </w:p>
        </w:tc>
        <w:tc>
          <w:tcPr>
            <w:tcW w:w="3800" w:type="pct"/>
          </w:tcPr>
          <w:p w14:paraId="7A9786A6" w14:textId="77777777" w:rsidR="003F6B31" w:rsidRDefault="003F6B31" w:rsidP="00FD4746">
            <w:pPr>
              <w:tabs>
                <w:tab w:val="center" w:pos="3374"/>
              </w:tabs>
              <w:cnfStyle w:val="000000000000" w:firstRow="0" w:lastRow="0" w:firstColumn="0" w:lastColumn="0" w:oddVBand="0" w:evenVBand="0" w:oddHBand="0" w:evenHBand="0" w:firstRowFirstColumn="0" w:firstRowLastColumn="0" w:lastRowFirstColumn="0" w:lastRowLastColumn="0"/>
            </w:pPr>
            <w:r w:rsidRPr="00332A4A">
              <w:t>Diabetes Treatment Satisfaction Questionnaire</w:t>
            </w:r>
          </w:p>
        </w:tc>
      </w:tr>
      <w:tr w:rsidR="003F6B31" w:rsidRPr="00D01DDB" w14:paraId="070ACA20"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D290415" w14:textId="77777777" w:rsidR="003F6B31" w:rsidRPr="00D01DDB" w:rsidRDefault="003F6B31" w:rsidP="00FD4746">
            <w:pPr>
              <w:rPr>
                <w:szCs w:val="22"/>
              </w:rPr>
            </w:pPr>
            <w:r w:rsidRPr="00C40FB6">
              <w:t>e</w:t>
            </w:r>
            <w:r>
              <w:t>GFR</w:t>
            </w:r>
          </w:p>
        </w:tc>
        <w:tc>
          <w:tcPr>
            <w:tcW w:w="3800" w:type="pct"/>
          </w:tcPr>
          <w:p w14:paraId="198E66CF" w14:textId="77777777" w:rsidR="003F6B31" w:rsidRPr="00D01DDB" w:rsidRDefault="003F6B31" w:rsidP="00FD4746">
            <w:pPr>
              <w:tabs>
                <w:tab w:val="center" w:pos="3374"/>
              </w:tabs>
              <w:cnfStyle w:val="000000000000" w:firstRow="0" w:lastRow="0" w:firstColumn="0" w:lastColumn="0" w:oddVBand="0" w:evenVBand="0" w:oddHBand="0" w:evenHBand="0" w:firstRowFirstColumn="0" w:firstRowLastColumn="0" w:lastRowFirstColumn="0" w:lastRowLastColumn="0"/>
              <w:rPr>
                <w:szCs w:val="22"/>
              </w:rPr>
            </w:pPr>
            <w:r w:rsidRPr="00C40FB6">
              <w:t xml:space="preserve">estimated </w:t>
            </w:r>
            <w:r>
              <w:t>g</w:t>
            </w:r>
            <w:r w:rsidRPr="00C40FB6">
              <w:t xml:space="preserve">lomerular </w:t>
            </w:r>
            <w:r>
              <w:t>f</w:t>
            </w:r>
            <w:r w:rsidRPr="00C40FB6">
              <w:t>iltration Rate</w:t>
            </w:r>
          </w:p>
        </w:tc>
      </w:tr>
      <w:tr w:rsidR="003F6B31" w:rsidRPr="00D01DDB" w14:paraId="58E7AE4E"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3F8E692" w14:textId="77777777" w:rsidR="003F6B31" w:rsidRPr="00C40FB6" w:rsidRDefault="003F6B31" w:rsidP="00FD4746">
            <w:r w:rsidRPr="00A86A54">
              <w:t>ETD</w:t>
            </w:r>
          </w:p>
        </w:tc>
        <w:tc>
          <w:tcPr>
            <w:tcW w:w="3800" w:type="pct"/>
          </w:tcPr>
          <w:p w14:paraId="3EB24AAD" w14:textId="6C08E0B0" w:rsidR="003F6B31" w:rsidRPr="00C40FB6" w:rsidRDefault="00737893" w:rsidP="00FD4746">
            <w:pPr>
              <w:tabs>
                <w:tab w:val="center" w:pos="3374"/>
              </w:tabs>
              <w:cnfStyle w:val="000000000000" w:firstRow="0" w:lastRow="0" w:firstColumn="0" w:lastColumn="0" w:oddVBand="0" w:evenVBand="0" w:oddHBand="0" w:evenHBand="0" w:firstRowFirstColumn="0" w:firstRowLastColumn="0" w:lastRowFirstColumn="0" w:lastRowLastColumn="0"/>
            </w:pPr>
            <w:r>
              <w:t>e</w:t>
            </w:r>
            <w:r w:rsidR="003F6B31" w:rsidRPr="00A86A54">
              <w:t>stimated treatment difference</w:t>
            </w:r>
          </w:p>
        </w:tc>
      </w:tr>
      <w:tr w:rsidR="003F6B31" w:rsidRPr="00D01DDB" w14:paraId="4EE8863F"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B16CFE9" w14:textId="77777777" w:rsidR="003F6B31" w:rsidRPr="00A86A54" w:rsidRDefault="003F6B31" w:rsidP="00FD4746">
            <w:r w:rsidRPr="00865526">
              <w:t>ETR</w:t>
            </w:r>
          </w:p>
        </w:tc>
        <w:tc>
          <w:tcPr>
            <w:tcW w:w="3800" w:type="pct"/>
          </w:tcPr>
          <w:p w14:paraId="4532F4DC" w14:textId="77777777" w:rsidR="003F6B31" w:rsidRDefault="003F6B31" w:rsidP="00FD4746">
            <w:pPr>
              <w:tabs>
                <w:tab w:val="center" w:pos="3374"/>
              </w:tabs>
              <w:cnfStyle w:val="000000000000" w:firstRow="0" w:lastRow="0" w:firstColumn="0" w:lastColumn="0" w:oddVBand="0" w:evenVBand="0" w:oddHBand="0" w:evenHBand="0" w:firstRowFirstColumn="0" w:firstRowLastColumn="0" w:lastRowFirstColumn="0" w:lastRowLastColumn="0"/>
            </w:pPr>
            <w:r w:rsidRPr="00865526">
              <w:t>estimated treatment ratio</w:t>
            </w:r>
          </w:p>
        </w:tc>
      </w:tr>
      <w:tr w:rsidR="003F6B31" w:rsidRPr="00D01DDB" w14:paraId="0605CD05"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972EF0F" w14:textId="77777777" w:rsidR="003F6B31" w:rsidRPr="00C40FB6" w:rsidRDefault="003F6B31" w:rsidP="00FD4746">
            <w:r>
              <w:t>FPG</w:t>
            </w:r>
          </w:p>
        </w:tc>
        <w:tc>
          <w:tcPr>
            <w:tcW w:w="3800" w:type="pct"/>
          </w:tcPr>
          <w:p w14:paraId="5949F9ED" w14:textId="5B23C165" w:rsidR="003F6B31" w:rsidRPr="00C40FB6" w:rsidRDefault="00737893" w:rsidP="00FD4746">
            <w:pPr>
              <w:tabs>
                <w:tab w:val="center" w:pos="3374"/>
              </w:tabs>
              <w:cnfStyle w:val="000000000000" w:firstRow="0" w:lastRow="0" w:firstColumn="0" w:lastColumn="0" w:oddVBand="0" w:evenVBand="0" w:oddHBand="0" w:evenHBand="0" w:firstRowFirstColumn="0" w:firstRowLastColumn="0" w:lastRowFirstColumn="0" w:lastRowLastColumn="0"/>
            </w:pPr>
            <w:r>
              <w:t>f</w:t>
            </w:r>
            <w:r w:rsidR="003F6B31">
              <w:t xml:space="preserve">asting </w:t>
            </w:r>
            <w:r>
              <w:t>p</w:t>
            </w:r>
            <w:r w:rsidR="003F6B31">
              <w:t xml:space="preserve">lasma </w:t>
            </w:r>
            <w:r>
              <w:t>g</w:t>
            </w:r>
            <w:r w:rsidR="003F6B31">
              <w:t>lucose</w:t>
            </w:r>
          </w:p>
        </w:tc>
      </w:tr>
      <w:tr w:rsidR="003F6B31" w:rsidRPr="00D01DDB" w14:paraId="18591A46"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796FD14" w14:textId="77777777" w:rsidR="003F6B31" w:rsidRPr="00D01DDB" w:rsidRDefault="003F6B31" w:rsidP="00FD4746">
            <w:pPr>
              <w:rPr>
                <w:szCs w:val="22"/>
              </w:rPr>
            </w:pPr>
            <w:r w:rsidRPr="0026499F">
              <w:t>GIR</w:t>
            </w:r>
          </w:p>
        </w:tc>
        <w:tc>
          <w:tcPr>
            <w:tcW w:w="3800" w:type="pct"/>
          </w:tcPr>
          <w:p w14:paraId="6677ADF2" w14:textId="7075FF54" w:rsidR="003F6B31" w:rsidRPr="00D01DDB" w:rsidRDefault="00737893" w:rsidP="00FD4746">
            <w:pPr>
              <w:tabs>
                <w:tab w:val="center" w:pos="3374"/>
              </w:tabs>
              <w:cnfStyle w:val="000000000000" w:firstRow="0" w:lastRow="0" w:firstColumn="0" w:lastColumn="0" w:oddVBand="0" w:evenVBand="0" w:oddHBand="0" w:evenHBand="0" w:firstRowFirstColumn="0" w:firstRowLastColumn="0" w:lastRowFirstColumn="0" w:lastRowLastColumn="0"/>
              <w:rPr>
                <w:szCs w:val="22"/>
              </w:rPr>
            </w:pPr>
            <w:r>
              <w:t>g</w:t>
            </w:r>
            <w:r w:rsidR="003F6B31" w:rsidRPr="0026499F">
              <w:t xml:space="preserve">lucose </w:t>
            </w:r>
            <w:r>
              <w:t>i</w:t>
            </w:r>
            <w:r w:rsidR="003F6B31" w:rsidRPr="0026499F">
              <w:t>nfusion rate</w:t>
            </w:r>
          </w:p>
        </w:tc>
      </w:tr>
      <w:tr w:rsidR="003F6B31" w:rsidRPr="00D01DDB" w14:paraId="5910557B"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D519E7C" w14:textId="77777777" w:rsidR="003F6B31" w:rsidRPr="00D01DDB" w:rsidRDefault="003F6B31" w:rsidP="00FD4746">
            <w:pPr>
              <w:rPr>
                <w:szCs w:val="22"/>
              </w:rPr>
            </w:pPr>
            <w:r>
              <w:rPr>
                <w:szCs w:val="22"/>
              </w:rPr>
              <w:t>HbA1c</w:t>
            </w:r>
          </w:p>
        </w:tc>
        <w:tc>
          <w:tcPr>
            <w:tcW w:w="3800" w:type="pct"/>
          </w:tcPr>
          <w:p w14:paraId="2F39D796" w14:textId="77777777" w:rsidR="003F6B31" w:rsidRPr="00D01DDB" w:rsidRDefault="003F6B31" w:rsidP="00FD4746">
            <w:pPr>
              <w:tabs>
                <w:tab w:val="center" w:pos="3374"/>
              </w:tabs>
              <w:cnfStyle w:val="000000000000" w:firstRow="0" w:lastRow="0" w:firstColumn="0" w:lastColumn="0" w:oddVBand="0" w:evenVBand="0" w:oddHBand="0" w:evenHBand="0" w:firstRowFirstColumn="0" w:firstRowLastColumn="0" w:lastRowFirstColumn="0" w:lastRowLastColumn="0"/>
              <w:rPr>
                <w:szCs w:val="22"/>
              </w:rPr>
            </w:pPr>
            <w:r w:rsidRPr="00911533">
              <w:rPr>
                <w:szCs w:val="22"/>
              </w:rPr>
              <w:t>Haemoglobin A1C</w:t>
            </w:r>
          </w:p>
        </w:tc>
      </w:tr>
      <w:tr w:rsidR="003F6B31" w:rsidRPr="00D01DDB" w14:paraId="37B0BA4F"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2AC2E2B" w14:textId="77777777" w:rsidR="003F6B31" w:rsidRPr="00D01DDB" w:rsidRDefault="003F6B31" w:rsidP="00FD4746">
            <w:pPr>
              <w:rPr>
                <w:szCs w:val="22"/>
              </w:rPr>
            </w:pPr>
            <w:r w:rsidRPr="006E64F7">
              <w:t>IR-A</w:t>
            </w:r>
          </w:p>
        </w:tc>
        <w:tc>
          <w:tcPr>
            <w:tcW w:w="3800" w:type="pct"/>
          </w:tcPr>
          <w:p w14:paraId="02740356" w14:textId="77777777" w:rsidR="003F6B31" w:rsidRPr="00D01DDB" w:rsidRDefault="003F6B31" w:rsidP="00FD4746">
            <w:pPr>
              <w:tabs>
                <w:tab w:val="center" w:pos="3374"/>
              </w:tabs>
              <w:cnfStyle w:val="000000000000" w:firstRow="0" w:lastRow="0" w:firstColumn="0" w:lastColumn="0" w:oddVBand="0" w:evenVBand="0" w:oddHBand="0" w:evenHBand="0" w:firstRowFirstColumn="0" w:firstRowLastColumn="0" w:lastRowFirstColumn="0" w:lastRowLastColumn="0"/>
              <w:rPr>
                <w:szCs w:val="22"/>
              </w:rPr>
            </w:pPr>
            <w:r w:rsidRPr="006E64F7">
              <w:t xml:space="preserve">human insulin receptor </w:t>
            </w:r>
            <w:r>
              <w:t>A</w:t>
            </w:r>
          </w:p>
        </w:tc>
      </w:tr>
      <w:tr w:rsidR="003F6B31" w:rsidRPr="00D01DDB" w14:paraId="70877A8E"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1E827CB" w14:textId="77777777" w:rsidR="003F6B31" w:rsidRPr="006E64F7" w:rsidRDefault="003F6B31" w:rsidP="00FD4746">
            <w:r w:rsidRPr="00C974EA">
              <w:t>IR-</w:t>
            </w:r>
            <w:r>
              <w:t>B</w:t>
            </w:r>
          </w:p>
        </w:tc>
        <w:tc>
          <w:tcPr>
            <w:tcW w:w="3800" w:type="pct"/>
          </w:tcPr>
          <w:p w14:paraId="124B5EFB" w14:textId="77777777" w:rsidR="003F6B31" w:rsidRPr="006E64F7" w:rsidRDefault="003F6B31" w:rsidP="00FD4746">
            <w:pPr>
              <w:tabs>
                <w:tab w:val="center" w:pos="3374"/>
              </w:tabs>
              <w:cnfStyle w:val="000000000000" w:firstRow="0" w:lastRow="0" w:firstColumn="0" w:lastColumn="0" w:oddVBand="0" w:evenVBand="0" w:oddHBand="0" w:evenHBand="0" w:firstRowFirstColumn="0" w:firstRowLastColumn="0" w:lastRowFirstColumn="0" w:lastRowLastColumn="0"/>
            </w:pPr>
            <w:r w:rsidRPr="00C974EA">
              <w:t xml:space="preserve">human insulin receptor </w:t>
            </w:r>
            <w:r>
              <w:t>B</w:t>
            </w:r>
          </w:p>
        </w:tc>
      </w:tr>
      <w:tr w:rsidR="003F6B31" w:rsidRPr="00D01DDB" w14:paraId="42579F30"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8757C58" w14:textId="3C5151D3" w:rsidR="003F6B31" w:rsidRPr="00C974EA" w:rsidRDefault="00D64CAE" w:rsidP="00FD4746">
            <w:r>
              <w:t>IIco</w:t>
            </w:r>
          </w:p>
        </w:tc>
        <w:tc>
          <w:tcPr>
            <w:tcW w:w="3800" w:type="pct"/>
          </w:tcPr>
          <w:p w14:paraId="6E2FFF07" w14:textId="680257CC" w:rsidR="003F6B31" w:rsidRPr="00C974EA" w:rsidRDefault="00737893" w:rsidP="00FD4746">
            <w:pPr>
              <w:tabs>
                <w:tab w:val="center" w:pos="3374"/>
              </w:tabs>
              <w:cnfStyle w:val="000000000000" w:firstRow="0" w:lastRow="0" w:firstColumn="0" w:lastColumn="0" w:oddVBand="0" w:evenVBand="0" w:oddHBand="0" w:evenHBand="0" w:firstRowFirstColumn="0" w:firstRowLastColumn="0" w:lastRowFirstColumn="0" w:lastRowLastColumn="0"/>
            </w:pPr>
            <w:r>
              <w:t>i</w:t>
            </w:r>
            <w:r w:rsidR="003F6B31" w:rsidRPr="00A15D73">
              <w:t>nsulin icodec</w:t>
            </w:r>
          </w:p>
        </w:tc>
      </w:tr>
      <w:tr w:rsidR="003F6B31" w:rsidRPr="00D01DDB" w14:paraId="7549794C"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82C0CA" w14:textId="77777777" w:rsidR="003F6B31" w:rsidRPr="00A15D73" w:rsidRDefault="003F6B31" w:rsidP="00FD4746">
            <w:r w:rsidRPr="002C3255">
              <w:t>IDeg</w:t>
            </w:r>
          </w:p>
        </w:tc>
        <w:tc>
          <w:tcPr>
            <w:tcW w:w="3800" w:type="pct"/>
          </w:tcPr>
          <w:p w14:paraId="512AE2BE" w14:textId="77777777" w:rsidR="003F6B31" w:rsidRDefault="003F6B31" w:rsidP="00FD4746">
            <w:pPr>
              <w:tabs>
                <w:tab w:val="center" w:pos="3374"/>
              </w:tabs>
              <w:cnfStyle w:val="000000000000" w:firstRow="0" w:lastRow="0" w:firstColumn="0" w:lastColumn="0" w:oddVBand="0" w:evenVBand="0" w:oddHBand="0" w:evenHBand="0" w:firstRowFirstColumn="0" w:firstRowLastColumn="0" w:lastRowFirstColumn="0" w:lastRowLastColumn="0"/>
            </w:pPr>
            <w:r w:rsidRPr="002C3255">
              <w:t>insulin degludec</w:t>
            </w:r>
          </w:p>
        </w:tc>
      </w:tr>
      <w:tr w:rsidR="003F6B31" w:rsidRPr="00D01DDB" w14:paraId="374C0594"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EBF567E" w14:textId="77777777" w:rsidR="003F6B31" w:rsidRPr="00A15D73" w:rsidRDefault="003F6B31" w:rsidP="00FD4746">
            <w:r>
              <w:t>I</w:t>
            </w:r>
            <w:r w:rsidRPr="00204CF0">
              <w:t>Glar</w:t>
            </w:r>
          </w:p>
        </w:tc>
        <w:tc>
          <w:tcPr>
            <w:tcW w:w="3800" w:type="pct"/>
          </w:tcPr>
          <w:p w14:paraId="2D65D93F" w14:textId="68FC9E16" w:rsidR="003F6B31" w:rsidRPr="00A15D73" w:rsidRDefault="00737893" w:rsidP="00FD4746">
            <w:pPr>
              <w:tabs>
                <w:tab w:val="center" w:pos="3374"/>
              </w:tabs>
              <w:cnfStyle w:val="000000000000" w:firstRow="0" w:lastRow="0" w:firstColumn="0" w:lastColumn="0" w:oddVBand="0" w:evenVBand="0" w:oddHBand="0" w:evenHBand="0" w:firstRowFirstColumn="0" w:firstRowLastColumn="0" w:lastRowFirstColumn="0" w:lastRowLastColumn="0"/>
            </w:pPr>
            <w:r>
              <w:t>i</w:t>
            </w:r>
            <w:r w:rsidR="003F6B31" w:rsidRPr="00204CF0">
              <w:t>nsulin glargin</w:t>
            </w:r>
            <w:r w:rsidR="003F6B31">
              <w:t>e</w:t>
            </w:r>
          </w:p>
        </w:tc>
      </w:tr>
      <w:tr w:rsidR="003F6B31" w:rsidRPr="00D01DDB" w14:paraId="42B7D378"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A7EC160" w14:textId="77777777" w:rsidR="003F6B31" w:rsidRPr="00D01DDB" w:rsidRDefault="003F6B31" w:rsidP="00FD4746">
            <w:pPr>
              <w:rPr>
                <w:szCs w:val="22"/>
              </w:rPr>
            </w:pPr>
            <w:r w:rsidRPr="003D1B02">
              <w:t>MDI</w:t>
            </w:r>
          </w:p>
        </w:tc>
        <w:tc>
          <w:tcPr>
            <w:tcW w:w="3800" w:type="pct"/>
          </w:tcPr>
          <w:p w14:paraId="6BCD6C12" w14:textId="2A3528A3"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t>m</w:t>
            </w:r>
            <w:r w:rsidR="003F6B31" w:rsidRPr="003D1B02">
              <w:t>ultiple dose injection</w:t>
            </w:r>
          </w:p>
        </w:tc>
      </w:tr>
      <w:tr w:rsidR="003F6B31" w:rsidRPr="00D01DDB" w14:paraId="42A7B565"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1386FD9" w14:textId="77777777" w:rsidR="003F6B31" w:rsidRPr="003D1B02" w:rsidRDefault="003F6B31" w:rsidP="00FD4746">
            <w:r w:rsidRPr="005F29C6">
              <w:t>PD</w:t>
            </w:r>
          </w:p>
        </w:tc>
        <w:tc>
          <w:tcPr>
            <w:tcW w:w="3800" w:type="pct"/>
          </w:tcPr>
          <w:p w14:paraId="0D2795BA" w14:textId="4FDC48DE" w:rsidR="003F6B31" w:rsidRPr="003D1B02" w:rsidRDefault="00737893" w:rsidP="00FD4746">
            <w:pPr>
              <w:cnfStyle w:val="000000000000" w:firstRow="0" w:lastRow="0" w:firstColumn="0" w:lastColumn="0" w:oddVBand="0" w:evenVBand="0" w:oddHBand="0" w:evenHBand="0" w:firstRowFirstColumn="0" w:firstRowLastColumn="0" w:lastRowFirstColumn="0" w:lastRowLastColumn="0"/>
            </w:pPr>
            <w:r>
              <w:t>p</w:t>
            </w:r>
            <w:r w:rsidR="003F6B31" w:rsidRPr="005F29C6">
              <w:t>harmacodynamic</w:t>
            </w:r>
            <w:r w:rsidR="003F6B31">
              <w:t>(s)</w:t>
            </w:r>
          </w:p>
        </w:tc>
      </w:tr>
      <w:tr w:rsidR="003F6B31" w:rsidRPr="00D01DDB" w14:paraId="595EC37C"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6E6BFB4" w14:textId="77777777" w:rsidR="003F6B31" w:rsidRPr="00D01DDB" w:rsidRDefault="003F6B31" w:rsidP="00FD4746">
            <w:pPr>
              <w:rPr>
                <w:szCs w:val="22"/>
              </w:rPr>
            </w:pPr>
            <w:r w:rsidRPr="00D01DDB">
              <w:rPr>
                <w:szCs w:val="22"/>
              </w:rPr>
              <w:t>PI</w:t>
            </w:r>
          </w:p>
        </w:tc>
        <w:tc>
          <w:tcPr>
            <w:tcW w:w="3800" w:type="pct"/>
          </w:tcPr>
          <w:p w14:paraId="4D553854" w14:textId="5FB063BF"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rPr>
                <w:szCs w:val="22"/>
              </w:rPr>
              <w:t>P</w:t>
            </w:r>
            <w:r w:rsidR="003F6B31" w:rsidRPr="00D01DDB">
              <w:rPr>
                <w:szCs w:val="22"/>
              </w:rPr>
              <w:t>roduct Information</w:t>
            </w:r>
          </w:p>
        </w:tc>
      </w:tr>
      <w:tr w:rsidR="003F6B31" w:rsidRPr="00D01DDB" w14:paraId="322EE033"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37E4524" w14:textId="77777777" w:rsidR="003F6B31" w:rsidRPr="00D01DDB" w:rsidRDefault="003F6B31" w:rsidP="00FD4746">
            <w:pPr>
              <w:rPr>
                <w:szCs w:val="22"/>
              </w:rPr>
            </w:pPr>
            <w:r w:rsidRPr="005517F3">
              <w:t>PK</w:t>
            </w:r>
          </w:p>
        </w:tc>
        <w:tc>
          <w:tcPr>
            <w:tcW w:w="3800" w:type="pct"/>
          </w:tcPr>
          <w:p w14:paraId="3E2F286E" w14:textId="0CD046D1"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t>p</w:t>
            </w:r>
            <w:r w:rsidR="003F6B31" w:rsidRPr="005517F3">
              <w:t>harmacokinetic</w:t>
            </w:r>
            <w:r w:rsidR="003F6B31">
              <w:t>(s)</w:t>
            </w:r>
          </w:p>
        </w:tc>
      </w:tr>
      <w:tr w:rsidR="003F6B31" w:rsidRPr="00D01DDB" w14:paraId="43E0BF18"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4B5BCF01" w14:textId="77777777" w:rsidR="003F6B31" w:rsidRPr="005517F3" w:rsidRDefault="003F6B31" w:rsidP="00FD4746">
            <w:r>
              <w:t>PG</w:t>
            </w:r>
          </w:p>
        </w:tc>
        <w:tc>
          <w:tcPr>
            <w:tcW w:w="3800" w:type="pct"/>
          </w:tcPr>
          <w:p w14:paraId="1C214856" w14:textId="77777777" w:rsidR="003F6B31" w:rsidRPr="005517F3" w:rsidRDefault="003F6B31" w:rsidP="00FD4746">
            <w:pPr>
              <w:cnfStyle w:val="000000000000" w:firstRow="0" w:lastRow="0" w:firstColumn="0" w:lastColumn="0" w:oddVBand="0" w:evenVBand="0" w:oddHBand="0" w:evenHBand="0" w:firstRowFirstColumn="0" w:firstRowLastColumn="0" w:lastRowFirstColumn="0" w:lastRowLastColumn="0"/>
            </w:pPr>
            <w:r w:rsidRPr="00152DCB">
              <w:t>plasma glucose</w:t>
            </w:r>
          </w:p>
        </w:tc>
      </w:tr>
      <w:tr w:rsidR="003F6B31" w:rsidRPr="00D01DDB" w14:paraId="20B64636"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200FC9DF" w14:textId="77777777" w:rsidR="003F6B31" w:rsidRPr="005517F3" w:rsidRDefault="003F6B31" w:rsidP="00FD4746">
            <w:r w:rsidRPr="005F29C6">
              <w:t>popPK</w:t>
            </w:r>
          </w:p>
        </w:tc>
        <w:tc>
          <w:tcPr>
            <w:tcW w:w="3800" w:type="pct"/>
          </w:tcPr>
          <w:p w14:paraId="18C034CC" w14:textId="17A78000" w:rsidR="003F6B31" w:rsidRPr="005517F3" w:rsidRDefault="00737893" w:rsidP="00FD4746">
            <w:pPr>
              <w:cnfStyle w:val="000000000000" w:firstRow="0" w:lastRow="0" w:firstColumn="0" w:lastColumn="0" w:oddVBand="0" w:evenVBand="0" w:oddHBand="0" w:evenHBand="0" w:firstRowFirstColumn="0" w:firstRowLastColumn="0" w:lastRowFirstColumn="0" w:lastRowLastColumn="0"/>
            </w:pPr>
            <w:r>
              <w:t>p</w:t>
            </w:r>
            <w:r w:rsidR="003F6B31">
              <w:t>opulation p</w:t>
            </w:r>
            <w:r w:rsidR="003F6B31" w:rsidRPr="005F29C6">
              <w:t>harmacokinetic(s)</w:t>
            </w:r>
          </w:p>
        </w:tc>
      </w:tr>
      <w:tr w:rsidR="003F6B31" w:rsidRPr="00D01DDB" w14:paraId="04BAE8FE"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0BB03FC4" w14:textId="77777777" w:rsidR="003F6B31" w:rsidRPr="00D01DDB" w:rsidRDefault="003F6B31" w:rsidP="00FD4746">
            <w:pPr>
              <w:rPr>
                <w:szCs w:val="22"/>
              </w:rPr>
            </w:pPr>
            <w:r w:rsidRPr="00D01DDB">
              <w:rPr>
                <w:szCs w:val="22"/>
              </w:rPr>
              <w:t>PSUR</w:t>
            </w:r>
          </w:p>
        </w:tc>
        <w:tc>
          <w:tcPr>
            <w:tcW w:w="3800" w:type="pct"/>
          </w:tcPr>
          <w:p w14:paraId="038AF3E2" w14:textId="46F3A6E0" w:rsidR="003F6B31" w:rsidRPr="00D01DDB" w:rsidRDefault="003F6B31" w:rsidP="00FD4746">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 xml:space="preserve">Periodic </w:t>
            </w:r>
            <w:r w:rsidR="00737893">
              <w:rPr>
                <w:szCs w:val="22"/>
              </w:rPr>
              <w:t>S</w:t>
            </w:r>
            <w:r w:rsidRPr="00D01DDB">
              <w:rPr>
                <w:szCs w:val="22"/>
              </w:rPr>
              <w:t xml:space="preserve">afety </w:t>
            </w:r>
            <w:r w:rsidR="00737893">
              <w:rPr>
                <w:szCs w:val="22"/>
              </w:rPr>
              <w:t>U</w:t>
            </w:r>
            <w:r w:rsidRPr="00D01DDB">
              <w:rPr>
                <w:szCs w:val="22"/>
              </w:rPr>
              <w:t xml:space="preserve">pdate </w:t>
            </w:r>
            <w:r w:rsidR="00737893">
              <w:rPr>
                <w:szCs w:val="22"/>
              </w:rPr>
              <w:t>R</w:t>
            </w:r>
            <w:r w:rsidRPr="00D01DDB">
              <w:rPr>
                <w:szCs w:val="22"/>
              </w:rPr>
              <w:t>eport</w:t>
            </w:r>
          </w:p>
        </w:tc>
      </w:tr>
      <w:tr w:rsidR="003F6B31" w:rsidRPr="00D01DDB" w14:paraId="2B4BB2E6"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188FB1E" w14:textId="77777777" w:rsidR="003F6B31" w:rsidRPr="00D01DDB" w:rsidRDefault="003F6B31" w:rsidP="00FD4746">
            <w:pPr>
              <w:rPr>
                <w:szCs w:val="22"/>
              </w:rPr>
            </w:pPr>
            <w:r>
              <w:rPr>
                <w:szCs w:val="22"/>
              </w:rPr>
              <w:t>QD</w:t>
            </w:r>
          </w:p>
        </w:tc>
        <w:tc>
          <w:tcPr>
            <w:tcW w:w="3800" w:type="pct"/>
          </w:tcPr>
          <w:p w14:paraId="4F167322" w14:textId="4E30F5DA" w:rsidR="003F6B31" w:rsidRPr="00D01DDB" w:rsidRDefault="00737893" w:rsidP="00FD4746">
            <w:pPr>
              <w:tabs>
                <w:tab w:val="left" w:pos="1865"/>
              </w:tabs>
              <w:cnfStyle w:val="000000000000" w:firstRow="0" w:lastRow="0" w:firstColumn="0" w:lastColumn="0" w:oddVBand="0" w:evenVBand="0" w:oddHBand="0" w:evenHBand="0" w:firstRowFirstColumn="0" w:firstRowLastColumn="0" w:lastRowFirstColumn="0" w:lastRowLastColumn="0"/>
              <w:rPr>
                <w:szCs w:val="22"/>
              </w:rPr>
            </w:pPr>
            <w:r>
              <w:rPr>
                <w:szCs w:val="22"/>
              </w:rPr>
              <w:t>o</w:t>
            </w:r>
            <w:r w:rsidR="003F6B31">
              <w:rPr>
                <w:szCs w:val="22"/>
              </w:rPr>
              <w:t>nce daily dosing</w:t>
            </w:r>
            <w:r w:rsidR="003F6B31">
              <w:rPr>
                <w:szCs w:val="22"/>
              </w:rPr>
              <w:tab/>
            </w:r>
          </w:p>
        </w:tc>
      </w:tr>
      <w:tr w:rsidR="003F6B31" w:rsidRPr="00D01DDB" w14:paraId="31AED087"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21AE957" w14:textId="77777777" w:rsidR="003F6B31" w:rsidRDefault="003F6B31" w:rsidP="00FD4746">
            <w:pPr>
              <w:rPr>
                <w:szCs w:val="22"/>
              </w:rPr>
            </w:pPr>
            <w:r>
              <w:rPr>
                <w:szCs w:val="22"/>
              </w:rPr>
              <w:lastRenderedPageBreak/>
              <w:t>QW</w:t>
            </w:r>
          </w:p>
        </w:tc>
        <w:tc>
          <w:tcPr>
            <w:tcW w:w="3800" w:type="pct"/>
          </w:tcPr>
          <w:p w14:paraId="2D766288" w14:textId="3A8F5763" w:rsidR="003F6B31" w:rsidRDefault="00737893" w:rsidP="00FD4746">
            <w:pPr>
              <w:tabs>
                <w:tab w:val="left" w:pos="1865"/>
              </w:tabs>
              <w:cnfStyle w:val="000000000000" w:firstRow="0" w:lastRow="0" w:firstColumn="0" w:lastColumn="0" w:oddVBand="0" w:evenVBand="0" w:oddHBand="0" w:evenHBand="0" w:firstRowFirstColumn="0" w:firstRowLastColumn="0" w:lastRowFirstColumn="0" w:lastRowLastColumn="0"/>
              <w:rPr>
                <w:szCs w:val="22"/>
              </w:rPr>
            </w:pPr>
            <w:r>
              <w:rPr>
                <w:szCs w:val="22"/>
              </w:rPr>
              <w:t>o</w:t>
            </w:r>
            <w:r w:rsidR="003F6B31">
              <w:rPr>
                <w:szCs w:val="22"/>
              </w:rPr>
              <w:t>nce weekly dosing</w:t>
            </w:r>
          </w:p>
        </w:tc>
      </w:tr>
      <w:tr w:rsidR="003F6B31" w:rsidRPr="00D01DDB" w14:paraId="4C55E10E"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A828BB5" w14:textId="77777777" w:rsidR="003F6B31" w:rsidRPr="00D01DDB" w:rsidRDefault="003F6B31" w:rsidP="00FD4746">
            <w:pPr>
              <w:rPr>
                <w:szCs w:val="22"/>
              </w:rPr>
            </w:pPr>
            <w:r w:rsidRPr="00D01DDB">
              <w:rPr>
                <w:szCs w:val="22"/>
              </w:rPr>
              <w:t>RMP</w:t>
            </w:r>
          </w:p>
        </w:tc>
        <w:tc>
          <w:tcPr>
            <w:tcW w:w="3800" w:type="pct"/>
          </w:tcPr>
          <w:p w14:paraId="1D366F3B" w14:textId="465F597E"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rPr>
                <w:szCs w:val="22"/>
              </w:rPr>
              <w:t>r</w:t>
            </w:r>
            <w:r w:rsidR="003F6B31" w:rsidRPr="00D01DDB">
              <w:rPr>
                <w:szCs w:val="22"/>
              </w:rPr>
              <w:t>isk management plan</w:t>
            </w:r>
          </w:p>
        </w:tc>
      </w:tr>
      <w:tr w:rsidR="003F6B31" w:rsidRPr="00D01DDB" w14:paraId="46C8C1AB"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5A7BFE3" w14:textId="77777777" w:rsidR="003F6B31" w:rsidRPr="00EF5819" w:rsidRDefault="003F6B31" w:rsidP="00FD4746">
            <w:r w:rsidRPr="00580EED">
              <w:t>T1DM</w:t>
            </w:r>
          </w:p>
        </w:tc>
        <w:tc>
          <w:tcPr>
            <w:tcW w:w="3800" w:type="pct"/>
          </w:tcPr>
          <w:p w14:paraId="5F792D39" w14:textId="36C8B6AD" w:rsidR="003F6B31" w:rsidRPr="00EF5819" w:rsidRDefault="00737893" w:rsidP="00FD4746">
            <w:pPr>
              <w:cnfStyle w:val="000000000000" w:firstRow="0" w:lastRow="0" w:firstColumn="0" w:lastColumn="0" w:oddVBand="0" w:evenVBand="0" w:oddHBand="0" w:evenHBand="0" w:firstRowFirstColumn="0" w:firstRowLastColumn="0" w:lastRowFirstColumn="0" w:lastRowLastColumn="0"/>
            </w:pPr>
            <w:r>
              <w:t>t</w:t>
            </w:r>
            <w:r w:rsidR="003F6B31" w:rsidRPr="00580EED">
              <w:t xml:space="preserve">ype 1 diabetes mellitus </w:t>
            </w:r>
          </w:p>
        </w:tc>
      </w:tr>
      <w:tr w:rsidR="003F6B31" w:rsidRPr="00D01DDB" w14:paraId="0BF78A7D"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1EBA8E6C" w14:textId="77777777" w:rsidR="003F6B31" w:rsidRPr="00EF5819" w:rsidRDefault="003F6B31" w:rsidP="00FD4746">
            <w:r w:rsidRPr="009F7023">
              <w:t>T2DM</w:t>
            </w:r>
          </w:p>
        </w:tc>
        <w:tc>
          <w:tcPr>
            <w:tcW w:w="3800" w:type="pct"/>
          </w:tcPr>
          <w:p w14:paraId="75F67BC7" w14:textId="333A60C5" w:rsidR="003F6B31" w:rsidRPr="00EF5819" w:rsidRDefault="00737893" w:rsidP="00FD4746">
            <w:pPr>
              <w:cnfStyle w:val="000000000000" w:firstRow="0" w:lastRow="0" w:firstColumn="0" w:lastColumn="0" w:oddVBand="0" w:evenVBand="0" w:oddHBand="0" w:evenHBand="0" w:firstRowFirstColumn="0" w:firstRowLastColumn="0" w:lastRowFirstColumn="0" w:lastRowLastColumn="0"/>
            </w:pPr>
            <w:r>
              <w:t>t</w:t>
            </w:r>
            <w:r w:rsidR="003F6B31" w:rsidRPr="009F7023">
              <w:t>ype 2 diabetes mellitus</w:t>
            </w:r>
          </w:p>
        </w:tc>
      </w:tr>
      <w:tr w:rsidR="003F6B31" w:rsidRPr="00D01DDB" w14:paraId="18E6FD4E"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3288A75E" w14:textId="77777777" w:rsidR="003F6B31" w:rsidRPr="00D01DDB" w:rsidRDefault="003F6B31" w:rsidP="00FD4746">
            <w:pPr>
              <w:rPr>
                <w:szCs w:val="22"/>
              </w:rPr>
            </w:pPr>
            <w:r w:rsidRPr="00EF5819">
              <w:t>SGLT2</w:t>
            </w:r>
          </w:p>
        </w:tc>
        <w:tc>
          <w:tcPr>
            <w:tcW w:w="3800" w:type="pct"/>
          </w:tcPr>
          <w:p w14:paraId="3F897F57" w14:textId="145D65FF"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t>s</w:t>
            </w:r>
            <w:r w:rsidR="003F6B31" w:rsidRPr="00EF5819">
              <w:t xml:space="preserve">odium-glucose cotransporter 2 </w:t>
            </w:r>
          </w:p>
        </w:tc>
      </w:tr>
      <w:tr w:rsidR="003F6B31" w:rsidRPr="00D01DDB" w14:paraId="6551332A"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09064DC" w14:textId="77777777" w:rsidR="003F6B31" w:rsidRPr="00EF5819" w:rsidRDefault="003F6B31" w:rsidP="00FD4746">
            <w:r w:rsidRPr="00D6146D">
              <w:t>TAR</w:t>
            </w:r>
          </w:p>
        </w:tc>
        <w:tc>
          <w:tcPr>
            <w:tcW w:w="3800" w:type="pct"/>
          </w:tcPr>
          <w:p w14:paraId="6E7A4FB8" w14:textId="56C183C6" w:rsidR="003F6B31" w:rsidRPr="00EF5819" w:rsidRDefault="00737893" w:rsidP="00FD4746">
            <w:pPr>
              <w:cnfStyle w:val="000000000000" w:firstRow="0" w:lastRow="0" w:firstColumn="0" w:lastColumn="0" w:oddVBand="0" w:evenVBand="0" w:oddHBand="0" w:evenHBand="0" w:firstRowFirstColumn="0" w:firstRowLastColumn="0" w:lastRowFirstColumn="0" w:lastRowLastColumn="0"/>
            </w:pPr>
            <w:r>
              <w:t>t</w:t>
            </w:r>
            <w:r w:rsidR="003F6B31" w:rsidRPr="00D6146D">
              <w:t xml:space="preserve">ime </w:t>
            </w:r>
            <w:r>
              <w:t>a</w:t>
            </w:r>
            <w:r w:rsidR="003F6B31" w:rsidRPr="00D6146D">
              <w:t xml:space="preserve">bove </w:t>
            </w:r>
            <w:r>
              <w:t>r</w:t>
            </w:r>
            <w:r w:rsidR="003F6B31" w:rsidRPr="00D6146D">
              <w:t>ange</w:t>
            </w:r>
          </w:p>
        </w:tc>
      </w:tr>
      <w:tr w:rsidR="003F6B31" w:rsidRPr="00D01DDB" w14:paraId="4A8870C7"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7724ACB1" w14:textId="77777777" w:rsidR="003F6B31" w:rsidRPr="00EF5819" w:rsidRDefault="003F6B31" w:rsidP="00FD4746">
            <w:r w:rsidRPr="003C2545">
              <w:t>TBR</w:t>
            </w:r>
          </w:p>
        </w:tc>
        <w:tc>
          <w:tcPr>
            <w:tcW w:w="3800" w:type="pct"/>
          </w:tcPr>
          <w:p w14:paraId="55020BB8" w14:textId="0548DD7B" w:rsidR="003F6B31" w:rsidRPr="00EF5819" w:rsidRDefault="00737893" w:rsidP="00FD4746">
            <w:pPr>
              <w:cnfStyle w:val="000000000000" w:firstRow="0" w:lastRow="0" w:firstColumn="0" w:lastColumn="0" w:oddVBand="0" w:evenVBand="0" w:oddHBand="0" w:evenHBand="0" w:firstRowFirstColumn="0" w:firstRowLastColumn="0" w:lastRowFirstColumn="0" w:lastRowLastColumn="0"/>
            </w:pPr>
            <w:r>
              <w:t>t</w:t>
            </w:r>
            <w:r w:rsidR="003F6B31" w:rsidRPr="003C2545">
              <w:t>ime below range</w:t>
            </w:r>
          </w:p>
        </w:tc>
      </w:tr>
      <w:tr w:rsidR="003F6B31" w:rsidRPr="00D01DDB" w14:paraId="347A5BE2"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F5B6173" w14:textId="77777777" w:rsidR="003F6B31" w:rsidRPr="00D01DDB" w:rsidRDefault="003F6B31" w:rsidP="00FD4746">
            <w:pPr>
              <w:rPr>
                <w:szCs w:val="22"/>
              </w:rPr>
            </w:pPr>
            <w:r w:rsidRPr="00565C02">
              <w:t>TIR</w:t>
            </w:r>
          </w:p>
        </w:tc>
        <w:tc>
          <w:tcPr>
            <w:tcW w:w="3800" w:type="pct"/>
          </w:tcPr>
          <w:p w14:paraId="1FB66CD8" w14:textId="669F2EA7"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t>t</w:t>
            </w:r>
            <w:r w:rsidR="003F6B31" w:rsidRPr="00565C02">
              <w:t>ime in range</w:t>
            </w:r>
          </w:p>
        </w:tc>
      </w:tr>
      <w:tr w:rsidR="003F6B31" w:rsidRPr="00D01DDB" w14:paraId="655E170A"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5523B688" w14:textId="77777777" w:rsidR="003F6B31" w:rsidRPr="00D01DDB" w:rsidRDefault="003F6B31" w:rsidP="00FD4746">
            <w:pPr>
              <w:rPr>
                <w:szCs w:val="22"/>
              </w:rPr>
            </w:pPr>
            <w:r w:rsidRPr="00D01DDB">
              <w:rPr>
                <w:szCs w:val="22"/>
              </w:rPr>
              <w:t>TGA</w:t>
            </w:r>
          </w:p>
        </w:tc>
        <w:tc>
          <w:tcPr>
            <w:tcW w:w="3800" w:type="pct"/>
          </w:tcPr>
          <w:p w14:paraId="561E598B" w14:textId="77777777" w:rsidR="003F6B31" w:rsidRPr="00D01DDB" w:rsidRDefault="003F6B31" w:rsidP="00FD4746">
            <w:pPr>
              <w:cnfStyle w:val="000000000000" w:firstRow="0" w:lastRow="0" w:firstColumn="0" w:lastColumn="0" w:oddVBand="0" w:evenVBand="0" w:oddHBand="0" w:evenHBand="0" w:firstRowFirstColumn="0" w:firstRowLastColumn="0" w:lastRowFirstColumn="0" w:lastRowLastColumn="0"/>
              <w:rPr>
                <w:szCs w:val="22"/>
              </w:rPr>
            </w:pPr>
            <w:r w:rsidRPr="00D01DDB">
              <w:rPr>
                <w:szCs w:val="22"/>
              </w:rPr>
              <w:t>Therapeutic Goods Administration</w:t>
            </w:r>
          </w:p>
        </w:tc>
      </w:tr>
      <w:tr w:rsidR="003F6B31" w:rsidRPr="00D01DDB" w14:paraId="6EE6E19B" w14:textId="77777777" w:rsidTr="00FD4746">
        <w:trPr>
          <w:trHeight w:val="386"/>
        </w:trPr>
        <w:tc>
          <w:tcPr>
            <w:cnfStyle w:val="001000000000" w:firstRow="0" w:lastRow="0" w:firstColumn="1" w:lastColumn="0" w:oddVBand="0" w:evenVBand="0" w:oddHBand="0" w:evenHBand="0" w:firstRowFirstColumn="0" w:firstRowLastColumn="0" w:lastRowFirstColumn="0" w:lastRowLastColumn="0"/>
            <w:tcW w:w="1200" w:type="pct"/>
          </w:tcPr>
          <w:p w14:paraId="65A6C9E6" w14:textId="77777777" w:rsidR="003F6B31" w:rsidRPr="00D01DDB" w:rsidRDefault="003F6B31" w:rsidP="00FD4746">
            <w:pPr>
              <w:rPr>
                <w:szCs w:val="22"/>
              </w:rPr>
            </w:pPr>
            <w:r>
              <w:rPr>
                <w:szCs w:val="22"/>
              </w:rPr>
              <w:t>V/F</w:t>
            </w:r>
          </w:p>
        </w:tc>
        <w:tc>
          <w:tcPr>
            <w:tcW w:w="3800" w:type="pct"/>
          </w:tcPr>
          <w:p w14:paraId="4A9C72A4" w14:textId="05D69411" w:rsidR="003F6B31" w:rsidRPr="00D01DDB" w:rsidRDefault="00737893" w:rsidP="00FD4746">
            <w:pPr>
              <w:cnfStyle w:val="000000000000" w:firstRow="0" w:lastRow="0" w:firstColumn="0" w:lastColumn="0" w:oddVBand="0" w:evenVBand="0" w:oddHBand="0" w:evenHBand="0" w:firstRowFirstColumn="0" w:firstRowLastColumn="0" w:lastRowFirstColumn="0" w:lastRowLastColumn="0"/>
              <w:rPr>
                <w:szCs w:val="22"/>
              </w:rPr>
            </w:pPr>
            <w:r>
              <w:rPr>
                <w:szCs w:val="22"/>
              </w:rPr>
              <w:t>a</w:t>
            </w:r>
            <w:r w:rsidR="003F6B31" w:rsidRPr="005F29C6">
              <w:rPr>
                <w:szCs w:val="22"/>
              </w:rPr>
              <w:t>pparent volume of distribution</w:t>
            </w:r>
          </w:p>
        </w:tc>
      </w:tr>
      <w:bookmarkEnd w:id="8"/>
    </w:tbl>
    <w:p w14:paraId="58578454" w14:textId="02A941E0" w:rsidR="00324B33" w:rsidRPr="003F6B31" w:rsidRDefault="00324B33" w:rsidP="00324B33">
      <w:pPr>
        <w:rPr>
          <w:iCs/>
          <w:color w:val="007099"/>
        </w:rPr>
      </w:pPr>
    </w:p>
    <w:p w14:paraId="7378F926" w14:textId="77777777" w:rsidR="00324B33" w:rsidRDefault="00324B33" w:rsidP="00324B33"/>
    <w:p w14:paraId="02FB1F38" w14:textId="77777777" w:rsidR="00324B33" w:rsidRPr="00FD119B" w:rsidRDefault="00324B33" w:rsidP="00324B33">
      <w:pPr>
        <w:spacing w:after="200" w:line="0" w:lineRule="auto"/>
        <w:rPr>
          <w:b/>
          <w:i/>
          <w:sz w:val="24"/>
          <w:szCs w:val="24"/>
        </w:rPr>
      </w:pPr>
      <w:r w:rsidRPr="00FD119B">
        <w:rPr>
          <w:b/>
          <w:i/>
          <w:sz w:val="24"/>
          <w:szCs w:val="24"/>
        </w:rPr>
        <w:br w:type="page"/>
      </w:r>
    </w:p>
    <w:p w14:paraId="44C2A39C" w14:textId="15AD749A" w:rsidR="00324B33" w:rsidRDefault="00DA79A2" w:rsidP="00324B33">
      <w:pPr>
        <w:pStyle w:val="Heading2"/>
      </w:pPr>
      <w:bookmarkStart w:id="9" w:name="_Toc202172218"/>
      <w:r>
        <w:lastRenderedPageBreak/>
        <w:t>AWIQLI</w:t>
      </w:r>
      <w:r w:rsidR="001F4C13">
        <w:t xml:space="preserve"> </w:t>
      </w:r>
      <w:r w:rsidR="001B5CA6" w:rsidRPr="001B5CA6">
        <w:t>(</w:t>
      </w:r>
      <w:r w:rsidR="00D64CAE" w:rsidRPr="00D64CAE">
        <w:t>insulin icodec</w:t>
      </w:r>
      <w:r w:rsidR="001B5CA6" w:rsidRPr="001B5CA6">
        <w:t>)</w:t>
      </w:r>
      <w:r w:rsidR="005D490D">
        <w:t xml:space="preserve"> </w:t>
      </w:r>
      <w:r w:rsidR="001B5CA6" w:rsidRPr="001B5CA6">
        <w:t>submission</w:t>
      </w:r>
      <w:bookmarkEnd w:id="9"/>
    </w:p>
    <w:p w14:paraId="1F2BF664" w14:textId="77777777" w:rsidR="001D70E5" w:rsidRDefault="001D70E5" w:rsidP="001D70E5">
      <w:pPr>
        <w:pStyle w:val="Heading3"/>
        <w:rPr>
          <w:lang w:eastAsia="en-AU"/>
        </w:rPr>
      </w:pPr>
      <w:bookmarkStart w:id="10" w:name="_Toc202172219"/>
      <w:bookmarkStart w:id="11" w:name="_Toc247691502"/>
      <w:bookmarkStart w:id="12" w:name="_Toc314842483"/>
      <w:bookmarkStart w:id="13" w:name="_Toc103679289"/>
      <w:bookmarkStart w:id="14" w:name="_Toc149647526"/>
      <w:r>
        <w:rPr>
          <w:lang w:eastAsia="en-AU"/>
        </w:rPr>
        <w:t>Submission details</w:t>
      </w:r>
      <w:bookmarkEnd w:id="11"/>
      <w:bookmarkEnd w:id="12"/>
      <w:bookmarkEnd w:id="13"/>
      <w:bookmarkEnd w:id="14"/>
    </w:p>
    <w:tbl>
      <w:tblPr>
        <w:tblW w:w="5000" w:type="pct"/>
        <w:tblLook w:val="01E0" w:firstRow="1" w:lastRow="1" w:firstColumn="1" w:lastColumn="1" w:noHBand="0" w:noVBand="0"/>
      </w:tblPr>
      <w:tblGrid>
        <w:gridCol w:w="2861"/>
        <w:gridCol w:w="6209"/>
      </w:tblGrid>
      <w:tr w:rsidR="001D70E5" w:rsidRPr="00BD5DBD" w14:paraId="0FA79DFA" w14:textId="77777777" w:rsidTr="007D3A65">
        <w:tc>
          <w:tcPr>
            <w:tcW w:w="1577" w:type="pct"/>
          </w:tcPr>
          <w:p w14:paraId="27BA472E" w14:textId="77777777" w:rsidR="001D70E5" w:rsidRPr="00BD5DBD" w:rsidRDefault="001D70E5" w:rsidP="007D3A65">
            <w:pPr>
              <w:rPr>
                <w:i/>
                <w:szCs w:val="22"/>
              </w:rPr>
            </w:pPr>
            <w:r w:rsidRPr="00BD5DBD">
              <w:rPr>
                <w:i/>
                <w:szCs w:val="22"/>
              </w:rPr>
              <w:t>Type</w:t>
            </w:r>
            <w:r>
              <w:rPr>
                <w:i/>
                <w:szCs w:val="22"/>
              </w:rPr>
              <w:t>(s)</w:t>
            </w:r>
            <w:r w:rsidRPr="00BD5DBD">
              <w:rPr>
                <w:i/>
                <w:szCs w:val="22"/>
              </w:rPr>
              <w:t xml:space="preserve"> of submission:</w:t>
            </w:r>
          </w:p>
        </w:tc>
        <w:tc>
          <w:tcPr>
            <w:tcW w:w="3423" w:type="pct"/>
          </w:tcPr>
          <w:p w14:paraId="30498608" w14:textId="77777777" w:rsidR="001D70E5" w:rsidRPr="00BD5DBD" w:rsidRDefault="001D70E5" w:rsidP="007D3A65">
            <w:pPr>
              <w:rPr>
                <w:szCs w:val="22"/>
              </w:rPr>
            </w:pPr>
            <w:r w:rsidRPr="00507974">
              <w:t>New biological entity</w:t>
            </w:r>
          </w:p>
        </w:tc>
      </w:tr>
      <w:tr w:rsidR="001D70E5" w:rsidRPr="00BD5DBD" w14:paraId="1B4DCB79" w14:textId="77777777" w:rsidTr="007D3A65">
        <w:tc>
          <w:tcPr>
            <w:tcW w:w="1577" w:type="pct"/>
          </w:tcPr>
          <w:p w14:paraId="2C6434B9" w14:textId="77777777" w:rsidR="001D70E5" w:rsidRPr="00BD5DBD" w:rsidRDefault="001D70E5" w:rsidP="007D3A65">
            <w:pPr>
              <w:rPr>
                <w:i/>
                <w:szCs w:val="22"/>
              </w:rPr>
            </w:pPr>
            <w:r w:rsidRPr="00BD5DBD">
              <w:rPr>
                <w:i/>
                <w:szCs w:val="22"/>
              </w:rPr>
              <w:t>Product name(s):</w:t>
            </w:r>
          </w:p>
        </w:tc>
        <w:tc>
          <w:tcPr>
            <w:tcW w:w="3423" w:type="pct"/>
          </w:tcPr>
          <w:p w14:paraId="1B4759D4" w14:textId="77777777" w:rsidR="001D70E5" w:rsidRPr="00BD5DBD" w:rsidRDefault="001D70E5" w:rsidP="007D3A65">
            <w:pPr>
              <w:rPr>
                <w:szCs w:val="22"/>
              </w:rPr>
            </w:pPr>
            <w:r w:rsidRPr="00507974">
              <w:t>AWIQLI</w:t>
            </w:r>
          </w:p>
        </w:tc>
      </w:tr>
      <w:tr w:rsidR="001D70E5" w:rsidRPr="00BD5DBD" w14:paraId="150A3997" w14:textId="77777777" w:rsidTr="007D3A65">
        <w:tc>
          <w:tcPr>
            <w:tcW w:w="1577" w:type="pct"/>
          </w:tcPr>
          <w:p w14:paraId="12838FF1" w14:textId="77777777" w:rsidR="001D70E5" w:rsidRPr="00BD5DBD" w:rsidRDefault="001D70E5" w:rsidP="007D3A65">
            <w:pPr>
              <w:rPr>
                <w:i/>
                <w:szCs w:val="22"/>
              </w:rPr>
            </w:pPr>
            <w:r w:rsidRPr="00BD5DBD">
              <w:rPr>
                <w:i/>
                <w:szCs w:val="22"/>
              </w:rPr>
              <w:t>Active ingredient(s):</w:t>
            </w:r>
          </w:p>
        </w:tc>
        <w:tc>
          <w:tcPr>
            <w:tcW w:w="3423" w:type="pct"/>
          </w:tcPr>
          <w:p w14:paraId="5C35BFC1" w14:textId="77777777" w:rsidR="001D70E5" w:rsidRPr="00BD5DBD" w:rsidRDefault="001D70E5" w:rsidP="007D3A65">
            <w:pPr>
              <w:rPr>
                <w:szCs w:val="22"/>
              </w:rPr>
            </w:pPr>
            <w:r w:rsidRPr="00507974">
              <w:t xml:space="preserve">Insulin </w:t>
            </w:r>
            <w:proofErr w:type="spellStart"/>
            <w:r w:rsidRPr="00507974">
              <w:t>icodec</w:t>
            </w:r>
            <w:proofErr w:type="spellEnd"/>
          </w:p>
        </w:tc>
      </w:tr>
      <w:tr w:rsidR="001D70E5" w:rsidRPr="00BD5DBD" w14:paraId="3CA83561" w14:textId="77777777" w:rsidTr="007D3A65">
        <w:tc>
          <w:tcPr>
            <w:tcW w:w="1577" w:type="pct"/>
          </w:tcPr>
          <w:p w14:paraId="44500D9A" w14:textId="77777777" w:rsidR="001D70E5" w:rsidRPr="00BD5DBD" w:rsidRDefault="001D70E5" w:rsidP="007D3A65">
            <w:pPr>
              <w:rPr>
                <w:i/>
                <w:szCs w:val="22"/>
              </w:rPr>
            </w:pPr>
            <w:r w:rsidRPr="00BD5DBD">
              <w:rPr>
                <w:i/>
                <w:szCs w:val="22"/>
              </w:rPr>
              <w:t>Decision:</w:t>
            </w:r>
          </w:p>
        </w:tc>
        <w:tc>
          <w:tcPr>
            <w:tcW w:w="3423" w:type="pct"/>
          </w:tcPr>
          <w:p w14:paraId="4E26AC2E" w14:textId="77777777" w:rsidR="001D70E5" w:rsidRPr="00BD5DBD" w:rsidRDefault="001D70E5" w:rsidP="007D3A65">
            <w:pPr>
              <w:rPr>
                <w:szCs w:val="22"/>
              </w:rPr>
            </w:pPr>
            <w:r w:rsidRPr="00507974">
              <w:t>Approved</w:t>
            </w:r>
          </w:p>
        </w:tc>
      </w:tr>
      <w:tr w:rsidR="001D70E5" w:rsidRPr="00BD5DBD" w14:paraId="6DD9EA5C" w14:textId="77777777" w:rsidTr="007D3A65">
        <w:tc>
          <w:tcPr>
            <w:tcW w:w="1577" w:type="pct"/>
          </w:tcPr>
          <w:p w14:paraId="1C14ADD2" w14:textId="77777777" w:rsidR="001D70E5" w:rsidRPr="00BD5DBD" w:rsidRDefault="001D70E5" w:rsidP="007D3A65">
            <w:r w:rsidRPr="00BD5DBD">
              <w:rPr>
                <w:i/>
                <w:szCs w:val="22"/>
              </w:rPr>
              <w:t>Date of decision:</w:t>
            </w:r>
          </w:p>
        </w:tc>
        <w:tc>
          <w:tcPr>
            <w:tcW w:w="3423" w:type="pct"/>
          </w:tcPr>
          <w:p w14:paraId="605D1420" w14:textId="77777777" w:rsidR="001D70E5" w:rsidRPr="00BD5DBD" w:rsidRDefault="001D70E5" w:rsidP="007D3A65">
            <w:pPr>
              <w:rPr>
                <w:szCs w:val="22"/>
              </w:rPr>
            </w:pPr>
            <w:r w:rsidRPr="00507974">
              <w:t>17 May 2024</w:t>
            </w:r>
          </w:p>
        </w:tc>
      </w:tr>
      <w:tr w:rsidR="001D70E5" w:rsidRPr="00BD5DBD" w14:paraId="62824519" w14:textId="77777777" w:rsidTr="007D3A65">
        <w:tc>
          <w:tcPr>
            <w:tcW w:w="1577" w:type="pct"/>
          </w:tcPr>
          <w:p w14:paraId="5C00CA59" w14:textId="77777777" w:rsidR="001D70E5" w:rsidRPr="00BD5DBD" w:rsidRDefault="001D70E5" w:rsidP="007D3A65">
            <w:pPr>
              <w:rPr>
                <w:i/>
                <w:szCs w:val="22"/>
              </w:rPr>
            </w:pPr>
            <w:r w:rsidRPr="00BD5DBD">
              <w:rPr>
                <w:i/>
                <w:szCs w:val="22"/>
              </w:rPr>
              <w:t>Date of entry onto ARTG:</w:t>
            </w:r>
          </w:p>
        </w:tc>
        <w:tc>
          <w:tcPr>
            <w:tcW w:w="3423" w:type="pct"/>
          </w:tcPr>
          <w:p w14:paraId="255FAD26" w14:textId="77777777" w:rsidR="001D70E5" w:rsidRPr="00BD5DBD" w:rsidRDefault="001D70E5" w:rsidP="007D3A65">
            <w:pPr>
              <w:rPr>
                <w:szCs w:val="22"/>
              </w:rPr>
            </w:pPr>
            <w:r>
              <w:rPr>
                <w:szCs w:val="22"/>
              </w:rPr>
              <w:t>28 June 2024</w:t>
            </w:r>
          </w:p>
        </w:tc>
      </w:tr>
      <w:tr w:rsidR="001D70E5" w:rsidRPr="00BD5DBD" w14:paraId="64D93575" w14:textId="77777777" w:rsidTr="007D3A65">
        <w:tc>
          <w:tcPr>
            <w:tcW w:w="1577" w:type="pct"/>
          </w:tcPr>
          <w:p w14:paraId="3AA1B60F" w14:textId="77777777" w:rsidR="001D70E5" w:rsidRPr="00BD5DBD" w:rsidRDefault="001D70E5" w:rsidP="007D3A65">
            <w:pPr>
              <w:rPr>
                <w:i/>
                <w:szCs w:val="22"/>
              </w:rPr>
            </w:pPr>
            <w:r w:rsidRPr="00BD5DBD">
              <w:rPr>
                <w:i/>
                <w:szCs w:val="22"/>
              </w:rPr>
              <w:t>ARTG number(s):</w:t>
            </w:r>
          </w:p>
        </w:tc>
        <w:tc>
          <w:tcPr>
            <w:tcW w:w="3423" w:type="pct"/>
          </w:tcPr>
          <w:p w14:paraId="68D23F74" w14:textId="77777777" w:rsidR="001D70E5" w:rsidRPr="00BD5DBD" w:rsidRDefault="001D70E5" w:rsidP="007D3A65">
            <w:pPr>
              <w:rPr>
                <w:szCs w:val="22"/>
              </w:rPr>
            </w:pPr>
            <w:hyperlink r:id="rId15" w:history="1">
              <w:r w:rsidRPr="00883A94">
                <w:rPr>
                  <w:rStyle w:val="Hyperlink"/>
                  <w:szCs w:val="22"/>
                </w:rPr>
                <w:t>440650</w:t>
              </w:r>
            </w:hyperlink>
            <w:r>
              <w:rPr>
                <w:szCs w:val="22"/>
              </w:rPr>
              <w:t xml:space="preserve">, </w:t>
            </w:r>
            <w:hyperlink r:id="rId16" w:history="1">
              <w:r w:rsidRPr="00173756">
                <w:rPr>
                  <w:rStyle w:val="Hyperlink"/>
                  <w:szCs w:val="22"/>
                </w:rPr>
                <w:t>407360</w:t>
              </w:r>
            </w:hyperlink>
            <w:r>
              <w:rPr>
                <w:szCs w:val="22"/>
              </w:rPr>
              <w:t xml:space="preserve">, </w:t>
            </w:r>
            <w:hyperlink r:id="rId17" w:history="1">
              <w:r w:rsidRPr="00173756">
                <w:rPr>
                  <w:rStyle w:val="Hyperlink"/>
                  <w:szCs w:val="22"/>
                </w:rPr>
                <w:t>440652</w:t>
              </w:r>
            </w:hyperlink>
            <w:r>
              <w:rPr>
                <w:szCs w:val="22"/>
              </w:rPr>
              <w:t xml:space="preserve">, </w:t>
            </w:r>
            <w:hyperlink r:id="rId18" w:history="1">
              <w:r w:rsidRPr="00565685">
                <w:rPr>
                  <w:rStyle w:val="Hyperlink"/>
                  <w:szCs w:val="22"/>
                </w:rPr>
                <w:t>440651</w:t>
              </w:r>
            </w:hyperlink>
            <w:r>
              <w:rPr>
                <w:szCs w:val="22"/>
              </w:rPr>
              <w:t xml:space="preserve">, </w:t>
            </w:r>
            <w:hyperlink r:id="rId19" w:history="1">
              <w:r w:rsidRPr="00565685">
                <w:rPr>
                  <w:rStyle w:val="Hyperlink"/>
                  <w:szCs w:val="22"/>
                </w:rPr>
                <w:t>440653</w:t>
              </w:r>
            </w:hyperlink>
            <w:r>
              <w:rPr>
                <w:szCs w:val="22"/>
              </w:rPr>
              <w:t xml:space="preserve">, </w:t>
            </w:r>
            <w:hyperlink r:id="rId20" w:history="1">
              <w:r w:rsidRPr="00565685">
                <w:rPr>
                  <w:rStyle w:val="Hyperlink"/>
                  <w:szCs w:val="22"/>
                </w:rPr>
                <w:t>407359</w:t>
              </w:r>
            </w:hyperlink>
          </w:p>
        </w:tc>
      </w:tr>
      <w:tr w:rsidR="001D70E5" w:rsidRPr="00BD5DBD" w14:paraId="18EDEB69" w14:textId="77777777" w:rsidTr="007D3A65">
        <w:tc>
          <w:tcPr>
            <w:tcW w:w="1577" w:type="pct"/>
          </w:tcPr>
          <w:p w14:paraId="7BE4AE0E" w14:textId="77777777" w:rsidR="001D70E5" w:rsidRPr="00BD5DBD" w:rsidRDefault="001D70E5" w:rsidP="007D3A65">
            <w:pPr>
              <w:rPr>
                <w:i/>
                <w:szCs w:val="22"/>
              </w:rPr>
            </w:pPr>
            <w:r w:rsidRPr="00BD5DBD">
              <w:rPr>
                <w:i/>
                <w:szCs w:val="22"/>
              </w:rPr>
              <w:t>Sponsor’s name and address:</w:t>
            </w:r>
          </w:p>
        </w:tc>
        <w:tc>
          <w:tcPr>
            <w:tcW w:w="3423" w:type="pct"/>
          </w:tcPr>
          <w:p w14:paraId="0EF64626" w14:textId="77777777" w:rsidR="001D70E5" w:rsidRPr="00BD5DBD" w:rsidRDefault="001D70E5" w:rsidP="007D3A65">
            <w:pPr>
              <w:rPr>
                <w:szCs w:val="22"/>
              </w:rPr>
            </w:pPr>
            <w:r w:rsidRPr="00E160D8">
              <w:rPr>
                <w:szCs w:val="22"/>
              </w:rPr>
              <w:t>Novo Nordisk Pharmaceuticals Pty Ltd</w:t>
            </w:r>
            <w:r>
              <w:rPr>
                <w:szCs w:val="22"/>
              </w:rPr>
              <w:t xml:space="preserve">, </w:t>
            </w:r>
            <w:r w:rsidRPr="00E160D8">
              <w:rPr>
                <w:szCs w:val="22"/>
              </w:rPr>
              <w:t xml:space="preserve">Level 10, </w:t>
            </w:r>
            <w:r>
              <w:rPr>
                <w:szCs w:val="22"/>
              </w:rPr>
              <w:br/>
            </w:r>
            <w:r w:rsidRPr="00E160D8">
              <w:rPr>
                <w:szCs w:val="22"/>
              </w:rPr>
              <w:t>118 Mount</w:t>
            </w:r>
            <w:r>
              <w:rPr>
                <w:szCs w:val="22"/>
              </w:rPr>
              <w:t xml:space="preserve"> </w:t>
            </w:r>
            <w:r w:rsidRPr="00E160D8">
              <w:rPr>
                <w:szCs w:val="22"/>
              </w:rPr>
              <w:t>Street</w:t>
            </w:r>
            <w:r>
              <w:rPr>
                <w:szCs w:val="22"/>
              </w:rPr>
              <w:t xml:space="preserve">, </w:t>
            </w:r>
            <w:r>
              <w:rPr>
                <w:szCs w:val="22"/>
              </w:rPr>
              <w:br/>
            </w:r>
            <w:r w:rsidRPr="00E160D8">
              <w:rPr>
                <w:szCs w:val="22"/>
              </w:rPr>
              <w:t>North Sydney NSW 2060</w:t>
            </w:r>
          </w:p>
        </w:tc>
      </w:tr>
      <w:tr w:rsidR="001D70E5" w:rsidRPr="00BD5DBD" w14:paraId="4A377D5F" w14:textId="77777777" w:rsidTr="007D3A65">
        <w:tc>
          <w:tcPr>
            <w:tcW w:w="1577" w:type="pct"/>
          </w:tcPr>
          <w:p w14:paraId="7A6CD92F" w14:textId="77777777" w:rsidR="001D70E5" w:rsidRPr="00BD5DBD" w:rsidRDefault="001D70E5" w:rsidP="007D3A65">
            <w:pPr>
              <w:rPr>
                <w:i/>
                <w:szCs w:val="22"/>
              </w:rPr>
            </w:pPr>
            <w:r w:rsidRPr="00BD5DBD">
              <w:rPr>
                <w:i/>
                <w:szCs w:val="22"/>
              </w:rPr>
              <w:t>Dose form(s):</w:t>
            </w:r>
          </w:p>
        </w:tc>
        <w:tc>
          <w:tcPr>
            <w:tcW w:w="3423" w:type="pct"/>
          </w:tcPr>
          <w:p w14:paraId="3CD4C933" w14:textId="77777777" w:rsidR="001D70E5" w:rsidRPr="00BD5DBD" w:rsidRDefault="001D70E5" w:rsidP="007D3A65">
            <w:pPr>
              <w:rPr>
                <w:szCs w:val="22"/>
              </w:rPr>
            </w:pPr>
            <w:r w:rsidRPr="001B501F">
              <w:rPr>
                <w:szCs w:val="22"/>
              </w:rPr>
              <w:t>Solution for injection.</w:t>
            </w:r>
          </w:p>
        </w:tc>
      </w:tr>
      <w:tr w:rsidR="001D70E5" w:rsidRPr="00BD5DBD" w14:paraId="4E852C37" w14:textId="77777777" w:rsidTr="007D3A65">
        <w:tc>
          <w:tcPr>
            <w:tcW w:w="1577" w:type="pct"/>
          </w:tcPr>
          <w:p w14:paraId="4DD1892A" w14:textId="77777777" w:rsidR="001D70E5" w:rsidRPr="00BD5DBD" w:rsidRDefault="001D70E5" w:rsidP="007D3A65">
            <w:pPr>
              <w:rPr>
                <w:i/>
                <w:szCs w:val="22"/>
              </w:rPr>
            </w:pPr>
            <w:r w:rsidRPr="00BD5DBD">
              <w:rPr>
                <w:i/>
                <w:szCs w:val="22"/>
              </w:rPr>
              <w:t>Strength(s):</w:t>
            </w:r>
          </w:p>
        </w:tc>
        <w:tc>
          <w:tcPr>
            <w:tcW w:w="3423" w:type="pct"/>
          </w:tcPr>
          <w:p w14:paraId="7A88006C" w14:textId="77777777" w:rsidR="001D70E5" w:rsidRPr="00BD5DBD" w:rsidRDefault="001D70E5" w:rsidP="007D3A65">
            <w:pPr>
              <w:rPr>
                <w:szCs w:val="22"/>
              </w:rPr>
            </w:pPr>
            <w:r w:rsidRPr="009542EC">
              <w:rPr>
                <w:szCs w:val="22"/>
              </w:rPr>
              <w:t xml:space="preserve">1 mL solution contains 700 units of </w:t>
            </w:r>
            <w:r w:rsidRPr="00D64CAE">
              <w:rPr>
                <w:szCs w:val="22"/>
              </w:rPr>
              <w:t xml:space="preserve">insulin </w:t>
            </w:r>
            <w:proofErr w:type="spellStart"/>
            <w:r w:rsidRPr="00D64CAE">
              <w:rPr>
                <w:szCs w:val="22"/>
              </w:rPr>
              <w:t>icodec</w:t>
            </w:r>
            <w:proofErr w:type="spellEnd"/>
            <w:r w:rsidRPr="00D64CAE">
              <w:rPr>
                <w:szCs w:val="22"/>
              </w:rPr>
              <w:t xml:space="preserve"> </w:t>
            </w:r>
            <w:r w:rsidRPr="009542EC">
              <w:rPr>
                <w:szCs w:val="22"/>
              </w:rPr>
              <w:t xml:space="preserve">(equivalent to 26.8 mg </w:t>
            </w:r>
            <w:r w:rsidRPr="00D64CAE">
              <w:rPr>
                <w:szCs w:val="22"/>
              </w:rPr>
              <w:t xml:space="preserve">insulin </w:t>
            </w:r>
            <w:proofErr w:type="spellStart"/>
            <w:r w:rsidRPr="00D64CAE">
              <w:rPr>
                <w:szCs w:val="22"/>
              </w:rPr>
              <w:t>icodec</w:t>
            </w:r>
            <w:proofErr w:type="spellEnd"/>
            <w:r w:rsidRPr="009542EC">
              <w:rPr>
                <w:szCs w:val="22"/>
              </w:rPr>
              <w:t>)</w:t>
            </w:r>
          </w:p>
        </w:tc>
      </w:tr>
      <w:tr w:rsidR="001D70E5" w:rsidRPr="00BD5DBD" w14:paraId="37553012" w14:textId="77777777" w:rsidTr="007D3A65">
        <w:tc>
          <w:tcPr>
            <w:tcW w:w="1577" w:type="pct"/>
          </w:tcPr>
          <w:p w14:paraId="65FE12EB" w14:textId="77777777" w:rsidR="001D70E5" w:rsidRPr="00BD5DBD" w:rsidRDefault="001D70E5" w:rsidP="007D3A65">
            <w:pPr>
              <w:rPr>
                <w:i/>
                <w:szCs w:val="22"/>
              </w:rPr>
            </w:pPr>
            <w:r w:rsidRPr="00BD5DBD">
              <w:rPr>
                <w:i/>
                <w:szCs w:val="22"/>
              </w:rPr>
              <w:t>Container(s):</w:t>
            </w:r>
          </w:p>
        </w:tc>
        <w:tc>
          <w:tcPr>
            <w:tcW w:w="3423" w:type="pct"/>
          </w:tcPr>
          <w:p w14:paraId="5F28B283" w14:textId="77777777" w:rsidR="001D70E5" w:rsidRPr="00BD5DBD" w:rsidRDefault="001D70E5" w:rsidP="007D3A65">
            <w:pPr>
              <w:rPr>
                <w:szCs w:val="22"/>
              </w:rPr>
            </w:pPr>
            <w:proofErr w:type="gramStart"/>
            <w:r w:rsidRPr="00361A59">
              <w:rPr>
                <w:szCs w:val="22"/>
              </w:rPr>
              <w:t>1, 1.5 or 3 mL</w:t>
            </w:r>
            <w:proofErr w:type="gramEnd"/>
            <w:r w:rsidRPr="00361A59">
              <w:rPr>
                <w:szCs w:val="22"/>
              </w:rPr>
              <w:t xml:space="preserve"> solution in a cartridge (Type I glass) with a</w:t>
            </w:r>
            <w:r>
              <w:rPr>
                <w:szCs w:val="22"/>
              </w:rPr>
              <w:t xml:space="preserve"> </w:t>
            </w:r>
            <w:r w:rsidRPr="00361A59">
              <w:rPr>
                <w:szCs w:val="22"/>
              </w:rPr>
              <w:t>plunger (</w:t>
            </w:r>
            <w:proofErr w:type="spellStart"/>
            <w:r w:rsidRPr="00361A59">
              <w:rPr>
                <w:szCs w:val="22"/>
              </w:rPr>
              <w:t>halobutyl</w:t>
            </w:r>
            <w:proofErr w:type="spellEnd"/>
            <w:r w:rsidRPr="00361A59">
              <w:rPr>
                <w:szCs w:val="22"/>
              </w:rPr>
              <w:t>) and a laminated rubber sheet (</w:t>
            </w:r>
            <w:proofErr w:type="spellStart"/>
            <w:r w:rsidRPr="00361A59">
              <w:rPr>
                <w:szCs w:val="22"/>
              </w:rPr>
              <w:t>halobutyl</w:t>
            </w:r>
            <w:proofErr w:type="spellEnd"/>
            <w:r w:rsidRPr="00361A59">
              <w:rPr>
                <w:szCs w:val="22"/>
              </w:rPr>
              <w:t>/polyisoprene) contained in a pre-filled multidose disposable pen made of polypropylene, polyoxymethylene, polycarbonate and acrylonitrile butadiene styrene.</w:t>
            </w:r>
            <w:r>
              <w:rPr>
                <w:szCs w:val="22"/>
              </w:rPr>
              <w:t xml:space="preserve"> </w:t>
            </w:r>
            <w:r w:rsidRPr="00FC3098">
              <w:rPr>
                <w:szCs w:val="22"/>
              </w:rPr>
              <w:t>The outer packaging is in light green with the formulation strength indicated in a yellow-coloured box. The pen body is in light green while the pen label is in darker green with a yellow box highlighting the formulation strength.</w:t>
            </w:r>
          </w:p>
        </w:tc>
      </w:tr>
      <w:tr w:rsidR="001D70E5" w:rsidRPr="00BD5DBD" w14:paraId="2135A5EC" w14:textId="77777777" w:rsidTr="007D3A65">
        <w:tc>
          <w:tcPr>
            <w:tcW w:w="1577" w:type="pct"/>
          </w:tcPr>
          <w:p w14:paraId="5A21EC44" w14:textId="77777777" w:rsidR="001D70E5" w:rsidRPr="00BD5DBD" w:rsidRDefault="001D70E5" w:rsidP="007D3A65">
            <w:pPr>
              <w:rPr>
                <w:i/>
                <w:szCs w:val="22"/>
              </w:rPr>
            </w:pPr>
            <w:r w:rsidRPr="00BD5DBD">
              <w:rPr>
                <w:i/>
                <w:szCs w:val="22"/>
              </w:rPr>
              <w:t>Pack size(s):</w:t>
            </w:r>
          </w:p>
        </w:tc>
        <w:tc>
          <w:tcPr>
            <w:tcW w:w="3423" w:type="pct"/>
          </w:tcPr>
          <w:p w14:paraId="6271E2B7" w14:textId="77777777" w:rsidR="001D70E5" w:rsidRPr="00A227C9" w:rsidRDefault="001D70E5" w:rsidP="007D3A65">
            <w:pPr>
              <w:rPr>
                <w:szCs w:val="22"/>
              </w:rPr>
            </w:pPr>
            <w:r>
              <w:rPr>
                <w:szCs w:val="22"/>
              </w:rPr>
              <w:t>AWIQLI</w:t>
            </w:r>
            <w:r w:rsidRPr="00A227C9">
              <w:rPr>
                <w:szCs w:val="22"/>
              </w:rPr>
              <w:t xml:space="preserve"> 700 units/mL solution for injection in pre-filled pen</w:t>
            </w:r>
            <w:r>
              <w:rPr>
                <w:szCs w:val="22"/>
              </w:rPr>
              <w:t>:</w:t>
            </w:r>
          </w:p>
          <w:p w14:paraId="4613638B" w14:textId="77777777" w:rsidR="001D70E5" w:rsidRPr="00A227C9" w:rsidRDefault="001D70E5" w:rsidP="007D3A65">
            <w:pPr>
              <w:pStyle w:val="ListBullet"/>
            </w:pPr>
            <w:r w:rsidRPr="00A227C9">
              <w:t xml:space="preserve">Each pre-filled pen contains 700 units of </w:t>
            </w:r>
            <w:r>
              <w:t>i</w:t>
            </w:r>
            <w:r w:rsidRPr="00964DEA">
              <w:t xml:space="preserve">nsulin </w:t>
            </w:r>
            <w:proofErr w:type="spellStart"/>
            <w:r w:rsidRPr="00964DEA">
              <w:t>icodec</w:t>
            </w:r>
            <w:proofErr w:type="spellEnd"/>
            <w:r w:rsidRPr="00964DEA">
              <w:t xml:space="preserve"> </w:t>
            </w:r>
            <w:r w:rsidRPr="00A227C9">
              <w:t>in 1 mL solution</w:t>
            </w:r>
          </w:p>
          <w:p w14:paraId="70DE95E6" w14:textId="77777777" w:rsidR="001D70E5" w:rsidRPr="00A227C9" w:rsidRDefault="001D70E5" w:rsidP="007D3A65">
            <w:pPr>
              <w:pStyle w:val="ListBullet"/>
            </w:pPr>
            <w:r w:rsidRPr="00A227C9">
              <w:t xml:space="preserve">Each pre-filled pen contains 1,050 units of </w:t>
            </w:r>
            <w:r w:rsidRPr="00964DEA">
              <w:t xml:space="preserve">insulin </w:t>
            </w:r>
            <w:proofErr w:type="spellStart"/>
            <w:r w:rsidRPr="00964DEA">
              <w:t>icodec</w:t>
            </w:r>
            <w:proofErr w:type="spellEnd"/>
            <w:r w:rsidRPr="00964DEA">
              <w:t xml:space="preserve"> </w:t>
            </w:r>
            <w:r w:rsidRPr="00A227C9">
              <w:t>in 1.5 mL solution</w:t>
            </w:r>
          </w:p>
          <w:p w14:paraId="2629808F" w14:textId="77777777" w:rsidR="001D70E5" w:rsidRPr="00BD5DBD" w:rsidRDefault="001D70E5" w:rsidP="007D3A65">
            <w:pPr>
              <w:rPr>
                <w:szCs w:val="22"/>
              </w:rPr>
            </w:pPr>
            <w:r w:rsidRPr="00A227C9">
              <w:t xml:space="preserve">Each pre-filled pen contains 2,100 units of </w:t>
            </w:r>
            <w:r w:rsidRPr="00964DEA">
              <w:t xml:space="preserve">insulin </w:t>
            </w:r>
            <w:proofErr w:type="spellStart"/>
            <w:r w:rsidRPr="00964DEA">
              <w:t>icodec</w:t>
            </w:r>
            <w:proofErr w:type="spellEnd"/>
            <w:r w:rsidRPr="00964DEA">
              <w:t xml:space="preserve"> </w:t>
            </w:r>
            <w:r w:rsidRPr="00A227C9">
              <w:t>in 3 mL solution</w:t>
            </w:r>
          </w:p>
        </w:tc>
      </w:tr>
      <w:tr w:rsidR="001D70E5" w:rsidRPr="00BD5DBD" w14:paraId="7AE26DD3" w14:textId="77777777" w:rsidTr="007D3A65">
        <w:tc>
          <w:tcPr>
            <w:tcW w:w="1577" w:type="pct"/>
          </w:tcPr>
          <w:p w14:paraId="222B1C83" w14:textId="77777777" w:rsidR="001D70E5" w:rsidRPr="00BD5DBD" w:rsidRDefault="001D70E5" w:rsidP="007D3A65">
            <w:pPr>
              <w:rPr>
                <w:i/>
                <w:szCs w:val="22"/>
              </w:rPr>
            </w:pPr>
            <w:r w:rsidRPr="00BD5DBD">
              <w:rPr>
                <w:i/>
                <w:szCs w:val="22"/>
              </w:rPr>
              <w:t>Approved therapeutic use for the current submission:</w:t>
            </w:r>
          </w:p>
        </w:tc>
        <w:tc>
          <w:tcPr>
            <w:tcW w:w="3423" w:type="pct"/>
          </w:tcPr>
          <w:p w14:paraId="6AF195E5" w14:textId="77777777" w:rsidR="001D70E5" w:rsidRPr="000D2E7E" w:rsidRDefault="001D70E5" w:rsidP="007D3A65">
            <w:pPr>
              <w:rPr>
                <w:szCs w:val="22"/>
              </w:rPr>
            </w:pPr>
            <w:r w:rsidRPr="000D2E7E">
              <w:rPr>
                <w:szCs w:val="22"/>
              </w:rPr>
              <w:t xml:space="preserve">Treatment of </w:t>
            </w:r>
            <w:r>
              <w:rPr>
                <w:szCs w:val="22"/>
              </w:rPr>
              <w:t>t</w:t>
            </w:r>
            <w:r w:rsidRPr="000D2E7E">
              <w:rPr>
                <w:szCs w:val="22"/>
              </w:rPr>
              <w:t xml:space="preserve">ype 2 </w:t>
            </w:r>
            <w:r>
              <w:rPr>
                <w:szCs w:val="22"/>
              </w:rPr>
              <w:t>d</w:t>
            </w:r>
            <w:r w:rsidRPr="000D2E7E">
              <w:rPr>
                <w:szCs w:val="22"/>
              </w:rPr>
              <w:t xml:space="preserve">iabetes in adults. </w:t>
            </w:r>
          </w:p>
          <w:p w14:paraId="511056E5" w14:textId="77777777" w:rsidR="001D70E5" w:rsidRPr="00BD5DBD" w:rsidRDefault="001D70E5" w:rsidP="007D3A65">
            <w:pPr>
              <w:rPr>
                <w:szCs w:val="22"/>
              </w:rPr>
            </w:pPr>
            <w:r w:rsidRPr="000D2E7E">
              <w:rPr>
                <w:szCs w:val="22"/>
              </w:rPr>
              <w:t xml:space="preserve">Treatment of </w:t>
            </w:r>
            <w:r>
              <w:rPr>
                <w:szCs w:val="22"/>
              </w:rPr>
              <w:t>t</w:t>
            </w:r>
            <w:r w:rsidRPr="000D2E7E">
              <w:rPr>
                <w:szCs w:val="22"/>
              </w:rPr>
              <w:t xml:space="preserve">ype 1 </w:t>
            </w:r>
            <w:r>
              <w:rPr>
                <w:szCs w:val="22"/>
              </w:rPr>
              <w:t>d</w:t>
            </w:r>
            <w:r w:rsidRPr="000D2E7E">
              <w:rPr>
                <w:szCs w:val="22"/>
              </w:rPr>
              <w:t>iabetes in adults, in conjunction with a bolus insulin, where daily basal insulin injections are not suitable.</w:t>
            </w:r>
          </w:p>
        </w:tc>
      </w:tr>
      <w:tr w:rsidR="001D70E5" w:rsidRPr="00BD5DBD" w14:paraId="63595579" w14:textId="77777777" w:rsidTr="007D3A65">
        <w:tc>
          <w:tcPr>
            <w:tcW w:w="1577" w:type="pct"/>
          </w:tcPr>
          <w:p w14:paraId="5B9C214D" w14:textId="77777777" w:rsidR="001D70E5" w:rsidRPr="00BD5DBD" w:rsidRDefault="001D70E5" w:rsidP="007D3A65">
            <w:pPr>
              <w:rPr>
                <w:i/>
                <w:szCs w:val="22"/>
              </w:rPr>
            </w:pPr>
            <w:r w:rsidRPr="00BD5DBD">
              <w:rPr>
                <w:i/>
                <w:szCs w:val="22"/>
              </w:rPr>
              <w:t>Route(s) of administration:</w:t>
            </w:r>
          </w:p>
        </w:tc>
        <w:tc>
          <w:tcPr>
            <w:tcW w:w="3423" w:type="pct"/>
          </w:tcPr>
          <w:p w14:paraId="0FB66550" w14:textId="77777777" w:rsidR="001D70E5" w:rsidRPr="00BD5DBD" w:rsidRDefault="001D70E5" w:rsidP="007D3A65">
            <w:pPr>
              <w:rPr>
                <w:szCs w:val="22"/>
              </w:rPr>
            </w:pPr>
            <w:r>
              <w:rPr>
                <w:szCs w:val="22"/>
              </w:rPr>
              <w:t>S</w:t>
            </w:r>
            <w:r w:rsidRPr="006C0BE1">
              <w:rPr>
                <w:szCs w:val="22"/>
              </w:rPr>
              <w:t>ubcutaneous</w:t>
            </w:r>
          </w:p>
        </w:tc>
      </w:tr>
      <w:tr w:rsidR="001D70E5" w:rsidRPr="00BD5DBD" w14:paraId="16DE2FD5" w14:textId="77777777" w:rsidTr="007D3A65">
        <w:tc>
          <w:tcPr>
            <w:tcW w:w="1577" w:type="pct"/>
          </w:tcPr>
          <w:p w14:paraId="7530F1A0" w14:textId="77777777" w:rsidR="001D70E5" w:rsidRPr="00BD5DBD" w:rsidRDefault="001D70E5" w:rsidP="007D3A65">
            <w:pPr>
              <w:rPr>
                <w:i/>
                <w:szCs w:val="22"/>
              </w:rPr>
            </w:pPr>
            <w:r w:rsidRPr="00BD5DBD">
              <w:rPr>
                <w:i/>
                <w:szCs w:val="22"/>
              </w:rPr>
              <w:t>Dosage:</w:t>
            </w:r>
          </w:p>
        </w:tc>
        <w:tc>
          <w:tcPr>
            <w:tcW w:w="3423" w:type="pct"/>
          </w:tcPr>
          <w:p w14:paraId="71B26BD3" w14:textId="77777777" w:rsidR="001D70E5" w:rsidRPr="00093601" w:rsidRDefault="001D70E5" w:rsidP="007D3A65">
            <w:pPr>
              <w:rPr>
                <w:szCs w:val="22"/>
              </w:rPr>
            </w:pPr>
            <w:r w:rsidRPr="00093601">
              <w:rPr>
                <w:szCs w:val="22"/>
              </w:rPr>
              <w:t>This medicinal product is a basal insulin for once-weekly subcutaneous administration. It is intended to be taken on the same day of the week.</w:t>
            </w:r>
          </w:p>
          <w:p w14:paraId="64DF82A6" w14:textId="77777777" w:rsidR="001D70E5" w:rsidRDefault="001D70E5" w:rsidP="007D3A65">
            <w:pPr>
              <w:rPr>
                <w:szCs w:val="22"/>
              </w:rPr>
            </w:pPr>
            <w:r>
              <w:rPr>
                <w:szCs w:val="22"/>
              </w:rPr>
              <w:lastRenderedPageBreak/>
              <w:t>AWIQLI</w:t>
            </w:r>
            <w:r w:rsidRPr="00093601">
              <w:rPr>
                <w:szCs w:val="22"/>
              </w:rPr>
              <w:t xml:space="preserve"> is available in one strength, 700 units/</w:t>
            </w:r>
            <w:proofErr w:type="spellStart"/>
            <w:r w:rsidRPr="00093601">
              <w:rPr>
                <w:szCs w:val="22"/>
              </w:rPr>
              <w:t>mL.</w:t>
            </w:r>
            <w:proofErr w:type="spellEnd"/>
            <w:r w:rsidRPr="00093601">
              <w:rPr>
                <w:szCs w:val="22"/>
              </w:rPr>
              <w:t xml:space="preserve"> The needed dose is dialled in units</w:t>
            </w:r>
            <w:r>
              <w:rPr>
                <w:szCs w:val="22"/>
              </w:rPr>
              <w:t xml:space="preserve"> (</w:t>
            </w:r>
            <w:r w:rsidRPr="00093601">
              <w:rPr>
                <w:szCs w:val="22"/>
              </w:rPr>
              <w:t xml:space="preserve">The potency of insulin analogues, including </w:t>
            </w:r>
            <w:r w:rsidRPr="00027143">
              <w:rPr>
                <w:szCs w:val="22"/>
              </w:rPr>
              <w:t xml:space="preserve">insulin </w:t>
            </w:r>
            <w:proofErr w:type="spellStart"/>
            <w:r w:rsidRPr="00027143">
              <w:rPr>
                <w:szCs w:val="22"/>
              </w:rPr>
              <w:t>icodec</w:t>
            </w:r>
            <w:proofErr w:type="spellEnd"/>
            <w:r w:rsidRPr="00093601">
              <w:rPr>
                <w:szCs w:val="22"/>
              </w:rPr>
              <w:t>, is expressed in units. One (1) unit of</w:t>
            </w:r>
            <w:r>
              <w:rPr>
                <w:szCs w:val="22"/>
              </w:rPr>
              <w:t xml:space="preserve"> </w:t>
            </w:r>
            <w:r w:rsidRPr="00964DEA">
              <w:rPr>
                <w:szCs w:val="22"/>
              </w:rPr>
              <w:t xml:space="preserve">insulin </w:t>
            </w:r>
            <w:proofErr w:type="spellStart"/>
            <w:r w:rsidRPr="00964DEA">
              <w:rPr>
                <w:szCs w:val="22"/>
              </w:rPr>
              <w:t>icodec</w:t>
            </w:r>
            <w:proofErr w:type="spellEnd"/>
            <w:r w:rsidRPr="00964DEA">
              <w:rPr>
                <w:szCs w:val="22"/>
              </w:rPr>
              <w:t xml:space="preserve"> </w:t>
            </w:r>
            <w:r w:rsidRPr="00093601">
              <w:rPr>
                <w:szCs w:val="22"/>
              </w:rPr>
              <w:t>corresponds to 1 unit of insulin glargine (100 units/mL), 1 unit of insulin detemir, 1</w:t>
            </w:r>
            <w:r>
              <w:rPr>
                <w:szCs w:val="22"/>
              </w:rPr>
              <w:t xml:space="preserve"> </w:t>
            </w:r>
            <w:r w:rsidRPr="00093601">
              <w:rPr>
                <w:szCs w:val="22"/>
              </w:rPr>
              <w:t xml:space="preserve">unit of insulin </w:t>
            </w:r>
            <w:proofErr w:type="spellStart"/>
            <w:r w:rsidRPr="00093601">
              <w:rPr>
                <w:szCs w:val="22"/>
              </w:rPr>
              <w:t>degludec</w:t>
            </w:r>
            <w:proofErr w:type="spellEnd"/>
            <w:r w:rsidRPr="00093601">
              <w:rPr>
                <w:szCs w:val="22"/>
              </w:rPr>
              <w:t>, or 1 international unit of human insulin</w:t>
            </w:r>
            <w:r>
              <w:rPr>
                <w:szCs w:val="22"/>
              </w:rPr>
              <w:t>)</w:t>
            </w:r>
            <w:r w:rsidRPr="00093601">
              <w:rPr>
                <w:szCs w:val="22"/>
              </w:rPr>
              <w:t xml:space="preserve">. A dose of 10-700 units per injection, in steps of </w:t>
            </w:r>
            <w:proofErr w:type="gramStart"/>
            <w:r w:rsidRPr="00093601">
              <w:rPr>
                <w:szCs w:val="22"/>
              </w:rPr>
              <w:t>10 unit</w:t>
            </w:r>
            <w:proofErr w:type="gramEnd"/>
            <w:r w:rsidRPr="00093601">
              <w:rPr>
                <w:szCs w:val="22"/>
              </w:rPr>
              <w:t xml:space="preserve"> increments, can be administered.</w:t>
            </w:r>
          </w:p>
          <w:p w14:paraId="6DA40407" w14:textId="77777777" w:rsidR="001D70E5" w:rsidRPr="00C5213E" w:rsidRDefault="001D70E5" w:rsidP="007D3A65">
            <w:pPr>
              <w:rPr>
                <w:szCs w:val="22"/>
              </w:rPr>
            </w:pPr>
            <w:r w:rsidRPr="00C5213E">
              <w:rPr>
                <w:szCs w:val="22"/>
              </w:rPr>
              <w:t xml:space="preserve">In patients with type 2 diabetes mellitus, this medicinal product can be administered alone or in any combination with oral antidiabetic medicinal products, </w:t>
            </w:r>
            <w:r>
              <w:rPr>
                <w:szCs w:val="22"/>
              </w:rPr>
              <w:t>g</w:t>
            </w:r>
            <w:r w:rsidRPr="00C239FA">
              <w:rPr>
                <w:szCs w:val="22"/>
              </w:rPr>
              <w:t>lucagon-like peptide-1</w:t>
            </w:r>
            <w:r w:rsidRPr="00C5213E">
              <w:rPr>
                <w:szCs w:val="22"/>
              </w:rPr>
              <w:t xml:space="preserve"> receptor agonists and bolus insulin</w:t>
            </w:r>
            <w:r>
              <w:rPr>
                <w:szCs w:val="22"/>
              </w:rPr>
              <w:t>.</w:t>
            </w:r>
          </w:p>
          <w:p w14:paraId="483B65B2" w14:textId="77777777" w:rsidR="001D70E5" w:rsidRPr="00C5213E" w:rsidRDefault="001D70E5" w:rsidP="007D3A65">
            <w:pPr>
              <w:rPr>
                <w:szCs w:val="22"/>
              </w:rPr>
            </w:pPr>
            <w:r w:rsidRPr="00C5213E">
              <w:rPr>
                <w:szCs w:val="22"/>
              </w:rPr>
              <w:t>In patients with type 1 diabetes mellitus, this medicinal product must be combined with bolus insulin to cover mealtime insulin requirements.</w:t>
            </w:r>
          </w:p>
          <w:p w14:paraId="29B93FE6" w14:textId="77777777" w:rsidR="001D70E5" w:rsidRPr="00C5213E" w:rsidRDefault="001D70E5" w:rsidP="007D3A65">
            <w:pPr>
              <w:rPr>
                <w:szCs w:val="22"/>
              </w:rPr>
            </w:pPr>
            <w:r>
              <w:rPr>
                <w:szCs w:val="22"/>
              </w:rPr>
              <w:t>AWIQLI</w:t>
            </w:r>
            <w:r w:rsidRPr="00C5213E">
              <w:rPr>
                <w:szCs w:val="22"/>
              </w:rPr>
              <w:t xml:space="preserve"> is to be dosed in accordance with the individual patient’s needs. It is recommended to optimise glycaemic control via dose adjustment based on fasting plasma glucose.</w:t>
            </w:r>
          </w:p>
          <w:p w14:paraId="42D5130D" w14:textId="77777777" w:rsidR="001D70E5" w:rsidRPr="00093601" w:rsidRDefault="001D70E5" w:rsidP="007D3A65">
            <w:pPr>
              <w:rPr>
                <w:szCs w:val="22"/>
              </w:rPr>
            </w:pPr>
            <w:r w:rsidRPr="00C5213E">
              <w:rPr>
                <w:szCs w:val="22"/>
              </w:rPr>
              <w:t xml:space="preserve">Due to the long half-life of </w:t>
            </w:r>
            <w:r w:rsidRPr="00D64CAE">
              <w:rPr>
                <w:szCs w:val="22"/>
              </w:rPr>
              <w:t xml:space="preserve">insulin </w:t>
            </w:r>
            <w:proofErr w:type="spellStart"/>
            <w:r w:rsidRPr="00D64CAE">
              <w:rPr>
                <w:szCs w:val="22"/>
              </w:rPr>
              <w:t>icodec</w:t>
            </w:r>
            <w:proofErr w:type="spellEnd"/>
            <w:r w:rsidRPr="00C5213E">
              <w:rPr>
                <w:szCs w:val="22"/>
              </w:rPr>
              <w:t>, adjustment of dose is not advised during acute illness nor if patients make short-term changes in their physical activity level or usual diet. In these situations, other applicable adjustments, e.g. glucose intake or changes to other glucose lowering medication, may be considered.</w:t>
            </w:r>
          </w:p>
          <w:p w14:paraId="0348B1EB" w14:textId="77777777" w:rsidR="001D70E5" w:rsidRPr="00BD5DBD" w:rsidRDefault="001D70E5" w:rsidP="007D3A65">
            <w:pPr>
              <w:rPr>
                <w:szCs w:val="22"/>
              </w:rPr>
            </w:pPr>
            <w:r w:rsidRPr="00C5213E">
              <w:rPr>
                <w:b/>
                <w:bCs/>
                <w:szCs w:val="22"/>
              </w:rPr>
              <w:t xml:space="preserve">For further information regarding dosage, refer to the </w:t>
            </w:r>
            <w:r>
              <w:rPr>
                <w:b/>
                <w:bCs/>
                <w:szCs w:val="22"/>
              </w:rPr>
              <w:t xml:space="preserve">medicine’s </w:t>
            </w:r>
            <w:hyperlink r:id="rId21" w:history="1">
              <w:r w:rsidRPr="00C5213E">
                <w:rPr>
                  <w:rStyle w:val="Hyperlink"/>
                  <w:b/>
                  <w:bCs/>
                  <w:szCs w:val="22"/>
                </w:rPr>
                <w:t>Product Information</w:t>
              </w:r>
            </w:hyperlink>
            <w:r w:rsidRPr="00C5213E">
              <w:rPr>
                <w:b/>
                <w:bCs/>
                <w:szCs w:val="22"/>
              </w:rPr>
              <w:t>.</w:t>
            </w:r>
          </w:p>
        </w:tc>
      </w:tr>
      <w:tr w:rsidR="001D70E5" w:rsidRPr="00BD5DBD" w14:paraId="65D9C257" w14:textId="77777777" w:rsidTr="007D3A65">
        <w:tc>
          <w:tcPr>
            <w:tcW w:w="1577" w:type="pct"/>
          </w:tcPr>
          <w:p w14:paraId="64DDBF58" w14:textId="77777777" w:rsidR="001D70E5" w:rsidRPr="00F8083B" w:rsidRDefault="001D70E5" w:rsidP="007D3A65">
            <w:r w:rsidRPr="00BD5DBD">
              <w:rPr>
                <w:i/>
                <w:szCs w:val="22"/>
              </w:rPr>
              <w:lastRenderedPageBreak/>
              <w:t>Pregnancy category:</w:t>
            </w:r>
          </w:p>
        </w:tc>
        <w:tc>
          <w:tcPr>
            <w:tcW w:w="3423" w:type="pct"/>
          </w:tcPr>
          <w:p w14:paraId="2A026FF5" w14:textId="77777777" w:rsidR="001D70E5" w:rsidRPr="00995FD3" w:rsidRDefault="001D70E5" w:rsidP="007D3A65">
            <w:r w:rsidRPr="00995FD3">
              <w:t>Category B3</w:t>
            </w:r>
          </w:p>
          <w:p w14:paraId="3A8DCD71" w14:textId="77777777" w:rsidR="001D70E5" w:rsidRPr="00995FD3" w:rsidRDefault="001D70E5" w:rsidP="007D3A65">
            <w:r w:rsidRPr="00995FD3">
              <w:t xml:space="preserve">Drugs which have been taken by only a limited number of pregnant women and women of childbearing age, without an increase in the frequency of malformation or other direct or indirect harmful effects on the human </w:t>
            </w:r>
            <w:proofErr w:type="spellStart"/>
            <w:r w:rsidRPr="00995FD3">
              <w:t>fetus</w:t>
            </w:r>
            <w:proofErr w:type="spellEnd"/>
            <w:r w:rsidRPr="00995FD3">
              <w:t xml:space="preserve"> having been observed.</w:t>
            </w:r>
          </w:p>
          <w:p w14:paraId="6D0F2DCE" w14:textId="77777777" w:rsidR="001D70E5" w:rsidRPr="00995FD3" w:rsidRDefault="001D70E5" w:rsidP="007D3A65">
            <w:r w:rsidRPr="00995FD3">
              <w:t>Studies in animals have shown evidence of an increased occurrence of fetal damage, the significance of which is considered uncertain in humans.</w:t>
            </w:r>
          </w:p>
          <w:p w14:paraId="7A5D3C28" w14:textId="77777777" w:rsidR="001D70E5" w:rsidRPr="00BD5DBD" w:rsidRDefault="001D70E5" w:rsidP="007D3A65">
            <w:pPr>
              <w:rPr>
                <w:szCs w:val="22"/>
              </w:rPr>
            </w:pPr>
            <w:r w:rsidRPr="00BD5DBD">
              <w:rPr>
                <w:szCs w:val="22"/>
              </w:rPr>
              <w:t xml:space="preserve">The use of any medicine during pregnancy requires careful consideration of both risks and benefits by the treating health professional. </w:t>
            </w:r>
            <w:r>
              <w:rPr>
                <w:szCs w:val="22"/>
              </w:rPr>
              <w:t xml:space="preserve">The </w:t>
            </w:r>
            <w:hyperlink r:id="rId22" w:history="1">
              <w:r w:rsidRPr="00065FDF">
                <w:rPr>
                  <w:rStyle w:val="Hyperlink"/>
                  <w:szCs w:val="22"/>
                </w:rPr>
                <w:t>pregnancy database</w:t>
              </w:r>
            </w:hyperlink>
            <w:r>
              <w:t xml:space="preserve"> </w:t>
            </w:r>
            <w:r w:rsidRPr="00BD5DBD">
              <w:rPr>
                <w:szCs w:val="22"/>
              </w:rPr>
              <w:t xml:space="preserve">must not be used as the sole basis of decision making in the use of medicines during pregnancy. The TGA does not provide advice on the use of medicines in pregnancy for specific cases. More information is available from </w:t>
            </w:r>
            <w:hyperlink r:id="rId23" w:history="1">
              <w:r w:rsidRPr="00C059D0">
                <w:rPr>
                  <w:rStyle w:val="Hyperlink"/>
                  <w:szCs w:val="22"/>
                </w:rPr>
                <w:t>obstetric drug information services</w:t>
              </w:r>
            </w:hyperlink>
          </w:p>
        </w:tc>
      </w:tr>
    </w:tbl>
    <w:p w14:paraId="51F2479F" w14:textId="7A18959B" w:rsidR="00324B33" w:rsidRDefault="00DA79A2" w:rsidP="00D46BD9">
      <w:pPr>
        <w:pStyle w:val="Heading4"/>
      </w:pPr>
      <w:r>
        <w:lastRenderedPageBreak/>
        <w:t>P</w:t>
      </w:r>
      <w:r w:rsidR="006D0E86" w:rsidRPr="006D0E86">
        <w:t>roposed indication</w:t>
      </w:r>
      <w:bookmarkEnd w:id="10"/>
    </w:p>
    <w:p w14:paraId="59BF31D1" w14:textId="7F580D50" w:rsidR="001500A8" w:rsidRPr="00065839" w:rsidRDefault="00324B33" w:rsidP="00065839">
      <w:r w:rsidRPr="00065839">
        <w:t xml:space="preserve">This AusPAR describes the submission by </w:t>
      </w:r>
      <w:r w:rsidR="00CC5ED4" w:rsidRPr="00CC5ED4">
        <w:t>Novo Nordisk Pharmaceuticals Pty Ltd</w:t>
      </w:r>
      <w:r w:rsidRPr="00065839">
        <w:t xml:space="preserve"> (the sponsor) to register </w:t>
      </w:r>
      <w:r w:rsidR="00DA79A2">
        <w:t>AWIQLI</w:t>
      </w:r>
      <w:r w:rsidR="00CC5ED4" w:rsidRPr="00CC5ED4">
        <w:t xml:space="preserve"> (</w:t>
      </w:r>
      <w:r w:rsidR="00027143">
        <w:t>insulin icodec</w:t>
      </w:r>
      <w:r w:rsidR="00CC5ED4" w:rsidRPr="00CC5ED4">
        <w:t>)</w:t>
      </w:r>
      <w:r w:rsidRPr="00065839">
        <w:t xml:space="preserve"> for the following proposed indication:</w:t>
      </w:r>
      <w:r w:rsidR="00D63760" w:rsidRPr="00065839">
        <w:rPr>
          <w:vertAlign w:val="superscript"/>
        </w:rPr>
        <w:footnoteReference w:id="1"/>
      </w:r>
    </w:p>
    <w:p w14:paraId="23D8ED73" w14:textId="2DE18027" w:rsidR="00324B33" w:rsidRDefault="00C239FA" w:rsidP="00CC5ED4">
      <w:pPr>
        <w:pStyle w:val="Indication"/>
      </w:pPr>
      <w:r>
        <w:t>T</w:t>
      </w:r>
      <w:r w:rsidR="00B115DE" w:rsidRPr="00B115DE">
        <w:t>reatment of diabetes mellitus</w:t>
      </w:r>
      <w:r w:rsidR="00B115DE">
        <w:t xml:space="preserve"> </w:t>
      </w:r>
      <w:r w:rsidR="00B115DE" w:rsidRPr="00B115DE">
        <w:t>in adults.</w:t>
      </w:r>
    </w:p>
    <w:p w14:paraId="1E63A2AE" w14:textId="57D5B973" w:rsidR="00CB6813" w:rsidRDefault="0033169F" w:rsidP="00CB6813">
      <w:pPr>
        <w:pStyle w:val="Heading4"/>
      </w:pPr>
      <w:bookmarkStart w:id="15" w:name="_Toc202172220"/>
      <w:bookmarkStart w:id="16" w:name="_Toc314842485"/>
      <w:bookmarkStart w:id="17" w:name="_Toc247691504"/>
      <w:r w:rsidRPr="0033169F">
        <w:t>The disease</w:t>
      </w:r>
      <w:bookmarkEnd w:id="15"/>
    </w:p>
    <w:p w14:paraId="39E7663D" w14:textId="675C334F" w:rsidR="0075523B" w:rsidRDefault="0075523B" w:rsidP="0075523B">
      <w:r>
        <w:t>T</w:t>
      </w:r>
      <w:r w:rsidR="00EF73EA">
        <w:t xml:space="preserve">ype 1 </w:t>
      </w:r>
      <w:r w:rsidR="002C236D">
        <w:t>d</w:t>
      </w:r>
      <w:r w:rsidR="00EF73EA">
        <w:t xml:space="preserve">iabetes </w:t>
      </w:r>
      <w:r w:rsidR="002C236D" w:rsidRPr="002C236D">
        <w:t>mellitus</w:t>
      </w:r>
      <w:r w:rsidR="004059FC">
        <w:t xml:space="preserve"> (T1DM)</w:t>
      </w:r>
      <w:r>
        <w:t xml:space="preserve"> is an autoimmune disease targeting pancreatic </w:t>
      </w:r>
      <w:r w:rsidR="005F62E2">
        <w:t>β</w:t>
      </w:r>
      <w:r>
        <w:t>-cells. Ultimately, this leads to their destruction and insulin deficiency. The disease most commonly affects children and adolescents but may also occur during adulthood</w:t>
      </w:r>
      <w:r w:rsidR="004059FC">
        <w:t xml:space="preserve"> (l</w:t>
      </w:r>
      <w:r w:rsidR="004059FC" w:rsidRPr="004059FC">
        <w:t>atent autoimmune diabetes in adults</w:t>
      </w:r>
      <w:r w:rsidR="004059FC">
        <w:t>)</w:t>
      </w:r>
      <w:r>
        <w:t xml:space="preserve">. </w:t>
      </w:r>
    </w:p>
    <w:p w14:paraId="7D4A010E" w14:textId="7627AD72" w:rsidR="0075523B" w:rsidRDefault="002C236D" w:rsidP="0075523B">
      <w:r w:rsidRPr="002C236D">
        <w:t xml:space="preserve">Type </w:t>
      </w:r>
      <w:r>
        <w:t>2</w:t>
      </w:r>
      <w:r w:rsidRPr="002C236D">
        <w:t xml:space="preserve"> diabetes mellitus </w:t>
      </w:r>
      <w:r w:rsidR="004059FC">
        <w:t xml:space="preserve">(T2DM) </w:t>
      </w:r>
      <w:r w:rsidR="0075523B">
        <w:t xml:space="preserve">is a non-autoimmune disease caused by advancing insulin resistance, frequently in association with a metabolic syndrome. The initial relative insulin deficiency is thought to trigger an inadequate compensatory increase of beta cell secretion and progressive loss of beta-cell function. Ultimate stages of T2DM may complete loss of beta-cell function and absolute insulin deficiency. </w:t>
      </w:r>
    </w:p>
    <w:p w14:paraId="7886F1C9" w14:textId="323C3432" w:rsidR="00CB6813" w:rsidRPr="0075523B" w:rsidRDefault="0075523B" w:rsidP="0075523B">
      <w:r>
        <w:t xml:space="preserve">It is well-established that maintenance of normal or near normal blood sugar levels is important not only for the control of </w:t>
      </w:r>
      <w:r w:rsidR="005F62E2">
        <w:t xml:space="preserve">the </w:t>
      </w:r>
      <w:r>
        <w:t xml:space="preserve">symptoms of diabetes mellitus attributable to hyperglycaemia, but also </w:t>
      </w:r>
      <w:r w:rsidR="005F62E2">
        <w:t>for</w:t>
      </w:r>
      <w:r>
        <w:t xml:space="preserve"> the prevention of long-term vascular, neurological and other complications.</w:t>
      </w:r>
    </w:p>
    <w:p w14:paraId="255E083A" w14:textId="3490CDE8" w:rsidR="00CB6813" w:rsidRDefault="00480A4C" w:rsidP="00CB6813">
      <w:pPr>
        <w:pStyle w:val="Heading4"/>
      </w:pPr>
      <w:bookmarkStart w:id="18" w:name="_Toc202172221"/>
      <w:r w:rsidRPr="00480A4C">
        <w:t>Current treatment options</w:t>
      </w:r>
      <w:bookmarkEnd w:id="18"/>
    </w:p>
    <w:p w14:paraId="0650F889" w14:textId="038610BF" w:rsidR="006F25E6" w:rsidRPr="006F25E6" w:rsidRDefault="005E2841" w:rsidP="006F25E6">
      <w:r>
        <w:t>The f</w:t>
      </w:r>
      <w:r w:rsidR="006F25E6" w:rsidRPr="006F25E6">
        <w:t>irst step in</w:t>
      </w:r>
      <w:r w:rsidR="005F62E2">
        <w:t xml:space="preserve"> the</w:t>
      </w:r>
      <w:r w:rsidR="006F25E6" w:rsidRPr="006F25E6">
        <w:t xml:space="preserve"> management of </w:t>
      </w:r>
      <w:r w:rsidR="005F62E2">
        <w:t>T2DM</w:t>
      </w:r>
      <w:r w:rsidR="006F25E6" w:rsidRPr="006F25E6">
        <w:t xml:space="preserve"> is with diet</w:t>
      </w:r>
      <w:r w:rsidR="00256042">
        <w:t xml:space="preserve"> and </w:t>
      </w:r>
      <w:r w:rsidR="006F25E6" w:rsidRPr="006F25E6">
        <w:t>lifestyle modifications</w:t>
      </w:r>
      <w:r w:rsidR="005F62E2">
        <w:t>,</w:t>
      </w:r>
      <w:r w:rsidR="006F25E6" w:rsidRPr="006F25E6">
        <w:t xml:space="preserve"> including exercise. If conservating measures are unsuccessful, metformin is </w:t>
      </w:r>
      <w:r w:rsidR="005F62E2">
        <w:t xml:space="preserve">the </w:t>
      </w:r>
      <w:r w:rsidR="006F25E6" w:rsidRPr="006F25E6">
        <w:t xml:space="preserve">first line medical treatment in most of the cases. In cases where metformin is not tolerated or successful other treatment options include sulphonylureas, </w:t>
      </w:r>
      <w:r w:rsidR="00DE4ABC">
        <w:t>d</w:t>
      </w:r>
      <w:r w:rsidR="00DE4ABC" w:rsidRPr="00DE4ABC">
        <w:t xml:space="preserve">ipeptidyl </w:t>
      </w:r>
      <w:r w:rsidR="00DE4ABC">
        <w:t>p</w:t>
      </w:r>
      <w:r w:rsidR="00DE4ABC" w:rsidRPr="00DE4ABC">
        <w:t xml:space="preserve">eptidase IV </w:t>
      </w:r>
      <w:r w:rsidR="00DE4ABC">
        <w:t>i</w:t>
      </w:r>
      <w:r w:rsidR="00DE4ABC" w:rsidRPr="00DE4ABC">
        <w:t>nhibitor</w:t>
      </w:r>
      <w:r w:rsidR="00DE4ABC">
        <w:t xml:space="preserve">s, </w:t>
      </w:r>
      <w:r w:rsidR="006F25E6" w:rsidRPr="006F25E6">
        <w:t xml:space="preserve">pioglitazone, insulin, </w:t>
      </w:r>
      <w:r w:rsidR="00315343">
        <w:t>g</w:t>
      </w:r>
      <w:r w:rsidR="00315343" w:rsidRPr="00315343">
        <w:t>lucagon-like peptide-1</w:t>
      </w:r>
      <w:r w:rsidR="00315343">
        <w:t xml:space="preserve"> </w:t>
      </w:r>
      <w:r w:rsidR="006F25E6" w:rsidRPr="006F25E6">
        <w:t xml:space="preserve">agonists and </w:t>
      </w:r>
      <w:r w:rsidR="00256042">
        <w:t>s</w:t>
      </w:r>
      <w:r w:rsidR="00256042" w:rsidRPr="00256042">
        <w:t>odium-</w:t>
      </w:r>
      <w:r w:rsidR="00256042">
        <w:t>g</w:t>
      </w:r>
      <w:r w:rsidR="00256042" w:rsidRPr="00256042">
        <w:t xml:space="preserve">lucose </w:t>
      </w:r>
      <w:r w:rsidR="00256042">
        <w:t>t</w:t>
      </w:r>
      <w:r w:rsidR="00256042" w:rsidRPr="00256042">
        <w:t xml:space="preserve">ransport </w:t>
      </w:r>
      <w:r w:rsidR="00256042">
        <w:t>p</w:t>
      </w:r>
      <w:r w:rsidR="00256042" w:rsidRPr="00256042">
        <w:t>rotein 2</w:t>
      </w:r>
      <w:r w:rsidR="00256042">
        <w:t xml:space="preserve"> i</w:t>
      </w:r>
      <w:r w:rsidR="00256042" w:rsidRPr="00256042">
        <w:t>nhibitors</w:t>
      </w:r>
      <w:r w:rsidR="006F25E6" w:rsidRPr="006F25E6">
        <w:t xml:space="preserve">. Clinical practice guidelines </w:t>
      </w:r>
      <w:r w:rsidR="005F62E2">
        <w:t>presently</w:t>
      </w:r>
      <w:r w:rsidR="006F25E6" w:rsidRPr="006F25E6">
        <w:t xml:space="preserve"> recommend a patient</w:t>
      </w:r>
      <w:r w:rsidR="00256042">
        <w:t>-</w:t>
      </w:r>
      <w:r w:rsidR="006F25E6" w:rsidRPr="006F25E6">
        <w:t>orientated approach to the choice of medications after metformin.  Multiple medications may be required in patients with long standing diabetes to achieve optimal glycaemic control.</w:t>
      </w:r>
    </w:p>
    <w:p w14:paraId="08FEDED6" w14:textId="3F9FD8D2" w:rsidR="006F25E6" w:rsidRDefault="006F25E6" w:rsidP="006F25E6">
      <w:pPr>
        <w:rPr>
          <w:b/>
          <w:bCs/>
        </w:rPr>
      </w:pPr>
      <w:r w:rsidRPr="006F25E6">
        <w:t>T1DM is characteri</w:t>
      </w:r>
      <w:r w:rsidR="005F62E2">
        <w:t>s</w:t>
      </w:r>
      <w:r w:rsidRPr="006F25E6">
        <w:t xml:space="preserve">ed by near total loss of beta-cell function. Insulin is the mainstay of treatment for </w:t>
      </w:r>
      <w:r w:rsidR="00256042">
        <w:t>T1DM</w:t>
      </w:r>
      <w:r w:rsidRPr="006F25E6">
        <w:t xml:space="preserve">, which is typically administered by subcutaneous </w:t>
      </w:r>
      <w:r w:rsidR="003853A5">
        <w:t xml:space="preserve">(SC) </w:t>
      </w:r>
      <w:r w:rsidRPr="006F25E6">
        <w:t>injections or continuous sub</w:t>
      </w:r>
      <w:r>
        <w:t>-</w:t>
      </w:r>
      <w:r w:rsidRPr="006F25E6">
        <w:t xml:space="preserve">cutaneous insulin infusion (insulin pump therapy). </w:t>
      </w:r>
      <w:r w:rsidR="006D73BD" w:rsidRPr="006D73BD">
        <w:t xml:space="preserve">Multiple dose injection (MDI) therapy </w:t>
      </w:r>
      <w:r w:rsidRPr="006F25E6">
        <w:t>uses fast-acting insulin analogues (bolus) to cover the food consumed and long-acting insulin analogues (bolus) to cover basal insulin demand. Basal insulins currently marketed include Lantus (insulin glargine U100), Toujeo (insulin glargine U300), Levemir (insulin detemir U100), and X</w:t>
      </w:r>
      <w:r>
        <w:t xml:space="preserve">ultophy </w:t>
      </w:r>
      <w:r w:rsidRPr="006F25E6">
        <w:t>(insulin degludec)</w:t>
      </w:r>
      <w:r w:rsidR="00EE5426">
        <w:t xml:space="preserve"> and</w:t>
      </w:r>
      <w:r w:rsidRPr="006F25E6">
        <w:t xml:space="preserve"> Tresiba (insulin degludec U100).</w:t>
      </w:r>
    </w:p>
    <w:p w14:paraId="0D615854" w14:textId="77777777" w:rsidR="00324B33" w:rsidRPr="003F31A2" w:rsidRDefault="00324B33" w:rsidP="00374CAB">
      <w:pPr>
        <w:pStyle w:val="Heading4"/>
      </w:pPr>
      <w:bookmarkStart w:id="19" w:name="_Toc103679291"/>
      <w:bookmarkStart w:id="20" w:name="_Toc202172222"/>
      <w:r>
        <w:t>Regulatory status</w:t>
      </w:r>
      <w:bookmarkEnd w:id="16"/>
      <w:bookmarkEnd w:id="17"/>
      <w:bookmarkEnd w:id="19"/>
      <w:bookmarkEnd w:id="20"/>
    </w:p>
    <w:p w14:paraId="72C889D6" w14:textId="7E200950" w:rsidR="0017005C" w:rsidRPr="00BD5DBD" w:rsidRDefault="0017005C" w:rsidP="00374CAB">
      <w:pPr>
        <w:pStyle w:val="Heading5"/>
      </w:pPr>
      <w:r w:rsidRPr="00BD5DBD">
        <w:t>Australian regulatory</w:t>
      </w:r>
      <w:r>
        <w:t xml:space="preserve"> sta</w:t>
      </w:r>
      <w:r w:rsidR="0025785B">
        <w:t>t</w:t>
      </w:r>
      <w:r>
        <w:t>us</w:t>
      </w:r>
    </w:p>
    <w:p w14:paraId="6A8633FA" w14:textId="6C2DBCC9" w:rsidR="00324B33" w:rsidRDefault="00324B33" w:rsidP="00324B33">
      <w:pPr>
        <w:rPr>
          <w:szCs w:val="22"/>
        </w:rPr>
      </w:pPr>
      <w:r w:rsidRPr="00BD5DBD">
        <w:rPr>
          <w:szCs w:val="22"/>
        </w:rPr>
        <w:t xml:space="preserve">This product is considered a new </w:t>
      </w:r>
      <w:r w:rsidR="009B7D36">
        <w:rPr>
          <w:szCs w:val="22"/>
        </w:rPr>
        <w:t>biological</w:t>
      </w:r>
      <w:r w:rsidR="008C754C" w:rsidRPr="00BD5DBD">
        <w:rPr>
          <w:szCs w:val="22"/>
        </w:rPr>
        <w:t xml:space="preserve"> entity</w:t>
      </w:r>
      <w:r w:rsidRPr="00BD5DBD">
        <w:rPr>
          <w:szCs w:val="22"/>
        </w:rPr>
        <w:t xml:space="preserve"> for Australian regulatory purposes.</w:t>
      </w:r>
    </w:p>
    <w:p w14:paraId="546C1031" w14:textId="4EF98FA1" w:rsidR="0017005C" w:rsidRDefault="00131B1B" w:rsidP="00374CAB">
      <w:pPr>
        <w:pStyle w:val="Heading5"/>
      </w:pPr>
      <w:r>
        <w:lastRenderedPageBreak/>
        <w:t xml:space="preserve">International </w:t>
      </w:r>
      <w:r w:rsidR="0017005C" w:rsidRPr="00BD5DBD">
        <w:t>regulatory</w:t>
      </w:r>
      <w:r w:rsidR="0017005C">
        <w:t xml:space="preserve"> status</w:t>
      </w:r>
    </w:p>
    <w:p w14:paraId="7FDF4A0B" w14:textId="5EA980A9" w:rsidR="008F4A62" w:rsidRPr="0017005C" w:rsidRDefault="008F4A62" w:rsidP="008F4A62">
      <w:r w:rsidRPr="00BD5DBD">
        <w:rPr>
          <w:szCs w:val="22"/>
        </w:rPr>
        <w:t xml:space="preserve">At the time the TGA considered this submission, a similar submission had been </w:t>
      </w:r>
      <w:r>
        <w:rPr>
          <w:szCs w:val="22"/>
        </w:rPr>
        <w:t>considered by other regulatory agencies</w:t>
      </w:r>
      <w:r w:rsidR="00ED553C">
        <w:rPr>
          <w:szCs w:val="22"/>
        </w:rPr>
        <w:t xml:space="preserve"> including those of the European Union (submitted 4 April 2023), </w:t>
      </w:r>
      <w:r w:rsidR="001B5DD4">
        <w:rPr>
          <w:szCs w:val="22"/>
        </w:rPr>
        <w:t>United States (submitted 21 April 2023)</w:t>
      </w:r>
      <w:r w:rsidR="00210BD9">
        <w:rPr>
          <w:szCs w:val="22"/>
        </w:rPr>
        <w:t>, Canada (31 March 2023)</w:t>
      </w:r>
      <w:r w:rsidR="00E03EB6">
        <w:rPr>
          <w:szCs w:val="22"/>
        </w:rPr>
        <w:t xml:space="preserve"> and Switzerland (</w:t>
      </w:r>
      <w:r w:rsidR="005217B4">
        <w:rPr>
          <w:szCs w:val="22"/>
        </w:rPr>
        <w:t>13 April 2023)</w:t>
      </w:r>
      <w:r w:rsidR="008B024E">
        <w:rPr>
          <w:szCs w:val="22"/>
        </w:rPr>
        <w:t>.</w:t>
      </w:r>
    </w:p>
    <w:p w14:paraId="6D92589C" w14:textId="3670DE5F" w:rsidR="00324B33" w:rsidRDefault="00324B33" w:rsidP="00374CAB">
      <w:pPr>
        <w:pStyle w:val="Heading4"/>
      </w:pPr>
      <w:bookmarkStart w:id="21" w:name="_Toc504480011"/>
      <w:bookmarkStart w:id="22" w:name="_Toc103679293"/>
      <w:bookmarkStart w:id="23" w:name="_Toc202172223"/>
      <w:r>
        <w:t>Registration timeline</w:t>
      </w:r>
      <w:bookmarkEnd w:id="21"/>
      <w:bookmarkEnd w:id="22"/>
      <w:bookmarkEnd w:id="23"/>
    </w:p>
    <w:p w14:paraId="225E3D87" w14:textId="29A8349C" w:rsidR="00324B33" w:rsidRPr="00BD5DBD" w:rsidRDefault="00C17BF7" w:rsidP="00324B33">
      <w:pPr>
        <w:rPr>
          <w:szCs w:val="22"/>
        </w:rPr>
      </w:pPr>
      <w:r>
        <w:rPr>
          <w:szCs w:val="22"/>
        </w:rPr>
        <w:t>T</w:t>
      </w:r>
      <w:r w:rsidR="00324B33" w:rsidRPr="00BD5DBD">
        <w:rPr>
          <w:szCs w:val="22"/>
        </w:rPr>
        <w:t>able</w:t>
      </w:r>
      <w:r>
        <w:rPr>
          <w:szCs w:val="22"/>
        </w:rPr>
        <w:t xml:space="preserve"> 1</w:t>
      </w:r>
      <w:r w:rsidR="00324B33" w:rsidRPr="00BD5DBD">
        <w:rPr>
          <w:szCs w:val="22"/>
        </w:rPr>
        <w:t xml:space="preserve"> captures the key steps and dates for this submission.</w:t>
      </w:r>
    </w:p>
    <w:p w14:paraId="6BB76942" w14:textId="49C62989" w:rsidR="00477C4E" w:rsidRPr="00BD5DBD" w:rsidRDefault="00477C4E" w:rsidP="00324B33">
      <w:pPr>
        <w:rPr>
          <w:szCs w:val="22"/>
        </w:rPr>
      </w:pPr>
      <w:r w:rsidRPr="00BD5DBD">
        <w:rPr>
          <w:szCs w:val="22"/>
        </w:rPr>
        <w:t xml:space="preserve">This submission was evaluated under the </w:t>
      </w:r>
      <w:hyperlink r:id="rId24" w:history="1">
        <w:r w:rsidRPr="00BD5DBD">
          <w:rPr>
            <w:rStyle w:val="Hyperlink"/>
            <w:szCs w:val="22"/>
          </w:rPr>
          <w:t>standard prescription medicines registration process</w:t>
        </w:r>
      </w:hyperlink>
      <w:r w:rsidRPr="00BD5DBD">
        <w:rPr>
          <w:szCs w:val="22"/>
        </w:rPr>
        <w:t>.</w:t>
      </w:r>
    </w:p>
    <w:p w14:paraId="44628C5F" w14:textId="5AD8906A" w:rsidR="00324B33" w:rsidRDefault="00324B33" w:rsidP="002C1232">
      <w:pPr>
        <w:pStyle w:val="TableTitle"/>
      </w:pPr>
      <w:r w:rsidRPr="002C1232">
        <w:t xml:space="preserve">Table </w:t>
      </w:r>
      <w:r w:rsidR="00E948D3">
        <w:t>1</w:t>
      </w:r>
      <w:r w:rsidRPr="002C1232">
        <w:t xml:space="preserve">: Timeline for </w:t>
      </w:r>
      <w:r w:rsidR="00DA79A2">
        <w:t>AWIQLI</w:t>
      </w:r>
      <w:r w:rsidR="005042C7">
        <w:t xml:space="preserve"> (</w:t>
      </w:r>
      <w:r w:rsidR="00D64CAE" w:rsidRPr="00D64CAE">
        <w:t>insulin icodec</w:t>
      </w:r>
      <w:r w:rsidR="005042C7">
        <w:t xml:space="preserve">), </w:t>
      </w:r>
      <w:r w:rsidR="00C0389B">
        <w:t>s</w:t>
      </w:r>
      <w:r w:rsidRPr="002C1232">
        <w:t xml:space="preserve">ubmission </w:t>
      </w:r>
      <w:r w:rsidR="00C17BF7" w:rsidRPr="00C17BF7">
        <w:t>PM-2023-01464-1-5</w:t>
      </w:r>
    </w:p>
    <w:tbl>
      <w:tblPr>
        <w:tblStyle w:val="TableTGAblue2023"/>
        <w:tblW w:w="8642" w:type="dxa"/>
        <w:tblLook w:val="04A0" w:firstRow="1" w:lastRow="0" w:firstColumn="1" w:lastColumn="0" w:noHBand="0" w:noVBand="1"/>
      </w:tblPr>
      <w:tblGrid>
        <w:gridCol w:w="6232"/>
        <w:gridCol w:w="2410"/>
      </w:tblGrid>
      <w:tr w:rsidR="00324B33" w:rsidRPr="00D01DDB" w14:paraId="6C59BE9C" w14:textId="77777777" w:rsidTr="001D70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16D80E78" w14:textId="3EC0CCAF" w:rsidR="00324B33" w:rsidRPr="00D01DDB" w:rsidRDefault="00324B33" w:rsidP="00324B33">
            <w:pPr>
              <w:rPr>
                <w:szCs w:val="22"/>
              </w:rPr>
            </w:pPr>
            <w:r w:rsidRPr="00D01DDB">
              <w:rPr>
                <w:szCs w:val="22"/>
              </w:rPr>
              <w:t>Description</w:t>
            </w:r>
          </w:p>
        </w:tc>
        <w:tc>
          <w:tcPr>
            <w:tcW w:w="2410" w:type="dxa"/>
          </w:tcPr>
          <w:p w14:paraId="79AFDC4B" w14:textId="05792035" w:rsidR="00324B33" w:rsidRPr="00D01DDB" w:rsidRDefault="00324B33" w:rsidP="00324B33">
            <w:pPr>
              <w:cnfStyle w:val="100000000000" w:firstRow="1" w:lastRow="0" w:firstColumn="0" w:lastColumn="0" w:oddVBand="0" w:evenVBand="0" w:oddHBand="0" w:evenHBand="0" w:firstRowFirstColumn="0" w:firstRowLastColumn="0" w:lastRowFirstColumn="0" w:lastRowLastColumn="0"/>
              <w:rPr>
                <w:szCs w:val="22"/>
              </w:rPr>
            </w:pPr>
            <w:r w:rsidRPr="00D01DDB">
              <w:rPr>
                <w:szCs w:val="22"/>
              </w:rPr>
              <w:t>Date</w:t>
            </w:r>
          </w:p>
        </w:tc>
      </w:tr>
      <w:tr w:rsidR="00324B33" w:rsidRPr="00D01DDB" w14:paraId="23610C53" w14:textId="77777777" w:rsidTr="001D70E5">
        <w:tc>
          <w:tcPr>
            <w:cnfStyle w:val="001000000000" w:firstRow="0" w:lastRow="0" w:firstColumn="1" w:lastColumn="0" w:oddVBand="0" w:evenVBand="0" w:oddHBand="0" w:evenHBand="0" w:firstRowFirstColumn="0" w:firstRowLastColumn="0" w:lastRowFirstColumn="0" w:lastRowLastColumn="0"/>
            <w:tcW w:w="6232" w:type="dxa"/>
          </w:tcPr>
          <w:p w14:paraId="759D2A12" w14:textId="4F4E722F" w:rsidR="00324B33" w:rsidRPr="00E679D1" w:rsidRDefault="00324B33" w:rsidP="00133F91">
            <w:pPr>
              <w:ind w:left="71"/>
            </w:pPr>
            <w:r w:rsidRPr="00E679D1">
              <w:t>Submission dossier accepted and evaluation commenced</w:t>
            </w:r>
          </w:p>
        </w:tc>
        <w:tc>
          <w:tcPr>
            <w:tcW w:w="2410" w:type="dxa"/>
          </w:tcPr>
          <w:p w14:paraId="2963D9D8" w14:textId="4BD97035" w:rsidR="00324B33" w:rsidRPr="00D01DDB" w:rsidRDefault="00EF3D66"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17 May 2023</w:t>
            </w:r>
          </w:p>
        </w:tc>
      </w:tr>
      <w:tr w:rsidR="00803926" w:rsidRPr="00D01DDB" w14:paraId="16D13F79" w14:textId="77777777" w:rsidTr="001D70E5">
        <w:tc>
          <w:tcPr>
            <w:cnfStyle w:val="001000000000" w:firstRow="0" w:lastRow="0" w:firstColumn="1" w:lastColumn="0" w:oddVBand="0" w:evenVBand="0" w:oddHBand="0" w:evenHBand="0" w:firstRowFirstColumn="0" w:firstRowLastColumn="0" w:lastRowFirstColumn="0" w:lastRowLastColumn="0"/>
            <w:tcW w:w="6232" w:type="dxa"/>
          </w:tcPr>
          <w:p w14:paraId="6858B45A" w14:textId="4A6E19A0" w:rsidR="00803926" w:rsidRPr="00E679D1" w:rsidDel="00C62B1C" w:rsidRDefault="00803926" w:rsidP="00133F91">
            <w:pPr>
              <w:ind w:left="71"/>
            </w:pPr>
            <w:r>
              <w:t>Evaluation completed</w:t>
            </w:r>
          </w:p>
        </w:tc>
        <w:tc>
          <w:tcPr>
            <w:tcW w:w="2410" w:type="dxa"/>
          </w:tcPr>
          <w:p w14:paraId="2E0BD403" w14:textId="11E73118" w:rsidR="00803926" w:rsidRPr="00D01DDB" w:rsidRDefault="00E223B1"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21 December 2023</w:t>
            </w:r>
          </w:p>
        </w:tc>
      </w:tr>
      <w:tr w:rsidR="00324B33" w:rsidRPr="00D01DDB" w14:paraId="5754F7AC" w14:textId="77777777" w:rsidTr="001D70E5">
        <w:tc>
          <w:tcPr>
            <w:cnfStyle w:val="001000000000" w:firstRow="0" w:lastRow="0" w:firstColumn="1" w:lastColumn="0" w:oddVBand="0" w:evenVBand="0" w:oddHBand="0" w:evenHBand="0" w:firstRowFirstColumn="0" w:firstRowLastColumn="0" w:lastRowFirstColumn="0" w:lastRowLastColumn="0"/>
            <w:tcW w:w="6232" w:type="dxa"/>
          </w:tcPr>
          <w:p w14:paraId="789DE187" w14:textId="5F489E13" w:rsidR="00324B33" w:rsidRPr="00E679D1" w:rsidRDefault="00324B33" w:rsidP="00133F91">
            <w:pPr>
              <w:ind w:left="71"/>
            </w:pPr>
            <w:r w:rsidRPr="00E679D1">
              <w:t xml:space="preserve">Advisory </w:t>
            </w:r>
            <w:r w:rsidR="00F8568E">
              <w:t>c</w:t>
            </w:r>
            <w:r w:rsidRPr="00E679D1">
              <w:t>ommittee meeting</w:t>
            </w:r>
          </w:p>
        </w:tc>
        <w:tc>
          <w:tcPr>
            <w:tcW w:w="2410" w:type="dxa"/>
          </w:tcPr>
          <w:p w14:paraId="5BE1EDE7" w14:textId="165A9F6D" w:rsidR="00324B33" w:rsidRPr="00D01DDB" w:rsidRDefault="008D5982" w:rsidP="00324B33">
            <w:pPr>
              <w:cnfStyle w:val="000000000000" w:firstRow="0" w:lastRow="0" w:firstColumn="0" w:lastColumn="0" w:oddVBand="0" w:evenVBand="0" w:oddHBand="0" w:evenHBand="0" w:firstRowFirstColumn="0" w:firstRowLastColumn="0" w:lastRowFirstColumn="0" w:lastRowLastColumn="0"/>
              <w:rPr>
                <w:szCs w:val="22"/>
              </w:rPr>
            </w:pPr>
            <w:r>
              <w:rPr>
                <w:szCs w:val="22"/>
              </w:rPr>
              <w:t>5 April 2024</w:t>
            </w:r>
          </w:p>
        </w:tc>
      </w:tr>
      <w:tr w:rsidR="00324B33" w:rsidRPr="00D01DDB" w14:paraId="6E5D32FE" w14:textId="77777777" w:rsidTr="001D70E5">
        <w:tc>
          <w:tcPr>
            <w:cnfStyle w:val="001000000000" w:firstRow="0" w:lastRow="0" w:firstColumn="1" w:lastColumn="0" w:oddVBand="0" w:evenVBand="0" w:oddHBand="0" w:evenHBand="0" w:firstRowFirstColumn="0" w:firstRowLastColumn="0" w:lastRowFirstColumn="0" w:lastRowLastColumn="0"/>
            <w:tcW w:w="6232" w:type="dxa"/>
          </w:tcPr>
          <w:p w14:paraId="4E95C44C" w14:textId="00E19F40" w:rsidR="00324B33" w:rsidRPr="00E679D1" w:rsidRDefault="00324B33" w:rsidP="00133F91">
            <w:pPr>
              <w:ind w:left="71"/>
            </w:pPr>
            <w:r w:rsidRPr="00E679D1">
              <w:t>Registration decision (</w:t>
            </w:r>
            <w:r w:rsidR="008D5982">
              <w:t>Approved</w:t>
            </w:r>
            <w:r w:rsidRPr="00E679D1">
              <w:t>)</w:t>
            </w:r>
          </w:p>
        </w:tc>
        <w:tc>
          <w:tcPr>
            <w:tcW w:w="2410" w:type="dxa"/>
          </w:tcPr>
          <w:p w14:paraId="62987ABD" w14:textId="288738E1" w:rsidR="00324B33" w:rsidRPr="00D01DDB" w:rsidRDefault="0054421D" w:rsidP="00324B33">
            <w:pPr>
              <w:cnfStyle w:val="000000000000" w:firstRow="0" w:lastRow="0" w:firstColumn="0" w:lastColumn="0" w:oddVBand="0" w:evenVBand="0" w:oddHBand="0" w:evenHBand="0" w:firstRowFirstColumn="0" w:firstRowLastColumn="0" w:lastRowFirstColumn="0" w:lastRowLastColumn="0"/>
              <w:rPr>
                <w:szCs w:val="22"/>
              </w:rPr>
            </w:pPr>
            <w:r w:rsidRPr="0054421D">
              <w:rPr>
                <w:szCs w:val="22"/>
              </w:rPr>
              <w:t>17 May 2024</w:t>
            </w:r>
          </w:p>
        </w:tc>
      </w:tr>
      <w:tr w:rsidR="00324B33" w:rsidRPr="00D01DDB" w14:paraId="56D922E2" w14:textId="77777777" w:rsidTr="001D70E5">
        <w:tc>
          <w:tcPr>
            <w:cnfStyle w:val="001000000000" w:firstRow="0" w:lastRow="0" w:firstColumn="1" w:lastColumn="0" w:oddVBand="0" w:evenVBand="0" w:oddHBand="0" w:evenHBand="0" w:firstRowFirstColumn="0" w:firstRowLastColumn="0" w:lastRowFirstColumn="0" w:lastRowLastColumn="0"/>
            <w:tcW w:w="6232" w:type="dxa"/>
          </w:tcPr>
          <w:p w14:paraId="787FD8DD" w14:textId="0E0CF97F" w:rsidR="00324B33" w:rsidRPr="00E679D1" w:rsidRDefault="00324B33" w:rsidP="00133F91">
            <w:pPr>
              <w:ind w:left="71"/>
            </w:pPr>
            <w:r w:rsidRPr="00E679D1">
              <w:t>Number of working days from submission dossier acceptance to registration decision*</w:t>
            </w:r>
          </w:p>
        </w:tc>
        <w:tc>
          <w:tcPr>
            <w:tcW w:w="2410" w:type="dxa"/>
          </w:tcPr>
          <w:p w14:paraId="5BAF9FA1" w14:textId="1FB384AF" w:rsidR="00324B33" w:rsidRPr="00D01DDB" w:rsidRDefault="00330394" w:rsidP="00324B33">
            <w:pPr>
              <w:cnfStyle w:val="000000000000" w:firstRow="0" w:lastRow="0" w:firstColumn="0" w:lastColumn="0" w:oddVBand="0" w:evenVBand="0" w:oddHBand="0" w:evenHBand="0" w:firstRowFirstColumn="0" w:firstRowLastColumn="0" w:lastRowFirstColumn="0" w:lastRowLastColumn="0"/>
              <w:rPr>
                <w:szCs w:val="22"/>
              </w:rPr>
            </w:pPr>
            <w:r w:rsidRPr="00330394">
              <w:rPr>
                <w:szCs w:val="22"/>
              </w:rPr>
              <w:t>255</w:t>
            </w:r>
          </w:p>
        </w:tc>
      </w:tr>
    </w:tbl>
    <w:p w14:paraId="7B02554C" w14:textId="77777777" w:rsidR="00433318" w:rsidRDefault="00433318" w:rsidP="00433318">
      <w:pPr>
        <w:pStyle w:val="TableDescription"/>
      </w:pPr>
      <w:r>
        <w:t>*</w:t>
      </w:r>
      <w:r w:rsidRPr="00BF3774">
        <w:t xml:space="preserve">Statutory </w:t>
      </w:r>
      <w:r>
        <w:t>timeframe for standard submissions is 255 working days</w:t>
      </w:r>
    </w:p>
    <w:p w14:paraId="220925F1" w14:textId="46787B76" w:rsidR="00C22214" w:rsidRPr="00792A32" w:rsidRDefault="00083763" w:rsidP="00C22214">
      <w:pPr>
        <w:pStyle w:val="Heading2"/>
      </w:pPr>
      <w:bookmarkStart w:id="24" w:name="_Toc202172224"/>
      <w:bookmarkStart w:id="25" w:name="_Toc196046504"/>
      <w:bookmarkStart w:id="26" w:name="_Toc247691527"/>
      <w:bookmarkStart w:id="27" w:name="_Toc314842510"/>
      <w:bookmarkStart w:id="28" w:name="_Toc103679294"/>
      <w:r>
        <w:t xml:space="preserve">Assessment </w:t>
      </w:r>
      <w:r w:rsidR="00C22214" w:rsidRPr="00006FAB">
        <w:t>overview</w:t>
      </w:r>
      <w:bookmarkEnd w:id="24"/>
      <w:r w:rsidR="00C22214" w:rsidRPr="00006FAB">
        <w:t xml:space="preserve"> </w:t>
      </w:r>
      <w:bookmarkEnd w:id="25"/>
      <w:bookmarkEnd w:id="26"/>
      <w:bookmarkEnd w:id="27"/>
      <w:bookmarkEnd w:id="28"/>
    </w:p>
    <w:p w14:paraId="5345604B" w14:textId="6AB87C72" w:rsidR="00823886" w:rsidRDefault="00D62FDB" w:rsidP="00823886">
      <w:bookmarkStart w:id="29" w:name="_Toc247691528"/>
      <w:bookmarkStart w:id="30" w:name="_Toc314842511"/>
      <w:r w:rsidRPr="00D62FDB">
        <w:t>This submission was evaluated as part of the Australia-Canada-Singapore-Switzerland-United Kingdom (ACCESS) Consortium with work-sharing between the TGA, Swissmedic</w:t>
      </w:r>
      <w:r w:rsidR="00891AA9">
        <w:t xml:space="preserve"> and Health Canada</w:t>
      </w:r>
      <w:r w:rsidRPr="00D62FDB">
        <w:t>. Each regulator made independent decisions regarding approval (market authorisation) of the new medicine.</w:t>
      </w:r>
      <w:bookmarkStart w:id="31" w:name="_Toc103679295"/>
    </w:p>
    <w:p w14:paraId="0FFDD573" w14:textId="77777777" w:rsidR="00823886" w:rsidRDefault="00095C6A" w:rsidP="00C0389B">
      <w:pPr>
        <w:pStyle w:val="Heading3"/>
      </w:pPr>
      <w:bookmarkStart w:id="32" w:name="_Toc202172225"/>
      <w:r>
        <w:t>Q</w:t>
      </w:r>
      <w:r w:rsidR="00C22214">
        <w:t>uality</w:t>
      </w:r>
      <w:bookmarkEnd w:id="29"/>
      <w:bookmarkEnd w:id="30"/>
      <w:bookmarkEnd w:id="31"/>
      <w:r w:rsidR="007E6443">
        <w:t xml:space="preserve"> evaluation</w:t>
      </w:r>
      <w:r>
        <w:t xml:space="preserve"> summary</w:t>
      </w:r>
      <w:bookmarkStart w:id="33" w:name="_Toc314842512"/>
      <w:bookmarkStart w:id="34" w:name="_Toc103679296"/>
      <w:bookmarkEnd w:id="32"/>
    </w:p>
    <w:p w14:paraId="75011965" w14:textId="1DD12E10" w:rsidR="00823886" w:rsidRDefault="001559EF" w:rsidP="0094266C">
      <w:r w:rsidRPr="001559EF">
        <w:t xml:space="preserve">Insulin icodec </w:t>
      </w:r>
      <w:r w:rsidR="005F62E2" w:rsidRPr="005F62E2">
        <w:t>(IIco)</w:t>
      </w:r>
      <w:r w:rsidR="005F62E2">
        <w:t xml:space="preserve"> </w:t>
      </w:r>
      <w:r w:rsidRPr="001559EF">
        <w:t xml:space="preserve">is a recombinant insulin modified to incorporate a C20 fatty acid sidechain derivative to the peptide backbone via the amino group in the side chain at LysB29. </w:t>
      </w:r>
    </w:p>
    <w:p w14:paraId="087625BC" w14:textId="72AA003E" w:rsidR="00823886" w:rsidRDefault="005F62E2" w:rsidP="0094266C">
      <w:r w:rsidRPr="005F62E2">
        <w:t>IIco</w:t>
      </w:r>
      <w:r>
        <w:t xml:space="preserve"> </w:t>
      </w:r>
      <w:r w:rsidR="001559EF" w:rsidRPr="001559EF">
        <w:t xml:space="preserve">binds to and activates the human insulin receptor. The molecular mode of action of </w:t>
      </w:r>
      <w:r>
        <w:t xml:space="preserve">the </w:t>
      </w:r>
      <w:r w:rsidR="00D64CAE">
        <w:t xml:space="preserve">IIco </w:t>
      </w:r>
      <w:r w:rsidR="001559EF" w:rsidRPr="001559EF">
        <w:t xml:space="preserve">drug substance is </w:t>
      </w:r>
      <w:proofErr w:type="gramStart"/>
      <w:r>
        <w:t>similar</w:t>
      </w:r>
      <w:r w:rsidR="001559EF" w:rsidRPr="001559EF">
        <w:t xml:space="preserve"> to</w:t>
      </w:r>
      <w:proofErr w:type="gramEnd"/>
      <w:r w:rsidR="001559EF" w:rsidRPr="001559EF">
        <w:t xml:space="preserve"> human insulin</w:t>
      </w:r>
      <w:r>
        <w:t>.</w:t>
      </w:r>
      <w:r w:rsidR="001559EF" w:rsidRPr="001559EF">
        <w:t xml:space="preserve"> </w:t>
      </w:r>
      <w:r w:rsidR="00D64CAE">
        <w:t>IIco</w:t>
      </w:r>
      <w:r w:rsidR="001559EF" w:rsidRPr="001559EF">
        <w:t xml:space="preserve"> is an acylated analogue, which is a specific,</w:t>
      </w:r>
      <w:r w:rsidR="003646E4">
        <w:t xml:space="preserve"> </w:t>
      </w:r>
      <w:r w:rsidR="001559EF" w:rsidRPr="001559EF">
        <w:t>low</w:t>
      </w:r>
      <w:r>
        <w:t>-</w:t>
      </w:r>
      <w:r w:rsidR="001559EF" w:rsidRPr="001559EF">
        <w:t>affinity insulin receptor agonist with full efficacy that binds strongly, but reversibly, to albumin.  Binding to albumin</w:t>
      </w:r>
      <w:r>
        <w:t xml:space="preserve"> </w:t>
      </w:r>
      <w:r w:rsidR="001559EF" w:rsidRPr="001559EF">
        <w:t xml:space="preserve">results in decreased renal clearance and protection from metabolic degradation. Compared to </w:t>
      </w:r>
      <w:r>
        <w:t xml:space="preserve">native </w:t>
      </w:r>
      <w:r w:rsidR="001559EF" w:rsidRPr="001559EF">
        <w:t xml:space="preserve">human insulin, </w:t>
      </w:r>
      <w:r w:rsidR="00D64CAE">
        <w:t>IIco</w:t>
      </w:r>
      <w:r w:rsidR="001559EF" w:rsidRPr="001559EF">
        <w:t xml:space="preserve"> </w:t>
      </w:r>
      <w:r w:rsidR="003646E4">
        <w:t>half-life is extended</w:t>
      </w:r>
      <w:r w:rsidR="001559EF" w:rsidRPr="001559EF">
        <w:t xml:space="preserve"> </w:t>
      </w:r>
      <w:r w:rsidR="003646E4">
        <w:t xml:space="preserve">(by approximately </w:t>
      </w:r>
      <w:r w:rsidR="001559EF" w:rsidRPr="001559EF">
        <w:t>1 week</w:t>
      </w:r>
      <w:r w:rsidR="003646E4">
        <w:t>)</w:t>
      </w:r>
      <w:r w:rsidR="001559EF" w:rsidRPr="001559EF">
        <w:t>.</w:t>
      </w:r>
    </w:p>
    <w:p w14:paraId="252C8BBC" w14:textId="3F79A7E0" w:rsidR="001559EF" w:rsidRDefault="001559EF" w:rsidP="0094266C">
      <w:pPr>
        <w:rPr>
          <w:b/>
          <w:bCs/>
        </w:rPr>
      </w:pPr>
      <w:r w:rsidRPr="001559EF">
        <w:t xml:space="preserve">The finished product is presented as a solution </w:t>
      </w:r>
      <w:r w:rsidR="00103954" w:rsidRPr="00891AA9">
        <w:t>for</w:t>
      </w:r>
      <w:r w:rsidR="00103954">
        <w:rPr>
          <w:b/>
          <w:bCs/>
        </w:rPr>
        <w:t xml:space="preserve"> </w:t>
      </w:r>
      <w:r w:rsidR="003853A5">
        <w:t>SC</w:t>
      </w:r>
      <w:r w:rsidRPr="001559EF">
        <w:t xml:space="preserve"> administration containing 700 U/mL of </w:t>
      </w:r>
      <w:r w:rsidR="00D64CAE">
        <w:t>IIco</w:t>
      </w:r>
      <w:r w:rsidRPr="001559EF">
        <w:t xml:space="preserve"> as active </w:t>
      </w:r>
      <w:r w:rsidR="003646E4">
        <w:t xml:space="preserve">drug </w:t>
      </w:r>
      <w:r w:rsidRPr="001559EF">
        <w:t>substance</w:t>
      </w:r>
      <w:r w:rsidR="003646E4">
        <w:t xml:space="preserve"> (DS)</w:t>
      </w:r>
      <w:r w:rsidRPr="001559EF">
        <w:t>.</w:t>
      </w:r>
      <w:r w:rsidR="003646E4">
        <w:t xml:space="preserve"> </w:t>
      </w:r>
    </w:p>
    <w:p w14:paraId="7A4C88A9" w14:textId="7463C1BC" w:rsidR="00E10659" w:rsidRDefault="00F40516" w:rsidP="0094266C">
      <w:r w:rsidRPr="00F40516">
        <w:t xml:space="preserve">The </w:t>
      </w:r>
      <w:proofErr w:type="gramStart"/>
      <w:r w:rsidRPr="00F40516">
        <w:t>DS</w:t>
      </w:r>
      <w:proofErr w:type="gramEnd"/>
      <w:r w:rsidRPr="00F40516">
        <w:t xml:space="preserve"> manufacturing process is a cultivation process with nutritive feeds. One vial of the working cell bank is thawed, and the cells cultured on agar within a Fernbach flask then expanded </w:t>
      </w:r>
      <w:r>
        <w:t xml:space="preserve">in </w:t>
      </w:r>
      <w:r w:rsidRPr="00F40516">
        <w:t>seed bioreactors. The production bioreactor is harvested sequentially after a defined production period and a clarification step is performed.</w:t>
      </w:r>
      <w:r>
        <w:t xml:space="preserve"> </w:t>
      </w:r>
      <w:r w:rsidR="003646E4">
        <w:t xml:space="preserve">The IIco DS is </w:t>
      </w:r>
      <w:r w:rsidR="003646E4" w:rsidRPr="003646E4">
        <w:t>produced using recombinant DNA technology</w:t>
      </w:r>
      <w:r w:rsidR="003646E4">
        <w:t xml:space="preserve">. </w:t>
      </w:r>
      <w:r w:rsidR="00103954">
        <w:t xml:space="preserve">A precursor of the active ingredient </w:t>
      </w:r>
      <w:r w:rsidR="003646E4">
        <w:t xml:space="preserve">is </w:t>
      </w:r>
      <w:r w:rsidR="00103954">
        <w:t>express</w:t>
      </w:r>
      <w:r w:rsidR="003646E4">
        <w:t xml:space="preserve">ed </w:t>
      </w:r>
      <w:r w:rsidR="00103954">
        <w:t>in yeast</w:t>
      </w:r>
      <w:r w:rsidR="003646E4">
        <w:t xml:space="preserve">. </w:t>
      </w:r>
      <w:r w:rsidR="00103954">
        <w:t xml:space="preserve"> </w:t>
      </w:r>
      <w:r w:rsidR="003646E4">
        <w:t xml:space="preserve">The </w:t>
      </w:r>
      <w:r w:rsidR="003646E4">
        <w:lastRenderedPageBreak/>
        <w:t>s</w:t>
      </w:r>
      <w:r w:rsidR="003646E4" w:rsidRPr="003646E4">
        <w:t>ecreted IIco</w:t>
      </w:r>
      <w:r w:rsidR="003646E4">
        <w:t xml:space="preserve"> precursor is </w:t>
      </w:r>
      <w:r w:rsidR="003646E4" w:rsidRPr="003646E4">
        <w:t>enzymatic</w:t>
      </w:r>
      <w:r w:rsidR="003646E4">
        <w:t>ally</w:t>
      </w:r>
      <w:r w:rsidR="003646E4" w:rsidRPr="003646E4">
        <w:t xml:space="preserve"> cleav</w:t>
      </w:r>
      <w:r w:rsidR="003646E4">
        <w:t>ed</w:t>
      </w:r>
      <w:r w:rsidR="003646E4" w:rsidRPr="003646E4">
        <w:t xml:space="preserve"> to </w:t>
      </w:r>
      <w:r w:rsidR="003646E4">
        <w:t>structurally</w:t>
      </w:r>
      <w:r w:rsidR="003646E4" w:rsidRPr="003646E4">
        <w:t xml:space="preserve"> resembl</w:t>
      </w:r>
      <w:r w:rsidR="003646E4">
        <w:t>e</w:t>
      </w:r>
      <w:r w:rsidR="003646E4" w:rsidRPr="003646E4">
        <w:t xml:space="preserve"> native insulin</w:t>
      </w:r>
      <w:r w:rsidR="003646E4">
        <w:t xml:space="preserve">. This is followed by </w:t>
      </w:r>
      <w:r w:rsidR="003646E4" w:rsidRPr="003646E4">
        <w:t xml:space="preserve">acylation </w:t>
      </w:r>
      <w:r w:rsidR="003646E4">
        <w:t>(</w:t>
      </w:r>
      <w:r w:rsidR="003646E4" w:rsidRPr="003646E4">
        <w:t xml:space="preserve">where the C20 fatty acid is coupled to the </w:t>
      </w:r>
      <w:r w:rsidR="003646E4">
        <w:t>cleaved</w:t>
      </w:r>
      <w:r w:rsidR="003646E4" w:rsidRPr="003646E4">
        <w:t xml:space="preserve"> structure</w:t>
      </w:r>
      <w:r w:rsidR="003646E4">
        <w:t>)</w:t>
      </w:r>
      <w:r w:rsidR="003646E4" w:rsidRPr="003646E4">
        <w:t xml:space="preserve"> and then </w:t>
      </w:r>
      <w:r w:rsidR="003646E4">
        <w:t xml:space="preserve">purification (by </w:t>
      </w:r>
      <w:r w:rsidR="003646E4" w:rsidRPr="003646E4">
        <w:t xml:space="preserve">chromatography </w:t>
      </w:r>
      <w:r w:rsidR="003646E4">
        <w:t>and</w:t>
      </w:r>
      <w:r w:rsidR="003646E4" w:rsidRPr="003646E4">
        <w:t xml:space="preserve"> ultrafiltration</w:t>
      </w:r>
      <w:r w:rsidR="003646E4">
        <w:t>).</w:t>
      </w:r>
      <w:r w:rsidR="003646E4" w:rsidRPr="003646E4">
        <w:t xml:space="preserve"> The purification process has been described in sufficient detail, providing process parameters and satisfactory acceptance criteria, for each step. </w:t>
      </w:r>
      <w:r>
        <w:t>Suitable</w:t>
      </w:r>
      <w:r w:rsidR="003646E4" w:rsidRPr="003646E4">
        <w:t xml:space="preserve"> elution profiles have been provided for the chromatography steps</w:t>
      </w:r>
      <w:r>
        <w:t xml:space="preserve">. </w:t>
      </w:r>
      <w:r w:rsidR="003646E4">
        <w:t>Critical i</w:t>
      </w:r>
      <w:r w:rsidR="00103954">
        <w:t xml:space="preserve">nformation </w:t>
      </w:r>
      <w:r w:rsidR="003646E4">
        <w:t xml:space="preserve">regarding </w:t>
      </w:r>
      <w:r w:rsidR="00103954">
        <w:t>the manufactur</w:t>
      </w:r>
      <w:r w:rsidR="003646E4">
        <w:t>e</w:t>
      </w:r>
      <w:r w:rsidR="00103954">
        <w:t xml:space="preserve">, storage and control facilities for the </w:t>
      </w:r>
      <w:r w:rsidR="003646E4">
        <w:t>drug</w:t>
      </w:r>
      <w:r w:rsidR="00103954">
        <w:t xml:space="preserve"> substance </w:t>
      </w:r>
      <w:r w:rsidR="003646E4">
        <w:t>were</w:t>
      </w:r>
      <w:r w:rsidR="00103954">
        <w:t xml:space="preserve"> provided in the dossier. Good Manufacturing Practice </w:t>
      </w:r>
      <w:r w:rsidR="00D322CF">
        <w:t>(G</w:t>
      </w:r>
      <w:r w:rsidR="00103954">
        <w:t>MP</w:t>
      </w:r>
      <w:r w:rsidR="00D322CF">
        <w:t>)</w:t>
      </w:r>
      <w:r w:rsidR="00103954">
        <w:t xml:space="preserve"> compliance for the </w:t>
      </w:r>
      <w:r w:rsidR="003646E4">
        <w:t xml:space="preserve">drug substance </w:t>
      </w:r>
      <w:r w:rsidR="00103954">
        <w:t xml:space="preserve">manufacturers is </w:t>
      </w:r>
      <w:r w:rsidR="003646E4">
        <w:t>current</w:t>
      </w:r>
      <w:r w:rsidR="00103954">
        <w:t>.</w:t>
      </w:r>
    </w:p>
    <w:p w14:paraId="077C42E7" w14:textId="45FA12C6" w:rsidR="00103954" w:rsidRDefault="00103954" w:rsidP="0094266C">
      <w:r>
        <w:t xml:space="preserve">Insulin </w:t>
      </w:r>
      <w:proofErr w:type="spellStart"/>
      <w:r>
        <w:t>icodec</w:t>
      </w:r>
      <w:proofErr w:type="spellEnd"/>
      <w:r>
        <w:t xml:space="preserve"> active substance is stored in low density polyethylene bags covered by an outer aluminium laminated bag at -20°C ± 5°C and shipped to the finished product manufacturing facility at controlled conditions. Details and specifications of the bags, compatibility of the container and a summary of an extractable and leachable study </w:t>
      </w:r>
      <w:r w:rsidR="00F40516">
        <w:t xml:space="preserve">were acceptable. Substance </w:t>
      </w:r>
      <w:r>
        <w:t xml:space="preserve">leaching into </w:t>
      </w:r>
      <w:r w:rsidR="00F40516">
        <w:t xml:space="preserve">the </w:t>
      </w:r>
      <w:r w:rsidR="00D64CAE">
        <w:t>IIco</w:t>
      </w:r>
      <w:r>
        <w:t xml:space="preserve"> active substance</w:t>
      </w:r>
      <w:r w:rsidR="00F40516">
        <w:t xml:space="preserve"> was shown to be</w:t>
      </w:r>
      <w:r>
        <w:t xml:space="preserve"> negligible.</w:t>
      </w:r>
    </w:p>
    <w:p w14:paraId="31EA6714" w14:textId="451F3C42" w:rsidR="00103954" w:rsidRDefault="00103954" w:rsidP="0094266C">
      <w:r>
        <w:t>The overall quality of the active substance was demonstrated via adequate control of the starting material, control of critical steps and intermediates, process validation, extensive characterisation using orthogonal and state-of-the-art analytical methods, control of impurities and contaminants, generation of robust reference materials and batch analyses that covered multiple manufacturing campaigns.</w:t>
      </w:r>
    </w:p>
    <w:p w14:paraId="5D085E2B" w14:textId="63AD529C" w:rsidR="007B08DE" w:rsidRDefault="007B08DE" w:rsidP="0094266C">
      <w:r>
        <w:t xml:space="preserve">Insulin icodec </w:t>
      </w:r>
      <w:r w:rsidR="00F40516">
        <w:t>drug</w:t>
      </w:r>
      <w:r>
        <w:t xml:space="preserve"> product </w:t>
      </w:r>
      <w:r w:rsidR="00F40516">
        <w:t xml:space="preserve">(DP), </w:t>
      </w:r>
      <w:r w:rsidR="00DA79A2">
        <w:t>AWIQLI</w:t>
      </w:r>
      <w:r w:rsidR="00F40516">
        <w:t>,</w:t>
      </w:r>
      <w:r>
        <w:t xml:space="preserve"> is a solution for injection presented at the concentration of 700 U/mL.  The product is available in a cartridge (</w:t>
      </w:r>
      <w:r w:rsidR="00C0389B">
        <w:t>t</w:t>
      </w:r>
      <w:r>
        <w:t>ype I glass) with a chlorobutyl rubber plunger at one end and a laminated bromobutyl and isoprene rubber disc at the other with the bromobutyl rubber contacting the DP.  The disc is covered by an aluminium cap.</w:t>
      </w:r>
    </w:p>
    <w:p w14:paraId="251176C8" w14:textId="65A4E703" w:rsidR="007B08DE" w:rsidRDefault="007B08DE" w:rsidP="0094266C">
      <w:r>
        <w:t xml:space="preserve">One mL contains 26.8 mg of </w:t>
      </w:r>
      <w:r w:rsidR="00D64CAE">
        <w:t>IIco</w:t>
      </w:r>
      <w:r>
        <w:t xml:space="preserve">, 0.101 mg zinc acetate, 5.65 mg phenol, 1.08 mg metacresol, 15 mg glycerol, 1.17 mg sodium chloride at a pH 7.10-7.70. The formulation development has been adequately described and the final formulation intended for marketing was used in the phase III clinical trials. </w:t>
      </w:r>
    </w:p>
    <w:p w14:paraId="2A06A45C" w14:textId="5CBAE77D" w:rsidR="007B08DE" w:rsidRDefault="007B08DE" w:rsidP="0094266C">
      <w:r>
        <w:t xml:space="preserve">All excipients are </w:t>
      </w:r>
      <w:r w:rsidR="00F40516">
        <w:t>common</w:t>
      </w:r>
      <w:r>
        <w:t xml:space="preserve"> pharmaceutical </w:t>
      </w:r>
      <w:proofErr w:type="gramStart"/>
      <w:r>
        <w:t>ingredients</w:t>
      </w:r>
      <w:proofErr w:type="gramEnd"/>
      <w:r>
        <w:t xml:space="preserve"> and their quality is compliant with</w:t>
      </w:r>
      <w:r w:rsidR="00F40516">
        <w:t xml:space="preserve"> international pharmacopeial standards</w:t>
      </w:r>
      <w:r>
        <w:t xml:space="preserve">. There are no novel excipients used in the </w:t>
      </w:r>
      <w:r w:rsidR="00F40516">
        <w:t>DP</w:t>
      </w:r>
      <w:r>
        <w:t xml:space="preserve">. The container closure </w:t>
      </w:r>
      <w:r w:rsidR="00F40516">
        <w:t xml:space="preserve">system </w:t>
      </w:r>
      <w:r>
        <w:t>is suitable for its intended use as demonstrated by compatibility and stability studies.</w:t>
      </w:r>
    </w:p>
    <w:p w14:paraId="5BDC1EC2" w14:textId="6645A722" w:rsidR="007B08DE" w:rsidRDefault="007B08DE" w:rsidP="0094266C">
      <w:r>
        <w:t xml:space="preserve">The </w:t>
      </w:r>
      <w:r w:rsidR="00D64CAE">
        <w:t>IIco</w:t>
      </w:r>
      <w:r>
        <w:t xml:space="preserve"> </w:t>
      </w:r>
      <w:r w:rsidR="00F40516">
        <w:t>DP</w:t>
      </w:r>
      <w:r>
        <w:t xml:space="preserve"> manufacturing process consists of active substance dissolution, filtration</w:t>
      </w:r>
      <w:r w:rsidR="00F40516">
        <w:t xml:space="preserve"> and</w:t>
      </w:r>
      <w:r>
        <w:t xml:space="preserve"> aseptic filling of the pre</w:t>
      </w:r>
      <w:r w:rsidR="00F40516">
        <w:t>-</w:t>
      </w:r>
      <w:r>
        <w:t xml:space="preserve">formulated active substance. All filled containers, i.e. filled cartridges, are </w:t>
      </w:r>
      <w:r w:rsidR="00F40516">
        <w:t xml:space="preserve">subject to </w:t>
      </w:r>
      <w:r>
        <w:t>visual</w:t>
      </w:r>
      <w:r w:rsidR="00F40516">
        <w:t xml:space="preserve"> inspection.</w:t>
      </w:r>
      <w:r>
        <w:t xml:space="preserve"> </w:t>
      </w:r>
      <w:r w:rsidR="00F40516">
        <w:t>T</w:t>
      </w:r>
      <w:r>
        <w:t xml:space="preserve">he vials are stored at 5° ± 3°C pending labelling and packaging. The description of the </w:t>
      </w:r>
      <w:r w:rsidR="00F40516">
        <w:t xml:space="preserve">DP </w:t>
      </w:r>
      <w:r>
        <w:t xml:space="preserve">manufacturing process has been provided in sufficient detail. </w:t>
      </w:r>
    </w:p>
    <w:p w14:paraId="2694E14E" w14:textId="4720F42E" w:rsidR="007B08DE" w:rsidRDefault="007B08DE" w:rsidP="0094266C">
      <w:r>
        <w:t xml:space="preserve">To ensure that the finished </w:t>
      </w:r>
      <w:r w:rsidR="00F40516">
        <w:t xml:space="preserve">DP </w:t>
      </w:r>
      <w:r>
        <w:t xml:space="preserve">meets </w:t>
      </w:r>
      <w:r w:rsidR="00F40516">
        <w:t>required</w:t>
      </w:r>
      <w:r>
        <w:t xml:space="preserve"> quality standards, </w:t>
      </w:r>
      <w:r w:rsidR="00F40516">
        <w:t>the DP</w:t>
      </w:r>
      <w:r>
        <w:t xml:space="preserve"> manufacturing process was developed with </w:t>
      </w:r>
      <w:r w:rsidR="00F40516">
        <w:t>well-</w:t>
      </w:r>
      <w:r>
        <w:t>defined manufacturing procedures, process validations, critical process parameters</w:t>
      </w:r>
      <w:r w:rsidR="00F40516">
        <w:t xml:space="preserve"> and</w:t>
      </w:r>
      <w:r>
        <w:t xml:space="preserve"> in-process parameters</w:t>
      </w:r>
      <w:r w:rsidR="00F40516">
        <w:t xml:space="preserve">. </w:t>
      </w:r>
      <w:r w:rsidR="0014491B">
        <w:t xml:space="preserve">Batch analyses confirmed the similarity of DP across </w:t>
      </w:r>
      <w:r>
        <w:t xml:space="preserve">multiple manufacturing campaigns. </w:t>
      </w:r>
    </w:p>
    <w:p w14:paraId="3894253C" w14:textId="62CC8715" w:rsidR="007B08DE" w:rsidRDefault="007B08DE" w:rsidP="0094266C">
      <w:r>
        <w:t xml:space="preserve">All analytical methods used for testing of the </w:t>
      </w:r>
      <w:r w:rsidR="0014491B">
        <w:t>DP</w:t>
      </w:r>
      <w:r>
        <w:t xml:space="preserve"> </w:t>
      </w:r>
      <w:r w:rsidR="0014491B">
        <w:t>were</w:t>
      </w:r>
      <w:r>
        <w:t xml:space="preserve"> satisfactorily described in the dossier and non-compendial methods </w:t>
      </w:r>
      <w:r w:rsidR="0014491B">
        <w:t>were</w:t>
      </w:r>
      <w:r>
        <w:t xml:space="preserve"> validated. Many test methods used for release testing and stability testing of the finished product are the same as those used for release testing and stability testing of the active substance.</w:t>
      </w:r>
    </w:p>
    <w:p w14:paraId="0B57BE27" w14:textId="61162D45" w:rsidR="007B08DE" w:rsidRDefault="007B08DE" w:rsidP="0094266C">
      <w:r>
        <w:t xml:space="preserve">The reference standard used in the testing and release of </w:t>
      </w:r>
      <w:r w:rsidR="00D64CAE">
        <w:t>IIco</w:t>
      </w:r>
      <w:r>
        <w:t xml:space="preserve"> finished product is the same as the one used for the testing and release of </w:t>
      </w:r>
      <w:r w:rsidR="00B10F45">
        <w:t xml:space="preserve">insulin icodec </w:t>
      </w:r>
      <w:r>
        <w:t>active substance.</w:t>
      </w:r>
    </w:p>
    <w:p w14:paraId="1DDDCEAE" w14:textId="0C5331EF" w:rsidR="0014491B" w:rsidRPr="00103954" w:rsidRDefault="0014491B" w:rsidP="0094266C">
      <w:r>
        <w:t xml:space="preserve">There are no objections to the registration of </w:t>
      </w:r>
      <w:r w:rsidR="00DA79A2">
        <w:t>AWIQLI</w:t>
      </w:r>
      <w:r>
        <w:t xml:space="preserve"> from a manufacturing and quality perspective. </w:t>
      </w:r>
    </w:p>
    <w:p w14:paraId="2BE90AAE" w14:textId="16E68943" w:rsidR="00C22214" w:rsidRDefault="00C22214" w:rsidP="001559EF">
      <w:pPr>
        <w:pStyle w:val="Heading3"/>
      </w:pPr>
      <w:bookmarkStart w:id="35" w:name="_Toc202172226"/>
      <w:r>
        <w:lastRenderedPageBreak/>
        <w:t>Nonclinical</w:t>
      </w:r>
      <w:bookmarkEnd w:id="33"/>
      <w:bookmarkEnd w:id="34"/>
      <w:r w:rsidR="007E6443">
        <w:t xml:space="preserve"> evaluation</w:t>
      </w:r>
      <w:r w:rsidR="00095C6A">
        <w:t xml:space="preserve"> summary</w:t>
      </w:r>
      <w:bookmarkEnd w:id="35"/>
    </w:p>
    <w:p w14:paraId="2A1B4E98" w14:textId="1E55F9EA" w:rsidR="00097CB3" w:rsidRDefault="00874B6E" w:rsidP="0094266C">
      <w:r w:rsidRPr="00874B6E">
        <w:t xml:space="preserve">The </w:t>
      </w:r>
      <w:r>
        <w:t xml:space="preserve">submitted </w:t>
      </w:r>
      <w:r w:rsidRPr="00874B6E">
        <w:t>nonclinical</w:t>
      </w:r>
      <w:r>
        <w:t xml:space="preserve"> data</w:t>
      </w:r>
      <w:r w:rsidR="00097CB3">
        <w:t xml:space="preserve"> was of high quality and suitably comprehensive. All pivotal safety-related studies were GLP-compliant.</w:t>
      </w:r>
    </w:p>
    <w:p w14:paraId="73FDDD0E" w14:textId="319B70C8" w:rsidR="0048381E" w:rsidRDefault="0048381E" w:rsidP="0094266C">
      <w:r>
        <w:t xml:space="preserve">In vitro studies showed that </w:t>
      </w:r>
      <w:r w:rsidR="00D64CAE">
        <w:t>IIco</w:t>
      </w:r>
      <w:r>
        <w:t xml:space="preserve"> binds to the human insulin receptor (IR-A and IR-B isoforms) with low affinity (&lt;1% relative to native human insulin) [which is intentional, being part of the mechanism for protracted action]. The drug’s affinity for rat, dog and pig insulin receptor forms was </w:t>
      </w:r>
      <w:proofErr w:type="gramStart"/>
      <w:r>
        <w:t>similar to</w:t>
      </w:r>
      <w:proofErr w:type="gramEnd"/>
      <w:r>
        <w:t xml:space="preserve"> that of human. Low affinity for the insulin-like growth factor 1 (IGF-1) receptor (human, rat and dog) was also demonstrated. Insulin icodec dissociated from human IR-A faster than native human insulin. In in vitro functional studies, </w:t>
      </w:r>
      <w:r w:rsidR="00D64CAE">
        <w:t>IIco</w:t>
      </w:r>
      <w:r>
        <w:t xml:space="preserve"> elicited similar IR activation, metabolic and mitogenic responses as native human insulin, but with lower potency (consistent with lower binding affinity). The balance of </w:t>
      </w:r>
      <w:proofErr w:type="gramStart"/>
      <w:r>
        <w:t>metabolic</w:t>
      </w:r>
      <w:r w:rsidR="00734556">
        <w:t xml:space="preserve"> </w:t>
      </w:r>
      <w:r>
        <w:t>:</w:t>
      </w:r>
      <w:proofErr w:type="gramEnd"/>
      <w:r w:rsidR="00734556">
        <w:t xml:space="preserve"> </w:t>
      </w:r>
      <w:r>
        <w:t xml:space="preserve">mitogenic potency of </w:t>
      </w:r>
      <w:r w:rsidR="00D64CAE">
        <w:t>IIco</w:t>
      </w:r>
      <w:r>
        <w:t xml:space="preserve"> was comparable with native human insulin.</w:t>
      </w:r>
    </w:p>
    <w:p w14:paraId="6D165D1E" w14:textId="1A024EE6" w:rsidR="0048381E" w:rsidRDefault="0048381E" w:rsidP="0094266C">
      <w:r>
        <w:t xml:space="preserve">The apparent binding affinity and functional potency of </w:t>
      </w:r>
      <w:r w:rsidR="00D64CAE">
        <w:t>IIco</w:t>
      </w:r>
      <w:r>
        <w:t xml:space="preserve"> was reduced in the presence of human serum albumin, reflecting binding of the drug to albumin. Such binding gives rise to a circulating albumin-bound depot in vivo (and represents the primary mechanism for protraction of action).</w:t>
      </w:r>
    </w:p>
    <w:p w14:paraId="0DFF2BA2" w14:textId="77777777" w:rsidR="0048381E" w:rsidRDefault="0048381E" w:rsidP="0094266C">
      <w:r>
        <w:t>In vivo studies performed in diabetic rats and normoglycaemic dogs and pigs showed long-lasting dose-dependent reductions in HbA1c and/or blood glucose.</w:t>
      </w:r>
    </w:p>
    <w:p w14:paraId="68258E3A" w14:textId="4C6DE7C9" w:rsidR="0048381E" w:rsidRDefault="0048381E" w:rsidP="0094266C">
      <w:r>
        <w:t xml:space="preserve">The submitted pharmacology studies offer support for the utility of </w:t>
      </w:r>
      <w:r w:rsidR="00D64CAE">
        <w:t>IIco</w:t>
      </w:r>
      <w:r>
        <w:t xml:space="preserve"> for the proposed indication.</w:t>
      </w:r>
    </w:p>
    <w:p w14:paraId="27CD0301" w14:textId="5A43F706" w:rsidR="00836B21" w:rsidRDefault="00836B21" w:rsidP="0094266C">
      <w:r w:rsidRPr="00836B21">
        <w:t xml:space="preserve">Results of screening assays, coupled with follow-up functional studies and findings in the repeat-dose toxicity program, indicate no relevant off-target pharmacological activity for </w:t>
      </w:r>
      <w:r w:rsidR="00D64CAE">
        <w:t>IIco</w:t>
      </w:r>
      <w:r w:rsidRPr="00836B21">
        <w:t>.</w:t>
      </w:r>
    </w:p>
    <w:p w14:paraId="7920131D" w14:textId="4F7DBDE7" w:rsidR="00836B21" w:rsidRDefault="00836B21" w:rsidP="0094266C">
      <w:r w:rsidRPr="00836B21">
        <w:t>Safety pharmacology studies did not indicate clinically relevant effects on CNS, cardiovascular or respiratory function. A modest multiple of the average clinical Cmax was obtained in the CNS and respiratory function studies in rats (2.5-fold). Exposure in dogs, though, to examine effects on cardiovascular function was subclinical. High margins of the clinical C</w:t>
      </w:r>
      <w:r w:rsidRPr="00BD5813">
        <w:rPr>
          <w:vertAlign w:val="subscript"/>
        </w:rPr>
        <w:t>max</w:t>
      </w:r>
      <w:r w:rsidRPr="00836B21">
        <w:t xml:space="preserve"> are not achievable in vivo due to hypoglycaemia. Allaying concern for potential effects on ECG, in vitro assays showed only very weak inhibition of the hERG K+ channel and no significant effects on action potential parameters in rabbit Purkinje fibres with </w:t>
      </w:r>
      <w:r w:rsidR="00D64CAE">
        <w:t>IIco</w:t>
      </w:r>
      <w:r w:rsidRPr="00836B21">
        <w:t xml:space="preserve"> up to 10 μM, a concentration ~38-times higher than the average clinical C</w:t>
      </w:r>
      <w:r w:rsidRPr="003853A5">
        <w:rPr>
          <w:vertAlign w:val="subscript"/>
        </w:rPr>
        <w:t>max</w:t>
      </w:r>
      <w:r w:rsidRPr="00836B21">
        <w:t>. CNS-related clinical signs observed in animals are seen to be related to hypoglycaemia rather than to reflect a direct neurological effect.</w:t>
      </w:r>
    </w:p>
    <w:p w14:paraId="7CAACDBD" w14:textId="476E8E7F" w:rsidR="00836B21" w:rsidRDefault="00836B21" w:rsidP="0094266C">
      <w:r>
        <w:t xml:space="preserve">animal species was via both urine and faeces, and mostly as metabolites. Biliary excretion was demonstrated in the rat. In humans, only a small proportion of subjects were found to have detectable intact </w:t>
      </w:r>
      <w:r w:rsidR="00D64CAE">
        <w:t>IIco</w:t>
      </w:r>
      <w:r>
        <w:t xml:space="preserve"> in urine.</w:t>
      </w:r>
    </w:p>
    <w:p w14:paraId="3FA3CAAA" w14:textId="55695F2B" w:rsidR="00836B21" w:rsidRDefault="00836B21" w:rsidP="0094266C">
      <w:r>
        <w:t xml:space="preserve">The pharmacokinetic profiles in the key laboratory animal species — rats and dogs — are seen to be sufficiently </w:t>
      </w:r>
      <w:proofErr w:type="gramStart"/>
      <w:r>
        <w:t>similar to</w:t>
      </w:r>
      <w:proofErr w:type="gramEnd"/>
      <w:r>
        <w:t xml:space="preserve"> that of humans to allow them to serve as appropriate models for the assessment of </w:t>
      </w:r>
      <w:r w:rsidR="00D64CAE">
        <w:t>IIco</w:t>
      </w:r>
      <w:r>
        <w:t xml:space="preserve"> toxicity in humans. The shorter plasma half-life in animals cf. humans is compensated for in the toxicity studies </w:t>
      </w:r>
      <w:proofErr w:type="gramStart"/>
      <w:r>
        <w:t>by the use of</w:t>
      </w:r>
      <w:proofErr w:type="gramEnd"/>
      <w:r>
        <w:t xml:space="preserve"> more frequent dose administration cf. that proposed clinically.</w:t>
      </w:r>
    </w:p>
    <w:p w14:paraId="6FAED71A" w14:textId="036FB17A" w:rsidR="00836B21" w:rsidRDefault="00836B21" w:rsidP="0094266C">
      <w:r>
        <w:t xml:space="preserve">In vitro experiments indicated no clinically relevant effect of palmitate (the most abundant fatty acid in human blood) on the binding of </w:t>
      </w:r>
      <w:r w:rsidR="00D64CAE">
        <w:t>IIco</w:t>
      </w:r>
      <w:r>
        <w:t xml:space="preserve"> to serum albumin. Some CYP induction was evident with </w:t>
      </w:r>
      <w:r w:rsidR="00D64CAE">
        <w:t>IIco</w:t>
      </w:r>
      <w:r>
        <w:t xml:space="preserve"> in rats, with liver samples from male animals treated in the 26-week repeat-dose toxicity study showing increases in the activity of CYP1A, CYP2C, CYP3A and CYP2E subfamily enzymes and increased CYP2B subfamily activity in females. This was minor (≤2.2-fold increase in males and &lt;2-fold in females) and without clear dose-dependence; no clinically relevant effect is expected in patients.</w:t>
      </w:r>
    </w:p>
    <w:p w14:paraId="12800B5D" w14:textId="7111ADA1" w:rsidR="00047AA3" w:rsidRDefault="00047AA3" w:rsidP="0094266C">
      <w:r w:rsidRPr="00047AA3">
        <w:lastRenderedPageBreak/>
        <w:t>No dedicated single-dose toxicity studies were performed, with acute toxicity assessable from the repeat-dose toxicity program instead.</w:t>
      </w:r>
    </w:p>
    <w:p w14:paraId="68FDCD57" w14:textId="77777777" w:rsidR="00047AA3" w:rsidRDefault="00047AA3" w:rsidP="0094266C">
      <w:r>
        <w:t>Repeat-dose toxicity studies were conducted in rats (up to 52 weeks) and dogs (up to 26 weeks). Administration was by the SC route (as in patients). Dosing was once daily in rats and twice weekly in the dog studies; daily dosing was additionally employed in a pilot dog study. The pivotal studies were appropriately designed and conducted in terms of the species used, dose selection, duration, group size and range of endpoints examined.</w:t>
      </w:r>
    </w:p>
    <w:p w14:paraId="6BBB6B34" w14:textId="7F82D0B2" w:rsidR="00047AA3" w:rsidRDefault="00047AA3" w:rsidP="0094266C">
      <w:r>
        <w:t>The highest doses tested in the pivotal studies yield average steady-state plasma levels 3.8-times higher (male rats), 2.5-times higher (female rats) and 0.6-times (dogs) that of patients at the median clinical dose of 230 U/week.</w:t>
      </w:r>
    </w:p>
    <w:p w14:paraId="4E6DC8EB" w14:textId="60F1ED8A" w:rsidR="00047AA3" w:rsidRDefault="00047AA3" w:rsidP="0094266C">
      <w:r>
        <w:t xml:space="preserve">All </w:t>
      </w:r>
      <w:r w:rsidR="00D64CAE">
        <w:t>IIco</w:t>
      </w:r>
      <w:r w:rsidR="00964DEA" w:rsidRPr="00964DEA">
        <w:t xml:space="preserve"> </w:t>
      </w:r>
      <w:r>
        <w:t xml:space="preserve">-related changes </w:t>
      </w:r>
      <w:proofErr w:type="gramStart"/>
      <w:r>
        <w:t>were considered to be</w:t>
      </w:r>
      <w:proofErr w:type="gramEnd"/>
      <w:r>
        <w:t xml:space="preserve"> related to primary pharmacology. Hypoglycaemia was dose-limiting in rats and dogs, and associated with clinical signs (e.g., decreased activity, staggering gait, trembling, convulsions; in both species) and mortality (in rats).</w:t>
      </w:r>
      <w:r w:rsidR="0014491B">
        <w:t xml:space="preserve"> </w:t>
      </w:r>
      <w:r>
        <w:t>Key treatment-related histopathological changes in rats involved:</w:t>
      </w:r>
    </w:p>
    <w:p w14:paraId="64C1B1A4" w14:textId="47BD68E1" w:rsidR="00047AA3" w:rsidRDefault="00047AA3" w:rsidP="00047AA3">
      <w:pPr>
        <w:pStyle w:val="ListBullet"/>
      </w:pPr>
      <w:r>
        <w:t xml:space="preserve">pancreas </w:t>
      </w:r>
      <w:r w:rsidR="0094266C">
        <w:t>-</w:t>
      </w:r>
      <w:r>
        <w:t xml:space="preserve"> atrophy of the islets of Langerhans</w:t>
      </w:r>
    </w:p>
    <w:p w14:paraId="75C8CB59" w14:textId="27C74EA5" w:rsidR="00047AA3" w:rsidRDefault="00047AA3" w:rsidP="00047AA3">
      <w:pPr>
        <w:pStyle w:val="ListBullet"/>
      </w:pPr>
      <w:r>
        <w:t xml:space="preserve">liver </w:t>
      </w:r>
      <w:r w:rsidR="0094266C">
        <w:t>-</w:t>
      </w:r>
      <w:r>
        <w:t xml:space="preserve"> decreased rarefaction</w:t>
      </w:r>
    </w:p>
    <w:p w14:paraId="332E0F51" w14:textId="1979C016" w:rsidR="00047AA3" w:rsidRDefault="00047AA3" w:rsidP="00047AA3">
      <w:pPr>
        <w:pStyle w:val="ListBullet"/>
      </w:pPr>
      <w:r>
        <w:t xml:space="preserve">sciatic or tibial nerve </w:t>
      </w:r>
      <w:r w:rsidR="0094266C">
        <w:t>-</w:t>
      </w:r>
      <w:r>
        <w:t xml:space="preserve"> axonal degeneration</w:t>
      </w:r>
    </w:p>
    <w:p w14:paraId="090E652E" w14:textId="75EBF00F" w:rsidR="00047AA3" w:rsidRDefault="00047AA3" w:rsidP="00047AA3">
      <w:pPr>
        <w:pStyle w:val="ListBullet"/>
      </w:pPr>
      <w:r>
        <w:t xml:space="preserve">skeletal muscle </w:t>
      </w:r>
      <w:r w:rsidR="0094266C">
        <w:t>-</w:t>
      </w:r>
      <w:r>
        <w:t xml:space="preserve"> </w:t>
      </w:r>
      <w:r w:rsidR="004112C7">
        <w:t>myofiber</w:t>
      </w:r>
      <w:r>
        <w:t xml:space="preserve"> degeneration/necrosis</w:t>
      </w:r>
    </w:p>
    <w:p w14:paraId="084C4585" w14:textId="0ADD9B62" w:rsidR="00047AA3" w:rsidRDefault="00047AA3" w:rsidP="00047AA3">
      <w:pPr>
        <w:pStyle w:val="ListBullet"/>
      </w:pPr>
      <w:r>
        <w:t xml:space="preserve">brown fat </w:t>
      </w:r>
      <w:r w:rsidR="0094266C">
        <w:t>-</w:t>
      </w:r>
      <w:r>
        <w:t xml:space="preserve"> increase in fat vacuoles / cellular size</w:t>
      </w:r>
    </w:p>
    <w:p w14:paraId="7113AE72" w14:textId="4C4804C4" w:rsidR="00047AA3" w:rsidRDefault="00047AA3" w:rsidP="00047AA3">
      <w:pPr>
        <w:pStyle w:val="ListBullet"/>
      </w:pPr>
      <w:r>
        <w:t xml:space="preserve">bone marrow (femur, sternum) </w:t>
      </w:r>
      <w:r w:rsidR="0094266C">
        <w:t>-</w:t>
      </w:r>
      <w:r>
        <w:t xml:space="preserve"> increased amount of fat</w:t>
      </w:r>
    </w:p>
    <w:p w14:paraId="1B182EEC" w14:textId="4A404652" w:rsidR="00047AA3" w:rsidRDefault="00047AA3" w:rsidP="00047AA3">
      <w:pPr>
        <w:pStyle w:val="ListBullet"/>
      </w:pPr>
      <w:r>
        <w:t xml:space="preserve">adrenal gland </w:t>
      </w:r>
      <w:r w:rsidR="0094266C">
        <w:t>-</w:t>
      </w:r>
      <w:r>
        <w:t xml:space="preserve"> increased vacuolation in zona fasciculata</w:t>
      </w:r>
    </w:p>
    <w:p w14:paraId="09CCCF9B" w14:textId="2AE25C0A" w:rsidR="00047AA3" w:rsidRDefault="00047AA3" w:rsidP="00047AA3">
      <w:pPr>
        <w:pStyle w:val="ListBullet"/>
      </w:pPr>
      <w:r>
        <w:t xml:space="preserve">Testes </w:t>
      </w:r>
      <w:r w:rsidR="0094266C">
        <w:t>-</w:t>
      </w:r>
      <w:r>
        <w:t xml:space="preserve"> tubular degeneration/atrophy; and</w:t>
      </w:r>
    </w:p>
    <w:p w14:paraId="114525CF" w14:textId="7E7F2122" w:rsidR="00047AA3" w:rsidRDefault="00047AA3" w:rsidP="00047AA3">
      <w:pPr>
        <w:pStyle w:val="ListBullet"/>
      </w:pPr>
      <w:r>
        <w:t xml:space="preserve">heart </w:t>
      </w:r>
      <w:r w:rsidR="0094266C">
        <w:t>-</w:t>
      </w:r>
      <w:r>
        <w:t xml:space="preserve"> myocardial fibrosis.</w:t>
      </w:r>
    </w:p>
    <w:p w14:paraId="24C82807" w14:textId="77777777" w:rsidR="00047AA3" w:rsidRDefault="00047AA3" w:rsidP="00047AA3">
      <w:r>
        <w:t xml:space="preserve">These have been observed with other insulins previously. Of </w:t>
      </w:r>
      <w:proofErr w:type="gramStart"/>
      <w:r>
        <w:t>particular note</w:t>
      </w:r>
      <w:proofErr w:type="gramEnd"/>
      <w:r>
        <w:t>, the axonal degeneration was more prominent here, but this is explained by pharmacokinetics, with axonal degeneration a consequence of persistent (cf. short term) hypoglycaemia. There were no treatment-related microscopic changes in dogs.</w:t>
      </w:r>
    </w:p>
    <w:p w14:paraId="2DB4665E" w14:textId="77777777" w:rsidR="00047AA3" w:rsidRDefault="00047AA3" w:rsidP="00047AA3">
      <w:r>
        <w:t xml:space="preserve">Reflecting exaggerated pharmacology in normoglycaemic animals, the findings observed in the repeat-dose toxicity studies </w:t>
      </w:r>
      <w:proofErr w:type="gramStart"/>
      <w:r>
        <w:t>are considered to be</w:t>
      </w:r>
      <w:proofErr w:type="gramEnd"/>
      <w:r>
        <w:t xml:space="preserve"> of limited clinical relevance.</w:t>
      </w:r>
    </w:p>
    <w:p w14:paraId="1BAD4F85" w14:textId="459FFEBC" w:rsidR="00047AA3" w:rsidRDefault="00047AA3" w:rsidP="00047AA3">
      <w:r>
        <w:t xml:space="preserve">Negative results were returned for </w:t>
      </w:r>
      <w:r w:rsidR="00D64CAE">
        <w:t>IIco</w:t>
      </w:r>
      <w:r>
        <w:t xml:space="preserve"> in a bacterial reverse mutation assay (non-GLP). The absence of a GLP-compliant standard battery of genotoxicity studies is acceptable given the nature of the drug (in accordance with ICH S6 [R1]</w:t>
      </w:r>
      <w:r w:rsidR="00E61E69">
        <w:rPr>
          <w:rStyle w:val="FootnoteReference"/>
        </w:rPr>
        <w:footnoteReference w:id="2"/>
      </w:r>
      <w:r>
        <w:t xml:space="preserve">). </w:t>
      </w:r>
      <w:r w:rsidR="00E7459D" w:rsidRPr="00E7459D">
        <w:t>Quantitative Structure-Activity Relationship</w:t>
      </w:r>
      <w:r>
        <w:t xml:space="preserve"> analysis indicated no genotoxic potential for the linker + fatty acid moiety of </w:t>
      </w:r>
      <w:r w:rsidR="00D64CAE">
        <w:t>IIco</w:t>
      </w:r>
      <w:r>
        <w:t>.</w:t>
      </w:r>
    </w:p>
    <w:p w14:paraId="5D911491" w14:textId="58CB704F" w:rsidR="00047AA3" w:rsidRDefault="00047AA3" w:rsidP="00047AA3">
      <w:r>
        <w:t>Standard (2-year) rodent carcinogenicity studies were not conducted, in line with ICH S6 (R1). Instead, carcinogenic potential was assessed through consideration of in vitro and other in vivo data — a strategy consistent with TGA-adopted EMA guidance</w:t>
      </w:r>
      <w:r w:rsidR="00022D15">
        <w:rPr>
          <w:rStyle w:val="FootnoteReference"/>
        </w:rPr>
        <w:footnoteReference w:id="3"/>
      </w:r>
      <w:r>
        <w:t>.</w:t>
      </w:r>
    </w:p>
    <w:p w14:paraId="7FC3B5B9" w14:textId="5BD662D1" w:rsidR="009759D7" w:rsidRDefault="009759D7" w:rsidP="009759D7">
      <w:r>
        <w:lastRenderedPageBreak/>
        <w:t xml:space="preserve">In vitro studies showed that </w:t>
      </w:r>
      <w:r w:rsidR="00D64CAE">
        <w:t>IIco</w:t>
      </w:r>
      <w:r>
        <w:t xml:space="preserve"> maintains the balance of </w:t>
      </w:r>
      <w:proofErr w:type="gramStart"/>
      <w:r>
        <w:t>metabolic</w:t>
      </w:r>
      <w:r w:rsidR="003D39FB">
        <w:t xml:space="preserve"> </w:t>
      </w:r>
      <w:r>
        <w:t>:</w:t>
      </w:r>
      <w:proofErr w:type="gramEnd"/>
      <w:r w:rsidR="003D39FB">
        <w:t xml:space="preserve"> </w:t>
      </w:r>
      <w:r>
        <w:t xml:space="preserve">mitogenic potency as native human </w:t>
      </w:r>
      <w:proofErr w:type="gramStart"/>
      <w:r>
        <w:t>insulin, and</w:t>
      </w:r>
      <w:proofErr w:type="gramEnd"/>
      <w:r>
        <w:t xml:space="preserve"> does not dissociate from the IR more slowly cf. insulin (to cause sustained receptor activation, associated with increased mitogenic potential).</w:t>
      </w:r>
    </w:p>
    <w:p w14:paraId="121F880D" w14:textId="087E3F4B" w:rsidR="009759D7" w:rsidRDefault="009759D7" w:rsidP="009759D7">
      <w:r>
        <w:t xml:space="preserve">The 52-week repeat-dose toxicity study in rats included palpation for tissue masses and evaluation of (pre-)neoplastic lesions, with particular focus on the mammary gland. No carcinogenic effect and no increase in the incidence/severity of mammary gland hyperplasia cf. vehicle or native human insulin were seen in </w:t>
      </w:r>
      <w:r w:rsidR="00D64CAE">
        <w:t>IIco</w:t>
      </w:r>
      <w:r w:rsidR="00964DEA" w:rsidRPr="00964DEA">
        <w:t xml:space="preserve"> </w:t>
      </w:r>
      <w:r>
        <w:t>-treated animals up to the highest dose tested (60 nmol/kg/day for males and 40 nmol/kg/day for females; associated with exposure margins of 3.7 and 2.0 based on C</w:t>
      </w:r>
      <w:r w:rsidRPr="003D39FB">
        <w:rPr>
          <w:vertAlign w:val="subscript"/>
        </w:rPr>
        <w:t>avg</w:t>
      </w:r>
      <w:r>
        <w:t>).</w:t>
      </w:r>
    </w:p>
    <w:p w14:paraId="5EB3085A" w14:textId="60317C7B" w:rsidR="009759D7" w:rsidRDefault="009759D7" w:rsidP="009759D7">
      <w:r>
        <w:t xml:space="preserve">The data are sufficient to conclude that the mitogenic potential of </w:t>
      </w:r>
      <w:r w:rsidR="00D64CAE">
        <w:t>IIco</w:t>
      </w:r>
      <w:r>
        <w:t xml:space="preserve"> does not exceed that of native human insulin.</w:t>
      </w:r>
    </w:p>
    <w:p w14:paraId="5F7F1672" w14:textId="32293596" w:rsidR="009759D7" w:rsidRDefault="009759D7" w:rsidP="009759D7">
      <w:r>
        <w:t xml:space="preserve">Reproductive and developmental toxicity studies with </w:t>
      </w:r>
      <w:r w:rsidR="00D64CAE">
        <w:t>IIco</w:t>
      </w:r>
      <w:r>
        <w:t xml:space="preserve"> submitted by the </w:t>
      </w:r>
      <w:r w:rsidR="00C0389B">
        <w:t>s</w:t>
      </w:r>
      <w:r>
        <w:t>ponsor covered all stages (fertility, early embryonic development, embryofetal development, and pre- and postnatal development). The studies were appropriately designed and conducted. All involved SC administration. High-dose levels were limited by hypoglycaemia.</w:t>
      </w:r>
    </w:p>
    <w:p w14:paraId="298CEAC8" w14:textId="0FCE64F3" w:rsidR="009759D7" w:rsidRDefault="009759D7" w:rsidP="009759D7">
      <w:r>
        <w:t xml:space="preserve">Limited placental transfer of </w:t>
      </w:r>
      <w:r w:rsidR="00D64CAE">
        <w:t>IIco</w:t>
      </w:r>
      <w:r>
        <w:t xml:space="preserve"> was seen in the rat (fetal plasma concentrations were 3–6% of the maternal plasma concentration). Excretion in milk was not </w:t>
      </w:r>
      <w:proofErr w:type="gramStart"/>
      <w:r>
        <w:t>studied, but</w:t>
      </w:r>
      <w:proofErr w:type="gramEnd"/>
      <w:r>
        <w:t xml:space="preserve"> is expected from data for other insulins.</w:t>
      </w:r>
    </w:p>
    <w:p w14:paraId="1E17CC8E" w14:textId="72F39019" w:rsidR="009759D7" w:rsidRDefault="009759D7" w:rsidP="009759D7">
      <w:r>
        <w:t>Fertility was unaffected in male and female rats up to the highest doses tested (100 and 60 nmol/kg/day in the respective sexes; relative exposure based on C</w:t>
      </w:r>
      <w:r w:rsidRPr="00F627B1">
        <w:rPr>
          <w:vertAlign w:val="subscript"/>
        </w:rPr>
        <w:t>av</w:t>
      </w:r>
      <w:r w:rsidR="003A5D61">
        <w:rPr>
          <w:vertAlign w:val="subscript"/>
        </w:rPr>
        <w:t>g</w:t>
      </w:r>
      <w:r>
        <w:t>, 4.3 and 2.6).</w:t>
      </w:r>
    </w:p>
    <w:p w14:paraId="120F2B85" w14:textId="2C383EE4" w:rsidR="009759D7" w:rsidRDefault="009759D7" w:rsidP="009759D7">
      <w:r>
        <w:t xml:space="preserve">No adverse effects on embryofetal development were observed with </w:t>
      </w:r>
      <w:r w:rsidR="00D64CAE">
        <w:t>IIco</w:t>
      </w:r>
      <w:r>
        <w:t xml:space="preserve"> in rats (≤60 nmol/kg/day; relative exposure, 1.5). In rabbits, abortion occurred at ≥18 nmol/kg/day (relative exposure, 1.7), with this seen to be related to hypoglycaemia; there were no treatment-related malformations. Post-implantation loss was increased at 24 nmol/kg/day in a pilot study in rabbits (relative exposure, 1.9).</w:t>
      </w:r>
    </w:p>
    <w:p w14:paraId="6B054F2D" w14:textId="6CF41470" w:rsidR="009759D7" w:rsidRDefault="009759D7" w:rsidP="009759D7">
      <w:r>
        <w:t xml:space="preserve">Adverse effects were observed in the offspring of rats treated at 50 nmol/kg/day during gestation and lactation, comprising decreased body weight gain (in the pre-weaning period), clinical signs (decreased activity, abnormal gait, uncoordinated, partially closed eyelids, tremors, reduced body tone; consistent with hypoglycaemia) and reduced survival. This dose was </w:t>
      </w:r>
      <w:proofErr w:type="spellStart"/>
      <w:r w:rsidR="0094266C">
        <w:t>maternotoxic</w:t>
      </w:r>
      <w:proofErr w:type="spellEnd"/>
      <w:r w:rsidR="0094266C">
        <w:t xml:space="preserve"> and</w:t>
      </w:r>
      <w:r>
        <w:t xml:space="preserve"> associated with an exposure multiple of 1.5. Insulin icodec was only rarely detectable in pup plasma, and then only at very low levels. Reduced maternal support due to hypoglycaemia (cf. a direct effect of </w:t>
      </w:r>
      <w:r w:rsidR="00D64CAE">
        <w:t>IIco</w:t>
      </w:r>
      <w:r>
        <w:t xml:space="preserve">) is seen to be the most likely explanation for the effects observed in pups. The </w:t>
      </w:r>
      <w:r w:rsidR="00667967">
        <w:t>n</w:t>
      </w:r>
      <w:r w:rsidR="00667967" w:rsidRPr="00667967">
        <w:t xml:space="preserve">o-observed-adverse-effect level </w:t>
      </w:r>
      <w:r w:rsidR="00667967">
        <w:t>(</w:t>
      </w:r>
      <w:r>
        <w:t>NOAEL</w:t>
      </w:r>
      <w:r w:rsidR="00667967">
        <w:t>)</w:t>
      </w:r>
      <w:r>
        <w:t xml:space="preserve"> for effects on pup development was 35 nmol/kg/day (relative exposure, 0.9).</w:t>
      </w:r>
    </w:p>
    <w:p w14:paraId="410EB66B" w14:textId="77777777" w:rsidR="009759D7" w:rsidRDefault="009759D7" w:rsidP="009759D7">
      <w:r>
        <w:t xml:space="preserve">The sponsor has proposed Pregnancy Category B1. This category </w:t>
      </w:r>
      <w:proofErr w:type="gramStart"/>
      <w:r>
        <w:t>is considered to be</w:t>
      </w:r>
      <w:proofErr w:type="gramEnd"/>
      <w:r>
        <w:t xml:space="preserve"> inappropriate given the finding of abortion and embryolethality in rabbits (albeit occurring in the context of maternal toxicity/hypoglycaemia). Category B3 should be used instead. This matches the existing categorisation of other long-acting insulins (insulin degludec, insulin glargine and insulin glulisine).</w:t>
      </w:r>
    </w:p>
    <w:p w14:paraId="50F9BED3" w14:textId="78BE3C0E" w:rsidR="009759D7" w:rsidRDefault="009759D7" w:rsidP="009759D7">
      <w:r>
        <w:t>Acceptable local tolerance of the commercial formulation was demonstrated in a dedicated study in minipigs, involving once weekly SC administration for 13 weeks, with only mild inflammatory changes observed.</w:t>
      </w:r>
    </w:p>
    <w:p w14:paraId="2A47F198" w14:textId="119CAC8E" w:rsidR="002A3125" w:rsidRDefault="002A3125" w:rsidP="002A3125">
      <w:r>
        <w:t xml:space="preserve">Proposed impurity limits in the </w:t>
      </w:r>
      <w:r w:rsidR="00D64CAE">
        <w:t>IIco</w:t>
      </w:r>
      <w:r>
        <w:t xml:space="preserve"> drug substance and drug product are toxicologically acceptable, qualified from the 26-week repeat-dose toxicity study in rats. Potential mutagenic impurities are adequately controlled.</w:t>
      </w:r>
    </w:p>
    <w:p w14:paraId="3A8DF921" w14:textId="5CD483B3" w:rsidR="002A3125" w:rsidRDefault="002A3125" w:rsidP="002A3125">
      <w:r>
        <w:lastRenderedPageBreak/>
        <w:t>Insulin icodec is not proposed for paediatric use and no specific studies in juvenile animals were submitted.</w:t>
      </w:r>
    </w:p>
    <w:p w14:paraId="008A0C12" w14:textId="09860DF7" w:rsidR="00D60304" w:rsidRPr="00323506" w:rsidRDefault="00D60304" w:rsidP="002A3125">
      <w:pPr>
        <w:rPr>
          <w:b/>
          <w:bCs/>
        </w:rPr>
      </w:pPr>
      <w:r w:rsidRPr="00323506">
        <w:rPr>
          <w:b/>
          <w:bCs/>
        </w:rPr>
        <w:t xml:space="preserve">Key nonclinical </w:t>
      </w:r>
      <w:r w:rsidR="00323506" w:rsidRPr="00323506">
        <w:rPr>
          <w:b/>
          <w:bCs/>
        </w:rPr>
        <w:t xml:space="preserve">findings: </w:t>
      </w:r>
    </w:p>
    <w:p w14:paraId="24D0BBDE" w14:textId="588825DE" w:rsidR="00323506" w:rsidRDefault="00757EC0" w:rsidP="00323506">
      <w:pPr>
        <w:pStyle w:val="ListBullet"/>
      </w:pPr>
      <w:r>
        <w:t xml:space="preserve">Nonclinical </w:t>
      </w:r>
      <w:r w:rsidR="00323506">
        <w:t xml:space="preserve">data are adequate and support the safety of </w:t>
      </w:r>
      <w:r w:rsidR="00D64CAE">
        <w:t>IIco</w:t>
      </w:r>
      <w:r w:rsidR="00323506">
        <w:t>.</w:t>
      </w:r>
    </w:p>
    <w:p w14:paraId="76C3FA14" w14:textId="742024DD" w:rsidR="00323506" w:rsidRDefault="00323506" w:rsidP="00323506">
      <w:pPr>
        <w:pStyle w:val="ListBullet"/>
      </w:pPr>
      <w:r>
        <w:t xml:space="preserve">Adverse effects observed with </w:t>
      </w:r>
      <w:r w:rsidR="00D64CAE">
        <w:t>IIco</w:t>
      </w:r>
      <w:r>
        <w:t xml:space="preserve"> in toxicity studies in animals are seen to reflect exaggerated pharmacology. Occurring </w:t>
      </w:r>
      <w:proofErr w:type="gramStart"/>
      <w:r>
        <w:t>as a consequence of</w:t>
      </w:r>
      <w:proofErr w:type="gramEnd"/>
      <w:r>
        <w:t xml:space="preserve"> hypoglycaemia with treatment of normoglycaemic animals, limited clinical relevance is seen.</w:t>
      </w:r>
    </w:p>
    <w:p w14:paraId="575DC794" w14:textId="16F0F97D" w:rsidR="00323506" w:rsidRDefault="00323506" w:rsidP="00323506">
      <w:pPr>
        <w:pStyle w:val="ListBullet"/>
      </w:pPr>
      <w:r>
        <w:t xml:space="preserve">The mitogenic potential of </w:t>
      </w:r>
      <w:r w:rsidR="00D64CAE">
        <w:t>IIco</w:t>
      </w:r>
      <w:r>
        <w:t xml:space="preserve"> does not exceed that of native human insulin.</w:t>
      </w:r>
    </w:p>
    <w:p w14:paraId="00B4A39D" w14:textId="548FE282" w:rsidR="00323506" w:rsidRDefault="00323506" w:rsidP="00323506">
      <w:pPr>
        <w:pStyle w:val="ListBullet"/>
      </w:pPr>
      <w:r>
        <w:t xml:space="preserve">There are no nonclinical objections to the registration of </w:t>
      </w:r>
      <w:r w:rsidR="00DA79A2">
        <w:t>AWIQLI</w:t>
      </w:r>
      <w:r>
        <w:t xml:space="preserve"> for the proposed indication.</w:t>
      </w:r>
    </w:p>
    <w:p w14:paraId="35B580A5" w14:textId="40B226DC" w:rsidR="00C22214" w:rsidRDefault="00C22214" w:rsidP="008804CF">
      <w:pPr>
        <w:pStyle w:val="Heading3"/>
      </w:pPr>
      <w:bookmarkStart w:id="37" w:name="_Toc247691530"/>
      <w:bookmarkStart w:id="38" w:name="_Toc314842513"/>
      <w:bookmarkStart w:id="39" w:name="_Toc103679297"/>
      <w:bookmarkStart w:id="40" w:name="_Toc202172227"/>
      <w:r>
        <w:t>Clinical</w:t>
      </w:r>
      <w:bookmarkEnd w:id="37"/>
      <w:bookmarkEnd w:id="38"/>
      <w:bookmarkEnd w:id="39"/>
      <w:r w:rsidR="00095C6A">
        <w:t xml:space="preserve"> evaluation summary</w:t>
      </w:r>
      <w:bookmarkEnd w:id="40"/>
    </w:p>
    <w:p w14:paraId="32B0DEDA" w14:textId="77777777" w:rsidR="00C22214" w:rsidRDefault="00C22214" w:rsidP="00433318">
      <w:pPr>
        <w:pStyle w:val="Heading4"/>
      </w:pPr>
      <w:bookmarkStart w:id="41" w:name="_Toc98931928"/>
      <w:bookmarkStart w:id="42" w:name="_Toc202172228"/>
      <w:r>
        <w:t>Summary of clinical studies</w:t>
      </w:r>
      <w:bookmarkEnd w:id="41"/>
      <w:bookmarkEnd w:id="42"/>
    </w:p>
    <w:p w14:paraId="251CC786" w14:textId="528EA648" w:rsidR="00A17B1A" w:rsidRDefault="00A17B1A" w:rsidP="00A17B1A">
      <w:r>
        <w:t xml:space="preserve">The current application for once-weekly </w:t>
      </w:r>
      <w:r w:rsidR="00D64CAE">
        <w:t>IIco</w:t>
      </w:r>
      <w:r>
        <w:t xml:space="preserve"> includes data from 18 clinical trials:</w:t>
      </w:r>
    </w:p>
    <w:p w14:paraId="5C1F249D" w14:textId="3900E2E4" w:rsidR="00A17B1A" w:rsidRDefault="00A17B1A" w:rsidP="00D22C12">
      <w:pPr>
        <w:pStyle w:val="ListBullet"/>
      </w:pPr>
      <w:r>
        <w:t>6 phase 3a confirmatory efficacy and safety trials (ONWARDS 1-6)</w:t>
      </w:r>
    </w:p>
    <w:p w14:paraId="31CC7912" w14:textId="7AC90A06" w:rsidR="00A17B1A" w:rsidRDefault="00A17B1A" w:rsidP="00D22C12">
      <w:pPr>
        <w:pStyle w:val="ListBullet"/>
      </w:pPr>
      <w:r>
        <w:t>3 phase 2 exploratory trials</w:t>
      </w:r>
    </w:p>
    <w:p w14:paraId="351FD6B9" w14:textId="4A50204C" w:rsidR="005769AB" w:rsidRDefault="00A17B1A" w:rsidP="00D22C12">
      <w:pPr>
        <w:pStyle w:val="ListBullet"/>
      </w:pPr>
      <w:r>
        <w:t>9 clinical pharmacology trials</w:t>
      </w:r>
    </w:p>
    <w:p w14:paraId="103743F2" w14:textId="4878B9E2" w:rsidR="005769AB" w:rsidRDefault="005769AB" w:rsidP="005769AB">
      <w:r>
        <w:t>The pharmacokinetic (PK) and pharmacodynamic (PD) properties in T1D</w:t>
      </w:r>
      <w:r w:rsidR="00FE1540">
        <w:t>M</w:t>
      </w:r>
      <w:r>
        <w:t xml:space="preserve"> and T2D</w:t>
      </w:r>
      <w:r w:rsidR="00FE1540">
        <w:t>M</w:t>
      </w:r>
      <w:r>
        <w:t xml:space="preserve"> patients were evaluated in nine Phase 1 studies. Sparse PK samples were collected in one Phase 2 study and four Phase 3 studies and contributed exclusively to the population PK analysis. In </w:t>
      </w:r>
      <w:proofErr w:type="gramStart"/>
      <w:r>
        <w:t>the majority of</w:t>
      </w:r>
      <w:proofErr w:type="gramEnd"/>
      <w:r>
        <w:t xml:space="preserve"> Phase 1 studies, </w:t>
      </w:r>
      <w:r w:rsidR="00D64CAE">
        <w:t>IIco</w:t>
      </w:r>
      <w:r>
        <w:t xml:space="preserve"> was administered as individual doses based on run-in periods. If a comparator was included in the study, QD insulin glargine </w:t>
      </w:r>
      <w:r w:rsidR="001D617B">
        <w:t xml:space="preserve">(IGlar) </w:t>
      </w:r>
      <w:r>
        <w:t xml:space="preserve">or insulin degludec </w:t>
      </w:r>
      <w:r w:rsidR="001D617B">
        <w:t>(</w:t>
      </w:r>
      <w:r w:rsidR="001D617B" w:rsidRPr="001D617B">
        <w:t>IDeg</w:t>
      </w:r>
      <w:r w:rsidR="001D617B">
        <w:t xml:space="preserve">) </w:t>
      </w:r>
      <w:r>
        <w:t>were administered.</w:t>
      </w:r>
    </w:p>
    <w:p w14:paraId="33365536" w14:textId="310E6AD5" w:rsidR="005769AB" w:rsidRDefault="007D37FA" w:rsidP="007D37FA">
      <w:pPr>
        <w:pStyle w:val="Heading4"/>
      </w:pPr>
      <w:bookmarkStart w:id="43" w:name="_Toc202172229"/>
      <w:r>
        <w:t>Pharmacology</w:t>
      </w:r>
      <w:bookmarkEnd w:id="43"/>
    </w:p>
    <w:p w14:paraId="466FB83B" w14:textId="2788ADFA" w:rsidR="005769AB" w:rsidRDefault="005769AB" w:rsidP="007D37FA">
      <w:pPr>
        <w:pStyle w:val="Heading5"/>
      </w:pPr>
      <w:r>
        <w:t>Pharmacokinetics</w:t>
      </w:r>
    </w:p>
    <w:p w14:paraId="46FB9171" w14:textId="41872790" w:rsidR="005769AB" w:rsidRDefault="005769AB" w:rsidP="007D37FA">
      <w:pPr>
        <w:pStyle w:val="Heading6"/>
      </w:pPr>
      <w:r>
        <w:t>Absorption</w:t>
      </w:r>
    </w:p>
    <w:p w14:paraId="3C076601" w14:textId="6E1FB919" w:rsidR="005769AB" w:rsidRDefault="005769AB" w:rsidP="005769AB">
      <w:r>
        <w:t>In Caucasian T2D</w:t>
      </w:r>
      <w:r w:rsidR="00111E7F">
        <w:t>M</w:t>
      </w:r>
      <w:r>
        <w:t xml:space="preserve"> patients, the median time to maximum </w:t>
      </w:r>
      <w:r w:rsidR="00D64CAE">
        <w:t>IIco</w:t>
      </w:r>
      <w:r>
        <w:t xml:space="preserve"> concentration at steady state was 15 h to 16 h (studies 4314 and 4569). The steady state was reached after 3 to 4 doses, and the accumulation ratio was approximately 2. Overall, the </w:t>
      </w:r>
      <w:r w:rsidR="00D64CAE">
        <w:t>IIco</w:t>
      </w:r>
      <w:r>
        <w:t xml:space="preserve"> exposure was well distributed across the dosing interval.</w:t>
      </w:r>
    </w:p>
    <w:p w14:paraId="02E118EC" w14:textId="558E8BA5" w:rsidR="005769AB" w:rsidRDefault="005769AB" w:rsidP="005769AB">
      <w:r>
        <w:t xml:space="preserve">Generally, </w:t>
      </w:r>
      <w:r w:rsidR="00D64CAE">
        <w:t>IIco</w:t>
      </w:r>
      <w:r>
        <w:t xml:space="preserve"> exposures increased with the dose in T2D</w:t>
      </w:r>
      <w:r w:rsidR="00A6007F">
        <w:t>M</w:t>
      </w:r>
      <w:r>
        <w:t xml:space="preserve"> patients. Whereas the exposures increased dose-proportionally between 1.53 U/kg and 5.64 U/kg in study 4569, there was a trend towards less than dose-proportional increases between 2.0 U/kg and 4.0 U/kg in study 4314.</w:t>
      </w:r>
    </w:p>
    <w:p w14:paraId="1085C012" w14:textId="5E3EB029" w:rsidR="005769AB" w:rsidRDefault="005769AB" w:rsidP="005769AB">
      <w:r>
        <w:t>In Caucasian T1D</w:t>
      </w:r>
      <w:r w:rsidR="00A6007F">
        <w:t>M</w:t>
      </w:r>
      <w:r>
        <w:t xml:space="preserve"> patients, the median time to maximum </w:t>
      </w:r>
      <w:r w:rsidR="00D64CAE">
        <w:t>IIco</w:t>
      </w:r>
      <w:r>
        <w:t xml:space="preserve"> concentration at steady state was 18 h (study 4225). As in patients with T2D</w:t>
      </w:r>
      <w:r w:rsidR="00A6007F">
        <w:t>M</w:t>
      </w:r>
      <w:r>
        <w:t xml:space="preserve">, the steady state was reached after 3 to 4 doses, and the accumulation ratio was approximately 2. Overall, the </w:t>
      </w:r>
      <w:r w:rsidR="00D64CAE">
        <w:t>IIco</w:t>
      </w:r>
      <w:r>
        <w:t xml:space="preserve"> exposure was well distributed across the dosing interval.</w:t>
      </w:r>
    </w:p>
    <w:p w14:paraId="76263E11" w14:textId="5A898CDB" w:rsidR="005769AB" w:rsidRDefault="005769AB" w:rsidP="005769AB">
      <w:r>
        <w:lastRenderedPageBreak/>
        <w:t xml:space="preserve">Generally, </w:t>
      </w:r>
      <w:r w:rsidR="00D64CAE">
        <w:t>IIco</w:t>
      </w:r>
      <w:r>
        <w:t xml:space="preserve"> exposures increased with the dose in T1D</w:t>
      </w:r>
      <w:r w:rsidR="00111E7F">
        <w:t>M</w:t>
      </w:r>
      <w:r>
        <w:t xml:space="preserve"> patients; however, there was a trend towards less than dose-proportional increases between 1.1 U/kg and 3.3 U/kg in study 4225.</w:t>
      </w:r>
    </w:p>
    <w:p w14:paraId="3428069E" w14:textId="43E14E2E" w:rsidR="005769AB" w:rsidRDefault="005769AB" w:rsidP="005769AB">
      <w:r>
        <w:t>Within-subject variability was generally low (&lt;10%).</w:t>
      </w:r>
    </w:p>
    <w:p w14:paraId="591266F1" w14:textId="77777777" w:rsidR="005769AB" w:rsidRDefault="005769AB" w:rsidP="00A6007F">
      <w:pPr>
        <w:pStyle w:val="Heading6"/>
      </w:pPr>
      <w:r>
        <w:t>Distribution, metabolism, and elimination</w:t>
      </w:r>
    </w:p>
    <w:p w14:paraId="5F0AA21A" w14:textId="61E368E7" w:rsidR="005769AB" w:rsidRDefault="005769AB" w:rsidP="005769AB">
      <w:r>
        <w:t xml:space="preserve">The extension of the half-life of </w:t>
      </w:r>
      <w:r w:rsidR="00D64CAE">
        <w:t>IIco</w:t>
      </w:r>
      <w:r>
        <w:t xml:space="preserve"> was achieved due to strong but reversible binding to albumin. As expected, plasma protein binding of </w:t>
      </w:r>
      <w:r w:rsidR="00D64CAE">
        <w:t>IIco</w:t>
      </w:r>
      <w:r>
        <w:t xml:space="preserve"> was high (&gt;99%) and albumin was the major binding protein. Based on the population analysis, the V/F was estimated at </w:t>
      </w:r>
      <w:r w:rsidR="00111E7F">
        <w:br/>
      </w:r>
      <w:r>
        <w:t>9.79 L reflecting high protein binding.</w:t>
      </w:r>
    </w:p>
    <w:p w14:paraId="35F9AF04" w14:textId="44E0112D" w:rsidR="005769AB" w:rsidRDefault="005769AB" w:rsidP="005769AB">
      <w:r>
        <w:t>Using samples from T2D</w:t>
      </w:r>
      <w:r w:rsidR="00A6007F">
        <w:t>M</w:t>
      </w:r>
      <w:r>
        <w:t xml:space="preserve"> patients enrolled in study 4314, the predominant circulating entity was </w:t>
      </w:r>
      <w:r w:rsidR="00D64CAE">
        <w:t>IIco</w:t>
      </w:r>
      <w:r>
        <w:t xml:space="preserve">. The identified metabolites do not exert any pharmacological activity. No unique </w:t>
      </w:r>
      <w:r w:rsidR="00D64CAE">
        <w:t>IIco</w:t>
      </w:r>
      <w:r>
        <w:t xml:space="preserve"> metabolites were found in vitro. Insulin icodec was primarily eliminated via insulin receptor binding, whereas non-specific degradation was minor. Only a small proportion of subjects with different degrees of renal impairment had detectable </w:t>
      </w:r>
      <w:r w:rsidR="00D64CAE">
        <w:t>IIco</w:t>
      </w:r>
      <w:r>
        <w:t xml:space="preserve"> in urine (study 4226).</w:t>
      </w:r>
    </w:p>
    <w:p w14:paraId="46BBF1B0" w14:textId="5BFA307D" w:rsidR="005769AB" w:rsidRDefault="005769AB" w:rsidP="005769AB">
      <w:r>
        <w:t>The mean half-life in T2D</w:t>
      </w:r>
      <w:r w:rsidR="00111E7F">
        <w:t>M</w:t>
      </w:r>
      <w:r>
        <w:t xml:space="preserve"> and T1D</w:t>
      </w:r>
      <w:r w:rsidR="00111E7F">
        <w:t>M</w:t>
      </w:r>
      <w:r>
        <w:t xml:space="preserve"> patients was 155 h to 196 h and 175 h, respectively (studies 4314, 4569, and 4225).</w:t>
      </w:r>
    </w:p>
    <w:p w14:paraId="636C1CD4" w14:textId="08342003" w:rsidR="005769AB" w:rsidRDefault="005769AB" w:rsidP="005769AB">
      <w:r>
        <w:t xml:space="preserve">The terminal half-life of </w:t>
      </w:r>
      <w:r w:rsidR="00D64CAE">
        <w:t>IIco</w:t>
      </w:r>
      <w:r>
        <w:t xml:space="preserve"> at steady state was approximately 1 week</w:t>
      </w:r>
      <w:r w:rsidR="00A6007F">
        <w:t xml:space="preserve"> </w:t>
      </w:r>
      <w:r>
        <w:t xml:space="preserve">independent of dose, supporting once-weekly </w:t>
      </w:r>
      <w:proofErr w:type="gramStart"/>
      <w:r>
        <w:t>dosing .</w:t>
      </w:r>
      <w:proofErr w:type="gramEnd"/>
      <w:r>
        <w:t xml:space="preserve"> The geometric mean terminal half-life across subjects with T2D</w:t>
      </w:r>
      <w:r w:rsidR="00E82062">
        <w:t>M</w:t>
      </w:r>
      <w:r>
        <w:t xml:space="preserve"> was 172 hours. Pooling data from studies including subjects with T2D</w:t>
      </w:r>
      <w:r w:rsidR="00E82062">
        <w:t>M</w:t>
      </w:r>
      <w:r>
        <w:t xml:space="preserve"> and T1D</w:t>
      </w:r>
      <w:r w:rsidR="00E82062">
        <w:t>M</w:t>
      </w:r>
      <w:r>
        <w:t xml:space="preserve"> resulted in terminal half-life of 173 hours.</w:t>
      </w:r>
    </w:p>
    <w:p w14:paraId="5E764474" w14:textId="7C19F1C8" w:rsidR="005769AB" w:rsidRDefault="009A2B6E" w:rsidP="009A2B6E">
      <w:pPr>
        <w:pStyle w:val="Heading5"/>
      </w:pPr>
      <w:r>
        <w:t>Population pharmacokinetics</w:t>
      </w:r>
    </w:p>
    <w:p w14:paraId="7A2CFD2A" w14:textId="2C804DE6" w:rsidR="005769AB" w:rsidRDefault="005769AB" w:rsidP="005769AB">
      <w:r>
        <w:t xml:space="preserve">Using data from one </w:t>
      </w:r>
      <w:proofErr w:type="gramStart"/>
      <w:r>
        <w:t>Phase</w:t>
      </w:r>
      <w:proofErr w:type="gramEnd"/>
      <w:r>
        <w:t xml:space="preserve"> 2 and four Phase 3 studies, a population PK </w:t>
      </w:r>
      <w:r w:rsidR="009A2B6E">
        <w:t xml:space="preserve">(popPK) </w:t>
      </w:r>
      <w:r>
        <w:t xml:space="preserve">analysis was conducted to identify factors that account for variability </w:t>
      </w:r>
      <w:r w:rsidR="0014491B">
        <w:t>in</w:t>
      </w:r>
      <w:r>
        <w:t xml:space="preserve"> </w:t>
      </w:r>
      <w:r w:rsidR="00D64CAE">
        <w:t>IIco</w:t>
      </w:r>
      <w:r>
        <w:t xml:space="preserve"> PK. A total of 1244 subjects with 6939 samples were included to the population PK analysis. The PK of </w:t>
      </w:r>
      <w:r w:rsidR="00D64CAE">
        <w:t>IIco</w:t>
      </w:r>
      <w:r>
        <w:t xml:space="preserve"> was well described by a 1-compartment model with first-order absorption and elimination. </w:t>
      </w:r>
      <w:r w:rsidR="0014491B">
        <w:t>A</w:t>
      </w:r>
      <w:r>
        <w:t xml:space="preserve">ll investigated covariates were included in the full model to assess their impact. Body weight showed the biggest impact on </w:t>
      </w:r>
      <w:r w:rsidR="00D64CAE">
        <w:t>IIco</w:t>
      </w:r>
      <w:r>
        <w:t xml:space="preserve"> PK</w:t>
      </w:r>
      <w:r w:rsidR="0014491B">
        <w:t>,</w:t>
      </w:r>
      <w:r>
        <w:t xml:space="preserve"> characteri</w:t>
      </w:r>
      <w:r w:rsidR="00100855">
        <w:t>s</w:t>
      </w:r>
      <w:r>
        <w:t xml:space="preserve">ed by decreasing exposure with increasing body weight. When adjusting for body weight, none of the investigated covariates including age, ethnicity, race, sex, antibody level, albumin, and population were found to have a relevant effect on </w:t>
      </w:r>
      <w:r w:rsidR="00D64CAE">
        <w:t>IIco</w:t>
      </w:r>
      <w:r>
        <w:t xml:space="preserve"> PK. Of note, the impact of hepatic and renal impairment was not evaluated. Overall, no dose adjustments are required in view of the individual titration of </w:t>
      </w:r>
      <w:r w:rsidR="00D64CAE">
        <w:t>IIco</w:t>
      </w:r>
      <w:r>
        <w:t>.</w:t>
      </w:r>
    </w:p>
    <w:p w14:paraId="27DEA550" w14:textId="10C9C25F" w:rsidR="007B18EC" w:rsidRDefault="007B18EC" w:rsidP="007B18EC">
      <w:pPr>
        <w:pStyle w:val="FigureTitle"/>
      </w:pPr>
      <w:r w:rsidRPr="007B18EC">
        <w:t xml:space="preserve">Figure 1: Forest plot of </w:t>
      </w:r>
      <w:r w:rsidR="00C0389B">
        <w:t>c</w:t>
      </w:r>
      <w:r w:rsidRPr="007B18EC">
        <w:t xml:space="preserve">ovariate effects on </w:t>
      </w:r>
      <w:r w:rsidR="00D64CAE">
        <w:t>IIco</w:t>
      </w:r>
      <w:r w:rsidRPr="007B18EC">
        <w:t xml:space="preserve"> exposure</w:t>
      </w:r>
    </w:p>
    <w:p w14:paraId="399CEEFF" w14:textId="527EF46A" w:rsidR="004759BF" w:rsidRDefault="007B18EC" w:rsidP="005769AB">
      <w:r>
        <w:rPr>
          <w:noProof/>
        </w:rPr>
        <w:drawing>
          <wp:inline distT="0" distB="0" distL="0" distR="0" wp14:anchorId="6E6D31BD" wp14:editId="6AC0EC85">
            <wp:extent cx="5931873" cy="2576223"/>
            <wp:effectExtent l="0" t="0" r="0" b="0"/>
            <wp:docPr id="9749949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94945"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b="20069"/>
                    <a:stretch/>
                  </pic:blipFill>
                  <pic:spPr bwMode="auto">
                    <a:xfrm>
                      <a:off x="0" y="0"/>
                      <a:ext cx="5952115" cy="2585014"/>
                    </a:xfrm>
                    <a:prstGeom prst="rect">
                      <a:avLst/>
                    </a:prstGeom>
                    <a:noFill/>
                    <a:ln>
                      <a:noFill/>
                    </a:ln>
                    <a:extLst>
                      <a:ext uri="{53640926-AAD7-44D8-BBD7-CCE9431645EC}">
                        <a14:shadowObscured xmlns:a14="http://schemas.microsoft.com/office/drawing/2010/main"/>
                      </a:ext>
                    </a:extLst>
                  </pic:spPr>
                </pic:pic>
              </a:graphicData>
            </a:graphic>
          </wp:inline>
        </w:drawing>
      </w:r>
    </w:p>
    <w:p w14:paraId="2E931415" w14:textId="3C717056" w:rsidR="00B22206" w:rsidRDefault="00F03AA7" w:rsidP="00F03AA7">
      <w:pPr>
        <w:pStyle w:val="TableDescription"/>
      </w:pPr>
      <w:r w:rsidRPr="00F03AA7">
        <w:lastRenderedPageBreak/>
        <w:t>Data ar</w:t>
      </w:r>
      <w:r>
        <w:t>e</w:t>
      </w:r>
      <w:r w:rsidRPr="00F03AA7">
        <w:t xml:space="preserve"> steady-state, dose-normalised C</w:t>
      </w:r>
      <w:r w:rsidRPr="00F03AA7">
        <w:rPr>
          <w:vertAlign w:val="subscript"/>
        </w:rPr>
        <w:t>avg</w:t>
      </w:r>
      <w:r w:rsidRPr="00F03AA7">
        <w:t xml:space="preserve"> relative to a reference subject profile. The forest plot and column to the right show means and 90% CI of relative exposure. Body weight and albumin test categories represent the 5</w:t>
      </w:r>
      <w:r w:rsidRPr="00F03AA7">
        <w:rPr>
          <w:vertAlign w:val="superscript"/>
        </w:rPr>
        <w:t>th</w:t>
      </w:r>
      <w:r>
        <w:t xml:space="preserve"> </w:t>
      </w:r>
      <w:r w:rsidRPr="00F03AA7">
        <w:t>and 95</w:t>
      </w:r>
      <w:r w:rsidRPr="00F03AA7">
        <w:rPr>
          <w:vertAlign w:val="superscript"/>
        </w:rPr>
        <w:t>th</w:t>
      </w:r>
      <w:r>
        <w:t xml:space="preserve"> </w:t>
      </w:r>
      <w:r w:rsidRPr="00F03AA7">
        <w:t>percentiles in the data. Vertical lin</w:t>
      </w:r>
      <w:r>
        <w:t>e</w:t>
      </w:r>
      <w:r w:rsidRPr="00F03AA7">
        <w:t xml:space="preserve"> represent</w:t>
      </w:r>
      <w:r w:rsidR="00571C3A">
        <w:t>s</w:t>
      </w:r>
      <w:r w:rsidRPr="00F03AA7">
        <w:t xml:space="preserve"> the [0.80; 1.25]-limits. Note: The inclusion of albumin and population as covariates was not pre-specified in the modelling analysis plan, and the analysis is thus formally a pos</w:t>
      </w:r>
      <w:r w:rsidR="00571C3A">
        <w:t>t</w:t>
      </w:r>
      <w:r w:rsidRPr="00F03AA7">
        <w:t>-hoc analysis.</w:t>
      </w:r>
    </w:p>
    <w:p w14:paraId="2AF92B19" w14:textId="0F97C29E" w:rsidR="005769AB" w:rsidRDefault="005769AB" w:rsidP="005769AB">
      <w:r>
        <w:t>The pop</w:t>
      </w:r>
      <w:r w:rsidR="00F03AA7">
        <w:t>PK</w:t>
      </w:r>
      <w:r>
        <w:t xml:space="preserve"> analysis has </w:t>
      </w:r>
      <w:r w:rsidR="00ED48C9">
        <w:t>some</w:t>
      </w:r>
      <w:r>
        <w:t xml:space="preserve"> shortcomings. Only sparse PK data from the Phase 2 and Phase 3 studies was used. Model development as well as the selection of some assumptions were based on modelling findings using rich PK data from Phase 1 studies. Furthermore, the findings regarding dose proportionality were not conclusive. The covariate analysis was restricted to CL/F except for body weight due to the sparse PK data.</w:t>
      </w:r>
    </w:p>
    <w:p w14:paraId="5E3F3AAE" w14:textId="554F529D" w:rsidR="005769AB" w:rsidRDefault="005769AB" w:rsidP="005769AB">
      <w:r>
        <w:t xml:space="preserve">The PK of </w:t>
      </w:r>
      <w:r w:rsidR="00D64CAE">
        <w:t>IIco</w:t>
      </w:r>
      <w:r>
        <w:t xml:space="preserve"> following QW dosing was well described by a one-compartment model in </w:t>
      </w:r>
      <w:proofErr w:type="gramStart"/>
      <w:r>
        <w:t>the majority of</w:t>
      </w:r>
      <w:proofErr w:type="gramEnd"/>
      <w:r>
        <w:t xml:space="preserve"> the Phase 1 studies. The sponsor claimed that pooling with rich data was therefore not considered to add value to the estimation of the model structure. Furthermore, the </w:t>
      </w:r>
      <w:r w:rsidR="00C0389B">
        <w:t>s</w:t>
      </w:r>
      <w:r w:rsidR="00ED48C9">
        <w:t>ponsor</w:t>
      </w:r>
      <w:r>
        <w:t xml:space="preserve"> highlighted the various sensitivity analyses that were conducted to show the robustness of the covariate effects. In particular, the sensitivity analyses showed that the fixed value for the absorption rate was adequate. The sponsor also emphasized that the extent of the covariate analysis would not be increased due to the relatively homogenous nature of the Phase 1 data.</w:t>
      </w:r>
    </w:p>
    <w:p w14:paraId="08A7375B" w14:textId="77777777" w:rsidR="002D5ED4" w:rsidRDefault="002D5ED4" w:rsidP="00C0389B">
      <w:pPr>
        <w:pStyle w:val="Heading5"/>
      </w:pPr>
      <w:r>
        <w:t>Interactions</w:t>
      </w:r>
    </w:p>
    <w:p w14:paraId="12034E77" w14:textId="18AFCB71" w:rsidR="002D5ED4" w:rsidRDefault="002D5ED4" w:rsidP="002D5ED4">
      <w:r>
        <w:t xml:space="preserve">Although no formal </w:t>
      </w:r>
      <w:r w:rsidR="00B7702D">
        <w:t>d</w:t>
      </w:r>
      <w:r>
        <w:t>rug-</w:t>
      </w:r>
      <w:r w:rsidR="00B7702D">
        <w:t>d</w:t>
      </w:r>
      <w:r>
        <w:t xml:space="preserve">rug interaction studies were conducted, interactions of </w:t>
      </w:r>
      <w:r w:rsidR="00D64CAE">
        <w:t>IIco</w:t>
      </w:r>
      <w:r>
        <w:t xml:space="preserve"> with CYPs are unlikely.</w:t>
      </w:r>
    </w:p>
    <w:p w14:paraId="23E5EBBF" w14:textId="2407D125" w:rsidR="002D5ED4" w:rsidRDefault="002D5ED4" w:rsidP="002D5ED4">
      <w:pPr>
        <w:pStyle w:val="Heading5"/>
      </w:pPr>
      <w:r>
        <w:t>Pharmacodynamics</w:t>
      </w:r>
    </w:p>
    <w:p w14:paraId="4691C0EC" w14:textId="78BACF65" w:rsidR="002D5ED4" w:rsidRDefault="002D5ED4" w:rsidP="002D5ED4">
      <w:r>
        <w:t xml:space="preserve">Insulin icodec is a long-acting human insulin analogue covering basal insulin requirements. Through binding to the human insulin receptor, it exerts the same pharmacological effect, i.e. </w:t>
      </w:r>
      <w:r w:rsidR="00B7702D">
        <w:t>glycaemic</w:t>
      </w:r>
      <w:r>
        <w:t xml:space="preserve"> control, as human insulin. The extension of the half-life of peptides was achieved by the addition of a fatty acid sidechain and the modification of the peptide backbone.</w:t>
      </w:r>
    </w:p>
    <w:p w14:paraId="60A302F6" w14:textId="583CA5B3" w:rsidR="002D5ED4" w:rsidRDefault="002D5ED4" w:rsidP="002D5ED4">
      <w:r>
        <w:t>The glucose-lowering effect in T1D</w:t>
      </w:r>
      <w:r w:rsidR="00B7702D">
        <w:t>M</w:t>
      </w:r>
      <w:r>
        <w:t xml:space="preserve"> and T2D</w:t>
      </w:r>
      <w:r w:rsidR="00B7702D">
        <w:t>M</w:t>
      </w:r>
      <w:r>
        <w:t xml:space="preserve"> patients at steady state has been investigated in the Phase 1 studies using euglycemic clamps and glucose infusion rate</w:t>
      </w:r>
      <w:r w:rsidR="0014491B">
        <w:t>s</w:t>
      </w:r>
      <w:r>
        <w:t xml:space="preserve"> (GIR) as measurement</w:t>
      </w:r>
      <w:r w:rsidR="0014491B">
        <w:t>s</w:t>
      </w:r>
      <w:r>
        <w:t xml:space="preserve"> of glucose metabolism. Since the dosing interval could not be fully covered with the clamp, the PD effect during the entire week was evaluated using PK/PD modelling based on clamp measurement at the beginning and the end of the interval.</w:t>
      </w:r>
    </w:p>
    <w:p w14:paraId="216AB644" w14:textId="77777777" w:rsidR="00C0389B" w:rsidRDefault="002D5ED4" w:rsidP="00C0389B">
      <w:r>
        <w:t>In Caucasian T2D</w:t>
      </w:r>
      <w:r w:rsidR="00803FEB">
        <w:t>M</w:t>
      </w:r>
      <w:r>
        <w:t xml:space="preserve"> patients, the entire dosing interval was covered by the duration of the glucose-lowering effect (studies 4314 and 4569). The glucose-lowering effect was close to evenly distributed.</w:t>
      </w:r>
    </w:p>
    <w:p w14:paraId="5ACFDE15" w14:textId="7EF81A1F" w:rsidR="00C0389B" w:rsidRDefault="00AA2A0C" w:rsidP="00C0389B">
      <w:pPr>
        <w:pStyle w:val="FigureTitle"/>
      </w:pPr>
      <w:r w:rsidRPr="00AA2A0C">
        <w:lastRenderedPageBreak/>
        <w:t xml:space="preserve">Figure 2: Full week steady-state GIR profile for </w:t>
      </w:r>
      <w:r w:rsidR="00D64CAE">
        <w:t>IIco</w:t>
      </w:r>
      <w:r w:rsidRPr="00AA2A0C">
        <w:t xml:space="preserve"> Caucasian subjects with T2D</w:t>
      </w:r>
      <w:r w:rsidR="00FE1540">
        <w:t xml:space="preserve">M </w:t>
      </w:r>
      <w:r w:rsidRPr="00AA2A0C">
        <w:t>(PK/PD modelling)</w:t>
      </w:r>
    </w:p>
    <w:p w14:paraId="72B3241F" w14:textId="77777777" w:rsidR="00C0389B" w:rsidRDefault="00303237" w:rsidP="0094266C">
      <w:r w:rsidRPr="009D4459">
        <w:rPr>
          <w:noProof/>
        </w:rPr>
        <w:drawing>
          <wp:inline distT="0" distB="0" distL="0" distR="0" wp14:anchorId="07E82B5A" wp14:editId="407902D6">
            <wp:extent cx="4761839" cy="2751827"/>
            <wp:effectExtent l="0" t="0" r="1270" b="0"/>
            <wp:docPr id="392" name="Picture 392" descr="A graph of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A graph of a blue line&#10;&#10;AI-generated content may be incorrect."/>
                    <pic:cNvPicPr>
                      <a:picLocks noChangeAspect="1" noChangeArrowheads="1"/>
                    </pic:cNvPicPr>
                  </pic:nvPicPr>
                  <pic:blipFill rotWithShape="1">
                    <a:blip r:embed="rId27">
                      <a:extLst>
                        <a:ext uri="{28A0092B-C50C-407E-A947-70E740481C1C}">
                          <a14:useLocalDpi xmlns:a14="http://schemas.microsoft.com/office/drawing/2010/main" val="0"/>
                        </a:ext>
                      </a:extLst>
                    </a:blip>
                    <a:srcRect t="5339" r="1400" b="14201"/>
                    <a:stretch/>
                  </pic:blipFill>
                  <pic:spPr bwMode="auto">
                    <a:xfrm>
                      <a:off x="0" y="0"/>
                      <a:ext cx="4821585" cy="2786354"/>
                    </a:xfrm>
                    <a:prstGeom prst="rect">
                      <a:avLst/>
                    </a:prstGeom>
                    <a:noFill/>
                    <a:ln>
                      <a:noFill/>
                    </a:ln>
                    <a:extLst>
                      <a:ext uri="{53640926-AAD7-44D8-BBD7-CCE9431645EC}">
                        <a14:shadowObscured xmlns:a14="http://schemas.microsoft.com/office/drawing/2010/main"/>
                      </a:ext>
                    </a:extLst>
                  </pic:spPr>
                </pic:pic>
              </a:graphicData>
            </a:graphic>
          </wp:inline>
        </w:drawing>
      </w:r>
      <w:bookmarkStart w:id="44" w:name="_Toc314842514"/>
    </w:p>
    <w:p w14:paraId="73FAA39A" w14:textId="4DE4E5EE" w:rsidR="009A0A15" w:rsidRDefault="00995F46" w:rsidP="0094266C">
      <w:pPr>
        <w:pStyle w:val="FigureDescription"/>
      </w:pPr>
      <w:r w:rsidRPr="00995F46">
        <w:t xml:space="preserve">Notes: Points and error bars are mean and 95% confidence interval of individual GIR profiles (pooled across the three steady-state weeks). </w:t>
      </w:r>
      <w:r>
        <w:t>L</w:t>
      </w:r>
      <w:r w:rsidRPr="00995F46">
        <w:t>ine is mean of individual model-predicted G</w:t>
      </w:r>
      <w:r>
        <w:t>IR</w:t>
      </w:r>
      <w:r w:rsidR="00C0389B">
        <w:t xml:space="preserve"> </w:t>
      </w:r>
      <w:r w:rsidRPr="00995F46">
        <w:t xml:space="preserve">profiles (for one steady-state week). Based on data where </w:t>
      </w:r>
      <w:r w:rsidR="00D64CAE">
        <w:t>IIco</w:t>
      </w:r>
      <w:r w:rsidRPr="00995F46">
        <w:t xml:space="preserve"> was injected at 20:00</w:t>
      </w:r>
      <w:r w:rsidR="00C0389B">
        <w:t xml:space="preserve"> </w:t>
      </w:r>
      <w:r w:rsidRPr="00995F46">
        <w:t>(corresponding to 0 hours).</w:t>
      </w:r>
    </w:p>
    <w:p w14:paraId="589BD9BD" w14:textId="3A7E9CAA" w:rsidR="00B44B59" w:rsidRDefault="00B44B59" w:rsidP="00B44B59">
      <w:pPr>
        <w:pStyle w:val="FigureTitle"/>
      </w:pPr>
      <w:r w:rsidRPr="00B44B59">
        <w:t>Figure 3: Distribution of model predicted GIR effect per day in Caucasian subjects with T2D</w:t>
      </w:r>
      <w:r w:rsidR="00FE1540">
        <w:t>M</w:t>
      </w:r>
      <w:r w:rsidRPr="00B44B59">
        <w:t xml:space="preserve"> over a one-week</w:t>
      </w:r>
      <w:r>
        <w:t xml:space="preserve"> </w:t>
      </w:r>
      <w:r w:rsidRPr="00B44B59">
        <w:t>dosing interval</w:t>
      </w:r>
    </w:p>
    <w:p w14:paraId="50AFE5C4" w14:textId="693241B4" w:rsidR="005D51A7" w:rsidRDefault="005D51A7" w:rsidP="0094266C">
      <w:r>
        <w:rPr>
          <w:noProof/>
        </w:rPr>
        <w:drawing>
          <wp:inline distT="0" distB="0" distL="0" distR="0" wp14:anchorId="494163C6" wp14:editId="1A58409D">
            <wp:extent cx="4945957" cy="3122762"/>
            <wp:effectExtent l="0" t="0" r="7620" b="1905"/>
            <wp:docPr id="45258498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84988"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b="12921"/>
                    <a:stretch/>
                  </pic:blipFill>
                  <pic:spPr bwMode="auto">
                    <a:xfrm>
                      <a:off x="0" y="0"/>
                      <a:ext cx="4977403" cy="3142616"/>
                    </a:xfrm>
                    <a:prstGeom prst="rect">
                      <a:avLst/>
                    </a:prstGeom>
                    <a:noFill/>
                    <a:ln>
                      <a:noFill/>
                    </a:ln>
                    <a:extLst>
                      <a:ext uri="{53640926-AAD7-44D8-BBD7-CCE9431645EC}">
                        <a14:shadowObscured xmlns:a14="http://schemas.microsoft.com/office/drawing/2010/main"/>
                      </a:ext>
                    </a:extLst>
                  </pic:spPr>
                </pic:pic>
              </a:graphicData>
            </a:graphic>
          </wp:inline>
        </w:drawing>
      </w:r>
    </w:p>
    <w:p w14:paraId="68A86D79" w14:textId="389CE3E2" w:rsidR="00B44B59" w:rsidRDefault="00E85D1D" w:rsidP="00E85D1D">
      <w:pPr>
        <w:pStyle w:val="FigureDescription"/>
      </w:pPr>
      <w:r w:rsidRPr="00E85D1D">
        <w:t>Notes: Numbers on bars are mean and range of daily proportions of total weekly GIR-AUC based on individual model-predicted GIR profiles. Horizontal line represents equal distribution of effect across the seven days of the week. Abbreviations: AUC = area under curve; G</w:t>
      </w:r>
      <w:r w:rsidR="00AC56CD">
        <w:t>I</w:t>
      </w:r>
      <w:r w:rsidRPr="00E85D1D">
        <w:t>R = glucose infusion rate.</w:t>
      </w:r>
    </w:p>
    <w:p w14:paraId="3A2085D0" w14:textId="350EE68C" w:rsidR="00840B03" w:rsidRDefault="00840B03" w:rsidP="00840B03">
      <w:r w:rsidRPr="00840B03">
        <w:t>In contrast to patients with T2D</w:t>
      </w:r>
      <w:r w:rsidR="009332E3">
        <w:t>M</w:t>
      </w:r>
      <w:r w:rsidRPr="00840B03">
        <w:t>, the GIR effect was not evenly distributed in T1D</w:t>
      </w:r>
      <w:r w:rsidR="009332E3">
        <w:t>M</w:t>
      </w:r>
      <w:r w:rsidRPr="00840B03">
        <w:t xml:space="preserve"> and decreased over time. More fluctuations of the blood glucose levels were observed at the end of the dosing interval.</w:t>
      </w:r>
    </w:p>
    <w:p w14:paraId="457575D6" w14:textId="3049FA72" w:rsidR="00840B03" w:rsidRDefault="00C64073" w:rsidP="00C64073">
      <w:pPr>
        <w:pStyle w:val="FigureTitle"/>
      </w:pPr>
      <w:r w:rsidRPr="00C64073">
        <w:lastRenderedPageBreak/>
        <w:t xml:space="preserve">Figure 4: Full-week mean steady-state GIR profile for </w:t>
      </w:r>
      <w:r w:rsidR="00D64CAE">
        <w:t>IIco</w:t>
      </w:r>
      <w:r w:rsidRPr="00C64073">
        <w:t xml:space="preserve"> in Caucasian subjects with T1D</w:t>
      </w:r>
      <w:r w:rsidR="00FE1540">
        <w:t>M</w:t>
      </w:r>
      <w:r w:rsidRPr="00C64073">
        <w:t xml:space="preserve"> (PK/PD modelling)- sufficiently dosed subjects</w:t>
      </w:r>
    </w:p>
    <w:p w14:paraId="1C50DD0E" w14:textId="4347EF38" w:rsidR="00995F46" w:rsidRDefault="00203463" w:rsidP="0094266C">
      <w:r>
        <w:rPr>
          <w:noProof/>
        </w:rPr>
        <w:drawing>
          <wp:inline distT="0" distB="0" distL="0" distR="0" wp14:anchorId="452E67E8" wp14:editId="7CAD6349">
            <wp:extent cx="5068037" cy="2700068"/>
            <wp:effectExtent l="0" t="0" r="0" b="5080"/>
            <wp:docPr id="27716161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61614"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b="11324"/>
                    <a:stretch/>
                  </pic:blipFill>
                  <pic:spPr bwMode="auto">
                    <a:xfrm>
                      <a:off x="0" y="0"/>
                      <a:ext cx="5087781" cy="2710587"/>
                    </a:xfrm>
                    <a:prstGeom prst="rect">
                      <a:avLst/>
                    </a:prstGeom>
                    <a:noFill/>
                    <a:ln>
                      <a:noFill/>
                    </a:ln>
                    <a:extLst>
                      <a:ext uri="{53640926-AAD7-44D8-BBD7-CCE9431645EC}">
                        <a14:shadowObscured xmlns:a14="http://schemas.microsoft.com/office/drawing/2010/main"/>
                      </a:ext>
                    </a:extLst>
                  </pic:spPr>
                </pic:pic>
              </a:graphicData>
            </a:graphic>
          </wp:inline>
        </w:drawing>
      </w:r>
    </w:p>
    <w:p w14:paraId="033E15A1" w14:textId="3D2CD6CC" w:rsidR="006D4580" w:rsidRDefault="00EC1BF8" w:rsidP="00EC1BF8">
      <w:pPr>
        <w:pStyle w:val="FigureDescription"/>
      </w:pPr>
      <w:r w:rsidRPr="00EC1BF8">
        <w:t xml:space="preserve">Points and error bars are mean and 95% confidence interval of individual smoothed GIR profiles, line is mean of individual model- </w:t>
      </w:r>
      <w:r>
        <w:t>p</w:t>
      </w:r>
      <w:r w:rsidRPr="00EC1BF8">
        <w:t>redict</w:t>
      </w:r>
      <w:r>
        <w:t>e</w:t>
      </w:r>
      <w:r w:rsidRPr="00EC1BF8">
        <w:t>d GIR</w:t>
      </w:r>
      <w:r>
        <w:t xml:space="preserve"> profiles.</w:t>
      </w:r>
    </w:p>
    <w:p w14:paraId="36A6B0FD" w14:textId="4EF00EBB" w:rsidR="00EC1BF8" w:rsidRDefault="00387EAB" w:rsidP="00387EAB">
      <w:pPr>
        <w:pStyle w:val="FigureTitle"/>
      </w:pPr>
      <w:r w:rsidRPr="00387EAB">
        <w:t>Figure 5: Distribution of model-predicted GIR effect per day in Caucasian subjects with T1D</w:t>
      </w:r>
      <w:r w:rsidR="00FE1540">
        <w:t>M</w:t>
      </w:r>
      <w:r w:rsidRPr="00387EAB">
        <w:t xml:space="preserve"> over a one-week dosing interval</w:t>
      </w:r>
    </w:p>
    <w:p w14:paraId="1E57FB34" w14:textId="3D497146" w:rsidR="00487128" w:rsidRDefault="00487128" w:rsidP="0094266C">
      <w:r>
        <w:rPr>
          <w:noProof/>
        </w:rPr>
        <w:drawing>
          <wp:inline distT="0" distB="0" distL="0" distR="0" wp14:anchorId="0C21B89A" wp14:editId="3A8619D6">
            <wp:extent cx="4891182" cy="2441275"/>
            <wp:effectExtent l="0" t="0" r="5080" b="0"/>
            <wp:docPr id="50232518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25180"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b="16342"/>
                    <a:stretch/>
                  </pic:blipFill>
                  <pic:spPr bwMode="auto">
                    <a:xfrm>
                      <a:off x="0" y="0"/>
                      <a:ext cx="4912092" cy="2451711"/>
                    </a:xfrm>
                    <a:prstGeom prst="rect">
                      <a:avLst/>
                    </a:prstGeom>
                    <a:noFill/>
                    <a:ln>
                      <a:noFill/>
                    </a:ln>
                    <a:extLst>
                      <a:ext uri="{53640926-AAD7-44D8-BBD7-CCE9431645EC}">
                        <a14:shadowObscured xmlns:a14="http://schemas.microsoft.com/office/drawing/2010/main"/>
                      </a:ext>
                    </a:extLst>
                  </pic:spPr>
                </pic:pic>
              </a:graphicData>
            </a:graphic>
          </wp:inline>
        </w:drawing>
      </w:r>
    </w:p>
    <w:p w14:paraId="5AF481F0" w14:textId="0300471C" w:rsidR="00DE5DF8" w:rsidRDefault="00DF7477" w:rsidP="00DF7477">
      <w:pPr>
        <w:pStyle w:val="FigureDescription"/>
      </w:pPr>
      <w:r w:rsidRPr="00DF7477">
        <w:t xml:space="preserve">Notes: Numbers on bars are mean and range of daily proportions of total weekly GIR-AUC based on individual model-predicted GIR profiles. The full horizontal line shows the GIR contribution if the contribution per day was </w:t>
      </w:r>
      <w:proofErr w:type="gramStart"/>
      <w:r w:rsidRPr="00DF7477">
        <w:t>exactly the same</w:t>
      </w:r>
      <w:proofErr w:type="gramEnd"/>
      <w:r w:rsidRPr="00DF7477">
        <w:t xml:space="preserve"> each day. Abbreviations: GIR — glucose inf</w:t>
      </w:r>
      <w:r>
        <w:t>u</w:t>
      </w:r>
      <w:r w:rsidRPr="00DF7477">
        <w:t>sion rate</w:t>
      </w:r>
    </w:p>
    <w:p w14:paraId="337821B2" w14:textId="3ED2E5A0" w:rsidR="006C4E89" w:rsidRDefault="006C4E89" w:rsidP="009332E3">
      <w:r w:rsidRPr="006C4E89">
        <w:t xml:space="preserve">Three Phase 1 studies included a comparator arm: </w:t>
      </w:r>
      <w:r w:rsidR="009C49AC" w:rsidRPr="009C49AC">
        <w:t>IDeg</w:t>
      </w:r>
      <w:r w:rsidRPr="006C4E89">
        <w:t xml:space="preserve"> in study 4314 and </w:t>
      </w:r>
      <w:r w:rsidR="001D617B" w:rsidRPr="001D617B">
        <w:t>IGlar</w:t>
      </w:r>
      <w:r w:rsidRPr="006C4E89">
        <w:t xml:space="preserve"> in studies 4225 and 4422. </w:t>
      </w:r>
      <w:proofErr w:type="gramStart"/>
      <w:r w:rsidRPr="006C4E89">
        <w:t>In order to</w:t>
      </w:r>
      <w:proofErr w:type="gramEnd"/>
      <w:r w:rsidRPr="006C4E89">
        <w:t xml:space="preserve"> demonstrate a comparable PD effect, the relative bio-efficacy using AUC</w:t>
      </w:r>
      <w:r w:rsidRPr="006C4E89">
        <w:rPr>
          <w:vertAlign w:val="subscript"/>
        </w:rPr>
        <w:t>GIR</w:t>
      </w:r>
      <w:r w:rsidRPr="006C4E89">
        <w:t xml:space="preserve"> of </w:t>
      </w:r>
      <w:r w:rsidR="00D64CAE">
        <w:t>IIco</w:t>
      </w:r>
      <w:r w:rsidRPr="006C4E89">
        <w:t xml:space="preserve"> and the respective comparator was determined. Based on estimated relative bio</w:t>
      </w:r>
      <w:r w:rsidR="00AC56CD">
        <w:t xml:space="preserve"> </w:t>
      </w:r>
      <w:r w:rsidRPr="006C4E89">
        <w:t xml:space="preserve">efficacy between 101% and 119%, the sponsor concluded that </w:t>
      </w:r>
      <w:r w:rsidR="00D64CAE">
        <w:t>IIco</w:t>
      </w:r>
      <w:r w:rsidRPr="006C4E89">
        <w:t xml:space="preserve">, </w:t>
      </w:r>
      <w:r w:rsidR="009C49AC" w:rsidRPr="009C49AC">
        <w:t>IDeg</w:t>
      </w:r>
      <w:r w:rsidRPr="006C4E89">
        <w:t xml:space="preserve">, and </w:t>
      </w:r>
      <w:r w:rsidR="001D617B" w:rsidRPr="001D617B">
        <w:t>IGlar</w:t>
      </w:r>
      <w:r w:rsidRPr="006C4E89">
        <w:t xml:space="preserve"> have an equipotent glucose-lowering effect.</w:t>
      </w:r>
    </w:p>
    <w:p w14:paraId="181E9B4A" w14:textId="3DBF40B3" w:rsidR="00DE7353" w:rsidRDefault="00DE7353" w:rsidP="00DE7353">
      <w:pPr>
        <w:pStyle w:val="Heading5"/>
      </w:pPr>
      <w:r>
        <w:t xml:space="preserve">Secondary </w:t>
      </w:r>
      <w:r w:rsidR="0094266C">
        <w:t>p</w:t>
      </w:r>
      <w:r>
        <w:t>harmacology (Safety)</w:t>
      </w:r>
    </w:p>
    <w:p w14:paraId="69381995" w14:textId="3BCAF477" w:rsidR="00DE7353" w:rsidRDefault="004112C7" w:rsidP="009332E3">
      <w:r>
        <w:t>Hypoglycaemia</w:t>
      </w:r>
      <w:r w:rsidR="00DE7353">
        <w:t xml:space="preserve"> frequency and the physiological response following double or triple doses of </w:t>
      </w:r>
      <w:r w:rsidR="00D64CAE">
        <w:t>IIco</w:t>
      </w:r>
      <w:r w:rsidR="00DE7353">
        <w:t xml:space="preserve"> or</w:t>
      </w:r>
      <w:r w:rsidR="001D617B" w:rsidRPr="001D617B">
        <w:t xml:space="preserve"> IGlar</w:t>
      </w:r>
      <w:r w:rsidR="00DE7353">
        <w:t xml:space="preserve"> in subjects with T2D</w:t>
      </w:r>
      <w:r w:rsidR="00FE1540">
        <w:t>M</w:t>
      </w:r>
      <w:r w:rsidR="00DE7353">
        <w:t xml:space="preserve"> were investigated (study 4462). The double and the triple dose of </w:t>
      </w:r>
      <w:r w:rsidR="00D64CAE">
        <w:t>IIco</w:t>
      </w:r>
      <w:r w:rsidR="00DE7353">
        <w:t xml:space="preserve"> and </w:t>
      </w:r>
      <w:r w:rsidR="001D617B" w:rsidRPr="001D617B">
        <w:t>IGlar</w:t>
      </w:r>
      <w:r w:rsidR="00DE7353">
        <w:t xml:space="preserve"> induced clinically significant </w:t>
      </w:r>
      <w:r>
        <w:t>hypoglycaemia</w:t>
      </w:r>
      <w:r w:rsidR="00DE7353">
        <w:t xml:space="preserve"> (</w:t>
      </w:r>
      <w:proofErr w:type="gramStart"/>
      <w:r w:rsidR="00DE7353">
        <w:t>PG</w:t>
      </w:r>
      <w:r w:rsidR="00BE6F8B">
        <w:t>(</w:t>
      </w:r>
      <w:proofErr w:type="gramEnd"/>
      <w:r w:rsidR="00BE6F8B">
        <w:t xml:space="preserve">plasma </w:t>
      </w:r>
      <w:proofErr w:type="gramStart"/>
      <w:r w:rsidR="00BE6F8B">
        <w:t>glucose)</w:t>
      </w:r>
      <w:r w:rsidR="00DE7353" w:rsidRPr="00DD6152">
        <w:rPr>
          <w:vertAlign w:val="subscript"/>
        </w:rPr>
        <w:t>nadir</w:t>
      </w:r>
      <w:proofErr w:type="gramEnd"/>
      <w:r w:rsidR="00DE7353">
        <w:t xml:space="preserve">&lt;3.0 mmol/L [&lt;54 mg/dL]), which was the primary endpoint. Comparable proportions of patients </w:t>
      </w:r>
      <w:r w:rsidR="00DE7353">
        <w:lastRenderedPageBreak/>
        <w:t xml:space="preserve">experienced clinically significant </w:t>
      </w:r>
      <w:r>
        <w:t>hypoglycaemia</w:t>
      </w:r>
      <w:r w:rsidR="00DE7353">
        <w:t xml:space="preserve"> following both double (39.5% vs. 35.7%) and triple (52.6% vs. 70.0%) doses of </w:t>
      </w:r>
      <w:r w:rsidR="00D64CAE">
        <w:t>IIco</w:t>
      </w:r>
      <w:r w:rsidR="00DE7353">
        <w:t xml:space="preserve"> versus </w:t>
      </w:r>
      <w:r w:rsidR="001D617B" w:rsidRPr="001D617B">
        <w:t>IGlar</w:t>
      </w:r>
      <w:r w:rsidR="00DE7353">
        <w:t>. The proportion of patients with PG</w:t>
      </w:r>
      <w:r w:rsidR="00DE7353" w:rsidRPr="00BE6F8B">
        <w:rPr>
          <w:vertAlign w:val="subscript"/>
        </w:rPr>
        <w:t>nadir</w:t>
      </w:r>
      <w:r w:rsidR="00DE7353">
        <w:t xml:space="preserve">≤2.5 mmol/L (≤45 mg/dL) was significantly higher for </w:t>
      </w:r>
      <w:r w:rsidR="009C49AC" w:rsidRPr="009C49AC">
        <w:t>IGlar</w:t>
      </w:r>
      <w:r w:rsidR="00DE7353">
        <w:t xml:space="preserve"> after a triple dose. Time to recover from PG</w:t>
      </w:r>
      <w:r w:rsidR="00DE7353" w:rsidRPr="00DD6152">
        <w:rPr>
          <w:vertAlign w:val="subscript"/>
        </w:rPr>
        <w:t>nadir</w:t>
      </w:r>
      <w:r w:rsidR="00DE7353">
        <w:t xml:space="preserve"> to PG 5.5 mol/L was comparable for </w:t>
      </w:r>
      <w:r w:rsidR="00D64CAE">
        <w:t>IIco</w:t>
      </w:r>
      <w:r w:rsidR="00DE7353">
        <w:t xml:space="preserve"> and</w:t>
      </w:r>
      <w:r w:rsidR="001D617B">
        <w:t xml:space="preserve"> </w:t>
      </w:r>
      <w:r w:rsidR="001D617B" w:rsidRPr="001D617B">
        <w:t>IGlar</w:t>
      </w:r>
      <w:r w:rsidR="00DE7353">
        <w:t>.</w:t>
      </w:r>
    </w:p>
    <w:p w14:paraId="283A4FB5" w14:textId="5806FF5E" w:rsidR="00DE7353" w:rsidRDefault="00DE7353" w:rsidP="00DC6265">
      <w:pPr>
        <w:pStyle w:val="FigureTitle"/>
      </w:pPr>
      <w:r>
        <w:t xml:space="preserve">Figure 6: Proportion of individuals with clinically significant </w:t>
      </w:r>
      <w:r w:rsidR="004112C7">
        <w:t>hypoglycaemia</w:t>
      </w:r>
      <w:r>
        <w:t xml:space="preserve"> after double and triple dose </w:t>
      </w:r>
    </w:p>
    <w:p w14:paraId="2E556CAD" w14:textId="15993CBF" w:rsidR="00DC6265" w:rsidRDefault="00DC6265" w:rsidP="0094266C">
      <w:r>
        <w:rPr>
          <w:noProof/>
        </w:rPr>
        <w:drawing>
          <wp:inline distT="0" distB="0" distL="0" distR="0" wp14:anchorId="062CD594" wp14:editId="3202A693">
            <wp:extent cx="4045789" cy="4174333"/>
            <wp:effectExtent l="0" t="0" r="0" b="0"/>
            <wp:docPr id="145836422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64222" name="Picture 5">
                      <a:extLst>
                        <a:ext uri="{C183D7F6-B498-43B3-948B-1728B52AA6E4}">
                          <adec:decorative xmlns:adec="http://schemas.microsoft.com/office/drawing/2017/decorative" val="1"/>
                        </a:ext>
                      </a:extLst>
                    </pic:cNvPr>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65314" cy="4194478"/>
                    </a:xfrm>
                    <a:prstGeom prst="rect">
                      <a:avLst/>
                    </a:prstGeom>
                    <a:noFill/>
                  </pic:spPr>
                </pic:pic>
              </a:graphicData>
            </a:graphic>
          </wp:inline>
        </w:drawing>
      </w:r>
    </w:p>
    <w:p w14:paraId="26B78CEB" w14:textId="70CEBDB9" w:rsidR="00DE7353" w:rsidRDefault="00DE7353" w:rsidP="00AF1A6D">
      <w:r>
        <w:t xml:space="preserve">Whereas cognitive and symptomatic responses were comparable, the endocrine response was overall moderately greater for </w:t>
      </w:r>
      <w:r w:rsidR="00D64CAE">
        <w:t>IIco</w:t>
      </w:r>
      <w:r>
        <w:t>.</w:t>
      </w:r>
    </w:p>
    <w:p w14:paraId="6AA5C80B" w14:textId="11D448AF" w:rsidR="00DE7353" w:rsidRDefault="00DE7353" w:rsidP="00DC6265">
      <w:pPr>
        <w:pStyle w:val="Heading5"/>
      </w:pPr>
      <w:r>
        <w:t xml:space="preserve">Dose </w:t>
      </w:r>
      <w:r w:rsidR="0094266C">
        <w:t>f</w:t>
      </w:r>
      <w:r>
        <w:t>inding</w:t>
      </w:r>
    </w:p>
    <w:p w14:paraId="74F8426F" w14:textId="6FF12A03" w:rsidR="00DE7353" w:rsidRDefault="00DE7353" w:rsidP="00AF1A6D">
      <w:r>
        <w:t xml:space="preserve">Dosing of insulin varies widely depending on patients’ insulin sensitivity and body weight. </w:t>
      </w:r>
      <w:proofErr w:type="gramStart"/>
      <w:r>
        <w:t>In order to</w:t>
      </w:r>
      <w:proofErr w:type="gramEnd"/>
      <w:r>
        <w:t xml:space="preserve"> accommodate the large differences in insulin requirements, the dose of basal insulin is generally titrated according to product</w:t>
      </w:r>
      <w:r w:rsidR="001D617B">
        <w:t>-</w:t>
      </w:r>
      <w:r>
        <w:t xml:space="preserve">specific treat-to-target algorithms. </w:t>
      </w:r>
    </w:p>
    <w:p w14:paraId="73198080" w14:textId="17F5101C" w:rsidR="00DE7353" w:rsidRDefault="00DE7353" w:rsidP="00AF1A6D">
      <w:r>
        <w:t xml:space="preserve">Three Phase 2 studies (4383, 4465, and 4466) investigated treat-to-target titration algorithms in patients with T2DM.  Study 4383 provided a proof of concept for the use of once-weekly </w:t>
      </w:r>
      <w:r w:rsidR="00D64CAE">
        <w:t>IIco</w:t>
      </w:r>
      <w:r>
        <w:t xml:space="preserve"> (QW) in insulin-naïve patients. Study 4465, insulin-naïve patients as well, examined various titration algorithms. Study 4466 examined different approaches (</w:t>
      </w:r>
      <w:r w:rsidR="001318F4">
        <w:t>+/-</w:t>
      </w:r>
      <w:r>
        <w:t xml:space="preserve"> loading dose) for switching from once-daily </w:t>
      </w:r>
      <w:r w:rsidR="001D617B" w:rsidRPr="001D617B">
        <w:t>IGlar</w:t>
      </w:r>
      <w:r>
        <w:t xml:space="preserve"> to account for the fact that plasma concentrations of </w:t>
      </w:r>
      <w:r w:rsidR="00D64CAE">
        <w:t>IIco</w:t>
      </w:r>
      <w:r w:rsidR="0030117B">
        <w:t xml:space="preserve"> (</w:t>
      </w:r>
      <w:r w:rsidR="00D64CAE">
        <w:t>IIco</w:t>
      </w:r>
      <w:r w:rsidR="0030117B">
        <w:t>)</w:t>
      </w:r>
      <w:r>
        <w:t xml:space="preserve"> QW reach steady state only after 4-6 doses (i.e., after 4-6 weeks).</w:t>
      </w:r>
    </w:p>
    <w:p w14:paraId="3463A929" w14:textId="09B86933" w:rsidR="00DE7353" w:rsidRDefault="00DE7353" w:rsidP="00DC6265">
      <w:pPr>
        <w:pStyle w:val="Heading6"/>
      </w:pPr>
      <w:r>
        <w:t>Study 4383</w:t>
      </w:r>
    </w:p>
    <w:p w14:paraId="1D58604D" w14:textId="77777777" w:rsidR="0094266C" w:rsidRDefault="00DE7353" w:rsidP="00BE16D2">
      <w:r>
        <w:t xml:space="preserve">This was a 26-week study in insulin-naïve patients with T2DM who failed to achieve adequate </w:t>
      </w:r>
      <w:r w:rsidR="004112C7">
        <w:t>glycaemic</w:t>
      </w:r>
      <w:r>
        <w:t xml:space="preserve"> control (HbA1c&gt;7%) with prior treatment (metformin </w:t>
      </w:r>
      <w:r w:rsidR="00513CEE">
        <w:t>+/-</w:t>
      </w:r>
      <w:r>
        <w:t xml:space="preserve"> DPP4i). At baseline, the mean age, body weight, HbA1c, duration of diabetes, and eGFR </w:t>
      </w:r>
      <w:r w:rsidR="008C0EA8">
        <w:t>[</w:t>
      </w:r>
      <w:r w:rsidR="008C0EA8" w:rsidRPr="008C0EA8">
        <w:t xml:space="preserve">estimated </w:t>
      </w:r>
      <w:r w:rsidR="00FD122D">
        <w:t>g</w:t>
      </w:r>
      <w:r w:rsidR="008C0EA8" w:rsidRPr="008C0EA8">
        <w:t xml:space="preserve">lomerular </w:t>
      </w:r>
      <w:r w:rsidR="00FD122D">
        <w:t>f</w:t>
      </w:r>
      <w:r w:rsidR="008C0EA8" w:rsidRPr="008C0EA8">
        <w:t xml:space="preserve">iltration </w:t>
      </w:r>
      <w:r w:rsidR="00FD122D">
        <w:t>r</w:t>
      </w:r>
      <w:r w:rsidR="008C0EA8" w:rsidRPr="008C0EA8">
        <w:t>ate</w:t>
      </w:r>
      <w:r w:rsidR="008C0EA8">
        <w:t xml:space="preserve">] </w:t>
      </w:r>
      <w:r>
        <w:t>were ~60 years, ~125 kg, ~8%, ~10 years, and &gt;90 ml/min/1.73 m</w:t>
      </w:r>
      <w:r w:rsidRPr="007E7D27">
        <w:rPr>
          <w:vertAlign w:val="superscript"/>
        </w:rPr>
        <w:t>2</w:t>
      </w:r>
      <w:r w:rsidR="001D617B">
        <w:rPr>
          <w:vertAlign w:val="subscript"/>
        </w:rPr>
        <w:t xml:space="preserve">, </w:t>
      </w:r>
      <w:r w:rsidR="001D617B" w:rsidRPr="001D617B">
        <w:t>respectively</w:t>
      </w:r>
      <w:r>
        <w:t xml:space="preserve">). </w:t>
      </w:r>
    </w:p>
    <w:p w14:paraId="6E5D4AB4" w14:textId="2F77ADEE" w:rsidR="00DE7353" w:rsidRDefault="00DE7353" w:rsidP="00BE16D2">
      <w:r>
        <w:lastRenderedPageBreak/>
        <w:t xml:space="preserve">The glucose-lowering action of </w:t>
      </w:r>
      <w:proofErr w:type="spellStart"/>
      <w:r w:rsidR="00D64CAE">
        <w:t>IIco</w:t>
      </w:r>
      <w:proofErr w:type="spellEnd"/>
      <w:r>
        <w:t xml:space="preserve"> was comparable (numerically stronger) with that of </w:t>
      </w:r>
      <w:r w:rsidR="001D617B" w:rsidRPr="001D617B">
        <w:t>IGlar</w:t>
      </w:r>
      <w:r>
        <w:t xml:space="preserve">. The change from baseline to week 26 in HbA1c was -1.33% with </w:t>
      </w:r>
      <w:r w:rsidR="00D64CAE">
        <w:t>IIco</w:t>
      </w:r>
      <w:r>
        <w:t xml:space="preserve"> as compared with -1.15% for </w:t>
      </w:r>
      <w:r w:rsidR="001D617B" w:rsidRPr="001D617B">
        <w:t>IGlar</w:t>
      </w:r>
      <w:r>
        <w:t xml:space="preserve"> (estimated treatment difference [95% CI]: -0.18% [-0.38; 0.02]). Noteworthy, the weekly insulin dose required appeared to be reduced with </w:t>
      </w:r>
      <w:r w:rsidR="00D64CAE">
        <w:t>IIco</w:t>
      </w:r>
      <w:r>
        <w:t xml:space="preserve"> versus </w:t>
      </w:r>
      <w:r w:rsidR="001D617B" w:rsidRPr="001D617B">
        <w:t>IGlar</w:t>
      </w:r>
      <w:r>
        <w:t xml:space="preserve">. </w:t>
      </w:r>
    </w:p>
    <w:p w14:paraId="0C07E02B" w14:textId="7EF7A017" w:rsidR="00DE7353" w:rsidRDefault="00DE7353" w:rsidP="00BE16D2">
      <w:r>
        <w:t xml:space="preserve">Study 4383 provided initial evidence for a robust glucose-lowering efficacy of </w:t>
      </w:r>
      <w:r w:rsidR="00D64CAE">
        <w:t>IIco</w:t>
      </w:r>
      <w:r>
        <w:t xml:space="preserve"> QW in insulin-naïve patients with T2DM who used the treat-to-target dose titration algorithm described above. The study further detected no new safety signals for an insulin analogue.</w:t>
      </w:r>
    </w:p>
    <w:p w14:paraId="252F8001" w14:textId="59CFDE17" w:rsidR="00DE7353" w:rsidRDefault="00DE7353" w:rsidP="00D90C44">
      <w:pPr>
        <w:pStyle w:val="Heading6"/>
      </w:pPr>
      <w:r>
        <w:t>Study 4465</w:t>
      </w:r>
    </w:p>
    <w:p w14:paraId="2A4E6A8D" w14:textId="782EBE36" w:rsidR="00DE7353" w:rsidRDefault="00DE7353" w:rsidP="007E7D27">
      <w:r>
        <w:t xml:space="preserve">This was a 23-week study in patients with T2DM who failed adequate </w:t>
      </w:r>
      <w:r w:rsidR="004112C7">
        <w:t>glycaemic</w:t>
      </w:r>
      <w:r>
        <w:t xml:space="preserve"> control (HbA1C ≥ 7%) with their prior treatment lacking insulin (metformin </w:t>
      </w:r>
      <w:r w:rsidR="009C2749">
        <w:t>+/-</w:t>
      </w:r>
      <w:r>
        <w:t xml:space="preserve"> DPP4i </w:t>
      </w:r>
      <w:r w:rsidR="009C2749">
        <w:t>+/-</w:t>
      </w:r>
      <w:r>
        <w:t xml:space="preserve"> SGLT2i). The actual treatment period (16 weeks) explored three titration algorithms for </w:t>
      </w:r>
      <w:r w:rsidR="00D64CAE">
        <w:t>IIco</w:t>
      </w:r>
      <w:r>
        <w:t xml:space="preserve"> (A, B, and C) in comparison with the active comparator </w:t>
      </w:r>
      <w:r w:rsidR="001D617B" w:rsidRPr="001D617B">
        <w:t>IGlar</w:t>
      </w:r>
      <w:r>
        <w:t xml:space="preserve"> U100 titrated according to the widely established titration algorithm D. Noteworthy, the two titration algorithms A and B used a pre-breakfast SMPG (i.e., usually identical with </w:t>
      </w:r>
      <w:r w:rsidR="00B977DD">
        <w:t>fasting plasma glucose[</w:t>
      </w:r>
      <w:r>
        <w:t>FPG</w:t>
      </w:r>
      <w:r w:rsidR="00B977DD">
        <w:t>]</w:t>
      </w:r>
      <w:r>
        <w:t>) of 4.4 mmol/L</w:t>
      </w:r>
      <w:r w:rsidR="0094266C">
        <w:t xml:space="preserve"> </w:t>
      </w:r>
      <w:r>
        <w:t>(80 mg/dL) as threshold below which dose reduction was triggered.</w:t>
      </w:r>
    </w:p>
    <w:p w14:paraId="1D5A61F1" w14:textId="0F062AD1" w:rsidR="00DE7353" w:rsidRDefault="00DE7353" w:rsidP="00CA2F85">
      <w:pPr>
        <w:pStyle w:val="TableTitle"/>
      </w:pPr>
      <w:r>
        <w:t xml:space="preserve">Table </w:t>
      </w:r>
      <w:r w:rsidR="00667967">
        <w:t>2</w:t>
      </w:r>
      <w:r>
        <w:t>: Study protocol for algorithm A, B and D</w:t>
      </w:r>
    </w:p>
    <w:p w14:paraId="38C48538" w14:textId="52439677" w:rsidR="0064483D" w:rsidRDefault="0064483D" w:rsidP="0094266C">
      <w:r>
        <w:rPr>
          <w:noProof/>
        </w:rPr>
        <w:drawing>
          <wp:inline distT="0" distB="0" distL="0" distR="0" wp14:anchorId="7C0F94A8" wp14:editId="57328B38">
            <wp:extent cx="5017430" cy="1224951"/>
            <wp:effectExtent l="0" t="0" r="0" b="0"/>
            <wp:docPr id="658129447"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29447" name="Picture 6">
                      <a:extLst>
                        <a:ext uri="{C183D7F6-B498-43B3-948B-1728B52AA6E4}">
                          <adec:decorative xmlns:adec="http://schemas.microsoft.com/office/drawing/2017/decorative" val="1"/>
                        </a:ext>
                      </a:extLst>
                    </pic:cNvPr>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68816" cy="1237496"/>
                    </a:xfrm>
                    <a:prstGeom prst="rect">
                      <a:avLst/>
                    </a:prstGeom>
                    <a:noFill/>
                  </pic:spPr>
                </pic:pic>
              </a:graphicData>
            </a:graphic>
          </wp:inline>
        </w:drawing>
      </w:r>
    </w:p>
    <w:p w14:paraId="5F93D204" w14:textId="1B372665" w:rsidR="00DE7353" w:rsidRDefault="00DE7353" w:rsidP="007E7D27">
      <w:r>
        <w:t xml:space="preserve">The titration algorithm C used a lesser threshold of 3.9 mmol/L (70 mg/dL) expected to result in more stringent lowering of plasma glucose. But at the same time, it would be expected to be more prone to result in </w:t>
      </w:r>
      <w:r w:rsidR="004112C7">
        <w:t>hypoglycaemic</w:t>
      </w:r>
      <w:r>
        <w:t xml:space="preserve"> events.</w:t>
      </w:r>
    </w:p>
    <w:p w14:paraId="44ECC383" w14:textId="337737A8" w:rsidR="00DE7353" w:rsidRDefault="00DE7353" w:rsidP="005F4D75">
      <w:pPr>
        <w:pStyle w:val="TableTitle"/>
      </w:pPr>
      <w:r>
        <w:t xml:space="preserve">Table </w:t>
      </w:r>
      <w:r w:rsidR="00667967">
        <w:t>3</w:t>
      </w:r>
      <w:r>
        <w:t>: Study Protocol for algorithm C</w:t>
      </w:r>
    </w:p>
    <w:p w14:paraId="1ED1D441" w14:textId="78DC606B" w:rsidR="00A04FCD" w:rsidRDefault="00A04FCD" w:rsidP="0094266C">
      <w:r>
        <w:rPr>
          <w:noProof/>
        </w:rPr>
        <w:drawing>
          <wp:inline distT="0" distB="0" distL="0" distR="0" wp14:anchorId="3C60AB6D" wp14:editId="67CC7F88">
            <wp:extent cx="3950898" cy="652421"/>
            <wp:effectExtent l="0" t="0" r="0" b="0"/>
            <wp:docPr id="202400052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00529" name="Picture 7">
                      <a:extLst>
                        <a:ext uri="{C183D7F6-B498-43B3-948B-1728B52AA6E4}">
                          <adec:decorative xmlns:adec="http://schemas.microsoft.com/office/drawing/2017/decorative" val="1"/>
                        </a:ext>
                      </a:extLst>
                    </pic:cNvPr>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20593" cy="663930"/>
                    </a:xfrm>
                    <a:prstGeom prst="rect">
                      <a:avLst/>
                    </a:prstGeom>
                    <a:noFill/>
                  </pic:spPr>
                </pic:pic>
              </a:graphicData>
            </a:graphic>
          </wp:inline>
        </w:drawing>
      </w:r>
    </w:p>
    <w:p w14:paraId="2E3EE0B0" w14:textId="5E1CC5A8" w:rsidR="00DE7353" w:rsidRDefault="00A04FCD" w:rsidP="007E7D27">
      <w:r>
        <w:t xml:space="preserve">The </w:t>
      </w:r>
      <w:r w:rsidR="008353AF">
        <w:t>p</w:t>
      </w:r>
      <w:r w:rsidR="00DE7353">
        <w:t xml:space="preserve">rimary endpoint was the </w:t>
      </w:r>
      <w:r w:rsidR="00613C81">
        <w:t>c</w:t>
      </w:r>
      <w:r w:rsidR="001C2838" w:rsidRPr="001C2838">
        <w:t xml:space="preserve">ontinuous </w:t>
      </w:r>
      <w:r w:rsidR="00613C81">
        <w:t>g</w:t>
      </w:r>
      <w:r w:rsidR="001C2838" w:rsidRPr="001C2838">
        <w:t xml:space="preserve">lucose </w:t>
      </w:r>
      <w:r w:rsidR="00613C81">
        <w:t>m</w:t>
      </w:r>
      <w:r w:rsidR="001C2838" w:rsidRPr="001C2838">
        <w:t>onitoring</w:t>
      </w:r>
      <w:r w:rsidR="00613C81">
        <w:t xml:space="preserve"> (</w:t>
      </w:r>
      <w:r w:rsidR="00613C81" w:rsidRPr="00613C81">
        <w:t>CGM</w:t>
      </w:r>
      <w:r w:rsidR="00613C81">
        <w:t>)</w:t>
      </w:r>
      <w:r w:rsidR="001C2838" w:rsidRPr="001C2838">
        <w:t xml:space="preserve"> </w:t>
      </w:r>
      <w:r w:rsidR="00DE7353">
        <w:t xml:space="preserve">parameter </w:t>
      </w:r>
      <w:proofErr w:type="gramStart"/>
      <w:r w:rsidR="00DE7353">
        <w:t>TIR(</w:t>
      </w:r>
      <w:proofErr w:type="gramEnd"/>
      <w:r w:rsidR="00DE7353">
        <w:t>%)</w:t>
      </w:r>
      <w:r w:rsidR="00972D2C">
        <w:rPr>
          <w:rStyle w:val="FootnoteReference"/>
        </w:rPr>
        <w:footnoteReference w:id="4"/>
      </w:r>
      <w:r w:rsidR="00DE7353">
        <w:t xml:space="preserve"> during week 15 and 16 of the treatment period. </w:t>
      </w:r>
      <w:r w:rsidR="001D617B">
        <w:t>The s</w:t>
      </w:r>
      <w:r w:rsidR="00DE7353">
        <w:t xml:space="preserve">econdary endpoint included A1C, </w:t>
      </w:r>
      <w:r w:rsidR="00A532BA">
        <w:t>Δ</w:t>
      </w:r>
      <w:r w:rsidR="00DE7353">
        <w:t xml:space="preserve">FPG, </w:t>
      </w:r>
      <w:r w:rsidR="00A532BA" w:rsidRPr="00A532BA">
        <w:t>Δ</w:t>
      </w:r>
      <w:proofErr w:type="gramStart"/>
      <w:r w:rsidR="00DE7353">
        <w:t>BW</w:t>
      </w:r>
      <w:r w:rsidR="00E669A7">
        <w:t>(</w:t>
      </w:r>
      <w:proofErr w:type="gramEnd"/>
      <w:r w:rsidR="00E669A7">
        <w:t>body weight)</w:t>
      </w:r>
      <w:r w:rsidR="00513CEE">
        <w:rPr>
          <w:rStyle w:val="FootnoteReference"/>
        </w:rPr>
        <w:footnoteReference w:id="5"/>
      </w:r>
      <w:r w:rsidR="00DE7353">
        <w:t xml:space="preserve">, and the insulin dose. </w:t>
      </w:r>
    </w:p>
    <w:p w14:paraId="3D3E86E5" w14:textId="14CFB562" w:rsidR="00DE7353" w:rsidRDefault="00DE7353" w:rsidP="007E7D27">
      <w:r>
        <w:t xml:space="preserve">The results for TIR further substantiated that once-weekly </w:t>
      </w:r>
      <w:r w:rsidR="00D64CAE">
        <w:t>IIco</w:t>
      </w:r>
      <w:r>
        <w:t xml:space="preserve"> is a practical approach to control blood glucose levels in insulin-naïve patients with T2DM. Remarkably, the TIR for the titration algorithm B was superior to that in</w:t>
      </w:r>
      <w:r w:rsidR="001D617B">
        <w:t xml:space="preserve"> the</w:t>
      </w:r>
      <w:r>
        <w:t xml:space="preserve"> </w:t>
      </w:r>
      <w:r w:rsidR="001D617B" w:rsidRPr="001D617B">
        <w:t>IGlar</w:t>
      </w:r>
      <w:r>
        <w:t xml:space="preserve"> U100 arm (ETD</w:t>
      </w:r>
      <w:r w:rsidR="003C46C0">
        <w:rPr>
          <w:rStyle w:val="FootnoteReference"/>
        </w:rPr>
        <w:footnoteReference w:id="6"/>
      </w:r>
      <w:r w:rsidR="003C46C0">
        <w:t xml:space="preserve"> </w:t>
      </w:r>
      <w:r>
        <w:t xml:space="preserve">[95% CI]: 7.08% [2.12; 12.04]; p =0.0051) without meaningful increase in the risk for </w:t>
      </w:r>
      <w:r w:rsidR="004112C7">
        <w:t>hypoglycaemia</w:t>
      </w:r>
      <w:r>
        <w:t xml:space="preserve"> (ETD [95% CI] of the time spent &lt;3.9 mmol/L: 0.68% [-0.15, 1.50]). Regarding secondary endpoints, the titration algorithm B was associated with a numerically larger decrease in </w:t>
      </w:r>
      <w:r w:rsidR="00CC62D5">
        <w:t>Δ</w:t>
      </w:r>
      <w:r>
        <w:t xml:space="preserve">A1C (ETD [95% CI]: -0.20% [-0.42, 0.02]) and a neutral outcome for </w:t>
      </w:r>
      <w:r w:rsidR="00DC0747" w:rsidRPr="009D4459">
        <w:rPr>
          <w:rFonts w:ascii="Symbol" w:eastAsia="Calibri" w:hAnsi="Symbol" w:cs="Arial"/>
          <w:color w:val="000000" w:themeColor="text1"/>
          <w:lang w:val="en-US"/>
        </w:rPr>
        <w:t>D</w:t>
      </w:r>
      <w:r>
        <w:t>FPG (ETD [95% CI]: -0.08 mmol/L [-0.56, 0.40]) versus once-daily</w:t>
      </w:r>
      <w:r w:rsidR="001D617B" w:rsidRPr="001D617B">
        <w:t xml:space="preserve"> IGlar</w:t>
      </w:r>
      <w:r>
        <w:t xml:space="preserve"> U100. Given an ~1.2-fold higher dose of insulin, a numerical weight gain (ETD [95% </w:t>
      </w:r>
      <w:r>
        <w:lastRenderedPageBreak/>
        <w:t>CI]: -0.48 kg [-0.49, 1.44]</w:t>
      </w:r>
      <w:r w:rsidR="001D617B">
        <w:t>)</w:t>
      </w:r>
      <w:r>
        <w:t xml:space="preserve"> observed in comparison with once-daily </w:t>
      </w:r>
      <w:r w:rsidR="001D617B" w:rsidRPr="001D617B">
        <w:t>IGlar</w:t>
      </w:r>
      <w:r>
        <w:t xml:space="preserve"> U100 was not surprising.</w:t>
      </w:r>
    </w:p>
    <w:p w14:paraId="22C9D98F" w14:textId="1931EBB2" w:rsidR="00DE7353" w:rsidRDefault="00DE7353" w:rsidP="007E7D27">
      <w:r>
        <w:t xml:space="preserve">Once-weekly </w:t>
      </w:r>
      <w:r w:rsidR="00D64CAE">
        <w:t>IIco</w:t>
      </w:r>
      <w:r>
        <w:t xml:space="preserve"> titration algorithm C (dose reduction only if FPG dropped &lt;3.9 mmol/L) was associated with a significant increase in the time spent &lt;3.9 mmol/L (ETD [95% CI]: 1.18% [0.34, 2.02]; p=0.006). This could be interpreted as failure of non-inferiority for the risk of </w:t>
      </w:r>
      <w:r w:rsidR="004112C7">
        <w:t>hypoglycaemia</w:t>
      </w:r>
      <w:r>
        <w:t xml:space="preserve"> compared with once-daily </w:t>
      </w:r>
      <w:r w:rsidR="001D617B" w:rsidRPr="001D617B">
        <w:t>IGlar</w:t>
      </w:r>
      <w:r>
        <w:t xml:space="preserve"> U100. Not surprising</w:t>
      </w:r>
      <w:r w:rsidR="00CD3850">
        <w:t>ly,</w:t>
      </w:r>
      <w:r>
        <w:t xml:space="preserve"> and in line with this, titration algorithm C required the largest weekly insulin dose (~1.44 fold the dose of once-daily </w:t>
      </w:r>
      <w:r w:rsidR="001D617B" w:rsidRPr="001D617B">
        <w:t>IGlar</w:t>
      </w:r>
      <w:r>
        <w:t xml:space="preserve"> U100). The benefits of titration algorithm C were a small numerical advantage for TIR versus once-daily </w:t>
      </w:r>
      <w:r w:rsidR="001D617B" w:rsidRPr="001D617B">
        <w:t>IGlar</w:t>
      </w:r>
      <w:r>
        <w:t xml:space="preserve"> (ETD [95% CI]: 5.01% [-0.04, 10.05]; p=0.0519) and favo</w:t>
      </w:r>
      <w:r w:rsidR="0081735B">
        <w:t>u</w:t>
      </w:r>
      <w:r>
        <w:t xml:space="preserve">rable outcomes for the secondary </w:t>
      </w:r>
      <w:r w:rsidR="004112C7">
        <w:t>glycaemic</w:t>
      </w:r>
      <w:r>
        <w:t xml:space="preserve"> endpoints (ETD [95% CI] for </w:t>
      </w:r>
      <w:r w:rsidR="0081735B" w:rsidRPr="009D4459">
        <w:rPr>
          <w:rFonts w:ascii="Symbol" w:eastAsia="Calibri" w:hAnsi="Symbol" w:cs="Arial"/>
          <w:color w:val="000000" w:themeColor="text1"/>
          <w:lang w:val="en-US"/>
        </w:rPr>
        <w:t>D</w:t>
      </w:r>
      <w:r>
        <w:t xml:space="preserve">A1C and </w:t>
      </w:r>
      <w:r w:rsidR="0081735B" w:rsidRPr="009D4459">
        <w:rPr>
          <w:rFonts w:ascii="Symbol" w:eastAsia="Calibri" w:hAnsi="Symbol" w:cs="Arial"/>
          <w:color w:val="000000" w:themeColor="text1"/>
          <w:lang w:val="en-US"/>
        </w:rPr>
        <w:t>D</w:t>
      </w:r>
      <w:r>
        <w:t xml:space="preserve">FPG were  0.36% [-0.58, -0.14] and -0.67 mmol/L [ 1.14, -0.19], respectively). </w:t>
      </w:r>
    </w:p>
    <w:p w14:paraId="34ABF8AC" w14:textId="3B33E3B1" w:rsidR="00DE7353" w:rsidRDefault="00DE7353" w:rsidP="007E7D27">
      <w:r>
        <w:t xml:space="preserve">Once weekly </w:t>
      </w:r>
      <w:r w:rsidR="00D64CAE">
        <w:t>IIco</w:t>
      </w:r>
      <w:r>
        <w:t xml:space="preserve"> titration algorithm A resulted in similar TIR as compared with once-daily </w:t>
      </w:r>
      <w:r w:rsidR="001D617B" w:rsidRPr="001D617B">
        <w:t>IGlar</w:t>
      </w:r>
      <w:r>
        <w:t xml:space="preserve"> U100 (ETD [95% CI]: 0.76% [-4.28, 5.80]). Likewise, </w:t>
      </w:r>
      <w:r w:rsidR="0081735B" w:rsidRPr="009D4459">
        <w:rPr>
          <w:rFonts w:ascii="Symbol" w:eastAsia="Calibri" w:hAnsi="Symbol" w:cs="Arial"/>
          <w:color w:val="000000" w:themeColor="text1"/>
          <w:lang w:val="en-US"/>
        </w:rPr>
        <w:t>D</w:t>
      </w:r>
      <w:r>
        <w:t xml:space="preserve">A1C (ETD [95% CI]: 0.02% [-0.20, 0.24]) and </w:t>
      </w:r>
      <w:r w:rsidR="0081735B" w:rsidRPr="009D4459">
        <w:rPr>
          <w:rFonts w:ascii="Symbol" w:eastAsia="Calibri" w:hAnsi="Symbol" w:cs="Arial"/>
          <w:color w:val="000000" w:themeColor="text1"/>
          <w:lang w:val="en-US"/>
        </w:rPr>
        <w:t>D</w:t>
      </w:r>
      <w:r>
        <w:t xml:space="preserve">FPG (ETD [95% CI]: 0.12% [-0.36, 0.59]) were equivalent with that in the active control arm. </w:t>
      </w:r>
    </w:p>
    <w:p w14:paraId="446FC164" w14:textId="424F3978" w:rsidR="00DE7353" w:rsidRDefault="00DE7353" w:rsidP="007E7D27">
      <w:r>
        <w:t xml:space="preserve">Once-weekly </w:t>
      </w:r>
      <w:r w:rsidR="00D64CAE">
        <w:t>IIco</w:t>
      </w:r>
      <w:r>
        <w:t xml:space="preserve"> titrated according to algorithm B provided the most </w:t>
      </w:r>
      <w:r w:rsidR="004112C7">
        <w:t>favourable</w:t>
      </w:r>
      <w:r>
        <w:t xml:space="preserve"> outcomes </w:t>
      </w:r>
      <w:proofErr w:type="gramStart"/>
      <w:r>
        <w:t>with regard to</w:t>
      </w:r>
      <w:proofErr w:type="gramEnd"/>
      <w:r>
        <w:t xml:space="preserve"> the glucose level achieved, while titration algorithm A appeared to be more modest in this regard. At the same time, both algorithms were associated with only marginally increased risk of </w:t>
      </w:r>
      <w:r w:rsidR="004112C7">
        <w:t>hypoglycaemia</w:t>
      </w:r>
      <w:r>
        <w:t xml:space="preserve"> (vs. once-daily </w:t>
      </w:r>
      <w:r w:rsidR="001D617B" w:rsidRPr="001D617B">
        <w:t>IGlar</w:t>
      </w:r>
      <w:r>
        <w:t xml:space="preserve"> U100). In contrast, titration algorithm C appeared to carry an increase in the risk of </w:t>
      </w:r>
      <w:r w:rsidR="004112C7">
        <w:t>hypoglycaemia</w:t>
      </w:r>
      <w:r>
        <w:t>.</w:t>
      </w:r>
    </w:p>
    <w:p w14:paraId="0E5AEA2E" w14:textId="47894FEC" w:rsidR="00DE7353" w:rsidRDefault="00DE7353" w:rsidP="000D2CCF">
      <w:pPr>
        <w:pStyle w:val="Heading6"/>
      </w:pPr>
      <w:r>
        <w:t>Study 4466</w:t>
      </w:r>
    </w:p>
    <w:p w14:paraId="50D699D0" w14:textId="64BE51E3" w:rsidR="00DE7353" w:rsidRDefault="00DE7353" w:rsidP="00000C36">
      <w:r>
        <w:t xml:space="preserve">This was a 23-week study in patients with T2DM who failed adequate </w:t>
      </w:r>
      <w:r w:rsidR="004112C7">
        <w:t>glycaemic</w:t>
      </w:r>
      <w:r>
        <w:t xml:space="preserve"> control (A1C ≥ 7%) with prior treatment including a once- or twice-daily basal insulin (i</w:t>
      </w:r>
      <w:r w:rsidR="009C49AC" w:rsidRPr="009C49AC">
        <w:t xml:space="preserve"> IDeg</w:t>
      </w:r>
      <w:r>
        <w:t xml:space="preserve">, insulin detemir, </w:t>
      </w:r>
      <w:r w:rsidR="001D617B" w:rsidRPr="001D617B">
        <w:t>IGlar</w:t>
      </w:r>
      <w:r>
        <w:t xml:space="preserve"> U100 or U300, total daily dose of 10-50 U for ≥ 90 days) on top of metformin </w:t>
      </w:r>
      <w:r w:rsidR="00094A52">
        <w:t>+/-</w:t>
      </w:r>
      <w:r>
        <w:t xml:space="preserve"> DPP4i </w:t>
      </w:r>
      <w:r w:rsidR="00094A52">
        <w:t>+/-</w:t>
      </w:r>
      <w:r>
        <w:t xml:space="preserve"> SGLT2i. The actual treatment period (16 weeks) explored two switch approaches, switch with additional 100% loading dose (I287</w:t>
      </w:r>
      <w:r w:rsidR="00442F16">
        <w:t xml:space="preserve"> </w:t>
      </w:r>
      <w:r>
        <w:t xml:space="preserve">+ load) vs. switch with no loading dose (I287), both in comparison with the active comparator </w:t>
      </w:r>
      <w:r w:rsidR="001D617B" w:rsidRPr="001D617B">
        <w:t>IGlar</w:t>
      </w:r>
      <w:r>
        <w:t xml:space="preserve"> U100 (IGlar).</w:t>
      </w:r>
    </w:p>
    <w:p w14:paraId="53D795C1" w14:textId="61310D2E" w:rsidR="00DE7353" w:rsidRDefault="00CD3850" w:rsidP="00000C36">
      <w:r>
        <w:t>The p</w:t>
      </w:r>
      <w:r w:rsidR="00DE7353">
        <w:t xml:space="preserve">rimary endpoint was the CGM parameter </w:t>
      </w:r>
      <w:proofErr w:type="gramStart"/>
      <w:r w:rsidR="00DE7353">
        <w:t>TIR(</w:t>
      </w:r>
      <w:proofErr w:type="gramEnd"/>
      <w:r w:rsidR="00DE7353">
        <w:t xml:space="preserve">%) during week 15 and 16 of the treatment period. Secondary endpoint included </w:t>
      </w:r>
      <w:r w:rsidR="00E2646C">
        <w:t>Δ</w:t>
      </w:r>
      <w:r w:rsidR="00DE7353">
        <w:t xml:space="preserve">A1C, </w:t>
      </w:r>
      <w:r w:rsidR="00E2646C">
        <w:t>Δ</w:t>
      </w:r>
      <w:r w:rsidR="00DE7353">
        <w:t xml:space="preserve">FPG, </w:t>
      </w:r>
      <w:r w:rsidR="00E2646C">
        <w:t>Δ</w:t>
      </w:r>
      <w:r w:rsidR="00DE7353">
        <w:t>BW</w:t>
      </w:r>
      <w:r w:rsidR="00A73494">
        <w:rPr>
          <w:rStyle w:val="FootnoteReference"/>
        </w:rPr>
        <w:footnoteReference w:id="7"/>
      </w:r>
      <w:r w:rsidR="00DE7353">
        <w:t xml:space="preserve"> , and the insulin dose. </w:t>
      </w:r>
    </w:p>
    <w:p w14:paraId="346D4B0B" w14:textId="4B5D3A92" w:rsidR="00DE7353" w:rsidRDefault="00D90ED6" w:rsidP="00931BB8">
      <w:r>
        <w:t>The f</w:t>
      </w:r>
      <w:r w:rsidR="00DE7353">
        <w:t xml:space="preserve">ollowing are the outcomes for </w:t>
      </w:r>
      <w:r w:rsidR="00D47080">
        <w:t>p</w:t>
      </w:r>
      <w:r w:rsidR="00DE7353">
        <w:t>rimary and secondary endpoints:</w:t>
      </w:r>
    </w:p>
    <w:p w14:paraId="5FE4A4E9" w14:textId="122E98A7" w:rsidR="00DE7353" w:rsidRDefault="00DE7353" w:rsidP="00421471">
      <w:pPr>
        <w:pStyle w:val="TableTitle"/>
      </w:pPr>
      <w:r>
        <w:lastRenderedPageBreak/>
        <w:t xml:space="preserve">Table </w:t>
      </w:r>
      <w:r w:rsidR="00667967">
        <w:t>4</w:t>
      </w:r>
      <w:r>
        <w:t>: Primary and secondary end points outcomes for Study 4466</w:t>
      </w:r>
    </w:p>
    <w:p w14:paraId="3F1E5F07" w14:textId="77777777" w:rsidR="00442F16" w:rsidRDefault="003063F1" w:rsidP="0094266C">
      <w:r>
        <w:rPr>
          <w:noProof/>
        </w:rPr>
        <w:drawing>
          <wp:inline distT="0" distB="0" distL="0" distR="0" wp14:anchorId="5F2B2C25" wp14:editId="3F81A912">
            <wp:extent cx="3755440" cy="3329796"/>
            <wp:effectExtent l="0" t="0" r="0" b="4445"/>
            <wp:docPr id="9939273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27312" name="Picture 1">
                      <a:extLst>
                        <a:ext uri="{C183D7F6-B498-43B3-948B-1728B52AA6E4}">
                          <adec:decorative xmlns:adec="http://schemas.microsoft.com/office/drawing/2017/decorative" val="1"/>
                        </a:ext>
                      </a:extLst>
                    </pic:cNvPr>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Lst>
                    </a:blip>
                    <a:stretch>
                      <a:fillRect/>
                    </a:stretch>
                  </pic:blipFill>
                  <pic:spPr>
                    <a:xfrm>
                      <a:off x="0" y="0"/>
                      <a:ext cx="3763650" cy="3337075"/>
                    </a:xfrm>
                    <a:prstGeom prst="rect">
                      <a:avLst/>
                    </a:prstGeom>
                  </pic:spPr>
                </pic:pic>
              </a:graphicData>
            </a:graphic>
          </wp:inline>
        </w:drawing>
      </w:r>
    </w:p>
    <w:p w14:paraId="61975629" w14:textId="49754A5A" w:rsidR="00DE7353" w:rsidRDefault="00D47080" w:rsidP="00D47080">
      <w:pPr>
        <w:pStyle w:val="TableDescription"/>
      </w:pPr>
      <w:r>
        <w:t>Abbreviations: ETD: estimated treatment difference, ETR: estimated treatment ratio, *: statistically significant difference, CI: confidence interval, TIR: time in range, FPG: fasting plasma glucose.</w:t>
      </w:r>
    </w:p>
    <w:p w14:paraId="05D142BB" w14:textId="5DF73E79" w:rsidR="00DE7353" w:rsidRDefault="00DE7353" w:rsidP="00931BB8">
      <w:r w:rsidRPr="00931BB8">
        <w:t xml:space="preserve">This meant that I287 + load switching approach was superior to IGlar in terms of TIR and lead to numerically larger reductions in </w:t>
      </w:r>
      <w:r w:rsidR="00825AD0" w:rsidRPr="00931BB8">
        <w:t>Δ</w:t>
      </w:r>
      <w:r w:rsidRPr="00931BB8">
        <w:t xml:space="preserve">A1C and </w:t>
      </w:r>
      <w:r w:rsidR="00825AD0" w:rsidRPr="00931BB8">
        <w:t>Δ</w:t>
      </w:r>
      <w:r w:rsidRPr="00931BB8">
        <w:t xml:space="preserve">FPG. The I287 switching approach yielded results similar (non-inferior) to that in the IGlar arm for TIR, </w:t>
      </w:r>
      <w:r w:rsidR="00825AD0" w:rsidRPr="00931BB8">
        <w:t>Δ</w:t>
      </w:r>
      <w:r w:rsidRPr="00931BB8">
        <w:t xml:space="preserve">A1C, and </w:t>
      </w:r>
      <w:r w:rsidR="00825AD0" w:rsidRPr="00931BB8">
        <w:t>Δ</w:t>
      </w:r>
      <w:r w:rsidRPr="00931BB8">
        <w:t>FPG. Both regimens decreased the time spent &gt;10 mmol/L, I287</w:t>
      </w:r>
      <w:r>
        <w:t xml:space="preserve"> numerically and I28 + load statistically significant. </w:t>
      </w:r>
    </w:p>
    <w:p w14:paraId="47F9BF9F" w14:textId="26F3BE52" w:rsidR="00DE7353" w:rsidRDefault="00DE7353" w:rsidP="00B74723">
      <w:pPr>
        <w:pStyle w:val="TableTitle"/>
      </w:pPr>
      <w:r>
        <w:t xml:space="preserve">Table </w:t>
      </w:r>
      <w:r w:rsidR="00667967">
        <w:t>5</w:t>
      </w:r>
      <w:r>
        <w:t xml:space="preserve">: </w:t>
      </w:r>
      <w:r w:rsidR="00727CF3" w:rsidRPr="00727CF3">
        <w:t xml:space="preserve">Time Above Range </w:t>
      </w:r>
      <w:r w:rsidR="00727CF3">
        <w:t>(</w:t>
      </w:r>
      <w:r>
        <w:t>TAR</w:t>
      </w:r>
      <w:r w:rsidR="00727CF3">
        <w:t>)</w:t>
      </w:r>
      <w:r>
        <w:t xml:space="preserve"> </w:t>
      </w:r>
      <w:r w:rsidRPr="00096B12">
        <w:rPr>
          <w:vertAlign w:val="subscript"/>
        </w:rPr>
        <w:t>&gt;10mmoL (180mg/</w:t>
      </w:r>
      <w:proofErr w:type="gramStart"/>
      <w:r w:rsidRPr="00096B12">
        <w:rPr>
          <w:vertAlign w:val="subscript"/>
        </w:rPr>
        <w:t>dL )</w:t>
      </w:r>
      <w:proofErr w:type="gramEnd"/>
      <w:r>
        <w:t xml:space="preserve">(%) during the last two </w:t>
      </w:r>
      <w:r w:rsidR="00096B12">
        <w:t>w</w:t>
      </w:r>
      <w:r>
        <w:t>eek</w:t>
      </w:r>
      <w:r w:rsidR="00096B12">
        <w:t>s</w:t>
      </w:r>
      <w:r>
        <w:t xml:space="preserve"> of treatment (week 15 and 16)- </w:t>
      </w:r>
      <w:r w:rsidR="00B74723">
        <w:t>p</w:t>
      </w:r>
      <w:r>
        <w:t>ost hoc statistical analysis</w:t>
      </w:r>
    </w:p>
    <w:p w14:paraId="739718AC" w14:textId="6A180563" w:rsidR="00283D9A" w:rsidRDefault="00283D9A" w:rsidP="0094266C">
      <w:r>
        <w:rPr>
          <w:noProof/>
        </w:rPr>
        <w:drawing>
          <wp:inline distT="0" distB="0" distL="0" distR="0" wp14:anchorId="3693A72B" wp14:editId="0FC6B57A">
            <wp:extent cx="4459857" cy="1098984"/>
            <wp:effectExtent l="0" t="0" r="0" b="6350"/>
            <wp:docPr id="207908654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86549" name="Picture 1">
                      <a:extLst>
                        <a:ext uri="{C183D7F6-B498-43B3-948B-1728B52AA6E4}">
                          <adec:decorative xmlns:adec="http://schemas.microsoft.com/office/drawing/2017/decorative" val="1"/>
                        </a:ext>
                      </a:extLst>
                    </pic:cNvPr>
                    <pic:cNvPicPr/>
                  </pic:nvPicPr>
                  <pic:blipFill>
                    <a:blip r:embed="rId41"/>
                    <a:stretch>
                      <a:fillRect/>
                    </a:stretch>
                  </pic:blipFill>
                  <pic:spPr>
                    <a:xfrm>
                      <a:off x="0" y="0"/>
                      <a:ext cx="4473737" cy="1102404"/>
                    </a:xfrm>
                    <a:prstGeom prst="rect">
                      <a:avLst/>
                    </a:prstGeom>
                  </pic:spPr>
                </pic:pic>
              </a:graphicData>
            </a:graphic>
          </wp:inline>
        </w:drawing>
      </w:r>
    </w:p>
    <w:p w14:paraId="0174449D" w14:textId="7A24B6DF" w:rsidR="005B25E6" w:rsidRDefault="005B25E6" w:rsidP="005B25E6">
      <w:pPr>
        <w:pStyle w:val="TableDescription"/>
      </w:pPr>
      <w:r>
        <w:t>Abbreviations: CI: Confidence interval, N: Number of subjects contributing to the analysis, SE: Standard error of the mean, SGLT2i: Sodium-glucose cotransporter 2 inhibitor</w:t>
      </w:r>
    </w:p>
    <w:p w14:paraId="1BBD76ED" w14:textId="3DB4A8A4" w:rsidR="005B25E6" w:rsidRDefault="005B25E6" w:rsidP="005B25E6">
      <w:pPr>
        <w:pStyle w:val="TableDescription"/>
      </w:pPr>
      <w:r>
        <w:t>P-value: Two-sided p-value for test of no treatment difference. No correction for multiplicity. Time spent above range is defined as 100 times the number of recorded measurements &gt;10.0 mmol/L (180 mg/dL), divided by the total number of recorded measurements. The response during the last two weeks of treatment (week 15 and 16) is analysed using an analysis of covariance (ANCOVA) model with treatment and SGLT2i use as fixed factors, and baseline response as covariate. Missing endpoint values are imputed using multiple imputation based on own treatment arm with baseline response as a covariate. Each imputed dataset is analysed separately, and estimates are combined using Rubin's rules.</w:t>
      </w:r>
    </w:p>
    <w:p w14:paraId="51835B7E" w14:textId="17F83CE2" w:rsidR="00DE7353" w:rsidRDefault="00DE7353" w:rsidP="008D4896">
      <w:r>
        <w:t>At the same time, the I28 + load switching approach was unfavo</w:t>
      </w:r>
      <w:r w:rsidR="00B74723">
        <w:t>u</w:t>
      </w:r>
      <w:r>
        <w:t xml:space="preserve">rably associated with a significant rise of the time spent &lt;3.9 mmol/L. </w:t>
      </w:r>
    </w:p>
    <w:p w14:paraId="0C682792" w14:textId="774D2C1C" w:rsidR="00DE7353" w:rsidRDefault="00DE7353" w:rsidP="00B74723">
      <w:pPr>
        <w:pStyle w:val="TableTitle"/>
      </w:pPr>
      <w:r>
        <w:lastRenderedPageBreak/>
        <w:t xml:space="preserve">Table </w:t>
      </w:r>
      <w:r w:rsidR="00667967">
        <w:t>6</w:t>
      </w:r>
      <w:r>
        <w:t xml:space="preserve">: </w:t>
      </w:r>
      <w:r w:rsidR="00666936">
        <w:t>Time below range (</w:t>
      </w:r>
      <w:r>
        <w:t>TBR</w:t>
      </w:r>
      <w:r w:rsidR="00666936">
        <w:t>)</w:t>
      </w:r>
      <w:r>
        <w:t xml:space="preserve"> </w:t>
      </w:r>
      <w:r w:rsidRPr="00B74723">
        <w:rPr>
          <w:vertAlign w:val="subscript"/>
        </w:rPr>
        <w:t>&lt;3.9mmoL (70mg/dL</w:t>
      </w:r>
      <w:r w:rsidR="00B74723" w:rsidRPr="00B74723">
        <w:rPr>
          <w:vertAlign w:val="subscript"/>
        </w:rPr>
        <w:t>)</w:t>
      </w:r>
      <w:r>
        <w:t xml:space="preserve"> (%) during the last two </w:t>
      </w:r>
      <w:r w:rsidR="00B74723">
        <w:t>w</w:t>
      </w:r>
      <w:r>
        <w:t>eek</w:t>
      </w:r>
      <w:r w:rsidR="00B74723">
        <w:t>s</w:t>
      </w:r>
      <w:r>
        <w:t xml:space="preserve"> of treatment (week 15 and 16)-</w:t>
      </w:r>
      <w:r w:rsidR="00B74723">
        <w:t>p</w:t>
      </w:r>
      <w:r>
        <w:t>ost hoc statistical analysis</w:t>
      </w:r>
    </w:p>
    <w:p w14:paraId="428BB065" w14:textId="1114411D" w:rsidR="00B74723" w:rsidRDefault="00B74723" w:rsidP="0094266C">
      <w:r>
        <w:rPr>
          <w:noProof/>
        </w:rPr>
        <w:drawing>
          <wp:inline distT="0" distB="0" distL="0" distR="0" wp14:anchorId="5112B29A" wp14:editId="010BB4F0">
            <wp:extent cx="5759450" cy="1443990"/>
            <wp:effectExtent l="0" t="0" r="0" b="3810"/>
            <wp:docPr id="9337323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32307" name="Picture 1">
                      <a:extLst>
                        <a:ext uri="{C183D7F6-B498-43B3-948B-1728B52AA6E4}">
                          <adec:decorative xmlns:adec="http://schemas.microsoft.com/office/drawing/2017/decorative" val="1"/>
                        </a:ext>
                      </a:extLst>
                    </pic:cNvPr>
                    <pic:cNvPicPr/>
                  </pic:nvPicPr>
                  <pic:blipFill>
                    <a:blip r:embed="rId42"/>
                    <a:stretch>
                      <a:fillRect/>
                    </a:stretch>
                  </pic:blipFill>
                  <pic:spPr>
                    <a:xfrm>
                      <a:off x="0" y="0"/>
                      <a:ext cx="5759450" cy="1443990"/>
                    </a:xfrm>
                    <a:prstGeom prst="rect">
                      <a:avLst/>
                    </a:prstGeom>
                  </pic:spPr>
                </pic:pic>
              </a:graphicData>
            </a:graphic>
          </wp:inline>
        </w:drawing>
      </w:r>
    </w:p>
    <w:p w14:paraId="6FD78158" w14:textId="192BED1D" w:rsidR="00303E7E" w:rsidRDefault="00303E7E" w:rsidP="00303E7E">
      <w:pPr>
        <w:pStyle w:val="TableDescription"/>
      </w:pPr>
      <w:r>
        <w:t>Abbreviations: CI: Confidence interval, N: Number of subjects contributing to the analysis, SE: Standard error of the mean, SGLT2i: Sodium-glucose cotransporter 2 inhibitor.</w:t>
      </w:r>
    </w:p>
    <w:p w14:paraId="004199D6" w14:textId="3F252BB7" w:rsidR="00B74723" w:rsidRDefault="00303E7E" w:rsidP="00303E7E">
      <w:pPr>
        <w:pStyle w:val="TableDescription"/>
      </w:pPr>
      <w:r>
        <w:t>Note: P-value: Two-sided p-value for test of no treatment difference. No correction for multiplicity. Time spent below range is defined as 100 times the number of recorded measurements &lt;3.9 mmol/L (70 mg/dL), divided by the total number of recorded measurements. The response during the last two weeks of treatment (week 15 and 16) is analysed using an analysis of covariance (ANCOVA)model with treatment and SGLT2i use as fixed factors, and baseline response as covariate. Missing endpoint values are imputed using multiple imputation based on own treatment arm with baseline response as a covariate. Each imputed dataset is analysed separately, and estimates are combined using Rubin's rules.</w:t>
      </w:r>
    </w:p>
    <w:p w14:paraId="54BE36AD" w14:textId="0EE0F42F" w:rsidR="00DE7353" w:rsidRDefault="00DE7353" w:rsidP="0023669B">
      <w:r>
        <w:t xml:space="preserve">In summary, switching from once-daily basal insulin to once-weekly </w:t>
      </w:r>
      <w:r w:rsidR="00D64CAE">
        <w:t>IIco</w:t>
      </w:r>
      <w:r>
        <w:t xml:space="preserve"> according to two approaches with (I287 + load) and without loading dose (I287) were generally practicable. However, given the increase in the time spent in the </w:t>
      </w:r>
      <w:r w:rsidR="004112C7">
        <w:t>hypoglycaemic</w:t>
      </w:r>
      <w:r>
        <w:t xml:space="preserve"> range in the I287 + load arm, the I287 approach appears preferable.</w:t>
      </w:r>
    </w:p>
    <w:p w14:paraId="2044667D" w14:textId="2D489847" w:rsidR="00DE7353" w:rsidRDefault="00DE7353" w:rsidP="0023669B">
      <w:r>
        <w:t xml:space="preserve">Of-note, </w:t>
      </w:r>
      <w:r w:rsidR="00EE1BCD">
        <w:t>t</w:t>
      </w:r>
      <w:r>
        <w:t xml:space="preserve">he Phase 3 studies ONWARDS 2, 4 and 6 initiated </w:t>
      </w:r>
      <w:r w:rsidR="00D64CAE">
        <w:t>IIco</w:t>
      </w:r>
      <w:r>
        <w:t xml:space="preserve"> QW treatment with a reduced initial additional loading dose of 50%.</w:t>
      </w:r>
    </w:p>
    <w:p w14:paraId="7B1C8281" w14:textId="0CDB16E8" w:rsidR="00DE7353" w:rsidRDefault="00303E7E" w:rsidP="00303E7E">
      <w:pPr>
        <w:pStyle w:val="Heading4"/>
      </w:pPr>
      <w:bookmarkStart w:id="45" w:name="_Toc202172230"/>
      <w:r>
        <w:t>E</w:t>
      </w:r>
      <w:r w:rsidR="00DE7353">
        <w:t>fficacy</w:t>
      </w:r>
      <w:bookmarkEnd w:id="45"/>
    </w:p>
    <w:p w14:paraId="0FC77871" w14:textId="5A79BDD9" w:rsidR="00DE7353" w:rsidRDefault="00804E73" w:rsidP="0023669B">
      <w:r>
        <w:t>The e</w:t>
      </w:r>
      <w:r w:rsidR="00DE7353">
        <w:t xml:space="preserve">fficacy for </w:t>
      </w:r>
      <w:r w:rsidR="00D64CAE">
        <w:t>IIco</w:t>
      </w:r>
      <w:r w:rsidR="00DE7353">
        <w:t xml:space="preserve"> is supported by the ONWARDS program consisting of six pivotal Phase 3 studies sharing most features of design and conduct. Two of the trials (ONWARDS 1 and 6) include a main phase with primary analysis at week 52 and week 26 respectively. A treat-to-target approach was followed in all trials except ONWARDS 5, which was designed to mimic a clinical practice setting where </w:t>
      </w:r>
      <w:r w:rsidR="00D64CAE">
        <w:t>IIco</w:t>
      </w:r>
      <w:r w:rsidR="00DE7353">
        <w:t xml:space="preserve"> was used together with a dosing guidance application. For this trial, a broad patient population was included to reflect the range of T2D</w:t>
      </w:r>
      <w:r w:rsidR="00FE1540">
        <w:t xml:space="preserve">M </w:t>
      </w:r>
      <w:r w:rsidR="00DE7353">
        <w:t xml:space="preserve">subjects in real life, i.e. subjects with any comorbidities were not excluded in this trial, visit frequency was lower (every 3 months) and there was no upper limit on the HbA1c value at screening. </w:t>
      </w:r>
    </w:p>
    <w:p w14:paraId="726437FA" w14:textId="77777777" w:rsidR="00DE7353" w:rsidRDefault="00DE7353" w:rsidP="00F324FA">
      <w:pPr>
        <w:pStyle w:val="FigureTitle"/>
      </w:pPr>
      <w:r>
        <w:lastRenderedPageBreak/>
        <w:t>Figure 7:  ONWARDS Trial Designs</w:t>
      </w:r>
    </w:p>
    <w:p w14:paraId="53318171" w14:textId="298268B8" w:rsidR="00F324FA" w:rsidRDefault="00F324FA" w:rsidP="0094266C">
      <w:r>
        <w:rPr>
          <w:noProof/>
        </w:rPr>
        <w:drawing>
          <wp:inline distT="0" distB="0" distL="0" distR="0" wp14:anchorId="7F9AB8AD" wp14:editId="734227A0">
            <wp:extent cx="4301630" cy="2562045"/>
            <wp:effectExtent l="0" t="0" r="3810" b="0"/>
            <wp:docPr id="1480846903"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46903" name="Picture 9">
                      <a:extLst>
                        <a:ext uri="{C183D7F6-B498-43B3-948B-1728B52AA6E4}">
                          <adec:decorative xmlns:adec="http://schemas.microsoft.com/office/drawing/2017/decorative" val="1"/>
                        </a:ext>
                      </a:extLst>
                    </pic:cNvPr>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25845" cy="2576468"/>
                    </a:xfrm>
                    <a:prstGeom prst="rect">
                      <a:avLst/>
                    </a:prstGeom>
                    <a:noFill/>
                  </pic:spPr>
                </pic:pic>
              </a:graphicData>
            </a:graphic>
          </wp:inline>
        </w:drawing>
      </w:r>
    </w:p>
    <w:p w14:paraId="446D9A86" w14:textId="77777777" w:rsidR="00A32581" w:rsidRDefault="00DE7353" w:rsidP="0094266C">
      <w:r>
        <w:t xml:space="preserve"> </w:t>
      </w:r>
    </w:p>
    <w:p w14:paraId="09C4631E" w14:textId="735912F8" w:rsidR="00DE7353" w:rsidRDefault="00441C72" w:rsidP="0094266C">
      <w:pPr>
        <w:pStyle w:val="TableTitle"/>
      </w:pPr>
      <w:r w:rsidRPr="00441C72">
        <w:t xml:space="preserve">Table </w:t>
      </w:r>
      <w:r w:rsidR="00667967">
        <w:t>7</w:t>
      </w:r>
      <w:r w:rsidRPr="00441C72">
        <w:t>: Pivotal Studies – ONWARDS Development Programme Overview</w:t>
      </w:r>
    </w:p>
    <w:p w14:paraId="0CE8F020" w14:textId="4448258D" w:rsidR="00A32581" w:rsidRDefault="00A32581" w:rsidP="0094266C">
      <w:r>
        <w:rPr>
          <w:noProof/>
        </w:rPr>
        <w:drawing>
          <wp:inline distT="0" distB="0" distL="0" distR="0" wp14:anchorId="335AA123" wp14:editId="47BB308B">
            <wp:extent cx="4879072" cy="3377925"/>
            <wp:effectExtent l="7620" t="0" r="5715" b="5715"/>
            <wp:docPr id="358568802"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8802" name="Picture 10">
                      <a:extLst>
                        <a:ext uri="{C183D7F6-B498-43B3-948B-1728B52AA6E4}">
                          <adec:decorative xmlns:adec="http://schemas.microsoft.com/office/drawing/2017/decorative" val="1"/>
                        </a:ext>
                      </a:extLst>
                    </pic:cNvPr>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924505" cy="3409379"/>
                    </a:xfrm>
                    <a:prstGeom prst="rect">
                      <a:avLst/>
                    </a:prstGeom>
                    <a:noFill/>
                  </pic:spPr>
                </pic:pic>
              </a:graphicData>
            </a:graphic>
          </wp:inline>
        </w:drawing>
      </w:r>
    </w:p>
    <w:p w14:paraId="0A1032A9" w14:textId="1DA9F563" w:rsidR="00BD4DAA" w:rsidRPr="0023669B" w:rsidRDefault="00BD4DAA" w:rsidP="0023669B">
      <w:pPr>
        <w:pStyle w:val="Heading6"/>
      </w:pPr>
      <w:r w:rsidRPr="0023669B">
        <w:t xml:space="preserve">Objectives and </w:t>
      </w:r>
      <w:proofErr w:type="spellStart"/>
      <w:r w:rsidR="0023669B">
        <w:t>e</w:t>
      </w:r>
      <w:r w:rsidRPr="0023669B">
        <w:t>stimands</w:t>
      </w:r>
      <w:proofErr w:type="spellEnd"/>
    </w:p>
    <w:p w14:paraId="2A743C1C" w14:textId="50A1F959" w:rsidR="00BD4DAA" w:rsidRDefault="00BD4DAA" w:rsidP="0023669B">
      <w:r>
        <w:t xml:space="preserve">The primary objective for the phase 3a trials was to demonstrate the effect of glycaemic control of once-weekly </w:t>
      </w:r>
      <w:r w:rsidR="00D64CAE">
        <w:t>IIco</w:t>
      </w:r>
      <w:r>
        <w:t xml:space="preserve"> compared to a daily basal insulin in both T2D</w:t>
      </w:r>
      <w:r w:rsidR="00FE1540">
        <w:t>M</w:t>
      </w:r>
      <w:r>
        <w:t xml:space="preserve"> and T1D</w:t>
      </w:r>
      <w:r w:rsidR="00FE1540">
        <w:t>M</w:t>
      </w:r>
      <w:r>
        <w:t xml:space="preserve"> patient </w:t>
      </w:r>
      <w:r>
        <w:lastRenderedPageBreak/>
        <w:t xml:space="preserve">populations. The primary endpoint, change in HbA1c, was assessed from baseline to week 26 in ONWARDS 2, 3, 4 and 6, and from baseline to week 52 in ONWARDS 1 and 5. To further evaluate glycaemic control, ONWARDS 1, 2, 4, and 6 had continuous glucose monitoring (CGM) profiles collected. To evaluate treatment satisfaction, patient reported outcomes were included in ONWARDS 2, 5, and 6.  </w:t>
      </w:r>
    </w:p>
    <w:p w14:paraId="4832D949" w14:textId="53A7B90E" w:rsidR="00BD4DAA" w:rsidRDefault="00BD4DAA" w:rsidP="0023669B">
      <w:r>
        <w:t xml:space="preserve">The primary endpoint was the change in HbA1c from baseline to week 26. The estimands was defined as the treatment difference between </w:t>
      </w:r>
      <w:r w:rsidR="00D64CAE">
        <w:t>IIco</w:t>
      </w:r>
      <w:r>
        <w:t xml:space="preserve"> and daily basal insulin comparator of the change in HbA1c from baseline to week 26 (ONWARDS 2, 3, 4 and 6) or week 52 (ONWARDS 1 and 5) for all randomised subjects, irrespective of adherence to randomised treatment and changes to anti-diabetic background medication.  The treatment policy strategy was applied to the intercurrent events of 1) treatment discontinuation or 2) initiation of bolus treatment lasting for more than 2 weeks in bolus-naïve subjects (ONWARDS 1, 2, and 3). This estimand intends to give an estimation of the population-level treatment effect, i.e. an ‘intention-to treat’ analysis.</w:t>
      </w:r>
    </w:p>
    <w:p w14:paraId="61C69A90" w14:textId="1FB0E409" w:rsidR="00BD4DAA" w:rsidRPr="00BD4DAA" w:rsidRDefault="00BD4DAA" w:rsidP="0023669B">
      <w:pPr>
        <w:pStyle w:val="Heading6"/>
      </w:pPr>
      <w:r w:rsidRPr="00BD4DAA">
        <w:t xml:space="preserve">Main </w:t>
      </w:r>
      <w:r w:rsidR="0023669B">
        <w:t>e</w:t>
      </w:r>
      <w:r w:rsidRPr="00BD4DAA">
        <w:t>ligibility criteria</w:t>
      </w:r>
    </w:p>
    <w:p w14:paraId="1B246660" w14:textId="661D890C" w:rsidR="00BD4DAA" w:rsidRDefault="00BD4DAA" w:rsidP="0023669B">
      <w:r>
        <w:t>Across the phase 3a ONWARDS trials, the patient populations comprised of insulin-naïve T2D</w:t>
      </w:r>
      <w:r w:rsidR="00FE1540">
        <w:t>M</w:t>
      </w:r>
      <w:r>
        <w:t xml:space="preserve"> subjects (ONWARDS 1, 3, and 5), insulin-experienced T2D</w:t>
      </w:r>
      <w:r w:rsidR="00FE1540">
        <w:t>M</w:t>
      </w:r>
      <w:r>
        <w:t xml:space="preserve"> switching from another basal insulin (ONWARDS 2), and T2D</w:t>
      </w:r>
      <w:r w:rsidR="00FE1540">
        <w:t>M</w:t>
      </w:r>
      <w:r>
        <w:t xml:space="preserve"> and T1D</w:t>
      </w:r>
      <w:r w:rsidR="00FE1540">
        <w:t>M</w:t>
      </w:r>
      <w:r>
        <w:t xml:space="preserve"> subjects on a basal-bolus regimen (ONWARDS 4 and 6). The eligibility criteria for ONWARDS 5 were broader to include a wider patient population more reflective of the targeted T2D</w:t>
      </w:r>
      <w:r w:rsidR="00FE1540">
        <w:t>M</w:t>
      </w:r>
      <w:r>
        <w:t xml:space="preserve"> population in the real world.</w:t>
      </w:r>
    </w:p>
    <w:p w14:paraId="5E781F1B" w14:textId="77777777" w:rsidR="00BD4DAA" w:rsidRPr="00BD4DAA" w:rsidRDefault="00BD4DAA" w:rsidP="0023669B">
      <w:pPr>
        <w:pStyle w:val="Heading6"/>
      </w:pPr>
      <w:r w:rsidRPr="00BD4DAA">
        <w:t>Statistical analyses</w:t>
      </w:r>
    </w:p>
    <w:p w14:paraId="414E2B6C" w14:textId="6D1A145A" w:rsidR="00BD4DAA" w:rsidRDefault="00BD4DAA" w:rsidP="0023669B">
      <w:r>
        <w:t>In all trials, an upper limit of 95% confidence interval for the mean difference of the primary endpoint (change in HbA1c from baseline) was compared to the pre-specified non-inferiority margin of 0.3%. In ONWARDS 1, 2, 3 and 5, additional clinically relevant confirmatory hypotheses were assessed and adjusted for multiplicity via a hierarchical testing approach and tested at a 5% two-sided significance level. If non-inferiority was demonstrated, there were subsequent tests for superiority in HbA1c. In ONWARDS 1, if non-inferiority in HbA1c was demonstrated, there was a subsequent test for superiority in percentage of</w:t>
      </w:r>
      <w:r w:rsidR="00D22C12">
        <w:t xml:space="preserve"> </w:t>
      </w:r>
      <w:r>
        <w:t>TIR before the superiority test in HbA1c.</w:t>
      </w:r>
    </w:p>
    <w:p w14:paraId="6EE49530" w14:textId="77777777" w:rsidR="00BD4DAA" w:rsidRDefault="00BD4DAA" w:rsidP="0023669B">
      <w:r>
        <w:t>Continuous endpoints (including the primary endpoint) except time below glycaemic range (TBR) were analysed using an analysis of covariance (ANCOVA) including treatment, stratification factor (ONWARDS 3 and 6), personal CGM device use (y/n) (ONWARDS 2 and 4) and region as fixed effects and the baseline value of the response as covariate (where relevant). Log-transformation was applied for analyses of mean insulin dose during the last 2 weeks of treatment. Binary assessments were analysed using a logistic regression model with the same fixed factors as specified for the ANCOVA model and the applicable baseline value as covariate. Hypoglycaemic episodes and TBR were analysed using a negative binomial regression model with a log-link function, and the logarithm of the observation period as offset. The model included the same fixed factors as specified for the ANCOVA model.</w:t>
      </w:r>
    </w:p>
    <w:p w14:paraId="523C532A" w14:textId="5512A7C6" w:rsidR="00BD4DAA" w:rsidRPr="00BD4DAA" w:rsidRDefault="00BD4DAA" w:rsidP="0023669B">
      <w:pPr>
        <w:pStyle w:val="Heading6"/>
      </w:pPr>
      <w:r w:rsidRPr="00BD4DAA">
        <w:t xml:space="preserve">Patient </w:t>
      </w:r>
      <w:r w:rsidR="0094266C">
        <w:t>p</w:t>
      </w:r>
      <w:r w:rsidRPr="00BD4DAA">
        <w:t>opulation</w:t>
      </w:r>
    </w:p>
    <w:p w14:paraId="6F4F4E7E" w14:textId="0B42284E" w:rsidR="00BD4DAA" w:rsidRDefault="00BD4DAA" w:rsidP="0023669B">
      <w:r>
        <w:t>The subjects enrolled in the phase 3a programme represented a diverse global population (33 countries) in both T2D</w:t>
      </w:r>
      <w:r w:rsidR="00FE1540">
        <w:t>M</w:t>
      </w:r>
      <w:r>
        <w:t xml:space="preserve"> and T1D</w:t>
      </w:r>
      <w:r w:rsidR="00FE1540">
        <w:t>M</w:t>
      </w:r>
      <w:r>
        <w:t xml:space="preserve">. In the clinical phase 3a programme of </w:t>
      </w:r>
      <w:r w:rsidR="00D64CAE">
        <w:t>IIco</w:t>
      </w:r>
      <w:r>
        <w:t xml:space="preserve">, 2170 individuals in total have been exposed to </w:t>
      </w:r>
      <w:r w:rsidR="00D64CAE">
        <w:t>IIco</w:t>
      </w:r>
      <w:r>
        <w:t xml:space="preserve"> of which 1880 subjects with T2D</w:t>
      </w:r>
      <w:r w:rsidR="00FE1540">
        <w:t>M</w:t>
      </w:r>
      <w:r>
        <w:t xml:space="preserve"> and 290 subjects with T1D</w:t>
      </w:r>
      <w:r w:rsidR="00FE1540">
        <w:t>M</w:t>
      </w:r>
      <w:r>
        <w:t xml:space="preserve">. In the phase 3a pool, total exposure to </w:t>
      </w:r>
      <w:r w:rsidR="00D64CAE">
        <w:t>IIco</w:t>
      </w:r>
      <w:r>
        <w:t xml:space="preserve"> was 1681.23 patient years exposure (PYE) (1538.92 PYE in the T2D</w:t>
      </w:r>
      <w:r w:rsidR="00FE1540">
        <w:t>M</w:t>
      </w:r>
      <w:r>
        <w:t xml:space="preserve"> pool and 142.31 PYE in T1D</w:t>
      </w:r>
      <w:r w:rsidR="00FE1540">
        <w:t>M</w:t>
      </w:r>
      <w:r>
        <w:t xml:space="preserve">). </w:t>
      </w:r>
    </w:p>
    <w:p w14:paraId="52B9FE27" w14:textId="77777777" w:rsidR="00BD4DAA" w:rsidRPr="00BD4DAA" w:rsidRDefault="00BD4DAA" w:rsidP="0023669B">
      <w:pPr>
        <w:pStyle w:val="Heading6"/>
      </w:pPr>
      <w:r w:rsidRPr="00BD4DAA">
        <w:lastRenderedPageBreak/>
        <w:t>Pen injector device</w:t>
      </w:r>
    </w:p>
    <w:p w14:paraId="22AE398C" w14:textId="01E93876" w:rsidR="00DE7353" w:rsidRDefault="00BD4DAA" w:rsidP="0023669B">
      <w:r>
        <w:t xml:space="preserve">In all phase 3a trials, the PDS290 device injector, intended for market for </w:t>
      </w:r>
      <w:r w:rsidR="00D64CAE">
        <w:t>IIco</w:t>
      </w:r>
      <w:r>
        <w:t xml:space="preserve">, was used to administer </w:t>
      </w:r>
      <w:r w:rsidR="00D64CAE">
        <w:t>IIco</w:t>
      </w:r>
      <w:r>
        <w:t>, is based on the variants of the PDS290 pen-injector that are already approved for use with various Novo Nordisk insulin products (under the brand name modifier</w:t>
      </w:r>
      <w:r w:rsidR="00F16144">
        <w:t xml:space="preserve"> </w:t>
      </w:r>
      <w:r>
        <w:t>FlexTouch®).</w:t>
      </w:r>
    </w:p>
    <w:p w14:paraId="1822D1F4" w14:textId="18A3D0BD" w:rsidR="00804E73" w:rsidRDefault="00804E73" w:rsidP="00EA131D">
      <w:pPr>
        <w:pStyle w:val="Heading6"/>
      </w:pPr>
      <w:r>
        <w:t>ONWARDS 1 STUDY</w:t>
      </w:r>
    </w:p>
    <w:p w14:paraId="7F3CDB4E" w14:textId="4F980AD9" w:rsidR="0021740B" w:rsidRDefault="00804E73" w:rsidP="00F16144">
      <w:r>
        <w:t xml:space="preserve">ONWARDS 1 was 78-week, randomised (1:1), open label, multicentre, multinational, Phase 3 trial comparing the treatment effects of </w:t>
      </w:r>
      <w:r w:rsidR="00D64CAE">
        <w:t>IIco</w:t>
      </w:r>
      <w:r>
        <w:t xml:space="preserve"> (</w:t>
      </w:r>
      <w:r w:rsidR="00D64CAE">
        <w:t>IIco</w:t>
      </w:r>
      <w:r>
        <w:t xml:space="preserve">) administered once-weekly (QW) and </w:t>
      </w:r>
      <w:r w:rsidR="001D617B" w:rsidRPr="001D617B">
        <w:t>IGlar</w:t>
      </w:r>
      <w:r>
        <w:t xml:space="preserve"> administered once-daily (QD) in patients with T2DM.</w:t>
      </w:r>
    </w:p>
    <w:p w14:paraId="290C7D69" w14:textId="25926A67" w:rsidR="00B27706" w:rsidRDefault="00B27706" w:rsidP="00667967">
      <w:pPr>
        <w:pStyle w:val="FigureTitle"/>
      </w:pPr>
      <w:r w:rsidRPr="00B27706">
        <w:t>Figure 8: ONWARDS 1Trial Design</w:t>
      </w:r>
    </w:p>
    <w:p w14:paraId="62790CDB" w14:textId="1FEC725F" w:rsidR="00EC61C3" w:rsidRDefault="00EC61C3" w:rsidP="00EA131D">
      <w:r>
        <w:rPr>
          <w:noProof/>
        </w:rPr>
        <w:drawing>
          <wp:inline distT="0" distB="0" distL="0" distR="0" wp14:anchorId="66B931AE" wp14:editId="54E9F4E2">
            <wp:extent cx="3656840" cy="819509"/>
            <wp:effectExtent l="0" t="0" r="1270" b="0"/>
            <wp:docPr id="1149914384"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14384" name="Picture 11">
                      <a:extLst>
                        <a:ext uri="{C183D7F6-B498-43B3-948B-1728B52AA6E4}">
                          <adec:decorative xmlns:adec="http://schemas.microsoft.com/office/drawing/2017/decorative" val="1"/>
                        </a:ext>
                      </a:extLst>
                    </pic:cNvPr>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680848" cy="824889"/>
                    </a:xfrm>
                    <a:prstGeom prst="rect">
                      <a:avLst/>
                    </a:prstGeom>
                    <a:noFill/>
                  </pic:spPr>
                </pic:pic>
              </a:graphicData>
            </a:graphic>
          </wp:inline>
        </w:drawing>
      </w:r>
    </w:p>
    <w:p w14:paraId="4539BCC8" w14:textId="7E3FB191" w:rsidR="00337E85" w:rsidRDefault="00337E85" w:rsidP="00337E85">
      <w:r>
        <w:t>Patients in both treatment arms were insulin-naïve and had inadequate glycaemic control (HbA1c ≥7.0-≤11.0% [≥53.0-≤96.7 mmol/mol]) on a combination with oral antihyperglycaemic agents. Randomized treatments (</w:t>
      </w:r>
      <w:r w:rsidR="00D64CAE">
        <w:t>IIco</w:t>
      </w:r>
      <w:r>
        <w:t xml:space="preserve"> QW or IGlar QD) both followed a treat-to-target strategy. Titration of </w:t>
      </w:r>
      <w:r w:rsidR="00D64CAE">
        <w:t>IIco</w:t>
      </w:r>
      <w:r>
        <w:t xml:space="preserve"> QW and IGlar QD was based on pre-breakfast SMPG values and followed the titration guideline outlined in the protocol.</w:t>
      </w:r>
    </w:p>
    <w:p w14:paraId="530C1E32" w14:textId="5150E8EB" w:rsidR="00337E85" w:rsidRDefault="00337E85" w:rsidP="00337E85">
      <w:r>
        <w:t xml:space="preserve">Primary endpoint was the change in HbA1c from baseline to week 52 (DA1C). The primary hypothesis was that </w:t>
      </w:r>
      <w:r w:rsidR="00D64CAE">
        <w:t>IIco</w:t>
      </w:r>
      <w:r>
        <w:t xml:space="preserve"> QW was non-inferior to IGlar QD in terms of DA1C (pre-specified non-inferiority margin 0.3 %). Confirmatory secondary endpoint was the time in range 3.9-10.0 mmol/L (70-180 mg/dL) from Week 48 – 56 (TIR).</w:t>
      </w:r>
    </w:p>
    <w:p w14:paraId="512CDBE2" w14:textId="0427D94B" w:rsidR="00DF7477" w:rsidRDefault="00337E85" w:rsidP="00337E85">
      <w:r>
        <w:t>A testing hierarchy was predefined to account for multiplicity. Noteworthy, there appear to be no planned subgroup analyses. Demographics and baseline characteristics showed no meaningful imbalances between the treatment arms. At baseline, the mean age, body weight, HbA1c, FPG, duration of diabetes, and eGFR were ~59 years, ~85 kg, ~8.5%, ~185 mg/dL, ~11.5 years, and ~85 ml/min/1.73 m</w:t>
      </w:r>
      <w:r w:rsidRPr="00337E85">
        <w:rPr>
          <w:vertAlign w:val="superscript"/>
        </w:rPr>
        <w:t>2</w:t>
      </w:r>
      <w:r>
        <w:t>.</w:t>
      </w:r>
    </w:p>
    <w:p w14:paraId="1C3AEE6F" w14:textId="4AB3F4B8" w:rsidR="00953F56" w:rsidRDefault="00953F56" w:rsidP="00337E85">
      <w:r w:rsidRPr="00953F56">
        <w:t xml:space="preserve">The glucose-lowering effect of </w:t>
      </w:r>
      <w:r w:rsidR="00D64CAE">
        <w:t>IIco</w:t>
      </w:r>
      <w:r w:rsidRPr="00953F56">
        <w:t xml:space="preserve"> QW was non-inferior to that of IGlar QD.</w:t>
      </w:r>
    </w:p>
    <w:p w14:paraId="6C1D1615" w14:textId="2DF7CE41" w:rsidR="00A375BD" w:rsidRDefault="00A375BD" w:rsidP="00A375BD">
      <w:pPr>
        <w:pStyle w:val="FigureTitle"/>
      </w:pPr>
      <w:r w:rsidRPr="00A375BD">
        <w:t xml:space="preserve">Table </w:t>
      </w:r>
      <w:r w:rsidR="00667967">
        <w:t>8</w:t>
      </w:r>
      <w:r w:rsidRPr="00A375BD">
        <w:t>: HbA1C between the two arms ONWARDS 1</w:t>
      </w:r>
    </w:p>
    <w:p w14:paraId="07EEDCFF" w14:textId="71A0DEE0" w:rsidR="00D12B7C" w:rsidRDefault="00D12B7C" w:rsidP="00337E85">
      <w:r w:rsidRPr="00C348C3">
        <w:rPr>
          <w:rFonts w:eastAsia="Calibri"/>
          <w:noProof/>
          <w:color w:val="000000" w:themeColor="text1"/>
          <w:kern w:val="2"/>
          <w14:ligatures w14:val="standardContextual"/>
        </w:rPr>
        <w:drawing>
          <wp:inline distT="0" distB="0" distL="0" distR="0" wp14:anchorId="43933913" wp14:editId="3386EB12">
            <wp:extent cx="4553123" cy="1414732"/>
            <wp:effectExtent l="0" t="0" r="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64000"/>
                              </a14:imgEffect>
                              <a14:imgEffect>
                                <a14:brightnessContrast bright="-1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4560947" cy="1417163"/>
                    </a:xfrm>
                    <a:prstGeom prst="rect">
                      <a:avLst/>
                    </a:prstGeom>
                    <a:noFill/>
                  </pic:spPr>
                </pic:pic>
              </a:graphicData>
            </a:graphic>
          </wp:inline>
        </w:drawing>
      </w:r>
    </w:p>
    <w:p w14:paraId="631C7E31" w14:textId="0233F2DA" w:rsidR="00953F56" w:rsidRDefault="005522BE" w:rsidP="00F91444">
      <w:pPr>
        <w:pStyle w:val="FigureTitle"/>
      </w:pPr>
      <w:r w:rsidRPr="005522BE">
        <w:lastRenderedPageBreak/>
        <w:t xml:space="preserve">Figure 9: HbA1C </w:t>
      </w:r>
      <w:r w:rsidR="00F91444">
        <w:t>c</w:t>
      </w:r>
      <w:r w:rsidRPr="005522BE">
        <w:t>omparison between the two arms ONWARDS 1</w:t>
      </w:r>
    </w:p>
    <w:p w14:paraId="35AB2547" w14:textId="053FD875" w:rsidR="00F91444" w:rsidRDefault="00756060" w:rsidP="00337E85">
      <w:r>
        <w:rPr>
          <w:noProof/>
        </w:rPr>
        <w:drawing>
          <wp:inline distT="0" distB="0" distL="0" distR="0" wp14:anchorId="7D5FB3C0" wp14:editId="0EC46475">
            <wp:extent cx="5759450" cy="3160395"/>
            <wp:effectExtent l="0" t="0" r="0" b="1905"/>
            <wp:docPr id="374204203" name="Picture 1"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04203" name="Picture 1" descr="A graph with a line and numbers&#10;&#10;AI-generated content may be incorrect."/>
                    <pic:cNvPicPr/>
                  </pic:nvPicPr>
                  <pic:blipFill>
                    <a:blip r:embed="rId51"/>
                    <a:stretch>
                      <a:fillRect/>
                    </a:stretch>
                  </pic:blipFill>
                  <pic:spPr>
                    <a:xfrm>
                      <a:off x="0" y="0"/>
                      <a:ext cx="5759450" cy="3160395"/>
                    </a:xfrm>
                    <a:prstGeom prst="rect">
                      <a:avLst/>
                    </a:prstGeom>
                  </pic:spPr>
                </pic:pic>
              </a:graphicData>
            </a:graphic>
          </wp:inline>
        </w:drawing>
      </w:r>
    </w:p>
    <w:p w14:paraId="23190BD1" w14:textId="39809822" w:rsidR="00756060" w:rsidRDefault="00652F09" w:rsidP="00652F09">
      <w:pPr>
        <w:pStyle w:val="FigureDescription"/>
      </w:pPr>
      <w:r w:rsidRPr="00652F09">
        <w:t>52*: Estimated mean values and the corresponding standard error at week 52 derived based on MI. MI: Multiple imputation, Full analysis set. Observed data including data obtained after premature treatment discontinuation. Number of subjects contributing to the data points appears in the bottom panel. Legend: Mean (symbol) and mean ± standard error to the mean (error bars). HbA1 c: Haemoglobin Alc.</w:t>
      </w:r>
    </w:p>
    <w:p w14:paraId="3BAE9BFD" w14:textId="36231F6F" w:rsidR="00D90986" w:rsidRDefault="00D90986" w:rsidP="00D90986">
      <w:r>
        <w:t xml:space="preserve">Subsequent analysis proved superiority of </w:t>
      </w:r>
      <w:r w:rsidR="00D64CAE">
        <w:t>IIco</w:t>
      </w:r>
      <w:r>
        <w:t xml:space="preserve"> QW versus Igla QD for </w:t>
      </w:r>
      <w:r w:rsidR="00F7136F">
        <w:t>Δ</w:t>
      </w:r>
      <w:r>
        <w:t xml:space="preserve">A1C (p=0.021). Sensitivity analyses supported the robustness of these results. </w:t>
      </w:r>
      <w:r w:rsidR="00D64CAE">
        <w:t>IIco</w:t>
      </w:r>
      <w:r>
        <w:t xml:space="preserve"> QW was superior to IGlar QD for the key secondary endpoint TIR.</w:t>
      </w:r>
    </w:p>
    <w:p w14:paraId="34A3002B" w14:textId="77777777" w:rsidR="00D90986" w:rsidRDefault="00D90986" w:rsidP="00D90986">
      <w:r>
        <w:t>The results for other secondary endpoints corroborated with the above findings.</w:t>
      </w:r>
    </w:p>
    <w:p w14:paraId="6C4A417E" w14:textId="4DC1D797" w:rsidR="00D90986" w:rsidRDefault="00D90986" w:rsidP="00D90986">
      <w:r>
        <w:t xml:space="preserve">Favourable outcomes were observed for </w:t>
      </w:r>
      <w:r w:rsidR="008C6C46">
        <w:t>Δ</w:t>
      </w:r>
      <w:r>
        <w:t xml:space="preserve">FPG and the time spent &gt; 10 mmol/L (i.e., in evident </w:t>
      </w:r>
      <w:r w:rsidR="00FE1540">
        <w:t>hyperglycaemia</w:t>
      </w:r>
      <w:r>
        <w:t>).</w:t>
      </w:r>
    </w:p>
    <w:p w14:paraId="77BF70BC" w14:textId="73F3C58C" w:rsidR="00D90986" w:rsidRDefault="00D90986" w:rsidP="00D90986">
      <w:r>
        <w:t xml:space="preserve">However, the time spent &lt;3.0 mmol/L (54 mg/dL) was numerically increased in patients treated with </w:t>
      </w:r>
      <w:r w:rsidR="00D64CAE">
        <w:t>IIco</w:t>
      </w:r>
      <w:r>
        <w:t xml:space="preserve"> QW versus IGlar QD. Of note, this was not due to an increase in the weekly insulin dose </w:t>
      </w:r>
      <w:r w:rsidR="006B7E1B" w:rsidRPr="006B7E1B">
        <w:t xml:space="preserve">estimated treatment ratio </w:t>
      </w:r>
      <w:r>
        <w:t xml:space="preserve">(ETR [95% CI]: 0.96 [0.89, 1.05]). </w:t>
      </w:r>
    </w:p>
    <w:p w14:paraId="0654E725" w14:textId="7F5D951C" w:rsidR="00D90986" w:rsidRDefault="00D90986" w:rsidP="00D90986">
      <w:r>
        <w:t xml:space="preserve">Results from the ONWARDS 1 study support the superiority in terms of the glucose-lowering effect for </w:t>
      </w:r>
      <w:r w:rsidR="00D64CAE">
        <w:t>IIco</w:t>
      </w:r>
      <w:r>
        <w:t xml:space="preserve"> QW vs. IGlar QD, both dosed in a treat-to-target manner based on titration algorithms as predefined per protocol. </w:t>
      </w:r>
      <w:r w:rsidR="00FE1540">
        <w:t>However,</w:t>
      </w:r>
      <w:r>
        <w:t xml:space="preserve"> this superior anti-hyperglycaemic effect was associated with numerical increase for the time spent in </w:t>
      </w:r>
      <w:r w:rsidR="008C6C46">
        <w:t>the hypoglycaemic</w:t>
      </w:r>
      <w:r>
        <w:t xml:space="preserve"> range. </w:t>
      </w:r>
    </w:p>
    <w:p w14:paraId="023419E3" w14:textId="31CA6F32" w:rsidR="00D90986" w:rsidRDefault="00D90986" w:rsidP="008C6C46">
      <w:pPr>
        <w:pStyle w:val="Heading5"/>
      </w:pPr>
      <w:r>
        <w:t>ONWARDS 2 Study</w:t>
      </w:r>
    </w:p>
    <w:p w14:paraId="23D1C9B9" w14:textId="271B3F2F" w:rsidR="00D90986" w:rsidRDefault="00D90986" w:rsidP="00D90986">
      <w:r>
        <w:t xml:space="preserve">A 26-week trial comparing the effect and safety of once weekly </w:t>
      </w:r>
      <w:r w:rsidR="00D64CAE">
        <w:t>IIco</w:t>
      </w:r>
      <w:r>
        <w:t xml:space="preserve"> and once daily </w:t>
      </w:r>
      <w:r w:rsidR="009C49AC" w:rsidRPr="009C49AC">
        <w:t>IDeg</w:t>
      </w:r>
      <w:r>
        <w:t xml:space="preserve">, both with </w:t>
      </w:r>
      <w:proofErr w:type="gramStart"/>
      <w:r>
        <w:t>or</w:t>
      </w:r>
      <w:proofErr w:type="gramEnd"/>
      <w:r>
        <w:t xml:space="preserve"> without non-insulin anti-diabetic drugs, in subjects with type 2 diabetes treated with basal insulin</w:t>
      </w:r>
      <w:r w:rsidR="005E15E9">
        <w:t>.</w:t>
      </w:r>
    </w:p>
    <w:p w14:paraId="37899EC8" w14:textId="01D8B9D6" w:rsidR="00D90986" w:rsidRDefault="00D90986" w:rsidP="00D90986">
      <w:r>
        <w:t>The primary objective of ONWARD 2 was to demonstrate non-inferiority (</w:t>
      </w:r>
      <w:r w:rsidR="002A7008">
        <w:t>non-inferiority margin</w:t>
      </w:r>
      <w:r>
        <w:t xml:space="preserve"> 0.3%) of the antihyperglycaemic effect of </w:t>
      </w:r>
      <w:r w:rsidR="00D64CAE">
        <w:t>IIco</w:t>
      </w:r>
      <w:r>
        <w:t xml:space="preserve"> QW versus</w:t>
      </w:r>
      <w:r w:rsidR="009C49AC">
        <w:t xml:space="preserve"> </w:t>
      </w:r>
      <w:r>
        <w:t xml:space="preserve">IDeg QD in patients with T2DM who are receiving basal insulin </w:t>
      </w:r>
      <w:r w:rsidR="005E15E9">
        <w:t>+/-</w:t>
      </w:r>
      <w:r>
        <w:t xml:space="preserve"> oral glucose-lowering agents.</w:t>
      </w:r>
    </w:p>
    <w:p w14:paraId="0FE4CA9E" w14:textId="3CC2235E" w:rsidR="0098219C" w:rsidRDefault="0098219C" w:rsidP="0098219C">
      <w:pPr>
        <w:pStyle w:val="FigureTitle"/>
      </w:pPr>
      <w:r w:rsidRPr="0098219C">
        <w:lastRenderedPageBreak/>
        <w:t>Figure 10: ONWARD 2</w:t>
      </w:r>
      <w:r>
        <w:t xml:space="preserve"> t</w:t>
      </w:r>
      <w:r w:rsidRPr="0098219C">
        <w:t xml:space="preserve">rial </w:t>
      </w:r>
      <w:r>
        <w:t>d</w:t>
      </w:r>
      <w:r w:rsidRPr="0098219C">
        <w:t>esign</w:t>
      </w:r>
    </w:p>
    <w:p w14:paraId="43F68F90" w14:textId="64EE5A55" w:rsidR="001F68A7" w:rsidRDefault="001F68A7" w:rsidP="00EA131D">
      <w:r w:rsidRPr="00C348C3">
        <w:rPr>
          <w:noProof/>
        </w:rPr>
        <w:drawing>
          <wp:inline distT="0" distB="0" distL="0" distR="0" wp14:anchorId="270C529C" wp14:editId="2B52653C">
            <wp:extent cx="5354703" cy="1130060"/>
            <wp:effectExtent l="0" t="0" r="0" b="0"/>
            <wp:docPr id="31" name="Picture 31" descr="A close-up of a blue and grey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up of a blue and grey sign&#10;&#10;AI-generated content may be incorrect."/>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t="16700"/>
                    <a:stretch/>
                  </pic:blipFill>
                  <pic:spPr bwMode="auto">
                    <a:xfrm>
                      <a:off x="0" y="0"/>
                      <a:ext cx="5363046" cy="1131821"/>
                    </a:xfrm>
                    <a:prstGeom prst="rect">
                      <a:avLst/>
                    </a:prstGeom>
                    <a:noFill/>
                    <a:ln>
                      <a:noFill/>
                    </a:ln>
                    <a:extLst>
                      <a:ext uri="{53640926-AAD7-44D8-BBD7-CCE9431645EC}">
                        <a14:shadowObscured xmlns:a14="http://schemas.microsoft.com/office/drawing/2010/main"/>
                      </a:ext>
                    </a:extLst>
                  </pic:spPr>
                </pic:pic>
              </a:graphicData>
            </a:graphic>
          </wp:inline>
        </w:drawing>
      </w:r>
    </w:p>
    <w:p w14:paraId="58FC4CDB" w14:textId="13027C33" w:rsidR="00C524CB" w:rsidRDefault="00C524CB" w:rsidP="00C524CB">
      <w:r>
        <w:t xml:space="preserve">Switching from previous basal insulin to IDeg QD occurred according to the local label. Patients switched to </w:t>
      </w:r>
      <w:r w:rsidR="00D64CAE">
        <w:t>IIco</w:t>
      </w:r>
      <w:r>
        <w:t xml:space="preserve"> QW received an initial loading dose (total daily basal insulin dose prior to randomisation x 7 + 50% of their total daily basal insulin dose x 7) at randomization (Visit 2). The following week (Visit 3), a dose equal to the total daily basal insulin dose x 7 was administered.  Treatments in both arms followed a treat-to-target strategy using a predefined titration algorithm.</w:t>
      </w:r>
    </w:p>
    <w:p w14:paraId="621D4898" w14:textId="5B439675" w:rsidR="00C524CB" w:rsidRDefault="00C524CB" w:rsidP="00C524CB">
      <w:r>
        <w:t xml:space="preserve">The primary endpoint was the change in HbA1c from baseline to Week 26 (ΔA1C). The primary hypothesis was that </w:t>
      </w:r>
      <w:r w:rsidR="00D64CAE">
        <w:t>IIco</w:t>
      </w:r>
      <w:r>
        <w:t xml:space="preserve"> QW was non-inferior to IDeg QD in terms of ΔA1C (pre-specified non-inferiority margin 0.3 %). Secondary endpoints were the change in FPG from baseline to Week 26 (ΔFPG), time in range 3.9-10.0 mmol/L (70-180 mg/dL) from Week 22 – 26 (TIR), and the change in </w:t>
      </w:r>
      <w:r w:rsidR="00274215" w:rsidRPr="00274215">
        <w:t xml:space="preserve">Diabetes Treatment Satisfaction Questionnaire </w:t>
      </w:r>
      <w:r w:rsidR="00274215">
        <w:t>(</w:t>
      </w:r>
      <w:r>
        <w:t>DTSQ</w:t>
      </w:r>
      <w:r w:rsidR="00274215">
        <w:t xml:space="preserve">) </w:t>
      </w:r>
      <w:r>
        <w:t>score.</w:t>
      </w:r>
    </w:p>
    <w:p w14:paraId="1876E3A9" w14:textId="77777777" w:rsidR="00C524CB" w:rsidRDefault="00C524CB" w:rsidP="00C524CB">
      <w:r>
        <w:t xml:space="preserve">A hierarchical testing procedure was applied to control the overall Type I error at a 5% level. No subgroup analyses </w:t>
      </w:r>
      <w:proofErr w:type="gramStart"/>
      <w:r>
        <w:t>was</w:t>
      </w:r>
      <w:proofErr w:type="gramEnd"/>
      <w:r>
        <w:t xml:space="preserve"> performed.</w:t>
      </w:r>
    </w:p>
    <w:p w14:paraId="765E53D5" w14:textId="5BD98DCA" w:rsidR="00C524CB" w:rsidRDefault="00C524CB" w:rsidP="00C524CB">
      <w:r>
        <w:t>Demographics and baseline characteristics showed no meaningful imbalances between the treatment arms. At baseline, the mean age, body weight, HbA1c, FPG, duration of diabetes, and eGFR were ~62.5 years, 81.5 – 83.7 kg, ~8.1%, ~150 mg/dL, nearly 17 years, and ~80 ml/min/1.73 m</w:t>
      </w:r>
      <w:r w:rsidRPr="0070668D">
        <w:rPr>
          <w:vertAlign w:val="superscript"/>
        </w:rPr>
        <w:t>2</w:t>
      </w:r>
      <w:r>
        <w:t>. At baseline, the most common basal insulins were IGlar U100 QD, IDeg QD, and IGlar U300 QD (in order of their use).</w:t>
      </w:r>
    </w:p>
    <w:p w14:paraId="5E782B40" w14:textId="075B8439" w:rsidR="001F68A7" w:rsidRDefault="00C524CB" w:rsidP="00C524CB">
      <w:pPr>
        <w:pStyle w:val="FigureTitle"/>
      </w:pPr>
      <w:r>
        <w:t xml:space="preserve">Table </w:t>
      </w:r>
      <w:r w:rsidR="00667967">
        <w:t>9</w:t>
      </w:r>
      <w:r>
        <w:t xml:space="preserve">: </w:t>
      </w:r>
      <w:r w:rsidR="00D636D3" w:rsidRPr="00D636D3">
        <w:t>Basal insulin at screening</w:t>
      </w:r>
    </w:p>
    <w:p w14:paraId="7F6EEC84" w14:textId="6661B625" w:rsidR="00E851C2" w:rsidRDefault="00E851C2" w:rsidP="00EA131D">
      <w:r>
        <w:rPr>
          <w:noProof/>
        </w:rPr>
        <w:drawing>
          <wp:inline distT="0" distB="0" distL="0" distR="0" wp14:anchorId="4D959F4E" wp14:editId="1F90FB27">
            <wp:extent cx="4894269" cy="1897811"/>
            <wp:effectExtent l="0" t="0" r="1905" b="7620"/>
            <wp:docPr id="1171485488" name="Picture 1" descr="A group of number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85488" name="Picture 1" descr="A group of numbers on a white background&#10;&#10;AI-generated content may be incorrect."/>
                    <pic:cNvPicPr/>
                  </pic:nvPicPr>
                  <pic:blipFill>
                    <a:blip r:embed="rId54"/>
                    <a:stretch>
                      <a:fillRect/>
                    </a:stretch>
                  </pic:blipFill>
                  <pic:spPr>
                    <a:xfrm>
                      <a:off x="0" y="0"/>
                      <a:ext cx="4902276" cy="1900916"/>
                    </a:xfrm>
                    <a:prstGeom prst="rect">
                      <a:avLst/>
                    </a:prstGeom>
                  </pic:spPr>
                </pic:pic>
              </a:graphicData>
            </a:graphic>
          </wp:inline>
        </w:drawing>
      </w:r>
    </w:p>
    <w:p w14:paraId="516CEFE9" w14:textId="7A1EB39D" w:rsidR="00B46493" w:rsidRDefault="00D636D3" w:rsidP="00D636D3">
      <w:pPr>
        <w:pStyle w:val="TableDescription"/>
      </w:pPr>
      <w:r w:rsidRPr="00D636D3">
        <w:t>N: Number of subjects, %: Percentage of subjects, OD: Once daily, BID: twice a day.</w:t>
      </w:r>
    </w:p>
    <w:p w14:paraId="1BBD7BFD" w14:textId="708F755A" w:rsidR="00D636D3" w:rsidRDefault="000D6CBE" w:rsidP="000D6CBE">
      <w:r w:rsidRPr="000D6CBE">
        <w:t xml:space="preserve">The glucose-lowering efficacy of </w:t>
      </w:r>
      <w:r w:rsidR="00D64CAE">
        <w:t>IIco</w:t>
      </w:r>
      <w:r w:rsidRPr="000D6CBE">
        <w:t xml:space="preserve"> QW was non-inferior to that of IDeg QD. The subsequent testing according to the predefined hierarchy confirmed even superiority.</w:t>
      </w:r>
    </w:p>
    <w:p w14:paraId="519163FD" w14:textId="4896F3BA" w:rsidR="000D6CBE" w:rsidRDefault="002B449C" w:rsidP="002B449C">
      <w:pPr>
        <w:pStyle w:val="FigureTitle"/>
      </w:pPr>
      <w:r w:rsidRPr="002B449C">
        <w:lastRenderedPageBreak/>
        <w:t>Figure 11: HbA1C Comparison between the two arms ONWARDS 2</w:t>
      </w:r>
    </w:p>
    <w:p w14:paraId="6CFF8D2B" w14:textId="22D79027" w:rsidR="00F471F1" w:rsidRDefault="00F471F1" w:rsidP="00EA131D">
      <w:r>
        <w:rPr>
          <w:noProof/>
        </w:rPr>
        <w:drawing>
          <wp:inline distT="0" distB="0" distL="0" distR="0" wp14:anchorId="42C1E070" wp14:editId="22CC1257">
            <wp:extent cx="5731510" cy="3136900"/>
            <wp:effectExtent l="0" t="0" r="2540" b="6350"/>
            <wp:docPr id="823626103" name="Picture 1" descr="A graph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26103" name="Picture 1" descr="A graph with numbers and a line&#10;&#10;AI-generated content may be incorrect."/>
                    <pic:cNvPicPr/>
                  </pic:nvPicPr>
                  <pic:blipFill>
                    <a:blip r:embed="rId55"/>
                    <a:stretch>
                      <a:fillRect/>
                    </a:stretch>
                  </pic:blipFill>
                  <pic:spPr>
                    <a:xfrm>
                      <a:off x="0" y="0"/>
                      <a:ext cx="5731510" cy="3136900"/>
                    </a:xfrm>
                    <a:prstGeom prst="rect">
                      <a:avLst/>
                    </a:prstGeom>
                  </pic:spPr>
                </pic:pic>
              </a:graphicData>
            </a:graphic>
          </wp:inline>
        </w:drawing>
      </w:r>
    </w:p>
    <w:p w14:paraId="77467A8B" w14:textId="46E1CA1D" w:rsidR="00242EAB" w:rsidRDefault="00242EAB" w:rsidP="00F471F1">
      <w:pPr>
        <w:pStyle w:val="FigureDescription"/>
      </w:pPr>
      <w:r w:rsidRPr="00242EAB">
        <w:t>26*: Estimated mean values and the corresponding standard error at week 26 derived based on MI. MI: Multiple imputation, Full analysis set. Observed data including data obtained after premature treatment discontinuation. Number of subjects contributing to the data points appears in the bottom panel. Legend: Mean (symbol) and mean ± standard error to the mean (error bars). HbA1 c: Haemoglobin Alc.</w:t>
      </w:r>
    </w:p>
    <w:p w14:paraId="0D35B84B" w14:textId="75FB2094" w:rsidR="00650AAE" w:rsidRDefault="00650AAE" w:rsidP="00274215">
      <w:r w:rsidRPr="00650AAE">
        <w:t xml:space="preserve">However, </w:t>
      </w:r>
      <w:proofErr w:type="gramStart"/>
      <w:r w:rsidRPr="00650AAE">
        <w:t>similar to</w:t>
      </w:r>
      <w:proofErr w:type="gramEnd"/>
      <w:r w:rsidRPr="00650AAE">
        <w:t xml:space="preserve"> the ONWARDS </w:t>
      </w:r>
      <w:proofErr w:type="gramStart"/>
      <w:r w:rsidRPr="00650AAE">
        <w:t>1 ,</w:t>
      </w:r>
      <w:proofErr w:type="gramEnd"/>
      <w:r w:rsidRPr="00650AAE">
        <w:t xml:space="preserve"> in this trial also the time spent &lt;3.0 mmol/L (54 mg/dL) was numerically increased in patients treated with </w:t>
      </w:r>
      <w:r w:rsidR="00D64CAE">
        <w:t>IIco</w:t>
      </w:r>
      <w:r w:rsidRPr="00650AAE">
        <w:t xml:space="preserve"> QW versus IDeg QD.</w:t>
      </w:r>
    </w:p>
    <w:p w14:paraId="23436BBB" w14:textId="3B2F109D" w:rsidR="0030393F" w:rsidRDefault="00011102" w:rsidP="00011102">
      <w:pPr>
        <w:pStyle w:val="FigureTitle"/>
      </w:pPr>
      <w:r w:rsidRPr="00011102">
        <w:t xml:space="preserve">Table </w:t>
      </w:r>
      <w:r w:rsidR="00667967">
        <w:t>10</w:t>
      </w:r>
      <w:r w:rsidRPr="00011102">
        <w:t>: time spent &lt;3.0 mmol/L (54 mg/dL) ONWARDS 2</w:t>
      </w:r>
    </w:p>
    <w:p w14:paraId="0F70D062" w14:textId="4C6968D0" w:rsidR="0030393F" w:rsidRDefault="0030393F" w:rsidP="00EA131D">
      <w:r>
        <w:rPr>
          <w:noProof/>
        </w:rPr>
        <w:drawing>
          <wp:inline distT="0" distB="0" distL="0" distR="0" wp14:anchorId="02E6DC8B" wp14:editId="6C52240A">
            <wp:extent cx="5759450" cy="1465580"/>
            <wp:effectExtent l="0" t="0" r="0" b="1270"/>
            <wp:docPr id="2003224243"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24243" name="Picture 1" descr="A white background with black text&#10;&#10;AI-generated content may be incorrect."/>
                    <pic:cNvPicPr/>
                  </pic:nvPicPr>
                  <pic:blipFill>
                    <a:blip r:embed="rId56"/>
                    <a:stretch>
                      <a:fillRect/>
                    </a:stretch>
                  </pic:blipFill>
                  <pic:spPr>
                    <a:xfrm>
                      <a:off x="0" y="0"/>
                      <a:ext cx="5759450" cy="1465580"/>
                    </a:xfrm>
                    <a:prstGeom prst="rect">
                      <a:avLst/>
                    </a:prstGeom>
                  </pic:spPr>
                </pic:pic>
              </a:graphicData>
            </a:graphic>
          </wp:inline>
        </w:drawing>
      </w:r>
    </w:p>
    <w:p w14:paraId="53503151" w14:textId="10D928C7" w:rsidR="00011102" w:rsidRDefault="00011102" w:rsidP="00011102">
      <w:pPr>
        <w:pStyle w:val="TableDescription"/>
      </w:pPr>
      <w:r>
        <w:t xml:space="preserve">FAS: Number of subjects in full analysis set, N: Number of subjects contributing to the analysis, SE: Standard error of the mean, CI: Confidence interval, MI: Multiple imputation. P-value: Two-sided p-value for test of no treatment difference. No correction for multiplicity. Time spent is analysed using a negative binomial regression model (log link) on the number of recorded measurements </w:t>
      </w:r>
      <w:proofErr w:type="gramStart"/>
      <w:r>
        <w:t>in a given</w:t>
      </w:r>
      <w:proofErr w:type="gramEnd"/>
      <w:r>
        <w:t xml:space="preserve"> range. The model includes treatment, region and personal CGM device use as fixed factors, and the logarithm of the total number of recorded measurements as an </w:t>
      </w:r>
      <w:proofErr w:type="gramStart"/>
      <w:r>
        <w:t>offset..</w:t>
      </w:r>
      <w:proofErr w:type="gramEnd"/>
      <w:r>
        <w:t xml:space="preserve"> Time spent &lt; 3.0 mmol/ L (54 mg/dL) is defined as 100 times the number of recorded measurements &lt; 3.0 mmol/L (54 mg/dL) divided by the total number of recorded measurements.</w:t>
      </w:r>
    </w:p>
    <w:p w14:paraId="0CD6E43B" w14:textId="0C0DAF8D" w:rsidR="00C11E1C" w:rsidRDefault="00C11E1C" w:rsidP="00C11E1C">
      <w:r>
        <w:t xml:space="preserve">No severe hypoglycaemic event (level 3) occurred in the </w:t>
      </w:r>
      <w:r w:rsidR="00D64CAE">
        <w:t>IIco</w:t>
      </w:r>
      <w:r>
        <w:t xml:space="preserve"> QW arm during the ONWARDS 2 study. But there was a marked imbalance for clinically significant hypoglycaemia (level 2) between the treatment groups (72.79 [</w:t>
      </w:r>
      <w:r w:rsidR="00D64CAE">
        <w:t>IIco</w:t>
      </w:r>
      <w:r>
        <w:t xml:space="preserve">] vs. 26.84 [IDeg] per 100 patient-years). However, the responder rates for patients achieving their glycaemic target without level 2 or 3 hypoglycaemia was favourable for </w:t>
      </w:r>
      <w:r w:rsidR="00D64CAE">
        <w:t>IIco</w:t>
      </w:r>
      <w:r>
        <w:t xml:space="preserve"> QW: the ETRs [95% CI] for target HbA1c &lt;7% and &lt;6.5 were 1.8 [1.22, 2.67] and 1.84 [1.08, 3.13], respectively. </w:t>
      </w:r>
    </w:p>
    <w:p w14:paraId="2AFE6E1F" w14:textId="1F12F1AB" w:rsidR="00C11E1C" w:rsidRDefault="00C11E1C" w:rsidP="00C11E1C">
      <w:r>
        <w:t xml:space="preserve">QW injections appeared to have a positive impact at patients’ treatment satisfaction: the DTSQ total treatment score which improved significantly more in the </w:t>
      </w:r>
      <w:r w:rsidR="00D64CAE">
        <w:t>IIco</w:t>
      </w:r>
      <w:r>
        <w:t xml:space="preserve"> QW arm than in IDeg QD </w:t>
      </w:r>
      <w:r>
        <w:lastRenderedPageBreak/>
        <w:t>arm (ETD [95% CI]: 1.25 [0.41, 2.10]; p&lt;0.005). The meaning of this small differences remains uncertain.</w:t>
      </w:r>
    </w:p>
    <w:p w14:paraId="7DD3680F" w14:textId="5DF81818" w:rsidR="00C11E1C" w:rsidRDefault="00C11E1C" w:rsidP="00C11E1C">
      <w:r>
        <w:t xml:space="preserve">The weekly insulin dose was not meaningfully increased with </w:t>
      </w:r>
      <w:r w:rsidR="00D64CAE">
        <w:t>IIco</w:t>
      </w:r>
      <w:r>
        <w:t xml:space="preserve"> QW versus IDeg QD (ETR: 1.1).</w:t>
      </w:r>
    </w:p>
    <w:p w14:paraId="324C0E9F" w14:textId="498C0799" w:rsidR="00C11E1C" w:rsidRDefault="00C11E1C" w:rsidP="00C11E1C">
      <w:r>
        <w:t xml:space="preserve">The results from the ONWARDS 2 study support superiority of </w:t>
      </w:r>
      <w:r w:rsidR="00D64CAE">
        <w:t>IIco</w:t>
      </w:r>
      <w:r>
        <w:t xml:space="preserve"> QW versus IDeg QD in terms of the glucose-lowering effect, following a switch of patients with T2DM from their prior basal insulin. This study also suggested an increased risk </w:t>
      </w:r>
      <w:proofErr w:type="gramStart"/>
      <w:r>
        <w:t xml:space="preserve">with  </w:t>
      </w:r>
      <w:r w:rsidR="00D64CAE">
        <w:t>IIco</w:t>
      </w:r>
      <w:r>
        <w:t>QW</w:t>
      </w:r>
      <w:proofErr w:type="gramEnd"/>
      <w:r>
        <w:t xml:space="preserve"> for hypoglycaemia. However, responder rates of patients achieving suitable glycaemic targets without clinically significant hypoglycaemia favoured </w:t>
      </w:r>
      <w:r w:rsidR="00D64CAE">
        <w:t>IIco</w:t>
      </w:r>
      <w:r>
        <w:t xml:space="preserve"> QW treatment.</w:t>
      </w:r>
    </w:p>
    <w:p w14:paraId="2AD9B750" w14:textId="5973F3F7" w:rsidR="00C11E1C" w:rsidRDefault="00C11E1C" w:rsidP="003A0ACA">
      <w:pPr>
        <w:pStyle w:val="Heading5"/>
      </w:pPr>
      <w:r>
        <w:t xml:space="preserve">ONWARDS 3 Study </w:t>
      </w:r>
    </w:p>
    <w:p w14:paraId="7D5A51D3" w14:textId="76626155" w:rsidR="00C11E1C" w:rsidRDefault="00C11E1C" w:rsidP="003A0ACA">
      <w:r>
        <w:t xml:space="preserve">ONWARDS 3 was a 26-week randomised (1:1), double blinded, double dummy, multicentre, multinational, Phase 3 trial comparing the treatment effects of </w:t>
      </w:r>
      <w:r w:rsidR="00D64CAE">
        <w:t>IIco</w:t>
      </w:r>
      <w:r>
        <w:t xml:space="preserve"> administered once-weekly (</w:t>
      </w:r>
      <w:r w:rsidR="00D64CAE">
        <w:t>IIco</w:t>
      </w:r>
      <w:r>
        <w:t xml:space="preserve"> QW) and </w:t>
      </w:r>
      <w:r w:rsidR="009C49AC" w:rsidRPr="009C49AC">
        <w:t>IDeg</w:t>
      </w:r>
      <w:r>
        <w:t xml:space="preserve"> administered once-daily (IDeg QD) in insulin-naïve patients with T2DM. </w:t>
      </w:r>
    </w:p>
    <w:p w14:paraId="0D01FCB9" w14:textId="1A8A3C30" w:rsidR="00C11E1C" w:rsidRDefault="00C11E1C" w:rsidP="003A0ACA">
      <w:r>
        <w:t xml:space="preserve">Study participants were insulin-naïve and had inadequate glycaemic </w:t>
      </w:r>
      <w:proofErr w:type="gramStart"/>
      <w:r>
        <w:t>control  on</w:t>
      </w:r>
      <w:proofErr w:type="gramEnd"/>
      <w:r>
        <w:t xml:space="preserve"> their prior treatment (</w:t>
      </w:r>
      <w:r w:rsidR="00FE1540">
        <w:t>combination</w:t>
      </w:r>
      <w:r>
        <w:t xml:space="preserve"> of oral and injectable anti-hyperglycaemic agents). Treatments in both arms followed a treat-to-target strategy using a titration algorithm.</w:t>
      </w:r>
    </w:p>
    <w:p w14:paraId="2F9FD5DD" w14:textId="1F8A3715" w:rsidR="00C11E1C" w:rsidRDefault="00C11E1C" w:rsidP="00C11E1C">
      <w:pPr>
        <w:pStyle w:val="FigureTitle"/>
      </w:pPr>
      <w:r>
        <w:t xml:space="preserve">Figure 12: </w:t>
      </w:r>
      <w:r w:rsidRPr="00C11E1C">
        <w:t>ONWARDS 3</w:t>
      </w:r>
      <w:r>
        <w:t xml:space="preserve"> Study Design</w:t>
      </w:r>
    </w:p>
    <w:p w14:paraId="43C309E6" w14:textId="38130475" w:rsidR="002A0707" w:rsidRDefault="002A0707" w:rsidP="00EA131D">
      <w:r>
        <w:rPr>
          <w:noProof/>
        </w:rPr>
        <w:drawing>
          <wp:inline distT="0" distB="0" distL="0" distR="0" wp14:anchorId="6A97ECAC" wp14:editId="62688155">
            <wp:extent cx="5730875" cy="1474470"/>
            <wp:effectExtent l="0" t="0" r="3175" b="0"/>
            <wp:docPr id="4367985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0875" cy="1474470"/>
                    </a:xfrm>
                    <a:prstGeom prst="rect">
                      <a:avLst/>
                    </a:prstGeom>
                    <a:noFill/>
                  </pic:spPr>
                </pic:pic>
              </a:graphicData>
            </a:graphic>
          </wp:inline>
        </w:drawing>
      </w:r>
    </w:p>
    <w:p w14:paraId="3F0AA01E" w14:textId="6A70A096" w:rsidR="00A764F2" w:rsidRDefault="00A764F2" w:rsidP="00A764F2">
      <w:r>
        <w:t xml:space="preserve">The primary endpoint was the change in HbA1c from baseline to Week 26 (ΔA1C). </w:t>
      </w:r>
    </w:p>
    <w:p w14:paraId="15AD67A8" w14:textId="54134C11" w:rsidR="00A764F2" w:rsidRDefault="00A764F2" w:rsidP="00A764F2">
      <w:r>
        <w:t>Secondary non-confirmatory efficacy endpoint was the change in FPG from baseline to Week 26 (ΔFPG). Additional secondary safety endpoints were the number of episodes of hypoglycaemia of different levels as defined by the International Hypoglycaemia Study Group.</w:t>
      </w:r>
    </w:p>
    <w:p w14:paraId="386E59D2" w14:textId="77777777" w:rsidR="00A764F2" w:rsidRDefault="00A764F2" w:rsidP="00A764F2">
      <w:r>
        <w:t>The study was generally well designed and conducted with &gt;95% of the participants completing until Week 26 without permanent treatment discontinuation. A hierarchical testing procedure was applied to control the overall Type I error at a 5% level for D A1C.</w:t>
      </w:r>
    </w:p>
    <w:p w14:paraId="7C789332" w14:textId="77777777" w:rsidR="00A764F2" w:rsidRDefault="00A764F2" w:rsidP="00A764F2">
      <w:r>
        <w:t>Results:</w:t>
      </w:r>
    </w:p>
    <w:p w14:paraId="38B3D110" w14:textId="55CA829B" w:rsidR="00A764F2" w:rsidRDefault="00A764F2" w:rsidP="00A764F2">
      <w:r>
        <w:t>Demographics and baseline characteristics matched well for the two treatment arms ((except the baseline medications). At baseline, the mean age, body weight, HbA1c, FPG, duration of diabetes, and eGFR were ~58 years, 83.4 – 85.8 kg, ~8.5%, 176 - 187 mg/dL, 11 years, and &gt;90 ml/min/1.73 m2 respectively. Most common background medications were metformin (~90%), sulphonylurea (~44%), DPP4 inhibitors (~26%), GLP-1 receptor-agonists (21.8% [</w:t>
      </w:r>
      <w:r w:rsidR="00D64CAE">
        <w:t>IIco</w:t>
      </w:r>
      <w:r>
        <w:t xml:space="preserve"> QW] vs. 16.3 [Idec QD]), and SGLT2 inhibitors (40.5% [</w:t>
      </w:r>
      <w:r w:rsidR="00D64CAE">
        <w:t>IIco</w:t>
      </w:r>
      <w:r>
        <w:t xml:space="preserve"> QW] vs. 32.3% [Idec QD]) with obvious imbalances for the two latter classes.</w:t>
      </w:r>
    </w:p>
    <w:p w14:paraId="602A54EE" w14:textId="310857FB" w:rsidR="00185F03" w:rsidRDefault="00A764F2" w:rsidP="00A764F2">
      <w:r>
        <w:t xml:space="preserve">The glucose-lowering efficacy of </w:t>
      </w:r>
      <w:r w:rsidR="00D64CAE">
        <w:t>IIco</w:t>
      </w:r>
      <w:r>
        <w:t xml:space="preserve"> QW was non-inferior to that of IDeg QD. The subsequent testing according to the predefined hierarchy confirmed even superiority.</w:t>
      </w:r>
    </w:p>
    <w:p w14:paraId="7B3CBCB5" w14:textId="0399DC5D" w:rsidR="006F39C7" w:rsidRDefault="006F39C7" w:rsidP="006F39C7">
      <w:pPr>
        <w:pStyle w:val="FigureTitle"/>
      </w:pPr>
      <w:r w:rsidRPr="006F39C7">
        <w:lastRenderedPageBreak/>
        <w:t>Table 1</w:t>
      </w:r>
      <w:r w:rsidR="00667967">
        <w:t>1</w:t>
      </w:r>
      <w:r w:rsidRPr="006F39C7">
        <w:t>: Primary and secondary endpoints outcome for ONWARDS 3</w:t>
      </w:r>
    </w:p>
    <w:p w14:paraId="4BC10051" w14:textId="0AD464B0" w:rsidR="00184EAC" w:rsidRDefault="00184EAC" w:rsidP="00EA131D">
      <w:r>
        <w:rPr>
          <w:noProof/>
        </w:rPr>
        <w:drawing>
          <wp:inline distT="0" distB="0" distL="0" distR="0" wp14:anchorId="11277D85" wp14:editId="623D1B5F">
            <wp:extent cx="4448810" cy="2182222"/>
            <wp:effectExtent l="0" t="0" r="0" b="8890"/>
            <wp:docPr id="1197015095"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15095" name="Picture 1" descr="A white paper with black text&#10;&#10;AI-generated content may be incorrect."/>
                    <pic:cNvPicPr/>
                  </pic:nvPicPr>
                  <pic:blipFill>
                    <a:blip r:embed="rId58"/>
                    <a:stretch>
                      <a:fillRect/>
                    </a:stretch>
                  </pic:blipFill>
                  <pic:spPr>
                    <a:xfrm>
                      <a:off x="0" y="0"/>
                      <a:ext cx="4459352" cy="2187393"/>
                    </a:xfrm>
                    <a:prstGeom prst="rect">
                      <a:avLst/>
                    </a:prstGeom>
                  </pic:spPr>
                </pic:pic>
              </a:graphicData>
            </a:graphic>
          </wp:inline>
        </w:drawing>
      </w:r>
    </w:p>
    <w:p w14:paraId="2236967B" w14:textId="61E23D83" w:rsidR="006F39C7" w:rsidRDefault="0007210B" w:rsidP="0007210B">
      <w:r w:rsidRPr="0007210B">
        <w:t>Subsequent testing according also confirmed superiority (p=0.0016).</w:t>
      </w:r>
    </w:p>
    <w:p w14:paraId="1E4940C9" w14:textId="4CD9DF39" w:rsidR="00B5441D" w:rsidRDefault="0037150F" w:rsidP="0037150F">
      <w:pPr>
        <w:pStyle w:val="FigureTitle"/>
      </w:pPr>
      <w:r w:rsidRPr="0037150F">
        <w:t>Figure 13: HbA1C Comparison between the two arms ONWARDS 3</w:t>
      </w:r>
    </w:p>
    <w:p w14:paraId="75185034" w14:textId="3EE7A47B" w:rsidR="00B5441D" w:rsidRDefault="00B5441D" w:rsidP="0007210B">
      <w:r>
        <w:rPr>
          <w:noProof/>
        </w:rPr>
        <w:drawing>
          <wp:inline distT="0" distB="0" distL="0" distR="0" wp14:anchorId="579DEA02" wp14:editId="1C26FF0F">
            <wp:extent cx="5759450" cy="3194050"/>
            <wp:effectExtent l="0" t="0" r="0" b="6350"/>
            <wp:docPr id="725824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24787" name=""/>
                    <pic:cNvPicPr/>
                  </pic:nvPicPr>
                  <pic:blipFill>
                    <a:blip r:embed="rId59"/>
                    <a:stretch>
                      <a:fillRect/>
                    </a:stretch>
                  </pic:blipFill>
                  <pic:spPr>
                    <a:xfrm>
                      <a:off x="0" y="0"/>
                      <a:ext cx="5759450" cy="3194050"/>
                    </a:xfrm>
                    <a:prstGeom prst="rect">
                      <a:avLst/>
                    </a:prstGeom>
                  </pic:spPr>
                </pic:pic>
              </a:graphicData>
            </a:graphic>
          </wp:inline>
        </w:drawing>
      </w:r>
    </w:p>
    <w:p w14:paraId="31393074" w14:textId="286D6387" w:rsidR="00D77CC9" w:rsidRDefault="00217A56" w:rsidP="00E02388">
      <w:pPr>
        <w:pStyle w:val="TableDescription"/>
      </w:pPr>
      <w:r w:rsidRPr="00217A56">
        <w:t>26*: Estimated mean values and the corresponding standard error at week 26 derived based on MI, MI: Multiple imputation, Full analysis set. Observed data including data obtained after premature treatment discontinuation. Number of subjects contributing to the data points appears in the bottom panel. Legend: Mean (symbol) and mean ± standard error to the mean (error bars). HbA1c: Haemoglobin Alc.</w:t>
      </w:r>
    </w:p>
    <w:p w14:paraId="700D4AB0" w14:textId="083EE6F5" w:rsidR="00E02388" w:rsidRDefault="00E02388" w:rsidP="003A0ACA">
      <w:r>
        <w:t>No severe hypoglycaemia (level 3) occurred in the ONWARDS 3 trial, while there was a marked in¬ in the rate of clinically significant hypoglycaemic episodes (level 2): 34.8 (</w:t>
      </w:r>
      <w:r w:rsidR="00D64CAE">
        <w:t>IIco</w:t>
      </w:r>
      <w:r>
        <w:t xml:space="preserve">) vs. 11.7 (IDeg) per 100 patient-years with an ERR [95% CI] of 2.09 [0.99, 4.41]. However, the responder rates for patients achieving adequate glycaemic control without level 2 or worse hypoglycaemia were significantly more in the </w:t>
      </w:r>
      <w:r w:rsidR="00D64CAE">
        <w:t>IIco</w:t>
      </w:r>
      <w:r>
        <w:t xml:space="preserve"> QW arm vs. IDeg QD: e.g., the ETR [95% CI] for target HbA1c &lt;6.5% was 1.72 [1.16, 2.54].</w:t>
      </w:r>
    </w:p>
    <w:p w14:paraId="48F74044" w14:textId="2BACCC3C" w:rsidR="00E02388" w:rsidRDefault="00E02388" w:rsidP="003A0ACA">
      <w:r>
        <w:t xml:space="preserve">The mean weekly insulin dose from week 24 - 26 was slightly (but not significantly) increased (204.28 U for </w:t>
      </w:r>
      <w:r w:rsidR="00D64CAE">
        <w:t>IIco</w:t>
      </w:r>
      <w:r>
        <w:t xml:space="preserve"> QW versus 186.52 U for IDeg QD), and there was no statistically significant difference between treatment arms (ETR [95% CI]: 1.10 [0.98, 1.22]).  Patients in the </w:t>
      </w:r>
      <w:r w:rsidR="00D64CAE">
        <w:t>IIco</w:t>
      </w:r>
      <w:r>
        <w:t xml:space="preserve"> QW rm showed a marginally larger weight gain as compared with the IDeg QD control arm (ETD [95% CI]: 0.46 kg [-0.19, 1.10]).</w:t>
      </w:r>
    </w:p>
    <w:p w14:paraId="3C330E21" w14:textId="3E77E638" w:rsidR="00E02388" w:rsidRDefault="00E02388" w:rsidP="003A0ACA">
      <w:r>
        <w:lastRenderedPageBreak/>
        <w:t xml:space="preserve"> The results from the ONWARDS 3 study support the superiority </w:t>
      </w:r>
      <w:r w:rsidR="00D64CAE">
        <w:t>IIco</w:t>
      </w:r>
      <w:r>
        <w:t xml:space="preserve"> QW to IDeg QD in terms of the glucose-lowering action following initiation of basal insulin in insulin-naïve patients with T2DM. However, this superior anti-hyperglycaemic effect was associated with increase in clinically significant hypoglycaemia (level 2).</w:t>
      </w:r>
    </w:p>
    <w:p w14:paraId="31000727" w14:textId="42E4A6B9" w:rsidR="003A0ACA" w:rsidRDefault="003A0ACA" w:rsidP="003A0ACA">
      <w:pPr>
        <w:pStyle w:val="Heading5"/>
      </w:pPr>
      <w:r w:rsidRPr="003A0ACA">
        <w:t>ONWARDS 4 Study</w:t>
      </w:r>
    </w:p>
    <w:p w14:paraId="7B818342" w14:textId="3D9915C1" w:rsidR="009E297E" w:rsidRDefault="009E297E" w:rsidP="009E297E">
      <w:r>
        <w:t xml:space="preserve">The OMNWARDS 4 study was a 26-week, randomised (1:1), open label, multicentre, multinational, Phase 3 trial comparing the treatment effects of </w:t>
      </w:r>
      <w:r w:rsidR="00D64CAE">
        <w:t>IIco</w:t>
      </w:r>
      <w:r>
        <w:t xml:space="preserve"> administered once-weekly (</w:t>
      </w:r>
      <w:r w:rsidR="00D64CAE">
        <w:t>IIco</w:t>
      </w:r>
      <w:r>
        <w:t xml:space="preserve"> QW) and </w:t>
      </w:r>
      <w:r w:rsidR="001D617B" w:rsidRPr="001D617B">
        <w:t>IGlar</w:t>
      </w:r>
      <w:r>
        <w:t xml:space="preserve"> administered once-daily (IGlar QD) in patients with T2DM. </w:t>
      </w:r>
    </w:p>
    <w:p w14:paraId="2740B16C" w14:textId="7AE5AA6A" w:rsidR="009E297E" w:rsidRDefault="009E297E" w:rsidP="009E297E">
      <w:r>
        <w:t>Study participants were patients at more advanced stages of the disease (&gt;15 years median duration of T2DM) unable to reach adequate glycaemic control</w:t>
      </w:r>
      <w:r w:rsidR="000B4DF1">
        <w:rPr>
          <w:rStyle w:val="FootnoteReference"/>
        </w:rPr>
        <w:footnoteReference w:id="8"/>
      </w:r>
      <w:r>
        <w:t xml:space="preserve"> on prior treatment with a basal insulin + bolus insulin </w:t>
      </w:r>
      <w:r w:rsidR="00CB40D0">
        <w:t>+/-</w:t>
      </w:r>
      <w:r>
        <w:t xml:space="preserve"> oral/injectable antihyperglycaemic agents. Approximately 18% of the study participants used a personal CGM or flash GM</w:t>
      </w:r>
      <w:r w:rsidR="00ED6983">
        <w:rPr>
          <w:rStyle w:val="FootnoteReference"/>
        </w:rPr>
        <w:footnoteReference w:id="9"/>
      </w:r>
      <w:r>
        <w:t xml:space="preserve"> device.</w:t>
      </w:r>
    </w:p>
    <w:p w14:paraId="6A747AD1" w14:textId="4A228D3F" w:rsidR="000D3F17" w:rsidRDefault="000D3F17" w:rsidP="000D3F17">
      <w:pPr>
        <w:pStyle w:val="FigureTitle"/>
      </w:pPr>
      <w:r w:rsidRPr="000D3F17">
        <w:t>Figure 14: OMNWARDS 4</w:t>
      </w:r>
      <w:r>
        <w:t xml:space="preserve"> s</w:t>
      </w:r>
      <w:r w:rsidRPr="000D3F17">
        <w:t xml:space="preserve">tudy </w:t>
      </w:r>
      <w:r>
        <w:t>d</w:t>
      </w:r>
      <w:r w:rsidRPr="000D3F17">
        <w:t>esign</w:t>
      </w:r>
    </w:p>
    <w:p w14:paraId="2122FF40" w14:textId="558BD898" w:rsidR="000C1506" w:rsidRDefault="000C1506" w:rsidP="009E297E">
      <w:r>
        <w:rPr>
          <w:noProof/>
        </w:rPr>
        <w:drawing>
          <wp:inline distT="0" distB="0" distL="0" distR="0" wp14:anchorId="71012F3C" wp14:editId="633DB514">
            <wp:extent cx="4637417" cy="1009290"/>
            <wp:effectExtent l="0" t="0" r="0" b="635"/>
            <wp:docPr id="2108501142" name="Picture 1"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01142" name="Picture 1" descr="A close-up of a computer screen&#10;&#10;AI-generated content may be incorrect."/>
                    <pic:cNvPicPr/>
                  </pic:nvPicPr>
                  <pic:blipFill>
                    <a:blip r:embed="rId60"/>
                    <a:stretch>
                      <a:fillRect/>
                    </a:stretch>
                  </pic:blipFill>
                  <pic:spPr>
                    <a:xfrm>
                      <a:off x="0" y="0"/>
                      <a:ext cx="4650869" cy="1012218"/>
                    </a:xfrm>
                    <a:prstGeom prst="rect">
                      <a:avLst/>
                    </a:prstGeom>
                  </pic:spPr>
                </pic:pic>
              </a:graphicData>
            </a:graphic>
          </wp:inline>
        </w:drawing>
      </w:r>
    </w:p>
    <w:p w14:paraId="0086E33C" w14:textId="26AC8FFB" w:rsidR="009C7F0E" w:rsidRDefault="00685F21" w:rsidP="009C7F0E">
      <w:r>
        <w:t>The p</w:t>
      </w:r>
      <w:r w:rsidR="009C7F0E">
        <w:t>rimary endpoint was the change in HbA1c from baseline to Week 26 (ΔA1C). Secondary endpoints were the change in FPG from baseline to Week 26 (ΔFPG) and the time in range 3.9-10.0 mmol/L (70-180 mg/dL) from Week 22 – 26 (TIR).</w:t>
      </w:r>
    </w:p>
    <w:p w14:paraId="04DAECD5" w14:textId="370A9742" w:rsidR="009C7F0E" w:rsidRDefault="009C7F0E" w:rsidP="009C7F0E">
      <w:r>
        <w:t>Demographics and baseline characteristics were balanced between the treatment arms. At baseline, the mean age, body weight, HbA1c, FPG, duration of diabetes, and eGFR were ~63 years, 83.1 – 85.5 kg, ~8.3%, 167 – 173 mg/dL, 16 – 18 years, and ~82 ml/min/1.73 m</w:t>
      </w:r>
      <w:r w:rsidRPr="009C7F0E">
        <w:rPr>
          <w:vertAlign w:val="superscript"/>
        </w:rPr>
        <w:t>2</w:t>
      </w:r>
      <w:r>
        <w:t xml:space="preserve"> respectively. </w:t>
      </w:r>
    </w:p>
    <w:p w14:paraId="09C40A81" w14:textId="147E0998" w:rsidR="009C7F0E" w:rsidRDefault="009C7F0E" w:rsidP="009C7F0E">
      <w:r>
        <w:t xml:space="preserve">The basal insulins </w:t>
      </w:r>
      <w:proofErr w:type="gramStart"/>
      <w:r>
        <w:t>most commonly used</w:t>
      </w:r>
      <w:proofErr w:type="gramEnd"/>
      <w:r>
        <w:t xml:space="preserve"> prior to randomization were those to be administered QD: among the randomized patients, IGlar U100 QD was used 49.5 % (</w:t>
      </w:r>
      <w:r w:rsidR="00D64CAE">
        <w:t>IIco</w:t>
      </w:r>
      <w:r>
        <w:t xml:space="preserve"> QW) and 44.3% (IGlar QD), IDeg QD was used by 25.1 % (</w:t>
      </w:r>
      <w:r w:rsidR="00D64CAE">
        <w:t>IIco</w:t>
      </w:r>
      <w:r>
        <w:t xml:space="preserve"> QW) and 23.0% (IGlar QD), and IGlar U300 QD was used by 19.2% (</w:t>
      </w:r>
      <w:r w:rsidR="00D64CAE">
        <w:t>IIco</w:t>
      </w:r>
      <w:r>
        <w:t xml:space="preserve"> QW) and 23.0% (IGlar QD).</w:t>
      </w:r>
    </w:p>
    <w:p w14:paraId="19AFEFFA" w14:textId="6178FE69" w:rsidR="008C6094" w:rsidRDefault="008C6094" w:rsidP="008C6094">
      <w:pPr>
        <w:pStyle w:val="FigureTitle"/>
      </w:pPr>
      <w:r w:rsidRPr="008C6094">
        <w:t>Table 1</w:t>
      </w:r>
      <w:r w:rsidR="00C00AE9">
        <w:t>2</w:t>
      </w:r>
      <w:r w:rsidRPr="008C6094">
        <w:t>: HbA1C after 26 weeks- change from baseline -primary statistical analysis- full analysis set</w:t>
      </w:r>
    </w:p>
    <w:p w14:paraId="77162745" w14:textId="27ED7755" w:rsidR="00F021AF" w:rsidRDefault="00F021AF" w:rsidP="00EA131D">
      <w:r w:rsidRPr="00C348C3">
        <w:rPr>
          <w:noProof/>
          <w:lang w:val="en-US"/>
        </w:rPr>
        <w:drawing>
          <wp:inline distT="0" distB="0" distL="0" distR="0" wp14:anchorId="5C07B5B2" wp14:editId="4CBEA0BE">
            <wp:extent cx="3911600" cy="1590040"/>
            <wp:effectExtent l="0" t="0" r="0" b="0"/>
            <wp:docPr id="474" name="Picture 47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A screenshot of a computer screen&#10;&#10;AI-generated content may be incorrect."/>
                    <pic:cNvPicPr/>
                  </pic:nvPicPr>
                  <pic:blipFill rotWithShape="1">
                    <a:blip r:embed="rId61">
                      <a:extLst>
                        <a:ext uri="{BEBA8EAE-BF5A-486C-A8C5-ECC9F3942E4B}">
                          <a14:imgProps xmlns:a14="http://schemas.microsoft.com/office/drawing/2010/main">
                            <a14:imgLayer r:embed="rId62">
                              <a14:imgEffect>
                                <a14:sharpenSoften amount="48000"/>
                              </a14:imgEffect>
                            </a14:imgLayer>
                          </a14:imgProps>
                        </a:ext>
                      </a:extLst>
                    </a:blip>
                    <a:srcRect t="17388"/>
                    <a:stretch/>
                  </pic:blipFill>
                  <pic:spPr bwMode="auto">
                    <a:xfrm>
                      <a:off x="0" y="0"/>
                      <a:ext cx="3920006" cy="1593457"/>
                    </a:xfrm>
                    <a:prstGeom prst="rect">
                      <a:avLst/>
                    </a:prstGeom>
                    <a:ln>
                      <a:noFill/>
                    </a:ln>
                    <a:extLst>
                      <a:ext uri="{53640926-AAD7-44D8-BBD7-CCE9431645EC}">
                        <a14:shadowObscured xmlns:a14="http://schemas.microsoft.com/office/drawing/2010/main"/>
                      </a:ext>
                    </a:extLst>
                  </pic:spPr>
                </pic:pic>
              </a:graphicData>
            </a:graphic>
          </wp:inline>
        </w:drawing>
      </w:r>
    </w:p>
    <w:p w14:paraId="7750EF2A" w14:textId="6DC4C195" w:rsidR="00F021AF" w:rsidRDefault="00740B2E" w:rsidP="008C6094">
      <w:pPr>
        <w:pStyle w:val="FigureTitle"/>
      </w:pPr>
      <w:r w:rsidRPr="00740B2E">
        <w:lastRenderedPageBreak/>
        <w:t xml:space="preserve">Figure 15: HbA1c by treatment week change from baseline -mean plot - full analysis </w:t>
      </w:r>
      <w:proofErr w:type="gramStart"/>
      <w:r w:rsidRPr="00740B2E">
        <w:t>set(</w:t>
      </w:r>
      <w:proofErr w:type="gramEnd"/>
      <w:r w:rsidRPr="00740B2E">
        <w:t>FAS)</w:t>
      </w:r>
    </w:p>
    <w:p w14:paraId="6104FF3A" w14:textId="3E200B9B" w:rsidR="00572089" w:rsidRDefault="00572089" w:rsidP="00EA131D">
      <w:r>
        <w:rPr>
          <w:noProof/>
        </w:rPr>
        <w:drawing>
          <wp:inline distT="0" distB="0" distL="0" distR="0" wp14:anchorId="6E6A04D5" wp14:editId="37ECEF51">
            <wp:extent cx="4798943" cy="2639683"/>
            <wp:effectExtent l="0" t="0" r="1905" b="8890"/>
            <wp:docPr id="957220554" name="Picture 1" descr="A graph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20554" name="Picture 1" descr="A graph with numbers and a line&#10;&#10;AI-generated content may be incorrect."/>
                    <pic:cNvPicPr/>
                  </pic:nvPicPr>
                  <pic:blipFill>
                    <a:blip r:embed="rId63"/>
                    <a:stretch>
                      <a:fillRect/>
                    </a:stretch>
                  </pic:blipFill>
                  <pic:spPr>
                    <a:xfrm>
                      <a:off x="0" y="0"/>
                      <a:ext cx="4804973" cy="2643000"/>
                    </a:xfrm>
                    <a:prstGeom prst="rect">
                      <a:avLst/>
                    </a:prstGeom>
                  </pic:spPr>
                </pic:pic>
              </a:graphicData>
            </a:graphic>
          </wp:inline>
        </w:drawing>
      </w:r>
    </w:p>
    <w:p w14:paraId="25ED842F" w14:textId="04D49C38" w:rsidR="00F405C1" w:rsidRDefault="00F405C1" w:rsidP="00F405C1">
      <w:pPr>
        <w:pStyle w:val="FigureDescription"/>
      </w:pPr>
      <w:r w:rsidRPr="00F405C1">
        <w:t xml:space="preserve">26*: Estimated mean values and the corresponding standard error at week 26 derived based on MI, MI: Multiple imputation, Full analysis set. Observed data including data obtained after premature treatment discontinuation. Number of subjects contributing to the data points appears in the bottom panel. Legend: Mean (symbol) and mean ± standard error to the mean (error bars). </w:t>
      </w:r>
      <w:r w:rsidR="004112C7" w:rsidRPr="00F405C1">
        <w:t>HbA1c</w:t>
      </w:r>
      <w:r w:rsidRPr="00F405C1">
        <w:t>: Haemoglobin Alc.</w:t>
      </w:r>
    </w:p>
    <w:p w14:paraId="1C20796C" w14:textId="102BE820" w:rsidR="00DF6FD3" w:rsidRDefault="00DF6FD3" w:rsidP="00DF6FD3">
      <w:pPr>
        <w:pStyle w:val="FigureDescription"/>
      </w:pPr>
      <w:r>
        <w:t xml:space="preserve">The outcomes for secondary endpoints were consistent with the result for the primary endpoint. The ETD [95% CI] for </w:t>
      </w:r>
      <w:r w:rsidR="004112C7">
        <w:t>Δ</w:t>
      </w:r>
      <w:r>
        <w:t xml:space="preserve">FPG was -2.48 mg/dL [-10.59, 5.63]. Likewise, the ETD [95% CI] for the TIR was 0.29% [-2.52, 3.09]. In parallel, </w:t>
      </w:r>
      <w:r w:rsidR="00D64CAE">
        <w:t>IIco</w:t>
      </w:r>
      <w:r>
        <w:t xml:space="preserve"> QW cause a slight numerical reduction of the time spent &gt;10.0 mmol/L (ETD [95% CI]:  -0.60% [-3.47, 2.28]). Of note, patients were still hyperglycaemic nearly 1/3 of the time as conferred from the estimates of the mean time spent &gt; 10.0 mmol/L from week 22 to week 26 (30.47% [</w:t>
      </w:r>
      <w:r w:rsidR="00D64CAE">
        <w:t>IIco</w:t>
      </w:r>
      <w:r>
        <w:t xml:space="preserve"> QW] and 30.47% [IGlar QD]).</w:t>
      </w:r>
    </w:p>
    <w:p w14:paraId="24DEEDE4" w14:textId="7CECE79F" w:rsidR="00DF6FD3" w:rsidRDefault="00DF6FD3" w:rsidP="00DF6FD3">
      <w:pPr>
        <w:pStyle w:val="FigureDescription"/>
      </w:pPr>
      <w:r>
        <w:t xml:space="preserve">In addition, patients treated with </w:t>
      </w:r>
      <w:r w:rsidR="00D64CAE">
        <w:t>IIco</w:t>
      </w:r>
      <w:r>
        <w:t xml:space="preserve"> QW spent </w:t>
      </w:r>
      <w:r w:rsidR="00FE1540">
        <w:t>nominally</w:t>
      </w:r>
      <w:r>
        <w:t xml:space="preserve"> more time &lt; 3.0 </w:t>
      </w:r>
      <w:r w:rsidR="00FE1540">
        <w:t>m</w:t>
      </w:r>
      <w:r>
        <w:t xml:space="preserve">mol/L (ETR [95% CI]: 1.20 [0.91, 1.58]) and had more severe (level 3) </w:t>
      </w:r>
      <w:r w:rsidR="00FE1540">
        <w:t>hypoglycaemic</w:t>
      </w:r>
      <w:r>
        <w:t xml:space="preserve"> episodes than patients in the IGlar control (4.26 vs. 1.95 events per 100 PY; ETR [95% CI]: 2.19 [0.20, 24.44]). A similar excess of events in the </w:t>
      </w:r>
      <w:r w:rsidR="00D64CAE">
        <w:t>IIco</w:t>
      </w:r>
      <w:r>
        <w:t xml:space="preserve"> QW arm has been observed for hypoglycaemia alert value (level1) and clinically significant hypoglycaemia (level 2). This was ultimately reflected in the responder rates basically all favouring the active comparator (i.e., except for one, all ETRs were nominally &lt;1).</w:t>
      </w:r>
    </w:p>
    <w:p w14:paraId="72D3F697" w14:textId="12B64783" w:rsidR="00DF6FD3" w:rsidRDefault="00DF6FD3" w:rsidP="004112C7">
      <w:pPr>
        <w:pStyle w:val="TableTitle"/>
      </w:pPr>
      <w:r>
        <w:t>Table 1</w:t>
      </w:r>
      <w:r w:rsidR="00C00AE9">
        <w:t>3</w:t>
      </w:r>
      <w:r>
        <w:t>: Achievement of Hb A1c target after 26 weeks without hypoglycaemia- supportive statistical analysis- full analysis set</w:t>
      </w:r>
    </w:p>
    <w:p w14:paraId="00B62989" w14:textId="51ACDED0" w:rsidR="003410BC" w:rsidRDefault="003410BC" w:rsidP="00EA131D">
      <w:r>
        <w:rPr>
          <w:noProof/>
        </w:rPr>
        <w:drawing>
          <wp:inline distT="0" distB="0" distL="0" distR="0" wp14:anchorId="6FECA0FC" wp14:editId="4692CEA7">
            <wp:extent cx="5759450" cy="2050415"/>
            <wp:effectExtent l="0" t="0" r="0" b="6985"/>
            <wp:docPr id="6253096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09688" name="Picture 1" descr="A screenshot of a computer&#10;&#10;AI-generated content may be incorrect."/>
                    <pic:cNvPicPr/>
                  </pic:nvPicPr>
                  <pic:blipFill>
                    <a:blip r:embed="rId64"/>
                    <a:stretch>
                      <a:fillRect/>
                    </a:stretch>
                  </pic:blipFill>
                  <pic:spPr>
                    <a:xfrm>
                      <a:off x="0" y="0"/>
                      <a:ext cx="5759450" cy="2050415"/>
                    </a:xfrm>
                    <a:prstGeom prst="rect">
                      <a:avLst/>
                    </a:prstGeom>
                  </pic:spPr>
                </pic:pic>
              </a:graphicData>
            </a:graphic>
          </wp:inline>
        </w:drawing>
      </w:r>
    </w:p>
    <w:p w14:paraId="32569B21" w14:textId="77777777" w:rsidR="0058014D" w:rsidRDefault="0058014D" w:rsidP="0058014D">
      <w:pPr>
        <w:pStyle w:val="TableDescription"/>
      </w:pPr>
      <w:r>
        <w:t xml:space="preserve">Note: The binary response after 26 weeks is analysed using a binary logistic regression model (logit link) with treatment, region and personal CGM device use as fixed factors, and the baseline HbA1c value as covariate. Missing HbA1c measurements are imputed using the same method as specified for the primary analysis before the target achievement criterion is applied. Subjects who discontinue treatment prematurely are set to being non-achievers for the composite endpoints. Subjects who discontinued treatment prematurely have the outcome set to "No". * </w:t>
      </w:r>
      <w:proofErr w:type="gramStart"/>
      <w:r>
        <w:t>indicates</w:t>
      </w:r>
      <w:proofErr w:type="gramEnd"/>
      <w:r>
        <w:t xml:space="preserve"> no statistically significant difference. </w:t>
      </w:r>
    </w:p>
    <w:p w14:paraId="16177868" w14:textId="25D9DF42" w:rsidR="003410BC" w:rsidRDefault="0058014D" w:rsidP="0058014D">
      <w:pPr>
        <w:pStyle w:val="TableDescription"/>
      </w:pPr>
      <w:r>
        <w:lastRenderedPageBreak/>
        <w:t>Abbreviations: without hypoglycaemia: without hypoglycaemia during the prior 12 weeks; CI: Confidence interval, No correction for multiplicity; HbA1c: Haemoglobin A1c, w/o: without; Severe hypoglycaemia (level 3): Hypoglycaemia with severe cognitive impairment requiring external assistance for recovery; Clinically significant hypoglycaemia (level 2): Plasma glucose value of &lt; 3.0 mmol/L (54 mg/dL) confirmed by BG meter; BG: Blood glucose.</w:t>
      </w:r>
    </w:p>
    <w:p w14:paraId="05EDA64E" w14:textId="272D9AB7" w:rsidR="0010748A" w:rsidRDefault="0010748A" w:rsidP="004112C7">
      <w:r>
        <w:t xml:space="preserve">The weekly insulin dose in the </w:t>
      </w:r>
      <w:r w:rsidR="00D64CAE">
        <w:t>IIco</w:t>
      </w:r>
      <w:r>
        <w:t xml:space="preserve"> QW arm was slightly lower than in the IGlar QD control (ETR [95% CI]: 0.92 [0.85, 0.99]). At the same time, patients in the </w:t>
      </w:r>
      <w:r w:rsidR="00D64CAE">
        <w:t>IIco</w:t>
      </w:r>
      <w:r>
        <w:t xml:space="preserve"> QW arm on average gained slightly more weight than patients in the IGlar QD arm (ETD [95% CI]: 0.57 kg [-0.39, 1.54]; p=0.2444).</w:t>
      </w:r>
    </w:p>
    <w:p w14:paraId="0911BDE1" w14:textId="6AE8320C" w:rsidR="0010748A" w:rsidRDefault="0010748A" w:rsidP="004112C7">
      <w:r>
        <w:t xml:space="preserve">Results from the ONWARDS 4 study support the glucose-lowering efficacy of </w:t>
      </w:r>
      <w:r w:rsidR="00D64CAE">
        <w:t>IIco</w:t>
      </w:r>
      <w:r>
        <w:t xml:space="preserve"> QW in patients with long-standing T2DM, treated with a basal-bolus regimen additionally to non-insulin anti-hyperglycaemics. In this vulnerable study population, severe (level 3) hypoglycaemic episodes were more frequent with </w:t>
      </w:r>
      <w:r w:rsidR="00D64CAE">
        <w:t>IIco</w:t>
      </w:r>
      <w:r>
        <w:t xml:space="preserve"> QW treatment than with IGlar QD treatment (4.18 vs. 1.80 events per 100 PY).</w:t>
      </w:r>
    </w:p>
    <w:p w14:paraId="08AE156B" w14:textId="41CEC071" w:rsidR="0010748A" w:rsidRDefault="0010748A" w:rsidP="0010748A">
      <w:pPr>
        <w:pStyle w:val="Heading5"/>
      </w:pPr>
      <w:r>
        <w:t>ONWARDS 5 study</w:t>
      </w:r>
      <w:r>
        <w:tab/>
      </w:r>
    </w:p>
    <w:p w14:paraId="19785196" w14:textId="702A9E83" w:rsidR="0010748A" w:rsidRDefault="0010748A" w:rsidP="004112C7">
      <w:r>
        <w:t xml:space="preserve">The ONWARDS 5 study was a 52-week randomised (1:1), open label, multicentre, multinational, Phase 3 trial with a </w:t>
      </w:r>
      <w:proofErr w:type="gramStart"/>
      <w:r>
        <w:t>real world</w:t>
      </w:r>
      <w:proofErr w:type="gramEnd"/>
      <w:r>
        <w:t xml:space="preserve"> elements. The study compared </w:t>
      </w:r>
      <w:r w:rsidR="00D64CAE">
        <w:t>IIco</w:t>
      </w:r>
      <w:r>
        <w:t xml:space="preserve"> administered once-weekly according to a DoseGuide (</w:t>
      </w:r>
      <w:r w:rsidR="00D64CAE">
        <w:t>IIco</w:t>
      </w:r>
      <w:r>
        <w:t xml:space="preserve"> QW per DoseGuide) with once daily basal insulin analogues (IBasal QD) in insulin-naïve subjects with T2DM who required initiation of insulin treatment as per discretion of the treating investigator (HbA1c &gt; 7.0% [&gt;53 mmol/mol). Background medications allowed included oral antihyperglycaemics and injectable GLP-1 receptor agonists. While being a randomized study, the ONWARDS 5 trial included aspects of real-world.</w:t>
      </w:r>
    </w:p>
    <w:p w14:paraId="2A7B8B86" w14:textId="6F130D61" w:rsidR="0010748A" w:rsidRDefault="0010748A" w:rsidP="00667967">
      <w:pPr>
        <w:pStyle w:val="FigureTitle"/>
      </w:pPr>
      <w:r>
        <w:t xml:space="preserve">Figure 16: </w:t>
      </w:r>
      <w:r w:rsidRPr="0010748A">
        <w:t>ONWARDS 5</w:t>
      </w:r>
      <w:r>
        <w:t xml:space="preserve"> trial design</w:t>
      </w:r>
      <w:r w:rsidR="008F12AE">
        <w:rPr>
          <w:noProof/>
        </w:rPr>
        <w:drawing>
          <wp:inline distT="0" distB="0" distL="0" distR="0" wp14:anchorId="5A5B0333" wp14:editId="7D02A31A">
            <wp:extent cx="5759450" cy="1247775"/>
            <wp:effectExtent l="0" t="0" r="0" b="9525"/>
            <wp:docPr id="439932115" name="Picture 1" descr="A diagram of a guide and gu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32115" name="Picture 1" descr="A diagram of a guide and guide&#10;&#10;AI-generated content may be incorrect."/>
                    <pic:cNvPicPr/>
                  </pic:nvPicPr>
                  <pic:blipFill>
                    <a:blip r:embed="rId65"/>
                    <a:stretch>
                      <a:fillRect/>
                    </a:stretch>
                  </pic:blipFill>
                  <pic:spPr>
                    <a:xfrm>
                      <a:off x="0" y="0"/>
                      <a:ext cx="5759450" cy="1247775"/>
                    </a:xfrm>
                    <a:prstGeom prst="rect">
                      <a:avLst/>
                    </a:prstGeom>
                  </pic:spPr>
                </pic:pic>
              </a:graphicData>
            </a:graphic>
          </wp:inline>
        </w:drawing>
      </w:r>
    </w:p>
    <w:p w14:paraId="2E892B06" w14:textId="4EBE9C60" w:rsidR="00B41AA2" w:rsidRDefault="00B41AA2" w:rsidP="004112C7">
      <w:r>
        <w:t>Primary endpoint was the change in HbA1c from baseline to Week 52 (</w:t>
      </w:r>
      <w:r>
        <w:t xml:space="preserve">A1C). The study had no </w:t>
      </w:r>
      <w:r w:rsidR="00FE1540">
        <w:t>confirmatory</w:t>
      </w:r>
      <w:r>
        <w:t xml:space="preserve"> secondary effectiveness endpoints. Other secondary effectiveness endpoints included the time from baseline to treatment discontinuation or intensification (defined as change to a basal-bolus regimen or continuous use of bolus insulin), the change in DTSQ total treatment satisfaction score (DDTSQ), and the change in Treatment Related Impact Measure for Diabetes (TRIM-D) compliance domain. Secondary safety and exploratory endpoints were hypoglycaemic events.</w:t>
      </w:r>
    </w:p>
    <w:p w14:paraId="59971BAC" w14:textId="2725F0A2" w:rsidR="00B41AA2" w:rsidRDefault="00B41AA2" w:rsidP="004112C7">
      <w:r>
        <w:t>Demographics and baseline characteristics had no meaningful imbalances between the treatment arms. The mean baseline values for body weight, HbA1c, and duration of diabetes at study start were ~93 kg, ~8.9%, and ~12 years, respectively. The study population had near-normal kidney function at baseline (mean eGFR: ~88 ml/min/1.73 m2).</w:t>
      </w:r>
    </w:p>
    <w:p w14:paraId="150D83EE" w14:textId="77777777" w:rsidR="00B41AA2" w:rsidRDefault="00B41AA2" w:rsidP="004112C7">
      <w:r>
        <w:t>Most common background medications were metformin (used by &gt;90% of the participants), SGLT2 inhibitors (used by ~45%), and sulphonylurea (used by ~40%). Injectable GLP-1RAs were used by ~27% of the participants.</w:t>
      </w:r>
    </w:p>
    <w:p w14:paraId="428B1142" w14:textId="23A7D95E" w:rsidR="00B41AA2" w:rsidRDefault="00B41AA2" w:rsidP="004112C7">
      <w:r>
        <w:t xml:space="preserve">In total, 542 and 538 subjects were exposed to </w:t>
      </w:r>
      <w:r w:rsidR="00D64CAE">
        <w:t>IIco</w:t>
      </w:r>
      <w:r>
        <w:t xml:space="preserve"> QW per DoseGuide and IBasal QD, respectively, with a total [mean] duration of exposure to trial product of 559.54 PYE [1.03] in the </w:t>
      </w:r>
      <w:r w:rsidR="00D64CAE">
        <w:t>IIco</w:t>
      </w:r>
      <w:r>
        <w:t xml:space="preserve"> QW per DoseGuide treatment group and 560.72 PYE [1.04] in the IBasal QD treatment group.</w:t>
      </w:r>
    </w:p>
    <w:p w14:paraId="6C21FBF9" w14:textId="689E07C1" w:rsidR="00B41AA2" w:rsidRDefault="00B41AA2" w:rsidP="004112C7">
      <w:r>
        <w:lastRenderedPageBreak/>
        <w:t xml:space="preserve">At baseline, the observed mean HbA1c was 8.96% for subjects in the </w:t>
      </w:r>
      <w:r w:rsidR="00D64CAE">
        <w:t>IIco</w:t>
      </w:r>
      <w:r>
        <w:t xml:space="preserve"> QW per DoseGuide treatment group and 8.88% for subjects in the IBasal QD treatment group. At Week 52, the estimated mean HbA1c was 7.24% for subjects in the </w:t>
      </w:r>
      <w:r w:rsidR="00D64CAE">
        <w:t>IIco</w:t>
      </w:r>
      <w:r>
        <w:t xml:space="preserve"> QW per DoseGuide treatment group and 7.61% for subjects in the IBasal QD control arm. The ETD [95% CI] for A1C </w:t>
      </w:r>
      <w:r w:rsidR="00D64CAE">
        <w:t>IIco</w:t>
      </w:r>
      <w:r>
        <w:t xml:space="preserve"> QW per DoseGuide versus IBasal QD </w:t>
      </w:r>
      <w:proofErr w:type="gramStart"/>
      <w:r>
        <w:t>was  0.38</w:t>
      </w:r>
      <w:proofErr w:type="gramEnd"/>
      <w:r>
        <w:t xml:space="preserve">% [-0.66, -0.09] (NI test: p&lt;0.0001). Hierarchical testing confirmed the superiority of </w:t>
      </w:r>
      <w:r w:rsidR="00D64CAE">
        <w:t>IIco</w:t>
      </w:r>
      <w:r>
        <w:t xml:space="preserve"> QW per DoseGuide to IBasal QD (p=0.0092).</w:t>
      </w:r>
    </w:p>
    <w:p w14:paraId="638189AA" w14:textId="13936A82" w:rsidR="0058014D" w:rsidRDefault="00B41AA2" w:rsidP="00B41AA2">
      <w:pPr>
        <w:pStyle w:val="FigureTitle"/>
      </w:pPr>
      <w:r>
        <w:t>Table 1</w:t>
      </w:r>
      <w:r w:rsidR="00A313D1">
        <w:t>4</w:t>
      </w:r>
      <w:r>
        <w:t>: Statistical analysis of primary and confirmatory secondary endpoints (52 weeks)- FAS</w:t>
      </w:r>
    </w:p>
    <w:p w14:paraId="56EEF364" w14:textId="6EF54D2A" w:rsidR="000947D6" w:rsidRDefault="000947D6" w:rsidP="00EA131D">
      <w:r>
        <w:rPr>
          <w:noProof/>
        </w:rPr>
        <w:drawing>
          <wp:inline distT="0" distB="0" distL="0" distR="0" wp14:anchorId="539E2A76" wp14:editId="7CD3EB71">
            <wp:extent cx="5759450" cy="1858645"/>
            <wp:effectExtent l="0" t="0" r="0" b="8255"/>
            <wp:docPr id="309540423" name="Picture 1" descr="A white screen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40423" name="Picture 1" descr="A white screen with numbers&#10;&#10;AI-generated content may be incorrect."/>
                    <pic:cNvPicPr/>
                  </pic:nvPicPr>
                  <pic:blipFill>
                    <a:blip r:embed="rId66"/>
                    <a:stretch>
                      <a:fillRect/>
                    </a:stretch>
                  </pic:blipFill>
                  <pic:spPr>
                    <a:xfrm>
                      <a:off x="0" y="0"/>
                      <a:ext cx="5759450" cy="1858645"/>
                    </a:xfrm>
                    <a:prstGeom prst="rect">
                      <a:avLst/>
                    </a:prstGeom>
                  </pic:spPr>
                </pic:pic>
              </a:graphicData>
            </a:graphic>
          </wp:inline>
        </w:drawing>
      </w:r>
    </w:p>
    <w:p w14:paraId="7B9FBA2F" w14:textId="1F13314A" w:rsidR="00F405C1" w:rsidRDefault="00A9166D" w:rsidP="00A9166D">
      <w:pPr>
        <w:pStyle w:val="TableDescription"/>
      </w:pPr>
      <w:r>
        <w:t xml:space="preserve">CI: Confidence interval, HbA1c: Haemoglobin A1c, P-value: Two-sided p-value for test of noninferiority/ superiority. A hierarchical testing procedure is used to control the overall type I error on a 5% level two sided. The change from baseline in HbA1c is analysed using an analysis of covariance (ANCOVA) model. Missing values are imputed using multiple </w:t>
      </w:r>
      <w:proofErr w:type="gramStart"/>
      <w:r>
        <w:t>imputation..</w:t>
      </w:r>
      <w:proofErr w:type="gramEnd"/>
      <w:r>
        <w:t xml:space="preserve"> </w:t>
      </w:r>
      <w:r w:rsidR="00D64CAE">
        <w:t>IIco</w:t>
      </w:r>
      <w:r>
        <w:t xml:space="preserve">: </w:t>
      </w:r>
      <w:r w:rsidR="00D64CAE">
        <w:t>IIco</w:t>
      </w:r>
      <w:r>
        <w:t xml:space="preserve"> used with DoseGuide. OD analogues: Once-daily basal insulin analogues (IDeg, IGlar U100, IGlar U300).</w:t>
      </w:r>
    </w:p>
    <w:p w14:paraId="0E21B966" w14:textId="77777777" w:rsidR="00AF3066" w:rsidRDefault="00AF3066" w:rsidP="00AF3066">
      <w:r w:rsidRPr="00AF3066">
        <w:t xml:space="preserve">Superior glucose-lowering became apparent only after Week 26. Whereas HbA1c further slowly decline up to Week 56, no such decrease occurred in the IBasal QD arm, Instead, the HbA1c of the patients in IBasal QD arm even slightly deteriorated after Week 26. </w:t>
      </w:r>
    </w:p>
    <w:p w14:paraId="1C252851" w14:textId="545AAA5E" w:rsidR="00C0589B" w:rsidRDefault="00C0589B" w:rsidP="00C0589B">
      <w:pPr>
        <w:pStyle w:val="FigureTitle"/>
      </w:pPr>
      <w:r w:rsidRPr="00C0589B">
        <w:t>Figure 17: HbA1c by treatment week- change from baseline -mean plot - full analysis set</w:t>
      </w:r>
    </w:p>
    <w:p w14:paraId="5EC06C13" w14:textId="75A3C23C" w:rsidR="00AF3066" w:rsidRPr="00AF3066" w:rsidRDefault="005E14ED" w:rsidP="00AF3066">
      <w:r>
        <w:rPr>
          <w:noProof/>
        </w:rPr>
        <w:drawing>
          <wp:inline distT="0" distB="0" distL="0" distR="0" wp14:anchorId="265F74B4" wp14:editId="3C24EBAC">
            <wp:extent cx="5759450" cy="3030220"/>
            <wp:effectExtent l="0" t="0" r="0" b="0"/>
            <wp:docPr id="1352131230" name="Picture 1" descr="A graph with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31230" name="Picture 1" descr="A graph with a blue line&#10;&#10;AI-generated content may be incorrect."/>
                    <pic:cNvPicPr/>
                  </pic:nvPicPr>
                  <pic:blipFill>
                    <a:blip r:embed="rId67"/>
                    <a:stretch>
                      <a:fillRect/>
                    </a:stretch>
                  </pic:blipFill>
                  <pic:spPr>
                    <a:xfrm>
                      <a:off x="0" y="0"/>
                      <a:ext cx="5759450" cy="3030220"/>
                    </a:xfrm>
                    <a:prstGeom prst="rect">
                      <a:avLst/>
                    </a:prstGeom>
                  </pic:spPr>
                </pic:pic>
              </a:graphicData>
            </a:graphic>
          </wp:inline>
        </w:drawing>
      </w:r>
    </w:p>
    <w:p w14:paraId="5579F960" w14:textId="3E02FEAA" w:rsidR="00AF3066" w:rsidRDefault="00403DA6" w:rsidP="00A9166D">
      <w:pPr>
        <w:pStyle w:val="TableDescription"/>
      </w:pPr>
      <w:r w:rsidRPr="00403DA6">
        <w:t xml:space="preserve">52*: Estimated mean values and the corresponding standard error at week 52 derived based on MI, MI: Multiple imputation, Full analysis set. Observed data including data obtained after premature treatment discontinuation. Number of subjects contributing to the data points appears in the bottom panel. Legend: Mean (symbol) and mean ± standard error to the mean (error bars). HbA1c: Haemoglobin A1c. </w:t>
      </w:r>
      <w:r w:rsidR="00D64CAE">
        <w:t>IIco</w:t>
      </w:r>
      <w:r w:rsidRPr="00403DA6">
        <w:t xml:space="preserve">: </w:t>
      </w:r>
      <w:r w:rsidR="00D64CAE">
        <w:t>IIco</w:t>
      </w:r>
      <w:r w:rsidRPr="00403DA6">
        <w:t xml:space="preserve"> used with DoseGuide. OD analogues: Once-daily basal insulin analogues (IDeg, IGlar U100, IGlar U300).</w:t>
      </w:r>
    </w:p>
    <w:p w14:paraId="0895AFC7" w14:textId="00455BA5" w:rsidR="008420C8" w:rsidRDefault="008420C8" w:rsidP="004112C7">
      <w:r>
        <w:lastRenderedPageBreak/>
        <w:t>The primary objective was met and the primary analysis showed that the effect on ΔA1C was non-inferior to that of IBasal QD (ETD [95% CI]: -0.38 [-0.66, -0.09]; p&lt;0.0001), and sequential testing also proved the superiority hypothesis (p=0.0092). The robustness of these conclusions for the primary endpoint is supported by adequate sensitivity analyses (tipping point analyses).</w:t>
      </w:r>
    </w:p>
    <w:p w14:paraId="04B4F41B" w14:textId="7185219C" w:rsidR="008420C8" w:rsidRDefault="008420C8" w:rsidP="008420C8">
      <w:pPr>
        <w:pStyle w:val="FigureTitle"/>
      </w:pPr>
      <w:r>
        <w:t>Figure 18: HbA1c after 52 weeks-change from baseline -tipping point plot for non-inferiority-FAS</w:t>
      </w:r>
    </w:p>
    <w:p w14:paraId="48716D16" w14:textId="4E41AEB0" w:rsidR="00DC089B" w:rsidRDefault="00DC089B" w:rsidP="00EA131D">
      <w:r>
        <w:rPr>
          <w:noProof/>
        </w:rPr>
        <w:drawing>
          <wp:inline distT="0" distB="0" distL="0" distR="0" wp14:anchorId="48D78608" wp14:editId="1FDD481D">
            <wp:extent cx="5759450" cy="2899410"/>
            <wp:effectExtent l="0" t="0" r="0" b="0"/>
            <wp:docPr id="1765342751" name="Picture 1" descr="A graph with a line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42751" name="Picture 1" descr="A graph with a line graph&#10;&#10;AI-generated content may be incorrect."/>
                    <pic:cNvPicPr/>
                  </pic:nvPicPr>
                  <pic:blipFill>
                    <a:blip r:embed="rId68"/>
                    <a:stretch>
                      <a:fillRect/>
                    </a:stretch>
                  </pic:blipFill>
                  <pic:spPr>
                    <a:xfrm>
                      <a:off x="0" y="0"/>
                      <a:ext cx="5759450" cy="2899410"/>
                    </a:xfrm>
                    <a:prstGeom prst="rect">
                      <a:avLst/>
                    </a:prstGeom>
                  </pic:spPr>
                </pic:pic>
              </a:graphicData>
            </a:graphic>
          </wp:inline>
        </w:drawing>
      </w:r>
    </w:p>
    <w:p w14:paraId="0A97B465" w14:textId="11668711" w:rsidR="000231BC" w:rsidRDefault="000231BC" w:rsidP="000231BC">
      <w:pPr>
        <w:pStyle w:val="FigureDescription"/>
      </w:pPr>
      <w:r w:rsidRPr="000231BC">
        <w:t xml:space="preserve">HbA1c: Haemoglobin A1c. Full analysis set. Observed data with missing values imputed using multiple imputation. The response and change from baseline in response after 52 weeks are analysed using an analysis of covariance (ANCOVA) model with treatment and region as fixed factors, and baseline response as covariate. Missing values at week 52 are imputed using multiple imputation based on the change from LAOT value to week 52 for subjects that have discontinued randomised treatment but have a measurement at week 52. The model includes treatment as a fixed factor and the LAOT value and the time point of this assessment as covariates. Each imputed dataset is analysed </w:t>
      </w:r>
      <w:proofErr w:type="gramStart"/>
      <w:r w:rsidRPr="000231BC">
        <w:t>separately</w:t>
      </w:r>
      <w:proofErr w:type="gramEnd"/>
      <w:r w:rsidRPr="000231BC">
        <w:t xml:space="preserve"> and estimates are combined using Rubin's rules. lay </w:t>
      </w:r>
      <w:r w:rsidR="00D64CAE">
        <w:t>IIco</w:t>
      </w:r>
      <w:r w:rsidRPr="000231BC">
        <w:t xml:space="preserve"> used with DoseGuide. OD analogues: Once-daily basal insulin analogues (IDeg, IGlar U100, IGlar U300).</w:t>
      </w:r>
    </w:p>
    <w:p w14:paraId="71B9BBEB" w14:textId="01582802" w:rsidR="00757CC2" w:rsidRDefault="00757CC2" w:rsidP="00757CC2">
      <w:pPr>
        <w:pStyle w:val="FigureTitle"/>
      </w:pPr>
      <w:r w:rsidRPr="00757CC2">
        <w:t>Figure 19: HbA1c after 52 weeks-change from baseline -tipping point plot for Superiority-FAS</w:t>
      </w:r>
    </w:p>
    <w:p w14:paraId="664AA262" w14:textId="631F376E" w:rsidR="00757CC2" w:rsidRDefault="007D0EE0" w:rsidP="00EA131D">
      <w:r>
        <w:rPr>
          <w:noProof/>
        </w:rPr>
        <w:drawing>
          <wp:inline distT="0" distB="0" distL="0" distR="0" wp14:anchorId="3F9E688D" wp14:editId="26738550">
            <wp:extent cx="5759450" cy="2890520"/>
            <wp:effectExtent l="0" t="0" r="0" b="5080"/>
            <wp:docPr id="720910620" name="Picture 1" descr="A graph with a line and a number of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10620" name="Picture 1" descr="A graph with a line and a number of points&#10;&#10;AI-generated content may be incorrect."/>
                    <pic:cNvPicPr/>
                  </pic:nvPicPr>
                  <pic:blipFill>
                    <a:blip r:embed="rId69"/>
                    <a:stretch>
                      <a:fillRect/>
                    </a:stretch>
                  </pic:blipFill>
                  <pic:spPr>
                    <a:xfrm>
                      <a:off x="0" y="0"/>
                      <a:ext cx="5759450" cy="2890520"/>
                    </a:xfrm>
                    <a:prstGeom prst="rect">
                      <a:avLst/>
                    </a:prstGeom>
                  </pic:spPr>
                </pic:pic>
              </a:graphicData>
            </a:graphic>
          </wp:inline>
        </w:drawing>
      </w:r>
    </w:p>
    <w:p w14:paraId="56062FCC" w14:textId="1BA32C1C" w:rsidR="007D0EE0" w:rsidRDefault="00983C86" w:rsidP="00983C86">
      <w:pPr>
        <w:pStyle w:val="FigureDescription"/>
      </w:pPr>
      <w:r w:rsidRPr="00983C86">
        <w:lastRenderedPageBreak/>
        <w:t xml:space="preserve">HbA1c: Haemoglobin A1c. Full analysis set. Observed data with missing values imputed using multiple imputation. The response and change from baseline in response after 52 weeks are analysed using an analysis of covariance (ANCOVA) model with treatment and region as fixed factors, and baseline response as covariate. Missing values at week 52 are imputed using multiple imputation based on the change from LAOT value to week 52 for subjects that have discontinued randomised treatment but have a measurement at week 52. The model includes treatment as a fixed factor and the LAOT value and the time point of this assessment as covariates. Each imputed dataset is analysed </w:t>
      </w:r>
      <w:proofErr w:type="gramStart"/>
      <w:r w:rsidRPr="00983C86">
        <w:t>separately</w:t>
      </w:r>
      <w:proofErr w:type="gramEnd"/>
      <w:r w:rsidRPr="00983C86">
        <w:t xml:space="preserve"> and estimates are combined using Rubin's rules. </w:t>
      </w:r>
      <w:r w:rsidR="00D64CAE">
        <w:t>IIco</w:t>
      </w:r>
      <w:r w:rsidRPr="00983C86">
        <w:t xml:space="preserve">: </w:t>
      </w:r>
      <w:r w:rsidR="00D64CAE">
        <w:t>IIco</w:t>
      </w:r>
      <w:r w:rsidRPr="00983C86">
        <w:t xml:space="preserve"> used with DoseGuide. OD analogues: Once-daily basal insulin analogues (IDeg, IGlar U100, IGlar U300).</w:t>
      </w:r>
    </w:p>
    <w:p w14:paraId="535CD414" w14:textId="71D1E41C" w:rsidR="00274F0D" w:rsidRDefault="00274F0D" w:rsidP="00274F0D">
      <w:pPr>
        <w:pStyle w:val="FigureDescription"/>
      </w:pPr>
      <w:r>
        <w:t xml:space="preserve">Regarding the non-confirmatory secondary outcomes, the outcome for the risk of treatment discontinuation or intensification from baseline to Week 52 was not favouring the </w:t>
      </w:r>
      <w:r w:rsidR="00D64CAE">
        <w:t>IIco</w:t>
      </w:r>
      <w:r>
        <w:t xml:space="preserve"> QW per DoseGuide arm, although there was no statistically significant difference between the treatment groups (p=0.337). There appeared to be a geographical regional difference regarding this endpoint.</w:t>
      </w:r>
    </w:p>
    <w:p w14:paraId="47256D7D" w14:textId="2B40F575" w:rsidR="00274F0D" w:rsidRDefault="00274F0D" w:rsidP="00274F0D">
      <w:pPr>
        <w:pStyle w:val="FigureTitle"/>
      </w:pPr>
      <w:r>
        <w:t>Figure 20: Time from baseline to treatment discontinuation or intensification by region- full set</w:t>
      </w:r>
    </w:p>
    <w:p w14:paraId="634C3C97" w14:textId="7D466B89" w:rsidR="005A6E38" w:rsidRDefault="005A6E38" w:rsidP="00EA131D">
      <w:r>
        <w:rPr>
          <w:noProof/>
        </w:rPr>
        <w:drawing>
          <wp:inline distT="0" distB="0" distL="0" distR="0" wp14:anchorId="119865ED" wp14:editId="6C696ECA">
            <wp:extent cx="5759450" cy="3477260"/>
            <wp:effectExtent l="0" t="0" r="0" b="8890"/>
            <wp:docPr id="571228837"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28837" name="Picture 1" descr="A graph of a number of people&#10;&#10;AI-generated content may be incorrect."/>
                    <pic:cNvPicPr/>
                  </pic:nvPicPr>
                  <pic:blipFill>
                    <a:blip r:embed="rId70"/>
                    <a:stretch>
                      <a:fillRect/>
                    </a:stretch>
                  </pic:blipFill>
                  <pic:spPr>
                    <a:xfrm>
                      <a:off x="0" y="0"/>
                      <a:ext cx="5759450" cy="3477260"/>
                    </a:xfrm>
                    <a:prstGeom prst="rect">
                      <a:avLst/>
                    </a:prstGeom>
                  </pic:spPr>
                </pic:pic>
              </a:graphicData>
            </a:graphic>
          </wp:inline>
        </w:drawing>
      </w:r>
    </w:p>
    <w:p w14:paraId="64C1A4C7" w14:textId="63FE21B7" w:rsidR="00A03A16" w:rsidRDefault="00A03A16" w:rsidP="00A03A16">
      <w:pPr>
        <w:pStyle w:val="FigureDescription"/>
      </w:pPr>
      <w:r w:rsidRPr="00A03A16">
        <w:t xml:space="preserve">Full analysis set. Observed data. </w:t>
      </w:r>
      <w:r w:rsidR="00D64CAE">
        <w:t>IIco</w:t>
      </w:r>
      <w:r w:rsidRPr="00A03A16">
        <w:t xml:space="preserve">: </w:t>
      </w:r>
      <w:r w:rsidR="00D64CAE">
        <w:t>IIco</w:t>
      </w:r>
      <w:r w:rsidRPr="00A03A16">
        <w:t xml:space="preserve"> used with DoseGuide. OD analogues: Once-daily basal insulin analogues (IDeg, IGlar U100, IGlar U300).</w:t>
      </w:r>
    </w:p>
    <w:p w14:paraId="517548A1" w14:textId="163FEAD3" w:rsidR="00457E89" w:rsidRDefault="00457E89" w:rsidP="004112C7">
      <w:r>
        <w:t xml:space="preserve">Other non-confirmatory secondary endpoints consistently support therapeutic benefits of </w:t>
      </w:r>
      <w:r w:rsidR="00D64CAE">
        <w:t>IIco</w:t>
      </w:r>
      <w:r>
        <w:t xml:space="preserve"> QW per DoseGuide. For example, the ETD [95% CI] for DDTSQ was 0.78 [0.10, 1.47] (p=0.0247). The clinical meaning of this subtle </w:t>
      </w:r>
      <w:r w:rsidR="00FE1540">
        <w:t>advantage</w:t>
      </w:r>
      <w:r>
        <w:t xml:space="preserve"> remains uncertain. In addition, the ETD [95% CI] for the TRIM-D compliance domain was 3.04 [1.28, 4.81] (p=0.0007). Ultimately, the responder rates were all </w:t>
      </w:r>
      <w:r w:rsidR="00FE1540">
        <w:t>favouring</w:t>
      </w:r>
      <w:r>
        <w:t xml:space="preserve"> the </w:t>
      </w:r>
      <w:r w:rsidR="00D64CAE">
        <w:t>IIco</w:t>
      </w:r>
      <w:r>
        <w:t xml:space="preserve"> QW per DoseGuide treatment group: all ETRs were significantly &gt;1.</w:t>
      </w:r>
    </w:p>
    <w:p w14:paraId="6055D29A" w14:textId="0A728F9D" w:rsidR="00457E89" w:rsidRDefault="00457E89" w:rsidP="00457E89">
      <w:pPr>
        <w:pStyle w:val="TableTitle"/>
      </w:pPr>
      <w:r>
        <w:lastRenderedPageBreak/>
        <w:t>Table 1</w:t>
      </w:r>
      <w:r w:rsidR="00A313D1">
        <w:t>5</w:t>
      </w:r>
      <w:r>
        <w:t>: Achievement of HbA1c target after 52 weeks without hypoglycaemia during the prior 12 week-Full analysis set</w:t>
      </w:r>
    </w:p>
    <w:p w14:paraId="6BCE929A" w14:textId="11C42322" w:rsidR="00457E89" w:rsidRDefault="005A046A" w:rsidP="00EA131D">
      <w:r>
        <w:rPr>
          <w:noProof/>
        </w:rPr>
        <w:drawing>
          <wp:inline distT="0" distB="0" distL="0" distR="0" wp14:anchorId="2C848B72" wp14:editId="679B0A97">
            <wp:extent cx="5759450" cy="2258695"/>
            <wp:effectExtent l="0" t="0" r="0" b="8255"/>
            <wp:docPr id="237808624" name="Picture 1" descr="A screenshot of a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08624" name="Picture 1" descr="A screenshot of a report&#10;&#10;AI-generated content may be incorrect."/>
                    <pic:cNvPicPr/>
                  </pic:nvPicPr>
                  <pic:blipFill>
                    <a:blip r:embed="rId71"/>
                    <a:stretch>
                      <a:fillRect/>
                    </a:stretch>
                  </pic:blipFill>
                  <pic:spPr>
                    <a:xfrm>
                      <a:off x="0" y="0"/>
                      <a:ext cx="5759450" cy="2258695"/>
                    </a:xfrm>
                    <a:prstGeom prst="rect">
                      <a:avLst/>
                    </a:prstGeom>
                  </pic:spPr>
                </pic:pic>
              </a:graphicData>
            </a:graphic>
          </wp:inline>
        </w:drawing>
      </w:r>
    </w:p>
    <w:p w14:paraId="158C7694" w14:textId="5AC37F80" w:rsidR="00EA3819" w:rsidRDefault="00EA3819" w:rsidP="00EA3819">
      <w:pPr>
        <w:pStyle w:val="TableDescription"/>
      </w:pPr>
      <w:r>
        <w:t xml:space="preserve">CI: Confidence interval, P-value: Two-sided p-value for test of no treatment difference. No correction for multiplicity. HbA1c: Haemoglobin A1c, w/o: without, Severe hypoglycaemia (level 3): Hypoglycaemia with severe cognitive impairment requiring external assistance for recovery. Clinically significant hypoglycaemia (level 2): Plasma glucose value of &lt; 3.0 mmol/L (54 mg/dL) confirmed by BG meter. BG: Blood glucose. The binary response after 52 weeks is analysed using a binary logistic regression model (logit link) with treatment and region as fixed factors, and the baseline HbA1c value as covariate. Missing HbA1c measurements are imputed using the same method as specified for the primary analysis before the target achievement criterion is applied. Subjects who discontinue treatment prematurely are set to being non-achievers. Subjects who discontinued treatment prematurely have the outcome set to "No". </w:t>
      </w:r>
      <w:r w:rsidR="00D64CAE">
        <w:t>IIco</w:t>
      </w:r>
      <w:r>
        <w:t xml:space="preserve">: </w:t>
      </w:r>
      <w:r w:rsidR="00D64CAE">
        <w:t>IIco</w:t>
      </w:r>
      <w:r>
        <w:t xml:space="preserve"> used with DoseGuide. OD analogues: Once-daily basal insulin analogues (IDeg, IGlar U100, IGlar U300. * </w:t>
      </w:r>
      <w:proofErr w:type="gramStart"/>
      <w:r>
        <w:t>indicates</w:t>
      </w:r>
      <w:proofErr w:type="gramEnd"/>
      <w:r>
        <w:t xml:space="preserve"> a statistically significant result in favour of </w:t>
      </w:r>
      <w:r w:rsidR="00D64CAE">
        <w:t>IIco</w:t>
      </w:r>
      <w:r>
        <w:t xml:space="preserve"> with DoseGuide.</w:t>
      </w:r>
    </w:p>
    <w:p w14:paraId="10C570D2" w14:textId="12E33B1D" w:rsidR="00EA3819" w:rsidRDefault="00175A93" w:rsidP="00EA3819">
      <w:r w:rsidRPr="00175A93">
        <w:t xml:space="preserve">Overall, the results from the ONWARDS 5 study support the therapeutic benefit of </w:t>
      </w:r>
      <w:r w:rsidR="00D64CAE">
        <w:t>IIco</w:t>
      </w:r>
      <w:r w:rsidRPr="00175A93">
        <w:t xml:space="preserve"> QW per DoseGuide in real world treatment (practice setting) of insulin-naïve patients with T2DM.</w:t>
      </w:r>
    </w:p>
    <w:p w14:paraId="0BF2506F" w14:textId="24E23091" w:rsidR="00927F75" w:rsidRDefault="00927F75" w:rsidP="00927F75">
      <w:pPr>
        <w:pStyle w:val="Heading5"/>
      </w:pPr>
      <w:r>
        <w:t xml:space="preserve">ONWARDS 6 Study </w:t>
      </w:r>
    </w:p>
    <w:p w14:paraId="6A046D5E" w14:textId="1B9A9205" w:rsidR="00927F75" w:rsidRDefault="00927F75" w:rsidP="00927F75">
      <w:r>
        <w:t xml:space="preserve">The ONWARDS 6 study was a 26-week, randomised, multicentre, open-label, active-controlled, parallel group, two armed, treat-to-target trial investigating the effect on glycaemic control and safety of treatment with once weekly </w:t>
      </w:r>
      <w:r w:rsidR="00D64CAE">
        <w:t>IIco</w:t>
      </w:r>
      <w:r>
        <w:t xml:space="preserve"> compared to once daily </w:t>
      </w:r>
      <w:r w:rsidR="009C49AC" w:rsidRPr="009C49AC">
        <w:t>IDeg</w:t>
      </w:r>
      <w:r>
        <w:t>, both in combination with insulin aspart in adults with type 1 diabetes (at least one year on a multiple daily injection insulin therapy), with a 26-week extension investigating long term safety of main ONWARDS 6.</w:t>
      </w:r>
    </w:p>
    <w:p w14:paraId="70E2BD6E" w14:textId="107BCBD8" w:rsidR="00927F75" w:rsidRDefault="00927F75" w:rsidP="00927F75">
      <w:r>
        <w:t xml:space="preserve">The primary objective of ONWARD 6 was to confirm the glucose-lowering effect of once weekly </w:t>
      </w:r>
      <w:r w:rsidR="00D64CAE">
        <w:t>IIco</w:t>
      </w:r>
      <w:r>
        <w:t xml:space="preserve"> (</w:t>
      </w:r>
      <w:r w:rsidR="00D64CAE">
        <w:t>IIco</w:t>
      </w:r>
      <w:r>
        <w:t xml:space="preserve"> QW) in combination with insulin aspart, in subjects with T1DM. Specifically, this included a comparison of the difference in change from baseline in HbA1c in patients treated with </w:t>
      </w:r>
      <w:r w:rsidR="00D64CAE">
        <w:t>IIco</w:t>
      </w:r>
      <w:r>
        <w:t xml:space="preserve"> QW and once daily </w:t>
      </w:r>
      <w:r w:rsidR="009C49AC" w:rsidRPr="009C49AC">
        <w:t>IDeg</w:t>
      </w:r>
      <w:r>
        <w:t xml:space="preserve"> both in combination with insulin aspart after 26 weeks of treatment to a non-inferiority limit of 0.3%. Primary efficacy endpoint was the change in HbA1c from baseline to Week 26 (</w:t>
      </w:r>
      <w:r w:rsidR="00B8199B">
        <w:t>Δ</w:t>
      </w:r>
      <w:r>
        <w:t>A1C). There were no confirmatory secondary endpoints. Other secondary endpoints were the change in fasting plasma glucose (FPG) from baseline to Week 26 (</w:t>
      </w:r>
      <w:r w:rsidR="00B8199B">
        <w:t>Δ</w:t>
      </w:r>
      <w:r>
        <w:t>FPG), the time in range 3.9-10.0 mmol/L (70-180 mg/dL) from baseline to Week 22 to Week 26 (TIR), and the change in DTSQs in total treatment satisfaction (DDTSQ). The change in HbA1c from baseline will be analy</w:t>
      </w:r>
      <w:r w:rsidR="00B8199B">
        <w:t>s</w:t>
      </w:r>
      <w:r>
        <w:t>ed for the ongoing part of the trial.</w:t>
      </w:r>
    </w:p>
    <w:p w14:paraId="08A07A60" w14:textId="02F576D7" w:rsidR="007A6C93" w:rsidRDefault="007A6C93" w:rsidP="00457013">
      <w:pPr>
        <w:pStyle w:val="FigureTitle"/>
      </w:pPr>
      <w:r w:rsidRPr="007A6C93">
        <w:lastRenderedPageBreak/>
        <w:t>Figure 21: ONWARDS 6</w:t>
      </w:r>
      <w:r>
        <w:t xml:space="preserve"> </w:t>
      </w:r>
      <w:r w:rsidRPr="007A6C93">
        <w:t>Trial Design</w:t>
      </w:r>
    </w:p>
    <w:p w14:paraId="3847E903" w14:textId="6C42FF50" w:rsidR="00457013" w:rsidRDefault="00457013" w:rsidP="00EA131D">
      <w:r>
        <w:rPr>
          <w:noProof/>
        </w:rPr>
        <w:drawing>
          <wp:inline distT="0" distB="0" distL="0" distR="0" wp14:anchorId="614996F9" wp14:editId="1D9E9EDD">
            <wp:extent cx="5759450" cy="1229360"/>
            <wp:effectExtent l="0" t="0" r="0" b="8890"/>
            <wp:docPr id="289125804" name="Picture 1" descr="A blue and white b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25804" name="Picture 1" descr="A blue and white bar chart&#10;&#10;AI-generated content may be incorrect."/>
                    <pic:cNvPicPr/>
                  </pic:nvPicPr>
                  <pic:blipFill>
                    <a:blip r:embed="rId72"/>
                    <a:stretch>
                      <a:fillRect/>
                    </a:stretch>
                  </pic:blipFill>
                  <pic:spPr>
                    <a:xfrm>
                      <a:off x="0" y="0"/>
                      <a:ext cx="5759450" cy="1229360"/>
                    </a:xfrm>
                    <a:prstGeom prst="rect">
                      <a:avLst/>
                    </a:prstGeom>
                  </pic:spPr>
                </pic:pic>
              </a:graphicData>
            </a:graphic>
          </wp:inline>
        </w:drawing>
      </w:r>
    </w:p>
    <w:p w14:paraId="293C879B" w14:textId="532C0310" w:rsidR="005359BD" w:rsidRDefault="005359BD" w:rsidP="004112C7">
      <w:r>
        <w:t xml:space="preserve">In general, demographics and baseline characteristics were well balanced between </w:t>
      </w:r>
      <w:r w:rsidR="00CB639B">
        <w:t>treatments</w:t>
      </w:r>
      <w:r>
        <w:t xml:space="preserve">. There were some imbalances </w:t>
      </w:r>
      <w:proofErr w:type="gramStart"/>
      <w:r>
        <w:t>with regard to</w:t>
      </w:r>
      <w:proofErr w:type="gramEnd"/>
      <w:r>
        <w:t xml:space="preserve"> the representation of the regions Asia (16.6% vs. 23.3%) and North America (36.6% vs. 29.1%). The mean baseline values for age, body weight, HbA1c, FPG, and eGFR were ~44 years, ~78 kg, ~7.6%, 172.3 – 179.2 mg/dL, and ~98 ml/min/1.73 m2 respectively. The most common basal insulin analogues prior to randomization were IDeg QD (40.3% to 37.7%), IGlar QD U100 (27.9% to 25.7%), and IGlar QD U300 (15.5% to 19.9%).</w:t>
      </w:r>
    </w:p>
    <w:p w14:paraId="122B1CC1" w14:textId="52F4C942" w:rsidR="005359BD" w:rsidRDefault="005359BD" w:rsidP="004112C7">
      <w:r>
        <w:t xml:space="preserve">The primary hypothesis was met: the glucose-lowering efficacy of </w:t>
      </w:r>
      <w:r w:rsidR="00D64CAE">
        <w:t>IIco</w:t>
      </w:r>
      <w:r>
        <w:t xml:space="preserve"> QW was non-inferior to that of IDeg QD. </w:t>
      </w:r>
    </w:p>
    <w:p w14:paraId="5EFB3AEB" w14:textId="4FCF933F" w:rsidR="000231BC" w:rsidRDefault="005359BD" w:rsidP="006E4950">
      <w:pPr>
        <w:pStyle w:val="FigureTitle"/>
      </w:pPr>
      <w:r>
        <w:t>Table 1</w:t>
      </w:r>
      <w:r w:rsidR="00A313D1">
        <w:t>6</w:t>
      </w:r>
      <w:r w:rsidR="00C00AE9">
        <w:t>:</w:t>
      </w:r>
      <w:r>
        <w:t xml:space="preserve"> </w:t>
      </w:r>
      <w:r w:rsidR="006E4950">
        <w:t>HbA1c after 26 weeks - change from baseline - primary statistical analysis - in-trial – full analysis set</w:t>
      </w:r>
    </w:p>
    <w:p w14:paraId="1D7D909A" w14:textId="025F6C99" w:rsidR="008002E8" w:rsidRDefault="008002E8" w:rsidP="00EA131D">
      <w:r>
        <w:rPr>
          <w:noProof/>
        </w:rPr>
        <w:drawing>
          <wp:inline distT="0" distB="0" distL="0" distR="0" wp14:anchorId="21D5CF6C" wp14:editId="540CD1B0">
            <wp:extent cx="5759450" cy="1862455"/>
            <wp:effectExtent l="0" t="0" r="0" b="4445"/>
            <wp:docPr id="7310827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82754" name="Picture 1" descr="A screenshot of a computer&#10;&#10;AI-generated content may be incorrect."/>
                    <pic:cNvPicPr/>
                  </pic:nvPicPr>
                  <pic:blipFill>
                    <a:blip r:embed="rId73"/>
                    <a:stretch>
                      <a:fillRect/>
                    </a:stretch>
                  </pic:blipFill>
                  <pic:spPr>
                    <a:xfrm>
                      <a:off x="0" y="0"/>
                      <a:ext cx="5759450" cy="1862455"/>
                    </a:xfrm>
                    <a:prstGeom prst="rect">
                      <a:avLst/>
                    </a:prstGeom>
                  </pic:spPr>
                </pic:pic>
              </a:graphicData>
            </a:graphic>
          </wp:inline>
        </w:drawing>
      </w:r>
    </w:p>
    <w:p w14:paraId="3D81FADD" w14:textId="7F9BED7D" w:rsidR="006E4950" w:rsidRDefault="006E4950" w:rsidP="00E47350">
      <w:pPr>
        <w:pStyle w:val="FigureTitle"/>
      </w:pPr>
      <w:r w:rsidRPr="006E4950">
        <w:t>Figure 2</w:t>
      </w:r>
      <w:r w:rsidR="00667967">
        <w:t>2</w:t>
      </w:r>
      <w:r w:rsidRPr="006E4950">
        <w:t xml:space="preserve">: </w:t>
      </w:r>
      <w:r w:rsidR="00E47350">
        <w:t>HbA1c by treatment week - change from baseline - in-trial - mean plot - full analysis set</w:t>
      </w:r>
    </w:p>
    <w:p w14:paraId="577450A6" w14:textId="0B5F5A45" w:rsidR="00584F67" w:rsidRDefault="00584F67" w:rsidP="00EA131D">
      <w:r>
        <w:rPr>
          <w:noProof/>
        </w:rPr>
        <w:drawing>
          <wp:inline distT="0" distB="0" distL="0" distR="0" wp14:anchorId="6416CB3A" wp14:editId="5CA87434">
            <wp:extent cx="4468483" cy="2454463"/>
            <wp:effectExtent l="0" t="0" r="8890" b="3175"/>
            <wp:docPr id="12188422" name="Picture 1" descr="A graph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422" name="Picture 1" descr="A graph with numbers and a line&#10;&#10;AI-generated content may be incorrect."/>
                    <pic:cNvPicPr/>
                  </pic:nvPicPr>
                  <pic:blipFill>
                    <a:blip r:embed="rId74"/>
                    <a:stretch>
                      <a:fillRect/>
                    </a:stretch>
                  </pic:blipFill>
                  <pic:spPr>
                    <a:xfrm>
                      <a:off x="0" y="0"/>
                      <a:ext cx="4473527" cy="2457233"/>
                    </a:xfrm>
                    <a:prstGeom prst="rect">
                      <a:avLst/>
                    </a:prstGeom>
                  </pic:spPr>
                </pic:pic>
              </a:graphicData>
            </a:graphic>
          </wp:inline>
        </w:drawing>
      </w:r>
    </w:p>
    <w:p w14:paraId="6FB6C85A" w14:textId="36F29408" w:rsidR="00403DA6" w:rsidRDefault="00CA70CE" w:rsidP="00CA70CE">
      <w:pPr>
        <w:pStyle w:val="FigureDescription"/>
      </w:pPr>
      <w:r>
        <w:t xml:space="preserve">26*: Estimated mean values and the corresponding standard error at week 26 derived based on MI, MI: Multiple imputation, Full analysis set. Observed data including data obtained after premature treatment discontinuation. </w:t>
      </w:r>
      <w:r>
        <w:lastRenderedPageBreak/>
        <w:t xml:space="preserve">Number of subjects contributing to the data points appears in the bottom panel. Legend: Mean (symbol) and mean ± standard error to the mean (error bars). HbA1c: the data points </w:t>
      </w:r>
      <w:proofErr w:type="gramStart"/>
      <w:r>
        <w:t>appears</w:t>
      </w:r>
      <w:proofErr w:type="gramEnd"/>
      <w:r>
        <w:t xml:space="preserve"> in the bottom panel. Legend: Mean (symbol) and mean ± standard error to the mean (error bars). HbA1c: Haemoglobin A1c</w:t>
      </w:r>
    </w:p>
    <w:p w14:paraId="2C364787" w14:textId="43D522AD" w:rsidR="00CA70CE" w:rsidRDefault="0047547E" w:rsidP="004112C7">
      <w:r w:rsidRPr="0047547E">
        <w:t xml:space="preserve">Although robustness of the non-inferiority conclusion was supported by a sensitivity (tipping point) analysis, it is obvious that the outcome in patients with T1DM was less favourable than that in patients with T2DM. This is further substantiated by the findings for the secondary endpoints </w:t>
      </w:r>
      <w:r w:rsidRPr="0047547E">
        <w:t xml:space="preserve">FPG (ETD [95% CI]: 18.6 mg/dL [8.6, 28.6]), TIR (ETD [95% CI]: -2.0% [-4.4, 0.4]), and the patient-reported outcome DDTSQ (ETD [95% CI]: -1.1 [-1.9, 0.3]) which all numerically </w:t>
      </w:r>
      <w:r w:rsidR="00CB639B" w:rsidRPr="0047547E">
        <w:t>favour</w:t>
      </w:r>
      <w:r w:rsidRPr="0047547E">
        <w:t xml:space="preserve"> active control. Likewise, patients in the </w:t>
      </w:r>
      <w:r w:rsidR="00D64CAE">
        <w:t>IIco</w:t>
      </w:r>
      <w:r w:rsidRPr="0047547E">
        <w:t xml:space="preserve"> QW treatment group spent numerically more time in </w:t>
      </w:r>
      <w:r w:rsidR="00CB639B" w:rsidRPr="0047547E">
        <w:t>hyperglycaemia</w:t>
      </w:r>
      <w:r w:rsidR="005A2C6E">
        <w:rPr>
          <w:rStyle w:val="FootnoteReference"/>
        </w:rPr>
        <w:footnoteReference w:id="10"/>
      </w:r>
      <w:r w:rsidRPr="0047547E">
        <w:t xml:space="preserve">  than patients in the IDeg QD arm (ETD [95% CI]: 1.14% [-1.34, 3.61]). Finally, the improvement in DTSQ score in the </w:t>
      </w:r>
      <w:r w:rsidR="00D64CAE">
        <w:t>IIco</w:t>
      </w:r>
      <w:r w:rsidRPr="0047547E">
        <w:t xml:space="preserve"> QW group was significantly worse than in the IDeg QD group (ETD [95% CI]: -1.09 [ 1.85</w:t>
      </w:r>
      <w:proofErr w:type="gramStart"/>
      <w:r w:rsidRPr="0047547E">
        <w:t>,  0.34</w:t>
      </w:r>
      <w:proofErr w:type="gramEnd"/>
      <w:r w:rsidRPr="0047547E">
        <w:t>]).</w:t>
      </w:r>
    </w:p>
    <w:p w14:paraId="763B8182" w14:textId="659AAB71" w:rsidR="001A7A37" w:rsidRDefault="001A7A37" w:rsidP="001A7A37">
      <w:pPr>
        <w:pStyle w:val="FigureTitle"/>
      </w:pPr>
      <w:r w:rsidRPr="001A7A37">
        <w:t>Figure 2</w:t>
      </w:r>
      <w:r w:rsidR="00667967">
        <w:t>3</w:t>
      </w:r>
      <w:r w:rsidRPr="001A7A37">
        <w:t>: Time Course of mean FPG between two arms - full analysis set</w:t>
      </w:r>
    </w:p>
    <w:p w14:paraId="3C14FD26" w14:textId="566F7A8E" w:rsidR="00A8512D" w:rsidRDefault="00A8512D" w:rsidP="00EA131D">
      <w:r>
        <w:rPr>
          <w:noProof/>
        </w:rPr>
        <w:drawing>
          <wp:inline distT="0" distB="0" distL="0" distR="0" wp14:anchorId="0DBD7E71" wp14:editId="2146DE3D">
            <wp:extent cx="5759450" cy="3152775"/>
            <wp:effectExtent l="0" t="0" r="0" b="9525"/>
            <wp:docPr id="303288098" name="Picture 1" descr="A graph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88098" name="Picture 1" descr="A graph with numbers and a line&#10;&#10;AI-generated content may be incorrect."/>
                    <pic:cNvPicPr/>
                  </pic:nvPicPr>
                  <pic:blipFill>
                    <a:blip r:embed="rId75"/>
                    <a:stretch>
                      <a:fillRect/>
                    </a:stretch>
                  </pic:blipFill>
                  <pic:spPr>
                    <a:xfrm>
                      <a:off x="0" y="0"/>
                      <a:ext cx="5759450" cy="3152775"/>
                    </a:xfrm>
                    <a:prstGeom prst="rect">
                      <a:avLst/>
                    </a:prstGeom>
                  </pic:spPr>
                </pic:pic>
              </a:graphicData>
            </a:graphic>
          </wp:inline>
        </w:drawing>
      </w:r>
    </w:p>
    <w:p w14:paraId="4A39479F" w14:textId="57FC3D1D" w:rsidR="00CA70CE" w:rsidRDefault="00F7057D" w:rsidP="00F7057D">
      <w:pPr>
        <w:pStyle w:val="FigureDescription"/>
      </w:pPr>
      <w:r w:rsidRPr="00F7057D">
        <w:t>26*: Estimated mean values and the corresponding standard error at week 26 derived based on MI, MI: Multiple imputation, Full analysis set. Observed data including data obtained after premature treatment discontinuation. Number of subjects contributing to the data points appears in the bottom panel. Legend: Mean (symbol) and mean ± standard error to the mean (error bars). FPG: Fasting plasma glucose.</w:t>
      </w:r>
    </w:p>
    <w:p w14:paraId="7372732A" w14:textId="5CE3AB3D" w:rsidR="00184BC1" w:rsidRDefault="00167615" w:rsidP="00184BC1">
      <w:r w:rsidRPr="00167615">
        <w:t xml:space="preserve">On the other hand, patients in the </w:t>
      </w:r>
      <w:r w:rsidR="00D64CAE">
        <w:t>IIco</w:t>
      </w:r>
      <w:r w:rsidRPr="00167615">
        <w:t xml:space="preserve"> QW treatment group spent significantly more time in hypoglycaemia</w:t>
      </w:r>
      <w:r w:rsidR="00747E3B">
        <w:rPr>
          <w:rStyle w:val="FootnoteReference"/>
        </w:rPr>
        <w:footnoteReference w:id="11"/>
      </w:r>
      <w:r w:rsidRPr="00167615">
        <w:t xml:space="preserve"> than patients in the IDeg QD arm (ETR [95% CI]: 1.46% [1.16, 1.85]; p=0.0012). Consistent with this, the rate of clinically significant (level 2) hypoglycaemia was significantly increased in the </w:t>
      </w:r>
      <w:r w:rsidR="00D64CAE">
        <w:t>IIco</w:t>
      </w:r>
      <w:r w:rsidRPr="00167615">
        <w:t xml:space="preserve"> QW treatment group (2056.4 vs. 1091.3 [IDeg QD] events per 100 PY</w:t>
      </w:r>
      <w:r w:rsidR="00184BC1">
        <w:t xml:space="preserve"> corresponding to an ETR [95 CI] of 1.88 [1.53, 2.32]; p&lt;0.0001). The results for severe (level 3) hypoglycaemic events were similarly alarming (33.0 vs. 15.9 [IDeg QD] events per 100 PY corresponding to an ETR [95 CI] of 2.08 [0.39, 10.96]). The fact that the difference was not statistically significant may be merely due to a too small sample size. After all, the proportion of patients reaching a target HbA1c &lt;7% without experiencing any level 2 or 3 hypoglycaemia was significantly in </w:t>
      </w:r>
      <w:r w:rsidR="00CB639B">
        <w:t>favour</w:t>
      </w:r>
      <w:r w:rsidR="00184BC1">
        <w:t xml:space="preserve"> of the IDeg QD control (9.55% vs. 16.74% corresponding to an odds ratio [95% CI] of 0.52 [0.33, 0.85]; p=0.008).</w:t>
      </w:r>
      <w:r w:rsidR="00D634DB">
        <w:rPr>
          <w:rStyle w:val="FootnoteReference"/>
        </w:rPr>
        <w:footnoteReference w:id="12"/>
      </w:r>
      <w:r w:rsidR="00184BC1">
        <w:t xml:space="preserve"> </w:t>
      </w:r>
    </w:p>
    <w:p w14:paraId="08B90820" w14:textId="77777777" w:rsidR="00184BC1" w:rsidRDefault="00184BC1" w:rsidP="00184BC1">
      <w:r>
        <w:lastRenderedPageBreak/>
        <w:t>The total weekly insulin dose was not different between treatment arms (ETR [95% CI]: 0.96 [0.9, 1.03]) which is reflected in a negligible difference in the change in body weight (ETD [95% CI]: 0.28 kg [-0.37, 0.92]). The distribution between basal and bolus insulin differed between treatments.</w:t>
      </w:r>
    </w:p>
    <w:p w14:paraId="172C7A75" w14:textId="6F6524B5" w:rsidR="00184BC1" w:rsidRDefault="00184BC1" w:rsidP="00DC357F">
      <w:pPr>
        <w:pStyle w:val="FigureTitle"/>
      </w:pPr>
      <w:r>
        <w:t>Figure 2</w:t>
      </w:r>
      <w:r w:rsidR="00667967">
        <w:t>4</w:t>
      </w:r>
      <w:r>
        <w:t xml:space="preserve">: </w:t>
      </w:r>
      <w:r w:rsidR="00DC357F">
        <w:t>Actual weekly total basal insulin dose (U) by treatment week - main-on-treatment – geometric mean plot - safety analysis set</w:t>
      </w:r>
    </w:p>
    <w:p w14:paraId="4EC7EE4C" w14:textId="1FF31B84" w:rsidR="004324C3" w:rsidRDefault="004324C3" w:rsidP="00EA131D">
      <w:r>
        <w:rPr>
          <w:noProof/>
        </w:rPr>
        <w:drawing>
          <wp:inline distT="0" distB="0" distL="0" distR="0" wp14:anchorId="4C736062" wp14:editId="51C065FE">
            <wp:extent cx="5759450" cy="3474720"/>
            <wp:effectExtent l="0" t="0" r="0" b="0"/>
            <wp:docPr id="491110800"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10800" name="Picture 1" descr="A graph of a number of people&#10;&#10;AI-generated content may be incorrect."/>
                    <pic:cNvPicPr/>
                  </pic:nvPicPr>
                  <pic:blipFill>
                    <a:blip r:embed="rId76"/>
                    <a:stretch>
                      <a:fillRect/>
                    </a:stretch>
                  </pic:blipFill>
                  <pic:spPr>
                    <a:xfrm>
                      <a:off x="0" y="0"/>
                      <a:ext cx="5759450" cy="3474720"/>
                    </a:xfrm>
                    <a:prstGeom prst="rect">
                      <a:avLst/>
                    </a:prstGeom>
                  </pic:spPr>
                </pic:pic>
              </a:graphicData>
            </a:graphic>
          </wp:inline>
        </w:drawing>
      </w:r>
    </w:p>
    <w:p w14:paraId="1CEE8E83" w14:textId="10170DF5" w:rsidR="005E58A2" w:rsidRDefault="005E58A2" w:rsidP="00EA131D">
      <w:pPr>
        <w:pStyle w:val="FigureDescription"/>
      </w:pPr>
      <w:r w:rsidRPr="005E58A2">
        <w:t>Safety analysis set. Observed data. Number of subjects contributing to the data points appears in the bottom panel. Legend: Geometric mean (symbol) and mean ± standard error to the mean on log-scale back transformed (error bars).</w:t>
      </w:r>
    </w:p>
    <w:p w14:paraId="6B63E8C6" w14:textId="6BE6098A" w:rsidR="005F5EE2" w:rsidRDefault="005F5EE2" w:rsidP="005F5EE2">
      <w:pPr>
        <w:pStyle w:val="FigureTitle"/>
      </w:pPr>
      <w:r>
        <w:t>Figure 2</w:t>
      </w:r>
      <w:r w:rsidR="00667967">
        <w:t>5</w:t>
      </w:r>
      <w:r>
        <w:t>: Actual weekly total bolus insulin dose (U) by treatment week - main-on-treatment – geometric mean plot - safety analysis set</w:t>
      </w:r>
    </w:p>
    <w:p w14:paraId="79BF9A83" w14:textId="59E7B163" w:rsidR="005F5EE2" w:rsidRDefault="005F5EE2" w:rsidP="00EA131D">
      <w:r>
        <w:rPr>
          <w:noProof/>
        </w:rPr>
        <w:drawing>
          <wp:inline distT="0" distB="0" distL="0" distR="0" wp14:anchorId="288D0F17" wp14:editId="368A43C2">
            <wp:extent cx="3812876" cy="2328503"/>
            <wp:effectExtent l="0" t="0" r="0" b="0"/>
            <wp:docPr id="830415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15236" name=""/>
                    <pic:cNvPicPr/>
                  </pic:nvPicPr>
                  <pic:blipFill>
                    <a:blip r:embed="rId77"/>
                    <a:stretch>
                      <a:fillRect/>
                    </a:stretch>
                  </pic:blipFill>
                  <pic:spPr>
                    <a:xfrm>
                      <a:off x="0" y="0"/>
                      <a:ext cx="3819251" cy="2332396"/>
                    </a:xfrm>
                    <a:prstGeom prst="rect">
                      <a:avLst/>
                    </a:prstGeom>
                  </pic:spPr>
                </pic:pic>
              </a:graphicData>
            </a:graphic>
          </wp:inline>
        </w:drawing>
      </w:r>
    </w:p>
    <w:p w14:paraId="7DC0929E" w14:textId="74C543EE" w:rsidR="00E26B32" w:rsidRDefault="00E26B32" w:rsidP="00EA131D">
      <w:pPr>
        <w:pStyle w:val="FigureDescription"/>
      </w:pPr>
      <w:r w:rsidRPr="00E26B32">
        <w:t>Safety analysis set. Observed data. Number of subjects contributing to the data points appears in the bottom panel. Legend: Geometric mean (symbol) and mean ± standard error to the mean on log-scale back transformed (error bars).</w:t>
      </w:r>
    </w:p>
    <w:p w14:paraId="024375B3" w14:textId="4E826D14" w:rsidR="00E26B32" w:rsidRDefault="005639BF" w:rsidP="004112C7">
      <w:r w:rsidRPr="005639BF">
        <w:t xml:space="preserve">Results from the ONWARDS 6 study support the glucose-lowering efficacy of </w:t>
      </w:r>
      <w:r w:rsidR="00D64CAE">
        <w:t>IIco</w:t>
      </w:r>
      <w:r w:rsidRPr="005639BF">
        <w:t xml:space="preserve"> QW in patients with long-standing T1DM treated with a multiple daily injection (MDI) regimen. However, the </w:t>
      </w:r>
      <w:r w:rsidRPr="005639BF">
        <w:lastRenderedPageBreak/>
        <w:t xml:space="preserve">benefit-risk ratio for </w:t>
      </w:r>
      <w:r w:rsidR="00D64CAE">
        <w:t>IIco</w:t>
      </w:r>
      <w:r w:rsidRPr="005639BF">
        <w:t xml:space="preserve"> QW in patients with T1DM must be weighed carefully in view of- a) the increase in the risk of hypoglycaemia is clearly more prominent in than in patients with T2DM, and b) the efficacy outcomes consistently </w:t>
      </w:r>
      <w:r w:rsidR="00CB639B">
        <w:t>f</w:t>
      </w:r>
      <w:r w:rsidR="00CB639B" w:rsidRPr="005639BF">
        <w:t>avo</w:t>
      </w:r>
      <w:r w:rsidR="00CB639B">
        <w:t>ur</w:t>
      </w:r>
      <w:r w:rsidRPr="005639BF">
        <w:t xml:space="preserve"> the active comparator group.</w:t>
      </w:r>
    </w:p>
    <w:p w14:paraId="4075F5A9" w14:textId="30BDBF2A" w:rsidR="00E56C7D" w:rsidRDefault="00E56C7D" w:rsidP="00E56C7D">
      <w:pPr>
        <w:pStyle w:val="Heading4"/>
      </w:pPr>
      <w:bookmarkStart w:id="46" w:name="_Toc202172231"/>
      <w:r w:rsidRPr="00E56C7D">
        <w:t>Safety</w:t>
      </w:r>
      <w:bookmarkEnd w:id="46"/>
    </w:p>
    <w:p w14:paraId="4C2534E9" w14:textId="79F2D11F" w:rsidR="002C55F9" w:rsidRDefault="002C55F9" w:rsidP="00D634DB">
      <w:pPr>
        <w:pStyle w:val="Heading5"/>
      </w:pPr>
      <w:r>
        <w:t>Exposure</w:t>
      </w:r>
    </w:p>
    <w:p w14:paraId="4A6BA63C" w14:textId="0E78A9FF" w:rsidR="002C55F9" w:rsidRDefault="002C55F9" w:rsidP="002C55F9">
      <w:r>
        <w:t xml:space="preserve">The total exposure to </w:t>
      </w:r>
      <w:r w:rsidR="00D64CAE">
        <w:t>IIco</w:t>
      </w:r>
      <w:r>
        <w:t xml:space="preserve"> in the on-treatment/main-on-treatment observation period was 1681.23 PYE in the phase 3a pool, 1538.92 PYE in the T2D</w:t>
      </w:r>
      <w:r w:rsidR="00FE1540">
        <w:t>M</w:t>
      </w:r>
      <w:r>
        <w:t xml:space="preserve"> pool, and 142.31 PYE in T1D</w:t>
      </w:r>
      <w:r w:rsidR="00FE1540">
        <w:t xml:space="preserve">M </w:t>
      </w:r>
      <w:r>
        <w:t>(ONWARDS 6).</w:t>
      </w:r>
    </w:p>
    <w:p w14:paraId="1ED5329A" w14:textId="77777777" w:rsidR="002C55F9" w:rsidRDefault="002C55F9" w:rsidP="002C55F9">
      <w:r>
        <w:t>Subject disposition, baseline characteristics and demography were generally well balanced across treatment groups for individual trials and pooled data.</w:t>
      </w:r>
    </w:p>
    <w:p w14:paraId="441267AF" w14:textId="56888C35" w:rsidR="002C55F9" w:rsidRDefault="002C55F9" w:rsidP="002C55F9">
      <w:pPr>
        <w:pStyle w:val="TableTitle"/>
      </w:pPr>
      <w:r>
        <w:t>Table 1</w:t>
      </w:r>
      <w:r w:rsidR="00A313D1">
        <w:t>7</w:t>
      </w:r>
      <w:r>
        <w:t>:  Exposure by pool and trial – summary – safety analysis set</w:t>
      </w:r>
    </w:p>
    <w:p w14:paraId="1A39B7DA" w14:textId="0452D6F1" w:rsidR="00670B85" w:rsidRDefault="00670B85" w:rsidP="00EA131D">
      <w:r>
        <w:rPr>
          <w:noProof/>
        </w:rPr>
        <w:drawing>
          <wp:inline distT="0" distB="0" distL="0" distR="0" wp14:anchorId="790C8548" wp14:editId="55555AB7">
            <wp:extent cx="5759450" cy="1666875"/>
            <wp:effectExtent l="0" t="0" r="0" b="9525"/>
            <wp:docPr id="7339934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93458" name="Picture 1" descr="A screenshot of a computer&#10;&#10;AI-generated content may be incorrect."/>
                    <pic:cNvPicPr/>
                  </pic:nvPicPr>
                  <pic:blipFill>
                    <a:blip r:embed="rId78"/>
                    <a:stretch>
                      <a:fillRect/>
                    </a:stretch>
                  </pic:blipFill>
                  <pic:spPr>
                    <a:xfrm>
                      <a:off x="0" y="0"/>
                      <a:ext cx="5759450" cy="1666875"/>
                    </a:xfrm>
                    <a:prstGeom prst="rect">
                      <a:avLst/>
                    </a:prstGeom>
                  </pic:spPr>
                </pic:pic>
              </a:graphicData>
            </a:graphic>
          </wp:inline>
        </w:drawing>
      </w:r>
    </w:p>
    <w:p w14:paraId="7D29D95C" w14:textId="3FEAA0A3" w:rsidR="00F17FCD" w:rsidRDefault="00F17FCD" w:rsidP="004112C7">
      <w:r>
        <w:t>N: Number of subjects, PYE: Patient years of exposure (1 PYE = 365.25 days), T2D: Type 2 diabetes. Daily basal insulin: IDeg (ONWARDS 2, ONWARDS 3, ONWARDS 6), IGlar U100 (ONWARDS 1, ONWARDS 4), and once-daily analogues (IDeg, IGlar U100, IGlar U300) (ONWARDS 5). Phase 3a pool: ONWARDS 1-6, only main part of ONWARDS 1 and 6. T2D pool: ONWARDS 1-5, only main part of ONWARDS 1.</w:t>
      </w:r>
    </w:p>
    <w:p w14:paraId="2DE3858F" w14:textId="77777777" w:rsidR="003528F5" w:rsidRDefault="003528F5" w:rsidP="004112C7">
      <w:r>
        <w:t>A broad range of subjects recruited across the clinical development programme, including elderly subjects (≥65 years [30.8%]), subjects with cardiac disorders (20.9%) and subjects with chronic kidney disease (4.5%).</w:t>
      </w:r>
    </w:p>
    <w:p w14:paraId="0C878CBA" w14:textId="6BB3A69D" w:rsidR="003528F5" w:rsidRDefault="003528F5" w:rsidP="00EA131D">
      <w:pPr>
        <w:pStyle w:val="Heading6"/>
      </w:pPr>
      <w:r>
        <w:t xml:space="preserve">Medication </w:t>
      </w:r>
      <w:r w:rsidR="00EA131D">
        <w:t>e</w:t>
      </w:r>
      <w:r>
        <w:t>rrors</w:t>
      </w:r>
    </w:p>
    <w:p w14:paraId="472E83E0" w14:textId="127D66E7" w:rsidR="003528F5" w:rsidRDefault="003528F5" w:rsidP="004112C7">
      <w:r>
        <w:t xml:space="preserve">25 events (20 in </w:t>
      </w:r>
      <w:r w:rsidR="00D64CAE">
        <w:t>IIco</w:t>
      </w:r>
      <w:r>
        <w:t xml:space="preserve"> and 5 in daily basal group) of accidental overdose, prescribed overdose, overdose, incorrect dose administered, and extra dose administered) occurred with the administration of the 1st and 2nd dose of </w:t>
      </w:r>
      <w:r w:rsidR="00D64CAE">
        <w:t>IIco</w:t>
      </w:r>
      <w:r>
        <w:t xml:space="preserve"> QW across all trials. Majority of these errors happened around the period when using or omitting loading dose (50% additional </w:t>
      </w:r>
      <w:r w:rsidR="00D64CAE">
        <w:t>IIco</w:t>
      </w:r>
      <w:r>
        <w:t xml:space="preserve"> on initiation and omitted from 2nd dose onwards)</w:t>
      </w:r>
    </w:p>
    <w:p w14:paraId="5E860D14" w14:textId="3C8B40BA" w:rsidR="003528F5" w:rsidRDefault="003528F5" w:rsidP="00EA131D">
      <w:pPr>
        <w:pStyle w:val="Heading6"/>
      </w:pPr>
      <w:r>
        <w:t xml:space="preserve">Adverse </w:t>
      </w:r>
      <w:r w:rsidR="00EA131D">
        <w:t>e</w:t>
      </w:r>
      <w:r>
        <w:t xml:space="preserve">vents (AE) </w:t>
      </w:r>
    </w:p>
    <w:p w14:paraId="57B096E6" w14:textId="38038A1A" w:rsidR="003528F5" w:rsidRDefault="003528F5" w:rsidP="004112C7">
      <w:r>
        <w:t xml:space="preserve">The proportion of subjects reporting AEs was generally comparable between the </w:t>
      </w:r>
      <w:r w:rsidR="00D64CAE">
        <w:t>IIco</w:t>
      </w:r>
      <w:r>
        <w:t xml:space="preserve"> and daily basal insulin treatment groups, across the individual trials and in the phase 3a pool.</w:t>
      </w:r>
    </w:p>
    <w:p w14:paraId="6DA0ECF3" w14:textId="5BE339D3" w:rsidR="003528F5" w:rsidRDefault="003528F5" w:rsidP="004112C7">
      <w:r>
        <w:t>Differences in trial duration, trial population and trial design account for the differences seen between trials. The distribution of the most frequently reported (≥5%) AEs by PT was similar across the 6 phase 3a trials. A similar pattern was observed in the reporting of AEs, SAEs and severe AEs across the 6 trials.</w:t>
      </w:r>
    </w:p>
    <w:p w14:paraId="6E85C470" w14:textId="3FB62E56" w:rsidR="005915F8" w:rsidRDefault="005915F8" w:rsidP="005915F8">
      <w:pPr>
        <w:pStyle w:val="TableTitle"/>
      </w:pPr>
      <w:r w:rsidRPr="005915F8">
        <w:lastRenderedPageBreak/>
        <w:t>Table 1</w:t>
      </w:r>
      <w:r w:rsidR="00A313D1">
        <w:t>8</w:t>
      </w:r>
      <w:r w:rsidRPr="005915F8">
        <w:t>: Summary of AEs reported in phase 3a trials – safety analysis set</w:t>
      </w:r>
    </w:p>
    <w:p w14:paraId="3A8E7984" w14:textId="06D8A0B0" w:rsidR="00B70F3B" w:rsidRDefault="00B70F3B" w:rsidP="00EA131D">
      <w:r w:rsidRPr="00682538">
        <w:rPr>
          <w:noProof/>
        </w:rPr>
        <w:drawing>
          <wp:inline distT="0" distB="0" distL="0" distR="0" wp14:anchorId="3F992A59" wp14:editId="4BF72F97">
            <wp:extent cx="5667375" cy="3048000"/>
            <wp:effectExtent l="0" t="0" r="952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9">
                      <a:extLst>
                        <a:ext uri="{28A0092B-C50C-407E-A947-70E740481C1C}">
                          <a14:useLocalDpi xmlns:a14="http://schemas.microsoft.com/office/drawing/2010/main" val="0"/>
                        </a:ext>
                      </a:extLst>
                    </a:blip>
                    <a:srcRect b="17228"/>
                    <a:stretch/>
                  </pic:blipFill>
                  <pic:spPr bwMode="auto">
                    <a:xfrm>
                      <a:off x="0" y="0"/>
                      <a:ext cx="5667375"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6215E050" w14:textId="59BE6B4C" w:rsidR="00C32155" w:rsidRDefault="00C32155" w:rsidP="00C32155">
      <w:pPr>
        <w:pStyle w:val="TableDescription"/>
      </w:pPr>
      <w:r w:rsidRPr="00C32155">
        <w:t>Notes: main part of trial. Abbreviations: AE = adverse event: = percentage of subjects with one or more events: R = rate (number of adverse events per 100 PYE): PYE = patient years of exposure (1 PYE = 365.25 days).</w:t>
      </w:r>
    </w:p>
    <w:p w14:paraId="62201FF5" w14:textId="77777777" w:rsidR="00EA131D" w:rsidRDefault="002734CC" w:rsidP="00DF6CDA">
      <w:pPr>
        <w:pStyle w:val="FigureTitle"/>
      </w:pPr>
      <w:r w:rsidRPr="002734CC">
        <w:t>Figure 2</w:t>
      </w:r>
      <w:r w:rsidR="00667967">
        <w:t>6</w:t>
      </w:r>
      <w:r w:rsidRPr="002734CC">
        <w:t>: Adverse events – on-treatment/main-on-treatment -safety analysis set – phase 3a pool</w:t>
      </w:r>
    </w:p>
    <w:p w14:paraId="355B8E37" w14:textId="0B91596B" w:rsidR="00DF6CDA" w:rsidRDefault="00DF6CDA" w:rsidP="00EA131D">
      <w:r w:rsidRPr="00682538">
        <w:rPr>
          <w:noProof/>
          <w:lang w:val="en-GB"/>
        </w:rPr>
        <w:drawing>
          <wp:inline distT="0" distB="0" distL="0" distR="0" wp14:anchorId="7FCA7C0C" wp14:editId="293C8019">
            <wp:extent cx="5758825" cy="2758440"/>
            <wp:effectExtent l="0" t="0" r="0" b="381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80">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val="0"/>
                        </a:ext>
                      </a:extLst>
                    </a:blip>
                    <a:srcRect b="18162"/>
                    <a:stretch/>
                  </pic:blipFill>
                  <pic:spPr bwMode="auto">
                    <a:xfrm>
                      <a:off x="0" y="0"/>
                      <a:ext cx="5759450" cy="2758740"/>
                    </a:xfrm>
                    <a:prstGeom prst="rect">
                      <a:avLst/>
                    </a:prstGeom>
                    <a:noFill/>
                    <a:ln>
                      <a:noFill/>
                    </a:ln>
                    <a:extLst>
                      <a:ext uri="{53640926-AAD7-44D8-BBD7-CCE9431645EC}">
                        <a14:shadowObscured xmlns:a14="http://schemas.microsoft.com/office/drawing/2010/main"/>
                      </a:ext>
                    </a:extLst>
                  </pic:spPr>
                </pic:pic>
              </a:graphicData>
            </a:graphic>
          </wp:inline>
        </w:drawing>
      </w:r>
    </w:p>
    <w:p w14:paraId="3FECC139" w14:textId="701894F9" w:rsidR="00082703" w:rsidRDefault="00082703" w:rsidP="002D56B5">
      <w:pPr>
        <w:pStyle w:val="FigureDescription"/>
      </w:pPr>
      <w:r w:rsidRPr="00082703">
        <w:t xml:space="preserve">AE rate: Rate (number of adverse events per 100 patient years of exposure). Adj.: Adjusted rates were calculated using the Cochran-Mantel-Haenszel method to account for differences between trials. Safety analysis set. Event rates &lt;5.0 are shown in bar plots but numbers are not displayed. Daily basal insulin: IDeg. IGIar U100. and </w:t>
      </w:r>
      <w:r w:rsidR="00CB639B" w:rsidRPr="00082703">
        <w:t>IGIar</w:t>
      </w:r>
      <w:r w:rsidRPr="00082703">
        <w:t xml:space="preserve"> U300. Phase 3a pool: ONWARDS 1-6. only main part of ONWARDS 1 and 6.</w:t>
      </w:r>
    </w:p>
    <w:p w14:paraId="179C2FB3" w14:textId="76AFA78A" w:rsidR="003E06B1" w:rsidRDefault="003E06B1" w:rsidP="004112C7">
      <w:r>
        <w:t xml:space="preserve">The ONWARDS 2 showed a slightly higher proportion of subjects reporting AEs in the </w:t>
      </w:r>
      <w:r w:rsidR="00D64CAE">
        <w:t>IIco</w:t>
      </w:r>
      <w:r>
        <w:t xml:space="preserve"> group compared to daily basal insulin driven by more reported events of the PT nasopharyngitis.</w:t>
      </w:r>
    </w:p>
    <w:p w14:paraId="5DDEB06E" w14:textId="1E0FAB96" w:rsidR="003E06B1" w:rsidRDefault="003E06B1" w:rsidP="004112C7">
      <w:r>
        <w:t xml:space="preserve">The ONWARDS 6 (T1DM population) showed a higher rate and proportion of subjects reporting SAEs and severe AEs in the </w:t>
      </w:r>
      <w:r w:rsidR="00D64CAE">
        <w:t>IIco</w:t>
      </w:r>
      <w:r>
        <w:t xml:space="preserve"> group compared to the </w:t>
      </w:r>
      <w:r w:rsidR="009C49AC" w:rsidRPr="009C49AC">
        <w:t>IDeg</w:t>
      </w:r>
      <w:r>
        <w:t xml:space="preserve"> group both driven by events of the PT hypoglycaemia.</w:t>
      </w:r>
    </w:p>
    <w:p w14:paraId="432353F6" w14:textId="77777777" w:rsidR="003E06B1" w:rsidRDefault="003E06B1" w:rsidP="004112C7">
      <w:r>
        <w:t>The distribution of the most frequently reported AEs by PT was similar across the 6 Phase 3 trials.</w:t>
      </w:r>
    </w:p>
    <w:p w14:paraId="3D58E2B4" w14:textId="77777777" w:rsidR="003E06B1" w:rsidRDefault="003E06B1" w:rsidP="004112C7">
      <w:r>
        <w:lastRenderedPageBreak/>
        <w:t>COVID-19 and nasopharyngitis were the most reported AEs across all ONWARDS trials followed by diarrhoea in the T2DM population (while frequency was lower in the T1DM population).</w:t>
      </w:r>
    </w:p>
    <w:p w14:paraId="4D089D20" w14:textId="1EFD115B" w:rsidR="003E06B1" w:rsidRDefault="003E06B1" w:rsidP="003E06B1">
      <w:pPr>
        <w:pStyle w:val="FigureTitle"/>
      </w:pPr>
      <w:r>
        <w:t>Figure 2</w:t>
      </w:r>
      <w:r w:rsidR="00667967">
        <w:t>7</w:t>
      </w:r>
      <w:r>
        <w:t>: AEs by preferred term- most frequent (&gt;=5%) Safety analysis pool -phase 3a</w:t>
      </w:r>
    </w:p>
    <w:p w14:paraId="34ED3403" w14:textId="0AF1235F" w:rsidR="00D922C7" w:rsidRDefault="00D922C7" w:rsidP="00EA131D">
      <w:r w:rsidRPr="00682538">
        <w:rPr>
          <w:noProof/>
          <w:lang w:val="en-GB"/>
        </w:rPr>
        <w:drawing>
          <wp:inline distT="0" distB="0" distL="0" distR="0" wp14:anchorId="5FE6A38A" wp14:editId="0272030F">
            <wp:extent cx="5483902" cy="2410460"/>
            <wp:effectExtent l="0" t="0" r="2540" b="8890"/>
            <wp:docPr id="469" name="Picture 469" descr="A graph of a patient's blood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A graph of a patient's blood test results&#10;&#10;AI-generated content may be incorrect."/>
                    <pic:cNvPicPr>
                      <a:picLocks noChangeAspect="1" noChangeArrowheads="1"/>
                    </pic:cNvPicPr>
                  </pic:nvPicPr>
                  <pic:blipFill rotWithShape="1">
                    <a:blip r:embed="rId82">
                      <a:extLst>
                        <a:ext uri="{28A0092B-C50C-407E-A947-70E740481C1C}">
                          <a14:useLocalDpi xmlns:a14="http://schemas.microsoft.com/office/drawing/2010/main" val="0"/>
                        </a:ext>
                      </a:extLst>
                    </a:blip>
                    <a:srcRect l="4764" t="17264"/>
                    <a:stretch/>
                  </pic:blipFill>
                  <pic:spPr bwMode="auto">
                    <a:xfrm>
                      <a:off x="0" y="0"/>
                      <a:ext cx="5485071" cy="2410974"/>
                    </a:xfrm>
                    <a:prstGeom prst="rect">
                      <a:avLst/>
                    </a:prstGeom>
                    <a:noFill/>
                    <a:ln>
                      <a:noFill/>
                    </a:ln>
                    <a:extLst>
                      <a:ext uri="{53640926-AAD7-44D8-BBD7-CCE9431645EC}">
                        <a14:shadowObscured xmlns:a14="http://schemas.microsoft.com/office/drawing/2010/main"/>
                      </a:ext>
                    </a:extLst>
                  </pic:spPr>
                </pic:pic>
              </a:graphicData>
            </a:graphic>
          </wp:inline>
        </w:drawing>
      </w:r>
    </w:p>
    <w:p w14:paraId="6BF8FDFB" w14:textId="77777777" w:rsidR="00217927" w:rsidRDefault="00217927" w:rsidP="004112C7">
      <w:r>
        <w:t>Phase 3 safety Pool</w:t>
      </w:r>
    </w:p>
    <w:p w14:paraId="4A34724E" w14:textId="07AAA114" w:rsidR="00217927" w:rsidRDefault="00217927" w:rsidP="004112C7">
      <w:r>
        <w:t xml:space="preserve">Overall, the data in the Phase 3 pool were </w:t>
      </w:r>
      <w:proofErr w:type="gramStart"/>
      <w:r>
        <w:t>similar to</w:t>
      </w:r>
      <w:proofErr w:type="gramEnd"/>
      <w:r>
        <w:t xml:space="preserve"> (consistent with) the data in the individual trials. Similar proportions of subjects in the </w:t>
      </w:r>
      <w:r w:rsidR="00D64CAE">
        <w:t>IIco</w:t>
      </w:r>
      <w:r>
        <w:t xml:space="preserve"> and daily basal insulin groups reported AEs, SAEs, and severe AEs. Similar rates of AEs by seriousness, severity, and relationship to trial product were also observed.</w:t>
      </w:r>
    </w:p>
    <w:p w14:paraId="721B32BC" w14:textId="35264DE9" w:rsidR="00C32155" w:rsidRDefault="00217927" w:rsidP="00217927">
      <w:pPr>
        <w:pStyle w:val="FigureTitle"/>
      </w:pPr>
      <w:r>
        <w:t>Figure 2</w:t>
      </w:r>
      <w:r w:rsidR="00667967">
        <w:t>8</w:t>
      </w:r>
      <w:r>
        <w:t>: AEs-Safety analysis set-phase 3a pool</w:t>
      </w:r>
    </w:p>
    <w:p w14:paraId="159A39BC" w14:textId="58A593CC" w:rsidR="000C62C6" w:rsidRDefault="000C62C6" w:rsidP="00EA131D">
      <w:r w:rsidRPr="00682538">
        <w:rPr>
          <w:noProof/>
          <w:lang w:val="en-GB"/>
        </w:rPr>
        <w:drawing>
          <wp:inline distT="0" distB="0" distL="0" distR="0" wp14:anchorId="6323E348" wp14:editId="58A4F505">
            <wp:extent cx="5539740" cy="2831159"/>
            <wp:effectExtent l="0" t="0" r="3810" b="7620"/>
            <wp:docPr id="470" name="Picture 470" descr="A chart showing different stages of diabe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A chart showing different stages of diabetes&#10;&#10;AI-generated content may be incorrect."/>
                    <pic:cNvPicPr>
                      <a:picLocks noChangeAspect="1" noChangeArrowheads="1"/>
                    </pic:cNvPicPr>
                  </pic:nvPicPr>
                  <pic:blipFill rotWithShape="1">
                    <a:blip r:embed="rId83">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l="3794" t="18522"/>
                    <a:stretch/>
                  </pic:blipFill>
                  <pic:spPr bwMode="auto">
                    <a:xfrm>
                      <a:off x="0" y="0"/>
                      <a:ext cx="5551145" cy="2836988"/>
                    </a:xfrm>
                    <a:prstGeom prst="rect">
                      <a:avLst/>
                    </a:prstGeom>
                    <a:noFill/>
                    <a:ln>
                      <a:noFill/>
                    </a:ln>
                    <a:extLst>
                      <a:ext uri="{53640926-AAD7-44D8-BBD7-CCE9431645EC}">
                        <a14:shadowObscured xmlns:a14="http://schemas.microsoft.com/office/drawing/2010/main"/>
                      </a:ext>
                    </a:extLst>
                  </pic:spPr>
                </pic:pic>
              </a:graphicData>
            </a:graphic>
          </wp:inline>
        </w:drawing>
      </w:r>
    </w:p>
    <w:p w14:paraId="60D159FC" w14:textId="5FD3CC91" w:rsidR="0018384E" w:rsidRDefault="0018384E" w:rsidP="004112C7">
      <w:proofErr w:type="gramStart"/>
      <w:r>
        <w:t>The majority of</w:t>
      </w:r>
      <w:proofErr w:type="gramEnd"/>
      <w:r>
        <w:t xml:space="preserve"> AEs reported in the </w:t>
      </w:r>
      <w:r w:rsidR="00D64CAE">
        <w:t>IIco</w:t>
      </w:r>
      <w:r>
        <w:t xml:space="preserve"> group and daily basal insulin group were non-serious, of mild severity, judged unlikely to be related to trial product by the investigator, and resulted in no sequelae (outcome «recovered»).</w:t>
      </w:r>
    </w:p>
    <w:p w14:paraId="5A75F5C2" w14:textId="698692FE" w:rsidR="0018384E" w:rsidRDefault="0018384E" w:rsidP="004112C7">
      <w:r>
        <w:t xml:space="preserve">The proportion of subjects with AEs leading to permanent discontinuation of trial product and the rate of such AEs were also similar in the </w:t>
      </w:r>
      <w:r w:rsidR="00D64CAE">
        <w:t>IIco</w:t>
      </w:r>
      <w:r>
        <w:t xml:space="preserve"> and daily basal insulin groups.</w:t>
      </w:r>
    </w:p>
    <w:p w14:paraId="7A61EBD0" w14:textId="427F0BD6" w:rsidR="0018384E" w:rsidRDefault="0018384E" w:rsidP="004112C7">
      <w:r>
        <w:t xml:space="preserve">AEs within each SOC were generally reported by a similar proportion of subjects and with comparable event rates in the </w:t>
      </w:r>
      <w:r w:rsidR="00D64CAE">
        <w:t>IIco</w:t>
      </w:r>
      <w:r>
        <w:t xml:space="preserve"> and daily basal insulin groups. AEs were reported most frequently within the SOCs infections and infestations, gastrointestinal disorders, </w:t>
      </w:r>
      <w:r>
        <w:lastRenderedPageBreak/>
        <w:t xml:space="preserve">musculoskeletal and connective tissue disorders, and general disorders and administration site conditions with both </w:t>
      </w:r>
      <w:r w:rsidR="00D64CAE">
        <w:t>IIco</w:t>
      </w:r>
      <w:r>
        <w:t xml:space="preserve"> and daily basal insulin.</w:t>
      </w:r>
    </w:p>
    <w:p w14:paraId="72627F29" w14:textId="08350772" w:rsidR="00F17FCD" w:rsidRDefault="0018384E" w:rsidP="0018384E">
      <w:pPr>
        <w:pStyle w:val="FigureTitle"/>
      </w:pPr>
      <w:r>
        <w:t>Figure 2</w:t>
      </w:r>
      <w:r w:rsidR="00667967">
        <w:t>9</w:t>
      </w:r>
      <w:r>
        <w:t>: AEs by SOC on-treatment/main-on-treatment -safety analysis set – phase 3</w:t>
      </w:r>
      <w:proofErr w:type="gramStart"/>
      <w:r>
        <w:t>a  pool</w:t>
      </w:r>
      <w:proofErr w:type="gramEnd"/>
    </w:p>
    <w:p w14:paraId="3814A86B" w14:textId="183C0191" w:rsidR="000F3C7D" w:rsidRDefault="000F3C7D" w:rsidP="00EA131D">
      <w:r>
        <w:rPr>
          <w:noProof/>
        </w:rPr>
        <w:drawing>
          <wp:inline distT="0" distB="0" distL="0" distR="0" wp14:anchorId="5114E8BF" wp14:editId="180BB256">
            <wp:extent cx="5759450" cy="2657475"/>
            <wp:effectExtent l="0" t="0" r="0" b="9525"/>
            <wp:docPr id="423836802" name="Picture 1" descr="A graph of different types of insul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36802" name="Picture 1" descr="A graph of different types of insulin&#10;&#10;AI-generated content may be incorrect."/>
                    <pic:cNvPicPr/>
                  </pic:nvPicPr>
                  <pic:blipFill>
                    <a:blip r:embed="rId85"/>
                    <a:stretch>
                      <a:fillRect/>
                    </a:stretch>
                  </pic:blipFill>
                  <pic:spPr>
                    <a:xfrm>
                      <a:off x="0" y="0"/>
                      <a:ext cx="5759450" cy="2657475"/>
                    </a:xfrm>
                    <a:prstGeom prst="rect">
                      <a:avLst/>
                    </a:prstGeom>
                  </pic:spPr>
                </pic:pic>
              </a:graphicData>
            </a:graphic>
          </wp:inline>
        </w:drawing>
      </w:r>
    </w:p>
    <w:p w14:paraId="0C3EF963" w14:textId="72CFDC21" w:rsidR="002F71EB" w:rsidRDefault="002F71EB" w:rsidP="002F71EB">
      <w:pPr>
        <w:pStyle w:val="FigureDescription"/>
      </w:pPr>
      <w:r>
        <w:t>%</w:t>
      </w:r>
      <w:r w:rsidRPr="002F71EB">
        <w:t xml:space="preserve"> of subjects: Percentage of subjects with one or more events. AE rate: Rate (number of adverse events per 100 patient years of exposure). CI: Confidence interval. OR: Odds ratio. dis.: disorders, adm.: administration. con.: connective. proc.: procedural/procedures, sys.: system, resp.: respiratory, tong.: congenital. Adj.: Adjusted percentages and rates were calculated using the Cochran-Mantel-Haenszel method to account for differences between trials. The binary endpoint of subjects having at least one event is analysed using a binary logistic regression model (logit link) applying Firth's penalised likelihood approach. The model includes treatment and trial as fixed factors. Safety analysis set. MedDRA version 24.1. Daily basal insulin: IDeg. IGlar U100, and IGlar U300. Phase 3a pool: ONWARDS 1-6, only main part of ONWARDS 1 and 6.</w:t>
      </w:r>
    </w:p>
    <w:p w14:paraId="0E9C87E4" w14:textId="258A3BFE" w:rsidR="003C4EC5" w:rsidRDefault="003C4EC5" w:rsidP="004112C7">
      <w:r>
        <w:t xml:space="preserve">The overall pattern of AEs in the T2DM pool and T1DM population was </w:t>
      </w:r>
      <w:proofErr w:type="gramStart"/>
      <w:r>
        <w:t>similar to</w:t>
      </w:r>
      <w:proofErr w:type="gramEnd"/>
      <w:r>
        <w:t xml:space="preserve"> that in the overall Phase 3 pool, except for a lower proportion of subjects reporting SAEs in the T1DM population. In the T2DM pool, there was a similar pattern of AEs by SOC compared to the Phase 3 pool, whereas in the T1DM population (ONWARDS 6), AEs were reported most frequently within the SOCs of </w:t>
      </w:r>
      <w:r w:rsidR="00CB639B">
        <w:t>infections</w:t>
      </w:r>
      <w:r>
        <w:t xml:space="preserve"> and infestations, general disorders and administration site conditions, and injury, poisoning and procedural conditions.</w:t>
      </w:r>
    </w:p>
    <w:p w14:paraId="2B1D9DF5" w14:textId="77777777" w:rsidR="003C4EC5" w:rsidRDefault="003C4EC5" w:rsidP="003C4EC5">
      <w:pPr>
        <w:pStyle w:val="Heading5"/>
      </w:pPr>
      <w:r>
        <w:t>Common AEs reported by ≥5% of subjects</w:t>
      </w:r>
    </w:p>
    <w:p w14:paraId="2A417AE6" w14:textId="38F8FF49" w:rsidR="003C4EC5" w:rsidRDefault="003C4EC5" w:rsidP="003C4EC5">
      <w:pPr>
        <w:pStyle w:val="Heading6"/>
      </w:pPr>
      <w:r>
        <w:t>Phase 3a Pool</w:t>
      </w:r>
    </w:p>
    <w:p w14:paraId="2D149A8E" w14:textId="77777777" w:rsidR="003C4EC5" w:rsidRDefault="003C4EC5" w:rsidP="003C4EC5">
      <w:pPr>
        <w:pStyle w:val="FigureDescription"/>
      </w:pPr>
      <w:r>
        <w:t>In the phase 3a pool, the most reported AEs (reported by ≥5% of subjects) were COVID-19 and nasopharyngitis, which were similar subjects from both groups.</w:t>
      </w:r>
    </w:p>
    <w:p w14:paraId="725EC828" w14:textId="60CA33F8" w:rsidR="003C4EC5" w:rsidRDefault="003C4EC5" w:rsidP="003C4EC5">
      <w:pPr>
        <w:pStyle w:val="TableTitle"/>
      </w:pPr>
      <w:r>
        <w:lastRenderedPageBreak/>
        <w:t xml:space="preserve">Table </w:t>
      </w:r>
      <w:r w:rsidR="00A313D1">
        <w:t>19</w:t>
      </w:r>
      <w:r>
        <w:t>: Adverse events by system organ class and preferred term - most frequent [&gt;=5%] - on-treatment/main- on-treatment - summary - safety analysis set - phase 3a pool</w:t>
      </w:r>
    </w:p>
    <w:p w14:paraId="3B38F2BE" w14:textId="12C53A78" w:rsidR="00926D7A" w:rsidRDefault="00926D7A" w:rsidP="00EA131D">
      <w:r w:rsidRPr="009D4459">
        <w:rPr>
          <w:noProof/>
        </w:rPr>
        <w:drawing>
          <wp:inline distT="0" distB="0" distL="0" distR="0" wp14:anchorId="3360C019" wp14:editId="685621E0">
            <wp:extent cx="5730875" cy="1945005"/>
            <wp:effectExtent l="0" t="0" r="3175" b="0"/>
            <wp:docPr id="388" name="Picture 388" descr="A screenshot of a medical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A screenshot of a medical report&#10;&#10;AI-generated content may be incorrect."/>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34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1945005"/>
                    </a:xfrm>
                    <a:prstGeom prst="rect">
                      <a:avLst/>
                    </a:prstGeom>
                    <a:noFill/>
                  </pic:spPr>
                </pic:pic>
              </a:graphicData>
            </a:graphic>
          </wp:inline>
        </w:drawing>
      </w:r>
    </w:p>
    <w:p w14:paraId="4EEE8ACA" w14:textId="77777777" w:rsidR="004E19F5" w:rsidRDefault="004E19F5" w:rsidP="004E19F5">
      <w:r>
        <w:t>A treatment difference of &gt;0.5% points was selected for the evaluation of AEs reported by ≥1% and &lt;5% of subjects, providing that the rates also were different.</w:t>
      </w:r>
    </w:p>
    <w:p w14:paraId="0B6761E3" w14:textId="056F6CBA" w:rsidR="003C4EC5" w:rsidRDefault="004E19F5" w:rsidP="004E19F5">
      <w:pPr>
        <w:pStyle w:val="TableTitle"/>
      </w:pPr>
      <w:r>
        <w:t>T2D</w:t>
      </w:r>
      <w:r w:rsidR="00FE1540">
        <w:t>M</w:t>
      </w:r>
      <w:r>
        <w:t xml:space="preserve"> pool</w:t>
      </w:r>
    </w:p>
    <w:p w14:paraId="464017BB" w14:textId="3BCF4927" w:rsidR="00C73C54" w:rsidRDefault="00C73C54" w:rsidP="004E19F5">
      <w:pPr>
        <w:pStyle w:val="TableTitle"/>
      </w:pPr>
      <w:r w:rsidRPr="00C73C54">
        <w:t xml:space="preserve">Table </w:t>
      </w:r>
      <w:r w:rsidR="00C00AE9">
        <w:t>2</w:t>
      </w:r>
      <w:r w:rsidR="00A313D1">
        <w:t>0</w:t>
      </w:r>
      <w:r w:rsidRPr="00C73C54">
        <w:t>: Adverse events by system organ class and preferred term – most frequent [&gt;=5%] – on-treatment/main-on-treatment – summary – safety analysis set – T2D</w:t>
      </w:r>
      <w:r w:rsidR="00FE1540">
        <w:t>M</w:t>
      </w:r>
      <w:r w:rsidRPr="00C73C54">
        <w:t xml:space="preserve"> pool</w:t>
      </w:r>
    </w:p>
    <w:p w14:paraId="7939CF4A" w14:textId="39D24105" w:rsidR="00FC0804" w:rsidRDefault="00FC0804" w:rsidP="00EA131D">
      <w:r w:rsidRPr="009D4459">
        <w:rPr>
          <w:noProof/>
          <w:lang w:val="en-GB"/>
        </w:rPr>
        <w:drawing>
          <wp:inline distT="0" distB="0" distL="0" distR="0" wp14:anchorId="52152F76" wp14:editId="1496391A">
            <wp:extent cx="5730875" cy="1704975"/>
            <wp:effectExtent l="0" t="0" r="3175" b="9525"/>
            <wp:docPr id="389" name="Picture 389" descr="A screenshot of a medical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A screenshot of a medical report&#10;&#10;AI-generated content may be incorrect."/>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38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1704975"/>
                    </a:xfrm>
                    <a:prstGeom prst="rect">
                      <a:avLst/>
                    </a:prstGeom>
                    <a:noFill/>
                  </pic:spPr>
                </pic:pic>
              </a:graphicData>
            </a:graphic>
          </wp:inline>
        </w:drawing>
      </w:r>
    </w:p>
    <w:p w14:paraId="3E2A6A12" w14:textId="4A287BBF" w:rsidR="00673C09" w:rsidRDefault="00673C09" w:rsidP="006A6216">
      <w:r>
        <w:t>T1D</w:t>
      </w:r>
      <w:r w:rsidR="00FE1540">
        <w:t>M</w:t>
      </w:r>
      <w:r>
        <w:t xml:space="preserve"> population (ONWARDS 6)</w:t>
      </w:r>
    </w:p>
    <w:p w14:paraId="713FFF8E" w14:textId="2C1462F8" w:rsidR="004E19F5" w:rsidRDefault="00673C09" w:rsidP="00673C09">
      <w:pPr>
        <w:pStyle w:val="TableTitle"/>
      </w:pPr>
      <w:r>
        <w:t>Table 2</w:t>
      </w:r>
      <w:r w:rsidR="00A313D1">
        <w:t>1</w:t>
      </w:r>
      <w:r>
        <w:t>: Adverse events by system organ class and preferred term – most frequent [&gt;=5%] – main-on-treatment – summary – safety analysis set – ONWARDS 6</w:t>
      </w:r>
    </w:p>
    <w:p w14:paraId="2F11A796" w14:textId="5356E34F" w:rsidR="006A6216" w:rsidRDefault="006A6216" w:rsidP="00EA131D">
      <w:r w:rsidRPr="009D4459">
        <w:rPr>
          <w:noProof/>
        </w:rPr>
        <w:drawing>
          <wp:inline distT="0" distB="0" distL="0" distR="0" wp14:anchorId="475B21EB" wp14:editId="1A25C7BC">
            <wp:extent cx="5730875" cy="2060575"/>
            <wp:effectExtent l="0" t="0" r="3175" b="0"/>
            <wp:docPr id="390" name="Picture 390" descr="A screenshot of a medical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A screenshot of a medical report&#10;&#10;AI-generated content may be incorrect."/>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34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2060575"/>
                    </a:xfrm>
                    <a:prstGeom prst="rect">
                      <a:avLst/>
                    </a:prstGeom>
                    <a:noFill/>
                  </pic:spPr>
                </pic:pic>
              </a:graphicData>
            </a:graphic>
          </wp:inline>
        </w:drawing>
      </w:r>
    </w:p>
    <w:p w14:paraId="0262F772" w14:textId="77777777" w:rsidR="003052B1" w:rsidRDefault="003052B1" w:rsidP="003052B1">
      <w:pPr>
        <w:pStyle w:val="Heading6"/>
      </w:pPr>
      <w:r>
        <w:lastRenderedPageBreak/>
        <w:t xml:space="preserve">AEs reported by ≥1% and &lt;5% of subjects  </w:t>
      </w:r>
    </w:p>
    <w:p w14:paraId="29BB9307" w14:textId="208B691A" w:rsidR="003052B1" w:rsidRDefault="003052B1" w:rsidP="003052B1">
      <w:pPr>
        <w:pStyle w:val="TableTitle"/>
      </w:pPr>
      <w:r>
        <w:t>Phase 3a pool</w:t>
      </w:r>
    </w:p>
    <w:p w14:paraId="2B3D6E26" w14:textId="59A599C7" w:rsidR="006A6216" w:rsidRDefault="003052B1" w:rsidP="003052B1">
      <w:pPr>
        <w:pStyle w:val="TableTitle"/>
      </w:pPr>
      <w:r w:rsidRPr="003052B1">
        <w:t>Table 2</w:t>
      </w:r>
      <w:r w:rsidR="00A313D1">
        <w:t>2</w:t>
      </w:r>
      <w:r>
        <w:t>:</w:t>
      </w:r>
      <w:r w:rsidRPr="003052B1">
        <w:t xml:space="preserve"> Adverse events by system organ class and preferred term - most </w:t>
      </w:r>
      <w:proofErr w:type="gramStart"/>
      <w:r w:rsidRPr="003052B1">
        <w:t>frequent[</w:t>
      </w:r>
      <w:proofErr w:type="gramEnd"/>
      <w:r w:rsidRPr="003052B1">
        <w:t xml:space="preserve">&gt;=1%] reported in same or greater proportion of subjects on </w:t>
      </w:r>
      <w:r w:rsidR="00D64CAE">
        <w:t>IIco</w:t>
      </w:r>
      <w:r w:rsidRPr="003052B1">
        <w:t xml:space="preserve"> vs on daily basal insulin - on-treatment/main-on- treatment - summary – safety analysis set - phase 3a pool</w:t>
      </w:r>
    </w:p>
    <w:p w14:paraId="0357F135" w14:textId="5FCD3433" w:rsidR="00025D4B" w:rsidRPr="003052B1" w:rsidRDefault="00025D4B" w:rsidP="00EA131D">
      <w:r w:rsidRPr="009D4459">
        <w:rPr>
          <w:noProof/>
          <w:lang w:val="en-GB"/>
        </w:rPr>
        <w:drawing>
          <wp:inline distT="0" distB="0" distL="0" distR="0" wp14:anchorId="5E588056" wp14:editId="6742F455">
            <wp:extent cx="5730875" cy="5161280"/>
            <wp:effectExtent l="0" t="0" r="3175" b="127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31000"/>
                              </a14:imgEffect>
                            </a14:imgLayer>
                          </a14:imgProps>
                        </a:ext>
                        <a:ext uri="{28A0092B-C50C-407E-A947-70E740481C1C}">
                          <a14:useLocalDpi xmlns:a14="http://schemas.microsoft.com/office/drawing/2010/main" val="0"/>
                        </a:ext>
                      </a:extLst>
                    </a:blip>
                    <a:srcRect/>
                    <a:stretch>
                      <a:fillRect/>
                    </a:stretch>
                  </pic:blipFill>
                  <pic:spPr bwMode="auto">
                    <a:xfrm>
                      <a:off x="0" y="0"/>
                      <a:ext cx="5730875" cy="5161280"/>
                    </a:xfrm>
                    <a:prstGeom prst="rect">
                      <a:avLst/>
                    </a:prstGeom>
                    <a:noFill/>
                  </pic:spPr>
                </pic:pic>
              </a:graphicData>
            </a:graphic>
          </wp:inline>
        </w:drawing>
      </w:r>
    </w:p>
    <w:p w14:paraId="259E36DA" w14:textId="1A150E30" w:rsidR="00105446" w:rsidRDefault="00105446" w:rsidP="00105446">
      <w:r>
        <w:t>T2D</w:t>
      </w:r>
      <w:r w:rsidR="00FE1540">
        <w:t>M</w:t>
      </w:r>
      <w:r>
        <w:t xml:space="preserve"> pool</w:t>
      </w:r>
    </w:p>
    <w:p w14:paraId="0B89A93D" w14:textId="1A9EAC54" w:rsidR="002F71EB" w:rsidRDefault="00105446" w:rsidP="00EA131D">
      <w:pPr>
        <w:pStyle w:val="TableTitle"/>
      </w:pPr>
      <w:r>
        <w:lastRenderedPageBreak/>
        <w:t>Table 2</w:t>
      </w:r>
      <w:r w:rsidR="00A313D1">
        <w:t>3</w:t>
      </w:r>
      <w:r>
        <w:t xml:space="preserve">: Adverse events by system organ class and preferred term - most frequent [&gt;=1%] reported in same or greater proportion of subjects on </w:t>
      </w:r>
      <w:r w:rsidR="00D64CAE">
        <w:t>IIco</w:t>
      </w:r>
      <w:r>
        <w:t xml:space="preserve"> vs on daily</w:t>
      </w:r>
      <w:r w:rsidR="00742E16">
        <w:t xml:space="preserve"> </w:t>
      </w:r>
      <w:r>
        <w:t>basal insulin - on-treatment/main-on- treatment - summary – safety analysis set - T2D</w:t>
      </w:r>
      <w:r w:rsidR="00FE1540">
        <w:t>M</w:t>
      </w:r>
      <w:r>
        <w:t xml:space="preserve"> pool</w:t>
      </w:r>
    </w:p>
    <w:p w14:paraId="651B01A1" w14:textId="581A7705" w:rsidR="00742E16" w:rsidRDefault="00742E16" w:rsidP="00EA131D">
      <w:r w:rsidRPr="009D4459">
        <w:rPr>
          <w:noProof/>
        </w:rPr>
        <w:drawing>
          <wp:inline distT="0" distB="0" distL="0" distR="0" wp14:anchorId="0A54EC7C" wp14:editId="0FDFC65E">
            <wp:extent cx="5759444" cy="4836160"/>
            <wp:effectExtent l="0" t="0" r="0" b="2540"/>
            <wp:docPr id="403" name="Picture 403" descr="A table of medical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A table of medical information&#10;&#10;AI-generated content may be incorrect."/>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40000"/>
                              </a14:imgEffect>
                            </a14:imgLayer>
                          </a14:imgProps>
                        </a:ext>
                        <a:ext uri="{28A0092B-C50C-407E-A947-70E740481C1C}">
                          <a14:useLocalDpi xmlns:a14="http://schemas.microsoft.com/office/drawing/2010/main" val="0"/>
                        </a:ext>
                      </a:extLst>
                    </a:blip>
                    <a:srcRect/>
                    <a:stretch>
                      <a:fillRect/>
                    </a:stretch>
                  </pic:blipFill>
                  <pic:spPr bwMode="auto">
                    <a:xfrm>
                      <a:off x="0" y="0"/>
                      <a:ext cx="5764483" cy="4840391"/>
                    </a:xfrm>
                    <a:prstGeom prst="rect">
                      <a:avLst/>
                    </a:prstGeom>
                    <a:noFill/>
                  </pic:spPr>
                </pic:pic>
              </a:graphicData>
            </a:graphic>
          </wp:inline>
        </w:drawing>
      </w:r>
    </w:p>
    <w:p w14:paraId="3163D149" w14:textId="160B38F4" w:rsidR="009D69AB" w:rsidRDefault="009D69AB" w:rsidP="009D69AB">
      <w:r>
        <w:t xml:space="preserve">PTs reported by ≥1% and &lt;5% of subjects and by a higher proportion of subjects (&gt;0.5% points) in the </w:t>
      </w:r>
      <w:r w:rsidR="00D64CAE">
        <w:t>IIco</w:t>
      </w:r>
      <w:r>
        <w:t xml:space="preserve"> group vs daily basal insulin group for the T2D</w:t>
      </w:r>
      <w:r w:rsidR="00FE1540">
        <w:t>M</w:t>
      </w:r>
      <w:r>
        <w:t xml:space="preserve"> pool were nausea (2.0% vs 1.4%) and fall (1.0% vs 0.5%)</w:t>
      </w:r>
    </w:p>
    <w:p w14:paraId="7F798EA1" w14:textId="2D7D8252" w:rsidR="00105446" w:rsidRDefault="009D69AB" w:rsidP="00EA131D">
      <w:pPr>
        <w:pStyle w:val="TableTitle"/>
        <w:keepLines/>
      </w:pPr>
      <w:r>
        <w:lastRenderedPageBreak/>
        <w:t>Table 2</w:t>
      </w:r>
      <w:r w:rsidR="00A313D1">
        <w:t>4</w:t>
      </w:r>
      <w:r>
        <w:t xml:space="preserve">: Adverse events by system organ class and preferred term - most frequent [&gt;=1%] reported in same or greater proportion of subjects on </w:t>
      </w:r>
      <w:r w:rsidR="00D64CAE">
        <w:t>IIco</w:t>
      </w:r>
      <w:r>
        <w:t xml:space="preserve"> vs on daily basal insulin - main-on- treatment - summary - safety analysis set -</w:t>
      </w:r>
      <w:r w:rsidR="00C00AE9">
        <w:t xml:space="preserve"> </w:t>
      </w:r>
      <w:r w:rsidR="00C00AE9" w:rsidRPr="00C00AE9">
        <w:t xml:space="preserve">T1DM population </w:t>
      </w:r>
      <w:r>
        <w:t>ONWARDS 6</w:t>
      </w:r>
    </w:p>
    <w:p w14:paraId="06ACACE4" w14:textId="29715FC6" w:rsidR="008218F1" w:rsidRDefault="008218F1" w:rsidP="00EA131D">
      <w:r w:rsidRPr="009D4459">
        <w:rPr>
          <w:noProof/>
        </w:rPr>
        <w:drawing>
          <wp:inline distT="0" distB="0" distL="0" distR="0" wp14:anchorId="7D740A90" wp14:editId="24CCADF8">
            <wp:extent cx="5434642" cy="5660726"/>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37035" cy="5663218"/>
                    </a:xfrm>
                    <a:prstGeom prst="rect">
                      <a:avLst/>
                    </a:prstGeom>
                    <a:noFill/>
                  </pic:spPr>
                </pic:pic>
              </a:graphicData>
            </a:graphic>
          </wp:inline>
        </w:drawing>
      </w:r>
    </w:p>
    <w:p w14:paraId="1C5C15AE" w14:textId="6463C7CD" w:rsidR="005C2D1F" w:rsidRDefault="005C2D1F" w:rsidP="005C2D1F">
      <w:pPr>
        <w:pStyle w:val="Heading5"/>
      </w:pPr>
      <w:r>
        <w:t xml:space="preserve">Severe </w:t>
      </w:r>
      <w:r w:rsidR="00EA131D">
        <w:t>adverse e</w:t>
      </w:r>
      <w:r>
        <w:t>vents (SAEs)</w:t>
      </w:r>
    </w:p>
    <w:p w14:paraId="13B8830A" w14:textId="0849515A" w:rsidR="005C2D1F" w:rsidRDefault="005C2D1F" w:rsidP="005C2D1F">
      <w:r>
        <w:t xml:space="preserve">In the Phase 3 pool, the proportions of subjects with SAEs and rates of SAEs were low and similar for </w:t>
      </w:r>
      <w:r w:rsidR="00D64CAE">
        <w:t>IIco</w:t>
      </w:r>
      <w:r>
        <w:t xml:space="preserve"> QW (7.7%; 14.87 events per 100 PYO) and QD basal insulin (7.8%; 13.73 events per 100 PYO).</w:t>
      </w:r>
    </w:p>
    <w:p w14:paraId="2887CD68" w14:textId="3341585D" w:rsidR="005C2D1F" w:rsidRDefault="005C2D1F" w:rsidP="005C2D1F">
      <w:r>
        <w:t xml:space="preserve">The same pattern for SAEs was observed across the T2DM trials and in the T2DM pool. In the T1DM population (ONWARDS 6), the proportion of subjects and rates reporting SAEs were higher in the </w:t>
      </w:r>
      <w:r w:rsidR="00D64CAE">
        <w:t>IIco</w:t>
      </w:r>
      <w:r>
        <w:t xml:space="preserve"> QW group (3.8%; 10.54 events per 100 </w:t>
      </w:r>
      <w:proofErr w:type="gramStart"/>
      <w:r>
        <w:t>PYE</w:t>
      </w:r>
      <w:proofErr w:type="gramEnd"/>
      <w:r>
        <w:t xml:space="preserve">, respectively) compared to the </w:t>
      </w:r>
      <w:r w:rsidR="009C49AC" w:rsidRPr="009C49AC">
        <w:t>IDeg</w:t>
      </w:r>
      <w:r>
        <w:t xml:space="preserve"> group (2.4%; 6.24 events per 100 </w:t>
      </w:r>
      <w:proofErr w:type="gramStart"/>
      <w:r>
        <w:t>PYE</w:t>
      </w:r>
      <w:proofErr w:type="gramEnd"/>
      <w:r>
        <w:t>, respectively), of which only hypoglycaemia was reported more than once in either treatment group.</w:t>
      </w:r>
    </w:p>
    <w:p w14:paraId="7CDFE026" w14:textId="77BF3D20" w:rsidR="005C2D1F" w:rsidRDefault="005C2D1F" w:rsidP="005C2D1F">
      <w:r>
        <w:t xml:space="preserve">In the Phase 3 pool, </w:t>
      </w:r>
      <w:proofErr w:type="gramStart"/>
      <w:r>
        <w:t>the majority of</w:t>
      </w:r>
      <w:proofErr w:type="gramEnd"/>
      <w:r>
        <w:t xml:space="preserve"> subjects recovered from SAEs. The proportions of subjects with SAEs reported as not recovered or recovered with sequelae were low and similar in the </w:t>
      </w:r>
      <w:r w:rsidR="00D64CAE">
        <w:t>IIco</w:t>
      </w:r>
      <w:r>
        <w:t xml:space="preserve"> QW group and QD basal insulin group.</w:t>
      </w:r>
    </w:p>
    <w:p w14:paraId="33A71C0C" w14:textId="4AC1D41C" w:rsidR="005C2D1F" w:rsidRDefault="005C2D1F" w:rsidP="005C2D1F">
      <w:r>
        <w:lastRenderedPageBreak/>
        <w:t xml:space="preserve">The proportions of subjects reporting severe SAEs were 3.7% in the </w:t>
      </w:r>
      <w:r w:rsidR="00D64CAE">
        <w:t>IIco</w:t>
      </w:r>
      <w:r>
        <w:t xml:space="preserve"> QW group vs 3.3% in the QD basal insulin group. For </w:t>
      </w:r>
      <w:proofErr w:type="gramStart"/>
      <w:r>
        <w:t>the majority of</w:t>
      </w:r>
      <w:proofErr w:type="gramEnd"/>
      <w:r>
        <w:t xml:space="preserve"> the events, the investigator assessed the relationship to trial product as unlikely.</w:t>
      </w:r>
    </w:p>
    <w:p w14:paraId="2CEBD725" w14:textId="07CAB6D3" w:rsidR="005C2D1F" w:rsidRDefault="005C2D1F" w:rsidP="005C2D1F">
      <w:r>
        <w:t xml:space="preserve">In the phase 2 trials, in which 383 subjects were exposed to </w:t>
      </w:r>
      <w:r w:rsidR="00D64CAE">
        <w:t>IIco</w:t>
      </w:r>
      <w:r>
        <w:t xml:space="preserve"> </w:t>
      </w:r>
      <w:proofErr w:type="gramStart"/>
      <w:r>
        <w:t>QW</w:t>
      </w:r>
      <w:proofErr w:type="gramEnd"/>
      <w:r>
        <w:t xml:space="preserve"> and 223 subjects were exposed to IGlar, a total of 29 SAEs were reported: 14 in 8 subjects on </w:t>
      </w:r>
      <w:r w:rsidR="00D64CAE">
        <w:t>IIco</w:t>
      </w:r>
      <w:r>
        <w:t xml:space="preserve"> QW and 15 in 6 subjects on IGlar. The SAEs were dispersed across different SOCs, except for 5 SAEs that resulted from an accidental fall in one subject in the </w:t>
      </w:r>
      <w:r w:rsidR="00D64CAE">
        <w:t>IIco</w:t>
      </w:r>
      <w:r>
        <w:t xml:space="preserve"> QW group (SOC: injury, poisoning and procedural complications).</w:t>
      </w:r>
    </w:p>
    <w:p w14:paraId="0D08C632" w14:textId="77777777" w:rsidR="003131AD" w:rsidRDefault="005C2D1F" w:rsidP="003131AD">
      <w:r>
        <w:t>A total of 7 SAEs in 4 subjects were reported in clinical pharmacology trials.</w:t>
      </w:r>
    </w:p>
    <w:p w14:paraId="6213E2E7" w14:textId="5E4D4578" w:rsidR="00AC1CCF" w:rsidRDefault="005C2D1F" w:rsidP="003131AD">
      <w:pPr>
        <w:pStyle w:val="TableTitle"/>
      </w:pPr>
      <w:r>
        <w:t>Table 2</w:t>
      </w:r>
      <w:r w:rsidR="00A313D1">
        <w:t>5</w:t>
      </w:r>
      <w:r>
        <w:t>: SAEs-summary-Safety analysis set- Phase3a pool</w:t>
      </w:r>
    </w:p>
    <w:p w14:paraId="6BC90998" w14:textId="6526A6A1" w:rsidR="002C55F9" w:rsidRPr="002C55F9" w:rsidRDefault="00D46BD9" w:rsidP="00EA131D">
      <w:r>
        <w:rPr>
          <w:noProof/>
        </w:rPr>
        <w:drawing>
          <wp:inline distT="0" distB="0" distL="0" distR="0" wp14:anchorId="16D36E05" wp14:editId="17B0B510">
            <wp:extent cx="4472742" cy="6142007"/>
            <wp:effectExtent l="0" t="0" r="4445" b="0"/>
            <wp:docPr id="2052036339" name="Picture 1" descr="A white sheet of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36339" name="Picture 1" descr="A white sheet of paper with black text&#10;&#10;AI-generated content may be incorrect."/>
                    <pic:cNvPicPr/>
                  </pic:nvPicPr>
                  <pic:blipFill>
                    <a:blip r:embed="rId98"/>
                    <a:stretch>
                      <a:fillRect/>
                    </a:stretch>
                  </pic:blipFill>
                  <pic:spPr>
                    <a:xfrm>
                      <a:off x="0" y="0"/>
                      <a:ext cx="4486175" cy="6160454"/>
                    </a:xfrm>
                    <a:prstGeom prst="rect">
                      <a:avLst/>
                    </a:prstGeom>
                  </pic:spPr>
                </pic:pic>
              </a:graphicData>
            </a:graphic>
          </wp:inline>
        </w:drawing>
      </w:r>
    </w:p>
    <w:p w14:paraId="23A5292D" w14:textId="177F50FA" w:rsidR="00FB1F58" w:rsidRDefault="00FB1F58" w:rsidP="00FB1F58">
      <w:pPr>
        <w:pStyle w:val="Heading5"/>
      </w:pPr>
      <w:r>
        <w:lastRenderedPageBreak/>
        <w:t>Adverse events of special interest</w:t>
      </w:r>
    </w:p>
    <w:p w14:paraId="12296750" w14:textId="54B5125C" w:rsidR="00FB1F58" w:rsidRDefault="00FB1F58" w:rsidP="00FB1F58">
      <w:pPr>
        <w:pStyle w:val="Heading6"/>
      </w:pPr>
      <w:r>
        <w:t xml:space="preserve">Hypoglycaemia </w:t>
      </w:r>
    </w:p>
    <w:p w14:paraId="1E87A953" w14:textId="1F4DCB2A" w:rsidR="00FB1F58" w:rsidRDefault="00FB1F58" w:rsidP="0072572E">
      <w:pPr>
        <w:pStyle w:val="TableTitle"/>
      </w:pPr>
      <w:r>
        <w:t>Table 2</w:t>
      </w:r>
      <w:r w:rsidR="00A313D1">
        <w:t>6</w:t>
      </w:r>
      <w:r>
        <w:t>: Classification of hypoglycaemia</w:t>
      </w:r>
    </w:p>
    <w:p w14:paraId="36FF6000" w14:textId="7E12A65B" w:rsidR="0072572E" w:rsidRDefault="0072572E" w:rsidP="00FB1F58">
      <w:r w:rsidRPr="00682538">
        <w:rPr>
          <w:rFonts w:eastAsia="Calibri"/>
          <w:b/>
          <w:bCs/>
          <w:noProof/>
          <w:color w:val="000000" w:themeColor="text1"/>
          <w:kern w:val="2"/>
          <w:u w:val="single"/>
          <w14:ligatures w14:val="standardContextual"/>
        </w:rPr>
        <w:drawing>
          <wp:inline distT="0" distB="0" distL="0" distR="0" wp14:anchorId="2C84E067" wp14:editId="3ECEFB55">
            <wp:extent cx="5418455" cy="1541975"/>
            <wp:effectExtent l="0" t="0" r="0" b="127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9">
                      <a:extLst>
                        <a:ext uri="{BEBA8EAE-BF5A-486C-A8C5-ECC9F3942E4B}">
                          <a14:imgProps xmlns:a14="http://schemas.microsoft.com/office/drawing/2010/main">
                            <a14:imgLayer r:embed="rId100">
                              <a14:imgEffect>
                                <a14:sharpenSoften amount="39000"/>
                              </a14:imgEffect>
                            </a14:imgLayer>
                          </a14:imgProps>
                        </a:ext>
                        <a:ext uri="{28A0092B-C50C-407E-A947-70E740481C1C}">
                          <a14:useLocalDpi xmlns:a14="http://schemas.microsoft.com/office/drawing/2010/main" val="0"/>
                        </a:ext>
                      </a:extLst>
                    </a:blip>
                    <a:srcRect t="8148" b="17931"/>
                    <a:stretch/>
                  </pic:blipFill>
                  <pic:spPr bwMode="auto">
                    <a:xfrm>
                      <a:off x="0" y="0"/>
                      <a:ext cx="5418455" cy="1541975"/>
                    </a:xfrm>
                    <a:prstGeom prst="rect">
                      <a:avLst/>
                    </a:prstGeom>
                    <a:noFill/>
                    <a:ln>
                      <a:noFill/>
                    </a:ln>
                    <a:extLst>
                      <a:ext uri="{53640926-AAD7-44D8-BBD7-CCE9431645EC}">
                        <a14:shadowObscured xmlns:a14="http://schemas.microsoft.com/office/drawing/2010/main"/>
                      </a:ext>
                    </a:extLst>
                  </pic:spPr>
                </pic:pic>
              </a:graphicData>
            </a:graphic>
          </wp:inline>
        </w:drawing>
      </w:r>
    </w:p>
    <w:p w14:paraId="2AD50118" w14:textId="77777777" w:rsidR="005027CF" w:rsidRDefault="005027CF" w:rsidP="005027CF">
      <w:r>
        <w:t>In the phase 3a trials in insulin-experienced subjects, subjects were to be excluded in case of known hypoglycaemic unawareness or recurrent severe hypoglycaemic episodes within the last year before screening.</w:t>
      </w:r>
    </w:p>
    <w:p w14:paraId="4897B6E8" w14:textId="7C67AD9C" w:rsidR="005027CF" w:rsidRDefault="005027CF" w:rsidP="005027CF">
      <w:pPr>
        <w:pStyle w:val="Heading6"/>
      </w:pPr>
      <w:r>
        <w:t>Hypoglycaemic episodes in the T2D</w:t>
      </w:r>
      <w:r w:rsidR="00FE1540">
        <w:t>M</w:t>
      </w:r>
      <w:r>
        <w:t xml:space="preserve"> population (ONWARDS 1-5)</w:t>
      </w:r>
    </w:p>
    <w:p w14:paraId="5776011F" w14:textId="6E39F658" w:rsidR="005027CF" w:rsidRDefault="005027CF" w:rsidP="005027CF">
      <w:pPr>
        <w:pStyle w:val="Heading7"/>
      </w:pPr>
      <w:r>
        <w:t>Severe (level 3) hypoglycaemic episodes</w:t>
      </w:r>
    </w:p>
    <w:p w14:paraId="6515EEAE" w14:textId="307C330F" w:rsidR="005027CF" w:rsidRDefault="005027CF" w:rsidP="005027CF">
      <w:r>
        <w:t>The rates were highest (1.4%) in the T2D</w:t>
      </w:r>
      <w:r w:rsidR="00FE1540">
        <w:t>M</w:t>
      </w:r>
      <w:r>
        <w:t xml:space="preserve"> population on a previous basal-bolus insulin regimen (ONWARDS 4) and lower in the populations that were either insulin-naïve (ONWARDS 1, 3 and 5) or on a basal insulin regimen (ONWARDS 2).</w:t>
      </w:r>
    </w:p>
    <w:p w14:paraId="6D1EAA77" w14:textId="3D4049BE" w:rsidR="005027CF" w:rsidRDefault="005027CF" w:rsidP="005027CF">
      <w:pPr>
        <w:pStyle w:val="TableTitle"/>
      </w:pPr>
      <w:r>
        <w:t>Table 2</w:t>
      </w:r>
      <w:r w:rsidR="00A313D1">
        <w:t>7</w:t>
      </w:r>
      <w:r>
        <w:t>: Severe (level 3) hypoglycaemic episodes in the T2D</w:t>
      </w:r>
      <w:r w:rsidR="00FE1540">
        <w:t>M</w:t>
      </w:r>
      <w:r>
        <w:t xml:space="preserve"> population – on treatment / main-on-treatment - summary - safety analysis set</w:t>
      </w:r>
    </w:p>
    <w:p w14:paraId="6D075304" w14:textId="4D08BC75" w:rsidR="00C5596E" w:rsidRDefault="00C5596E" w:rsidP="00EA131D">
      <w:r w:rsidRPr="00682538">
        <w:rPr>
          <w:noProof/>
        </w:rPr>
        <w:drawing>
          <wp:inline distT="0" distB="0" distL="0" distR="0" wp14:anchorId="6332C605" wp14:editId="06C60F50">
            <wp:extent cx="5758592" cy="273304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01">
                      <a:extLst>
                        <a:ext uri="{BEBA8EAE-BF5A-486C-A8C5-ECC9F3942E4B}">
                          <a14:imgProps xmlns:a14="http://schemas.microsoft.com/office/drawing/2010/main">
                            <a14:imgLayer r:embed="rId102">
                              <a14:imgEffect>
                                <a14:sharpenSoften amount="40000"/>
                              </a14:imgEffect>
                            </a14:imgLayer>
                          </a14:imgProps>
                        </a:ext>
                        <a:ext uri="{28A0092B-C50C-407E-A947-70E740481C1C}">
                          <a14:useLocalDpi xmlns:a14="http://schemas.microsoft.com/office/drawing/2010/main" val="0"/>
                        </a:ext>
                      </a:extLst>
                    </a:blip>
                    <a:srcRect b="24742"/>
                    <a:stretch/>
                  </pic:blipFill>
                  <pic:spPr bwMode="auto">
                    <a:xfrm>
                      <a:off x="0" y="0"/>
                      <a:ext cx="5783069" cy="2744657"/>
                    </a:xfrm>
                    <a:prstGeom prst="rect">
                      <a:avLst/>
                    </a:prstGeom>
                    <a:noFill/>
                    <a:ln>
                      <a:noFill/>
                    </a:ln>
                    <a:extLst>
                      <a:ext uri="{53640926-AAD7-44D8-BBD7-CCE9431645EC}">
                        <a14:shadowObscured xmlns:a14="http://schemas.microsoft.com/office/drawing/2010/main"/>
                      </a:ext>
                    </a:extLst>
                  </pic:spPr>
                </pic:pic>
              </a:graphicData>
            </a:graphic>
          </wp:inline>
        </w:drawing>
      </w:r>
    </w:p>
    <w:p w14:paraId="253A9FA7" w14:textId="62586CE1" w:rsidR="001D517C" w:rsidRDefault="001D517C" w:rsidP="001D517C">
      <w:pPr>
        <w:pStyle w:val="TableDescription"/>
      </w:pPr>
      <w:r w:rsidRPr="001D517C">
        <w:t>%: Percentage of subjects with one or more events, E: Number of events, N: Number of subjects with one or more events, PYE: Patient years of exposure (1 PYE = 365.25 days), R: Rate (number of adverse events per 100 PYE). Severe hypoglycaemia (level 3): Hypoglycaemia with severe cognitive impairment requiring external assistance for recovery. Daily basal insulin: IDeg (ONWARDS 2, ONWARDS 3), IGlar 0100 (ONWARDS 1, ONWARDS 4), and once-daily analogues (IDeg, IGlar U100, IGlar U300) (ONWARDS 5). Data from ONWARDS 1-5, only main part of ONWARDS 1.</w:t>
      </w:r>
    </w:p>
    <w:p w14:paraId="633F713D" w14:textId="77777777" w:rsidR="00C551EF" w:rsidRDefault="00C551EF" w:rsidP="00C551EF">
      <w:pPr>
        <w:pStyle w:val="Heading7"/>
      </w:pPr>
      <w:r>
        <w:t>Severe (level 3) or clinically significant (level 2) hypoglycaemic episodes (combined)</w:t>
      </w:r>
    </w:p>
    <w:p w14:paraId="13E8247A" w14:textId="1E0C9D1A" w:rsidR="00C551EF" w:rsidRDefault="00C551EF" w:rsidP="00D46BD9">
      <w:r>
        <w:t xml:space="preserve">Rates for severe (level 3) or clinically significant (level 2) hypoglycaemic episodes were comparable in ONWARDS 1 (insulin-naïve) and ONWARDS 4 (basal bolus) and higher in insulin-naïve ONWARDS 3, 5 (insulin-naïve) and ONWARDS 2 (basal bolus) for the </w:t>
      </w:r>
      <w:r w:rsidR="00D64CAE">
        <w:t>IIco</w:t>
      </w:r>
      <w:r>
        <w:t xml:space="preserve"> groups.</w:t>
      </w:r>
    </w:p>
    <w:p w14:paraId="032236AD" w14:textId="1E119E1A" w:rsidR="00C551EF" w:rsidRDefault="00C551EF" w:rsidP="00C551EF">
      <w:pPr>
        <w:pStyle w:val="TableTitle"/>
      </w:pPr>
      <w:r>
        <w:lastRenderedPageBreak/>
        <w:t>Table 2</w:t>
      </w:r>
      <w:r w:rsidR="00A313D1">
        <w:t>8</w:t>
      </w:r>
      <w:r>
        <w:t>: Severe (level 3) or clinically significant (level 2) hypoglycaemic episodes in the T2D</w:t>
      </w:r>
      <w:r w:rsidR="00FE1540">
        <w:t>M</w:t>
      </w:r>
      <w:r>
        <w:t xml:space="preserve"> population - on-treatment/main-on-treatment - summary - safety analysis set</w:t>
      </w:r>
    </w:p>
    <w:p w14:paraId="01DAAD0A" w14:textId="3D2CFA47" w:rsidR="00DA1B2D" w:rsidRDefault="00DA1B2D" w:rsidP="00EA131D">
      <w:r w:rsidRPr="00682538">
        <w:rPr>
          <w:noProof/>
        </w:rPr>
        <w:drawing>
          <wp:inline distT="0" distB="0" distL="0" distR="0" wp14:anchorId="018A3EA1" wp14:editId="3D2DB050">
            <wp:extent cx="5724525" cy="2844800"/>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03">
                      <a:extLst>
                        <a:ext uri="{BEBA8EAE-BF5A-486C-A8C5-ECC9F3942E4B}">
                          <a14:imgProps xmlns:a14="http://schemas.microsoft.com/office/drawing/2010/main">
                            <a14:imgLayer r:embed="rId104">
                              <a14:imgEffect>
                                <a14:sharpenSoften amount="43000"/>
                              </a14:imgEffect>
                            </a14:imgLayer>
                          </a14:imgProps>
                        </a:ext>
                        <a:ext uri="{28A0092B-C50C-407E-A947-70E740481C1C}">
                          <a14:useLocalDpi xmlns:a14="http://schemas.microsoft.com/office/drawing/2010/main" val="0"/>
                        </a:ext>
                      </a:extLst>
                    </a:blip>
                    <a:srcRect b="25729"/>
                    <a:stretch/>
                  </pic:blipFill>
                  <pic:spPr bwMode="auto">
                    <a:xfrm>
                      <a:off x="0" y="0"/>
                      <a:ext cx="5724525" cy="2844800"/>
                    </a:xfrm>
                    <a:prstGeom prst="rect">
                      <a:avLst/>
                    </a:prstGeom>
                    <a:noFill/>
                    <a:ln>
                      <a:noFill/>
                    </a:ln>
                    <a:extLst>
                      <a:ext uri="{53640926-AAD7-44D8-BBD7-CCE9431645EC}">
                        <a14:shadowObscured xmlns:a14="http://schemas.microsoft.com/office/drawing/2010/main"/>
                      </a:ext>
                    </a:extLst>
                  </pic:spPr>
                </pic:pic>
              </a:graphicData>
            </a:graphic>
          </wp:inline>
        </w:drawing>
      </w:r>
    </w:p>
    <w:p w14:paraId="260AD7C3" w14:textId="6FE5BAA3" w:rsidR="00C551EF" w:rsidRDefault="008856C9" w:rsidP="008856C9">
      <w:pPr>
        <w:pStyle w:val="TableDescription"/>
      </w:pPr>
      <w:r>
        <w:t>%</w:t>
      </w:r>
      <w:r w:rsidRPr="008856C9">
        <w:t xml:space="preserve">: Percentage of subjects with one or more events, BG: Blood glucose, E: Number of events, N: Number of subjects with one or more events, PYE: Patient years of exposure (1 PYE = 365.25 days), R: Rate (number of adverse events per </w:t>
      </w:r>
      <w:proofErr w:type="gramStart"/>
      <w:r w:rsidRPr="008856C9">
        <w:t>100 ?YE</w:t>
      </w:r>
      <w:proofErr w:type="gramEnd"/>
      <w:r w:rsidRPr="008856C9">
        <w:t>). Clinically significant hypoglycaemia (level 2): Plasma glucose value of &lt; 3.0 mmol/L (54 mg/dL) confirmed by BG meter. Severe hypoglycaemia (level 3): Hypoglycaemia with severe cognitive impairment requiring external assistance for recovery. Daily basal insulin: IDeg (ONWARDS 2, ONWARDS 3), IGlar U100 (ONWARDS 1, ONWARDS 4), and once-daily analogues (IDeg, IGlar U100, IGlar U300) (ONWARDS 5). Data from ONWARDS 1-5, only main part of ONWARDS 1.</w:t>
      </w:r>
    </w:p>
    <w:p w14:paraId="76D11A16" w14:textId="77777777" w:rsidR="00354D8E" w:rsidRDefault="00354D8E" w:rsidP="00354D8E">
      <w:pPr>
        <w:pStyle w:val="Heading7"/>
      </w:pPr>
      <w:r>
        <w:t xml:space="preserve">Time below glycaemic range </w:t>
      </w:r>
    </w:p>
    <w:p w14:paraId="4EE2AC70" w14:textId="765D5571" w:rsidR="00354D8E" w:rsidRDefault="00354D8E" w:rsidP="00354D8E">
      <w:pPr>
        <w:pStyle w:val="TableDescription"/>
      </w:pPr>
      <w:r>
        <w:t>In T2D</w:t>
      </w:r>
      <w:r w:rsidR="00FE1540">
        <w:t>M</w:t>
      </w:r>
      <w:r>
        <w:t>, the time spent below 3.0 mmol/L (54 mg/dL) during the last four weeks of the evaluated treatment period was 0.21-0.73% and time below 3.9 mmol/L (70 mg/dL) was 1.20-2.65% across treatment groups for all three T2D</w:t>
      </w:r>
      <w:r w:rsidR="00FE1540">
        <w:t>M</w:t>
      </w:r>
      <w:r>
        <w:t xml:space="preserve"> trials (ONWARDS 1, 2 and 4). For time spent below 3.0 mmol/</w:t>
      </w:r>
      <w:proofErr w:type="gramStart"/>
      <w:r>
        <w:t>L ,</w:t>
      </w:r>
      <w:proofErr w:type="gramEnd"/>
      <w:r>
        <w:t xml:space="preserve"> there was no statistically significant difference between </w:t>
      </w:r>
      <w:r w:rsidR="00D64CAE">
        <w:t>IIco</w:t>
      </w:r>
      <w:r>
        <w:t xml:space="preserve"> and daily basal insulin.</w:t>
      </w:r>
    </w:p>
    <w:p w14:paraId="766A83C8" w14:textId="05970E11" w:rsidR="00354D8E" w:rsidRDefault="00354D8E" w:rsidP="00354D8E">
      <w:pPr>
        <w:pStyle w:val="Heading6"/>
      </w:pPr>
      <w:r>
        <w:t>Hypoglycaemic episodes in the T1D</w:t>
      </w:r>
      <w:r w:rsidR="00FE1540">
        <w:t>M</w:t>
      </w:r>
      <w:r>
        <w:t xml:space="preserve"> population (ONWARDS 6)</w:t>
      </w:r>
    </w:p>
    <w:p w14:paraId="34E8F18C" w14:textId="58D42077" w:rsidR="00354D8E" w:rsidRDefault="00354D8E" w:rsidP="00354D8E">
      <w:pPr>
        <w:pStyle w:val="Heading7"/>
      </w:pPr>
      <w:r>
        <w:t>Severe (level 3) hypoglycaemic episodes</w:t>
      </w:r>
    </w:p>
    <w:p w14:paraId="67875F26" w14:textId="7F3E9462" w:rsidR="00354D8E" w:rsidRDefault="00354D8E" w:rsidP="00D46BD9">
      <w:r>
        <w:t xml:space="preserve">Number and proportion of subjects reporting severe (level 3) hypoglycaemic episodes were the same in both groups (9 subjects). However, the rate of severe episodes was higher in the </w:t>
      </w:r>
      <w:r w:rsidR="00D64CAE">
        <w:t>IIco</w:t>
      </w:r>
      <w:r>
        <w:t xml:space="preserve"> group than in the </w:t>
      </w:r>
      <w:r w:rsidR="009C49AC" w:rsidRPr="009C49AC">
        <w:t>IDeg</w:t>
      </w:r>
      <w:r>
        <w:t xml:space="preserve"> group (33.03 vs 11.80 episodes per 100 PYE). the increase in hypoglycaemia events is maximal shortly (within 1-3 days) after its injection, which mirrored differences in the PK/PD profile of Insulin codec and daily basal insulins. Of note, patients with a history of hypoglycaemia unawareness or recurrent severe hypoglycaemia were excluded from the ONWARDS trials.</w:t>
      </w:r>
    </w:p>
    <w:p w14:paraId="052D176A" w14:textId="13266A74" w:rsidR="00354D8E" w:rsidRDefault="00354D8E" w:rsidP="00354D8E">
      <w:pPr>
        <w:pStyle w:val="TableTitle"/>
      </w:pPr>
      <w:r>
        <w:t xml:space="preserve">Table </w:t>
      </w:r>
      <w:r w:rsidR="00A313D1">
        <w:t>29</w:t>
      </w:r>
      <w:r>
        <w:t>: Severe (level 3) hypoglycaemic episodes in the T1D</w:t>
      </w:r>
      <w:r w:rsidR="00FE1540">
        <w:t>M</w:t>
      </w:r>
      <w:r>
        <w:t xml:space="preserve"> population - main-on treatment </w:t>
      </w:r>
      <w:proofErr w:type="gramStart"/>
      <w:r>
        <w:t>-  summary</w:t>
      </w:r>
      <w:proofErr w:type="gramEnd"/>
      <w:r>
        <w:t xml:space="preserve"> - safety analysis set</w:t>
      </w:r>
    </w:p>
    <w:p w14:paraId="0B360939" w14:textId="0EB50378" w:rsidR="00354D8E" w:rsidRDefault="0093721B" w:rsidP="00EA131D">
      <w:r>
        <w:rPr>
          <w:noProof/>
        </w:rPr>
        <w:drawing>
          <wp:inline distT="0" distB="0" distL="0" distR="0" wp14:anchorId="5152D1C2" wp14:editId="4476733D">
            <wp:extent cx="5759450" cy="1569720"/>
            <wp:effectExtent l="0" t="0" r="0" b="0"/>
            <wp:docPr id="313845602"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45602" name="Picture 1" descr="A white background with black text&#10;&#10;AI-generated content may be incorrect."/>
                    <pic:cNvPicPr/>
                  </pic:nvPicPr>
                  <pic:blipFill>
                    <a:blip r:embed="rId105">
                      <a:extLst>
                        <a:ext uri="{BEBA8EAE-BF5A-486C-A8C5-ECC9F3942E4B}">
                          <a14:imgProps xmlns:a14="http://schemas.microsoft.com/office/drawing/2010/main">
                            <a14:imgLayer r:embed="rId106">
                              <a14:imgEffect>
                                <a14:sharpenSoften amount="25000"/>
                              </a14:imgEffect>
                            </a14:imgLayer>
                          </a14:imgProps>
                        </a:ext>
                      </a:extLst>
                    </a:blip>
                    <a:stretch>
                      <a:fillRect/>
                    </a:stretch>
                  </pic:blipFill>
                  <pic:spPr>
                    <a:xfrm>
                      <a:off x="0" y="0"/>
                      <a:ext cx="5759450" cy="1569720"/>
                    </a:xfrm>
                    <a:prstGeom prst="rect">
                      <a:avLst/>
                    </a:prstGeom>
                  </pic:spPr>
                </pic:pic>
              </a:graphicData>
            </a:graphic>
          </wp:inline>
        </w:drawing>
      </w:r>
    </w:p>
    <w:p w14:paraId="5892C4F0" w14:textId="0A5D0F2A" w:rsidR="0003040B" w:rsidRDefault="0003040B" w:rsidP="0003040B">
      <w:pPr>
        <w:pStyle w:val="TableDescription"/>
      </w:pPr>
      <w:r>
        <w:lastRenderedPageBreak/>
        <w:t>%: Percentage of subjects with one or more events, E: Number of events, N: Number of subjects with one or more events, PYE: Patient years of exposure (1 PYE = 365.25 days), R: Rate (number of adverse events per 100 PYE). Severe hypoglycaemia (level 3): Hypoglycaemia with severe cognitive impairment requiring external assistance for recovery. Daily basal insulin: IDeg (ONWARDS 6). Data from main part of ONWARDS 6. Nocturnal: The period between 00:01 and 05:59 (both included).</w:t>
      </w:r>
    </w:p>
    <w:p w14:paraId="251B5425" w14:textId="77777777" w:rsidR="00426C92" w:rsidRDefault="00426C92" w:rsidP="00426C92">
      <w:pPr>
        <w:pStyle w:val="Heading7"/>
      </w:pPr>
      <w:r>
        <w:t>Severe (level 3) or clinically significant (level 2) hypoglycaemic episodes</w:t>
      </w:r>
    </w:p>
    <w:p w14:paraId="2477D234" w14:textId="76A27C23" w:rsidR="00426C92" w:rsidRDefault="00426C92" w:rsidP="00D46BD9">
      <w:r>
        <w:t xml:space="preserve">The proportion of subjects with severe (level 3) or clinically significant (level 2) hypoglycaemic episodes was higher in the </w:t>
      </w:r>
      <w:r w:rsidR="00D64CAE">
        <w:t>IIco</w:t>
      </w:r>
      <w:r>
        <w:t xml:space="preserve"> group than in the </w:t>
      </w:r>
      <w:r w:rsidR="009C49AC" w:rsidRPr="009C49AC">
        <w:t>IDeg</w:t>
      </w:r>
      <w:r>
        <w:t xml:space="preserve"> group (85.2% vs 76.4%), and the rate of these episodes was statistically significantly higher in the </w:t>
      </w:r>
      <w:r w:rsidR="00D64CAE">
        <w:t>IIco</w:t>
      </w:r>
      <w:r>
        <w:t xml:space="preserve">. group compared to the </w:t>
      </w:r>
      <w:r w:rsidR="009C49AC" w:rsidRPr="009C49AC">
        <w:t>IDeg</w:t>
      </w:r>
      <w:r>
        <w:t xml:space="preserve"> group (1992.86 vs 1037.33 episodes per 100 PYE, treatment rate ratio: 1.89 [1.54;2.33]95%CI, p-value: &lt;0.0001).</w:t>
      </w:r>
    </w:p>
    <w:p w14:paraId="23C7E8AA" w14:textId="0DC05E82" w:rsidR="00426C92" w:rsidRDefault="00426C92" w:rsidP="00D46BD9">
      <w:r>
        <w:t xml:space="preserve">The proportion of subjects in the </w:t>
      </w:r>
      <w:r w:rsidR="00D64CAE">
        <w:t>IIco</w:t>
      </w:r>
      <w:r>
        <w:t xml:space="preserve"> group and </w:t>
      </w:r>
      <w:r w:rsidR="009C49AC" w:rsidRPr="009C49AC">
        <w:t>IDeg</w:t>
      </w:r>
      <w:r>
        <w:t xml:space="preserve"> group with ≥20 severe (level 3) or clinically significant (level 2) hypoglycaemic episodes was 43(14.8</w:t>
      </w:r>
      <w:proofErr w:type="gramStart"/>
      <w:r>
        <w:t>%)  and</w:t>
      </w:r>
      <w:proofErr w:type="gramEnd"/>
      <w:r>
        <w:t xml:space="preserve"> 17 (5.8%) respectively.</w:t>
      </w:r>
    </w:p>
    <w:p w14:paraId="5377CFBF" w14:textId="675C1CEA" w:rsidR="00426C92" w:rsidRDefault="00426C92" w:rsidP="00426C92">
      <w:pPr>
        <w:pStyle w:val="TableTitle"/>
      </w:pPr>
      <w:r>
        <w:t>Table 3</w:t>
      </w:r>
      <w:r w:rsidR="00A313D1">
        <w:t>0</w:t>
      </w:r>
      <w:r>
        <w:t>: Severe (level 3) or clinically significant (level 2) hypoglycaemic episodes in the T1D</w:t>
      </w:r>
      <w:r w:rsidR="00FE1540">
        <w:t>M</w:t>
      </w:r>
      <w:r>
        <w:t xml:space="preserve"> population - main-on-treatment - summary - safety analysis set</w:t>
      </w:r>
    </w:p>
    <w:p w14:paraId="54DDA8CC" w14:textId="62277F04" w:rsidR="00426C92" w:rsidRDefault="00CC4C07" w:rsidP="00EA131D">
      <w:r>
        <w:rPr>
          <w:noProof/>
        </w:rPr>
        <w:drawing>
          <wp:inline distT="0" distB="0" distL="0" distR="0" wp14:anchorId="2040AB93" wp14:editId="463DB97A">
            <wp:extent cx="5759450" cy="1794510"/>
            <wp:effectExtent l="0" t="0" r="0" b="0"/>
            <wp:docPr id="494302335"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02335" name="Picture 1" descr="A white background with black text&#10;&#10;AI-generated content may be incorrect."/>
                    <pic:cNvPicPr/>
                  </pic:nvPicPr>
                  <pic:blipFill>
                    <a:blip r:embed="rId107"/>
                    <a:stretch>
                      <a:fillRect/>
                    </a:stretch>
                  </pic:blipFill>
                  <pic:spPr>
                    <a:xfrm>
                      <a:off x="0" y="0"/>
                      <a:ext cx="5759450" cy="1794510"/>
                    </a:xfrm>
                    <a:prstGeom prst="rect">
                      <a:avLst/>
                    </a:prstGeom>
                  </pic:spPr>
                </pic:pic>
              </a:graphicData>
            </a:graphic>
          </wp:inline>
        </w:drawing>
      </w:r>
    </w:p>
    <w:p w14:paraId="5AB9AC61" w14:textId="44CE1E23" w:rsidR="0003040B" w:rsidRDefault="00B667C3" w:rsidP="00B667C3">
      <w:pPr>
        <w:pStyle w:val="TableDescription"/>
      </w:pPr>
      <w:r>
        <w:t>%: Percentage of subjects with one or more events, BG: Blood glucose, E: Number of events, N: Number of subjects with one or more events, PYE: Patient years of exposure (1 PYE = 365.25 days), R: Rate (number of adverse events per 100 PYE). Clinically significant hypoglycaemia (level 2): Plasma glucose value of &lt; 3.0 mmol/L (54 mg/dL) confirmed by BG meter. Severe hypoglycaemia (level 3): Hypoglycaemia with severe cognitive impairment requiring external assistance for recovery. Daily basal insulin: IDeg (ONWARDS 6). Data from main part of ONWARDS 6. Nocturnal: The period between 00:01 and 05:59 (both included).</w:t>
      </w:r>
    </w:p>
    <w:p w14:paraId="72F4D884" w14:textId="77777777" w:rsidR="005C479E" w:rsidRDefault="005C479E" w:rsidP="005C479E">
      <w:pPr>
        <w:pStyle w:val="Heading7"/>
      </w:pPr>
      <w:r>
        <w:t>Time below glycaemic range</w:t>
      </w:r>
    </w:p>
    <w:p w14:paraId="36232DA6" w14:textId="0BBDE58D" w:rsidR="005C479E" w:rsidRDefault="005C479E" w:rsidP="00D46BD9">
      <w:r>
        <w:t xml:space="preserve">The time spent below 3.0 mmol/L (54 mg/dL) during the last four weeks of evaluated treatment period was 1.02% for the </w:t>
      </w:r>
      <w:r w:rsidR="00D64CAE">
        <w:t>IIco</w:t>
      </w:r>
      <w:r>
        <w:t xml:space="preserve"> group and 0.68% in the </w:t>
      </w:r>
      <w:r w:rsidR="009C49AC" w:rsidRPr="009C49AC">
        <w:t>IDeg</w:t>
      </w:r>
      <w:r>
        <w:t xml:space="preserve"> group, which was statistically significant difference in favour of </w:t>
      </w:r>
      <w:r w:rsidR="009C49AC" w:rsidRPr="009C49AC">
        <w:t>IDeg</w:t>
      </w:r>
      <w:r>
        <w:t xml:space="preserve"> (p-value: 0.0014). and the time below 3.9 mmol/L (70mg/dL) was 3.86% in the </w:t>
      </w:r>
      <w:r w:rsidR="00D64CAE">
        <w:t>IIco</w:t>
      </w:r>
      <w:r>
        <w:t xml:space="preserve"> group.</w:t>
      </w:r>
    </w:p>
    <w:p w14:paraId="1DC7494A" w14:textId="77777777" w:rsidR="005C479E" w:rsidRDefault="005C479E" w:rsidP="005C479E">
      <w:pPr>
        <w:pStyle w:val="Heading7"/>
      </w:pPr>
      <w:r>
        <w:t xml:space="preserve">Hypoglycaemia leading to discontinuation </w:t>
      </w:r>
    </w:p>
    <w:p w14:paraId="01535A74" w14:textId="252E2ACF" w:rsidR="005C479E" w:rsidRDefault="005C479E" w:rsidP="00D46BD9">
      <w:r>
        <w:t xml:space="preserve">Across the 6 ONWARDS trials with approximately 4300 subjects, a total of 5 subjects including 4 in the </w:t>
      </w:r>
      <w:r w:rsidR="00D64CAE">
        <w:t>IIco</w:t>
      </w:r>
      <w:r>
        <w:t xml:space="preserve"> and 1 in </w:t>
      </w:r>
      <w:r w:rsidR="001D617B">
        <w:t xml:space="preserve">the </w:t>
      </w:r>
      <w:r w:rsidR="001D617B" w:rsidRPr="001D617B">
        <w:t>IGlar</w:t>
      </w:r>
      <w:r>
        <w:t xml:space="preserve"> group, discontinued the trials due to hypoglycaemia.</w:t>
      </w:r>
    </w:p>
    <w:p w14:paraId="242DFFEE" w14:textId="7B20854E" w:rsidR="005C479E" w:rsidRDefault="005C479E" w:rsidP="00BC669E">
      <w:pPr>
        <w:pStyle w:val="Heading6"/>
      </w:pPr>
      <w:r>
        <w:t>Neoplasms – MedDRA search for Phase 3 pool</w:t>
      </w:r>
    </w:p>
    <w:p w14:paraId="13C01206" w14:textId="2DDE5D7F" w:rsidR="005C479E" w:rsidRDefault="005C479E" w:rsidP="00D46BD9">
      <w:r>
        <w:t xml:space="preserve">The number [rate] of neoplasm AEs was 74 in 62 subjects [4.44 events per 100 PYO] and 86 events in 66 subjects [5.18 events per 100 PYO] in the </w:t>
      </w:r>
      <w:r w:rsidR="00D64CAE">
        <w:t>IIco</w:t>
      </w:r>
      <w:r>
        <w:t xml:space="preserve"> QW group and the QD basal insulin group. The corresponding proportions were 2.9% and 3.0%. All neoplasms AEs were judged by investigator as unlikely related to trial product.</w:t>
      </w:r>
    </w:p>
    <w:p w14:paraId="4A802B5F" w14:textId="3FE92776" w:rsidR="005C479E" w:rsidRDefault="005C479E" w:rsidP="00D46BD9">
      <w:r>
        <w:t xml:space="preserve">Presented safety data did not show any obvious imbalance between treatment groups suggesting an increased risk for neoplasms in patients treated with </w:t>
      </w:r>
      <w:r w:rsidR="00D64CAE">
        <w:t>IIco</w:t>
      </w:r>
      <w:r>
        <w:t xml:space="preserve"> QW. Moreover, the database available is too small to make any final conclusions.</w:t>
      </w:r>
    </w:p>
    <w:p w14:paraId="320CC862" w14:textId="29A6FD92" w:rsidR="005C479E" w:rsidRDefault="005C479E" w:rsidP="00BC669E">
      <w:pPr>
        <w:pStyle w:val="Heading6"/>
      </w:pPr>
      <w:r>
        <w:lastRenderedPageBreak/>
        <w:t>Retinal disorders - MedDRA search in the Phase3 pool</w:t>
      </w:r>
    </w:p>
    <w:p w14:paraId="2F702E85" w14:textId="6694B510" w:rsidR="005C479E" w:rsidRDefault="005C479E" w:rsidP="00D46BD9">
      <w:r>
        <w:t xml:space="preserve">The rate of AEs within the MedDRA search for diabetic retinopathy or </w:t>
      </w:r>
      <w:r w:rsidR="00CB639B">
        <w:t>maculopathy</w:t>
      </w:r>
      <w:r>
        <w:t xml:space="preserve"> was similar in the two treatment groups (9.85 [</w:t>
      </w:r>
      <w:r w:rsidR="00D64CAE">
        <w:t>IIco</w:t>
      </w:r>
      <w:r>
        <w:t xml:space="preserve"> QW] versus 10.22 [QD basal insulin] events per 100 PYO).</w:t>
      </w:r>
    </w:p>
    <w:p w14:paraId="3500A9DD" w14:textId="37FB8E76" w:rsidR="005C479E" w:rsidRDefault="005C479E" w:rsidP="00BC669E">
      <w:pPr>
        <w:pStyle w:val="Heading6"/>
      </w:pPr>
      <w:r>
        <w:t>Hyperglycaemia including diabetic ketoacidosis (DKA)</w:t>
      </w:r>
    </w:p>
    <w:p w14:paraId="7581430C" w14:textId="65158910" w:rsidR="005C479E" w:rsidRDefault="005C479E" w:rsidP="00CB04E4">
      <w:pPr>
        <w:pStyle w:val="Heading7"/>
      </w:pPr>
      <w:r>
        <w:t>Hyperglycaemia including diabetic ketoacidosis - MedDRA search</w:t>
      </w:r>
    </w:p>
    <w:p w14:paraId="7AF6134D" w14:textId="138C4B69" w:rsidR="005C479E" w:rsidRDefault="005C479E" w:rsidP="00D46BD9">
      <w:r>
        <w:t xml:space="preserve">In the phase 3a pool, the rate of AEs of hyperglycaemia or diabetic ketoacidosis was 0.66 events per 100 </w:t>
      </w:r>
      <w:proofErr w:type="gramStart"/>
      <w:r>
        <w:t>PYE</w:t>
      </w:r>
      <w:proofErr w:type="gramEnd"/>
      <w:r>
        <w:t xml:space="preserve"> in the </w:t>
      </w:r>
      <w:r w:rsidR="00D64CAE">
        <w:t>IIco</w:t>
      </w:r>
      <w:r>
        <w:t xml:space="preserve"> group and 1.38 events per 100 </w:t>
      </w:r>
      <w:proofErr w:type="gramStart"/>
      <w:r>
        <w:t>PYE</w:t>
      </w:r>
      <w:proofErr w:type="gramEnd"/>
      <w:r>
        <w:t xml:space="preserve"> in the daily basal insulin group.</w:t>
      </w:r>
    </w:p>
    <w:p w14:paraId="4D4F5933" w14:textId="0FE8CAE2" w:rsidR="005C479E" w:rsidRDefault="005C479E" w:rsidP="00D46BD9">
      <w:r>
        <w:t xml:space="preserve">No serious events of hyperglycaemia or diabetic ketoacidosis events were reported in the </w:t>
      </w:r>
      <w:r w:rsidR="00D64CAE">
        <w:t>IIco</w:t>
      </w:r>
      <w:r>
        <w:t xml:space="preserve"> group, while 3 serious events were reported in the daily basal insulin group.</w:t>
      </w:r>
    </w:p>
    <w:p w14:paraId="781DC67A" w14:textId="3292B55B" w:rsidR="005C479E" w:rsidRDefault="005C479E" w:rsidP="00CB04E4">
      <w:pPr>
        <w:pStyle w:val="Heading7"/>
      </w:pPr>
      <w:r>
        <w:t xml:space="preserve">Time above glycaemic range </w:t>
      </w:r>
      <w:proofErr w:type="gramStart"/>
      <w:r>
        <w:t>( &gt;</w:t>
      </w:r>
      <w:proofErr w:type="gramEnd"/>
      <w:r>
        <w:t>10.0 mmol/</w:t>
      </w:r>
      <w:proofErr w:type="gramStart"/>
      <w:r>
        <w:t>L  or</w:t>
      </w:r>
      <w:proofErr w:type="gramEnd"/>
      <w:r>
        <w:t xml:space="preserve"> 180 mg/dL)</w:t>
      </w:r>
    </w:p>
    <w:p w14:paraId="29542511" w14:textId="0D903F7F" w:rsidR="005C479E" w:rsidRDefault="005C479E" w:rsidP="00D46BD9">
      <w:r>
        <w:t xml:space="preserve">In ONWARDS 1, the time spent above 10.0 mmol/L (180 mg/dL) from week 48 to week 52 was 26.86% in the </w:t>
      </w:r>
      <w:r w:rsidR="00D64CAE">
        <w:t>IIco</w:t>
      </w:r>
      <w:r>
        <w:t xml:space="preserve"> group and 32.27% in the </w:t>
      </w:r>
      <w:r w:rsidR="009C49AC" w:rsidRPr="009C49AC">
        <w:t>IGlar</w:t>
      </w:r>
      <w:r>
        <w:t xml:space="preserve"> group, and the treatment difference was statistically significantly in favour of </w:t>
      </w:r>
      <w:r w:rsidR="00D64CAE">
        <w:t>IIco</w:t>
      </w:r>
      <w:r>
        <w:t xml:space="preserve">. There was no statistically significant difference for time spent above 10.0 mmol/L (180 mg/dL) during the last four weeks of the evaluated treatment period in ONWARDS 2, 4 and in the T1D population (ONWARDS 6).   </w:t>
      </w:r>
    </w:p>
    <w:p w14:paraId="1C1EC2A3" w14:textId="53D7717F" w:rsidR="005C479E" w:rsidRDefault="005C479E" w:rsidP="00D46BD9">
      <w:r>
        <w:t xml:space="preserve">Overall, the data does not indicate any increased risk of </w:t>
      </w:r>
      <w:r w:rsidR="00CB639B">
        <w:t>hyperglycaemia</w:t>
      </w:r>
      <w:r>
        <w:t xml:space="preserve"> or DKA in patients treated with </w:t>
      </w:r>
      <w:r w:rsidR="00D64CAE">
        <w:t>IIco</w:t>
      </w:r>
      <w:r>
        <w:t xml:space="preserve"> QW.</w:t>
      </w:r>
    </w:p>
    <w:p w14:paraId="631DA94D" w14:textId="639F1488" w:rsidR="005C479E" w:rsidRDefault="005C479E" w:rsidP="00CB04E4">
      <w:pPr>
        <w:pStyle w:val="Heading6"/>
      </w:pPr>
      <w:r>
        <w:t>Anti-</w:t>
      </w:r>
      <w:r w:rsidR="00D64CAE">
        <w:t>IIco</w:t>
      </w:r>
      <w:r>
        <w:t xml:space="preserve"> antibodies</w:t>
      </w:r>
      <w:r w:rsidR="00CB04E4">
        <w:t xml:space="preserve"> </w:t>
      </w:r>
      <w:r>
        <w:t>– ONWARDS 2-4 and 6</w:t>
      </w:r>
    </w:p>
    <w:p w14:paraId="03F4D0C2" w14:textId="2D5BEA3F" w:rsidR="005C479E" w:rsidRDefault="005C479E" w:rsidP="00D46BD9">
      <w:r>
        <w:t xml:space="preserve">Across trials, between 59.6% and 79.2% (in insulin-naïve patients) of the subjects were positive for anti-insulin </w:t>
      </w:r>
      <w:r w:rsidR="00D64CAE">
        <w:t>IIco</w:t>
      </w:r>
      <w:r>
        <w:t xml:space="preserve"> antibodies (ADA) at any time on-trial which exceeded to some extent the corresponding numbers reported recently for IGlar preparations [26]. The assay’s specificity in detecting ADA is a matter a major uncertainty when interpreting the data. In fact, cross-reactivity with human insulin was common among patients positive for anti-insulin </w:t>
      </w:r>
      <w:r w:rsidR="00D64CAE">
        <w:t>IIco</w:t>
      </w:r>
      <w:r>
        <w:t xml:space="preserve"> antibodies (According to Module 2.7.4: 66.7% to 77.4%).</w:t>
      </w:r>
    </w:p>
    <w:p w14:paraId="61F95786" w14:textId="77777777" w:rsidR="005C479E" w:rsidRDefault="005C479E" w:rsidP="00D46BD9">
      <w:r>
        <w:t>There were no events of ADA formation leading to change in clinical efficacy across the Phase 3 trials. The safety correlation analysis suggested that the ADA titer had no impact on the rate of severe (level 3) or clinically significant (levels 2) hypoglycaemia across Phase 3 trials.</w:t>
      </w:r>
    </w:p>
    <w:p w14:paraId="359FA099" w14:textId="106F4D12" w:rsidR="005C479E" w:rsidRDefault="005C479E" w:rsidP="00CB04E4">
      <w:pPr>
        <w:pStyle w:val="Heading6"/>
      </w:pPr>
      <w:r>
        <w:t>Body Weight</w:t>
      </w:r>
    </w:p>
    <w:p w14:paraId="47E0DD28" w14:textId="4FD6F0FE" w:rsidR="005C479E" w:rsidRDefault="005C479E" w:rsidP="00D46BD9">
      <w:r>
        <w:t xml:space="preserve">In ONWARDS 2, the estimated change in body weight from baseline to end of evaluated treatment period, was statistically significantly different in favour of daily basal insulin with an estimated treatment difference of 1.70 kg more in the </w:t>
      </w:r>
      <w:r w:rsidR="00D64CAE">
        <w:t>IIco</w:t>
      </w:r>
      <w:r>
        <w:t xml:space="preserve"> group (ETD: 1.70 kg [0.76; 2.63]95% CI).</w:t>
      </w:r>
    </w:p>
    <w:p w14:paraId="18911DA0" w14:textId="7AD6F559" w:rsidR="005C479E" w:rsidRDefault="005C479E" w:rsidP="00D46BD9">
      <w:r>
        <w:t xml:space="preserve">In the other ONWARD trials, weight gain was higher in the Insulin </w:t>
      </w:r>
      <w:r w:rsidR="00D64CAE">
        <w:t>IIco</w:t>
      </w:r>
      <w:r>
        <w:t>dec group as compared to daily basal insulin group, but not statistically significant.</w:t>
      </w:r>
    </w:p>
    <w:p w14:paraId="0B0BFD60" w14:textId="2654BD3A" w:rsidR="005C479E" w:rsidRDefault="005C479E" w:rsidP="00190BA0">
      <w:pPr>
        <w:pStyle w:val="TableTitle"/>
      </w:pPr>
      <w:r>
        <w:lastRenderedPageBreak/>
        <w:t>Table 3</w:t>
      </w:r>
      <w:r w:rsidR="00A313D1">
        <w:t>1</w:t>
      </w:r>
      <w:r>
        <w:t>: Body weight at end of treatment by trial – change from baseline – in-trial – supportive statistical analysis – full analysis set</w:t>
      </w:r>
    </w:p>
    <w:p w14:paraId="70F253AF" w14:textId="1B815BE9" w:rsidR="00E02BB3" w:rsidRDefault="00E02BB3" w:rsidP="00EA131D">
      <w:r w:rsidRPr="00682538">
        <w:rPr>
          <w:noProof/>
          <w:lang w:val="en-US"/>
        </w:rPr>
        <w:drawing>
          <wp:inline distT="0" distB="0" distL="0" distR="0" wp14:anchorId="4CAFAC85" wp14:editId="685B8F07">
            <wp:extent cx="5667375" cy="2011680"/>
            <wp:effectExtent l="0" t="0" r="9525" b="7620"/>
            <wp:docPr id="479" name="Picture 479"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A table with numbers and text&#10;&#10;AI-generated content may be incorrect."/>
                    <pic:cNvPicPr>
                      <a:picLocks noChangeAspect="1" noChangeArrowheads="1"/>
                    </pic:cNvPicPr>
                  </pic:nvPicPr>
                  <pic:blipFill rotWithShape="1">
                    <a:blip r:embed="rId108">
                      <a:extLst>
                        <a:ext uri="{BEBA8EAE-BF5A-486C-A8C5-ECC9F3942E4B}">
                          <a14:imgProps xmlns:a14="http://schemas.microsoft.com/office/drawing/2010/main">
                            <a14:imgLayer r:embed="rId109">
                              <a14:imgEffect>
                                <a14:sharpenSoften amount="39000"/>
                              </a14:imgEffect>
                            </a14:imgLayer>
                          </a14:imgProps>
                        </a:ext>
                        <a:ext uri="{28A0092B-C50C-407E-A947-70E740481C1C}">
                          <a14:useLocalDpi xmlns:a14="http://schemas.microsoft.com/office/drawing/2010/main" val="0"/>
                        </a:ext>
                      </a:extLst>
                    </a:blip>
                    <a:srcRect b="16522"/>
                    <a:stretch/>
                  </pic:blipFill>
                  <pic:spPr bwMode="auto">
                    <a:xfrm>
                      <a:off x="0" y="0"/>
                      <a:ext cx="5667375" cy="2011680"/>
                    </a:xfrm>
                    <a:prstGeom prst="rect">
                      <a:avLst/>
                    </a:prstGeom>
                    <a:noFill/>
                    <a:ln>
                      <a:noFill/>
                    </a:ln>
                    <a:extLst>
                      <a:ext uri="{53640926-AAD7-44D8-BBD7-CCE9431645EC}">
                        <a14:shadowObscured xmlns:a14="http://schemas.microsoft.com/office/drawing/2010/main"/>
                      </a:ext>
                    </a:extLst>
                  </pic:spPr>
                </pic:pic>
              </a:graphicData>
            </a:graphic>
          </wp:inline>
        </w:drawing>
      </w:r>
    </w:p>
    <w:p w14:paraId="62FBE7B4" w14:textId="6681EE38" w:rsidR="00E02BB3" w:rsidRDefault="00E02BB3" w:rsidP="00E02BB3">
      <w:pPr>
        <w:pStyle w:val="TableDescription"/>
      </w:pPr>
      <w:r>
        <w:t>Notes: a reported for main-on-treatment period; P-value: two-sided p-value for test of no treatment difference. Abbreviations: CI=confidence interval</w:t>
      </w:r>
    </w:p>
    <w:p w14:paraId="2858B006" w14:textId="6DD8DAAD" w:rsidR="00C22214" w:rsidRDefault="00C22214" w:rsidP="00C22214">
      <w:pPr>
        <w:pStyle w:val="Heading3"/>
        <w:rPr>
          <w:lang w:eastAsia="en-AU"/>
        </w:rPr>
      </w:pPr>
      <w:bookmarkStart w:id="47" w:name="_Toc103679298"/>
      <w:bookmarkStart w:id="48" w:name="_Toc202172232"/>
      <w:r>
        <w:rPr>
          <w:lang w:eastAsia="en-AU"/>
        </w:rPr>
        <w:t>Risk management plan</w:t>
      </w:r>
      <w:bookmarkEnd w:id="44"/>
      <w:bookmarkEnd w:id="47"/>
      <w:r w:rsidR="00852D29">
        <w:rPr>
          <w:lang w:eastAsia="en-AU"/>
        </w:rPr>
        <w:t xml:space="preserve"> evaluation summary</w:t>
      </w:r>
      <w:bookmarkEnd w:id="48"/>
    </w:p>
    <w:p w14:paraId="3D583A7F" w14:textId="59E6F989" w:rsidR="004156B2" w:rsidRDefault="004156B2" w:rsidP="004156B2">
      <w:pPr>
        <w:rPr>
          <w:lang w:eastAsia="en-AU"/>
        </w:rPr>
      </w:pPr>
      <w:r>
        <w:rPr>
          <w:lang w:eastAsia="en-AU"/>
        </w:rPr>
        <w:t>Novo Nordisk Pharmaceuticals Pty Ltd has submitted Global-RMP version 0.1 (dated 15 March 2023; DLP 19 September 2022) and ASA version 0.1 (dated 31 March 2023) in support of this application. In its Section 31 response, the sponsor has submitted an updated ASA only (version 0.2; dated 26 October 2023) in support of its application.</w:t>
      </w:r>
    </w:p>
    <w:p w14:paraId="6282E238" w14:textId="0CFFE67F" w:rsidR="004156B2" w:rsidRPr="004156B2" w:rsidRDefault="004156B2" w:rsidP="004156B2">
      <w:pPr>
        <w:rPr>
          <w:lang w:eastAsia="en-AU"/>
        </w:rPr>
      </w:pPr>
      <w:r>
        <w:rPr>
          <w:lang w:eastAsia="en-AU"/>
        </w:rPr>
        <w:t>The proposed summary of safety concerns and their associated risk monitoring and mitigation strategies are summarised below:</w:t>
      </w:r>
    </w:p>
    <w:p w14:paraId="0E7D3ADC" w14:textId="4D909A56" w:rsidR="00127A74" w:rsidRDefault="00C22214" w:rsidP="00D46BD9">
      <w:pPr>
        <w:pStyle w:val="TableTitle"/>
      </w:pPr>
      <w:bookmarkStart w:id="49" w:name="_Ref97629131"/>
      <w:bookmarkStart w:id="50" w:name="_Toc247691531"/>
      <w:bookmarkStart w:id="51" w:name="_Toc314842515"/>
      <w:r>
        <w:t xml:space="preserve">Table </w:t>
      </w:r>
      <w:r w:rsidR="00C00AE9">
        <w:t>3</w:t>
      </w:r>
      <w:bookmarkEnd w:id="49"/>
      <w:r w:rsidR="00A313D1">
        <w:t>2</w:t>
      </w:r>
      <w:r>
        <w:t>: Summary of safety concerns</w:t>
      </w:r>
    </w:p>
    <w:tbl>
      <w:tblPr>
        <w:tblStyle w:val="TableTGAblue2023"/>
        <w:tblW w:w="8878" w:type="dxa"/>
        <w:tblLayout w:type="fixed"/>
        <w:tblLook w:val="04A0" w:firstRow="1" w:lastRow="0" w:firstColumn="1" w:lastColumn="0" w:noHBand="0" w:noVBand="1"/>
      </w:tblPr>
      <w:tblGrid>
        <w:gridCol w:w="1705"/>
        <w:gridCol w:w="2070"/>
        <w:gridCol w:w="1134"/>
        <w:gridCol w:w="1418"/>
        <w:gridCol w:w="1134"/>
        <w:gridCol w:w="1417"/>
      </w:tblGrid>
      <w:tr w:rsidR="00127A74" w:rsidRPr="007A1992" w14:paraId="359A0C59" w14:textId="77777777" w:rsidTr="00AC0DB7">
        <w:trPr>
          <w:cnfStyle w:val="100000000000" w:firstRow="1" w:lastRow="0" w:firstColumn="0" w:lastColumn="0" w:oddVBand="0" w:evenVBand="0" w:oddHBand="0"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3775" w:type="dxa"/>
            <w:gridSpan w:val="2"/>
            <w:vMerge w:val="restart"/>
          </w:tcPr>
          <w:p w14:paraId="24B1F090" w14:textId="77777777" w:rsidR="00127A74" w:rsidRPr="00127A74" w:rsidRDefault="00127A74" w:rsidP="00127A74">
            <w:r w:rsidRPr="00127A74">
              <w:t>Summary of safety concerns</w:t>
            </w:r>
          </w:p>
        </w:tc>
        <w:tc>
          <w:tcPr>
            <w:tcW w:w="2552" w:type="dxa"/>
            <w:gridSpan w:val="2"/>
          </w:tcPr>
          <w:p w14:paraId="596694C9" w14:textId="77777777" w:rsidR="00127A74" w:rsidRPr="00127A74" w:rsidRDefault="00127A74" w:rsidP="00127A74">
            <w:pPr>
              <w:cnfStyle w:val="100000000000" w:firstRow="1" w:lastRow="0" w:firstColumn="0" w:lastColumn="0" w:oddVBand="0" w:evenVBand="0" w:oddHBand="0" w:evenHBand="0" w:firstRowFirstColumn="0" w:firstRowLastColumn="0" w:lastRowFirstColumn="0" w:lastRowLastColumn="0"/>
            </w:pPr>
            <w:r w:rsidRPr="00127A74">
              <w:t>Pharmacovigilance</w:t>
            </w:r>
          </w:p>
        </w:tc>
        <w:tc>
          <w:tcPr>
            <w:tcW w:w="2551" w:type="dxa"/>
            <w:gridSpan w:val="2"/>
          </w:tcPr>
          <w:p w14:paraId="4F66CB82" w14:textId="77777777" w:rsidR="00127A74" w:rsidRPr="00127A74" w:rsidRDefault="00127A74" w:rsidP="00127A74">
            <w:pPr>
              <w:cnfStyle w:val="100000000000" w:firstRow="1" w:lastRow="0" w:firstColumn="0" w:lastColumn="0" w:oddVBand="0" w:evenVBand="0" w:oddHBand="0" w:evenHBand="0" w:firstRowFirstColumn="0" w:firstRowLastColumn="0" w:lastRowFirstColumn="0" w:lastRowLastColumn="0"/>
            </w:pPr>
            <w:r w:rsidRPr="00127A74">
              <w:t>Risk minimisation</w:t>
            </w:r>
          </w:p>
        </w:tc>
      </w:tr>
      <w:tr w:rsidR="00127A74" w:rsidRPr="007A1992" w14:paraId="12411E68" w14:textId="77777777" w:rsidTr="00AC0DB7">
        <w:trPr>
          <w:trHeight w:val="150"/>
        </w:trPr>
        <w:tc>
          <w:tcPr>
            <w:cnfStyle w:val="001000000000" w:firstRow="0" w:lastRow="0" w:firstColumn="1" w:lastColumn="0" w:oddVBand="0" w:evenVBand="0" w:oddHBand="0" w:evenHBand="0" w:firstRowFirstColumn="0" w:firstRowLastColumn="0" w:lastRowFirstColumn="0" w:lastRowLastColumn="0"/>
            <w:tcW w:w="3775" w:type="dxa"/>
            <w:gridSpan w:val="2"/>
            <w:vMerge/>
          </w:tcPr>
          <w:p w14:paraId="71D88F2A" w14:textId="77777777" w:rsidR="00127A74" w:rsidRPr="00127A74" w:rsidRDefault="00127A74" w:rsidP="00127A74"/>
        </w:tc>
        <w:tc>
          <w:tcPr>
            <w:tcW w:w="1134" w:type="dxa"/>
            <w:shd w:val="clear" w:color="auto" w:fill="DEEAF6"/>
          </w:tcPr>
          <w:p w14:paraId="1BF9407C" w14:textId="77777777" w:rsidR="00127A74" w:rsidRPr="00127A74" w:rsidRDefault="00127A74" w:rsidP="00127A74">
            <w:pPr>
              <w:keepNext/>
              <w:cnfStyle w:val="000000000000" w:firstRow="0" w:lastRow="0" w:firstColumn="0" w:lastColumn="0" w:oddVBand="0" w:evenVBand="0" w:oddHBand="0" w:evenHBand="0" w:firstRowFirstColumn="0" w:firstRowLastColumn="0" w:lastRowFirstColumn="0" w:lastRowLastColumn="0"/>
              <w:rPr>
                <w:b/>
                <w:color w:val="263287"/>
              </w:rPr>
            </w:pPr>
            <w:r w:rsidRPr="00127A74">
              <w:rPr>
                <w:b/>
                <w:color w:val="263287"/>
              </w:rPr>
              <w:t>Routine</w:t>
            </w:r>
          </w:p>
        </w:tc>
        <w:tc>
          <w:tcPr>
            <w:tcW w:w="1418" w:type="dxa"/>
            <w:shd w:val="clear" w:color="auto" w:fill="DEEAF6"/>
          </w:tcPr>
          <w:p w14:paraId="442BA332" w14:textId="77777777" w:rsidR="00127A74" w:rsidRPr="00127A74" w:rsidRDefault="00127A74" w:rsidP="00127A74">
            <w:pPr>
              <w:keepNext/>
              <w:cnfStyle w:val="000000000000" w:firstRow="0" w:lastRow="0" w:firstColumn="0" w:lastColumn="0" w:oddVBand="0" w:evenVBand="0" w:oddHBand="0" w:evenHBand="0" w:firstRowFirstColumn="0" w:firstRowLastColumn="0" w:lastRowFirstColumn="0" w:lastRowLastColumn="0"/>
              <w:rPr>
                <w:b/>
                <w:color w:val="263287"/>
              </w:rPr>
            </w:pPr>
            <w:r w:rsidRPr="00127A74">
              <w:rPr>
                <w:b/>
                <w:color w:val="263287"/>
              </w:rPr>
              <w:t>Additional</w:t>
            </w:r>
          </w:p>
        </w:tc>
        <w:tc>
          <w:tcPr>
            <w:tcW w:w="1134" w:type="dxa"/>
            <w:shd w:val="clear" w:color="auto" w:fill="DEEAF6"/>
          </w:tcPr>
          <w:p w14:paraId="5920A04F" w14:textId="77777777" w:rsidR="00127A74" w:rsidRPr="00127A74" w:rsidRDefault="00127A74" w:rsidP="00127A74">
            <w:pPr>
              <w:keepNext/>
              <w:cnfStyle w:val="000000000000" w:firstRow="0" w:lastRow="0" w:firstColumn="0" w:lastColumn="0" w:oddVBand="0" w:evenVBand="0" w:oddHBand="0" w:evenHBand="0" w:firstRowFirstColumn="0" w:firstRowLastColumn="0" w:lastRowFirstColumn="0" w:lastRowLastColumn="0"/>
              <w:rPr>
                <w:b/>
                <w:color w:val="263287"/>
              </w:rPr>
            </w:pPr>
            <w:r w:rsidRPr="00127A74">
              <w:rPr>
                <w:b/>
                <w:color w:val="263287"/>
              </w:rPr>
              <w:t>Routine</w:t>
            </w:r>
          </w:p>
        </w:tc>
        <w:tc>
          <w:tcPr>
            <w:tcW w:w="1417" w:type="dxa"/>
            <w:shd w:val="clear" w:color="auto" w:fill="DEEAF6"/>
          </w:tcPr>
          <w:p w14:paraId="53B2ED29" w14:textId="77777777" w:rsidR="00127A74" w:rsidRPr="00127A74" w:rsidRDefault="00127A74" w:rsidP="00127A74">
            <w:pPr>
              <w:keepNext/>
              <w:cnfStyle w:val="000000000000" w:firstRow="0" w:lastRow="0" w:firstColumn="0" w:lastColumn="0" w:oddVBand="0" w:evenVBand="0" w:oddHBand="0" w:evenHBand="0" w:firstRowFirstColumn="0" w:firstRowLastColumn="0" w:lastRowFirstColumn="0" w:lastRowLastColumn="0"/>
              <w:rPr>
                <w:b/>
                <w:color w:val="263287"/>
              </w:rPr>
            </w:pPr>
            <w:r w:rsidRPr="00127A74">
              <w:rPr>
                <w:b/>
                <w:color w:val="263287"/>
              </w:rPr>
              <w:t>Additional</w:t>
            </w:r>
          </w:p>
        </w:tc>
      </w:tr>
      <w:tr w:rsidR="007C02B0" w:rsidRPr="007A1992" w14:paraId="05599231" w14:textId="77777777" w:rsidTr="00A40CDE">
        <w:trPr>
          <w:trHeight w:val="137"/>
        </w:trPr>
        <w:tc>
          <w:tcPr>
            <w:cnfStyle w:val="001000000000" w:firstRow="0" w:lastRow="0" w:firstColumn="1" w:lastColumn="0" w:oddVBand="0" w:evenVBand="0" w:oddHBand="0" w:evenHBand="0" w:firstRowFirstColumn="0" w:firstRowLastColumn="0" w:lastRowFirstColumn="0" w:lastRowLastColumn="0"/>
            <w:tcW w:w="1705" w:type="dxa"/>
            <w:vMerge w:val="restart"/>
          </w:tcPr>
          <w:p w14:paraId="437195CD" w14:textId="77777777" w:rsidR="007C02B0" w:rsidRDefault="007C02B0" w:rsidP="007C02B0">
            <w:pPr>
              <w:rPr>
                <w:b/>
                <w:bCs/>
              </w:rPr>
            </w:pPr>
            <w:r w:rsidRPr="00127A74">
              <w:rPr>
                <w:b/>
                <w:bCs/>
              </w:rPr>
              <w:t xml:space="preserve">Important </w:t>
            </w:r>
          </w:p>
          <w:p w14:paraId="695AF1AB" w14:textId="77777777" w:rsidR="007C02B0" w:rsidRDefault="007C02B0" w:rsidP="007C02B0">
            <w:pPr>
              <w:rPr>
                <w:b/>
                <w:bCs/>
              </w:rPr>
            </w:pPr>
            <w:r w:rsidRPr="00127A74">
              <w:rPr>
                <w:b/>
                <w:bCs/>
              </w:rPr>
              <w:t xml:space="preserve">identified </w:t>
            </w:r>
          </w:p>
          <w:p w14:paraId="67382D75" w14:textId="778CA320" w:rsidR="007C02B0" w:rsidRPr="00127A74" w:rsidRDefault="007C02B0" w:rsidP="007C02B0">
            <w:pPr>
              <w:rPr>
                <w:b/>
                <w:bCs/>
              </w:rPr>
            </w:pPr>
            <w:r w:rsidRPr="00127A74">
              <w:rPr>
                <w:b/>
                <w:bCs/>
              </w:rPr>
              <w:t>risks</w:t>
            </w:r>
          </w:p>
        </w:tc>
        <w:tc>
          <w:tcPr>
            <w:tcW w:w="2070" w:type="dxa"/>
          </w:tcPr>
          <w:p w14:paraId="7134CBC0" w14:textId="68DA157E"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t>Hypoglycaemia</w:t>
            </w:r>
          </w:p>
        </w:tc>
        <w:tc>
          <w:tcPr>
            <w:tcW w:w="1134" w:type="dxa"/>
          </w:tcPr>
          <w:p w14:paraId="11797452" w14:textId="13026745"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r w:rsidRPr="00EB75DF">
              <w:rPr>
                <w:snapToGrid w:val="0"/>
                <w:color w:val="000000" w:themeColor="text1"/>
                <w:sz w:val="20"/>
                <w:szCs w:val="24"/>
              </w:rPr>
              <w:t>*</w:t>
            </w:r>
          </w:p>
        </w:tc>
        <w:tc>
          <w:tcPr>
            <w:tcW w:w="1418" w:type="dxa"/>
            <w:vAlign w:val="center"/>
          </w:tcPr>
          <w:p w14:paraId="7B703318" w14:textId="5A449209"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rFonts w:eastAsia="Times New Roman"/>
                <w:snapToGrid w:val="0"/>
                <w:color w:val="000000" w:themeColor="text1"/>
                <w:sz w:val="20"/>
                <w:szCs w:val="24"/>
              </w:rPr>
              <w:t>–</w:t>
            </w:r>
          </w:p>
        </w:tc>
        <w:tc>
          <w:tcPr>
            <w:tcW w:w="1134" w:type="dxa"/>
          </w:tcPr>
          <w:p w14:paraId="1A652099" w14:textId="7CBE6766" w:rsidR="007C02B0" w:rsidRPr="004A775E" w:rsidRDefault="004A775E" w:rsidP="007C02B0">
            <w:pPr>
              <w:cnfStyle w:val="000000000000" w:firstRow="0" w:lastRow="0" w:firstColumn="0" w:lastColumn="0" w:oddVBand="0" w:evenVBand="0" w:oddHBand="0" w:evenHBand="0" w:firstRowFirstColumn="0" w:firstRowLastColumn="0" w:lastRowFirstColumn="0" w:lastRowLastColumn="0"/>
              <w:rPr>
                <w:b/>
                <w:bCs/>
              </w:rPr>
            </w:pPr>
            <w:r w:rsidRPr="00EB75DF">
              <w:rPr>
                <w:snapToGrid w:val="0"/>
                <w:color w:val="000000" w:themeColor="text1"/>
                <w:sz w:val="20"/>
                <w:szCs w:val="24"/>
              </w:rPr>
              <w:sym w:font="Wingdings" w:char="F0FC"/>
            </w:r>
          </w:p>
        </w:tc>
        <w:tc>
          <w:tcPr>
            <w:tcW w:w="1417" w:type="dxa"/>
          </w:tcPr>
          <w:p w14:paraId="34A0513E" w14:textId="6D6CEDA4"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4A775E">
              <w:t>–</w:t>
            </w:r>
          </w:p>
        </w:tc>
      </w:tr>
      <w:tr w:rsidR="007C02B0" w:rsidRPr="007A1992" w14:paraId="3B513B31" w14:textId="77777777" w:rsidTr="00A40CDE">
        <w:trPr>
          <w:trHeight w:val="94"/>
        </w:trPr>
        <w:tc>
          <w:tcPr>
            <w:cnfStyle w:val="001000000000" w:firstRow="0" w:lastRow="0" w:firstColumn="1" w:lastColumn="0" w:oddVBand="0" w:evenVBand="0" w:oddHBand="0" w:evenHBand="0" w:firstRowFirstColumn="0" w:firstRowLastColumn="0" w:lastRowFirstColumn="0" w:lastRowLastColumn="0"/>
            <w:tcW w:w="1705" w:type="dxa"/>
            <w:vMerge/>
          </w:tcPr>
          <w:p w14:paraId="584A0D09" w14:textId="77777777" w:rsidR="007C02B0" w:rsidRPr="00127A74" w:rsidRDefault="007C02B0" w:rsidP="007C02B0">
            <w:pPr>
              <w:rPr>
                <w:b/>
                <w:bCs/>
              </w:rPr>
            </w:pPr>
          </w:p>
        </w:tc>
        <w:tc>
          <w:tcPr>
            <w:tcW w:w="2070" w:type="dxa"/>
          </w:tcPr>
          <w:p w14:paraId="2BE2E4B1" w14:textId="47D1561D"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28092A">
              <w:t>Hypersensitivity</w:t>
            </w:r>
          </w:p>
        </w:tc>
        <w:tc>
          <w:tcPr>
            <w:tcW w:w="1134" w:type="dxa"/>
          </w:tcPr>
          <w:p w14:paraId="3A6C2CA6" w14:textId="26A18F79"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r w:rsidRPr="00EB75DF">
              <w:rPr>
                <w:snapToGrid w:val="0"/>
                <w:color w:val="000000" w:themeColor="text1"/>
                <w:sz w:val="20"/>
                <w:szCs w:val="24"/>
              </w:rPr>
              <w:t>*</w:t>
            </w:r>
          </w:p>
        </w:tc>
        <w:tc>
          <w:tcPr>
            <w:tcW w:w="1418" w:type="dxa"/>
            <w:vAlign w:val="center"/>
          </w:tcPr>
          <w:p w14:paraId="62F9A7AE" w14:textId="13A3370B"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rFonts w:eastAsia="Times New Roman"/>
                <w:snapToGrid w:val="0"/>
                <w:color w:val="000000" w:themeColor="text1"/>
                <w:sz w:val="20"/>
                <w:szCs w:val="24"/>
              </w:rPr>
              <w:t>–</w:t>
            </w:r>
          </w:p>
        </w:tc>
        <w:tc>
          <w:tcPr>
            <w:tcW w:w="1134" w:type="dxa"/>
          </w:tcPr>
          <w:p w14:paraId="1EA2B413" w14:textId="7D95617F"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p>
        </w:tc>
        <w:tc>
          <w:tcPr>
            <w:tcW w:w="1417" w:type="dxa"/>
          </w:tcPr>
          <w:p w14:paraId="62E30C06" w14:textId="5FF6B310"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4A775E">
              <w:t>–</w:t>
            </w:r>
          </w:p>
        </w:tc>
      </w:tr>
      <w:tr w:rsidR="007C02B0" w:rsidRPr="007A1992" w14:paraId="176B93B3" w14:textId="77777777" w:rsidTr="00A40CDE">
        <w:trPr>
          <w:trHeight w:val="159"/>
        </w:trPr>
        <w:tc>
          <w:tcPr>
            <w:cnfStyle w:val="001000000000" w:firstRow="0" w:lastRow="0" w:firstColumn="1" w:lastColumn="0" w:oddVBand="0" w:evenVBand="0" w:oddHBand="0" w:evenHBand="0" w:firstRowFirstColumn="0" w:firstRowLastColumn="0" w:lastRowFirstColumn="0" w:lastRowLastColumn="0"/>
            <w:tcW w:w="1705" w:type="dxa"/>
            <w:vMerge w:val="restart"/>
          </w:tcPr>
          <w:p w14:paraId="5A95501B" w14:textId="77777777" w:rsidR="007C02B0" w:rsidRDefault="007C02B0" w:rsidP="007C02B0">
            <w:pPr>
              <w:rPr>
                <w:b/>
                <w:bCs/>
              </w:rPr>
            </w:pPr>
            <w:r w:rsidRPr="00127A74">
              <w:rPr>
                <w:b/>
                <w:bCs/>
              </w:rPr>
              <w:t xml:space="preserve">Important </w:t>
            </w:r>
          </w:p>
          <w:p w14:paraId="7EFCE2AE" w14:textId="77777777" w:rsidR="007C02B0" w:rsidRDefault="007C02B0" w:rsidP="007C02B0">
            <w:pPr>
              <w:rPr>
                <w:b/>
                <w:bCs/>
              </w:rPr>
            </w:pPr>
            <w:r w:rsidRPr="00127A74">
              <w:rPr>
                <w:b/>
                <w:bCs/>
              </w:rPr>
              <w:t xml:space="preserve">potential </w:t>
            </w:r>
          </w:p>
          <w:p w14:paraId="77F0DB3E" w14:textId="2D2EFF17" w:rsidR="007C02B0" w:rsidRPr="00127A74" w:rsidRDefault="007C02B0" w:rsidP="007C02B0">
            <w:pPr>
              <w:rPr>
                <w:b/>
                <w:bCs/>
              </w:rPr>
            </w:pPr>
            <w:r w:rsidRPr="00127A74">
              <w:rPr>
                <w:b/>
                <w:bCs/>
              </w:rPr>
              <w:t>risks</w:t>
            </w:r>
          </w:p>
        </w:tc>
        <w:tc>
          <w:tcPr>
            <w:tcW w:w="2070" w:type="dxa"/>
          </w:tcPr>
          <w:p w14:paraId="6E17E14A" w14:textId="2B474180"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B010D2">
              <w:t>Immunological events − formation of neutralising insulin antibodies</w:t>
            </w:r>
          </w:p>
        </w:tc>
        <w:tc>
          <w:tcPr>
            <w:tcW w:w="1134" w:type="dxa"/>
          </w:tcPr>
          <w:p w14:paraId="252AD92F" w14:textId="4F33101B"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p>
        </w:tc>
        <w:tc>
          <w:tcPr>
            <w:tcW w:w="1418" w:type="dxa"/>
            <w:vAlign w:val="center"/>
          </w:tcPr>
          <w:p w14:paraId="77DA98F1" w14:textId="77835751"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rFonts w:eastAsia="Times New Roman"/>
                <w:snapToGrid w:val="0"/>
                <w:color w:val="000000" w:themeColor="text1"/>
                <w:sz w:val="20"/>
                <w:szCs w:val="24"/>
              </w:rPr>
              <w:t>–</w:t>
            </w:r>
          </w:p>
        </w:tc>
        <w:tc>
          <w:tcPr>
            <w:tcW w:w="1134" w:type="dxa"/>
          </w:tcPr>
          <w:p w14:paraId="182A5096" w14:textId="2ADC90DC"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p>
        </w:tc>
        <w:tc>
          <w:tcPr>
            <w:tcW w:w="1417" w:type="dxa"/>
          </w:tcPr>
          <w:p w14:paraId="2A6247DC" w14:textId="121BB16D"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4A775E">
              <w:t>–</w:t>
            </w:r>
          </w:p>
        </w:tc>
      </w:tr>
      <w:tr w:rsidR="007C02B0" w:rsidRPr="007A1992" w14:paraId="1D3B7AB5" w14:textId="77777777" w:rsidTr="00A40CDE">
        <w:trPr>
          <w:trHeight w:val="122"/>
        </w:trPr>
        <w:tc>
          <w:tcPr>
            <w:cnfStyle w:val="001000000000" w:firstRow="0" w:lastRow="0" w:firstColumn="1" w:lastColumn="0" w:oddVBand="0" w:evenVBand="0" w:oddHBand="0" w:evenHBand="0" w:firstRowFirstColumn="0" w:firstRowLastColumn="0" w:lastRowFirstColumn="0" w:lastRowLastColumn="0"/>
            <w:tcW w:w="1705" w:type="dxa"/>
            <w:vMerge/>
          </w:tcPr>
          <w:p w14:paraId="150DE62A" w14:textId="77777777" w:rsidR="007C02B0" w:rsidRPr="00127A74" w:rsidRDefault="007C02B0" w:rsidP="007C02B0">
            <w:pPr>
              <w:rPr>
                <w:b/>
                <w:bCs/>
              </w:rPr>
            </w:pPr>
          </w:p>
        </w:tc>
        <w:tc>
          <w:tcPr>
            <w:tcW w:w="2070" w:type="dxa"/>
          </w:tcPr>
          <w:p w14:paraId="51438C35" w14:textId="297FE9E3"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F84B65">
              <w:t>Medication errors due to potential mix-up</w:t>
            </w:r>
          </w:p>
        </w:tc>
        <w:tc>
          <w:tcPr>
            <w:tcW w:w="1134" w:type="dxa"/>
          </w:tcPr>
          <w:p w14:paraId="2766BAE0" w14:textId="15DB7D25"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r w:rsidRPr="00EB75DF">
              <w:rPr>
                <w:snapToGrid w:val="0"/>
                <w:color w:val="000000" w:themeColor="text1"/>
                <w:sz w:val="20"/>
                <w:szCs w:val="24"/>
              </w:rPr>
              <w:t>*</w:t>
            </w:r>
          </w:p>
        </w:tc>
        <w:tc>
          <w:tcPr>
            <w:tcW w:w="1418" w:type="dxa"/>
            <w:vAlign w:val="center"/>
          </w:tcPr>
          <w:p w14:paraId="2B1BF340" w14:textId="04B9B2B8"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rFonts w:eastAsia="Times New Roman"/>
                <w:snapToGrid w:val="0"/>
                <w:color w:val="000000" w:themeColor="text1"/>
                <w:sz w:val="20"/>
                <w:szCs w:val="24"/>
              </w:rPr>
              <w:t>–</w:t>
            </w:r>
          </w:p>
        </w:tc>
        <w:tc>
          <w:tcPr>
            <w:tcW w:w="1134" w:type="dxa"/>
          </w:tcPr>
          <w:p w14:paraId="6A4FA9DA" w14:textId="0D1D6014"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p>
        </w:tc>
        <w:tc>
          <w:tcPr>
            <w:tcW w:w="1417" w:type="dxa"/>
          </w:tcPr>
          <w:p w14:paraId="0D33F49A" w14:textId="2542110C"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4A775E">
              <w:t>–</w:t>
            </w:r>
          </w:p>
        </w:tc>
      </w:tr>
      <w:tr w:rsidR="007C02B0" w:rsidRPr="007A1992" w14:paraId="6879DD51" w14:textId="77777777" w:rsidTr="00A40CDE">
        <w:trPr>
          <w:trHeight w:val="112"/>
        </w:trPr>
        <w:tc>
          <w:tcPr>
            <w:cnfStyle w:val="001000000000" w:firstRow="0" w:lastRow="0" w:firstColumn="1" w:lastColumn="0" w:oddVBand="0" w:evenVBand="0" w:oddHBand="0" w:evenHBand="0" w:firstRowFirstColumn="0" w:firstRowLastColumn="0" w:lastRowFirstColumn="0" w:lastRowLastColumn="0"/>
            <w:tcW w:w="1705" w:type="dxa"/>
            <w:vMerge/>
          </w:tcPr>
          <w:p w14:paraId="0DDF4587" w14:textId="77777777" w:rsidR="007C02B0" w:rsidRPr="00127A74" w:rsidRDefault="007C02B0" w:rsidP="007C02B0">
            <w:pPr>
              <w:rPr>
                <w:b/>
                <w:bCs/>
              </w:rPr>
            </w:pPr>
          </w:p>
        </w:tc>
        <w:tc>
          <w:tcPr>
            <w:tcW w:w="2070" w:type="dxa"/>
          </w:tcPr>
          <w:p w14:paraId="497B025E" w14:textId="010C3BB5"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C07B89">
              <w:t>Medication errors during switch from daily basal insulin</w:t>
            </w:r>
          </w:p>
        </w:tc>
        <w:tc>
          <w:tcPr>
            <w:tcW w:w="1134" w:type="dxa"/>
          </w:tcPr>
          <w:p w14:paraId="0F169E14" w14:textId="59CD4AA0"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r w:rsidRPr="00EB75DF">
              <w:rPr>
                <w:snapToGrid w:val="0"/>
                <w:color w:val="000000" w:themeColor="text1"/>
                <w:sz w:val="20"/>
                <w:szCs w:val="24"/>
              </w:rPr>
              <w:t>*</w:t>
            </w:r>
          </w:p>
        </w:tc>
        <w:tc>
          <w:tcPr>
            <w:tcW w:w="1418" w:type="dxa"/>
            <w:vAlign w:val="center"/>
          </w:tcPr>
          <w:p w14:paraId="71BB1524" w14:textId="6309ECB9"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rFonts w:eastAsia="Times New Roman"/>
                <w:snapToGrid w:val="0"/>
                <w:color w:val="000000" w:themeColor="text1"/>
                <w:sz w:val="20"/>
                <w:szCs w:val="24"/>
              </w:rPr>
              <w:t>–</w:t>
            </w:r>
          </w:p>
        </w:tc>
        <w:tc>
          <w:tcPr>
            <w:tcW w:w="1134" w:type="dxa"/>
          </w:tcPr>
          <w:p w14:paraId="312708E7" w14:textId="05C10389"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p>
        </w:tc>
        <w:tc>
          <w:tcPr>
            <w:tcW w:w="1417" w:type="dxa"/>
          </w:tcPr>
          <w:p w14:paraId="418D6574" w14:textId="3E5FB5C0"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4A775E">
              <w:t>–</w:t>
            </w:r>
          </w:p>
        </w:tc>
      </w:tr>
      <w:tr w:rsidR="007C02B0" w:rsidRPr="007A1992" w14:paraId="74C5E610" w14:textId="77777777" w:rsidTr="00A40CDE">
        <w:trPr>
          <w:trHeight w:val="178"/>
        </w:trPr>
        <w:tc>
          <w:tcPr>
            <w:cnfStyle w:val="001000000000" w:firstRow="0" w:lastRow="0" w:firstColumn="1" w:lastColumn="0" w:oddVBand="0" w:evenVBand="0" w:oddHBand="0" w:evenHBand="0" w:firstRowFirstColumn="0" w:firstRowLastColumn="0" w:lastRowFirstColumn="0" w:lastRowLastColumn="0"/>
            <w:tcW w:w="1705" w:type="dxa"/>
            <w:vMerge w:val="restart"/>
          </w:tcPr>
          <w:p w14:paraId="47633177" w14:textId="77777777" w:rsidR="007C02B0" w:rsidRDefault="007C02B0" w:rsidP="007C02B0">
            <w:pPr>
              <w:rPr>
                <w:b/>
                <w:bCs/>
              </w:rPr>
            </w:pPr>
            <w:r w:rsidRPr="00127A74">
              <w:rPr>
                <w:b/>
                <w:bCs/>
              </w:rPr>
              <w:t xml:space="preserve">Missing </w:t>
            </w:r>
          </w:p>
          <w:p w14:paraId="262C65E3" w14:textId="4691186F" w:rsidR="007C02B0" w:rsidRPr="00127A74" w:rsidRDefault="007C02B0" w:rsidP="007C02B0">
            <w:pPr>
              <w:rPr>
                <w:b/>
                <w:bCs/>
              </w:rPr>
            </w:pPr>
            <w:r w:rsidRPr="00127A74">
              <w:rPr>
                <w:b/>
                <w:bCs/>
              </w:rPr>
              <w:lastRenderedPageBreak/>
              <w:t>information</w:t>
            </w:r>
          </w:p>
        </w:tc>
        <w:tc>
          <w:tcPr>
            <w:tcW w:w="2070" w:type="dxa"/>
          </w:tcPr>
          <w:p w14:paraId="104D79CD" w14:textId="724CD90C"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4832F5">
              <w:lastRenderedPageBreak/>
              <w:t>Pregnancy and lactation</w:t>
            </w:r>
          </w:p>
        </w:tc>
        <w:tc>
          <w:tcPr>
            <w:tcW w:w="1134" w:type="dxa"/>
          </w:tcPr>
          <w:p w14:paraId="07467A21" w14:textId="46B7BEE2"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r w:rsidRPr="00EB75DF">
              <w:rPr>
                <w:snapToGrid w:val="0"/>
                <w:color w:val="000000" w:themeColor="text1"/>
                <w:sz w:val="20"/>
                <w:szCs w:val="24"/>
              </w:rPr>
              <w:t>*</w:t>
            </w:r>
          </w:p>
        </w:tc>
        <w:tc>
          <w:tcPr>
            <w:tcW w:w="1418" w:type="dxa"/>
            <w:vAlign w:val="center"/>
          </w:tcPr>
          <w:p w14:paraId="35C7F07F" w14:textId="0ECB51AC"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rFonts w:eastAsia="Times New Roman"/>
                <w:snapToGrid w:val="0"/>
                <w:color w:val="000000" w:themeColor="text1"/>
                <w:sz w:val="20"/>
                <w:szCs w:val="24"/>
              </w:rPr>
              <w:t>–</w:t>
            </w:r>
          </w:p>
        </w:tc>
        <w:tc>
          <w:tcPr>
            <w:tcW w:w="1134" w:type="dxa"/>
          </w:tcPr>
          <w:p w14:paraId="52620DEE" w14:textId="4449E25A"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p>
        </w:tc>
        <w:tc>
          <w:tcPr>
            <w:tcW w:w="1417" w:type="dxa"/>
          </w:tcPr>
          <w:p w14:paraId="16BD3C7B" w14:textId="21152C3D"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4A775E">
              <w:t>–</w:t>
            </w:r>
          </w:p>
        </w:tc>
      </w:tr>
      <w:tr w:rsidR="007C02B0" w:rsidRPr="007A1992" w14:paraId="0E5AEFE4" w14:textId="77777777" w:rsidTr="00A40CDE">
        <w:trPr>
          <w:trHeight w:val="103"/>
        </w:trPr>
        <w:tc>
          <w:tcPr>
            <w:cnfStyle w:val="001000000000" w:firstRow="0" w:lastRow="0" w:firstColumn="1" w:lastColumn="0" w:oddVBand="0" w:evenVBand="0" w:oddHBand="0" w:evenHBand="0" w:firstRowFirstColumn="0" w:firstRowLastColumn="0" w:lastRowFirstColumn="0" w:lastRowLastColumn="0"/>
            <w:tcW w:w="1705" w:type="dxa"/>
            <w:vMerge/>
          </w:tcPr>
          <w:p w14:paraId="6717FA88" w14:textId="77777777" w:rsidR="007C02B0" w:rsidRPr="00127A74" w:rsidRDefault="007C02B0" w:rsidP="007C02B0"/>
        </w:tc>
        <w:tc>
          <w:tcPr>
            <w:tcW w:w="2070" w:type="dxa"/>
          </w:tcPr>
          <w:p w14:paraId="1DF32407" w14:textId="4E1FFAAF"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DE77A5">
              <w:t>Elderly patients ≥75 years of age</w:t>
            </w:r>
          </w:p>
        </w:tc>
        <w:tc>
          <w:tcPr>
            <w:tcW w:w="1134" w:type="dxa"/>
          </w:tcPr>
          <w:p w14:paraId="13B9D43F" w14:textId="5E070AB8"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p>
        </w:tc>
        <w:tc>
          <w:tcPr>
            <w:tcW w:w="1418" w:type="dxa"/>
            <w:vAlign w:val="center"/>
          </w:tcPr>
          <w:p w14:paraId="5B103519" w14:textId="2908EC82" w:rsidR="007C02B0" w:rsidRPr="00127A74" w:rsidRDefault="007C02B0" w:rsidP="007C02B0">
            <w:pPr>
              <w:cnfStyle w:val="000000000000" w:firstRow="0" w:lastRow="0" w:firstColumn="0" w:lastColumn="0" w:oddVBand="0" w:evenVBand="0" w:oddHBand="0" w:evenHBand="0" w:firstRowFirstColumn="0" w:firstRowLastColumn="0" w:lastRowFirstColumn="0" w:lastRowLastColumn="0"/>
            </w:pPr>
            <w:r w:rsidRPr="00EB75DF">
              <w:rPr>
                <w:rFonts w:eastAsia="Times New Roman"/>
                <w:snapToGrid w:val="0"/>
                <w:color w:val="000000" w:themeColor="text1"/>
                <w:sz w:val="20"/>
                <w:szCs w:val="24"/>
              </w:rPr>
              <w:t>–</w:t>
            </w:r>
          </w:p>
        </w:tc>
        <w:tc>
          <w:tcPr>
            <w:tcW w:w="1134" w:type="dxa"/>
          </w:tcPr>
          <w:p w14:paraId="17D1F379" w14:textId="2A39DEA4"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EB75DF">
              <w:rPr>
                <w:snapToGrid w:val="0"/>
                <w:color w:val="000000" w:themeColor="text1"/>
                <w:sz w:val="20"/>
                <w:szCs w:val="24"/>
              </w:rPr>
              <w:sym w:font="Wingdings" w:char="F0FC"/>
            </w:r>
          </w:p>
        </w:tc>
        <w:tc>
          <w:tcPr>
            <w:tcW w:w="1417" w:type="dxa"/>
          </w:tcPr>
          <w:p w14:paraId="6C76384E" w14:textId="2755C408" w:rsidR="007C02B0" w:rsidRPr="00127A74" w:rsidRDefault="004A775E" w:rsidP="007C02B0">
            <w:pPr>
              <w:cnfStyle w:val="000000000000" w:firstRow="0" w:lastRow="0" w:firstColumn="0" w:lastColumn="0" w:oddVBand="0" w:evenVBand="0" w:oddHBand="0" w:evenHBand="0" w:firstRowFirstColumn="0" w:firstRowLastColumn="0" w:lastRowFirstColumn="0" w:lastRowLastColumn="0"/>
            </w:pPr>
            <w:r w:rsidRPr="004A775E">
              <w:t>–</w:t>
            </w:r>
          </w:p>
        </w:tc>
      </w:tr>
    </w:tbl>
    <w:p w14:paraId="0D27F195" w14:textId="0E8AB28C" w:rsidR="001F6D32" w:rsidRDefault="001F6D32" w:rsidP="00D46BD9">
      <w:pPr>
        <w:pStyle w:val="TableDescription"/>
      </w:pPr>
      <w:r w:rsidRPr="001F6D32">
        <w:t>*Follow-up questionnaires</w:t>
      </w:r>
    </w:p>
    <w:p w14:paraId="1F383AB7" w14:textId="6258A8DD" w:rsidR="008D6B23" w:rsidRDefault="008D6B23" w:rsidP="008D6B23">
      <w:bookmarkStart w:id="52" w:name="_Toc103679299"/>
      <w:r>
        <w:t xml:space="preserve">The safety concerns in the ASA align with the Global RMP. Hypoglycaemia is the most common and critical adverse reaction identified and has been included as an Important Identified Risk. The safety concerns are satisfactory. </w:t>
      </w:r>
    </w:p>
    <w:p w14:paraId="4B313148" w14:textId="7E530571" w:rsidR="008D6B23" w:rsidRDefault="008D6B23" w:rsidP="008D6B23">
      <w:r>
        <w:t>Routine pharmacovigilance activities only have been proposed. This includes follow-up questionnaires for all the Important Identified Risks and for the Important Potential Risks regarding Medication Error. There is also an existing follow up questionnaire for gathering information regarding pregnancy (used for all Novo Nordisk products). This is acceptable.</w:t>
      </w:r>
    </w:p>
    <w:p w14:paraId="456C7934" w14:textId="5204B41D" w:rsidR="00FA1BC9" w:rsidRDefault="008D6B23" w:rsidP="008D6B23">
      <w:pPr>
        <w:rPr>
          <w:szCs w:val="22"/>
        </w:rPr>
      </w:pPr>
      <w:r>
        <w:t>Routine risk minimisation activities only have been proposed. This is acceptable as the proposed safety concerns do not require any additional risk minimisation activities.</w:t>
      </w:r>
    </w:p>
    <w:p w14:paraId="74A4F87F" w14:textId="77777777" w:rsidR="00C22214" w:rsidRDefault="00C22214" w:rsidP="00C22214">
      <w:pPr>
        <w:pStyle w:val="Heading3"/>
      </w:pPr>
      <w:bookmarkStart w:id="53" w:name="_Toc202172233"/>
      <w:r>
        <w:t>Risk-benefit analysis</w:t>
      </w:r>
      <w:bookmarkEnd w:id="50"/>
      <w:bookmarkEnd w:id="51"/>
      <w:bookmarkEnd w:id="52"/>
      <w:bookmarkEnd w:id="53"/>
    </w:p>
    <w:p w14:paraId="02A9B422" w14:textId="0D269325" w:rsidR="00FF5729" w:rsidRDefault="00FF5729" w:rsidP="00FF5729">
      <w:pPr>
        <w:pStyle w:val="Heading5"/>
      </w:pPr>
      <w:r>
        <w:t>Clinical Efficacy and comments</w:t>
      </w:r>
    </w:p>
    <w:p w14:paraId="43701BD2" w14:textId="45AA5F0C" w:rsidR="00FF5729" w:rsidRDefault="00FF5729" w:rsidP="00FF5729">
      <w:r>
        <w:t xml:space="preserve">Clinical development plan to assess </w:t>
      </w:r>
      <w:r w:rsidR="00D64CAE">
        <w:t>IIco</w:t>
      </w:r>
      <w:r>
        <w:t xml:space="preserve"> efficacy included six phase 3a trials (ONWARDS 1-6). The phase 3a trials were designed to prospectively test for HbA1c non-inferiority against active comparators. Furthermore, ONWARDS 1, 2, 3 and 5 were designed to prospectively test for superiority if non-inferiority was confirmed. ONWARDS 1, further included a superiority test on percentage of time in range (TIR). ONWARDS 1-5 included Type2DM and ONWARD 6 enrolled Type1DM subjects. Onwards 1,3 and 5 had insulin naïve subjects, ONWARDS 2,4 and 6 had insulin experiences subjects. ONWARDS 5 had “real world” elements to the trial.</w:t>
      </w:r>
    </w:p>
    <w:p w14:paraId="3EE82C38" w14:textId="19CBB2BE" w:rsidR="00FF5729" w:rsidRDefault="00FF5729" w:rsidP="00FF5729">
      <w:r>
        <w:t xml:space="preserve">Once-weekly </w:t>
      </w:r>
      <w:r w:rsidR="00D64CAE">
        <w:t>IIco</w:t>
      </w:r>
      <w:r>
        <w:t xml:space="preserve"> (</w:t>
      </w:r>
      <w:r w:rsidR="00D64CAE">
        <w:t>IIco</w:t>
      </w:r>
      <w:r>
        <w:t xml:space="preserve"> QW) showed robust glucose-lowering efficacy in different diabetes populations and clinical settings examined in the ONWARDS trial 1-6 (see tabular summary of the results for the primary endpoint - change in HbA1c).</w:t>
      </w:r>
    </w:p>
    <w:p w14:paraId="74CDD9CD" w14:textId="5453830F" w:rsidR="00FF5729" w:rsidRDefault="00FF5729" w:rsidP="00D46BD9">
      <w:pPr>
        <w:pStyle w:val="TableTitle"/>
      </w:pPr>
      <w:r>
        <w:lastRenderedPageBreak/>
        <w:t>Table 3</w:t>
      </w:r>
      <w:r w:rsidR="00A313D1">
        <w:t>3</w:t>
      </w:r>
      <w:r>
        <w:t>: Summary of the results for the primary efficacy endpoint - change in HbA1c (ONWARDS 1-6)</w:t>
      </w:r>
    </w:p>
    <w:tbl>
      <w:tblPr>
        <w:tblStyle w:val="TableGrid4"/>
        <w:tblW w:w="8785" w:type="dxa"/>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Look w:val="04A0" w:firstRow="1" w:lastRow="0" w:firstColumn="1" w:lastColumn="0" w:noHBand="0" w:noVBand="1"/>
      </w:tblPr>
      <w:tblGrid>
        <w:gridCol w:w="1525"/>
        <w:gridCol w:w="3510"/>
        <w:gridCol w:w="2245"/>
        <w:gridCol w:w="1505"/>
      </w:tblGrid>
      <w:tr w:rsidR="00405165" w:rsidRPr="009D4459" w14:paraId="09652605" w14:textId="77777777" w:rsidTr="001D1CE4">
        <w:tc>
          <w:tcPr>
            <w:tcW w:w="1525" w:type="dxa"/>
            <w:shd w:val="clear" w:color="auto" w:fill="DEEAF6"/>
            <w:vAlign w:val="center"/>
          </w:tcPr>
          <w:p w14:paraId="3A70AE2C" w14:textId="77777777" w:rsidR="00405165" w:rsidRPr="000964AE" w:rsidRDefault="00405165" w:rsidP="00D46BD9">
            <w:pPr>
              <w:keepNext/>
              <w:jc w:val="both"/>
              <w:rPr>
                <w:rFonts w:eastAsia="Calibri"/>
                <w:b/>
                <w:iCs/>
                <w:color w:val="263287"/>
                <w:lang w:val="en-GB"/>
              </w:rPr>
            </w:pPr>
            <w:r w:rsidRPr="000964AE">
              <w:rPr>
                <w:rFonts w:eastAsia="Calibri"/>
                <w:b/>
                <w:iCs/>
                <w:color w:val="263287"/>
                <w:lang w:val="en-GB"/>
              </w:rPr>
              <w:t>Study</w:t>
            </w:r>
          </w:p>
        </w:tc>
        <w:tc>
          <w:tcPr>
            <w:tcW w:w="3510" w:type="dxa"/>
            <w:shd w:val="clear" w:color="auto" w:fill="DEEAF6"/>
            <w:vAlign w:val="center"/>
          </w:tcPr>
          <w:p w14:paraId="0FD69AA4" w14:textId="77777777" w:rsidR="00405165" w:rsidRPr="000964AE" w:rsidRDefault="00405165" w:rsidP="00D46BD9">
            <w:pPr>
              <w:keepNext/>
              <w:jc w:val="both"/>
              <w:rPr>
                <w:rFonts w:eastAsia="Calibri"/>
                <w:b/>
                <w:iCs/>
                <w:color w:val="263287"/>
                <w:lang w:val="en-GB"/>
              </w:rPr>
            </w:pPr>
            <w:r w:rsidRPr="000964AE">
              <w:rPr>
                <w:rFonts w:eastAsia="Calibri"/>
                <w:b/>
                <w:iCs/>
                <w:color w:val="263287"/>
                <w:lang w:val="en-GB"/>
              </w:rPr>
              <w:t>Population / Comment</w:t>
            </w:r>
          </w:p>
        </w:tc>
        <w:tc>
          <w:tcPr>
            <w:tcW w:w="2245" w:type="dxa"/>
            <w:shd w:val="clear" w:color="auto" w:fill="DEEAF6"/>
            <w:vAlign w:val="center"/>
          </w:tcPr>
          <w:p w14:paraId="36F73216" w14:textId="0A683679" w:rsidR="00405165" w:rsidRPr="000964AE" w:rsidRDefault="00405165" w:rsidP="00D46BD9">
            <w:pPr>
              <w:keepNext/>
              <w:jc w:val="both"/>
              <w:rPr>
                <w:rFonts w:eastAsia="Calibri"/>
                <w:b/>
                <w:iCs/>
                <w:color w:val="263287"/>
                <w:lang w:val="it-CH"/>
              </w:rPr>
            </w:pPr>
            <w:r w:rsidRPr="000964AE">
              <w:rPr>
                <w:rFonts w:eastAsia="Calibri"/>
                <w:b/>
                <w:iCs/>
                <w:color w:val="263287"/>
                <w:lang w:val="it-CH"/>
              </w:rPr>
              <w:t>ETD</w:t>
            </w:r>
            <w:r w:rsidR="00D64CAE">
              <w:rPr>
                <w:rFonts w:eastAsia="Calibri"/>
                <w:b/>
                <w:iCs/>
                <w:color w:val="263287"/>
                <w:vertAlign w:val="subscript"/>
                <w:lang w:val="it-CH"/>
              </w:rPr>
              <w:t>IIco</w:t>
            </w:r>
            <w:r w:rsidRPr="000964AE">
              <w:rPr>
                <w:rFonts w:eastAsia="Calibri"/>
                <w:b/>
                <w:iCs/>
                <w:color w:val="263287"/>
                <w:vertAlign w:val="subscript"/>
                <w:lang w:val="it-CH"/>
              </w:rPr>
              <w:t xml:space="preserve"> QW - QD basal insulin</w:t>
            </w:r>
            <w:r w:rsidRPr="000964AE">
              <w:rPr>
                <w:rFonts w:eastAsia="Calibri"/>
                <w:b/>
                <w:iCs/>
                <w:color w:val="263287"/>
                <w:lang w:val="it-CH"/>
              </w:rPr>
              <w:t xml:space="preserve"> [95% CI] for </w:t>
            </w:r>
            <w:r w:rsidRPr="00713311">
              <w:rPr>
                <w:rFonts w:eastAsia="Calibri" w:cs="Arial"/>
                <w:b/>
                <w:color w:val="263287"/>
                <w:lang w:val="it-IT"/>
              </w:rPr>
              <w:t>D</w:t>
            </w:r>
            <w:r w:rsidRPr="000964AE">
              <w:rPr>
                <w:rFonts w:eastAsia="Calibri"/>
                <w:b/>
                <w:iCs/>
                <w:color w:val="263287"/>
                <w:lang w:val="it-CH"/>
              </w:rPr>
              <w:t>A1C</w:t>
            </w:r>
          </w:p>
        </w:tc>
        <w:tc>
          <w:tcPr>
            <w:tcW w:w="1505" w:type="dxa"/>
            <w:shd w:val="clear" w:color="auto" w:fill="DEEAF6"/>
            <w:vAlign w:val="center"/>
          </w:tcPr>
          <w:p w14:paraId="44494BC9" w14:textId="77777777" w:rsidR="00405165" w:rsidRPr="000964AE" w:rsidRDefault="00405165" w:rsidP="00D46BD9">
            <w:pPr>
              <w:keepNext/>
              <w:jc w:val="both"/>
              <w:rPr>
                <w:rFonts w:eastAsia="Calibri"/>
                <w:b/>
                <w:iCs/>
                <w:color w:val="263287"/>
                <w:lang w:val="en-US"/>
              </w:rPr>
            </w:pPr>
            <w:r w:rsidRPr="000964AE">
              <w:rPr>
                <w:rFonts w:eastAsia="Calibri"/>
                <w:b/>
                <w:iCs/>
                <w:color w:val="263287"/>
                <w:lang w:val="en-US"/>
              </w:rPr>
              <w:t>Superiority (S)</w:t>
            </w:r>
          </w:p>
          <w:p w14:paraId="4AED3709" w14:textId="77777777" w:rsidR="00405165" w:rsidRPr="000964AE" w:rsidRDefault="00405165" w:rsidP="00D46BD9">
            <w:pPr>
              <w:keepNext/>
              <w:jc w:val="both"/>
              <w:rPr>
                <w:rFonts w:eastAsia="Calibri"/>
                <w:b/>
                <w:iCs/>
                <w:color w:val="263287"/>
                <w:lang w:val="en-US"/>
              </w:rPr>
            </w:pPr>
            <w:r w:rsidRPr="000964AE">
              <w:rPr>
                <w:rFonts w:eastAsia="Calibri"/>
                <w:b/>
                <w:iCs/>
                <w:color w:val="263287"/>
                <w:lang w:val="en-US"/>
              </w:rPr>
              <w:t>Non-inferiority (NI)</w:t>
            </w:r>
          </w:p>
        </w:tc>
      </w:tr>
      <w:tr w:rsidR="00405165" w:rsidRPr="00A27DEE" w14:paraId="45C7FB1B" w14:textId="77777777" w:rsidTr="001D1CE4">
        <w:tc>
          <w:tcPr>
            <w:tcW w:w="1525" w:type="dxa"/>
            <w:vAlign w:val="center"/>
          </w:tcPr>
          <w:p w14:paraId="087047D1"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ONWARDS 1</w:t>
            </w:r>
          </w:p>
        </w:tc>
        <w:tc>
          <w:tcPr>
            <w:tcW w:w="3510" w:type="dxa"/>
            <w:vAlign w:val="center"/>
          </w:tcPr>
          <w:p w14:paraId="567FC0AA"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 xml:space="preserve">T2DM insulin-naïve </w:t>
            </w:r>
          </w:p>
        </w:tc>
        <w:tc>
          <w:tcPr>
            <w:tcW w:w="2245" w:type="dxa"/>
            <w:vAlign w:val="center"/>
          </w:tcPr>
          <w:p w14:paraId="7E0F2C3F"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-0.19% [-0.36, -0.03]</w:t>
            </w:r>
          </w:p>
        </w:tc>
        <w:tc>
          <w:tcPr>
            <w:tcW w:w="1505" w:type="dxa"/>
            <w:vAlign w:val="center"/>
          </w:tcPr>
          <w:p w14:paraId="27215BB5"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S</w:t>
            </w:r>
          </w:p>
        </w:tc>
      </w:tr>
      <w:tr w:rsidR="00405165" w:rsidRPr="00A27DEE" w14:paraId="65447E90" w14:textId="77777777" w:rsidTr="001D1CE4">
        <w:tc>
          <w:tcPr>
            <w:tcW w:w="1525" w:type="dxa"/>
            <w:vAlign w:val="center"/>
          </w:tcPr>
          <w:p w14:paraId="23F9182C"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ONWARDS 2</w:t>
            </w:r>
          </w:p>
        </w:tc>
        <w:tc>
          <w:tcPr>
            <w:tcW w:w="3510" w:type="dxa"/>
            <w:vAlign w:val="center"/>
          </w:tcPr>
          <w:p w14:paraId="26210FE6"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 xml:space="preserve">T2DM treated with a basal insulin </w:t>
            </w:r>
            <w:r w:rsidRPr="00A27DEE">
              <w:rPr>
                <w:rFonts w:eastAsia="Calibri"/>
                <w:iCs/>
                <w:color w:val="000000" w:themeColor="text1"/>
                <w:lang w:val="en-GB"/>
              </w:rPr>
              <w:sym w:font="Symbol" w:char="F0B1"/>
            </w:r>
            <w:r w:rsidRPr="00A27DEE">
              <w:rPr>
                <w:rFonts w:eastAsia="Calibri"/>
                <w:iCs/>
                <w:color w:val="000000" w:themeColor="text1"/>
                <w:lang w:val="en-GB"/>
              </w:rPr>
              <w:br/>
              <w:t>combination of non-insulin anti-hyperglycaemics</w:t>
            </w:r>
          </w:p>
        </w:tc>
        <w:tc>
          <w:tcPr>
            <w:tcW w:w="2245" w:type="dxa"/>
            <w:vAlign w:val="center"/>
          </w:tcPr>
          <w:p w14:paraId="5D6BC212"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-0.22% [-0.37, -0.08]</w:t>
            </w:r>
          </w:p>
        </w:tc>
        <w:tc>
          <w:tcPr>
            <w:tcW w:w="1505" w:type="dxa"/>
            <w:vAlign w:val="center"/>
          </w:tcPr>
          <w:p w14:paraId="0A010C60"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S</w:t>
            </w:r>
          </w:p>
        </w:tc>
      </w:tr>
      <w:tr w:rsidR="00405165" w:rsidRPr="00A27DEE" w14:paraId="0DFC8414" w14:textId="77777777" w:rsidTr="001D1CE4">
        <w:tc>
          <w:tcPr>
            <w:tcW w:w="1525" w:type="dxa"/>
            <w:vAlign w:val="center"/>
          </w:tcPr>
          <w:p w14:paraId="0FB8434A"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ONWARDS 3</w:t>
            </w:r>
          </w:p>
        </w:tc>
        <w:tc>
          <w:tcPr>
            <w:tcW w:w="3510" w:type="dxa"/>
            <w:vAlign w:val="center"/>
          </w:tcPr>
          <w:p w14:paraId="2AFA33B8"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T2DM insulin-naïve</w:t>
            </w:r>
          </w:p>
        </w:tc>
        <w:tc>
          <w:tcPr>
            <w:tcW w:w="2245" w:type="dxa"/>
            <w:vAlign w:val="center"/>
          </w:tcPr>
          <w:p w14:paraId="5B9ED868"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-0.21% [-0.34, -0.08]</w:t>
            </w:r>
          </w:p>
        </w:tc>
        <w:tc>
          <w:tcPr>
            <w:tcW w:w="1505" w:type="dxa"/>
            <w:vAlign w:val="center"/>
          </w:tcPr>
          <w:p w14:paraId="77E10151"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S</w:t>
            </w:r>
          </w:p>
        </w:tc>
      </w:tr>
      <w:tr w:rsidR="00405165" w:rsidRPr="00A27DEE" w14:paraId="16042346" w14:textId="77777777" w:rsidTr="001D1CE4">
        <w:tc>
          <w:tcPr>
            <w:tcW w:w="1525" w:type="dxa"/>
            <w:vAlign w:val="center"/>
          </w:tcPr>
          <w:p w14:paraId="2B63AC4A"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ONWARDS 4</w:t>
            </w:r>
          </w:p>
        </w:tc>
        <w:tc>
          <w:tcPr>
            <w:tcW w:w="3510" w:type="dxa"/>
            <w:vAlign w:val="center"/>
          </w:tcPr>
          <w:p w14:paraId="29D54F20"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 xml:space="preserve">T2DM treated with basal insulin + bolus insulin </w:t>
            </w:r>
            <w:r w:rsidRPr="00A27DEE">
              <w:rPr>
                <w:rFonts w:eastAsia="Calibri"/>
                <w:iCs/>
                <w:color w:val="000000" w:themeColor="text1"/>
                <w:lang w:val="en-GB"/>
              </w:rPr>
              <w:sym w:font="Symbol" w:char="F0B1"/>
            </w:r>
            <w:r w:rsidRPr="00A27DEE">
              <w:rPr>
                <w:rFonts w:eastAsia="Calibri"/>
                <w:iCs/>
                <w:color w:val="000000" w:themeColor="text1"/>
                <w:lang w:val="en-GB"/>
              </w:rPr>
              <w:br/>
              <w:t>combination of oral or injectable anti-hyperglycaemic agents</w:t>
            </w:r>
          </w:p>
        </w:tc>
        <w:tc>
          <w:tcPr>
            <w:tcW w:w="2245" w:type="dxa"/>
            <w:vAlign w:val="center"/>
          </w:tcPr>
          <w:p w14:paraId="774959F6"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-0.02% [-0.11, 0.15]</w:t>
            </w:r>
          </w:p>
        </w:tc>
        <w:tc>
          <w:tcPr>
            <w:tcW w:w="1505" w:type="dxa"/>
            <w:vAlign w:val="center"/>
          </w:tcPr>
          <w:p w14:paraId="540D1C51"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NI</w:t>
            </w:r>
          </w:p>
        </w:tc>
      </w:tr>
      <w:tr w:rsidR="00405165" w:rsidRPr="00A27DEE" w14:paraId="7DC73070" w14:textId="77777777" w:rsidTr="001D1CE4">
        <w:tc>
          <w:tcPr>
            <w:tcW w:w="1525" w:type="dxa"/>
            <w:vAlign w:val="center"/>
          </w:tcPr>
          <w:p w14:paraId="37C9F1B9"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ONWARDS 5</w:t>
            </w:r>
          </w:p>
        </w:tc>
        <w:tc>
          <w:tcPr>
            <w:tcW w:w="3510" w:type="dxa"/>
            <w:vAlign w:val="center"/>
          </w:tcPr>
          <w:p w14:paraId="594B1003" w14:textId="77777777" w:rsidR="00405165" w:rsidRPr="00A27DEE" w:rsidRDefault="00405165" w:rsidP="00D46BD9">
            <w:pPr>
              <w:keepNext/>
              <w:rPr>
                <w:rFonts w:eastAsia="Calibri"/>
                <w:iCs/>
                <w:color w:val="000000" w:themeColor="text1"/>
                <w:lang w:val="fr-CH"/>
              </w:rPr>
            </w:pPr>
            <w:r w:rsidRPr="00A27DEE">
              <w:rPr>
                <w:rFonts w:eastAsia="Calibri"/>
                <w:iCs/>
                <w:color w:val="000000" w:themeColor="text1"/>
                <w:lang w:val="fr-CH"/>
              </w:rPr>
              <w:t>T2DM insulin-naïve / clinical practice setting</w:t>
            </w:r>
          </w:p>
        </w:tc>
        <w:tc>
          <w:tcPr>
            <w:tcW w:w="2245" w:type="dxa"/>
            <w:vAlign w:val="center"/>
          </w:tcPr>
          <w:p w14:paraId="2FB219B5" w14:textId="77777777" w:rsidR="00405165" w:rsidRPr="00A27DEE" w:rsidRDefault="00405165" w:rsidP="00D46BD9">
            <w:pPr>
              <w:keepNext/>
              <w:rPr>
                <w:rFonts w:eastAsia="Calibri"/>
                <w:iCs/>
                <w:color w:val="000000" w:themeColor="text1"/>
                <w:lang w:val="fr-CH"/>
              </w:rPr>
            </w:pPr>
            <w:r w:rsidRPr="00A27DEE">
              <w:rPr>
                <w:rFonts w:eastAsia="Calibri"/>
                <w:iCs/>
                <w:color w:val="000000" w:themeColor="text1"/>
                <w:lang w:val="en-GB"/>
              </w:rPr>
              <w:t>-0.38 [-0.66, -0.09]</w:t>
            </w:r>
          </w:p>
        </w:tc>
        <w:tc>
          <w:tcPr>
            <w:tcW w:w="1505" w:type="dxa"/>
            <w:vAlign w:val="center"/>
          </w:tcPr>
          <w:p w14:paraId="5E910DB1"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S</w:t>
            </w:r>
          </w:p>
        </w:tc>
      </w:tr>
      <w:tr w:rsidR="00405165" w:rsidRPr="00A27DEE" w14:paraId="37245A71" w14:textId="77777777" w:rsidTr="001D1CE4">
        <w:tc>
          <w:tcPr>
            <w:tcW w:w="1525" w:type="dxa"/>
            <w:vAlign w:val="center"/>
          </w:tcPr>
          <w:p w14:paraId="5D9A4387"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ONWARDS 6</w:t>
            </w:r>
          </w:p>
        </w:tc>
        <w:tc>
          <w:tcPr>
            <w:tcW w:w="3510" w:type="dxa"/>
            <w:vAlign w:val="center"/>
          </w:tcPr>
          <w:p w14:paraId="021D8237"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T1DM ≥1 year of basal-bolus therapy</w:t>
            </w:r>
          </w:p>
        </w:tc>
        <w:tc>
          <w:tcPr>
            <w:tcW w:w="2245" w:type="dxa"/>
            <w:vAlign w:val="center"/>
          </w:tcPr>
          <w:p w14:paraId="4119283C"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0.05% [-0.13, 0.23]</w:t>
            </w:r>
          </w:p>
        </w:tc>
        <w:tc>
          <w:tcPr>
            <w:tcW w:w="1505" w:type="dxa"/>
            <w:vAlign w:val="center"/>
          </w:tcPr>
          <w:p w14:paraId="7D295EBC" w14:textId="77777777" w:rsidR="00405165" w:rsidRPr="00A27DEE" w:rsidRDefault="00405165" w:rsidP="00D46BD9">
            <w:pPr>
              <w:keepNext/>
              <w:rPr>
                <w:rFonts w:eastAsia="Calibri"/>
                <w:iCs/>
                <w:color w:val="000000" w:themeColor="text1"/>
                <w:lang w:val="en-GB"/>
              </w:rPr>
            </w:pPr>
            <w:r w:rsidRPr="00A27DEE">
              <w:rPr>
                <w:rFonts w:eastAsia="Calibri"/>
                <w:iCs/>
                <w:color w:val="000000" w:themeColor="text1"/>
                <w:lang w:val="en-GB"/>
              </w:rPr>
              <w:t>NI</w:t>
            </w:r>
          </w:p>
        </w:tc>
      </w:tr>
    </w:tbl>
    <w:p w14:paraId="53D061BE" w14:textId="77777777" w:rsidR="001D1CE4" w:rsidRDefault="001D1CE4" w:rsidP="00767575"/>
    <w:p w14:paraId="3E395600" w14:textId="6EAD9A59" w:rsidR="00767575" w:rsidRDefault="00767575" w:rsidP="00767575">
      <w:r>
        <w:t xml:space="preserve">Findings for secondary efficacy endpoints including the change in FPG and the time in range further corroborated the glucose-lowering efficacy of </w:t>
      </w:r>
      <w:r w:rsidR="00D64CAE">
        <w:t>IIco</w:t>
      </w:r>
      <w:r>
        <w:t xml:space="preserve"> QW.</w:t>
      </w:r>
    </w:p>
    <w:p w14:paraId="38A52314" w14:textId="5981D5BC" w:rsidR="00767575" w:rsidRDefault="00767575" w:rsidP="00767575">
      <w:r>
        <w:t xml:space="preserve">Efficacy data from ONWARDS trials support </w:t>
      </w:r>
      <w:r w:rsidR="00D64CAE">
        <w:t>IIco</w:t>
      </w:r>
      <w:r>
        <w:t xml:space="preserve"> QW to cover the demand in basal insulin using one weekly injection. Efficacy outcomes with </w:t>
      </w:r>
      <w:r w:rsidR="00D64CAE">
        <w:t>IIco</w:t>
      </w:r>
      <w:r>
        <w:t xml:space="preserve"> QW were similar or better to QD basal insulin in patients with T2DM. Efficacy outcomes with QW </w:t>
      </w:r>
      <w:r w:rsidR="00D64CAE">
        <w:t>IIco</w:t>
      </w:r>
      <w:r>
        <w:t xml:space="preserve"> were less favourable in patients with T1DM, though non-inferiority for the change in HbA1c was met in this population as well.</w:t>
      </w:r>
    </w:p>
    <w:p w14:paraId="323F9161" w14:textId="1DAC68C4" w:rsidR="00767575" w:rsidRDefault="00767575" w:rsidP="00767575">
      <w:r>
        <w:t xml:space="preserve">the proportion of patients who achieved target glucose levels of HbA1c &lt;7% or ≤6.5% without level 2 or 3 hypoglycaemia was larger in the </w:t>
      </w:r>
      <w:r w:rsidR="00D64CAE">
        <w:t>IIco</w:t>
      </w:r>
      <w:r>
        <w:t xml:space="preserve"> arm than in comparator arm (once-daily basal insulin).</w:t>
      </w:r>
    </w:p>
    <w:p w14:paraId="4BB90B48" w14:textId="0C9E7D3A" w:rsidR="00767575" w:rsidRDefault="00767575" w:rsidP="00767575">
      <w:r>
        <w:t xml:space="preserve">Glucose-lowering efficacy of </w:t>
      </w:r>
      <w:r w:rsidR="00D64CAE">
        <w:t>IIco</w:t>
      </w:r>
      <w:r>
        <w:t xml:space="preserve"> is further reflected in the time spent within the target range (TIR).</w:t>
      </w:r>
      <w:r w:rsidR="000A12D4">
        <w:rPr>
          <w:rStyle w:val="FootnoteReference"/>
        </w:rPr>
        <w:footnoteReference w:id="13"/>
      </w:r>
      <w:r>
        <w:t xml:space="preserve">  ONWARDS 1 investigating TIR during weeks 48 to 52 as a confirmatory secondary endpoint showed a clinically meaningful difference in TIR favouring </w:t>
      </w:r>
      <w:r w:rsidR="00D64CAE">
        <w:t>IIco</w:t>
      </w:r>
      <w:r>
        <w:t xml:space="preserve"> and an average TIR in the </w:t>
      </w:r>
      <w:r w:rsidR="00D64CAE">
        <w:t>IIco</w:t>
      </w:r>
      <w:r>
        <w:t xml:space="preserve"> arm of &gt;70%. In ONWARDS 2 and 4, TIR was comparable between </w:t>
      </w:r>
      <w:r w:rsidR="00D64CAE">
        <w:t>IIco</w:t>
      </w:r>
      <w:r>
        <w:t xml:space="preserve"> and daily basal insulin.</w:t>
      </w:r>
    </w:p>
    <w:p w14:paraId="14F2A938" w14:textId="78A6ABFA" w:rsidR="00767575" w:rsidRDefault="00767575" w:rsidP="00767575">
      <w:r>
        <w:t xml:space="preserve">Based on the results for the DTSQs from ONWARDS 2 and 5, subjects in the </w:t>
      </w:r>
      <w:r w:rsidR="00D64CAE">
        <w:t>IIco</w:t>
      </w:r>
      <w:r>
        <w:t xml:space="preserve"> arm were more satisfied with their treatment than patients in the daily basal insulin arm. Patients in both treatment arms showed a positive change in total DTSQs score from baseline, but the fraction of patients reporting a clinically meaningful DTSQs improvement was higher in the </w:t>
      </w:r>
      <w:r w:rsidR="00D64CAE">
        <w:t>IIco</w:t>
      </w:r>
      <w:r>
        <w:t xml:space="preserve"> treatment arm than in the daily basal insulin arm. In addition, measurements of compliance (TRIM-D questionnaire) for each treatment arm in ONWARDS 5 indicated that treatment compliance at the end was higher with </w:t>
      </w:r>
      <w:r w:rsidR="00D64CAE">
        <w:t>IIco</w:t>
      </w:r>
      <w:r>
        <w:t xml:space="preserve"> than with daily basal insulin. </w:t>
      </w:r>
    </w:p>
    <w:p w14:paraId="3C527793" w14:textId="3BE8EA39" w:rsidR="00767575" w:rsidRDefault="00767575" w:rsidP="001D1CE4">
      <w:pPr>
        <w:pStyle w:val="Heading5"/>
      </w:pPr>
      <w:r>
        <w:lastRenderedPageBreak/>
        <w:t>Clinical safety</w:t>
      </w:r>
    </w:p>
    <w:p w14:paraId="42C21F04" w14:textId="007AE45A" w:rsidR="00767575" w:rsidRDefault="00767575" w:rsidP="00767575">
      <w:r>
        <w:t>The proportions of subjects reporting AEs and SAEs were comparable between treatment groups in the ONWARDS trials involving subjects with T2D</w:t>
      </w:r>
      <w:r w:rsidR="00FE1540">
        <w:t>M</w:t>
      </w:r>
      <w:r>
        <w:t>. A lower proportion of subjects reported SAEs in the T1D</w:t>
      </w:r>
      <w:r w:rsidR="00FE1540">
        <w:t>M</w:t>
      </w:r>
      <w:r>
        <w:t xml:space="preserve"> population compared to the T2D</w:t>
      </w:r>
      <w:r w:rsidR="00FE1540">
        <w:t>M</w:t>
      </w:r>
      <w:r>
        <w:t xml:space="preserve"> pool. The rate was higher though, mostly driven by reported events of the PT hypoglycaemia for both SAEs and severe AEs. </w:t>
      </w:r>
    </w:p>
    <w:p w14:paraId="2C2CA369" w14:textId="56A3D2A1" w:rsidR="00767575" w:rsidRDefault="00767575" w:rsidP="00767575">
      <w:r>
        <w:t xml:space="preserve">The results from the ONWARDs program clearly suggested an increased risk of hypoglycaemia in patients with both T2DM and T1DM, more prominently in T1DM. </w:t>
      </w:r>
    </w:p>
    <w:p w14:paraId="4785CD82" w14:textId="53A452E5" w:rsidR="00767575" w:rsidRDefault="00767575" w:rsidP="00767575">
      <w:r>
        <w:t xml:space="preserve">Findings for the time spent &lt;3 mmol/L further substantiated the increased risk for hypoglycaemia. Estimated treatment ratios [95% CI] were 1.27 [0.94, 1.71] (ONWARDS 1), 1.37 [0.92, 2.04] (ONWARDS 2), 1.20 [0.91, 1.58] (ONWARDS 4), and 1.46 [1.16, 1.85] (ONWARDS 6). Furthermore, the risk of hypoglycaemia showed an apparent peak between days 2 and 4 after administration of </w:t>
      </w:r>
      <w:r w:rsidR="00D64CAE">
        <w:t>IIco</w:t>
      </w:r>
      <w:r>
        <w:t xml:space="preserve"> QW mirroring the PK/PD profile with larger C</w:t>
      </w:r>
      <w:r w:rsidRPr="00906468">
        <w:rPr>
          <w:vertAlign w:val="subscript"/>
        </w:rPr>
        <w:t>max</w:t>
      </w:r>
      <w:r>
        <w:t xml:space="preserve"> and the GIR during the initial days of the weekly dosing interval (as compare</w:t>
      </w:r>
      <w:r w:rsidR="007B03D5">
        <w:t>d</w:t>
      </w:r>
      <w:r>
        <w:t xml:space="preserve"> with a once-daily administration). </w:t>
      </w:r>
    </w:p>
    <w:p w14:paraId="577BC035" w14:textId="77777777" w:rsidR="002704B0" w:rsidRDefault="00767575" w:rsidP="00E27555">
      <w:pPr>
        <w:pStyle w:val="Heading6"/>
      </w:pPr>
      <w:r>
        <w:t>Association of hypoglycaemia with Loading dose and Medication errors</w:t>
      </w:r>
    </w:p>
    <w:p w14:paraId="7329D050" w14:textId="18B20E1F" w:rsidR="00767575" w:rsidRDefault="00767575" w:rsidP="00767575">
      <w:r>
        <w:t xml:space="preserve">The 3-arm Phase 2 study 4466 compared glycaemic outcomes for </w:t>
      </w:r>
      <w:r w:rsidR="00D64CAE">
        <w:t>IIco</w:t>
      </w:r>
      <w:r>
        <w:t xml:space="preserve"> + 100% loading dose, </w:t>
      </w:r>
      <w:r w:rsidR="00D64CAE">
        <w:t>IIco</w:t>
      </w:r>
      <w:r>
        <w:t xml:space="preserve"> without loading dose, and </w:t>
      </w:r>
      <w:r w:rsidR="009C49AC" w:rsidRPr="009C49AC">
        <w:t>IGlar</w:t>
      </w:r>
      <w:r>
        <w:t xml:space="preserve"> in subjects with T2DM who were already on basal insulin. A “glycaemic slip” observed in the absence of a loading dose could be mitigated by the 100% loading dose. Taking into further account the data for TBR from study 4466, a 50% loading dose was chosen to be further investigated in ONWARDS 2,4 and 6. Both trials substantiated that the 50% loading dose can efficiently prevent a “glycaemic slip” in patients with T2DM switching to </w:t>
      </w:r>
      <w:r w:rsidR="00D64CAE">
        <w:t>IIco</w:t>
      </w:r>
      <w:r>
        <w:t>.</w:t>
      </w:r>
    </w:p>
    <w:p w14:paraId="0953C3EA" w14:textId="0CC7F943" w:rsidR="00E27555" w:rsidRDefault="00E27555" w:rsidP="00E27555">
      <w:r>
        <w:t xml:space="preserve">Based on above, ONWARDS 2, 4, and 6 used an additional loading dose for the switch from prior basal insulin to </w:t>
      </w:r>
      <w:r w:rsidR="00D64CAE">
        <w:t>IIco</w:t>
      </w:r>
      <w:r>
        <w:t xml:space="preserve"> QW. On the single occasion of treatment initiation, patients in the </w:t>
      </w:r>
      <w:r w:rsidR="00D64CAE">
        <w:t>IIco</w:t>
      </w:r>
      <w:r>
        <w:t xml:space="preserve"> QW arm received routinely a dose of </w:t>
      </w:r>
      <w:r w:rsidR="00D64CAE">
        <w:t>IIco</w:t>
      </w:r>
      <w:r>
        <w:t xml:space="preserve"> QW matching the total daily dose of their prior basal insulin x 7 + 50% (100% loading dose in ONWARDS6 if HbA1c&gt;8). Additional loading dose was associated with more hypoglycaemia episodes However, submitted modelling reports supported that the time to steady state can be reduced by one week when administering a 50% one-time additional dose.</w:t>
      </w:r>
    </w:p>
    <w:p w14:paraId="6D8F9D21" w14:textId="29EB4F32" w:rsidR="00E27555" w:rsidRDefault="00E27555" w:rsidP="00E27555">
      <w:r>
        <w:t xml:space="preserve">With regards to the injection site reactions, higher rates were observed in the </w:t>
      </w:r>
      <w:r w:rsidR="00D64CAE">
        <w:t>IIco</w:t>
      </w:r>
      <w:r>
        <w:t>QW group. Phase 3 pooled data showed rate of 6.04 (</w:t>
      </w:r>
      <w:r w:rsidR="00D64CAE">
        <w:t>IIco</w:t>
      </w:r>
      <w:r>
        <w:t xml:space="preserve"> QW) versus 3.97 (QD basal insulin). None of injection site reactions in </w:t>
      </w:r>
      <w:r w:rsidR="00D64CAE">
        <w:t>IIco</w:t>
      </w:r>
      <w:r>
        <w:t xml:space="preserve"> QW-treated patients was serious, and there was no rise in the rate of unresolved cases without recovery (0.09 events per 100 </w:t>
      </w:r>
      <w:proofErr w:type="gramStart"/>
      <w:r>
        <w:t>PYE</w:t>
      </w:r>
      <w:proofErr w:type="gramEnd"/>
      <w:r>
        <w:t xml:space="preserve"> in both groups). Data provided does not support a causal link between </w:t>
      </w:r>
      <w:r w:rsidR="002F2AD8">
        <w:t>immunogenicity</w:t>
      </w:r>
      <w:r>
        <w:t xml:space="preserve"> and injection site reaction. </w:t>
      </w:r>
    </w:p>
    <w:p w14:paraId="398BF2E0" w14:textId="77777777" w:rsidR="00E27555" w:rsidRDefault="00E27555" w:rsidP="00E27555">
      <w:pPr>
        <w:pStyle w:val="Heading6"/>
      </w:pPr>
      <w:r>
        <w:t>Oedema</w:t>
      </w:r>
    </w:p>
    <w:p w14:paraId="2EDE13B9" w14:textId="08A68D48" w:rsidR="00E27555" w:rsidRDefault="00E27555" w:rsidP="00E27555">
      <w:r>
        <w:t xml:space="preserve">Peripheral oedema is commonly considered a class effect with insulin products. The submitted data suggests higher incidences (1.1% versus 0.6%) and events rates (1.57 versus 0.87 per 100 PYE) of peripheral oedema in the patients treated with </w:t>
      </w:r>
      <w:r w:rsidR="00D64CAE">
        <w:t>IIco</w:t>
      </w:r>
      <w:r>
        <w:t xml:space="preserve"> QW as compared to the patients on QD basal insulin. </w:t>
      </w:r>
    </w:p>
    <w:p w14:paraId="6B37097B" w14:textId="18A7745B" w:rsidR="00E27555" w:rsidRDefault="00E27555" w:rsidP="00E27555">
      <w:pPr>
        <w:pStyle w:val="Heading6"/>
      </w:pPr>
      <w:r>
        <w:t xml:space="preserve">Data limitations </w:t>
      </w:r>
    </w:p>
    <w:p w14:paraId="3973A50D" w14:textId="77777777" w:rsidR="00E27555" w:rsidRDefault="00E27555" w:rsidP="00E27555">
      <w:r>
        <w:t>ONWARDS trials had several limitations, including the open-label design (RCT is not feasible though), the characteristics of included participants, and the use of self-measured blood glucose measurements rather than continuous glucose monitoring for insulin dose adjustments. The exclusion of those with comorbidities or hypoglycaemia unawareness in ONWARDS 6, limits the generalisability of these findings to the wider type 1 diabetes population.</w:t>
      </w:r>
    </w:p>
    <w:p w14:paraId="248FB6D2" w14:textId="77777777" w:rsidR="00E27555" w:rsidRDefault="00E27555" w:rsidP="00E27555">
      <w:r>
        <w:t>There is no data on pregnancy and lactation.</w:t>
      </w:r>
    </w:p>
    <w:p w14:paraId="60EFF512" w14:textId="1AECBE71" w:rsidR="00E27555" w:rsidRDefault="005D1FBB" w:rsidP="00E27555">
      <w:r>
        <w:lastRenderedPageBreak/>
        <w:t>There was no</w:t>
      </w:r>
      <w:r w:rsidR="00E27555">
        <w:t xml:space="preserve"> evaluable data in elderly subjects (&gt;75 years)</w:t>
      </w:r>
    </w:p>
    <w:p w14:paraId="318CFABC" w14:textId="77777777" w:rsidR="00C22214" w:rsidRPr="00F73346" w:rsidRDefault="00C22214" w:rsidP="00C22214">
      <w:pPr>
        <w:pStyle w:val="Heading4"/>
      </w:pPr>
      <w:bookmarkStart w:id="54" w:name="_Toc98931936"/>
      <w:bookmarkStart w:id="55" w:name="_Toc202172234"/>
      <w:bookmarkStart w:id="56" w:name="_Toc247691532"/>
      <w:bookmarkStart w:id="57" w:name="_Toc314842516"/>
      <w:r w:rsidRPr="00F73346">
        <w:t>Advisory Committee considerations</w:t>
      </w:r>
      <w:bookmarkEnd w:id="54"/>
      <w:bookmarkEnd w:id="55"/>
    </w:p>
    <w:p w14:paraId="087BB9CB" w14:textId="5459110D" w:rsidR="00C22214" w:rsidRDefault="00C22214" w:rsidP="00C22214">
      <w:pPr>
        <w:rPr>
          <w:bCs/>
          <w:szCs w:val="22"/>
        </w:rPr>
      </w:pPr>
      <w:r w:rsidRPr="00BD5DBD">
        <w:rPr>
          <w:bCs/>
          <w:szCs w:val="22"/>
        </w:rPr>
        <w:t xml:space="preserve">The </w:t>
      </w:r>
      <w:hyperlink r:id="rId110" w:history="1">
        <w:r w:rsidRPr="00BD5DBD">
          <w:rPr>
            <w:rStyle w:val="Hyperlink"/>
            <w:szCs w:val="22"/>
          </w:rPr>
          <w:t>Advisory Committee on Medicines (ACM)</w:t>
        </w:r>
      </w:hyperlink>
      <w:r w:rsidRPr="00BD5DBD">
        <w:rPr>
          <w:szCs w:val="22"/>
        </w:rPr>
        <w:t>,</w:t>
      </w:r>
      <w:r w:rsidRPr="00BD5DBD">
        <w:rPr>
          <w:bCs/>
          <w:szCs w:val="22"/>
        </w:rPr>
        <w:t xml:space="preserve"> having considered the evaluations and the </w:t>
      </w:r>
      <w:r w:rsidR="00C0389B">
        <w:rPr>
          <w:bCs/>
          <w:szCs w:val="22"/>
        </w:rPr>
        <w:t>d</w:t>
      </w:r>
      <w:r w:rsidRPr="00BD5DBD">
        <w:rPr>
          <w:bCs/>
          <w:szCs w:val="22"/>
        </w:rPr>
        <w:t>elegate’s overview, as well as the sponsor’s response to these documents, advised the following.</w:t>
      </w:r>
    </w:p>
    <w:p w14:paraId="65131825" w14:textId="5FF41134" w:rsidR="00235334" w:rsidRPr="00235334" w:rsidRDefault="00235334" w:rsidP="001028D3">
      <w:pPr>
        <w:pStyle w:val="DelegatesQuestions"/>
      </w:pPr>
      <w:r w:rsidRPr="00235334">
        <w:t>Does the ACM agree with proposed indication for use of insulin-icodec in diabetes mellitus?</w:t>
      </w:r>
    </w:p>
    <w:p w14:paraId="28921D0F" w14:textId="65C557BE" w:rsidR="00235334" w:rsidRPr="00235334" w:rsidRDefault="00235334" w:rsidP="00235334">
      <w:pPr>
        <w:rPr>
          <w:bCs/>
          <w:szCs w:val="22"/>
        </w:rPr>
      </w:pPr>
      <w:r w:rsidRPr="00235334">
        <w:rPr>
          <w:bCs/>
          <w:szCs w:val="22"/>
        </w:rPr>
        <w:t xml:space="preserve">The ACM agreed that there was sufficient safety and efficacy data to support use of </w:t>
      </w:r>
      <w:r w:rsidR="00D64CAE">
        <w:rPr>
          <w:bCs/>
          <w:szCs w:val="22"/>
        </w:rPr>
        <w:t>IIco</w:t>
      </w:r>
      <w:r w:rsidRPr="00235334">
        <w:rPr>
          <w:bCs/>
          <w:szCs w:val="22"/>
        </w:rPr>
        <w:t xml:space="preserve"> in diabetes mellitus for an amended indication separating out treatment of T2DM and T1DM:</w:t>
      </w:r>
    </w:p>
    <w:p w14:paraId="08718538" w14:textId="087DADF0" w:rsidR="00235334" w:rsidRPr="00235334" w:rsidRDefault="00235334" w:rsidP="00F018C9">
      <w:pPr>
        <w:pStyle w:val="Indication"/>
      </w:pPr>
      <w:r w:rsidRPr="00235334">
        <w:t>Treatment of Type 2 Diabetes in adults.</w:t>
      </w:r>
    </w:p>
    <w:p w14:paraId="061074BD" w14:textId="77777777" w:rsidR="00235334" w:rsidRPr="00235334" w:rsidRDefault="00235334" w:rsidP="00F018C9">
      <w:pPr>
        <w:pStyle w:val="Indication"/>
      </w:pPr>
      <w:r w:rsidRPr="00235334">
        <w:t>Treatment of Type 1 Diabetes in adults, in conjunction with a bolus insulin, where daily basal insulin injections are not suitable.’</w:t>
      </w:r>
    </w:p>
    <w:p w14:paraId="51CEF7D7" w14:textId="12DD9DFB" w:rsidR="00235334" w:rsidRPr="00235334" w:rsidRDefault="00235334" w:rsidP="00235334">
      <w:pPr>
        <w:rPr>
          <w:bCs/>
          <w:szCs w:val="22"/>
        </w:rPr>
      </w:pPr>
      <w:r w:rsidRPr="00235334">
        <w:rPr>
          <w:bCs/>
          <w:szCs w:val="22"/>
        </w:rPr>
        <w:t>In T2DM, across the five trial populations, the evidence suggests minimally superior glycaemic control at the expense of modest increase in hypoglycaemia, including severe</w:t>
      </w:r>
      <w:r w:rsidR="00F018C9">
        <w:rPr>
          <w:bCs/>
          <w:szCs w:val="22"/>
        </w:rPr>
        <w:t xml:space="preserve"> </w:t>
      </w:r>
      <w:r w:rsidRPr="00235334">
        <w:rPr>
          <w:bCs/>
          <w:szCs w:val="22"/>
        </w:rPr>
        <w:t>hypoglycaemia. The hypoglycaemia risk is increased at day 2-3, consistent with the insulin effect curve.</w:t>
      </w:r>
    </w:p>
    <w:p w14:paraId="0C06C89A" w14:textId="1FF5ED06" w:rsidR="00235334" w:rsidRPr="00235334" w:rsidRDefault="00235334" w:rsidP="00235334">
      <w:pPr>
        <w:rPr>
          <w:bCs/>
          <w:szCs w:val="22"/>
        </w:rPr>
      </w:pPr>
      <w:r w:rsidRPr="00235334">
        <w:rPr>
          <w:bCs/>
          <w:szCs w:val="22"/>
        </w:rPr>
        <w:t xml:space="preserve">In T1DM, compared with insulin degludec, treatment with </w:t>
      </w:r>
      <w:r w:rsidR="00D64CAE">
        <w:rPr>
          <w:bCs/>
          <w:szCs w:val="22"/>
        </w:rPr>
        <w:t>IIco</w:t>
      </w:r>
      <w:r w:rsidRPr="00235334">
        <w:rPr>
          <w:bCs/>
          <w:szCs w:val="22"/>
        </w:rPr>
        <w:t xml:space="preserve"> lead to numerically higher HbA1c, inferior fasting plasma glucose, and increase in hypoglycaemia. In well-selected patients the advantage of weekly basal insulin may be beneficial.</w:t>
      </w:r>
    </w:p>
    <w:p w14:paraId="7B4A7915" w14:textId="443FF2D7" w:rsidR="00235334" w:rsidRPr="00235334" w:rsidRDefault="00235334" w:rsidP="001028D3">
      <w:pPr>
        <w:pStyle w:val="DelegatesQuestions"/>
      </w:pPr>
      <w:r w:rsidRPr="00235334">
        <w:t>Does ACM agree with the overall safety profile of insulin-icodec. Especially in view of the increased hypoglycaemic episodes with insulin-icodec once weekly.</w:t>
      </w:r>
    </w:p>
    <w:p w14:paraId="73142338" w14:textId="736034B6" w:rsidR="00235334" w:rsidRPr="00235334" w:rsidRDefault="00235334" w:rsidP="00235334">
      <w:pPr>
        <w:rPr>
          <w:bCs/>
          <w:szCs w:val="22"/>
        </w:rPr>
      </w:pPr>
      <w:r w:rsidRPr="00235334">
        <w:rPr>
          <w:bCs/>
          <w:szCs w:val="22"/>
        </w:rPr>
        <w:t xml:space="preserve">When </w:t>
      </w:r>
      <w:r w:rsidR="00D64CAE">
        <w:rPr>
          <w:bCs/>
          <w:szCs w:val="22"/>
        </w:rPr>
        <w:t>IIco</w:t>
      </w:r>
      <w:r w:rsidRPr="00235334">
        <w:rPr>
          <w:bCs/>
          <w:szCs w:val="22"/>
        </w:rPr>
        <w:t xml:space="preserve"> is used in addition to short acting insulin to treat T1DM (ONWARDS 6 trial), severe hypoglycaemia increased: 33.03 episodes per 100 patient years exposure with insulin-icodec once weekly compared to 11.80 episodes per 100 patient years exposure with insulin degludec.</w:t>
      </w:r>
    </w:p>
    <w:p w14:paraId="669820A4" w14:textId="5AEBEA78" w:rsidR="00235334" w:rsidRPr="00235334" w:rsidRDefault="00235334" w:rsidP="00235334">
      <w:pPr>
        <w:rPr>
          <w:bCs/>
          <w:szCs w:val="22"/>
        </w:rPr>
      </w:pPr>
      <w:r w:rsidRPr="00235334">
        <w:rPr>
          <w:bCs/>
          <w:szCs w:val="22"/>
        </w:rPr>
        <w:t xml:space="preserve">Given the increased risk of hypoglycaemia in patients with T1DM, the ACM advised that </w:t>
      </w:r>
      <w:r w:rsidR="00D64CAE">
        <w:rPr>
          <w:bCs/>
          <w:szCs w:val="22"/>
        </w:rPr>
        <w:t>IIco</w:t>
      </w:r>
      <w:r w:rsidRPr="00235334">
        <w:rPr>
          <w:bCs/>
          <w:szCs w:val="22"/>
        </w:rPr>
        <w:t xml:space="preserve"> should be prescribed with caution and only where the expected benefit outweighs the potential risks.</w:t>
      </w:r>
    </w:p>
    <w:p w14:paraId="752912CF" w14:textId="77777777" w:rsidR="00235334" w:rsidRPr="00235334" w:rsidRDefault="00235334" w:rsidP="00235334">
      <w:pPr>
        <w:rPr>
          <w:bCs/>
          <w:szCs w:val="22"/>
        </w:rPr>
      </w:pPr>
      <w:r w:rsidRPr="00235334">
        <w:rPr>
          <w:bCs/>
          <w:szCs w:val="22"/>
        </w:rPr>
        <w:t xml:space="preserve">The ACM advised that the general safety signals are slightly inferior in comparison to daily basal insulin due to the </w:t>
      </w:r>
      <w:proofErr w:type="gramStart"/>
      <w:r w:rsidRPr="00235334">
        <w:rPr>
          <w:bCs/>
          <w:szCs w:val="22"/>
        </w:rPr>
        <w:t>once a week</w:t>
      </w:r>
      <w:proofErr w:type="gramEnd"/>
      <w:r w:rsidRPr="00235334">
        <w:rPr>
          <w:bCs/>
          <w:szCs w:val="22"/>
        </w:rPr>
        <w:t xml:space="preserve"> dosing schedule without stable systemic availability over 7 days.</w:t>
      </w:r>
    </w:p>
    <w:p w14:paraId="43C38A3B" w14:textId="7FBB8D9D" w:rsidR="00235334" w:rsidRPr="00235334" w:rsidRDefault="00235334" w:rsidP="001028D3">
      <w:pPr>
        <w:pStyle w:val="DelegatesQuestions"/>
      </w:pPr>
      <w:r w:rsidRPr="00235334">
        <w:t>The committee is also requested to provide advice on Product information or any other issues that it thinks may be relevant to this application?</w:t>
      </w:r>
    </w:p>
    <w:p w14:paraId="3F9ADD2A" w14:textId="2D6A34D1" w:rsidR="00235334" w:rsidRPr="00235334" w:rsidRDefault="00235334" w:rsidP="00235334">
      <w:pPr>
        <w:rPr>
          <w:bCs/>
          <w:szCs w:val="22"/>
        </w:rPr>
      </w:pPr>
      <w:r w:rsidRPr="00235334">
        <w:rPr>
          <w:bCs/>
          <w:szCs w:val="22"/>
        </w:rPr>
        <w:t xml:space="preserve">Individuals with hypoglycaemia unawareness were excluded from the trial populations, other than ONWARDS 5 (which focused on dose titration). The ACM raised concerns with this exclusion criteria as these patients would otherwise may be appropriate candidates for </w:t>
      </w:r>
      <w:r w:rsidR="00D64CAE">
        <w:rPr>
          <w:bCs/>
          <w:szCs w:val="22"/>
        </w:rPr>
        <w:t>IIco</w:t>
      </w:r>
      <w:r w:rsidRPr="00235334">
        <w:rPr>
          <w:bCs/>
          <w:szCs w:val="22"/>
        </w:rPr>
        <w:t xml:space="preserve"> therapy.</w:t>
      </w:r>
    </w:p>
    <w:p w14:paraId="33236508" w14:textId="77777777" w:rsidR="00235334" w:rsidRPr="00235334" w:rsidRDefault="00235334" w:rsidP="00235334">
      <w:pPr>
        <w:rPr>
          <w:bCs/>
          <w:szCs w:val="22"/>
        </w:rPr>
      </w:pPr>
      <w:r w:rsidRPr="00235334">
        <w:rPr>
          <w:bCs/>
          <w:szCs w:val="22"/>
        </w:rPr>
        <w:t>The ACM endorsed the changes to the Product Information (PI) suggested by the delegate. The ACM raised additional concerns with the dose titration section of the PI, suggesting that the titration algorithm used in the ONWARDS trials be provided in the clinical trial section with cross-reference in the dose titration section.</w:t>
      </w:r>
    </w:p>
    <w:p w14:paraId="6FE7B666" w14:textId="77777777" w:rsidR="00235334" w:rsidRPr="00235334" w:rsidRDefault="00235334" w:rsidP="00235334">
      <w:pPr>
        <w:rPr>
          <w:bCs/>
          <w:szCs w:val="22"/>
        </w:rPr>
      </w:pPr>
      <w:r w:rsidRPr="00235334">
        <w:rPr>
          <w:bCs/>
          <w:szCs w:val="22"/>
        </w:rPr>
        <w:t>The ACM additionally advised the inclusion in the dosing section of the PI that clinical steady state is, achieved in 2 to 4 weeks (3 to 4 doses) after a dose change, and that dose intensification should be undertaken with caution during this period.</w:t>
      </w:r>
    </w:p>
    <w:p w14:paraId="5291EA2A" w14:textId="37E6F19C" w:rsidR="00C22214" w:rsidRDefault="008D56CA" w:rsidP="00C22214">
      <w:pPr>
        <w:pStyle w:val="Heading5"/>
      </w:pPr>
      <w:r>
        <w:lastRenderedPageBreak/>
        <w:t>A</w:t>
      </w:r>
      <w:r w:rsidR="004A45D4">
        <w:t>dvisory committee c</w:t>
      </w:r>
      <w:r w:rsidR="00C22214" w:rsidRPr="00F73346">
        <w:t>onclusion</w:t>
      </w:r>
    </w:p>
    <w:p w14:paraId="17D630A6" w14:textId="77777777" w:rsidR="001028D3" w:rsidRDefault="001028D3" w:rsidP="001028D3">
      <w:r>
        <w:t>The ACM considered this product to have an overall positive benefit-risk profile for the indication:</w:t>
      </w:r>
    </w:p>
    <w:p w14:paraId="0F1515D7" w14:textId="77777777" w:rsidR="001028D3" w:rsidRDefault="001028D3" w:rsidP="001028D3">
      <w:pPr>
        <w:pStyle w:val="Indication"/>
      </w:pPr>
      <w:r>
        <w:t>Treatment of Type 2 Diabetes in adults.</w:t>
      </w:r>
    </w:p>
    <w:p w14:paraId="04C339A7" w14:textId="36F3A229" w:rsidR="001028D3" w:rsidRPr="001028D3" w:rsidRDefault="001028D3" w:rsidP="001028D3">
      <w:pPr>
        <w:pStyle w:val="Indication"/>
      </w:pPr>
      <w:r>
        <w:t>Treatment of Type 1 Diabetes in adults, in conjunction with a bolus insulin, where daily basal insulin injections are not suitable.</w:t>
      </w:r>
    </w:p>
    <w:p w14:paraId="307F236C" w14:textId="5BA0D35D" w:rsidR="00C22214" w:rsidRPr="002E238E" w:rsidRDefault="0046285C" w:rsidP="00C22214">
      <w:pPr>
        <w:pStyle w:val="Heading2"/>
      </w:pPr>
      <w:bookmarkStart w:id="58" w:name="_Toc103679300"/>
      <w:bookmarkStart w:id="59" w:name="_Toc202172235"/>
      <w:r>
        <w:t>Assessment</w:t>
      </w:r>
      <w:r w:rsidR="00190853">
        <w:t xml:space="preserve"> </w:t>
      </w:r>
      <w:r>
        <w:t>o</w:t>
      </w:r>
      <w:r w:rsidR="00C22214">
        <w:t>utcome</w:t>
      </w:r>
      <w:bookmarkEnd w:id="56"/>
      <w:bookmarkEnd w:id="57"/>
      <w:bookmarkEnd w:id="58"/>
      <w:bookmarkEnd w:id="59"/>
    </w:p>
    <w:p w14:paraId="4EF22939" w14:textId="01FC114C" w:rsidR="00C22214" w:rsidRDefault="00C22214" w:rsidP="0006104E">
      <w:r w:rsidRPr="0017005C">
        <w:t xml:space="preserve">Based on a review of quality, safety, and efficacy, the TGA </w:t>
      </w:r>
      <w:r w:rsidR="00B46DFB">
        <w:t>decided to</w:t>
      </w:r>
      <w:r w:rsidRPr="0017005C">
        <w:t xml:space="preserve"> regist</w:t>
      </w:r>
      <w:r w:rsidR="00B46DFB">
        <w:t>er</w:t>
      </w:r>
      <w:r w:rsidRPr="0017005C">
        <w:t xml:space="preserve"> </w:t>
      </w:r>
      <w:r w:rsidR="00DA79A2">
        <w:t>AWIQLI</w:t>
      </w:r>
      <w:r w:rsidR="002E0A42" w:rsidRPr="002E0A42">
        <w:t xml:space="preserve"> </w:t>
      </w:r>
      <w:r w:rsidR="002E0A42">
        <w:t>(</w:t>
      </w:r>
      <w:r w:rsidR="00D64CAE">
        <w:t>IIco</w:t>
      </w:r>
      <w:r w:rsidR="002E0A42">
        <w:t>)</w:t>
      </w:r>
      <w:r w:rsidRPr="0017005C">
        <w:t xml:space="preserve"> for the following indication</w:t>
      </w:r>
      <w:r w:rsidR="00D23D3E">
        <w:t>:</w:t>
      </w:r>
    </w:p>
    <w:p w14:paraId="312568F5" w14:textId="77777777" w:rsidR="00951330" w:rsidRDefault="00951330" w:rsidP="00951330">
      <w:pPr>
        <w:pStyle w:val="Indication"/>
      </w:pPr>
      <w:r>
        <w:t xml:space="preserve">Treatment of Type 2 Diabetes in adults. </w:t>
      </w:r>
    </w:p>
    <w:p w14:paraId="5A81CF60" w14:textId="03384B36" w:rsidR="00951330" w:rsidRPr="0017005C" w:rsidRDefault="00951330" w:rsidP="00951330">
      <w:pPr>
        <w:pStyle w:val="Indication"/>
      </w:pPr>
      <w:r>
        <w:t>Treatment of Type 1 Diabetes in adults, in conjunction with a bolus insulin, where daily basal insulin injections are not suitable.</w:t>
      </w:r>
    </w:p>
    <w:p w14:paraId="5FC4AE2E" w14:textId="77777777" w:rsidR="006A663E" w:rsidRDefault="00854D98" w:rsidP="00D46BD9">
      <w:pPr>
        <w:pStyle w:val="Heading4"/>
      </w:pPr>
      <w:bookmarkStart w:id="60" w:name="_Toc202172236"/>
      <w:bookmarkStart w:id="61" w:name="_Toc103679301"/>
      <w:r w:rsidRPr="00D23139">
        <w:t>Specific conditions of registration</w:t>
      </w:r>
      <w:bookmarkEnd w:id="60"/>
    </w:p>
    <w:bookmarkEnd w:id="61"/>
    <w:p w14:paraId="5DABE66C" w14:textId="73E88135" w:rsidR="006A663E" w:rsidRDefault="00DA79A2" w:rsidP="006A663E">
      <w:r>
        <w:t>AWIQLI</w:t>
      </w:r>
      <w:r w:rsidR="006A663E">
        <w:t xml:space="preserve"> (</w:t>
      </w:r>
      <w:r w:rsidR="00D64CAE">
        <w:t>IIco</w:t>
      </w:r>
      <w:r w:rsidR="006A663E">
        <w:t xml:space="preserve">) is to be included in the Black Triangle Scheme. The PI and CMI for </w:t>
      </w:r>
      <w:r>
        <w:t>AWIQLI</w:t>
      </w:r>
      <w:r w:rsidR="006A663E">
        <w:t xml:space="preserve"> must include the black triangle symbol and mandatory accompanying text for five years, which starts from the date of first supply of the product. </w:t>
      </w:r>
    </w:p>
    <w:p w14:paraId="52F9A299" w14:textId="75FC683B" w:rsidR="006A663E" w:rsidRDefault="006A663E" w:rsidP="006A663E">
      <w:r>
        <w:t xml:space="preserve">The </w:t>
      </w:r>
      <w:r w:rsidR="00DA79A2">
        <w:t>AWIQLI</w:t>
      </w:r>
      <w:r>
        <w:t xml:space="preserve"> Global</w:t>
      </w:r>
      <w:r w:rsidR="00D46BD9">
        <w:t xml:space="preserve"> </w:t>
      </w:r>
      <w:r>
        <w:t>RMP</w:t>
      </w:r>
      <w:r w:rsidR="00D46BD9">
        <w:t xml:space="preserve"> </w:t>
      </w:r>
      <w:r>
        <w:t>(version 0.1, dated 15 March 2023, data lock point 19 September 2022), with Australian Specific Annex (version 0.2, dated 26 October 2023), included with submission PM-2023-01464-1-5, and any subsequent revisions, as agreed with the TGA will be implemented in Australia.</w:t>
      </w:r>
    </w:p>
    <w:p w14:paraId="4DDFB547" w14:textId="77777777" w:rsidR="006A663E" w:rsidRDefault="006A663E" w:rsidP="006A663E">
      <w:r>
        <w:t>An obligatory component of risk management plans is routine pharmacovigilance. Routine pharmacovigilance includes the submission of periodic safety update reports (PSURs).</w:t>
      </w:r>
    </w:p>
    <w:p w14:paraId="1A3A3BA3" w14:textId="77777777" w:rsidR="006A663E" w:rsidRDefault="006A663E" w:rsidP="006A663E">
      <w:r>
        <w:t xml:space="preserve">Unless agreed separately between the supplier who is the recipient of the approval and the TGA, the first report must be submitted to TGA no later than 15 calendar months after the date of this approval letter. The subsequent reports must be submitted no less frequently than annually from the date of the first submitted report until the period covered by such reports is not less than three years from the date of this approval letter. The annual submission may be made up of two PSURs each covering six months. If the sponsor wishes, the </w:t>
      </w:r>
      <w:proofErr w:type="gramStart"/>
      <w:r>
        <w:t>six monthly</w:t>
      </w:r>
      <w:proofErr w:type="gramEnd"/>
      <w:r>
        <w:t xml:space="preserve"> reports may be submitted separately as they become available.</w:t>
      </w:r>
    </w:p>
    <w:p w14:paraId="470EA3B2" w14:textId="77777777" w:rsidR="006A663E" w:rsidRDefault="006A663E" w:rsidP="006A663E">
      <w:r>
        <w:t>If the product is approved in the EU during the three years period, reports can be provided in line with the published list of EU reference dates no less frequently than annually from the date of the first submitted report until the period covered by such reports is not less than three years from the date of this approval letter.</w:t>
      </w:r>
    </w:p>
    <w:p w14:paraId="17AAC872" w14:textId="77777777" w:rsidR="006A663E" w:rsidRDefault="006A663E" w:rsidP="006A663E">
      <w:r>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 Each report must have been prepared within ninety calendar days of the data lock point for that report.</w:t>
      </w:r>
    </w:p>
    <w:p w14:paraId="029849C6" w14:textId="41228259" w:rsidR="006A663E" w:rsidRDefault="006A663E" w:rsidP="006A663E">
      <w:r>
        <w:t xml:space="preserve">All batches of </w:t>
      </w:r>
      <w:r w:rsidR="00DA79A2">
        <w:t>AWIQLI</w:t>
      </w:r>
      <w:r>
        <w:t xml:space="preserve"> </w:t>
      </w:r>
      <w:r w:rsidR="00D64CAE">
        <w:t>IIco</w:t>
      </w:r>
      <w:r>
        <w:t xml:space="preserve"> supplied in Australia must comply with the product details and specifications approved during evaluation and detailed in the Certified Product Details (CPD).</w:t>
      </w:r>
    </w:p>
    <w:p w14:paraId="2752F065" w14:textId="40C66603" w:rsidR="006A663E" w:rsidRDefault="006A663E" w:rsidP="006A663E">
      <w:r>
        <w:t xml:space="preserve">When requested by the TGA, the </w:t>
      </w:r>
      <w:r w:rsidR="00C0389B">
        <w:t>s</w:t>
      </w:r>
      <w:r>
        <w:t xml:space="preserve">ponsor should be prepared to provide product samples, specified reference materials and documentary evidence to enable the TGA to conduct laboratory testing on the Product. Outcomes of laboratory testing are published biannually in </w:t>
      </w:r>
      <w:r>
        <w:lastRenderedPageBreak/>
        <w:t>the TGA Database of Laboratory Testing Results http://www.tga.gov.au/ws-labs-index and periodically in testing reports on the TGA website.</w:t>
      </w:r>
    </w:p>
    <w:p w14:paraId="78DE3713" w14:textId="7CA45DEC" w:rsidR="006A663E" w:rsidRDefault="006A663E" w:rsidP="006A663E">
      <w:r>
        <w:t xml:space="preserve">The Certified Product Details (CPD), as described in </w:t>
      </w:r>
      <w:hyperlink r:id="rId111" w:history="1">
        <w:r w:rsidRPr="00557A50">
          <w:rPr>
            <w:rStyle w:val="Hyperlink"/>
          </w:rPr>
          <w:t>Guidance 7: Certified Product Details of the Australian Regulatory Guidelines for Prescription Medicines (ARGPM)</w:t>
        </w:r>
      </w:hyperlink>
      <w:r>
        <w:t>, in PDF format, for the above products should be provided upon registration of these therapeutic goods. In addition, an updated CPD should be provided when changes to finished product specifications and test methods are approved in a Category 3 application or notified through a self-assessable change.</w:t>
      </w:r>
    </w:p>
    <w:p w14:paraId="40AA31DB" w14:textId="77777777" w:rsidR="006A663E" w:rsidRDefault="006A663E" w:rsidP="006A663E">
      <w:r>
        <w:t xml:space="preserve">A template for preparation of CPD for biological prescription medicines can be obtained from the TGA website: </w:t>
      </w:r>
    </w:p>
    <w:p w14:paraId="3E6C8102" w14:textId="0376C781" w:rsidR="006A663E" w:rsidRDefault="006A663E" w:rsidP="006A663E">
      <w:r>
        <w:t xml:space="preserve">[for the form] </w:t>
      </w:r>
      <w:hyperlink r:id="rId112" w:history="1">
        <w:r w:rsidR="0060642C" w:rsidRPr="00563A1E">
          <w:rPr>
            <w:rStyle w:val="Hyperlink"/>
          </w:rPr>
          <w:t>https://www.tga.gov.au/form/certified-product-details-cpd-biological-prescription-medicines</w:t>
        </w:r>
      </w:hyperlink>
      <w:r w:rsidR="0060642C">
        <w:t xml:space="preserve"> </w:t>
      </w:r>
      <w:r>
        <w:t xml:space="preserve">  </w:t>
      </w:r>
      <w:r w:rsidR="0060642C">
        <w:t xml:space="preserve"> </w:t>
      </w:r>
    </w:p>
    <w:p w14:paraId="0D732DA4" w14:textId="6F20197B" w:rsidR="00854D98" w:rsidRPr="00D23139" w:rsidRDefault="006A663E" w:rsidP="006A663E">
      <w:r>
        <w:t xml:space="preserve">[for the CPD guidance] </w:t>
      </w:r>
      <w:hyperlink r:id="rId113" w:history="1">
        <w:r w:rsidR="0060642C" w:rsidRPr="00563A1E">
          <w:rPr>
            <w:rStyle w:val="Hyperlink"/>
          </w:rPr>
          <w:t>https://www.tga.gov.au/guidance-7-certified-product-details</w:t>
        </w:r>
      </w:hyperlink>
      <w:r w:rsidR="0060642C">
        <w:t xml:space="preserve"> </w:t>
      </w:r>
      <w:r>
        <w:t xml:space="preserve">   </w:t>
      </w:r>
    </w:p>
    <w:p w14:paraId="0F9C1952" w14:textId="597561E2" w:rsidR="00BA657C" w:rsidRPr="00BA657C" w:rsidRDefault="00BA657C" w:rsidP="0060642C">
      <w:pPr>
        <w:pStyle w:val="Heading4"/>
      </w:pPr>
      <w:bookmarkStart w:id="62" w:name="_Toc196738290"/>
      <w:bookmarkStart w:id="63" w:name="_Toc202172237"/>
      <w:r w:rsidRPr="00BA657C">
        <w:t>Product Information and Consumer Medicines Information</w:t>
      </w:r>
      <w:bookmarkEnd w:id="62"/>
      <w:bookmarkEnd w:id="63"/>
    </w:p>
    <w:p w14:paraId="5F276616" w14:textId="77777777" w:rsidR="004D0933" w:rsidRPr="004D0933" w:rsidRDefault="004D0933" w:rsidP="004D0933">
      <w:r w:rsidRPr="004D0933">
        <w:t xml:space="preserve">For the most recent Product Information (PI) and Consumer Medicines Information (CMI), please refer to the TGA </w:t>
      </w:r>
      <w:hyperlink r:id="rId114" w:history="1">
        <w:r w:rsidRPr="004D0933">
          <w:rPr>
            <w:rStyle w:val="Hyperlink"/>
          </w:rPr>
          <w:t>PI/CMI search facility.</w:t>
        </w:r>
      </w:hyperlink>
    </w:p>
    <w:p w14:paraId="11222186" w14:textId="77777777" w:rsidR="004D0933" w:rsidRPr="00BD5DBD" w:rsidRDefault="004D0933" w:rsidP="00675F81">
      <w:pPr>
        <w:rPr>
          <w:szCs w:val="22"/>
        </w:rPr>
      </w:pPr>
    </w:p>
    <w:p w14:paraId="0C57DE07" w14:textId="04F43C1E" w:rsidR="00675F81" w:rsidRPr="0017005C" w:rsidRDefault="00675F81" w:rsidP="00BE640F">
      <w:pPr>
        <w:pStyle w:val="Instructions"/>
      </w:pPr>
    </w:p>
    <w:p w14:paraId="40740B65" w14:textId="5819D664" w:rsidR="00C22214" w:rsidRPr="008B4DA3" w:rsidRDefault="00C22214" w:rsidP="00C22214">
      <w:pPr>
        <w:autoSpaceDE w:val="0"/>
        <w:autoSpaceDN w:val="0"/>
        <w:adjustRightInd w:val="0"/>
        <w:spacing w:after="0"/>
      </w:pPr>
    </w:p>
    <w:p w14:paraId="53357BF3" w14:textId="276457B5" w:rsidR="00C22214" w:rsidRDefault="00C22214" w:rsidP="00C22214">
      <w:pPr>
        <w:rPr>
          <w:lang w:eastAsia="ja-JP"/>
        </w:rPr>
        <w:sectPr w:rsidR="00C22214" w:rsidSect="007452E8">
          <w:headerReference w:type="default" r:id="rId115"/>
          <w:footerReference w:type="default" r:id="rId116"/>
          <w:pgSz w:w="11906" w:h="16838" w:code="9"/>
          <w:pgMar w:top="1134" w:right="1418" w:bottom="1361" w:left="1418" w:header="573" w:footer="567" w:gutter="0"/>
          <w:cols w:space="708"/>
          <w:docGrid w:linePitch="360"/>
        </w:sectPr>
      </w:pPr>
    </w:p>
    <w:tbl>
      <w:tblPr>
        <w:tblW w:w="9145" w:type="dxa"/>
        <w:jc w:val="center"/>
        <w:tblLayout w:type="fixed"/>
        <w:tblCellMar>
          <w:left w:w="0" w:type="dxa"/>
          <w:right w:w="0" w:type="dxa"/>
        </w:tblCellMar>
        <w:tblLook w:val="04A0" w:firstRow="1" w:lastRow="0" w:firstColumn="1" w:lastColumn="0" w:noHBand="0" w:noVBand="1"/>
      </w:tblPr>
      <w:tblGrid>
        <w:gridCol w:w="9145"/>
      </w:tblGrid>
      <w:tr w:rsidR="00F02AEC" w:rsidRPr="00215D48" w14:paraId="3C0C07BF" w14:textId="77777777" w:rsidTr="007452E8">
        <w:trPr>
          <w:trHeight w:hRule="exact" w:val="565"/>
          <w:jc w:val="center"/>
        </w:trPr>
        <w:tc>
          <w:tcPr>
            <w:tcW w:w="9145" w:type="dxa"/>
          </w:tcPr>
          <w:bookmarkEnd w:id="6"/>
          <w:bookmarkEnd w:id="7"/>
          <w:p w14:paraId="7E090B86" w14:textId="77777777" w:rsidR="00F02AEC" w:rsidRPr="00D46BD9" w:rsidRDefault="00F02AEC" w:rsidP="007452E8">
            <w:pPr>
              <w:pStyle w:val="TGASignoff"/>
              <w:rPr>
                <w:rFonts w:cs="Arial"/>
              </w:rPr>
            </w:pPr>
            <w:r w:rsidRPr="00D46BD9">
              <w:rPr>
                <w:rFonts w:cs="Arial"/>
              </w:rPr>
              <w:lastRenderedPageBreak/>
              <w:t>Therapeutic Goods Administration</w:t>
            </w:r>
          </w:p>
        </w:tc>
      </w:tr>
      <w:tr w:rsidR="00F02AEC" w:rsidRPr="00215D48" w14:paraId="70F47EA1" w14:textId="77777777" w:rsidTr="007452E8">
        <w:trPr>
          <w:trHeight w:val="963"/>
          <w:jc w:val="center"/>
        </w:trPr>
        <w:tc>
          <w:tcPr>
            <w:tcW w:w="9145" w:type="dxa"/>
            <w:tcMar>
              <w:top w:w="28" w:type="dxa"/>
            </w:tcMar>
          </w:tcPr>
          <w:p w14:paraId="3491EBCD" w14:textId="77777777" w:rsidR="00F02AEC" w:rsidRPr="00D46BD9" w:rsidRDefault="00F02AEC" w:rsidP="007452E8">
            <w:pPr>
              <w:pStyle w:val="Address"/>
              <w:jc w:val="center"/>
              <w:rPr>
                <w:rFonts w:cs="Arial"/>
              </w:rPr>
            </w:pPr>
            <w:r w:rsidRPr="00D46BD9">
              <w:rPr>
                <w:rFonts w:cs="Arial"/>
              </w:rPr>
              <w:t>PO Box 100 Woden ACT 2606 Australia</w:t>
            </w:r>
          </w:p>
          <w:p w14:paraId="5D0FE0E7" w14:textId="53CB9479" w:rsidR="00F02AEC" w:rsidRPr="00D46BD9" w:rsidRDefault="00F02AEC">
            <w:pPr>
              <w:pStyle w:val="Address"/>
              <w:jc w:val="center"/>
              <w:rPr>
                <w:rFonts w:cs="Arial"/>
                <w:sz w:val="22"/>
                <w:szCs w:val="22"/>
              </w:rPr>
            </w:pPr>
            <w:r w:rsidRPr="00D46BD9">
              <w:rPr>
                <w:rFonts w:cs="Arial"/>
              </w:rPr>
              <w:t xml:space="preserve">Email: </w:t>
            </w:r>
            <w:hyperlink r:id="rId117" w:history="1">
              <w:r w:rsidRPr="00D46BD9">
                <w:rPr>
                  <w:rStyle w:val="Hyperlink"/>
                  <w:rFonts w:ascii="Arial" w:hAnsi="Arial" w:cs="Arial"/>
                </w:rPr>
                <w:t>info@tga.gov.au</w:t>
              </w:r>
            </w:hyperlink>
            <w:r w:rsidRPr="00D46BD9">
              <w:rPr>
                <w:rFonts w:cs="Arial"/>
              </w:rPr>
              <w:t xml:space="preserve">  Phone: 1800 020 </w:t>
            </w:r>
            <w:proofErr w:type="gramStart"/>
            <w:r w:rsidRPr="00D46BD9">
              <w:rPr>
                <w:rFonts w:cs="Arial"/>
              </w:rPr>
              <w:t>653  Fax</w:t>
            </w:r>
            <w:proofErr w:type="gramEnd"/>
            <w:r w:rsidRPr="00D46BD9">
              <w:rPr>
                <w:rFonts w:cs="Arial"/>
              </w:rPr>
              <w:t>: 02 6203 1605</w:t>
            </w:r>
          </w:p>
          <w:p w14:paraId="4533D80F" w14:textId="1519D7A3" w:rsidR="00F02AEC" w:rsidRPr="00D46BD9" w:rsidRDefault="00F02AEC">
            <w:pPr>
              <w:pStyle w:val="Address"/>
              <w:jc w:val="center"/>
              <w:rPr>
                <w:rStyle w:val="Hyperlink"/>
                <w:rFonts w:ascii="Arial" w:hAnsi="Arial" w:cs="Arial"/>
                <w:b/>
                <w:color w:val="auto"/>
                <w:sz w:val="22"/>
              </w:rPr>
            </w:pPr>
            <w:hyperlink r:id="rId118" w:history="1">
              <w:r w:rsidRPr="00D46BD9">
                <w:rPr>
                  <w:rStyle w:val="Hyperlink"/>
                  <w:rFonts w:ascii="Arial" w:hAnsi="Arial" w:cs="Arial"/>
                  <w:b/>
                </w:rPr>
                <w:t>https://www.tga.gov.au</w:t>
              </w:r>
            </w:hyperlink>
          </w:p>
        </w:tc>
      </w:tr>
      <w:tr w:rsidR="00F02AEC" w:rsidRPr="00215D48" w14:paraId="2AD74347" w14:textId="77777777" w:rsidTr="007452E8">
        <w:trPr>
          <w:trHeight w:val="251"/>
          <w:jc w:val="center"/>
        </w:trPr>
        <w:tc>
          <w:tcPr>
            <w:tcW w:w="9145" w:type="dxa"/>
            <w:tcMar>
              <w:top w:w="28" w:type="dxa"/>
            </w:tcMar>
          </w:tcPr>
          <w:p w14:paraId="6EAAD5C1" w14:textId="4770EF8D" w:rsidR="00F02AEC" w:rsidRPr="00215D48" w:rsidRDefault="00F02AEC" w:rsidP="007452E8">
            <w:pPr>
              <w:pStyle w:val="Address"/>
              <w:jc w:val="center"/>
            </w:pPr>
          </w:p>
        </w:tc>
      </w:tr>
    </w:tbl>
    <w:p w14:paraId="788B80FD" w14:textId="77777777" w:rsidR="007452E8" w:rsidRDefault="007452E8"/>
    <w:sectPr w:rsidR="007452E8" w:rsidSect="007452E8">
      <w:headerReference w:type="first" r:id="rId119"/>
      <w:footerReference w:type="first" r:id="rId120"/>
      <w:pgSz w:w="11906" w:h="16838" w:code="9"/>
      <w:pgMar w:top="13571" w:right="1701" w:bottom="567" w:left="1701" w:header="1134" w:footer="7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1B090C" w14:textId="77777777" w:rsidR="008A55C4" w:rsidRDefault="008A55C4" w:rsidP="00F02AEC">
      <w:pPr>
        <w:spacing w:after="0" w:line="240" w:lineRule="auto"/>
      </w:pPr>
      <w:r>
        <w:separator/>
      </w:r>
    </w:p>
  </w:endnote>
  <w:endnote w:type="continuationSeparator" w:id="0">
    <w:p w14:paraId="786A2A77" w14:textId="77777777" w:rsidR="008A55C4" w:rsidRDefault="008A55C4" w:rsidP="00F02A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7452E8" w:rsidRPr="00257138" w14:paraId="162D69C2" w14:textId="77777777" w:rsidTr="007452E8">
      <w:trPr>
        <w:trHeight w:val="423"/>
      </w:trPr>
      <w:tc>
        <w:tcPr>
          <w:tcW w:w="4360" w:type="dxa"/>
          <w:tcBorders>
            <w:top w:val="single" w:sz="4" w:space="0" w:color="auto"/>
          </w:tcBorders>
        </w:tcPr>
        <w:p w14:paraId="32E1B782" w14:textId="77777777" w:rsidR="007452E8" w:rsidRDefault="007452E8" w:rsidP="007452E8">
          <w:pPr>
            <w:pStyle w:val="Footer"/>
          </w:pPr>
        </w:p>
        <w:p w14:paraId="1849C07C" w14:textId="77777777" w:rsidR="007452E8" w:rsidRPr="00257138" w:rsidRDefault="007452E8" w:rsidP="007452E8">
          <w:pPr>
            <w:pStyle w:val="Footer"/>
          </w:pPr>
          <w:r w:rsidRPr="00257138">
            <w:t>Document title</w:t>
          </w:r>
        </w:p>
      </w:tc>
      <w:tc>
        <w:tcPr>
          <w:tcW w:w="4360" w:type="dxa"/>
          <w:tcBorders>
            <w:top w:val="single" w:sz="4" w:space="0" w:color="auto"/>
          </w:tcBorders>
        </w:tcPr>
        <w:sdt>
          <w:sdtPr>
            <w:id w:val="1087729233"/>
            <w:docPartObj>
              <w:docPartGallery w:val="Page Numbers (Top of Page)"/>
              <w:docPartUnique/>
            </w:docPartObj>
          </w:sdtPr>
          <w:sdtEndPr/>
          <w:sdtContent>
            <w:p w14:paraId="606A08BF" w14:textId="77777777" w:rsidR="007452E8" w:rsidRDefault="007452E8" w:rsidP="007452E8">
              <w:pPr>
                <w:pStyle w:val="Footer"/>
                <w:jc w:val="right"/>
              </w:pPr>
            </w:p>
            <w:p w14:paraId="5EDE6DF6" w14:textId="77777777" w:rsidR="007452E8" w:rsidRPr="00257138" w:rsidRDefault="007452E8" w:rsidP="007452E8">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r w:rsidR="007F1E37">
                <w:fldChar w:fldCharType="begin"/>
              </w:r>
              <w:r w:rsidR="007F1E37">
                <w:instrText xml:space="preserve"> NUMPAGES  </w:instrText>
              </w:r>
              <w:r w:rsidR="007F1E37">
                <w:fldChar w:fldCharType="separate"/>
              </w:r>
              <w:r>
                <w:rPr>
                  <w:noProof/>
                </w:rPr>
                <w:t>2</w:t>
              </w:r>
              <w:r w:rsidR="007F1E37">
                <w:rPr>
                  <w:noProof/>
                </w:rPr>
                <w:fldChar w:fldCharType="end"/>
              </w:r>
            </w:p>
          </w:sdtContent>
        </w:sdt>
      </w:tc>
    </w:tr>
    <w:tr w:rsidR="007452E8" w:rsidRPr="00257138" w14:paraId="280F09C8" w14:textId="77777777" w:rsidTr="007452E8">
      <w:trPr>
        <w:trHeight w:val="263"/>
      </w:trPr>
      <w:tc>
        <w:tcPr>
          <w:tcW w:w="4360" w:type="dxa"/>
        </w:tcPr>
        <w:p w14:paraId="673F06D3" w14:textId="77777777" w:rsidR="007452E8" w:rsidRPr="00257138" w:rsidRDefault="007452E8" w:rsidP="007452E8">
          <w:pPr>
            <w:pStyle w:val="Footer"/>
          </w:pPr>
          <w:r w:rsidRPr="00257138">
            <w:t xml:space="preserve">V1.0 </w:t>
          </w:r>
          <w:r>
            <w:t>Month</w:t>
          </w:r>
          <w:r w:rsidRPr="00257138">
            <w:t xml:space="preserve"> 201</w:t>
          </w:r>
          <w:r>
            <w:t>2</w:t>
          </w:r>
        </w:p>
      </w:tc>
      <w:tc>
        <w:tcPr>
          <w:tcW w:w="4360" w:type="dxa"/>
        </w:tcPr>
        <w:p w14:paraId="77F5B433" w14:textId="77777777" w:rsidR="007452E8" w:rsidRPr="00257138" w:rsidRDefault="007452E8" w:rsidP="007452E8">
          <w:pPr>
            <w:pStyle w:val="Footer"/>
            <w:jc w:val="right"/>
          </w:pPr>
        </w:p>
      </w:tc>
    </w:tr>
  </w:tbl>
  <w:p w14:paraId="63F6FDDE" w14:textId="77777777" w:rsidR="007452E8" w:rsidRPr="00826007" w:rsidRDefault="007452E8" w:rsidP="007452E8">
    <w:pPr>
      <w:pStyle w:val="Footer"/>
      <w:tabs>
        <w:tab w:val="left" w:pos="7620"/>
        <w:tab w:val="right" w:pos="8504"/>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AA29C" w14:textId="77777777" w:rsidR="007452E8" w:rsidRDefault="007452E8" w:rsidP="007452E8">
    <w:pPr>
      <w:pStyle w:val="Footer"/>
      <w:ind w:left="-1701"/>
    </w:pPr>
    <w:r w:rsidRPr="002B29B2">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740"/>
      <w:gridCol w:w="1620"/>
    </w:tblGrid>
    <w:tr w:rsidR="007452E8" w:rsidRPr="004A3084" w14:paraId="6266BC33" w14:textId="77777777" w:rsidTr="006F13CF">
      <w:trPr>
        <w:trHeight w:val="423"/>
      </w:trPr>
      <w:tc>
        <w:tcPr>
          <w:tcW w:w="7740" w:type="dxa"/>
          <w:tcBorders>
            <w:top w:val="single" w:sz="4" w:space="0" w:color="auto"/>
          </w:tcBorders>
        </w:tcPr>
        <w:p w14:paraId="3C421323" w14:textId="238D16A4" w:rsidR="007452E8" w:rsidRPr="004A3084" w:rsidRDefault="007452E8" w:rsidP="007452E8">
          <w:pPr>
            <w:pStyle w:val="Footer"/>
          </w:pPr>
          <w:r w:rsidRPr="00487162">
            <w:t>AusPA</w:t>
          </w:r>
          <w:r>
            <w:t xml:space="preserve">R - </w:t>
          </w:r>
          <w:r w:rsidR="00DA79A2">
            <w:t>AWIQLI</w:t>
          </w:r>
          <w:r w:rsidR="00EA40EC" w:rsidRPr="00EA40EC">
            <w:t xml:space="preserve"> </w:t>
          </w:r>
          <w:r w:rsidR="00964DEA">
            <w:t>–</w:t>
          </w:r>
          <w:r w:rsidR="00EA40EC">
            <w:t xml:space="preserve"> </w:t>
          </w:r>
          <w:r w:rsidR="00964DEA">
            <w:t xml:space="preserve">insulin </w:t>
          </w:r>
          <w:proofErr w:type="spellStart"/>
          <w:r w:rsidR="00964DEA">
            <w:t>icodec</w:t>
          </w:r>
          <w:proofErr w:type="spellEnd"/>
          <w:r w:rsidR="00EA40EC">
            <w:t xml:space="preserve"> </w:t>
          </w:r>
          <w:r w:rsidR="008C754C">
            <w:t>-</w:t>
          </w:r>
          <w:r>
            <w:t xml:space="preserve"> </w:t>
          </w:r>
          <w:r w:rsidR="006F13CF" w:rsidRPr="006F13CF">
            <w:t xml:space="preserve">Novo Nordisk Pharmaceuticals Pty Ltd </w:t>
          </w:r>
          <w:r w:rsidR="006F13CF">
            <w:t>–</w:t>
          </w:r>
          <w:r>
            <w:t xml:space="preserve"> </w:t>
          </w:r>
          <w:r w:rsidR="00EA40EC" w:rsidRPr="00EA40EC">
            <w:t>PM-2023-01464-1-5</w:t>
          </w:r>
          <w:r>
            <w:br/>
          </w:r>
          <w:r w:rsidRPr="00487162">
            <w:t>Date of Finalisation</w:t>
          </w:r>
          <w:r w:rsidR="00DA79A2">
            <w:t>: 30 June 2025</w:t>
          </w:r>
        </w:p>
      </w:tc>
      <w:tc>
        <w:tcPr>
          <w:tcW w:w="1620" w:type="dxa"/>
          <w:tcBorders>
            <w:top w:val="single" w:sz="4" w:space="0" w:color="auto"/>
          </w:tcBorders>
        </w:tcPr>
        <w:sdt>
          <w:sdtPr>
            <w:id w:val="11571659"/>
            <w:docPartObj>
              <w:docPartGallery w:val="Page Numbers (Top of Page)"/>
              <w:docPartUnique/>
            </w:docPartObj>
          </w:sdtPr>
          <w:sdtEndPr/>
          <w:sdtContent>
            <w:p w14:paraId="4DE4ED0C" w14:textId="29F65FFD" w:rsidR="007452E8" w:rsidRPr="004A3084" w:rsidRDefault="007452E8" w:rsidP="007452E8">
              <w:pPr>
                <w:pStyle w:val="Footer"/>
                <w:jc w:val="right"/>
              </w:pPr>
              <w:r w:rsidRPr="004A3084">
                <w:t xml:space="preserve">Page </w:t>
              </w:r>
              <w:r>
                <w:fldChar w:fldCharType="begin"/>
              </w:r>
              <w:r>
                <w:instrText xml:space="preserve"> PAGE </w:instrText>
              </w:r>
              <w:r>
                <w:fldChar w:fldCharType="separate"/>
              </w:r>
              <w:r w:rsidR="006D6B44">
                <w:rPr>
                  <w:noProof/>
                </w:rPr>
                <w:t>13</w:t>
              </w:r>
              <w:r>
                <w:rPr>
                  <w:noProof/>
                </w:rPr>
                <w:fldChar w:fldCharType="end"/>
              </w:r>
              <w:r w:rsidRPr="004A3084">
                <w:t xml:space="preserve"> of </w:t>
              </w:r>
              <w:r w:rsidR="007F1E37">
                <w:fldChar w:fldCharType="begin"/>
              </w:r>
              <w:r w:rsidR="007F1E37">
                <w:instrText xml:space="preserve"> NUMPAGES  </w:instrText>
              </w:r>
              <w:r w:rsidR="007F1E37">
                <w:fldChar w:fldCharType="separate"/>
              </w:r>
              <w:r w:rsidR="006D6B44">
                <w:rPr>
                  <w:noProof/>
                </w:rPr>
                <w:t>17</w:t>
              </w:r>
              <w:r w:rsidR="007F1E37">
                <w:rPr>
                  <w:noProof/>
                </w:rPr>
                <w:fldChar w:fldCharType="end"/>
              </w:r>
            </w:p>
          </w:sdtContent>
        </w:sdt>
      </w:tc>
    </w:tr>
  </w:tbl>
  <w:p w14:paraId="1A4EDE60" w14:textId="77777777" w:rsidR="007452E8" w:rsidRPr="00826007" w:rsidRDefault="007452E8" w:rsidP="007452E8">
    <w:pPr>
      <w:pStyle w:val="Footer"/>
      <w:tabs>
        <w:tab w:val="left" w:pos="7620"/>
        <w:tab w:val="right" w:pos="8504"/>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3F70A" w14:textId="77777777" w:rsidR="007452E8" w:rsidRPr="008E3C43" w:rsidRDefault="007452E8" w:rsidP="007452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2B2266" w14:textId="77777777" w:rsidR="008A55C4" w:rsidRDefault="008A55C4" w:rsidP="00F02AEC">
      <w:pPr>
        <w:spacing w:after="0" w:line="240" w:lineRule="auto"/>
      </w:pPr>
      <w:r>
        <w:separator/>
      </w:r>
    </w:p>
  </w:footnote>
  <w:footnote w:type="continuationSeparator" w:id="0">
    <w:p w14:paraId="07B0D9CE" w14:textId="77777777" w:rsidR="008A55C4" w:rsidRDefault="008A55C4" w:rsidP="00F02AEC">
      <w:pPr>
        <w:spacing w:after="0" w:line="240" w:lineRule="auto"/>
      </w:pPr>
      <w:r>
        <w:continuationSeparator/>
      </w:r>
    </w:p>
  </w:footnote>
  <w:footnote w:id="1">
    <w:p w14:paraId="68402A9B" w14:textId="42E6F8E0" w:rsidR="007452E8" w:rsidRPr="00A93DC6" w:rsidRDefault="007452E8">
      <w:pPr>
        <w:pStyle w:val="FootnoteText"/>
        <w:rPr>
          <w:lang w:val="en-GB"/>
        </w:rPr>
      </w:pPr>
      <w:r>
        <w:rPr>
          <w:rStyle w:val="FootnoteReference"/>
        </w:rPr>
        <w:footnoteRef/>
      </w:r>
      <w:r>
        <w:t xml:space="preserve"> </w:t>
      </w:r>
      <w:r w:rsidR="00FB236E">
        <w:t>This is the original indication proposed by the sponsor</w:t>
      </w:r>
      <w:r w:rsidR="00FB236E">
        <w:rPr>
          <w:lang w:val="en-GB"/>
        </w:rPr>
        <w:t xml:space="preserve"> when the TGA commenced the evaluation of this submission. It </w:t>
      </w:r>
      <w:r w:rsidRPr="007452E8">
        <w:rPr>
          <w:lang w:val="en-GB"/>
        </w:rPr>
        <w:t xml:space="preserve">may </w:t>
      </w:r>
      <w:r w:rsidR="00FB236E">
        <w:rPr>
          <w:lang w:val="en-GB"/>
        </w:rPr>
        <w:t>differ</w:t>
      </w:r>
      <w:r w:rsidRPr="007452E8">
        <w:rPr>
          <w:lang w:val="en-GB"/>
        </w:rPr>
        <w:t xml:space="preserve"> to the final indication approved by th</w:t>
      </w:r>
      <w:r w:rsidR="00FB236E">
        <w:rPr>
          <w:lang w:val="en-GB"/>
        </w:rPr>
        <w:t xml:space="preserve">e TGA and registered </w:t>
      </w:r>
      <w:r w:rsidR="005C4B46">
        <w:rPr>
          <w:lang w:val="en-GB"/>
        </w:rPr>
        <w:t xml:space="preserve">in </w:t>
      </w:r>
      <w:r w:rsidR="00FB236E">
        <w:rPr>
          <w:lang w:val="en-GB"/>
        </w:rPr>
        <w:t>the Australian Register of Therapeutic Goods.</w:t>
      </w:r>
    </w:p>
  </w:footnote>
  <w:footnote w:id="2">
    <w:p w14:paraId="5F31BD29" w14:textId="089BC696" w:rsidR="00E61E69" w:rsidRDefault="00E61E69">
      <w:pPr>
        <w:pStyle w:val="FootnoteText"/>
      </w:pPr>
      <w:bookmarkStart w:id="36" w:name="_Hlk201223159"/>
      <w:r>
        <w:rPr>
          <w:rStyle w:val="FootnoteReference"/>
        </w:rPr>
        <w:footnoteRef/>
      </w:r>
      <w:r>
        <w:t xml:space="preserve"> </w:t>
      </w:r>
      <w:r w:rsidR="00E304A7" w:rsidRPr="00E304A7">
        <w:t xml:space="preserve">International Conference </w:t>
      </w:r>
      <w:r w:rsidR="00E14D99">
        <w:t>o</w:t>
      </w:r>
      <w:r w:rsidR="00E304A7" w:rsidRPr="00E304A7">
        <w:t xml:space="preserve">n Harmonisation </w:t>
      </w:r>
      <w:r w:rsidR="00E14D99">
        <w:t>o</w:t>
      </w:r>
      <w:r w:rsidR="00E304A7" w:rsidRPr="00E304A7">
        <w:t>f Technical</w:t>
      </w:r>
      <w:r w:rsidR="00E14D99">
        <w:t xml:space="preserve"> </w:t>
      </w:r>
      <w:r w:rsidR="00E14D99" w:rsidRPr="00E14D99">
        <w:t xml:space="preserve">Requirements </w:t>
      </w:r>
      <w:r w:rsidR="00E14D99">
        <w:t>f</w:t>
      </w:r>
      <w:r w:rsidR="00E14D99" w:rsidRPr="00E14D99">
        <w:t xml:space="preserve">or Registration </w:t>
      </w:r>
      <w:r w:rsidR="00E14D99">
        <w:t>o</w:t>
      </w:r>
      <w:r w:rsidR="00E14D99" w:rsidRPr="00E14D99">
        <w:t xml:space="preserve">f Pharmaceuticals </w:t>
      </w:r>
      <w:r w:rsidR="00E14D99">
        <w:t>f</w:t>
      </w:r>
      <w:r w:rsidR="00E14D99" w:rsidRPr="00E14D99">
        <w:t>or Human Use</w:t>
      </w:r>
      <w:r w:rsidR="00E14D99">
        <w:t xml:space="preserve">. </w:t>
      </w:r>
      <w:r w:rsidR="00E304A7">
        <w:t xml:space="preserve"> </w:t>
      </w:r>
      <w:hyperlink r:id="rId1" w:history="1">
        <w:r w:rsidRPr="0059034B">
          <w:rPr>
            <w:rStyle w:val="Hyperlink"/>
          </w:rPr>
          <w:t>ICH S6 (R1)</w:t>
        </w:r>
        <w:r w:rsidR="00E14D99" w:rsidRPr="0059034B">
          <w:rPr>
            <w:rStyle w:val="Hyperlink"/>
          </w:rPr>
          <w:t xml:space="preserve"> </w:t>
        </w:r>
        <w:r w:rsidRPr="0059034B">
          <w:rPr>
            <w:rStyle w:val="Hyperlink"/>
          </w:rPr>
          <w:t>Preclinical safety evaluation of biotechnology-derived pharmaceuticals - Scientific guideline</w:t>
        </w:r>
      </w:hyperlink>
      <w:r>
        <w:t xml:space="preserve">. </w:t>
      </w:r>
      <w:r w:rsidR="0014491B">
        <w:t>June 2011</w:t>
      </w:r>
      <w:bookmarkEnd w:id="36"/>
    </w:p>
  </w:footnote>
  <w:footnote w:id="3">
    <w:p w14:paraId="0FA070CD" w14:textId="46B02CC6" w:rsidR="00022D15" w:rsidRDefault="00022D15">
      <w:pPr>
        <w:pStyle w:val="FootnoteText"/>
      </w:pPr>
      <w:r>
        <w:rPr>
          <w:rStyle w:val="FootnoteReference"/>
        </w:rPr>
        <w:footnoteRef/>
      </w:r>
      <w:r>
        <w:t xml:space="preserve"> </w:t>
      </w:r>
      <w:r w:rsidRPr="00022D15">
        <w:t xml:space="preserve">European Medicines Agency. </w:t>
      </w:r>
      <w:hyperlink r:id="rId2" w:history="1">
        <w:r w:rsidRPr="003A5D61">
          <w:rPr>
            <w:rStyle w:val="Hyperlink"/>
          </w:rPr>
          <w:t>Points to Consider Document on the Non-Clinical Assessment of the Carcinogenic Potential of Insulin Analogues</w:t>
        </w:r>
      </w:hyperlink>
      <w:r w:rsidR="00426265">
        <w:t>. 2002</w:t>
      </w:r>
    </w:p>
  </w:footnote>
  <w:footnote w:id="4">
    <w:p w14:paraId="1EEA7D3F" w14:textId="280468A1" w:rsidR="00972D2C" w:rsidRDefault="00972D2C">
      <w:pPr>
        <w:pStyle w:val="FootnoteText"/>
      </w:pPr>
      <w:r>
        <w:rPr>
          <w:rStyle w:val="FootnoteReference"/>
        </w:rPr>
        <w:footnoteRef/>
      </w:r>
      <w:r>
        <w:t xml:space="preserve"> </w:t>
      </w:r>
      <w:r w:rsidRPr="00972D2C">
        <w:t>TIR = time in range 3.9-10.0 mmol/L (70–180 mg/dL)</w:t>
      </w:r>
    </w:p>
  </w:footnote>
  <w:footnote w:id="5">
    <w:p w14:paraId="04857492" w14:textId="0E08A550" w:rsidR="00513CEE" w:rsidRDefault="00513CEE">
      <w:pPr>
        <w:pStyle w:val="FootnoteText"/>
      </w:pPr>
      <w:r>
        <w:rPr>
          <w:rStyle w:val="FootnoteReference"/>
        </w:rPr>
        <w:footnoteRef/>
      </w:r>
      <w:r>
        <w:t xml:space="preserve"> </w:t>
      </w:r>
      <w:r w:rsidRPr="00513CEE">
        <w:t>Δ = change from baseline</w:t>
      </w:r>
    </w:p>
  </w:footnote>
  <w:footnote w:id="6">
    <w:p w14:paraId="3C4F8C11" w14:textId="0A521E4C" w:rsidR="003C46C0" w:rsidRDefault="003C46C0">
      <w:pPr>
        <w:pStyle w:val="FootnoteText"/>
      </w:pPr>
      <w:r>
        <w:rPr>
          <w:rStyle w:val="FootnoteReference"/>
        </w:rPr>
        <w:footnoteRef/>
      </w:r>
      <w:r>
        <w:t xml:space="preserve"> </w:t>
      </w:r>
      <w:r w:rsidRPr="003C46C0">
        <w:t>ETD = estimated treatment difference vs. once-daily insulin glargine U100</w:t>
      </w:r>
    </w:p>
  </w:footnote>
  <w:footnote w:id="7">
    <w:p w14:paraId="1B9A2D18" w14:textId="3CCD4134" w:rsidR="00A73494" w:rsidRDefault="00A73494">
      <w:pPr>
        <w:pStyle w:val="FootnoteText"/>
      </w:pPr>
      <w:r>
        <w:rPr>
          <w:rStyle w:val="FootnoteReference"/>
        </w:rPr>
        <w:footnoteRef/>
      </w:r>
      <w:r>
        <w:t xml:space="preserve"> Δ=change from baseline</w:t>
      </w:r>
    </w:p>
  </w:footnote>
  <w:footnote w:id="8">
    <w:p w14:paraId="180DDDEE" w14:textId="223FBA20" w:rsidR="000B4DF1" w:rsidRDefault="000B4DF1">
      <w:pPr>
        <w:pStyle w:val="FootnoteText"/>
      </w:pPr>
      <w:r>
        <w:rPr>
          <w:rStyle w:val="FootnoteReference"/>
        </w:rPr>
        <w:footnoteRef/>
      </w:r>
      <w:r>
        <w:t xml:space="preserve"> </w:t>
      </w:r>
      <w:r w:rsidRPr="000B4DF1">
        <w:t>HbA1c ≥7.0 -≤10.0% (≥53.0 - ≤85.8 mmol/mol)</w:t>
      </w:r>
    </w:p>
  </w:footnote>
  <w:footnote w:id="9">
    <w:p w14:paraId="4ED148EF" w14:textId="058E6DF3" w:rsidR="00ED6983" w:rsidRDefault="00ED6983">
      <w:pPr>
        <w:pStyle w:val="FootnoteText"/>
      </w:pPr>
      <w:r>
        <w:rPr>
          <w:rStyle w:val="FootnoteReference"/>
        </w:rPr>
        <w:footnoteRef/>
      </w:r>
      <w:r>
        <w:t xml:space="preserve"> </w:t>
      </w:r>
      <w:r w:rsidRPr="00ED6983">
        <w:t>FGM = flash glucose monitoring which means that (interstitial) glucose levels are followed using small glucose sensor. The synonym intermittent scanning GM refers to the fact that information about glucose levels can read out at user’s convenience (e.g., by means of a mo</w:t>
      </w:r>
      <w:r>
        <w:t>b</w:t>
      </w:r>
      <w:r w:rsidRPr="00ED6983">
        <w:t xml:space="preserve">ile phone </w:t>
      </w:r>
      <w:r>
        <w:t>a</w:t>
      </w:r>
      <w:r w:rsidRPr="00ED6983">
        <w:t>pp).</w:t>
      </w:r>
    </w:p>
  </w:footnote>
  <w:footnote w:id="10">
    <w:p w14:paraId="4A0C0F5B" w14:textId="3183E941" w:rsidR="005A2C6E" w:rsidRDefault="005A2C6E">
      <w:pPr>
        <w:pStyle w:val="FootnoteText"/>
      </w:pPr>
      <w:r>
        <w:rPr>
          <w:rStyle w:val="FootnoteReference"/>
        </w:rPr>
        <w:footnoteRef/>
      </w:r>
      <w:r>
        <w:t xml:space="preserve"> </w:t>
      </w:r>
      <w:r w:rsidRPr="005A2C6E">
        <w:t>Based on the CGM parameter « time spent &gt; 10 mmol/l (180 mg/dL)</w:t>
      </w:r>
    </w:p>
  </w:footnote>
  <w:footnote w:id="11">
    <w:p w14:paraId="59840DEF" w14:textId="2C676774" w:rsidR="00747E3B" w:rsidRDefault="00747E3B">
      <w:pPr>
        <w:pStyle w:val="FootnoteText"/>
      </w:pPr>
      <w:r>
        <w:rPr>
          <w:rStyle w:val="FootnoteReference"/>
        </w:rPr>
        <w:footnoteRef/>
      </w:r>
      <w:r>
        <w:t xml:space="preserve"> </w:t>
      </w:r>
      <w:r w:rsidRPr="00747E3B">
        <w:t>Based on the CGM parameter « time spent &lt; 3 mmol/l (54 mg/dL)</w:t>
      </w:r>
    </w:p>
  </w:footnote>
  <w:footnote w:id="12">
    <w:p w14:paraId="1FD1D0B6" w14:textId="5DD8EC22" w:rsidR="00D634DB" w:rsidRDefault="00D634DB">
      <w:pPr>
        <w:pStyle w:val="FootnoteText"/>
      </w:pPr>
      <w:r>
        <w:rPr>
          <w:rStyle w:val="FootnoteReference"/>
        </w:rPr>
        <w:footnoteRef/>
      </w:r>
      <w:r>
        <w:t xml:space="preserve"> </w:t>
      </w:r>
      <w:r w:rsidRPr="00D634DB">
        <w:t>The latter in in contrast to the findings in patients with T2DM</w:t>
      </w:r>
    </w:p>
  </w:footnote>
  <w:footnote w:id="13">
    <w:p w14:paraId="5C9E082E" w14:textId="2B8FED2D" w:rsidR="000A12D4" w:rsidRDefault="000A12D4">
      <w:pPr>
        <w:pStyle w:val="FootnoteText"/>
      </w:pPr>
      <w:r>
        <w:rPr>
          <w:rStyle w:val="FootnoteReference"/>
        </w:rPr>
        <w:footnoteRef/>
      </w:r>
      <w:r>
        <w:t xml:space="preserve"> </w:t>
      </w:r>
      <w:r w:rsidRPr="000A12D4">
        <w:t>An international consensus defines TIR as the time that glucose readings are within the target glucose range of 70–180 mg/dL (3.9–10.0 mmol/L). A difference of the change in TIR of ≥3% between treatment groups of a clinical trial is considered as clinically meaningful. Likewise, a change of ≥5% in TIR is considered clinically meaningful in an individual study participant. The treatment goal for both T1DM and T2DM is to spend &gt;70% of time (i.e., 16 h 48 min per day) in the target range (i.e., TIR &gt; 70%).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E3517" w14:textId="77777777" w:rsidR="007452E8" w:rsidRPr="00CB0550" w:rsidRDefault="007452E8" w:rsidP="00CB0550">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7452E8" w:rsidRPr="002B29B2" w14:paraId="3E15C3BC" w14:textId="77777777" w:rsidTr="007452E8">
      <w:trPr>
        <w:trHeight w:hRule="exact" w:val="8845"/>
      </w:trPr>
      <w:tc>
        <w:tcPr>
          <w:tcW w:w="11964" w:type="dxa"/>
          <w:vAlign w:val="center"/>
        </w:tcPr>
        <w:p w14:paraId="6FDE4BFB" w14:textId="77777777" w:rsidR="007452E8" w:rsidRPr="002B29B2" w:rsidRDefault="007E2442" w:rsidP="007452E8">
          <w:pPr>
            <w:ind w:left="-57"/>
            <w:rPr>
              <w:noProof/>
            </w:rPr>
          </w:pPr>
          <w:sdt>
            <w:sdtPr>
              <w:rPr>
                <w:noProof/>
              </w:rPr>
              <w:id w:val="1926993388"/>
              <w:showingPlcHdr/>
              <w:picture/>
            </w:sdtPr>
            <w:sdtEndPr/>
            <w:sdtContent>
              <w:r w:rsidR="007452E8" w:rsidRPr="00F71E1E">
                <w:rPr>
                  <w:noProof/>
                  <w:lang w:val="en-GB" w:eastAsia="en-GB"/>
                </w:rPr>
                <w:drawing>
                  <wp:inline distT="0" distB="0" distL="0" distR="0" wp14:anchorId="5C7F8AC9" wp14:editId="23FC1BBE">
                    <wp:extent cx="7631430" cy="5523865"/>
                    <wp:effectExtent l="0" t="0" r="762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noChangeArrowheads="1"/>
                            </pic:cNvPicPr>
                          </pic:nvPicPr>
                          <pic:blipFill>
                            <a:blip r:embed="rId1" cstate="print"/>
                            <a:srcRect/>
                            <a:stretch>
                              <a:fillRect/>
                            </a:stretch>
                          </pic:blipFill>
                          <pic:spPr bwMode="auto">
                            <a:xfrm>
                              <a:off x="0" y="0"/>
                              <a:ext cx="7631430" cy="5523865"/>
                            </a:xfrm>
                            <a:prstGeom prst="rect">
                              <a:avLst/>
                            </a:prstGeom>
                            <a:noFill/>
                            <a:ln w="9525">
                              <a:noFill/>
                              <a:miter lim="800000"/>
                              <a:headEnd/>
                              <a:tailEnd/>
                            </a:ln>
                          </pic:spPr>
                        </pic:pic>
                      </a:graphicData>
                    </a:graphic>
                  </wp:inline>
                </w:drawing>
              </w:r>
            </w:sdtContent>
          </w:sdt>
        </w:p>
      </w:tc>
    </w:tr>
  </w:tbl>
  <w:p w14:paraId="6402DE55" w14:textId="38802056" w:rsidR="007452E8" w:rsidRDefault="0006693A" w:rsidP="007452E8">
    <w:pPr>
      <w:rPr>
        <w:noProof/>
      </w:rPr>
    </w:pPr>
    <w:r>
      <w:rPr>
        <w:noProof/>
      </w:rPr>
      <w:drawing>
        <wp:inline distT="0" distB="0" distL="0" distR="0" wp14:anchorId="26654E9F" wp14:editId="78E105AB">
          <wp:extent cx="3344545" cy="694055"/>
          <wp:effectExtent l="0" t="0" r="8255" b="0"/>
          <wp:docPr id="159602786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27861" name="Picture 2" descr="A black background with a black square&#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44545" cy="694055"/>
                  </a:xfrm>
                  <a:prstGeom prst="rect">
                    <a:avLst/>
                  </a:prstGeom>
                  <a:noFill/>
                  <a:ln>
                    <a:noFill/>
                  </a:ln>
                </pic:spPr>
              </pic:pic>
            </a:graphicData>
          </a:graphic>
        </wp:inline>
      </w:drawing>
    </w:r>
    <w:r w:rsidR="007452E8" w:rsidRPr="002B29B2">
      <w:rPr>
        <w:noProof/>
        <w:lang w:val="en-GB" w:eastAsia="en-GB"/>
      </w:rPr>
      <w:drawing>
        <wp:anchor distT="0" distB="0" distL="114300" distR="114300" simplePos="0" relativeHeight="251660288" behindDoc="0" locked="0" layoutInCell="0" allowOverlap="1" wp14:anchorId="14BBEAC1" wp14:editId="5D9F0498">
          <wp:simplePos x="0" y="0"/>
          <wp:positionH relativeFrom="page">
            <wp:align>left</wp:align>
          </wp:positionH>
          <wp:positionV relativeFrom="page">
            <wp:posOffset>3239495</wp:posOffset>
          </wp:positionV>
          <wp:extent cx="7663815" cy="4323091"/>
          <wp:effectExtent l="0" t="0" r="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7663815" cy="43230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1632D" w14:textId="77777777" w:rsidR="007452E8" w:rsidRDefault="007452E8" w:rsidP="007452E8">
    <w:pPr>
      <w:pStyle w:val="Header"/>
    </w:pPr>
    <w:r w:rsidRPr="000F5176">
      <w:t>Therapeutic Goods Administration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477B" w14:textId="77777777" w:rsidR="007452E8" w:rsidRPr="00FE501F" w:rsidRDefault="007452E8" w:rsidP="007452E8">
    <w:pPr>
      <w:pStyle w:val="Headernoli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053F11"/>
    <w:multiLevelType w:val="multilevel"/>
    <w:tmpl w:val="9B4A173E"/>
    <w:styleLink w:val="NumberBullet"/>
    <w:lvl w:ilvl="0">
      <w:start w:val="1"/>
      <w:numFmt w:val="decimal"/>
      <w:pStyle w:val="Numberbullet0"/>
      <w:lvlText w:val="%1."/>
      <w:lvlJc w:val="left"/>
      <w:pPr>
        <w:ind w:left="360" w:hanging="360"/>
      </w:pPr>
      <w:rPr>
        <w:rFonts w:ascii="Arial" w:hAnsi="Arial" w:hint="default"/>
      </w:rPr>
    </w:lvl>
    <w:lvl w:ilvl="1">
      <w:start w:val="1"/>
      <w:numFmt w:val="lowerLetter"/>
      <w:pStyle w:val="Numberbullet2"/>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 w15:restartNumberingAfterBreak="0">
    <w:nsid w:val="11954162"/>
    <w:multiLevelType w:val="hybridMultilevel"/>
    <w:tmpl w:val="21E0E150"/>
    <w:lvl w:ilvl="0" w:tplc="66A8C192">
      <w:start w:val="1"/>
      <w:numFmt w:val="bullet"/>
      <w:lvlText w:val=""/>
      <w:lvlJc w:val="left"/>
      <w:pPr>
        <w:ind w:left="720" w:hanging="360"/>
      </w:pPr>
      <w:rPr>
        <w:rFonts w:ascii="Symbol" w:hAnsi="Symbol"/>
      </w:rPr>
    </w:lvl>
    <w:lvl w:ilvl="1" w:tplc="816C6ABA">
      <w:start w:val="1"/>
      <w:numFmt w:val="bullet"/>
      <w:lvlText w:val=""/>
      <w:lvlJc w:val="left"/>
      <w:pPr>
        <w:ind w:left="720" w:hanging="360"/>
      </w:pPr>
      <w:rPr>
        <w:rFonts w:ascii="Symbol" w:hAnsi="Symbol"/>
      </w:rPr>
    </w:lvl>
    <w:lvl w:ilvl="2" w:tplc="FA228082">
      <w:start w:val="1"/>
      <w:numFmt w:val="bullet"/>
      <w:lvlText w:val=""/>
      <w:lvlJc w:val="left"/>
      <w:pPr>
        <w:ind w:left="720" w:hanging="360"/>
      </w:pPr>
      <w:rPr>
        <w:rFonts w:ascii="Symbol" w:hAnsi="Symbol"/>
      </w:rPr>
    </w:lvl>
    <w:lvl w:ilvl="3" w:tplc="5FFA528C">
      <w:start w:val="1"/>
      <w:numFmt w:val="bullet"/>
      <w:lvlText w:val=""/>
      <w:lvlJc w:val="left"/>
      <w:pPr>
        <w:ind w:left="720" w:hanging="360"/>
      </w:pPr>
      <w:rPr>
        <w:rFonts w:ascii="Symbol" w:hAnsi="Symbol"/>
      </w:rPr>
    </w:lvl>
    <w:lvl w:ilvl="4" w:tplc="1ADE0C1E">
      <w:start w:val="1"/>
      <w:numFmt w:val="bullet"/>
      <w:lvlText w:val=""/>
      <w:lvlJc w:val="left"/>
      <w:pPr>
        <w:ind w:left="720" w:hanging="360"/>
      </w:pPr>
      <w:rPr>
        <w:rFonts w:ascii="Symbol" w:hAnsi="Symbol"/>
      </w:rPr>
    </w:lvl>
    <w:lvl w:ilvl="5" w:tplc="1FC2A16A">
      <w:start w:val="1"/>
      <w:numFmt w:val="bullet"/>
      <w:lvlText w:val=""/>
      <w:lvlJc w:val="left"/>
      <w:pPr>
        <w:ind w:left="720" w:hanging="360"/>
      </w:pPr>
      <w:rPr>
        <w:rFonts w:ascii="Symbol" w:hAnsi="Symbol"/>
      </w:rPr>
    </w:lvl>
    <w:lvl w:ilvl="6" w:tplc="CC9273EE">
      <w:start w:val="1"/>
      <w:numFmt w:val="bullet"/>
      <w:lvlText w:val=""/>
      <w:lvlJc w:val="left"/>
      <w:pPr>
        <w:ind w:left="720" w:hanging="360"/>
      </w:pPr>
      <w:rPr>
        <w:rFonts w:ascii="Symbol" w:hAnsi="Symbol"/>
      </w:rPr>
    </w:lvl>
    <w:lvl w:ilvl="7" w:tplc="D0167D44">
      <w:start w:val="1"/>
      <w:numFmt w:val="bullet"/>
      <w:lvlText w:val=""/>
      <w:lvlJc w:val="left"/>
      <w:pPr>
        <w:ind w:left="720" w:hanging="360"/>
      </w:pPr>
      <w:rPr>
        <w:rFonts w:ascii="Symbol" w:hAnsi="Symbol"/>
      </w:rPr>
    </w:lvl>
    <w:lvl w:ilvl="8" w:tplc="19C639C8">
      <w:start w:val="1"/>
      <w:numFmt w:val="bullet"/>
      <w:lvlText w:val=""/>
      <w:lvlJc w:val="left"/>
      <w:pPr>
        <w:ind w:left="720" w:hanging="360"/>
      </w:pPr>
      <w:rPr>
        <w:rFonts w:ascii="Symbol" w:hAnsi="Symbol"/>
      </w:rPr>
    </w:lvl>
  </w:abstractNum>
  <w:abstractNum w:abstractNumId="2" w15:restartNumberingAfterBreak="0">
    <w:nsid w:val="163F187C"/>
    <w:multiLevelType w:val="hybridMultilevel"/>
    <w:tmpl w:val="20409048"/>
    <w:lvl w:ilvl="0" w:tplc="669A989C">
      <w:start w:val="4"/>
      <w:numFmt w:val="bullet"/>
      <w:pStyle w:val="ListBullet3"/>
      <w:lvlText w:val="▪"/>
      <w:lvlJc w:val="left"/>
      <w:pPr>
        <w:ind w:left="1571" w:hanging="360"/>
      </w:pPr>
      <w:rPr>
        <w:rFonts w:ascii="Arial" w:eastAsia="Cambria" w:hAnsi="Aria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3" w15:restartNumberingAfterBreak="0">
    <w:nsid w:val="168F13E9"/>
    <w:multiLevelType w:val="multilevel"/>
    <w:tmpl w:val="520883D8"/>
    <w:styleLink w:val="ListBullets"/>
    <w:lvl w:ilvl="0">
      <w:start w:val="4"/>
      <w:numFmt w:val="bullet"/>
      <w:pStyle w:val="ListBullet"/>
      <w:lvlText w:val="•"/>
      <w:lvlJc w:val="left"/>
      <w:pPr>
        <w:ind w:left="360" w:hanging="360"/>
      </w:pPr>
      <w:rPr>
        <w:rFonts w:ascii="Cambria" w:eastAsia="Cambria" w:hAnsi="Cambria" w:hint="default"/>
      </w:rPr>
    </w:lvl>
    <w:lvl w:ilvl="1">
      <w:start w:val="1"/>
      <w:numFmt w:val="bullet"/>
      <w:pStyle w:val="ListBullet2"/>
      <w:lvlText w:val="–"/>
      <w:lvlJc w:val="left"/>
      <w:pPr>
        <w:ind w:left="720" w:hanging="360"/>
      </w:pPr>
      <w:rPr>
        <w:rFonts w:ascii="Arial" w:hAnsi="Arial"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 w15:restartNumberingAfterBreak="0">
    <w:nsid w:val="17A53F58"/>
    <w:multiLevelType w:val="hybridMultilevel"/>
    <w:tmpl w:val="9006CE9C"/>
    <w:lvl w:ilvl="0" w:tplc="CCE608D2">
      <w:start w:val="1"/>
      <w:numFmt w:val="bullet"/>
      <w:lvlText w:val=""/>
      <w:lvlJc w:val="left"/>
      <w:pPr>
        <w:ind w:left="720" w:hanging="360"/>
      </w:pPr>
      <w:rPr>
        <w:rFonts w:ascii="Symbol" w:hAnsi="Symbol"/>
      </w:rPr>
    </w:lvl>
    <w:lvl w:ilvl="1" w:tplc="DD000D32">
      <w:start w:val="1"/>
      <w:numFmt w:val="bullet"/>
      <w:lvlText w:val=""/>
      <w:lvlJc w:val="left"/>
      <w:pPr>
        <w:ind w:left="720" w:hanging="360"/>
      </w:pPr>
      <w:rPr>
        <w:rFonts w:ascii="Symbol" w:hAnsi="Symbol"/>
      </w:rPr>
    </w:lvl>
    <w:lvl w:ilvl="2" w:tplc="B9A68454">
      <w:start w:val="1"/>
      <w:numFmt w:val="bullet"/>
      <w:lvlText w:val=""/>
      <w:lvlJc w:val="left"/>
      <w:pPr>
        <w:ind w:left="720" w:hanging="360"/>
      </w:pPr>
      <w:rPr>
        <w:rFonts w:ascii="Symbol" w:hAnsi="Symbol"/>
      </w:rPr>
    </w:lvl>
    <w:lvl w:ilvl="3" w:tplc="0F56BB88">
      <w:start w:val="1"/>
      <w:numFmt w:val="bullet"/>
      <w:lvlText w:val=""/>
      <w:lvlJc w:val="left"/>
      <w:pPr>
        <w:ind w:left="720" w:hanging="360"/>
      </w:pPr>
      <w:rPr>
        <w:rFonts w:ascii="Symbol" w:hAnsi="Symbol"/>
      </w:rPr>
    </w:lvl>
    <w:lvl w:ilvl="4" w:tplc="CD46838A">
      <w:start w:val="1"/>
      <w:numFmt w:val="bullet"/>
      <w:lvlText w:val=""/>
      <w:lvlJc w:val="left"/>
      <w:pPr>
        <w:ind w:left="720" w:hanging="360"/>
      </w:pPr>
      <w:rPr>
        <w:rFonts w:ascii="Symbol" w:hAnsi="Symbol"/>
      </w:rPr>
    </w:lvl>
    <w:lvl w:ilvl="5" w:tplc="BBAA1BCC">
      <w:start w:val="1"/>
      <w:numFmt w:val="bullet"/>
      <w:lvlText w:val=""/>
      <w:lvlJc w:val="left"/>
      <w:pPr>
        <w:ind w:left="720" w:hanging="360"/>
      </w:pPr>
      <w:rPr>
        <w:rFonts w:ascii="Symbol" w:hAnsi="Symbol"/>
      </w:rPr>
    </w:lvl>
    <w:lvl w:ilvl="6" w:tplc="BF04908C">
      <w:start w:val="1"/>
      <w:numFmt w:val="bullet"/>
      <w:lvlText w:val=""/>
      <w:lvlJc w:val="left"/>
      <w:pPr>
        <w:ind w:left="720" w:hanging="360"/>
      </w:pPr>
      <w:rPr>
        <w:rFonts w:ascii="Symbol" w:hAnsi="Symbol"/>
      </w:rPr>
    </w:lvl>
    <w:lvl w:ilvl="7" w:tplc="E4DC650E">
      <w:start w:val="1"/>
      <w:numFmt w:val="bullet"/>
      <w:lvlText w:val=""/>
      <w:lvlJc w:val="left"/>
      <w:pPr>
        <w:ind w:left="720" w:hanging="360"/>
      </w:pPr>
      <w:rPr>
        <w:rFonts w:ascii="Symbol" w:hAnsi="Symbol"/>
      </w:rPr>
    </w:lvl>
    <w:lvl w:ilvl="8" w:tplc="2CE8444E">
      <w:start w:val="1"/>
      <w:numFmt w:val="bullet"/>
      <w:lvlText w:val=""/>
      <w:lvlJc w:val="left"/>
      <w:pPr>
        <w:ind w:left="720" w:hanging="360"/>
      </w:pPr>
      <w:rPr>
        <w:rFonts w:ascii="Symbol" w:hAnsi="Symbol"/>
      </w:rPr>
    </w:lvl>
  </w:abstractNum>
  <w:abstractNum w:abstractNumId="5" w15:restartNumberingAfterBreak="0">
    <w:nsid w:val="23FB1C56"/>
    <w:multiLevelType w:val="multilevel"/>
    <w:tmpl w:val="339EBC96"/>
    <w:lvl w:ilvl="0">
      <w:start w:val="1"/>
      <w:numFmt w:val="bullet"/>
      <w:pStyle w:val="ListBullet-dotick"/>
      <w:lvlText w:val=""/>
      <w:lvlJc w:val="left"/>
      <w:pPr>
        <w:ind w:left="360" w:hanging="360"/>
      </w:pPr>
      <w:rPr>
        <w:rFonts w:ascii="Wingdings" w:hAnsi="Wingdings" w:hint="default"/>
        <w:b/>
        <w:i w:val="0"/>
        <w:color w:val="00B050"/>
        <w:sz w:val="24"/>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6" w15:restartNumberingAfterBreak="0">
    <w:nsid w:val="46836578"/>
    <w:multiLevelType w:val="hybridMultilevel"/>
    <w:tmpl w:val="F350D9EC"/>
    <w:lvl w:ilvl="0" w:tplc="B8AAF4A2">
      <w:start w:val="1"/>
      <w:numFmt w:val="bullet"/>
      <w:lvlText w:val=""/>
      <w:lvlJc w:val="left"/>
      <w:pPr>
        <w:ind w:left="720" w:hanging="360"/>
      </w:pPr>
      <w:rPr>
        <w:rFonts w:ascii="Symbol" w:hAnsi="Symbol"/>
      </w:rPr>
    </w:lvl>
    <w:lvl w:ilvl="1" w:tplc="B63ED5FC">
      <w:start w:val="1"/>
      <w:numFmt w:val="bullet"/>
      <w:lvlText w:val=""/>
      <w:lvlJc w:val="left"/>
      <w:pPr>
        <w:ind w:left="720" w:hanging="360"/>
      </w:pPr>
      <w:rPr>
        <w:rFonts w:ascii="Symbol" w:hAnsi="Symbol"/>
      </w:rPr>
    </w:lvl>
    <w:lvl w:ilvl="2" w:tplc="C9C41D84">
      <w:start w:val="1"/>
      <w:numFmt w:val="bullet"/>
      <w:lvlText w:val=""/>
      <w:lvlJc w:val="left"/>
      <w:pPr>
        <w:ind w:left="720" w:hanging="360"/>
      </w:pPr>
      <w:rPr>
        <w:rFonts w:ascii="Symbol" w:hAnsi="Symbol"/>
      </w:rPr>
    </w:lvl>
    <w:lvl w:ilvl="3" w:tplc="A9FCBD70">
      <w:start w:val="1"/>
      <w:numFmt w:val="bullet"/>
      <w:lvlText w:val=""/>
      <w:lvlJc w:val="left"/>
      <w:pPr>
        <w:ind w:left="720" w:hanging="360"/>
      </w:pPr>
      <w:rPr>
        <w:rFonts w:ascii="Symbol" w:hAnsi="Symbol"/>
      </w:rPr>
    </w:lvl>
    <w:lvl w:ilvl="4" w:tplc="28B4DAE8">
      <w:start w:val="1"/>
      <w:numFmt w:val="bullet"/>
      <w:lvlText w:val=""/>
      <w:lvlJc w:val="left"/>
      <w:pPr>
        <w:ind w:left="720" w:hanging="360"/>
      </w:pPr>
      <w:rPr>
        <w:rFonts w:ascii="Symbol" w:hAnsi="Symbol"/>
      </w:rPr>
    </w:lvl>
    <w:lvl w:ilvl="5" w:tplc="7C5A0216">
      <w:start w:val="1"/>
      <w:numFmt w:val="bullet"/>
      <w:lvlText w:val=""/>
      <w:lvlJc w:val="left"/>
      <w:pPr>
        <w:ind w:left="720" w:hanging="360"/>
      </w:pPr>
      <w:rPr>
        <w:rFonts w:ascii="Symbol" w:hAnsi="Symbol"/>
      </w:rPr>
    </w:lvl>
    <w:lvl w:ilvl="6" w:tplc="5D96E20E">
      <w:start w:val="1"/>
      <w:numFmt w:val="bullet"/>
      <w:lvlText w:val=""/>
      <w:lvlJc w:val="left"/>
      <w:pPr>
        <w:ind w:left="720" w:hanging="360"/>
      </w:pPr>
      <w:rPr>
        <w:rFonts w:ascii="Symbol" w:hAnsi="Symbol"/>
      </w:rPr>
    </w:lvl>
    <w:lvl w:ilvl="7" w:tplc="B96E25EA">
      <w:start w:val="1"/>
      <w:numFmt w:val="bullet"/>
      <w:lvlText w:val=""/>
      <w:lvlJc w:val="left"/>
      <w:pPr>
        <w:ind w:left="720" w:hanging="360"/>
      </w:pPr>
      <w:rPr>
        <w:rFonts w:ascii="Symbol" w:hAnsi="Symbol"/>
      </w:rPr>
    </w:lvl>
    <w:lvl w:ilvl="8" w:tplc="ECF04C6A">
      <w:start w:val="1"/>
      <w:numFmt w:val="bullet"/>
      <w:lvlText w:val=""/>
      <w:lvlJc w:val="left"/>
      <w:pPr>
        <w:ind w:left="720" w:hanging="360"/>
      </w:pPr>
      <w:rPr>
        <w:rFonts w:ascii="Symbol" w:hAnsi="Symbol"/>
      </w:rPr>
    </w:lvl>
  </w:abstractNum>
  <w:abstractNum w:abstractNumId="7" w15:restartNumberingAfterBreak="0">
    <w:nsid w:val="4F7912C9"/>
    <w:multiLevelType w:val="multilevel"/>
    <w:tmpl w:val="D6F4F1DE"/>
    <w:lvl w:ilvl="0">
      <w:start w:val="1"/>
      <w:numFmt w:val="bullet"/>
      <w:pStyle w:val="ListBullet-donotcross"/>
      <w:lvlText w:val=""/>
      <w:lvlJc w:val="left"/>
      <w:pPr>
        <w:ind w:left="785" w:hanging="360"/>
      </w:pPr>
      <w:rPr>
        <w:rFonts w:ascii="Wingdings" w:hAnsi="Wingdings" w:hint="default"/>
        <w:b/>
        <w:i w:val="0"/>
        <w:color w:val="800000"/>
        <w:sz w:val="26"/>
        <w:szCs w:val="22"/>
      </w:rPr>
    </w:lvl>
    <w:lvl w:ilvl="1">
      <w:start w:val="1"/>
      <w:numFmt w:val="bullet"/>
      <w:lvlText w:val="–"/>
      <w:lvlJc w:val="left"/>
      <w:pPr>
        <w:ind w:left="720" w:hanging="360"/>
      </w:pPr>
      <w:rPr>
        <w:rFonts w:ascii="Arial" w:hAnsi="Arial" w:cs="Times New Roman"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8" w15:restartNumberingAfterBreak="0">
    <w:nsid w:val="4F8D23DB"/>
    <w:multiLevelType w:val="hybridMultilevel"/>
    <w:tmpl w:val="9A4A81D0"/>
    <w:lvl w:ilvl="0" w:tplc="898EA3AA">
      <w:start w:val="1"/>
      <w:numFmt w:val="bullet"/>
      <w:lvlText w:val=""/>
      <w:lvlJc w:val="left"/>
      <w:pPr>
        <w:ind w:left="720" w:hanging="360"/>
      </w:pPr>
      <w:rPr>
        <w:rFonts w:ascii="Symbol" w:hAnsi="Symbol"/>
      </w:rPr>
    </w:lvl>
    <w:lvl w:ilvl="1" w:tplc="403E12E2">
      <w:start w:val="1"/>
      <w:numFmt w:val="bullet"/>
      <w:lvlText w:val=""/>
      <w:lvlJc w:val="left"/>
      <w:pPr>
        <w:ind w:left="720" w:hanging="360"/>
      </w:pPr>
      <w:rPr>
        <w:rFonts w:ascii="Symbol" w:hAnsi="Symbol"/>
      </w:rPr>
    </w:lvl>
    <w:lvl w:ilvl="2" w:tplc="C678A248">
      <w:start w:val="1"/>
      <w:numFmt w:val="bullet"/>
      <w:lvlText w:val=""/>
      <w:lvlJc w:val="left"/>
      <w:pPr>
        <w:ind w:left="720" w:hanging="360"/>
      </w:pPr>
      <w:rPr>
        <w:rFonts w:ascii="Symbol" w:hAnsi="Symbol"/>
      </w:rPr>
    </w:lvl>
    <w:lvl w:ilvl="3" w:tplc="4EE4EEBA">
      <w:start w:val="1"/>
      <w:numFmt w:val="bullet"/>
      <w:lvlText w:val=""/>
      <w:lvlJc w:val="left"/>
      <w:pPr>
        <w:ind w:left="720" w:hanging="360"/>
      </w:pPr>
      <w:rPr>
        <w:rFonts w:ascii="Symbol" w:hAnsi="Symbol"/>
      </w:rPr>
    </w:lvl>
    <w:lvl w:ilvl="4" w:tplc="F31E8080">
      <w:start w:val="1"/>
      <w:numFmt w:val="bullet"/>
      <w:lvlText w:val=""/>
      <w:lvlJc w:val="left"/>
      <w:pPr>
        <w:ind w:left="720" w:hanging="360"/>
      </w:pPr>
      <w:rPr>
        <w:rFonts w:ascii="Symbol" w:hAnsi="Symbol"/>
      </w:rPr>
    </w:lvl>
    <w:lvl w:ilvl="5" w:tplc="261AFD6A">
      <w:start w:val="1"/>
      <w:numFmt w:val="bullet"/>
      <w:lvlText w:val=""/>
      <w:lvlJc w:val="left"/>
      <w:pPr>
        <w:ind w:left="720" w:hanging="360"/>
      </w:pPr>
      <w:rPr>
        <w:rFonts w:ascii="Symbol" w:hAnsi="Symbol"/>
      </w:rPr>
    </w:lvl>
    <w:lvl w:ilvl="6" w:tplc="94FC1AF8">
      <w:start w:val="1"/>
      <w:numFmt w:val="bullet"/>
      <w:lvlText w:val=""/>
      <w:lvlJc w:val="left"/>
      <w:pPr>
        <w:ind w:left="720" w:hanging="360"/>
      </w:pPr>
      <w:rPr>
        <w:rFonts w:ascii="Symbol" w:hAnsi="Symbol"/>
      </w:rPr>
    </w:lvl>
    <w:lvl w:ilvl="7" w:tplc="FF503C7C">
      <w:start w:val="1"/>
      <w:numFmt w:val="bullet"/>
      <w:lvlText w:val=""/>
      <w:lvlJc w:val="left"/>
      <w:pPr>
        <w:ind w:left="720" w:hanging="360"/>
      </w:pPr>
      <w:rPr>
        <w:rFonts w:ascii="Symbol" w:hAnsi="Symbol"/>
      </w:rPr>
    </w:lvl>
    <w:lvl w:ilvl="8" w:tplc="E8B4BDE6">
      <w:start w:val="1"/>
      <w:numFmt w:val="bullet"/>
      <w:lvlText w:val=""/>
      <w:lvlJc w:val="left"/>
      <w:pPr>
        <w:ind w:left="720" w:hanging="360"/>
      </w:pPr>
      <w:rPr>
        <w:rFonts w:ascii="Symbol" w:hAnsi="Symbol"/>
      </w:rPr>
    </w:lvl>
  </w:abstractNum>
  <w:abstractNum w:abstractNumId="9" w15:restartNumberingAfterBreak="0">
    <w:nsid w:val="50336B0D"/>
    <w:multiLevelType w:val="hybridMultilevel"/>
    <w:tmpl w:val="5D54CD1A"/>
    <w:lvl w:ilvl="0" w:tplc="4EDE096A">
      <w:start w:val="1"/>
      <w:numFmt w:val="lowerRoman"/>
      <w:pStyle w:val="Numberbullet3"/>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59D22096"/>
    <w:multiLevelType w:val="hybridMultilevel"/>
    <w:tmpl w:val="9DF2F518"/>
    <w:lvl w:ilvl="0" w:tplc="480AF4BC">
      <w:start w:val="1"/>
      <w:numFmt w:val="bullet"/>
      <w:lvlText w:val=""/>
      <w:lvlJc w:val="left"/>
      <w:pPr>
        <w:ind w:left="720" w:hanging="360"/>
      </w:pPr>
      <w:rPr>
        <w:rFonts w:ascii="Symbol" w:hAnsi="Symbol"/>
      </w:rPr>
    </w:lvl>
    <w:lvl w:ilvl="1" w:tplc="519064D0">
      <w:start w:val="1"/>
      <w:numFmt w:val="bullet"/>
      <w:lvlText w:val=""/>
      <w:lvlJc w:val="left"/>
      <w:pPr>
        <w:ind w:left="720" w:hanging="360"/>
      </w:pPr>
      <w:rPr>
        <w:rFonts w:ascii="Symbol" w:hAnsi="Symbol"/>
      </w:rPr>
    </w:lvl>
    <w:lvl w:ilvl="2" w:tplc="D5968F16">
      <w:start w:val="1"/>
      <w:numFmt w:val="bullet"/>
      <w:lvlText w:val=""/>
      <w:lvlJc w:val="left"/>
      <w:pPr>
        <w:ind w:left="720" w:hanging="360"/>
      </w:pPr>
      <w:rPr>
        <w:rFonts w:ascii="Symbol" w:hAnsi="Symbol"/>
      </w:rPr>
    </w:lvl>
    <w:lvl w:ilvl="3" w:tplc="E800FA06">
      <w:start w:val="1"/>
      <w:numFmt w:val="bullet"/>
      <w:lvlText w:val=""/>
      <w:lvlJc w:val="left"/>
      <w:pPr>
        <w:ind w:left="720" w:hanging="360"/>
      </w:pPr>
      <w:rPr>
        <w:rFonts w:ascii="Symbol" w:hAnsi="Symbol"/>
      </w:rPr>
    </w:lvl>
    <w:lvl w:ilvl="4" w:tplc="6BCA7B38">
      <w:start w:val="1"/>
      <w:numFmt w:val="bullet"/>
      <w:lvlText w:val=""/>
      <w:lvlJc w:val="left"/>
      <w:pPr>
        <w:ind w:left="720" w:hanging="360"/>
      </w:pPr>
      <w:rPr>
        <w:rFonts w:ascii="Symbol" w:hAnsi="Symbol"/>
      </w:rPr>
    </w:lvl>
    <w:lvl w:ilvl="5" w:tplc="AA40038E">
      <w:start w:val="1"/>
      <w:numFmt w:val="bullet"/>
      <w:lvlText w:val=""/>
      <w:lvlJc w:val="left"/>
      <w:pPr>
        <w:ind w:left="720" w:hanging="360"/>
      </w:pPr>
      <w:rPr>
        <w:rFonts w:ascii="Symbol" w:hAnsi="Symbol"/>
      </w:rPr>
    </w:lvl>
    <w:lvl w:ilvl="6" w:tplc="D34480EE">
      <w:start w:val="1"/>
      <w:numFmt w:val="bullet"/>
      <w:lvlText w:val=""/>
      <w:lvlJc w:val="left"/>
      <w:pPr>
        <w:ind w:left="720" w:hanging="360"/>
      </w:pPr>
      <w:rPr>
        <w:rFonts w:ascii="Symbol" w:hAnsi="Symbol"/>
      </w:rPr>
    </w:lvl>
    <w:lvl w:ilvl="7" w:tplc="BABE86B6">
      <w:start w:val="1"/>
      <w:numFmt w:val="bullet"/>
      <w:lvlText w:val=""/>
      <w:lvlJc w:val="left"/>
      <w:pPr>
        <w:ind w:left="720" w:hanging="360"/>
      </w:pPr>
      <w:rPr>
        <w:rFonts w:ascii="Symbol" w:hAnsi="Symbol"/>
      </w:rPr>
    </w:lvl>
    <w:lvl w:ilvl="8" w:tplc="5AD2833C">
      <w:start w:val="1"/>
      <w:numFmt w:val="bullet"/>
      <w:lvlText w:val=""/>
      <w:lvlJc w:val="left"/>
      <w:pPr>
        <w:ind w:left="720" w:hanging="360"/>
      </w:pPr>
      <w:rPr>
        <w:rFonts w:ascii="Symbol" w:hAnsi="Symbol"/>
      </w:rPr>
    </w:lvl>
  </w:abstractNum>
  <w:abstractNum w:abstractNumId="11" w15:restartNumberingAfterBreak="0">
    <w:nsid w:val="7A6379A9"/>
    <w:multiLevelType w:val="hybridMultilevel"/>
    <w:tmpl w:val="4FE8D072"/>
    <w:lvl w:ilvl="0" w:tplc="40AA1BA0">
      <w:start w:val="1"/>
      <w:numFmt w:val="bullet"/>
      <w:lvlText w:val=""/>
      <w:lvlJc w:val="left"/>
      <w:pPr>
        <w:ind w:left="720" w:hanging="360"/>
      </w:pPr>
      <w:rPr>
        <w:rFonts w:ascii="Symbol" w:hAnsi="Symbol"/>
      </w:rPr>
    </w:lvl>
    <w:lvl w:ilvl="1" w:tplc="15A0EAC8">
      <w:start w:val="1"/>
      <w:numFmt w:val="bullet"/>
      <w:lvlText w:val=""/>
      <w:lvlJc w:val="left"/>
      <w:pPr>
        <w:ind w:left="720" w:hanging="360"/>
      </w:pPr>
      <w:rPr>
        <w:rFonts w:ascii="Symbol" w:hAnsi="Symbol"/>
      </w:rPr>
    </w:lvl>
    <w:lvl w:ilvl="2" w:tplc="A2A06F8A">
      <w:start w:val="1"/>
      <w:numFmt w:val="bullet"/>
      <w:lvlText w:val=""/>
      <w:lvlJc w:val="left"/>
      <w:pPr>
        <w:ind w:left="720" w:hanging="360"/>
      </w:pPr>
      <w:rPr>
        <w:rFonts w:ascii="Symbol" w:hAnsi="Symbol"/>
      </w:rPr>
    </w:lvl>
    <w:lvl w:ilvl="3" w:tplc="638C4750">
      <w:start w:val="1"/>
      <w:numFmt w:val="bullet"/>
      <w:lvlText w:val=""/>
      <w:lvlJc w:val="left"/>
      <w:pPr>
        <w:ind w:left="720" w:hanging="360"/>
      </w:pPr>
      <w:rPr>
        <w:rFonts w:ascii="Symbol" w:hAnsi="Symbol"/>
      </w:rPr>
    </w:lvl>
    <w:lvl w:ilvl="4" w:tplc="593CA732">
      <w:start w:val="1"/>
      <w:numFmt w:val="bullet"/>
      <w:lvlText w:val=""/>
      <w:lvlJc w:val="left"/>
      <w:pPr>
        <w:ind w:left="720" w:hanging="360"/>
      </w:pPr>
      <w:rPr>
        <w:rFonts w:ascii="Symbol" w:hAnsi="Symbol"/>
      </w:rPr>
    </w:lvl>
    <w:lvl w:ilvl="5" w:tplc="A2B0A4B0">
      <w:start w:val="1"/>
      <w:numFmt w:val="bullet"/>
      <w:lvlText w:val=""/>
      <w:lvlJc w:val="left"/>
      <w:pPr>
        <w:ind w:left="720" w:hanging="360"/>
      </w:pPr>
      <w:rPr>
        <w:rFonts w:ascii="Symbol" w:hAnsi="Symbol"/>
      </w:rPr>
    </w:lvl>
    <w:lvl w:ilvl="6" w:tplc="60CE26AE">
      <w:start w:val="1"/>
      <w:numFmt w:val="bullet"/>
      <w:lvlText w:val=""/>
      <w:lvlJc w:val="left"/>
      <w:pPr>
        <w:ind w:left="720" w:hanging="360"/>
      </w:pPr>
      <w:rPr>
        <w:rFonts w:ascii="Symbol" w:hAnsi="Symbol"/>
      </w:rPr>
    </w:lvl>
    <w:lvl w:ilvl="7" w:tplc="488A39BE">
      <w:start w:val="1"/>
      <w:numFmt w:val="bullet"/>
      <w:lvlText w:val=""/>
      <w:lvlJc w:val="left"/>
      <w:pPr>
        <w:ind w:left="720" w:hanging="360"/>
      </w:pPr>
      <w:rPr>
        <w:rFonts w:ascii="Symbol" w:hAnsi="Symbol"/>
      </w:rPr>
    </w:lvl>
    <w:lvl w:ilvl="8" w:tplc="C188F4DC">
      <w:start w:val="1"/>
      <w:numFmt w:val="bullet"/>
      <w:lvlText w:val=""/>
      <w:lvlJc w:val="left"/>
      <w:pPr>
        <w:ind w:left="720" w:hanging="360"/>
      </w:pPr>
      <w:rPr>
        <w:rFonts w:ascii="Symbol" w:hAnsi="Symbol"/>
      </w:rPr>
    </w:lvl>
  </w:abstractNum>
  <w:num w:numId="1" w16cid:durableId="1032997172">
    <w:abstractNumId w:val="3"/>
  </w:num>
  <w:num w:numId="2" w16cid:durableId="1856573705">
    <w:abstractNumId w:val="0"/>
  </w:num>
  <w:num w:numId="3" w16cid:durableId="357703499">
    <w:abstractNumId w:val="2"/>
  </w:num>
  <w:num w:numId="4" w16cid:durableId="1869176708">
    <w:abstractNumId w:val="9"/>
  </w:num>
  <w:num w:numId="5" w16cid:durableId="1652950129">
    <w:abstractNumId w:val="5"/>
  </w:num>
  <w:num w:numId="6" w16cid:durableId="1053193207">
    <w:abstractNumId w:val="7"/>
  </w:num>
  <w:num w:numId="7" w16cid:durableId="201135927">
    <w:abstractNumId w:val="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16cid:durableId="1604608059">
    <w:abstractNumId w:val="8"/>
  </w:num>
  <w:num w:numId="9" w16cid:durableId="173421270">
    <w:abstractNumId w:val="1"/>
  </w:num>
  <w:num w:numId="10" w16cid:durableId="2108043357">
    <w:abstractNumId w:val="4"/>
  </w:num>
  <w:num w:numId="11" w16cid:durableId="1725904230">
    <w:abstractNumId w:val="6"/>
  </w:num>
  <w:num w:numId="12" w16cid:durableId="141579354">
    <w:abstractNumId w:val="10"/>
  </w:num>
  <w:num w:numId="13" w16cid:durableId="28373508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EC2"/>
    <w:rsid w:val="00000C36"/>
    <w:rsid w:val="00000E6E"/>
    <w:rsid w:val="00004431"/>
    <w:rsid w:val="00005062"/>
    <w:rsid w:val="0001064C"/>
    <w:rsid w:val="00011102"/>
    <w:rsid w:val="0001384A"/>
    <w:rsid w:val="00016884"/>
    <w:rsid w:val="00021C13"/>
    <w:rsid w:val="00022D15"/>
    <w:rsid w:val="000231BC"/>
    <w:rsid w:val="00025D4B"/>
    <w:rsid w:val="00027143"/>
    <w:rsid w:val="0003040B"/>
    <w:rsid w:val="00032A0F"/>
    <w:rsid w:val="000341E9"/>
    <w:rsid w:val="00040D8D"/>
    <w:rsid w:val="00046423"/>
    <w:rsid w:val="00047246"/>
    <w:rsid w:val="000477F5"/>
    <w:rsid w:val="00047AA3"/>
    <w:rsid w:val="0006104E"/>
    <w:rsid w:val="000640BD"/>
    <w:rsid w:val="00065839"/>
    <w:rsid w:val="00065FDF"/>
    <w:rsid w:val="0006693A"/>
    <w:rsid w:val="0007210B"/>
    <w:rsid w:val="00072C86"/>
    <w:rsid w:val="00075862"/>
    <w:rsid w:val="00077844"/>
    <w:rsid w:val="00082703"/>
    <w:rsid w:val="00083763"/>
    <w:rsid w:val="00090510"/>
    <w:rsid w:val="000917AE"/>
    <w:rsid w:val="00093601"/>
    <w:rsid w:val="000947D6"/>
    <w:rsid w:val="00094A52"/>
    <w:rsid w:val="00094B81"/>
    <w:rsid w:val="00095C6A"/>
    <w:rsid w:val="000964AE"/>
    <w:rsid w:val="00096B12"/>
    <w:rsid w:val="000975AA"/>
    <w:rsid w:val="00097CB3"/>
    <w:rsid w:val="000A12D4"/>
    <w:rsid w:val="000B4DF1"/>
    <w:rsid w:val="000B6B15"/>
    <w:rsid w:val="000C1506"/>
    <w:rsid w:val="000C25A7"/>
    <w:rsid w:val="000C62C6"/>
    <w:rsid w:val="000D2CCF"/>
    <w:rsid w:val="000D2E7E"/>
    <w:rsid w:val="000D3F09"/>
    <w:rsid w:val="000D3F17"/>
    <w:rsid w:val="000D6CBE"/>
    <w:rsid w:val="000D78EC"/>
    <w:rsid w:val="000D7934"/>
    <w:rsid w:val="000E2434"/>
    <w:rsid w:val="000E2597"/>
    <w:rsid w:val="000E504E"/>
    <w:rsid w:val="000E6746"/>
    <w:rsid w:val="000F1B4C"/>
    <w:rsid w:val="000F3C7D"/>
    <w:rsid w:val="000F7B51"/>
    <w:rsid w:val="00100855"/>
    <w:rsid w:val="00101BEE"/>
    <w:rsid w:val="00101CE6"/>
    <w:rsid w:val="00101FB1"/>
    <w:rsid w:val="001028D3"/>
    <w:rsid w:val="00103954"/>
    <w:rsid w:val="00105446"/>
    <w:rsid w:val="0010558A"/>
    <w:rsid w:val="0010748A"/>
    <w:rsid w:val="001101FF"/>
    <w:rsid w:val="00111989"/>
    <w:rsid w:val="00111E7F"/>
    <w:rsid w:val="00113F9F"/>
    <w:rsid w:val="00114025"/>
    <w:rsid w:val="0012473C"/>
    <w:rsid w:val="00127A74"/>
    <w:rsid w:val="0013132F"/>
    <w:rsid w:val="001318F4"/>
    <w:rsid w:val="00131B1B"/>
    <w:rsid w:val="0013306D"/>
    <w:rsid w:val="00133F91"/>
    <w:rsid w:val="0013528C"/>
    <w:rsid w:val="001442A2"/>
    <w:rsid w:val="0014491B"/>
    <w:rsid w:val="001468CA"/>
    <w:rsid w:val="001500A8"/>
    <w:rsid w:val="001559EF"/>
    <w:rsid w:val="00155D85"/>
    <w:rsid w:val="001634AB"/>
    <w:rsid w:val="00165D28"/>
    <w:rsid w:val="00167615"/>
    <w:rsid w:val="0017005C"/>
    <w:rsid w:val="00173756"/>
    <w:rsid w:val="00175A93"/>
    <w:rsid w:val="00175CD8"/>
    <w:rsid w:val="00182506"/>
    <w:rsid w:val="00182BD8"/>
    <w:rsid w:val="0018384E"/>
    <w:rsid w:val="00184BC1"/>
    <w:rsid w:val="00184EAC"/>
    <w:rsid w:val="00185F03"/>
    <w:rsid w:val="00190853"/>
    <w:rsid w:val="00190BA0"/>
    <w:rsid w:val="001A3D38"/>
    <w:rsid w:val="001A67D3"/>
    <w:rsid w:val="001A76F9"/>
    <w:rsid w:val="001A7A37"/>
    <w:rsid w:val="001B06FF"/>
    <w:rsid w:val="001B1703"/>
    <w:rsid w:val="001B501F"/>
    <w:rsid w:val="001B5CA6"/>
    <w:rsid w:val="001B5DD4"/>
    <w:rsid w:val="001C1C2E"/>
    <w:rsid w:val="001C2838"/>
    <w:rsid w:val="001C31A1"/>
    <w:rsid w:val="001C3FA2"/>
    <w:rsid w:val="001C5EE2"/>
    <w:rsid w:val="001D0077"/>
    <w:rsid w:val="001D1CE4"/>
    <w:rsid w:val="001D517C"/>
    <w:rsid w:val="001D617B"/>
    <w:rsid w:val="001D70E5"/>
    <w:rsid w:val="001E407B"/>
    <w:rsid w:val="001E7FC6"/>
    <w:rsid w:val="001F2502"/>
    <w:rsid w:val="001F4C13"/>
    <w:rsid w:val="001F68A7"/>
    <w:rsid w:val="001F6D32"/>
    <w:rsid w:val="001F70A5"/>
    <w:rsid w:val="0020235D"/>
    <w:rsid w:val="00203463"/>
    <w:rsid w:val="0020369B"/>
    <w:rsid w:val="00207B4D"/>
    <w:rsid w:val="00210BD9"/>
    <w:rsid w:val="00210F9B"/>
    <w:rsid w:val="002117B1"/>
    <w:rsid w:val="0021740B"/>
    <w:rsid w:val="00217927"/>
    <w:rsid w:val="00217A56"/>
    <w:rsid w:val="00217CCE"/>
    <w:rsid w:val="002203B1"/>
    <w:rsid w:val="00226F39"/>
    <w:rsid w:val="002334AD"/>
    <w:rsid w:val="00235334"/>
    <w:rsid w:val="0023669B"/>
    <w:rsid w:val="00237B27"/>
    <w:rsid w:val="00241B60"/>
    <w:rsid w:val="00242EAB"/>
    <w:rsid w:val="00244F82"/>
    <w:rsid w:val="00256042"/>
    <w:rsid w:val="00256193"/>
    <w:rsid w:val="0025785B"/>
    <w:rsid w:val="00257969"/>
    <w:rsid w:val="00265CD1"/>
    <w:rsid w:val="002704B0"/>
    <w:rsid w:val="002734CC"/>
    <w:rsid w:val="00274215"/>
    <w:rsid w:val="00274F0D"/>
    <w:rsid w:val="00280048"/>
    <w:rsid w:val="0028092A"/>
    <w:rsid w:val="00283D9A"/>
    <w:rsid w:val="0028489E"/>
    <w:rsid w:val="002848DE"/>
    <w:rsid w:val="00286C95"/>
    <w:rsid w:val="0028794E"/>
    <w:rsid w:val="00290A0B"/>
    <w:rsid w:val="0029733B"/>
    <w:rsid w:val="002A0707"/>
    <w:rsid w:val="002A3125"/>
    <w:rsid w:val="002A5841"/>
    <w:rsid w:val="002A7008"/>
    <w:rsid w:val="002B1EDF"/>
    <w:rsid w:val="002B2061"/>
    <w:rsid w:val="002B449C"/>
    <w:rsid w:val="002C1232"/>
    <w:rsid w:val="002C1E44"/>
    <w:rsid w:val="002C236D"/>
    <w:rsid w:val="002C55F9"/>
    <w:rsid w:val="002C5C92"/>
    <w:rsid w:val="002C5E29"/>
    <w:rsid w:val="002D0478"/>
    <w:rsid w:val="002D56B5"/>
    <w:rsid w:val="002D5ED4"/>
    <w:rsid w:val="002D7127"/>
    <w:rsid w:val="002E0A42"/>
    <w:rsid w:val="002E1E42"/>
    <w:rsid w:val="002F116C"/>
    <w:rsid w:val="002F2AD8"/>
    <w:rsid w:val="002F599E"/>
    <w:rsid w:val="002F71EB"/>
    <w:rsid w:val="003008D8"/>
    <w:rsid w:val="0030117B"/>
    <w:rsid w:val="00301D9A"/>
    <w:rsid w:val="00303237"/>
    <w:rsid w:val="0030393F"/>
    <w:rsid w:val="00303959"/>
    <w:rsid w:val="00303E7E"/>
    <w:rsid w:val="003052B1"/>
    <w:rsid w:val="003063F1"/>
    <w:rsid w:val="00306E72"/>
    <w:rsid w:val="00312AC3"/>
    <w:rsid w:val="003131AD"/>
    <w:rsid w:val="00314430"/>
    <w:rsid w:val="00315343"/>
    <w:rsid w:val="003163BC"/>
    <w:rsid w:val="003212D9"/>
    <w:rsid w:val="00323506"/>
    <w:rsid w:val="0032351A"/>
    <w:rsid w:val="00324B33"/>
    <w:rsid w:val="00327488"/>
    <w:rsid w:val="00330394"/>
    <w:rsid w:val="0033169F"/>
    <w:rsid w:val="00336FE1"/>
    <w:rsid w:val="00337E85"/>
    <w:rsid w:val="003410BC"/>
    <w:rsid w:val="00342D56"/>
    <w:rsid w:val="003456E7"/>
    <w:rsid w:val="00346EC2"/>
    <w:rsid w:val="003477F9"/>
    <w:rsid w:val="003528F5"/>
    <w:rsid w:val="0035444D"/>
    <w:rsid w:val="00354D8E"/>
    <w:rsid w:val="00356D62"/>
    <w:rsid w:val="00361A59"/>
    <w:rsid w:val="00363EE3"/>
    <w:rsid w:val="003646E4"/>
    <w:rsid w:val="0037150F"/>
    <w:rsid w:val="003735F3"/>
    <w:rsid w:val="00374729"/>
    <w:rsid w:val="00374CAB"/>
    <w:rsid w:val="00381EB0"/>
    <w:rsid w:val="003853A5"/>
    <w:rsid w:val="00387298"/>
    <w:rsid w:val="00387984"/>
    <w:rsid w:val="00387EAB"/>
    <w:rsid w:val="00395140"/>
    <w:rsid w:val="003A0ACA"/>
    <w:rsid w:val="003A2422"/>
    <w:rsid w:val="003A5D61"/>
    <w:rsid w:val="003B149C"/>
    <w:rsid w:val="003B640F"/>
    <w:rsid w:val="003C0FDB"/>
    <w:rsid w:val="003C1192"/>
    <w:rsid w:val="003C46C0"/>
    <w:rsid w:val="003C4EC5"/>
    <w:rsid w:val="003C55E2"/>
    <w:rsid w:val="003C63D5"/>
    <w:rsid w:val="003C7AA8"/>
    <w:rsid w:val="003D39FB"/>
    <w:rsid w:val="003D71A1"/>
    <w:rsid w:val="003E06B1"/>
    <w:rsid w:val="003E6FE2"/>
    <w:rsid w:val="003F6B31"/>
    <w:rsid w:val="00403DA6"/>
    <w:rsid w:val="00405165"/>
    <w:rsid w:val="004059FC"/>
    <w:rsid w:val="004112C7"/>
    <w:rsid w:val="004156B2"/>
    <w:rsid w:val="0041688F"/>
    <w:rsid w:val="00421471"/>
    <w:rsid w:val="0042376F"/>
    <w:rsid w:val="004246B8"/>
    <w:rsid w:val="004248F1"/>
    <w:rsid w:val="00426265"/>
    <w:rsid w:val="00426C92"/>
    <w:rsid w:val="004324C3"/>
    <w:rsid w:val="00433318"/>
    <w:rsid w:val="004411D9"/>
    <w:rsid w:val="00441C72"/>
    <w:rsid w:val="00442A56"/>
    <w:rsid w:val="00442F16"/>
    <w:rsid w:val="004444B0"/>
    <w:rsid w:val="00450315"/>
    <w:rsid w:val="0045060B"/>
    <w:rsid w:val="00457013"/>
    <w:rsid w:val="00457E89"/>
    <w:rsid w:val="004626FF"/>
    <w:rsid w:val="0046285C"/>
    <w:rsid w:val="00463A65"/>
    <w:rsid w:val="00470A52"/>
    <w:rsid w:val="00471BD5"/>
    <w:rsid w:val="0047547E"/>
    <w:rsid w:val="004759BF"/>
    <w:rsid w:val="00477C4E"/>
    <w:rsid w:val="00477F07"/>
    <w:rsid w:val="00480A4C"/>
    <w:rsid w:val="00481503"/>
    <w:rsid w:val="00481D12"/>
    <w:rsid w:val="004832F5"/>
    <w:rsid w:val="0048381E"/>
    <w:rsid w:val="004854A6"/>
    <w:rsid w:val="00487128"/>
    <w:rsid w:val="00491A55"/>
    <w:rsid w:val="00494C3E"/>
    <w:rsid w:val="00497DF1"/>
    <w:rsid w:val="004A318E"/>
    <w:rsid w:val="004A45D4"/>
    <w:rsid w:val="004A57E8"/>
    <w:rsid w:val="004A775E"/>
    <w:rsid w:val="004B3081"/>
    <w:rsid w:val="004B482E"/>
    <w:rsid w:val="004B4A09"/>
    <w:rsid w:val="004B7C04"/>
    <w:rsid w:val="004C41CE"/>
    <w:rsid w:val="004C631B"/>
    <w:rsid w:val="004D0933"/>
    <w:rsid w:val="004D2F00"/>
    <w:rsid w:val="004D31D8"/>
    <w:rsid w:val="004D35D1"/>
    <w:rsid w:val="004D5388"/>
    <w:rsid w:val="004E12BD"/>
    <w:rsid w:val="004E19F5"/>
    <w:rsid w:val="004E7F16"/>
    <w:rsid w:val="004F18EC"/>
    <w:rsid w:val="00500D68"/>
    <w:rsid w:val="005027CF"/>
    <w:rsid w:val="005042C7"/>
    <w:rsid w:val="00513CEE"/>
    <w:rsid w:val="005217B4"/>
    <w:rsid w:val="0053377D"/>
    <w:rsid w:val="005359BD"/>
    <w:rsid w:val="00535DFE"/>
    <w:rsid w:val="005373B5"/>
    <w:rsid w:val="00537AB7"/>
    <w:rsid w:val="00543610"/>
    <w:rsid w:val="0054421D"/>
    <w:rsid w:val="0054669B"/>
    <w:rsid w:val="005522BE"/>
    <w:rsid w:val="00557684"/>
    <w:rsid w:val="00557A50"/>
    <w:rsid w:val="005610D1"/>
    <w:rsid w:val="00561E52"/>
    <w:rsid w:val="00562F42"/>
    <w:rsid w:val="005639BF"/>
    <w:rsid w:val="00565685"/>
    <w:rsid w:val="00565739"/>
    <w:rsid w:val="0056766D"/>
    <w:rsid w:val="00571C3A"/>
    <w:rsid w:val="00572089"/>
    <w:rsid w:val="00575215"/>
    <w:rsid w:val="005769AB"/>
    <w:rsid w:val="005775D0"/>
    <w:rsid w:val="0058014D"/>
    <w:rsid w:val="00581138"/>
    <w:rsid w:val="00584F67"/>
    <w:rsid w:val="0058575E"/>
    <w:rsid w:val="0058783C"/>
    <w:rsid w:val="00587B3A"/>
    <w:rsid w:val="0059034B"/>
    <w:rsid w:val="005911AE"/>
    <w:rsid w:val="005915F8"/>
    <w:rsid w:val="005926E2"/>
    <w:rsid w:val="0059313A"/>
    <w:rsid w:val="005A046A"/>
    <w:rsid w:val="005A2C6E"/>
    <w:rsid w:val="005A54EA"/>
    <w:rsid w:val="005A6E38"/>
    <w:rsid w:val="005B023F"/>
    <w:rsid w:val="005B02A2"/>
    <w:rsid w:val="005B1417"/>
    <w:rsid w:val="005B25E6"/>
    <w:rsid w:val="005B69CF"/>
    <w:rsid w:val="005C2D1F"/>
    <w:rsid w:val="005C3F07"/>
    <w:rsid w:val="005C479E"/>
    <w:rsid w:val="005C4B46"/>
    <w:rsid w:val="005C5DC5"/>
    <w:rsid w:val="005D1FBB"/>
    <w:rsid w:val="005D2089"/>
    <w:rsid w:val="005D3A72"/>
    <w:rsid w:val="005D4590"/>
    <w:rsid w:val="005D490D"/>
    <w:rsid w:val="005D51A7"/>
    <w:rsid w:val="005D7514"/>
    <w:rsid w:val="005E0FC6"/>
    <w:rsid w:val="005E14ED"/>
    <w:rsid w:val="005E15E9"/>
    <w:rsid w:val="005E1A7B"/>
    <w:rsid w:val="005E231F"/>
    <w:rsid w:val="005E2841"/>
    <w:rsid w:val="005E58A2"/>
    <w:rsid w:val="005F1018"/>
    <w:rsid w:val="005F19DB"/>
    <w:rsid w:val="005F4D75"/>
    <w:rsid w:val="005F5EE2"/>
    <w:rsid w:val="005F62E2"/>
    <w:rsid w:val="00602D6E"/>
    <w:rsid w:val="00605C05"/>
    <w:rsid w:val="0060642C"/>
    <w:rsid w:val="00611351"/>
    <w:rsid w:val="0061217D"/>
    <w:rsid w:val="006129AE"/>
    <w:rsid w:val="00613C81"/>
    <w:rsid w:val="00614D74"/>
    <w:rsid w:val="006277A1"/>
    <w:rsid w:val="00633BD7"/>
    <w:rsid w:val="00634580"/>
    <w:rsid w:val="00634884"/>
    <w:rsid w:val="006351D9"/>
    <w:rsid w:val="00637130"/>
    <w:rsid w:val="00637F0E"/>
    <w:rsid w:val="0064216B"/>
    <w:rsid w:val="006423F2"/>
    <w:rsid w:val="006428C5"/>
    <w:rsid w:val="0064483D"/>
    <w:rsid w:val="00650234"/>
    <w:rsid w:val="00650AAE"/>
    <w:rsid w:val="00652F09"/>
    <w:rsid w:val="0066044B"/>
    <w:rsid w:val="006630AA"/>
    <w:rsid w:val="00663544"/>
    <w:rsid w:val="00666539"/>
    <w:rsid w:val="00666911"/>
    <w:rsid w:val="00666936"/>
    <w:rsid w:val="00667967"/>
    <w:rsid w:val="00670B85"/>
    <w:rsid w:val="00673C09"/>
    <w:rsid w:val="00675F81"/>
    <w:rsid w:val="0068143E"/>
    <w:rsid w:val="0068507D"/>
    <w:rsid w:val="00685F21"/>
    <w:rsid w:val="00691AF2"/>
    <w:rsid w:val="00692B80"/>
    <w:rsid w:val="00692CCD"/>
    <w:rsid w:val="00692D51"/>
    <w:rsid w:val="006939AB"/>
    <w:rsid w:val="00694DD7"/>
    <w:rsid w:val="0069636B"/>
    <w:rsid w:val="006A1762"/>
    <w:rsid w:val="006A19CE"/>
    <w:rsid w:val="006A1F0B"/>
    <w:rsid w:val="006A277A"/>
    <w:rsid w:val="006A5973"/>
    <w:rsid w:val="006A6216"/>
    <w:rsid w:val="006A65C6"/>
    <w:rsid w:val="006A663E"/>
    <w:rsid w:val="006B04F3"/>
    <w:rsid w:val="006B7126"/>
    <w:rsid w:val="006B7E1B"/>
    <w:rsid w:val="006C0BE1"/>
    <w:rsid w:val="006C4E89"/>
    <w:rsid w:val="006C6B86"/>
    <w:rsid w:val="006D0922"/>
    <w:rsid w:val="006D0E86"/>
    <w:rsid w:val="006D4553"/>
    <w:rsid w:val="006D4580"/>
    <w:rsid w:val="006D4A35"/>
    <w:rsid w:val="006D6B44"/>
    <w:rsid w:val="006D73BD"/>
    <w:rsid w:val="006E0F71"/>
    <w:rsid w:val="006E27FE"/>
    <w:rsid w:val="006E4950"/>
    <w:rsid w:val="006F13CF"/>
    <w:rsid w:val="006F25E6"/>
    <w:rsid w:val="006F2B02"/>
    <w:rsid w:val="006F3460"/>
    <w:rsid w:val="006F39C7"/>
    <w:rsid w:val="00701110"/>
    <w:rsid w:val="00702E91"/>
    <w:rsid w:val="0070330F"/>
    <w:rsid w:val="00703624"/>
    <w:rsid w:val="007046ED"/>
    <w:rsid w:val="0070668D"/>
    <w:rsid w:val="007072A1"/>
    <w:rsid w:val="0071060C"/>
    <w:rsid w:val="00710BC5"/>
    <w:rsid w:val="007121CA"/>
    <w:rsid w:val="00713311"/>
    <w:rsid w:val="0072003B"/>
    <w:rsid w:val="00721059"/>
    <w:rsid w:val="007211E6"/>
    <w:rsid w:val="007220C4"/>
    <w:rsid w:val="0072572E"/>
    <w:rsid w:val="00727CF3"/>
    <w:rsid w:val="007305ED"/>
    <w:rsid w:val="00732361"/>
    <w:rsid w:val="00734556"/>
    <w:rsid w:val="007357B9"/>
    <w:rsid w:val="00737893"/>
    <w:rsid w:val="00740B2E"/>
    <w:rsid w:val="00741AB9"/>
    <w:rsid w:val="00742D03"/>
    <w:rsid w:val="00742E16"/>
    <w:rsid w:val="00744216"/>
    <w:rsid w:val="00744EFC"/>
    <w:rsid w:val="007452E8"/>
    <w:rsid w:val="00746990"/>
    <w:rsid w:val="00747093"/>
    <w:rsid w:val="00747E3B"/>
    <w:rsid w:val="00750D70"/>
    <w:rsid w:val="0075523B"/>
    <w:rsid w:val="00756060"/>
    <w:rsid w:val="007575D0"/>
    <w:rsid w:val="00757CC2"/>
    <w:rsid w:val="00757EC0"/>
    <w:rsid w:val="0076124E"/>
    <w:rsid w:val="0076557A"/>
    <w:rsid w:val="007662E0"/>
    <w:rsid w:val="00767575"/>
    <w:rsid w:val="00771094"/>
    <w:rsid w:val="00776E9C"/>
    <w:rsid w:val="007816D8"/>
    <w:rsid w:val="00784150"/>
    <w:rsid w:val="0078788D"/>
    <w:rsid w:val="00793272"/>
    <w:rsid w:val="0079499A"/>
    <w:rsid w:val="00794B64"/>
    <w:rsid w:val="007967C3"/>
    <w:rsid w:val="007A0A33"/>
    <w:rsid w:val="007A6C93"/>
    <w:rsid w:val="007B03D5"/>
    <w:rsid w:val="007B04DE"/>
    <w:rsid w:val="007B08DE"/>
    <w:rsid w:val="007B0AE6"/>
    <w:rsid w:val="007B18EC"/>
    <w:rsid w:val="007C02B0"/>
    <w:rsid w:val="007C0F0B"/>
    <w:rsid w:val="007C57BC"/>
    <w:rsid w:val="007D0035"/>
    <w:rsid w:val="007D026B"/>
    <w:rsid w:val="007D04CA"/>
    <w:rsid w:val="007D0A2B"/>
    <w:rsid w:val="007D0EE0"/>
    <w:rsid w:val="007D12A1"/>
    <w:rsid w:val="007D37FA"/>
    <w:rsid w:val="007D40E5"/>
    <w:rsid w:val="007D4138"/>
    <w:rsid w:val="007E2442"/>
    <w:rsid w:val="007E4178"/>
    <w:rsid w:val="007E6443"/>
    <w:rsid w:val="007E7D27"/>
    <w:rsid w:val="007F0A77"/>
    <w:rsid w:val="007F1E37"/>
    <w:rsid w:val="007F50D3"/>
    <w:rsid w:val="007F6B1F"/>
    <w:rsid w:val="008002E8"/>
    <w:rsid w:val="008013F0"/>
    <w:rsid w:val="00803926"/>
    <w:rsid w:val="00803FEB"/>
    <w:rsid w:val="00804897"/>
    <w:rsid w:val="00804E73"/>
    <w:rsid w:val="00814498"/>
    <w:rsid w:val="0081735B"/>
    <w:rsid w:val="008218F1"/>
    <w:rsid w:val="00823886"/>
    <w:rsid w:val="00825AD0"/>
    <w:rsid w:val="008329DB"/>
    <w:rsid w:val="00832BC7"/>
    <w:rsid w:val="008353AF"/>
    <w:rsid w:val="008361C5"/>
    <w:rsid w:val="0083628F"/>
    <w:rsid w:val="00836B21"/>
    <w:rsid w:val="00837AB9"/>
    <w:rsid w:val="00840B03"/>
    <w:rsid w:val="008420C8"/>
    <w:rsid w:val="00850637"/>
    <w:rsid w:val="00852D29"/>
    <w:rsid w:val="00854D98"/>
    <w:rsid w:val="008558F2"/>
    <w:rsid w:val="0085751E"/>
    <w:rsid w:val="00860B29"/>
    <w:rsid w:val="008622E8"/>
    <w:rsid w:val="008645EE"/>
    <w:rsid w:val="00870144"/>
    <w:rsid w:val="0087072C"/>
    <w:rsid w:val="00871312"/>
    <w:rsid w:val="00873D7A"/>
    <w:rsid w:val="00874B6E"/>
    <w:rsid w:val="00877CB3"/>
    <w:rsid w:val="008804CF"/>
    <w:rsid w:val="00882D58"/>
    <w:rsid w:val="00882F19"/>
    <w:rsid w:val="00883A94"/>
    <w:rsid w:val="00883D35"/>
    <w:rsid w:val="00884569"/>
    <w:rsid w:val="008856C9"/>
    <w:rsid w:val="00887A51"/>
    <w:rsid w:val="0089038A"/>
    <w:rsid w:val="00890D9B"/>
    <w:rsid w:val="00891AA9"/>
    <w:rsid w:val="00891C6C"/>
    <w:rsid w:val="00893CCD"/>
    <w:rsid w:val="008964B3"/>
    <w:rsid w:val="008A55C4"/>
    <w:rsid w:val="008B024E"/>
    <w:rsid w:val="008B1CB5"/>
    <w:rsid w:val="008C0EA8"/>
    <w:rsid w:val="008C2D69"/>
    <w:rsid w:val="008C49C6"/>
    <w:rsid w:val="008C6094"/>
    <w:rsid w:val="008C6C46"/>
    <w:rsid w:val="008C754C"/>
    <w:rsid w:val="008D4896"/>
    <w:rsid w:val="008D56C9"/>
    <w:rsid w:val="008D56CA"/>
    <w:rsid w:val="008D5982"/>
    <w:rsid w:val="008D6A54"/>
    <w:rsid w:val="008D6B23"/>
    <w:rsid w:val="008E2585"/>
    <w:rsid w:val="008E2D7A"/>
    <w:rsid w:val="008E5876"/>
    <w:rsid w:val="008F12AE"/>
    <w:rsid w:val="008F3215"/>
    <w:rsid w:val="008F4A62"/>
    <w:rsid w:val="008F6D27"/>
    <w:rsid w:val="008F7256"/>
    <w:rsid w:val="0090424C"/>
    <w:rsid w:val="0090605E"/>
    <w:rsid w:val="00906468"/>
    <w:rsid w:val="009108CE"/>
    <w:rsid w:val="00915A9F"/>
    <w:rsid w:val="00926D7A"/>
    <w:rsid w:val="00927F75"/>
    <w:rsid w:val="00930D58"/>
    <w:rsid w:val="00931BB8"/>
    <w:rsid w:val="009332E3"/>
    <w:rsid w:val="00935AAA"/>
    <w:rsid w:val="0093721B"/>
    <w:rsid w:val="0094266C"/>
    <w:rsid w:val="00947F63"/>
    <w:rsid w:val="0095031E"/>
    <w:rsid w:val="00951330"/>
    <w:rsid w:val="00953F56"/>
    <w:rsid w:val="00954297"/>
    <w:rsid w:val="009542EC"/>
    <w:rsid w:val="00960A56"/>
    <w:rsid w:val="00964DEA"/>
    <w:rsid w:val="00966EF1"/>
    <w:rsid w:val="00967223"/>
    <w:rsid w:val="00972D2C"/>
    <w:rsid w:val="009751F7"/>
    <w:rsid w:val="009759D7"/>
    <w:rsid w:val="0098219C"/>
    <w:rsid w:val="0098350E"/>
    <w:rsid w:val="00983C86"/>
    <w:rsid w:val="00990C12"/>
    <w:rsid w:val="0099404F"/>
    <w:rsid w:val="00995F46"/>
    <w:rsid w:val="00996FA5"/>
    <w:rsid w:val="009A0A15"/>
    <w:rsid w:val="009A2B6E"/>
    <w:rsid w:val="009B40A9"/>
    <w:rsid w:val="009B5662"/>
    <w:rsid w:val="009B7D36"/>
    <w:rsid w:val="009C2211"/>
    <w:rsid w:val="009C2749"/>
    <w:rsid w:val="009C28C0"/>
    <w:rsid w:val="009C40E8"/>
    <w:rsid w:val="009C45C5"/>
    <w:rsid w:val="009C49AC"/>
    <w:rsid w:val="009C7F0E"/>
    <w:rsid w:val="009D69AB"/>
    <w:rsid w:val="009E297E"/>
    <w:rsid w:val="009E6858"/>
    <w:rsid w:val="009E6F8C"/>
    <w:rsid w:val="009F0620"/>
    <w:rsid w:val="009F405F"/>
    <w:rsid w:val="00A01C56"/>
    <w:rsid w:val="00A02848"/>
    <w:rsid w:val="00A03A16"/>
    <w:rsid w:val="00A04FCD"/>
    <w:rsid w:val="00A17B1A"/>
    <w:rsid w:val="00A227C9"/>
    <w:rsid w:val="00A313D1"/>
    <w:rsid w:val="00A32581"/>
    <w:rsid w:val="00A32C50"/>
    <w:rsid w:val="00A358E7"/>
    <w:rsid w:val="00A375BD"/>
    <w:rsid w:val="00A4380B"/>
    <w:rsid w:val="00A51A2D"/>
    <w:rsid w:val="00A532BA"/>
    <w:rsid w:val="00A5596B"/>
    <w:rsid w:val="00A6007F"/>
    <w:rsid w:val="00A63C07"/>
    <w:rsid w:val="00A63D9B"/>
    <w:rsid w:val="00A65E41"/>
    <w:rsid w:val="00A704DC"/>
    <w:rsid w:val="00A73494"/>
    <w:rsid w:val="00A756AF"/>
    <w:rsid w:val="00A764F2"/>
    <w:rsid w:val="00A8512D"/>
    <w:rsid w:val="00A9166D"/>
    <w:rsid w:val="00A93DC6"/>
    <w:rsid w:val="00A9411A"/>
    <w:rsid w:val="00A96804"/>
    <w:rsid w:val="00AA2444"/>
    <w:rsid w:val="00AA2A0C"/>
    <w:rsid w:val="00AA4A4B"/>
    <w:rsid w:val="00AA6682"/>
    <w:rsid w:val="00AA7396"/>
    <w:rsid w:val="00AB0613"/>
    <w:rsid w:val="00AB7C5C"/>
    <w:rsid w:val="00AB7CBF"/>
    <w:rsid w:val="00AC0DB7"/>
    <w:rsid w:val="00AC1CCF"/>
    <w:rsid w:val="00AC56CD"/>
    <w:rsid w:val="00AD0111"/>
    <w:rsid w:val="00AD0B68"/>
    <w:rsid w:val="00AD4C72"/>
    <w:rsid w:val="00AD5451"/>
    <w:rsid w:val="00AD6A1F"/>
    <w:rsid w:val="00AE1947"/>
    <w:rsid w:val="00AF1A6D"/>
    <w:rsid w:val="00AF1C8B"/>
    <w:rsid w:val="00AF299B"/>
    <w:rsid w:val="00AF3066"/>
    <w:rsid w:val="00AF7E43"/>
    <w:rsid w:val="00B010D2"/>
    <w:rsid w:val="00B02AE0"/>
    <w:rsid w:val="00B035BA"/>
    <w:rsid w:val="00B03F25"/>
    <w:rsid w:val="00B0405C"/>
    <w:rsid w:val="00B05326"/>
    <w:rsid w:val="00B10F45"/>
    <w:rsid w:val="00B115DE"/>
    <w:rsid w:val="00B14545"/>
    <w:rsid w:val="00B14E60"/>
    <w:rsid w:val="00B17BA2"/>
    <w:rsid w:val="00B22206"/>
    <w:rsid w:val="00B26DC3"/>
    <w:rsid w:val="00B27706"/>
    <w:rsid w:val="00B30B9D"/>
    <w:rsid w:val="00B41AA2"/>
    <w:rsid w:val="00B44B59"/>
    <w:rsid w:val="00B4574D"/>
    <w:rsid w:val="00B46493"/>
    <w:rsid w:val="00B468E1"/>
    <w:rsid w:val="00B46BC0"/>
    <w:rsid w:val="00B46DFB"/>
    <w:rsid w:val="00B5141B"/>
    <w:rsid w:val="00B5441D"/>
    <w:rsid w:val="00B55681"/>
    <w:rsid w:val="00B571FB"/>
    <w:rsid w:val="00B57AAD"/>
    <w:rsid w:val="00B61CBF"/>
    <w:rsid w:val="00B6374E"/>
    <w:rsid w:val="00B667C3"/>
    <w:rsid w:val="00B70F3B"/>
    <w:rsid w:val="00B72B16"/>
    <w:rsid w:val="00B7356B"/>
    <w:rsid w:val="00B74723"/>
    <w:rsid w:val="00B7702D"/>
    <w:rsid w:val="00B80408"/>
    <w:rsid w:val="00B81397"/>
    <w:rsid w:val="00B8199B"/>
    <w:rsid w:val="00B925DB"/>
    <w:rsid w:val="00B967FF"/>
    <w:rsid w:val="00B974B9"/>
    <w:rsid w:val="00B977DD"/>
    <w:rsid w:val="00BA3F6D"/>
    <w:rsid w:val="00BA4BE6"/>
    <w:rsid w:val="00BA4FC0"/>
    <w:rsid w:val="00BA61E0"/>
    <w:rsid w:val="00BA657C"/>
    <w:rsid w:val="00BA6909"/>
    <w:rsid w:val="00BA7F7D"/>
    <w:rsid w:val="00BB1C14"/>
    <w:rsid w:val="00BB6847"/>
    <w:rsid w:val="00BB776C"/>
    <w:rsid w:val="00BB7F8F"/>
    <w:rsid w:val="00BC669E"/>
    <w:rsid w:val="00BC716A"/>
    <w:rsid w:val="00BD07DF"/>
    <w:rsid w:val="00BD26F4"/>
    <w:rsid w:val="00BD4DAA"/>
    <w:rsid w:val="00BD5813"/>
    <w:rsid w:val="00BD5DBD"/>
    <w:rsid w:val="00BD5DF6"/>
    <w:rsid w:val="00BE0041"/>
    <w:rsid w:val="00BE16D2"/>
    <w:rsid w:val="00BE640F"/>
    <w:rsid w:val="00BE6D2A"/>
    <w:rsid w:val="00BE6F8B"/>
    <w:rsid w:val="00BE77E1"/>
    <w:rsid w:val="00BF4638"/>
    <w:rsid w:val="00BF5130"/>
    <w:rsid w:val="00C00844"/>
    <w:rsid w:val="00C00AE9"/>
    <w:rsid w:val="00C0389B"/>
    <w:rsid w:val="00C0589B"/>
    <w:rsid w:val="00C059D0"/>
    <w:rsid w:val="00C07551"/>
    <w:rsid w:val="00C07B89"/>
    <w:rsid w:val="00C1109F"/>
    <w:rsid w:val="00C11E1C"/>
    <w:rsid w:val="00C12D65"/>
    <w:rsid w:val="00C133AB"/>
    <w:rsid w:val="00C17BF7"/>
    <w:rsid w:val="00C20B56"/>
    <w:rsid w:val="00C22214"/>
    <w:rsid w:val="00C239FA"/>
    <w:rsid w:val="00C25203"/>
    <w:rsid w:val="00C26F72"/>
    <w:rsid w:val="00C309A7"/>
    <w:rsid w:val="00C32155"/>
    <w:rsid w:val="00C335AB"/>
    <w:rsid w:val="00C35EA1"/>
    <w:rsid w:val="00C407AB"/>
    <w:rsid w:val="00C46ECF"/>
    <w:rsid w:val="00C5213E"/>
    <w:rsid w:val="00C524CB"/>
    <w:rsid w:val="00C52B7B"/>
    <w:rsid w:val="00C547CD"/>
    <w:rsid w:val="00C551EF"/>
    <w:rsid w:val="00C5596E"/>
    <w:rsid w:val="00C570FF"/>
    <w:rsid w:val="00C57CEA"/>
    <w:rsid w:val="00C60FEC"/>
    <w:rsid w:val="00C62B1C"/>
    <w:rsid w:val="00C64073"/>
    <w:rsid w:val="00C6574E"/>
    <w:rsid w:val="00C663D1"/>
    <w:rsid w:val="00C707FD"/>
    <w:rsid w:val="00C73C54"/>
    <w:rsid w:val="00C76DEB"/>
    <w:rsid w:val="00C816C6"/>
    <w:rsid w:val="00C863A7"/>
    <w:rsid w:val="00C912F4"/>
    <w:rsid w:val="00C9156F"/>
    <w:rsid w:val="00C9581A"/>
    <w:rsid w:val="00C97D29"/>
    <w:rsid w:val="00CA2F85"/>
    <w:rsid w:val="00CA449C"/>
    <w:rsid w:val="00CA70CE"/>
    <w:rsid w:val="00CB04E4"/>
    <w:rsid w:val="00CB0550"/>
    <w:rsid w:val="00CB40D0"/>
    <w:rsid w:val="00CB639B"/>
    <w:rsid w:val="00CB6813"/>
    <w:rsid w:val="00CC4C07"/>
    <w:rsid w:val="00CC5ED4"/>
    <w:rsid w:val="00CC62D5"/>
    <w:rsid w:val="00CD191C"/>
    <w:rsid w:val="00CD3850"/>
    <w:rsid w:val="00CF6A55"/>
    <w:rsid w:val="00CF6DC6"/>
    <w:rsid w:val="00CF6DCF"/>
    <w:rsid w:val="00D01DDB"/>
    <w:rsid w:val="00D078BE"/>
    <w:rsid w:val="00D12B7C"/>
    <w:rsid w:val="00D13F8A"/>
    <w:rsid w:val="00D16F60"/>
    <w:rsid w:val="00D22981"/>
    <w:rsid w:val="00D22C12"/>
    <w:rsid w:val="00D23D3E"/>
    <w:rsid w:val="00D322CF"/>
    <w:rsid w:val="00D3349B"/>
    <w:rsid w:val="00D424A8"/>
    <w:rsid w:val="00D46BD9"/>
    <w:rsid w:val="00D47080"/>
    <w:rsid w:val="00D54CD8"/>
    <w:rsid w:val="00D60304"/>
    <w:rsid w:val="00D6036F"/>
    <w:rsid w:val="00D62877"/>
    <w:rsid w:val="00D62FDB"/>
    <w:rsid w:val="00D634DB"/>
    <w:rsid w:val="00D636D3"/>
    <w:rsid w:val="00D63760"/>
    <w:rsid w:val="00D64CAE"/>
    <w:rsid w:val="00D64CD2"/>
    <w:rsid w:val="00D6703F"/>
    <w:rsid w:val="00D734EB"/>
    <w:rsid w:val="00D751AB"/>
    <w:rsid w:val="00D753EF"/>
    <w:rsid w:val="00D77CC9"/>
    <w:rsid w:val="00D82713"/>
    <w:rsid w:val="00D841DC"/>
    <w:rsid w:val="00D86F00"/>
    <w:rsid w:val="00D90986"/>
    <w:rsid w:val="00D90C44"/>
    <w:rsid w:val="00D90ED6"/>
    <w:rsid w:val="00D918D5"/>
    <w:rsid w:val="00D922C7"/>
    <w:rsid w:val="00D94C8E"/>
    <w:rsid w:val="00DA1B2D"/>
    <w:rsid w:val="00DA79A2"/>
    <w:rsid w:val="00DA7AA6"/>
    <w:rsid w:val="00DB1372"/>
    <w:rsid w:val="00DB192C"/>
    <w:rsid w:val="00DB1CF3"/>
    <w:rsid w:val="00DB5425"/>
    <w:rsid w:val="00DB72A6"/>
    <w:rsid w:val="00DC0747"/>
    <w:rsid w:val="00DC089B"/>
    <w:rsid w:val="00DC357F"/>
    <w:rsid w:val="00DC6265"/>
    <w:rsid w:val="00DC6611"/>
    <w:rsid w:val="00DD5AFB"/>
    <w:rsid w:val="00DD6152"/>
    <w:rsid w:val="00DE1344"/>
    <w:rsid w:val="00DE4ABC"/>
    <w:rsid w:val="00DE5DF8"/>
    <w:rsid w:val="00DE7353"/>
    <w:rsid w:val="00DE77A5"/>
    <w:rsid w:val="00DF5BFE"/>
    <w:rsid w:val="00DF6CDA"/>
    <w:rsid w:val="00DF6FD3"/>
    <w:rsid w:val="00DF7477"/>
    <w:rsid w:val="00E02388"/>
    <w:rsid w:val="00E02BB3"/>
    <w:rsid w:val="00E03EB6"/>
    <w:rsid w:val="00E0523F"/>
    <w:rsid w:val="00E10659"/>
    <w:rsid w:val="00E14D99"/>
    <w:rsid w:val="00E160D8"/>
    <w:rsid w:val="00E223B1"/>
    <w:rsid w:val="00E23E50"/>
    <w:rsid w:val="00E26213"/>
    <w:rsid w:val="00E2646C"/>
    <w:rsid w:val="00E26B32"/>
    <w:rsid w:val="00E274DF"/>
    <w:rsid w:val="00E27555"/>
    <w:rsid w:val="00E304A7"/>
    <w:rsid w:val="00E34D66"/>
    <w:rsid w:val="00E362C4"/>
    <w:rsid w:val="00E46CC2"/>
    <w:rsid w:val="00E47350"/>
    <w:rsid w:val="00E47E0C"/>
    <w:rsid w:val="00E51813"/>
    <w:rsid w:val="00E52C0B"/>
    <w:rsid w:val="00E53D3F"/>
    <w:rsid w:val="00E5579B"/>
    <w:rsid w:val="00E56C7D"/>
    <w:rsid w:val="00E57FF4"/>
    <w:rsid w:val="00E61E69"/>
    <w:rsid w:val="00E669A7"/>
    <w:rsid w:val="00E679D1"/>
    <w:rsid w:val="00E67C1C"/>
    <w:rsid w:val="00E7459D"/>
    <w:rsid w:val="00E82062"/>
    <w:rsid w:val="00E851C2"/>
    <w:rsid w:val="00E85C61"/>
    <w:rsid w:val="00E85D1D"/>
    <w:rsid w:val="00E91080"/>
    <w:rsid w:val="00E91F11"/>
    <w:rsid w:val="00E948D3"/>
    <w:rsid w:val="00E9706D"/>
    <w:rsid w:val="00EA131D"/>
    <w:rsid w:val="00EA3819"/>
    <w:rsid w:val="00EA3AF4"/>
    <w:rsid w:val="00EA40EC"/>
    <w:rsid w:val="00EC1BF8"/>
    <w:rsid w:val="00EC2EC6"/>
    <w:rsid w:val="00EC61C3"/>
    <w:rsid w:val="00ED48C9"/>
    <w:rsid w:val="00ED553C"/>
    <w:rsid w:val="00ED6983"/>
    <w:rsid w:val="00EE1BCD"/>
    <w:rsid w:val="00EE4B01"/>
    <w:rsid w:val="00EE5426"/>
    <w:rsid w:val="00EF3B77"/>
    <w:rsid w:val="00EF3D66"/>
    <w:rsid w:val="00EF3F0B"/>
    <w:rsid w:val="00EF5583"/>
    <w:rsid w:val="00EF73EA"/>
    <w:rsid w:val="00F018C9"/>
    <w:rsid w:val="00F021AF"/>
    <w:rsid w:val="00F0289D"/>
    <w:rsid w:val="00F02AEC"/>
    <w:rsid w:val="00F02DB4"/>
    <w:rsid w:val="00F03AA7"/>
    <w:rsid w:val="00F07572"/>
    <w:rsid w:val="00F157FC"/>
    <w:rsid w:val="00F16144"/>
    <w:rsid w:val="00F17FCD"/>
    <w:rsid w:val="00F20E07"/>
    <w:rsid w:val="00F30AF3"/>
    <w:rsid w:val="00F324FA"/>
    <w:rsid w:val="00F40516"/>
    <w:rsid w:val="00F405C1"/>
    <w:rsid w:val="00F43CD1"/>
    <w:rsid w:val="00F45AE0"/>
    <w:rsid w:val="00F471F1"/>
    <w:rsid w:val="00F5794B"/>
    <w:rsid w:val="00F60CF2"/>
    <w:rsid w:val="00F61DB3"/>
    <w:rsid w:val="00F627B1"/>
    <w:rsid w:val="00F657B4"/>
    <w:rsid w:val="00F7057D"/>
    <w:rsid w:val="00F7136F"/>
    <w:rsid w:val="00F7649F"/>
    <w:rsid w:val="00F8083B"/>
    <w:rsid w:val="00F82D1B"/>
    <w:rsid w:val="00F84B65"/>
    <w:rsid w:val="00F8568E"/>
    <w:rsid w:val="00F865A7"/>
    <w:rsid w:val="00F91444"/>
    <w:rsid w:val="00F96535"/>
    <w:rsid w:val="00FA0754"/>
    <w:rsid w:val="00FA1BC9"/>
    <w:rsid w:val="00FA49C3"/>
    <w:rsid w:val="00FB1F58"/>
    <w:rsid w:val="00FB236E"/>
    <w:rsid w:val="00FB3F7B"/>
    <w:rsid w:val="00FB4C2A"/>
    <w:rsid w:val="00FB5223"/>
    <w:rsid w:val="00FB5FD6"/>
    <w:rsid w:val="00FC0804"/>
    <w:rsid w:val="00FC2107"/>
    <w:rsid w:val="00FC3098"/>
    <w:rsid w:val="00FC48FE"/>
    <w:rsid w:val="00FC6F56"/>
    <w:rsid w:val="00FD122D"/>
    <w:rsid w:val="00FD6284"/>
    <w:rsid w:val="00FE087C"/>
    <w:rsid w:val="00FE1540"/>
    <w:rsid w:val="00FE6418"/>
    <w:rsid w:val="00FE79A0"/>
    <w:rsid w:val="00FF0939"/>
    <w:rsid w:val="00FF5729"/>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C4C024"/>
  <w15:chartTrackingRefBased/>
  <w15:docId w15:val="{3B7A0CE6-F5BB-4D40-8ED5-1531A62F0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149C"/>
    <w:rPr>
      <w:rFonts w:ascii="Cambria" w:hAnsi="Cambria"/>
      <w:sz w:val="22"/>
    </w:rPr>
  </w:style>
  <w:style w:type="paragraph" w:styleId="Heading1">
    <w:name w:val="heading 1"/>
    <w:basedOn w:val="Normal"/>
    <w:next w:val="Normal"/>
    <w:link w:val="Heading1Char"/>
    <w:uiPriority w:val="9"/>
    <w:qFormat/>
    <w:rsid w:val="00A968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F02AEC"/>
    <w:pPr>
      <w:keepNext/>
      <w:keepLines/>
      <w:spacing w:before="480" w:line="240" w:lineRule="atLeast"/>
      <w:outlineLvl w:val="1"/>
    </w:pPr>
    <w:rPr>
      <w:rFonts w:ascii="Arial" w:eastAsia="Times New Roman" w:hAnsi="Arial" w:cs="Times New Roman"/>
      <w:b/>
      <w:bCs/>
      <w:color w:val="001871"/>
      <w:sz w:val="38"/>
      <w:szCs w:val="38"/>
    </w:rPr>
  </w:style>
  <w:style w:type="paragraph" w:styleId="Heading3">
    <w:name w:val="heading 3"/>
    <w:basedOn w:val="Normal"/>
    <w:next w:val="Normal"/>
    <w:link w:val="Heading3Char"/>
    <w:qFormat/>
    <w:rsid w:val="00F02AEC"/>
    <w:pPr>
      <w:keepNext/>
      <w:keepLines/>
      <w:spacing w:before="480" w:line="240" w:lineRule="atLeast"/>
      <w:outlineLvl w:val="2"/>
    </w:pPr>
    <w:rPr>
      <w:rFonts w:ascii="Arial" w:eastAsia="Times New Roman" w:hAnsi="Arial" w:cs="Times New Roman"/>
      <w:b/>
      <w:bCs/>
      <w:color w:val="001871"/>
      <w:sz w:val="32"/>
      <w:szCs w:val="32"/>
    </w:rPr>
  </w:style>
  <w:style w:type="paragraph" w:styleId="Heading4">
    <w:name w:val="heading 4"/>
    <w:basedOn w:val="Normal"/>
    <w:next w:val="Normal"/>
    <w:link w:val="Heading4Char"/>
    <w:qFormat/>
    <w:rsid w:val="00F02AEC"/>
    <w:pPr>
      <w:keepNext/>
      <w:keepLines/>
      <w:spacing w:before="360" w:line="240" w:lineRule="atLeast"/>
      <w:outlineLvl w:val="3"/>
    </w:pPr>
    <w:rPr>
      <w:rFonts w:ascii="Arial" w:eastAsia="Cambria" w:hAnsi="Arial" w:cs="Times New Roman"/>
      <w:b/>
      <w:bCs/>
      <w:color w:val="001871"/>
      <w:sz w:val="28"/>
      <w:szCs w:val="26"/>
    </w:rPr>
  </w:style>
  <w:style w:type="paragraph" w:styleId="Heading5">
    <w:name w:val="heading 5"/>
    <w:basedOn w:val="Normal"/>
    <w:next w:val="Normal"/>
    <w:link w:val="Heading5Char"/>
    <w:uiPriority w:val="9"/>
    <w:rsid w:val="00F02AEC"/>
    <w:pPr>
      <w:keepNext/>
      <w:keepLines/>
      <w:spacing w:before="240" w:line="240" w:lineRule="atLeast"/>
      <w:outlineLvl w:val="4"/>
    </w:pPr>
    <w:rPr>
      <w:rFonts w:ascii="Arial" w:eastAsia="Times New Roman" w:hAnsi="Arial" w:cs="Times New Roman"/>
      <w:b/>
      <w:bCs/>
      <w:i/>
      <w:color w:val="001871"/>
      <w:sz w:val="26"/>
      <w:szCs w:val="26"/>
    </w:rPr>
  </w:style>
  <w:style w:type="paragraph" w:styleId="Heading6">
    <w:name w:val="heading 6"/>
    <w:basedOn w:val="Normal"/>
    <w:next w:val="Normal"/>
    <w:link w:val="Heading6Char"/>
    <w:uiPriority w:val="9"/>
    <w:rsid w:val="00F02AEC"/>
    <w:pPr>
      <w:keepNext/>
      <w:keepLines/>
      <w:spacing w:before="240" w:line="240" w:lineRule="atLeast"/>
      <w:outlineLvl w:val="5"/>
    </w:pPr>
    <w:rPr>
      <w:rFonts w:ascii="Arial" w:eastAsia="Times New Roman" w:hAnsi="Arial" w:cs="Times New Roman"/>
      <w:b/>
      <w:bCs/>
      <w:i/>
      <w:color w:val="001871"/>
      <w:sz w:val="24"/>
      <w:szCs w:val="21"/>
    </w:rPr>
  </w:style>
  <w:style w:type="paragraph" w:styleId="Heading7">
    <w:name w:val="heading 7"/>
    <w:basedOn w:val="Normal"/>
    <w:next w:val="Normal"/>
    <w:link w:val="Heading7Char"/>
    <w:uiPriority w:val="9"/>
    <w:unhideWhenUsed/>
    <w:qFormat/>
    <w:rsid w:val="005027CF"/>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TGAblue2023">
    <w:name w:val="Table TGA blue 2023"/>
    <w:basedOn w:val="TableNormal"/>
    <w:uiPriority w:val="99"/>
    <w:qFormat/>
    <w:rsid w:val="008329DB"/>
    <w:pPr>
      <w:spacing w:before="80" w:after="40" w:line="264" w:lineRule="auto"/>
      <w:ind w:left="113"/>
    </w:pPr>
    <w:rPr>
      <w:rFonts w:ascii="Arial" w:eastAsia="Cambria" w:hAnsi="Arial" w:cs="Times New Roman"/>
      <w:color w:val="000000"/>
      <w:sz w:val="18"/>
      <w:szCs w:val="21"/>
      <w:lang w:eastAsia="en-AU"/>
    </w:rPr>
    <w:tblPr>
      <w:tblBorders>
        <w:top w:val="single" w:sz="4" w:space="0" w:color="263287"/>
        <w:left w:val="single" w:sz="4" w:space="0" w:color="263287"/>
        <w:bottom w:val="single" w:sz="4" w:space="0" w:color="263287"/>
        <w:right w:val="single" w:sz="4" w:space="0" w:color="263287"/>
        <w:insideH w:val="single" w:sz="4" w:space="0" w:color="263287"/>
        <w:insideV w:val="single" w:sz="4" w:space="0" w:color="263287"/>
      </w:tblBorders>
    </w:tblPr>
    <w:trPr>
      <w:cantSplit/>
    </w:trPr>
    <w:tcPr>
      <w:shd w:val="clear" w:color="auto" w:fill="FFFFFF" w:themeFill="background1"/>
    </w:tcPr>
    <w:tblStylePr w:type="firstRow">
      <w:pPr>
        <w:keepNext/>
        <w:wordWrap/>
      </w:pPr>
      <w:rPr>
        <w:rFonts w:ascii="Arial" w:hAnsi="Arial"/>
        <w:b/>
        <w:color w:val="263287"/>
        <w:sz w:val="22"/>
      </w:rPr>
      <w:tblPr/>
      <w:trPr>
        <w:tblHeader/>
      </w:trPr>
      <w:tcPr>
        <w:shd w:val="clear" w:color="auto" w:fill="DEEAF6" w:themeFill="accent5" w:themeFillTint="33"/>
      </w:tcPr>
    </w:tblStylePr>
    <w:tblStylePr w:type="firstCol">
      <w:pPr>
        <w:keepNext w:val="0"/>
        <w:wordWrap/>
      </w:pPr>
    </w:tblStylePr>
  </w:style>
  <w:style w:type="character" w:customStyle="1" w:styleId="Heading2Char">
    <w:name w:val="Heading 2 Char"/>
    <w:basedOn w:val="DefaultParagraphFont"/>
    <w:link w:val="Heading2"/>
    <w:rsid w:val="00F02AEC"/>
    <w:rPr>
      <w:rFonts w:ascii="Arial" w:eastAsia="Times New Roman" w:hAnsi="Arial" w:cs="Times New Roman"/>
      <w:b/>
      <w:bCs/>
      <w:color w:val="001871"/>
      <w:sz w:val="38"/>
      <w:szCs w:val="38"/>
    </w:rPr>
  </w:style>
  <w:style w:type="character" w:customStyle="1" w:styleId="Heading3Char">
    <w:name w:val="Heading 3 Char"/>
    <w:basedOn w:val="DefaultParagraphFont"/>
    <w:link w:val="Heading3"/>
    <w:rsid w:val="00F02AEC"/>
    <w:rPr>
      <w:rFonts w:ascii="Arial" w:eastAsia="Times New Roman" w:hAnsi="Arial" w:cs="Times New Roman"/>
      <w:b/>
      <w:bCs/>
      <w:color w:val="001871"/>
      <w:sz w:val="32"/>
      <w:szCs w:val="32"/>
    </w:rPr>
  </w:style>
  <w:style w:type="character" w:customStyle="1" w:styleId="Heading4Char">
    <w:name w:val="Heading 4 Char"/>
    <w:basedOn w:val="DefaultParagraphFont"/>
    <w:link w:val="Heading4"/>
    <w:rsid w:val="00F02AEC"/>
    <w:rPr>
      <w:rFonts w:ascii="Arial" w:eastAsia="Cambria" w:hAnsi="Arial" w:cs="Times New Roman"/>
      <w:b/>
      <w:bCs/>
      <w:color w:val="001871"/>
      <w:sz w:val="28"/>
      <w:szCs w:val="26"/>
    </w:rPr>
  </w:style>
  <w:style w:type="character" w:customStyle="1" w:styleId="Heading5Char">
    <w:name w:val="Heading 5 Char"/>
    <w:basedOn w:val="DefaultParagraphFont"/>
    <w:link w:val="Heading5"/>
    <w:uiPriority w:val="9"/>
    <w:rsid w:val="00F02AEC"/>
    <w:rPr>
      <w:rFonts w:ascii="Arial" w:eastAsia="Times New Roman" w:hAnsi="Arial" w:cs="Times New Roman"/>
      <w:b/>
      <w:bCs/>
      <w:i/>
      <w:color w:val="001871"/>
      <w:sz w:val="26"/>
      <w:szCs w:val="26"/>
    </w:rPr>
  </w:style>
  <w:style w:type="character" w:customStyle="1" w:styleId="Heading6Char">
    <w:name w:val="Heading 6 Char"/>
    <w:basedOn w:val="DefaultParagraphFont"/>
    <w:link w:val="Heading6"/>
    <w:uiPriority w:val="9"/>
    <w:rsid w:val="00F02AEC"/>
    <w:rPr>
      <w:rFonts w:ascii="Arial" w:eastAsia="Times New Roman" w:hAnsi="Arial" w:cs="Times New Roman"/>
      <w:b/>
      <w:bCs/>
      <w:i/>
      <w:color w:val="001871"/>
      <w:sz w:val="24"/>
      <w:szCs w:val="21"/>
    </w:rPr>
  </w:style>
  <w:style w:type="paragraph" w:styleId="Date">
    <w:name w:val="Date"/>
    <w:basedOn w:val="Normal"/>
    <w:next w:val="Normal"/>
    <w:link w:val="DateChar"/>
    <w:uiPriority w:val="99"/>
    <w:rsid w:val="00F02AEC"/>
    <w:pPr>
      <w:spacing w:before="120" w:after="0" w:line="240" w:lineRule="atLeast"/>
    </w:pPr>
    <w:rPr>
      <w:rFonts w:ascii="Arial" w:eastAsia="Cambria" w:hAnsi="Arial" w:cs="Times New Roman"/>
      <w:color w:val="333F4A"/>
      <w:sz w:val="28"/>
    </w:rPr>
  </w:style>
  <w:style w:type="character" w:customStyle="1" w:styleId="DateChar">
    <w:name w:val="Date Char"/>
    <w:basedOn w:val="DefaultParagraphFont"/>
    <w:link w:val="Date"/>
    <w:uiPriority w:val="99"/>
    <w:rsid w:val="00F02AEC"/>
    <w:rPr>
      <w:rFonts w:ascii="Arial" w:eastAsia="Cambria" w:hAnsi="Arial" w:cs="Times New Roman"/>
      <w:color w:val="333F4A"/>
      <w:sz w:val="28"/>
      <w:szCs w:val="20"/>
    </w:rPr>
  </w:style>
  <w:style w:type="paragraph" w:styleId="Footer">
    <w:name w:val="footer"/>
    <w:basedOn w:val="Normal"/>
    <w:link w:val="FooterChar"/>
    <w:uiPriority w:val="99"/>
    <w:rsid w:val="0056766D"/>
    <w:pPr>
      <w:tabs>
        <w:tab w:val="center" w:pos="4513"/>
        <w:tab w:val="right" w:pos="9026"/>
      </w:tabs>
      <w:spacing w:after="0" w:line="240" w:lineRule="auto"/>
    </w:pPr>
    <w:rPr>
      <w:rFonts w:eastAsia="Cambria" w:cs="Times New Roman"/>
      <w:color w:val="333F4A"/>
      <w:sz w:val="17"/>
    </w:rPr>
  </w:style>
  <w:style w:type="character" w:customStyle="1" w:styleId="FooterChar">
    <w:name w:val="Footer Char"/>
    <w:basedOn w:val="DefaultParagraphFont"/>
    <w:link w:val="Footer"/>
    <w:uiPriority w:val="99"/>
    <w:rsid w:val="0056766D"/>
    <w:rPr>
      <w:rFonts w:ascii="Cambria" w:eastAsia="Cambria" w:hAnsi="Cambria" w:cs="Times New Roman"/>
      <w:color w:val="333F4A"/>
      <w:sz w:val="17"/>
    </w:rPr>
  </w:style>
  <w:style w:type="paragraph" w:styleId="Header">
    <w:name w:val="header"/>
    <w:basedOn w:val="Normal"/>
    <w:link w:val="HeaderChar"/>
    <w:uiPriority w:val="99"/>
    <w:rsid w:val="00F02AEC"/>
    <w:pPr>
      <w:pBdr>
        <w:bottom w:val="single" w:sz="4" w:space="3" w:color="auto"/>
      </w:pBdr>
      <w:tabs>
        <w:tab w:val="center" w:pos="4513"/>
        <w:tab w:val="right" w:pos="9026"/>
      </w:tabs>
      <w:spacing w:after="0" w:line="240" w:lineRule="auto"/>
      <w:jc w:val="right"/>
    </w:pPr>
    <w:rPr>
      <w:rFonts w:ascii="Arial" w:eastAsia="Cambria" w:hAnsi="Arial" w:cs="Times New Roman"/>
      <w:color w:val="333F4A"/>
      <w:sz w:val="17"/>
    </w:rPr>
  </w:style>
  <w:style w:type="character" w:customStyle="1" w:styleId="HeaderChar">
    <w:name w:val="Header Char"/>
    <w:basedOn w:val="DefaultParagraphFont"/>
    <w:link w:val="Header"/>
    <w:uiPriority w:val="99"/>
    <w:rsid w:val="00F02AEC"/>
    <w:rPr>
      <w:rFonts w:ascii="Arial" w:eastAsia="Cambria" w:hAnsi="Arial" w:cs="Times New Roman"/>
      <w:color w:val="333F4A"/>
      <w:sz w:val="17"/>
      <w:szCs w:val="20"/>
    </w:rPr>
  </w:style>
  <w:style w:type="character" w:styleId="Hyperlink">
    <w:name w:val="Hyperlink"/>
    <w:basedOn w:val="DefaultParagraphFont"/>
    <w:uiPriority w:val="99"/>
    <w:unhideWhenUsed/>
    <w:rsid w:val="0056766D"/>
    <w:rPr>
      <w:rFonts w:ascii="Cambria" w:hAnsi="Cambria"/>
      <w:color w:val="0000FF"/>
      <w:u w:val="single"/>
    </w:rPr>
  </w:style>
  <w:style w:type="paragraph" w:customStyle="1" w:styleId="LegalCopy">
    <w:name w:val="Legal Copy"/>
    <w:basedOn w:val="Footer"/>
    <w:rsid w:val="0056766D"/>
  </w:style>
  <w:style w:type="paragraph" w:customStyle="1" w:styleId="LegalSubheading">
    <w:name w:val="Legal Subheading"/>
    <w:basedOn w:val="Footer"/>
    <w:rsid w:val="0056766D"/>
    <w:pPr>
      <w:outlineLvl w:val="1"/>
    </w:pPr>
    <w:rPr>
      <w:b/>
    </w:rPr>
  </w:style>
  <w:style w:type="paragraph" w:styleId="ListBullet">
    <w:name w:val="List Bullet"/>
    <w:basedOn w:val="Normal"/>
    <w:uiPriority w:val="2"/>
    <w:qFormat/>
    <w:rsid w:val="00FC6F56"/>
    <w:pPr>
      <w:numPr>
        <w:numId w:val="1"/>
      </w:numPr>
      <w:spacing w:before="120" w:after="180" w:line="240" w:lineRule="atLeast"/>
    </w:pPr>
    <w:rPr>
      <w:rFonts w:eastAsia="Cambria" w:cs="Times New Roman"/>
      <w:color w:val="000000" w:themeColor="text1"/>
    </w:rPr>
  </w:style>
  <w:style w:type="paragraph" w:styleId="ListBullet2">
    <w:name w:val="List Bullet 2"/>
    <w:basedOn w:val="Normal"/>
    <w:uiPriority w:val="2"/>
    <w:qFormat/>
    <w:rsid w:val="00FC6F56"/>
    <w:pPr>
      <w:numPr>
        <w:ilvl w:val="1"/>
        <w:numId w:val="1"/>
      </w:numPr>
      <w:spacing w:before="120" w:after="180" w:line="240" w:lineRule="atLeast"/>
      <w:ind w:left="850" w:hanging="425"/>
    </w:pPr>
    <w:rPr>
      <w:rFonts w:eastAsia="Cambria" w:cs="Times New Roman"/>
      <w:color w:val="000000" w:themeColor="text1"/>
    </w:rPr>
  </w:style>
  <w:style w:type="paragraph" w:styleId="ListBullet3">
    <w:name w:val="List Bullet 3"/>
    <w:basedOn w:val="Normal"/>
    <w:uiPriority w:val="2"/>
    <w:qFormat/>
    <w:rsid w:val="00FC6F56"/>
    <w:pPr>
      <w:numPr>
        <w:numId w:val="3"/>
      </w:numPr>
      <w:spacing w:before="120" w:after="180" w:line="240" w:lineRule="atLeast"/>
      <w:ind w:left="1276" w:hanging="425"/>
    </w:pPr>
    <w:rPr>
      <w:rFonts w:eastAsia="Cambria" w:cs="Times New Roman"/>
    </w:rPr>
  </w:style>
  <w:style w:type="numbering" w:customStyle="1" w:styleId="ListBullets">
    <w:name w:val="ListBullets"/>
    <w:uiPriority w:val="99"/>
    <w:locked/>
    <w:rsid w:val="00F02AEC"/>
    <w:pPr>
      <w:numPr>
        <w:numId w:val="1"/>
      </w:numPr>
    </w:pPr>
  </w:style>
  <w:style w:type="paragraph" w:customStyle="1" w:styleId="Numberbullet0">
    <w:name w:val="Number bullet"/>
    <w:basedOn w:val="ListBullet"/>
    <w:uiPriority w:val="2"/>
    <w:qFormat/>
    <w:rsid w:val="00FC6F56"/>
    <w:pPr>
      <w:numPr>
        <w:numId w:val="2"/>
      </w:numPr>
    </w:pPr>
  </w:style>
  <w:style w:type="paragraph" w:customStyle="1" w:styleId="Numberbullet2">
    <w:name w:val="Number bullet 2"/>
    <w:basedOn w:val="ListBullet2"/>
    <w:uiPriority w:val="2"/>
    <w:qFormat/>
    <w:rsid w:val="00F02AEC"/>
    <w:pPr>
      <w:numPr>
        <w:numId w:val="2"/>
      </w:numPr>
      <w:ind w:left="850" w:hanging="425"/>
    </w:pPr>
  </w:style>
  <w:style w:type="paragraph" w:customStyle="1" w:styleId="Numberbullet3">
    <w:name w:val="Number bullet 3"/>
    <w:basedOn w:val="Normal"/>
    <w:uiPriority w:val="2"/>
    <w:qFormat/>
    <w:rsid w:val="00F02AEC"/>
    <w:pPr>
      <w:numPr>
        <w:numId w:val="4"/>
      </w:numPr>
      <w:spacing w:before="120" w:after="180" w:line="240" w:lineRule="atLeast"/>
      <w:ind w:left="1361" w:hanging="397"/>
    </w:pPr>
    <w:rPr>
      <w:rFonts w:ascii="Arial" w:eastAsia="Cambria" w:hAnsi="Arial" w:cs="Times New Roman"/>
      <w:color w:val="333F48"/>
    </w:rPr>
  </w:style>
  <w:style w:type="numbering" w:customStyle="1" w:styleId="NumberBullet">
    <w:name w:val="NumberBullet"/>
    <w:uiPriority w:val="99"/>
    <w:locked/>
    <w:rsid w:val="00F02AEC"/>
    <w:pPr>
      <w:numPr>
        <w:numId w:val="2"/>
      </w:numPr>
    </w:pPr>
  </w:style>
  <w:style w:type="paragraph" w:styleId="Subtitle">
    <w:name w:val="Subtitle"/>
    <w:basedOn w:val="Normal"/>
    <w:link w:val="SubtitleChar"/>
    <w:uiPriority w:val="11"/>
    <w:rsid w:val="00F02AEC"/>
    <w:pPr>
      <w:numPr>
        <w:ilvl w:val="1"/>
      </w:numPr>
      <w:spacing w:after="0" w:line="240" w:lineRule="atLeast"/>
      <w:ind w:left="170"/>
    </w:pPr>
    <w:rPr>
      <w:rFonts w:ascii="Arial" w:eastAsia="Times New Roman" w:hAnsi="Arial" w:cs="Times New Roman"/>
      <w:bCs/>
      <w:iCs/>
      <w:color w:val="006BA6"/>
      <w:sz w:val="40"/>
      <w:szCs w:val="24"/>
    </w:rPr>
  </w:style>
  <w:style w:type="character" w:customStyle="1" w:styleId="SubtitleChar">
    <w:name w:val="Subtitle Char"/>
    <w:basedOn w:val="DefaultParagraphFont"/>
    <w:link w:val="Subtitle"/>
    <w:uiPriority w:val="11"/>
    <w:rsid w:val="00F02AEC"/>
    <w:rPr>
      <w:rFonts w:ascii="Arial" w:eastAsia="Times New Roman" w:hAnsi="Arial" w:cs="Times New Roman"/>
      <w:bCs/>
      <w:iCs/>
      <w:color w:val="006BA6"/>
      <w:sz w:val="40"/>
      <w:szCs w:val="24"/>
    </w:rPr>
  </w:style>
  <w:style w:type="table" w:styleId="TableGrid">
    <w:name w:val="Table Grid"/>
    <w:basedOn w:val="TableNormal"/>
    <w:uiPriority w:val="59"/>
    <w:rsid w:val="00F02AEC"/>
    <w:pPr>
      <w:spacing w:after="0" w:line="240" w:lineRule="auto"/>
    </w:pPr>
    <w:rPr>
      <w:rFonts w:ascii="Cambria" w:eastAsia="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GASignoff">
    <w:name w:val="TGA Signoff"/>
    <w:basedOn w:val="Normal"/>
    <w:rsid w:val="00F02AEC"/>
    <w:pPr>
      <w:spacing w:before="120" w:after="360" w:line="240" w:lineRule="atLeast"/>
      <w:jc w:val="center"/>
    </w:pPr>
    <w:rPr>
      <w:rFonts w:ascii="Arial" w:eastAsia="Cambria" w:hAnsi="Arial" w:cs="Times New Roman"/>
      <w:b/>
      <w:color w:val="333F48"/>
      <w:sz w:val="28"/>
    </w:rPr>
  </w:style>
  <w:style w:type="paragraph" w:styleId="Title">
    <w:name w:val="Title"/>
    <w:link w:val="TitleChar"/>
    <w:uiPriority w:val="10"/>
    <w:rsid w:val="00F02AEC"/>
    <w:pPr>
      <w:spacing w:line="240" w:lineRule="auto"/>
      <w:contextualSpacing/>
      <w:outlineLvl w:val="0"/>
    </w:pPr>
    <w:rPr>
      <w:rFonts w:ascii="Arial" w:eastAsia="Times New Roman" w:hAnsi="Arial" w:cs="Times New Roman"/>
      <w:color w:val="001871"/>
      <w:spacing w:val="5"/>
      <w:kern w:val="28"/>
      <w:sz w:val="52"/>
      <w:szCs w:val="52"/>
    </w:rPr>
  </w:style>
  <w:style w:type="character" w:customStyle="1" w:styleId="TitleChar">
    <w:name w:val="Title Char"/>
    <w:basedOn w:val="DefaultParagraphFont"/>
    <w:link w:val="Title"/>
    <w:uiPriority w:val="10"/>
    <w:rsid w:val="00F02AEC"/>
    <w:rPr>
      <w:rFonts w:ascii="Arial" w:eastAsia="Times New Roman" w:hAnsi="Arial" w:cs="Times New Roman"/>
      <w:color w:val="001871"/>
      <w:spacing w:val="5"/>
      <w:kern w:val="28"/>
      <w:sz w:val="52"/>
      <w:szCs w:val="52"/>
    </w:rPr>
  </w:style>
  <w:style w:type="paragraph" w:styleId="TOC1">
    <w:name w:val="toc 1"/>
    <w:basedOn w:val="Normal"/>
    <w:next w:val="Normal"/>
    <w:uiPriority w:val="39"/>
    <w:unhideWhenUsed/>
    <w:rsid w:val="00F02AEC"/>
    <w:pPr>
      <w:keepNext/>
      <w:keepLines/>
      <w:tabs>
        <w:tab w:val="right" w:leader="underscore" w:pos="8505"/>
      </w:tabs>
      <w:spacing w:before="120" w:after="200" w:line="240" w:lineRule="atLeast"/>
    </w:pPr>
    <w:rPr>
      <w:rFonts w:ascii="Arial" w:eastAsia="Cambria" w:hAnsi="Arial" w:cs="Times New Roman"/>
      <w:b/>
      <w:color w:val="333F48"/>
      <w:sz w:val="32"/>
    </w:rPr>
  </w:style>
  <w:style w:type="paragraph" w:styleId="TOC2">
    <w:name w:val="toc 2"/>
    <w:basedOn w:val="Normal"/>
    <w:next w:val="Normal"/>
    <w:uiPriority w:val="39"/>
    <w:unhideWhenUsed/>
    <w:rsid w:val="00F02AEC"/>
    <w:pPr>
      <w:keepNext/>
      <w:keepLines/>
      <w:tabs>
        <w:tab w:val="right" w:leader="underscore" w:pos="8505"/>
      </w:tabs>
      <w:spacing w:before="120" w:after="100" w:line="240" w:lineRule="atLeast"/>
      <w:ind w:left="425"/>
    </w:pPr>
    <w:rPr>
      <w:rFonts w:ascii="Arial" w:eastAsia="Cambria" w:hAnsi="Arial" w:cs="Times New Roman"/>
      <w:b/>
      <w:color w:val="333F48"/>
      <w:sz w:val="25"/>
    </w:rPr>
  </w:style>
  <w:style w:type="paragraph" w:styleId="TOC3">
    <w:name w:val="toc 3"/>
    <w:basedOn w:val="Normal"/>
    <w:next w:val="Normal"/>
    <w:uiPriority w:val="39"/>
    <w:unhideWhenUsed/>
    <w:rsid w:val="00F02AEC"/>
    <w:pPr>
      <w:keepNext/>
      <w:keepLines/>
      <w:tabs>
        <w:tab w:val="right" w:leader="hyphen" w:pos="8505"/>
      </w:tabs>
      <w:spacing w:before="120" w:after="100" w:line="240" w:lineRule="atLeast"/>
      <w:ind w:left="851"/>
    </w:pPr>
    <w:rPr>
      <w:rFonts w:ascii="Arial" w:eastAsia="Cambria" w:hAnsi="Arial" w:cs="Times New Roman"/>
      <w:b/>
      <w:color w:val="333F48"/>
    </w:rPr>
  </w:style>
  <w:style w:type="paragraph" w:styleId="FootnoteText">
    <w:name w:val="footnote text"/>
    <w:basedOn w:val="Normal"/>
    <w:link w:val="FootnoteTextChar"/>
    <w:qFormat/>
    <w:rsid w:val="00FE087C"/>
    <w:pPr>
      <w:keepLines/>
      <w:spacing w:after="0" w:line="240" w:lineRule="atLeast"/>
    </w:pPr>
    <w:rPr>
      <w:rFonts w:eastAsia="Cambria" w:cs="Times New Roman"/>
      <w:color w:val="333F48"/>
      <w:sz w:val="17"/>
    </w:rPr>
  </w:style>
  <w:style w:type="character" w:customStyle="1" w:styleId="FootnoteTextChar">
    <w:name w:val="Footnote Text Char"/>
    <w:basedOn w:val="DefaultParagraphFont"/>
    <w:link w:val="FootnoteText"/>
    <w:rsid w:val="00FE087C"/>
    <w:rPr>
      <w:rFonts w:ascii="Cambria" w:eastAsia="Cambria" w:hAnsi="Cambria" w:cs="Times New Roman"/>
      <w:color w:val="333F48"/>
      <w:sz w:val="17"/>
    </w:rPr>
  </w:style>
  <w:style w:type="character" w:styleId="FootnoteReference">
    <w:name w:val="footnote reference"/>
    <w:basedOn w:val="DefaultParagraphFont"/>
    <w:uiPriority w:val="99"/>
    <w:semiHidden/>
    <w:unhideWhenUsed/>
    <w:rsid w:val="00F02AEC"/>
    <w:rPr>
      <w:vertAlign w:val="superscript"/>
    </w:rPr>
  </w:style>
  <w:style w:type="paragraph" w:customStyle="1" w:styleId="NonTOCheading2">
    <w:name w:val="Non TOC heading 2"/>
    <w:basedOn w:val="Normal"/>
    <w:next w:val="Normal"/>
    <w:rsid w:val="00F02AEC"/>
    <w:pPr>
      <w:keepNext/>
      <w:keepLines/>
      <w:pageBreakBefore/>
      <w:spacing w:after="180" w:line="240" w:lineRule="atLeast"/>
      <w:outlineLvl w:val="1"/>
    </w:pPr>
    <w:rPr>
      <w:rFonts w:ascii="Arial" w:eastAsia="Cambria" w:hAnsi="Arial" w:cs="Times New Roman"/>
      <w:b/>
      <w:color w:val="001871"/>
      <w:sz w:val="38"/>
    </w:rPr>
  </w:style>
  <w:style w:type="paragraph" w:customStyle="1" w:styleId="Headernoline">
    <w:name w:val="Header no line"/>
    <w:basedOn w:val="Header"/>
    <w:rsid w:val="00F02AEC"/>
    <w:pPr>
      <w:pBdr>
        <w:bottom w:val="none" w:sz="0" w:space="0" w:color="auto"/>
      </w:pBdr>
      <w:spacing w:line="240" w:lineRule="atLeast"/>
    </w:pPr>
  </w:style>
  <w:style w:type="paragraph" w:customStyle="1" w:styleId="Address">
    <w:name w:val="Address"/>
    <w:basedOn w:val="Normal"/>
    <w:rsid w:val="00F02AEC"/>
    <w:pPr>
      <w:spacing w:after="0" w:line="240" w:lineRule="auto"/>
    </w:pPr>
    <w:rPr>
      <w:rFonts w:ascii="Arial" w:eastAsia="Cambria" w:hAnsi="Arial" w:cs="Times New Roman"/>
      <w:color w:val="333F48"/>
      <w:sz w:val="21"/>
    </w:rPr>
  </w:style>
  <w:style w:type="paragraph" w:customStyle="1" w:styleId="ListBullet-dotick">
    <w:name w:val="List Bullet - do (tick)"/>
    <w:basedOn w:val="ListBullet"/>
    <w:autoRedefine/>
    <w:uiPriority w:val="1"/>
    <w:rsid w:val="00F02AEC"/>
    <w:pPr>
      <w:numPr>
        <w:numId w:val="5"/>
      </w:numPr>
      <w:tabs>
        <w:tab w:val="left" w:pos="425"/>
      </w:tabs>
    </w:pPr>
  </w:style>
  <w:style w:type="paragraph" w:customStyle="1" w:styleId="ListBullet-donotcross">
    <w:name w:val="List Bullet - do not (cross)"/>
    <w:basedOn w:val="ListBullet"/>
    <w:autoRedefine/>
    <w:uiPriority w:val="1"/>
    <w:rsid w:val="00F02AEC"/>
    <w:pPr>
      <w:numPr>
        <w:numId w:val="6"/>
      </w:numPr>
      <w:ind w:left="357" w:hanging="357"/>
    </w:pPr>
    <w:rPr>
      <w:rFonts w:eastAsiaTheme="minorHAnsi" w:cstheme="minorBidi"/>
      <w:szCs w:val="22"/>
    </w:rPr>
  </w:style>
  <w:style w:type="table" w:customStyle="1" w:styleId="TGABlack2023">
    <w:name w:val="TGA Black 2023"/>
    <w:basedOn w:val="TableTGAblue2023"/>
    <w:uiPriority w:val="99"/>
    <w:rsid w:val="00FA49C3"/>
    <w:pPr>
      <w:spacing w:line="240" w:lineRule="auto"/>
    </w:p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cPr>
      <w:shd w:val="clear" w:color="auto" w:fill="FFFFFF" w:themeFill="background1"/>
    </w:tcPr>
    <w:tblStylePr w:type="firstRow">
      <w:pPr>
        <w:keepNext/>
        <w:wordWrap/>
      </w:pPr>
      <w:rPr>
        <w:rFonts w:ascii="Arial" w:hAnsi="Arial"/>
        <w:b/>
        <w:color w:val="FFFFFF" w:themeColor="background1"/>
        <w:sz w:val="22"/>
      </w:rPr>
      <w:tblPr/>
      <w:trPr>
        <w:tblHeader/>
      </w:trPr>
      <w:tcPr>
        <w:shd w:val="clear" w:color="auto" w:fill="171717" w:themeFill="background2" w:themeFillShade="1A"/>
      </w:tcPr>
    </w:tblStylePr>
    <w:tblStylePr w:type="firstCol">
      <w:pPr>
        <w:keepNext w:val="0"/>
        <w:wordWrap/>
      </w:pPr>
    </w:tblStylePr>
  </w:style>
  <w:style w:type="paragraph" w:customStyle="1" w:styleId="NonTOCHeading20">
    <w:name w:val="Non TOC Heading 2"/>
    <w:basedOn w:val="Normal"/>
    <w:rsid w:val="00346EC2"/>
    <w:pPr>
      <w:spacing w:before="240" w:line="240" w:lineRule="atLeast"/>
      <w:outlineLvl w:val="1"/>
    </w:pPr>
    <w:rPr>
      <w:rFonts w:ascii="Arial" w:eastAsia="Cambria" w:hAnsi="Arial" w:cs="Times New Roman"/>
      <w:b/>
      <w:sz w:val="32"/>
      <w:szCs w:val="22"/>
    </w:rPr>
  </w:style>
  <w:style w:type="table" w:customStyle="1" w:styleId="TableTGAblue">
    <w:name w:val="Table TGA blue"/>
    <w:basedOn w:val="TableNormal"/>
    <w:uiPriority w:val="99"/>
    <w:qFormat/>
    <w:rsid w:val="00324B33"/>
    <w:pPr>
      <w:spacing w:after="0" w:line="240" w:lineRule="auto"/>
      <w:ind w:left="170" w:right="170"/>
    </w:pPr>
    <w:rPr>
      <w:rFonts w:ascii="Cambria" w:hAnsi="Cambria" w:cs="Times New Roman"/>
      <w:color w:val="000000" w:themeColor="text1"/>
      <w:sz w:val="22"/>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paragraph" w:customStyle="1" w:styleId="Instructions">
    <w:name w:val="Instructions"/>
    <w:basedOn w:val="Normal"/>
    <w:next w:val="Normal"/>
    <w:uiPriority w:val="1"/>
    <w:qFormat/>
    <w:rsid w:val="00324B33"/>
    <w:pPr>
      <w:spacing w:before="120" w:line="240" w:lineRule="atLeast"/>
    </w:pPr>
    <w:rPr>
      <w:rFonts w:eastAsia="Cambria" w:cs="Times New Roman"/>
      <w:i/>
      <w:color w:val="007099"/>
      <w:szCs w:val="22"/>
    </w:rPr>
  </w:style>
  <w:style w:type="paragraph" w:customStyle="1" w:styleId="TableTitle">
    <w:name w:val="Table Title"/>
    <w:basedOn w:val="Normal"/>
    <w:rsid w:val="00EA131D"/>
    <w:pPr>
      <w:keepNext/>
      <w:spacing w:before="120" w:line="240" w:lineRule="atLeast"/>
    </w:pPr>
    <w:rPr>
      <w:rFonts w:eastAsia="Cambria" w:cs="Times New Roman"/>
      <w:b/>
      <w:szCs w:val="22"/>
    </w:rPr>
  </w:style>
  <w:style w:type="paragraph" w:customStyle="1" w:styleId="TableDescription">
    <w:name w:val="Table Description"/>
    <w:basedOn w:val="Normal"/>
    <w:qFormat/>
    <w:rsid w:val="00854D98"/>
    <w:pPr>
      <w:spacing w:before="120" w:line="240" w:lineRule="auto"/>
    </w:pPr>
    <w:rPr>
      <w:rFonts w:eastAsia="Cambria" w:cs="Times New Roman"/>
      <w:sz w:val="18"/>
      <w:szCs w:val="19"/>
    </w:rPr>
  </w:style>
  <w:style w:type="character" w:styleId="CommentReference">
    <w:name w:val="annotation reference"/>
    <w:basedOn w:val="DefaultParagraphFont"/>
    <w:uiPriority w:val="99"/>
    <w:semiHidden/>
    <w:unhideWhenUsed/>
    <w:rsid w:val="00E47E0C"/>
    <w:rPr>
      <w:sz w:val="16"/>
      <w:szCs w:val="16"/>
    </w:rPr>
  </w:style>
  <w:style w:type="paragraph" w:styleId="CommentText">
    <w:name w:val="annotation text"/>
    <w:basedOn w:val="Normal"/>
    <w:link w:val="CommentTextChar"/>
    <w:uiPriority w:val="99"/>
    <w:unhideWhenUsed/>
    <w:rsid w:val="00E47E0C"/>
    <w:pPr>
      <w:spacing w:line="240" w:lineRule="auto"/>
    </w:pPr>
  </w:style>
  <w:style w:type="character" w:customStyle="1" w:styleId="CommentTextChar">
    <w:name w:val="Comment Text Char"/>
    <w:basedOn w:val="DefaultParagraphFont"/>
    <w:link w:val="CommentText"/>
    <w:uiPriority w:val="99"/>
    <w:rsid w:val="00E47E0C"/>
    <w:rPr>
      <w:rFonts w:ascii="Cambria" w:hAnsi="Cambria"/>
    </w:rPr>
  </w:style>
  <w:style w:type="paragraph" w:styleId="CommentSubject">
    <w:name w:val="annotation subject"/>
    <w:basedOn w:val="CommentText"/>
    <w:next w:val="CommentText"/>
    <w:link w:val="CommentSubjectChar"/>
    <w:uiPriority w:val="99"/>
    <w:semiHidden/>
    <w:unhideWhenUsed/>
    <w:rsid w:val="00E47E0C"/>
    <w:rPr>
      <w:b/>
      <w:bCs/>
    </w:rPr>
  </w:style>
  <w:style w:type="character" w:customStyle="1" w:styleId="CommentSubjectChar">
    <w:name w:val="Comment Subject Char"/>
    <w:basedOn w:val="CommentTextChar"/>
    <w:link w:val="CommentSubject"/>
    <w:uiPriority w:val="99"/>
    <w:semiHidden/>
    <w:rsid w:val="00E47E0C"/>
    <w:rPr>
      <w:rFonts w:ascii="Cambria" w:hAnsi="Cambria"/>
      <w:b/>
      <w:bCs/>
    </w:rPr>
  </w:style>
  <w:style w:type="paragraph" w:styleId="BalloonText">
    <w:name w:val="Balloon Text"/>
    <w:basedOn w:val="Normal"/>
    <w:link w:val="BalloonTextChar"/>
    <w:uiPriority w:val="99"/>
    <w:semiHidden/>
    <w:unhideWhenUsed/>
    <w:rsid w:val="00D637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3760"/>
    <w:rPr>
      <w:rFonts w:ascii="Segoe UI" w:hAnsi="Segoe UI" w:cs="Segoe UI"/>
      <w:sz w:val="18"/>
      <w:szCs w:val="18"/>
    </w:rPr>
  </w:style>
  <w:style w:type="character" w:styleId="FollowedHyperlink">
    <w:name w:val="FollowedHyperlink"/>
    <w:basedOn w:val="DefaultParagraphFont"/>
    <w:uiPriority w:val="99"/>
    <w:semiHidden/>
    <w:unhideWhenUsed/>
    <w:rsid w:val="001C1C2E"/>
    <w:rPr>
      <w:color w:val="954F72" w:themeColor="followedHyperlink"/>
      <w:u w:val="single"/>
    </w:rPr>
  </w:style>
  <w:style w:type="paragraph" w:styleId="Revision">
    <w:name w:val="Revision"/>
    <w:hidden/>
    <w:uiPriority w:val="99"/>
    <w:semiHidden/>
    <w:rsid w:val="008964B3"/>
    <w:pPr>
      <w:spacing w:after="0" w:line="240" w:lineRule="auto"/>
    </w:pPr>
    <w:rPr>
      <w:rFonts w:ascii="Cambria" w:hAnsi="Cambria"/>
    </w:rPr>
  </w:style>
  <w:style w:type="character" w:styleId="UnresolvedMention">
    <w:name w:val="Unresolved Mention"/>
    <w:basedOn w:val="DefaultParagraphFont"/>
    <w:uiPriority w:val="99"/>
    <w:semiHidden/>
    <w:unhideWhenUsed/>
    <w:rsid w:val="00966EF1"/>
    <w:rPr>
      <w:color w:val="605E5C"/>
      <w:shd w:val="clear" w:color="auto" w:fill="E1DFDD"/>
    </w:rPr>
  </w:style>
  <w:style w:type="paragraph" w:customStyle="1" w:styleId="TableText">
    <w:name w:val="Table Text"/>
    <w:basedOn w:val="FootnoteText"/>
    <w:qFormat/>
    <w:rsid w:val="005B69CF"/>
    <w:rPr>
      <w:color w:val="000000" w:themeColor="text1"/>
      <w:sz w:val="22"/>
      <w:lang w:val="en-GB"/>
    </w:rPr>
  </w:style>
  <w:style w:type="paragraph" w:customStyle="1" w:styleId="FigureTitle">
    <w:name w:val="Figure Title"/>
    <w:basedOn w:val="Normal"/>
    <w:qFormat/>
    <w:rsid w:val="00AB0613"/>
    <w:pPr>
      <w:keepNext/>
    </w:pPr>
    <w:rPr>
      <w:b/>
    </w:rPr>
  </w:style>
  <w:style w:type="paragraph" w:styleId="Caption">
    <w:name w:val="caption"/>
    <w:basedOn w:val="Normal"/>
    <w:next w:val="Normal"/>
    <w:uiPriority w:val="35"/>
    <w:unhideWhenUsed/>
    <w:qFormat/>
    <w:rsid w:val="0098350E"/>
    <w:pPr>
      <w:spacing w:after="200" w:line="240" w:lineRule="auto"/>
    </w:pPr>
    <w:rPr>
      <w:i/>
      <w:iCs/>
      <w:color w:val="44546A" w:themeColor="text2"/>
      <w:sz w:val="18"/>
      <w:szCs w:val="18"/>
    </w:rPr>
  </w:style>
  <w:style w:type="paragraph" w:customStyle="1" w:styleId="FigureDescription">
    <w:name w:val="Figure Description"/>
    <w:basedOn w:val="FigureTitle"/>
    <w:qFormat/>
    <w:rsid w:val="00EA131D"/>
    <w:pPr>
      <w:keepNext w:val="0"/>
      <w:spacing w:before="120"/>
    </w:pPr>
    <w:rPr>
      <w:b w:val="0"/>
      <w:sz w:val="19"/>
    </w:rPr>
  </w:style>
  <w:style w:type="paragraph" w:styleId="ListParagraph">
    <w:name w:val="List Paragraph"/>
    <w:basedOn w:val="Normal"/>
    <w:link w:val="ListParagraphChar"/>
    <w:uiPriority w:val="34"/>
    <w:qFormat/>
    <w:rsid w:val="006B7126"/>
    <w:pPr>
      <w:spacing w:after="160"/>
      <w:ind w:left="720"/>
      <w:contextualSpacing/>
    </w:pPr>
    <w:rPr>
      <w:rFonts w:ascii="Times New Roman" w:hAnsi="Times New Roman" w:cs="Times New Roman"/>
      <w:sz w:val="24"/>
      <w:szCs w:val="24"/>
    </w:rPr>
  </w:style>
  <w:style w:type="character" w:customStyle="1" w:styleId="ListParagraphChar">
    <w:name w:val="List Paragraph Char"/>
    <w:basedOn w:val="DefaultParagraphFont"/>
    <w:link w:val="ListParagraph"/>
    <w:uiPriority w:val="34"/>
    <w:locked/>
    <w:rsid w:val="006B7126"/>
    <w:rPr>
      <w:rFonts w:ascii="Times New Roman" w:hAnsi="Times New Roman" w:cs="Times New Roman"/>
      <w:sz w:val="24"/>
      <w:szCs w:val="24"/>
    </w:rPr>
  </w:style>
  <w:style w:type="paragraph" w:customStyle="1" w:styleId="Indication">
    <w:name w:val="Indication"/>
    <w:basedOn w:val="Normal"/>
    <w:next w:val="Normal"/>
    <w:qFormat/>
    <w:rsid w:val="00BA3F6D"/>
    <w:pPr>
      <w:spacing w:before="120" w:line="240" w:lineRule="atLeast"/>
      <w:ind w:left="720"/>
      <w:contextualSpacing/>
    </w:pPr>
    <w:rPr>
      <w:i/>
      <w:color w:val="000000" w:themeColor="text1"/>
    </w:rPr>
  </w:style>
  <w:style w:type="paragraph" w:customStyle="1" w:styleId="DelegatesQuestions">
    <w:name w:val="Delegate's Questions"/>
    <w:basedOn w:val="Numberbullet0"/>
    <w:qFormat/>
    <w:rsid w:val="007575D0"/>
    <w:rPr>
      <w:b/>
      <w:bCs/>
      <w:i/>
      <w:iCs/>
    </w:rPr>
  </w:style>
  <w:style w:type="character" w:customStyle="1" w:styleId="Heading1Char">
    <w:name w:val="Heading 1 Char"/>
    <w:basedOn w:val="DefaultParagraphFont"/>
    <w:link w:val="Heading1"/>
    <w:uiPriority w:val="9"/>
    <w:rsid w:val="00A96804"/>
    <w:rPr>
      <w:rFonts w:asciiTheme="majorHAnsi" w:eastAsiaTheme="majorEastAsia" w:hAnsiTheme="majorHAnsi" w:cstheme="majorBidi"/>
      <w:color w:val="2F5496" w:themeColor="accent1" w:themeShade="BF"/>
      <w:sz w:val="32"/>
      <w:szCs w:val="32"/>
    </w:rPr>
  </w:style>
  <w:style w:type="character" w:customStyle="1" w:styleId="Heading7Char">
    <w:name w:val="Heading 7 Char"/>
    <w:basedOn w:val="DefaultParagraphFont"/>
    <w:link w:val="Heading7"/>
    <w:uiPriority w:val="9"/>
    <w:rsid w:val="005027CF"/>
    <w:rPr>
      <w:rFonts w:asciiTheme="majorHAnsi" w:eastAsiaTheme="majorEastAsia" w:hAnsiTheme="majorHAnsi" w:cstheme="majorBidi"/>
      <w:i/>
      <w:iCs/>
      <w:color w:val="1F3763" w:themeColor="accent1" w:themeShade="7F"/>
      <w:sz w:val="22"/>
    </w:rPr>
  </w:style>
  <w:style w:type="table" w:customStyle="1" w:styleId="TableGrid5">
    <w:name w:val="Table Grid5"/>
    <w:basedOn w:val="TableNormal"/>
    <w:next w:val="TableGrid"/>
    <w:uiPriority w:val="59"/>
    <w:rsid w:val="00AC0DB7"/>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05165"/>
    <w:pPr>
      <w:spacing w:after="0" w:line="240" w:lineRule="auto"/>
    </w:pPr>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002615">
      <w:bodyDiv w:val="1"/>
      <w:marLeft w:val="0"/>
      <w:marRight w:val="0"/>
      <w:marTop w:val="0"/>
      <w:marBottom w:val="0"/>
      <w:divBdr>
        <w:top w:val="none" w:sz="0" w:space="0" w:color="auto"/>
        <w:left w:val="none" w:sz="0" w:space="0" w:color="auto"/>
        <w:bottom w:val="none" w:sz="0" w:space="0" w:color="auto"/>
        <w:right w:val="none" w:sz="0" w:space="0" w:color="auto"/>
      </w:divBdr>
    </w:div>
    <w:div w:id="267010474">
      <w:bodyDiv w:val="1"/>
      <w:marLeft w:val="0"/>
      <w:marRight w:val="0"/>
      <w:marTop w:val="0"/>
      <w:marBottom w:val="0"/>
      <w:divBdr>
        <w:top w:val="none" w:sz="0" w:space="0" w:color="auto"/>
        <w:left w:val="none" w:sz="0" w:space="0" w:color="auto"/>
        <w:bottom w:val="none" w:sz="0" w:space="0" w:color="auto"/>
        <w:right w:val="none" w:sz="0" w:space="0" w:color="auto"/>
      </w:divBdr>
    </w:div>
    <w:div w:id="478687703">
      <w:bodyDiv w:val="1"/>
      <w:marLeft w:val="0"/>
      <w:marRight w:val="0"/>
      <w:marTop w:val="0"/>
      <w:marBottom w:val="0"/>
      <w:divBdr>
        <w:top w:val="none" w:sz="0" w:space="0" w:color="auto"/>
        <w:left w:val="none" w:sz="0" w:space="0" w:color="auto"/>
        <w:bottom w:val="none" w:sz="0" w:space="0" w:color="auto"/>
        <w:right w:val="none" w:sz="0" w:space="0" w:color="auto"/>
      </w:divBdr>
    </w:div>
    <w:div w:id="488592806">
      <w:bodyDiv w:val="1"/>
      <w:marLeft w:val="0"/>
      <w:marRight w:val="0"/>
      <w:marTop w:val="0"/>
      <w:marBottom w:val="0"/>
      <w:divBdr>
        <w:top w:val="none" w:sz="0" w:space="0" w:color="auto"/>
        <w:left w:val="none" w:sz="0" w:space="0" w:color="auto"/>
        <w:bottom w:val="none" w:sz="0" w:space="0" w:color="auto"/>
        <w:right w:val="none" w:sz="0" w:space="0" w:color="auto"/>
      </w:divBdr>
    </w:div>
    <w:div w:id="542523151">
      <w:bodyDiv w:val="1"/>
      <w:marLeft w:val="0"/>
      <w:marRight w:val="0"/>
      <w:marTop w:val="0"/>
      <w:marBottom w:val="0"/>
      <w:divBdr>
        <w:top w:val="none" w:sz="0" w:space="0" w:color="auto"/>
        <w:left w:val="none" w:sz="0" w:space="0" w:color="auto"/>
        <w:bottom w:val="none" w:sz="0" w:space="0" w:color="auto"/>
        <w:right w:val="none" w:sz="0" w:space="0" w:color="auto"/>
      </w:divBdr>
    </w:div>
    <w:div w:id="624115028">
      <w:bodyDiv w:val="1"/>
      <w:marLeft w:val="0"/>
      <w:marRight w:val="0"/>
      <w:marTop w:val="0"/>
      <w:marBottom w:val="0"/>
      <w:divBdr>
        <w:top w:val="none" w:sz="0" w:space="0" w:color="auto"/>
        <w:left w:val="none" w:sz="0" w:space="0" w:color="auto"/>
        <w:bottom w:val="none" w:sz="0" w:space="0" w:color="auto"/>
        <w:right w:val="none" w:sz="0" w:space="0" w:color="auto"/>
      </w:divBdr>
    </w:div>
    <w:div w:id="695735718">
      <w:bodyDiv w:val="1"/>
      <w:marLeft w:val="0"/>
      <w:marRight w:val="0"/>
      <w:marTop w:val="0"/>
      <w:marBottom w:val="0"/>
      <w:divBdr>
        <w:top w:val="none" w:sz="0" w:space="0" w:color="auto"/>
        <w:left w:val="none" w:sz="0" w:space="0" w:color="auto"/>
        <w:bottom w:val="none" w:sz="0" w:space="0" w:color="auto"/>
        <w:right w:val="none" w:sz="0" w:space="0" w:color="auto"/>
      </w:divBdr>
    </w:div>
    <w:div w:id="846753766">
      <w:bodyDiv w:val="1"/>
      <w:marLeft w:val="0"/>
      <w:marRight w:val="0"/>
      <w:marTop w:val="0"/>
      <w:marBottom w:val="0"/>
      <w:divBdr>
        <w:top w:val="none" w:sz="0" w:space="0" w:color="auto"/>
        <w:left w:val="none" w:sz="0" w:space="0" w:color="auto"/>
        <w:bottom w:val="none" w:sz="0" w:space="0" w:color="auto"/>
        <w:right w:val="none" w:sz="0" w:space="0" w:color="auto"/>
      </w:divBdr>
    </w:div>
    <w:div w:id="964585342">
      <w:bodyDiv w:val="1"/>
      <w:marLeft w:val="0"/>
      <w:marRight w:val="0"/>
      <w:marTop w:val="0"/>
      <w:marBottom w:val="0"/>
      <w:divBdr>
        <w:top w:val="none" w:sz="0" w:space="0" w:color="auto"/>
        <w:left w:val="none" w:sz="0" w:space="0" w:color="auto"/>
        <w:bottom w:val="none" w:sz="0" w:space="0" w:color="auto"/>
        <w:right w:val="none" w:sz="0" w:space="0" w:color="auto"/>
      </w:divBdr>
    </w:div>
    <w:div w:id="1097677066">
      <w:bodyDiv w:val="1"/>
      <w:marLeft w:val="0"/>
      <w:marRight w:val="0"/>
      <w:marTop w:val="0"/>
      <w:marBottom w:val="0"/>
      <w:divBdr>
        <w:top w:val="none" w:sz="0" w:space="0" w:color="auto"/>
        <w:left w:val="none" w:sz="0" w:space="0" w:color="auto"/>
        <w:bottom w:val="none" w:sz="0" w:space="0" w:color="auto"/>
        <w:right w:val="none" w:sz="0" w:space="0" w:color="auto"/>
      </w:divBdr>
    </w:div>
    <w:div w:id="1293705804">
      <w:bodyDiv w:val="1"/>
      <w:marLeft w:val="0"/>
      <w:marRight w:val="0"/>
      <w:marTop w:val="0"/>
      <w:marBottom w:val="0"/>
      <w:divBdr>
        <w:top w:val="none" w:sz="0" w:space="0" w:color="auto"/>
        <w:left w:val="none" w:sz="0" w:space="0" w:color="auto"/>
        <w:bottom w:val="none" w:sz="0" w:space="0" w:color="auto"/>
        <w:right w:val="none" w:sz="0" w:space="0" w:color="auto"/>
      </w:divBdr>
    </w:div>
    <w:div w:id="1377854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117" Type="http://schemas.openxmlformats.org/officeDocument/2006/relationships/hyperlink" Target="mailto:info@tga.gov.au" TargetMode="External"/><Relationship Id="rId21" Type="http://schemas.openxmlformats.org/officeDocument/2006/relationships/hyperlink" Target="https://www.ebs.tga.gov.au/" TargetMode="External"/><Relationship Id="rId42" Type="http://schemas.openxmlformats.org/officeDocument/2006/relationships/image" Target="media/image14.png"/><Relationship Id="rId47" Type="http://schemas.openxmlformats.org/officeDocument/2006/relationships/image" Target="media/image17.png"/><Relationship Id="rId63" Type="http://schemas.openxmlformats.org/officeDocument/2006/relationships/image" Target="media/image29.png"/><Relationship Id="rId68" Type="http://schemas.openxmlformats.org/officeDocument/2006/relationships/image" Target="media/image34.png"/><Relationship Id="rId84" Type="http://schemas.microsoft.com/office/2007/relationships/hdphoto" Target="media/hdphoto15.wdp"/><Relationship Id="rId89" Type="http://schemas.microsoft.com/office/2007/relationships/hdphoto" Target="media/hdphoto17.wdp"/><Relationship Id="rId112" Type="http://schemas.openxmlformats.org/officeDocument/2006/relationships/hyperlink" Target="https://www.tga.gov.au/form/certified-product-details-cpd-biological-prescription-medicines" TargetMode="External"/><Relationship Id="rId16" Type="http://schemas.openxmlformats.org/officeDocument/2006/relationships/hyperlink" Target="https://www.tga.gov.au/resources/artg/407360" TargetMode="External"/><Relationship Id="rId107" Type="http://schemas.openxmlformats.org/officeDocument/2006/relationships/image" Target="media/image61.png"/><Relationship Id="rId11" Type="http://schemas.openxmlformats.org/officeDocument/2006/relationships/footer" Target="footer2.xml"/><Relationship Id="rId32" Type="http://schemas.microsoft.com/office/2007/relationships/hdphoto" Target="media/hdphoto3.wdp"/><Relationship Id="rId37" Type="http://schemas.openxmlformats.org/officeDocument/2006/relationships/image" Target="media/image11.png"/><Relationship Id="rId53" Type="http://schemas.microsoft.com/office/2007/relationships/hdphoto" Target="media/hdphoto12.wdp"/><Relationship Id="rId58" Type="http://schemas.openxmlformats.org/officeDocument/2006/relationships/image" Target="media/image25.png"/><Relationship Id="rId74" Type="http://schemas.openxmlformats.org/officeDocument/2006/relationships/image" Target="media/image40.png"/><Relationship Id="rId79" Type="http://schemas.openxmlformats.org/officeDocument/2006/relationships/image" Target="media/image45.png"/><Relationship Id="rId102" Type="http://schemas.microsoft.com/office/2007/relationships/hdphoto" Target="media/hdphoto23.wdp"/><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image" Target="media/image47.png"/><Relationship Id="rId90" Type="http://schemas.openxmlformats.org/officeDocument/2006/relationships/image" Target="media/image52.png"/><Relationship Id="rId95" Type="http://schemas.microsoft.com/office/2007/relationships/hdphoto" Target="media/hdphoto20.wdp"/><Relationship Id="rId19" Type="http://schemas.openxmlformats.org/officeDocument/2006/relationships/hyperlink" Target="https://www.tga.gov.au/resources/artg/440653" TargetMode="External"/><Relationship Id="rId14" Type="http://schemas.openxmlformats.org/officeDocument/2006/relationships/hyperlink" Target="mailto:tga.copyright@tga.gov.au" TargetMode="External"/><Relationship Id="rId22" Type="http://schemas.openxmlformats.org/officeDocument/2006/relationships/hyperlink" Target="https://www.tga.gov.au/products/medicines/find-information-about-medicine/prescribing-medicines-pregnancy-database" TargetMode="External"/><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image" Target="media/image10.png"/><Relationship Id="rId43" Type="http://schemas.openxmlformats.org/officeDocument/2006/relationships/image" Target="media/image15.png"/><Relationship Id="rId48" Type="http://schemas.microsoft.com/office/2007/relationships/hdphoto" Target="media/hdphoto10.wdp"/><Relationship Id="rId56" Type="http://schemas.openxmlformats.org/officeDocument/2006/relationships/image" Target="media/image23.png"/><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3.png"/><Relationship Id="rId100" Type="http://schemas.microsoft.com/office/2007/relationships/hdphoto" Target="media/hdphoto22.wdp"/><Relationship Id="rId105" Type="http://schemas.openxmlformats.org/officeDocument/2006/relationships/image" Target="media/image60.png"/><Relationship Id="rId113" Type="http://schemas.openxmlformats.org/officeDocument/2006/relationships/hyperlink" Target="https://www.tga.gov.au/guidance-7-certified-product-details" TargetMode="External"/><Relationship Id="rId118" Type="http://schemas.openxmlformats.org/officeDocument/2006/relationships/hyperlink" Target="https://www.tga.gov.au" TargetMode="External"/><Relationship Id="rId8" Type="http://schemas.openxmlformats.org/officeDocument/2006/relationships/header" Target="header1.xml"/><Relationship Id="rId51" Type="http://schemas.openxmlformats.org/officeDocument/2006/relationships/image" Target="media/image19.png"/><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image" Target="media/image49.png"/><Relationship Id="rId93" Type="http://schemas.microsoft.com/office/2007/relationships/hdphoto" Target="media/hdphoto19.wdp"/><Relationship Id="rId98" Type="http://schemas.openxmlformats.org/officeDocument/2006/relationships/image" Target="media/image56.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tga.gov.au/" TargetMode="External"/><Relationship Id="rId17" Type="http://schemas.openxmlformats.org/officeDocument/2006/relationships/hyperlink" Target="https://www.tga.gov.au/resources/artg/440652" TargetMode="External"/><Relationship Id="rId25" Type="http://schemas.openxmlformats.org/officeDocument/2006/relationships/image" Target="media/image4.png"/><Relationship Id="rId33" Type="http://schemas.openxmlformats.org/officeDocument/2006/relationships/image" Target="media/image9.png"/><Relationship Id="rId38" Type="http://schemas.microsoft.com/office/2007/relationships/hdphoto" Target="media/hdphoto6.wdp"/><Relationship Id="rId46" Type="http://schemas.microsoft.com/office/2007/relationships/hdphoto" Target="media/hdphoto9.wdp"/><Relationship Id="rId59" Type="http://schemas.openxmlformats.org/officeDocument/2006/relationships/image" Target="media/image26.png"/><Relationship Id="rId67" Type="http://schemas.openxmlformats.org/officeDocument/2006/relationships/image" Target="media/image33.png"/><Relationship Id="rId103" Type="http://schemas.openxmlformats.org/officeDocument/2006/relationships/image" Target="media/image59.png"/><Relationship Id="rId108" Type="http://schemas.openxmlformats.org/officeDocument/2006/relationships/image" Target="media/image62.png"/><Relationship Id="rId116" Type="http://schemas.openxmlformats.org/officeDocument/2006/relationships/footer" Target="footer3.xml"/><Relationship Id="rId20" Type="http://schemas.openxmlformats.org/officeDocument/2006/relationships/hyperlink" Target="https://www.tga.gov.au/resources/artg/407359" TargetMode="External"/><Relationship Id="rId41" Type="http://schemas.openxmlformats.org/officeDocument/2006/relationships/image" Target="media/image13.png"/><Relationship Id="rId54" Type="http://schemas.openxmlformats.org/officeDocument/2006/relationships/image" Target="media/image21.png"/><Relationship Id="rId62" Type="http://schemas.microsoft.com/office/2007/relationships/hdphoto" Target="media/hdphoto13.wdp"/><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8.png"/><Relationship Id="rId88" Type="http://schemas.openxmlformats.org/officeDocument/2006/relationships/image" Target="media/image51.png"/><Relationship Id="rId91" Type="http://schemas.microsoft.com/office/2007/relationships/hdphoto" Target="media/hdphoto18.wdp"/><Relationship Id="rId96" Type="http://schemas.openxmlformats.org/officeDocument/2006/relationships/image" Target="media/image55.png"/><Relationship Id="rId111" Type="http://schemas.openxmlformats.org/officeDocument/2006/relationships/hyperlink" Target="https://www.tga.gov.au/sites/default/files/pm-argpm-guidance-7.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ga.gov.au/resources/artg/440650" TargetMode="External"/><Relationship Id="rId23" Type="http://schemas.openxmlformats.org/officeDocument/2006/relationships/hyperlink" Target="https://www.tga.gov.au/obstetric-drug-information-services" TargetMode="External"/><Relationship Id="rId28" Type="http://schemas.openxmlformats.org/officeDocument/2006/relationships/image" Target="media/image6.png"/><Relationship Id="rId36" Type="http://schemas.microsoft.com/office/2007/relationships/hdphoto" Target="media/hdphoto5.wdp"/><Relationship Id="rId49" Type="http://schemas.openxmlformats.org/officeDocument/2006/relationships/image" Target="media/image18.png"/><Relationship Id="rId57" Type="http://schemas.openxmlformats.org/officeDocument/2006/relationships/image" Target="media/image24.png"/><Relationship Id="rId106" Type="http://schemas.microsoft.com/office/2007/relationships/hdphoto" Target="media/hdphoto25.wdp"/><Relationship Id="rId114" Type="http://schemas.openxmlformats.org/officeDocument/2006/relationships/hyperlink" Target="https://www.ebs.tga.gov.au/" TargetMode="External"/><Relationship Id="rId119" Type="http://schemas.openxmlformats.org/officeDocument/2006/relationships/header" Target="header4.xml"/><Relationship Id="rId10" Type="http://schemas.openxmlformats.org/officeDocument/2006/relationships/header" Target="header2.xml"/><Relationship Id="rId31" Type="http://schemas.openxmlformats.org/officeDocument/2006/relationships/image" Target="media/image8.png"/><Relationship Id="rId44" Type="http://schemas.microsoft.com/office/2007/relationships/hdphoto" Target="media/hdphoto8.wdp"/><Relationship Id="rId52" Type="http://schemas.openxmlformats.org/officeDocument/2006/relationships/image" Target="media/image20.png"/><Relationship Id="rId60" Type="http://schemas.openxmlformats.org/officeDocument/2006/relationships/image" Target="media/image27.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microsoft.com/office/2007/relationships/hdphoto" Target="media/hdphoto14.wdp"/><Relationship Id="rId86" Type="http://schemas.openxmlformats.org/officeDocument/2006/relationships/image" Target="media/image50.png"/><Relationship Id="rId94" Type="http://schemas.openxmlformats.org/officeDocument/2006/relationships/image" Target="media/image54.png"/><Relationship Id="rId99" Type="http://schemas.openxmlformats.org/officeDocument/2006/relationships/image" Target="media/image57.png"/><Relationship Id="rId101" Type="http://schemas.openxmlformats.org/officeDocument/2006/relationships/image" Target="media/image58.pn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tga.gov.au/australian-public-assessment-report-auspar-guidance" TargetMode="External"/><Relationship Id="rId18" Type="http://schemas.openxmlformats.org/officeDocument/2006/relationships/hyperlink" Target="https://www.tga.gov.au/resources/artg/440651" TargetMode="External"/><Relationship Id="rId39" Type="http://schemas.openxmlformats.org/officeDocument/2006/relationships/image" Target="media/image12.png"/><Relationship Id="rId109" Type="http://schemas.microsoft.com/office/2007/relationships/hdphoto" Target="media/hdphoto26.wdp"/><Relationship Id="rId34" Type="http://schemas.microsoft.com/office/2007/relationships/hdphoto" Target="media/hdphoto4.wdp"/><Relationship Id="rId50" Type="http://schemas.microsoft.com/office/2007/relationships/hdphoto" Target="media/hdphoto11.wdp"/><Relationship Id="rId55" Type="http://schemas.openxmlformats.org/officeDocument/2006/relationships/image" Target="media/image22.png"/><Relationship Id="rId76" Type="http://schemas.openxmlformats.org/officeDocument/2006/relationships/image" Target="media/image42.png"/><Relationship Id="rId97" Type="http://schemas.microsoft.com/office/2007/relationships/hdphoto" Target="media/hdphoto21.wdp"/><Relationship Id="rId104" Type="http://schemas.microsoft.com/office/2007/relationships/hdphoto" Target="media/hdphoto24.wdp"/><Relationship Id="rId120"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3.png"/><Relationship Id="rId2" Type="http://schemas.openxmlformats.org/officeDocument/2006/relationships/numbering" Target="numbering.xml"/><Relationship Id="rId29" Type="http://schemas.microsoft.com/office/2007/relationships/hdphoto" Target="media/hdphoto2.wdp"/><Relationship Id="rId24" Type="http://schemas.openxmlformats.org/officeDocument/2006/relationships/hyperlink" Target="https://www.tga.gov.au/how-we-regulate/supply-therapeutic-good-0/supply-prescription-medicine/application-process/prescription-medicines-registration-process" TargetMode="External"/><Relationship Id="rId40" Type="http://schemas.microsoft.com/office/2007/relationships/hdphoto" Target="media/hdphoto7.wdp"/><Relationship Id="rId45" Type="http://schemas.openxmlformats.org/officeDocument/2006/relationships/image" Target="media/image16.png"/><Relationship Id="rId66" Type="http://schemas.openxmlformats.org/officeDocument/2006/relationships/image" Target="media/image32.png"/><Relationship Id="rId87" Type="http://schemas.microsoft.com/office/2007/relationships/hdphoto" Target="media/hdphoto16.wdp"/><Relationship Id="rId110" Type="http://schemas.openxmlformats.org/officeDocument/2006/relationships/hyperlink" Target="https://www.tga.gov.au/committee/advisory-committee-medicines-acm" TargetMode="External"/><Relationship Id="rId115" Type="http://schemas.openxmlformats.org/officeDocument/2006/relationships/header" Target="header3.xml"/></Relationships>
</file>

<file path=word/_rels/footnotes.xml.rels><?xml version="1.0" encoding="UTF-8" standalone="yes"?>
<Relationships xmlns="http://schemas.openxmlformats.org/package/2006/relationships"><Relationship Id="rId2" Type="http://schemas.openxmlformats.org/officeDocument/2006/relationships/hyperlink" Target="https://www.ema.europa.eu/en/need-assessment-reproduction-toxicity-human-insulin-analogues-scientific-guideline" TargetMode="External"/><Relationship Id="rId1" Type="http://schemas.openxmlformats.org/officeDocument/2006/relationships/hyperlink" Target="https://www.ich.org/page/safety-guidelines"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1AE68-6449-47E6-9F10-0220946BAFE5}">
  <ds:schemaRefs>
    <ds:schemaRef ds:uri="http://schemas.openxmlformats.org/officeDocument/2006/bibliography"/>
  </ds:schemaRefs>
</ds:datastoreItem>
</file>

<file path=docMetadata/LabelInfo.xml><?xml version="1.0" encoding="utf-8"?>
<clbl:labelList xmlns:clbl="http://schemas.microsoft.com/office/2020/mipLabelMetadata">
  <clbl:label id="{f743b317-4758-44cb-8b65-8b43e4619766}" enabled="1" method="Standard" siteId="{fdfed7bd-9f6a-44a1-b694-6e39c468c150}"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62</Pages>
  <Words>18464</Words>
  <Characters>105251</Characters>
  <Application>Microsoft Office Word</Application>
  <DocSecurity>0</DocSecurity>
  <Lines>877</Lines>
  <Paragraphs>246</Paragraphs>
  <ScaleCrop>false</ScaleCrop>
  <HeadingPairs>
    <vt:vector size="2" baseType="variant">
      <vt:variant>
        <vt:lpstr>Title</vt:lpstr>
      </vt:variant>
      <vt:variant>
        <vt:i4>1</vt:i4>
      </vt:variant>
    </vt:vector>
  </HeadingPairs>
  <TitlesOfParts>
    <vt:vector size="1" baseType="lpstr">
      <vt:lpstr>Australian public assessment report for</vt:lpstr>
    </vt:vector>
  </TitlesOfParts>
  <Company>Department of Health and Aged Care</Company>
  <LinksUpToDate>false</LinksUpToDate>
  <CharactersWithSpaces>123469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AWIQLI</dc:title>
  <dc:subject>Prescription medicines</dc:subject>
  <dc:creator>Therapeutic Goods Administration</dc:creator>
  <cp:keywords/>
  <dc:description/>
  <cp:lastModifiedBy>LACK, Janet</cp:lastModifiedBy>
  <cp:revision>3</cp:revision>
  <dcterms:created xsi:type="dcterms:W3CDTF">2025-07-10T05:12:00Z</dcterms:created>
  <dcterms:modified xsi:type="dcterms:W3CDTF">2025-07-10T05:12:00Z</dcterms:modified>
</cp:coreProperties>
</file>