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21E4" w14:textId="0EEFB74B" w:rsidR="002B17FA" w:rsidRPr="00FE1F44" w:rsidRDefault="002B17FA"/>
    <w:p w14:paraId="3EC11FA4" w14:textId="77777777" w:rsidR="005F6958" w:rsidRPr="00FE1F44" w:rsidRDefault="005F6958"/>
    <w:p w14:paraId="11E79B24" w14:textId="77777777" w:rsidR="005F6958" w:rsidRPr="00FE1F44" w:rsidRDefault="005F6958"/>
    <w:p w14:paraId="09B33031" w14:textId="22FAD630" w:rsidR="009E4564" w:rsidRPr="00FE1F44" w:rsidRDefault="00A62360" w:rsidP="009E4564">
      <w:pPr>
        <w:pStyle w:val="Title"/>
      </w:pPr>
      <w:bookmarkStart w:id="0" w:name="_Toc126664136"/>
      <w:r>
        <w:t>Report</w:t>
      </w:r>
      <w:r w:rsidR="00081078" w:rsidRPr="00FE1F44">
        <w:t xml:space="preserve">: </w:t>
      </w:r>
      <w:bookmarkEnd w:id="0"/>
      <w:r w:rsidR="008016DD">
        <w:t xml:space="preserve">Clarifying and strengthening the regulation of </w:t>
      </w:r>
      <w:r w:rsidR="009E4564">
        <w:t>Medical Device Software including Artificial Intelligence (AI)</w:t>
      </w:r>
    </w:p>
    <w:p w14:paraId="7D376F45" w14:textId="3A4C7AC1" w:rsidR="005F6958" w:rsidRPr="00FE1F44" w:rsidRDefault="005F6958" w:rsidP="003B50C8"/>
    <w:p w14:paraId="37E48065" w14:textId="77777777" w:rsidR="006226A6" w:rsidRDefault="006226A6" w:rsidP="005F6958">
      <w:pPr>
        <w:pStyle w:val="Subtitle"/>
        <w:ind w:left="0"/>
      </w:pPr>
    </w:p>
    <w:p w14:paraId="52B496F0" w14:textId="099C6806" w:rsidR="005F6958" w:rsidRPr="00FE1F44" w:rsidRDefault="00A62360" w:rsidP="005F6958">
      <w:pPr>
        <w:pStyle w:val="Subtitle"/>
        <w:ind w:left="0"/>
      </w:pPr>
      <w:r>
        <w:t>Outcomes from the r</w:t>
      </w:r>
      <w:r w:rsidR="00B15493">
        <w:t xml:space="preserve">eview of </w:t>
      </w:r>
      <w:r w:rsidR="00EE4926">
        <w:t>therapeutic goods legislation</w:t>
      </w:r>
      <w:r w:rsidR="009E4564">
        <w:t>, regulation and guidance</w:t>
      </w:r>
    </w:p>
    <w:p w14:paraId="750F4C2D" w14:textId="77777777" w:rsidR="005F6958" w:rsidRPr="00FE1F44" w:rsidRDefault="005F6958"/>
    <w:p w14:paraId="66EA5621" w14:textId="77777777" w:rsidR="005F6958" w:rsidRPr="00FE1F44" w:rsidRDefault="005F6958"/>
    <w:p w14:paraId="0EA85709" w14:textId="77777777" w:rsidR="005F6958" w:rsidRPr="00FE1F44" w:rsidRDefault="005F6958"/>
    <w:p w14:paraId="6B1FAC63" w14:textId="77777777" w:rsidR="005F6958" w:rsidRPr="00FE1F44" w:rsidRDefault="005F6958"/>
    <w:p w14:paraId="3925540B" w14:textId="77777777" w:rsidR="005F6958" w:rsidRPr="00FE1F44" w:rsidRDefault="005F6958"/>
    <w:p w14:paraId="2BC126E7" w14:textId="2366D6A2" w:rsidR="005F6958" w:rsidRPr="00FE1F44" w:rsidRDefault="005F6958" w:rsidP="00F70D17">
      <w:pPr>
        <w:pStyle w:val="Date"/>
      </w:pPr>
      <w:r w:rsidRPr="00FE1F44">
        <w:t xml:space="preserve">Version 1.0, </w:t>
      </w:r>
      <w:r w:rsidR="008E6933">
        <w:t>July</w:t>
      </w:r>
      <w:r w:rsidR="00F75A86">
        <w:t xml:space="preserve"> </w:t>
      </w:r>
      <w:r w:rsidR="00F70D17">
        <w:t>202</w:t>
      </w:r>
      <w:r w:rsidR="004E72F4">
        <w:t>5</w:t>
      </w:r>
      <w:r w:rsidRPr="00FE1F44">
        <w:br w:type="page"/>
      </w:r>
    </w:p>
    <w:p w14:paraId="6BB94A81" w14:textId="77777777" w:rsidR="00272A58" w:rsidRDefault="00272A58" w:rsidP="00272A58">
      <w:pPr>
        <w:pStyle w:val="Heading2"/>
      </w:pPr>
      <w:bookmarkStart w:id="1" w:name="_Toc184721097"/>
      <w:bookmarkStart w:id="2" w:name="_Toc126664137"/>
      <w:r>
        <w:lastRenderedPageBreak/>
        <w:t>Acknowledgments</w:t>
      </w:r>
      <w:bookmarkEnd w:id="1"/>
    </w:p>
    <w:p w14:paraId="3E6C23BC" w14:textId="11E8A82A" w:rsidR="00272A58" w:rsidRDefault="00272A58" w:rsidP="00272A58">
      <w:pPr>
        <w:pStyle w:val="LegalSubheading"/>
      </w:pPr>
      <w:r>
        <w:t xml:space="preserve">The TGA </w:t>
      </w:r>
      <w:r w:rsidRPr="00457886">
        <w:t xml:space="preserve">would like to thank everyone who contributed </w:t>
      </w:r>
      <w:r>
        <w:t xml:space="preserve">their </w:t>
      </w:r>
      <w:r w:rsidRPr="00457886">
        <w:t xml:space="preserve">time and effort to the </w:t>
      </w:r>
      <w:r>
        <w:t>r</w:t>
      </w:r>
      <w:r w:rsidRPr="00457886">
        <w:t xml:space="preserve">eview, whether through </w:t>
      </w:r>
      <w:r>
        <w:t xml:space="preserve">participation </w:t>
      </w:r>
      <w:r w:rsidRPr="00457886">
        <w:t xml:space="preserve">in </w:t>
      </w:r>
      <w:r>
        <w:t xml:space="preserve">online webinar consultations or making a formal submission to the public consultation. Stakeholder </w:t>
      </w:r>
      <w:r w:rsidRPr="00457886">
        <w:t xml:space="preserve">input </w:t>
      </w:r>
      <w:r>
        <w:t xml:space="preserve">throughout the review process has </w:t>
      </w:r>
      <w:r w:rsidRPr="00457886">
        <w:t xml:space="preserve">provided crucial </w:t>
      </w:r>
      <w:r w:rsidR="00B77C8E">
        <w:t xml:space="preserve">feedback on the existing framework and </w:t>
      </w:r>
      <w:r w:rsidRPr="00457886">
        <w:t xml:space="preserve">insights into </w:t>
      </w:r>
      <w:r>
        <w:t xml:space="preserve">the use of AI models and systems, allowing us to identify aspects of our framework where </w:t>
      </w:r>
      <w:r w:rsidR="00B77C8E">
        <w:t xml:space="preserve">refinements </w:t>
      </w:r>
      <w:r>
        <w:t xml:space="preserve">will be needed to </w:t>
      </w:r>
      <w:r w:rsidR="00B77C8E">
        <w:t xml:space="preserve">further strengthen our framework to support </w:t>
      </w:r>
      <w:r>
        <w:t>the increasing use of AI</w:t>
      </w:r>
      <w:r w:rsidRPr="00457886">
        <w:t>.</w:t>
      </w:r>
    </w:p>
    <w:p w14:paraId="2BFE4383" w14:textId="6E1AD53F" w:rsidR="00DD3815" w:rsidRPr="00FE1F44" w:rsidRDefault="00DD3815" w:rsidP="004E2F19">
      <w:pPr>
        <w:pStyle w:val="LegalSubheading"/>
        <w:rPr>
          <w:b/>
          <w:bCs/>
        </w:rPr>
      </w:pPr>
      <w:r w:rsidRPr="00FE1F44">
        <w:rPr>
          <w:b/>
          <w:bCs/>
        </w:rPr>
        <w:t>Copyright</w:t>
      </w:r>
      <w:bookmarkEnd w:id="2"/>
    </w:p>
    <w:p w14:paraId="5470B907" w14:textId="6379C8D7" w:rsidR="0089410A" w:rsidRDefault="00DD3815" w:rsidP="004E2F19">
      <w:pPr>
        <w:pStyle w:val="LegalSubheading"/>
      </w:pPr>
      <w:bookmarkStart w:id="3" w:name="_Toc126664138"/>
      <w:r w:rsidRPr="00FE1F44">
        <w:t>© Commonwealth of Australia</w:t>
      </w:r>
      <w:r w:rsidR="00F35094" w:rsidRPr="00FE1F44">
        <w:t xml:space="preserve"> 202</w:t>
      </w:r>
      <w:r w:rsidR="008E6933">
        <w:t>5</w:t>
      </w:r>
      <w:r w:rsidRPr="00FE1F44">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E1F44">
        <w:rPr>
          <w:i/>
        </w:rPr>
        <w:t>Copyright Act 1968</w:t>
      </w:r>
      <w:r w:rsidRPr="00FE1F44">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FE1F44">
          <w:rPr>
            <w:rStyle w:val="Hyperlink"/>
            <w:rFonts w:cs="Arial"/>
            <w:b/>
            <w:bCs/>
          </w:rPr>
          <w:t>tga.copyright@tga.gov.au</w:t>
        </w:r>
      </w:hyperlink>
      <w:r w:rsidRPr="00FE1F44">
        <w:t>&gt;.</w:t>
      </w:r>
      <w:bookmarkEnd w:id="3"/>
    </w:p>
    <w:p w14:paraId="3A992C70" w14:textId="77777777" w:rsidR="00EE5CFF" w:rsidRPr="00FE1F44" w:rsidRDefault="00EE5CFF" w:rsidP="003B50C8"/>
    <w:p w14:paraId="0377237A" w14:textId="77777777" w:rsidR="0089410A" w:rsidRPr="00FE1F44" w:rsidRDefault="0089410A" w:rsidP="00DD3815">
      <w:pPr>
        <w:pStyle w:val="LegalSubheading"/>
        <w:rPr>
          <w:rFonts w:cs="Arial"/>
          <w:b/>
          <w:bCs/>
        </w:rPr>
      </w:pPr>
      <w:r w:rsidRPr="00FE1F44">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eastAsia="Cambria" w:hAnsi="Arial" w:cs="Times New Roman"/>
          <w:b/>
          <w:color w:val="333F48"/>
          <w:sz w:val="32"/>
          <w:szCs w:val="20"/>
        </w:rPr>
      </w:sdtEndPr>
      <w:sdtContent>
        <w:p w14:paraId="0C98C24F" w14:textId="77777777" w:rsidR="0089410A" w:rsidRPr="00FE1F44" w:rsidRDefault="0089410A" w:rsidP="0089410A">
          <w:pPr>
            <w:pStyle w:val="NonTOCheading2"/>
          </w:pPr>
          <w:r w:rsidRPr="00FE1F44">
            <w:t>Contents</w:t>
          </w:r>
        </w:p>
        <w:p w14:paraId="35440F41" w14:textId="46ADAF7B" w:rsidR="00804AF2"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FE1F44">
            <w:fldChar w:fldCharType="begin"/>
          </w:r>
          <w:r w:rsidRPr="00FE1F44">
            <w:instrText xml:space="preserve"> TOC \h \z \u \t "Heading 2,1,Heading 3,2,Heading 4,3" </w:instrText>
          </w:r>
          <w:r w:rsidRPr="00FE1F44">
            <w:fldChar w:fldCharType="separate"/>
          </w:r>
          <w:hyperlink w:anchor="_Toc184721097" w:history="1">
            <w:r w:rsidR="00804AF2" w:rsidRPr="00435D17">
              <w:rPr>
                <w:rStyle w:val="Hyperlink"/>
                <w:noProof/>
              </w:rPr>
              <w:t>Acknowledgments</w:t>
            </w:r>
            <w:r w:rsidR="00804AF2">
              <w:rPr>
                <w:noProof/>
                <w:webHidden/>
              </w:rPr>
              <w:tab/>
            </w:r>
            <w:r w:rsidR="00804AF2">
              <w:rPr>
                <w:noProof/>
                <w:webHidden/>
              </w:rPr>
              <w:fldChar w:fldCharType="begin"/>
            </w:r>
            <w:r w:rsidR="00804AF2">
              <w:rPr>
                <w:noProof/>
                <w:webHidden/>
              </w:rPr>
              <w:instrText xml:space="preserve"> PAGEREF _Toc184721097 \h </w:instrText>
            </w:r>
            <w:r w:rsidR="00804AF2">
              <w:rPr>
                <w:noProof/>
                <w:webHidden/>
              </w:rPr>
            </w:r>
            <w:r w:rsidR="00804AF2">
              <w:rPr>
                <w:noProof/>
                <w:webHidden/>
              </w:rPr>
              <w:fldChar w:fldCharType="separate"/>
            </w:r>
            <w:r w:rsidR="00804AF2">
              <w:rPr>
                <w:noProof/>
                <w:webHidden/>
              </w:rPr>
              <w:t>2</w:t>
            </w:r>
            <w:r w:rsidR="00804AF2">
              <w:rPr>
                <w:noProof/>
                <w:webHidden/>
              </w:rPr>
              <w:fldChar w:fldCharType="end"/>
            </w:r>
          </w:hyperlink>
        </w:p>
        <w:p w14:paraId="0F0A0F2D" w14:textId="5316C358" w:rsidR="00804AF2" w:rsidRDefault="00804AF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721098" w:history="1">
            <w:r w:rsidRPr="00435D17">
              <w:rPr>
                <w:rStyle w:val="Hyperlink"/>
                <w:noProof/>
              </w:rPr>
              <w:t>Executive summary</w:t>
            </w:r>
            <w:r>
              <w:rPr>
                <w:noProof/>
                <w:webHidden/>
              </w:rPr>
              <w:tab/>
            </w:r>
            <w:r>
              <w:rPr>
                <w:noProof/>
                <w:webHidden/>
              </w:rPr>
              <w:fldChar w:fldCharType="begin"/>
            </w:r>
            <w:r>
              <w:rPr>
                <w:noProof/>
                <w:webHidden/>
              </w:rPr>
              <w:instrText xml:space="preserve"> PAGEREF _Toc184721098 \h </w:instrText>
            </w:r>
            <w:r>
              <w:rPr>
                <w:noProof/>
                <w:webHidden/>
              </w:rPr>
            </w:r>
            <w:r>
              <w:rPr>
                <w:noProof/>
                <w:webHidden/>
              </w:rPr>
              <w:fldChar w:fldCharType="separate"/>
            </w:r>
            <w:r>
              <w:rPr>
                <w:noProof/>
                <w:webHidden/>
              </w:rPr>
              <w:t>5</w:t>
            </w:r>
            <w:r>
              <w:rPr>
                <w:noProof/>
                <w:webHidden/>
              </w:rPr>
              <w:fldChar w:fldCharType="end"/>
            </w:r>
          </w:hyperlink>
        </w:p>
        <w:p w14:paraId="0FF4EDAB" w14:textId="7918F2AE" w:rsidR="00804AF2" w:rsidRDefault="00804AF2">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184721099" w:history="1">
            <w:r w:rsidRPr="00435D17">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435D17">
              <w:rPr>
                <w:rStyle w:val="Hyperlink"/>
                <w:noProof/>
              </w:rPr>
              <w:t>Findings</w:t>
            </w:r>
            <w:r>
              <w:rPr>
                <w:noProof/>
                <w:webHidden/>
              </w:rPr>
              <w:tab/>
            </w:r>
            <w:r>
              <w:rPr>
                <w:noProof/>
                <w:webHidden/>
              </w:rPr>
              <w:fldChar w:fldCharType="begin"/>
            </w:r>
            <w:r>
              <w:rPr>
                <w:noProof/>
                <w:webHidden/>
              </w:rPr>
              <w:instrText xml:space="preserve"> PAGEREF _Toc184721099 \h </w:instrText>
            </w:r>
            <w:r>
              <w:rPr>
                <w:noProof/>
                <w:webHidden/>
              </w:rPr>
            </w:r>
            <w:r>
              <w:rPr>
                <w:noProof/>
                <w:webHidden/>
              </w:rPr>
              <w:fldChar w:fldCharType="separate"/>
            </w:r>
            <w:r>
              <w:rPr>
                <w:noProof/>
                <w:webHidden/>
              </w:rPr>
              <w:t>6</w:t>
            </w:r>
            <w:r>
              <w:rPr>
                <w:noProof/>
                <w:webHidden/>
              </w:rPr>
              <w:fldChar w:fldCharType="end"/>
            </w:r>
          </w:hyperlink>
        </w:p>
        <w:p w14:paraId="424E7510" w14:textId="55A0BB33"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00" w:history="1">
            <w:r w:rsidRPr="00435D17">
              <w:rPr>
                <w:rStyle w:val="Hyperlink"/>
                <w:noProof/>
              </w:rPr>
              <w:t>1.1</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Legislation</w:t>
            </w:r>
            <w:r>
              <w:rPr>
                <w:noProof/>
                <w:webHidden/>
              </w:rPr>
              <w:tab/>
            </w:r>
            <w:r>
              <w:rPr>
                <w:noProof/>
                <w:webHidden/>
              </w:rPr>
              <w:fldChar w:fldCharType="begin"/>
            </w:r>
            <w:r>
              <w:rPr>
                <w:noProof/>
                <w:webHidden/>
              </w:rPr>
              <w:instrText xml:space="preserve"> PAGEREF _Toc184721100 \h </w:instrText>
            </w:r>
            <w:r>
              <w:rPr>
                <w:noProof/>
                <w:webHidden/>
              </w:rPr>
            </w:r>
            <w:r>
              <w:rPr>
                <w:noProof/>
                <w:webHidden/>
              </w:rPr>
              <w:fldChar w:fldCharType="separate"/>
            </w:r>
            <w:r>
              <w:rPr>
                <w:noProof/>
                <w:webHidden/>
              </w:rPr>
              <w:t>7</w:t>
            </w:r>
            <w:r>
              <w:rPr>
                <w:noProof/>
                <w:webHidden/>
              </w:rPr>
              <w:fldChar w:fldCharType="end"/>
            </w:r>
          </w:hyperlink>
        </w:p>
        <w:p w14:paraId="56EDCCA4" w14:textId="6C260278"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1" w:history="1">
            <w:r w:rsidRPr="00435D17">
              <w:rPr>
                <w:rStyle w:val="Hyperlink"/>
                <w:noProof/>
              </w:rPr>
              <w:t>1.1.1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Definitions</w:t>
            </w:r>
            <w:r>
              <w:rPr>
                <w:noProof/>
                <w:webHidden/>
              </w:rPr>
              <w:tab/>
            </w:r>
            <w:r>
              <w:rPr>
                <w:noProof/>
                <w:webHidden/>
              </w:rPr>
              <w:fldChar w:fldCharType="begin"/>
            </w:r>
            <w:r>
              <w:rPr>
                <w:noProof/>
                <w:webHidden/>
              </w:rPr>
              <w:instrText xml:space="preserve"> PAGEREF _Toc184721101 \h </w:instrText>
            </w:r>
            <w:r>
              <w:rPr>
                <w:noProof/>
                <w:webHidden/>
              </w:rPr>
            </w:r>
            <w:r>
              <w:rPr>
                <w:noProof/>
                <w:webHidden/>
              </w:rPr>
              <w:fldChar w:fldCharType="separate"/>
            </w:r>
            <w:r>
              <w:rPr>
                <w:noProof/>
                <w:webHidden/>
              </w:rPr>
              <w:t>7</w:t>
            </w:r>
            <w:r>
              <w:rPr>
                <w:noProof/>
                <w:webHidden/>
              </w:rPr>
              <w:fldChar w:fldCharType="end"/>
            </w:r>
          </w:hyperlink>
        </w:p>
        <w:p w14:paraId="7BD083A5" w14:textId="6A4E24A4"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2" w:history="1">
            <w:r w:rsidRPr="00435D17">
              <w:rPr>
                <w:rStyle w:val="Hyperlink"/>
                <w:noProof/>
              </w:rPr>
              <w:t>1.1.2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Supply</w:t>
            </w:r>
            <w:r>
              <w:rPr>
                <w:noProof/>
                <w:webHidden/>
              </w:rPr>
              <w:tab/>
            </w:r>
            <w:r>
              <w:rPr>
                <w:noProof/>
                <w:webHidden/>
              </w:rPr>
              <w:fldChar w:fldCharType="begin"/>
            </w:r>
            <w:r>
              <w:rPr>
                <w:noProof/>
                <w:webHidden/>
              </w:rPr>
              <w:instrText xml:space="preserve"> PAGEREF _Toc184721102 \h </w:instrText>
            </w:r>
            <w:r>
              <w:rPr>
                <w:noProof/>
                <w:webHidden/>
              </w:rPr>
            </w:r>
            <w:r>
              <w:rPr>
                <w:noProof/>
                <w:webHidden/>
              </w:rPr>
              <w:fldChar w:fldCharType="separate"/>
            </w:r>
            <w:r>
              <w:rPr>
                <w:noProof/>
                <w:webHidden/>
              </w:rPr>
              <w:t>8</w:t>
            </w:r>
            <w:r>
              <w:rPr>
                <w:noProof/>
                <w:webHidden/>
              </w:rPr>
              <w:fldChar w:fldCharType="end"/>
            </w:r>
          </w:hyperlink>
        </w:p>
        <w:p w14:paraId="09574981" w14:textId="4AD9962E"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3" w:history="1">
            <w:r w:rsidRPr="00435D17">
              <w:rPr>
                <w:rStyle w:val="Hyperlink"/>
                <w:noProof/>
              </w:rPr>
              <w:t>1.1.3</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Responsibility</w:t>
            </w:r>
            <w:r>
              <w:rPr>
                <w:noProof/>
                <w:webHidden/>
              </w:rPr>
              <w:tab/>
            </w:r>
            <w:r>
              <w:rPr>
                <w:noProof/>
                <w:webHidden/>
              </w:rPr>
              <w:fldChar w:fldCharType="begin"/>
            </w:r>
            <w:r>
              <w:rPr>
                <w:noProof/>
                <w:webHidden/>
              </w:rPr>
              <w:instrText xml:space="preserve"> PAGEREF _Toc184721103 \h </w:instrText>
            </w:r>
            <w:r>
              <w:rPr>
                <w:noProof/>
                <w:webHidden/>
              </w:rPr>
            </w:r>
            <w:r>
              <w:rPr>
                <w:noProof/>
                <w:webHidden/>
              </w:rPr>
              <w:fldChar w:fldCharType="separate"/>
            </w:r>
            <w:r>
              <w:rPr>
                <w:noProof/>
                <w:webHidden/>
              </w:rPr>
              <w:t>8</w:t>
            </w:r>
            <w:r>
              <w:rPr>
                <w:noProof/>
                <w:webHidden/>
              </w:rPr>
              <w:fldChar w:fldCharType="end"/>
            </w:r>
          </w:hyperlink>
        </w:p>
        <w:p w14:paraId="74AB9760" w14:textId="3560DDF2"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4" w:history="1">
            <w:r w:rsidRPr="00435D17">
              <w:rPr>
                <w:rStyle w:val="Hyperlink"/>
                <w:noProof/>
              </w:rPr>
              <w:t>1.1.4</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Compliance</w:t>
            </w:r>
            <w:r>
              <w:rPr>
                <w:noProof/>
                <w:webHidden/>
              </w:rPr>
              <w:tab/>
            </w:r>
            <w:r>
              <w:rPr>
                <w:noProof/>
                <w:webHidden/>
              </w:rPr>
              <w:fldChar w:fldCharType="begin"/>
            </w:r>
            <w:r>
              <w:rPr>
                <w:noProof/>
                <w:webHidden/>
              </w:rPr>
              <w:instrText xml:space="preserve"> PAGEREF _Toc184721104 \h </w:instrText>
            </w:r>
            <w:r>
              <w:rPr>
                <w:noProof/>
                <w:webHidden/>
              </w:rPr>
            </w:r>
            <w:r>
              <w:rPr>
                <w:noProof/>
                <w:webHidden/>
              </w:rPr>
              <w:fldChar w:fldCharType="separate"/>
            </w:r>
            <w:r>
              <w:rPr>
                <w:noProof/>
                <w:webHidden/>
              </w:rPr>
              <w:t>9</w:t>
            </w:r>
            <w:r>
              <w:rPr>
                <w:noProof/>
                <w:webHidden/>
              </w:rPr>
              <w:fldChar w:fldCharType="end"/>
            </w:r>
          </w:hyperlink>
        </w:p>
        <w:p w14:paraId="75DB42F2" w14:textId="1E173527"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05" w:history="1">
            <w:r w:rsidRPr="00435D17">
              <w:rPr>
                <w:rStyle w:val="Hyperlink"/>
                <w:noProof/>
              </w:rPr>
              <w:t>1.2</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Regulations</w:t>
            </w:r>
            <w:r>
              <w:rPr>
                <w:noProof/>
                <w:webHidden/>
              </w:rPr>
              <w:tab/>
            </w:r>
            <w:r>
              <w:rPr>
                <w:noProof/>
                <w:webHidden/>
              </w:rPr>
              <w:fldChar w:fldCharType="begin"/>
            </w:r>
            <w:r>
              <w:rPr>
                <w:noProof/>
                <w:webHidden/>
              </w:rPr>
              <w:instrText xml:space="preserve"> PAGEREF _Toc184721105 \h </w:instrText>
            </w:r>
            <w:r>
              <w:rPr>
                <w:noProof/>
                <w:webHidden/>
              </w:rPr>
            </w:r>
            <w:r>
              <w:rPr>
                <w:noProof/>
                <w:webHidden/>
              </w:rPr>
              <w:fldChar w:fldCharType="separate"/>
            </w:r>
            <w:r>
              <w:rPr>
                <w:noProof/>
                <w:webHidden/>
              </w:rPr>
              <w:t>10</w:t>
            </w:r>
            <w:r>
              <w:rPr>
                <w:noProof/>
                <w:webHidden/>
              </w:rPr>
              <w:fldChar w:fldCharType="end"/>
            </w:r>
          </w:hyperlink>
        </w:p>
        <w:p w14:paraId="77A42E87" w14:textId="243ABB35"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6" w:history="1">
            <w:r w:rsidRPr="00435D17">
              <w:rPr>
                <w:rStyle w:val="Hyperlink"/>
                <w:noProof/>
              </w:rPr>
              <w:t>1.2.1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Classification rules</w:t>
            </w:r>
            <w:r>
              <w:rPr>
                <w:noProof/>
                <w:webHidden/>
              </w:rPr>
              <w:tab/>
            </w:r>
            <w:r>
              <w:rPr>
                <w:noProof/>
                <w:webHidden/>
              </w:rPr>
              <w:fldChar w:fldCharType="begin"/>
            </w:r>
            <w:r>
              <w:rPr>
                <w:noProof/>
                <w:webHidden/>
              </w:rPr>
              <w:instrText xml:space="preserve"> PAGEREF _Toc184721106 \h </w:instrText>
            </w:r>
            <w:r>
              <w:rPr>
                <w:noProof/>
                <w:webHidden/>
              </w:rPr>
            </w:r>
            <w:r>
              <w:rPr>
                <w:noProof/>
                <w:webHidden/>
              </w:rPr>
              <w:fldChar w:fldCharType="separate"/>
            </w:r>
            <w:r>
              <w:rPr>
                <w:noProof/>
                <w:webHidden/>
              </w:rPr>
              <w:t>10</w:t>
            </w:r>
            <w:r>
              <w:rPr>
                <w:noProof/>
                <w:webHidden/>
              </w:rPr>
              <w:fldChar w:fldCharType="end"/>
            </w:r>
          </w:hyperlink>
        </w:p>
        <w:p w14:paraId="7099F18B" w14:textId="1184CD0A"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7" w:history="1">
            <w:r w:rsidRPr="00435D17">
              <w:rPr>
                <w:rStyle w:val="Hyperlink"/>
                <w:noProof/>
              </w:rPr>
              <w:t>1.2.2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Essential principles</w:t>
            </w:r>
            <w:r>
              <w:rPr>
                <w:noProof/>
                <w:webHidden/>
              </w:rPr>
              <w:tab/>
            </w:r>
            <w:r>
              <w:rPr>
                <w:noProof/>
                <w:webHidden/>
              </w:rPr>
              <w:fldChar w:fldCharType="begin"/>
            </w:r>
            <w:r>
              <w:rPr>
                <w:noProof/>
                <w:webHidden/>
              </w:rPr>
              <w:instrText xml:space="preserve"> PAGEREF _Toc184721107 \h </w:instrText>
            </w:r>
            <w:r>
              <w:rPr>
                <w:noProof/>
                <w:webHidden/>
              </w:rPr>
            </w:r>
            <w:r>
              <w:rPr>
                <w:noProof/>
                <w:webHidden/>
              </w:rPr>
              <w:fldChar w:fldCharType="separate"/>
            </w:r>
            <w:r>
              <w:rPr>
                <w:noProof/>
                <w:webHidden/>
              </w:rPr>
              <w:t>11</w:t>
            </w:r>
            <w:r>
              <w:rPr>
                <w:noProof/>
                <w:webHidden/>
              </w:rPr>
              <w:fldChar w:fldCharType="end"/>
            </w:r>
          </w:hyperlink>
        </w:p>
        <w:p w14:paraId="5CD44F1D" w14:textId="6B642D6A"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08" w:history="1">
            <w:r w:rsidRPr="00435D17">
              <w:rPr>
                <w:rStyle w:val="Hyperlink"/>
                <w:noProof/>
              </w:rPr>
              <w:t>1.2.3</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Regulation for specific AI types and subtypes</w:t>
            </w:r>
            <w:r>
              <w:rPr>
                <w:noProof/>
                <w:webHidden/>
              </w:rPr>
              <w:tab/>
            </w:r>
            <w:r>
              <w:rPr>
                <w:noProof/>
                <w:webHidden/>
              </w:rPr>
              <w:fldChar w:fldCharType="begin"/>
            </w:r>
            <w:r>
              <w:rPr>
                <w:noProof/>
                <w:webHidden/>
              </w:rPr>
              <w:instrText xml:space="preserve"> PAGEREF _Toc184721108 \h </w:instrText>
            </w:r>
            <w:r>
              <w:rPr>
                <w:noProof/>
                <w:webHidden/>
              </w:rPr>
            </w:r>
            <w:r>
              <w:rPr>
                <w:noProof/>
                <w:webHidden/>
              </w:rPr>
              <w:fldChar w:fldCharType="separate"/>
            </w:r>
            <w:r>
              <w:rPr>
                <w:noProof/>
                <w:webHidden/>
              </w:rPr>
              <w:t>12</w:t>
            </w:r>
            <w:r>
              <w:rPr>
                <w:noProof/>
                <w:webHidden/>
              </w:rPr>
              <w:fldChar w:fldCharType="end"/>
            </w:r>
          </w:hyperlink>
        </w:p>
        <w:p w14:paraId="57EC01D9" w14:textId="49E05463"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09" w:history="1">
            <w:r w:rsidRPr="00435D17">
              <w:rPr>
                <w:rStyle w:val="Hyperlink"/>
                <w:noProof/>
              </w:rPr>
              <w:t>1.3</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Legislative instruments</w:t>
            </w:r>
            <w:r>
              <w:rPr>
                <w:noProof/>
                <w:webHidden/>
              </w:rPr>
              <w:tab/>
            </w:r>
            <w:r>
              <w:rPr>
                <w:noProof/>
                <w:webHidden/>
              </w:rPr>
              <w:fldChar w:fldCharType="begin"/>
            </w:r>
            <w:r>
              <w:rPr>
                <w:noProof/>
                <w:webHidden/>
              </w:rPr>
              <w:instrText xml:space="preserve"> PAGEREF _Toc184721109 \h </w:instrText>
            </w:r>
            <w:r>
              <w:rPr>
                <w:noProof/>
                <w:webHidden/>
              </w:rPr>
            </w:r>
            <w:r>
              <w:rPr>
                <w:noProof/>
                <w:webHidden/>
              </w:rPr>
              <w:fldChar w:fldCharType="separate"/>
            </w:r>
            <w:r>
              <w:rPr>
                <w:noProof/>
                <w:webHidden/>
              </w:rPr>
              <w:t>12</w:t>
            </w:r>
            <w:r>
              <w:rPr>
                <w:noProof/>
                <w:webHidden/>
              </w:rPr>
              <w:fldChar w:fldCharType="end"/>
            </w:r>
          </w:hyperlink>
        </w:p>
        <w:p w14:paraId="140FB468" w14:textId="796718DB"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0" w:history="1">
            <w:r w:rsidRPr="00435D17">
              <w:rPr>
                <w:rStyle w:val="Hyperlink"/>
                <w:noProof/>
              </w:rPr>
              <w:t>1.3.1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Excluded software</w:t>
            </w:r>
            <w:r>
              <w:rPr>
                <w:noProof/>
                <w:webHidden/>
              </w:rPr>
              <w:tab/>
            </w:r>
            <w:r>
              <w:rPr>
                <w:noProof/>
                <w:webHidden/>
              </w:rPr>
              <w:fldChar w:fldCharType="begin"/>
            </w:r>
            <w:r>
              <w:rPr>
                <w:noProof/>
                <w:webHidden/>
              </w:rPr>
              <w:instrText xml:space="preserve"> PAGEREF _Toc184721110 \h </w:instrText>
            </w:r>
            <w:r>
              <w:rPr>
                <w:noProof/>
                <w:webHidden/>
              </w:rPr>
            </w:r>
            <w:r>
              <w:rPr>
                <w:noProof/>
                <w:webHidden/>
              </w:rPr>
              <w:fldChar w:fldCharType="separate"/>
            </w:r>
            <w:r>
              <w:rPr>
                <w:noProof/>
                <w:webHidden/>
              </w:rPr>
              <w:t>13</w:t>
            </w:r>
            <w:r>
              <w:rPr>
                <w:noProof/>
                <w:webHidden/>
              </w:rPr>
              <w:fldChar w:fldCharType="end"/>
            </w:r>
          </w:hyperlink>
        </w:p>
        <w:p w14:paraId="3988B3B4" w14:textId="1756CEFC"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1" w:history="1">
            <w:r w:rsidRPr="00435D17">
              <w:rPr>
                <w:rStyle w:val="Hyperlink"/>
                <w:noProof/>
              </w:rPr>
              <w:t>1.3.2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Advertising and transparency</w:t>
            </w:r>
            <w:r>
              <w:rPr>
                <w:noProof/>
                <w:webHidden/>
              </w:rPr>
              <w:tab/>
            </w:r>
            <w:r>
              <w:rPr>
                <w:noProof/>
                <w:webHidden/>
              </w:rPr>
              <w:fldChar w:fldCharType="begin"/>
            </w:r>
            <w:r>
              <w:rPr>
                <w:noProof/>
                <w:webHidden/>
              </w:rPr>
              <w:instrText xml:space="preserve"> PAGEREF _Toc184721111 \h </w:instrText>
            </w:r>
            <w:r>
              <w:rPr>
                <w:noProof/>
                <w:webHidden/>
              </w:rPr>
            </w:r>
            <w:r>
              <w:rPr>
                <w:noProof/>
                <w:webHidden/>
              </w:rPr>
              <w:fldChar w:fldCharType="separate"/>
            </w:r>
            <w:r>
              <w:rPr>
                <w:noProof/>
                <w:webHidden/>
              </w:rPr>
              <w:t>13</w:t>
            </w:r>
            <w:r>
              <w:rPr>
                <w:noProof/>
                <w:webHidden/>
              </w:rPr>
              <w:fldChar w:fldCharType="end"/>
            </w:r>
          </w:hyperlink>
        </w:p>
        <w:p w14:paraId="4C62C387" w14:textId="145311B0"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12" w:history="1">
            <w:r w:rsidRPr="00435D17">
              <w:rPr>
                <w:rStyle w:val="Hyperlink"/>
                <w:noProof/>
              </w:rPr>
              <w:t>1.4</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Guidance</w:t>
            </w:r>
            <w:r>
              <w:rPr>
                <w:noProof/>
                <w:webHidden/>
              </w:rPr>
              <w:tab/>
            </w:r>
            <w:r>
              <w:rPr>
                <w:noProof/>
                <w:webHidden/>
              </w:rPr>
              <w:fldChar w:fldCharType="begin"/>
            </w:r>
            <w:r>
              <w:rPr>
                <w:noProof/>
                <w:webHidden/>
              </w:rPr>
              <w:instrText xml:space="preserve"> PAGEREF _Toc184721112 \h </w:instrText>
            </w:r>
            <w:r>
              <w:rPr>
                <w:noProof/>
                <w:webHidden/>
              </w:rPr>
            </w:r>
            <w:r>
              <w:rPr>
                <w:noProof/>
                <w:webHidden/>
              </w:rPr>
              <w:fldChar w:fldCharType="separate"/>
            </w:r>
            <w:r>
              <w:rPr>
                <w:noProof/>
                <w:webHidden/>
              </w:rPr>
              <w:t>14</w:t>
            </w:r>
            <w:r>
              <w:rPr>
                <w:noProof/>
                <w:webHidden/>
              </w:rPr>
              <w:fldChar w:fldCharType="end"/>
            </w:r>
          </w:hyperlink>
        </w:p>
        <w:p w14:paraId="03F3E24C" w14:textId="50923DF8"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3" w:history="1">
            <w:r w:rsidRPr="00435D17">
              <w:rPr>
                <w:rStyle w:val="Hyperlink"/>
                <w:noProof/>
              </w:rPr>
              <w:t>1.4.1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TGA website</w:t>
            </w:r>
            <w:r>
              <w:rPr>
                <w:noProof/>
                <w:webHidden/>
              </w:rPr>
              <w:tab/>
            </w:r>
            <w:r>
              <w:rPr>
                <w:noProof/>
                <w:webHidden/>
              </w:rPr>
              <w:fldChar w:fldCharType="begin"/>
            </w:r>
            <w:r>
              <w:rPr>
                <w:noProof/>
                <w:webHidden/>
              </w:rPr>
              <w:instrText xml:space="preserve"> PAGEREF _Toc184721113 \h </w:instrText>
            </w:r>
            <w:r>
              <w:rPr>
                <w:noProof/>
                <w:webHidden/>
              </w:rPr>
            </w:r>
            <w:r>
              <w:rPr>
                <w:noProof/>
                <w:webHidden/>
              </w:rPr>
              <w:fldChar w:fldCharType="separate"/>
            </w:r>
            <w:r>
              <w:rPr>
                <w:noProof/>
                <w:webHidden/>
              </w:rPr>
              <w:t>14</w:t>
            </w:r>
            <w:r>
              <w:rPr>
                <w:noProof/>
                <w:webHidden/>
              </w:rPr>
              <w:fldChar w:fldCharType="end"/>
            </w:r>
          </w:hyperlink>
        </w:p>
        <w:p w14:paraId="3E3D1F54" w14:textId="353BE5C7"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4" w:history="1">
            <w:r w:rsidRPr="00435D17">
              <w:rPr>
                <w:rStyle w:val="Hyperlink"/>
                <w:noProof/>
              </w:rPr>
              <w:t>1.4.2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Continuous change control for adaptive AI</w:t>
            </w:r>
            <w:r>
              <w:rPr>
                <w:noProof/>
                <w:webHidden/>
              </w:rPr>
              <w:tab/>
            </w:r>
            <w:r>
              <w:rPr>
                <w:noProof/>
                <w:webHidden/>
              </w:rPr>
              <w:fldChar w:fldCharType="begin"/>
            </w:r>
            <w:r>
              <w:rPr>
                <w:noProof/>
                <w:webHidden/>
              </w:rPr>
              <w:instrText xml:space="preserve"> PAGEREF _Toc184721114 \h </w:instrText>
            </w:r>
            <w:r>
              <w:rPr>
                <w:noProof/>
                <w:webHidden/>
              </w:rPr>
            </w:r>
            <w:r>
              <w:rPr>
                <w:noProof/>
                <w:webHidden/>
              </w:rPr>
              <w:fldChar w:fldCharType="separate"/>
            </w:r>
            <w:r>
              <w:rPr>
                <w:noProof/>
                <w:webHidden/>
              </w:rPr>
              <w:t>15</w:t>
            </w:r>
            <w:r>
              <w:rPr>
                <w:noProof/>
                <w:webHidden/>
              </w:rPr>
              <w:fldChar w:fldCharType="end"/>
            </w:r>
          </w:hyperlink>
        </w:p>
        <w:p w14:paraId="49E7A950" w14:textId="083B40C6"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5" w:history="1">
            <w:r w:rsidRPr="00435D17">
              <w:rPr>
                <w:rStyle w:val="Hyperlink"/>
                <w:noProof/>
              </w:rPr>
              <w:t>1.4.3</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Use of datasets and software of unknown provenance</w:t>
            </w:r>
            <w:r>
              <w:rPr>
                <w:noProof/>
                <w:webHidden/>
              </w:rPr>
              <w:tab/>
            </w:r>
            <w:r>
              <w:rPr>
                <w:noProof/>
                <w:webHidden/>
              </w:rPr>
              <w:fldChar w:fldCharType="begin"/>
            </w:r>
            <w:r>
              <w:rPr>
                <w:noProof/>
                <w:webHidden/>
              </w:rPr>
              <w:instrText xml:space="preserve"> PAGEREF _Toc184721115 \h </w:instrText>
            </w:r>
            <w:r>
              <w:rPr>
                <w:noProof/>
                <w:webHidden/>
              </w:rPr>
            </w:r>
            <w:r>
              <w:rPr>
                <w:noProof/>
                <w:webHidden/>
              </w:rPr>
              <w:fldChar w:fldCharType="separate"/>
            </w:r>
            <w:r>
              <w:rPr>
                <w:noProof/>
                <w:webHidden/>
              </w:rPr>
              <w:t>16</w:t>
            </w:r>
            <w:r>
              <w:rPr>
                <w:noProof/>
                <w:webHidden/>
              </w:rPr>
              <w:fldChar w:fldCharType="end"/>
            </w:r>
          </w:hyperlink>
        </w:p>
        <w:p w14:paraId="57574D0F" w14:textId="1B560B80"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6" w:history="1">
            <w:r w:rsidRPr="00435D17">
              <w:rPr>
                <w:rStyle w:val="Hyperlink"/>
                <w:noProof/>
              </w:rPr>
              <w:t>1.4.4</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Performance monitoring</w:t>
            </w:r>
            <w:r>
              <w:rPr>
                <w:noProof/>
                <w:webHidden/>
              </w:rPr>
              <w:tab/>
            </w:r>
            <w:r>
              <w:rPr>
                <w:noProof/>
                <w:webHidden/>
              </w:rPr>
              <w:fldChar w:fldCharType="begin"/>
            </w:r>
            <w:r>
              <w:rPr>
                <w:noProof/>
                <w:webHidden/>
              </w:rPr>
              <w:instrText xml:space="preserve"> PAGEREF _Toc184721116 \h </w:instrText>
            </w:r>
            <w:r>
              <w:rPr>
                <w:noProof/>
                <w:webHidden/>
              </w:rPr>
            </w:r>
            <w:r>
              <w:rPr>
                <w:noProof/>
                <w:webHidden/>
              </w:rPr>
              <w:fldChar w:fldCharType="separate"/>
            </w:r>
            <w:r>
              <w:rPr>
                <w:noProof/>
                <w:webHidden/>
              </w:rPr>
              <w:t>17</w:t>
            </w:r>
            <w:r>
              <w:rPr>
                <w:noProof/>
                <w:webHidden/>
              </w:rPr>
              <w:fldChar w:fldCharType="end"/>
            </w:r>
          </w:hyperlink>
        </w:p>
        <w:p w14:paraId="4B3420F9" w14:textId="7CEF33F7"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7" w:history="1">
            <w:r w:rsidRPr="00435D17">
              <w:rPr>
                <w:rStyle w:val="Hyperlink"/>
                <w:noProof/>
              </w:rPr>
              <w:t>1.4.5</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AI use in the healthcare sectors</w:t>
            </w:r>
            <w:r>
              <w:rPr>
                <w:noProof/>
                <w:webHidden/>
              </w:rPr>
              <w:tab/>
            </w:r>
            <w:r>
              <w:rPr>
                <w:noProof/>
                <w:webHidden/>
              </w:rPr>
              <w:fldChar w:fldCharType="begin"/>
            </w:r>
            <w:r>
              <w:rPr>
                <w:noProof/>
                <w:webHidden/>
              </w:rPr>
              <w:instrText xml:space="preserve"> PAGEREF _Toc184721117 \h </w:instrText>
            </w:r>
            <w:r>
              <w:rPr>
                <w:noProof/>
                <w:webHidden/>
              </w:rPr>
            </w:r>
            <w:r>
              <w:rPr>
                <w:noProof/>
                <w:webHidden/>
              </w:rPr>
              <w:fldChar w:fldCharType="separate"/>
            </w:r>
            <w:r>
              <w:rPr>
                <w:noProof/>
                <w:webHidden/>
              </w:rPr>
              <w:t>17</w:t>
            </w:r>
            <w:r>
              <w:rPr>
                <w:noProof/>
                <w:webHidden/>
              </w:rPr>
              <w:fldChar w:fldCharType="end"/>
            </w:r>
          </w:hyperlink>
        </w:p>
        <w:p w14:paraId="29E1D935" w14:textId="43C17C6A"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18" w:history="1">
            <w:r w:rsidRPr="00435D17">
              <w:rPr>
                <w:rStyle w:val="Hyperlink"/>
                <w:noProof/>
              </w:rPr>
              <w:t>1.5</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International harmonisation</w:t>
            </w:r>
            <w:r>
              <w:rPr>
                <w:noProof/>
                <w:webHidden/>
              </w:rPr>
              <w:tab/>
            </w:r>
            <w:r>
              <w:rPr>
                <w:noProof/>
                <w:webHidden/>
              </w:rPr>
              <w:fldChar w:fldCharType="begin"/>
            </w:r>
            <w:r>
              <w:rPr>
                <w:noProof/>
                <w:webHidden/>
              </w:rPr>
              <w:instrText xml:space="preserve"> PAGEREF _Toc184721118 \h </w:instrText>
            </w:r>
            <w:r>
              <w:rPr>
                <w:noProof/>
                <w:webHidden/>
              </w:rPr>
            </w:r>
            <w:r>
              <w:rPr>
                <w:noProof/>
                <w:webHidden/>
              </w:rPr>
              <w:fldChar w:fldCharType="separate"/>
            </w:r>
            <w:r>
              <w:rPr>
                <w:noProof/>
                <w:webHidden/>
              </w:rPr>
              <w:t>18</w:t>
            </w:r>
            <w:r>
              <w:rPr>
                <w:noProof/>
                <w:webHidden/>
              </w:rPr>
              <w:fldChar w:fldCharType="end"/>
            </w:r>
          </w:hyperlink>
        </w:p>
        <w:p w14:paraId="58569D8B" w14:textId="55090551"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19" w:history="1">
            <w:r w:rsidRPr="00435D17">
              <w:rPr>
                <w:rStyle w:val="Hyperlink"/>
                <w:noProof/>
              </w:rPr>
              <w:t>1.5.1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International approaches to AI</w:t>
            </w:r>
            <w:r>
              <w:rPr>
                <w:noProof/>
                <w:webHidden/>
              </w:rPr>
              <w:tab/>
            </w:r>
            <w:r>
              <w:rPr>
                <w:noProof/>
                <w:webHidden/>
              </w:rPr>
              <w:fldChar w:fldCharType="begin"/>
            </w:r>
            <w:r>
              <w:rPr>
                <w:noProof/>
                <w:webHidden/>
              </w:rPr>
              <w:instrText xml:space="preserve"> PAGEREF _Toc184721119 \h </w:instrText>
            </w:r>
            <w:r>
              <w:rPr>
                <w:noProof/>
                <w:webHidden/>
              </w:rPr>
            </w:r>
            <w:r>
              <w:rPr>
                <w:noProof/>
                <w:webHidden/>
              </w:rPr>
              <w:fldChar w:fldCharType="separate"/>
            </w:r>
            <w:r>
              <w:rPr>
                <w:noProof/>
                <w:webHidden/>
              </w:rPr>
              <w:t>18</w:t>
            </w:r>
            <w:r>
              <w:rPr>
                <w:noProof/>
                <w:webHidden/>
              </w:rPr>
              <w:fldChar w:fldCharType="end"/>
            </w:r>
          </w:hyperlink>
        </w:p>
        <w:p w14:paraId="0DE6CECB" w14:textId="2508927A" w:rsidR="00804AF2" w:rsidRDefault="00804AF2">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184721120" w:history="1">
            <w:r w:rsidRPr="00435D17">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435D17">
              <w:rPr>
                <w:rStyle w:val="Hyperlink"/>
                <w:noProof/>
              </w:rPr>
              <w:t>Background</w:t>
            </w:r>
            <w:r>
              <w:rPr>
                <w:noProof/>
                <w:webHidden/>
              </w:rPr>
              <w:tab/>
            </w:r>
            <w:r>
              <w:rPr>
                <w:noProof/>
                <w:webHidden/>
              </w:rPr>
              <w:fldChar w:fldCharType="begin"/>
            </w:r>
            <w:r>
              <w:rPr>
                <w:noProof/>
                <w:webHidden/>
              </w:rPr>
              <w:instrText xml:space="preserve"> PAGEREF _Toc184721120 \h </w:instrText>
            </w:r>
            <w:r>
              <w:rPr>
                <w:noProof/>
                <w:webHidden/>
              </w:rPr>
            </w:r>
            <w:r>
              <w:rPr>
                <w:noProof/>
                <w:webHidden/>
              </w:rPr>
              <w:fldChar w:fldCharType="separate"/>
            </w:r>
            <w:r>
              <w:rPr>
                <w:noProof/>
                <w:webHidden/>
              </w:rPr>
              <w:t>20</w:t>
            </w:r>
            <w:r>
              <w:rPr>
                <w:noProof/>
                <w:webHidden/>
              </w:rPr>
              <w:fldChar w:fldCharType="end"/>
            </w:r>
          </w:hyperlink>
        </w:p>
        <w:p w14:paraId="6A97E76F" w14:textId="20F32807"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21" w:history="1">
            <w:r w:rsidRPr="00435D17">
              <w:rPr>
                <w:rStyle w:val="Hyperlink"/>
                <w:noProof/>
              </w:rPr>
              <w:t>2.1</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Approach to the review</w:t>
            </w:r>
            <w:r>
              <w:rPr>
                <w:noProof/>
                <w:webHidden/>
              </w:rPr>
              <w:tab/>
            </w:r>
            <w:r>
              <w:rPr>
                <w:noProof/>
                <w:webHidden/>
              </w:rPr>
              <w:fldChar w:fldCharType="begin"/>
            </w:r>
            <w:r>
              <w:rPr>
                <w:noProof/>
                <w:webHidden/>
              </w:rPr>
              <w:instrText xml:space="preserve"> PAGEREF _Toc184721121 \h </w:instrText>
            </w:r>
            <w:r>
              <w:rPr>
                <w:noProof/>
                <w:webHidden/>
              </w:rPr>
            </w:r>
            <w:r>
              <w:rPr>
                <w:noProof/>
                <w:webHidden/>
              </w:rPr>
              <w:fldChar w:fldCharType="separate"/>
            </w:r>
            <w:r>
              <w:rPr>
                <w:noProof/>
                <w:webHidden/>
              </w:rPr>
              <w:t>20</w:t>
            </w:r>
            <w:r>
              <w:rPr>
                <w:noProof/>
                <w:webHidden/>
              </w:rPr>
              <w:fldChar w:fldCharType="end"/>
            </w:r>
          </w:hyperlink>
        </w:p>
        <w:p w14:paraId="6096752C" w14:textId="68255698"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22" w:history="1">
            <w:r w:rsidRPr="00435D17">
              <w:rPr>
                <w:rStyle w:val="Hyperlink"/>
                <w:noProof/>
              </w:rPr>
              <w:t>2.1.1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Scope</w:t>
            </w:r>
            <w:r>
              <w:rPr>
                <w:noProof/>
                <w:webHidden/>
              </w:rPr>
              <w:tab/>
            </w:r>
            <w:r>
              <w:rPr>
                <w:noProof/>
                <w:webHidden/>
              </w:rPr>
              <w:fldChar w:fldCharType="begin"/>
            </w:r>
            <w:r>
              <w:rPr>
                <w:noProof/>
                <w:webHidden/>
              </w:rPr>
              <w:instrText xml:space="preserve"> PAGEREF _Toc184721122 \h </w:instrText>
            </w:r>
            <w:r>
              <w:rPr>
                <w:noProof/>
                <w:webHidden/>
              </w:rPr>
            </w:r>
            <w:r>
              <w:rPr>
                <w:noProof/>
                <w:webHidden/>
              </w:rPr>
              <w:fldChar w:fldCharType="separate"/>
            </w:r>
            <w:r>
              <w:rPr>
                <w:noProof/>
                <w:webHidden/>
              </w:rPr>
              <w:t>20</w:t>
            </w:r>
            <w:r>
              <w:rPr>
                <w:noProof/>
                <w:webHidden/>
              </w:rPr>
              <w:fldChar w:fldCharType="end"/>
            </w:r>
          </w:hyperlink>
        </w:p>
        <w:p w14:paraId="071A0FC0" w14:textId="77242DC0"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23" w:history="1">
            <w:r w:rsidRPr="00435D17">
              <w:rPr>
                <w:rStyle w:val="Hyperlink"/>
                <w:noProof/>
              </w:rPr>
              <w:t>2.1.2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Out of scope</w:t>
            </w:r>
            <w:r>
              <w:rPr>
                <w:noProof/>
                <w:webHidden/>
              </w:rPr>
              <w:tab/>
            </w:r>
            <w:r>
              <w:rPr>
                <w:noProof/>
                <w:webHidden/>
              </w:rPr>
              <w:fldChar w:fldCharType="begin"/>
            </w:r>
            <w:r>
              <w:rPr>
                <w:noProof/>
                <w:webHidden/>
              </w:rPr>
              <w:instrText xml:space="preserve"> PAGEREF _Toc184721123 \h </w:instrText>
            </w:r>
            <w:r>
              <w:rPr>
                <w:noProof/>
                <w:webHidden/>
              </w:rPr>
            </w:r>
            <w:r>
              <w:rPr>
                <w:noProof/>
                <w:webHidden/>
              </w:rPr>
              <w:fldChar w:fldCharType="separate"/>
            </w:r>
            <w:r>
              <w:rPr>
                <w:noProof/>
                <w:webHidden/>
              </w:rPr>
              <w:t>20</w:t>
            </w:r>
            <w:r>
              <w:rPr>
                <w:noProof/>
                <w:webHidden/>
              </w:rPr>
              <w:fldChar w:fldCharType="end"/>
            </w:r>
          </w:hyperlink>
        </w:p>
        <w:p w14:paraId="0DDAE868" w14:textId="2988877E"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24" w:history="1">
            <w:r w:rsidRPr="00435D17">
              <w:rPr>
                <w:rStyle w:val="Hyperlink"/>
                <w:noProof/>
              </w:rPr>
              <w:t>2.2</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Consultation</w:t>
            </w:r>
            <w:r>
              <w:rPr>
                <w:noProof/>
                <w:webHidden/>
              </w:rPr>
              <w:tab/>
            </w:r>
            <w:r>
              <w:rPr>
                <w:noProof/>
                <w:webHidden/>
              </w:rPr>
              <w:fldChar w:fldCharType="begin"/>
            </w:r>
            <w:r>
              <w:rPr>
                <w:noProof/>
                <w:webHidden/>
              </w:rPr>
              <w:instrText xml:space="preserve"> PAGEREF _Toc184721124 \h </w:instrText>
            </w:r>
            <w:r>
              <w:rPr>
                <w:noProof/>
                <w:webHidden/>
              </w:rPr>
            </w:r>
            <w:r>
              <w:rPr>
                <w:noProof/>
                <w:webHidden/>
              </w:rPr>
              <w:fldChar w:fldCharType="separate"/>
            </w:r>
            <w:r>
              <w:rPr>
                <w:noProof/>
                <w:webHidden/>
              </w:rPr>
              <w:t>21</w:t>
            </w:r>
            <w:r>
              <w:rPr>
                <w:noProof/>
                <w:webHidden/>
              </w:rPr>
              <w:fldChar w:fldCharType="end"/>
            </w:r>
          </w:hyperlink>
        </w:p>
        <w:p w14:paraId="2212A557" w14:textId="507FF4CC"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25" w:history="1">
            <w:r w:rsidRPr="00435D17">
              <w:rPr>
                <w:rStyle w:val="Hyperlink"/>
                <w:noProof/>
              </w:rPr>
              <w:t>2.2.1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Targeted stakeholder consultation sessions</w:t>
            </w:r>
            <w:r>
              <w:rPr>
                <w:noProof/>
                <w:webHidden/>
              </w:rPr>
              <w:tab/>
            </w:r>
            <w:r>
              <w:rPr>
                <w:noProof/>
                <w:webHidden/>
              </w:rPr>
              <w:fldChar w:fldCharType="begin"/>
            </w:r>
            <w:r>
              <w:rPr>
                <w:noProof/>
                <w:webHidden/>
              </w:rPr>
              <w:instrText xml:space="preserve"> PAGEREF _Toc184721125 \h </w:instrText>
            </w:r>
            <w:r>
              <w:rPr>
                <w:noProof/>
                <w:webHidden/>
              </w:rPr>
            </w:r>
            <w:r>
              <w:rPr>
                <w:noProof/>
                <w:webHidden/>
              </w:rPr>
              <w:fldChar w:fldCharType="separate"/>
            </w:r>
            <w:r>
              <w:rPr>
                <w:noProof/>
                <w:webHidden/>
              </w:rPr>
              <w:t>21</w:t>
            </w:r>
            <w:r>
              <w:rPr>
                <w:noProof/>
                <w:webHidden/>
              </w:rPr>
              <w:fldChar w:fldCharType="end"/>
            </w:r>
          </w:hyperlink>
        </w:p>
        <w:p w14:paraId="405DBFFD" w14:textId="5F5D5A45"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26" w:history="1">
            <w:r w:rsidRPr="00435D17">
              <w:rPr>
                <w:rStyle w:val="Hyperlink"/>
                <w:noProof/>
              </w:rPr>
              <w:t>2.2.2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Joint webinars with DISR</w:t>
            </w:r>
            <w:r>
              <w:rPr>
                <w:noProof/>
                <w:webHidden/>
              </w:rPr>
              <w:tab/>
            </w:r>
            <w:r>
              <w:rPr>
                <w:noProof/>
                <w:webHidden/>
              </w:rPr>
              <w:fldChar w:fldCharType="begin"/>
            </w:r>
            <w:r>
              <w:rPr>
                <w:noProof/>
                <w:webHidden/>
              </w:rPr>
              <w:instrText xml:space="preserve"> PAGEREF _Toc184721126 \h </w:instrText>
            </w:r>
            <w:r>
              <w:rPr>
                <w:noProof/>
                <w:webHidden/>
              </w:rPr>
            </w:r>
            <w:r>
              <w:rPr>
                <w:noProof/>
                <w:webHidden/>
              </w:rPr>
              <w:fldChar w:fldCharType="separate"/>
            </w:r>
            <w:r>
              <w:rPr>
                <w:noProof/>
                <w:webHidden/>
              </w:rPr>
              <w:t>22</w:t>
            </w:r>
            <w:r>
              <w:rPr>
                <w:noProof/>
                <w:webHidden/>
              </w:rPr>
              <w:fldChar w:fldCharType="end"/>
            </w:r>
          </w:hyperlink>
        </w:p>
        <w:p w14:paraId="679B2E64" w14:textId="21FED30C"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27" w:history="1">
            <w:r w:rsidRPr="00435D17">
              <w:rPr>
                <w:rStyle w:val="Hyperlink"/>
                <w:noProof/>
              </w:rPr>
              <w:t>2.2.3</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Public consultation</w:t>
            </w:r>
            <w:r>
              <w:rPr>
                <w:noProof/>
                <w:webHidden/>
              </w:rPr>
              <w:tab/>
            </w:r>
            <w:r>
              <w:rPr>
                <w:noProof/>
                <w:webHidden/>
              </w:rPr>
              <w:fldChar w:fldCharType="begin"/>
            </w:r>
            <w:r>
              <w:rPr>
                <w:noProof/>
                <w:webHidden/>
              </w:rPr>
              <w:instrText xml:space="preserve"> PAGEREF _Toc184721127 \h </w:instrText>
            </w:r>
            <w:r>
              <w:rPr>
                <w:noProof/>
                <w:webHidden/>
              </w:rPr>
            </w:r>
            <w:r>
              <w:rPr>
                <w:noProof/>
                <w:webHidden/>
              </w:rPr>
              <w:fldChar w:fldCharType="separate"/>
            </w:r>
            <w:r>
              <w:rPr>
                <w:noProof/>
                <w:webHidden/>
              </w:rPr>
              <w:t>22</w:t>
            </w:r>
            <w:r>
              <w:rPr>
                <w:noProof/>
                <w:webHidden/>
              </w:rPr>
              <w:fldChar w:fldCharType="end"/>
            </w:r>
          </w:hyperlink>
        </w:p>
        <w:p w14:paraId="474F983B" w14:textId="2410C1DC"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28" w:history="1">
            <w:r w:rsidRPr="00435D17">
              <w:rPr>
                <w:rStyle w:val="Hyperlink"/>
                <w:noProof/>
              </w:rPr>
              <w:t>2.3</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The current framework</w:t>
            </w:r>
            <w:r>
              <w:rPr>
                <w:noProof/>
                <w:webHidden/>
              </w:rPr>
              <w:tab/>
            </w:r>
            <w:r>
              <w:rPr>
                <w:noProof/>
                <w:webHidden/>
              </w:rPr>
              <w:fldChar w:fldCharType="begin"/>
            </w:r>
            <w:r>
              <w:rPr>
                <w:noProof/>
                <w:webHidden/>
              </w:rPr>
              <w:instrText xml:space="preserve"> PAGEREF _Toc184721128 \h </w:instrText>
            </w:r>
            <w:r>
              <w:rPr>
                <w:noProof/>
                <w:webHidden/>
              </w:rPr>
            </w:r>
            <w:r>
              <w:rPr>
                <w:noProof/>
                <w:webHidden/>
              </w:rPr>
              <w:fldChar w:fldCharType="separate"/>
            </w:r>
            <w:r>
              <w:rPr>
                <w:noProof/>
                <w:webHidden/>
              </w:rPr>
              <w:t>23</w:t>
            </w:r>
            <w:r>
              <w:rPr>
                <w:noProof/>
                <w:webHidden/>
              </w:rPr>
              <w:fldChar w:fldCharType="end"/>
            </w:r>
          </w:hyperlink>
        </w:p>
        <w:p w14:paraId="538FEA78" w14:textId="08E9EAB3"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29" w:history="1">
            <w:r w:rsidRPr="00435D17">
              <w:rPr>
                <w:rStyle w:val="Hyperlink"/>
                <w:noProof/>
              </w:rPr>
              <w:t>2.4</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Medical device regulation</w:t>
            </w:r>
            <w:r>
              <w:rPr>
                <w:noProof/>
                <w:webHidden/>
              </w:rPr>
              <w:tab/>
            </w:r>
            <w:r>
              <w:rPr>
                <w:noProof/>
                <w:webHidden/>
              </w:rPr>
              <w:fldChar w:fldCharType="begin"/>
            </w:r>
            <w:r>
              <w:rPr>
                <w:noProof/>
                <w:webHidden/>
              </w:rPr>
              <w:instrText xml:space="preserve"> PAGEREF _Toc184721129 \h </w:instrText>
            </w:r>
            <w:r>
              <w:rPr>
                <w:noProof/>
                <w:webHidden/>
              </w:rPr>
            </w:r>
            <w:r>
              <w:rPr>
                <w:noProof/>
                <w:webHidden/>
              </w:rPr>
              <w:fldChar w:fldCharType="separate"/>
            </w:r>
            <w:r>
              <w:rPr>
                <w:noProof/>
                <w:webHidden/>
              </w:rPr>
              <w:t>23</w:t>
            </w:r>
            <w:r>
              <w:rPr>
                <w:noProof/>
                <w:webHidden/>
              </w:rPr>
              <w:fldChar w:fldCharType="end"/>
            </w:r>
          </w:hyperlink>
        </w:p>
        <w:p w14:paraId="5322F208" w14:textId="7A80BA9A"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30" w:history="1">
            <w:r w:rsidRPr="00435D17">
              <w:rPr>
                <w:rStyle w:val="Hyperlink"/>
                <w:noProof/>
              </w:rPr>
              <w:t>2.4.1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Technology-agnostic regulation</w:t>
            </w:r>
            <w:r>
              <w:rPr>
                <w:noProof/>
                <w:webHidden/>
              </w:rPr>
              <w:tab/>
            </w:r>
            <w:r>
              <w:rPr>
                <w:noProof/>
                <w:webHidden/>
              </w:rPr>
              <w:fldChar w:fldCharType="begin"/>
            </w:r>
            <w:r>
              <w:rPr>
                <w:noProof/>
                <w:webHidden/>
              </w:rPr>
              <w:instrText xml:space="preserve"> PAGEREF _Toc184721130 \h </w:instrText>
            </w:r>
            <w:r>
              <w:rPr>
                <w:noProof/>
                <w:webHidden/>
              </w:rPr>
            </w:r>
            <w:r>
              <w:rPr>
                <w:noProof/>
                <w:webHidden/>
              </w:rPr>
              <w:fldChar w:fldCharType="separate"/>
            </w:r>
            <w:r>
              <w:rPr>
                <w:noProof/>
                <w:webHidden/>
              </w:rPr>
              <w:t>24</w:t>
            </w:r>
            <w:r>
              <w:rPr>
                <w:noProof/>
                <w:webHidden/>
              </w:rPr>
              <w:fldChar w:fldCharType="end"/>
            </w:r>
          </w:hyperlink>
        </w:p>
        <w:p w14:paraId="7EAC0115" w14:textId="5E7932D7"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31" w:history="1">
            <w:r w:rsidRPr="00435D17">
              <w:rPr>
                <w:rStyle w:val="Hyperlink"/>
                <w:noProof/>
              </w:rPr>
              <w:t>2.4.2</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Risk based classification</w:t>
            </w:r>
            <w:r>
              <w:rPr>
                <w:noProof/>
                <w:webHidden/>
              </w:rPr>
              <w:tab/>
            </w:r>
            <w:r>
              <w:rPr>
                <w:noProof/>
                <w:webHidden/>
              </w:rPr>
              <w:fldChar w:fldCharType="begin"/>
            </w:r>
            <w:r>
              <w:rPr>
                <w:noProof/>
                <w:webHidden/>
              </w:rPr>
              <w:instrText xml:space="preserve"> PAGEREF _Toc184721131 \h </w:instrText>
            </w:r>
            <w:r>
              <w:rPr>
                <w:noProof/>
                <w:webHidden/>
              </w:rPr>
            </w:r>
            <w:r>
              <w:rPr>
                <w:noProof/>
                <w:webHidden/>
              </w:rPr>
              <w:fldChar w:fldCharType="separate"/>
            </w:r>
            <w:r>
              <w:rPr>
                <w:noProof/>
                <w:webHidden/>
              </w:rPr>
              <w:t>24</w:t>
            </w:r>
            <w:r>
              <w:rPr>
                <w:noProof/>
                <w:webHidden/>
              </w:rPr>
              <w:fldChar w:fldCharType="end"/>
            </w:r>
          </w:hyperlink>
        </w:p>
        <w:p w14:paraId="27B27D37" w14:textId="6C9C378B"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32" w:history="1">
            <w:r w:rsidRPr="00435D17">
              <w:rPr>
                <w:rStyle w:val="Hyperlink"/>
                <w:noProof/>
              </w:rPr>
              <w:t>2.4.3</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Principles based regulation</w:t>
            </w:r>
            <w:r>
              <w:rPr>
                <w:noProof/>
                <w:webHidden/>
              </w:rPr>
              <w:tab/>
            </w:r>
            <w:r>
              <w:rPr>
                <w:noProof/>
                <w:webHidden/>
              </w:rPr>
              <w:fldChar w:fldCharType="begin"/>
            </w:r>
            <w:r>
              <w:rPr>
                <w:noProof/>
                <w:webHidden/>
              </w:rPr>
              <w:instrText xml:space="preserve"> PAGEREF _Toc184721132 \h </w:instrText>
            </w:r>
            <w:r>
              <w:rPr>
                <w:noProof/>
                <w:webHidden/>
              </w:rPr>
            </w:r>
            <w:r>
              <w:rPr>
                <w:noProof/>
                <w:webHidden/>
              </w:rPr>
              <w:fldChar w:fldCharType="separate"/>
            </w:r>
            <w:r>
              <w:rPr>
                <w:noProof/>
                <w:webHidden/>
              </w:rPr>
              <w:t>24</w:t>
            </w:r>
            <w:r>
              <w:rPr>
                <w:noProof/>
                <w:webHidden/>
              </w:rPr>
              <w:fldChar w:fldCharType="end"/>
            </w:r>
          </w:hyperlink>
        </w:p>
        <w:p w14:paraId="057A60C1" w14:textId="0A878863"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33" w:history="1">
            <w:r w:rsidRPr="00435D17">
              <w:rPr>
                <w:rStyle w:val="Hyperlink"/>
                <w:noProof/>
              </w:rPr>
              <w:t>2.4.4</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International harmonisation</w:t>
            </w:r>
            <w:r>
              <w:rPr>
                <w:noProof/>
                <w:webHidden/>
              </w:rPr>
              <w:tab/>
            </w:r>
            <w:r>
              <w:rPr>
                <w:noProof/>
                <w:webHidden/>
              </w:rPr>
              <w:fldChar w:fldCharType="begin"/>
            </w:r>
            <w:r>
              <w:rPr>
                <w:noProof/>
                <w:webHidden/>
              </w:rPr>
              <w:instrText xml:space="preserve"> PAGEREF _Toc184721133 \h </w:instrText>
            </w:r>
            <w:r>
              <w:rPr>
                <w:noProof/>
                <w:webHidden/>
              </w:rPr>
            </w:r>
            <w:r>
              <w:rPr>
                <w:noProof/>
                <w:webHidden/>
              </w:rPr>
              <w:fldChar w:fldCharType="separate"/>
            </w:r>
            <w:r>
              <w:rPr>
                <w:noProof/>
                <w:webHidden/>
              </w:rPr>
              <w:t>25</w:t>
            </w:r>
            <w:r>
              <w:rPr>
                <w:noProof/>
                <w:webHidden/>
              </w:rPr>
              <w:fldChar w:fldCharType="end"/>
            </w:r>
          </w:hyperlink>
        </w:p>
        <w:p w14:paraId="42DE8150" w14:textId="15474CC2" w:rsidR="00804AF2" w:rsidRDefault="00804AF2">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84721134" w:history="1">
            <w:r w:rsidRPr="00435D17">
              <w:rPr>
                <w:rStyle w:val="Hyperlink"/>
                <w:noProof/>
              </w:rPr>
              <w:t>2.5</w:t>
            </w:r>
            <w:r>
              <w:rPr>
                <w:rFonts w:asciiTheme="minorHAnsi" w:eastAsiaTheme="minorEastAsia" w:hAnsiTheme="minorHAnsi" w:cstheme="minorBidi"/>
                <w:noProof/>
                <w:color w:val="auto"/>
                <w:kern w:val="2"/>
                <w:szCs w:val="24"/>
                <w:lang w:eastAsia="en-AU"/>
                <w14:ligatures w14:val="standardContextual"/>
              </w:rPr>
              <w:tab/>
            </w:r>
            <w:r w:rsidRPr="00435D17">
              <w:rPr>
                <w:rStyle w:val="Hyperlink"/>
                <w:noProof/>
              </w:rPr>
              <w:t>Software regulation and reforms</w:t>
            </w:r>
            <w:r>
              <w:rPr>
                <w:noProof/>
                <w:webHidden/>
              </w:rPr>
              <w:tab/>
            </w:r>
            <w:r>
              <w:rPr>
                <w:noProof/>
                <w:webHidden/>
              </w:rPr>
              <w:fldChar w:fldCharType="begin"/>
            </w:r>
            <w:r>
              <w:rPr>
                <w:noProof/>
                <w:webHidden/>
              </w:rPr>
              <w:instrText xml:space="preserve"> PAGEREF _Toc184721134 \h </w:instrText>
            </w:r>
            <w:r>
              <w:rPr>
                <w:noProof/>
                <w:webHidden/>
              </w:rPr>
            </w:r>
            <w:r>
              <w:rPr>
                <w:noProof/>
                <w:webHidden/>
              </w:rPr>
              <w:fldChar w:fldCharType="separate"/>
            </w:r>
            <w:r>
              <w:rPr>
                <w:noProof/>
                <w:webHidden/>
              </w:rPr>
              <w:t>25</w:t>
            </w:r>
            <w:r>
              <w:rPr>
                <w:noProof/>
                <w:webHidden/>
              </w:rPr>
              <w:fldChar w:fldCharType="end"/>
            </w:r>
          </w:hyperlink>
        </w:p>
        <w:p w14:paraId="6D13B28D" w14:textId="72B64242" w:rsidR="00804AF2" w:rsidRDefault="00804AF2">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184721135" w:history="1">
            <w:r w:rsidRPr="00435D17">
              <w:rPr>
                <w:rStyle w:val="Hyperlink"/>
                <w:noProof/>
              </w:rPr>
              <w:t>2.5.1</w:t>
            </w:r>
            <w:r>
              <w:rPr>
                <w:rFonts w:asciiTheme="minorHAnsi" w:eastAsiaTheme="minorEastAsia" w:hAnsiTheme="minorHAnsi" w:cstheme="minorBidi"/>
                <w:noProof/>
                <w:color w:val="auto"/>
                <w:kern w:val="2"/>
                <w:sz w:val="24"/>
                <w:szCs w:val="24"/>
                <w:lang w:eastAsia="en-AU"/>
                <w14:ligatures w14:val="standardContextual"/>
              </w:rPr>
              <w:tab/>
            </w:r>
            <w:r w:rsidRPr="00435D17">
              <w:rPr>
                <w:rStyle w:val="Hyperlink"/>
                <w:noProof/>
              </w:rPr>
              <w:t>Ongoing reforms</w:t>
            </w:r>
            <w:r>
              <w:rPr>
                <w:noProof/>
                <w:webHidden/>
              </w:rPr>
              <w:tab/>
            </w:r>
            <w:r>
              <w:rPr>
                <w:noProof/>
                <w:webHidden/>
              </w:rPr>
              <w:fldChar w:fldCharType="begin"/>
            </w:r>
            <w:r>
              <w:rPr>
                <w:noProof/>
                <w:webHidden/>
              </w:rPr>
              <w:instrText xml:space="preserve"> PAGEREF _Toc184721135 \h </w:instrText>
            </w:r>
            <w:r>
              <w:rPr>
                <w:noProof/>
                <w:webHidden/>
              </w:rPr>
            </w:r>
            <w:r>
              <w:rPr>
                <w:noProof/>
                <w:webHidden/>
              </w:rPr>
              <w:fldChar w:fldCharType="separate"/>
            </w:r>
            <w:r>
              <w:rPr>
                <w:noProof/>
                <w:webHidden/>
              </w:rPr>
              <w:t>26</w:t>
            </w:r>
            <w:r>
              <w:rPr>
                <w:noProof/>
                <w:webHidden/>
              </w:rPr>
              <w:fldChar w:fldCharType="end"/>
            </w:r>
          </w:hyperlink>
        </w:p>
        <w:p w14:paraId="27B5B8EB" w14:textId="1F459B70" w:rsidR="00804AF2" w:rsidRDefault="00804AF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721136" w:history="1">
            <w:r w:rsidRPr="00435D17">
              <w:rPr>
                <w:rStyle w:val="Hyperlink"/>
                <w:noProof/>
              </w:rPr>
              <w:t>Attachment A – mapping our existing framework to DISR’s proposed mandatory guardrails</w:t>
            </w:r>
            <w:r>
              <w:rPr>
                <w:noProof/>
                <w:webHidden/>
              </w:rPr>
              <w:tab/>
            </w:r>
            <w:r>
              <w:rPr>
                <w:noProof/>
                <w:webHidden/>
              </w:rPr>
              <w:fldChar w:fldCharType="begin"/>
            </w:r>
            <w:r>
              <w:rPr>
                <w:noProof/>
                <w:webHidden/>
              </w:rPr>
              <w:instrText xml:space="preserve"> PAGEREF _Toc184721136 \h </w:instrText>
            </w:r>
            <w:r>
              <w:rPr>
                <w:noProof/>
                <w:webHidden/>
              </w:rPr>
            </w:r>
            <w:r>
              <w:rPr>
                <w:noProof/>
                <w:webHidden/>
              </w:rPr>
              <w:fldChar w:fldCharType="separate"/>
            </w:r>
            <w:r>
              <w:rPr>
                <w:noProof/>
                <w:webHidden/>
              </w:rPr>
              <w:t>27</w:t>
            </w:r>
            <w:r>
              <w:rPr>
                <w:noProof/>
                <w:webHidden/>
              </w:rPr>
              <w:fldChar w:fldCharType="end"/>
            </w:r>
          </w:hyperlink>
        </w:p>
        <w:p w14:paraId="35A40074" w14:textId="0183E638" w:rsidR="0000244F" w:rsidRDefault="0089410A" w:rsidP="0000244F">
          <w:pPr>
            <w:pStyle w:val="TOC1"/>
          </w:pPr>
          <w:r w:rsidRPr="00FE1F44">
            <w:fldChar w:fldCharType="end"/>
          </w:r>
        </w:p>
      </w:sdtContent>
    </w:sdt>
    <w:bookmarkStart w:id="4" w:name="_Toc163826543" w:displacedByCustomXml="prev"/>
    <w:bookmarkStart w:id="5" w:name="_Toc323739589" w:displacedByCustomXml="prev"/>
    <w:bookmarkStart w:id="6" w:name="_Toc356305216" w:displacedByCustomXml="prev"/>
    <w:p w14:paraId="782D3990" w14:textId="0C1FA906" w:rsidR="00A91C88" w:rsidRDefault="005F39BC" w:rsidP="00A91C88">
      <w:pPr>
        <w:pStyle w:val="Heading2"/>
      </w:pPr>
      <w:r>
        <w:br w:type="page"/>
      </w:r>
      <w:bookmarkStart w:id="7" w:name="_Toc184721098"/>
      <w:r w:rsidR="00A91C88">
        <w:lastRenderedPageBreak/>
        <w:t>Executive summary</w:t>
      </w:r>
      <w:bookmarkEnd w:id="7"/>
    </w:p>
    <w:p w14:paraId="50279645" w14:textId="3EC2362A" w:rsidR="00824441" w:rsidRPr="001217B6" w:rsidRDefault="00824441" w:rsidP="00824441">
      <w:r w:rsidRPr="001217B6">
        <w:t xml:space="preserve">In </w:t>
      </w:r>
      <w:r w:rsidRPr="00370E55">
        <w:t xml:space="preserve">the 2024-25 </w:t>
      </w:r>
      <w:r>
        <w:t xml:space="preserve">federal </w:t>
      </w:r>
      <w:r w:rsidRPr="00370E55">
        <w:t>Budget,</w:t>
      </w:r>
      <w:r w:rsidRPr="001217B6">
        <w:t xml:space="preserve"> the </w:t>
      </w:r>
      <w:r>
        <w:t>Australian G</w:t>
      </w:r>
      <w:r w:rsidRPr="001217B6">
        <w:t xml:space="preserve">overnment provided $39.9 million over </w:t>
      </w:r>
      <w:r>
        <w:t>5</w:t>
      </w:r>
      <w:r w:rsidRPr="001217B6">
        <w:t xml:space="preserve"> years for the development of policy and capability across </w:t>
      </w:r>
      <w:r>
        <w:t>g</w:t>
      </w:r>
      <w:r w:rsidRPr="001217B6">
        <w:t xml:space="preserve">overnment to support </w:t>
      </w:r>
      <w:hyperlink r:id="rId12" w:history="1">
        <w:r w:rsidRPr="00402F90">
          <w:rPr>
            <w:rStyle w:val="Hyperlink"/>
          </w:rPr>
          <w:t>Safe and Responsible AI</w:t>
        </w:r>
      </w:hyperlink>
      <w:r>
        <w:rPr>
          <w:rStyle w:val="Hyperlink"/>
        </w:rPr>
        <w:t>.</w:t>
      </w:r>
      <w:r w:rsidRPr="001217B6">
        <w:t xml:space="preserve"> </w:t>
      </w:r>
      <w:r>
        <w:t>The measure includes work to c</w:t>
      </w:r>
      <w:r w:rsidRPr="001217B6">
        <w:t>larify and strengthen existing laws</w:t>
      </w:r>
      <w:r>
        <w:t xml:space="preserve"> and </w:t>
      </w:r>
      <w:r w:rsidRPr="001217B6">
        <w:t>address risks and harms from A</w:t>
      </w:r>
      <w:r w:rsidR="00B77C8E">
        <w:t xml:space="preserve">rtificial </w:t>
      </w:r>
      <w:r w:rsidRPr="001217B6">
        <w:t>I</w:t>
      </w:r>
      <w:r w:rsidR="00B77C8E">
        <w:t>ntelligence (AI)</w:t>
      </w:r>
      <w:r>
        <w:t xml:space="preserve"> through an </w:t>
      </w:r>
      <w:r w:rsidRPr="001217B6">
        <w:t>immediate review of priority areas</w:t>
      </w:r>
      <w:r>
        <w:t>,</w:t>
      </w:r>
      <w:r w:rsidRPr="001217B6">
        <w:t xml:space="preserve"> </w:t>
      </w:r>
      <w:r>
        <w:t xml:space="preserve">including </w:t>
      </w:r>
      <w:r w:rsidRPr="001217B6">
        <w:t xml:space="preserve">health and aged care sector regulation, Australian </w:t>
      </w:r>
      <w:r>
        <w:t>c</w:t>
      </w:r>
      <w:r w:rsidRPr="001217B6">
        <w:t xml:space="preserve">onsumer </w:t>
      </w:r>
      <w:r>
        <w:t>l</w:t>
      </w:r>
      <w:r w:rsidRPr="001217B6">
        <w:t>aw</w:t>
      </w:r>
      <w:r>
        <w:t>,</w:t>
      </w:r>
      <w:r w:rsidRPr="001217B6">
        <w:t xml:space="preserve"> and copyright law.</w:t>
      </w:r>
    </w:p>
    <w:p w14:paraId="19BCA64B" w14:textId="75D1A89C" w:rsidR="00824441" w:rsidRPr="00824441" w:rsidRDefault="00824441" w:rsidP="00824441">
      <w:r w:rsidRPr="001217B6">
        <w:t>As part of the Australian Government</w:t>
      </w:r>
      <w:r>
        <w:t>’s</w:t>
      </w:r>
      <w:r w:rsidRPr="001217B6">
        <w:t xml:space="preserve"> Department of Health</w:t>
      </w:r>
      <w:r w:rsidR="00625BF2">
        <w:t>, Disability and Ageing</w:t>
      </w:r>
      <w:r>
        <w:t xml:space="preserve"> (the Department)</w:t>
      </w:r>
      <w:r w:rsidRPr="001217B6">
        <w:t xml:space="preserve">, the Therapeutic Goods Administration (TGA) regulates therapeutic goods, </w:t>
      </w:r>
      <w:r>
        <w:t xml:space="preserve">including </w:t>
      </w:r>
      <w:r w:rsidR="00B77C8E">
        <w:t xml:space="preserve">software and </w:t>
      </w:r>
      <w:r w:rsidRPr="001217B6">
        <w:t xml:space="preserve">AI </w:t>
      </w:r>
      <w:r>
        <w:t xml:space="preserve">models and systems when they </w:t>
      </w:r>
      <w:r w:rsidRPr="001217B6">
        <w:t xml:space="preserve">meet the definition </w:t>
      </w:r>
      <w:r>
        <w:t>of a medical device under</w:t>
      </w:r>
      <w:r w:rsidRPr="001217B6">
        <w:t xml:space="preserve"> the </w:t>
      </w:r>
      <w:hyperlink r:id="rId13" w:history="1">
        <w:r w:rsidRPr="00FE1F44">
          <w:rPr>
            <w:rStyle w:val="Hyperlink"/>
            <w:rFonts w:cs="Calibri"/>
            <w:i/>
            <w:iCs/>
          </w:rPr>
          <w:t>Therapeutic Goods Act 1989</w:t>
        </w:r>
      </w:hyperlink>
      <w:r w:rsidRPr="001217B6">
        <w:rPr>
          <w:i/>
          <w:iCs/>
        </w:rPr>
        <w:t>.</w:t>
      </w:r>
      <w:r w:rsidRPr="001217B6">
        <w:t xml:space="preserve"> </w:t>
      </w:r>
      <w:r w:rsidRPr="00824441">
        <w:t>Software</w:t>
      </w:r>
      <w:r w:rsidR="0096496B">
        <w:t>-</w:t>
      </w:r>
      <w:r w:rsidRPr="00824441">
        <w:t xml:space="preserve">based medical devices (including AI models and systems) have been regulated by the TGA for many years. </w:t>
      </w:r>
    </w:p>
    <w:p w14:paraId="75443AD3" w14:textId="3F0A6DB3" w:rsidR="00824441" w:rsidRDefault="00824441" w:rsidP="00824441">
      <w:r w:rsidRPr="00824441">
        <w:t>In 2021</w:t>
      </w:r>
      <w:r w:rsidR="0088749D">
        <w:t>,</w:t>
      </w:r>
      <w:r w:rsidRPr="00824441">
        <w:t xml:space="preserve"> we clarified the classification levels of software to </w:t>
      </w:r>
      <w:r w:rsidR="00C376C8">
        <w:t xml:space="preserve">account for </w:t>
      </w:r>
      <w:r w:rsidRPr="00824441">
        <w:t xml:space="preserve">the potential </w:t>
      </w:r>
      <w:r w:rsidR="009E4564">
        <w:t xml:space="preserve">and emerging </w:t>
      </w:r>
      <w:r w:rsidRPr="00824441">
        <w:t>risk</w:t>
      </w:r>
      <w:r w:rsidR="009E4564">
        <w:t>s of</w:t>
      </w:r>
      <w:r w:rsidRPr="00824441">
        <w:t xml:space="preserve"> harm associated with software</w:t>
      </w:r>
      <w:r w:rsidR="00C376C8">
        <w:t>,</w:t>
      </w:r>
      <w:r w:rsidRPr="00824441">
        <w:t xml:space="preserve"> and introduced a number of “carve-outs” for very low risk products or products that had oversight from other regulators. With input from relevant industry stakeholders, we published guidance about our refined regulatory framework</w:t>
      </w:r>
      <w:r w:rsidR="006114EF">
        <w:t>,</w:t>
      </w:r>
      <w:r w:rsidRPr="00824441">
        <w:t xml:space="preserve"> setting out how regulatory requirements apply to these kinds of devices. Since that time, the TGA has monitored the refinements to identify when further review and </w:t>
      </w:r>
      <w:r w:rsidR="00C376C8">
        <w:t>adjustment</w:t>
      </w:r>
      <w:r w:rsidR="00C376C8" w:rsidRPr="00824441">
        <w:t xml:space="preserve"> </w:t>
      </w:r>
      <w:r w:rsidRPr="00824441">
        <w:t>was required, including to address emerging risks as technology</w:t>
      </w:r>
      <w:r w:rsidR="003F562C">
        <w:t xml:space="preserve"> </w:t>
      </w:r>
      <w:r w:rsidRPr="00824441">
        <w:t>like AI is rapidly adopted and deployed in healthcare settings.</w:t>
      </w:r>
    </w:p>
    <w:p w14:paraId="5591979A" w14:textId="29EB22D7" w:rsidR="00824441" w:rsidRDefault="006114EF" w:rsidP="00824441">
      <w:r>
        <w:t>In 2024, t</w:t>
      </w:r>
      <w:r w:rsidR="00824441" w:rsidRPr="001217B6">
        <w:t xml:space="preserve">he TGA </w:t>
      </w:r>
      <w:r w:rsidR="00824441">
        <w:t xml:space="preserve">conducted a </w:t>
      </w:r>
      <w:r w:rsidR="00824441" w:rsidRPr="001217B6">
        <w:t xml:space="preserve">review </w:t>
      </w:r>
      <w:r w:rsidR="00824441">
        <w:t xml:space="preserve">in tandem with the Department’s </w:t>
      </w:r>
      <w:hyperlink r:id="rId14" w:anchor="supporting-safe-and-responsible-artificial-intelligence-ai-in-health-and-care" w:history="1">
        <w:r w:rsidR="00824441" w:rsidRPr="003A595C">
          <w:rPr>
            <w:rStyle w:val="Hyperlink"/>
          </w:rPr>
          <w:t>broader review</w:t>
        </w:r>
      </w:hyperlink>
      <w:r w:rsidR="00824441">
        <w:t xml:space="preserve"> of health and aged care legislation</w:t>
      </w:r>
      <w:r w:rsidR="003F562C">
        <w:t>,</w:t>
      </w:r>
      <w:r w:rsidR="00824441">
        <w:t xml:space="preserve"> to:</w:t>
      </w:r>
    </w:p>
    <w:p w14:paraId="4D71DEF6" w14:textId="0E1F5528" w:rsidR="00824441" w:rsidRPr="00D56E25" w:rsidRDefault="00824441" w:rsidP="00824441">
      <w:pPr>
        <w:pStyle w:val="ListParagraph"/>
      </w:pPr>
      <w:r w:rsidRPr="00D56E25">
        <w:t xml:space="preserve">determine whether our existing legislation, regulations and guidance are appropriate to meet the challenges associated with an increasing use of </w:t>
      </w:r>
      <w:r w:rsidR="00B77C8E">
        <w:t xml:space="preserve">medical software and </w:t>
      </w:r>
      <w:r w:rsidRPr="00D56E25">
        <w:t>AI across the healthcare sector</w:t>
      </w:r>
      <w:r w:rsidR="003F562C">
        <w:t>,</w:t>
      </w:r>
      <w:r w:rsidRPr="00D56E25">
        <w:t xml:space="preserve"> and</w:t>
      </w:r>
    </w:p>
    <w:p w14:paraId="2483726A" w14:textId="38BD0858" w:rsidR="00824441" w:rsidRPr="00D56E25" w:rsidRDefault="00824441" w:rsidP="00824441">
      <w:pPr>
        <w:pStyle w:val="ListParagraph"/>
      </w:pPr>
      <w:r w:rsidRPr="00D56E25">
        <w:t xml:space="preserve">identify measures to clarify and strengthen existing regulation to mitigate risks and leverage opportunities associated with </w:t>
      </w:r>
      <w:r w:rsidR="00B77C8E">
        <w:t xml:space="preserve">medical software and </w:t>
      </w:r>
      <w:r w:rsidRPr="00D56E25">
        <w:t>AI use in the therapeutic goods sector.</w:t>
      </w:r>
    </w:p>
    <w:p w14:paraId="61C90753" w14:textId="63128CF0" w:rsidR="00824441" w:rsidRDefault="00824441" w:rsidP="00824441">
      <w:pPr>
        <w:spacing w:before="120"/>
      </w:pPr>
      <w:r>
        <w:t xml:space="preserve">Extensive targeted engagement with stakeholders from cohorts including the medical device industry, consumers and clinicians has been conducted, followed by a public consultation process seeking more information </w:t>
      </w:r>
      <w:r w:rsidR="009E4564">
        <w:t xml:space="preserve">and feedback </w:t>
      </w:r>
      <w:r>
        <w:t xml:space="preserve">about </w:t>
      </w:r>
      <w:r w:rsidR="00B77C8E">
        <w:t xml:space="preserve">strengths of the system, opportunities for improvements and </w:t>
      </w:r>
      <w:r>
        <w:t xml:space="preserve">identified issues and areas of concern. Our </w:t>
      </w:r>
      <w:r w:rsidR="009E4564">
        <w:t xml:space="preserve">review </w:t>
      </w:r>
      <w:r>
        <w:t>also include</w:t>
      </w:r>
      <w:r w:rsidR="009E4564">
        <w:t>d</w:t>
      </w:r>
      <w:r>
        <w:t xml:space="preserve"> mapping the existing </w:t>
      </w:r>
      <w:r w:rsidR="009E4564">
        <w:t xml:space="preserve">medical device </w:t>
      </w:r>
      <w:r>
        <w:t xml:space="preserve">legislative framework against the mandatory guardrails for use in high-risk settings </w:t>
      </w:r>
      <w:r w:rsidR="009E4564">
        <w:t xml:space="preserve">proposed </w:t>
      </w:r>
      <w:r>
        <w:t>by the Department of Industry, Science and Resources</w:t>
      </w:r>
      <w:r w:rsidRPr="00FE1F44">
        <w:t xml:space="preserve"> </w:t>
      </w:r>
      <w:r>
        <w:t xml:space="preserve">(DISR) in their consultation: </w:t>
      </w:r>
      <w:hyperlink r:id="rId15" w:history="1">
        <w:r w:rsidRPr="001950FF">
          <w:rPr>
            <w:rStyle w:val="Hyperlink"/>
            <w:rFonts w:asciiTheme="minorHAnsi" w:hAnsiTheme="minorHAnsi"/>
            <w:i/>
            <w:iCs/>
          </w:rPr>
          <w:t>Introducing mandatory guardrails for AI in high-risk settings: proposals paper</w:t>
        </w:r>
      </w:hyperlink>
      <w:r>
        <w:t>.</w:t>
      </w:r>
    </w:p>
    <w:p w14:paraId="337396EA" w14:textId="2A28F24D" w:rsidR="00824441" w:rsidRPr="00B11993" w:rsidRDefault="00824441" w:rsidP="00824441">
      <w:r w:rsidRPr="00B11993">
        <w:t xml:space="preserve">Findings from </w:t>
      </w:r>
      <w:r w:rsidR="009E4564">
        <w:t>our</w:t>
      </w:r>
      <w:r w:rsidRPr="00B11993">
        <w:t xml:space="preserve"> review </w:t>
      </w:r>
      <w:r w:rsidR="009E4564">
        <w:t xml:space="preserve">should be considered </w:t>
      </w:r>
      <w:r w:rsidRPr="00B11993">
        <w:t>within the context of the TGA’s ongoing work, identifying areas for priority reform to ensure the regulation of all medical devices</w:t>
      </w:r>
      <w:r w:rsidR="00C4072D" w:rsidRPr="00C4072D">
        <w:t xml:space="preserve"> </w:t>
      </w:r>
      <w:r w:rsidR="00C4072D" w:rsidRPr="00B11993">
        <w:t>remains fit for purpose</w:t>
      </w:r>
      <w:r w:rsidRPr="00B11993">
        <w:t xml:space="preserve">, including AI models and systems that meet the definition of a medical device. While our findings indicate our existing </w:t>
      </w:r>
      <w:r w:rsidR="009E4564">
        <w:t xml:space="preserve">legislative </w:t>
      </w:r>
      <w:r w:rsidRPr="00B11993">
        <w:t>framework is largely appropriate for the increasing use of AI in therapeutic goods, we recognise AI use is rapidly increasing in all sectors, and regulatory approaches to AI are continuing to develop around the world.</w:t>
      </w:r>
    </w:p>
    <w:p w14:paraId="24F54C46" w14:textId="7530B71A" w:rsidR="00AB4C87" w:rsidRPr="00B11993" w:rsidRDefault="00CA0E33" w:rsidP="00F062BA">
      <w:r w:rsidRPr="00B11993">
        <w:t xml:space="preserve">The TGA will continue to engage with regulators in other jurisdictions and work closely with </w:t>
      </w:r>
      <w:r w:rsidR="00824441">
        <w:t xml:space="preserve">relevant </w:t>
      </w:r>
      <w:r w:rsidRPr="00B11993">
        <w:t xml:space="preserve">stakeholders to ensure regulation remains appropriate and resources are developed to support </w:t>
      </w:r>
      <w:r w:rsidR="00824441">
        <w:t xml:space="preserve">developers, sponsors and manufacturers to </w:t>
      </w:r>
      <w:r w:rsidRPr="00B11993">
        <w:t>meet their regulatory obligations. While work continues on whole-of-economy issues and approaches</w:t>
      </w:r>
      <w:r w:rsidR="0036136F" w:rsidRPr="00B11993">
        <w:t xml:space="preserve"> under the Australian Government’s Safe and Responsible AI Budget measure</w:t>
      </w:r>
      <w:r w:rsidRPr="00B11993">
        <w:t xml:space="preserve">, </w:t>
      </w:r>
      <w:r w:rsidR="009F4EF0" w:rsidRPr="00B11993">
        <w:t xml:space="preserve">the </w:t>
      </w:r>
      <w:r w:rsidR="00AB4C87" w:rsidRPr="00B11993">
        <w:t xml:space="preserve">TGA </w:t>
      </w:r>
      <w:r w:rsidR="00CB254A" w:rsidRPr="00B11993">
        <w:t xml:space="preserve">will continue </w:t>
      </w:r>
      <w:r w:rsidR="009E4564">
        <w:t xml:space="preserve">to regulate using </w:t>
      </w:r>
      <w:r w:rsidR="00CB254A" w:rsidRPr="00B11993">
        <w:t xml:space="preserve">a technology-agnostic approach based on risks and principles to provide timely and effective regulation of emerging technologies, including innovative software products incorporating AI. </w:t>
      </w:r>
    </w:p>
    <w:p w14:paraId="3B0CA11B" w14:textId="73FFFC70" w:rsidR="00CB254A" w:rsidRPr="00B11993" w:rsidRDefault="00824441" w:rsidP="00F062BA">
      <w:r>
        <w:t xml:space="preserve">Following </w:t>
      </w:r>
      <w:r w:rsidR="006114EF">
        <w:t>our</w:t>
      </w:r>
      <w:r w:rsidR="00AB4C87" w:rsidRPr="00B11993">
        <w:t xml:space="preserve"> review, </w:t>
      </w:r>
      <w:r>
        <w:t xml:space="preserve">we </w:t>
      </w:r>
      <w:r w:rsidR="00B77C8E">
        <w:t xml:space="preserve">propose to </w:t>
      </w:r>
      <w:r>
        <w:t xml:space="preserve">undertake further </w:t>
      </w:r>
      <w:r w:rsidR="00CB254A" w:rsidRPr="00B11993">
        <w:t>targeted consultation</w:t>
      </w:r>
      <w:r w:rsidR="00A409A1">
        <w:t>s</w:t>
      </w:r>
      <w:r w:rsidR="00CB254A" w:rsidRPr="00B11993">
        <w:t xml:space="preserve"> </w:t>
      </w:r>
      <w:r>
        <w:t xml:space="preserve">on a number of regulatory </w:t>
      </w:r>
      <w:r w:rsidR="00CA0E33" w:rsidRPr="00B11993">
        <w:t xml:space="preserve">refinements </w:t>
      </w:r>
      <w:r w:rsidR="006E28AC" w:rsidRPr="00B11993">
        <w:t xml:space="preserve">and compliance activities </w:t>
      </w:r>
      <w:r>
        <w:t xml:space="preserve">during </w:t>
      </w:r>
      <w:r w:rsidR="006E28AC" w:rsidRPr="00B11993">
        <w:t>2025</w:t>
      </w:r>
      <w:r w:rsidR="00AB4C87" w:rsidRPr="00B11993">
        <w:t xml:space="preserve"> and 2026. These consultations are required to</w:t>
      </w:r>
      <w:r w:rsidR="006E28AC" w:rsidRPr="00B11993">
        <w:t xml:space="preserve"> supplement our </w:t>
      </w:r>
      <w:r w:rsidR="00AB4C87" w:rsidRPr="00B11993">
        <w:t>collaboration with other Portfolio agencies and</w:t>
      </w:r>
      <w:r w:rsidR="006E28AC" w:rsidRPr="00B11993">
        <w:t xml:space="preserve"> the </w:t>
      </w:r>
      <w:r w:rsidR="0036136F" w:rsidRPr="00B11993">
        <w:t xml:space="preserve">work conducted across the economy in support of the </w:t>
      </w:r>
      <w:r w:rsidR="006E28AC" w:rsidRPr="00B11993">
        <w:t>Safe and Responsible AI Budget measure.</w:t>
      </w:r>
    </w:p>
    <w:p w14:paraId="6872B85C" w14:textId="77777777" w:rsidR="00F5646E" w:rsidRDefault="00F5646E">
      <w:r>
        <w:br w:type="page"/>
      </w:r>
    </w:p>
    <w:p w14:paraId="67DCD290" w14:textId="0125B12E" w:rsidR="00CB38E7" w:rsidRDefault="00CB38E7" w:rsidP="002522ED">
      <w:pPr>
        <w:pStyle w:val="Heading2"/>
        <w:numPr>
          <w:ilvl w:val="0"/>
          <w:numId w:val="15"/>
        </w:numPr>
        <w:ind w:hanging="720"/>
      </w:pPr>
      <w:bookmarkStart w:id="8" w:name="_Toc184721099"/>
      <w:r>
        <w:lastRenderedPageBreak/>
        <w:t>Findings</w:t>
      </w:r>
      <w:bookmarkEnd w:id="8"/>
    </w:p>
    <w:p w14:paraId="61474B68" w14:textId="3E845A96" w:rsidR="00AB4C87" w:rsidRDefault="005A746D" w:rsidP="00134B76">
      <w:r>
        <w:t>The TGA regulates software, including AI models and systems</w:t>
      </w:r>
      <w:r w:rsidR="007408CB">
        <w:t>,</w:t>
      </w:r>
      <w:r>
        <w:t xml:space="preserve"> when they meet the legislative definition of a medical device</w:t>
      </w:r>
      <w:r w:rsidR="00F85D48">
        <w:t>,</w:t>
      </w:r>
      <w:r w:rsidR="007408CB">
        <w:rPr>
          <w:rStyle w:val="FootnoteReference"/>
        </w:rPr>
        <w:footnoteReference w:id="1"/>
      </w:r>
      <w:r w:rsidR="00DC16EB">
        <w:t xml:space="preserve"> </w:t>
      </w:r>
      <w:r w:rsidR="008E65CB" w:rsidRPr="008E65CB">
        <w:t xml:space="preserve">software used to manage clinical trials, </w:t>
      </w:r>
      <w:r w:rsidR="00F85D48" w:rsidRPr="00F85D48">
        <w:t xml:space="preserve">and software for design and manufacture of </w:t>
      </w:r>
      <w:r w:rsidR="00B237FE">
        <w:t>therapeutic goods</w:t>
      </w:r>
      <w:r w:rsidR="00F85D48" w:rsidRPr="00F85D48">
        <w:t>.</w:t>
      </w:r>
      <w:r w:rsidR="00F85D48">
        <w:t xml:space="preserve"> </w:t>
      </w:r>
      <w:r w:rsidR="002E40FD">
        <w:t xml:space="preserve">Although the focus of this report </w:t>
      </w:r>
      <w:r w:rsidR="006114EF">
        <w:t>is</w:t>
      </w:r>
      <w:r w:rsidR="002E40FD">
        <w:t xml:space="preserve"> medical devices, </w:t>
      </w:r>
      <w:r w:rsidR="000238D0">
        <w:t xml:space="preserve">many of the issues covered </w:t>
      </w:r>
      <w:r w:rsidR="00F2192E">
        <w:t>are</w:t>
      </w:r>
      <w:r w:rsidR="001B1686">
        <w:t xml:space="preserve"> relevant</w:t>
      </w:r>
      <w:r w:rsidR="000238D0">
        <w:t xml:space="preserve"> to </w:t>
      </w:r>
      <w:r w:rsidR="00737EE7">
        <w:t>clinical trial software and software for design and manufacture of therapeutic goods</w:t>
      </w:r>
      <w:r w:rsidR="000238D0">
        <w:t xml:space="preserve">. </w:t>
      </w:r>
    </w:p>
    <w:p w14:paraId="333353C6" w14:textId="256DD774" w:rsidR="00014066" w:rsidRDefault="00134B76" w:rsidP="00014066">
      <w:r>
        <w:t>Over the past</w:t>
      </w:r>
      <w:r w:rsidR="006114EF">
        <w:t xml:space="preserve"> decade,</w:t>
      </w:r>
      <w:r>
        <w:t xml:space="preserve"> s</w:t>
      </w:r>
      <w:r w:rsidR="00584463" w:rsidRPr="00584463">
        <w:t xml:space="preserve">oftware </w:t>
      </w:r>
      <w:r>
        <w:t xml:space="preserve">has </w:t>
      </w:r>
      <w:r w:rsidR="00584463" w:rsidRPr="00584463">
        <w:t>becom</w:t>
      </w:r>
      <w:r>
        <w:t>e</w:t>
      </w:r>
      <w:r w:rsidR="00584463" w:rsidRPr="00584463">
        <w:t xml:space="preserve"> increasingly important in medical devices and digital adoption more broadly</w:t>
      </w:r>
      <w:r>
        <w:t xml:space="preserve">, </w:t>
      </w:r>
      <w:r w:rsidR="00773112">
        <w:t xml:space="preserve">with </w:t>
      </w:r>
      <w:r>
        <w:t>r</w:t>
      </w:r>
      <w:r w:rsidR="00584463" w:rsidRPr="00584463">
        <w:t xml:space="preserve">apid innovation in technology </w:t>
      </w:r>
      <w:r w:rsidR="00773112">
        <w:t xml:space="preserve">driving </w:t>
      </w:r>
      <w:r w:rsidR="00584463" w:rsidRPr="00584463">
        <w:t>significant changes</w:t>
      </w:r>
      <w:r w:rsidR="007750CD">
        <w:t xml:space="preserve">. </w:t>
      </w:r>
      <w:r w:rsidR="00584463" w:rsidRPr="00584463">
        <w:t xml:space="preserve">Advances in computing technology and software production have led to a large increase in the number of software-based medical devices available on the market, requiring </w:t>
      </w:r>
      <w:r w:rsidR="007750CD">
        <w:t xml:space="preserve">ongoing review and </w:t>
      </w:r>
      <w:r w:rsidR="00584463" w:rsidRPr="00584463">
        <w:t>implementation of reforms to ensure patient safety.</w:t>
      </w:r>
      <w:r w:rsidR="00AB4C87">
        <w:t xml:space="preserve"> </w:t>
      </w:r>
      <w:r w:rsidR="00014066">
        <w:t>We</w:t>
      </w:r>
      <w:r w:rsidR="002C2919">
        <w:t xml:space="preserve"> </w:t>
      </w:r>
      <w:r w:rsidR="00014066">
        <w:t xml:space="preserve">continue to closely monitor and respond to evolution within the sector to ensure that </w:t>
      </w:r>
      <w:r w:rsidR="00EB63A6">
        <w:t xml:space="preserve">Australia’s </w:t>
      </w:r>
      <w:r w:rsidR="00014066">
        <w:t xml:space="preserve">regulatory framework effectively </w:t>
      </w:r>
      <w:r w:rsidR="00046349">
        <w:t xml:space="preserve">identifies, </w:t>
      </w:r>
      <w:r w:rsidR="00A6033B">
        <w:t>mitigates</w:t>
      </w:r>
      <w:r w:rsidR="00014066">
        <w:t xml:space="preserve"> and address</w:t>
      </w:r>
      <w:r w:rsidR="00A6033B">
        <w:t>es</w:t>
      </w:r>
      <w:r w:rsidR="00014066">
        <w:t xml:space="preserve"> risk</w:t>
      </w:r>
      <w:r w:rsidR="00A6033B">
        <w:t>s</w:t>
      </w:r>
      <w:r w:rsidR="00014066">
        <w:t xml:space="preserve"> posed by the increasing use of AI.</w:t>
      </w:r>
    </w:p>
    <w:p w14:paraId="1AB7230B" w14:textId="54683DA7" w:rsidR="00173CAF" w:rsidRDefault="00954EAA" w:rsidP="00B226B0">
      <w:r>
        <w:t>E</w:t>
      </w:r>
      <w:r w:rsidR="000B4F19">
        <w:t xml:space="preserve">stablished </w:t>
      </w:r>
      <w:r w:rsidR="00B16597">
        <w:t xml:space="preserve">structures and processes </w:t>
      </w:r>
      <w:r w:rsidR="000B4F19">
        <w:t xml:space="preserve">for both regulating </w:t>
      </w:r>
      <w:r w:rsidR="000647C6">
        <w:t xml:space="preserve">medical devices incorporating software, and conducting continuous </w:t>
      </w:r>
      <w:r w:rsidR="00C50C49">
        <w:t>assessment of our regulatory framework to ensure regulation remains appropriate</w:t>
      </w:r>
      <w:r w:rsidR="007B677E">
        <w:t>, include</w:t>
      </w:r>
      <w:r w:rsidR="00173CAF">
        <w:t>:</w:t>
      </w:r>
    </w:p>
    <w:p w14:paraId="217A0999" w14:textId="521758D3" w:rsidR="00173CAF" w:rsidRDefault="000256C7" w:rsidP="00D56E25">
      <w:pPr>
        <w:pStyle w:val="ListParagraph"/>
      </w:pPr>
      <w:r>
        <w:t>r</w:t>
      </w:r>
      <w:r w:rsidR="00EB63A6">
        <w:t xml:space="preserve">efinements and amendments </w:t>
      </w:r>
      <w:r w:rsidR="00B409D0">
        <w:t xml:space="preserve">to the regulation of </w:t>
      </w:r>
      <w:r w:rsidR="00060C76">
        <w:t xml:space="preserve">medical device </w:t>
      </w:r>
      <w:r w:rsidR="00B409D0">
        <w:t>software introduced in 2021</w:t>
      </w:r>
    </w:p>
    <w:p w14:paraId="459EEBC1" w14:textId="6F549890" w:rsidR="00173CAF" w:rsidRDefault="000256C7" w:rsidP="00D56E25">
      <w:pPr>
        <w:pStyle w:val="ListParagraph"/>
      </w:pPr>
      <w:r>
        <w:t>a</w:t>
      </w:r>
      <w:r w:rsidR="00173CAF">
        <w:t>ctive membership of both the International Medical Device Regulators Forum (IMDRF) Software as a Medical Device Working Group and the IMDRF Artificial Intelligence/Machine Learning Working Group</w:t>
      </w:r>
    </w:p>
    <w:p w14:paraId="26C5DD44" w14:textId="5C09EFC5" w:rsidR="00250447" w:rsidRPr="005A26C0" w:rsidRDefault="000256C7" w:rsidP="00D56E25">
      <w:pPr>
        <w:pStyle w:val="ListParagraph"/>
      </w:pPr>
      <w:r>
        <w:t>e</w:t>
      </w:r>
      <w:r w:rsidR="00250447">
        <w:t xml:space="preserve">stablishment of a Technical Reference Group for </w:t>
      </w:r>
      <w:r w:rsidR="007B677E">
        <w:t>s</w:t>
      </w:r>
      <w:r w:rsidR="00250447">
        <w:t xml:space="preserve">oftware and </w:t>
      </w:r>
      <w:r w:rsidR="00060C76">
        <w:t xml:space="preserve">AI-enabled </w:t>
      </w:r>
      <w:r w:rsidR="007B677E">
        <w:t>m</w:t>
      </w:r>
      <w:r w:rsidR="00250447">
        <w:t xml:space="preserve">edical </w:t>
      </w:r>
      <w:r w:rsidR="007B677E">
        <w:t>d</w:t>
      </w:r>
      <w:r w:rsidR="00250447">
        <w:t xml:space="preserve">evices </w:t>
      </w:r>
      <w:r w:rsidR="00250447" w:rsidRPr="005A26C0">
        <w:t>to provide expert knowledge on complex issues relating to software and AI technologies</w:t>
      </w:r>
    </w:p>
    <w:p w14:paraId="4F430DDC" w14:textId="2D873534" w:rsidR="00250447" w:rsidRDefault="000256C7" w:rsidP="00D56E25">
      <w:pPr>
        <w:pStyle w:val="ListParagraph"/>
      </w:pPr>
      <w:r>
        <w:t>a</w:t>
      </w:r>
      <w:r w:rsidR="00250447">
        <w:t xml:space="preserve"> </w:t>
      </w:r>
      <w:r w:rsidR="00706B0B">
        <w:t xml:space="preserve">dedicated </w:t>
      </w:r>
      <w:r w:rsidR="00250447">
        <w:t xml:space="preserve">software as a medical device (SaMD) </w:t>
      </w:r>
      <w:r w:rsidR="00060C76">
        <w:t xml:space="preserve">technical </w:t>
      </w:r>
      <w:r w:rsidR="00250447">
        <w:t xml:space="preserve">team </w:t>
      </w:r>
      <w:r w:rsidR="00706B0B">
        <w:t xml:space="preserve">for software </w:t>
      </w:r>
      <w:r w:rsidR="00250447">
        <w:t xml:space="preserve">pre-market </w:t>
      </w:r>
      <w:r w:rsidR="00495447">
        <w:t xml:space="preserve">and </w:t>
      </w:r>
      <w:r w:rsidR="00250447">
        <w:t>compliance</w:t>
      </w:r>
      <w:r w:rsidR="00495447">
        <w:t xml:space="preserve"> activities</w:t>
      </w:r>
    </w:p>
    <w:p w14:paraId="7849155F" w14:textId="1EE261C1" w:rsidR="00250447" w:rsidRDefault="000256C7" w:rsidP="00D56E25">
      <w:pPr>
        <w:pStyle w:val="ListParagraph"/>
      </w:pPr>
      <w:r>
        <w:t>a</w:t>
      </w:r>
      <w:r w:rsidR="00250447">
        <w:t xml:space="preserve"> </w:t>
      </w:r>
      <w:r w:rsidR="0007572F">
        <w:t xml:space="preserve">team </w:t>
      </w:r>
      <w:r w:rsidR="00250447">
        <w:t xml:space="preserve">dedicated to </w:t>
      </w:r>
      <w:r w:rsidR="00250447" w:rsidRPr="00A46A35">
        <w:t xml:space="preserve">researching and keeping abreast of </w:t>
      </w:r>
      <w:r w:rsidR="00AF5D75">
        <w:t>emerging technology</w:t>
      </w:r>
      <w:r w:rsidR="009C15F8">
        <w:t xml:space="preserve"> who </w:t>
      </w:r>
      <w:r w:rsidR="00060C76">
        <w:t xml:space="preserve">undertake </w:t>
      </w:r>
      <w:r w:rsidR="009C15F8">
        <w:t xml:space="preserve">legislative review and </w:t>
      </w:r>
      <w:r w:rsidR="00014066">
        <w:t>refinements where appropriate or necessary</w:t>
      </w:r>
      <w:r>
        <w:t>, and</w:t>
      </w:r>
    </w:p>
    <w:p w14:paraId="4A4368CA" w14:textId="6DCCE7E7" w:rsidR="00465288" w:rsidRDefault="000256C7" w:rsidP="00D56E25">
      <w:pPr>
        <w:pStyle w:val="ListParagraph"/>
      </w:pPr>
      <w:r>
        <w:t>a</w:t>
      </w:r>
      <w:r w:rsidR="00465288">
        <w:t xml:space="preserve">ctive participation in review of </w:t>
      </w:r>
      <w:r w:rsidR="009A2552">
        <w:t xml:space="preserve">the </w:t>
      </w:r>
      <w:r w:rsidR="00465288" w:rsidRPr="00E85D38">
        <w:rPr>
          <w:i/>
          <w:iCs/>
        </w:rPr>
        <w:t>PIC/S Guidelines to</w:t>
      </w:r>
      <w:r w:rsidR="00465288" w:rsidRPr="009A2552">
        <w:rPr>
          <w:b/>
          <w:bCs/>
          <w:i/>
          <w:iCs/>
        </w:rPr>
        <w:t xml:space="preserve"> </w:t>
      </w:r>
      <w:r w:rsidR="00465288" w:rsidRPr="009A2552">
        <w:rPr>
          <w:i/>
          <w:iCs/>
        </w:rPr>
        <w:t>Good</w:t>
      </w:r>
      <w:r w:rsidR="00465288" w:rsidRPr="00465288">
        <w:rPr>
          <w:i/>
          <w:iCs/>
        </w:rPr>
        <w:t xml:space="preserve"> Manufacturing Practice for Medicinal Products</w:t>
      </w:r>
      <w:r w:rsidR="00465288">
        <w:rPr>
          <w:i/>
          <w:iCs/>
        </w:rPr>
        <w:t xml:space="preserve">, </w:t>
      </w:r>
      <w:r w:rsidR="009A2552">
        <w:t>Annex 11 C</w:t>
      </w:r>
      <w:r w:rsidR="00465288" w:rsidRPr="00E85D38">
        <w:t xml:space="preserve">omputerised </w:t>
      </w:r>
      <w:r w:rsidR="009A2552">
        <w:t>S</w:t>
      </w:r>
      <w:r w:rsidR="00465288" w:rsidRPr="00E85D38">
        <w:t>ystems</w:t>
      </w:r>
      <w:r w:rsidR="009A2552">
        <w:t>, addressing requirement</w:t>
      </w:r>
      <w:r w:rsidR="00EF0DCC">
        <w:t>s</w:t>
      </w:r>
      <w:r w:rsidR="009A2552">
        <w:t xml:space="preserve"> for international harmonisation of the Pharmaceutical Inspection Convention with the EU AI Act, and subordinate legislation.</w:t>
      </w:r>
    </w:p>
    <w:p w14:paraId="446C2E0B" w14:textId="5646AA08" w:rsidR="00F86E71" w:rsidRDefault="002847EA" w:rsidP="002847EA">
      <w:r>
        <w:t>Outcomes from our review include findings across the following areas:</w:t>
      </w:r>
    </w:p>
    <w:p w14:paraId="1594F4C0" w14:textId="7E55A310" w:rsidR="002847EA" w:rsidRDefault="002847EA" w:rsidP="00D56E25">
      <w:pPr>
        <w:pStyle w:val="ListParagraph"/>
      </w:pPr>
      <w:hyperlink w:anchor="_Legislation" w:history="1">
        <w:r w:rsidRPr="002847EA">
          <w:rPr>
            <w:rStyle w:val="Hyperlink"/>
            <w:rFonts w:asciiTheme="minorHAnsi" w:hAnsiTheme="minorHAnsi"/>
          </w:rPr>
          <w:t>Legislation</w:t>
        </w:r>
      </w:hyperlink>
    </w:p>
    <w:p w14:paraId="1070C583" w14:textId="5A4D280E" w:rsidR="002847EA" w:rsidRDefault="002847EA" w:rsidP="00D56E25">
      <w:pPr>
        <w:pStyle w:val="ListParagraph"/>
      </w:pPr>
      <w:hyperlink w:anchor="_Regulations" w:history="1">
        <w:r w:rsidRPr="002847EA">
          <w:rPr>
            <w:rStyle w:val="Hyperlink"/>
            <w:rFonts w:asciiTheme="minorHAnsi" w:hAnsiTheme="minorHAnsi"/>
          </w:rPr>
          <w:t>Regulations</w:t>
        </w:r>
      </w:hyperlink>
    </w:p>
    <w:p w14:paraId="4707303F" w14:textId="3FE06C60" w:rsidR="002847EA" w:rsidRDefault="002847EA" w:rsidP="00D56E25">
      <w:pPr>
        <w:pStyle w:val="ListParagraph"/>
      </w:pPr>
      <w:hyperlink w:anchor="_Legislative_instruments" w:history="1">
        <w:r w:rsidRPr="002847EA">
          <w:rPr>
            <w:rStyle w:val="Hyperlink"/>
            <w:rFonts w:asciiTheme="minorHAnsi" w:hAnsiTheme="minorHAnsi"/>
          </w:rPr>
          <w:t>Legislative instruments</w:t>
        </w:r>
      </w:hyperlink>
    </w:p>
    <w:p w14:paraId="7220B947" w14:textId="6575453F" w:rsidR="002847EA" w:rsidRDefault="002847EA" w:rsidP="00D56E25">
      <w:pPr>
        <w:pStyle w:val="ListParagraph"/>
      </w:pPr>
      <w:hyperlink w:anchor="_Guidance_and_information" w:history="1">
        <w:r w:rsidRPr="002847EA">
          <w:rPr>
            <w:rStyle w:val="Hyperlink"/>
            <w:rFonts w:asciiTheme="minorHAnsi" w:hAnsiTheme="minorHAnsi"/>
          </w:rPr>
          <w:t>Guidance</w:t>
        </w:r>
      </w:hyperlink>
    </w:p>
    <w:p w14:paraId="29713337" w14:textId="3437A877" w:rsidR="002847EA" w:rsidRDefault="002847EA" w:rsidP="00D56E25">
      <w:pPr>
        <w:pStyle w:val="ListParagraph"/>
      </w:pPr>
      <w:hyperlink w:anchor="_International_harmonisation_1" w:history="1">
        <w:r w:rsidRPr="002847EA">
          <w:rPr>
            <w:rStyle w:val="Hyperlink"/>
            <w:rFonts w:asciiTheme="minorHAnsi" w:hAnsiTheme="minorHAnsi"/>
          </w:rPr>
          <w:t>International harmonisation</w:t>
        </w:r>
      </w:hyperlink>
    </w:p>
    <w:p w14:paraId="06A67D79" w14:textId="44E41740" w:rsidR="00467584" w:rsidRDefault="00467584" w:rsidP="002847EA">
      <w:r>
        <w:t xml:space="preserve">An additional </w:t>
      </w:r>
      <w:hyperlink w:anchor="_Overview" w:history="1">
        <w:r w:rsidR="008C0D77">
          <w:rPr>
            <w:rStyle w:val="Hyperlink"/>
          </w:rPr>
          <w:t>background</w:t>
        </w:r>
      </w:hyperlink>
      <w:r w:rsidR="008C0D77">
        <w:t xml:space="preserve"> section</w:t>
      </w:r>
      <w:r>
        <w:t xml:space="preserve"> is provided with more information about:</w:t>
      </w:r>
    </w:p>
    <w:p w14:paraId="618CC798" w14:textId="0FBF55B4" w:rsidR="00467584" w:rsidRDefault="00467584" w:rsidP="00D56E25">
      <w:pPr>
        <w:pStyle w:val="ListParagraph"/>
      </w:pPr>
      <w:r>
        <w:t xml:space="preserve">Our </w:t>
      </w:r>
      <w:hyperlink w:anchor="_Approach_to_the" w:history="1">
        <w:r w:rsidRPr="00467584">
          <w:rPr>
            <w:rStyle w:val="Hyperlink"/>
            <w:rFonts w:asciiTheme="minorHAnsi" w:hAnsiTheme="minorHAnsi"/>
          </w:rPr>
          <w:t>approach to the review</w:t>
        </w:r>
      </w:hyperlink>
    </w:p>
    <w:p w14:paraId="44070A54" w14:textId="44689B37" w:rsidR="00467584" w:rsidRDefault="00467584" w:rsidP="00D56E25">
      <w:pPr>
        <w:pStyle w:val="ListParagraph"/>
      </w:pPr>
      <w:r>
        <w:t xml:space="preserve">The </w:t>
      </w:r>
      <w:hyperlink w:anchor="_Consultation" w:history="1">
        <w:r w:rsidRPr="00440EFB">
          <w:rPr>
            <w:rStyle w:val="Hyperlink"/>
            <w:rFonts w:asciiTheme="minorHAnsi" w:hAnsiTheme="minorHAnsi"/>
          </w:rPr>
          <w:t>consultation</w:t>
        </w:r>
      </w:hyperlink>
      <w:r>
        <w:t xml:space="preserve"> process</w:t>
      </w:r>
    </w:p>
    <w:p w14:paraId="5A9830B0" w14:textId="4187E7D4" w:rsidR="00467584" w:rsidRDefault="00467584" w:rsidP="00D56E25">
      <w:pPr>
        <w:pStyle w:val="ListParagraph"/>
      </w:pPr>
      <w:r>
        <w:t xml:space="preserve">Our </w:t>
      </w:r>
      <w:hyperlink w:anchor="_The_current_framework" w:history="1">
        <w:r w:rsidRPr="00440EFB">
          <w:rPr>
            <w:rStyle w:val="Hyperlink"/>
            <w:rFonts w:asciiTheme="minorHAnsi" w:hAnsiTheme="minorHAnsi"/>
          </w:rPr>
          <w:t>current framework</w:t>
        </w:r>
      </w:hyperlink>
      <w:r>
        <w:t xml:space="preserve"> for regulation</w:t>
      </w:r>
    </w:p>
    <w:p w14:paraId="0957F366" w14:textId="77777777" w:rsidR="008C0D77" w:rsidRDefault="008C0D77">
      <w:pPr>
        <w:rPr>
          <w:rFonts w:eastAsiaTheme="majorEastAsia" w:cs="Times New Roman"/>
          <w:b/>
          <w:bCs/>
          <w:color w:val="001871"/>
          <w:sz w:val="32"/>
          <w:szCs w:val="32"/>
        </w:rPr>
      </w:pPr>
      <w:bookmarkStart w:id="9" w:name="_Legislation"/>
      <w:bookmarkEnd w:id="9"/>
      <w:r>
        <w:br w:type="page"/>
      </w:r>
    </w:p>
    <w:p w14:paraId="3A1327BC" w14:textId="2A25DB39" w:rsidR="00BF68B1" w:rsidRDefault="00BF68B1" w:rsidP="00CB38E7">
      <w:pPr>
        <w:pStyle w:val="Heading3"/>
      </w:pPr>
      <w:bookmarkStart w:id="10" w:name="_Toc184721100"/>
      <w:r>
        <w:lastRenderedPageBreak/>
        <w:t>Legislation</w:t>
      </w:r>
      <w:bookmarkEnd w:id="10"/>
    </w:p>
    <w:p w14:paraId="10C3515F" w14:textId="5D7F7177" w:rsidR="00BF68B1" w:rsidRDefault="00BF68B1" w:rsidP="00BF68B1">
      <w:r>
        <w:t xml:space="preserve">The </w:t>
      </w:r>
      <w:hyperlink r:id="rId16" w:history="1">
        <w:r w:rsidRPr="00823C95">
          <w:rPr>
            <w:rStyle w:val="Hyperlink"/>
            <w:i/>
            <w:iCs/>
          </w:rPr>
          <w:t>Therapeutic Goods Act 1989</w:t>
        </w:r>
      </w:hyperlink>
      <w:r>
        <w:t xml:space="preserve"> </w:t>
      </w:r>
      <w:r w:rsidR="00F22E1D">
        <w:t xml:space="preserve">(the Act) </w:t>
      </w:r>
      <w:r>
        <w:t>is the primary legislation governing</w:t>
      </w:r>
      <w:r w:rsidR="007E4974">
        <w:t xml:space="preserve"> </w:t>
      </w:r>
      <w:r w:rsidR="00EB63A6">
        <w:t xml:space="preserve">the </w:t>
      </w:r>
      <w:r w:rsidR="007E4974">
        <w:t>regulation of therapeutic good</w:t>
      </w:r>
      <w:r w:rsidR="00601225">
        <w:t xml:space="preserve">s </w:t>
      </w:r>
      <w:r w:rsidR="00A769EB">
        <w:t>in Australia.</w:t>
      </w:r>
      <w:r w:rsidR="00F22E1D">
        <w:t xml:space="preserve"> The Act has measures to</w:t>
      </w:r>
      <w:r w:rsidR="00E11015">
        <w:t xml:space="preserve"> ensure</w:t>
      </w:r>
      <w:r w:rsidR="00F22E1D">
        <w:t>:</w:t>
      </w:r>
    </w:p>
    <w:p w14:paraId="20B28D08" w14:textId="5DBAAFFF" w:rsidR="00F22E1D" w:rsidRDefault="004F0CFE" w:rsidP="002522ED">
      <w:pPr>
        <w:pStyle w:val="ListParagraph"/>
        <w:numPr>
          <w:ilvl w:val="0"/>
          <w:numId w:val="18"/>
        </w:numPr>
      </w:pPr>
      <w:r>
        <w:t>a</w:t>
      </w:r>
      <w:r w:rsidR="00F22E1D">
        <w:t>ppropriate pre-market assessment of therapeutic goods to establish quality, safety</w:t>
      </w:r>
      <w:r w:rsidR="00E11015">
        <w:t>,</w:t>
      </w:r>
      <w:r w:rsidR="00F22E1D">
        <w:t xml:space="preserve"> efficacy</w:t>
      </w:r>
      <w:r w:rsidR="00E11015">
        <w:t xml:space="preserve"> (for medicines) and performance (for medical devices)</w:t>
      </w:r>
    </w:p>
    <w:p w14:paraId="799F6E62" w14:textId="0EDA9996" w:rsidR="00E11015" w:rsidRDefault="00E72FC9" w:rsidP="002522ED">
      <w:pPr>
        <w:pStyle w:val="ListParagraph"/>
        <w:numPr>
          <w:ilvl w:val="0"/>
          <w:numId w:val="18"/>
        </w:numPr>
      </w:pPr>
      <w:r>
        <w:t>o</w:t>
      </w:r>
      <w:r w:rsidR="00E11015">
        <w:t xml:space="preserve">ngoing review of the safety, quality and </w:t>
      </w:r>
      <w:r w:rsidR="00E92108">
        <w:t>efficacy/</w:t>
      </w:r>
      <w:r w:rsidR="00E11015">
        <w:t>performance</w:t>
      </w:r>
      <w:r w:rsidR="00E92108">
        <w:t xml:space="preserve"> of therapeutic goods</w:t>
      </w:r>
      <w:r>
        <w:t>, and</w:t>
      </w:r>
    </w:p>
    <w:p w14:paraId="089C3A78" w14:textId="7342D7DF" w:rsidR="00E92108" w:rsidRDefault="00E72FC9" w:rsidP="002522ED">
      <w:pPr>
        <w:pStyle w:val="ListParagraph"/>
        <w:numPr>
          <w:ilvl w:val="0"/>
          <w:numId w:val="18"/>
        </w:numPr>
      </w:pPr>
      <w:r>
        <w:t>c</w:t>
      </w:r>
      <w:r w:rsidR="00E92108">
        <w:t>orrective measures can be taken when an issue is identified with a therapeutic good.</w:t>
      </w:r>
    </w:p>
    <w:p w14:paraId="7E392527" w14:textId="05639458" w:rsidR="00A62343" w:rsidRDefault="00EB63A6" w:rsidP="003804FC">
      <w:r>
        <w:t xml:space="preserve">During our review, a </w:t>
      </w:r>
      <w:r w:rsidR="00833AAA">
        <w:t xml:space="preserve">primary issue identified with the Act relates to the </w:t>
      </w:r>
      <w:r w:rsidR="00803907">
        <w:t xml:space="preserve">use of language including the </w:t>
      </w:r>
      <w:r w:rsidR="00910E69">
        <w:t xml:space="preserve">scope of the </w:t>
      </w:r>
      <w:r w:rsidR="00803907">
        <w:t xml:space="preserve">current </w:t>
      </w:r>
      <w:r w:rsidR="00833AAA">
        <w:t xml:space="preserve">definitions and </w:t>
      </w:r>
      <w:r w:rsidR="00910E69">
        <w:t>their implications for specific activities regulated under the Act.</w:t>
      </w:r>
    </w:p>
    <w:p w14:paraId="44DE8F6B" w14:textId="77777777" w:rsidR="009C7516" w:rsidRDefault="009C7516" w:rsidP="009C7516">
      <w:pPr>
        <w:pStyle w:val="Heading4"/>
      </w:pPr>
      <w:bookmarkStart w:id="11" w:name="_Toc184721101"/>
      <w:r>
        <w:t>Definitions</w:t>
      </w:r>
      <w:bookmarkEnd w:id="11"/>
    </w:p>
    <w:p w14:paraId="34CC665C" w14:textId="0512AB1B" w:rsidR="0074604D" w:rsidRDefault="001E0FA9" w:rsidP="00DE7D25">
      <w:r>
        <w:t xml:space="preserve">As the use of software develops, terminology and definitions have emerged to describe entities with regulatory obligations across the lifecycle of software products, models and systems. In some jurisdictions, including </w:t>
      </w:r>
      <w:r w:rsidR="00EB63A6">
        <w:t>in Europe</w:t>
      </w:r>
      <w:r>
        <w:t xml:space="preserve">, new terms </w:t>
      </w:r>
      <w:r w:rsidR="0074604D">
        <w:t xml:space="preserve">for entities in the AI lifecycle </w:t>
      </w:r>
      <w:r>
        <w:t>such as “developer”, “deployer” and “distributor” have been included in legislation.</w:t>
      </w:r>
      <w:r w:rsidR="00330816">
        <w:t xml:space="preserve"> Similar terminology has been proposed by DISR in their public </w:t>
      </w:r>
      <w:r w:rsidR="009F36A9">
        <w:t>consultation</w:t>
      </w:r>
      <w:r w:rsidR="0074604D">
        <w:t xml:space="preserve"> where both developer and deployer were</w:t>
      </w:r>
      <w:r w:rsidR="006B64B9">
        <w:t xml:space="preserve"> </w:t>
      </w:r>
      <w:r w:rsidR="00EB63A6">
        <w:t>proposed</w:t>
      </w:r>
      <w:r w:rsidR="0074604D">
        <w:t>, along with “end user”</w:t>
      </w:r>
      <w:r w:rsidR="00203C38">
        <w:t>.</w:t>
      </w:r>
    </w:p>
    <w:p w14:paraId="1F87117A" w14:textId="5E6BE513" w:rsidR="009E4564" w:rsidRDefault="002A49F5" w:rsidP="009E4564">
      <w:r>
        <w:t>These definitions are not currently used in the Act, although the definition of a manufacturer</w:t>
      </w:r>
      <w:r>
        <w:rPr>
          <w:rStyle w:val="FootnoteReference"/>
        </w:rPr>
        <w:footnoteReference w:id="2"/>
      </w:r>
      <w:r>
        <w:t xml:space="preserve"> and sponsor</w:t>
      </w:r>
      <w:r>
        <w:rPr>
          <w:rStyle w:val="FootnoteReference"/>
        </w:rPr>
        <w:footnoteReference w:id="3"/>
      </w:r>
      <w:r w:rsidR="00176638">
        <w:t xml:space="preserve"> align to some degree with </w:t>
      </w:r>
      <w:r w:rsidR="006B64B9">
        <w:t>the described function</w:t>
      </w:r>
      <w:r w:rsidR="00D87DF1">
        <w:t>s</w:t>
      </w:r>
      <w:r w:rsidR="006B64B9">
        <w:t xml:space="preserve"> of </w:t>
      </w:r>
      <w:r w:rsidR="00176638">
        <w:t xml:space="preserve">some of these </w:t>
      </w:r>
      <w:r w:rsidR="00D87DF1">
        <w:t xml:space="preserve">alternative </w:t>
      </w:r>
      <w:r w:rsidR="00176638">
        <w:t xml:space="preserve">terms. </w:t>
      </w:r>
      <w:r w:rsidR="009E4564" w:rsidRPr="009E4564">
        <w:t xml:space="preserve">We asked stakeholders whether the existing definitions within the Act were sufficient and, if not, whether explaining how they apply in guidance would be sufficient or whether we </w:t>
      </w:r>
      <w:r w:rsidR="009E4564">
        <w:t xml:space="preserve">should </w:t>
      </w:r>
      <w:r w:rsidR="009E4564" w:rsidRPr="009E4564">
        <w:t>amend them within the legislation itself.</w:t>
      </w:r>
    </w:p>
    <w:p w14:paraId="4E56C889" w14:textId="0B1279FD" w:rsidR="008C2D1B" w:rsidRDefault="008C2D1B" w:rsidP="008C2D1B">
      <w:r>
        <w:t>Stakeholders indicated:</w:t>
      </w:r>
    </w:p>
    <w:p w14:paraId="7258201F" w14:textId="77777777" w:rsidR="008C2D1B" w:rsidRDefault="008C2D1B" w:rsidP="00D56E25">
      <w:pPr>
        <w:pStyle w:val="ListParagraph"/>
      </w:pPr>
      <w:r>
        <w:t>The definition of a “manufacturer” is not one recognised by stakeholders in the software sector or clinical practitioners who may be involved in a manufacturing activity as a part of clinical practice.</w:t>
      </w:r>
    </w:p>
    <w:p w14:paraId="39D54072" w14:textId="02CD5D2F" w:rsidR="008C2D1B" w:rsidRDefault="008C2D1B" w:rsidP="00D56E25">
      <w:pPr>
        <w:pStyle w:val="ListParagraph"/>
      </w:pPr>
      <w:r>
        <w:t xml:space="preserve">Clarity is required to determine who is a “sponsor” for the purposes of Australian regulation </w:t>
      </w:r>
      <w:r w:rsidR="00EB63A6">
        <w:t xml:space="preserve">specifically </w:t>
      </w:r>
      <w:r>
        <w:t>where a software product that meets the definition of a medical device is made available by a provider located overseas, through an online platform hosted by an Australian-based legal entity.</w:t>
      </w:r>
    </w:p>
    <w:p w14:paraId="776F6FA6" w14:textId="78C44264" w:rsidR="005C6E09" w:rsidRDefault="005C6E09" w:rsidP="00D56E25">
      <w:pPr>
        <w:pStyle w:val="ListParagraph"/>
      </w:pPr>
      <w:r>
        <w:t>Further review, and either refinement of existing definitions or clarification through guidance, is needed to ensure clarity between definitions in the Act and terminology used elsewhere.</w:t>
      </w:r>
    </w:p>
    <w:p w14:paraId="57B8D3C0" w14:textId="77777777" w:rsidR="001A5CBA" w:rsidRDefault="003804FC" w:rsidP="003804FC">
      <w:pPr>
        <w:rPr>
          <w:rFonts w:asciiTheme="minorHAnsi" w:hAnsiTheme="minorHAnsi" w:cstheme="minorHAnsi"/>
        </w:rPr>
      </w:pPr>
      <w:r>
        <w:rPr>
          <w:rFonts w:asciiTheme="minorHAnsi" w:hAnsiTheme="minorHAnsi" w:cstheme="minorHAnsi"/>
        </w:rPr>
        <w:t xml:space="preserve">Stakeholders also asked for further </w:t>
      </w:r>
      <w:r w:rsidRPr="00BB6BB8">
        <w:rPr>
          <w:rFonts w:asciiTheme="minorHAnsi" w:hAnsiTheme="minorHAnsi" w:cstheme="minorHAnsi"/>
        </w:rPr>
        <w:t xml:space="preserve">consultation </w:t>
      </w:r>
      <w:r w:rsidR="001A5CBA">
        <w:rPr>
          <w:rFonts w:asciiTheme="minorHAnsi" w:hAnsiTheme="minorHAnsi" w:cstheme="minorHAnsi"/>
        </w:rPr>
        <w:t xml:space="preserve">to be conducted </w:t>
      </w:r>
      <w:r>
        <w:rPr>
          <w:rFonts w:asciiTheme="minorHAnsi" w:hAnsiTheme="minorHAnsi" w:cstheme="minorHAnsi"/>
        </w:rPr>
        <w:t>and consideration of</w:t>
      </w:r>
      <w:r w:rsidR="001A5CBA">
        <w:rPr>
          <w:rFonts w:asciiTheme="minorHAnsi" w:hAnsiTheme="minorHAnsi" w:cstheme="minorHAnsi"/>
        </w:rPr>
        <w:t>:</w:t>
      </w:r>
    </w:p>
    <w:p w14:paraId="225DA85B" w14:textId="76F4C173" w:rsidR="001A5CBA" w:rsidRDefault="003804FC" w:rsidP="00D56E25">
      <w:pPr>
        <w:pStyle w:val="ListParagraph"/>
      </w:pPr>
      <w:r>
        <w:t xml:space="preserve">the addition of </w:t>
      </w:r>
      <w:r w:rsidRPr="00BB6BB8">
        <w:t xml:space="preserve">other terms relating to software </w:t>
      </w:r>
      <w:r>
        <w:t xml:space="preserve">to </w:t>
      </w:r>
      <w:r w:rsidRPr="00BB6BB8">
        <w:t>therapeutic goods legislation</w:t>
      </w:r>
      <w:r w:rsidR="00717B7B">
        <w:t>, and</w:t>
      </w:r>
    </w:p>
    <w:p w14:paraId="08D04417" w14:textId="7E105D42" w:rsidR="003804FC" w:rsidRDefault="003804FC" w:rsidP="00D56E25">
      <w:pPr>
        <w:pStyle w:val="ListParagraph"/>
      </w:pPr>
      <w:r>
        <w:t>additional clarification for existing definitions and terms when specifically applied to software (what represents a “substantial change”, for example).</w:t>
      </w:r>
    </w:p>
    <w:tbl>
      <w:tblPr>
        <w:tblStyle w:val="TableGrid"/>
        <w:tblW w:w="0" w:type="auto"/>
        <w:tblLook w:val="04A0" w:firstRow="1" w:lastRow="0" w:firstColumn="1" w:lastColumn="0" w:noHBand="0" w:noVBand="1"/>
      </w:tblPr>
      <w:tblGrid>
        <w:gridCol w:w="9016"/>
      </w:tblGrid>
      <w:tr w:rsidR="003804FC" w14:paraId="14C6678A" w14:textId="77777777" w:rsidTr="00F26C93">
        <w:tc>
          <w:tcPr>
            <w:tcW w:w="9016" w:type="dxa"/>
            <w:shd w:val="clear" w:color="auto" w:fill="D2EDFF" w:themeFill="text1" w:themeFillTint="1A"/>
          </w:tcPr>
          <w:p w14:paraId="38D0E7C5" w14:textId="109D3E1A" w:rsidR="003804FC" w:rsidRPr="00CB1E36" w:rsidRDefault="00350190" w:rsidP="00F26C93">
            <w:pPr>
              <w:pStyle w:val="Callout"/>
              <w:spacing w:after="120"/>
              <w:rPr>
                <w:b/>
                <w:bCs/>
                <w:sz w:val="20"/>
                <w:szCs w:val="20"/>
              </w:rPr>
            </w:pPr>
            <w:bookmarkStart w:id="12" w:name="_Hlk181354201"/>
            <w:r w:rsidRPr="00CB1E36">
              <w:rPr>
                <w:b/>
                <w:bCs/>
                <w:sz w:val="20"/>
                <w:szCs w:val="20"/>
              </w:rPr>
              <w:t>Finding</w:t>
            </w:r>
            <w:r w:rsidR="00EB63A6">
              <w:rPr>
                <w:b/>
                <w:bCs/>
                <w:sz w:val="20"/>
                <w:szCs w:val="20"/>
              </w:rPr>
              <w:t xml:space="preserve"> 1</w:t>
            </w:r>
          </w:p>
          <w:p w14:paraId="415839FF" w14:textId="50A62D97" w:rsidR="003804FC" w:rsidRPr="00CB1E36" w:rsidRDefault="005D6D44" w:rsidP="00F26C93">
            <w:pPr>
              <w:pStyle w:val="Callout"/>
              <w:spacing w:after="120"/>
              <w:rPr>
                <w:sz w:val="20"/>
                <w:szCs w:val="20"/>
              </w:rPr>
            </w:pPr>
            <w:r>
              <w:rPr>
                <w:sz w:val="20"/>
                <w:szCs w:val="20"/>
              </w:rPr>
              <w:t>A f</w:t>
            </w:r>
            <w:r w:rsidR="003804FC" w:rsidRPr="00CB1E36">
              <w:rPr>
                <w:sz w:val="20"/>
                <w:szCs w:val="20"/>
              </w:rPr>
              <w:t>urther review of legislative definitions is required to determine whether:</w:t>
            </w:r>
          </w:p>
          <w:p w14:paraId="70B5C5C6" w14:textId="77777777" w:rsidR="003804FC" w:rsidRPr="003953FA" w:rsidRDefault="003804FC" w:rsidP="00D56E25">
            <w:pPr>
              <w:pStyle w:val="ListParagraph"/>
              <w:rPr>
                <w:sz w:val="20"/>
                <w:szCs w:val="20"/>
              </w:rPr>
            </w:pPr>
            <w:r w:rsidRPr="003953FA">
              <w:rPr>
                <w:sz w:val="20"/>
                <w:szCs w:val="20"/>
              </w:rPr>
              <w:t>refinements to the definitions in the Act are needed; or</w:t>
            </w:r>
          </w:p>
          <w:p w14:paraId="08712A7B" w14:textId="77777777" w:rsidR="003804FC" w:rsidRPr="003953FA" w:rsidRDefault="003804FC" w:rsidP="00D56E25">
            <w:pPr>
              <w:pStyle w:val="ListParagraph"/>
              <w:rPr>
                <w:sz w:val="20"/>
                <w:szCs w:val="20"/>
              </w:rPr>
            </w:pPr>
            <w:r w:rsidRPr="003953FA">
              <w:rPr>
                <w:sz w:val="20"/>
                <w:szCs w:val="20"/>
              </w:rPr>
              <w:t>guidance explaining how the current definitions align with emerging definitions like “developer” and “deployer” is sufficient.</w:t>
            </w:r>
          </w:p>
          <w:p w14:paraId="7877535F" w14:textId="28F059DF" w:rsidR="003804FC" w:rsidRPr="00367EA1" w:rsidRDefault="003804FC" w:rsidP="00F26C93">
            <w:pPr>
              <w:spacing w:after="120"/>
              <w:rPr>
                <w:rFonts w:asciiTheme="minorHAnsi" w:hAnsiTheme="minorHAnsi" w:cstheme="minorHAnsi"/>
                <w:sz w:val="20"/>
                <w:szCs w:val="20"/>
              </w:rPr>
            </w:pPr>
            <w:r w:rsidRPr="00CB1E36">
              <w:rPr>
                <w:rFonts w:asciiTheme="minorHAnsi" w:hAnsiTheme="minorHAnsi" w:cstheme="minorHAnsi"/>
                <w:sz w:val="20"/>
                <w:szCs w:val="20"/>
              </w:rPr>
              <w:lastRenderedPageBreak/>
              <w:t>Further consultation should be conducted to determine whether other terms relating to software should be included in therapeutic goods legislation or additional clarification to existing definition provided</w:t>
            </w:r>
            <w:r w:rsidR="00161E3C" w:rsidRPr="00CB1E36">
              <w:rPr>
                <w:rFonts w:asciiTheme="minorHAnsi" w:hAnsiTheme="minorHAnsi" w:cstheme="minorHAnsi"/>
                <w:sz w:val="20"/>
                <w:szCs w:val="20"/>
              </w:rPr>
              <w:t xml:space="preserve"> in guidance</w:t>
            </w:r>
            <w:r w:rsidRPr="00CB1E36">
              <w:rPr>
                <w:rFonts w:asciiTheme="minorHAnsi" w:hAnsiTheme="minorHAnsi" w:cstheme="minorHAnsi"/>
                <w:sz w:val="20"/>
                <w:szCs w:val="20"/>
              </w:rPr>
              <w:t>.</w:t>
            </w:r>
          </w:p>
        </w:tc>
      </w:tr>
    </w:tbl>
    <w:p w14:paraId="7C7794D7" w14:textId="65DB0801" w:rsidR="002E1317" w:rsidRDefault="002E1317" w:rsidP="00496628">
      <w:pPr>
        <w:pStyle w:val="Heading4"/>
      </w:pPr>
      <w:bookmarkStart w:id="13" w:name="_Toc184721102"/>
      <w:bookmarkEnd w:id="12"/>
      <w:r>
        <w:lastRenderedPageBreak/>
        <w:t>Supply</w:t>
      </w:r>
      <w:bookmarkEnd w:id="13"/>
    </w:p>
    <w:p w14:paraId="12E7F687" w14:textId="155BE857" w:rsidR="002E1317" w:rsidRDefault="002E1317" w:rsidP="002E1317">
      <w:r>
        <w:t>AI as a medical device presents unique challenges to the existing regulatory framework</w:t>
      </w:r>
      <w:r w:rsidR="001A3E63">
        <w:t>,</w:t>
      </w:r>
      <w:r>
        <w:t xml:space="preserve"> as it is frequently accessed and used within virtual and online environments where traditional </w:t>
      </w:r>
      <w:r w:rsidR="00161E3C">
        <w:t xml:space="preserve">supply </w:t>
      </w:r>
      <w:r>
        <w:t>controls are not effective. The ease with which information can be exchanged and propagated is challenging regulators to consider whether current frameworks can be applied to emerging technologies, particularly where:</w:t>
      </w:r>
    </w:p>
    <w:p w14:paraId="67E949AB" w14:textId="1CF6212A" w:rsidR="002E1317" w:rsidRDefault="001A3E63" w:rsidP="00D56E25">
      <w:pPr>
        <w:pStyle w:val="ListParagraph"/>
      </w:pPr>
      <w:r>
        <w:t>a</w:t>
      </w:r>
      <w:r w:rsidR="002E1317">
        <w:t xml:space="preserve"> product can be </w:t>
      </w:r>
      <w:r w:rsidR="00EB63A6">
        <w:t xml:space="preserve">quickly and </w:t>
      </w:r>
      <w:r w:rsidR="002E1317">
        <w:t>easily adapted by a user or applied to a purpose not intended by the original developer</w:t>
      </w:r>
    </w:p>
    <w:p w14:paraId="7BBC20E6" w14:textId="58D86501" w:rsidR="002E1317" w:rsidRDefault="001A3E63" w:rsidP="00D56E25">
      <w:pPr>
        <w:pStyle w:val="ListParagraph"/>
      </w:pPr>
      <w:r>
        <w:t>p</w:t>
      </w:r>
      <w:r w:rsidR="002E1317">
        <w:t>roducts are hosted on overseas servers where the regulator may not have jurisdiction</w:t>
      </w:r>
    </w:p>
    <w:p w14:paraId="7B471A73" w14:textId="40D7D4ED" w:rsidR="002E1317" w:rsidRDefault="001A3E63" w:rsidP="00D56E25">
      <w:pPr>
        <w:pStyle w:val="ListParagraph"/>
      </w:pPr>
      <w:r>
        <w:t>t</w:t>
      </w:r>
      <w:r w:rsidR="002E1317">
        <w:t>he development and deployment of software products takes place between entities who have not considered the existing framework and how it may apply to the product they jointly develop and deploy</w:t>
      </w:r>
      <w:r>
        <w:t>, and</w:t>
      </w:r>
    </w:p>
    <w:p w14:paraId="03C8FF05" w14:textId="33106C34" w:rsidR="00F85D48" w:rsidRDefault="001A3E63" w:rsidP="00D56E25">
      <w:pPr>
        <w:pStyle w:val="ListParagraph"/>
      </w:pPr>
      <w:r>
        <w:t>s</w:t>
      </w:r>
      <w:r w:rsidR="00F85D48">
        <w:t>oftware or AI is developed within a facility or institution for in-house use only.</w:t>
      </w:r>
    </w:p>
    <w:p w14:paraId="302E2286" w14:textId="77777777" w:rsidR="00EB63A6" w:rsidRDefault="0036136F" w:rsidP="009E4564">
      <w:r w:rsidRPr="00B11993">
        <w:t xml:space="preserve">We asked whether the existing definition of supply and measures for the regulation of supply activities are sufficient, given the platforms and emerging practices associated with the use of software based medical devices. </w:t>
      </w:r>
      <w:r w:rsidR="001F0A97" w:rsidRPr="00B11993">
        <w:t xml:space="preserve">Throughout the consultation processes undertaken </w:t>
      </w:r>
      <w:r w:rsidR="00EB63A6">
        <w:t>during t</w:t>
      </w:r>
      <w:r w:rsidR="001F0A97" w:rsidRPr="00B11993">
        <w:t>his review</w:t>
      </w:r>
      <w:r w:rsidR="00EB63A6">
        <w:t>,</w:t>
      </w:r>
      <w:r w:rsidR="001F0A97" w:rsidRPr="00B11993">
        <w:t xml:space="preserve"> stakeholders indicated there is general confusion about how new methods of supply through online platforms are regulated. </w:t>
      </w:r>
    </w:p>
    <w:p w14:paraId="4D54EAAC" w14:textId="46BEDA57" w:rsidR="009E4564" w:rsidRDefault="00EB63A6" w:rsidP="009E4564">
      <w:r>
        <w:t>Currently, t</w:t>
      </w:r>
      <w:r w:rsidR="001F0A97" w:rsidRPr="00B11993">
        <w:t xml:space="preserve">he definition of “supply” is </w:t>
      </w:r>
      <w:r w:rsidR="006114EF">
        <w:t xml:space="preserve">linked to the primary role of a </w:t>
      </w:r>
      <w:r w:rsidR="003953FA" w:rsidRPr="00B11993">
        <w:t>sponsor</w:t>
      </w:r>
      <w:r w:rsidR="009374B4">
        <w:t>, which</w:t>
      </w:r>
      <w:r w:rsidR="001F0A97" w:rsidRPr="00B11993">
        <w:t xml:space="preserve"> has regulatory responsibility</w:t>
      </w:r>
      <w:r>
        <w:t xml:space="preserve"> and obligations under the Act</w:t>
      </w:r>
      <w:r w:rsidR="001F0A97" w:rsidRPr="00B11993">
        <w:t>.</w:t>
      </w:r>
      <w:r w:rsidR="001F0A97">
        <w:t xml:space="preserve"> </w:t>
      </w:r>
      <w:r w:rsidR="009E4564">
        <w:t xml:space="preserve">In addition to clarification or amendment of the definitions of manufacturer and sponsor, </w:t>
      </w:r>
      <w:r w:rsidR="009E4564" w:rsidRPr="006114EF">
        <w:t>stakeholders indicated</w:t>
      </w:r>
      <w:r w:rsidR="009E4564">
        <w:t xml:space="preserve"> consideration should be given </w:t>
      </w:r>
      <w:r w:rsidR="006114EF">
        <w:t>to</w:t>
      </w:r>
      <w:r w:rsidR="009E4564">
        <w:t xml:space="preserve"> amending the definition of “supply</w:t>
      </w:r>
      <w:r w:rsidR="009E4564">
        <w:rPr>
          <w:rStyle w:val="FootnoteReference"/>
        </w:rPr>
        <w:footnoteReference w:id="4"/>
      </w:r>
      <w:r w:rsidR="009E4564">
        <w:t xml:space="preserve">” to include </w:t>
      </w:r>
      <w:r w:rsidR="00FB4B34">
        <w:t xml:space="preserve">that the </w:t>
      </w:r>
      <w:r w:rsidR="006114EF">
        <w:t>responsibilities of “</w:t>
      </w:r>
      <w:r w:rsidR="009E4564">
        <w:t>access</w:t>
      </w:r>
      <w:r w:rsidR="006114EF">
        <w:t>”</w:t>
      </w:r>
      <w:r w:rsidR="009E4564">
        <w:t xml:space="preserve"> to a medical device through online, virtual or digital means</w:t>
      </w:r>
      <w:r w:rsidR="006114EF">
        <w:t xml:space="preserve"> is captured appropriately</w:t>
      </w:r>
      <w:r w:rsidR="009E4564">
        <w:t>.</w:t>
      </w:r>
    </w:p>
    <w:p w14:paraId="5E686037" w14:textId="54498574" w:rsidR="00D03834" w:rsidRDefault="00D03834" w:rsidP="00D03834"/>
    <w:tbl>
      <w:tblPr>
        <w:tblStyle w:val="TableGrid"/>
        <w:tblW w:w="0" w:type="auto"/>
        <w:tblLook w:val="04A0" w:firstRow="1" w:lastRow="0" w:firstColumn="1" w:lastColumn="0" w:noHBand="0" w:noVBand="1"/>
      </w:tblPr>
      <w:tblGrid>
        <w:gridCol w:w="9016"/>
      </w:tblGrid>
      <w:tr w:rsidR="00197544" w14:paraId="572A7F8C" w14:textId="77777777" w:rsidTr="00F26C93">
        <w:tc>
          <w:tcPr>
            <w:tcW w:w="9016" w:type="dxa"/>
            <w:shd w:val="clear" w:color="auto" w:fill="D2EDFF" w:themeFill="text1" w:themeFillTint="1A"/>
          </w:tcPr>
          <w:p w14:paraId="408EBB93" w14:textId="69B63CD9" w:rsidR="00197544" w:rsidRPr="00CB1E36" w:rsidRDefault="00197544" w:rsidP="00F26C93">
            <w:pPr>
              <w:pStyle w:val="Callout"/>
              <w:spacing w:after="120"/>
              <w:rPr>
                <w:b/>
                <w:bCs/>
                <w:sz w:val="20"/>
                <w:szCs w:val="20"/>
              </w:rPr>
            </w:pPr>
            <w:r w:rsidRPr="00CB1E36">
              <w:rPr>
                <w:b/>
                <w:bCs/>
                <w:sz w:val="20"/>
                <w:szCs w:val="20"/>
              </w:rPr>
              <w:t>Finding</w:t>
            </w:r>
            <w:r w:rsidR="00EB63A6">
              <w:rPr>
                <w:b/>
                <w:bCs/>
                <w:sz w:val="20"/>
                <w:szCs w:val="20"/>
              </w:rPr>
              <w:t xml:space="preserve"> 2</w:t>
            </w:r>
          </w:p>
          <w:p w14:paraId="51842FCC" w14:textId="02AEC6E7" w:rsidR="00197544" w:rsidRPr="00367EA1" w:rsidRDefault="00EB63A6" w:rsidP="00DC156C">
            <w:pPr>
              <w:pStyle w:val="Callout"/>
              <w:spacing w:after="120"/>
              <w:rPr>
                <w:sz w:val="20"/>
                <w:szCs w:val="20"/>
              </w:rPr>
            </w:pPr>
            <w:r>
              <w:rPr>
                <w:sz w:val="20"/>
                <w:szCs w:val="20"/>
              </w:rPr>
              <w:t>A r</w:t>
            </w:r>
            <w:r w:rsidR="00197544" w:rsidRPr="00CB1E36">
              <w:rPr>
                <w:sz w:val="20"/>
                <w:szCs w:val="20"/>
              </w:rPr>
              <w:t xml:space="preserve">eview of the definition of “supply” in the Act is needed to </w:t>
            </w:r>
            <w:r w:rsidR="00DC156C" w:rsidRPr="00CB1E36">
              <w:rPr>
                <w:sz w:val="20"/>
                <w:szCs w:val="20"/>
              </w:rPr>
              <w:t xml:space="preserve">ensure access </w:t>
            </w:r>
            <w:r w:rsidR="00812FB2" w:rsidRPr="00CB1E36">
              <w:rPr>
                <w:sz w:val="20"/>
                <w:szCs w:val="20"/>
              </w:rPr>
              <w:t xml:space="preserve">to </w:t>
            </w:r>
            <w:r w:rsidR="0034705C" w:rsidRPr="00CB1E36">
              <w:rPr>
                <w:sz w:val="20"/>
                <w:szCs w:val="20"/>
              </w:rPr>
              <w:t>software-based</w:t>
            </w:r>
            <w:r w:rsidR="00812FB2" w:rsidRPr="00CB1E36">
              <w:rPr>
                <w:sz w:val="20"/>
                <w:szCs w:val="20"/>
              </w:rPr>
              <w:t xml:space="preserve"> devices </w:t>
            </w:r>
            <w:r w:rsidR="00DC156C" w:rsidRPr="00CB1E36">
              <w:rPr>
                <w:sz w:val="20"/>
                <w:szCs w:val="20"/>
              </w:rPr>
              <w:t xml:space="preserve">through online, digital or virtual means </w:t>
            </w:r>
            <w:r w:rsidR="00812FB2" w:rsidRPr="00CB1E36">
              <w:rPr>
                <w:sz w:val="20"/>
                <w:szCs w:val="20"/>
              </w:rPr>
              <w:t xml:space="preserve">is appropriately </w:t>
            </w:r>
            <w:r>
              <w:rPr>
                <w:sz w:val="20"/>
                <w:szCs w:val="20"/>
              </w:rPr>
              <w:t xml:space="preserve">reflected in </w:t>
            </w:r>
            <w:r w:rsidR="00812FB2" w:rsidRPr="00CB1E36">
              <w:rPr>
                <w:sz w:val="20"/>
                <w:szCs w:val="20"/>
              </w:rPr>
              <w:t>the Act.</w:t>
            </w:r>
          </w:p>
        </w:tc>
      </w:tr>
    </w:tbl>
    <w:p w14:paraId="42B9DD60" w14:textId="1AB03648" w:rsidR="00910E69" w:rsidRDefault="00EB63A6" w:rsidP="00910E69">
      <w:pPr>
        <w:pStyle w:val="Heading4"/>
      </w:pPr>
      <w:bookmarkStart w:id="14" w:name="_Toc184721103"/>
      <w:r>
        <w:t>R</w:t>
      </w:r>
      <w:r w:rsidR="00910E69">
        <w:t>esponsibility</w:t>
      </w:r>
      <w:bookmarkEnd w:id="14"/>
    </w:p>
    <w:p w14:paraId="4CBE0651" w14:textId="36F6E4BC" w:rsidR="00812FB2" w:rsidRDefault="00910E69" w:rsidP="00910E69">
      <w:r>
        <w:t xml:space="preserve">AI models and systems have changed the way therapeutic goods are deployed and used. Use cases are emerging where AI models and systems are replacing some services and activities traditionally performed by human beings. The Act regulates manufacturers and sponsors </w:t>
      </w:r>
      <w:r w:rsidRPr="00B11993">
        <w:t xml:space="preserve">of medical devices, assigning penalties for offences where a </w:t>
      </w:r>
      <w:r w:rsidR="00006173">
        <w:t>“</w:t>
      </w:r>
      <w:r w:rsidRPr="00B11993">
        <w:t>person</w:t>
      </w:r>
      <w:r w:rsidR="00006173">
        <w:t>”</w:t>
      </w:r>
      <w:r w:rsidRPr="00B11993">
        <w:t xml:space="preserve"> undertakes certain activities.</w:t>
      </w:r>
      <w:r w:rsidR="0036136F" w:rsidRPr="00B11993">
        <w:t xml:space="preserve"> We asked whether the</w:t>
      </w:r>
      <w:r w:rsidR="00006173">
        <w:t xml:space="preserve"> current </w:t>
      </w:r>
      <w:r w:rsidR="0036136F" w:rsidRPr="00B11993">
        <w:t xml:space="preserve">penalties and offences </w:t>
      </w:r>
      <w:r w:rsidR="00006173">
        <w:t xml:space="preserve">are sufficient to identify </w:t>
      </w:r>
      <w:r w:rsidR="0036136F" w:rsidRPr="00B11993">
        <w:t>the appropriate person or entity who is responsible for deploying an AI model or system that undertakes a prohibited activity.</w:t>
      </w:r>
    </w:p>
    <w:p w14:paraId="1854E404" w14:textId="616D65D4" w:rsidR="003F4F6F" w:rsidRDefault="00910E69" w:rsidP="00910E69">
      <w:r w:rsidRPr="00B11993">
        <w:t xml:space="preserve">Stakeholders expressed concern </w:t>
      </w:r>
      <w:r w:rsidR="00006173">
        <w:t xml:space="preserve">that the </w:t>
      </w:r>
      <w:r w:rsidRPr="00B11993">
        <w:t>responsibility for the outcomes of deployed AI can</w:t>
      </w:r>
      <w:r w:rsidR="00006173">
        <w:t>not</w:t>
      </w:r>
      <w:r w:rsidRPr="00B11993">
        <w:t xml:space="preserve"> be</w:t>
      </w:r>
      <w:r>
        <w:t xml:space="preserve"> appropriately placed using the existing legislation where an output from a deployed system represents an offence under the Act. Given the inclusion of strict liability offences</w:t>
      </w:r>
      <w:r w:rsidR="00E92A89">
        <w:t>,</w:t>
      </w:r>
      <w:r>
        <w:t xml:space="preserve"> where responsibility for an offence is not dependent on the ability to show fault or intent, further review of the existing language </w:t>
      </w:r>
      <w:r>
        <w:lastRenderedPageBreak/>
        <w:t>in the Act is needed to ensure responsibility can be appropriately assigned for the outputs of a deployed AI, particularly where</w:t>
      </w:r>
      <w:r w:rsidR="003F4F6F">
        <w:t>:</w:t>
      </w:r>
    </w:p>
    <w:p w14:paraId="7BA28AF4" w14:textId="3CE86A88" w:rsidR="00910E69" w:rsidRDefault="00910E69" w:rsidP="00D56E25">
      <w:pPr>
        <w:pStyle w:val="ListParagraph"/>
      </w:pPr>
      <w:r>
        <w:t>AI replaces services traditionally provided by a human</w:t>
      </w:r>
      <w:r w:rsidR="00E92A89">
        <w:t>,</w:t>
      </w:r>
      <w:r w:rsidR="003F4F6F">
        <w:t xml:space="preserve"> and</w:t>
      </w:r>
    </w:p>
    <w:p w14:paraId="0F680F49" w14:textId="3B4BA831" w:rsidR="003F4F6F" w:rsidRDefault="00E92A89" w:rsidP="00D56E25">
      <w:pPr>
        <w:pStyle w:val="ListParagraph"/>
      </w:pPr>
      <w:r>
        <w:t>t</w:t>
      </w:r>
      <w:r w:rsidR="003F4F6F">
        <w:t>he person who deployed the AI was not aware of the outputs that constituted an offence under the Act.</w:t>
      </w:r>
    </w:p>
    <w:tbl>
      <w:tblPr>
        <w:tblStyle w:val="TableGrid"/>
        <w:tblW w:w="0" w:type="auto"/>
        <w:tblLook w:val="04A0" w:firstRow="1" w:lastRow="0" w:firstColumn="1" w:lastColumn="0" w:noHBand="0" w:noVBand="1"/>
      </w:tblPr>
      <w:tblGrid>
        <w:gridCol w:w="9016"/>
      </w:tblGrid>
      <w:tr w:rsidR="00910E69" w14:paraId="28F08387" w14:textId="77777777" w:rsidTr="00F26C93">
        <w:tc>
          <w:tcPr>
            <w:tcW w:w="9016" w:type="dxa"/>
            <w:shd w:val="clear" w:color="auto" w:fill="D2EDFF" w:themeFill="text1" w:themeFillTint="1A"/>
          </w:tcPr>
          <w:p w14:paraId="25B9B624" w14:textId="1B6E47DD" w:rsidR="00910E69" w:rsidRPr="00CB1E36" w:rsidRDefault="00910E69" w:rsidP="00F26C93">
            <w:pPr>
              <w:pStyle w:val="Callout"/>
              <w:spacing w:after="120"/>
              <w:rPr>
                <w:b/>
                <w:bCs/>
                <w:sz w:val="20"/>
                <w:szCs w:val="20"/>
              </w:rPr>
            </w:pPr>
            <w:r w:rsidRPr="00CB1E36">
              <w:rPr>
                <w:b/>
                <w:bCs/>
                <w:sz w:val="20"/>
                <w:szCs w:val="20"/>
              </w:rPr>
              <w:t>Finding</w:t>
            </w:r>
            <w:r w:rsidR="00006173">
              <w:rPr>
                <w:b/>
                <w:bCs/>
                <w:sz w:val="20"/>
                <w:szCs w:val="20"/>
              </w:rPr>
              <w:t xml:space="preserve"> 3</w:t>
            </w:r>
          </w:p>
          <w:p w14:paraId="6619955F" w14:textId="0CF7D033" w:rsidR="00910E69" w:rsidRPr="00CB1E36" w:rsidRDefault="005D6D44" w:rsidP="00F26C93">
            <w:pPr>
              <w:pStyle w:val="Callout"/>
              <w:spacing w:after="120"/>
              <w:rPr>
                <w:sz w:val="20"/>
                <w:szCs w:val="20"/>
              </w:rPr>
            </w:pPr>
            <w:r>
              <w:rPr>
                <w:sz w:val="20"/>
                <w:szCs w:val="20"/>
              </w:rPr>
              <w:t>F</w:t>
            </w:r>
            <w:r w:rsidR="00910E69" w:rsidRPr="00CB1E36">
              <w:rPr>
                <w:sz w:val="20"/>
                <w:szCs w:val="20"/>
              </w:rPr>
              <w:t xml:space="preserve">urther review and consultation should be conducted to determine whether the language used in the Act for offences continues to assign responsibility to the appropriate entity </w:t>
            </w:r>
            <w:r w:rsidR="006C13B3" w:rsidRPr="00CB1E36">
              <w:rPr>
                <w:sz w:val="20"/>
                <w:szCs w:val="20"/>
              </w:rPr>
              <w:t xml:space="preserve">across the </w:t>
            </w:r>
            <w:r w:rsidR="00910E69" w:rsidRPr="00CB1E36">
              <w:rPr>
                <w:sz w:val="20"/>
                <w:szCs w:val="20"/>
              </w:rPr>
              <w:t>AI lifecycle.</w:t>
            </w:r>
          </w:p>
          <w:p w14:paraId="608D5486" w14:textId="0E01655D" w:rsidR="00F85D48" w:rsidRPr="00367EA1" w:rsidRDefault="00F85D48" w:rsidP="00F26C93">
            <w:pPr>
              <w:pStyle w:val="Callout"/>
              <w:spacing w:after="120"/>
              <w:rPr>
                <w:sz w:val="20"/>
                <w:szCs w:val="20"/>
              </w:rPr>
            </w:pPr>
            <w:r w:rsidRPr="00CB1E36">
              <w:rPr>
                <w:sz w:val="20"/>
                <w:szCs w:val="20"/>
              </w:rPr>
              <w:t xml:space="preserve">Continued collaboration </w:t>
            </w:r>
            <w:r w:rsidR="005D6D44">
              <w:rPr>
                <w:sz w:val="20"/>
                <w:szCs w:val="20"/>
              </w:rPr>
              <w:t xml:space="preserve">should occur </w:t>
            </w:r>
            <w:r w:rsidRPr="00CB1E36">
              <w:rPr>
                <w:sz w:val="20"/>
                <w:szCs w:val="20"/>
              </w:rPr>
              <w:t xml:space="preserve">with both </w:t>
            </w:r>
            <w:r w:rsidR="00307F40">
              <w:rPr>
                <w:sz w:val="20"/>
                <w:szCs w:val="20"/>
              </w:rPr>
              <w:t>the Australian Health Practitioner Registration Agency (</w:t>
            </w:r>
            <w:r w:rsidRPr="00CB1E36">
              <w:rPr>
                <w:sz w:val="20"/>
                <w:szCs w:val="20"/>
              </w:rPr>
              <w:t>Ahpra</w:t>
            </w:r>
            <w:r w:rsidR="00307F40">
              <w:rPr>
                <w:sz w:val="20"/>
                <w:szCs w:val="20"/>
              </w:rPr>
              <w:t>)</w:t>
            </w:r>
            <w:r w:rsidRPr="00CB1E36">
              <w:rPr>
                <w:sz w:val="20"/>
                <w:szCs w:val="20"/>
              </w:rPr>
              <w:t xml:space="preserve"> and the Australian Commission of Safety and Quality in Health Care to ensure appropriate governance of clinical practice of AI use aligns with the TGA’s regulation of therapeutic goods.</w:t>
            </w:r>
          </w:p>
        </w:tc>
      </w:tr>
    </w:tbl>
    <w:p w14:paraId="66848C2B" w14:textId="7902A683" w:rsidR="00406215" w:rsidRDefault="00406215" w:rsidP="00406215">
      <w:pPr>
        <w:pStyle w:val="Heading4"/>
      </w:pPr>
      <w:bookmarkStart w:id="15" w:name="_Toc184721104"/>
      <w:r>
        <w:t>Compliance</w:t>
      </w:r>
      <w:bookmarkEnd w:id="15"/>
    </w:p>
    <w:p w14:paraId="39B4AAD7" w14:textId="21C5E295" w:rsidR="00352FD9" w:rsidRDefault="00352FD9" w:rsidP="00352FD9">
      <w:r>
        <w:t xml:space="preserve">Stakeholder </w:t>
      </w:r>
      <w:r w:rsidR="00006173">
        <w:t xml:space="preserve">feedback during </w:t>
      </w:r>
      <w:r>
        <w:t xml:space="preserve">the review </w:t>
      </w:r>
      <w:r w:rsidR="00006173">
        <w:t xml:space="preserve">confirmed </w:t>
      </w:r>
      <w:r>
        <w:t>the use of AI products is already prevalent within the healthcare sector</w:t>
      </w:r>
      <w:r w:rsidR="00013A10">
        <w:t>,</w:t>
      </w:r>
      <w:r>
        <w:t xml:space="preserve"> driven by benefits </w:t>
      </w:r>
      <w:r w:rsidR="006C13B3">
        <w:t xml:space="preserve">including </w:t>
      </w:r>
      <w:r>
        <w:t xml:space="preserve">increased efficiency, improved patient health outcomes, cost reduction, improved accessibility and capability. </w:t>
      </w:r>
      <w:r w:rsidR="00F666B7">
        <w:t>T</w:t>
      </w:r>
      <w:r>
        <w:t>here are</w:t>
      </w:r>
      <w:r w:rsidR="00F666B7">
        <w:t>, however,</w:t>
      </w:r>
      <w:r>
        <w:t xml:space="preserve"> a number of issues associated with the use of these products, both observed and reported, including:</w:t>
      </w:r>
    </w:p>
    <w:p w14:paraId="630AC362" w14:textId="60802FE6" w:rsidR="00352FD9" w:rsidRDefault="0065488C" w:rsidP="00D56E25">
      <w:pPr>
        <w:pStyle w:val="ListParagraph"/>
      </w:pPr>
      <w:r>
        <w:t>l</w:t>
      </w:r>
      <w:r w:rsidR="00352FD9">
        <w:t>ack of understanding about what products meet the definition of a medical device and are therefore regulated by TGA. For example:</w:t>
      </w:r>
    </w:p>
    <w:p w14:paraId="2EF6792B" w14:textId="77777777" w:rsidR="00352FD9" w:rsidRDefault="00352FD9" w:rsidP="002522ED">
      <w:pPr>
        <w:pStyle w:val="ListParagraph"/>
        <w:numPr>
          <w:ilvl w:val="1"/>
          <w:numId w:val="19"/>
        </w:numPr>
      </w:pPr>
      <w:r>
        <w:t>Not all AI products used in the healthcare sector meet the definition of a medical device and many, including digital scribes used in clinical practice, have therefore not been assessed for quality, safety or performance before deployment and use.</w:t>
      </w:r>
    </w:p>
    <w:p w14:paraId="4093360C" w14:textId="77777777" w:rsidR="00352FD9" w:rsidRDefault="00352FD9" w:rsidP="002522ED">
      <w:pPr>
        <w:pStyle w:val="ListParagraph"/>
        <w:numPr>
          <w:ilvl w:val="1"/>
          <w:numId w:val="19"/>
        </w:numPr>
      </w:pPr>
      <w:r>
        <w:t>There are instances where software products do meet the definition of a medical device, but the deployer may not realise they are regulated by the TGA. This results in medical devices that have been made available without an appropriate pre-market assessment to ensure the quality, safety and performance of the device.</w:t>
      </w:r>
    </w:p>
    <w:p w14:paraId="6A8D3283" w14:textId="30BA6B10" w:rsidR="00352FD9" w:rsidRDefault="00881A92" w:rsidP="00D56E25">
      <w:pPr>
        <w:pStyle w:val="ListParagraph"/>
      </w:pPr>
      <w:r>
        <w:t>i</w:t>
      </w:r>
      <w:r w:rsidR="00352FD9">
        <w:t xml:space="preserve">nappropriate use of AI-enabled products due to a lack of understanding or misinformation about their intended purpose. For example: </w:t>
      </w:r>
    </w:p>
    <w:p w14:paraId="45D7C8B8" w14:textId="456808D5" w:rsidR="00352FD9" w:rsidRDefault="00352FD9" w:rsidP="002522ED">
      <w:pPr>
        <w:pStyle w:val="ListParagraph"/>
        <w:numPr>
          <w:ilvl w:val="1"/>
          <w:numId w:val="19"/>
        </w:numPr>
      </w:pPr>
      <w:r>
        <w:t>In many cases</w:t>
      </w:r>
      <w:r w:rsidR="00881A92">
        <w:t>,</w:t>
      </w:r>
      <w:r>
        <w:t xml:space="preserve"> users are either not aware of the limitations of the AI products they’re using or have become complacent over time</w:t>
      </w:r>
      <w:r w:rsidR="00CD7ECB">
        <w:t>- one example is not</w:t>
      </w:r>
      <w:r>
        <w:t xml:space="preserve"> contin</w:t>
      </w:r>
      <w:r w:rsidR="00CD7ECB">
        <w:t xml:space="preserve">uing </w:t>
      </w:r>
      <w:r>
        <w:t>to check outputs as rigorously following a brief “trial” period.</w:t>
      </w:r>
    </w:p>
    <w:p w14:paraId="023C21B9" w14:textId="77777777" w:rsidR="00352FD9" w:rsidRDefault="00352FD9" w:rsidP="002522ED">
      <w:pPr>
        <w:pStyle w:val="ListParagraph"/>
        <w:numPr>
          <w:ilvl w:val="1"/>
          <w:numId w:val="19"/>
        </w:numPr>
      </w:pPr>
      <w:r>
        <w:t>AI products are frequently used for functions beyond their original intended scope by users, resulting in applications to circumstances where the performance of the AI has not been validated or verified.</w:t>
      </w:r>
    </w:p>
    <w:p w14:paraId="57E678BE" w14:textId="5D8A13AB" w:rsidR="00352FD9" w:rsidRDefault="006A459E" w:rsidP="002522ED">
      <w:pPr>
        <w:pStyle w:val="ListParagraph"/>
        <w:numPr>
          <w:ilvl w:val="1"/>
          <w:numId w:val="19"/>
        </w:numPr>
      </w:pPr>
      <w:r>
        <w:t>Developers of d</w:t>
      </w:r>
      <w:r w:rsidR="0014219D">
        <w:t xml:space="preserve">igital scribes claim they are not a medical device as their intended purpose is to summarise clinical practice notes. </w:t>
      </w:r>
      <w:r w:rsidR="00393F9B">
        <w:t>Users report d</w:t>
      </w:r>
      <w:r w:rsidR="00352FD9">
        <w:t>igital scribes frequently propos</w:t>
      </w:r>
      <w:r w:rsidR="00393F9B">
        <w:t>e</w:t>
      </w:r>
      <w:r w:rsidR="00352FD9">
        <w:t xml:space="preserve"> diagnosis or treatment </w:t>
      </w:r>
      <w:r>
        <w:t xml:space="preserve">options </w:t>
      </w:r>
      <w:r w:rsidR="00352FD9">
        <w:t>for patients</w:t>
      </w:r>
      <w:r w:rsidR="007034C8">
        <w:t xml:space="preserve"> beyond the stated diagnosis or treatment a clinician has identified</w:t>
      </w:r>
      <w:r w:rsidR="0014219D">
        <w:t xml:space="preserve"> during </w:t>
      </w:r>
      <w:r w:rsidR="00E14A46">
        <w:t>consultations</w:t>
      </w:r>
      <w:r w:rsidR="007034C8">
        <w:t xml:space="preserve">. This functionality indicates digital scribes </w:t>
      </w:r>
      <w:r w:rsidR="000C1A71">
        <w:t xml:space="preserve">meet the definition of a medical device and require </w:t>
      </w:r>
      <w:r w:rsidR="00B312E5">
        <w:t>pre-market approval and inclusion in the Australian Register of Therapeutic Goods (ARTG</w:t>
      </w:r>
      <w:r w:rsidR="000D1793">
        <w:t>) and</w:t>
      </w:r>
      <w:r w:rsidR="00E14A46">
        <w:t xml:space="preserve"> are potentially being supplied in breach of the Act</w:t>
      </w:r>
      <w:r w:rsidR="00B312E5">
        <w:t>.</w:t>
      </w:r>
    </w:p>
    <w:p w14:paraId="485FD1E5" w14:textId="4327BE4D" w:rsidR="0091216E" w:rsidRDefault="000D1793" w:rsidP="0091216E">
      <w:r>
        <w:t>Beyond healthcare settings, t</w:t>
      </w:r>
      <w:r w:rsidR="0091216E">
        <w:t>he increasing ease of access to technology including complex open-source software and open datasets for free, or relatively low cost, is encouraging exponential growth in the design and development of innovative software products. The use of online platforms and app stores</w:t>
      </w:r>
      <w:r w:rsidR="00F666B7">
        <w:t xml:space="preserve"> also</w:t>
      </w:r>
      <w:r w:rsidR="0091216E">
        <w:t xml:space="preserve"> allows rapid deployment with minimal opportunities for regulatory oversight.</w:t>
      </w:r>
    </w:p>
    <w:p w14:paraId="1F0418C8" w14:textId="32A26565" w:rsidR="0091216E" w:rsidRDefault="0091216E" w:rsidP="0091216E">
      <w:r>
        <w:t xml:space="preserve">The TGA has observed, and stakeholders report, an unwillingness from some developers to provide the accountability, transparency and responsibility necessary for engagement with existing regulation. </w:t>
      </w:r>
      <w:r>
        <w:lastRenderedPageBreak/>
        <w:t xml:space="preserve">Developers have expressed </w:t>
      </w:r>
      <w:r w:rsidR="00006173">
        <w:t xml:space="preserve">views </w:t>
      </w:r>
      <w:r>
        <w:t xml:space="preserve">that healthcare providers should take responsibility for validating and verifying the outputs of the deployed systems they choose to use, while simultaneously limiting access to information about the datasets used to train their product </w:t>
      </w:r>
      <w:r w:rsidR="0045389D">
        <w:t>or to test the</w:t>
      </w:r>
      <w:r>
        <w:t xml:space="preserve"> </w:t>
      </w:r>
      <w:r w:rsidR="003A67E5">
        <w:t xml:space="preserve">model </w:t>
      </w:r>
      <w:r>
        <w:t>used to operate it.</w:t>
      </w:r>
    </w:p>
    <w:p w14:paraId="22295B4E" w14:textId="6F4108DA" w:rsidR="00406215" w:rsidRDefault="0091216E" w:rsidP="00406215">
      <w:r>
        <w:t>It is likely th</w:t>
      </w:r>
      <w:r w:rsidR="00EC01E3">
        <w:t>at th</w:t>
      </w:r>
      <w:r>
        <w:t xml:space="preserve">e time and costs associated with regulatory requirements appear to developers to be disproportionate when compared to the time </w:t>
      </w:r>
      <w:r w:rsidR="00EC01E3">
        <w:t xml:space="preserve">and costs </w:t>
      </w:r>
      <w:r>
        <w:t>associated with the development of a software product. A further cultural issue is the pervading belief among some developers that software products don’t present a meaningful risk to consumers and users, particularly when they are integrated with the provision of healthcare, where a human is in the loop, or where outputs are information only.</w:t>
      </w:r>
      <w:r w:rsidR="00EC01E3">
        <w:t xml:space="preserve"> </w:t>
      </w:r>
    </w:p>
    <w:p w14:paraId="3853BD6C" w14:textId="7A66CBEC" w:rsidR="00994CFA" w:rsidRDefault="00994CFA" w:rsidP="00406215">
      <w:r>
        <w:t>Stakeholders</w:t>
      </w:r>
      <w:r w:rsidR="00EC01E3">
        <w:t>,</w:t>
      </w:r>
      <w:r>
        <w:t xml:space="preserve"> including clinicians and consumers who use these kinds of products</w:t>
      </w:r>
      <w:r w:rsidR="003E6157">
        <w:t>,</w:t>
      </w:r>
      <w:r>
        <w:t xml:space="preserve"> have identified </w:t>
      </w:r>
      <w:r w:rsidR="00C100BB">
        <w:t xml:space="preserve">that </w:t>
      </w:r>
      <w:r>
        <w:t xml:space="preserve">the </w:t>
      </w:r>
      <w:r w:rsidR="002E2E64">
        <w:t xml:space="preserve">absence </w:t>
      </w:r>
      <w:r>
        <w:t>of humans, lack of transparency and failure to engage with existing regulatory requirements represent</w:t>
      </w:r>
      <w:r w:rsidR="003E66E7">
        <w:t xml:space="preserve"> a </w:t>
      </w:r>
      <w:r w:rsidR="00747715">
        <w:t xml:space="preserve">combination </w:t>
      </w:r>
      <w:r w:rsidR="003E66E7">
        <w:t xml:space="preserve">of circumstances that </w:t>
      </w:r>
      <w:r w:rsidR="00006173">
        <w:t xml:space="preserve">may </w:t>
      </w:r>
      <w:r w:rsidR="003E66E7">
        <w:t>lead to patient harm.</w:t>
      </w:r>
      <w:r w:rsidR="006A459E">
        <w:t xml:space="preserve"> In many instances, users are not aware </w:t>
      </w:r>
      <w:r w:rsidR="00E54856">
        <w:t>that AI or machine learning has been used in the development of software, or is used operationally within the clinical workflow.</w:t>
      </w:r>
      <w:r w:rsidR="00E85D38">
        <w:t xml:space="preserve"> </w:t>
      </w:r>
    </w:p>
    <w:tbl>
      <w:tblPr>
        <w:tblStyle w:val="TableGrid"/>
        <w:tblW w:w="0" w:type="auto"/>
        <w:tblLook w:val="04A0" w:firstRow="1" w:lastRow="0" w:firstColumn="1" w:lastColumn="0" w:noHBand="0" w:noVBand="1"/>
      </w:tblPr>
      <w:tblGrid>
        <w:gridCol w:w="9016"/>
      </w:tblGrid>
      <w:tr w:rsidR="006A4C47" w14:paraId="06F82D7C" w14:textId="77777777" w:rsidTr="00F26C93">
        <w:tc>
          <w:tcPr>
            <w:tcW w:w="9016" w:type="dxa"/>
            <w:shd w:val="clear" w:color="auto" w:fill="D2EDFF" w:themeFill="text1" w:themeFillTint="1A"/>
          </w:tcPr>
          <w:p w14:paraId="2823AB0C" w14:textId="4D495342" w:rsidR="006A4C47" w:rsidRPr="00CB1E36" w:rsidRDefault="006A4C47" w:rsidP="00F26C93">
            <w:pPr>
              <w:pStyle w:val="Callout"/>
              <w:spacing w:after="120"/>
              <w:rPr>
                <w:b/>
                <w:bCs/>
                <w:sz w:val="20"/>
                <w:szCs w:val="20"/>
              </w:rPr>
            </w:pPr>
            <w:r w:rsidRPr="00CB1E36">
              <w:rPr>
                <w:b/>
                <w:bCs/>
                <w:sz w:val="20"/>
                <w:szCs w:val="20"/>
              </w:rPr>
              <w:t>Finding</w:t>
            </w:r>
            <w:r w:rsidR="00006173">
              <w:rPr>
                <w:b/>
                <w:bCs/>
                <w:sz w:val="20"/>
                <w:szCs w:val="20"/>
              </w:rPr>
              <w:t xml:space="preserve"> 4</w:t>
            </w:r>
          </w:p>
          <w:p w14:paraId="725FD7C9" w14:textId="560ABB4B" w:rsidR="006A4C47" w:rsidRPr="00EC01E3" w:rsidRDefault="006A4C47" w:rsidP="006A4C47">
            <w:pPr>
              <w:pStyle w:val="Callout"/>
              <w:rPr>
                <w:sz w:val="20"/>
                <w:szCs w:val="20"/>
              </w:rPr>
            </w:pPr>
            <w:r w:rsidRPr="00EC01E3">
              <w:rPr>
                <w:sz w:val="20"/>
                <w:szCs w:val="20"/>
              </w:rPr>
              <w:t>Targeted action is needed to improve compliance including:</w:t>
            </w:r>
          </w:p>
          <w:p w14:paraId="61E6235E" w14:textId="7CE62554" w:rsidR="006A4C47" w:rsidRPr="00EC01E3" w:rsidRDefault="003E66E7" w:rsidP="00D56E25">
            <w:pPr>
              <w:pStyle w:val="ListParagraph"/>
              <w:rPr>
                <w:sz w:val="20"/>
                <w:szCs w:val="20"/>
              </w:rPr>
            </w:pPr>
            <w:r w:rsidRPr="00EC01E3">
              <w:rPr>
                <w:sz w:val="20"/>
                <w:szCs w:val="20"/>
              </w:rPr>
              <w:t xml:space="preserve">ongoing </w:t>
            </w:r>
            <w:r w:rsidR="00561083" w:rsidRPr="00EC01E3">
              <w:rPr>
                <w:sz w:val="20"/>
                <w:szCs w:val="20"/>
              </w:rPr>
              <w:t xml:space="preserve">direct </w:t>
            </w:r>
            <w:r w:rsidRPr="00EC01E3">
              <w:rPr>
                <w:sz w:val="20"/>
                <w:szCs w:val="20"/>
              </w:rPr>
              <w:t>and improved e</w:t>
            </w:r>
            <w:r w:rsidR="006A4C47" w:rsidRPr="00EC01E3">
              <w:rPr>
                <w:sz w:val="20"/>
                <w:szCs w:val="20"/>
              </w:rPr>
              <w:t>ngagement with the software sector for educative purposes</w:t>
            </w:r>
            <w:r w:rsidR="0091216E" w:rsidRPr="00EC01E3">
              <w:rPr>
                <w:sz w:val="20"/>
                <w:szCs w:val="20"/>
              </w:rPr>
              <w:t xml:space="preserve"> </w:t>
            </w:r>
          </w:p>
          <w:p w14:paraId="3128324C" w14:textId="001EF0A9" w:rsidR="006A4C47" w:rsidRPr="00EC01E3" w:rsidRDefault="006A4C47" w:rsidP="00D56E25">
            <w:pPr>
              <w:pStyle w:val="ListParagraph"/>
              <w:rPr>
                <w:sz w:val="20"/>
                <w:szCs w:val="20"/>
              </w:rPr>
            </w:pPr>
            <w:r w:rsidRPr="00EC01E3">
              <w:rPr>
                <w:sz w:val="20"/>
                <w:szCs w:val="20"/>
              </w:rPr>
              <w:t>development of</w:t>
            </w:r>
            <w:r w:rsidR="00006173">
              <w:rPr>
                <w:sz w:val="20"/>
                <w:szCs w:val="20"/>
              </w:rPr>
              <w:t xml:space="preserve"> additional</w:t>
            </w:r>
            <w:r w:rsidRPr="00EC01E3">
              <w:rPr>
                <w:sz w:val="20"/>
                <w:szCs w:val="20"/>
              </w:rPr>
              <w:t xml:space="preserve"> </w:t>
            </w:r>
            <w:hyperlink w:anchor="_Guidance_and_information" w:history="1">
              <w:r w:rsidR="003E66E7" w:rsidRPr="00EC01E3">
                <w:rPr>
                  <w:rStyle w:val="Hyperlink"/>
                  <w:rFonts w:asciiTheme="minorHAnsi" w:hAnsiTheme="minorHAnsi"/>
                  <w:sz w:val="20"/>
                  <w:szCs w:val="20"/>
                </w:rPr>
                <w:t>guidance</w:t>
              </w:r>
            </w:hyperlink>
            <w:r w:rsidRPr="00EC01E3">
              <w:rPr>
                <w:sz w:val="20"/>
                <w:szCs w:val="20"/>
              </w:rPr>
              <w:t xml:space="preserve"> and information resources to support the software sector with understanding their regulatory obligations</w:t>
            </w:r>
            <w:r w:rsidR="00413D3E">
              <w:rPr>
                <w:sz w:val="20"/>
                <w:szCs w:val="20"/>
              </w:rPr>
              <w:t>, and</w:t>
            </w:r>
          </w:p>
          <w:p w14:paraId="71B7D55E" w14:textId="2DD72160" w:rsidR="006A4C47" w:rsidRPr="00EC01E3" w:rsidRDefault="006A4C47" w:rsidP="00D56E25">
            <w:pPr>
              <w:pStyle w:val="ListParagraph"/>
              <w:rPr>
                <w:sz w:val="20"/>
                <w:szCs w:val="20"/>
              </w:rPr>
            </w:pPr>
            <w:r w:rsidRPr="00EC01E3">
              <w:rPr>
                <w:sz w:val="20"/>
                <w:szCs w:val="20"/>
              </w:rPr>
              <w:t>compliance action to remove unapproved medical devices from the Australian market.</w:t>
            </w:r>
          </w:p>
          <w:p w14:paraId="673DC2CC" w14:textId="1B700898" w:rsidR="006A4C47" w:rsidRPr="00EC01E3" w:rsidRDefault="00006173" w:rsidP="006A4C47">
            <w:pPr>
              <w:pStyle w:val="Callout"/>
              <w:spacing w:after="120"/>
              <w:rPr>
                <w:sz w:val="20"/>
                <w:szCs w:val="20"/>
              </w:rPr>
            </w:pPr>
            <w:r>
              <w:rPr>
                <w:sz w:val="20"/>
                <w:szCs w:val="20"/>
              </w:rPr>
              <w:t xml:space="preserve">A </w:t>
            </w:r>
            <w:r w:rsidR="006A4C47" w:rsidRPr="00EC01E3">
              <w:rPr>
                <w:sz w:val="20"/>
                <w:szCs w:val="20"/>
              </w:rPr>
              <w:t xml:space="preserve">review of digital scribes </w:t>
            </w:r>
            <w:r w:rsidR="0091216E" w:rsidRPr="00EC01E3">
              <w:rPr>
                <w:sz w:val="20"/>
                <w:szCs w:val="20"/>
              </w:rPr>
              <w:t xml:space="preserve">is </w:t>
            </w:r>
            <w:r w:rsidR="00561083" w:rsidRPr="00EC01E3">
              <w:rPr>
                <w:sz w:val="20"/>
                <w:szCs w:val="20"/>
              </w:rPr>
              <w:t>needed</w:t>
            </w:r>
            <w:r w:rsidR="0091216E" w:rsidRPr="00EC01E3">
              <w:rPr>
                <w:sz w:val="20"/>
                <w:szCs w:val="20"/>
              </w:rPr>
              <w:t xml:space="preserve"> </w:t>
            </w:r>
            <w:r w:rsidR="006A4C47" w:rsidRPr="00EC01E3">
              <w:rPr>
                <w:sz w:val="20"/>
                <w:szCs w:val="20"/>
              </w:rPr>
              <w:t xml:space="preserve">to determine whether they </w:t>
            </w:r>
            <w:r w:rsidR="00561083" w:rsidRPr="00EC01E3">
              <w:rPr>
                <w:sz w:val="20"/>
                <w:szCs w:val="20"/>
              </w:rPr>
              <w:t>are medical device</w:t>
            </w:r>
            <w:r w:rsidR="004035E1">
              <w:rPr>
                <w:sz w:val="20"/>
                <w:szCs w:val="20"/>
              </w:rPr>
              <w:t>s</w:t>
            </w:r>
            <w:r w:rsidR="00561083" w:rsidRPr="00EC01E3">
              <w:rPr>
                <w:sz w:val="20"/>
                <w:szCs w:val="20"/>
              </w:rPr>
              <w:t xml:space="preserve"> and, if so, </w:t>
            </w:r>
            <w:r w:rsidR="004035E1">
              <w:rPr>
                <w:sz w:val="20"/>
                <w:szCs w:val="20"/>
              </w:rPr>
              <w:t>whether</w:t>
            </w:r>
            <w:r w:rsidR="004035E1" w:rsidRPr="00EC01E3">
              <w:rPr>
                <w:sz w:val="20"/>
                <w:szCs w:val="20"/>
              </w:rPr>
              <w:t xml:space="preserve"> </w:t>
            </w:r>
            <w:r w:rsidR="00561083" w:rsidRPr="00EC01E3">
              <w:rPr>
                <w:sz w:val="20"/>
                <w:szCs w:val="20"/>
              </w:rPr>
              <w:t>they comply with existing regulatory requirements.</w:t>
            </w:r>
          </w:p>
          <w:p w14:paraId="7B65AF04" w14:textId="340675CD" w:rsidR="00F85D48" w:rsidRPr="00367EA1" w:rsidRDefault="00F85D48" w:rsidP="006A4C47">
            <w:pPr>
              <w:pStyle w:val="Callout"/>
              <w:spacing w:after="120"/>
              <w:rPr>
                <w:sz w:val="20"/>
                <w:szCs w:val="20"/>
              </w:rPr>
            </w:pPr>
            <w:r w:rsidRPr="00EC01E3">
              <w:rPr>
                <w:sz w:val="20"/>
                <w:szCs w:val="20"/>
              </w:rPr>
              <w:t xml:space="preserve">Continued collaboration </w:t>
            </w:r>
            <w:r w:rsidR="005D6D44">
              <w:rPr>
                <w:sz w:val="20"/>
                <w:szCs w:val="20"/>
              </w:rPr>
              <w:t xml:space="preserve">should occur </w:t>
            </w:r>
            <w:r w:rsidRPr="00EC01E3">
              <w:rPr>
                <w:sz w:val="20"/>
                <w:szCs w:val="20"/>
              </w:rPr>
              <w:t xml:space="preserve">with both Ahpra and the Australian Commission </w:t>
            </w:r>
            <w:r w:rsidR="004035E1">
              <w:rPr>
                <w:sz w:val="20"/>
                <w:szCs w:val="20"/>
              </w:rPr>
              <w:t>on</w:t>
            </w:r>
            <w:r w:rsidR="004035E1" w:rsidRPr="00EC01E3">
              <w:rPr>
                <w:sz w:val="20"/>
                <w:szCs w:val="20"/>
              </w:rPr>
              <w:t xml:space="preserve"> </w:t>
            </w:r>
            <w:r w:rsidRPr="00EC01E3">
              <w:rPr>
                <w:sz w:val="20"/>
                <w:szCs w:val="20"/>
              </w:rPr>
              <w:t xml:space="preserve">Safety and Quality </w:t>
            </w:r>
            <w:r w:rsidR="004035E1">
              <w:rPr>
                <w:sz w:val="20"/>
                <w:szCs w:val="20"/>
              </w:rPr>
              <w:t xml:space="preserve">in Health Care </w:t>
            </w:r>
            <w:r w:rsidRPr="00EC01E3">
              <w:rPr>
                <w:sz w:val="20"/>
                <w:szCs w:val="20"/>
              </w:rPr>
              <w:t>to support strengthening of informed consent practices.</w:t>
            </w:r>
          </w:p>
        </w:tc>
      </w:tr>
    </w:tbl>
    <w:p w14:paraId="43FF1F86" w14:textId="34276619" w:rsidR="003804FC" w:rsidRDefault="00350190" w:rsidP="00350190">
      <w:pPr>
        <w:pStyle w:val="Heading3"/>
      </w:pPr>
      <w:bookmarkStart w:id="16" w:name="_Regulations"/>
      <w:bookmarkStart w:id="17" w:name="_Toc184721105"/>
      <w:bookmarkEnd w:id="16"/>
      <w:r>
        <w:t>Regulations</w:t>
      </w:r>
      <w:bookmarkEnd w:id="17"/>
    </w:p>
    <w:p w14:paraId="36C90A4B" w14:textId="2A245F9B" w:rsidR="007C73F2" w:rsidRDefault="00894231" w:rsidP="00894231">
      <w:pPr>
        <w:shd w:val="clear" w:color="auto" w:fill="FFFFFF"/>
        <w:spacing w:beforeAutospacing="1" w:after="0" w:afterAutospacing="1" w:line="240" w:lineRule="auto"/>
      </w:pPr>
      <w:r w:rsidRPr="00655BE3">
        <w:t>Where a software product meets the definition of a medical device</w:t>
      </w:r>
      <w:r w:rsidR="00B63FF7">
        <w:t>,</w:t>
      </w:r>
      <w:r w:rsidRPr="00655BE3">
        <w:t xml:space="preserve"> it will be subject to both the Act and </w:t>
      </w:r>
      <w:r w:rsidR="00D07CC2" w:rsidRPr="00655BE3">
        <w:t xml:space="preserve">specific </w:t>
      </w:r>
      <w:r w:rsidR="00D07CC2" w:rsidRPr="00F055C6">
        <w:rPr>
          <w:rFonts w:asciiTheme="minorHAnsi" w:hAnsiTheme="minorHAnsi" w:cstheme="minorHAnsi"/>
        </w:rPr>
        <w:t xml:space="preserve">requirements in </w:t>
      </w:r>
      <w:r w:rsidRPr="00F055C6">
        <w:rPr>
          <w:rFonts w:asciiTheme="minorHAnsi" w:hAnsiTheme="minorHAnsi" w:cstheme="minorHAnsi"/>
        </w:rPr>
        <w:t xml:space="preserve">the </w:t>
      </w:r>
      <w:hyperlink r:id="rId17" w:history="1">
        <w:r w:rsidR="007C73F2" w:rsidRPr="00F055C6">
          <w:rPr>
            <w:rStyle w:val="Hyperlink"/>
            <w:rFonts w:asciiTheme="minorHAnsi" w:hAnsiTheme="minorHAnsi" w:cstheme="minorHAnsi"/>
            <w:color w:val="006FB0"/>
          </w:rPr>
          <w:t>Therapeutic Goods (Medical Devices) Regulations 2002</w:t>
        </w:r>
      </w:hyperlink>
      <w:r w:rsidR="00655BE3" w:rsidRPr="00F055C6">
        <w:rPr>
          <w:rFonts w:asciiTheme="minorHAnsi" w:hAnsiTheme="minorHAnsi" w:cstheme="minorHAnsi"/>
        </w:rPr>
        <w:t xml:space="preserve"> (the </w:t>
      </w:r>
      <w:r w:rsidR="00655BE3">
        <w:t>Regulations)</w:t>
      </w:r>
      <w:r>
        <w:t xml:space="preserve">. </w:t>
      </w:r>
      <w:r w:rsidR="00655BE3">
        <w:t>Requirements for medical devices in the Regulations include:</w:t>
      </w:r>
    </w:p>
    <w:p w14:paraId="5F3C07FC" w14:textId="5AA6EEC0" w:rsidR="00982E06" w:rsidRDefault="00B63FF7" w:rsidP="00D56E25">
      <w:pPr>
        <w:pStyle w:val="ListParagraph"/>
      </w:pPr>
      <w:r>
        <w:t>s</w:t>
      </w:r>
      <w:r w:rsidR="00C700EF">
        <w:t>afety and performance requirements for medical devices, known as</w:t>
      </w:r>
      <w:r w:rsidR="00B97A04">
        <w:t xml:space="preserve"> the</w:t>
      </w:r>
      <w:r w:rsidR="00C700EF">
        <w:t xml:space="preserve"> “</w:t>
      </w:r>
      <w:hyperlink w:anchor="_Principles_based_regulation" w:history="1">
        <w:r w:rsidR="000E68F9" w:rsidRPr="00C700EF">
          <w:rPr>
            <w:rStyle w:val="Hyperlink"/>
            <w:rFonts w:asciiTheme="minorHAnsi" w:hAnsiTheme="minorHAnsi"/>
          </w:rPr>
          <w:t>essential principles</w:t>
        </w:r>
      </w:hyperlink>
      <w:r w:rsidR="00C700EF">
        <w:t>”</w:t>
      </w:r>
    </w:p>
    <w:p w14:paraId="0F7AC4BE" w14:textId="2406ECFC" w:rsidR="007D3C53" w:rsidRDefault="00B63FF7" w:rsidP="00D56E25">
      <w:pPr>
        <w:pStyle w:val="ListParagraph"/>
      </w:pPr>
      <w:r>
        <w:t>c</w:t>
      </w:r>
      <w:r w:rsidR="002C0E2F">
        <w:t>onformity assessment procedures</w:t>
      </w:r>
      <w:r w:rsidR="00D510D6">
        <w:t>-</w:t>
      </w:r>
      <w:r w:rsidR="0035658F">
        <w:t xml:space="preserve"> </w:t>
      </w:r>
      <w:r w:rsidR="00702286">
        <w:t>processes</w:t>
      </w:r>
      <w:r w:rsidR="0035658F">
        <w:t xml:space="preserve"> </w:t>
      </w:r>
      <w:r w:rsidR="00702286">
        <w:t xml:space="preserve">for </w:t>
      </w:r>
      <w:r w:rsidR="00702286" w:rsidRPr="00702286">
        <w:t>the systematic and ongoing examination of evidence and procedures to ensure that medical device</w:t>
      </w:r>
      <w:r w:rsidR="00D510D6">
        <w:t xml:space="preserve">s, </w:t>
      </w:r>
      <w:r w:rsidR="00702286" w:rsidRPr="00702286">
        <w:t>including IVD medical devices</w:t>
      </w:r>
      <w:r w:rsidR="00D510D6">
        <w:t xml:space="preserve">, </w:t>
      </w:r>
      <w:r w:rsidR="00702286">
        <w:t>compl</w:t>
      </w:r>
      <w:r w:rsidR="004C264C">
        <w:t>y</w:t>
      </w:r>
      <w:r w:rsidR="00702286">
        <w:t xml:space="preserve"> with the </w:t>
      </w:r>
      <w:hyperlink w:anchor="_Principles_based_regulation" w:history="1">
        <w:r w:rsidR="00702286" w:rsidRPr="00702286">
          <w:rPr>
            <w:rStyle w:val="Hyperlink"/>
            <w:rFonts w:asciiTheme="minorHAnsi" w:hAnsiTheme="minorHAnsi"/>
          </w:rPr>
          <w:t>essential principles</w:t>
        </w:r>
      </w:hyperlink>
      <w:r w:rsidR="004C264C">
        <w:t>, and</w:t>
      </w:r>
    </w:p>
    <w:p w14:paraId="3E25D9D2" w14:textId="38BE350C" w:rsidR="00702286" w:rsidRDefault="004C264C" w:rsidP="00D56E25">
      <w:pPr>
        <w:pStyle w:val="ListParagraph"/>
      </w:pPr>
      <w:r>
        <w:t>r</w:t>
      </w:r>
      <w:r w:rsidR="0035658F">
        <w:t xml:space="preserve">isk-based </w:t>
      </w:r>
      <w:hyperlink w:anchor="_Risk_based_classification" w:history="1">
        <w:r w:rsidR="0035658F" w:rsidRPr="00F65EFD">
          <w:rPr>
            <w:rStyle w:val="Hyperlink"/>
            <w:rFonts w:asciiTheme="minorHAnsi" w:hAnsiTheme="minorHAnsi"/>
          </w:rPr>
          <w:t>classification rules</w:t>
        </w:r>
      </w:hyperlink>
      <w:r w:rsidR="0035658F">
        <w:t xml:space="preserve"> to determine which conformity assessment procedures must be undertaken</w:t>
      </w:r>
      <w:r w:rsidR="00F65EFD">
        <w:t>.</w:t>
      </w:r>
    </w:p>
    <w:p w14:paraId="42A927AB" w14:textId="77777777" w:rsidR="00B949FC" w:rsidRDefault="00B949FC" w:rsidP="00B949FC">
      <w:pPr>
        <w:pStyle w:val="Heading4"/>
      </w:pPr>
      <w:bookmarkStart w:id="18" w:name="_Toc184721106"/>
      <w:r>
        <w:t>Classification rules</w:t>
      </w:r>
      <w:bookmarkEnd w:id="18"/>
    </w:p>
    <w:p w14:paraId="22D8DEEF" w14:textId="65F8FB58" w:rsidR="00EE4AB8" w:rsidRPr="00504A67" w:rsidRDefault="00785085" w:rsidP="00B949FC">
      <w:r w:rsidRPr="00504A67">
        <w:t>The TGA</w:t>
      </w:r>
      <w:r w:rsidR="00006173">
        <w:t xml:space="preserve">, like many other regulators around the world, </w:t>
      </w:r>
      <w:r w:rsidRPr="00504A67">
        <w:t>uses a risk-based approach to the regulation of medical devices</w:t>
      </w:r>
      <w:r w:rsidR="00006173">
        <w:t>. W</w:t>
      </w:r>
      <w:r w:rsidRPr="00504A67">
        <w:t>hat the device is intended for, who it is intended for and how it operates contribute to the overall risk profile of a device</w:t>
      </w:r>
      <w:r w:rsidR="00EE4AB8" w:rsidRPr="00504A67">
        <w:t>. The</w:t>
      </w:r>
      <w:r w:rsidR="00F25524" w:rsidRPr="00504A67">
        <w:t xml:space="preserve"> </w:t>
      </w:r>
      <w:hyperlink w:anchor="_Risk_based_classification" w:history="1">
        <w:r w:rsidR="0036136F" w:rsidRPr="00504A67">
          <w:rPr>
            <w:rStyle w:val="Hyperlink"/>
          </w:rPr>
          <w:t>classification rules</w:t>
        </w:r>
      </w:hyperlink>
      <w:r w:rsidR="0036136F" w:rsidRPr="00504A67">
        <w:t xml:space="preserve"> </w:t>
      </w:r>
      <w:r w:rsidR="00EE4AB8" w:rsidRPr="00504A67">
        <w:t>are the legislative basis for determining the level of pre-market scrutiny applied to a medical device based on these risk-based factors.</w:t>
      </w:r>
    </w:p>
    <w:p w14:paraId="071FDA4F" w14:textId="38BF6031" w:rsidR="0036136F" w:rsidRDefault="00F25524" w:rsidP="00B949FC">
      <w:r w:rsidRPr="00504A67">
        <w:t xml:space="preserve">We asked stakeholders whether the current framework for classification </w:t>
      </w:r>
      <w:r w:rsidR="00006173">
        <w:t>is</w:t>
      </w:r>
      <w:r w:rsidRPr="00504A67">
        <w:t xml:space="preserve"> appropriate for the increasing use of AI models and systems</w:t>
      </w:r>
      <w:r w:rsidR="008C3EE0">
        <w:t>,</w:t>
      </w:r>
      <w:r w:rsidRPr="00504A67">
        <w:t xml:space="preserve"> particular</w:t>
      </w:r>
      <w:r w:rsidR="008C3EE0">
        <w:t>ly</w:t>
      </w:r>
      <w:r w:rsidRPr="00504A67">
        <w:t xml:space="preserve"> </w:t>
      </w:r>
      <w:r w:rsidR="00006173">
        <w:t>w</w:t>
      </w:r>
      <w:r w:rsidRPr="00504A67">
        <w:t xml:space="preserve">hether the current classification rules for AI </w:t>
      </w:r>
      <w:r w:rsidRPr="00504A67">
        <w:lastRenderedPageBreak/>
        <w:t>models and systems that make a prediction or prognosis remain appropriate</w:t>
      </w:r>
      <w:r w:rsidR="0030349A">
        <w:t>. Currently t</w:t>
      </w:r>
      <w:r w:rsidRPr="00504A67">
        <w:t xml:space="preserve">hese kinds of devices are classified </w:t>
      </w:r>
      <w:r w:rsidR="0030349A">
        <w:t xml:space="preserve">as low risk, and do not require a </w:t>
      </w:r>
      <w:r w:rsidRPr="00504A67">
        <w:t>pre-market assessment by an independent third party.</w:t>
      </w:r>
    </w:p>
    <w:p w14:paraId="6E639479" w14:textId="20DA1790" w:rsidR="00B949FC" w:rsidRDefault="00B97A04" w:rsidP="00B949FC">
      <w:r>
        <w:t>Stakeholder</w:t>
      </w:r>
      <w:r w:rsidR="0030349A">
        <w:t xml:space="preserve"> feedback indicated that </w:t>
      </w:r>
      <w:r>
        <w:t xml:space="preserve">the </w:t>
      </w:r>
      <w:r w:rsidR="00B949FC">
        <w:t xml:space="preserve">current </w:t>
      </w:r>
      <w:hyperlink w:anchor="_Risk_based_classification" w:history="1">
        <w:r w:rsidR="00B949FC" w:rsidRPr="00546DBB">
          <w:rPr>
            <w:rStyle w:val="Hyperlink"/>
          </w:rPr>
          <w:t>classification rules</w:t>
        </w:r>
      </w:hyperlink>
      <w:r w:rsidR="00B949FC">
        <w:t xml:space="preserve"> are largely appropriate for use in devices that are, or include, an AI model or system. </w:t>
      </w:r>
      <w:r w:rsidR="0030349A">
        <w:t>However, t</w:t>
      </w:r>
      <w:r w:rsidR="00B949FC">
        <w:t xml:space="preserve">he increasing complexity of devices used to provide a prognosis or prediction </w:t>
      </w:r>
      <w:r w:rsidR="00F25524">
        <w:t>wa</w:t>
      </w:r>
      <w:r w:rsidR="00B949FC">
        <w:t xml:space="preserve">s </w:t>
      </w:r>
      <w:r w:rsidR="0030349A">
        <w:t>raised</w:t>
      </w:r>
      <w:r w:rsidR="00B949FC">
        <w:t xml:space="preserve">, </w:t>
      </w:r>
      <w:r w:rsidR="0030349A">
        <w:t>as</w:t>
      </w:r>
      <w:r w:rsidR="00B949FC">
        <w:t xml:space="preserve"> these kinds of devices are increasingly used to determine whether a patient will receive a treatment or an intervention. Currently these kinds of devices are classified as low risk, and do not require a third-party assessment before they are deployed</w:t>
      </w:r>
      <w:r w:rsidR="0030349A">
        <w:t xml:space="preserve">. Some stakeholders indicated that this </w:t>
      </w:r>
      <w:r w:rsidR="00B949FC">
        <w:t xml:space="preserve">may no longer be appropriate as reliance on their outputs for determining patient care </w:t>
      </w:r>
      <w:r w:rsidR="0030349A">
        <w:t xml:space="preserve">is likely to </w:t>
      </w:r>
      <w:r w:rsidR="00B949FC">
        <w:t>increase in the future.</w:t>
      </w:r>
    </w:p>
    <w:p w14:paraId="7D43DF7D" w14:textId="2AD8FF3B" w:rsidR="00B949FC" w:rsidRDefault="00B949FC" w:rsidP="00B949FC">
      <w:r>
        <w:t xml:space="preserve">While consideration may be needed for the reclassification of these devices, stakeholders recommended </w:t>
      </w:r>
      <w:r w:rsidR="0030349A">
        <w:t xml:space="preserve">a </w:t>
      </w:r>
      <w:r>
        <w:t>future review</w:t>
      </w:r>
      <w:r w:rsidR="00972AEF">
        <w:t xml:space="preserve"> take place</w:t>
      </w:r>
      <w:r>
        <w:t>:</w:t>
      </w:r>
    </w:p>
    <w:p w14:paraId="2FE1B03A" w14:textId="3E5D4CCB" w:rsidR="00B949FC" w:rsidRDefault="00B949FC" w:rsidP="00D56E25">
      <w:pPr>
        <w:pStyle w:val="ListParagraph"/>
      </w:pPr>
      <w:r>
        <w:t>when more information about these kinds of devices and their use is available</w:t>
      </w:r>
      <w:r w:rsidR="00702019">
        <w:t>, and</w:t>
      </w:r>
    </w:p>
    <w:p w14:paraId="0032779E" w14:textId="77777777" w:rsidR="00B949FC" w:rsidRDefault="00B949FC" w:rsidP="00D56E25">
      <w:pPr>
        <w:pStyle w:val="ListParagraph"/>
      </w:pPr>
      <w:r>
        <w:t>at a time when other jurisdictions are considering a similar classification rule change.</w:t>
      </w:r>
    </w:p>
    <w:p w14:paraId="2B239402" w14:textId="690CA6BD" w:rsidR="00B949FC" w:rsidRDefault="00972AEF" w:rsidP="00B949FC">
      <w:r>
        <w:t>Should specific rules be introduced for prediction and prognosis, c</w:t>
      </w:r>
      <w:r w:rsidR="00B949FC">
        <w:t xml:space="preserve">hanges should </w:t>
      </w:r>
      <w:r w:rsidR="00C35F84">
        <w:t xml:space="preserve">align with the approach taken with the </w:t>
      </w:r>
      <w:r w:rsidR="00B949FC">
        <w:t xml:space="preserve">current classification rules </w:t>
      </w:r>
      <w:r w:rsidR="001012EF">
        <w:t xml:space="preserve">where classification depends on </w:t>
      </w:r>
      <w:r w:rsidR="00B949FC">
        <w:t>the seriousness of the condition and whether the device is intended for use by a clinician or consumer.</w:t>
      </w:r>
    </w:p>
    <w:tbl>
      <w:tblPr>
        <w:tblStyle w:val="TableGrid"/>
        <w:tblW w:w="0" w:type="auto"/>
        <w:tblLook w:val="04A0" w:firstRow="1" w:lastRow="0" w:firstColumn="1" w:lastColumn="0" w:noHBand="0" w:noVBand="1"/>
      </w:tblPr>
      <w:tblGrid>
        <w:gridCol w:w="9016"/>
      </w:tblGrid>
      <w:tr w:rsidR="00B949FC" w14:paraId="212148DB" w14:textId="77777777" w:rsidTr="00F26C93">
        <w:tc>
          <w:tcPr>
            <w:tcW w:w="9016" w:type="dxa"/>
            <w:shd w:val="clear" w:color="auto" w:fill="D2EDFF" w:themeFill="text1" w:themeFillTint="1A"/>
          </w:tcPr>
          <w:p w14:paraId="0EF1DFA1" w14:textId="40ABB817" w:rsidR="00B949FC" w:rsidRPr="00CB1E36" w:rsidRDefault="00B949FC" w:rsidP="00F26C93">
            <w:pPr>
              <w:pStyle w:val="Callout"/>
              <w:spacing w:after="120"/>
              <w:rPr>
                <w:b/>
                <w:bCs/>
                <w:sz w:val="20"/>
                <w:szCs w:val="20"/>
              </w:rPr>
            </w:pPr>
            <w:r w:rsidRPr="00CB1E36">
              <w:rPr>
                <w:b/>
                <w:bCs/>
                <w:sz w:val="20"/>
                <w:szCs w:val="20"/>
              </w:rPr>
              <w:t>Finding</w:t>
            </w:r>
            <w:r w:rsidR="0030349A">
              <w:rPr>
                <w:b/>
                <w:bCs/>
                <w:sz w:val="20"/>
                <w:szCs w:val="20"/>
              </w:rPr>
              <w:t xml:space="preserve"> 5</w:t>
            </w:r>
          </w:p>
          <w:p w14:paraId="2044CE7E" w14:textId="1C519006" w:rsidR="00DD693E" w:rsidRPr="00CB1E36" w:rsidRDefault="005D6D44" w:rsidP="00F26C93">
            <w:pPr>
              <w:pStyle w:val="Callout"/>
              <w:spacing w:after="120"/>
              <w:rPr>
                <w:sz w:val="20"/>
                <w:szCs w:val="20"/>
              </w:rPr>
            </w:pPr>
            <w:r>
              <w:rPr>
                <w:sz w:val="20"/>
                <w:szCs w:val="20"/>
              </w:rPr>
              <w:t>A f</w:t>
            </w:r>
            <w:r w:rsidR="00DD693E" w:rsidRPr="00CB1E36">
              <w:rPr>
                <w:sz w:val="20"/>
                <w:szCs w:val="20"/>
              </w:rPr>
              <w:t>uture r</w:t>
            </w:r>
            <w:r w:rsidR="001012EF" w:rsidRPr="00CB1E36">
              <w:rPr>
                <w:sz w:val="20"/>
                <w:szCs w:val="20"/>
              </w:rPr>
              <w:t>eview of the existing classification rules is needed</w:t>
            </w:r>
            <w:r w:rsidR="00B97A04" w:rsidRPr="00CB1E36">
              <w:rPr>
                <w:sz w:val="20"/>
                <w:szCs w:val="20"/>
              </w:rPr>
              <w:t xml:space="preserve"> </w:t>
            </w:r>
            <w:r>
              <w:rPr>
                <w:sz w:val="20"/>
                <w:szCs w:val="20"/>
              </w:rPr>
              <w:t xml:space="preserve">for </w:t>
            </w:r>
            <w:r w:rsidR="00B97A04" w:rsidRPr="00CB1E36">
              <w:rPr>
                <w:sz w:val="20"/>
                <w:szCs w:val="20"/>
              </w:rPr>
              <w:t>predictive or prognostic functionality</w:t>
            </w:r>
            <w:r w:rsidR="00DD693E" w:rsidRPr="00CB1E36">
              <w:rPr>
                <w:sz w:val="20"/>
                <w:szCs w:val="20"/>
              </w:rPr>
              <w:t>.</w:t>
            </w:r>
          </w:p>
          <w:p w14:paraId="701CEF9D" w14:textId="05292801" w:rsidR="001012EF" w:rsidRPr="00DD693E" w:rsidRDefault="00DD693E" w:rsidP="00F26C93">
            <w:pPr>
              <w:pStyle w:val="Callout"/>
              <w:spacing w:after="120"/>
              <w:rPr>
                <w:sz w:val="20"/>
                <w:szCs w:val="20"/>
              </w:rPr>
            </w:pPr>
            <w:r w:rsidRPr="00CB1E36">
              <w:rPr>
                <w:sz w:val="20"/>
                <w:szCs w:val="20"/>
              </w:rPr>
              <w:t>N</w:t>
            </w:r>
            <w:r w:rsidR="00B949FC" w:rsidRPr="00CB1E36">
              <w:rPr>
                <w:sz w:val="20"/>
                <w:szCs w:val="20"/>
              </w:rPr>
              <w:t xml:space="preserve">o changes should be made to the existing classification rules </w:t>
            </w:r>
            <w:r w:rsidR="001012EF" w:rsidRPr="00CB1E36">
              <w:rPr>
                <w:sz w:val="20"/>
                <w:szCs w:val="20"/>
              </w:rPr>
              <w:t>at this time</w:t>
            </w:r>
            <w:r w:rsidR="00B949FC" w:rsidRPr="00CB1E36">
              <w:rPr>
                <w:sz w:val="20"/>
                <w:szCs w:val="20"/>
              </w:rPr>
              <w:t>.</w:t>
            </w:r>
          </w:p>
        </w:tc>
      </w:tr>
    </w:tbl>
    <w:p w14:paraId="14F4C5EA" w14:textId="77777777" w:rsidR="00B949FC" w:rsidRDefault="00B949FC" w:rsidP="00B949FC">
      <w:pPr>
        <w:pStyle w:val="Heading4"/>
      </w:pPr>
      <w:bookmarkStart w:id="19" w:name="_Toc184721107"/>
      <w:r>
        <w:t>Essential principles</w:t>
      </w:r>
      <w:bookmarkEnd w:id="19"/>
    </w:p>
    <w:p w14:paraId="0E2BF8AA" w14:textId="219827BE" w:rsidR="0030349A" w:rsidRDefault="00B53A96" w:rsidP="00B949FC">
      <w:r w:rsidRPr="00504A67">
        <w:t xml:space="preserve">All </w:t>
      </w:r>
      <w:r w:rsidR="0030349A">
        <w:t xml:space="preserve">manufacturers of </w:t>
      </w:r>
      <w:r w:rsidRPr="00504A67">
        <w:t>m</w:t>
      </w:r>
      <w:r w:rsidR="00F25524" w:rsidRPr="00504A67">
        <w:t xml:space="preserve">edical devices </w:t>
      </w:r>
      <w:r w:rsidRPr="00504A67">
        <w:t>must hold evidence demonstrating compliance with legislative requirements for safety and performance</w:t>
      </w:r>
      <w:r w:rsidR="00742C69">
        <w:t>,</w:t>
      </w:r>
      <w:r w:rsidRPr="00504A67">
        <w:t xml:space="preserve"> known as essential principles (EPs). The principles are technology-agnostic</w:t>
      </w:r>
      <w:r w:rsidR="00742C69">
        <w:t xml:space="preserve"> and</w:t>
      </w:r>
      <w:r w:rsidRPr="00504A67">
        <w:t xml:space="preserve"> non-prescriptive</w:t>
      </w:r>
      <w:r w:rsidR="00742C69">
        <w:t>,</w:t>
      </w:r>
      <w:r w:rsidRPr="00504A67">
        <w:t xml:space="preserve"> and relate to aspects of </w:t>
      </w:r>
      <w:r w:rsidR="0030349A">
        <w:t xml:space="preserve">a </w:t>
      </w:r>
      <w:r w:rsidRPr="00504A67">
        <w:t xml:space="preserve">device where risks </w:t>
      </w:r>
      <w:r w:rsidR="0030349A">
        <w:t xml:space="preserve">may </w:t>
      </w:r>
      <w:r w:rsidRPr="00504A67">
        <w:t xml:space="preserve">arise. Appropriate mitigation of those risks must be </w:t>
      </w:r>
      <w:r w:rsidR="00833335" w:rsidRPr="00504A67">
        <w:t xml:space="preserve">achieved by the manufacturer of the device, who must be </w:t>
      </w:r>
      <w:r w:rsidR="00742C69">
        <w:t>able to provide</w:t>
      </w:r>
      <w:r w:rsidR="00833335" w:rsidRPr="00504A67">
        <w:t xml:space="preserve"> evidence that all relevant EPs have been addressed. </w:t>
      </w:r>
    </w:p>
    <w:p w14:paraId="1D827D54" w14:textId="74E19C09" w:rsidR="00F25524" w:rsidRDefault="00833335" w:rsidP="00B949FC">
      <w:r w:rsidRPr="00504A67">
        <w:t>We asked stakeholders whether all of the EPs remain appropriate</w:t>
      </w:r>
      <w:r w:rsidR="003D4FC5" w:rsidRPr="00504A67">
        <w:t xml:space="preserve"> in the context of AI technology</w:t>
      </w:r>
      <w:r w:rsidRPr="00504A67">
        <w:t>, including EP12.1 which sets out the specific requirements for programmed or programmable medical devices or software that is a medical device.</w:t>
      </w:r>
    </w:p>
    <w:p w14:paraId="668C2218" w14:textId="1504472C" w:rsidR="00C47429" w:rsidRDefault="00B949FC" w:rsidP="00B949FC">
      <w:r>
        <w:t xml:space="preserve">While the current EPs remain appropriate for use in devices that are, or include, an AI model or system, stakeholders </w:t>
      </w:r>
      <w:r w:rsidR="00BB255D">
        <w:t xml:space="preserve">indicated there are specific issues </w:t>
      </w:r>
      <w:r w:rsidR="0030349A">
        <w:t xml:space="preserve">that need to </w:t>
      </w:r>
      <w:r w:rsidR="00BB255D">
        <w:t xml:space="preserve">be addressed </w:t>
      </w:r>
      <w:r w:rsidR="0030349A">
        <w:t xml:space="preserve">or clarified within </w:t>
      </w:r>
      <w:r w:rsidR="00BB255D">
        <w:t>the existing principles</w:t>
      </w:r>
      <w:r w:rsidR="0058557B">
        <w:t xml:space="preserve"> and the conformity assessment procedures</w:t>
      </w:r>
      <w:r w:rsidR="00BB255D">
        <w:t>.</w:t>
      </w:r>
    </w:p>
    <w:p w14:paraId="7C5F06E6" w14:textId="40F2CC50" w:rsidR="00BB255D" w:rsidRDefault="00BB255D" w:rsidP="00B949FC">
      <w:r>
        <w:t>Th</w:t>
      </w:r>
      <w:r w:rsidR="00B16704">
        <w:t>e</w:t>
      </w:r>
      <w:r>
        <w:t>se issues include:</w:t>
      </w:r>
    </w:p>
    <w:p w14:paraId="1BC6216D" w14:textId="65395F71" w:rsidR="005510E5" w:rsidRDefault="00703CEB" w:rsidP="00D56E25">
      <w:pPr>
        <w:pStyle w:val="ListParagraph"/>
      </w:pPr>
      <w:r>
        <w:t>v</w:t>
      </w:r>
      <w:r w:rsidR="00C47429">
        <w:t>alidation of adaptive and generative AI</w:t>
      </w:r>
    </w:p>
    <w:p w14:paraId="2A83347B" w14:textId="650F4D76" w:rsidR="00C47429" w:rsidRDefault="00703CEB" w:rsidP="00D56E25">
      <w:pPr>
        <w:pStyle w:val="ListParagraph"/>
      </w:pPr>
      <w:r>
        <w:t>u</w:t>
      </w:r>
      <w:r w:rsidR="00C47429">
        <w:t xml:space="preserve">se of open datasets and </w:t>
      </w:r>
      <w:r w:rsidR="00691CC4">
        <w:t>open-source</w:t>
      </w:r>
      <w:r w:rsidR="00C47429">
        <w:t xml:space="preserve"> software</w:t>
      </w:r>
    </w:p>
    <w:p w14:paraId="64637A8D" w14:textId="171B98C9" w:rsidR="00C47429" w:rsidRDefault="00703CEB" w:rsidP="00D56E25">
      <w:pPr>
        <w:pStyle w:val="ListParagraph"/>
      </w:pPr>
      <w:r>
        <w:t>p</w:t>
      </w:r>
      <w:r w:rsidR="00691CC4">
        <w:t>erformance reporting in clinical settings</w:t>
      </w:r>
    </w:p>
    <w:p w14:paraId="735384E9" w14:textId="44F26B50" w:rsidR="00A95B4C" w:rsidRDefault="00703CEB" w:rsidP="00D56E25">
      <w:pPr>
        <w:pStyle w:val="ListParagraph"/>
      </w:pPr>
      <w:r>
        <w:t>l</w:t>
      </w:r>
      <w:r w:rsidR="00A95B4C">
        <w:t>abelling</w:t>
      </w:r>
      <w:r w:rsidR="00D94896">
        <w:t>, and</w:t>
      </w:r>
    </w:p>
    <w:p w14:paraId="6290D940" w14:textId="230BAA97" w:rsidR="00A95B4C" w:rsidRDefault="00703CEB" w:rsidP="00D56E25">
      <w:pPr>
        <w:pStyle w:val="ListParagraph"/>
      </w:pPr>
      <w:r>
        <w:t>i</w:t>
      </w:r>
      <w:r w:rsidR="00A95B4C">
        <w:t>nstructions for use</w:t>
      </w:r>
      <w:r w:rsidR="00D94896">
        <w:t>.</w:t>
      </w:r>
    </w:p>
    <w:p w14:paraId="0D595902" w14:textId="2E2274C2" w:rsidR="00B949FC" w:rsidRDefault="009B2A8E" w:rsidP="00B949FC">
      <w:r>
        <w:t>Consideration of the amendment of the essential principles</w:t>
      </w:r>
      <w:r w:rsidR="00D94896">
        <w:t xml:space="preserve">, </w:t>
      </w:r>
      <w:r>
        <w:t>and potentially the conformity assessment procedures</w:t>
      </w:r>
      <w:r w:rsidR="00D94896">
        <w:t>,</w:t>
      </w:r>
      <w:r>
        <w:t xml:space="preserve"> may be required in the future as regulation of these technical aspects develops.</w:t>
      </w:r>
      <w:r w:rsidR="00A95B4C">
        <w:t xml:space="preserve"> Further detail on </w:t>
      </w:r>
      <w:r w:rsidR="00297EA2">
        <w:t xml:space="preserve">these issues can be found in the section on </w:t>
      </w:r>
      <w:hyperlink w:anchor="_Guidance_and_information" w:history="1">
        <w:r w:rsidR="00297EA2" w:rsidRPr="00297EA2">
          <w:rPr>
            <w:rStyle w:val="Hyperlink"/>
          </w:rPr>
          <w:t>guidance</w:t>
        </w:r>
      </w:hyperlink>
      <w:r w:rsidR="00297EA2">
        <w:t>.</w:t>
      </w:r>
    </w:p>
    <w:p w14:paraId="6C8CC8DB" w14:textId="77777777" w:rsidR="00D94896" w:rsidRDefault="00D94896" w:rsidP="00B949FC"/>
    <w:tbl>
      <w:tblPr>
        <w:tblStyle w:val="TableGrid"/>
        <w:tblW w:w="0" w:type="auto"/>
        <w:tblLook w:val="04A0" w:firstRow="1" w:lastRow="0" w:firstColumn="1" w:lastColumn="0" w:noHBand="0" w:noVBand="1"/>
      </w:tblPr>
      <w:tblGrid>
        <w:gridCol w:w="9016"/>
      </w:tblGrid>
      <w:tr w:rsidR="00B949FC" w14:paraId="43EB808D" w14:textId="77777777" w:rsidTr="00F26C93">
        <w:tc>
          <w:tcPr>
            <w:tcW w:w="9016" w:type="dxa"/>
            <w:shd w:val="clear" w:color="auto" w:fill="D2EDFF" w:themeFill="text1" w:themeFillTint="1A"/>
          </w:tcPr>
          <w:p w14:paraId="37B861A4" w14:textId="50401C91" w:rsidR="00B949FC" w:rsidRPr="00CB1E36" w:rsidRDefault="00A95B4C" w:rsidP="00F26C93">
            <w:pPr>
              <w:pStyle w:val="Callout"/>
              <w:spacing w:after="120"/>
              <w:rPr>
                <w:b/>
                <w:bCs/>
                <w:sz w:val="20"/>
                <w:szCs w:val="20"/>
              </w:rPr>
            </w:pPr>
            <w:r w:rsidRPr="00CB1E36">
              <w:rPr>
                <w:b/>
                <w:bCs/>
                <w:sz w:val="20"/>
                <w:szCs w:val="20"/>
              </w:rPr>
              <w:lastRenderedPageBreak/>
              <w:t>Finding</w:t>
            </w:r>
            <w:r w:rsidR="0030349A">
              <w:rPr>
                <w:b/>
                <w:bCs/>
                <w:sz w:val="20"/>
                <w:szCs w:val="20"/>
              </w:rPr>
              <w:t xml:space="preserve"> 6</w:t>
            </w:r>
          </w:p>
          <w:p w14:paraId="2BAE9B99" w14:textId="7AE5F27E" w:rsidR="00B949FC" w:rsidRPr="00CB1E36" w:rsidRDefault="00B949FC" w:rsidP="00F26C93">
            <w:pPr>
              <w:pStyle w:val="Callout"/>
              <w:spacing w:after="120"/>
              <w:rPr>
                <w:sz w:val="20"/>
                <w:szCs w:val="20"/>
              </w:rPr>
            </w:pPr>
            <w:r w:rsidRPr="00CB1E36">
              <w:rPr>
                <w:sz w:val="20"/>
                <w:szCs w:val="20"/>
              </w:rPr>
              <w:t>No changes should be made to the existing essential principles at this time.</w:t>
            </w:r>
          </w:p>
          <w:p w14:paraId="3786A818" w14:textId="7E7AB8F2" w:rsidR="00F67069" w:rsidRPr="005D72D5" w:rsidRDefault="00F67069" w:rsidP="00F26C93">
            <w:pPr>
              <w:pStyle w:val="Callout"/>
              <w:spacing w:after="120"/>
            </w:pPr>
            <w:r w:rsidRPr="00CB1E36">
              <w:rPr>
                <w:sz w:val="20"/>
                <w:szCs w:val="20"/>
              </w:rPr>
              <w:t xml:space="preserve">More extensive </w:t>
            </w:r>
            <w:r w:rsidR="006044AD" w:rsidRPr="00CB1E36">
              <w:rPr>
                <w:sz w:val="20"/>
                <w:szCs w:val="20"/>
              </w:rPr>
              <w:t>guidance</w:t>
            </w:r>
            <w:r w:rsidR="00B03ECA">
              <w:rPr>
                <w:sz w:val="20"/>
                <w:szCs w:val="20"/>
              </w:rPr>
              <w:t>,</w:t>
            </w:r>
            <w:r w:rsidR="006044AD" w:rsidRPr="00CB1E36">
              <w:rPr>
                <w:sz w:val="20"/>
                <w:szCs w:val="20"/>
              </w:rPr>
              <w:t xml:space="preserve"> with examples demonstrating how the existing Regulations would apply to specific use cases</w:t>
            </w:r>
            <w:r w:rsidR="00B03ECA">
              <w:rPr>
                <w:sz w:val="20"/>
                <w:szCs w:val="20"/>
              </w:rPr>
              <w:t>,</w:t>
            </w:r>
            <w:r w:rsidR="006044AD" w:rsidRPr="00CB1E36">
              <w:rPr>
                <w:sz w:val="20"/>
                <w:szCs w:val="20"/>
              </w:rPr>
              <w:t xml:space="preserve"> is needed.</w:t>
            </w:r>
          </w:p>
        </w:tc>
      </w:tr>
    </w:tbl>
    <w:p w14:paraId="7B877B1F" w14:textId="2F09F2F7" w:rsidR="008441CC" w:rsidRDefault="008441CC" w:rsidP="008441CC">
      <w:pPr>
        <w:pStyle w:val="Heading4"/>
      </w:pPr>
      <w:bookmarkStart w:id="20" w:name="_Toc184721108"/>
      <w:r>
        <w:t>Regulation for specific AI types and subtypes</w:t>
      </w:r>
      <w:bookmarkEnd w:id="20"/>
      <w:r>
        <w:t xml:space="preserve"> </w:t>
      </w:r>
    </w:p>
    <w:p w14:paraId="178B4601" w14:textId="6294B891" w:rsidR="008441CC" w:rsidRDefault="008441CC" w:rsidP="008441CC">
      <w:r>
        <w:t xml:space="preserve">AI is a collective term </w:t>
      </w:r>
      <w:r w:rsidR="00703AC9">
        <w:t>representing</w:t>
      </w:r>
      <w:r>
        <w:t xml:space="preserve"> a number of subtypes</w:t>
      </w:r>
      <w:r w:rsidR="00703AC9">
        <w:t>,</w:t>
      </w:r>
      <w:r>
        <w:t xml:space="preserve"> including:</w:t>
      </w:r>
    </w:p>
    <w:p w14:paraId="55096403" w14:textId="7E7988FC" w:rsidR="008441CC" w:rsidRPr="00253285" w:rsidRDefault="008441CC" w:rsidP="00D56E25">
      <w:pPr>
        <w:pStyle w:val="ListParagraph"/>
      </w:pPr>
      <w:r w:rsidRPr="008540C7">
        <w:rPr>
          <w:b/>
          <w:bCs/>
        </w:rPr>
        <w:t>General-purpose AI (GPAI)</w:t>
      </w:r>
      <w:r w:rsidRPr="00253285">
        <w:t xml:space="preserve">: a type of AI system or model </w:t>
      </w:r>
      <w:r>
        <w:t xml:space="preserve">used in </w:t>
      </w:r>
      <w:r w:rsidRPr="00253285">
        <w:t xml:space="preserve">a broad range of tasks and </w:t>
      </w:r>
      <w:r>
        <w:t>applications</w:t>
      </w:r>
      <w:r w:rsidRPr="00253285">
        <w:t>, both intended and unintended by developers</w:t>
      </w:r>
    </w:p>
    <w:p w14:paraId="644EA426" w14:textId="1789247C" w:rsidR="008441CC" w:rsidRPr="00253285" w:rsidRDefault="008441CC" w:rsidP="00D56E25">
      <w:pPr>
        <w:pStyle w:val="ListParagraph"/>
      </w:pPr>
      <w:r w:rsidRPr="008540C7">
        <w:rPr>
          <w:b/>
          <w:bCs/>
          <w:color w:val="000000"/>
        </w:rPr>
        <w:t>Generative AI model</w:t>
      </w:r>
      <w:r w:rsidRPr="00253285">
        <w:rPr>
          <w:i/>
          <w:iCs/>
          <w:color w:val="000000"/>
        </w:rPr>
        <w:t>:</w:t>
      </w:r>
      <w:r w:rsidRPr="00253285">
        <w:t xml:space="preserve"> an AI model capab</w:t>
      </w:r>
      <w:r>
        <w:t>le</w:t>
      </w:r>
      <w:r w:rsidRPr="00253285">
        <w:t xml:space="preserve"> of generat</w:t>
      </w:r>
      <w:r>
        <w:t>ing</w:t>
      </w:r>
      <w:r w:rsidRPr="00253285">
        <w:t xml:space="preserve"> content such as images, text, and other media with similar properties to its training data</w:t>
      </w:r>
    </w:p>
    <w:p w14:paraId="37FC3693" w14:textId="316C46F9" w:rsidR="008441CC" w:rsidRPr="00253285" w:rsidRDefault="008441CC" w:rsidP="00D56E25">
      <w:pPr>
        <w:pStyle w:val="ListParagraph"/>
      </w:pPr>
      <w:r w:rsidRPr="008540C7">
        <w:rPr>
          <w:b/>
          <w:bCs/>
        </w:rPr>
        <w:t>Large language models (LLMs)</w:t>
      </w:r>
      <w:r w:rsidRPr="00253285">
        <w:t xml:space="preserve">: a type of AI model trained on language datasets so they can recognise and generate text emulating human language </w:t>
      </w:r>
    </w:p>
    <w:p w14:paraId="61C6670A" w14:textId="21EB8678" w:rsidR="008441CC" w:rsidRPr="00253285" w:rsidRDefault="008441CC" w:rsidP="00D56E25">
      <w:pPr>
        <w:pStyle w:val="ListParagraph"/>
      </w:pPr>
      <w:r w:rsidRPr="008540C7">
        <w:rPr>
          <w:b/>
          <w:bCs/>
        </w:rPr>
        <w:t>Machine learning</w:t>
      </w:r>
      <w:r w:rsidRPr="00253285">
        <w:t xml:space="preserve">: a set of techniques that can be used to train AI </w:t>
      </w:r>
      <w:r w:rsidR="00685295">
        <w:t>models</w:t>
      </w:r>
      <w:r w:rsidR="00685295" w:rsidRPr="00253285">
        <w:t xml:space="preserve"> </w:t>
      </w:r>
      <w:r w:rsidRPr="00253285">
        <w:t>to improve performance at a task based on data</w:t>
      </w:r>
    </w:p>
    <w:p w14:paraId="136BC8F8" w14:textId="77777777" w:rsidR="008441CC" w:rsidRDefault="008441CC" w:rsidP="00D56E25">
      <w:pPr>
        <w:pStyle w:val="ListParagraph"/>
      </w:pPr>
      <w:r w:rsidRPr="00B964E1">
        <w:rPr>
          <w:b/>
          <w:bCs/>
        </w:rPr>
        <w:t>Deep learning</w:t>
      </w:r>
      <w:r>
        <w:rPr>
          <w:b/>
          <w:bCs/>
        </w:rPr>
        <w:t xml:space="preserve"> models</w:t>
      </w:r>
      <w:r>
        <w:t>: trained using methods of learning that teach a machine how to process data in a similar fashion to a human brain, deep learning models can be used to recognise complex patterns and produce accurate insights and predictions.</w:t>
      </w:r>
    </w:p>
    <w:p w14:paraId="29099FDF" w14:textId="63926310" w:rsidR="008441CC" w:rsidRDefault="008441CC" w:rsidP="00D56E25">
      <w:pPr>
        <w:pStyle w:val="ListParagraph"/>
      </w:pPr>
      <w:r w:rsidRPr="005B427E">
        <w:rPr>
          <w:b/>
          <w:bCs/>
        </w:rPr>
        <w:t>Neural networks</w:t>
      </w:r>
      <w:r>
        <w:t>: compri</w:t>
      </w:r>
      <w:r w:rsidR="00FA123F">
        <w:t>sing</w:t>
      </w:r>
      <w:r>
        <w:t xml:space="preserve"> layers of artificial neurons, neural networks are a subset of machine learning capable of classifying and clustering data at high velocity to provide incredibly fast real time processing.</w:t>
      </w:r>
    </w:p>
    <w:p w14:paraId="7146F651" w14:textId="77777777" w:rsidR="008441CC" w:rsidRDefault="008441CC" w:rsidP="00D56E25">
      <w:pPr>
        <w:pStyle w:val="ListParagraph"/>
      </w:pPr>
      <w:r w:rsidRPr="00CE1891">
        <w:rPr>
          <w:b/>
          <w:bCs/>
        </w:rPr>
        <w:t>Narrow AI system</w:t>
      </w:r>
      <w:r w:rsidRPr="00253285">
        <w:t xml:space="preserve">: a type of AI system or model that is focused on defined tasks </w:t>
      </w:r>
      <w:r>
        <w:t xml:space="preserve">typically </w:t>
      </w:r>
      <w:r w:rsidRPr="00253285">
        <w:t>use</w:t>
      </w:r>
      <w:r>
        <w:t>d</w:t>
      </w:r>
      <w:r w:rsidRPr="00253285">
        <w:t xml:space="preserve"> to address a specific problem. Unlike GPAI models, these types of AI systems cannot be used for a broader range of problems without being re-designed.</w:t>
      </w:r>
    </w:p>
    <w:p w14:paraId="4A646621" w14:textId="407C502D" w:rsidR="008441CC" w:rsidRDefault="0030349A" w:rsidP="008441CC">
      <w:r>
        <w:t>During the consultation period, s</w:t>
      </w:r>
      <w:r w:rsidR="008441CC">
        <w:t xml:space="preserve">takeholders </w:t>
      </w:r>
      <w:r>
        <w:t xml:space="preserve">sought clarification on </w:t>
      </w:r>
      <w:r w:rsidR="008441CC">
        <w:t>what definition of AI was being used in the review</w:t>
      </w:r>
      <w:r>
        <w:t>. They e</w:t>
      </w:r>
      <w:r w:rsidR="008441CC">
        <w:t>xpressed concern that regulating AI as a whole or as individual subsets will be challenging because of the variety and complexity associated with these technologies.</w:t>
      </w:r>
    </w:p>
    <w:p w14:paraId="08AEDEA0" w14:textId="29D4045C" w:rsidR="008441CC" w:rsidRDefault="008441CC" w:rsidP="008441CC">
      <w:pPr>
        <w:spacing w:before="120"/>
      </w:pPr>
      <w:r>
        <w:t>The capabilities and applications of the different subtypes of AI are</w:t>
      </w:r>
      <w:r w:rsidR="00647896">
        <w:t xml:space="preserve"> virtually</w:t>
      </w:r>
      <w:r>
        <w:t xml:space="preserve"> limitless, and it is therefore not appropriate to regulate based on the “kind” (subtype) of AI. Where definitions and clarity about AI types and subtypes are sought, stakeholders felt this would be better achieved through </w:t>
      </w:r>
      <w:hyperlink w:anchor="_Guidance" w:history="1">
        <w:r w:rsidRPr="008441CC">
          <w:rPr>
            <w:rStyle w:val="Hyperlink"/>
          </w:rPr>
          <w:t>guidance</w:t>
        </w:r>
      </w:hyperlink>
      <w:r>
        <w:t xml:space="preserve"> rather than specific regulations.</w:t>
      </w:r>
    </w:p>
    <w:tbl>
      <w:tblPr>
        <w:tblStyle w:val="TableGrid"/>
        <w:tblW w:w="0" w:type="auto"/>
        <w:tblLook w:val="04A0" w:firstRow="1" w:lastRow="0" w:firstColumn="1" w:lastColumn="0" w:noHBand="0" w:noVBand="1"/>
      </w:tblPr>
      <w:tblGrid>
        <w:gridCol w:w="9016"/>
      </w:tblGrid>
      <w:tr w:rsidR="008441CC" w14:paraId="3D6E4864" w14:textId="77777777" w:rsidTr="00F26C93">
        <w:tc>
          <w:tcPr>
            <w:tcW w:w="9016" w:type="dxa"/>
            <w:shd w:val="clear" w:color="auto" w:fill="D2EDFF" w:themeFill="text1" w:themeFillTint="1A"/>
          </w:tcPr>
          <w:p w14:paraId="379F6369" w14:textId="6FB84A46" w:rsidR="008441CC" w:rsidRPr="00CB1E36" w:rsidRDefault="00DB3126" w:rsidP="00F26C93">
            <w:pPr>
              <w:spacing w:before="120" w:after="120"/>
              <w:rPr>
                <w:rFonts w:asciiTheme="minorHAnsi" w:hAnsiTheme="minorHAnsi" w:cstheme="minorHAnsi"/>
                <w:b/>
                <w:bCs/>
                <w:sz w:val="20"/>
                <w:szCs w:val="20"/>
              </w:rPr>
            </w:pPr>
            <w:r w:rsidRPr="00CB1E36">
              <w:rPr>
                <w:rFonts w:asciiTheme="minorHAnsi" w:hAnsiTheme="minorHAnsi" w:cstheme="minorHAnsi"/>
                <w:b/>
                <w:bCs/>
                <w:sz w:val="20"/>
                <w:szCs w:val="20"/>
              </w:rPr>
              <w:t>Finding</w:t>
            </w:r>
            <w:r w:rsidR="0030349A">
              <w:rPr>
                <w:rFonts w:asciiTheme="minorHAnsi" w:hAnsiTheme="minorHAnsi" w:cstheme="minorHAnsi"/>
                <w:b/>
                <w:bCs/>
                <w:sz w:val="20"/>
                <w:szCs w:val="20"/>
              </w:rPr>
              <w:t xml:space="preserve"> 7</w:t>
            </w:r>
          </w:p>
          <w:p w14:paraId="78B59154" w14:textId="77777777" w:rsidR="008441CC" w:rsidRPr="00CB1E36" w:rsidRDefault="008441CC" w:rsidP="00F26C93">
            <w:pPr>
              <w:pStyle w:val="Callout"/>
              <w:spacing w:after="120"/>
              <w:rPr>
                <w:sz w:val="20"/>
                <w:szCs w:val="20"/>
              </w:rPr>
            </w:pPr>
            <w:r w:rsidRPr="00CB1E36">
              <w:rPr>
                <w:sz w:val="20"/>
                <w:szCs w:val="20"/>
              </w:rPr>
              <w:t>Specific definitions and legislative requirements should not be introduced for specific subtypes of AI.</w:t>
            </w:r>
          </w:p>
          <w:p w14:paraId="689529B7" w14:textId="3018FB7C" w:rsidR="008441CC" w:rsidRPr="008441CC" w:rsidRDefault="008441CC" w:rsidP="00F26C93">
            <w:pPr>
              <w:pStyle w:val="Callout"/>
              <w:spacing w:after="120"/>
              <w:rPr>
                <w:sz w:val="20"/>
                <w:szCs w:val="20"/>
              </w:rPr>
            </w:pPr>
            <w:r w:rsidRPr="00CB1E36">
              <w:rPr>
                <w:sz w:val="20"/>
                <w:szCs w:val="20"/>
              </w:rPr>
              <w:t xml:space="preserve">Regulatory requirements for devices that are, or incorporate, an AI model or system should remain </w:t>
            </w:r>
            <w:hyperlink w:anchor="_Technology_agnostic_regulation" w:history="1">
              <w:r w:rsidRPr="00CB1E36">
                <w:rPr>
                  <w:rStyle w:val="Hyperlink"/>
                  <w:rFonts w:asciiTheme="minorHAnsi" w:hAnsiTheme="minorHAnsi"/>
                  <w:sz w:val="20"/>
                  <w:szCs w:val="20"/>
                </w:rPr>
                <w:t>technology-agnostic</w:t>
              </w:r>
            </w:hyperlink>
            <w:r w:rsidRPr="00CB1E36">
              <w:rPr>
                <w:sz w:val="20"/>
                <w:szCs w:val="20"/>
              </w:rPr>
              <w:t xml:space="preserve"> and continue to be regulated under </w:t>
            </w:r>
            <w:r w:rsidR="00DB3126" w:rsidRPr="00CB1E36">
              <w:rPr>
                <w:sz w:val="20"/>
                <w:szCs w:val="20"/>
              </w:rPr>
              <w:t xml:space="preserve">the </w:t>
            </w:r>
            <w:hyperlink w:anchor="_The_current_framework" w:history="1">
              <w:r w:rsidRPr="00CB1E36">
                <w:rPr>
                  <w:rStyle w:val="Hyperlink"/>
                  <w:rFonts w:asciiTheme="minorHAnsi" w:hAnsiTheme="minorHAnsi"/>
                  <w:sz w:val="20"/>
                  <w:szCs w:val="20"/>
                </w:rPr>
                <w:t xml:space="preserve">existing </w:t>
              </w:r>
              <w:r w:rsidR="00DB3126" w:rsidRPr="00CB1E36">
                <w:rPr>
                  <w:rStyle w:val="Hyperlink"/>
                  <w:rFonts w:asciiTheme="minorHAnsi" w:hAnsiTheme="minorHAnsi"/>
                  <w:sz w:val="20"/>
                  <w:szCs w:val="20"/>
                </w:rPr>
                <w:t>f</w:t>
              </w:r>
              <w:r w:rsidR="00DB3126" w:rsidRPr="00CB1E36">
                <w:rPr>
                  <w:rStyle w:val="Hyperlink"/>
                  <w:rFonts w:asciiTheme="minorHAnsi" w:hAnsiTheme="minorHAnsi"/>
                </w:rPr>
                <w:t>ramework</w:t>
              </w:r>
            </w:hyperlink>
            <w:r w:rsidRPr="00CB1E36">
              <w:rPr>
                <w:sz w:val="20"/>
                <w:szCs w:val="20"/>
              </w:rPr>
              <w:t>.</w:t>
            </w:r>
          </w:p>
        </w:tc>
      </w:tr>
    </w:tbl>
    <w:p w14:paraId="4681B427" w14:textId="75C4ABC3" w:rsidR="00A25A4C" w:rsidRDefault="00A25A4C" w:rsidP="00CB38E7">
      <w:pPr>
        <w:pStyle w:val="Heading3"/>
      </w:pPr>
      <w:bookmarkStart w:id="21" w:name="_Legislative_instruments"/>
      <w:bookmarkStart w:id="22" w:name="_Toc184721109"/>
      <w:bookmarkEnd w:id="21"/>
      <w:r>
        <w:t>Legislative instruments</w:t>
      </w:r>
      <w:bookmarkEnd w:id="22"/>
    </w:p>
    <w:p w14:paraId="3DCA51B3" w14:textId="3E361AC5" w:rsidR="00A25A4C" w:rsidRDefault="00D35039" w:rsidP="00A25A4C">
      <w:r>
        <w:t xml:space="preserve">A number of legislative instruments are used in the regulation of therapeutic goods. </w:t>
      </w:r>
      <w:r w:rsidR="00DB5B95">
        <w:t>The two most relevant to the legislative review are:</w:t>
      </w:r>
    </w:p>
    <w:p w14:paraId="71674A0C" w14:textId="54A0BFD3" w:rsidR="00DB5B95" w:rsidRDefault="00DB5B95" w:rsidP="00D56E25">
      <w:pPr>
        <w:pStyle w:val="ListParagraph"/>
      </w:pPr>
      <w:hyperlink r:id="rId18" w:history="1">
        <w:r w:rsidRPr="00FE10A7">
          <w:rPr>
            <w:rStyle w:val="Hyperlink"/>
            <w:rFonts w:asciiTheme="minorHAnsi" w:hAnsiTheme="minorHAnsi"/>
          </w:rPr>
          <w:t>Th</w:t>
        </w:r>
        <w:r w:rsidR="00FE10A7" w:rsidRPr="00FE10A7">
          <w:rPr>
            <w:rStyle w:val="Hyperlink"/>
            <w:rFonts w:asciiTheme="minorHAnsi" w:hAnsiTheme="minorHAnsi"/>
          </w:rPr>
          <w:t>erapeutic Goods (Excluded Goods) Determination 2018</w:t>
        </w:r>
      </w:hyperlink>
    </w:p>
    <w:p w14:paraId="5E844D70" w14:textId="2A0E9060" w:rsidR="00FE10A7" w:rsidRDefault="007E3EEE" w:rsidP="00D56E25">
      <w:pPr>
        <w:pStyle w:val="ListParagraph"/>
      </w:pPr>
      <w:hyperlink r:id="rId19" w:history="1">
        <w:r w:rsidRPr="0097464A">
          <w:rPr>
            <w:rStyle w:val="Hyperlink"/>
            <w:rFonts w:asciiTheme="minorHAnsi" w:hAnsiTheme="minorHAnsi"/>
          </w:rPr>
          <w:t xml:space="preserve">Therapeutic Goods </w:t>
        </w:r>
        <w:r w:rsidR="0097464A" w:rsidRPr="0097464A">
          <w:rPr>
            <w:rStyle w:val="Hyperlink"/>
            <w:rFonts w:asciiTheme="minorHAnsi" w:hAnsiTheme="minorHAnsi"/>
          </w:rPr>
          <w:t>(Therapeutic Goods Advertising Code) Instrument 2021</w:t>
        </w:r>
      </w:hyperlink>
    </w:p>
    <w:p w14:paraId="3EC3432D" w14:textId="6A447FB5" w:rsidR="00033517" w:rsidRDefault="00033517" w:rsidP="00033517">
      <w:pPr>
        <w:pStyle w:val="Heading4"/>
      </w:pPr>
      <w:bookmarkStart w:id="23" w:name="_Toc184721110"/>
      <w:r>
        <w:lastRenderedPageBreak/>
        <w:t>Excluded software</w:t>
      </w:r>
      <w:bookmarkEnd w:id="23"/>
    </w:p>
    <w:p w14:paraId="5F4A1138" w14:textId="366E2D2D" w:rsidR="00405768" w:rsidRDefault="00833335" w:rsidP="00405768">
      <w:r>
        <w:t xml:space="preserve">In 2021 </w:t>
      </w:r>
      <w:r w:rsidR="00690FEB">
        <w:t xml:space="preserve">reforms </w:t>
      </w:r>
      <w:r>
        <w:t xml:space="preserve">were </w:t>
      </w:r>
      <w:r w:rsidR="00690FEB">
        <w:t xml:space="preserve">made to </w:t>
      </w:r>
      <w:r>
        <w:t xml:space="preserve">the regulation of </w:t>
      </w:r>
      <w:r w:rsidR="00690FEB">
        <w:t xml:space="preserve">software </w:t>
      </w:r>
      <w:r>
        <w:t>products</w:t>
      </w:r>
      <w:r w:rsidR="00736A16">
        <w:t>,</w:t>
      </w:r>
      <w:r>
        <w:t xml:space="preserve"> </w:t>
      </w:r>
      <w:r w:rsidR="00690FEB">
        <w:t>includ</w:t>
      </w:r>
      <w:r>
        <w:t>ing</w:t>
      </w:r>
      <w:r w:rsidR="00690FEB">
        <w:t xml:space="preserve"> </w:t>
      </w:r>
      <w:r w:rsidR="0030349A">
        <w:t xml:space="preserve">introducing an </w:t>
      </w:r>
      <w:hyperlink r:id="rId20" w:history="1">
        <w:r w:rsidR="00405768" w:rsidRPr="005011BE">
          <w:rPr>
            <w:rStyle w:val="Hyperlink"/>
          </w:rPr>
          <w:t xml:space="preserve">exclusion of </w:t>
        </w:r>
        <w:r w:rsidR="006B3F29" w:rsidRPr="005011BE">
          <w:rPr>
            <w:rStyle w:val="Hyperlink"/>
          </w:rPr>
          <w:t xml:space="preserve">15 </w:t>
        </w:r>
        <w:r w:rsidR="00405768" w:rsidRPr="005011BE">
          <w:rPr>
            <w:rStyle w:val="Hyperlink"/>
          </w:rPr>
          <w:t>subtypes of software</w:t>
        </w:r>
      </w:hyperlink>
      <w:r w:rsidR="00405768">
        <w:t xml:space="preserve"> for clarity</w:t>
      </w:r>
      <w:r w:rsidR="00941484">
        <w:t xml:space="preserve">, </w:t>
      </w:r>
      <w:r w:rsidR="00E74F6B">
        <w:t xml:space="preserve">where </w:t>
      </w:r>
      <w:r w:rsidR="00724B8E">
        <w:t xml:space="preserve">they did not meet the definition of a medical device or because an alternative mechanism for </w:t>
      </w:r>
      <w:r w:rsidR="008E65CB">
        <w:t xml:space="preserve">oversight </w:t>
      </w:r>
      <w:r w:rsidR="00724B8E">
        <w:t xml:space="preserve">existed that was considered appropriate for managing risks associated with the products. </w:t>
      </w:r>
      <w:r w:rsidR="00127C7C">
        <w:t xml:space="preserve">Excluded goods are not regulated by the TGA as therapeutic goods, and therefore </w:t>
      </w:r>
      <w:r w:rsidR="00941484">
        <w:t>are not required</w:t>
      </w:r>
      <w:r w:rsidR="00127C7C">
        <w:t xml:space="preserve"> to meet TGA’s regulatory requirements.</w:t>
      </w:r>
    </w:p>
    <w:p w14:paraId="111DC8AD" w14:textId="400E9E47" w:rsidR="009E63F6" w:rsidRPr="00504A67" w:rsidRDefault="001D4679" w:rsidP="009E63F6">
      <w:r>
        <w:t>T</w:t>
      </w:r>
      <w:r w:rsidR="009E63F6">
        <w:t>he TGA has been monitoring the</w:t>
      </w:r>
      <w:r w:rsidR="00D272EB">
        <w:t>se</w:t>
      </w:r>
      <w:r w:rsidR="009E63F6">
        <w:t xml:space="preserve"> </w:t>
      </w:r>
      <w:r w:rsidR="009E63F6" w:rsidRPr="00504A67">
        <w:t>exclusions</w:t>
      </w:r>
      <w:r w:rsidR="00D272EB">
        <w:t>,</w:t>
      </w:r>
      <w:r w:rsidR="009E63F6" w:rsidRPr="00504A67">
        <w:t xml:space="preserve"> and </w:t>
      </w:r>
      <w:r w:rsidR="00D272EB">
        <w:t xml:space="preserve">has </w:t>
      </w:r>
      <w:r w:rsidR="004A039F" w:rsidRPr="00504A67">
        <w:t xml:space="preserve">identified </w:t>
      </w:r>
      <w:r w:rsidR="00D272EB">
        <w:t xml:space="preserve">that </w:t>
      </w:r>
      <w:r w:rsidR="009E63F6" w:rsidRPr="00504A67">
        <w:t>the</w:t>
      </w:r>
      <w:r w:rsidR="00BE524D" w:rsidRPr="00504A67">
        <w:t xml:space="preserve"> emerging</w:t>
      </w:r>
      <w:r w:rsidR="009E63F6" w:rsidRPr="00504A67">
        <w:t xml:space="preserve"> complexity of some excluded software products </w:t>
      </w:r>
      <w:r w:rsidR="00401086" w:rsidRPr="00504A67">
        <w:t xml:space="preserve">coupled with </w:t>
      </w:r>
      <w:r w:rsidR="009E63F6" w:rsidRPr="00504A67">
        <w:t>the increasing use of AI mean</w:t>
      </w:r>
      <w:r w:rsidR="00B16704" w:rsidRPr="00504A67">
        <w:t>s</w:t>
      </w:r>
      <w:r w:rsidR="009E63F6" w:rsidRPr="00504A67">
        <w:t xml:space="preserve"> </w:t>
      </w:r>
      <w:r w:rsidR="00951010" w:rsidRPr="00504A67">
        <w:t>some exclusions</w:t>
      </w:r>
      <w:r w:rsidR="00385106" w:rsidRPr="00504A67">
        <w:t xml:space="preserve"> may no longer be appropriate</w:t>
      </w:r>
      <w:r w:rsidR="00951010" w:rsidRPr="00504A67">
        <w:t>.</w:t>
      </w:r>
      <w:r w:rsidR="00401086" w:rsidRPr="00504A67">
        <w:t xml:space="preserve"> We asked stakeholders whether the</w:t>
      </w:r>
      <w:r w:rsidR="00E407FE">
        <w:t xml:space="preserve"> current 15 </w:t>
      </w:r>
      <w:r w:rsidR="00401086" w:rsidRPr="00504A67">
        <w:t xml:space="preserve">exclusions remain appropriate, </w:t>
      </w:r>
      <w:r w:rsidR="00E407FE">
        <w:t xml:space="preserve">and to </w:t>
      </w:r>
      <w:r w:rsidR="003D4FC5" w:rsidRPr="00504A67">
        <w:t>i</w:t>
      </w:r>
      <w:r w:rsidR="00401086" w:rsidRPr="00504A67">
        <w:t>dentif</w:t>
      </w:r>
      <w:r w:rsidR="00E407FE">
        <w:t>y</w:t>
      </w:r>
      <w:r w:rsidR="00401086" w:rsidRPr="00504A67">
        <w:t xml:space="preserve"> the most likely </w:t>
      </w:r>
      <w:r w:rsidR="00D71FA5" w:rsidRPr="00504A67">
        <w:t xml:space="preserve">to </w:t>
      </w:r>
      <w:r w:rsidR="003D4FC5" w:rsidRPr="00504A67">
        <w:t xml:space="preserve">require further </w:t>
      </w:r>
      <w:r w:rsidR="00D71FA5" w:rsidRPr="00504A67">
        <w:t>review and refinement</w:t>
      </w:r>
      <w:r w:rsidR="00E407FE">
        <w:t xml:space="preserve"> such as</w:t>
      </w:r>
      <w:r w:rsidR="00D71FA5" w:rsidRPr="00504A67">
        <w:t>:</w:t>
      </w:r>
    </w:p>
    <w:p w14:paraId="606CC418" w14:textId="3BC7ECEB" w:rsidR="00D71FA5" w:rsidRPr="00504A67" w:rsidRDefault="00E472BC" w:rsidP="00D71FA5">
      <w:pPr>
        <w:pStyle w:val="ListParagraph"/>
      </w:pPr>
      <w:r>
        <w:t>c</w:t>
      </w:r>
      <w:r w:rsidR="00D71FA5" w:rsidRPr="00504A67">
        <w:t>onsumer health products</w:t>
      </w:r>
    </w:p>
    <w:p w14:paraId="6905B297" w14:textId="7FD8B77A" w:rsidR="00D71FA5" w:rsidRPr="00504A67" w:rsidRDefault="00E472BC" w:rsidP="00D71FA5">
      <w:pPr>
        <w:pStyle w:val="ListParagraph"/>
      </w:pPr>
      <w:r>
        <w:t>d</w:t>
      </w:r>
      <w:r w:rsidR="00D71FA5" w:rsidRPr="00504A67">
        <w:t>igital mental health tools</w:t>
      </w:r>
    </w:p>
    <w:p w14:paraId="29DB491B" w14:textId="3803C7CB" w:rsidR="00D71FA5" w:rsidRPr="00504A67" w:rsidRDefault="00E472BC" w:rsidP="00D71FA5">
      <w:pPr>
        <w:pStyle w:val="ListParagraph"/>
      </w:pPr>
      <w:r>
        <w:t>s</w:t>
      </w:r>
      <w:r w:rsidR="00D71FA5" w:rsidRPr="00504A67">
        <w:t>oftware that is a calculator</w:t>
      </w:r>
      <w:r w:rsidR="00D272EB">
        <w:t>, and</w:t>
      </w:r>
    </w:p>
    <w:p w14:paraId="0FCDE643" w14:textId="041495FC" w:rsidR="00D71FA5" w:rsidRDefault="00E472BC" w:rsidP="00D71FA5">
      <w:pPr>
        <w:pStyle w:val="ListParagraph"/>
      </w:pPr>
      <w:r>
        <w:t>l</w:t>
      </w:r>
      <w:r w:rsidR="00D71FA5" w:rsidRPr="00504A67">
        <w:t>aboratory information management systems</w:t>
      </w:r>
      <w:r w:rsidR="00D272EB">
        <w:t>.</w:t>
      </w:r>
    </w:p>
    <w:p w14:paraId="7DA5FFB2" w14:textId="75A6F63F" w:rsidR="00E407FE" w:rsidRPr="00504A67" w:rsidRDefault="00E407FE" w:rsidP="00E407FE">
      <w:r>
        <w:t>The TGA is also aware of work by the Department and the Digital Health Agency to develop a mobile health apps framework</w:t>
      </w:r>
      <w:r w:rsidR="00722716">
        <w:t>, f</w:t>
      </w:r>
      <w:r>
        <w:t>or non-TGA regulated app</w:t>
      </w:r>
      <w:r w:rsidR="00722716">
        <w:t>lications,</w:t>
      </w:r>
      <w:r>
        <w:t xml:space="preserve"> to guide developers and users. </w:t>
      </w:r>
    </w:p>
    <w:tbl>
      <w:tblPr>
        <w:tblStyle w:val="TableGrid"/>
        <w:tblW w:w="0" w:type="auto"/>
        <w:tblLook w:val="04A0" w:firstRow="1" w:lastRow="0" w:firstColumn="1" w:lastColumn="0" w:noHBand="0" w:noVBand="1"/>
      </w:tblPr>
      <w:tblGrid>
        <w:gridCol w:w="9016"/>
      </w:tblGrid>
      <w:tr w:rsidR="001C6215" w14:paraId="50E61BEC" w14:textId="77777777" w:rsidTr="00F26C93">
        <w:tc>
          <w:tcPr>
            <w:tcW w:w="9016" w:type="dxa"/>
            <w:shd w:val="clear" w:color="auto" w:fill="D2EDFF" w:themeFill="text1" w:themeFillTint="1A"/>
          </w:tcPr>
          <w:p w14:paraId="50E93889" w14:textId="4693A187" w:rsidR="001C6215" w:rsidRPr="00CB1E36" w:rsidRDefault="001C6215" w:rsidP="00F26C93">
            <w:pPr>
              <w:pStyle w:val="Callout"/>
              <w:spacing w:after="120"/>
              <w:rPr>
                <w:b/>
                <w:bCs/>
                <w:sz w:val="20"/>
                <w:szCs w:val="20"/>
              </w:rPr>
            </w:pPr>
            <w:r w:rsidRPr="00CB1E36">
              <w:rPr>
                <w:b/>
                <w:bCs/>
                <w:sz w:val="20"/>
                <w:szCs w:val="20"/>
              </w:rPr>
              <w:t>Finding</w:t>
            </w:r>
            <w:r w:rsidR="00E407FE">
              <w:rPr>
                <w:b/>
                <w:bCs/>
                <w:sz w:val="20"/>
                <w:szCs w:val="20"/>
              </w:rPr>
              <w:t xml:space="preserve"> 8</w:t>
            </w:r>
          </w:p>
          <w:p w14:paraId="1E2AB9E9" w14:textId="6A38C333" w:rsidR="001C6215" w:rsidRPr="00CB1E36" w:rsidRDefault="001C6215" w:rsidP="00F26C93">
            <w:pPr>
              <w:pStyle w:val="Callout"/>
              <w:spacing w:after="120"/>
              <w:rPr>
                <w:sz w:val="20"/>
                <w:szCs w:val="20"/>
              </w:rPr>
            </w:pPr>
            <w:r w:rsidRPr="00CB1E36">
              <w:rPr>
                <w:sz w:val="20"/>
                <w:szCs w:val="20"/>
              </w:rPr>
              <w:t>While the majority of the software exclusions remain appropriate, guidance is needed to better support stakeholders with understanding the conditions of exclusion.</w:t>
            </w:r>
          </w:p>
          <w:p w14:paraId="6E60EC5E" w14:textId="77D19B70" w:rsidR="001C6215" w:rsidRPr="00CB1E36" w:rsidRDefault="001C6215" w:rsidP="00F26C93">
            <w:pPr>
              <w:pStyle w:val="Callout"/>
              <w:spacing w:after="120"/>
              <w:rPr>
                <w:sz w:val="20"/>
                <w:szCs w:val="20"/>
              </w:rPr>
            </w:pPr>
            <w:r w:rsidRPr="00CB1E36">
              <w:rPr>
                <w:sz w:val="20"/>
                <w:szCs w:val="20"/>
              </w:rPr>
              <w:t>The digital mental health tools exclusion is no longer appropriate and urgent review is needed</w:t>
            </w:r>
            <w:r w:rsidR="00E407FE">
              <w:rPr>
                <w:sz w:val="20"/>
                <w:szCs w:val="20"/>
              </w:rPr>
              <w:t>, in collaboration with the Australian Commission on Safety and Quality in Health Care</w:t>
            </w:r>
            <w:r w:rsidRPr="00CB1E36">
              <w:rPr>
                <w:sz w:val="20"/>
                <w:szCs w:val="20"/>
              </w:rPr>
              <w:t>.</w:t>
            </w:r>
          </w:p>
          <w:p w14:paraId="682AE6D3" w14:textId="730BEA09" w:rsidR="00A46814" w:rsidRPr="00B16704" w:rsidRDefault="00A46814" w:rsidP="00F26C93">
            <w:pPr>
              <w:pStyle w:val="Callout"/>
              <w:spacing w:after="120"/>
              <w:rPr>
                <w:sz w:val="20"/>
                <w:szCs w:val="20"/>
              </w:rPr>
            </w:pPr>
            <w:r w:rsidRPr="00CB1E36">
              <w:rPr>
                <w:sz w:val="20"/>
                <w:szCs w:val="20"/>
              </w:rPr>
              <w:t xml:space="preserve">Ongoing monitoring and review </w:t>
            </w:r>
            <w:r w:rsidR="002C1D6A" w:rsidRPr="00CB1E36">
              <w:rPr>
                <w:sz w:val="20"/>
                <w:szCs w:val="20"/>
              </w:rPr>
              <w:t>ar</w:t>
            </w:r>
            <w:r w:rsidR="002C1D6A" w:rsidRPr="00CB1E36">
              <w:t>e</w:t>
            </w:r>
            <w:r w:rsidRPr="00CB1E36">
              <w:rPr>
                <w:sz w:val="20"/>
                <w:szCs w:val="20"/>
              </w:rPr>
              <w:t xml:space="preserve"> needed for health and wellness </w:t>
            </w:r>
            <w:r w:rsidR="002C1D6A">
              <w:rPr>
                <w:sz w:val="20"/>
                <w:szCs w:val="20"/>
              </w:rPr>
              <w:t>applications</w:t>
            </w:r>
            <w:r w:rsidR="002C1D6A" w:rsidRPr="00CB1E36">
              <w:rPr>
                <w:sz w:val="20"/>
                <w:szCs w:val="20"/>
              </w:rPr>
              <w:t xml:space="preserve"> </w:t>
            </w:r>
            <w:r w:rsidRPr="00CB1E36">
              <w:rPr>
                <w:sz w:val="20"/>
                <w:szCs w:val="20"/>
              </w:rPr>
              <w:t>with claims or functionality that may meet the definition of a medical device.</w:t>
            </w:r>
          </w:p>
        </w:tc>
      </w:tr>
    </w:tbl>
    <w:p w14:paraId="4554E0EE" w14:textId="7ECBCD8C" w:rsidR="00997F19" w:rsidRDefault="00997F19" w:rsidP="00952720">
      <w:pPr>
        <w:pStyle w:val="Heading4"/>
      </w:pPr>
      <w:bookmarkStart w:id="24" w:name="_Toc184721111"/>
      <w:r>
        <w:t>Advertising</w:t>
      </w:r>
      <w:r w:rsidR="00BE460E">
        <w:t xml:space="preserve"> and transparency</w:t>
      </w:r>
      <w:bookmarkEnd w:id="24"/>
    </w:p>
    <w:p w14:paraId="6445D47D" w14:textId="739EE935" w:rsidR="00997F19" w:rsidRDefault="00997F19" w:rsidP="00952720">
      <w:r>
        <w:t xml:space="preserve">A consistent theme from stakeholders across all cohorts throughout </w:t>
      </w:r>
      <w:r w:rsidR="00E407FE">
        <w:t xml:space="preserve">the review </w:t>
      </w:r>
      <w:r>
        <w:t>was for more information about therapeutic goods, including:</w:t>
      </w:r>
    </w:p>
    <w:p w14:paraId="65F5AAEE" w14:textId="2B1E5302" w:rsidR="00997F19" w:rsidRDefault="00993EEF" w:rsidP="00952720">
      <w:pPr>
        <w:pStyle w:val="ListParagraph"/>
      </w:pPr>
      <w:r>
        <w:t>a</w:t>
      </w:r>
      <w:r w:rsidR="00997F19">
        <w:t>bility to identify whe</w:t>
      </w:r>
      <w:r w:rsidR="00BE460E">
        <w:t>n</w:t>
      </w:r>
      <w:r w:rsidR="00997F19">
        <w:t xml:space="preserve"> a good has been assessed or approved by the TGA</w:t>
      </w:r>
      <w:r>
        <w:t>, and</w:t>
      </w:r>
    </w:p>
    <w:p w14:paraId="1CAB5F67" w14:textId="10FFA656" w:rsidR="00997F19" w:rsidRDefault="00993EEF" w:rsidP="00952720">
      <w:pPr>
        <w:pStyle w:val="ListParagraph"/>
      </w:pPr>
      <w:r>
        <w:t>a</w:t>
      </w:r>
      <w:r w:rsidR="00997F19">
        <w:t>ccess to information about what assessment or approval involves</w:t>
      </w:r>
      <w:r>
        <w:t>, such as</w:t>
      </w:r>
      <w:r w:rsidR="00997F19">
        <w:t xml:space="preserve"> what information has been assessed, what requirements have been met etc</w:t>
      </w:r>
      <w:r>
        <w:t>.</w:t>
      </w:r>
    </w:p>
    <w:p w14:paraId="7577BE51" w14:textId="6E68B6E7" w:rsidR="00997F19" w:rsidRDefault="00997F19" w:rsidP="00952720">
      <w:r>
        <w:t xml:space="preserve">Stakeholders acknowledged the utility </w:t>
      </w:r>
      <w:r w:rsidR="00350B9D">
        <w:t xml:space="preserve">offered by </w:t>
      </w:r>
      <w:r w:rsidR="00E407FE">
        <w:t xml:space="preserve">a future </w:t>
      </w:r>
      <w:r w:rsidR="00BE460E">
        <w:t>Unique Device Identification (</w:t>
      </w:r>
      <w:r>
        <w:t>UDI</w:t>
      </w:r>
      <w:r w:rsidR="00BE460E">
        <w:t>) system</w:t>
      </w:r>
      <w:r>
        <w:t xml:space="preserve"> </w:t>
      </w:r>
      <w:r w:rsidR="00E407FE">
        <w:t xml:space="preserve">to assist with </w:t>
      </w:r>
      <w:r>
        <w:t xml:space="preserve">transparency. </w:t>
      </w:r>
      <w:r w:rsidR="00E407FE">
        <w:t xml:space="preserve">While the </w:t>
      </w:r>
      <w:r>
        <w:t xml:space="preserve">TGA has made changes to the ARTG to improve access to information </w:t>
      </w:r>
      <w:r w:rsidR="00BE460E">
        <w:t xml:space="preserve">about goods approved for </w:t>
      </w:r>
      <w:r w:rsidR="00E407FE">
        <w:t xml:space="preserve">supply </w:t>
      </w:r>
      <w:r w:rsidR="00BE460E">
        <w:t>in Australi</w:t>
      </w:r>
      <w:r w:rsidR="00E407FE">
        <w:t>a</w:t>
      </w:r>
      <w:r w:rsidR="00D21068">
        <w:t xml:space="preserve">, </w:t>
      </w:r>
      <w:r w:rsidR="00E407FE">
        <w:t>the</w:t>
      </w:r>
      <w:r w:rsidR="00D21068">
        <w:t>se</w:t>
      </w:r>
      <w:r w:rsidR="00E407FE">
        <w:t xml:space="preserve"> do </w:t>
      </w:r>
      <w:r>
        <w:t>not me</w:t>
      </w:r>
      <w:r w:rsidR="00E407FE">
        <w:t>e</w:t>
      </w:r>
      <w:r>
        <w:t>t the needs of stakeholders</w:t>
      </w:r>
      <w:r w:rsidR="00D21068">
        <w:t xml:space="preserve">, who </w:t>
      </w:r>
      <w:r w:rsidR="005D6D44">
        <w:t>want</w:t>
      </w:r>
      <w:r w:rsidR="00E407FE">
        <w:t xml:space="preserve"> </w:t>
      </w:r>
      <w:r w:rsidR="000B539E">
        <w:t xml:space="preserve">more </w:t>
      </w:r>
      <w:r>
        <w:t xml:space="preserve">information about all therapeutic goods, including software based medical devices. This </w:t>
      </w:r>
      <w:r w:rsidR="00BE460E">
        <w:t xml:space="preserve">includes access to </w:t>
      </w:r>
      <w:r>
        <w:t xml:space="preserve">information </w:t>
      </w:r>
      <w:r w:rsidR="00BE460E">
        <w:t>such as</w:t>
      </w:r>
      <w:r>
        <w:t>:</w:t>
      </w:r>
    </w:p>
    <w:p w14:paraId="0DCD29B5" w14:textId="423DB467" w:rsidR="00997F19" w:rsidRDefault="00D21068" w:rsidP="00952720">
      <w:pPr>
        <w:pStyle w:val="ListParagraph"/>
      </w:pPr>
      <w:r>
        <w:t>t</w:t>
      </w:r>
      <w:r w:rsidR="00997F19">
        <w:t>he model and/or trade name(s) for ARTG inclu</w:t>
      </w:r>
      <w:r w:rsidR="000B539E">
        <w:t>ded goods</w:t>
      </w:r>
    </w:p>
    <w:p w14:paraId="12C5B709" w14:textId="0A32DB53" w:rsidR="00997F19" w:rsidRDefault="00D21068" w:rsidP="00952720">
      <w:pPr>
        <w:pStyle w:val="ListParagraph"/>
      </w:pPr>
      <w:r>
        <w:t>w</w:t>
      </w:r>
      <w:r w:rsidR="00997F19">
        <w:t>hat inclusion in the ARTG means</w:t>
      </w:r>
      <w:r>
        <w:t xml:space="preserve">- </w:t>
      </w:r>
      <w:r w:rsidR="00997F19">
        <w:t>what has been assessed, what does “approval” mean</w:t>
      </w:r>
      <w:r>
        <w:t>- and</w:t>
      </w:r>
    </w:p>
    <w:p w14:paraId="460B832D" w14:textId="5C14B600" w:rsidR="00997F19" w:rsidRDefault="00D21068" w:rsidP="00952720">
      <w:pPr>
        <w:pStyle w:val="ListParagraph"/>
      </w:pPr>
      <w:r>
        <w:t>s</w:t>
      </w:r>
      <w:r w:rsidR="00997F19">
        <w:t>pecific intended purpose or indications of the good</w:t>
      </w:r>
      <w:r>
        <w:t>.</w:t>
      </w:r>
    </w:p>
    <w:p w14:paraId="42B423F3" w14:textId="2196F658" w:rsidR="00997F19" w:rsidRDefault="00997F19" w:rsidP="00952720">
      <w:r>
        <w:t>For software</w:t>
      </w:r>
      <w:r w:rsidR="00D21068">
        <w:t>-</w:t>
      </w:r>
      <w:r>
        <w:t>based medical devices, stakeholders are seeking more information</w:t>
      </w:r>
      <w:r w:rsidR="009F5641">
        <w:t>,</w:t>
      </w:r>
      <w:r>
        <w:t xml:space="preserve"> </w:t>
      </w:r>
      <w:r w:rsidR="000B539E">
        <w:t>including</w:t>
      </w:r>
      <w:r>
        <w:t>:</w:t>
      </w:r>
    </w:p>
    <w:p w14:paraId="13D3E983" w14:textId="293F99DF" w:rsidR="00997F19" w:rsidRDefault="009F5641" w:rsidP="00952720">
      <w:pPr>
        <w:pStyle w:val="ListParagraph"/>
      </w:pPr>
      <w:r>
        <w:t>w</w:t>
      </w:r>
      <w:r w:rsidR="000B539E">
        <w:t xml:space="preserve">hether </w:t>
      </w:r>
      <w:r w:rsidR="00997F19">
        <w:t xml:space="preserve">the device is, or operates using, an AI model or system, </w:t>
      </w:r>
      <w:r w:rsidR="000B539E">
        <w:t xml:space="preserve">and </w:t>
      </w:r>
      <w:r w:rsidR="00997F19">
        <w:t>information about the datasets that have been used to train and test the AI</w:t>
      </w:r>
    </w:p>
    <w:p w14:paraId="43B1FDF6" w14:textId="541B52D8" w:rsidR="00997F19" w:rsidRDefault="009F5641" w:rsidP="00952720">
      <w:pPr>
        <w:pStyle w:val="ListParagraph"/>
      </w:pPr>
      <w:r>
        <w:t>g</w:t>
      </w:r>
      <w:r w:rsidR="00997F19">
        <w:t xml:space="preserve">reater transparency </w:t>
      </w:r>
      <w:r w:rsidR="005D6D44">
        <w:t xml:space="preserve">regarding </w:t>
      </w:r>
      <w:r w:rsidR="00997F19">
        <w:t>updates and new versions to help assess whether the outputs of a product are likely to change as a result</w:t>
      </w:r>
      <w:r>
        <w:t>, and</w:t>
      </w:r>
    </w:p>
    <w:p w14:paraId="1E68A920" w14:textId="374610EB" w:rsidR="00997F19" w:rsidRDefault="009F5641" w:rsidP="00952720">
      <w:pPr>
        <w:pStyle w:val="ListParagraph"/>
      </w:pPr>
      <w:r>
        <w:lastRenderedPageBreak/>
        <w:t>i</w:t>
      </w:r>
      <w:r w:rsidR="00997F19">
        <w:t>n-app or in-product notifications tied to risks the user should be aware of when using it</w:t>
      </w:r>
      <w:r w:rsidR="005D6D44">
        <w:t>.</w:t>
      </w:r>
    </w:p>
    <w:p w14:paraId="302CF38A" w14:textId="60CC82DB" w:rsidR="00997F19" w:rsidRDefault="00997F19" w:rsidP="00997F19">
      <w:r>
        <w:t xml:space="preserve">While many of these concerns can be addressed with </w:t>
      </w:r>
      <w:hyperlink w:anchor="_Guidance_and_information" w:history="1">
        <w:r w:rsidRPr="0095698D">
          <w:rPr>
            <w:rStyle w:val="Hyperlink"/>
          </w:rPr>
          <w:t>guidance</w:t>
        </w:r>
      </w:hyperlink>
      <w:r>
        <w:t xml:space="preserve"> about how to apply existing regulations, changes may also be needed to </w:t>
      </w:r>
      <w:r w:rsidR="00F055C6">
        <w:t>advertising provisions within the</w:t>
      </w:r>
      <w:r w:rsidR="000B539E">
        <w:t xml:space="preserve"> </w:t>
      </w:r>
      <w:hyperlink r:id="rId21" w:history="1">
        <w:r w:rsidR="00F055C6" w:rsidRPr="00F055C6">
          <w:rPr>
            <w:rStyle w:val="Hyperlink"/>
            <w:rFonts w:asciiTheme="minorHAnsi" w:hAnsiTheme="minorHAnsi"/>
          </w:rPr>
          <w:t>Therapeutic Goods Regulations 1990</w:t>
        </w:r>
      </w:hyperlink>
      <w:r w:rsidR="00F055C6">
        <w:rPr>
          <w:rStyle w:val="Hyperlink"/>
          <w:rFonts w:asciiTheme="minorHAnsi" w:hAnsiTheme="minorHAnsi"/>
        </w:rPr>
        <w:t xml:space="preserve"> </w:t>
      </w:r>
      <w:r w:rsidR="000B539E">
        <w:t>and the</w:t>
      </w:r>
      <w:r>
        <w:t xml:space="preserve"> </w:t>
      </w:r>
      <w:hyperlink r:id="rId22" w:history="1">
        <w:r w:rsidRPr="00AF37C3">
          <w:rPr>
            <w:rStyle w:val="Hyperlink"/>
            <w:rFonts w:asciiTheme="minorHAnsi" w:hAnsiTheme="minorHAnsi"/>
          </w:rPr>
          <w:t>Therapeutic Goods (Therapeutic Goods Advertising Code) Instrument 2021</w:t>
        </w:r>
      </w:hyperlink>
      <w:r>
        <w:t xml:space="preserve"> (the Code). The Code </w:t>
      </w:r>
      <w:r w:rsidRPr="00AF37C3">
        <w:t>sets out minimum requirements for advertising therapeutic goods to the public</w:t>
      </w:r>
      <w:r w:rsidR="000B539E">
        <w:t xml:space="preserve">. There </w:t>
      </w:r>
      <w:r w:rsidR="00F055C6">
        <w:t xml:space="preserve">is </w:t>
      </w:r>
      <w:r w:rsidR="00467936">
        <w:t xml:space="preserve">also </w:t>
      </w:r>
      <w:r w:rsidR="005D6D44">
        <w:t xml:space="preserve">a </w:t>
      </w:r>
      <w:r w:rsidR="000B539E">
        <w:t xml:space="preserve">provision to require specific information be included in </w:t>
      </w:r>
      <w:r w:rsidR="00F055C6">
        <w:t>advertising</w:t>
      </w:r>
      <w:r w:rsidR="0020249D">
        <w:t>,</w:t>
      </w:r>
      <w:r w:rsidR="00F055C6">
        <w:t xml:space="preserve"> </w:t>
      </w:r>
      <w:r w:rsidR="0020249D">
        <w:t>and</w:t>
      </w:r>
      <w:r w:rsidR="00F055C6">
        <w:t xml:space="preserve"> to</w:t>
      </w:r>
      <w:r w:rsidR="000B539E">
        <w:t xml:space="preserve"> allow </w:t>
      </w:r>
      <w:r w:rsidR="00F055C6">
        <w:t>the use of</w:t>
      </w:r>
      <w:r w:rsidR="000B539E">
        <w:t xml:space="preserve"> certain representations</w:t>
      </w:r>
      <w:r w:rsidR="00F055C6">
        <w:t xml:space="preserve"> </w:t>
      </w:r>
      <w:r w:rsidR="005D6D44">
        <w:t>for</w:t>
      </w:r>
      <w:r w:rsidR="0020249D">
        <w:t xml:space="preserve"> categories of goods</w:t>
      </w:r>
      <w:r w:rsidR="00467936">
        <w:t xml:space="preserve">. </w:t>
      </w:r>
      <w:r>
        <w:t xml:space="preserve">The Act contains </w:t>
      </w:r>
      <w:r w:rsidRPr="00DC5E8D">
        <w:t>criminal offences and civil penalties for advertising to the public in a manner that does not comply</w:t>
      </w:r>
      <w:r>
        <w:t xml:space="preserve"> with the Code</w:t>
      </w:r>
      <w:r w:rsidRPr="00DC5E8D">
        <w:t>.</w:t>
      </w:r>
      <w:r>
        <w:t xml:space="preserve"> </w:t>
      </w:r>
    </w:p>
    <w:tbl>
      <w:tblPr>
        <w:tblStyle w:val="TableGrid"/>
        <w:tblW w:w="0" w:type="auto"/>
        <w:tblLook w:val="04A0" w:firstRow="1" w:lastRow="0" w:firstColumn="1" w:lastColumn="0" w:noHBand="0" w:noVBand="1"/>
      </w:tblPr>
      <w:tblGrid>
        <w:gridCol w:w="9016"/>
      </w:tblGrid>
      <w:tr w:rsidR="00E20B28" w14:paraId="2A6CF1EB" w14:textId="77777777" w:rsidTr="00F26C93">
        <w:tc>
          <w:tcPr>
            <w:tcW w:w="9016" w:type="dxa"/>
            <w:shd w:val="clear" w:color="auto" w:fill="D2EDFF" w:themeFill="text1" w:themeFillTint="1A"/>
          </w:tcPr>
          <w:p w14:paraId="70D03D51" w14:textId="5EC686AC" w:rsidR="00E20B28" w:rsidRPr="00CB1E36" w:rsidRDefault="00E20B28" w:rsidP="00F26C93">
            <w:pPr>
              <w:pStyle w:val="Callout"/>
              <w:spacing w:after="120"/>
              <w:rPr>
                <w:b/>
                <w:bCs/>
                <w:sz w:val="20"/>
                <w:szCs w:val="20"/>
              </w:rPr>
            </w:pPr>
            <w:r w:rsidRPr="00CB1E36">
              <w:rPr>
                <w:b/>
                <w:bCs/>
                <w:sz w:val="20"/>
                <w:szCs w:val="20"/>
              </w:rPr>
              <w:t>Finding</w:t>
            </w:r>
            <w:r w:rsidR="005D6D44">
              <w:rPr>
                <w:b/>
                <w:bCs/>
                <w:sz w:val="20"/>
                <w:szCs w:val="20"/>
              </w:rPr>
              <w:t xml:space="preserve"> 9</w:t>
            </w:r>
          </w:p>
          <w:p w14:paraId="632E295E" w14:textId="7BCF436C" w:rsidR="00E20B28" w:rsidRPr="00CB1E36" w:rsidRDefault="005D6D44" w:rsidP="00F26C93">
            <w:pPr>
              <w:pStyle w:val="Callout"/>
              <w:spacing w:after="120"/>
              <w:rPr>
                <w:sz w:val="20"/>
                <w:szCs w:val="20"/>
              </w:rPr>
            </w:pPr>
            <w:r>
              <w:rPr>
                <w:sz w:val="20"/>
                <w:szCs w:val="20"/>
              </w:rPr>
              <w:t>A r</w:t>
            </w:r>
            <w:r w:rsidR="00E20B28" w:rsidRPr="00467936">
              <w:rPr>
                <w:sz w:val="20"/>
                <w:szCs w:val="20"/>
              </w:rPr>
              <w:t xml:space="preserve">eview of </w:t>
            </w:r>
            <w:r>
              <w:rPr>
                <w:sz w:val="20"/>
                <w:szCs w:val="20"/>
              </w:rPr>
              <w:t xml:space="preserve">the </w:t>
            </w:r>
            <w:r w:rsidR="00467936">
              <w:rPr>
                <w:sz w:val="20"/>
                <w:szCs w:val="20"/>
              </w:rPr>
              <w:t>a</w:t>
            </w:r>
            <w:r w:rsidR="00467936" w:rsidRPr="00467936">
              <w:rPr>
                <w:sz w:val="20"/>
                <w:szCs w:val="20"/>
              </w:rPr>
              <w:t xml:space="preserve">dvertising </w:t>
            </w:r>
            <w:r w:rsidR="00467936">
              <w:rPr>
                <w:sz w:val="20"/>
                <w:szCs w:val="20"/>
              </w:rPr>
              <w:t xml:space="preserve">provisions in the Therapeutic Goods </w:t>
            </w:r>
            <w:r w:rsidR="00467936" w:rsidRPr="00467936">
              <w:rPr>
                <w:sz w:val="20"/>
                <w:szCs w:val="20"/>
              </w:rPr>
              <w:t xml:space="preserve">Regulations and </w:t>
            </w:r>
            <w:r w:rsidR="00BF16B2">
              <w:rPr>
                <w:sz w:val="20"/>
                <w:szCs w:val="20"/>
              </w:rPr>
              <w:t xml:space="preserve">the </w:t>
            </w:r>
            <w:r w:rsidR="00E20B28" w:rsidRPr="00467936">
              <w:rPr>
                <w:sz w:val="20"/>
                <w:szCs w:val="20"/>
              </w:rPr>
              <w:t xml:space="preserve">Code </w:t>
            </w:r>
            <w:r w:rsidR="00977334" w:rsidRPr="00467936">
              <w:rPr>
                <w:sz w:val="20"/>
                <w:szCs w:val="20"/>
              </w:rPr>
              <w:t xml:space="preserve">is needed to </w:t>
            </w:r>
            <w:r w:rsidR="00ED7E09" w:rsidRPr="00467936">
              <w:rPr>
                <w:sz w:val="20"/>
                <w:szCs w:val="20"/>
              </w:rPr>
              <w:t xml:space="preserve">identify changes that could be made to </w:t>
            </w:r>
            <w:r w:rsidR="00467936">
              <w:rPr>
                <w:sz w:val="20"/>
                <w:szCs w:val="20"/>
              </w:rPr>
              <w:t>improve</w:t>
            </w:r>
            <w:r w:rsidR="00467936" w:rsidRPr="00467936">
              <w:rPr>
                <w:sz w:val="20"/>
                <w:szCs w:val="20"/>
              </w:rPr>
              <w:t xml:space="preserve"> transparency </w:t>
            </w:r>
            <w:r w:rsidR="00467936">
              <w:rPr>
                <w:sz w:val="20"/>
                <w:szCs w:val="20"/>
              </w:rPr>
              <w:t xml:space="preserve">and access to information </w:t>
            </w:r>
            <w:r w:rsidR="00B23DF5" w:rsidRPr="00467936">
              <w:rPr>
                <w:sz w:val="20"/>
                <w:szCs w:val="20"/>
              </w:rPr>
              <w:t>about</w:t>
            </w:r>
            <w:r w:rsidR="00B23DF5" w:rsidRPr="00CB1E36">
              <w:rPr>
                <w:sz w:val="20"/>
                <w:szCs w:val="20"/>
              </w:rPr>
              <w:t xml:space="preserve"> therapeutic goods</w:t>
            </w:r>
            <w:r w:rsidR="00B23DF5">
              <w:rPr>
                <w:sz w:val="20"/>
                <w:szCs w:val="20"/>
              </w:rPr>
              <w:t xml:space="preserve"> and how they are assessed and approved by the TGA,</w:t>
            </w:r>
            <w:r w:rsidR="00B23DF5" w:rsidRPr="00467936">
              <w:rPr>
                <w:sz w:val="20"/>
                <w:szCs w:val="20"/>
              </w:rPr>
              <w:t xml:space="preserve"> </w:t>
            </w:r>
            <w:r>
              <w:rPr>
                <w:sz w:val="20"/>
                <w:szCs w:val="20"/>
              </w:rPr>
              <w:t xml:space="preserve">including </w:t>
            </w:r>
            <w:r w:rsidR="00FB3552" w:rsidRPr="00467936">
              <w:rPr>
                <w:sz w:val="20"/>
                <w:szCs w:val="20"/>
              </w:rPr>
              <w:t xml:space="preserve">when accessing digital </w:t>
            </w:r>
            <w:r w:rsidR="00FB3552">
              <w:rPr>
                <w:sz w:val="20"/>
                <w:szCs w:val="20"/>
              </w:rPr>
              <w:t>therapeutic goods</w:t>
            </w:r>
            <w:r w:rsidR="00FB3552" w:rsidRPr="00467936">
              <w:rPr>
                <w:sz w:val="20"/>
                <w:szCs w:val="20"/>
              </w:rPr>
              <w:t xml:space="preserve"> through virtual and online environments</w:t>
            </w:r>
            <w:r w:rsidR="00ED7E09" w:rsidRPr="00CB1E36">
              <w:rPr>
                <w:sz w:val="20"/>
                <w:szCs w:val="20"/>
              </w:rPr>
              <w:t>.</w:t>
            </w:r>
          </w:p>
          <w:p w14:paraId="016C14F7" w14:textId="539BDF5A" w:rsidR="00B16704" w:rsidRPr="00B16704" w:rsidRDefault="000D3954" w:rsidP="00F26C93">
            <w:pPr>
              <w:pStyle w:val="Callout"/>
              <w:spacing w:after="120"/>
              <w:rPr>
                <w:sz w:val="20"/>
                <w:szCs w:val="20"/>
              </w:rPr>
            </w:pPr>
            <w:r w:rsidRPr="00CB1E36">
              <w:rPr>
                <w:sz w:val="20"/>
                <w:szCs w:val="20"/>
              </w:rPr>
              <w:t xml:space="preserve">Targeted review and consultation with stakeholders </w:t>
            </w:r>
            <w:r w:rsidR="00FB3552">
              <w:rPr>
                <w:sz w:val="20"/>
                <w:szCs w:val="20"/>
              </w:rPr>
              <w:t>are</w:t>
            </w:r>
            <w:r w:rsidRPr="00CB1E36">
              <w:rPr>
                <w:sz w:val="20"/>
                <w:szCs w:val="20"/>
              </w:rPr>
              <w:t xml:space="preserve"> needed to further enhance measures like UDI </w:t>
            </w:r>
            <w:r w:rsidR="005D6D44">
              <w:rPr>
                <w:sz w:val="20"/>
                <w:szCs w:val="20"/>
              </w:rPr>
              <w:t xml:space="preserve">to include </w:t>
            </w:r>
            <w:r w:rsidR="00DE00C7" w:rsidRPr="00CB1E36">
              <w:rPr>
                <w:sz w:val="20"/>
                <w:szCs w:val="20"/>
              </w:rPr>
              <w:t xml:space="preserve">software and AI-related details for both standalone software </w:t>
            </w:r>
            <w:r w:rsidR="007A088F" w:rsidRPr="00CB1E36">
              <w:rPr>
                <w:sz w:val="20"/>
                <w:szCs w:val="20"/>
              </w:rPr>
              <w:t>and</w:t>
            </w:r>
            <w:r w:rsidR="00DE00C7" w:rsidRPr="00CB1E36">
              <w:rPr>
                <w:sz w:val="20"/>
                <w:szCs w:val="20"/>
              </w:rPr>
              <w:t xml:space="preserve"> </w:t>
            </w:r>
            <w:r w:rsidRPr="00CB1E36">
              <w:rPr>
                <w:sz w:val="20"/>
                <w:szCs w:val="20"/>
              </w:rPr>
              <w:t xml:space="preserve">software </w:t>
            </w:r>
            <w:r w:rsidR="007A088F" w:rsidRPr="00CB1E36">
              <w:rPr>
                <w:sz w:val="20"/>
                <w:szCs w:val="20"/>
              </w:rPr>
              <w:t>incor</w:t>
            </w:r>
            <w:r w:rsidR="00B16704" w:rsidRPr="00CB1E36">
              <w:rPr>
                <w:sz w:val="20"/>
                <w:szCs w:val="20"/>
              </w:rPr>
              <w:t>porated in a medical device</w:t>
            </w:r>
            <w:r w:rsidRPr="00CB1E36">
              <w:rPr>
                <w:sz w:val="20"/>
                <w:szCs w:val="20"/>
              </w:rPr>
              <w:t>.</w:t>
            </w:r>
          </w:p>
        </w:tc>
      </w:tr>
    </w:tbl>
    <w:p w14:paraId="707D2C14" w14:textId="115CED1B" w:rsidR="00CB38E7" w:rsidRDefault="00C91BA4" w:rsidP="00CB38E7">
      <w:pPr>
        <w:pStyle w:val="Heading3"/>
      </w:pPr>
      <w:bookmarkStart w:id="25" w:name="_Guidance_and_information"/>
      <w:bookmarkStart w:id="26" w:name="_Guidance"/>
      <w:bookmarkStart w:id="27" w:name="_Toc184721112"/>
      <w:bookmarkEnd w:id="25"/>
      <w:bookmarkEnd w:id="26"/>
      <w:r>
        <w:t>Guidance</w:t>
      </w:r>
      <w:bookmarkEnd w:id="27"/>
    </w:p>
    <w:p w14:paraId="58C947ED" w14:textId="5BC2F749" w:rsidR="00607301" w:rsidRDefault="00A92D45" w:rsidP="00E54E34">
      <w:r>
        <w:t>AI models and systems are used in a myriad of ways</w:t>
      </w:r>
      <w:r w:rsidR="00B744DF">
        <w:t>,</w:t>
      </w:r>
      <w:r>
        <w:t xml:space="preserve"> including</w:t>
      </w:r>
      <w:r w:rsidR="00607301">
        <w:t xml:space="preserve"> (but not limited to):</w:t>
      </w:r>
    </w:p>
    <w:p w14:paraId="33173C15" w14:textId="1603E928" w:rsidR="00607301" w:rsidRDefault="00A92D45" w:rsidP="00607301">
      <w:pPr>
        <w:pStyle w:val="ListParagraph"/>
      </w:pPr>
      <w:r>
        <w:t>in the design and manufacturing process</w:t>
      </w:r>
    </w:p>
    <w:p w14:paraId="6D63993A" w14:textId="2F145895" w:rsidR="00607301" w:rsidRDefault="00607301" w:rsidP="00607301">
      <w:pPr>
        <w:pStyle w:val="ListParagraph"/>
      </w:pPr>
      <w:r>
        <w:t xml:space="preserve">in </w:t>
      </w:r>
      <w:r w:rsidR="002D7C64">
        <w:t>clinical trials</w:t>
      </w:r>
      <w:r w:rsidR="00A92D45">
        <w:t xml:space="preserve"> for therapeutic goods</w:t>
      </w:r>
      <w:r w:rsidR="00DE00C7">
        <w:t>,</w:t>
      </w:r>
      <w:r w:rsidR="00A92D45">
        <w:t xml:space="preserve"> and </w:t>
      </w:r>
    </w:p>
    <w:p w14:paraId="009612FE" w14:textId="77777777" w:rsidR="00607301" w:rsidRDefault="00A92D45" w:rsidP="00607301">
      <w:pPr>
        <w:pStyle w:val="ListParagraph"/>
      </w:pPr>
      <w:r>
        <w:t xml:space="preserve">where it is, or is incorporated within, a therapeutic good. </w:t>
      </w:r>
    </w:p>
    <w:p w14:paraId="6F07C447" w14:textId="6CB54146" w:rsidR="00A92D45" w:rsidRDefault="00FA2AAA" w:rsidP="00607301">
      <w:r>
        <w:t xml:space="preserve">A </w:t>
      </w:r>
      <w:r w:rsidR="005D6D44">
        <w:t>key</w:t>
      </w:r>
      <w:r>
        <w:t xml:space="preserve"> finding of the review is that while the existing framework’s legislation and regulations are largely fit-for-purpose, there is a lack of information available about how the existing framework should be applied to emerging use cases of AI.</w:t>
      </w:r>
    </w:p>
    <w:p w14:paraId="2C9D0B6C" w14:textId="5C9EDD81" w:rsidR="00E54E34" w:rsidRDefault="00754CF8" w:rsidP="00E54E34">
      <w:r>
        <w:t xml:space="preserve">Guidance is an important tool </w:t>
      </w:r>
      <w:r w:rsidR="005D6D44">
        <w:t xml:space="preserve">published </w:t>
      </w:r>
      <w:r>
        <w:t xml:space="preserve">by </w:t>
      </w:r>
      <w:r w:rsidR="005D6D44">
        <w:t xml:space="preserve">the </w:t>
      </w:r>
      <w:r>
        <w:t xml:space="preserve">TGA to support </w:t>
      </w:r>
      <w:r w:rsidR="005D6D44">
        <w:t xml:space="preserve">both </w:t>
      </w:r>
      <w:r>
        <w:t xml:space="preserve">regulatory </w:t>
      </w:r>
      <w:r w:rsidR="00DE00C7">
        <w:t xml:space="preserve">and compliance </w:t>
      </w:r>
      <w:r w:rsidR="00F95807">
        <w:t>activities</w:t>
      </w:r>
      <w:r w:rsidR="005D6D44">
        <w:t xml:space="preserve">. It helps sponsors to </w:t>
      </w:r>
      <w:r>
        <w:t>understand</w:t>
      </w:r>
      <w:r w:rsidR="005D6D44">
        <w:t xml:space="preserve"> the regulatory requirements and </w:t>
      </w:r>
      <w:r>
        <w:t>offer</w:t>
      </w:r>
      <w:r w:rsidR="005D6D44">
        <w:t>s</w:t>
      </w:r>
      <w:r>
        <w:t xml:space="preserve"> flexibility in how regulations are implemented. </w:t>
      </w:r>
    </w:p>
    <w:p w14:paraId="1CC9397D" w14:textId="3A9716AF" w:rsidR="00B13D86" w:rsidRPr="00504A67" w:rsidRDefault="00D30DB6" w:rsidP="00D30DB6">
      <w:r>
        <w:t xml:space="preserve">Stakeholders noted that while many guidelines and standards relating to </w:t>
      </w:r>
      <w:r w:rsidR="00942DCA">
        <w:t xml:space="preserve">the </w:t>
      </w:r>
      <w:r>
        <w:t>regulation of therapeutic goods and provision of healthcare services exist, there are few resources explaining how they should be applied to emerging technologies</w:t>
      </w:r>
      <w:r w:rsidR="00636AC6">
        <w:t>,</w:t>
      </w:r>
      <w:r>
        <w:t xml:space="preserve"> including AI</w:t>
      </w:r>
      <w:r w:rsidRPr="00504A67">
        <w:t xml:space="preserve">. </w:t>
      </w:r>
      <w:r w:rsidR="00942DCA">
        <w:t xml:space="preserve">Feedback during the review identified </w:t>
      </w:r>
      <w:r w:rsidR="00B13D86" w:rsidRPr="00504A67">
        <w:t xml:space="preserve">specific areas where more information </w:t>
      </w:r>
      <w:r w:rsidR="00942DCA">
        <w:t xml:space="preserve">is needed </w:t>
      </w:r>
      <w:r w:rsidR="00B13D86" w:rsidRPr="00504A67">
        <w:t>and the b</w:t>
      </w:r>
      <w:r w:rsidRPr="00504A67">
        <w:t>arriers to the development of these resources</w:t>
      </w:r>
      <w:r w:rsidR="00942DCA">
        <w:t>, particularly</w:t>
      </w:r>
      <w:r w:rsidR="00B13D86" w:rsidRPr="00504A67">
        <w:t xml:space="preserve"> </w:t>
      </w:r>
      <w:r w:rsidR="00942DCA">
        <w:t xml:space="preserve">regarding </w:t>
      </w:r>
      <w:r w:rsidR="00B13D86" w:rsidRPr="00504A67">
        <w:t>technical aspects of medical device regulation</w:t>
      </w:r>
      <w:r w:rsidR="005C04E8">
        <w:t>,</w:t>
      </w:r>
      <w:r w:rsidR="00B13D86" w:rsidRPr="00504A67">
        <w:t xml:space="preserve"> including:</w:t>
      </w:r>
    </w:p>
    <w:p w14:paraId="091126EB" w14:textId="4AF5BD16" w:rsidR="00B13D86" w:rsidRPr="00504A67" w:rsidRDefault="00B13D86" w:rsidP="00B13D86">
      <w:pPr>
        <w:pStyle w:val="ListParagraph"/>
      </w:pPr>
      <w:hyperlink w:anchor="_Continuous__" w:history="1">
        <w:r w:rsidRPr="00504A67">
          <w:rPr>
            <w:rStyle w:val="Hyperlink"/>
            <w:rFonts w:asciiTheme="minorHAnsi" w:hAnsiTheme="minorHAnsi"/>
          </w:rPr>
          <w:t>Continuous change control for adaptive AI</w:t>
        </w:r>
      </w:hyperlink>
    </w:p>
    <w:p w14:paraId="3D0CEC17" w14:textId="444CB06E" w:rsidR="00B13D86" w:rsidRPr="00504A67" w:rsidRDefault="00B13D86" w:rsidP="00B13D86">
      <w:pPr>
        <w:pStyle w:val="ListParagraph"/>
      </w:pPr>
      <w:hyperlink w:anchor="_Use__of" w:history="1">
        <w:r w:rsidRPr="00504A67">
          <w:rPr>
            <w:rStyle w:val="Hyperlink"/>
            <w:rFonts w:asciiTheme="minorHAnsi" w:hAnsiTheme="minorHAnsi"/>
          </w:rPr>
          <w:t>Use of datasets and software of unknown provenance</w:t>
        </w:r>
      </w:hyperlink>
    </w:p>
    <w:p w14:paraId="2DE65936" w14:textId="1561A148" w:rsidR="00D30DB6" w:rsidRPr="00504A67" w:rsidRDefault="00B13D86" w:rsidP="00B13D86">
      <w:pPr>
        <w:pStyle w:val="ListParagraph"/>
      </w:pPr>
      <w:hyperlink w:anchor="_Performance__reporting" w:history="1">
        <w:r w:rsidRPr="00504A67">
          <w:rPr>
            <w:rStyle w:val="Hyperlink"/>
            <w:rFonts w:asciiTheme="minorHAnsi" w:hAnsiTheme="minorHAnsi"/>
          </w:rPr>
          <w:t>Performance reporting</w:t>
        </w:r>
      </w:hyperlink>
    </w:p>
    <w:p w14:paraId="78D7A227" w14:textId="07C58D36" w:rsidR="00D30DB6" w:rsidRDefault="00D30DB6" w:rsidP="00D30DB6">
      <w:pPr>
        <w:pStyle w:val="Heading4"/>
      </w:pPr>
      <w:bookmarkStart w:id="28" w:name="_Toc184721113"/>
      <w:r>
        <w:t>TGA website</w:t>
      </w:r>
      <w:bookmarkEnd w:id="28"/>
    </w:p>
    <w:p w14:paraId="1DB4075D" w14:textId="5B62D014" w:rsidR="000F4E4F" w:rsidRPr="00460F97" w:rsidRDefault="00942DCA" w:rsidP="00D30DB6">
      <w:r>
        <w:t>S</w:t>
      </w:r>
      <w:r w:rsidR="00D30DB6" w:rsidRPr="00460F97">
        <w:t xml:space="preserve">takeholders from </w:t>
      </w:r>
      <w:r w:rsidR="00E13DB0" w:rsidRPr="00460F97">
        <w:t xml:space="preserve">different cohorts provided feedback on information available through the TGA website and other resources. </w:t>
      </w:r>
      <w:r>
        <w:t>I</w:t>
      </w:r>
      <w:r w:rsidR="000F4E4F" w:rsidRPr="00460F97">
        <w:t>n relation to the TGA website</w:t>
      </w:r>
      <w:r w:rsidR="000A2848">
        <w:t>.</w:t>
      </w:r>
    </w:p>
    <w:p w14:paraId="4FB85FE9" w14:textId="77777777" w:rsidR="000F4E4F" w:rsidRPr="00460F97" w:rsidRDefault="000F4E4F" w:rsidP="00D56E25">
      <w:pPr>
        <w:pStyle w:val="ListParagraph"/>
      </w:pPr>
      <w:r w:rsidRPr="00460F97">
        <w:t xml:space="preserve">There is an </w:t>
      </w:r>
      <w:r w:rsidR="00D30DB6" w:rsidRPr="00460F97">
        <w:t>overall lack of resources and information available for members of the public who use therapeutic goods, including both consumers and clinicians.</w:t>
      </w:r>
    </w:p>
    <w:p w14:paraId="7A48C68D" w14:textId="59BBB2FD" w:rsidR="00C1438B" w:rsidRPr="00460F97" w:rsidRDefault="00C1438B" w:rsidP="00D56E25">
      <w:pPr>
        <w:pStyle w:val="ListParagraph"/>
      </w:pPr>
      <w:r w:rsidRPr="00460F97">
        <w:t>Information on the TGA website, particularly for medical devices, is not well organised and finding it is difficult without the use of Google or similar search engines.</w:t>
      </w:r>
    </w:p>
    <w:p w14:paraId="017290ED" w14:textId="1F3DC214" w:rsidR="004B624F" w:rsidRPr="00460F97" w:rsidRDefault="00C1438B" w:rsidP="00D56E25">
      <w:pPr>
        <w:pStyle w:val="ListParagraph"/>
      </w:pPr>
      <w:r w:rsidRPr="00460F97">
        <w:lastRenderedPageBreak/>
        <w:t xml:space="preserve">There is a lot of information and guidance about </w:t>
      </w:r>
      <w:r w:rsidR="00FD50DB" w:rsidRPr="00460F97">
        <w:t>the regulation of software a</w:t>
      </w:r>
      <w:r w:rsidRPr="00460F97">
        <w:t>vailable on the website, but it is poorly organised, difficult to find</w:t>
      </w:r>
      <w:r w:rsidR="00641AB7" w:rsidRPr="00460F97">
        <w:t>,</w:t>
      </w:r>
      <w:r w:rsidRPr="00460F97">
        <w:t xml:space="preserve"> lacking in key areas </w:t>
      </w:r>
      <w:r w:rsidR="00641AB7" w:rsidRPr="00460F97">
        <w:t>and not well updated as developments in the field occur.</w:t>
      </w:r>
    </w:p>
    <w:p w14:paraId="417FE139" w14:textId="303EEAB0" w:rsidR="00460F97" w:rsidRDefault="00D30DB6" w:rsidP="00D56E25">
      <w:pPr>
        <w:pStyle w:val="ListParagraph"/>
      </w:pPr>
      <w:r w:rsidRPr="00460F97">
        <w:t>Many of the compliance matters identified in the review</w:t>
      </w:r>
      <w:r w:rsidR="00C755B6">
        <w:t xml:space="preserve"> </w:t>
      </w:r>
      <w:r w:rsidRPr="00460F97">
        <w:t>relate to a lack of available information accessible in places where stakeholders would look for it.</w:t>
      </w:r>
    </w:p>
    <w:p w14:paraId="0422FD38" w14:textId="6839A071" w:rsidR="00362B23" w:rsidRDefault="00362B23" w:rsidP="00D56E25">
      <w:pPr>
        <w:pStyle w:val="ListParagraph"/>
      </w:pPr>
      <w:r>
        <w:t>Consideration should be given to the development of resources beyond guidance documents on the website including videos, fact sheets, etc available through social media platforms and linked to places where people might look for them including the Department website.</w:t>
      </w:r>
    </w:p>
    <w:p w14:paraId="287BC4DB" w14:textId="77777777" w:rsidR="006E1CB1" w:rsidRPr="00460F97" w:rsidRDefault="006E1CB1" w:rsidP="001F0A97">
      <w:pPr>
        <w:pStyle w:val="ListParagraph"/>
        <w:numPr>
          <w:ilvl w:val="0"/>
          <w:numId w:val="0"/>
        </w:numPr>
        <w:ind w:left="720"/>
      </w:pPr>
    </w:p>
    <w:tbl>
      <w:tblPr>
        <w:tblStyle w:val="TableGrid"/>
        <w:tblW w:w="0" w:type="auto"/>
        <w:tblLook w:val="04A0" w:firstRow="1" w:lastRow="0" w:firstColumn="1" w:lastColumn="0" w:noHBand="0" w:noVBand="1"/>
      </w:tblPr>
      <w:tblGrid>
        <w:gridCol w:w="9016"/>
      </w:tblGrid>
      <w:tr w:rsidR="00D30DB6" w14:paraId="675269F5" w14:textId="77777777" w:rsidTr="003F4E7A">
        <w:tc>
          <w:tcPr>
            <w:tcW w:w="9016" w:type="dxa"/>
            <w:shd w:val="clear" w:color="auto" w:fill="D2EDFF" w:themeFill="text1" w:themeFillTint="1A"/>
          </w:tcPr>
          <w:p w14:paraId="7E772B76" w14:textId="30EBAB0F" w:rsidR="00D30DB6" w:rsidRPr="00CB1E36" w:rsidRDefault="00D30DB6" w:rsidP="003F4E7A">
            <w:pPr>
              <w:pStyle w:val="Callout"/>
              <w:spacing w:after="120"/>
              <w:rPr>
                <w:b/>
                <w:bCs/>
                <w:sz w:val="20"/>
                <w:szCs w:val="20"/>
              </w:rPr>
            </w:pPr>
            <w:r w:rsidRPr="00CB1E36">
              <w:rPr>
                <w:b/>
                <w:bCs/>
                <w:sz w:val="20"/>
                <w:szCs w:val="20"/>
              </w:rPr>
              <w:t>Finding</w:t>
            </w:r>
            <w:r w:rsidR="00942DCA">
              <w:rPr>
                <w:b/>
                <w:bCs/>
                <w:sz w:val="20"/>
                <w:szCs w:val="20"/>
              </w:rPr>
              <w:t xml:space="preserve"> 10</w:t>
            </w:r>
          </w:p>
          <w:p w14:paraId="4C6E246C" w14:textId="23ADBB2C" w:rsidR="007B3775" w:rsidRPr="00CB1E36" w:rsidRDefault="007B3775" w:rsidP="003F4E7A">
            <w:pPr>
              <w:pStyle w:val="Callout"/>
              <w:spacing w:after="120"/>
              <w:rPr>
                <w:sz w:val="20"/>
                <w:szCs w:val="20"/>
              </w:rPr>
            </w:pPr>
            <w:r w:rsidRPr="00CB1E36">
              <w:rPr>
                <w:sz w:val="20"/>
                <w:szCs w:val="20"/>
              </w:rPr>
              <w:t>A general review of the TGA’s website</w:t>
            </w:r>
            <w:r w:rsidR="00C755B6">
              <w:rPr>
                <w:sz w:val="20"/>
                <w:szCs w:val="20"/>
              </w:rPr>
              <w:t>,</w:t>
            </w:r>
            <w:r w:rsidRPr="00CB1E36">
              <w:rPr>
                <w:sz w:val="20"/>
                <w:szCs w:val="20"/>
              </w:rPr>
              <w:t xml:space="preserve"> including layout and content</w:t>
            </w:r>
            <w:r w:rsidR="00C755B6">
              <w:rPr>
                <w:sz w:val="20"/>
                <w:szCs w:val="20"/>
              </w:rPr>
              <w:t>,</w:t>
            </w:r>
            <w:r w:rsidRPr="00CB1E36">
              <w:rPr>
                <w:sz w:val="20"/>
                <w:szCs w:val="20"/>
              </w:rPr>
              <w:t xml:space="preserve"> is needed</w:t>
            </w:r>
            <w:r w:rsidR="00FD237D" w:rsidRPr="00CB1E36">
              <w:rPr>
                <w:sz w:val="20"/>
                <w:szCs w:val="20"/>
              </w:rPr>
              <w:t>.</w:t>
            </w:r>
          </w:p>
          <w:p w14:paraId="446151B4" w14:textId="77777777" w:rsidR="00372DFA" w:rsidRPr="00834BD0" w:rsidRDefault="00372DFA" w:rsidP="00D56E25">
            <w:pPr>
              <w:pStyle w:val="ListParagraph"/>
              <w:rPr>
                <w:sz w:val="20"/>
                <w:szCs w:val="20"/>
              </w:rPr>
            </w:pPr>
            <w:r w:rsidRPr="00834BD0">
              <w:rPr>
                <w:sz w:val="20"/>
                <w:szCs w:val="20"/>
              </w:rPr>
              <w:t>Specific content and landing pages for consumers and health professionals should be reinstated.</w:t>
            </w:r>
          </w:p>
          <w:p w14:paraId="3CCB4767" w14:textId="4975EF67" w:rsidR="00D30DB6" w:rsidRPr="00834BD0" w:rsidRDefault="00D30DB6" w:rsidP="003F4E7A">
            <w:pPr>
              <w:pStyle w:val="Callout"/>
              <w:spacing w:after="120"/>
              <w:rPr>
                <w:sz w:val="20"/>
                <w:szCs w:val="20"/>
              </w:rPr>
            </w:pPr>
            <w:r w:rsidRPr="00834BD0">
              <w:rPr>
                <w:sz w:val="20"/>
                <w:szCs w:val="20"/>
              </w:rPr>
              <w:t>A review, consolidation and update of guidance and information available on the TGA’s website for software based medical devices, including AI, is required.</w:t>
            </w:r>
          </w:p>
          <w:p w14:paraId="5D7F05DF" w14:textId="77777777" w:rsidR="00D30DB6" w:rsidRPr="00834BD0" w:rsidRDefault="00D30DB6" w:rsidP="003F4E7A">
            <w:pPr>
              <w:pStyle w:val="Callout"/>
              <w:spacing w:after="120"/>
              <w:rPr>
                <w:sz w:val="20"/>
                <w:szCs w:val="20"/>
              </w:rPr>
            </w:pPr>
            <w:r w:rsidRPr="00834BD0">
              <w:rPr>
                <w:sz w:val="20"/>
                <w:szCs w:val="20"/>
              </w:rPr>
              <w:t>Guidance should:</w:t>
            </w:r>
          </w:p>
          <w:p w14:paraId="6D11127A" w14:textId="78BE1E1A" w:rsidR="00D30DB6" w:rsidRPr="00834BD0" w:rsidRDefault="00C753D7" w:rsidP="00D56E25">
            <w:pPr>
              <w:pStyle w:val="ListParagraph"/>
              <w:rPr>
                <w:sz w:val="20"/>
                <w:szCs w:val="20"/>
              </w:rPr>
            </w:pPr>
            <w:r>
              <w:rPr>
                <w:sz w:val="20"/>
                <w:szCs w:val="20"/>
              </w:rPr>
              <w:t>b</w:t>
            </w:r>
            <w:r w:rsidR="00D30DB6" w:rsidRPr="00834BD0">
              <w:rPr>
                <w:sz w:val="20"/>
                <w:szCs w:val="20"/>
              </w:rPr>
              <w:t>e easy to locate on the TGA’s website</w:t>
            </w:r>
          </w:p>
          <w:p w14:paraId="42FEC3B0" w14:textId="3095C62E" w:rsidR="00D30DB6" w:rsidRPr="00834BD0" w:rsidRDefault="00C753D7" w:rsidP="00D56E25">
            <w:pPr>
              <w:pStyle w:val="ListParagraph"/>
              <w:rPr>
                <w:sz w:val="20"/>
                <w:szCs w:val="20"/>
              </w:rPr>
            </w:pPr>
            <w:r>
              <w:rPr>
                <w:sz w:val="20"/>
                <w:szCs w:val="20"/>
              </w:rPr>
              <w:t>u</w:t>
            </w:r>
            <w:r w:rsidR="00D30DB6" w:rsidRPr="00834BD0">
              <w:rPr>
                <w:sz w:val="20"/>
                <w:szCs w:val="20"/>
              </w:rPr>
              <w:t>se example use cases to show how the existing regulatory framework is applied</w:t>
            </w:r>
          </w:p>
          <w:p w14:paraId="42A60A08" w14:textId="7CE09A90" w:rsidR="00D30DB6" w:rsidRPr="00834BD0" w:rsidRDefault="00C753D7" w:rsidP="00D56E25">
            <w:pPr>
              <w:pStyle w:val="ListParagraph"/>
              <w:rPr>
                <w:sz w:val="20"/>
                <w:szCs w:val="20"/>
              </w:rPr>
            </w:pPr>
            <w:r>
              <w:rPr>
                <w:sz w:val="20"/>
                <w:szCs w:val="20"/>
              </w:rPr>
              <w:t>e</w:t>
            </w:r>
            <w:r w:rsidR="00D30DB6" w:rsidRPr="00834BD0">
              <w:rPr>
                <w:sz w:val="20"/>
                <w:szCs w:val="20"/>
              </w:rPr>
              <w:t>xplain how the existing legislation and regulations apply to the various AI subtypes</w:t>
            </w:r>
            <w:r w:rsidR="00634D23">
              <w:rPr>
                <w:sz w:val="20"/>
                <w:szCs w:val="20"/>
              </w:rPr>
              <w:t>, and</w:t>
            </w:r>
          </w:p>
          <w:p w14:paraId="76DBBF9A" w14:textId="4F968DEF" w:rsidR="00D30DB6" w:rsidRPr="00AD46F0" w:rsidRDefault="00C753D7" w:rsidP="00D56E25">
            <w:pPr>
              <w:pStyle w:val="ListParagraph"/>
            </w:pPr>
            <w:r>
              <w:rPr>
                <w:sz w:val="20"/>
                <w:szCs w:val="20"/>
              </w:rPr>
              <w:t>i</w:t>
            </w:r>
            <w:r w:rsidR="00D30DB6" w:rsidRPr="00834BD0">
              <w:rPr>
                <w:sz w:val="20"/>
                <w:szCs w:val="20"/>
              </w:rPr>
              <w:t>ncorporate links to guidance from other regulators for matters like privacy</w:t>
            </w:r>
            <w:r w:rsidR="00DE52DC">
              <w:rPr>
                <w:sz w:val="20"/>
                <w:szCs w:val="20"/>
              </w:rPr>
              <w:t>.</w:t>
            </w:r>
          </w:p>
        </w:tc>
      </w:tr>
    </w:tbl>
    <w:p w14:paraId="29497ABD" w14:textId="5012FE54" w:rsidR="00FA2AAA" w:rsidRDefault="00FA2AAA" w:rsidP="00FA2AAA">
      <w:pPr>
        <w:pStyle w:val="Heading4"/>
      </w:pPr>
      <w:bookmarkStart w:id="29" w:name="_Continuous__"/>
      <w:bookmarkStart w:id="30" w:name="_Toc184721114"/>
      <w:bookmarkEnd w:id="29"/>
      <w:r w:rsidRPr="00E24D2D">
        <w:t xml:space="preserve">Continuous </w:t>
      </w:r>
      <w:r w:rsidR="009443C8">
        <w:t>change control</w:t>
      </w:r>
      <w:r w:rsidR="009443C8" w:rsidRPr="00E24D2D">
        <w:t xml:space="preserve"> </w:t>
      </w:r>
      <w:r w:rsidRPr="00E24D2D">
        <w:t>for adaptive AI</w:t>
      </w:r>
      <w:bookmarkEnd w:id="30"/>
    </w:p>
    <w:p w14:paraId="02F6809A" w14:textId="5DCFDAF8" w:rsidR="00FA2AAA" w:rsidRDefault="00FA2AAA" w:rsidP="00FA2AAA">
      <w:r>
        <w:t>Current regulatory approaches are based on assessment of static or “locked” models and systems</w:t>
      </w:r>
      <w:r w:rsidR="00C857B2">
        <w:t xml:space="preserve">, </w:t>
      </w:r>
      <w:r>
        <w:t>where:</w:t>
      </w:r>
    </w:p>
    <w:p w14:paraId="45B0428D" w14:textId="0A10516F" w:rsidR="00FA2AAA" w:rsidRDefault="00FA2AAA" w:rsidP="00D56E25">
      <w:pPr>
        <w:pStyle w:val="ListParagraph"/>
      </w:pPr>
      <w:r>
        <w:t>the safety, performance and effectiveness of medical devices are assessed before deployment</w:t>
      </w:r>
      <w:r w:rsidR="00780E70">
        <w:t>,</w:t>
      </w:r>
      <w:r>
        <w:t xml:space="preserve"> and</w:t>
      </w:r>
    </w:p>
    <w:p w14:paraId="15F5F451" w14:textId="33705FCE" w:rsidR="00FA2AAA" w:rsidRDefault="00FA2AAA" w:rsidP="00D56E25">
      <w:pPr>
        <w:pStyle w:val="ListParagraph"/>
      </w:pPr>
      <w:r>
        <w:t xml:space="preserve">the ongoing performance of the device once deployed is monitored through post-market monitoring systems and reporting of adverse </w:t>
      </w:r>
      <w:r w:rsidR="00834BD0">
        <w:t>events and</w:t>
      </w:r>
      <w:r w:rsidR="00081B3C">
        <w:t xml:space="preserve"> maintained through recalls.</w:t>
      </w:r>
    </w:p>
    <w:p w14:paraId="17AA90C9" w14:textId="1504FBB0" w:rsidR="00FA2AAA" w:rsidRDefault="00780E70" w:rsidP="00FA2AAA">
      <w:pPr>
        <w:spacing w:before="120"/>
      </w:pPr>
      <w:r>
        <w:t>Device m</w:t>
      </w:r>
      <w:r w:rsidR="00FA2AAA">
        <w:t xml:space="preserve">anufacturers are currently required to notify the TGA </w:t>
      </w:r>
      <w:r w:rsidR="008E65CB">
        <w:t xml:space="preserve">or certifying body </w:t>
      </w:r>
      <w:r w:rsidR="00FA2AAA">
        <w:t xml:space="preserve">of significant changes to their </w:t>
      </w:r>
      <w:r w:rsidR="00942DCA">
        <w:t xml:space="preserve">medical </w:t>
      </w:r>
      <w:r w:rsidR="00FA2AAA">
        <w:t>device</w:t>
      </w:r>
      <w:r w:rsidR="008E65CB">
        <w:t>, including</w:t>
      </w:r>
      <w:r w:rsidR="00FA2AAA">
        <w:t xml:space="preserve"> if these changes alter the intended purpose</w:t>
      </w:r>
      <w:r>
        <w:t>. S</w:t>
      </w:r>
      <w:r w:rsidR="008E65CB">
        <w:t>ponsors must ensure the currency of information in the ARTG is maintained.</w:t>
      </w:r>
    </w:p>
    <w:p w14:paraId="05811BD5" w14:textId="02D1D0C8" w:rsidR="00FA2AAA" w:rsidRDefault="00942DCA" w:rsidP="00FA2AAA">
      <w:pPr>
        <w:spacing w:before="120"/>
      </w:pPr>
      <w:r>
        <w:t>Medical d</w:t>
      </w:r>
      <w:r w:rsidR="00FA2AAA">
        <w:t xml:space="preserve">evices that are, or incorporate, adaptive or generative AI have the capacity to alter functionality over time </w:t>
      </w:r>
      <w:r w:rsidR="00044B45">
        <w:t xml:space="preserve">with or </w:t>
      </w:r>
      <w:r w:rsidR="00FA2AAA">
        <w:t xml:space="preserve">without direct manufacturer oversight. </w:t>
      </w:r>
      <w:r>
        <w:t>The</w:t>
      </w:r>
      <w:r w:rsidR="00FA2AAA">
        <w:t xml:space="preserve"> current </w:t>
      </w:r>
      <w:r>
        <w:t xml:space="preserve">regulatory </w:t>
      </w:r>
      <w:r w:rsidR="00FA2AAA">
        <w:t xml:space="preserve">framework has not yet been tested against devices that are constantly evolving, </w:t>
      </w:r>
      <w:r>
        <w:t xml:space="preserve">and it may be </w:t>
      </w:r>
      <w:r w:rsidR="00FA2AAA">
        <w:t>difficult to identify when a significant change has occurred</w:t>
      </w:r>
      <w:r>
        <w:t>. Using the</w:t>
      </w:r>
      <w:r w:rsidR="00FA2AAA">
        <w:t xml:space="preserve"> existing process</w:t>
      </w:r>
      <w:r w:rsidR="00354572">
        <w:t>es for reassessment</w:t>
      </w:r>
      <w:r w:rsidR="00FA2AAA">
        <w:t xml:space="preserve"> is likely to become both costly and time consuming</w:t>
      </w:r>
      <w:r>
        <w:t xml:space="preserve"> for sponsors and manufacturers/developers</w:t>
      </w:r>
      <w:r w:rsidR="00FA2AAA">
        <w:t>.</w:t>
      </w:r>
    </w:p>
    <w:p w14:paraId="45155F52" w14:textId="380551EE" w:rsidR="00FA2AAA" w:rsidRDefault="00942DCA" w:rsidP="00FA2AAA">
      <w:r>
        <w:t>R</w:t>
      </w:r>
      <w:r w:rsidR="00FA2AAA">
        <w:t>egulators around the world are currently considering the most appropriate method</w:t>
      </w:r>
      <w:r w:rsidR="00354572">
        <w:t>s for</w:t>
      </w:r>
      <w:r w:rsidR="00FA2AAA">
        <w:t xml:space="preserve"> </w:t>
      </w:r>
      <w:r w:rsidR="000218E3">
        <w:t xml:space="preserve">change </w:t>
      </w:r>
      <w:r w:rsidR="00915621">
        <w:t>control</w:t>
      </w:r>
      <w:r w:rsidR="00CF703F">
        <w:t>,</w:t>
      </w:r>
      <w:r w:rsidR="000218E3">
        <w:t xml:space="preserve"> including </w:t>
      </w:r>
      <w:r w:rsidR="00FA2AAA">
        <w:t>validation</w:t>
      </w:r>
      <w:r w:rsidR="00354572">
        <w:t xml:space="preserve"> and ongoing monitoring of performance</w:t>
      </w:r>
      <w:r w:rsidR="00FA2AAA">
        <w:t xml:space="preserve">. The lack of agreed guidelines and standards determining acceptable parameters for validation and verification of adaptive models and systems was raised by a number of stakeholders. </w:t>
      </w:r>
      <w:r w:rsidR="00275524">
        <w:t>While c</w:t>
      </w:r>
      <w:r w:rsidR="00354572">
        <w:t xml:space="preserve">urrently there are few examples of generative or adaptive AI as medical devices, </w:t>
      </w:r>
      <w:r>
        <w:t xml:space="preserve">the TGA has noted that </w:t>
      </w:r>
      <w:r w:rsidR="00FA2AAA">
        <w:t>these resources are in development</w:t>
      </w:r>
      <w:r>
        <w:t xml:space="preserve">. Currently, in most instances, change control </w:t>
      </w:r>
      <w:r w:rsidR="00FA2AAA">
        <w:t>is determined by developers and assessors of AI on a case-by-case basis</w:t>
      </w:r>
      <w:r w:rsidR="00354572">
        <w:t xml:space="preserve"> driven by the specific purpose of the model or system</w:t>
      </w:r>
      <w:r w:rsidR="00FA2AAA">
        <w:t>.</w:t>
      </w:r>
    </w:p>
    <w:p w14:paraId="1C57BD1F" w14:textId="7C49316C" w:rsidR="00E52F70" w:rsidRDefault="00FA2AAA" w:rsidP="00FA2AAA">
      <w:r>
        <w:t>Some stakeholders noted continuously adapting AI likely warrants constant monitoring and real time continual review or evaluation of performance to ensure the quality of outputs doesn’t degrade over time</w:t>
      </w:r>
      <w:r w:rsidR="00A44F6A">
        <w:t xml:space="preserve">. It is </w:t>
      </w:r>
      <w:r>
        <w:t>not</w:t>
      </w:r>
      <w:r w:rsidR="00A44F6A">
        <w:t>ed that</w:t>
      </w:r>
      <w:r>
        <w:t xml:space="preserve"> these approaches are likely to be impractical without involving further AI models </w:t>
      </w:r>
      <w:r>
        <w:lastRenderedPageBreak/>
        <w:t>and systems tasked with conducting rolling review</w:t>
      </w:r>
      <w:r w:rsidR="00A85EC1">
        <w:t xml:space="preserve">, although </w:t>
      </w:r>
      <w:r w:rsidR="004C034A">
        <w:t xml:space="preserve">some international jurisdictions have mandated </w:t>
      </w:r>
      <w:r w:rsidR="00C63CE7">
        <w:t xml:space="preserve">human oversight measures </w:t>
      </w:r>
      <w:r w:rsidR="003C2129">
        <w:t xml:space="preserve">be present before putting </w:t>
      </w:r>
      <w:r w:rsidR="00A70567">
        <w:t>AI models and systems into service</w:t>
      </w:r>
      <w:r w:rsidR="00F8243F">
        <w:t>. This includes</w:t>
      </w:r>
      <w:r w:rsidR="00E52F70">
        <w:t xml:space="preserve"> Europe</w:t>
      </w:r>
      <w:r w:rsidR="00F8243F">
        <w:t>,</w:t>
      </w:r>
      <w:r w:rsidR="00E52F70">
        <w:t xml:space="preserve"> w</w:t>
      </w:r>
      <w:r w:rsidR="00197AEA">
        <w:t>here the AI Act mandates human oversight measures for high-risk AI systems</w:t>
      </w:r>
      <w:r>
        <w:t xml:space="preserve">. </w:t>
      </w:r>
    </w:p>
    <w:p w14:paraId="5FF69551" w14:textId="59522238" w:rsidR="00FA2AAA" w:rsidRDefault="00FA2AAA" w:rsidP="00FA2AAA">
      <w:r>
        <w:t>Stakeholders voiced a desire for clear guidance regarding what constitutes a ‘significant change’ in the context of software as a medical device</w:t>
      </w:r>
      <w:r w:rsidR="00CC4525">
        <w:t>,</w:t>
      </w:r>
      <w:r>
        <w:t xml:space="preserve"> and more information about the regulatory processes associated with assessing and approving changes in adaptive models and systems.</w:t>
      </w:r>
    </w:p>
    <w:p w14:paraId="7CBF8095" w14:textId="140B7975" w:rsidR="008E65CB" w:rsidRDefault="00EF21C8" w:rsidP="00FA2AAA">
      <w:r>
        <w:t>While explicit standards relating to AI use</w:t>
      </w:r>
      <w:r w:rsidR="00804AF2">
        <w:t>d</w:t>
      </w:r>
      <w:r>
        <w:t xml:space="preserve"> in, or as, a medical device are still in development, there are a</w:t>
      </w:r>
      <w:r w:rsidR="0096192D">
        <w:t xml:space="preserve"> number of applicable standards </w:t>
      </w:r>
      <w:r>
        <w:t>for AI</w:t>
      </w:r>
      <w:r w:rsidR="0096192D">
        <w:rPr>
          <w:rStyle w:val="FootnoteReference"/>
        </w:rPr>
        <w:footnoteReference w:id="5"/>
      </w:r>
      <w:r w:rsidR="0096192D">
        <w:t xml:space="preserve">, and work to ensure they remain current is ongoing. </w:t>
      </w:r>
      <w:r w:rsidR="006A058D">
        <w:t xml:space="preserve">Compliance with standards is a critical way a sponsor can meet the TGA’s regulatory requirements. </w:t>
      </w:r>
      <w:r w:rsidR="008E65CB" w:rsidRPr="008E65CB">
        <w:t xml:space="preserve">Work </w:t>
      </w:r>
      <w:r w:rsidR="009D42A3">
        <w:t xml:space="preserve">is ongoing </w:t>
      </w:r>
      <w:r w:rsidR="008E65CB" w:rsidRPr="008E65CB">
        <w:t xml:space="preserve">with international regulators to </w:t>
      </w:r>
      <w:r w:rsidR="008E65CB">
        <w:t xml:space="preserve">ensure </w:t>
      </w:r>
      <w:r w:rsidR="008E65CB" w:rsidRPr="008E65CB">
        <w:t xml:space="preserve">a consistent approach, including the use of pre-approved change control plans (PCCPs) and what types of changes can be </w:t>
      </w:r>
      <w:r w:rsidR="00E52F70">
        <w:t>included in a PCCPs</w:t>
      </w:r>
      <w:r w:rsidR="008E65CB" w:rsidRPr="008E65CB">
        <w:t>. PCCPs would describe planned changes to be made to a device post</w:t>
      </w:r>
      <w:r w:rsidR="00597F75">
        <w:t>-</w:t>
      </w:r>
      <w:r w:rsidR="008E65CB" w:rsidRPr="008E65CB">
        <w:t>approval, and how these changes will be developed, validated and implemented</w:t>
      </w:r>
      <w:r w:rsidR="00B8416D">
        <w:t xml:space="preserve">. These are </w:t>
      </w:r>
      <w:r w:rsidR="008E65CB" w:rsidRPr="008E65CB">
        <w:t xml:space="preserve">discussed further in section </w:t>
      </w:r>
      <w:r w:rsidR="008E65CB" w:rsidRPr="008E65CB">
        <w:fldChar w:fldCharType="begin"/>
      </w:r>
      <w:r w:rsidR="008E65CB" w:rsidRPr="008E65CB">
        <w:instrText xml:space="preserve"> REF _Ref182321328 \r \h </w:instrText>
      </w:r>
      <w:r w:rsidR="008E65CB" w:rsidRPr="008E65CB">
        <w:fldChar w:fldCharType="separate"/>
      </w:r>
      <w:r w:rsidR="008E65CB" w:rsidRPr="008E65CB">
        <w:t>2.3.4</w:t>
      </w:r>
      <w:r w:rsidR="008E65CB" w:rsidRPr="008E65CB">
        <w:fldChar w:fldCharType="end"/>
      </w:r>
      <w:r w:rsidR="00B8416D">
        <w:t>-</w:t>
      </w:r>
      <w:r w:rsidR="008E65CB" w:rsidRPr="008E65CB">
        <w:t xml:space="preserve"> </w:t>
      </w:r>
      <w:r w:rsidR="008E65CB" w:rsidRPr="008E65CB">
        <w:fldChar w:fldCharType="begin"/>
      </w:r>
      <w:r w:rsidR="008E65CB" w:rsidRPr="008E65CB">
        <w:instrText xml:space="preserve"> REF _Ref182321337 \h </w:instrText>
      </w:r>
      <w:r w:rsidR="008E65CB" w:rsidRPr="008E65CB">
        <w:fldChar w:fldCharType="separate"/>
      </w:r>
      <w:r w:rsidR="008E65CB" w:rsidRPr="008E65CB">
        <w:t>International harmonisation</w:t>
      </w:r>
      <w:r w:rsidR="008E65CB" w:rsidRPr="008E65CB">
        <w:fldChar w:fldCharType="end"/>
      </w:r>
      <w:r w:rsidR="008E65CB" w:rsidRPr="008E65CB">
        <w:t>.</w:t>
      </w:r>
    </w:p>
    <w:tbl>
      <w:tblPr>
        <w:tblStyle w:val="TableGrid"/>
        <w:tblW w:w="0" w:type="auto"/>
        <w:tblLook w:val="04A0" w:firstRow="1" w:lastRow="0" w:firstColumn="1" w:lastColumn="0" w:noHBand="0" w:noVBand="1"/>
      </w:tblPr>
      <w:tblGrid>
        <w:gridCol w:w="9016"/>
      </w:tblGrid>
      <w:tr w:rsidR="00CF38AA" w14:paraId="3DA31E28" w14:textId="77777777" w:rsidTr="003F4E7A">
        <w:tc>
          <w:tcPr>
            <w:tcW w:w="9016" w:type="dxa"/>
            <w:shd w:val="clear" w:color="auto" w:fill="D2EDFF" w:themeFill="text1" w:themeFillTint="1A"/>
          </w:tcPr>
          <w:p w14:paraId="148A75BA" w14:textId="39DB11FF" w:rsidR="00CF38AA" w:rsidRPr="0029308F" w:rsidRDefault="00CF38AA" w:rsidP="003F4E7A">
            <w:pPr>
              <w:pStyle w:val="Callout"/>
              <w:rPr>
                <w:b/>
                <w:bCs/>
                <w:sz w:val="20"/>
                <w:szCs w:val="20"/>
              </w:rPr>
            </w:pPr>
            <w:r>
              <w:rPr>
                <w:b/>
                <w:bCs/>
                <w:sz w:val="20"/>
                <w:szCs w:val="20"/>
              </w:rPr>
              <w:t>Finding</w:t>
            </w:r>
            <w:r w:rsidR="00E52F70">
              <w:rPr>
                <w:b/>
                <w:bCs/>
                <w:sz w:val="20"/>
                <w:szCs w:val="20"/>
              </w:rPr>
              <w:t xml:space="preserve"> 11</w:t>
            </w:r>
          </w:p>
          <w:p w14:paraId="2284043B" w14:textId="73F887DA" w:rsidR="00D95816" w:rsidRPr="00B0772D" w:rsidRDefault="00380643" w:rsidP="003F4E7A">
            <w:pPr>
              <w:pStyle w:val="Callout"/>
              <w:spacing w:after="120"/>
              <w:rPr>
                <w:sz w:val="20"/>
                <w:szCs w:val="20"/>
              </w:rPr>
            </w:pPr>
            <w:r>
              <w:rPr>
                <w:sz w:val="20"/>
                <w:szCs w:val="20"/>
              </w:rPr>
              <w:t>G</w:t>
            </w:r>
            <w:r w:rsidR="00D95816">
              <w:rPr>
                <w:sz w:val="20"/>
                <w:szCs w:val="20"/>
              </w:rPr>
              <w:t>uidance for technical requirements for adaptive and generative AI should be developed as expeditiously as possible.</w:t>
            </w:r>
          </w:p>
        </w:tc>
      </w:tr>
    </w:tbl>
    <w:p w14:paraId="11CB3E0A" w14:textId="35DF528E" w:rsidR="00FA2AAA" w:rsidRDefault="00FA2AAA" w:rsidP="00FA2AAA">
      <w:pPr>
        <w:pStyle w:val="Heading4"/>
      </w:pPr>
      <w:bookmarkStart w:id="31" w:name="_Use__of"/>
      <w:bookmarkStart w:id="32" w:name="_Toc184721115"/>
      <w:bookmarkEnd w:id="31"/>
      <w:r>
        <w:t>Use of datasets and software</w:t>
      </w:r>
      <w:r w:rsidR="00FC64AB">
        <w:t xml:space="preserve"> of unknown provenance</w:t>
      </w:r>
      <w:bookmarkEnd w:id="32"/>
    </w:p>
    <w:p w14:paraId="3D17B18B" w14:textId="173F272B" w:rsidR="00FA2AAA" w:rsidRDefault="00FA2AAA" w:rsidP="00FA2AAA">
      <w:r>
        <w:t>Beyond adaptive AI models and systems, the use of datasets or software</w:t>
      </w:r>
      <w:r w:rsidR="007C7385">
        <w:t xml:space="preserve"> of unknown provenance</w:t>
      </w:r>
      <w:r>
        <w:t xml:space="preserve"> within medical devices or as training </w:t>
      </w:r>
      <w:r w:rsidR="00CA7CE7">
        <w:t>dataset</w:t>
      </w:r>
      <w:r w:rsidR="002E5184">
        <w:t>s</w:t>
      </w:r>
      <w:r w:rsidR="00CA7CE7">
        <w:t xml:space="preserve"> </w:t>
      </w:r>
      <w:r>
        <w:t>for medical devices poses a further challenge to regulators seeking to establish appropriate pathways to validation of devices prior to market entry. Currently the use of datasets or software is a matter for developers</w:t>
      </w:r>
      <w:r w:rsidR="00CB5375">
        <w:t>,</w:t>
      </w:r>
      <w:r>
        <w:t xml:space="preserve"> who must decide on a case-by-case basis the most appropriate datasets or software within their device design process. Justification for the use of these resources and demonstration of their validity is also a matter for the developer </w:t>
      </w:r>
      <w:r w:rsidR="00D6547A">
        <w:t>since</w:t>
      </w:r>
      <w:r>
        <w:t>, as with adaptive AI, there are currently no explicit guidelines or standards available for those who choose to utilise options</w:t>
      </w:r>
      <w:r w:rsidR="007447AC">
        <w:t xml:space="preserve"> of unknown provenance</w:t>
      </w:r>
      <w:r w:rsidR="003D512E">
        <w:rPr>
          <w:rStyle w:val="FootnoteReference"/>
        </w:rPr>
        <w:footnoteReference w:id="6"/>
      </w:r>
      <w:r>
        <w:t>.</w:t>
      </w:r>
    </w:p>
    <w:p w14:paraId="70F5A3AD" w14:textId="6CCE4FCB" w:rsidR="00EF21C8" w:rsidRDefault="00EF21C8" w:rsidP="00FA2AAA">
      <w:r>
        <w:t>Use of software and datasets of unknown provenance is addressed in several standards</w:t>
      </w:r>
      <w:r>
        <w:rPr>
          <w:rStyle w:val="FootnoteReference"/>
        </w:rPr>
        <w:footnoteReference w:id="7"/>
      </w:r>
      <w:r>
        <w:t xml:space="preserve"> where the associated risks can be managed. </w:t>
      </w:r>
      <w:r w:rsidR="00FA2AAA">
        <w:t>The increasing development and deployment for use of resources</w:t>
      </w:r>
      <w:r w:rsidR="007447AC">
        <w:t xml:space="preserve"> of unknown provenance</w:t>
      </w:r>
      <w:r w:rsidR="00FA2AAA">
        <w:t xml:space="preserve"> that have not been validated by </w:t>
      </w:r>
      <w:r w:rsidR="00D739AE">
        <w:t>reputable software vendors</w:t>
      </w:r>
      <w:r w:rsidR="00FA2AAA">
        <w:t xml:space="preserve"> </w:t>
      </w:r>
      <w:r w:rsidR="00E97613">
        <w:t xml:space="preserve">is </w:t>
      </w:r>
      <w:r w:rsidR="00FA2AAA">
        <w:t>compounding the issue, placing pressure on developers to independently validate datasets without access to information about their origin</w:t>
      </w:r>
      <w:r w:rsidR="00EE4870">
        <w:t xml:space="preserve"> or </w:t>
      </w:r>
      <w:r w:rsidR="006C61E0">
        <w:t xml:space="preserve">the </w:t>
      </w:r>
      <w:r w:rsidR="00A6424B">
        <w:t xml:space="preserve">accuracy of </w:t>
      </w:r>
      <w:r w:rsidR="00EE4870">
        <w:t>their reference standards</w:t>
      </w:r>
      <w:r w:rsidR="00FA2AAA">
        <w:t xml:space="preserve">. The development of innovative devices trained on unvalidated open datasets is an emerging issue for regulators, as </w:t>
      </w:r>
      <w:r w:rsidR="00FA2AAA">
        <w:lastRenderedPageBreak/>
        <w:t>developers seek more information about acceptable validation for medical devices that incorporate software</w:t>
      </w:r>
      <w:r w:rsidR="009F1F8A">
        <w:t xml:space="preserve"> of unknown provenance</w:t>
      </w:r>
      <w:r w:rsidR="00FA2AAA">
        <w:t xml:space="preserve"> or are trained on open datasets.</w:t>
      </w:r>
    </w:p>
    <w:tbl>
      <w:tblPr>
        <w:tblStyle w:val="TableGrid"/>
        <w:tblW w:w="0" w:type="auto"/>
        <w:tblLook w:val="04A0" w:firstRow="1" w:lastRow="0" w:firstColumn="1" w:lastColumn="0" w:noHBand="0" w:noVBand="1"/>
      </w:tblPr>
      <w:tblGrid>
        <w:gridCol w:w="9016"/>
      </w:tblGrid>
      <w:tr w:rsidR="005033D3" w14:paraId="3F6BA128" w14:textId="77777777" w:rsidTr="003F4E7A">
        <w:tc>
          <w:tcPr>
            <w:tcW w:w="9016" w:type="dxa"/>
            <w:shd w:val="clear" w:color="auto" w:fill="D2EDFF" w:themeFill="text1" w:themeFillTint="1A"/>
          </w:tcPr>
          <w:p w14:paraId="4E17AAFC" w14:textId="0E3487D5" w:rsidR="005033D3" w:rsidRPr="0029308F" w:rsidRDefault="005033D3" w:rsidP="003F4E7A">
            <w:pPr>
              <w:pStyle w:val="Callout"/>
              <w:rPr>
                <w:b/>
                <w:bCs/>
                <w:sz w:val="20"/>
                <w:szCs w:val="20"/>
              </w:rPr>
            </w:pPr>
            <w:r>
              <w:rPr>
                <w:b/>
                <w:bCs/>
                <w:sz w:val="20"/>
                <w:szCs w:val="20"/>
              </w:rPr>
              <w:t>Finding</w:t>
            </w:r>
            <w:r w:rsidR="00E52F70">
              <w:rPr>
                <w:b/>
                <w:bCs/>
                <w:sz w:val="20"/>
                <w:szCs w:val="20"/>
              </w:rPr>
              <w:t xml:space="preserve"> 12</w:t>
            </w:r>
          </w:p>
          <w:p w14:paraId="1CFD607F" w14:textId="2E40E4A3" w:rsidR="005033D3" w:rsidRPr="00B0772D" w:rsidRDefault="009300D1" w:rsidP="003F4E7A">
            <w:pPr>
              <w:pStyle w:val="Callout"/>
              <w:spacing w:after="120"/>
              <w:rPr>
                <w:sz w:val="20"/>
                <w:szCs w:val="20"/>
              </w:rPr>
            </w:pPr>
            <w:r>
              <w:rPr>
                <w:sz w:val="20"/>
                <w:szCs w:val="20"/>
              </w:rPr>
              <w:t>Guidance for the use of open datasets and software</w:t>
            </w:r>
            <w:r w:rsidR="009F1F8A">
              <w:rPr>
                <w:sz w:val="20"/>
                <w:szCs w:val="20"/>
              </w:rPr>
              <w:t xml:space="preserve"> of unknown provenance</w:t>
            </w:r>
            <w:r>
              <w:rPr>
                <w:sz w:val="20"/>
                <w:szCs w:val="20"/>
              </w:rPr>
              <w:t xml:space="preserve"> </w:t>
            </w:r>
            <w:r w:rsidR="005E658D">
              <w:rPr>
                <w:sz w:val="20"/>
                <w:szCs w:val="20"/>
              </w:rPr>
              <w:t>should be developed as expeditiously as possible</w:t>
            </w:r>
            <w:r w:rsidR="006A058D">
              <w:rPr>
                <w:sz w:val="20"/>
                <w:szCs w:val="20"/>
              </w:rPr>
              <w:t>, with reference to applicable available standards</w:t>
            </w:r>
            <w:r w:rsidR="005E658D">
              <w:rPr>
                <w:sz w:val="20"/>
                <w:szCs w:val="20"/>
              </w:rPr>
              <w:t>.</w:t>
            </w:r>
          </w:p>
        </w:tc>
      </w:tr>
    </w:tbl>
    <w:p w14:paraId="773AC8E6" w14:textId="75A8C242" w:rsidR="00FA2AAA" w:rsidRDefault="00F912EB" w:rsidP="00FA2AAA">
      <w:pPr>
        <w:pStyle w:val="Heading4"/>
      </w:pPr>
      <w:bookmarkStart w:id="33" w:name="_Performance__reporting"/>
      <w:bookmarkStart w:id="34" w:name="_Toc184721116"/>
      <w:bookmarkEnd w:id="33"/>
      <w:r>
        <w:t>P</w:t>
      </w:r>
      <w:r w:rsidR="00FA2AAA">
        <w:t xml:space="preserve">erformance </w:t>
      </w:r>
      <w:r w:rsidR="00E52F70">
        <w:t>monitoring</w:t>
      </w:r>
      <w:bookmarkEnd w:id="34"/>
      <w:r w:rsidR="00E52F70">
        <w:t xml:space="preserve"> </w:t>
      </w:r>
    </w:p>
    <w:p w14:paraId="253A14AB" w14:textId="16F8D8CF" w:rsidR="00FA2AAA" w:rsidRDefault="00FA2AAA" w:rsidP="00FA2AAA">
      <w:r>
        <w:t xml:space="preserve">The performance of AI depends on </w:t>
      </w:r>
      <w:r w:rsidR="00397F84">
        <w:t xml:space="preserve">the </w:t>
      </w:r>
      <w:r>
        <w:t>robust</w:t>
      </w:r>
      <w:r w:rsidR="00397F84">
        <w:t>ness of t</w:t>
      </w:r>
      <w:r>
        <w:t xml:space="preserve">he datasets used to train the model or system. As the use of AI becomes more prevalent within healthcare settings, ongoing monitoring </w:t>
      </w:r>
      <w:r w:rsidR="00397F84">
        <w:t>will become critical to ensuring ongoing accuracy and improvement of performance</w:t>
      </w:r>
      <w:r w:rsidR="00081674">
        <w:t xml:space="preserve">. This would include </w:t>
      </w:r>
      <w:r w:rsidR="00E52F70">
        <w:t xml:space="preserve">within </w:t>
      </w:r>
      <w:r>
        <w:t xml:space="preserve">the </w:t>
      </w:r>
      <w:r w:rsidR="00A75BD3">
        <w:t>institution of deployment</w:t>
      </w:r>
      <w:r>
        <w:t>, including health providers who are using AI in practice settings.</w:t>
      </w:r>
    </w:p>
    <w:p w14:paraId="4037BA5D" w14:textId="63A24893" w:rsidR="00FA2AAA" w:rsidRDefault="00FA2AAA" w:rsidP="00FA2AAA">
      <w:r>
        <w:t xml:space="preserve">While </w:t>
      </w:r>
      <w:hyperlink r:id="rId23" w:history="1">
        <w:r w:rsidRPr="00445D5C">
          <w:rPr>
            <w:rStyle w:val="Hyperlink"/>
          </w:rPr>
          <w:t>mandatory</w:t>
        </w:r>
        <w:r>
          <w:rPr>
            <w:rStyle w:val="Hyperlink"/>
          </w:rPr>
          <w:t xml:space="preserve"> adverse event</w:t>
        </w:r>
        <w:r w:rsidRPr="00445D5C">
          <w:rPr>
            <w:rStyle w:val="Hyperlink"/>
          </w:rPr>
          <w:t xml:space="preserve"> reporting for healthcare facilities</w:t>
        </w:r>
      </w:hyperlink>
      <w:r>
        <w:t xml:space="preserve"> is currently being addressed by the TGA through regulatory reform, stakeholders from the software sector and clinical practice have indicated data from in-clinic performance of deployed AI models and systems will not only be a critical component of monitoring and evaluation, but will likely be central to</w:t>
      </w:r>
      <w:r w:rsidR="00D53A26">
        <w:t xml:space="preserve"> </w:t>
      </w:r>
      <w:r>
        <w:t>the ongoing accuracy and improvement of these kinds of models and systems.</w:t>
      </w:r>
    </w:p>
    <w:p w14:paraId="34F55E3F" w14:textId="63C72543" w:rsidR="00FA2AAA" w:rsidRDefault="00FA2AAA" w:rsidP="00FA2AAA">
      <w:r>
        <w:t xml:space="preserve">The TGA notes the Office of the Australian Information Commissioner’s 21 October 2024 publication </w:t>
      </w:r>
      <w:hyperlink r:id="rId24" w:history="1">
        <w:r w:rsidRPr="000C623C">
          <w:rPr>
            <w:rStyle w:val="Hyperlink"/>
            <w:i/>
            <w:iCs/>
          </w:rPr>
          <w:t>New AI guidance makes privacy compliance easier for business</w:t>
        </w:r>
      </w:hyperlink>
      <w:r w:rsidR="005C005D">
        <w:t xml:space="preserve">, </w:t>
      </w:r>
      <w:r>
        <w:t>which includes:</w:t>
      </w:r>
    </w:p>
    <w:p w14:paraId="442D7645" w14:textId="550E47A9" w:rsidR="00FA2AAA" w:rsidRDefault="008C523B" w:rsidP="00D56E25">
      <w:pPr>
        <w:pStyle w:val="ListParagraph"/>
      </w:pPr>
      <w:r>
        <w:t>a</w:t>
      </w:r>
      <w:r w:rsidR="00FA2AAA">
        <w:t xml:space="preserve"> guide to aid businesses with complying with privacy obligations when using commercially available AI products</w:t>
      </w:r>
      <w:r>
        <w:t>, and</w:t>
      </w:r>
    </w:p>
    <w:p w14:paraId="1F1F17AD" w14:textId="1FE005A6" w:rsidR="00FA2AAA" w:rsidRDefault="008C523B" w:rsidP="00D56E25">
      <w:pPr>
        <w:pStyle w:val="ListParagraph"/>
      </w:pPr>
      <w:r>
        <w:t>p</w:t>
      </w:r>
      <w:r w:rsidR="00FA2AAA">
        <w:t>rivacy guidance for developers using personal information to train generative AI models.</w:t>
      </w:r>
    </w:p>
    <w:p w14:paraId="06DBFCD3" w14:textId="274C0912" w:rsidR="00FA2AAA" w:rsidRPr="00793C04" w:rsidRDefault="00FA2AAA" w:rsidP="00FA2AAA">
      <w:r>
        <w:t>The TGA will provide f</w:t>
      </w:r>
      <w:r w:rsidRPr="008159D8">
        <w:t xml:space="preserve">eedback </w:t>
      </w:r>
      <w:r w:rsidR="00E66FC2">
        <w:t xml:space="preserve">for consideration </w:t>
      </w:r>
      <w:r w:rsidRPr="008159D8">
        <w:t>to the Office of the Australian Information Commissioner</w:t>
      </w:r>
      <w:r w:rsidR="008C523B" w:rsidRPr="008C523B">
        <w:t xml:space="preserve"> </w:t>
      </w:r>
      <w:r w:rsidR="008C523B" w:rsidRPr="008159D8">
        <w:t xml:space="preserve">from stakeholders </w:t>
      </w:r>
      <w:r w:rsidR="008C523B">
        <w:t>relating to privacy matters</w:t>
      </w:r>
      <w:r w:rsidRPr="008159D8">
        <w:t>.</w:t>
      </w:r>
    </w:p>
    <w:p w14:paraId="0D6A66A9" w14:textId="738A6F8B" w:rsidR="00D07A86" w:rsidRDefault="00D07A86" w:rsidP="0056582B">
      <w:pPr>
        <w:pStyle w:val="Heading4"/>
      </w:pPr>
      <w:bookmarkStart w:id="35" w:name="_Toc184721117"/>
      <w:r>
        <w:t>AI use in the healthcare sectors</w:t>
      </w:r>
      <w:bookmarkEnd w:id="35"/>
    </w:p>
    <w:p w14:paraId="244BE2A4" w14:textId="0D292FF9" w:rsidR="006531A1" w:rsidRDefault="00043B68" w:rsidP="006531A1">
      <w:r>
        <w:t>As the use of medical devices becomes more closely entwined with service delivery and integrated with the provision of healthcare, stakeholders beyond manufacturers and sponsors are seeking access to more information about the therapeutic goods they us</w:t>
      </w:r>
      <w:r w:rsidR="00E52F70">
        <w:t>e</w:t>
      </w:r>
      <w:r>
        <w:t>.</w:t>
      </w:r>
      <w:r w:rsidR="006531A1">
        <w:t xml:space="preserve"> </w:t>
      </w:r>
      <w:bookmarkStart w:id="36" w:name="_Regulatory_and_technical"/>
      <w:bookmarkEnd w:id="36"/>
      <w:r w:rsidR="00452584">
        <w:t>S</w:t>
      </w:r>
      <w:r w:rsidR="006531A1">
        <w:t>takeholders</w:t>
      </w:r>
      <w:r w:rsidR="00452584">
        <w:t xml:space="preserve">, </w:t>
      </w:r>
      <w:r w:rsidR="006531A1">
        <w:t>including consumers and clinicians</w:t>
      </w:r>
      <w:r w:rsidR="00452584">
        <w:t>,</w:t>
      </w:r>
      <w:r w:rsidR="006531A1">
        <w:t xml:space="preserve"> </w:t>
      </w:r>
      <w:r w:rsidR="00AC22DA">
        <w:t xml:space="preserve">sought </w:t>
      </w:r>
      <w:r w:rsidR="006531A1">
        <w:t>more guidance and information to explain how to safely develop, deploy and use products that are, or incorporate, AI models and systems</w:t>
      </w:r>
      <w:r w:rsidR="00452584">
        <w:t>. This included</w:t>
      </w:r>
      <w:r w:rsidR="006531A1">
        <w:t>:</w:t>
      </w:r>
    </w:p>
    <w:p w14:paraId="5A81592B" w14:textId="38A84B8C" w:rsidR="00FE553A" w:rsidRPr="003313A8" w:rsidRDefault="00452584" w:rsidP="002522ED">
      <w:pPr>
        <w:pStyle w:val="ListParagraph"/>
        <w:numPr>
          <w:ilvl w:val="0"/>
          <w:numId w:val="18"/>
        </w:numPr>
      </w:pPr>
      <w:r>
        <w:t>h</w:t>
      </w:r>
      <w:r w:rsidR="00FE553A" w:rsidRPr="003313A8">
        <w:t>ow to determine the limitations and applications of products that are, or contain, an AI model or system</w:t>
      </w:r>
    </w:p>
    <w:p w14:paraId="5840596A" w14:textId="2A0A3581" w:rsidR="006531A1" w:rsidRPr="003313A8" w:rsidRDefault="00452584" w:rsidP="002522ED">
      <w:pPr>
        <w:pStyle w:val="ListParagraph"/>
        <w:numPr>
          <w:ilvl w:val="0"/>
          <w:numId w:val="18"/>
        </w:numPr>
      </w:pPr>
      <w:r>
        <w:t>a</w:t>
      </w:r>
      <w:r w:rsidR="006531A1" w:rsidRPr="003313A8">
        <w:t>ccess to information about the specific datasets used to train</w:t>
      </w:r>
      <w:r w:rsidR="00EE4709">
        <w:t xml:space="preserve"> and test</w:t>
      </w:r>
      <w:r w:rsidR="006531A1" w:rsidRPr="003313A8">
        <w:t xml:space="preserve"> AI models and systems</w:t>
      </w:r>
    </w:p>
    <w:p w14:paraId="68A34475" w14:textId="50BA761E" w:rsidR="006531A1" w:rsidRDefault="00452584" w:rsidP="002522ED">
      <w:pPr>
        <w:pStyle w:val="ListParagraph"/>
        <w:numPr>
          <w:ilvl w:val="0"/>
          <w:numId w:val="18"/>
        </w:numPr>
      </w:pPr>
      <w:r>
        <w:t>the a</w:t>
      </w:r>
      <w:r w:rsidR="006531A1" w:rsidRPr="003313A8">
        <w:t xml:space="preserve">bility to determine </w:t>
      </w:r>
      <w:r w:rsidR="00FE553A" w:rsidRPr="003313A8">
        <w:t>how products are regulated</w:t>
      </w:r>
      <w:r w:rsidR="006531A1" w:rsidRPr="003313A8">
        <w:t xml:space="preserve"> and what information has been assessed as a part of the approval process</w:t>
      </w:r>
      <w:r w:rsidR="007E122E">
        <w:t>, and</w:t>
      </w:r>
    </w:p>
    <w:p w14:paraId="77FD1DC8" w14:textId="578B9418" w:rsidR="009F2942" w:rsidRPr="003313A8" w:rsidRDefault="007E122E" w:rsidP="002522ED">
      <w:pPr>
        <w:pStyle w:val="ListParagraph"/>
        <w:numPr>
          <w:ilvl w:val="0"/>
          <w:numId w:val="18"/>
        </w:numPr>
      </w:pPr>
      <w:r>
        <w:t>h</w:t>
      </w:r>
      <w:r w:rsidR="009F2942">
        <w:t xml:space="preserve">ow to identify when they are undertaking activities that will </w:t>
      </w:r>
      <w:r w:rsidR="00280E50">
        <w:t>meet the TGA’s definition of a manufacturer or sponsor</w:t>
      </w:r>
      <w:r>
        <w:t>, and</w:t>
      </w:r>
      <w:r w:rsidR="00AC22DA">
        <w:t xml:space="preserve"> therefore </w:t>
      </w:r>
      <w:r>
        <w:t>incurring</w:t>
      </w:r>
      <w:r w:rsidR="00280E50">
        <w:t xml:space="preserve"> regulatory obligations.</w:t>
      </w:r>
    </w:p>
    <w:p w14:paraId="41851D1E" w14:textId="31D5A39C" w:rsidR="00F449CF" w:rsidRDefault="00F449CF" w:rsidP="00B27487">
      <w:r>
        <w:t>The TGA notes the publication of resources from other regulators and peak industry groups and bodies about the safe use of AI</w:t>
      </w:r>
      <w:r w:rsidR="007E122E">
        <w:t>,</w:t>
      </w:r>
      <w:r w:rsidR="001E3340">
        <w:t xml:space="preserve"> including:</w:t>
      </w:r>
    </w:p>
    <w:p w14:paraId="39B65DA1" w14:textId="1A940DE6" w:rsidR="00AA4AA1" w:rsidRPr="00AA4AA1" w:rsidRDefault="00141B59" w:rsidP="00D56E25">
      <w:pPr>
        <w:pStyle w:val="ListParagraph"/>
      </w:pPr>
      <w:r w:rsidRPr="003313A8">
        <w:t>Ahpra</w:t>
      </w:r>
      <w:r w:rsidR="00AA4AA1" w:rsidRPr="003313A8">
        <w:t xml:space="preserve">: </w:t>
      </w:r>
      <w:hyperlink r:id="rId25" w:history="1">
        <w:r w:rsidR="00AA4AA1" w:rsidRPr="003313A8">
          <w:rPr>
            <w:rStyle w:val="Hyperlink"/>
            <w:rFonts w:asciiTheme="minorHAnsi" w:hAnsiTheme="minorHAnsi"/>
            <w:i/>
            <w:iCs/>
          </w:rPr>
          <w:t>Meeting your professional obligations when using Artificial Intelligence in healthcare</w:t>
        </w:r>
      </w:hyperlink>
      <w:r w:rsidR="009F0F89">
        <w:rPr>
          <w:rStyle w:val="FootnoteReference"/>
          <w:i/>
          <w:iCs/>
        </w:rPr>
        <w:footnoteReference w:id="8"/>
      </w:r>
    </w:p>
    <w:p w14:paraId="6A35E5D4" w14:textId="12EFC432" w:rsidR="00E34572" w:rsidRPr="001361BE" w:rsidRDefault="00551355" w:rsidP="00D56E25">
      <w:pPr>
        <w:pStyle w:val="ListParagraph"/>
      </w:pPr>
      <w:r w:rsidRPr="003313A8">
        <w:lastRenderedPageBreak/>
        <w:t>The Royal Australian College of General Practitioners (</w:t>
      </w:r>
      <w:r w:rsidR="005367C5" w:rsidRPr="003313A8">
        <w:t>RACGP</w:t>
      </w:r>
      <w:r w:rsidRPr="003313A8">
        <w:t>)</w:t>
      </w:r>
      <w:r w:rsidR="005367C5" w:rsidRPr="003313A8">
        <w:t xml:space="preserve">: </w:t>
      </w:r>
      <w:hyperlink r:id="rId26" w:history="1">
        <w:r w:rsidR="005367C5" w:rsidRPr="003313A8">
          <w:rPr>
            <w:rStyle w:val="Hyperlink"/>
            <w:rFonts w:asciiTheme="minorHAnsi" w:hAnsiTheme="minorHAnsi"/>
            <w:i/>
            <w:iCs/>
          </w:rPr>
          <w:t>Artificial intelligence (AI) scribes</w:t>
        </w:r>
      </w:hyperlink>
      <w:r w:rsidR="005367C5">
        <w:rPr>
          <w:rStyle w:val="FootnoteReference"/>
          <w:i/>
          <w:iCs/>
        </w:rPr>
        <w:footnoteReference w:id="9"/>
      </w:r>
    </w:p>
    <w:p w14:paraId="0D1D0B49" w14:textId="36508012" w:rsidR="001361BE" w:rsidRDefault="001361BE" w:rsidP="00D56E25">
      <w:pPr>
        <w:pStyle w:val="ListParagraph"/>
      </w:pPr>
      <w:r w:rsidRPr="003313A8">
        <w:t>Australian Commission on Safety and Quality in Health Care</w:t>
      </w:r>
      <w:r w:rsidR="00B27487" w:rsidRPr="003313A8">
        <w:t xml:space="preserve">: </w:t>
      </w:r>
      <w:hyperlink r:id="rId27" w:history="1">
        <w:r w:rsidR="00B27487" w:rsidRPr="003313A8">
          <w:rPr>
            <w:rStyle w:val="Hyperlink"/>
            <w:rFonts w:asciiTheme="minorHAnsi" w:hAnsiTheme="minorHAnsi"/>
            <w:i/>
            <w:iCs/>
          </w:rPr>
          <w:t>AI Implementation in Hospitals: Legislation, Policy, Guidelines and Principles, and Evidence about Quality and Safety</w:t>
        </w:r>
      </w:hyperlink>
      <w:r w:rsidR="00B27487">
        <w:rPr>
          <w:rStyle w:val="FootnoteReference"/>
          <w:i/>
          <w:iCs/>
        </w:rPr>
        <w:footnoteReference w:id="10"/>
      </w:r>
    </w:p>
    <w:tbl>
      <w:tblPr>
        <w:tblStyle w:val="TableGrid"/>
        <w:tblW w:w="0" w:type="auto"/>
        <w:tblLook w:val="04A0" w:firstRow="1" w:lastRow="0" w:firstColumn="1" w:lastColumn="0" w:noHBand="0" w:noVBand="1"/>
      </w:tblPr>
      <w:tblGrid>
        <w:gridCol w:w="9016"/>
      </w:tblGrid>
      <w:tr w:rsidR="00D07A86" w14:paraId="4CBB03DA" w14:textId="77777777" w:rsidTr="00EE08CF">
        <w:tc>
          <w:tcPr>
            <w:tcW w:w="9016" w:type="dxa"/>
            <w:shd w:val="clear" w:color="auto" w:fill="D2EDFF" w:themeFill="text1" w:themeFillTint="1A"/>
          </w:tcPr>
          <w:p w14:paraId="46982EE0" w14:textId="52AB2767" w:rsidR="00D07A86" w:rsidRPr="000F639E" w:rsidRDefault="00DE40D1" w:rsidP="00EE08CF">
            <w:pPr>
              <w:pStyle w:val="Callout"/>
              <w:rPr>
                <w:b/>
                <w:bCs/>
                <w:sz w:val="20"/>
                <w:szCs w:val="20"/>
              </w:rPr>
            </w:pPr>
            <w:r>
              <w:rPr>
                <w:b/>
                <w:bCs/>
                <w:sz w:val="20"/>
                <w:szCs w:val="20"/>
              </w:rPr>
              <w:t>Finding</w:t>
            </w:r>
            <w:r w:rsidR="00AC22DA">
              <w:rPr>
                <w:b/>
                <w:bCs/>
                <w:sz w:val="20"/>
                <w:szCs w:val="20"/>
              </w:rPr>
              <w:t xml:space="preserve"> 13</w:t>
            </w:r>
          </w:p>
          <w:p w14:paraId="3E6B8DFE" w14:textId="1C5E4998" w:rsidR="00D664F7" w:rsidRDefault="00712F99" w:rsidP="00712F99">
            <w:pPr>
              <w:pStyle w:val="Callout"/>
              <w:spacing w:after="120"/>
              <w:rPr>
                <w:sz w:val="20"/>
                <w:szCs w:val="20"/>
              </w:rPr>
            </w:pPr>
            <w:r>
              <w:rPr>
                <w:sz w:val="20"/>
                <w:szCs w:val="20"/>
              </w:rPr>
              <w:t xml:space="preserve">More information and resources should be developed for stakeholders beyond members of </w:t>
            </w:r>
            <w:r w:rsidR="00AC22DA">
              <w:rPr>
                <w:sz w:val="20"/>
                <w:szCs w:val="20"/>
              </w:rPr>
              <w:t xml:space="preserve">the medical device </w:t>
            </w:r>
            <w:r>
              <w:rPr>
                <w:sz w:val="20"/>
                <w:szCs w:val="20"/>
              </w:rPr>
              <w:t>industry</w:t>
            </w:r>
            <w:r w:rsidR="00D35F4B">
              <w:rPr>
                <w:sz w:val="20"/>
                <w:szCs w:val="20"/>
              </w:rPr>
              <w:t>,</w:t>
            </w:r>
            <w:r>
              <w:rPr>
                <w:sz w:val="20"/>
                <w:szCs w:val="20"/>
              </w:rPr>
              <w:t xml:space="preserve"> including</w:t>
            </w:r>
            <w:r w:rsidR="00D664F7">
              <w:rPr>
                <w:sz w:val="20"/>
                <w:szCs w:val="20"/>
              </w:rPr>
              <w:t>:</w:t>
            </w:r>
          </w:p>
          <w:p w14:paraId="574B191F" w14:textId="1738EE3C" w:rsidR="00D07A86" w:rsidRDefault="00D35F4B" w:rsidP="002522ED">
            <w:pPr>
              <w:pStyle w:val="Callout"/>
              <w:numPr>
                <w:ilvl w:val="0"/>
                <w:numId w:val="20"/>
              </w:numPr>
              <w:spacing w:after="120"/>
              <w:rPr>
                <w:sz w:val="20"/>
                <w:szCs w:val="20"/>
              </w:rPr>
            </w:pPr>
            <w:r>
              <w:rPr>
                <w:sz w:val="20"/>
                <w:szCs w:val="20"/>
              </w:rPr>
              <w:t>c</w:t>
            </w:r>
            <w:r w:rsidR="00D07A86" w:rsidRPr="005B2E58">
              <w:rPr>
                <w:sz w:val="20"/>
                <w:szCs w:val="20"/>
              </w:rPr>
              <w:t xml:space="preserve">onsumers and </w:t>
            </w:r>
            <w:r w:rsidR="00D93A48">
              <w:rPr>
                <w:sz w:val="20"/>
                <w:szCs w:val="20"/>
              </w:rPr>
              <w:t xml:space="preserve">healthcare </w:t>
            </w:r>
            <w:r w:rsidR="00D07A86" w:rsidRPr="005B2E58">
              <w:rPr>
                <w:sz w:val="20"/>
                <w:szCs w:val="20"/>
              </w:rPr>
              <w:t>practitioners</w:t>
            </w:r>
            <w:r>
              <w:rPr>
                <w:sz w:val="20"/>
                <w:szCs w:val="20"/>
              </w:rPr>
              <w:t>,</w:t>
            </w:r>
            <w:r w:rsidR="00D07A86" w:rsidRPr="005B2E58">
              <w:rPr>
                <w:sz w:val="20"/>
                <w:szCs w:val="20"/>
              </w:rPr>
              <w:t xml:space="preserve"> to </w:t>
            </w:r>
            <w:r w:rsidR="002541ED">
              <w:rPr>
                <w:sz w:val="20"/>
                <w:szCs w:val="20"/>
              </w:rPr>
              <w:t xml:space="preserve">promote an </w:t>
            </w:r>
            <w:r w:rsidR="00D07A86" w:rsidRPr="005B2E58">
              <w:rPr>
                <w:sz w:val="20"/>
                <w:szCs w:val="20"/>
              </w:rPr>
              <w:t>understand</w:t>
            </w:r>
            <w:r w:rsidR="002541ED">
              <w:rPr>
                <w:sz w:val="20"/>
                <w:szCs w:val="20"/>
              </w:rPr>
              <w:t>ing of</w:t>
            </w:r>
            <w:r w:rsidR="00D07A86" w:rsidRPr="005B2E58">
              <w:rPr>
                <w:sz w:val="20"/>
                <w:szCs w:val="20"/>
              </w:rPr>
              <w:t xml:space="preserve"> the limitations of AI-enabled products</w:t>
            </w:r>
            <w:r w:rsidR="00D07A86">
              <w:rPr>
                <w:sz w:val="20"/>
                <w:szCs w:val="20"/>
              </w:rPr>
              <w:t xml:space="preserve"> and evaluate the appropriateness of a product for use</w:t>
            </w:r>
            <w:r>
              <w:rPr>
                <w:sz w:val="20"/>
                <w:szCs w:val="20"/>
              </w:rPr>
              <w:t>, and</w:t>
            </w:r>
          </w:p>
          <w:p w14:paraId="39BE7FCF" w14:textId="7E182F23" w:rsidR="00D07A86" w:rsidRDefault="00D35F4B" w:rsidP="002522ED">
            <w:pPr>
              <w:pStyle w:val="Callout"/>
              <w:numPr>
                <w:ilvl w:val="0"/>
                <w:numId w:val="20"/>
              </w:numPr>
              <w:spacing w:after="120"/>
              <w:rPr>
                <w:sz w:val="20"/>
                <w:szCs w:val="20"/>
              </w:rPr>
            </w:pPr>
            <w:r>
              <w:rPr>
                <w:sz w:val="20"/>
                <w:szCs w:val="20"/>
              </w:rPr>
              <w:t>d</w:t>
            </w:r>
            <w:r w:rsidR="002541ED">
              <w:rPr>
                <w:sz w:val="20"/>
                <w:szCs w:val="20"/>
              </w:rPr>
              <w:t>evelopers and deployers</w:t>
            </w:r>
            <w:r>
              <w:rPr>
                <w:sz w:val="20"/>
                <w:szCs w:val="20"/>
              </w:rPr>
              <w:t>,</w:t>
            </w:r>
            <w:r w:rsidR="002541ED">
              <w:rPr>
                <w:sz w:val="20"/>
                <w:szCs w:val="20"/>
              </w:rPr>
              <w:t xml:space="preserve"> to aid them with developing appropriate labels, warnings and instructions for use to help users of their models and systems mitigate known and residual risks when using the product.</w:t>
            </w:r>
          </w:p>
          <w:p w14:paraId="2CAB8FDE" w14:textId="1842385E" w:rsidR="004C1D29" w:rsidRPr="005B2E58" w:rsidRDefault="004C1D29" w:rsidP="004C1D29">
            <w:pPr>
              <w:pStyle w:val="Callout"/>
              <w:spacing w:after="120"/>
              <w:rPr>
                <w:sz w:val="20"/>
                <w:szCs w:val="20"/>
              </w:rPr>
            </w:pPr>
            <w:r>
              <w:rPr>
                <w:sz w:val="20"/>
                <w:szCs w:val="20"/>
              </w:rPr>
              <w:t>Guidance and information need</w:t>
            </w:r>
            <w:r w:rsidR="005E658D">
              <w:rPr>
                <w:sz w:val="20"/>
                <w:szCs w:val="20"/>
              </w:rPr>
              <w:t>s</w:t>
            </w:r>
            <w:r>
              <w:rPr>
                <w:sz w:val="20"/>
                <w:szCs w:val="20"/>
              </w:rPr>
              <w:t xml:space="preserve"> to be accessible through a range of portals including social media platforms.</w:t>
            </w:r>
          </w:p>
        </w:tc>
      </w:tr>
    </w:tbl>
    <w:p w14:paraId="3CEB0EE8" w14:textId="7B0964FA" w:rsidR="00A65CF3" w:rsidRDefault="00A65CF3" w:rsidP="00A65CF3">
      <w:pPr>
        <w:pStyle w:val="Heading3"/>
      </w:pPr>
      <w:bookmarkStart w:id="37" w:name="_Toc184721118"/>
      <w:r>
        <w:t>International harmonisation</w:t>
      </w:r>
      <w:bookmarkEnd w:id="37"/>
    </w:p>
    <w:p w14:paraId="0EDD0D67" w14:textId="0BD853FD" w:rsidR="00A43309" w:rsidRDefault="00A65CF3" w:rsidP="00A65CF3">
      <w:r>
        <w:t xml:space="preserve">The TGA is </w:t>
      </w:r>
      <w:r w:rsidR="00AC22DA">
        <w:t xml:space="preserve">active in </w:t>
      </w:r>
      <w:r>
        <w:t xml:space="preserve">a number of </w:t>
      </w:r>
      <w:hyperlink r:id="rId28" w:history="1">
        <w:r w:rsidRPr="00AA62AB">
          <w:rPr>
            <w:rStyle w:val="Hyperlink"/>
          </w:rPr>
          <w:t>international activities</w:t>
        </w:r>
      </w:hyperlink>
      <w:r>
        <w:t xml:space="preserve"> and</w:t>
      </w:r>
      <w:r w:rsidR="00CF6F85">
        <w:t>,</w:t>
      </w:r>
      <w:r>
        <w:t xml:space="preserve"> where possible, seeks to align with approaches taken in other jurisdictions. </w:t>
      </w:r>
      <w:r w:rsidR="00A43309">
        <w:t xml:space="preserve">As a relatively small jurisdiction in the global therapeutic goods market, Australia strives for international harmonisation </w:t>
      </w:r>
      <w:r w:rsidR="00AC22DA">
        <w:t xml:space="preserve">in </w:t>
      </w:r>
      <w:r w:rsidR="00A43309">
        <w:t>our regulatory framework wherever appropriate. Over 85% of devices</w:t>
      </w:r>
      <w:r w:rsidR="00BD7BDB" w:rsidRPr="00BD7BDB">
        <w:t xml:space="preserve"> </w:t>
      </w:r>
      <w:r w:rsidR="00BD7BDB">
        <w:t xml:space="preserve">supplied in Australia </w:t>
      </w:r>
      <w:r w:rsidR="00CF6F85">
        <w:t xml:space="preserve">- </w:t>
      </w:r>
      <w:r w:rsidR="003D512E">
        <w:t>excluding self-certified devices such as Class I non-sterile, non-</w:t>
      </w:r>
      <w:r w:rsidR="00EF1CEE">
        <w:t>measuring</w:t>
      </w:r>
      <w:r w:rsidR="00CF6F85">
        <w:t>-</w:t>
      </w:r>
      <w:r w:rsidR="00A43309">
        <w:t xml:space="preserve"> are imported using overseas certification. Mutual recognition and the ability to use evidence and certification from comparable overseas regulators streamlines the Australian process for sponsors who are </w:t>
      </w:r>
      <w:r w:rsidR="00AC22DA">
        <w:t xml:space="preserve">supplying </w:t>
      </w:r>
      <w:r w:rsidR="00A43309">
        <w:t xml:space="preserve">their therapeutic goods to </w:t>
      </w:r>
      <w:r w:rsidR="00AC22DA">
        <w:t xml:space="preserve">our </w:t>
      </w:r>
      <w:r w:rsidR="00A43309">
        <w:t>market. Th</w:t>
      </w:r>
      <w:r w:rsidR="00AC22DA">
        <w:t xml:space="preserve">is alignment </w:t>
      </w:r>
      <w:r w:rsidR="00A43309">
        <w:t>reduce</w:t>
      </w:r>
      <w:r w:rsidR="00AC22DA">
        <w:t>s</w:t>
      </w:r>
      <w:r w:rsidR="00A43309">
        <w:t xml:space="preserve"> costs and lead times for Australian consumers seeking access to therapeutic goods.</w:t>
      </w:r>
    </w:p>
    <w:p w14:paraId="2E4D7D29" w14:textId="051AB657" w:rsidR="00EA417E" w:rsidRDefault="00EA417E" w:rsidP="00A65CF3">
      <w:r>
        <w:t>Stakeholders noted the need to preserve international harmonisation of Australia’s regulatory approach</w:t>
      </w:r>
      <w:r w:rsidR="00BD7BDB">
        <w:t>,</w:t>
      </w:r>
      <w:r>
        <w:t xml:space="preserve"> to ensure innovative devices </w:t>
      </w:r>
      <w:r w:rsidR="003D512E">
        <w:t xml:space="preserve">can </w:t>
      </w:r>
      <w:r>
        <w:t xml:space="preserve">be safely </w:t>
      </w:r>
      <w:r w:rsidR="00943EED">
        <w:t xml:space="preserve">and </w:t>
      </w:r>
      <w:r>
        <w:t xml:space="preserve">deployed as early as possible, while limiting the </w:t>
      </w:r>
      <w:r w:rsidR="00943EED">
        <w:t xml:space="preserve">regulatory </w:t>
      </w:r>
      <w:r>
        <w:t xml:space="preserve">burden for </w:t>
      </w:r>
      <w:r w:rsidR="002F5CD1">
        <w:t xml:space="preserve">sponsors of these devices. Further comments were received on the </w:t>
      </w:r>
      <w:r w:rsidR="002943CC">
        <w:t>changes occurring in other jurisdictions where different approaches have been taken with respect to meeting the challenges associated with regulating AI</w:t>
      </w:r>
      <w:r w:rsidR="00F67EA2">
        <w:t>.</w:t>
      </w:r>
    </w:p>
    <w:p w14:paraId="53B8A89E" w14:textId="20DCB137" w:rsidR="00CB38E7" w:rsidRDefault="00240340" w:rsidP="00CB38E7">
      <w:pPr>
        <w:pStyle w:val="Heading4"/>
      </w:pPr>
      <w:bookmarkStart w:id="38" w:name="_Toc184721119"/>
      <w:r>
        <w:t>International</w:t>
      </w:r>
      <w:r w:rsidR="00CB38E7">
        <w:t xml:space="preserve"> approaches to AI</w:t>
      </w:r>
      <w:bookmarkEnd w:id="38"/>
    </w:p>
    <w:p w14:paraId="6E298B90" w14:textId="4B20471B" w:rsidR="00CB38E7" w:rsidRDefault="00CB38E7" w:rsidP="00CB38E7">
      <w:r>
        <w:t xml:space="preserve">AI is a broad term encompassing </w:t>
      </w:r>
      <w:r w:rsidR="003D512E">
        <w:t xml:space="preserve">several </w:t>
      </w:r>
      <w:r>
        <w:t>different technologies and applications. There are examples of AI models and systems already regulated using existing legislative frameworks. For more recent and emerging examples of AI, regulatory approaches continu</w:t>
      </w:r>
      <w:r w:rsidR="008C14A5">
        <w:t>e</w:t>
      </w:r>
      <w:r>
        <w:t xml:space="preserve"> to develop as these products enter the market. The largest therapeutic goods regulator in the world, the US</w:t>
      </w:r>
      <w:r w:rsidR="00B85B51">
        <w:t xml:space="preserve"> </w:t>
      </w:r>
      <w:r>
        <w:t xml:space="preserve">FDA, maintains </w:t>
      </w:r>
      <w:hyperlink r:id="rId29" w:history="1">
        <w:r w:rsidRPr="001F5CF9">
          <w:rPr>
            <w:rStyle w:val="Hyperlink"/>
          </w:rPr>
          <w:t>a list of Artificial Intelligence and Machine Learning-Enabled Medical Devices</w:t>
        </w:r>
      </w:hyperlink>
      <w:r>
        <w:t xml:space="preserve"> on their website and, as at 7 August 2024, had approved 950 devices.</w:t>
      </w:r>
    </w:p>
    <w:p w14:paraId="439782A4" w14:textId="3054AB8E" w:rsidR="00EF21C8" w:rsidRDefault="006531A1" w:rsidP="00CB38E7">
      <w:r>
        <w:t xml:space="preserve">Regulatory approaches to the regulation of AI are still developing, with new legislation, policies and guidelines appearing in the last twelve months. </w:t>
      </w:r>
      <w:r w:rsidR="00EF21C8">
        <w:t>While relevant i</w:t>
      </w:r>
      <w:r w:rsidR="00CB38E7">
        <w:t xml:space="preserve">nternational standards and guidelines </w:t>
      </w:r>
      <w:r w:rsidR="00EF21C8">
        <w:lastRenderedPageBreak/>
        <w:t>do exist</w:t>
      </w:r>
      <w:r w:rsidR="00DC3527">
        <w:rPr>
          <w:rStyle w:val="FootnoteReference"/>
        </w:rPr>
        <w:footnoteReference w:id="11"/>
      </w:r>
      <w:r w:rsidR="00EF21C8">
        <w:t xml:space="preserve">, there is a continuing </w:t>
      </w:r>
      <w:r w:rsidR="00AC22DA">
        <w:t xml:space="preserve">struggle to </w:t>
      </w:r>
      <w:r w:rsidR="00DC3527">
        <w:t xml:space="preserve">ensure these documents </w:t>
      </w:r>
      <w:r w:rsidR="00AC22DA">
        <w:t xml:space="preserve">keep pace with </w:t>
      </w:r>
      <w:r w:rsidR="00DC3527">
        <w:t xml:space="preserve">rapid </w:t>
      </w:r>
      <w:r w:rsidR="00AC22DA">
        <w:t>changes</w:t>
      </w:r>
      <w:r w:rsidR="00DC3527">
        <w:t xml:space="preserve"> in the regulated environment</w:t>
      </w:r>
      <w:r w:rsidR="00AC22DA">
        <w:t xml:space="preserve">. </w:t>
      </w:r>
      <w:r w:rsidR="003D512E" w:rsidRPr="003D512E">
        <w:t xml:space="preserve">The </w:t>
      </w:r>
      <w:r w:rsidR="00A3651D">
        <w:t>International Medical Device R</w:t>
      </w:r>
      <w:r w:rsidR="00447C1D">
        <w:t>e</w:t>
      </w:r>
      <w:r w:rsidR="00A3651D">
        <w:t>gu</w:t>
      </w:r>
      <w:r w:rsidR="00447C1D">
        <w:t>la</w:t>
      </w:r>
      <w:r w:rsidR="00A3651D">
        <w:t>tors Forum (</w:t>
      </w:r>
      <w:r w:rsidR="003D512E" w:rsidRPr="003D512E">
        <w:t>IMDRF</w:t>
      </w:r>
      <w:r w:rsidR="00A3651D">
        <w:t>)</w:t>
      </w:r>
      <w:r w:rsidR="003D512E" w:rsidRPr="003D512E">
        <w:t xml:space="preserve"> is actively working on Guiding Principles for </w:t>
      </w:r>
      <w:hyperlink r:id="rId30" w:history="1">
        <w:r w:rsidR="003D512E" w:rsidRPr="003D512E">
          <w:rPr>
            <w:rStyle w:val="Hyperlink"/>
          </w:rPr>
          <w:t>Good machine learning practice for medical device development</w:t>
        </w:r>
      </w:hyperlink>
      <w:r w:rsidR="00C01308">
        <w:t xml:space="preserve">, </w:t>
      </w:r>
      <w:r w:rsidR="003D512E" w:rsidRPr="003D512E">
        <w:t xml:space="preserve">and a technical framework for AI lifecycle management for medical devices. </w:t>
      </w:r>
      <w:r w:rsidR="00CB38E7">
        <w:t xml:space="preserve">In the meantime, pre-market conformity assessment must be conducted on a case-by-case basis using the </w:t>
      </w:r>
      <w:hyperlink w:anchor="_The_current_framework" w:history="1">
        <w:r w:rsidR="00CB38E7" w:rsidRPr="00D51620">
          <w:rPr>
            <w:rStyle w:val="Hyperlink"/>
          </w:rPr>
          <w:t>existing regulatory framework</w:t>
        </w:r>
      </w:hyperlink>
      <w:r w:rsidR="00CB38E7">
        <w:t>, which stakeholders have indicated appear</w:t>
      </w:r>
      <w:r w:rsidR="00CA7825">
        <w:t>s</w:t>
      </w:r>
      <w:r w:rsidR="00CB38E7">
        <w:t xml:space="preserve"> to be both robust and flexible enough for the task</w:t>
      </w:r>
      <w:r w:rsidR="00537DD5">
        <w:t xml:space="preserve"> </w:t>
      </w:r>
      <w:r w:rsidR="003D5B44">
        <w:t xml:space="preserve">provided </w:t>
      </w:r>
      <w:r w:rsidR="00575A1D">
        <w:t>guidance is developed</w:t>
      </w:r>
      <w:r w:rsidR="00CA7825">
        <w:t xml:space="preserve"> to explain its application</w:t>
      </w:r>
      <w:r w:rsidR="00CB38E7">
        <w:t>.</w:t>
      </w:r>
    </w:p>
    <w:tbl>
      <w:tblPr>
        <w:tblStyle w:val="TableGrid"/>
        <w:tblW w:w="0" w:type="auto"/>
        <w:tblLook w:val="04A0" w:firstRow="1" w:lastRow="0" w:firstColumn="1" w:lastColumn="0" w:noHBand="0" w:noVBand="1"/>
      </w:tblPr>
      <w:tblGrid>
        <w:gridCol w:w="9016"/>
      </w:tblGrid>
      <w:tr w:rsidR="00F464B0" w14:paraId="341AB96F" w14:textId="77777777" w:rsidTr="00F464B0">
        <w:tc>
          <w:tcPr>
            <w:tcW w:w="9016" w:type="dxa"/>
            <w:shd w:val="clear" w:color="auto" w:fill="D2EDFF" w:themeFill="text1" w:themeFillTint="1A"/>
          </w:tcPr>
          <w:p w14:paraId="03D39FFF" w14:textId="37889D48" w:rsidR="00F464B0" w:rsidRPr="00F464B0" w:rsidRDefault="00CF38AA" w:rsidP="00F464B0">
            <w:pPr>
              <w:pStyle w:val="Callout"/>
              <w:rPr>
                <w:b/>
                <w:bCs/>
                <w:sz w:val="20"/>
                <w:szCs w:val="20"/>
              </w:rPr>
            </w:pPr>
            <w:r>
              <w:rPr>
                <w:b/>
                <w:bCs/>
                <w:sz w:val="20"/>
                <w:szCs w:val="20"/>
              </w:rPr>
              <w:t>Finding</w:t>
            </w:r>
            <w:r w:rsidR="00AC22DA">
              <w:rPr>
                <w:b/>
                <w:bCs/>
                <w:sz w:val="20"/>
                <w:szCs w:val="20"/>
              </w:rPr>
              <w:t xml:space="preserve"> 14</w:t>
            </w:r>
          </w:p>
          <w:p w14:paraId="75DD0423" w14:textId="0DE3ACA6" w:rsidR="00F464B0" w:rsidRDefault="00F464B0" w:rsidP="00F464B0">
            <w:pPr>
              <w:pStyle w:val="Callout"/>
              <w:spacing w:after="120"/>
              <w:rPr>
                <w:sz w:val="20"/>
                <w:szCs w:val="20"/>
              </w:rPr>
            </w:pPr>
            <w:r w:rsidRPr="00F464B0">
              <w:rPr>
                <w:sz w:val="20"/>
                <w:szCs w:val="20"/>
              </w:rPr>
              <w:t xml:space="preserve">Strong engagement with </w:t>
            </w:r>
            <w:r w:rsidR="00AC22DA">
              <w:rPr>
                <w:sz w:val="20"/>
                <w:szCs w:val="20"/>
              </w:rPr>
              <w:t xml:space="preserve">therapeutic goods </w:t>
            </w:r>
            <w:r w:rsidRPr="00F464B0">
              <w:rPr>
                <w:sz w:val="20"/>
                <w:szCs w:val="20"/>
              </w:rPr>
              <w:t xml:space="preserve">regulators in other jurisdictions </w:t>
            </w:r>
            <w:r w:rsidR="00172D62">
              <w:rPr>
                <w:sz w:val="20"/>
                <w:szCs w:val="20"/>
              </w:rPr>
              <w:t xml:space="preserve">must </w:t>
            </w:r>
            <w:r w:rsidRPr="00F464B0">
              <w:rPr>
                <w:sz w:val="20"/>
                <w:szCs w:val="20"/>
              </w:rPr>
              <w:t xml:space="preserve">be maintained </w:t>
            </w:r>
            <w:r w:rsidR="00E6708F">
              <w:rPr>
                <w:sz w:val="20"/>
                <w:szCs w:val="20"/>
              </w:rPr>
              <w:t>to share</w:t>
            </w:r>
            <w:r w:rsidRPr="00F464B0">
              <w:rPr>
                <w:sz w:val="20"/>
                <w:szCs w:val="20"/>
              </w:rPr>
              <w:t xml:space="preserve"> information about the developing regulatory approaches to AI</w:t>
            </w:r>
            <w:r w:rsidR="00172D62">
              <w:rPr>
                <w:sz w:val="20"/>
                <w:szCs w:val="20"/>
              </w:rPr>
              <w:t xml:space="preserve"> and leverag</w:t>
            </w:r>
            <w:r w:rsidR="00E6708F">
              <w:rPr>
                <w:sz w:val="20"/>
                <w:szCs w:val="20"/>
              </w:rPr>
              <w:t>e</w:t>
            </w:r>
            <w:r w:rsidR="00172D62">
              <w:rPr>
                <w:sz w:val="20"/>
                <w:szCs w:val="20"/>
              </w:rPr>
              <w:t xml:space="preserve"> learnings from other jurisdictions.</w:t>
            </w:r>
          </w:p>
          <w:p w14:paraId="3DD4B31E" w14:textId="0761637D" w:rsidR="005E658D" w:rsidRDefault="005E658D" w:rsidP="00F464B0">
            <w:pPr>
              <w:pStyle w:val="Callout"/>
              <w:spacing w:after="120"/>
              <w:rPr>
                <w:sz w:val="20"/>
                <w:szCs w:val="20"/>
              </w:rPr>
            </w:pPr>
            <w:r>
              <w:rPr>
                <w:sz w:val="20"/>
                <w:szCs w:val="20"/>
              </w:rPr>
              <w:t xml:space="preserve">International harmonisation with </w:t>
            </w:r>
            <w:r w:rsidR="00AC22DA">
              <w:rPr>
                <w:sz w:val="20"/>
                <w:szCs w:val="20"/>
              </w:rPr>
              <w:t xml:space="preserve">comparable </w:t>
            </w:r>
            <w:r>
              <w:rPr>
                <w:sz w:val="20"/>
                <w:szCs w:val="20"/>
              </w:rPr>
              <w:t xml:space="preserve">jurisdictions should be maintained as far as possible, in order to minimise regulatory burden and </w:t>
            </w:r>
            <w:r w:rsidR="00560BA2">
              <w:rPr>
                <w:sz w:val="20"/>
                <w:szCs w:val="20"/>
              </w:rPr>
              <w:t xml:space="preserve">the </w:t>
            </w:r>
            <w:r>
              <w:rPr>
                <w:sz w:val="20"/>
                <w:szCs w:val="20"/>
              </w:rPr>
              <w:t>disruption to supply of innovative devices.</w:t>
            </w:r>
          </w:p>
          <w:p w14:paraId="51B55214" w14:textId="46725176" w:rsidR="00B17A2B" w:rsidRPr="005E658D" w:rsidRDefault="00B17A2B" w:rsidP="00F464B0">
            <w:pPr>
              <w:pStyle w:val="Callout"/>
              <w:spacing w:after="120"/>
              <w:rPr>
                <w:sz w:val="20"/>
                <w:szCs w:val="20"/>
              </w:rPr>
            </w:pPr>
            <w:r>
              <w:rPr>
                <w:sz w:val="20"/>
                <w:szCs w:val="20"/>
              </w:rPr>
              <w:t>The Australian framework for regulatin</w:t>
            </w:r>
            <w:r w:rsidR="00AC22DA">
              <w:rPr>
                <w:sz w:val="20"/>
                <w:szCs w:val="20"/>
              </w:rPr>
              <w:t>g</w:t>
            </w:r>
            <w:r>
              <w:rPr>
                <w:sz w:val="20"/>
                <w:szCs w:val="20"/>
              </w:rPr>
              <w:t xml:space="preserve"> medical devices should </w:t>
            </w:r>
            <w:r w:rsidR="00FB0AEC">
              <w:rPr>
                <w:sz w:val="20"/>
                <w:szCs w:val="20"/>
              </w:rPr>
              <w:t xml:space="preserve">be responsive and reactive to developments in other </w:t>
            </w:r>
            <w:r w:rsidR="00AC22DA">
              <w:rPr>
                <w:sz w:val="20"/>
                <w:szCs w:val="20"/>
              </w:rPr>
              <w:t xml:space="preserve">comparable </w:t>
            </w:r>
            <w:r w:rsidR="00FB0AEC">
              <w:rPr>
                <w:sz w:val="20"/>
                <w:szCs w:val="20"/>
              </w:rPr>
              <w:t>jurisdictions and</w:t>
            </w:r>
            <w:r w:rsidR="00560BA2">
              <w:rPr>
                <w:sz w:val="20"/>
                <w:szCs w:val="20"/>
              </w:rPr>
              <w:t xml:space="preserve"> the</w:t>
            </w:r>
            <w:r w:rsidR="00FB0AEC">
              <w:rPr>
                <w:sz w:val="20"/>
                <w:szCs w:val="20"/>
              </w:rPr>
              <w:t xml:space="preserve"> identification of specific risks with respect to AI, rather than proactive</w:t>
            </w:r>
            <w:r w:rsidR="00F57E32">
              <w:rPr>
                <w:sz w:val="20"/>
                <w:szCs w:val="20"/>
              </w:rPr>
              <w:t>.</w:t>
            </w:r>
          </w:p>
        </w:tc>
      </w:tr>
    </w:tbl>
    <w:p w14:paraId="4331DE5B" w14:textId="77777777" w:rsidR="00FE4644" w:rsidRDefault="00FE4644">
      <w:pPr>
        <w:rPr>
          <w:rFonts w:eastAsia="Times New Roman" w:cs="Times New Roman"/>
          <w:b/>
          <w:bCs/>
          <w:color w:val="001871"/>
          <w:sz w:val="38"/>
          <w:szCs w:val="38"/>
        </w:rPr>
      </w:pPr>
      <w:r>
        <w:br w:type="page"/>
      </w:r>
    </w:p>
    <w:p w14:paraId="44F21E6D" w14:textId="38C9A0AD" w:rsidR="00001D49" w:rsidRDefault="008C0D77" w:rsidP="002522ED">
      <w:pPr>
        <w:pStyle w:val="Heading2"/>
        <w:numPr>
          <w:ilvl w:val="0"/>
          <w:numId w:val="15"/>
        </w:numPr>
        <w:ind w:hanging="720"/>
      </w:pPr>
      <w:bookmarkStart w:id="39" w:name="_Toc184721120"/>
      <w:r>
        <w:lastRenderedPageBreak/>
        <w:t>Background</w:t>
      </w:r>
      <w:bookmarkEnd w:id="39"/>
    </w:p>
    <w:p w14:paraId="5614048C" w14:textId="565F9490" w:rsidR="000B5A40" w:rsidRDefault="000B5A40" w:rsidP="00DF4533">
      <w:pPr>
        <w:pStyle w:val="Heading3"/>
      </w:pPr>
      <w:bookmarkStart w:id="40" w:name="_Approach_to_the"/>
      <w:bookmarkStart w:id="41" w:name="_Toc184721121"/>
      <w:bookmarkEnd w:id="40"/>
      <w:bookmarkEnd w:id="4"/>
      <w:r>
        <w:t>Approach to the review</w:t>
      </w:r>
      <w:bookmarkEnd w:id="41"/>
    </w:p>
    <w:p w14:paraId="648A09C8" w14:textId="0FE703B0" w:rsidR="00017A76" w:rsidRDefault="00017A76" w:rsidP="00017A76">
      <w:pPr>
        <w:rPr>
          <w:rFonts w:cs="Calibri"/>
        </w:rPr>
      </w:pPr>
      <w:r w:rsidRPr="00FE1F44">
        <w:t>The TGA is Australia's government authority responsible for regulat</w:t>
      </w:r>
      <w:r>
        <w:t>ing</w:t>
      </w:r>
      <w:r w:rsidRPr="00FE1F44">
        <w:t xml:space="preserve"> </w:t>
      </w:r>
      <w:r>
        <w:t xml:space="preserve">products </w:t>
      </w:r>
      <w:r w:rsidRPr="00FE1F44">
        <w:t xml:space="preserve">that </w:t>
      </w:r>
      <w:r w:rsidRPr="00FE1F44">
        <w:rPr>
          <w:rFonts w:cs="Calibri"/>
        </w:rPr>
        <w:t xml:space="preserve">meet the legislative definition of a therapeutic good under the </w:t>
      </w:r>
      <w:hyperlink r:id="rId31" w:history="1">
        <w:r w:rsidRPr="00FE1F44">
          <w:rPr>
            <w:rStyle w:val="Hyperlink"/>
            <w:rFonts w:cs="Calibri"/>
            <w:i/>
            <w:iCs/>
          </w:rPr>
          <w:t>Therapeutic Goods Act 1989</w:t>
        </w:r>
      </w:hyperlink>
      <w:r w:rsidRPr="00FE1F44">
        <w:rPr>
          <w:rFonts w:cs="Calibri"/>
        </w:rPr>
        <w:t xml:space="preserve"> (the Act)</w:t>
      </w:r>
      <w:r>
        <w:rPr>
          <w:rFonts w:cs="Calibri"/>
        </w:rPr>
        <w:t>. These products</w:t>
      </w:r>
      <w:r w:rsidRPr="00FE1F44">
        <w:rPr>
          <w:rFonts w:cs="Calibri"/>
        </w:rPr>
        <w:t xml:space="preserve"> </w:t>
      </w:r>
      <w:r>
        <w:rPr>
          <w:rFonts w:cs="Calibri"/>
        </w:rPr>
        <w:t xml:space="preserve">include </w:t>
      </w:r>
      <w:r w:rsidRPr="00FE1F44">
        <w:t>medicines, medical devices and biologicals to help Australians stay healthy and safe</w:t>
      </w:r>
      <w:r>
        <w:t xml:space="preserve">. Regulation includes </w:t>
      </w:r>
      <w:r w:rsidRPr="00FE1F44">
        <w:t xml:space="preserve">evaluating, assessing and monitoring products </w:t>
      </w:r>
      <w:r w:rsidR="00A201F0">
        <w:t xml:space="preserve">that </w:t>
      </w:r>
      <w:r w:rsidRPr="00FE1F44">
        <w:rPr>
          <w:rFonts w:cs="Calibri"/>
        </w:rPr>
        <w:t xml:space="preserve">generally </w:t>
      </w:r>
      <w:r>
        <w:rPr>
          <w:rFonts w:cs="Calibri"/>
        </w:rPr>
        <w:t>require</w:t>
      </w:r>
      <w:r w:rsidRPr="00FE1F44">
        <w:rPr>
          <w:rFonts w:cs="Calibri"/>
        </w:rPr>
        <w:t xml:space="preserve"> pre-market approval and </w:t>
      </w:r>
      <w:r>
        <w:rPr>
          <w:rFonts w:cs="Calibri"/>
        </w:rPr>
        <w:t>inclusion</w:t>
      </w:r>
      <w:r w:rsidRPr="00FE1F44">
        <w:rPr>
          <w:rFonts w:cs="Calibri"/>
        </w:rPr>
        <w:t xml:space="preserve"> </w:t>
      </w:r>
      <w:r w:rsidR="003412E2">
        <w:rPr>
          <w:rFonts w:cs="Calibri"/>
        </w:rPr>
        <w:t>o</w:t>
      </w:r>
      <w:r w:rsidRPr="00FE1F44">
        <w:rPr>
          <w:rFonts w:cs="Calibri"/>
        </w:rPr>
        <w:t xml:space="preserve">n the </w:t>
      </w:r>
      <w:hyperlink r:id="rId32" w:history="1">
        <w:r w:rsidRPr="00FE1F44">
          <w:rPr>
            <w:rStyle w:val="Hyperlink"/>
            <w:rFonts w:cs="Calibri"/>
          </w:rPr>
          <w:t>Australian Register of Therapeutic Goods</w:t>
        </w:r>
      </w:hyperlink>
      <w:r w:rsidRPr="00FE1F44">
        <w:rPr>
          <w:rFonts w:cs="Calibri"/>
        </w:rPr>
        <w:t xml:space="preserve"> (ARTG) before they can be imported, exported or supplied</w:t>
      </w:r>
      <w:r>
        <w:rPr>
          <w:rFonts w:cs="Calibri"/>
        </w:rPr>
        <w:t xml:space="preserve"> in Australia</w:t>
      </w:r>
      <w:r w:rsidRPr="00FE1F44">
        <w:rPr>
          <w:rFonts w:cs="Calibri"/>
        </w:rPr>
        <w:t xml:space="preserve">. </w:t>
      </w:r>
    </w:p>
    <w:p w14:paraId="2540E27C" w14:textId="649F4491" w:rsidR="00290A06" w:rsidRDefault="00290A06" w:rsidP="00290A06">
      <w:pPr>
        <w:pStyle w:val="Heading4"/>
      </w:pPr>
      <w:bookmarkStart w:id="42" w:name="_Toc184721122"/>
      <w:r>
        <w:t>Scope</w:t>
      </w:r>
      <w:bookmarkEnd w:id="42"/>
    </w:p>
    <w:p w14:paraId="1EA61C71" w14:textId="4C8DDAA6" w:rsidR="00017A76" w:rsidRPr="00314556" w:rsidRDefault="00017A76" w:rsidP="00017A76">
      <w:r>
        <w:rPr>
          <w:rFonts w:cs="Calibri"/>
        </w:rPr>
        <w:t>The scope of our review incorporated the</w:t>
      </w:r>
      <w:r w:rsidR="004240F2">
        <w:rPr>
          <w:rFonts w:cs="Calibri"/>
        </w:rPr>
        <w:t xml:space="preserve"> Act</w:t>
      </w:r>
      <w:r w:rsidR="004240F2">
        <w:t xml:space="preserve"> </w:t>
      </w:r>
      <w:r>
        <w:t>and all subordinate legislation</w:t>
      </w:r>
      <w:r w:rsidR="00450412">
        <w:t>,</w:t>
      </w:r>
      <w:r>
        <w:t xml:space="preserve"> including:</w:t>
      </w:r>
    </w:p>
    <w:p w14:paraId="659DEC45" w14:textId="77777777" w:rsidR="00017A76" w:rsidRPr="008E44C7" w:rsidRDefault="00017A76" w:rsidP="00D56E25">
      <w:pPr>
        <w:pStyle w:val="ListParagraph"/>
      </w:pPr>
      <w:hyperlink r:id="rId33" w:history="1">
        <w:r w:rsidRPr="0072165E">
          <w:rPr>
            <w:rStyle w:val="Hyperlink"/>
            <w:rFonts w:asciiTheme="minorHAnsi" w:hAnsiTheme="minorHAnsi"/>
          </w:rPr>
          <w:t>Therapeutic Goods Advertising Code</w:t>
        </w:r>
      </w:hyperlink>
    </w:p>
    <w:p w14:paraId="767E0F5F" w14:textId="77777777" w:rsidR="00017A76" w:rsidRPr="008E44C7" w:rsidRDefault="00017A76" w:rsidP="00D56E25">
      <w:pPr>
        <w:pStyle w:val="ListParagraph"/>
      </w:pPr>
      <w:hyperlink r:id="rId34" w:history="1">
        <w:r w:rsidRPr="0072165E">
          <w:rPr>
            <w:rStyle w:val="Hyperlink"/>
            <w:rFonts w:asciiTheme="minorHAnsi" w:hAnsiTheme="minorHAnsi"/>
          </w:rPr>
          <w:t>Therapeutic Goods Regulations 1990</w:t>
        </w:r>
      </w:hyperlink>
    </w:p>
    <w:p w14:paraId="5D209676" w14:textId="77777777" w:rsidR="00017A76" w:rsidRPr="008E44C7" w:rsidRDefault="00017A76" w:rsidP="00D56E25">
      <w:pPr>
        <w:pStyle w:val="ListParagraph"/>
      </w:pPr>
      <w:hyperlink r:id="rId35" w:history="1">
        <w:r w:rsidRPr="0072165E">
          <w:rPr>
            <w:rStyle w:val="Hyperlink"/>
            <w:rFonts w:asciiTheme="minorHAnsi" w:hAnsiTheme="minorHAnsi"/>
          </w:rPr>
          <w:t>Therapeutic Goods (Medical Devices) Regulations 2002</w:t>
        </w:r>
      </w:hyperlink>
    </w:p>
    <w:p w14:paraId="46391CE3" w14:textId="77777777" w:rsidR="00017A76" w:rsidRPr="00017A76" w:rsidRDefault="00017A76" w:rsidP="00D56E25">
      <w:pPr>
        <w:pStyle w:val="ListParagraph"/>
        <w:rPr>
          <w:rStyle w:val="Hyperlink"/>
          <w:rFonts w:asciiTheme="minorHAnsi" w:hAnsiTheme="minorHAnsi"/>
          <w:color w:val="auto"/>
          <w:u w:val="none"/>
        </w:rPr>
      </w:pPr>
      <w:hyperlink r:id="rId36" w:history="1">
        <w:r w:rsidRPr="0072165E">
          <w:rPr>
            <w:rStyle w:val="Hyperlink"/>
            <w:rFonts w:asciiTheme="minorHAnsi" w:hAnsiTheme="minorHAnsi"/>
          </w:rPr>
          <w:t>Therapeutic Goods (Excluded Goods) Determination 2018</w:t>
        </w:r>
      </w:hyperlink>
    </w:p>
    <w:p w14:paraId="004CFD41" w14:textId="4A5288E0" w:rsidR="00017A76" w:rsidRDefault="007B1999" w:rsidP="00B94591">
      <w:pPr>
        <w:spacing w:before="120"/>
      </w:pPr>
      <w:r>
        <w:t>The review considered use cases and applications of AI models and systems</w:t>
      </w:r>
      <w:r w:rsidR="00450412">
        <w:t>,</w:t>
      </w:r>
      <w:r w:rsidR="00B94591">
        <w:t xml:space="preserve"> including:</w:t>
      </w:r>
    </w:p>
    <w:p w14:paraId="0F14B047" w14:textId="4927A11F" w:rsidR="00B94591" w:rsidRDefault="00450412" w:rsidP="00D56E25">
      <w:pPr>
        <w:pStyle w:val="ListParagraph"/>
      </w:pPr>
      <w:r>
        <w:t>w</w:t>
      </w:r>
      <w:r w:rsidR="00B94591">
        <w:t xml:space="preserve">ithin </w:t>
      </w:r>
      <w:r w:rsidR="00C321EB">
        <w:t>therapeutic goods</w:t>
      </w:r>
      <w:r>
        <w:t>,</w:t>
      </w:r>
      <w:r w:rsidR="00C321EB">
        <w:t xml:space="preserve"> where an AI model or system is, or is incorporated within, a therapeutic good</w:t>
      </w:r>
    </w:p>
    <w:p w14:paraId="0A822A02" w14:textId="5A826024" w:rsidR="0009165A" w:rsidRDefault="00450412" w:rsidP="00D56E25">
      <w:pPr>
        <w:pStyle w:val="ListParagraph"/>
      </w:pPr>
      <w:r>
        <w:t>w</w:t>
      </w:r>
      <w:r w:rsidR="0009165A">
        <w:t>here AI is used within the design, development or manufacturing process of a therapeutic good</w:t>
      </w:r>
      <w:r>
        <w:t>, and</w:t>
      </w:r>
    </w:p>
    <w:p w14:paraId="6AAC74F7" w14:textId="6C7F484A" w:rsidR="00EA1BD9" w:rsidRPr="008E44C7" w:rsidRDefault="00EA1BD9" w:rsidP="00D56E25">
      <w:pPr>
        <w:pStyle w:val="ListParagraph"/>
      </w:pPr>
      <w:r>
        <w:t>AI models and systems used within the healthcare sector more generally (i.e. where the model or systems is not a therapeutic good)</w:t>
      </w:r>
      <w:r w:rsidR="005F6BAE">
        <w:t xml:space="preserve"> when intersecting with therapeutic goods or the Therapeutic Goods Administration</w:t>
      </w:r>
      <w:r>
        <w:t>.</w:t>
      </w:r>
    </w:p>
    <w:p w14:paraId="273F6BC6" w14:textId="77777777" w:rsidR="00017A76" w:rsidRDefault="00017A76" w:rsidP="00095F02">
      <w:pPr>
        <w:pStyle w:val="Heading4"/>
      </w:pPr>
      <w:bookmarkStart w:id="43" w:name="_Toc184721123"/>
      <w:r>
        <w:t>Out of scope</w:t>
      </w:r>
      <w:bookmarkEnd w:id="43"/>
    </w:p>
    <w:p w14:paraId="47165C4D" w14:textId="685946C3" w:rsidR="00017A76" w:rsidRDefault="00017A76" w:rsidP="00017A76">
      <w:r>
        <w:t xml:space="preserve">While we recognise the importance of the following areas of regulation, they </w:t>
      </w:r>
      <w:r w:rsidR="003412E2">
        <w:t xml:space="preserve">are not </w:t>
      </w:r>
      <w:r>
        <w:t>within the TGA’s legislative remit and were therefore not included as a focus in the TGA’s review:</w:t>
      </w:r>
    </w:p>
    <w:p w14:paraId="3FDFD9DA" w14:textId="7E5FEF68" w:rsidR="00017A76" w:rsidRDefault="00017A76" w:rsidP="00D56E25">
      <w:pPr>
        <w:pStyle w:val="ListParagraph"/>
      </w:pPr>
      <w:r w:rsidRPr="008C681B">
        <w:rPr>
          <w:b/>
          <w:bCs/>
        </w:rPr>
        <w:t>Privacy:</w:t>
      </w:r>
      <w:r>
        <w:t xml:space="preserve"> In Australia the </w:t>
      </w:r>
      <w:hyperlink r:id="rId37" w:history="1">
        <w:r w:rsidR="00EE34A6" w:rsidRPr="008C681B">
          <w:rPr>
            <w:rStyle w:val="Hyperlink"/>
            <w:i/>
            <w:iCs/>
          </w:rPr>
          <w:t>Privacy Act 1988</w:t>
        </w:r>
      </w:hyperlink>
      <w:r w:rsidR="00EE34A6">
        <w:rPr>
          <w:rStyle w:val="Hyperlink"/>
          <w:i/>
          <w:iCs/>
        </w:rPr>
        <w:t xml:space="preserve"> </w:t>
      </w:r>
      <w:r>
        <w:t xml:space="preserve">promotes and protects the privacy of individuals through 13 Australian Privacy Principles that apply to Australian Government agencies and organisations, including the TGA. The </w:t>
      </w:r>
      <w:hyperlink r:id="rId38" w:history="1">
        <w:r w:rsidRPr="00E409B3">
          <w:rPr>
            <w:rStyle w:val="Hyperlink"/>
          </w:rPr>
          <w:t>Office of the Australian Information Commissioner (OAIC)</w:t>
        </w:r>
      </w:hyperlink>
      <w:r>
        <w:t xml:space="preserve"> is the independent regulator for privacy and freedom of information. More information about the </w:t>
      </w:r>
      <w:r w:rsidR="00EE34A6" w:rsidRPr="00404644">
        <w:t>Privacy Act 1988</w:t>
      </w:r>
      <w:r>
        <w:t xml:space="preserve"> can be found on the OAIC website. The way the TGA manages personal information is explained in our </w:t>
      </w:r>
      <w:hyperlink r:id="rId39" w:history="1">
        <w:r w:rsidRPr="00785210">
          <w:rPr>
            <w:rStyle w:val="Hyperlink"/>
          </w:rPr>
          <w:t>privacy policy</w:t>
        </w:r>
      </w:hyperlink>
      <w:r>
        <w:t xml:space="preserve">. The Department’s </w:t>
      </w:r>
      <w:hyperlink r:id="rId40" w:history="1">
        <w:r w:rsidRPr="005463AC">
          <w:rPr>
            <w:rStyle w:val="Hyperlink"/>
          </w:rPr>
          <w:t>privacy policy webpage</w:t>
        </w:r>
      </w:hyperlink>
      <w:r>
        <w:t xml:space="preserve"> also contains information about how the Department manages personal information with links to further relevant information about privacy.</w:t>
      </w:r>
    </w:p>
    <w:p w14:paraId="09B55EE9" w14:textId="7E2E1CA7" w:rsidR="00017A76" w:rsidRDefault="00017A76" w:rsidP="00D56E25">
      <w:pPr>
        <w:pStyle w:val="ListParagraph"/>
      </w:pPr>
      <w:r w:rsidRPr="00971779">
        <w:rPr>
          <w:b/>
          <w:bCs/>
        </w:rPr>
        <w:t>Cyber</w:t>
      </w:r>
      <w:r w:rsidR="003D512E">
        <w:rPr>
          <w:b/>
          <w:bCs/>
        </w:rPr>
        <w:t xml:space="preserve"> </w:t>
      </w:r>
      <w:r w:rsidRPr="00971779">
        <w:rPr>
          <w:b/>
          <w:bCs/>
        </w:rPr>
        <w:t>security:</w:t>
      </w:r>
      <w:r>
        <w:t xml:space="preserve"> In Australia the government’s approach to cyber security is outlined in the </w:t>
      </w:r>
      <w:hyperlink r:id="rId41" w:history="1">
        <w:r w:rsidRPr="0072165E">
          <w:rPr>
            <w:rStyle w:val="Hyperlink"/>
          </w:rPr>
          <w:t>2023-2030 Australian Cyber Security Strategy</w:t>
        </w:r>
      </w:hyperlink>
      <w:r>
        <w:t xml:space="preserve"> (the Strategy)</w:t>
      </w:r>
      <w:r w:rsidR="00DA531B">
        <w:t>,</w:t>
      </w:r>
      <w:r>
        <w:t xml:space="preserve"> and implementation of the Strategy is supported by the Australian Signals Directorate’s </w:t>
      </w:r>
      <w:hyperlink r:id="rId42" w:history="1">
        <w:r w:rsidRPr="00493328">
          <w:rPr>
            <w:rStyle w:val="Hyperlink"/>
          </w:rPr>
          <w:t>Australian Cyber Security Centre</w:t>
        </w:r>
      </w:hyperlink>
      <w:r>
        <w:rPr>
          <w:rStyle w:val="Hyperlink"/>
        </w:rPr>
        <w:t xml:space="preserve"> </w:t>
      </w:r>
      <w:r w:rsidRPr="000E1CEE">
        <w:t>(the Centre)</w:t>
      </w:r>
      <w:r>
        <w:t>. While the TGA continues to engage with the Centre to ensure threats to cyber security are addressed, the Strategy and associated laws enforcing cyber security more generally were not a part of the TGA’s legislative review.</w:t>
      </w:r>
    </w:p>
    <w:p w14:paraId="0E06B48A" w14:textId="27C13603" w:rsidR="00017A76" w:rsidRDefault="00017A76" w:rsidP="00D56E25">
      <w:pPr>
        <w:pStyle w:val="ListParagraph"/>
      </w:pPr>
      <w:r w:rsidRPr="00971779">
        <w:rPr>
          <w:b/>
          <w:bCs/>
        </w:rPr>
        <w:t>Clinical practice:</w:t>
      </w:r>
      <w:r w:rsidRPr="002221AC">
        <w:t xml:space="preserve"> Clinical</w:t>
      </w:r>
      <w:r>
        <w:t xml:space="preserve"> and healthcare practice are not regulated by the TGA, including where health professionals and practitioners are using AI capability that does not meet the legislative definition of a medical device, </w:t>
      </w:r>
      <w:r w:rsidR="005245D2">
        <w:t xml:space="preserve">such as </w:t>
      </w:r>
      <w:r>
        <w:t xml:space="preserve">virtual assistants </w:t>
      </w:r>
      <w:r w:rsidR="005245D2">
        <w:t xml:space="preserve">used to </w:t>
      </w:r>
      <w:r>
        <w:t>summaris</w:t>
      </w:r>
      <w:r w:rsidR="005245D2">
        <w:t>e</w:t>
      </w:r>
      <w:r>
        <w:t xml:space="preserve"> </w:t>
      </w:r>
      <w:r>
        <w:lastRenderedPageBreak/>
        <w:t>practice notes or manag</w:t>
      </w:r>
      <w:r w:rsidR="005245D2">
        <w:t>e</w:t>
      </w:r>
      <w:r>
        <w:t xml:space="preserve"> patient records. Clinical practice and healthcare facilities are regulated through:</w:t>
      </w:r>
    </w:p>
    <w:p w14:paraId="3248C5D6" w14:textId="6FB85FEF" w:rsidR="00017A76" w:rsidRPr="00C62E7F" w:rsidRDefault="00017A76" w:rsidP="002522ED">
      <w:pPr>
        <w:pStyle w:val="ListParagraph"/>
        <w:numPr>
          <w:ilvl w:val="1"/>
          <w:numId w:val="19"/>
        </w:numPr>
      </w:pPr>
      <w:r w:rsidRPr="00533E48">
        <w:t xml:space="preserve">The </w:t>
      </w:r>
      <w:hyperlink r:id="rId43" w:history="1">
        <w:r w:rsidRPr="004C181C">
          <w:rPr>
            <w:rStyle w:val="Hyperlink"/>
          </w:rPr>
          <w:t>Australian Health Practitioner Regulation Agency</w:t>
        </w:r>
      </w:hyperlink>
      <w:r w:rsidRPr="00533E48">
        <w:t xml:space="preserve"> </w:t>
      </w:r>
      <w:r w:rsidR="005245D2">
        <w:t xml:space="preserve">(Ahpra) </w:t>
      </w:r>
      <w:r w:rsidRPr="00533E48">
        <w:t>work</w:t>
      </w:r>
      <w:r>
        <w:t>ing</w:t>
      </w:r>
      <w:r w:rsidRPr="00533E48">
        <w:t xml:space="preserve"> in partnership with the National </w:t>
      </w:r>
      <w:r w:rsidR="00341EA1">
        <w:t xml:space="preserve">Professional </w:t>
      </w:r>
      <w:r w:rsidRPr="00533E48">
        <w:t xml:space="preserve">Boards to ensure that Australia’s registered health practitioners are suitably </w:t>
      </w:r>
      <w:r w:rsidRPr="00C62E7F">
        <w:rPr>
          <w:rFonts w:asciiTheme="majorHAnsi" w:hAnsiTheme="majorHAnsi" w:cstheme="majorHAnsi"/>
        </w:rPr>
        <w:t>trained, qualified and safe to practise.</w:t>
      </w:r>
    </w:p>
    <w:p w14:paraId="36AEA202" w14:textId="3A41E250" w:rsidR="00017A76" w:rsidRPr="00017A76" w:rsidRDefault="00017A76" w:rsidP="002522ED">
      <w:pPr>
        <w:pStyle w:val="ListParagraph"/>
        <w:numPr>
          <w:ilvl w:val="1"/>
          <w:numId w:val="19"/>
        </w:numPr>
      </w:pPr>
      <w:r w:rsidRPr="002B330C">
        <w:t xml:space="preserve">The </w:t>
      </w:r>
      <w:hyperlink r:id="rId44" w:history="1">
        <w:r w:rsidRPr="002B330C">
          <w:rPr>
            <w:rStyle w:val="Hyperlink"/>
            <w:rFonts w:asciiTheme="majorHAnsi" w:hAnsiTheme="majorHAnsi" w:cstheme="majorHAnsi"/>
          </w:rPr>
          <w:t>Australian Commission on Safety and Quality in Health Care</w:t>
        </w:r>
      </w:hyperlink>
      <w:r w:rsidR="00F8351A">
        <w:t xml:space="preserve">, </w:t>
      </w:r>
      <w:r>
        <w:t xml:space="preserve">who </w:t>
      </w:r>
      <w:r w:rsidRPr="002B330C">
        <w:t xml:space="preserve">lead and coordinate national improvements in the safety and quality of health care. </w:t>
      </w:r>
      <w:r w:rsidRPr="002B330C">
        <w:rPr>
          <w:rFonts w:eastAsiaTheme="minorHAnsi"/>
          <w:lang w:eastAsia="en-US"/>
        </w:rPr>
        <w:t xml:space="preserve">Their work includes developing and administering </w:t>
      </w:r>
      <w:hyperlink r:id="rId45" w:history="1">
        <w:r w:rsidRPr="002B330C">
          <w:rPr>
            <w:rStyle w:val="Hyperlink"/>
            <w:rFonts w:asciiTheme="majorHAnsi" w:hAnsiTheme="majorHAnsi" w:cstheme="majorHAnsi"/>
          </w:rPr>
          <w:t>standards</w:t>
        </w:r>
      </w:hyperlink>
      <w:r w:rsidRPr="002B330C">
        <w:rPr>
          <w:rFonts w:eastAsiaTheme="minorHAnsi"/>
          <w:lang w:eastAsia="en-US"/>
        </w:rPr>
        <w:t xml:space="preserve"> aimed at better informing, supporting and organising Australia’s health system. The standards help to ensure the health system can deliver safe and high-quality care, can keep people safe when they receive health care and to ensure they receive the health care they should.</w:t>
      </w:r>
      <w:bookmarkStart w:id="44" w:name="_Privacy"/>
      <w:bookmarkEnd w:id="44"/>
    </w:p>
    <w:p w14:paraId="2F01AEDF" w14:textId="2E958E5B" w:rsidR="00017A76" w:rsidRDefault="00017A76" w:rsidP="00DF4533">
      <w:pPr>
        <w:pStyle w:val="Heading3"/>
      </w:pPr>
      <w:bookmarkStart w:id="45" w:name="_Consultation"/>
      <w:bookmarkStart w:id="46" w:name="_Toc184721124"/>
      <w:bookmarkEnd w:id="45"/>
      <w:r>
        <w:t>Consultation</w:t>
      </w:r>
      <w:bookmarkEnd w:id="46"/>
    </w:p>
    <w:p w14:paraId="079DBE09" w14:textId="77777777" w:rsidR="00017A76" w:rsidRDefault="00017A76" w:rsidP="00017A76">
      <w:pPr>
        <w:rPr>
          <w:rFonts w:cs="Calibri"/>
        </w:rPr>
      </w:pPr>
      <w:r>
        <w:rPr>
          <w:rFonts w:cs="Calibri"/>
        </w:rPr>
        <w:t>Consultation with a wide range of stakeholders has been a key feature of the TGA’s legislative review, and included three key processes:</w:t>
      </w:r>
    </w:p>
    <w:p w14:paraId="499021F5" w14:textId="77777777" w:rsidR="00017A76" w:rsidRDefault="00017A76" w:rsidP="002522ED">
      <w:pPr>
        <w:pStyle w:val="ListParagraph"/>
        <w:numPr>
          <w:ilvl w:val="0"/>
          <w:numId w:val="13"/>
        </w:numPr>
      </w:pPr>
      <w:hyperlink w:anchor="_1._Targeted_stakeholder" w:history="1">
        <w:r w:rsidRPr="006424A1">
          <w:rPr>
            <w:rStyle w:val="Hyperlink"/>
            <w:rFonts w:asciiTheme="minorHAnsi" w:hAnsiTheme="minorHAnsi"/>
          </w:rPr>
          <w:t>Targeted stakeholder consultation sessions</w:t>
        </w:r>
      </w:hyperlink>
    </w:p>
    <w:p w14:paraId="397380CE" w14:textId="77777777" w:rsidR="00017A76" w:rsidRDefault="00017A76" w:rsidP="002522ED">
      <w:pPr>
        <w:pStyle w:val="ListParagraph"/>
        <w:numPr>
          <w:ilvl w:val="0"/>
          <w:numId w:val="13"/>
        </w:numPr>
      </w:pPr>
      <w:hyperlink w:anchor="_2._Joint_webinars" w:history="1">
        <w:r w:rsidRPr="006424A1">
          <w:rPr>
            <w:rStyle w:val="Hyperlink"/>
            <w:rFonts w:asciiTheme="minorHAnsi" w:hAnsiTheme="minorHAnsi"/>
          </w:rPr>
          <w:t>Joint webinars with the Department of Industry, Science and Resources (DISR)</w:t>
        </w:r>
      </w:hyperlink>
    </w:p>
    <w:p w14:paraId="1F213FA5" w14:textId="77777777" w:rsidR="00017A76" w:rsidRDefault="00017A76" w:rsidP="002522ED">
      <w:pPr>
        <w:pStyle w:val="ListParagraph"/>
        <w:numPr>
          <w:ilvl w:val="0"/>
          <w:numId w:val="13"/>
        </w:numPr>
      </w:pPr>
      <w:hyperlink w:anchor="_3._Public_consultation" w:history="1">
        <w:r w:rsidRPr="006424A1">
          <w:rPr>
            <w:rStyle w:val="Hyperlink"/>
            <w:rFonts w:asciiTheme="minorHAnsi" w:hAnsiTheme="minorHAnsi"/>
          </w:rPr>
          <w:t>Public consultation</w:t>
        </w:r>
      </w:hyperlink>
    </w:p>
    <w:p w14:paraId="59936A7E" w14:textId="67F0A805" w:rsidR="00017A76" w:rsidRDefault="00017A76" w:rsidP="00095F02">
      <w:pPr>
        <w:pStyle w:val="Heading4"/>
      </w:pPr>
      <w:bookmarkStart w:id="47" w:name="_1._Targeted_stakeholder"/>
      <w:bookmarkStart w:id="48" w:name="_Toc184721125"/>
      <w:bookmarkEnd w:id="47"/>
      <w:r>
        <w:t>Targeted stakeholder consultation sessions</w:t>
      </w:r>
      <w:bookmarkEnd w:id="48"/>
    </w:p>
    <w:p w14:paraId="07693D8B" w14:textId="0C93ED02" w:rsidR="00017A76" w:rsidRDefault="00017A76" w:rsidP="00017A76">
      <w:pPr>
        <w:rPr>
          <w:rFonts w:cs="Calibri"/>
        </w:rPr>
      </w:pPr>
      <w:r>
        <w:rPr>
          <w:rFonts w:cs="Calibri"/>
        </w:rPr>
        <w:t xml:space="preserve">A series of targeted stakeholder consultations </w:t>
      </w:r>
      <w:r w:rsidR="00A90DE5">
        <w:rPr>
          <w:rFonts w:cs="Calibri"/>
        </w:rPr>
        <w:t xml:space="preserve">was </w:t>
      </w:r>
      <w:r>
        <w:rPr>
          <w:rFonts w:cs="Calibri"/>
        </w:rPr>
        <w:t xml:space="preserve">conducted to identify areas </w:t>
      </w:r>
      <w:r w:rsidR="003412E2">
        <w:rPr>
          <w:rFonts w:cs="Calibri"/>
        </w:rPr>
        <w:t xml:space="preserve">of strength and where improvements could be made, including any areas of </w:t>
      </w:r>
      <w:r>
        <w:rPr>
          <w:rFonts w:cs="Calibri"/>
        </w:rPr>
        <w:t xml:space="preserve">concern across the therapeutic goods and healthcare sectors. Fourteen sessions were conducted with 305 stakeholders </w:t>
      </w:r>
      <w:r w:rsidR="003412E2">
        <w:rPr>
          <w:rFonts w:cs="Calibri"/>
        </w:rPr>
        <w:t>participating</w:t>
      </w:r>
      <w:r>
        <w:rPr>
          <w:rFonts w:cs="Calibri"/>
        </w:rPr>
        <w:t>. Stakeholders included:</w:t>
      </w:r>
    </w:p>
    <w:p w14:paraId="6B6AA1D6" w14:textId="2409023B" w:rsidR="00017A76" w:rsidRDefault="00FC3C0F" w:rsidP="002522ED">
      <w:pPr>
        <w:pStyle w:val="ListParagraph"/>
        <w:numPr>
          <w:ilvl w:val="0"/>
          <w:numId w:val="12"/>
        </w:numPr>
      </w:pPr>
      <w:r>
        <w:t>c</w:t>
      </w:r>
      <w:r w:rsidR="00017A76">
        <w:t xml:space="preserve">linicians and health professionals from </w:t>
      </w:r>
      <w:r w:rsidR="003412E2">
        <w:t xml:space="preserve">within </w:t>
      </w:r>
      <w:r w:rsidR="00017A76">
        <w:t>the Department</w:t>
      </w:r>
    </w:p>
    <w:p w14:paraId="4647DD2E" w14:textId="2497FAF7" w:rsidR="005239D9" w:rsidRPr="00804AF2" w:rsidRDefault="005239D9" w:rsidP="002522ED">
      <w:pPr>
        <w:pStyle w:val="ListParagraph"/>
        <w:numPr>
          <w:ilvl w:val="0"/>
          <w:numId w:val="12"/>
        </w:numPr>
      </w:pPr>
      <w:r>
        <w:t xml:space="preserve">members of the </w:t>
      </w:r>
      <w:hyperlink r:id="rId46" w:history="1">
        <w:r w:rsidRPr="00804AF2">
          <w:rPr>
            <w:rStyle w:val="Hyperlink"/>
            <w:rFonts w:asciiTheme="minorHAnsi" w:hAnsiTheme="minorHAnsi"/>
          </w:rPr>
          <w:t>Technical Reference Group for Software as a Medical Device (SaMD) and Artificial Intelligence (AI)</w:t>
        </w:r>
      </w:hyperlink>
    </w:p>
    <w:p w14:paraId="74CF6C40" w14:textId="70C59F4D" w:rsidR="00017A76" w:rsidRPr="00735CD6" w:rsidRDefault="00FC3C0F" w:rsidP="002522ED">
      <w:pPr>
        <w:pStyle w:val="ListParagraph"/>
        <w:numPr>
          <w:ilvl w:val="0"/>
          <w:numId w:val="12"/>
        </w:numPr>
        <w:rPr>
          <w:rStyle w:val="Hyperlink"/>
        </w:rPr>
      </w:pPr>
      <w:r>
        <w:t>r</w:t>
      </w:r>
      <w:r w:rsidR="00017A76">
        <w:t xml:space="preserve">egulatory experts from the TGA’s </w:t>
      </w:r>
      <w:hyperlink r:id="rId47" w:history="1">
        <w:r w:rsidR="00017A76" w:rsidRPr="00853B9D">
          <w:rPr>
            <w:rStyle w:val="Hyperlink"/>
          </w:rPr>
          <w:t xml:space="preserve">Regulatory and Technical Consultative Forum for </w:t>
        </w:r>
        <w:r w:rsidR="003412E2">
          <w:rPr>
            <w:rStyle w:val="Hyperlink"/>
          </w:rPr>
          <w:t>M</w:t>
        </w:r>
        <w:r w:rsidR="00017A76" w:rsidRPr="00853B9D">
          <w:rPr>
            <w:rStyle w:val="Hyperlink"/>
          </w:rPr>
          <w:t xml:space="preserve">edical </w:t>
        </w:r>
        <w:r w:rsidR="003412E2">
          <w:rPr>
            <w:rStyle w:val="Hyperlink"/>
          </w:rPr>
          <w:t>D</w:t>
        </w:r>
        <w:r w:rsidR="00017A76" w:rsidRPr="00853B9D">
          <w:rPr>
            <w:rStyle w:val="Hyperlink"/>
          </w:rPr>
          <w:t>evices (RegTech)</w:t>
        </w:r>
      </w:hyperlink>
    </w:p>
    <w:p w14:paraId="5478C776" w14:textId="602A1D91" w:rsidR="00017A76" w:rsidRPr="005D0997" w:rsidRDefault="00FC3C0F" w:rsidP="002522ED">
      <w:pPr>
        <w:pStyle w:val="ListParagraph"/>
        <w:numPr>
          <w:ilvl w:val="0"/>
          <w:numId w:val="12"/>
        </w:numPr>
      </w:pPr>
      <w:r>
        <w:t>s</w:t>
      </w:r>
      <w:r w:rsidR="00017A76" w:rsidRPr="005D0997">
        <w:t>oftware developers and technical experts</w:t>
      </w:r>
      <w:r w:rsidR="00A90DE5">
        <w:t xml:space="preserve">, </w:t>
      </w:r>
      <w:r w:rsidR="00017A76" w:rsidRPr="005D0997">
        <w:t xml:space="preserve">including </w:t>
      </w:r>
      <w:r w:rsidR="003412E2">
        <w:t xml:space="preserve">the </w:t>
      </w:r>
      <w:r w:rsidR="00017A76" w:rsidRPr="005D0997">
        <w:t>Medical Software Industry of Australia</w:t>
      </w:r>
      <w:r w:rsidR="00017A76">
        <w:t xml:space="preserve"> and</w:t>
      </w:r>
      <w:r w:rsidR="00017A76" w:rsidRPr="005D0997">
        <w:t xml:space="preserve"> ANDHealth clients</w:t>
      </w:r>
    </w:p>
    <w:p w14:paraId="3888EF95" w14:textId="19650EDC" w:rsidR="00017A76" w:rsidRDefault="00FC3C0F" w:rsidP="002522ED">
      <w:pPr>
        <w:pStyle w:val="ListParagraph"/>
        <w:numPr>
          <w:ilvl w:val="0"/>
          <w:numId w:val="12"/>
        </w:numPr>
      </w:pPr>
      <w:r>
        <w:t>h</w:t>
      </w:r>
      <w:r w:rsidR="00017A76" w:rsidRPr="005D0997">
        <w:t>ealth care providers, including representatives from professional associations and primary care physicians</w:t>
      </w:r>
    </w:p>
    <w:p w14:paraId="785BE850" w14:textId="125CB548" w:rsidR="00017A76" w:rsidRPr="007E5191" w:rsidRDefault="00FC3C0F" w:rsidP="002522ED">
      <w:pPr>
        <w:pStyle w:val="ListParagraph"/>
        <w:numPr>
          <w:ilvl w:val="0"/>
          <w:numId w:val="12"/>
        </w:numPr>
        <w:rPr>
          <w:rStyle w:val="Hyperlink"/>
        </w:rPr>
      </w:pPr>
      <w:r>
        <w:t>c</w:t>
      </w:r>
      <w:r w:rsidR="00017A76">
        <w:t xml:space="preserve">onsumer representatives from the TGA’s </w:t>
      </w:r>
      <w:hyperlink r:id="rId48" w:history="1">
        <w:r w:rsidR="00017A76" w:rsidRPr="00E11A79">
          <w:rPr>
            <w:rStyle w:val="Hyperlink"/>
          </w:rPr>
          <w:t>Medical Devices Consumer Working Group (MDCWG)</w:t>
        </w:r>
      </w:hyperlink>
      <w:r w:rsidR="00A90DE5">
        <w:t>, and</w:t>
      </w:r>
    </w:p>
    <w:p w14:paraId="78EC4650" w14:textId="5ADFA9FD" w:rsidR="00017A76" w:rsidRDefault="00FC3C0F" w:rsidP="002522ED">
      <w:pPr>
        <w:pStyle w:val="ListParagraph"/>
        <w:numPr>
          <w:ilvl w:val="0"/>
          <w:numId w:val="12"/>
        </w:numPr>
      </w:pPr>
      <w:r>
        <w:t>r</w:t>
      </w:r>
      <w:r w:rsidR="00017A76" w:rsidRPr="008F611B">
        <w:t xml:space="preserve">epresentatives from the TGA’s </w:t>
      </w:r>
      <w:hyperlink r:id="rId49" w:history="1">
        <w:r w:rsidR="00017A76" w:rsidRPr="00C51BA7">
          <w:rPr>
            <w:rStyle w:val="Hyperlink"/>
          </w:rPr>
          <w:t>Point-of-care Manufacturing of Medical Devices Steering Committee and Working Groups</w:t>
        </w:r>
      </w:hyperlink>
    </w:p>
    <w:p w14:paraId="677EAD26" w14:textId="77777777" w:rsidR="002F0121" w:rsidRDefault="002F0121" w:rsidP="00D93BA2">
      <w:pPr>
        <w:spacing w:before="120"/>
        <w:rPr>
          <w:rFonts w:cs="Calibri"/>
        </w:rPr>
      </w:pPr>
    </w:p>
    <w:p w14:paraId="1B5251A4" w14:textId="49BCB528" w:rsidR="00017A76" w:rsidRDefault="00017A76" w:rsidP="00D93BA2">
      <w:pPr>
        <w:spacing w:before="120"/>
        <w:rPr>
          <w:rFonts w:cs="Calibri"/>
        </w:rPr>
      </w:pPr>
      <w:r>
        <w:rPr>
          <w:rFonts w:cs="Calibri"/>
        </w:rPr>
        <w:t>The format of these sessions included:</w:t>
      </w:r>
    </w:p>
    <w:p w14:paraId="4012CDAE" w14:textId="4ABD2D19" w:rsidR="00017A76" w:rsidRDefault="00017A76" w:rsidP="002522ED">
      <w:pPr>
        <w:pStyle w:val="ListParagraph"/>
        <w:numPr>
          <w:ilvl w:val="0"/>
          <w:numId w:val="12"/>
        </w:numPr>
      </w:pPr>
      <w:r>
        <w:t xml:space="preserve">an information </w:t>
      </w:r>
      <w:r w:rsidR="003412E2">
        <w:t xml:space="preserve">guide </w:t>
      </w:r>
      <w:r>
        <w:t xml:space="preserve">to inform </w:t>
      </w:r>
      <w:r w:rsidR="003412E2">
        <w:t xml:space="preserve">participants </w:t>
      </w:r>
      <w:r>
        <w:t xml:space="preserve">about the topics </w:t>
      </w:r>
      <w:r w:rsidR="003412E2">
        <w:t xml:space="preserve">and questions to </w:t>
      </w:r>
      <w:r>
        <w:t>be discussed</w:t>
      </w:r>
    </w:p>
    <w:p w14:paraId="2C696288" w14:textId="567807B9" w:rsidR="00017A76" w:rsidRDefault="00D213BC" w:rsidP="002522ED">
      <w:pPr>
        <w:pStyle w:val="ListParagraph"/>
        <w:numPr>
          <w:ilvl w:val="0"/>
          <w:numId w:val="12"/>
        </w:numPr>
      </w:pPr>
      <w:r>
        <w:t>a</w:t>
      </w:r>
      <w:r w:rsidR="00017A76">
        <w:t xml:space="preserve"> PowerPoint presentation </w:t>
      </w:r>
      <w:r w:rsidR="003412E2">
        <w:t xml:space="preserve">with </w:t>
      </w:r>
      <w:r w:rsidR="00017A76">
        <w:t xml:space="preserve">information about the review, relevant case studies, </w:t>
      </w:r>
      <w:r w:rsidR="002F0121">
        <w:t xml:space="preserve">and </w:t>
      </w:r>
      <w:r w:rsidR="00017A76">
        <w:t>examples from other jurisdictions</w:t>
      </w:r>
      <w:r w:rsidR="002F0121">
        <w:t>, and</w:t>
      </w:r>
    </w:p>
    <w:p w14:paraId="61F5B879" w14:textId="1319315B" w:rsidR="00017A76" w:rsidRPr="005834DA" w:rsidRDefault="00D213BC" w:rsidP="002522ED">
      <w:pPr>
        <w:pStyle w:val="ListParagraph"/>
        <w:numPr>
          <w:ilvl w:val="0"/>
          <w:numId w:val="12"/>
        </w:numPr>
      </w:pPr>
      <w:r>
        <w:t>u</w:t>
      </w:r>
      <w:r w:rsidR="00017A76">
        <w:t>se of Miro, an online virtual whiteboard platform for capturing thoughts and comments from participa</w:t>
      </w:r>
      <w:r w:rsidR="003412E2">
        <w:t>n</w:t>
      </w:r>
      <w:r w:rsidR="00017A76">
        <w:t>t</w:t>
      </w:r>
      <w:r w:rsidR="003412E2">
        <w:t>s</w:t>
      </w:r>
      <w:r w:rsidR="00017A76">
        <w:t xml:space="preserve"> both during the session and in the week following.</w:t>
      </w:r>
    </w:p>
    <w:p w14:paraId="38B293CA" w14:textId="77777777" w:rsidR="00583317" w:rsidRDefault="00583317" w:rsidP="00D93BA2">
      <w:pPr>
        <w:spacing w:before="120"/>
        <w:rPr>
          <w:rFonts w:cs="Calibri"/>
        </w:rPr>
      </w:pPr>
    </w:p>
    <w:p w14:paraId="2AB2D539" w14:textId="693F33C9" w:rsidR="00017A76" w:rsidRDefault="00017A76" w:rsidP="00D93BA2">
      <w:pPr>
        <w:spacing w:before="120"/>
        <w:rPr>
          <w:rFonts w:cs="Calibri"/>
        </w:rPr>
      </w:pPr>
      <w:r>
        <w:rPr>
          <w:rFonts w:cs="Calibri"/>
        </w:rPr>
        <w:lastRenderedPageBreak/>
        <w:t>During the sessions stakeholders identified:</w:t>
      </w:r>
    </w:p>
    <w:p w14:paraId="29AAA853" w14:textId="55CD36C5" w:rsidR="00017A76" w:rsidRDefault="00017A76" w:rsidP="00D56E25">
      <w:pPr>
        <w:pStyle w:val="ListParagraph"/>
        <w:numPr>
          <w:ilvl w:val="0"/>
          <w:numId w:val="10"/>
        </w:numPr>
      </w:pPr>
      <w:r>
        <w:t>where AI systems and models are currently used</w:t>
      </w:r>
    </w:p>
    <w:p w14:paraId="13084FF9" w14:textId="3CBB195B" w:rsidR="00017A76" w:rsidRDefault="00017A76" w:rsidP="00D56E25">
      <w:pPr>
        <w:pStyle w:val="ListParagraph"/>
        <w:numPr>
          <w:ilvl w:val="0"/>
          <w:numId w:val="10"/>
        </w:numPr>
      </w:pPr>
      <w:r>
        <w:t>emerging uses of AI systems and models</w:t>
      </w:r>
    </w:p>
    <w:p w14:paraId="40F0B270" w14:textId="70C88036" w:rsidR="00017A76" w:rsidRDefault="00017A76" w:rsidP="00D56E25">
      <w:pPr>
        <w:pStyle w:val="ListParagraph"/>
        <w:numPr>
          <w:ilvl w:val="0"/>
          <w:numId w:val="10"/>
        </w:numPr>
      </w:pPr>
      <w:r>
        <w:t>issues and concerns both observed and likely to emerge</w:t>
      </w:r>
      <w:r w:rsidR="002F0121">
        <w:t>, and</w:t>
      </w:r>
    </w:p>
    <w:p w14:paraId="6CFA4841" w14:textId="15EBAE18" w:rsidR="00017A76" w:rsidRDefault="00017A76" w:rsidP="00D56E25">
      <w:pPr>
        <w:pStyle w:val="ListParagraph"/>
        <w:numPr>
          <w:ilvl w:val="0"/>
          <w:numId w:val="10"/>
        </w:numPr>
      </w:pPr>
      <w:r>
        <w:t>key areas of legislation</w:t>
      </w:r>
      <w:r w:rsidR="003412E2">
        <w:t>, regulation and guidance</w:t>
      </w:r>
      <w:r>
        <w:t xml:space="preserve"> requiring review.</w:t>
      </w:r>
    </w:p>
    <w:p w14:paraId="58B2D016" w14:textId="58FDE7A0" w:rsidR="00017A76" w:rsidRDefault="00017A76" w:rsidP="00095F02">
      <w:pPr>
        <w:pStyle w:val="Heading4"/>
      </w:pPr>
      <w:bookmarkStart w:id="49" w:name="_2._Joint_webinars"/>
      <w:bookmarkStart w:id="50" w:name="_Toc184721126"/>
      <w:bookmarkEnd w:id="49"/>
      <w:r>
        <w:t>Joint webinars with DISR</w:t>
      </w:r>
      <w:bookmarkEnd w:id="50"/>
    </w:p>
    <w:p w14:paraId="5EE5BA2D" w14:textId="56EB94BF" w:rsidR="00017A76" w:rsidRDefault="00017A76" w:rsidP="00017A76">
      <w:r>
        <w:t xml:space="preserve">Two sessions were conducted </w:t>
      </w:r>
      <w:r w:rsidR="002F0121">
        <w:t xml:space="preserve">jointly </w:t>
      </w:r>
      <w:r>
        <w:t xml:space="preserve">with DISR </w:t>
      </w:r>
      <w:r w:rsidR="003412E2">
        <w:t>to</w:t>
      </w:r>
      <w:r>
        <w:t xml:space="preserve"> support their public consultation process</w:t>
      </w:r>
      <w:r w:rsidR="005F1D72">
        <w:t>-</w:t>
      </w:r>
      <w:r>
        <w:t xml:space="preserve"> </w:t>
      </w:r>
      <w:hyperlink r:id="rId50" w:history="1">
        <w:r w:rsidRPr="00D63434">
          <w:rPr>
            <w:rStyle w:val="Hyperlink"/>
            <w:i/>
            <w:iCs/>
          </w:rPr>
          <w:t>Introducing mandatory guardrails for AI in high-risk settings: proposals paper</w:t>
        </w:r>
      </w:hyperlink>
      <w:r>
        <w:rPr>
          <w:i/>
          <w:iCs/>
        </w:rPr>
        <w:t xml:space="preserve">. </w:t>
      </w:r>
      <w:r>
        <w:t xml:space="preserve">148 people attended these webinars. </w:t>
      </w:r>
    </w:p>
    <w:p w14:paraId="2E24368D" w14:textId="77777777" w:rsidR="00017A76" w:rsidRDefault="00017A76" w:rsidP="00017A76">
      <w:pPr>
        <w:rPr>
          <w:rFonts w:cs="Calibri"/>
        </w:rPr>
      </w:pPr>
      <w:r>
        <w:rPr>
          <w:rFonts w:cs="Calibri"/>
        </w:rPr>
        <w:t>The format of these sessions included:</w:t>
      </w:r>
    </w:p>
    <w:p w14:paraId="3E4D8FC5" w14:textId="51A7B325" w:rsidR="00017A76" w:rsidRDefault="00D213BC" w:rsidP="002522ED">
      <w:pPr>
        <w:pStyle w:val="ListParagraph"/>
        <w:numPr>
          <w:ilvl w:val="0"/>
          <w:numId w:val="12"/>
        </w:numPr>
      </w:pPr>
      <w:r>
        <w:t>a</w:t>
      </w:r>
      <w:r w:rsidR="00017A76">
        <w:t xml:space="preserve"> PowerPoint presentation from DISR outlining the topics from the DISR consultation document</w:t>
      </w:r>
    </w:p>
    <w:p w14:paraId="40915C85" w14:textId="4BE9D6B4" w:rsidR="00017A76" w:rsidRDefault="00D213BC" w:rsidP="002522ED">
      <w:pPr>
        <w:pStyle w:val="ListParagraph"/>
        <w:numPr>
          <w:ilvl w:val="0"/>
          <w:numId w:val="12"/>
        </w:numPr>
      </w:pPr>
      <w:r>
        <w:t>a</w:t>
      </w:r>
      <w:r w:rsidR="00017A76">
        <w:t xml:space="preserve"> PowerPoint presentation from the TGA explaining how the current framework for the regulation of therapeutic goods is mapped to the proposed guardrails</w:t>
      </w:r>
      <w:r w:rsidR="005F1D72">
        <w:t>, and</w:t>
      </w:r>
    </w:p>
    <w:p w14:paraId="23973FFF" w14:textId="2C23059B" w:rsidR="00017A76" w:rsidRDefault="00D213BC" w:rsidP="002522ED">
      <w:pPr>
        <w:pStyle w:val="ListParagraph"/>
        <w:numPr>
          <w:ilvl w:val="0"/>
          <w:numId w:val="12"/>
        </w:numPr>
      </w:pPr>
      <w:r>
        <w:t>u</w:t>
      </w:r>
      <w:r w:rsidR="00017A76">
        <w:t>se of Miro, an online virtual whiteboard platform for capturing thoughts and comments from participa</w:t>
      </w:r>
      <w:r w:rsidR="003412E2">
        <w:t>nts</w:t>
      </w:r>
      <w:r w:rsidR="00017A76">
        <w:t xml:space="preserve"> both during the session itself and in the week following.</w:t>
      </w:r>
    </w:p>
    <w:p w14:paraId="7C7EDFC4" w14:textId="55A23057" w:rsidR="00017A76" w:rsidRDefault="00017A76" w:rsidP="00095F02">
      <w:pPr>
        <w:pStyle w:val="Heading4"/>
      </w:pPr>
      <w:bookmarkStart w:id="51" w:name="_3._Public_consultation"/>
      <w:bookmarkStart w:id="52" w:name="_Toc184721127"/>
      <w:bookmarkEnd w:id="51"/>
      <w:r>
        <w:t>Public consultation</w:t>
      </w:r>
      <w:bookmarkEnd w:id="52"/>
    </w:p>
    <w:p w14:paraId="2A5B6302" w14:textId="26B64A6A" w:rsidR="00017A76" w:rsidRDefault="00017A76" w:rsidP="00017A76">
      <w:r>
        <w:t xml:space="preserve">On 12 September 2024 </w:t>
      </w:r>
      <w:r w:rsidR="0063364F">
        <w:t xml:space="preserve">the TGA published </w:t>
      </w:r>
      <w:r>
        <w:t xml:space="preserve">a public consultation paper. Two webinars were held </w:t>
      </w:r>
      <w:r w:rsidR="0063364F">
        <w:t xml:space="preserve">in </w:t>
      </w:r>
      <w:r>
        <w:t xml:space="preserve">support </w:t>
      </w:r>
      <w:r w:rsidR="0063364F">
        <w:t xml:space="preserve">of </w:t>
      </w:r>
      <w:r>
        <w:t>the paper</w:t>
      </w:r>
      <w:r w:rsidR="0063364F">
        <w:t xml:space="preserve">, </w:t>
      </w:r>
      <w:r>
        <w:t xml:space="preserve">and </w:t>
      </w:r>
      <w:r w:rsidR="0063364F">
        <w:t xml:space="preserve">217 people </w:t>
      </w:r>
      <w:r>
        <w:t xml:space="preserve">attended. The public consultation closed on Sunday 20 October. </w:t>
      </w:r>
      <w:r w:rsidR="00CB1E36">
        <w:t>5</w:t>
      </w:r>
      <w:r w:rsidR="00985F31">
        <w:t>3</w:t>
      </w:r>
      <w:r w:rsidR="00CB1E36">
        <w:t xml:space="preserve"> </w:t>
      </w:r>
      <w:r>
        <w:t xml:space="preserve">responses were received. </w:t>
      </w:r>
    </w:p>
    <w:p w14:paraId="0EF2007F" w14:textId="3A5194FB" w:rsidR="00017A76" w:rsidRDefault="0063364F" w:rsidP="00017A76">
      <w:r>
        <w:t>The key themes we sought feedback on</w:t>
      </w:r>
      <w:r w:rsidR="00F605DB">
        <w:t>,</w:t>
      </w:r>
      <w:r>
        <w:t xml:space="preserve"> outlined in the </w:t>
      </w:r>
      <w:r w:rsidR="00017A76">
        <w:t xml:space="preserve">Consultation </w:t>
      </w:r>
      <w:r>
        <w:t>paper</w:t>
      </w:r>
      <w:r w:rsidR="00F605DB">
        <w:t>,</w:t>
      </w:r>
      <w:r>
        <w:t xml:space="preserve"> </w:t>
      </w:r>
      <w:r w:rsidR="00017A76">
        <w:t>included:</w:t>
      </w:r>
    </w:p>
    <w:p w14:paraId="7509C786" w14:textId="66CD3E2B" w:rsidR="00017A76" w:rsidRDefault="00017A76" w:rsidP="00D56E25">
      <w:pPr>
        <w:pStyle w:val="ListParagraph"/>
      </w:pPr>
      <w:r w:rsidRPr="003261FD">
        <w:rPr>
          <w:b/>
          <w:bCs/>
        </w:rPr>
        <w:t>Potential changes to language and definitions:</w:t>
      </w:r>
      <w:r>
        <w:t xml:space="preserve"> Existing legislation was developed in an environment where therapeutic goods were predominantly physical products and activities related to their supply almost always conducted by human beings. </w:t>
      </w:r>
      <w:r w:rsidR="0063364F">
        <w:t xml:space="preserve">We </w:t>
      </w:r>
      <w:r>
        <w:t>asked about measures that may be needed to address issues associated with the rising number of software</w:t>
      </w:r>
      <w:r w:rsidR="00F605DB">
        <w:t>-</w:t>
      </w:r>
      <w:r>
        <w:t xml:space="preserve">based medical devices and their availability through virtual platforms, as well as whether the current legislation appropriately </w:t>
      </w:r>
      <w:r w:rsidR="0063364F">
        <w:t xml:space="preserve">provides for </w:t>
      </w:r>
      <w:r>
        <w:t>the increasing conduct of activities by AI instead of humans.</w:t>
      </w:r>
    </w:p>
    <w:p w14:paraId="13385326" w14:textId="6A26776C" w:rsidR="00017A76" w:rsidRPr="00AD10B6" w:rsidRDefault="00017A76" w:rsidP="00D56E25">
      <w:pPr>
        <w:pStyle w:val="ListParagraph"/>
        <w:rPr>
          <w:color w:val="0000FF"/>
          <w:u w:val="single"/>
        </w:rPr>
      </w:pPr>
      <w:r w:rsidRPr="003261FD">
        <w:rPr>
          <w:b/>
          <w:bCs/>
        </w:rPr>
        <w:t>Potential changes to the Medical Devices Regulations:</w:t>
      </w:r>
      <w:r>
        <w:t xml:space="preserve"> Where an AI is intended for a purpose that aligns with the legislative definition of a medical device, it will be regulated by the TGA and will need to meet all relevant regulatory requirements. Currently the </w:t>
      </w:r>
      <w:hyperlink w:anchor="_Internal_review_and" w:history="1">
        <w:r w:rsidR="009B2BC1" w:rsidRPr="009B2BC1">
          <w:rPr>
            <w:rStyle w:val="Hyperlink"/>
            <w:rFonts w:asciiTheme="minorHAnsi" w:hAnsiTheme="minorHAnsi"/>
          </w:rPr>
          <w:t>TGA’s framework for regulation</w:t>
        </w:r>
      </w:hyperlink>
      <w:r>
        <w:t xml:space="preserve"> is technology-agnostic, with a risk and principles-based approach. We asked whether this approach remains appropriate, and whether refinements are needed to ensure clarity and strength.</w:t>
      </w:r>
    </w:p>
    <w:p w14:paraId="241A4477" w14:textId="5092B1FE" w:rsidR="009B2BC1" w:rsidRPr="009B2BC1" w:rsidRDefault="009B2BC1" w:rsidP="00D56E25">
      <w:pPr>
        <w:pStyle w:val="ListParagraph"/>
        <w:rPr>
          <w:color w:val="0000FF"/>
          <w:u w:val="single"/>
        </w:rPr>
      </w:pPr>
      <w:r w:rsidRPr="003261FD">
        <w:rPr>
          <w:b/>
          <w:bCs/>
        </w:rPr>
        <w:t>International harmonisation:</w:t>
      </w:r>
      <w:r>
        <w:t xml:space="preserve"> </w:t>
      </w:r>
      <w:r w:rsidR="00FF2349">
        <w:t>A globally harmonised approach to the regulation of medical devices is key to facilitati</w:t>
      </w:r>
      <w:r w:rsidR="00D213BC">
        <w:t>ng</w:t>
      </w:r>
      <w:r w:rsidR="00FF2349">
        <w:t xml:space="preserve"> appropriate </w:t>
      </w:r>
      <w:r w:rsidR="0063364F">
        <w:t xml:space="preserve">and </w:t>
      </w:r>
      <w:r w:rsidR="0013446C">
        <w:t>cost-effective</w:t>
      </w:r>
      <w:r w:rsidR="0063364F">
        <w:t xml:space="preserve"> </w:t>
      </w:r>
      <w:r w:rsidR="00FF2349">
        <w:t>regulation</w:t>
      </w:r>
      <w:r w:rsidR="0063364F">
        <w:t xml:space="preserve"> and timely access to products</w:t>
      </w:r>
      <w:r w:rsidR="00610070">
        <w:t xml:space="preserve">. </w:t>
      </w:r>
      <w:r w:rsidR="0063364F">
        <w:t xml:space="preserve">We </w:t>
      </w:r>
      <w:r w:rsidR="00610070">
        <w:t xml:space="preserve">asked </w:t>
      </w:r>
      <w:r w:rsidR="0063364F">
        <w:t>about the</w:t>
      </w:r>
      <w:r w:rsidR="0034397F">
        <w:t xml:space="preserve"> risks and/or advantages </w:t>
      </w:r>
      <w:r w:rsidR="0013446C">
        <w:t xml:space="preserve">of </w:t>
      </w:r>
      <w:r w:rsidR="0034397F">
        <w:t>maintaining international harmonisation.</w:t>
      </w:r>
    </w:p>
    <w:p w14:paraId="44C03DC7" w14:textId="33D56586" w:rsidR="00017A76" w:rsidRDefault="00017A76" w:rsidP="00D56E25">
      <w:pPr>
        <w:pStyle w:val="ListParagraph"/>
      </w:pPr>
      <w:r w:rsidRPr="003261FD">
        <w:rPr>
          <w:b/>
          <w:bCs/>
        </w:rPr>
        <w:t>Review of currently excluded software:</w:t>
      </w:r>
      <w:r>
        <w:t xml:space="preserve"> A number of software products </w:t>
      </w:r>
      <w:r w:rsidR="0063364F">
        <w:t>are currently</w:t>
      </w:r>
      <w:r>
        <w:t xml:space="preserve"> excluded from </w:t>
      </w:r>
      <w:r w:rsidR="0063364F">
        <w:t xml:space="preserve">TGA </w:t>
      </w:r>
      <w:r>
        <w:t xml:space="preserve">regulation, </w:t>
      </w:r>
      <w:r w:rsidR="0063364F">
        <w:t xml:space="preserve">as </w:t>
      </w:r>
      <w:r>
        <w:t xml:space="preserve">they </w:t>
      </w:r>
      <w:r w:rsidR="00173EC7">
        <w:t xml:space="preserve">do </w:t>
      </w:r>
      <w:r>
        <w:t xml:space="preserve">not meet the definition of a medical device or </w:t>
      </w:r>
      <w:r w:rsidR="00173EC7">
        <w:t xml:space="preserve">do </w:t>
      </w:r>
      <w:r>
        <w:t xml:space="preserve">not have a therapeutic purpose. The increasing use of AI </w:t>
      </w:r>
      <w:r w:rsidR="00173EC7">
        <w:t xml:space="preserve">impacts </w:t>
      </w:r>
      <w:r w:rsidR="003D512E">
        <w:t xml:space="preserve">how </w:t>
      </w:r>
      <w:r>
        <w:t xml:space="preserve">these kinds of products </w:t>
      </w:r>
      <w:r w:rsidR="0063364F">
        <w:t xml:space="preserve">are evolving. We asked about </w:t>
      </w:r>
      <w:r>
        <w:t>the appropriateness of the</w:t>
      </w:r>
      <w:r w:rsidR="0063364F">
        <w:t>se</w:t>
      </w:r>
      <w:r>
        <w:t xml:space="preserve"> exclusions </w:t>
      </w:r>
      <w:r w:rsidR="0063364F">
        <w:t>into the future</w:t>
      </w:r>
      <w:r>
        <w:t xml:space="preserve">. </w:t>
      </w:r>
    </w:p>
    <w:p w14:paraId="1E0ED270" w14:textId="6E301509" w:rsidR="00017A76" w:rsidRDefault="00017A76" w:rsidP="00D56E25">
      <w:pPr>
        <w:pStyle w:val="ListParagraph"/>
      </w:pPr>
      <w:r w:rsidRPr="003261FD">
        <w:rPr>
          <w:b/>
          <w:bCs/>
        </w:rPr>
        <w:t>Transparency:</w:t>
      </w:r>
      <w:r>
        <w:t xml:space="preserve"> Stakeholders across all cohorts, particularly consumers and clinicians, have identified transparency </w:t>
      </w:r>
      <w:r w:rsidR="0078378E">
        <w:t xml:space="preserve">as </w:t>
      </w:r>
      <w:r>
        <w:t xml:space="preserve">a key issue with the use of AI. Identifying what transparency </w:t>
      </w:r>
      <w:r w:rsidR="00D213BC">
        <w:t xml:space="preserve">means in relation to </w:t>
      </w:r>
      <w:r>
        <w:t>AI, and the expectations of different stakeholders, has been difficult</w:t>
      </w:r>
      <w:r w:rsidR="00454B54">
        <w:t>, as</w:t>
      </w:r>
      <w:r>
        <w:t>:</w:t>
      </w:r>
    </w:p>
    <w:p w14:paraId="39ABCFAE" w14:textId="77777777" w:rsidR="00017A76" w:rsidRDefault="00017A76" w:rsidP="002522ED">
      <w:pPr>
        <w:pStyle w:val="ListParagraph"/>
        <w:numPr>
          <w:ilvl w:val="0"/>
          <w:numId w:val="14"/>
        </w:numPr>
      </w:pPr>
      <w:bookmarkStart w:id="53" w:name="_International_alignment_and"/>
      <w:bookmarkStart w:id="54" w:name="_Changes_to_the"/>
      <w:bookmarkEnd w:id="53"/>
      <w:bookmarkEnd w:id="54"/>
      <w:r>
        <w:lastRenderedPageBreak/>
        <w:t>AI is a broad term covering multiple capabilities, functionalities and technologies</w:t>
      </w:r>
    </w:p>
    <w:p w14:paraId="0F4B1A82" w14:textId="577CE584" w:rsidR="00017A76" w:rsidRDefault="00017A76" w:rsidP="002522ED">
      <w:pPr>
        <w:pStyle w:val="ListParagraph"/>
        <w:numPr>
          <w:ilvl w:val="0"/>
          <w:numId w:val="14"/>
        </w:numPr>
      </w:pPr>
      <w:r>
        <w:t>the use of AI is already prevalent and integrated within existing systems, to varying degrees</w:t>
      </w:r>
      <w:r w:rsidR="00BC5C1D">
        <w:t>, and</w:t>
      </w:r>
    </w:p>
    <w:p w14:paraId="4F44ADF7" w14:textId="77777777" w:rsidR="00017A76" w:rsidRDefault="00017A76" w:rsidP="002522ED">
      <w:pPr>
        <w:pStyle w:val="ListParagraph"/>
        <w:numPr>
          <w:ilvl w:val="0"/>
          <w:numId w:val="14"/>
        </w:numPr>
      </w:pPr>
      <w:r>
        <w:t>the application of AI within these models and systems is so varied that identifying the use of AI may not always contribute meaningfully to the mitigation of risks. For example, knowing where AI has been used to manage quality control in the manufacture of a medicine is unlikely to provide a real-world benefit or significant risk mitigation to consumers or clinicians.</w:t>
      </w:r>
    </w:p>
    <w:p w14:paraId="18D2B42D" w14:textId="07BB65BF" w:rsidR="00017A76" w:rsidRDefault="00FC7F7E" w:rsidP="00017A76">
      <w:pPr>
        <w:ind w:left="720"/>
      </w:pPr>
      <w:r>
        <w:t xml:space="preserve">We </w:t>
      </w:r>
      <w:r w:rsidR="00017A76">
        <w:t>asked what transparency means, and what measures could be introduced to address this issue.</w:t>
      </w:r>
    </w:p>
    <w:p w14:paraId="6656D4D9" w14:textId="4E414D32" w:rsidR="00017A76" w:rsidRDefault="00017A76" w:rsidP="00D56E25">
      <w:pPr>
        <w:pStyle w:val="ListParagraph"/>
      </w:pPr>
      <w:r w:rsidRPr="003261FD">
        <w:rPr>
          <w:b/>
          <w:bCs/>
        </w:rPr>
        <w:t>Guidance, education, information and communication:</w:t>
      </w:r>
      <w:bookmarkStart w:id="55" w:name="_Medical_device_regulation"/>
      <w:bookmarkStart w:id="56" w:name="_Classification_rules"/>
      <w:bookmarkStart w:id="57" w:name="_International_harmonisation"/>
      <w:bookmarkStart w:id="58" w:name="_The_Essential_Principles"/>
      <w:bookmarkStart w:id="59" w:name="_Software_exclusions"/>
      <w:bookmarkEnd w:id="55"/>
      <w:bookmarkEnd w:id="56"/>
      <w:bookmarkEnd w:id="57"/>
      <w:bookmarkEnd w:id="58"/>
      <w:bookmarkEnd w:id="59"/>
      <w:r>
        <w:t xml:space="preserve"> During the targeted stakeholder workshops, </w:t>
      </w:r>
      <w:r w:rsidR="00FC7F7E">
        <w:t xml:space="preserve">the majority of </w:t>
      </w:r>
      <w:r>
        <w:t>participants agree</w:t>
      </w:r>
      <w:r w:rsidR="00FC7F7E">
        <w:t>d</w:t>
      </w:r>
      <w:r>
        <w:t xml:space="preserve"> that the TGA’s existing regulatory framework is already robust </w:t>
      </w:r>
      <w:r w:rsidR="00FC7F7E">
        <w:t xml:space="preserve">and provides </w:t>
      </w:r>
      <w:r>
        <w:t>the flexibility afforded by its technology-agnostic approach. Stakeholders further noted that many of the issues associated with regulation of AI can be attributed to a lack of education, communication, information and guidance about how the existing framework is applied to therapeutic goods that incorporate AI models and systems. We asked respondents to identify where changes or supplementation to the existing material and guidance is needed to provide clarity.</w:t>
      </w:r>
    </w:p>
    <w:p w14:paraId="34374D30" w14:textId="00AEE989" w:rsidR="007B7241" w:rsidRDefault="004C44E9" w:rsidP="00FE4644">
      <w:pPr>
        <w:pStyle w:val="Heading3"/>
      </w:pPr>
      <w:bookmarkStart w:id="60" w:name="_The_current_framework"/>
      <w:bookmarkStart w:id="61" w:name="_Toc184721128"/>
      <w:bookmarkEnd w:id="60"/>
      <w:bookmarkEnd w:id="6"/>
      <w:bookmarkEnd w:id="5"/>
      <w:r>
        <w:t>The current</w:t>
      </w:r>
      <w:r w:rsidR="00D97B20">
        <w:t xml:space="preserve"> framework</w:t>
      </w:r>
      <w:bookmarkEnd w:id="61"/>
    </w:p>
    <w:p w14:paraId="61FEECD9" w14:textId="08956FA5" w:rsidR="00052EF4" w:rsidRDefault="00052EF4" w:rsidP="00052EF4">
      <w:r>
        <w:t xml:space="preserve">Australia has a well-developed, robust regulatory framework for </w:t>
      </w:r>
      <w:r w:rsidR="00FC7F7E">
        <w:t xml:space="preserve">the </w:t>
      </w:r>
      <w:r>
        <w:t>regulation of therapeutic goods that includes both pre-market (ex</w:t>
      </w:r>
      <w:r w:rsidR="00C20CAC">
        <w:t>-</w:t>
      </w:r>
      <w:r>
        <w:t>ante) and post-market (ex</w:t>
      </w:r>
      <w:r w:rsidR="00C20CAC">
        <w:t>-</w:t>
      </w:r>
      <w:r>
        <w:t>post) measures to ensure the ongoing safety, quality and performance of all therapeutic goods.</w:t>
      </w:r>
    </w:p>
    <w:p w14:paraId="0BD13221" w14:textId="6F64B15A" w:rsidR="00052EF4" w:rsidRDefault="00052EF4" w:rsidP="00052EF4">
      <w:r>
        <w:t>Key features of th</w:t>
      </w:r>
      <w:r w:rsidR="00FC7F7E">
        <w:t>e</w:t>
      </w:r>
      <w:r>
        <w:t xml:space="preserve"> framework include:</w:t>
      </w:r>
    </w:p>
    <w:p w14:paraId="737CC1AD" w14:textId="77777777" w:rsidR="00052EF4" w:rsidRDefault="00052EF4" w:rsidP="002522ED">
      <w:pPr>
        <w:pStyle w:val="ListParagraph"/>
        <w:numPr>
          <w:ilvl w:val="0"/>
          <w:numId w:val="16"/>
        </w:numPr>
      </w:pPr>
      <w:r>
        <w:t>independent assessment and certification from approved third party regulators and assessment bodies</w:t>
      </w:r>
    </w:p>
    <w:p w14:paraId="141EF1B4" w14:textId="69AE7D92" w:rsidR="00052EF4" w:rsidRDefault="00052EF4" w:rsidP="002522ED">
      <w:pPr>
        <w:pStyle w:val="ListParagraph"/>
        <w:numPr>
          <w:ilvl w:val="0"/>
          <w:numId w:val="16"/>
        </w:numPr>
      </w:pPr>
      <w:r>
        <w:t>use of the</w:t>
      </w:r>
      <w:r w:rsidR="00BC5C1D">
        <w:t xml:space="preserve"> </w:t>
      </w:r>
      <w:r>
        <w:t xml:space="preserve">ARTG as the basis for maintaining regulatory oversight of </w:t>
      </w:r>
      <w:r w:rsidR="003D512E">
        <w:t xml:space="preserve">most </w:t>
      </w:r>
      <w:r>
        <w:t>therapeutic goods that are imported into, exported from, or otherwise supplied within Australia</w:t>
      </w:r>
    </w:p>
    <w:p w14:paraId="022B3094" w14:textId="0AF4620F" w:rsidR="00052EF4" w:rsidRDefault="00887F1D" w:rsidP="002522ED">
      <w:pPr>
        <w:pStyle w:val="ListParagraph"/>
        <w:numPr>
          <w:ilvl w:val="0"/>
          <w:numId w:val="16"/>
        </w:numPr>
      </w:pPr>
      <w:r>
        <w:t xml:space="preserve">after a product is approved and included on the ARTG, </w:t>
      </w:r>
      <w:r w:rsidR="00052EF4">
        <w:t>ongoing reporting and surveillance requirements to ensure products continue to be safe and perform as intended</w:t>
      </w:r>
    </w:p>
    <w:p w14:paraId="4DF35B5B" w14:textId="27EF54E2" w:rsidR="00052EF4" w:rsidRPr="002C3ECF" w:rsidRDefault="00052EF4" w:rsidP="002522ED">
      <w:pPr>
        <w:pStyle w:val="ListParagraph"/>
        <w:numPr>
          <w:ilvl w:val="0"/>
          <w:numId w:val="16"/>
        </w:numPr>
      </w:pPr>
      <w:r>
        <w:t xml:space="preserve">a range of </w:t>
      </w:r>
      <w:r w:rsidRPr="00F10066">
        <w:t xml:space="preserve">criminal and civil penalties </w:t>
      </w:r>
      <w:r>
        <w:t xml:space="preserve">that can be applied where there is </w:t>
      </w:r>
      <w:r w:rsidRPr="00F10066">
        <w:t xml:space="preserve">failure to comply with </w:t>
      </w:r>
      <w:r w:rsidRPr="00F10066">
        <w:rPr>
          <w:rFonts w:asciiTheme="majorHAnsi" w:hAnsiTheme="majorHAnsi" w:cstheme="majorHAnsi"/>
        </w:rPr>
        <w:t>regulatory requirements</w:t>
      </w:r>
      <w:r w:rsidR="008D01CE">
        <w:rPr>
          <w:rFonts w:asciiTheme="majorHAnsi" w:hAnsiTheme="majorHAnsi" w:cstheme="majorHAnsi"/>
        </w:rPr>
        <w:t>, and</w:t>
      </w:r>
    </w:p>
    <w:p w14:paraId="0C0497BE" w14:textId="3260E5B6" w:rsidR="00052EF4" w:rsidRDefault="004F1205" w:rsidP="002522ED">
      <w:pPr>
        <w:pStyle w:val="ListParagraph"/>
        <w:numPr>
          <w:ilvl w:val="0"/>
          <w:numId w:val="16"/>
        </w:numPr>
      </w:pPr>
      <w:r>
        <w:t xml:space="preserve">for medical devices, </w:t>
      </w:r>
      <w:r w:rsidR="00052EF4" w:rsidRPr="002C3ECF">
        <w:t xml:space="preserve">legislative </w:t>
      </w:r>
      <w:r w:rsidR="00052EF4">
        <w:t xml:space="preserve">mechanisms </w:t>
      </w:r>
      <w:r w:rsidR="00052EF4" w:rsidRPr="002C3ECF">
        <w:t>ensur</w:t>
      </w:r>
      <w:r w:rsidR="00044AF7">
        <w:t>ing</w:t>
      </w:r>
      <w:r w:rsidR="00052EF4" w:rsidRPr="002C3ECF">
        <w:t xml:space="preserve"> alignment with </w:t>
      </w:r>
      <w:r w:rsidR="00052EF4">
        <w:t xml:space="preserve">existing </w:t>
      </w:r>
      <w:r w:rsidR="00052EF4" w:rsidRPr="002C3ECF">
        <w:t>Australian data and privacy laws, as well as capability to require alignment with cybersecurity strategy requirements.</w:t>
      </w:r>
    </w:p>
    <w:p w14:paraId="1DDC19AD" w14:textId="77777777" w:rsidR="00C23C05" w:rsidRDefault="00C23C05" w:rsidP="00404644">
      <w:pPr>
        <w:pStyle w:val="ListParagraph"/>
        <w:numPr>
          <w:ilvl w:val="0"/>
          <w:numId w:val="0"/>
        </w:numPr>
        <w:ind w:left="720"/>
      </w:pPr>
    </w:p>
    <w:p w14:paraId="164F815E" w14:textId="5344597F" w:rsidR="004F1205" w:rsidRPr="00995B25" w:rsidRDefault="004F1205" w:rsidP="004F1205">
      <w:pPr>
        <w:pStyle w:val="Heading3"/>
      </w:pPr>
      <w:bookmarkStart w:id="62" w:name="_Toc184721129"/>
      <w:r w:rsidRPr="00995B25">
        <w:t>Medical device regulation</w:t>
      </w:r>
      <w:bookmarkEnd w:id="62"/>
    </w:p>
    <w:p w14:paraId="0BF8A7C3" w14:textId="231D9E09" w:rsidR="004F1205" w:rsidRPr="00995B25" w:rsidRDefault="004F1205" w:rsidP="004F1205">
      <w:r w:rsidRPr="00995B25">
        <w:t xml:space="preserve">Regulatory requirements for medical devices, including software, are principles-based and apply regardless of whether the product incorporates components like AI, chatbots, cloud, mobile apps or other technologies. As such, software that incorporates generative AI such as large language models (LLMs), text generators, and multimodal generative AI are all regulated as a </w:t>
      </w:r>
      <w:hyperlink r:id="rId51" w:history="1">
        <w:r w:rsidRPr="00995B25">
          <w:rPr>
            <w:rStyle w:val="Hyperlink"/>
          </w:rPr>
          <w:t>medical device</w:t>
        </w:r>
      </w:hyperlink>
      <w:r w:rsidRPr="00995B25">
        <w:t xml:space="preserve"> if they meet the </w:t>
      </w:r>
      <w:hyperlink r:id="rId52" w:history="1">
        <w:r w:rsidRPr="00995B25">
          <w:rPr>
            <w:rStyle w:val="Hyperlink"/>
          </w:rPr>
          <w:t>definition</w:t>
        </w:r>
      </w:hyperlink>
      <w:r w:rsidRPr="00995B25">
        <w:t xml:space="preserve"> under the Act.</w:t>
      </w:r>
    </w:p>
    <w:p w14:paraId="71711A3E" w14:textId="0F40CF5D" w:rsidR="00611408" w:rsidRPr="00995B25" w:rsidRDefault="007565FE" w:rsidP="00611408">
      <w:pPr>
        <w:spacing w:before="120" w:after="0"/>
      </w:pPr>
      <w:r w:rsidRPr="00995B25">
        <w:rPr>
          <w:rFonts w:asciiTheme="majorHAnsi" w:hAnsiTheme="majorHAnsi" w:cstheme="majorHAnsi"/>
        </w:rPr>
        <w:t xml:space="preserve">As a component of </w:t>
      </w:r>
      <w:r w:rsidR="002C5639" w:rsidRPr="00995B25">
        <w:rPr>
          <w:rFonts w:asciiTheme="majorHAnsi" w:hAnsiTheme="majorHAnsi" w:cstheme="majorHAnsi"/>
        </w:rPr>
        <w:t xml:space="preserve">the </w:t>
      </w:r>
      <w:r w:rsidRPr="00995B25">
        <w:rPr>
          <w:rFonts w:asciiTheme="majorHAnsi" w:hAnsiTheme="majorHAnsi" w:cstheme="majorHAnsi"/>
        </w:rPr>
        <w:t xml:space="preserve">review, </w:t>
      </w:r>
      <w:r w:rsidR="002C5639" w:rsidRPr="00995B25">
        <w:rPr>
          <w:rFonts w:asciiTheme="majorHAnsi" w:hAnsiTheme="majorHAnsi" w:cstheme="majorHAnsi"/>
        </w:rPr>
        <w:t xml:space="preserve">we </w:t>
      </w:r>
      <w:r w:rsidRPr="00995B25">
        <w:rPr>
          <w:rFonts w:asciiTheme="majorHAnsi" w:hAnsiTheme="majorHAnsi" w:cstheme="majorHAnsi"/>
        </w:rPr>
        <w:t xml:space="preserve">mapped </w:t>
      </w:r>
      <w:r w:rsidR="00887F1D">
        <w:rPr>
          <w:rFonts w:asciiTheme="majorHAnsi" w:hAnsiTheme="majorHAnsi" w:cstheme="majorHAnsi"/>
        </w:rPr>
        <w:t>the</w:t>
      </w:r>
      <w:r w:rsidR="007564E8" w:rsidRPr="00995B25">
        <w:t xml:space="preserve"> existing legislative framework</w:t>
      </w:r>
      <w:r w:rsidR="007B626C">
        <w:t xml:space="preserve">, </w:t>
      </w:r>
      <w:r w:rsidR="00887F1D">
        <w:t>including regulations and guidance</w:t>
      </w:r>
      <w:r w:rsidR="007B626C">
        <w:t>,</w:t>
      </w:r>
      <w:r w:rsidR="007564E8" w:rsidRPr="00995B25">
        <w:t xml:space="preserve"> against the mandatory guardrails proposed for use in high-risk settings under the proposal put forward by DISR in their consultation: </w:t>
      </w:r>
      <w:hyperlink r:id="rId53" w:history="1">
        <w:r w:rsidR="007564E8" w:rsidRPr="00995B25">
          <w:rPr>
            <w:rStyle w:val="Hyperlink"/>
            <w:rFonts w:asciiTheme="minorHAnsi" w:hAnsiTheme="minorHAnsi"/>
          </w:rPr>
          <w:t>Introducing mandatory guardrails for AI in high-risk settings: proposals paper</w:t>
        </w:r>
      </w:hyperlink>
      <w:r w:rsidR="007564E8" w:rsidRPr="00995B25">
        <w:rPr>
          <w:rStyle w:val="Hyperlink"/>
          <w:rFonts w:asciiTheme="minorHAnsi" w:hAnsiTheme="minorHAnsi"/>
        </w:rPr>
        <w:t>.</w:t>
      </w:r>
      <w:r w:rsidR="007564E8" w:rsidRPr="00995B25">
        <w:t xml:space="preserve"> A summary is at </w:t>
      </w:r>
      <w:hyperlink w:anchor="_Attachment_A_–_1" w:history="1">
        <w:r w:rsidR="007564E8" w:rsidRPr="00995B25">
          <w:rPr>
            <w:rStyle w:val="Hyperlink"/>
            <w:b/>
            <w:bCs/>
          </w:rPr>
          <w:t>Attachment A</w:t>
        </w:r>
      </w:hyperlink>
      <w:r w:rsidR="007564E8" w:rsidRPr="00995B25">
        <w:t>.</w:t>
      </w:r>
    </w:p>
    <w:p w14:paraId="42775A7B" w14:textId="69805C50" w:rsidR="004C44E9" w:rsidRPr="00995B25" w:rsidRDefault="004C44E9" w:rsidP="00611408">
      <w:pPr>
        <w:spacing w:before="120" w:after="0"/>
      </w:pPr>
      <w:r w:rsidRPr="00995B25">
        <w:rPr>
          <w:rFonts w:asciiTheme="majorHAnsi" w:hAnsiTheme="majorHAnsi" w:cstheme="majorHAnsi"/>
        </w:rPr>
        <w:lastRenderedPageBreak/>
        <w:t xml:space="preserve">This section documents key features of the existing framework </w:t>
      </w:r>
      <w:r w:rsidR="00611408" w:rsidRPr="00995B25">
        <w:rPr>
          <w:rFonts w:asciiTheme="majorHAnsi" w:hAnsiTheme="majorHAnsi" w:cstheme="majorHAnsi"/>
        </w:rPr>
        <w:t xml:space="preserve">for the regulation of medical devices </w:t>
      </w:r>
      <w:r w:rsidRPr="00995B25">
        <w:rPr>
          <w:rFonts w:asciiTheme="majorHAnsi" w:hAnsiTheme="majorHAnsi" w:cstheme="majorHAnsi"/>
        </w:rPr>
        <w:t>including:</w:t>
      </w:r>
    </w:p>
    <w:p w14:paraId="40011759" w14:textId="27FA4F0A" w:rsidR="007A6ECE" w:rsidRPr="00995B25" w:rsidRDefault="007A6ECE" w:rsidP="002522ED">
      <w:pPr>
        <w:pStyle w:val="ListParagraph"/>
        <w:numPr>
          <w:ilvl w:val="0"/>
          <w:numId w:val="16"/>
        </w:numPr>
        <w:rPr>
          <w:rFonts w:asciiTheme="majorHAnsi" w:hAnsiTheme="majorHAnsi" w:cstheme="majorHAnsi"/>
        </w:rPr>
      </w:pPr>
      <w:hyperlink w:anchor="_Technology_agnostic" w:history="1">
        <w:r w:rsidRPr="00995B25">
          <w:rPr>
            <w:rStyle w:val="Hyperlink"/>
            <w:rFonts w:asciiTheme="majorHAnsi" w:hAnsiTheme="majorHAnsi" w:cstheme="majorHAnsi"/>
          </w:rPr>
          <w:t xml:space="preserve">Technology agnostic </w:t>
        </w:r>
        <w:r w:rsidR="00A83B2C" w:rsidRPr="00995B25">
          <w:rPr>
            <w:rStyle w:val="Hyperlink"/>
            <w:rFonts w:asciiTheme="majorHAnsi" w:hAnsiTheme="majorHAnsi" w:cstheme="majorHAnsi"/>
          </w:rPr>
          <w:t>regulatio</w:t>
        </w:r>
      </w:hyperlink>
      <w:r w:rsidR="00A83B2C" w:rsidRPr="00995B25">
        <w:rPr>
          <w:rStyle w:val="Hyperlink"/>
          <w:rFonts w:asciiTheme="majorHAnsi" w:hAnsiTheme="majorHAnsi" w:cstheme="majorHAnsi"/>
        </w:rPr>
        <w:t>n</w:t>
      </w:r>
    </w:p>
    <w:p w14:paraId="30D7B4DC" w14:textId="71E46FA1" w:rsidR="007A6ECE" w:rsidRPr="00995B25" w:rsidRDefault="007A6ECE" w:rsidP="002522ED">
      <w:pPr>
        <w:pStyle w:val="ListParagraph"/>
        <w:numPr>
          <w:ilvl w:val="0"/>
          <w:numId w:val="16"/>
        </w:numPr>
        <w:rPr>
          <w:rFonts w:asciiTheme="majorHAnsi" w:hAnsiTheme="majorHAnsi" w:cstheme="majorHAnsi"/>
        </w:rPr>
      </w:pPr>
      <w:hyperlink w:anchor="_Risk_based_classification" w:history="1">
        <w:r w:rsidRPr="00995B25">
          <w:rPr>
            <w:rStyle w:val="Hyperlink"/>
            <w:rFonts w:asciiTheme="majorHAnsi" w:hAnsiTheme="majorHAnsi" w:cstheme="majorHAnsi"/>
          </w:rPr>
          <w:t>Risk based classification</w:t>
        </w:r>
      </w:hyperlink>
    </w:p>
    <w:p w14:paraId="0CCA6F7F" w14:textId="6F12E00D" w:rsidR="007A6ECE" w:rsidRPr="00995B25" w:rsidRDefault="007A6ECE" w:rsidP="002522ED">
      <w:pPr>
        <w:pStyle w:val="ListParagraph"/>
        <w:numPr>
          <w:ilvl w:val="0"/>
          <w:numId w:val="16"/>
        </w:numPr>
        <w:rPr>
          <w:rStyle w:val="Hyperlink"/>
          <w:rFonts w:asciiTheme="majorHAnsi" w:hAnsiTheme="majorHAnsi" w:cstheme="majorHAnsi"/>
          <w:color w:val="auto"/>
          <w:u w:val="none"/>
        </w:rPr>
      </w:pPr>
      <w:hyperlink w:anchor="_Principles_based_regulation" w:history="1">
        <w:r w:rsidRPr="00995B25">
          <w:rPr>
            <w:rStyle w:val="Hyperlink"/>
            <w:rFonts w:asciiTheme="majorHAnsi" w:hAnsiTheme="majorHAnsi" w:cstheme="majorHAnsi"/>
          </w:rPr>
          <w:t>Principles based regulation</w:t>
        </w:r>
      </w:hyperlink>
    </w:p>
    <w:p w14:paraId="617F4026" w14:textId="25DBA2CB" w:rsidR="00611408" w:rsidRPr="00995B25" w:rsidRDefault="00611408" w:rsidP="002522ED">
      <w:pPr>
        <w:pStyle w:val="ListParagraph"/>
        <w:numPr>
          <w:ilvl w:val="0"/>
          <w:numId w:val="16"/>
        </w:numPr>
        <w:rPr>
          <w:rFonts w:asciiTheme="majorHAnsi" w:hAnsiTheme="majorHAnsi" w:cstheme="majorHAnsi"/>
        </w:rPr>
      </w:pPr>
      <w:hyperlink w:anchor="_International_harmonisation_1" w:history="1">
        <w:r w:rsidRPr="00995B25">
          <w:rPr>
            <w:rStyle w:val="Hyperlink"/>
            <w:rFonts w:asciiTheme="majorHAnsi" w:hAnsiTheme="majorHAnsi" w:cstheme="majorHAnsi"/>
          </w:rPr>
          <w:t>International harmonisation</w:t>
        </w:r>
      </w:hyperlink>
    </w:p>
    <w:p w14:paraId="289F6ADB" w14:textId="0499DB10" w:rsidR="00D97B20" w:rsidRPr="00995B25" w:rsidRDefault="00D97B20" w:rsidP="00821FF0">
      <w:pPr>
        <w:pStyle w:val="Heading4"/>
      </w:pPr>
      <w:bookmarkStart w:id="63" w:name="_Internationally_harmonisation"/>
      <w:bookmarkStart w:id="64" w:name="_Technology_agnostic"/>
      <w:bookmarkStart w:id="65" w:name="_Technology_agnostic_regulation"/>
      <w:bookmarkStart w:id="66" w:name="_Toc184721130"/>
      <w:bookmarkEnd w:id="63"/>
      <w:bookmarkEnd w:id="64"/>
      <w:bookmarkEnd w:id="65"/>
      <w:r w:rsidRPr="00995B25">
        <w:t>Technology</w:t>
      </w:r>
      <w:r w:rsidR="00B85B51" w:rsidRPr="00995B25">
        <w:t>-</w:t>
      </w:r>
      <w:r w:rsidRPr="00995B25">
        <w:t>agnostic</w:t>
      </w:r>
      <w:r w:rsidR="00DF4533" w:rsidRPr="00995B25">
        <w:t xml:space="preserve"> </w:t>
      </w:r>
      <w:r w:rsidR="003F1145" w:rsidRPr="00995B25">
        <w:t>regulation</w:t>
      </w:r>
      <w:bookmarkEnd w:id="66"/>
    </w:p>
    <w:p w14:paraId="4002C622" w14:textId="3D194BEB" w:rsidR="00CB769B" w:rsidRPr="00995B25" w:rsidRDefault="00CA6AF3" w:rsidP="00CB769B">
      <w:r w:rsidRPr="00995B25">
        <w:t>Australia’s regulatory approach to medical devices is technology-agnostic</w:t>
      </w:r>
      <w:r w:rsidR="00A83B2C" w:rsidRPr="00995B25">
        <w:t xml:space="preserve">, </w:t>
      </w:r>
      <w:r w:rsidR="00FC18A9" w:rsidRPr="00995B25">
        <w:t xml:space="preserve">with legislative requirements </w:t>
      </w:r>
      <w:r w:rsidR="00C475DA" w:rsidRPr="00995B25">
        <w:t xml:space="preserve">centred on risk and </w:t>
      </w:r>
      <w:r w:rsidR="003E002B" w:rsidRPr="00995B25">
        <w:t xml:space="preserve">principles rather than </w:t>
      </w:r>
      <w:r w:rsidR="00FC18A9" w:rsidRPr="00995B25">
        <w:t xml:space="preserve">linking </w:t>
      </w:r>
      <w:r w:rsidR="003E002B" w:rsidRPr="00995B25">
        <w:t>specific requirements</w:t>
      </w:r>
      <w:r w:rsidR="00FC18A9" w:rsidRPr="00995B25">
        <w:t xml:space="preserve"> to </w:t>
      </w:r>
      <w:r w:rsidR="000620C1" w:rsidRPr="00995B25">
        <w:t>explicit features</w:t>
      </w:r>
      <w:r w:rsidR="00FC18A9" w:rsidRPr="00995B25">
        <w:t xml:space="preserve"> or </w:t>
      </w:r>
      <w:r w:rsidR="000620C1" w:rsidRPr="00995B25">
        <w:t>technologies</w:t>
      </w:r>
      <w:r w:rsidR="003E002B" w:rsidRPr="00995B25">
        <w:t xml:space="preserve">. A technology-agnostic </w:t>
      </w:r>
      <w:r w:rsidRPr="00995B25">
        <w:t>approach</w:t>
      </w:r>
      <w:r w:rsidR="00CB769B" w:rsidRPr="00995B25">
        <w:t xml:space="preserve"> </w:t>
      </w:r>
      <w:r w:rsidR="00C6070C" w:rsidRPr="00995B25">
        <w:t>requires those responsible for manufacturing a medical device to</w:t>
      </w:r>
      <w:r w:rsidR="00CB769B" w:rsidRPr="00995B25">
        <w:t>:</w:t>
      </w:r>
    </w:p>
    <w:p w14:paraId="0B2ED573" w14:textId="445FCE65" w:rsidR="00C6070C" w:rsidRPr="00995B25" w:rsidRDefault="00C6070C" w:rsidP="002522ED">
      <w:pPr>
        <w:pStyle w:val="ListParagraph"/>
        <w:numPr>
          <w:ilvl w:val="0"/>
          <w:numId w:val="16"/>
        </w:numPr>
      </w:pPr>
      <w:r w:rsidRPr="00995B25">
        <w:t xml:space="preserve">identify the </w:t>
      </w:r>
      <w:r w:rsidR="003E002B" w:rsidRPr="00995B25">
        <w:t xml:space="preserve">specific </w:t>
      </w:r>
      <w:r w:rsidRPr="00995B25">
        <w:t xml:space="preserve">and potential </w:t>
      </w:r>
      <w:r w:rsidR="003E002B" w:rsidRPr="00995B25">
        <w:t xml:space="preserve">risks associated with </w:t>
      </w:r>
      <w:r w:rsidRPr="00995B25">
        <w:t xml:space="preserve">the </w:t>
      </w:r>
      <w:r w:rsidR="003E002B" w:rsidRPr="00995B25">
        <w:t>device</w:t>
      </w:r>
      <w:r w:rsidRPr="00995B25">
        <w:t xml:space="preserve"> throughout its lifecycle</w:t>
      </w:r>
    </w:p>
    <w:p w14:paraId="28572CA2" w14:textId="23E1119B" w:rsidR="00D27B74" w:rsidRDefault="00CB769B" w:rsidP="002522ED">
      <w:pPr>
        <w:pStyle w:val="ListParagraph"/>
        <w:numPr>
          <w:ilvl w:val="0"/>
          <w:numId w:val="16"/>
        </w:numPr>
      </w:pPr>
      <w:r>
        <w:t xml:space="preserve">institute measures to mitigate </w:t>
      </w:r>
      <w:r w:rsidR="00D27B74">
        <w:t xml:space="preserve">both </w:t>
      </w:r>
      <w:r>
        <w:t>identified and residual risks</w:t>
      </w:r>
    </w:p>
    <w:p w14:paraId="6B690730" w14:textId="25EBB422" w:rsidR="00D27B74" w:rsidRDefault="00D27B74" w:rsidP="002522ED">
      <w:pPr>
        <w:pStyle w:val="ListParagraph"/>
        <w:numPr>
          <w:ilvl w:val="0"/>
          <w:numId w:val="16"/>
        </w:numPr>
      </w:pPr>
      <w:r>
        <w:t xml:space="preserve">have measures </w:t>
      </w:r>
      <w:r w:rsidR="00312CDD">
        <w:t xml:space="preserve">in place </w:t>
      </w:r>
      <w:r>
        <w:t xml:space="preserve">for ongoing review </w:t>
      </w:r>
      <w:r w:rsidR="00312CDD">
        <w:t>and monitoring of the device’s performance after it has been deployed</w:t>
      </w:r>
      <w:r w:rsidR="005D3BF8">
        <w:t>, and</w:t>
      </w:r>
    </w:p>
    <w:p w14:paraId="5FE38D30" w14:textId="1A6A73E9" w:rsidR="00EB76CF" w:rsidRDefault="00EB76CF" w:rsidP="002522ED">
      <w:pPr>
        <w:pStyle w:val="ListParagraph"/>
        <w:numPr>
          <w:ilvl w:val="0"/>
          <w:numId w:val="16"/>
        </w:numPr>
      </w:pPr>
      <w:r>
        <w:t>engage in ongoing review and refinement of the device once deployed</w:t>
      </w:r>
      <w:r w:rsidR="009902D1">
        <w:t>.</w:t>
      </w:r>
    </w:p>
    <w:p w14:paraId="7DDD9D9F" w14:textId="6D9CE23B" w:rsidR="00CA6AF3" w:rsidRDefault="00CA6AF3" w:rsidP="007E1145">
      <w:pPr>
        <w:spacing w:before="120"/>
      </w:pPr>
      <w:r>
        <w:t xml:space="preserve">This approach provides flexibility and responsiveness to emerging technologies, allowing lower risk devices to enter the market expeditiously while </w:t>
      </w:r>
      <w:r w:rsidR="00C57D1A">
        <w:t xml:space="preserve">subjecting </w:t>
      </w:r>
      <w:r>
        <w:t xml:space="preserve">higher risk devices to </w:t>
      </w:r>
      <w:r w:rsidR="00290481">
        <w:t xml:space="preserve">greater regulatory scrutiny </w:t>
      </w:r>
      <w:r>
        <w:t>to ensure quality, safety, and performance throughout the device life cycle.</w:t>
      </w:r>
    </w:p>
    <w:p w14:paraId="14331023" w14:textId="6E5CDD9E" w:rsidR="00BA11A0" w:rsidRDefault="000A4145" w:rsidP="00CA6AF3">
      <w:r>
        <w:t>T</w:t>
      </w:r>
      <w:r w:rsidR="0050318E">
        <w:t xml:space="preserve">he continuation of a technology-agnostic approach </w:t>
      </w:r>
      <w:r>
        <w:t xml:space="preserve">will </w:t>
      </w:r>
      <w:r w:rsidR="0050318E">
        <w:t xml:space="preserve">provide flexibility to ensure appropriate regulation is capable of being applied to emerging technologies without the need for continual </w:t>
      </w:r>
      <w:r>
        <w:t xml:space="preserve">review and </w:t>
      </w:r>
      <w:r w:rsidR="0050318E">
        <w:t xml:space="preserve">refinement of </w:t>
      </w:r>
      <w:r w:rsidR="00A46951">
        <w:t>legislation</w:t>
      </w:r>
      <w:r w:rsidR="0050318E">
        <w:t>.</w:t>
      </w:r>
      <w:r w:rsidR="0006622F">
        <w:t xml:space="preserve"> Moving away from a technology</w:t>
      </w:r>
      <w:r w:rsidR="00D87327">
        <w:t>-</w:t>
      </w:r>
      <w:r w:rsidR="0006622F">
        <w:t xml:space="preserve">agnostic approach where the onus for demonstrating safety, quality and performance rests with the manufacturer </w:t>
      </w:r>
      <w:r w:rsidR="00881A4A">
        <w:t xml:space="preserve">or deployer </w:t>
      </w:r>
      <w:r w:rsidR="001F184D">
        <w:t>may lead to the introduction of risks as developers adopt a “tick</w:t>
      </w:r>
      <w:r w:rsidR="00054505">
        <w:t>-</w:t>
      </w:r>
      <w:r w:rsidR="001F184D">
        <w:t xml:space="preserve">box” mentality to regulation rather than a proactive </w:t>
      </w:r>
      <w:r w:rsidR="00B74C49">
        <w:t>engagement and assessment of the risks posed by their products</w:t>
      </w:r>
      <w:r w:rsidR="001F184D">
        <w:t>.</w:t>
      </w:r>
    </w:p>
    <w:p w14:paraId="2100E59F" w14:textId="7BAEDAA6" w:rsidR="00F279EA" w:rsidRDefault="00BA11A0" w:rsidP="00CA6AF3">
      <w:r>
        <w:t xml:space="preserve">Development of </w:t>
      </w:r>
      <w:r w:rsidR="00B64A95">
        <w:t xml:space="preserve">specific regulatory requirements </w:t>
      </w:r>
      <w:r>
        <w:t xml:space="preserve">for </w:t>
      </w:r>
      <w:r w:rsidR="009144A0">
        <w:t xml:space="preserve">individual </w:t>
      </w:r>
      <w:r>
        <w:t xml:space="preserve">technologies </w:t>
      </w:r>
      <w:r w:rsidR="00B64A95">
        <w:t xml:space="preserve">is also likely to become a </w:t>
      </w:r>
      <w:r w:rsidR="00881A4A">
        <w:t xml:space="preserve">limiting factor with respect to </w:t>
      </w:r>
      <w:r w:rsidR="008C6F75">
        <w:t xml:space="preserve">the development of </w:t>
      </w:r>
      <w:r w:rsidR="00B64A95">
        <w:t>innovati</w:t>
      </w:r>
      <w:r w:rsidR="008C6F75">
        <w:t xml:space="preserve">ve </w:t>
      </w:r>
      <w:r w:rsidR="00881A4A">
        <w:t xml:space="preserve">devices </w:t>
      </w:r>
      <w:r>
        <w:t xml:space="preserve">in the long term, as </w:t>
      </w:r>
      <w:r w:rsidR="00881A4A">
        <w:t xml:space="preserve">devices </w:t>
      </w:r>
      <w:r>
        <w:t xml:space="preserve">that don’t easily fit </w:t>
      </w:r>
      <w:r w:rsidR="00881A4A">
        <w:t xml:space="preserve">within </w:t>
      </w:r>
      <w:r w:rsidR="002A1DD9">
        <w:t xml:space="preserve">specified parameters </w:t>
      </w:r>
      <w:r>
        <w:t>struggle to meet requirements that were never intended for devices of their nature.</w:t>
      </w:r>
    </w:p>
    <w:p w14:paraId="60509007" w14:textId="0C8FC291" w:rsidR="00D97B20" w:rsidRDefault="00D97B20" w:rsidP="00821FF0">
      <w:pPr>
        <w:pStyle w:val="Heading4"/>
      </w:pPr>
      <w:bookmarkStart w:id="67" w:name="_Risk_based_classification"/>
      <w:bookmarkStart w:id="68" w:name="_Toc184721131"/>
      <w:bookmarkEnd w:id="67"/>
      <w:r>
        <w:t>Risk based</w:t>
      </w:r>
      <w:r w:rsidR="00D61EF3">
        <w:t xml:space="preserve"> classification</w:t>
      </w:r>
      <w:bookmarkEnd w:id="68"/>
    </w:p>
    <w:p w14:paraId="7F649C1F" w14:textId="530D2FCD" w:rsidR="004B03E7" w:rsidRPr="004109DB" w:rsidRDefault="004B03E7" w:rsidP="004B03E7">
      <w:pPr>
        <w:rPr>
          <w:rFonts w:cs="Arial"/>
        </w:rPr>
      </w:pPr>
      <w:r w:rsidRPr="004109DB">
        <w:rPr>
          <w:rFonts w:cs="Arial"/>
        </w:rPr>
        <w:t>In Australia, devices are classified using classification rules s</w:t>
      </w:r>
      <w:r w:rsidR="00887F1D">
        <w:rPr>
          <w:rFonts w:cs="Arial"/>
        </w:rPr>
        <w:t>et</w:t>
      </w:r>
      <w:r w:rsidRPr="004109DB">
        <w:rPr>
          <w:rFonts w:cs="Arial"/>
        </w:rPr>
        <w:t xml:space="preserve"> out in Schedule 2 of the </w:t>
      </w:r>
      <w:hyperlink r:id="rId54" w:history="1">
        <w:r w:rsidRPr="00404644">
          <w:rPr>
            <w:rStyle w:val="Hyperlink"/>
            <w:rFonts w:cs="Arial"/>
          </w:rPr>
          <w:t>Therapeutic Goods (Medical Devices) Regulations 2002</w:t>
        </w:r>
      </w:hyperlink>
      <w:r w:rsidRPr="004109DB">
        <w:rPr>
          <w:rFonts w:cs="Arial"/>
          <w:i/>
          <w:iCs/>
        </w:rPr>
        <w:t>.</w:t>
      </w:r>
      <w:r w:rsidRPr="004109DB">
        <w:rPr>
          <w:rFonts w:cs="Arial"/>
        </w:rPr>
        <w:t xml:space="preserve"> </w:t>
      </w:r>
    </w:p>
    <w:p w14:paraId="3BCE3C04" w14:textId="6BFF8755" w:rsidR="004B03E7" w:rsidRPr="00164A42" w:rsidRDefault="004B03E7" w:rsidP="00C4573F">
      <w:pPr>
        <w:spacing w:before="120"/>
        <w:rPr>
          <w:rFonts w:cs="Arial"/>
        </w:rPr>
      </w:pPr>
      <w:r w:rsidRPr="004109DB">
        <w:rPr>
          <w:rFonts w:cs="Arial"/>
        </w:rPr>
        <w:t>The classification of a medical device is determined by factors including</w:t>
      </w:r>
      <w:r w:rsidR="003F1145">
        <w:rPr>
          <w:rFonts w:cs="Arial"/>
        </w:rPr>
        <w:t xml:space="preserve"> h</w:t>
      </w:r>
      <w:r w:rsidRPr="004109DB">
        <w:rPr>
          <w:rFonts w:cs="Arial"/>
        </w:rPr>
        <w:t>ow long the device will be continuously used for</w:t>
      </w:r>
      <w:r w:rsidR="003F1145">
        <w:rPr>
          <w:rFonts w:cs="Arial"/>
        </w:rPr>
        <w:t xml:space="preserve"> and how </w:t>
      </w:r>
      <w:r w:rsidRPr="00C55CF6">
        <w:rPr>
          <w:rFonts w:cs="Arial"/>
        </w:rPr>
        <w:t xml:space="preserve">invasive </w:t>
      </w:r>
      <w:r w:rsidR="008524F3">
        <w:rPr>
          <w:rFonts w:cs="Arial"/>
        </w:rPr>
        <w:t xml:space="preserve">the </w:t>
      </w:r>
      <w:r w:rsidRPr="00C55CF6">
        <w:rPr>
          <w:rFonts w:cs="Arial"/>
        </w:rPr>
        <w:t>device is</w:t>
      </w:r>
      <w:r w:rsidR="003F1145">
        <w:rPr>
          <w:rFonts w:cs="Arial"/>
        </w:rPr>
        <w:t xml:space="preserve">. </w:t>
      </w:r>
      <w:r w:rsidR="00AD7BE2">
        <w:rPr>
          <w:rFonts w:cs="Arial"/>
        </w:rPr>
        <w:t xml:space="preserve">For </w:t>
      </w:r>
      <w:r w:rsidR="0086790A">
        <w:rPr>
          <w:rFonts w:cs="Arial"/>
        </w:rPr>
        <w:t>software</w:t>
      </w:r>
      <w:r w:rsidR="009144A0">
        <w:rPr>
          <w:rFonts w:cs="Arial"/>
        </w:rPr>
        <w:t>-</w:t>
      </w:r>
      <w:r w:rsidR="0086790A">
        <w:rPr>
          <w:rFonts w:cs="Arial"/>
        </w:rPr>
        <w:t>based medical devices, classification may also be impacted by</w:t>
      </w:r>
      <w:r w:rsidR="00C00BA0">
        <w:rPr>
          <w:rFonts w:cs="Arial"/>
        </w:rPr>
        <w:t xml:space="preserve"> whether</w:t>
      </w:r>
      <w:r w:rsidR="003404AE">
        <w:rPr>
          <w:rFonts w:cs="Arial"/>
        </w:rPr>
        <w:t xml:space="preserve"> the device is</w:t>
      </w:r>
      <w:r w:rsidR="00164A42">
        <w:rPr>
          <w:rFonts w:cs="Arial"/>
        </w:rPr>
        <w:t xml:space="preserve"> intended for use by a clinician or a consumer, and the seriousness of the illness or condition</w:t>
      </w:r>
      <w:r w:rsidR="00834093">
        <w:rPr>
          <w:rFonts w:cs="Arial"/>
        </w:rPr>
        <w:t xml:space="preserve"> for which</w:t>
      </w:r>
      <w:r w:rsidR="00164A42">
        <w:rPr>
          <w:rFonts w:cs="Arial"/>
        </w:rPr>
        <w:t xml:space="preserve"> it is intended to be use</w:t>
      </w:r>
      <w:r w:rsidR="00834093">
        <w:rPr>
          <w:rFonts w:cs="Arial"/>
        </w:rPr>
        <w:t>d</w:t>
      </w:r>
      <w:r w:rsidR="00164A42">
        <w:rPr>
          <w:rFonts w:cs="Arial"/>
        </w:rPr>
        <w:t xml:space="preserve">. </w:t>
      </w:r>
      <w:r w:rsidR="002A1DD9">
        <w:t xml:space="preserve">The classification of a device will determine the </w:t>
      </w:r>
      <w:r w:rsidR="006A60DB">
        <w:t>level of scrutiny and pre-market assessment applied to the device before it can be deployed</w:t>
      </w:r>
      <w:r w:rsidR="00542ACD">
        <w:t>/</w:t>
      </w:r>
      <w:r w:rsidR="00887F1D">
        <w:t>supplied</w:t>
      </w:r>
      <w:r w:rsidR="006A60DB">
        <w:t>.</w:t>
      </w:r>
    </w:p>
    <w:p w14:paraId="7ACB90B2" w14:textId="383C270D" w:rsidR="00D97B20" w:rsidRDefault="00D61EF3" w:rsidP="00821FF0">
      <w:pPr>
        <w:pStyle w:val="Heading4"/>
      </w:pPr>
      <w:bookmarkStart w:id="69" w:name="_Principles_based_regulation"/>
      <w:bookmarkStart w:id="70" w:name="_Toc184721132"/>
      <w:bookmarkEnd w:id="69"/>
      <w:r>
        <w:t>Principles based regulation</w:t>
      </w:r>
      <w:bookmarkEnd w:id="70"/>
    </w:p>
    <w:p w14:paraId="0EE99258" w14:textId="3616F553" w:rsidR="001978CE" w:rsidRPr="004109DB" w:rsidRDefault="001978CE" w:rsidP="001978CE">
      <w:pPr>
        <w:rPr>
          <w:rFonts w:cs="Arial"/>
        </w:rPr>
      </w:pPr>
      <w:r w:rsidRPr="004109DB">
        <w:rPr>
          <w:rFonts w:cs="Arial"/>
        </w:rPr>
        <w:t xml:space="preserve">In Australia, manufacturers are required to demonstrate that medical devices comply with the </w:t>
      </w:r>
      <w:r>
        <w:rPr>
          <w:rFonts w:cs="Arial"/>
        </w:rPr>
        <w:t>e</w:t>
      </w:r>
      <w:r w:rsidRPr="004109DB">
        <w:rPr>
          <w:rFonts w:cs="Arial"/>
        </w:rPr>
        <w:t xml:space="preserve">ssential </w:t>
      </w:r>
      <w:r>
        <w:rPr>
          <w:rFonts w:cs="Arial"/>
        </w:rPr>
        <w:t>p</w:t>
      </w:r>
      <w:r w:rsidRPr="004109DB">
        <w:rPr>
          <w:rFonts w:cs="Arial"/>
        </w:rPr>
        <w:t>rinciples</w:t>
      </w:r>
      <w:r w:rsidR="0096254E">
        <w:rPr>
          <w:rFonts w:cs="Arial"/>
        </w:rPr>
        <w:t>. These</w:t>
      </w:r>
      <w:r w:rsidR="00542ACD">
        <w:rPr>
          <w:rFonts w:cs="Arial"/>
        </w:rPr>
        <w:t xml:space="preserve"> are</w:t>
      </w:r>
      <w:r>
        <w:rPr>
          <w:rFonts w:cs="Arial"/>
        </w:rPr>
        <w:t xml:space="preserve"> </w:t>
      </w:r>
      <w:r w:rsidRPr="004109DB">
        <w:rPr>
          <w:rFonts w:cs="Arial"/>
        </w:rPr>
        <w:t>legislative</w:t>
      </w:r>
      <w:r>
        <w:rPr>
          <w:rFonts w:cs="Arial"/>
        </w:rPr>
        <w:t xml:space="preserve"> </w:t>
      </w:r>
      <w:r w:rsidRPr="004109DB">
        <w:rPr>
          <w:rFonts w:cs="Arial"/>
        </w:rPr>
        <w:t xml:space="preserve">requirements </w:t>
      </w:r>
      <w:r w:rsidR="00887F1D">
        <w:rPr>
          <w:rFonts w:cs="Arial"/>
        </w:rPr>
        <w:t xml:space="preserve">that are further </w:t>
      </w:r>
      <w:r w:rsidRPr="004109DB">
        <w:rPr>
          <w:rFonts w:cs="Arial"/>
        </w:rPr>
        <w:t xml:space="preserve">set out in Schedule 1 of </w:t>
      </w:r>
      <w:hyperlink r:id="rId55" w:history="1">
        <w:r w:rsidRPr="004109DB">
          <w:rPr>
            <w:rStyle w:val="Hyperlink"/>
            <w:rFonts w:cs="Arial"/>
          </w:rPr>
          <w:t xml:space="preserve">the </w:t>
        </w:r>
        <w:r w:rsidRPr="004109DB">
          <w:rPr>
            <w:rStyle w:val="Hyperlink"/>
            <w:rFonts w:cs="Arial"/>
          </w:rPr>
          <w:lastRenderedPageBreak/>
          <w:t>Regulations</w:t>
        </w:r>
      </w:hyperlink>
      <w:r w:rsidR="0096254E">
        <w:rPr>
          <w:rFonts w:cs="Arial"/>
        </w:rPr>
        <w:t>, and relate</w:t>
      </w:r>
      <w:r w:rsidR="0096254E" w:rsidRPr="004109DB">
        <w:rPr>
          <w:rFonts w:cs="Arial"/>
        </w:rPr>
        <w:t xml:space="preserve"> </w:t>
      </w:r>
      <w:r w:rsidRPr="004109DB">
        <w:rPr>
          <w:rFonts w:cs="Arial"/>
        </w:rPr>
        <w:t>to specific characteristics of medical devices</w:t>
      </w:r>
      <w:r w:rsidR="00DD0BCF">
        <w:rPr>
          <w:rFonts w:cs="Arial"/>
        </w:rPr>
        <w:t xml:space="preserve"> including design, construction</w:t>
      </w:r>
      <w:r w:rsidR="00004B3A">
        <w:rPr>
          <w:rFonts w:cs="Arial"/>
        </w:rPr>
        <w:t>, evidence supporting the use of the device and information to be provided with the device.</w:t>
      </w:r>
    </w:p>
    <w:p w14:paraId="1CB6EF12" w14:textId="3F1BC782" w:rsidR="00127D04" w:rsidRDefault="002326DE" w:rsidP="00127D04">
      <w:pPr>
        <w:spacing w:before="120"/>
      </w:pPr>
      <w:r w:rsidRPr="0074535B">
        <w:t>Manufacturers must</w:t>
      </w:r>
      <w:r>
        <w:t xml:space="preserve"> ensure </w:t>
      </w:r>
      <w:hyperlink r:id="rId56" w:history="1">
        <w:r w:rsidRPr="00B205A0">
          <w:rPr>
            <w:rStyle w:val="Hyperlink"/>
            <w:rFonts w:asciiTheme="minorHAnsi" w:hAnsiTheme="minorHAnsi" w:cstheme="minorHAnsi"/>
          </w:rPr>
          <w:t>their devices meet all relevant principles</w:t>
        </w:r>
      </w:hyperlink>
      <w:r w:rsidRPr="0074535B">
        <w:t xml:space="preserve"> and sponsors must either hold or</w:t>
      </w:r>
      <w:r>
        <w:t xml:space="preserve"> </w:t>
      </w:r>
      <w:r w:rsidRPr="0074535B">
        <w:t xml:space="preserve">be able to </w:t>
      </w:r>
      <w:r>
        <w:t>obtain</w:t>
      </w:r>
      <w:r w:rsidRPr="0074535B">
        <w:t xml:space="preserve"> this evidence from their </w:t>
      </w:r>
      <w:r w:rsidRPr="006D70D2">
        <w:t>manufacturer on request.</w:t>
      </w:r>
      <w:r w:rsidR="00127D04">
        <w:t xml:space="preserve"> </w:t>
      </w:r>
      <w:r w:rsidRPr="006D70D2">
        <w:t>Principles-based regulation, as opposed to prescriptive or rules-based regulation, provides flexibility. This approach accommodates the broad complexity and diversity of medical devices regulated, including as new technologies like AI emerge. A rules-based approach may, for example, require compliance with prescribed requirements including international standards</w:t>
      </w:r>
      <w:r w:rsidR="00692110">
        <w:t xml:space="preserve"> such as</w:t>
      </w:r>
      <w:r w:rsidR="00887F1D">
        <w:t xml:space="preserve"> ISO or IEC standards</w:t>
      </w:r>
      <w:r w:rsidRPr="006D70D2">
        <w:t>.</w:t>
      </w:r>
    </w:p>
    <w:p w14:paraId="5CA30C12" w14:textId="3DDAE97A" w:rsidR="004B382B" w:rsidRDefault="002326DE" w:rsidP="00127D04">
      <w:pPr>
        <w:spacing w:before="120"/>
      </w:pPr>
      <w:r w:rsidRPr="006D70D2">
        <w:t>Demonstrating compliance with the essential principles may include compliance with relevant international standards, but for emerging technologies where an appropriate standard may not yet exist, other approaches may be used. The flexibility to adapt the principles to the unique circumstances of a medical device, particularly those incorporating emerging technologies, allows approaches to evolve over time without continuous re</w:t>
      </w:r>
      <w:r>
        <w:t>v</w:t>
      </w:r>
      <w:r w:rsidRPr="006D70D2">
        <w:t>iew and updating of legislative frameworks</w:t>
      </w:r>
      <w:r w:rsidR="005D7D70">
        <w:t>.</w:t>
      </w:r>
    </w:p>
    <w:p w14:paraId="22F6E3F0" w14:textId="717793B9" w:rsidR="00272D48" w:rsidRDefault="00EA417E" w:rsidP="00C52528">
      <w:pPr>
        <w:pStyle w:val="Heading4"/>
      </w:pPr>
      <w:bookmarkStart w:id="71" w:name="_International_harmonisation_1"/>
      <w:bookmarkStart w:id="72" w:name="_Toc184721133"/>
      <w:bookmarkEnd w:id="71"/>
      <w:r>
        <w:t>International harmonisation</w:t>
      </w:r>
      <w:bookmarkEnd w:id="72"/>
    </w:p>
    <w:p w14:paraId="12635DE6" w14:textId="18127B90" w:rsidR="00EA417E" w:rsidRDefault="00EA417E" w:rsidP="00EA417E">
      <w:r>
        <w:t xml:space="preserve">Our current approach and commitment to international harmonisation allows sponsors of </w:t>
      </w:r>
      <w:hyperlink r:id="rId57" w:history="1">
        <w:r w:rsidRPr="000302CF">
          <w:rPr>
            <w:rStyle w:val="Hyperlink"/>
          </w:rPr>
          <w:t>medicines</w:t>
        </w:r>
      </w:hyperlink>
      <w:r>
        <w:t xml:space="preserve"> and </w:t>
      </w:r>
      <w:hyperlink r:id="rId58" w:history="1">
        <w:r w:rsidRPr="000302CF">
          <w:rPr>
            <w:rStyle w:val="Hyperlink"/>
          </w:rPr>
          <w:t>medical devices</w:t>
        </w:r>
      </w:hyperlink>
      <w:r>
        <w:t xml:space="preserve"> to use international assessment and approvals from comparable overseas regulators to support applications for inclusion of their therapeutic goods </w:t>
      </w:r>
      <w:r w:rsidR="00887F1D">
        <w:t>o</w:t>
      </w:r>
      <w:r>
        <w:t>n the ARTG.</w:t>
      </w:r>
    </w:p>
    <w:p w14:paraId="09160545" w14:textId="17EDE329" w:rsidR="00EA417E" w:rsidRDefault="00EA417E" w:rsidP="00EA417E">
      <w:r>
        <w:t xml:space="preserve">The TGA is also a member of the </w:t>
      </w:r>
      <w:hyperlink r:id="rId59" w:history="1">
        <w:r w:rsidRPr="00CB4209">
          <w:rPr>
            <w:rStyle w:val="Hyperlink"/>
          </w:rPr>
          <w:t>IMDRF</w:t>
        </w:r>
      </w:hyperlink>
      <w:r>
        <w:t xml:space="preserve">, which seeks to </w:t>
      </w:r>
      <w:r w:rsidRPr="009F196C">
        <w:rPr>
          <w:i/>
          <w:iCs/>
        </w:rPr>
        <w:t>“strategically accelerate international medical device regulatory convergence to</w:t>
      </w:r>
      <w:r w:rsidRPr="00D80B74">
        <w:t xml:space="preserve"> </w:t>
      </w:r>
      <w:r w:rsidRPr="00800EC4">
        <w:rPr>
          <w:i/>
          <w:iCs/>
        </w:rPr>
        <w:t>promote an efficient and effective regulatory model for medical devices that is responsive to emerging challenges while protecting and maximizing public health and safety.</w:t>
      </w:r>
      <w:r>
        <w:rPr>
          <w:i/>
          <w:iCs/>
        </w:rPr>
        <w:t>”</w:t>
      </w:r>
      <w:r>
        <w:rPr>
          <w:rStyle w:val="FootnoteReference"/>
          <w:i/>
          <w:iCs/>
        </w:rPr>
        <w:footnoteReference w:id="12"/>
      </w:r>
    </w:p>
    <w:p w14:paraId="2CD4CAD6" w14:textId="462593F5" w:rsidR="00EA417E" w:rsidRDefault="00EA417E" w:rsidP="00EA417E">
      <w:r>
        <w:t xml:space="preserve">The IMDRF </w:t>
      </w:r>
      <w:r w:rsidR="00887F1D">
        <w:t xml:space="preserve">has </w:t>
      </w:r>
      <w:r>
        <w:t>publishe</w:t>
      </w:r>
      <w:r w:rsidR="00887F1D">
        <w:t>d</w:t>
      </w:r>
      <w:r>
        <w:t xml:space="preserve"> a significant number of regulatory guidance documents for </w:t>
      </w:r>
      <w:r w:rsidR="00887F1D">
        <w:t>adoption by j</w:t>
      </w:r>
      <w:r>
        <w:t xml:space="preserve">urisdictions globally. </w:t>
      </w:r>
      <w:r w:rsidR="00887F1D">
        <w:t>Guidance d</w:t>
      </w:r>
      <w:r>
        <w:t xml:space="preserve">ocuments are developed through specialised Working Groups </w:t>
      </w:r>
      <w:r w:rsidR="00887F1D">
        <w:t xml:space="preserve">and involve </w:t>
      </w:r>
      <w:r>
        <w:t xml:space="preserve">global public consultation processes. The TGA is an active member of both the IMDRF Software as a Medical Device </w:t>
      </w:r>
      <w:r w:rsidR="00887F1D">
        <w:t xml:space="preserve">(SaMD) </w:t>
      </w:r>
      <w:r>
        <w:t>Working Group and the IMDRF Artificial Intelligence/Machine Learning Working Group</w:t>
      </w:r>
      <w:r w:rsidR="001D1CB9">
        <w:t xml:space="preserve">, which </w:t>
      </w:r>
      <w:r>
        <w:t xml:space="preserve">have </w:t>
      </w:r>
      <w:r w:rsidR="001D1CB9">
        <w:t xml:space="preserve">both </w:t>
      </w:r>
      <w:r>
        <w:t xml:space="preserve">published a range of guidance documents. The AI Working Group is currently focused on finalising additional guidance on good machine learning practices and </w:t>
      </w:r>
      <w:r w:rsidR="00C50443">
        <w:t>new guidance on AI lifecycle management</w:t>
      </w:r>
      <w:r w:rsidR="001527AD">
        <w:t>, whil</w:t>
      </w:r>
      <w:r w:rsidR="002776C2">
        <w:t>e</w:t>
      </w:r>
      <w:r w:rsidR="001527AD">
        <w:t xml:space="preserve"> the SaMD Working Group is </w:t>
      </w:r>
      <w:r>
        <w:t>developing an approach to pre-approved change control plans (PCCPs).</w:t>
      </w:r>
    </w:p>
    <w:p w14:paraId="7C8C0D82" w14:textId="2ACC70EF" w:rsidR="00845BFB" w:rsidRPr="00995B25" w:rsidRDefault="00845BFB" w:rsidP="00845BFB">
      <w:pPr>
        <w:pStyle w:val="Heading3"/>
      </w:pPr>
      <w:bookmarkStart w:id="73" w:name="_Toc184721134"/>
      <w:r w:rsidRPr="00995B25">
        <w:t>Software regulation and reforms</w:t>
      </w:r>
      <w:bookmarkEnd w:id="73"/>
    </w:p>
    <w:p w14:paraId="5E2D9335" w14:textId="727293AA" w:rsidR="00845BFB" w:rsidRPr="00995B25" w:rsidRDefault="00845BFB" w:rsidP="00845BFB">
      <w:r w:rsidRPr="00995B25">
        <w:t>The TGA regulates AI when it meets the legislative definition of a medical device in Section 41BD of the</w:t>
      </w:r>
      <w:r w:rsidR="00B47B4D">
        <w:t xml:space="preserve"> Act</w:t>
      </w:r>
      <w:r w:rsidR="002776C2">
        <w:t>.</w:t>
      </w:r>
      <w:r w:rsidR="00B47B4D">
        <w:t xml:space="preserve"> </w:t>
      </w:r>
      <w:r w:rsidRPr="00995B25">
        <w:t>AI products likely to meet this definition include those intended to be used for the diagnosis, prevention, monitoring, prediction, prognosis, treatment, or alleviation of a disease, injury or disability.</w:t>
      </w:r>
    </w:p>
    <w:p w14:paraId="4F5AC317" w14:textId="1EFB7BB3" w:rsidR="00845BFB" w:rsidRPr="00995B25" w:rsidRDefault="00845BFB" w:rsidP="00845BFB">
      <w:pPr>
        <w:spacing w:before="120" w:after="0"/>
      </w:pPr>
      <w:r w:rsidRPr="00995B25">
        <w:t>In recent years, software has become increasingly important in medical devices and digital adoption more broadly. It is also becoming more important as a medical device in its own right. Rapid innovation in technology has driven significant changes to software function and adoption, giving rise to a larger number of devices able to inform, drive or replace clinical decisions, or directly provide therapy to an individual.</w:t>
      </w:r>
    </w:p>
    <w:p w14:paraId="1535191C" w14:textId="3097D7D2" w:rsidR="00744385" w:rsidRPr="00995B25" w:rsidRDefault="00845BFB" w:rsidP="00611408">
      <w:pPr>
        <w:spacing w:before="120" w:after="0"/>
      </w:pPr>
      <w:r w:rsidRPr="00995B25">
        <w:t>Advances in computing technology and software production have led to a large increase in the number of software-based medical devices available on the market, requiring the implementation of reforms to ensure patient safety.</w:t>
      </w:r>
      <w:r w:rsidR="00611408" w:rsidRPr="00995B25">
        <w:t xml:space="preserve"> </w:t>
      </w:r>
      <w:r w:rsidRPr="00995B25">
        <w:t>Software</w:t>
      </w:r>
      <w:r w:rsidR="00C14CCD">
        <w:t>-</w:t>
      </w:r>
      <w:r w:rsidRPr="00995B25">
        <w:t xml:space="preserve">based medical devices are medical devices that incorporate software or are software, including software as a medical device, or software that relies on hardware to function as intended, and are regulated in Australia by </w:t>
      </w:r>
      <w:r w:rsidR="00611408" w:rsidRPr="00995B25">
        <w:t>the TGA</w:t>
      </w:r>
      <w:r w:rsidRPr="00995B25">
        <w:t>.</w:t>
      </w:r>
    </w:p>
    <w:p w14:paraId="6D4A1D81" w14:textId="4C3F5EE4" w:rsidR="00845BFB" w:rsidRPr="00995B25" w:rsidRDefault="00744385" w:rsidP="00611408">
      <w:pPr>
        <w:spacing w:before="120" w:after="0"/>
      </w:pPr>
      <w:r w:rsidRPr="00995B25">
        <w:t xml:space="preserve">These kinds of devices may be integrated within electronic health records systems, used by clinicians or health professionals in the provision of care, or used to determine how or when patients will receive </w:t>
      </w:r>
      <w:r w:rsidRPr="00995B25">
        <w:lastRenderedPageBreak/>
        <w:t>care. Their increasing use, integration in healthcare systems</w:t>
      </w:r>
      <w:r w:rsidR="00302F4E">
        <w:t>,</w:t>
      </w:r>
      <w:r w:rsidRPr="00995B25">
        <w:t xml:space="preserve"> and complexity have given rise to new </w:t>
      </w:r>
      <w:r w:rsidR="00302F4E">
        <w:t xml:space="preserve">regulatory </w:t>
      </w:r>
      <w:r w:rsidRPr="00995B25">
        <w:t>challenges.</w:t>
      </w:r>
    </w:p>
    <w:p w14:paraId="66E37402" w14:textId="3D68BF93" w:rsidR="00611408" w:rsidRPr="00995B25" w:rsidRDefault="00611408" w:rsidP="00611408">
      <w:pPr>
        <w:spacing w:before="120" w:after="0"/>
      </w:pPr>
      <w:r w:rsidRPr="00995B25">
        <w:t>In 2021</w:t>
      </w:r>
      <w:r w:rsidR="00EF3976">
        <w:t>,</w:t>
      </w:r>
      <w:r w:rsidRPr="00995B25">
        <w:t xml:space="preserve"> the TGA introduced a number of regulatory refinements aimed at ensuring the regulation of software-based medical devices, including software that functions as a medical device</w:t>
      </w:r>
      <w:r w:rsidR="00744385" w:rsidRPr="00995B25">
        <w:t>, remains appropriate and targets the risks associated with these kinds of devices appropriately</w:t>
      </w:r>
      <w:r w:rsidRPr="00995B25">
        <w:t>. Refinements included:</w:t>
      </w:r>
    </w:p>
    <w:p w14:paraId="70BFF69A" w14:textId="3F8F018F" w:rsidR="00541883" w:rsidRPr="00995B25" w:rsidRDefault="00EF3976" w:rsidP="002522ED">
      <w:pPr>
        <w:pStyle w:val="ListParagraph"/>
        <w:numPr>
          <w:ilvl w:val="0"/>
          <w:numId w:val="16"/>
        </w:numPr>
        <w:spacing w:after="0"/>
      </w:pPr>
      <w:r>
        <w:t>a</w:t>
      </w:r>
      <w:r w:rsidR="007170D5" w:rsidRPr="00995B25">
        <w:t>mendments to the essential principles includ</w:t>
      </w:r>
      <w:r w:rsidR="00744385" w:rsidRPr="00995B25">
        <w:t>e</w:t>
      </w:r>
      <w:r w:rsidR="007170D5" w:rsidRPr="00995B25">
        <w:t xml:space="preserve"> the addition of Essential Principle 12.1, which details specific requirements for programmed or programmable medical devices or software that is a medical device</w:t>
      </w:r>
    </w:p>
    <w:p w14:paraId="3913BF2E" w14:textId="4644D588" w:rsidR="00541883" w:rsidRPr="00995B25" w:rsidRDefault="00EF3976" w:rsidP="002522ED">
      <w:pPr>
        <w:pStyle w:val="ListParagraph"/>
        <w:numPr>
          <w:ilvl w:val="0"/>
          <w:numId w:val="16"/>
        </w:numPr>
        <w:spacing w:after="0"/>
      </w:pPr>
      <w:r>
        <w:t>n</w:t>
      </w:r>
      <w:r w:rsidR="007170D5" w:rsidRPr="00995B25">
        <w:t>ew classification rules for software based medical devices used for diagnostic or screening purposes to capture their potential to cause harm through the provision of incorrect information</w:t>
      </w:r>
    </w:p>
    <w:p w14:paraId="71D98164" w14:textId="4B70C2FE" w:rsidR="007170D5" w:rsidRPr="00995B25" w:rsidRDefault="00EF3976" w:rsidP="002522ED">
      <w:pPr>
        <w:pStyle w:val="ListParagraph"/>
        <w:numPr>
          <w:ilvl w:val="0"/>
          <w:numId w:val="16"/>
        </w:numPr>
        <w:spacing w:after="0"/>
      </w:pPr>
      <w:r>
        <w:t>i</w:t>
      </w:r>
      <w:r w:rsidR="007170D5" w:rsidRPr="00995B25">
        <w:t>ntroduction of an exemption from TGA regulation for certain clinical decision support software</w:t>
      </w:r>
      <w:r>
        <w:t>, and</w:t>
      </w:r>
    </w:p>
    <w:p w14:paraId="5F946C74" w14:textId="3FF5629D" w:rsidR="00D14BDD" w:rsidRPr="00995B25" w:rsidRDefault="00EF3976" w:rsidP="00D81D5F">
      <w:pPr>
        <w:pStyle w:val="ListParagraph"/>
        <w:numPr>
          <w:ilvl w:val="0"/>
          <w:numId w:val="11"/>
        </w:numPr>
        <w:spacing w:after="0"/>
      </w:pPr>
      <w:r>
        <w:t>e</w:t>
      </w:r>
      <w:r w:rsidR="00D14BDD" w:rsidRPr="00995B25">
        <w:t>xclusion of certain software products for the sake of clarity, or where existing oversight measures were available through other regulatory frameworks to ensure these products were safe and fit for their intended purpose.</w:t>
      </w:r>
    </w:p>
    <w:p w14:paraId="5441737C" w14:textId="4EF97367" w:rsidR="007170D5" w:rsidRPr="00995B25" w:rsidRDefault="005E5B82" w:rsidP="007170D5">
      <w:pPr>
        <w:pStyle w:val="Heading4"/>
      </w:pPr>
      <w:bookmarkStart w:id="74" w:name="_Toc184721135"/>
      <w:r w:rsidRPr="00995B25">
        <w:t>Ongoing reforms</w:t>
      </w:r>
      <w:bookmarkEnd w:id="74"/>
    </w:p>
    <w:p w14:paraId="15E7FD0B" w14:textId="43D500CB" w:rsidR="0012448A" w:rsidRPr="00995B25" w:rsidRDefault="00AE48A8" w:rsidP="005E5B82">
      <w:r w:rsidRPr="00995B25">
        <w:t xml:space="preserve">The TGA </w:t>
      </w:r>
      <w:r w:rsidR="0012448A" w:rsidRPr="00995B25">
        <w:t>has well-established structures and processes for ensuring the regulation of emerging technologies, including software based medical devices, remains appropriate</w:t>
      </w:r>
      <w:r w:rsidR="00D30115">
        <w:t>. These</w:t>
      </w:r>
      <w:r w:rsidR="0012448A" w:rsidRPr="00995B25">
        <w:t xml:space="preserve"> includ</w:t>
      </w:r>
      <w:r w:rsidR="00D30115">
        <w:t>e</w:t>
      </w:r>
      <w:r w:rsidR="0012448A" w:rsidRPr="00995B25">
        <w:t>:</w:t>
      </w:r>
    </w:p>
    <w:p w14:paraId="5E8F03FF" w14:textId="6A1F941C" w:rsidR="00FF7FA0" w:rsidRPr="00995B25" w:rsidRDefault="00D30115" w:rsidP="0012448A">
      <w:pPr>
        <w:pStyle w:val="ListParagraph"/>
        <w:numPr>
          <w:ilvl w:val="0"/>
          <w:numId w:val="11"/>
        </w:numPr>
      </w:pPr>
      <w:r>
        <w:t>s</w:t>
      </w:r>
      <w:r w:rsidR="0012448A" w:rsidRPr="00995B25">
        <w:t>trong engagement with other device regulators around the world through direct relationships</w:t>
      </w:r>
      <w:r w:rsidR="004A34A8" w:rsidRPr="00995B25">
        <w:t xml:space="preserve">, </w:t>
      </w:r>
      <w:r w:rsidR="0012448A" w:rsidRPr="00995B25">
        <w:t>IMDRF membership</w:t>
      </w:r>
      <w:r w:rsidR="004A34A8" w:rsidRPr="00995B25">
        <w:t xml:space="preserve"> and representation on relevant IMDRF working groups</w:t>
      </w:r>
    </w:p>
    <w:p w14:paraId="638B9342" w14:textId="09C7B5BA" w:rsidR="0012448A" w:rsidRPr="00995B25" w:rsidRDefault="00D30115" w:rsidP="0012448A">
      <w:pPr>
        <w:pStyle w:val="ListParagraph"/>
        <w:numPr>
          <w:ilvl w:val="0"/>
          <w:numId w:val="11"/>
        </w:numPr>
      </w:pPr>
      <w:r>
        <w:t>r</w:t>
      </w:r>
      <w:r w:rsidR="0012448A" w:rsidRPr="00995B25">
        <w:t>epresentation on key committees and working groups associated with the development of international and Australian standards and guidelines</w:t>
      </w:r>
    </w:p>
    <w:p w14:paraId="4EDFDEAA" w14:textId="1DAA3EB5" w:rsidR="0012448A" w:rsidRPr="00995B25" w:rsidRDefault="00D30115" w:rsidP="0012448A">
      <w:pPr>
        <w:pStyle w:val="ListParagraph"/>
        <w:numPr>
          <w:ilvl w:val="0"/>
          <w:numId w:val="11"/>
        </w:numPr>
      </w:pPr>
      <w:r>
        <w:t>w</w:t>
      </w:r>
      <w:r w:rsidR="0012448A" w:rsidRPr="00995B25">
        <w:t>ell</w:t>
      </w:r>
      <w:r>
        <w:t xml:space="preserve"> </w:t>
      </w:r>
      <w:r w:rsidR="0012448A" w:rsidRPr="00995B25">
        <w:t>developed relationships with key peak industry, professional and consumer representative group</w:t>
      </w:r>
      <w:r>
        <w:t>, and</w:t>
      </w:r>
    </w:p>
    <w:p w14:paraId="2BA55FA3" w14:textId="27347554" w:rsidR="0012448A" w:rsidRPr="00995B25" w:rsidRDefault="00EC337D" w:rsidP="0012448A">
      <w:pPr>
        <w:pStyle w:val="ListParagraph"/>
        <w:numPr>
          <w:ilvl w:val="0"/>
          <w:numId w:val="11"/>
        </w:numPr>
      </w:pPr>
      <w:r>
        <w:t>a</w:t>
      </w:r>
      <w:r w:rsidR="0012448A" w:rsidRPr="00995B25">
        <w:t xml:space="preserve"> number of working groups including, but not limited to:</w:t>
      </w:r>
    </w:p>
    <w:p w14:paraId="7B9C95CA" w14:textId="77777777" w:rsidR="004A34A8" w:rsidRPr="00995B25" w:rsidRDefault="0012448A" w:rsidP="004A34A8">
      <w:pPr>
        <w:pStyle w:val="ListParagraph"/>
        <w:numPr>
          <w:ilvl w:val="1"/>
          <w:numId w:val="11"/>
        </w:numPr>
        <w:rPr>
          <w:b/>
          <w:bCs/>
        </w:rPr>
      </w:pPr>
      <w:hyperlink r:id="rId60" w:history="1">
        <w:r w:rsidRPr="00995B25">
          <w:rPr>
            <w:rStyle w:val="Hyperlink"/>
            <w:rFonts w:asciiTheme="minorHAnsi" w:hAnsiTheme="minorHAnsi"/>
          </w:rPr>
          <w:t xml:space="preserve">The </w:t>
        </w:r>
        <w:r w:rsidR="004A34A8" w:rsidRPr="00995B25">
          <w:rPr>
            <w:rStyle w:val="Hyperlink"/>
            <w:rFonts w:asciiTheme="minorHAnsi" w:hAnsiTheme="minorHAnsi"/>
          </w:rPr>
          <w:t>Medical Devices Consumer Working Group</w:t>
        </w:r>
      </w:hyperlink>
    </w:p>
    <w:p w14:paraId="395787A3" w14:textId="23F2183F" w:rsidR="004A34A8" w:rsidRPr="00995B25" w:rsidRDefault="004A34A8" w:rsidP="004A34A8">
      <w:pPr>
        <w:pStyle w:val="ListParagraph"/>
        <w:numPr>
          <w:ilvl w:val="1"/>
          <w:numId w:val="11"/>
        </w:numPr>
        <w:rPr>
          <w:rStyle w:val="Hyperlink"/>
          <w:rFonts w:asciiTheme="minorHAnsi" w:hAnsiTheme="minorHAnsi"/>
        </w:rPr>
      </w:pPr>
      <w:hyperlink r:id="rId61" w:history="1">
        <w:r w:rsidRPr="00995B25">
          <w:rPr>
            <w:rStyle w:val="Hyperlink"/>
            <w:rFonts w:asciiTheme="minorHAnsi" w:hAnsiTheme="minorHAnsi"/>
          </w:rPr>
          <w:t>Technical Reference Group for Software as a Medical Device (SaMD) and Artificial Intelligence (AI)</w:t>
        </w:r>
      </w:hyperlink>
    </w:p>
    <w:p w14:paraId="3874854F" w14:textId="0973B070" w:rsidR="004A34A8" w:rsidRPr="00995B25" w:rsidRDefault="004A34A8" w:rsidP="004A34A8">
      <w:pPr>
        <w:pStyle w:val="ListParagraph"/>
        <w:numPr>
          <w:ilvl w:val="1"/>
          <w:numId w:val="11"/>
        </w:numPr>
      </w:pPr>
      <w:hyperlink r:id="rId62" w:history="1">
        <w:r w:rsidRPr="00995B25">
          <w:rPr>
            <w:rStyle w:val="Hyperlink"/>
            <w:rFonts w:asciiTheme="minorHAnsi" w:hAnsiTheme="minorHAnsi"/>
          </w:rPr>
          <w:t>Point-of-care Manufacturing of Medical Devices Steering Committee and Working Groups</w:t>
        </w:r>
      </w:hyperlink>
    </w:p>
    <w:p w14:paraId="6FF631A9" w14:textId="04C43D42" w:rsidR="004A34A8" w:rsidRPr="00995B25" w:rsidRDefault="004A34A8" w:rsidP="004A34A8">
      <w:pPr>
        <w:pStyle w:val="ListParagraph"/>
        <w:numPr>
          <w:ilvl w:val="1"/>
          <w:numId w:val="11"/>
        </w:numPr>
      </w:pPr>
      <w:hyperlink r:id="rId63" w:history="1">
        <w:r w:rsidRPr="00995B25">
          <w:rPr>
            <w:rStyle w:val="Hyperlink"/>
            <w:rFonts w:asciiTheme="minorHAnsi" w:hAnsiTheme="minorHAnsi"/>
          </w:rPr>
          <w:t>Advisory Committee on Medical Devices</w:t>
        </w:r>
      </w:hyperlink>
    </w:p>
    <w:p w14:paraId="6E9D9687" w14:textId="77777777" w:rsidR="004A34A8" w:rsidRPr="00995B25" w:rsidRDefault="004A34A8" w:rsidP="004A34A8"/>
    <w:p w14:paraId="4E684911" w14:textId="76D16D1A" w:rsidR="006F0711" w:rsidRPr="00995B25" w:rsidRDefault="006F0711" w:rsidP="00944C33">
      <w:pPr>
        <w:rPr>
          <w:rStyle w:val="CharSectno"/>
          <w:rFonts w:eastAsia="Times New Roman" w:cs="Times New Roman"/>
          <w:b/>
          <w:bCs/>
          <w:color w:val="001871"/>
          <w:sz w:val="38"/>
          <w:szCs w:val="38"/>
        </w:rPr>
      </w:pPr>
      <w:r w:rsidRPr="00995B25">
        <w:rPr>
          <w:rStyle w:val="CharSectno"/>
        </w:rPr>
        <w:br w:type="page"/>
      </w:r>
    </w:p>
    <w:p w14:paraId="559379AF" w14:textId="77777777" w:rsidR="000F308B" w:rsidRPr="00995B25" w:rsidRDefault="000F308B" w:rsidP="00944C33">
      <w:pPr>
        <w:sectPr w:rsidR="000F308B" w:rsidRPr="00995B25" w:rsidSect="00537B47">
          <w:headerReference w:type="default" r:id="rId64"/>
          <w:footerReference w:type="default" r:id="rId65"/>
          <w:headerReference w:type="first" r:id="rId66"/>
          <w:footerReference w:type="first" r:id="rId67"/>
          <w:pgSz w:w="11906" w:h="16838"/>
          <w:pgMar w:top="1440" w:right="1440" w:bottom="1440" w:left="1440" w:header="708" w:footer="708" w:gutter="0"/>
          <w:cols w:space="708"/>
          <w:titlePg/>
          <w:docGrid w:linePitch="360"/>
        </w:sectPr>
      </w:pPr>
      <w:bookmarkStart w:id="75" w:name="_Attachment_A_–"/>
      <w:bookmarkEnd w:id="75"/>
    </w:p>
    <w:p w14:paraId="15B01B26" w14:textId="154FFA0A" w:rsidR="000F308B" w:rsidRPr="00995B25" w:rsidRDefault="000F308B" w:rsidP="000F308B">
      <w:pPr>
        <w:pStyle w:val="Heading2"/>
      </w:pPr>
      <w:bookmarkStart w:id="76" w:name="_Attachment_A_–_1"/>
      <w:bookmarkStart w:id="77" w:name="_Toc184721136"/>
      <w:bookmarkEnd w:id="76"/>
      <w:r w:rsidRPr="00995B25">
        <w:lastRenderedPageBreak/>
        <w:t>Attachment A – mapping our existing framework to DISR’s proposed mandatory guardrails</w:t>
      </w:r>
      <w:r w:rsidR="00197AEA" w:rsidRPr="00995B25">
        <w:rPr>
          <w:rStyle w:val="FootnoteReference"/>
        </w:rPr>
        <w:footnoteReference w:id="13"/>
      </w:r>
      <w:bookmarkEnd w:id="77"/>
    </w:p>
    <w:tbl>
      <w:tblPr>
        <w:tblStyle w:val="TableTGAblue"/>
        <w:tblW w:w="0" w:type="auto"/>
        <w:tblLook w:val="04A0" w:firstRow="1" w:lastRow="0" w:firstColumn="1" w:lastColumn="0" w:noHBand="0" w:noVBand="1"/>
      </w:tblPr>
      <w:tblGrid>
        <w:gridCol w:w="4247"/>
        <w:gridCol w:w="4247"/>
      </w:tblGrid>
      <w:tr w:rsidR="000F308B" w:rsidRPr="00DD015F" w14:paraId="6914885C" w14:textId="77777777" w:rsidTr="00C50D27">
        <w:trPr>
          <w:cnfStyle w:val="100000000000" w:firstRow="1" w:lastRow="0" w:firstColumn="0" w:lastColumn="0" w:oddVBand="0" w:evenVBand="0" w:oddHBand="0" w:evenHBand="0" w:firstRowFirstColumn="0" w:firstRowLastColumn="0" w:lastRowFirstColumn="0" w:lastRowLastColumn="0"/>
        </w:trPr>
        <w:tc>
          <w:tcPr>
            <w:tcW w:w="4247" w:type="dxa"/>
          </w:tcPr>
          <w:p w14:paraId="200E3BDA" w14:textId="665DCCC7" w:rsidR="000F308B" w:rsidRPr="00404644" w:rsidRDefault="000F308B" w:rsidP="00C50D27">
            <w:pPr>
              <w:spacing w:before="120"/>
              <w:rPr>
                <w:rFonts w:asciiTheme="minorHAnsi" w:hAnsiTheme="minorHAnsi" w:cstheme="minorHAnsi"/>
                <w:b w:val="0"/>
                <w:color w:val="auto"/>
              </w:rPr>
            </w:pPr>
            <w:r w:rsidRPr="00404644">
              <w:rPr>
                <w:rFonts w:asciiTheme="minorHAnsi" w:hAnsiTheme="minorHAnsi" w:cstheme="minorHAnsi"/>
              </w:rPr>
              <w:t xml:space="preserve">Proposed </w:t>
            </w:r>
            <w:r w:rsidR="00887F1D" w:rsidRPr="00404644">
              <w:rPr>
                <w:rFonts w:asciiTheme="minorHAnsi" w:hAnsiTheme="minorHAnsi" w:cstheme="minorHAnsi"/>
              </w:rPr>
              <w:t xml:space="preserve">DISR </w:t>
            </w:r>
            <w:r w:rsidRPr="00404644">
              <w:rPr>
                <w:rFonts w:asciiTheme="minorHAnsi" w:hAnsiTheme="minorHAnsi" w:cstheme="minorHAnsi"/>
              </w:rPr>
              <w:t>guardrail</w:t>
            </w:r>
          </w:p>
        </w:tc>
        <w:tc>
          <w:tcPr>
            <w:tcW w:w="4247" w:type="dxa"/>
          </w:tcPr>
          <w:p w14:paraId="5D1AD2C4" w14:textId="77777777" w:rsidR="000F308B" w:rsidRPr="00404644" w:rsidRDefault="000F308B" w:rsidP="00C50D27">
            <w:pPr>
              <w:spacing w:before="120"/>
              <w:rPr>
                <w:rFonts w:asciiTheme="minorHAnsi" w:hAnsiTheme="minorHAnsi" w:cstheme="minorHAnsi"/>
                <w:color w:val="auto"/>
              </w:rPr>
            </w:pPr>
            <w:r w:rsidRPr="00404644">
              <w:rPr>
                <w:rFonts w:asciiTheme="minorHAnsi" w:hAnsiTheme="minorHAnsi" w:cstheme="minorHAnsi"/>
              </w:rPr>
              <w:t>Current regulatory framework for the regulation of therapeutic goods</w:t>
            </w:r>
          </w:p>
        </w:tc>
      </w:tr>
      <w:tr w:rsidR="000F308B" w:rsidRPr="00DD015F" w14:paraId="266BE88C" w14:textId="77777777" w:rsidTr="00C50D27">
        <w:tc>
          <w:tcPr>
            <w:tcW w:w="4247" w:type="dxa"/>
          </w:tcPr>
          <w:p w14:paraId="53C0257C"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1</w:t>
            </w:r>
          </w:p>
          <w:p w14:paraId="0D6AEDC0"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Establish, implement and publish an accountability process including governance, internal capability and a strategy for regulatory compliance.</w:t>
            </w:r>
          </w:p>
        </w:tc>
        <w:tc>
          <w:tcPr>
            <w:tcW w:w="4247" w:type="dxa"/>
          </w:tcPr>
          <w:p w14:paraId="5A2FA136"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The </w:t>
            </w:r>
            <w:r w:rsidRPr="00404644">
              <w:rPr>
                <w:rFonts w:asciiTheme="minorHAnsi" w:hAnsiTheme="minorHAnsi" w:cstheme="minorHAnsi"/>
                <w:i/>
                <w:iCs/>
                <w:sz w:val="18"/>
                <w:szCs w:val="18"/>
              </w:rPr>
              <w:t>Therapeutic Goods Act 1989</w:t>
            </w:r>
            <w:r w:rsidRPr="00404644">
              <w:rPr>
                <w:rFonts w:asciiTheme="minorHAnsi" w:hAnsiTheme="minorHAnsi" w:cstheme="minorHAnsi"/>
                <w:sz w:val="18"/>
                <w:szCs w:val="18"/>
              </w:rPr>
              <w:t xml:space="preserve"> and associated regulations require the establishment, implementation, and assessment/certification of a quality management system for all manufacturers of medical devices. This system can be assessed and certified either </w:t>
            </w:r>
            <w:hyperlink r:id="rId68" w:history="1">
              <w:r w:rsidRPr="00404644">
                <w:rPr>
                  <w:rStyle w:val="Hyperlink"/>
                  <w:rFonts w:asciiTheme="minorHAnsi" w:hAnsiTheme="minorHAnsi" w:cstheme="minorHAnsi"/>
                  <w:sz w:val="18"/>
                  <w:szCs w:val="18"/>
                </w:rPr>
                <w:t>by the TGA</w:t>
              </w:r>
            </w:hyperlink>
            <w:r w:rsidRPr="00404644">
              <w:rPr>
                <w:rFonts w:asciiTheme="minorHAnsi" w:hAnsiTheme="minorHAnsi" w:cstheme="minorHAnsi"/>
                <w:sz w:val="18"/>
                <w:szCs w:val="18"/>
              </w:rPr>
              <w:t xml:space="preserve"> or a </w:t>
            </w:r>
            <w:hyperlink r:id="rId69" w:history="1">
              <w:r w:rsidRPr="00404644">
                <w:rPr>
                  <w:rStyle w:val="Hyperlink"/>
                  <w:rFonts w:asciiTheme="minorHAnsi" w:hAnsiTheme="minorHAnsi" w:cstheme="minorHAnsi"/>
                  <w:sz w:val="18"/>
                  <w:szCs w:val="18"/>
                </w:rPr>
                <w:t>recognised overseas regulatory body</w:t>
              </w:r>
            </w:hyperlink>
            <w:r w:rsidRPr="00404644">
              <w:rPr>
                <w:rFonts w:asciiTheme="minorHAnsi" w:hAnsiTheme="minorHAnsi" w:cstheme="minorHAnsi"/>
                <w:sz w:val="18"/>
                <w:szCs w:val="18"/>
              </w:rPr>
              <w:t xml:space="preserve"> (</w:t>
            </w:r>
            <w:hyperlink r:id="rId70" w:history="1">
              <w:r w:rsidRPr="00404644">
                <w:rPr>
                  <w:rStyle w:val="Hyperlink"/>
                  <w:rFonts w:asciiTheme="minorHAnsi" w:hAnsiTheme="minorHAnsi" w:cstheme="minorHAnsi"/>
                  <w:sz w:val="18"/>
                  <w:szCs w:val="18"/>
                </w:rPr>
                <w:t>manufacturer’s evidence</w:t>
              </w:r>
            </w:hyperlink>
            <w:r w:rsidRPr="00404644">
              <w:rPr>
                <w:rFonts w:asciiTheme="minorHAnsi" w:hAnsiTheme="minorHAnsi" w:cstheme="minorHAnsi"/>
                <w:sz w:val="18"/>
                <w:szCs w:val="18"/>
              </w:rPr>
              <w:t xml:space="preserve">). There is also provision to </w:t>
            </w:r>
            <w:hyperlink r:id="rId71" w:history="1">
              <w:r w:rsidRPr="00404644">
                <w:rPr>
                  <w:rStyle w:val="Hyperlink"/>
                  <w:rFonts w:asciiTheme="minorHAnsi" w:hAnsiTheme="minorHAnsi" w:cstheme="minorHAnsi"/>
                  <w:sz w:val="18"/>
                  <w:szCs w:val="18"/>
                </w:rPr>
                <w:t>recognise another conformity assessment body</w:t>
              </w:r>
            </w:hyperlink>
            <w:r w:rsidRPr="00404644">
              <w:rPr>
                <w:rFonts w:asciiTheme="minorHAnsi" w:hAnsiTheme="minorHAnsi" w:cstheme="minorHAnsi"/>
                <w:sz w:val="18"/>
                <w:szCs w:val="18"/>
              </w:rPr>
              <w:t xml:space="preserve"> to perform assessment and certification activities under the TG Act.</w:t>
            </w:r>
          </w:p>
          <w:p w14:paraId="704872E0"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 xml:space="preserve">The TG Act also has criminal and civil penalties for failure to comply with regulatory requirements. An overview of the framework and how it applies can be found on our website </w:t>
            </w:r>
            <w:hyperlink r:id="rId72" w:history="1">
              <w:r w:rsidRPr="00404644">
                <w:rPr>
                  <w:rStyle w:val="Hyperlink"/>
                  <w:rFonts w:asciiTheme="minorHAnsi" w:hAnsiTheme="minorHAnsi" w:cstheme="minorHAnsi"/>
                  <w:sz w:val="18"/>
                  <w:szCs w:val="18"/>
                </w:rPr>
                <w:t>here</w:t>
              </w:r>
            </w:hyperlink>
            <w:r w:rsidRPr="00404644">
              <w:rPr>
                <w:rFonts w:asciiTheme="minorHAnsi" w:hAnsiTheme="minorHAnsi" w:cstheme="minorHAnsi"/>
                <w:sz w:val="18"/>
                <w:szCs w:val="18"/>
              </w:rPr>
              <w:t>.</w:t>
            </w:r>
          </w:p>
        </w:tc>
      </w:tr>
      <w:tr w:rsidR="000F308B" w:rsidRPr="00DD015F" w14:paraId="7FD70226" w14:textId="77777777" w:rsidTr="00C50D27">
        <w:tc>
          <w:tcPr>
            <w:tcW w:w="4247" w:type="dxa"/>
          </w:tcPr>
          <w:p w14:paraId="14C50F5D"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2</w:t>
            </w:r>
          </w:p>
          <w:p w14:paraId="66EB27B8"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Establish and implement a risk management process to identify and mitigate risks.</w:t>
            </w:r>
          </w:p>
        </w:tc>
        <w:tc>
          <w:tcPr>
            <w:tcW w:w="4247" w:type="dxa"/>
          </w:tcPr>
          <w:p w14:paraId="665F9BE0"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Manufacture of medical devices is subject to assessment and certification, the cornerstone of which is a robust quality management system which includes established processes to identify and mitigate risks associated with the use of the devices.</w:t>
            </w:r>
          </w:p>
          <w:p w14:paraId="7CEBDF00"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As above,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w:t>
            </w:r>
          </w:p>
        </w:tc>
      </w:tr>
      <w:tr w:rsidR="000F308B" w:rsidRPr="00DD015F" w14:paraId="01B804EC" w14:textId="77777777" w:rsidTr="00C50D27">
        <w:tc>
          <w:tcPr>
            <w:tcW w:w="4247" w:type="dxa"/>
          </w:tcPr>
          <w:p w14:paraId="767A7572"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3</w:t>
            </w:r>
          </w:p>
          <w:p w14:paraId="52F88A2D"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Protect AI systems and implement data governance measures to manage data quality and provenance.</w:t>
            </w:r>
          </w:p>
        </w:tc>
        <w:tc>
          <w:tcPr>
            <w:tcW w:w="4247" w:type="dxa"/>
          </w:tcPr>
          <w:p w14:paraId="23D9D29E" w14:textId="77777777" w:rsidR="000F308B" w:rsidRPr="00404644" w:rsidRDefault="000F308B" w:rsidP="00C50D27">
            <w:pPr>
              <w:keepNext/>
              <w:spacing w:before="120"/>
              <w:rPr>
                <w:rFonts w:asciiTheme="minorHAnsi" w:hAnsiTheme="minorHAnsi" w:cstheme="minorHAnsi"/>
                <w:sz w:val="18"/>
                <w:szCs w:val="18"/>
              </w:rPr>
            </w:pPr>
            <w:r w:rsidRPr="00404644">
              <w:rPr>
                <w:rFonts w:asciiTheme="minorHAnsi" w:hAnsiTheme="minorHAnsi" w:cstheme="minorHAnsi"/>
                <w:sz w:val="18"/>
                <w:szCs w:val="18"/>
              </w:rPr>
              <w:t xml:space="preserve">The medical devices regulatory framework contains general principles and specific principles relating to safety, performance, design, and construction of “programmed or programmable medical device or software that is a medical device”, which would generally include medical devices using AI. There are explicit requirements in the Regulations relating to data quality. </w:t>
            </w:r>
          </w:p>
          <w:p w14:paraId="3A506C9A" w14:textId="7E518474" w:rsidR="005013AF" w:rsidRPr="00404644" w:rsidRDefault="005013AF"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Data management </w:t>
            </w:r>
            <w:r w:rsidR="00DB5097" w:rsidRPr="00404644">
              <w:rPr>
                <w:rFonts w:asciiTheme="minorHAnsi" w:hAnsiTheme="minorHAnsi" w:cstheme="minorHAnsi"/>
                <w:sz w:val="18"/>
                <w:szCs w:val="18"/>
              </w:rPr>
              <w:t>also falls within the scope of a robust quality management system</w:t>
            </w:r>
            <w:r w:rsidR="00726A03" w:rsidRPr="00404644">
              <w:rPr>
                <w:rFonts w:asciiTheme="minorHAnsi" w:hAnsiTheme="minorHAnsi" w:cstheme="minorHAnsi"/>
                <w:sz w:val="18"/>
                <w:szCs w:val="18"/>
              </w:rPr>
              <w:t xml:space="preserve"> including</w:t>
            </w:r>
            <w:r w:rsidR="008D6E69" w:rsidRPr="00404644">
              <w:rPr>
                <w:rFonts w:asciiTheme="minorHAnsi" w:hAnsiTheme="minorHAnsi" w:cstheme="minorHAnsi"/>
                <w:sz w:val="18"/>
                <w:szCs w:val="18"/>
              </w:rPr>
              <w:t xml:space="preserve"> but not limited to</w:t>
            </w:r>
            <w:r w:rsidR="00726A03" w:rsidRPr="00404644">
              <w:rPr>
                <w:rFonts w:asciiTheme="minorHAnsi" w:hAnsiTheme="minorHAnsi" w:cstheme="minorHAnsi"/>
                <w:sz w:val="18"/>
                <w:szCs w:val="18"/>
              </w:rPr>
              <w:t xml:space="preserve"> data collection, </w:t>
            </w:r>
            <w:r w:rsidR="00162B3B" w:rsidRPr="00404644">
              <w:rPr>
                <w:rFonts w:asciiTheme="minorHAnsi" w:hAnsiTheme="minorHAnsi" w:cstheme="minorHAnsi"/>
                <w:sz w:val="18"/>
                <w:szCs w:val="18"/>
              </w:rPr>
              <w:t>annotation, pre-processing, documentation and version control.</w:t>
            </w:r>
          </w:p>
          <w:p w14:paraId="7671AAF2"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 xml:space="preserve">TGA has published information about </w:t>
            </w:r>
            <w:hyperlink r:id="rId73" w:history="1">
              <w:r w:rsidRPr="00404644">
                <w:rPr>
                  <w:rStyle w:val="Hyperlink"/>
                  <w:rFonts w:asciiTheme="minorHAnsi" w:hAnsiTheme="minorHAnsi" w:cstheme="minorHAnsi"/>
                  <w:sz w:val="18"/>
                  <w:szCs w:val="18"/>
                </w:rPr>
                <w:t xml:space="preserve">our expectations regarding data management and </w:t>
              </w:r>
              <w:r w:rsidRPr="00404644">
                <w:rPr>
                  <w:rStyle w:val="Hyperlink"/>
                  <w:rFonts w:asciiTheme="minorHAnsi" w:hAnsiTheme="minorHAnsi" w:cstheme="minorHAnsi"/>
                  <w:sz w:val="18"/>
                  <w:szCs w:val="18"/>
                </w:rPr>
                <w:lastRenderedPageBreak/>
                <w:t>integrity</w:t>
              </w:r>
            </w:hyperlink>
            <w:r w:rsidRPr="00404644">
              <w:rPr>
                <w:rFonts w:asciiTheme="minorHAnsi" w:hAnsiTheme="minorHAnsi" w:cstheme="minorHAnsi"/>
                <w:sz w:val="18"/>
                <w:szCs w:val="18"/>
              </w:rPr>
              <w:t xml:space="preserve"> when ensuring compliance with </w:t>
            </w:r>
            <w:hyperlink r:id="rId74" w:history="1">
              <w:r w:rsidRPr="00404644">
                <w:rPr>
                  <w:rStyle w:val="Hyperlink"/>
                  <w:rFonts w:asciiTheme="minorHAnsi" w:hAnsiTheme="minorHAnsi" w:cstheme="minorHAnsi"/>
                  <w:sz w:val="18"/>
                  <w:szCs w:val="18"/>
                </w:rPr>
                <w:t>GMP standards</w:t>
              </w:r>
            </w:hyperlink>
            <w:r w:rsidRPr="00404644">
              <w:rPr>
                <w:rFonts w:asciiTheme="minorHAnsi" w:hAnsiTheme="minorHAnsi" w:cstheme="minorHAnsi"/>
                <w:sz w:val="18"/>
                <w:szCs w:val="18"/>
              </w:rPr>
              <w:t xml:space="preserve"> for medicines and biologicals.</w:t>
            </w:r>
          </w:p>
        </w:tc>
      </w:tr>
      <w:tr w:rsidR="000F308B" w:rsidRPr="00DD015F" w14:paraId="03347E21" w14:textId="77777777" w:rsidTr="00C50D27">
        <w:tc>
          <w:tcPr>
            <w:tcW w:w="4247" w:type="dxa"/>
          </w:tcPr>
          <w:p w14:paraId="0BA180B8"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lastRenderedPageBreak/>
              <w:t>Guardrail 4</w:t>
            </w:r>
          </w:p>
          <w:p w14:paraId="4DD3C20D"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Test AI models and systems to evaluate model performance and monitor the system once deployed.</w:t>
            </w:r>
          </w:p>
        </w:tc>
        <w:tc>
          <w:tcPr>
            <w:tcW w:w="4247" w:type="dxa"/>
          </w:tcPr>
          <w:p w14:paraId="4FC847D3"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The manufacturers of all medical devices must have validation and verification test data (evidence) that demonstrates the technical and clinical performance of their device before they can be supplied. </w:t>
            </w:r>
          </w:p>
          <w:p w14:paraId="517855C6"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When requested, the evidence of validation and verification testing, and other associated documents (including </w:t>
            </w:r>
            <w:hyperlink r:id="rId75" w:history="1">
              <w:r w:rsidRPr="00404644">
                <w:rPr>
                  <w:rStyle w:val="Hyperlink"/>
                  <w:rFonts w:asciiTheme="minorHAnsi" w:hAnsiTheme="minorHAnsi" w:cstheme="minorHAnsi"/>
                  <w:sz w:val="18"/>
                  <w:szCs w:val="18"/>
                </w:rPr>
                <w:t>clinical evidence</w:t>
              </w:r>
            </w:hyperlink>
            <w:r w:rsidRPr="00404644">
              <w:rPr>
                <w:rFonts w:asciiTheme="minorHAnsi" w:hAnsiTheme="minorHAnsi" w:cstheme="minorHAnsi"/>
                <w:sz w:val="18"/>
                <w:szCs w:val="18"/>
              </w:rPr>
              <w:t>) is required to be submitted for review as part of an application for inclusion in the Australian Register of Therapeutic Goods (ARTG). Once approved, the product can be supplied in Australia</w:t>
            </w:r>
          </w:p>
          <w:p w14:paraId="107F6AE5"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 xml:space="preserve">Post-market conditions and requirements imposed by our framework require the </w:t>
            </w:r>
            <w:hyperlink r:id="rId76" w:history="1">
              <w:r w:rsidRPr="00404644">
                <w:rPr>
                  <w:rStyle w:val="Hyperlink"/>
                  <w:rFonts w:asciiTheme="minorHAnsi" w:hAnsiTheme="minorHAnsi" w:cstheme="minorHAnsi"/>
                  <w:sz w:val="18"/>
                  <w:szCs w:val="18"/>
                </w:rPr>
                <w:t>ongoing monitoring of device performance and corrective action where required</w:t>
              </w:r>
            </w:hyperlink>
            <w:r w:rsidRPr="00404644">
              <w:rPr>
                <w:rFonts w:asciiTheme="minorHAnsi" w:hAnsiTheme="minorHAnsi" w:cstheme="minorHAnsi"/>
                <w:sz w:val="18"/>
                <w:szCs w:val="18"/>
              </w:rPr>
              <w:t>.</w:t>
            </w:r>
          </w:p>
        </w:tc>
      </w:tr>
      <w:tr w:rsidR="000F308B" w:rsidRPr="00DD015F" w14:paraId="097CBB97" w14:textId="77777777" w:rsidTr="00C50D27">
        <w:tc>
          <w:tcPr>
            <w:tcW w:w="4247" w:type="dxa"/>
          </w:tcPr>
          <w:p w14:paraId="0FD76E8A"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5</w:t>
            </w:r>
          </w:p>
          <w:p w14:paraId="56B8609A"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Enable human control or intervention in an AI system to achieve meaningful human oversight.</w:t>
            </w:r>
          </w:p>
        </w:tc>
        <w:tc>
          <w:tcPr>
            <w:tcW w:w="4247" w:type="dxa"/>
          </w:tcPr>
          <w:p w14:paraId="7A5ED4D3"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Manufacture of medical devices is subject to assessment and certification, the cornerstone of which is a robust quality management system which includes established processes to identify and mitigate risks associated with the use of the devices.</w:t>
            </w:r>
          </w:p>
          <w:p w14:paraId="23179D89"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As per previous responses,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w:t>
            </w:r>
          </w:p>
          <w:p w14:paraId="5C036669" w14:textId="35917551"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There is also provision to impose conditions of supply on any products that are included in the ARTG</w:t>
            </w:r>
          </w:p>
        </w:tc>
      </w:tr>
      <w:tr w:rsidR="000F308B" w:rsidRPr="00DD015F" w14:paraId="2A9AFFA3" w14:textId="77777777" w:rsidTr="00C50D27">
        <w:tc>
          <w:tcPr>
            <w:tcW w:w="4247" w:type="dxa"/>
          </w:tcPr>
          <w:p w14:paraId="1135437C"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6</w:t>
            </w:r>
          </w:p>
          <w:p w14:paraId="436AA54B"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 xml:space="preserve">Inform end-users regarding AI-enabled decisions, interactions with AI and AI-generated content. </w:t>
            </w:r>
          </w:p>
        </w:tc>
        <w:tc>
          <w:tcPr>
            <w:tcW w:w="4247" w:type="dxa"/>
          </w:tcPr>
          <w:p w14:paraId="6D53FF64"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Requirements for labelling and instructions for use require:</w:t>
            </w:r>
          </w:p>
          <w:p w14:paraId="4A7994AA" w14:textId="77777777" w:rsidR="000F308B" w:rsidRPr="00404644" w:rsidRDefault="000F308B" w:rsidP="002522ED">
            <w:pPr>
              <w:pStyle w:val="ListParagraph"/>
              <w:numPr>
                <w:ilvl w:val="0"/>
                <w:numId w:val="17"/>
              </w:numPr>
              <w:rPr>
                <w:rFonts w:eastAsiaTheme="minorHAnsi" w:cstheme="minorHAnsi"/>
                <w:sz w:val="18"/>
                <w:szCs w:val="18"/>
              </w:rPr>
            </w:pPr>
            <w:r w:rsidRPr="00404644">
              <w:rPr>
                <w:rFonts w:eastAsiaTheme="minorHAnsi" w:cstheme="minorHAnsi"/>
                <w:sz w:val="18"/>
                <w:szCs w:val="18"/>
              </w:rPr>
              <w:t>Instructions for safe operation</w:t>
            </w:r>
          </w:p>
          <w:p w14:paraId="354928FB" w14:textId="77777777" w:rsidR="000F308B" w:rsidRPr="00404644" w:rsidRDefault="000F308B" w:rsidP="002522ED">
            <w:pPr>
              <w:pStyle w:val="ListParagraph"/>
              <w:numPr>
                <w:ilvl w:val="0"/>
                <w:numId w:val="17"/>
              </w:numPr>
              <w:rPr>
                <w:rFonts w:eastAsiaTheme="minorHAnsi" w:cstheme="minorHAnsi"/>
                <w:sz w:val="18"/>
                <w:szCs w:val="18"/>
              </w:rPr>
            </w:pPr>
            <w:r w:rsidRPr="00404644">
              <w:rPr>
                <w:rFonts w:eastAsiaTheme="minorHAnsi" w:cstheme="minorHAnsi"/>
                <w:sz w:val="18"/>
                <w:szCs w:val="18"/>
              </w:rPr>
              <w:t>Identification of any risks associated with the device, its use or interactions with external factors which may give rise to risk</w:t>
            </w:r>
          </w:p>
          <w:p w14:paraId="52B5FC40"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Measures to ensure that users can identify whether a device is working as intended</w:t>
            </w:r>
          </w:p>
        </w:tc>
      </w:tr>
      <w:tr w:rsidR="000F308B" w:rsidRPr="00DD015F" w14:paraId="5F5600AD" w14:textId="77777777" w:rsidTr="00C50D27">
        <w:tc>
          <w:tcPr>
            <w:tcW w:w="4247" w:type="dxa"/>
          </w:tcPr>
          <w:p w14:paraId="174DE8A2"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7</w:t>
            </w:r>
          </w:p>
          <w:p w14:paraId="22E24F38"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Establish processes for people impacted by AI systems to challenge use or outcomes.</w:t>
            </w:r>
          </w:p>
        </w:tc>
        <w:tc>
          <w:tcPr>
            <w:tcW w:w="4247" w:type="dxa"/>
          </w:tcPr>
          <w:p w14:paraId="5F05CBF1"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TGA facilitates </w:t>
            </w:r>
            <w:hyperlink r:id="rId77" w:history="1">
              <w:r w:rsidRPr="00404644">
                <w:rPr>
                  <w:rStyle w:val="Hyperlink"/>
                  <w:rFonts w:asciiTheme="minorHAnsi" w:hAnsiTheme="minorHAnsi" w:cstheme="minorHAnsi"/>
                  <w:sz w:val="18"/>
                  <w:szCs w:val="18"/>
                </w:rPr>
                <w:t>reporting of adverse event reports associated with medical devices through our website</w:t>
              </w:r>
            </w:hyperlink>
            <w:r w:rsidRPr="00404644">
              <w:rPr>
                <w:rFonts w:asciiTheme="minorHAnsi" w:hAnsiTheme="minorHAnsi" w:cstheme="minorHAnsi"/>
                <w:sz w:val="18"/>
                <w:szCs w:val="18"/>
              </w:rPr>
              <w:t xml:space="preserve">. This functionality is publicly available. We also make the database for adverse events for both </w:t>
            </w:r>
            <w:hyperlink r:id="rId78" w:history="1">
              <w:r w:rsidRPr="00404644">
                <w:rPr>
                  <w:rStyle w:val="Hyperlink"/>
                  <w:rFonts w:asciiTheme="minorHAnsi" w:hAnsiTheme="minorHAnsi" w:cstheme="minorHAnsi"/>
                  <w:sz w:val="18"/>
                  <w:szCs w:val="18"/>
                </w:rPr>
                <w:t>medical devices</w:t>
              </w:r>
            </w:hyperlink>
            <w:r w:rsidRPr="00404644">
              <w:rPr>
                <w:rFonts w:asciiTheme="minorHAnsi" w:hAnsiTheme="minorHAnsi" w:cstheme="minorHAnsi"/>
                <w:sz w:val="18"/>
                <w:szCs w:val="18"/>
              </w:rPr>
              <w:t xml:space="preserve"> and </w:t>
            </w:r>
            <w:hyperlink r:id="rId79" w:history="1">
              <w:r w:rsidRPr="00404644">
                <w:rPr>
                  <w:rStyle w:val="Hyperlink"/>
                  <w:rFonts w:asciiTheme="minorHAnsi" w:hAnsiTheme="minorHAnsi" w:cstheme="minorHAnsi"/>
                  <w:sz w:val="18"/>
                  <w:szCs w:val="18"/>
                </w:rPr>
                <w:t>medicines</w:t>
              </w:r>
            </w:hyperlink>
            <w:r w:rsidRPr="00404644">
              <w:rPr>
                <w:rFonts w:asciiTheme="minorHAnsi" w:hAnsiTheme="minorHAnsi" w:cstheme="minorHAnsi"/>
                <w:sz w:val="18"/>
                <w:szCs w:val="18"/>
              </w:rPr>
              <w:t xml:space="preserve"> publicly </w:t>
            </w:r>
            <w:r w:rsidRPr="00404644">
              <w:rPr>
                <w:rFonts w:asciiTheme="minorHAnsi" w:hAnsiTheme="minorHAnsi" w:cstheme="minorHAnsi"/>
                <w:sz w:val="18"/>
                <w:szCs w:val="18"/>
              </w:rPr>
              <w:lastRenderedPageBreak/>
              <w:t>available. Sponsors (suppliers, importers, etc) are required by legislation to report adverse events.</w:t>
            </w:r>
          </w:p>
          <w:p w14:paraId="7C6DCA05"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Our medical device </w:t>
            </w:r>
            <w:hyperlink r:id="rId80" w:history="1">
              <w:r w:rsidRPr="00404644">
                <w:rPr>
                  <w:rStyle w:val="Hyperlink"/>
                  <w:rFonts w:asciiTheme="minorHAnsi" w:hAnsiTheme="minorHAnsi" w:cstheme="minorHAnsi"/>
                  <w:sz w:val="18"/>
                  <w:szCs w:val="18"/>
                </w:rPr>
                <w:t>Incident Report and Investigation Scheme</w:t>
              </w:r>
            </w:hyperlink>
            <w:r w:rsidRPr="00404644">
              <w:rPr>
                <w:rFonts w:asciiTheme="minorHAnsi" w:hAnsiTheme="minorHAnsi" w:cstheme="minorHAnsi"/>
                <w:sz w:val="18"/>
                <w:szCs w:val="18"/>
              </w:rPr>
              <w:t xml:space="preserve"> allows us to detect emerging signals with specific devices that are experiencing adverse events (which includes failure to perform as intended).</w:t>
            </w:r>
          </w:p>
          <w:p w14:paraId="1AEC0A1F"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We have </w:t>
            </w:r>
            <w:hyperlink r:id="rId81" w:history="1">
              <w:r w:rsidRPr="00404644">
                <w:rPr>
                  <w:rStyle w:val="Hyperlink"/>
                  <w:rFonts w:asciiTheme="minorHAnsi" w:hAnsiTheme="minorHAnsi" w:cstheme="minorHAnsi"/>
                  <w:sz w:val="18"/>
                  <w:szCs w:val="18"/>
                </w:rPr>
                <w:t>uniform recall procedures</w:t>
              </w:r>
            </w:hyperlink>
            <w:r w:rsidRPr="00404644">
              <w:rPr>
                <w:rFonts w:asciiTheme="minorHAnsi" w:hAnsiTheme="minorHAnsi" w:cstheme="minorHAnsi"/>
                <w:sz w:val="18"/>
                <w:szCs w:val="18"/>
              </w:rPr>
              <w:t xml:space="preserve"> to intervene with the supply of a therapeutic good that is not performing as intended, or where there is an emerging issue of concern. Procedures include the power to remove a product from the market, cease supply, recall a product, issue a hazard alert or safety notice, or instruct a sponsor to take a corrective action to address the emerging concern/issue.</w:t>
            </w:r>
          </w:p>
          <w:p w14:paraId="6C4CF4BE"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There are civil and criminal penalties associated with a range of non-compliance with our legislation including supplying goods that are not safe or that do not meet regulatory requirements.</w:t>
            </w:r>
          </w:p>
        </w:tc>
      </w:tr>
      <w:tr w:rsidR="000F308B" w:rsidRPr="00DD015F" w14:paraId="5C3E9C4E" w14:textId="77777777" w:rsidTr="00C50D27">
        <w:tc>
          <w:tcPr>
            <w:tcW w:w="4247" w:type="dxa"/>
          </w:tcPr>
          <w:p w14:paraId="0164DD2B"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lastRenderedPageBreak/>
              <w:t>Guardrail 8</w:t>
            </w:r>
          </w:p>
          <w:p w14:paraId="158578D1"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 xml:space="preserve">Be transparent with other organisations across the supply chain of an AI system or model to help them effectively address risks. </w:t>
            </w:r>
          </w:p>
        </w:tc>
        <w:tc>
          <w:tcPr>
            <w:tcW w:w="4247" w:type="dxa"/>
          </w:tcPr>
          <w:p w14:paraId="3C789443" w14:textId="6C894A51"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Manufacture</w:t>
            </w:r>
            <w:r w:rsidR="0001688D" w:rsidRPr="00404644">
              <w:rPr>
                <w:rFonts w:asciiTheme="minorHAnsi" w:hAnsiTheme="minorHAnsi" w:cstheme="minorHAnsi"/>
                <w:sz w:val="18"/>
                <w:szCs w:val="18"/>
              </w:rPr>
              <w:t>rs</w:t>
            </w:r>
            <w:r w:rsidRPr="00404644">
              <w:rPr>
                <w:rFonts w:asciiTheme="minorHAnsi" w:hAnsiTheme="minorHAnsi" w:cstheme="minorHAnsi"/>
                <w:sz w:val="18"/>
                <w:szCs w:val="18"/>
              </w:rPr>
              <w:t xml:space="preserve"> of medical devices are subject to assessment and certification, the cornerstone of which is a robust quality management system which includes established processes to identify and mitigate risks associated with the use of the devices.</w:t>
            </w:r>
          </w:p>
          <w:p w14:paraId="78DCA55E"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As above,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 This includes transparency with other organisation across the supply chain where risk arises if information is not disclosed.</w:t>
            </w:r>
          </w:p>
          <w:p w14:paraId="43C0F332"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The TGA has legislative power to share information with other governments and international organisations with relevant mutual recognition agreements in place, and to relevant authorities within the Commonwealth, States or Territories, relating to therapeutic goods, health or law enforcement.</w:t>
            </w:r>
          </w:p>
        </w:tc>
      </w:tr>
      <w:tr w:rsidR="000F308B" w:rsidRPr="00DD015F" w14:paraId="59703641" w14:textId="77777777" w:rsidTr="00C50D27">
        <w:tc>
          <w:tcPr>
            <w:tcW w:w="4247" w:type="dxa"/>
          </w:tcPr>
          <w:p w14:paraId="68FF3FB0"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t>Guardrail 9</w:t>
            </w:r>
          </w:p>
          <w:p w14:paraId="233B3D99"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 xml:space="preserve">Keep and maintain records to allow third parties to assess compliance with guardrails. </w:t>
            </w:r>
          </w:p>
        </w:tc>
        <w:tc>
          <w:tcPr>
            <w:tcW w:w="4247" w:type="dxa"/>
          </w:tcPr>
          <w:p w14:paraId="32B6D752"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Monitoring powers are established through our legislation. </w:t>
            </w:r>
          </w:p>
          <w:p w14:paraId="2B6F3C3B"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First, the manufacturers and sponsors have requirements to maintain information about the devices, their safety and performance while the device is being supplied. </w:t>
            </w:r>
          </w:p>
          <w:p w14:paraId="65667C4C"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 xml:space="preserve">Second, there are explicit post market requirements including the need to report adverse events and engage with regulatory activities. </w:t>
            </w:r>
          </w:p>
          <w:p w14:paraId="27BB59C9" w14:textId="2285ED9C"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 xml:space="preserve">The final aspect </w:t>
            </w:r>
            <w:r w:rsidR="00C118C1">
              <w:rPr>
                <w:rFonts w:asciiTheme="minorHAnsi" w:hAnsiTheme="minorHAnsi" w:cstheme="minorHAnsi"/>
                <w:sz w:val="18"/>
                <w:szCs w:val="18"/>
              </w:rPr>
              <w:t>is</w:t>
            </w:r>
            <w:r w:rsidR="008D22C4">
              <w:rPr>
                <w:rFonts w:asciiTheme="minorHAnsi" w:hAnsiTheme="minorHAnsi" w:cstheme="minorHAnsi"/>
                <w:sz w:val="18"/>
                <w:szCs w:val="18"/>
              </w:rPr>
              <w:t xml:space="preserve"> </w:t>
            </w:r>
            <w:r w:rsidRPr="00404644">
              <w:rPr>
                <w:rFonts w:asciiTheme="minorHAnsi" w:hAnsiTheme="minorHAnsi" w:cstheme="minorHAnsi"/>
                <w:sz w:val="18"/>
                <w:szCs w:val="18"/>
              </w:rPr>
              <w:t xml:space="preserve">the powers TGA has to compel sponsors and manufacturers to engage with post-market review, monitoring and recall activities. We </w:t>
            </w:r>
            <w:r w:rsidRPr="00404644">
              <w:rPr>
                <w:rFonts w:asciiTheme="minorHAnsi" w:hAnsiTheme="minorHAnsi" w:cstheme="minorHAnsi"/>
                <w:sz w:val="18"/>
                <w:szCs w:val="18"/>
              </w:rPr>
              <w:lastRenderedPageBreak/>
              <w:t>have mechanisms for taking action against devices that have safety concerns or issues, even when they are emerging and not yet confirmed.</w:t>
            </w:r>
          </w:p>
        </w:tc>
      </w:tr>
      <w:tr w:rsidR="000F308B" w:rsidRPr="00DD015F" w14:paraId="55354626" w14:textId="77777777" w:rsidTr="00C50D27">
        <w:tc>
          <w:tcPr>
            <w:tcW w:w="4247" w:type="dxa"/>
          </w:tcPr>
          <w:p w14:paraId="40DE4B55" w14:textId="77777777" w:rsidR="000F308B" w:rsidRPr="00404644" w:rsidRDefault="000F308B" w:rsidP="00C50D27">
            <w:pPr>
              <w:spacing w:before="120"/>
              <w:rPr>
                <w:rFonts w:asciiTheme="minorHAnsi" w:hAnsiTheme="minorHAnsi" w:cstheme="minorHAnsi"/>
                <w:b/>
                <w:bCs/>
              </w:rPr>
            </w:pPr>
            <w:r w:rsidRPr="00404644">
              <w:rPr>
                <w:rFonts w:asciiTheme="minorHAnsi" w:hAnsiTheme="minorHAnsi" w:cstheme="minorHAnsi"/>
                <w:b/>
                <w:bCs/>
              </w:rPr>
              <w:lastRenderedPageBreak/>
              <w:t>Guardrail 10</w:t>
            </w:r>
          </w:p>
          <w:p w14:paraId="2AFCCF0D"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rPr>
              <w:t xml:space="preserve">Undertake conformity assessments to demonstrate and certify compliance with the guardrails. </w:t>
            </w:r>
          </w:p>
        </w:tc>
        <w:tc>
          <w:tcPr>
            <w:tcW w:w="4247" w:type="dxa"/>
          </w:tcPr>
          <w:p w14:paraId="3F9FF107" w14:textId="77777777" w:rsidR="000F308B" w:rsidRPr="00404644" w:rsidRDefault="000F308B" w:rsidP="00C50D27">
            <w:pPr>
              <w:keepNext/>
              <w:spacing w:before="120"/>
              <w:rPr>
                <w:rFonts w:asciiTheme="minorHAnsi" w:hAnsiTheme="minorHAnsi" w:cstheme="minorHAnsi"/>
              </w:rPr>
            </w:pPr>
            <w:r w:rsidRPr="00404644">
              <w:rPr>
                <w:rFonts w:asciiTheme="minorHAnsi" w:hAnsiTheme="minorHAnsi" w:cstheme="minorHAnsi"/>
                <w:sz w:val="18"/>
                <w:szCs w:val="18"/>
              </w:rPr>
              <w:t>The Therapeutic Goods Act and associated regulations require the establishment, implementation and assessment/certification of a quality management system for all manufacturers of medical devices. This system can be assessed and certified either by the TGA or a recognised overseas regulatory body. The TG Act also has criminal and civil penalties for failure to comply with regulatory requirements.</w:t>
            </w:r>
          </w:p>
          <w:p w14:paraId="75EE6212" w14:textId="77777777" w:rsidR="000F308B" w:rsidRPr="00404644" w:rsidRDefault="000F308B" w:rsidP="00C50D27">
            <w:pPr>
              <w:spacing w:before="120"/>
              <w:rPr>
                <w:rFonts w:asciiTheme="minorHAnsi" w:hAnsiTheme="minorHAnsi" w:cstheme="minorHAnsi"/>
              </w:rPr>
            </w:pPr>
            <w:r w:rsidRPr="00404644">
              <w:rPr>
                <w:rFonts w:asciiTheme="minorHAnsi" w:hAnsiTheme="minorHAnsi" w:cstheme="minorHAnsi"/>
                <w:sz w:val="18"/>
                <w:szCs w:val="18"/>
              </w:rPr>
              <w:t>Conformity assessment is the process of verifying that the manufacturer of a medical device has demonstrated compliance with all conformity assessment procedures associated with the device. CAPs ensure the device is safe and fit for its intended purposes, and will perform as expected throughout the lifetime of the device.</w:t>
            </w:r>
          </w:p>
        </w:tc>
      </w:tr>
    </w:tbl>
    <w:p w14:paraId="1A3B702B" w14:textId="77777777" w:rsidR="00B528AB" w:rsidRPr="00FE1F44" w:rsidRDefault="00B528AB" w:rsidP="00DD3815">
      <w:pPr>
        <w:pStyle w:val="LegalSubheading"/>
        <w:rPr>
          <w:b/>
          <w:bCs/>
        </w:rPr>
        <w:sectPr w:rsidR="00B528AB" w:rsidRPr="00FE1F44" w:rsidSect="00537B47">
          <w:headerReference w:type="default" r:id="rId82"/>
          <w:headerReference w:type="first" r:id="rId83"/>
          <w:footerReference w:type="first" r:id="rId84"/>
          <w:pgSz w:w="11906" w:h="16838"/>
          <w:pgMar w:top="1440" w:right="1440" w:bottom="1440" w:left="1440" w:header="708" w:footer="708" w:gutter="0"/>
          <w:cols w:space="708"/>
          <w:titlePg/>
          <w:docGrid w:linePitch="360"/>
        </w:sectPr>
      </w:pPr>
      <w:bookmarkStart w:id="78" w:name="_Attachment_B"/>
      <w:bookmarkStart w:id="79" w:name="_Attachment_B_–"/>
      <w:bookmarkEnd w:id="78"/>
      <w:bookmarkEnd w:id="79"/>
    </w:p>
    <w:p w14:paraId="754ADAA3" w14:textId="77777777" w:rsidR="00B528AB" w:rsidRPr="00FE1F44" w:rsidRDefault="00B528AB" w:rsidP="00E0324F">
      <w:pPr>
        <w:pStyle w:val="LegalSubheading"/>
        <w:rPr>
          <w:b/>
          <w:bCs/>
        </w:rPr>
      </w:pPr>
    </w:p>
    <w:sectPr w:rsidR="00B528AB" w:rsidRPr="00FE1F44" w:rsidSect="00537B47">
      <w:headerReference w:type="first" r:id="rId85"/>
      <w:footerReference w:type="first" r:id="rId8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1040" w14:textId="77777777" w:rsidR="001D74D7" w:rsidRDefault="001D74D7" w:rsidP="00537B47">
      <w:pPr>
        <w:spacing w:after="0" w:line="240" w:lineRule="auto"/>
      </w:pPr>
      <w:r>
        <w:separator/>
      </w:r>
    </w:p>
  </w:endnote>
  <w:endnote w:type="continuationSeparator" w:id="0">
    <w:p w14:paraId="757A438A" w14:textId="77777777" w:rsidR="001D74D7" w:rsidRDefault="001D74D7"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39A" w14:textId="77777777" w:rsidR="001D779F" w:rsidRDefault="001D779F" w:rsidP="001D779F">
    <w:pPr>
      <w:pStyle w:val="Footer"/>
    </w:pPr>
  </w:p>
  <w:p w14:paraId="29404079" w14:textId="6C0483F3" w:rsidR="001D779F" w:rsidRPr="00FE1F44" w:rsidRDefault="0089410A" w:rsidP="001D779F">
    <w:pPr>
      <w:pStyle w:val="Footer"/>
    </w:pPr>
    <w:r>
      <w:rPr>
        <w:noProof/>
      </w:rPr>
      <mc:AlternateContent>
        <mc:Choice Requires="wps">
          <w:drawing>
            <wp:anchor distT="0" distB="0" distL="114300" distR="114300" simplePos="0" relativeHeight="251660288" behindDoc="0" locked="0" layoutInCell="1" allowOverlap="1" wp14:anchorId="4D4B9859" wp14:editId="68206A1E">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FDE2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DF1857">
      <w:t>Legislative review report</w:t>
    </w:r>
    <w:r w:rsidR="001D779F" w:rsidRPr="00FE1F44">
      <w:t xml:space="preserve">: </w:t>
    </w:r>
    <w:r w:rsidR="008016DD">
      <w:t>Clarifying and strengthening the regulation of AI</w:t>
    </w:r>
    <w:r w:rsidR="006226A6">
      <w:t xml:space="preserve"> </w:t>
    </w:r>
  </w:p>
  <w:p w14:paraId="34FA8DFC" w14:textId="22CEB8FF" w:rsidR="00DD3815" w:rsidRPr="00DD3815" w:rsidRDefault="00DD3815" w:rsidP="00DD3815">
    <w:pPr>
      <w:pStyle w:val="Footer"/>
    </w:pPr>
    <w:r w:rsidRPr="00DD3815">
      <w:t xml:space="preserve">V1.0 </w:t>
    </w:r>
    <w:r w:rsidR="00DD5DEC">
      <w:t>July</w:t>
    </w:r>
    <w:r w:rsidR="00F75A86">
      <w:t xml:space="preserve"> </w:t>
    </w:r>
    <w:r w:rsidR="001D779F">
      <w:t>202</w:t>
    </w:r>
    <w:r w:rsidR="00DD5DEC">
      <w:t>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C084" w14:textId="6FB13DD3" w:rsidR="00CB0C53" w:rsidRDefault="00FA3F0C">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52D71A32" wp14:editId="3BA72AAD">
          <wp:simplePos x="0" y="0"/>
          <wp:positionH relativeFrom="column">
            <wp:posOffset>-918210</wp:posOffset>
          </wp:positionH>
          <wp:positionV relativeFrom="paragraph">
            <wp:posOffset>-4467860</wp:posOffset>
          </wp:positionV>
          <wp:extent cx="7566660" cy="5075555"/>
          <wp:effectExtent l="0" t="0" r="0" b="0"/>
          <wp:wrapNone/>
          <wp:docPr id="6" name="Picture 6"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square with a blue bord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50755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D6B" w14:textId="77777777" w:rsidR="00CB0C53" w:rsidRDefault="00CB0C53" w:rsidP="00CB0C53">
    <w:pPr>
      <w:pStyle w:val="Footer"/>
    </w:pPr>
  </w:p>
  <w:p w14:paraId="46013382" w14:textId="77777777" w:rsidR="00CB0C53" w:rsidRPr="00FE1F44" w:rsidRDefault="00CB0C53" w:rsidP="00CB0C53">
    <w:pPr>
      <w:pStyle w:val="Footer"/>
    </w:pPr>
    <w:r>
      <w:rPr>
        <w:noProof/>
      </w:rPr>
      <mc:AlternateContent>
        <mc:Choice Requires="wps">
          <w:drawing>
            <wp:anchor distT="0" distB="0" distL="114300" distR="114300" simplePos="0" relativeHeight="251662336" behindDoc="0" locked="0" layoutInCell="1" allowOverlap="1" wp14:anchorId="29B0C217" wp14:editId="7D12B4A8">
              <wp:simplePos x="0" y="0"/>
              <wp:positionH relativeFrom="column">
                <wp:posOffset>9525</wp:posOffset>
              </wp:positionH>
              <wp:positionV relativeFrom="paragraph">
                <wp:posOffset>-59690</wp:posOffset>
              </wp:positionV>
              <wp:extent cx="5791200" cy="0"/>
              <wp:effectExtent l="0" t="0" r="0" b="0"/>
              <wp:wrapNone/>
              <wp:docPr id="1433476557" name="Straight Connector 1433476557"/>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BC184" id="Straight Connector 143347655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t>Legislative review report</w:t>
    </w:r>
    <w:r w:rsidRPr="00FE1F44">
      <w:t xml:space="preserve">: </w:t>
    </w:r>
    <w:r>
      <w:t xml:space="preserve">Clarifying and strengthening the regulation of AI </w:t>
    </w:r>
  </w:p>
  <w:p w14:paraId="3721E090" w14:textId="77777777" w:rsidR="00CB0C53" w:rsidRPr="00DD3815" w:rsidRDefault="00CB0C53" w:rsidP="00CB0C53">
    <w:pPr>
      <w:pStyle w:val="Footer"/>
    </w:pPr>
    <w:r w:rsidRPr="00DD3815">
      <w:t xml:space="preserve">V1.0 </w:t>
    </w:r>
    <w:r>
      <w:t>July 2025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t>28</w:t>
    </w:r>
    <w:r w:rsidRPr="00DD3815">
      <w:fldChar w:fldCharType="end"/>
    </w:r>
    <w:r w:rsidRPr="00DD3815">
      <w:t xml:space="preserve"> of </w:t>
    </w:r>
    <w:fldSimple w:instr=" NUMPAGES  \* Arabic  \* MERGEFORMAT ">
      <w:r>
        <w:t>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ECD8315" w14:textId="77777777" w:rsidTr="00574690">
      <w:trPr>
        <w:trHeight w:hRule="exact" w:val="565"/>
        <w:jc w:val="center"/>
      </w:trPr>
      <w:tc>
        <w:tcPr>
          <w:tcW w:w="9145" w:type="dxa"/>
        </w:tcPr>
        <w:p w14:paraId="2750B8C7" w14:textId="77777777" w:rsidR="00B528AB" w:rsidRPr="00215D48" w:rsidRDefault="00B528AB" w:rsidP="00B528AB">
          <w:pPr>
            <w:pStyle w:val="TGASignoff"/>
          </w:pPr>
          <w:r w:rsidRPr="00215D48">
            <w:t>Therapeutic Goods Administration</w:t>
          </w:r>
        </w:p>
      </w:tc>
    </w:tr>
    <w:tr w:rsidR="00B528AB" w:rsidRPr="00215D48" w14:paraId="1EBB154B" w14:textId="77777777" w:rsidTr="00574690">
      <w:trPr>
        <w:trHeight w:val="963"/>
        <w:jc w:val="center"/>
      </w:trPr>
      <w:tc>
        <w:tcPr>
          <w:tcW w:w="9145" w:type="dxa"/>
          <w:tcMar>
            <w:top w:w="28" w:type="dxa"/>
          </w:tcMar>
        </w:tcPr>
        <w:p w14:paraId="0D2A9FD6" w14:textId="77777777" w:rsidR="00B528AB" w:rsidRPr="00215D48" w:rsidRDefault="00B528AB" w:rsidP="00B528AB">
          <w:pPr>
            <w:pStyle w:val="Address"/>
            <w:jc w:val="center"/>
          </w:pPr>
          <w:r w:rsidRPr="00215D48">
            <w:t>PO Box 100 Woden ACT 2606 Australia</w:t>
          </w:r>
        </w:p>
        <w:p w14:paraId="37429B1A"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1144FD6E"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74B70D45"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D2AA" w14:textId="77777777" w:rsidR="001D74D7" w:rsidRDefault="001D74D7" w:rsidP="00537B47">
      <w:pPr>
        <w:spacing w:after="0" w:line="240" w:lineRule="auto"/>
      </w:pPr>
      <w:r>
        <w:separator/>
      </w:r>
    </w:p>
  </w:footnote>
  <w:footnote w:type="continuationSeparator" w:id="0">
    <w:p w14:paraId="63D82157" w14:textId="77777777" w:rsidR="001D74D7" w:rsidRDefault="001D74D7" w:rsidP="00537B47">
      <w:pPr>
        <w:spacing w:after="0" w:line="240" w:lineRule="auto"/>
      </w:pPr>
      <w:r>
        <w:continuationSeparator/>
      </w:r>
    </w:p>
  </w:footnote>
  <w:footnote w:id="1">
    <w:p w14:paraId="22E6959E" w14:textId="67C02EF3" w:rsidR="007408CB" w:rsidRDefault="007408CB">
      <w:pPr>
        <w:pStyle w:val="FootnoteText"/>
      </w:pPr>
      <w:r>
        <w:rPr>
          <w:rStyle w:val="FootnoteReference"/>
        </w:rPr>
        <w:footnoteRef/>
      </w:r>
      <w:r>
        <w:t xml:space="preserve"> Section 41BD of the </w:t>
      </w:r>
      <w:hyperlink r:id="rId1" w:history="1">
        <w:r w:rsidRPr="00823C95">
          <w:rPr>
            <w:rStyle w:val="Hyperlink"/>
            <w:i/>
            <w:iCs/>
          </w:rPr>
          <w:t>Therapeutic Goods Act 1989</w:t>
        </w:r>
      </w:hyperlink>
    </w:p>
  </w:footnote>
  <w:footnote w:id="2">
    <w:p w14:paraId="1A669C93" w14:textId="77777777" w:rsidR="002A49F5" w:rsidRDefault="002A49F5" w:rsidP="002A49F5">
      <w:pPr>
        <w:pStyle w:val="FootnoteText"/>
      </w:pPr>
      <w:r>
        <w:rPr>
          <w:rStyle w:val="FootnoteReference"/>
        </w:rPr>
        <w:footnoteRef/>
      </w:r>
      <w:r>
        <w:t xml:space="preserve"> Section 41BG </w:t>
      </w:r>
      <w:r w:rsidRPr="00F331D3">
        <w:rPr>
          <w:i/>
          <w:iCs/>
        </w:rPr>
        <w:t>Therapeutic Goods Act 1989</w:t>
      </w:r>
    </w:p>
  </w:footnote>
  <w:footnote w:id="3">
    <w:p w14:paraId="6D917D47" w14:textId="77777777" w:rsidR="002A49F5" w:rsidRDefault="002A49F5" w:rsidP="002A49F5">
      <w:pPr>
        <w:pStyle w:val="FootnoteText"/>
      </w:pPr>
      <w:r>
        <w:rPr>
          <w:rStyle w:val="FootnoteReference"/>
        </w:rPr>
        <w:footnoteRef/>
      </w:r>
      <w:r>
        <w:t xml:space="preserve"> Section 3 </w:t>
      </w:r>
      <w:r w:rsidRPr="00395813">
        <w:rPr>
          <w:i/>
          <w:iCs/>
        </w:rPr>
        <w:t>Therapeutic Goods Act 1989</w:t>
      </w:r>
    </w:p>
  </w:footnote>
  <w:footnote w:id="4">
    <w:p w14:paraId="4DBBB7D4" w14:textId="77777777" w:rsidR="009E4564" w:rsidRDefault="009E4564" w:rsidP="009E4564">
      <w:pPr>
        <w:pStyle w:val="FootnoteText"/>
      </w:pPr>
      <w:r>
        <w:rPr>
          <w:rStyle w:val="FootnoteReference"/>
        </w:rPr>
        <w:footnoteRef/>
      </w:r>
      <w:r>
        <w:t xml:space="preserve"> Section 3 </w:t>
      </w:r>
      <w:r w:rsidRPr="00395813">
        <w:rPr>
          <w:i/>
          <w:iCs/>
        </w:rPr>
        <w:t>Therapeutic Goods Act 1989</w:t>
      </w:r>
    </w:p>
  </w:footnote>
  <w:footnote w:id="5">
    <w:p w14:paraId="3632FA94" w14:textId="77777777" w:rsidR="0096192D" w:rsidRPr="0096192D" w:rsidRDefault="0096192D" w:rsidP="00804AF2">
      <w:pPr>
        <w:pStyle w:val="FootnoteText"/>
      </w:pPr>
      <w:r>
        <w:rPr>
          <w:rStyle w:val="FootnoteReference"/>
        </w:rPr>
        <w:footnoteRef/>
      </w:r>
      <w:r>
        <w:t xml:space="preserve"> </w:t>
      </w:r>
      <w:r w:rsidRPr="0096192D">
        <w:t>ISO/IEC 22989:2022 Information technology — Artificial intelligence — Artificial intelligence concepts and terminology</w:t>
      </w:r>
    </w:p>
    <w:p w14:paraId="5CC3CF7D" w14:textId="77777777" w:rsidR="0096192D" w:rsidRPr="0096192D" w:rsidRDefault="0096192D" w:rsidP="00804AF2">
      <w:pPr>
        <w:pStyle w:val="FootnoteText"/>
      </w:pPr>
      <w:r w:rsidRPr="0096192D">
        <w:t>ISO/IEC 5338:2023 Information technology — Artificial intelligence — AI system life cycle processes</w:t>
      </w:r>
    </w:p>
    <w:p w14:paraId="5EFBD270" w14:textId="77777777" w:rsidR="0096192D" w:rsidRPr="0096192D" w:rsidRDefault="0096192D" w:rsidP="00804AF2">
      <w:pPr>
        <w:pStyle w:val="FootnoteText"/>
      </w:pPr>
      <w:r w:rsidRPr="0096192D">
        <w:t>ISO/IEC 8183:2023 Information technology — Artificial intelligence — Data life cycle framework</w:t>
      </w:r>
    </w:p>
    <w:p w14:paraId="7DC4FF54" w14:textId="77777777" w:rsidR="0096192D" w:rsidRPr="0096192D" w:rsidRDefault="0096192D" w:rsidP="00804AF2">
      <w:pPr>
        <w:pStyle w:val="FootnoteText"/>
      </w:pPr>
      <w:r w:rsidRPr="0096192D">
        <w:t>ISO/IEC 42001:2023 Information technology — Artificial intelligence — Management system</w:t>
      </w:r>
    </w:p>
    <w:p w14:paraId="09844842" w14:textId="77777777" w:rsidR="0096192D" w:rsidRPr="0096192D" w:rsidRDefault="0096192D" w:rsidP="00804AF2">
      <w:pPr>
        <w:pStyle w:val="FootnoteText"/>
      </w:pPr>
      <w:r w:rsidRPr="0096192D">
        <w:t>ISO/IEC 42005 Information technology — Artificial intelligence — AI system impact assessment (under development)</w:t>
      </w:r>
    </w:p>
    <w:p w14:paraId="42498CB2" w14:textId="26BB60E3" w:rsidR="0096192D" w:rsidRDefault="0096192D" w:rsidP="0096192D">
      <w:pPr>
        <w:pStyle w:val="FootnoteText"/>
      </w:pPr>
      <w:r w:rsidRPr="0096192D">
        <w:t>DIN/TS 92004 - Artificial intelligence – Quality requirements and processes – Risk identification and analysis for AI systems along the entire life cycle</w:t>
      </w:r>
    </w:p>
  </w:footnote>
  <w:footnote w:id="6">
    <w:p w14:paraId="3E4CE35E" w14:textId="3381D27E" w:rsidR="003D512E" w:rsidRDefault="003D512E">
      <w:pPr>
        <w:pStyle w:val="FootnoteText"/>
      </w:pPr>
      <w:r>
        <w:rPr>
          <w:rStyle w:val="FootnoteReference"/>
        </w:rPr>
        <w:footnoteRef/>
      </w:r>
      <w:r>
        <w:t xml:space="preserve"> Noting t</w:t>
      </w:r>
      <w:r w:rsidRPr="003D512E">
        <w:t>he IMDRF published “</w:t>
      </w:r>
      <w:hyperlink r:id="rId2" w:history="1">
        <w:r w:rsidRPr="003D512E">
          <w:rPr>
            <w:rStyle w:val="Hyperlink"/>
          </w:rPr>
          <w:t>Principles and Practices for Software Bill of Materials for Medical Device Cybersecurity</w:t>
        </w:r>
      </w:hyperlink>
      <w:r w:rsidRPr="003D512E">
        <w:t>” in 2023. Software Bill of Materials can improve transparency and used to identify compliance issues and operational challenges as well as and mitigate security risks throughout the software supply chain.</w:t>
      </w:r>
    </w:p>
  </w:footnote>
  <w:footnote w:id="7">
    <w:p w14:paraId="2BCBFC15" w14:textId="4F506BAD" w:rsidR="00EF21C8" w:rsidRPr="00EF21C8" w:rsidRDefault="00EF21C8" w:rsidP="00804AF2">
      <w:pPr>
        <w:pStyle w:val="FootnoteText"/>
      </w:pPr>
      <w:r>
        <w:rPr>
          <w:rStyle w:val="FootnoteReference"/>
        </w:rPr>
        <w:footnoteRef/>
      </w:r>
      <w:r>
        <w:t xml:space="preserve"> </w:t>
      </w:r>
      <w:r w:rsidRPr="00EF21C8">
        <w:t>Use of software of unknown provenance is covered in</w:t>
      </w:r>
      <w:r>
        <w:t xml:space="preserve"> </w:t>
      </w:r>
      <w:r w:rsidRPr="00EF21C8">
        <w:t>IEC 62304: Medical Device Software – Software Life Cycle Processes</w:t>
      </w:r>
    </w:p>
    <w:p w14:paraId="4B926EEB" w14:textId="77777777" w:rsidR="00EF21C8" w:rsidRPr="00EF21C8" w:rsidRDefault="00EF21C8" w:rsidP="00EF21C8">
      <w:pPr>
        <w:pStyle w:val="FootnoteText"/>
      </w:pPr>
      <w:r w:rsidRPr="00EF21C8">
        <w:t>Use of datasets of unknown provenance is covered in:</w:t>
      </w:r>
    </w:p>
    <w:p w14:paraId="4BB61D8A" w14:textId="77777777" w:rsidR="00EF21C8" w:rsidRPr="00EF21C8" w:rsidRDefault="00EF21C8" w:rsidP="002522ED">
      <w:pPr>
        <w:pStyle w:val="FootnoteText"/>
        <w:numPr>
          <w:ilvl w:val="0"/>
          <w:numId w:val="21"/>
        </w:numPr>
      </w:pPr>
      <w:r w:rsidRPr="00EF21C8">
        <w:t>ISO/IEC 5338:2023 Information technology — Artificial intelligence — AI system life cycle processes</w:t>
      </w:r>
    </w:p>
    <w:p w14:paraId="24980DC0" w14:textId="77777777" w:rsidR="00EF21C8" w:rsidRPr="00EF21C8" w:rsidRDefault="00EF21C8" w:rsidP="002522ED">
      <w:pPr>
        <w:pStyle w:val="FootnoteText"/>
        <w:numPr>
          <w:ilvl w:val="0"/>
          <w:numId w:val="21"/>
        </w:numPr>
      </w:pPr>
      <w:r w:rsidRPr="00EF21C8">
        <w:t>ISO/IEC 8183:2023 Information technology — Artificial intelligence — Data life cycle framework</w:t>
      </w:r>
    </w:p>
    <w:p w14:paraId="2FC6B308" w14:textId="254058AE" w:rsidR="00EF21C8" w:rsidRDefault="00EF21C8" w:rsidP="002522ED">
      <w:pPr>
        <w:pStyle w:val="FootnoteText"/>
        <w:numPr>
          <w:ilvl w:val="0"/>
          <w:numId w:val="21"/>
        </w:numPr>
      </w:pPr>
      <w:r w:rsidRPr="00EF21C8">
        <w:t>ISO/IEC 42001:2023 Information technology — Artificial intelligence — Management system</w:t>
      </w:r>
    </w:p>
  </w:footnote>
  <w:footnote w:id="8">
    <w:p w14:paraId="3CE601C7" w14:textId="6330AEB8" w:rsidR="009F0F89" w:rsidRDefault="009F0F89">
      <w:pPr>
        <w:pStyle w:val="FootnoteText"/>
      </w:pPr>
      <w:r>
        <w:rPr>
          <w:rStyle w:val="FootnoteReference"/>
        </w:rPr>
        <w:footnoteRef/>
      </w:r>
      <w:r>
        <w:t xml:space="preserve"> </w:t>
      </w:r>
      <w:r w:rsidRPr="009F0F89">
        <w:t>https://www.ahpra.gov.au/Resources/Artificial-Intelligence-in-healthcare.aspx</w:t>
      </w:r>
    </w:p>
  </w:footnote>
  <w:footnote w:id="9">
    <w:p w14:paraId="4FD1F4D2" w14:textId="1F05B082" w:rsidR="005367C5" w:rsidRDefault="005367C5" w:rsidP="00804AF2">
      <w:pPr>
        <w:pStyle w:val="FootnoteText"/>
        <w:keepNext/>
      </w:pPr>
      <w:r>
        <w:rPr>
          <w:rStyle w:val="FootnoteReference"/>
        </w:rPr>
        <w:footnoteRef/>
      </w:r>
      <w:r>
        <w:t xml:space="preserve"> </w:t>
      </w:r>
      <w:r w:rsidRPr="005367C5">
        <w:t>https://www.racgp.org.au/running-a-practice/technology/business-technology/artificial-intelligence-ai-scribes</w:t>
      </w:r>
    </w:p>
  </w:footnote>
  <w:footnote w:id="10">
    <w:p w14:paraId="6D622E9A" w14:textId="30005E6D" w:rsidR="00B27487" w:rsidRDefault="00B27487" w:rsidP="00804AF2">
      <w:pPr>
        <w:pStyle w:val="FootnoteText"/>
        <w:keepNext/>
      </w:pPr>
      <w:r>
        <w:rPr>
          <w:rStyle w:val="FootnoteReference"/>
        </w:rPr>
        <w:footnoteRef/>
      </w:r>
      <w:r>
        <w:t xml:space="preserve"> </w:t>
      </w:r>
      <w:r w:rsidRPr="00B27487">
        <w:t>https://www.safetyandquality.gov.au/publications-and-resources/resource-library/ai-implementation-hospitals-legislation-policy-guidelines-and-principles-and-evidence-about-quality-and-safety</w:t>
      </w:r>
    </w:p>
  </w:footnote>
  <w:footnote w:id="11">
    <w:p w14:paraId="71C37E56" w14:textId="77777777" w:rsidR="00DC3527" w:rsidRPr="00DC3527" w:rsidRDefault="00DC3527" w:rsidP="00804AF2">
      <w:pPr>
        <w:pStyle w:val="FootnoteText"/>
        <w:keepNext/>
      </w:pPr>
      <w:r>
        <w:rPr>
          <w:rStyle w:val="FootnoteReference"/>
        </w:rPr>
        <w:footnoteRef/>
      </w:r>
      <w:r>
        <w:t xml:space="preserve"> </w:t>
      </w:r>
      <w:r w:rsidRPr="00DC3527">
        <w:t>AI-specific:</w:t>
      </w:r>
    </w:p>
    <w:p w14:paraId="73D29EA7" w14:textId="77777777" w:rsidR="00DC3527" w:rsidRPr="00DC3527" w:rsidRDefault="00DC3527" w:rsidP="002522ED">
      <w:pPr>
        <w:pStyle w:val="FootnoteText"/>
        <w:keepNext/>
        <w:numPr>
          <w:ilvl w:val="0"/>
          <w:numId w:val="22"/>
        </w:numPr>
      </w:pPr>
      <w:r w:rsidRPr="00DC3527">
        <w:t>ISO/IEC 22989:2022 Information technology — Artificial intelligence — Artificial intelligence concepts and terminology</w:t>
      </w:r>
    </w:p>
    <w:p w14:paraId="721D5EC8" w14:textId="77777777" w:rsidR="00DC3527" w:rsidRPr="00DC3527" w:rsidRDefault="00DC3527" w:rsidP="002522ED">
      <w:pPr>
        <w:pStyle w:val="FootnoteText"/>
        <w:numPr>
          <w:ilvl w:val="0"/>
          <w:numId w:val="22"/>
        </w:numPr>
      </w:pPr>
      <w:r w:rsidRPr="00DC3527">
        <w:t>ISO/IEC 5338:2023 Information technology — Artificial intelligence — AI system life cycle processes</w:t>
      </w:r>
    </w:p>
    <w:p w14:paraId="6BCA1112" w14:textId="77777777" w:rsidR="00DC3527" w:rsidRPr="00DC3527" w:rsidRDefault="00DC3527" w:rsidP="002522ED">
      <w:pPr>
        <w:pStyle w:val="FootnoteText"/>
        <w:numPr>
          <w:ilvl w:val="0"/>
          <w:numId w:val="22"/>
        </w:numPr>
      </w:pPr>
      <w:r w:rsidRPr="00DC3527">
        <w:t>ISO/IEC 8183:2023 Information technology — Artificial intelligence — Data life cycle framework</w:t>
      </w:r>
    </w:p>
    <w:p w14:paraId="41FDC777" w14:textId="77777777" w:rsidR="00DC3527" w:rsidRPr="00DC3527" w:rsidRDefault="00DC3527" w:rsidP="002522ED">
      <w:pPr>
        <w:pStyle w:val="FootnoteText"/>
        <w:numPr>
          <w:ilvl w:val="0"/>
          <w:numId w:val="22"/>
        </w:numPr>
      </w:pPr>
      <w:r w:rsidRPr="00DC3527">
        <w:t>ISO/IEC 42001:2023 Information technology — Artificial intelligence — Management system</w:t>
      </w:r>
    </w:p>
    <w:p w14:paraId="3FD9F7AC" w14:textId="77777777" w:rsidR="00DC3527" w:rsidRPr="00DC3527" w:rsidRDefault="00DC3527" w:rsidP="002522ED">
      <w:pPr>
        <w:pStyle w:val="FootnoteText"/>
        <w:numPr>
          <w:ilvl w:val="0"/>
          <w:numId w:val="22"/>
        </w:numPr>
      </w:pPr>
      <w:r w:rsidRPr="00DC3527">
        <w:t>ISO/IEC 42005 Information technology — Artificial intelligence — AI system impact assessment (under development)</w:t>
      </w:r>
    </w:p>
    <w:p w14:paraId="27FF5A5A" w14:textId="77777777" w:rsidR="00DC3527" w:rsidRPr="00DC3527" w:rsidRDefault="00DC3527" w:rsidP="002522ED">
      <w:pPr>
        <w:pStyle w:val="FootnoteText"/>
        <w:numPr>
          <w:ilvl w:val="0"/>
          <w:numId w:val="22"/>
        </w:numPr>
      </w:pPr>
      <w:r w:rsidRPr="00DC3527">
        <w:t>DIN/TS 92004 - Artificial intelligence – Quality requirements and processes – Risk identification and analysis for AI systems along the entire life cycle</w:t>
      </w:r>
    </w:p>
    <w:p w14:paraId="0A39F282" w14:textId="77777777" w:rsidR="00DC3527" w:rsidRPr="00DC3527" w:rsidRDefault="00DC3527" w:rsidP="002522ED">
      <w:pPr>
        <w:pStyle w:val="FootnoteText"/>
        <w:numPr>
          <w:ilvl w:val="0"/>
          <w:numId w:val="22"/>
        </w:numPr>
      </w:pPr>
      <w:r w:rsidRPr="00DC3527">
        <w:t>AAMI CR34971:2022: Guidance on the Application of ISO 14971 to Artificial Intelligence and Machine Learning</w:t>
      </w:r>
    </w:p>
    <w:p w14:paraId="6C192776" w14:textId="77777777" w:rsidR="00DC3527" w:rsidRPr="00DC3527" w:rsidRDefault="00DC3527" w:rsidP="00DC3527">
      <w:pPr>
        <w:pStyle w:val="FootnoteText"/>
      </w:pPr>
      <w:r w:rsidRPr="00DC3527">
        <w:t>General medical device software:</w:t>
      </w:r>
    </w:p>
    <w:p w14:paraId="1C0BC996" w14:textId="77777777" w:rsidR="00DC3527" w:rsidRPr="00DC3527" w:rsidRDefault="00DC3527" w:rsidP="002522ED">
      <w:pPr>
        <w:pStyle w:val="FootnoteText"/>
        <w:numPr>
          <w:ilvl w:val="0"/>
          <w:numId w:val="23"/>
        </w:numPr>
      </w:pPr>
      <w:r w:rsidRPr="00DC3527">
        <w:t>IEC 62304: Medical Device Software – Software Life Cycle Processes</w:t>
      </w:r>
    </w:p>
    <w:p w14:paraId="0B4152BE" w14:textId="77777777" w:rsidR="00DC3527" w:rsidRPr="00DC3527" w:rsidRDefault="00DC3527" w:rsidP="002522ED">
      <w:pPr>
        <w:pStyle w:val="FootnoteText"/>
        <w:numPr>
          <w:ilvl w:val="0"/>
          <w:numId w:val="23"/>
        </w:numPr>
      </w:pPr>
      <w:r w:rsidRPr="00DC3527">
        <w:t>IEC 62366: Medical Devices - Application of Usability Engineering to Medical Devices</w:t>
      </w:r>
    </w:p>
    <w:p w14:paraId="640FEEEE" w14:textId="77777777" w:rsidR="00DC3527" w:rsidRPr="00DC3527" w:rsidRDefault="00DC3527" w:rsidP="002522ED">
      <w:pPr>
        <w:pStyle w:val="FootnoteText"/>
        <w:numPr>
          <w:ilvl w:val="0"/>
          <w:numId w:val="23"/>
        </w:numPr>
      </w:pPr>
      <w:r w:rsidRPr="00DC3527">
        <w:t>ISO 13485: Medical devices -- Quality management systems -- Requirements for regulatory purposes is a voluntary standard</w:t>
      </w:r>
    </w:p>
    <w:p w14:paraId="3303FA85" w14:textId="0A880EA0" w:rsidR="00DC3527" w:rsidRDefault="00DC3527" w:rsidP="002522ED">
      <w:pPr>
        <w:pStyle w:val="FootnoteText"/>
        <w:numPr>
          <w:ilvl w:val="0"/>
          <w:numId w:val="23"/>
        </w:numPr>
      </w:pPr>
      <w:r w:rsidRPr="00DC3527">
        <w:t>ISO 14971: Medical devices — Application of risk management to medical devices</w:t>
      </w:r>
    </w:p>
  </w:footnote>
  <w:footnote w:id="12">
    <w:p w14:paraId="7A763201" w14:textId="2F99442D" w:rsidR="00EA417E" w:rsidRDefault="00EA417E" w:rsidP="00EA417E">
      <w:pPr>
        <w:pStyle w:val="FootnoteText"/>
      </w:pPr>
      <w:r>
        <w:rPr>
          <w:rStyle w:val="FootnoteReference"/>
        </w:rPr>
        <w:footnoteRef/>
      </w:r>
      <w:r>
        <w:t xml:space="preserve"> </w:t>
      </w:r>
      <w:r w:rsidRPr="00E92F9B">
        <w:t>https://w</w:t>
      </w:r>
      <w:r w:rsidR="00FF7FA0">
        <w:t>/</w:t>
      </w:r>
      <w:r w:rsidRPr="00E92F9B">
        <w:t>ww.imdrf.org/</w:t>
      </w:r>
    </w:p>
  </w:footnote>
  <w:footnote w:id="13">
    <w:p w14:paraId="38380E67" w14:textId="06F94833" w:rsidR="00197AEA" w:rsidRDefault="00197AEA">
      <w:pPr>
        <w:pStyle w:val="FootnoteText"/>
      </w:pPr>
      <w:r>
        <w:rPr>
          <w:rStyle w:val="FootnoteReference"/>
        </w:rPr>
        <w:footnoteRef/>
      </w:r>
      <w:r>
        <w:t xml:space="preserve"> </w:t>
      </w:r>
      <w:r w:rsidRPr="00197AEA">
        <w:t>Many of these guardrails (e.g. 1, 2, 4, 5, 6, 7, 8) relate beyond the AI product lifecycle managed by the manufacturer, to the use of AI in deployment, where TGA’s regulatory framework would be supplemented by clinical practice regulation of A</w:t>
      </w:r>
      <w:r w:rsidR="00341EA1">
        <w:t>hpra</w:t>
      </w:r>
      <w:r w:rsidRPr="00197AEA">
        <w:t xml:space="preserve"> and ACSQHC in close collaboration with the TGA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EC71"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F6C4" w14:textId="651C009B" w:rsidR="00537B47" w:rsidRDefault="00D22186" w:rsidP="005F6958">
    <w:r>
      <w:rPr>
        <w:noProof/>
      </w:rPr>
      <w:drawing>
        <wp:inline distT="0" distB="0" distL="0" distR="0" wp14:anchorId="1AB13E8A" wp14:editId="63CB08D3">
          <wp:extent cx="3057525" cy="634493"/>
          <wp:effectExtent l="0" t="0" r="0" b="0"/>
          <wp:docPr id="20854619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6197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683" cy="636393"/>
                  </a:xfrm>
                  <a:prstGeom prst="rect">
                    <a:avLst/>
                  </a:prstGeom>
                  <a:noFill/>
                  <a:ln>
                    <a:noFill/>
                  </a:ln>
                </pic:spPr>
              </pic:pic>
            </a:graphicData>
          </a:graphic>
        </wp:inline>
      </w:drawing>
    </w:r>
    <w:r w:rsidR="005F6958">
      <w:rPr>
        <w:noProof/>
      </w:rPr>
      <w:drawing>
        <wp:anchor distT="0" distB="0" distL="114300" distR="114300" simplePos="0" relativeHeight="251658240" behindDoc="1" locked="0" layoutInCell="1" allowOverlap="1" wp14:anchorId="7235C9BB" wp14:editId="3DCE6021">
          <wp:simplePos x="0" y="0"/>
          <wp:positionH relativeFrom="page">
            <wp:align>right</wp:align>
          </wp:positionH>
          <wp:positionV relativeFrom="paragraph">
            <wp:posOffset>3122930</wp:posOffset>
          </wp:positionV>
          <wp:extent cx="7553325" cy="4260356"/>
          <wp:effectExtent l="0" t="0" r="0" b="6985"/>
          <wp:wrapNone/>
          <wp:docPr id="1006460237" name="Picture 100646023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619C" w14:textId="77777777" w:rsidR="007B7241" w:rsidRPr="00920FF4" w:rsidRDefault="007B7241"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9B5" w14:textId="77777777" w:rsidR="007B7241" w:rsidRPr="00920FF4" w:rsidRDefault="007B7241"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10D8"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7AE"/>
    <w:multiLevelType w:val="multilevel"/>
    <w:tmpl w:val="9D2E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B665F"/>
    <w:multiLevelType w:val="multilevel"/>
    <w:tmpl w:val="127C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3345373"/>
    <w:multiLevelType w:val="hybridMultilevel"/>
    <w:tmpl w:val="27E4B95E"/>
    <w:lvl w:ilvl="0" w:tplc="25E88ABC">
      <w:start w:val="130"/>
      <w:numFmt w:val="bullet"/>
      <w:pStyle w:val="Numberbullet0"/>
      <w:lvlText w:val=""/>
      <w:lvlJc w:val="left"/>
      <w:pPr>
        <w:ind w:left="720" w:hanging="360"/>
      </w:pPr>
      <w:rPr>
        <w:rFonts w:ascii="Symbol" w:eastAsiaTheme="minorHAnsi" w:hAnsi="Symbol" w:cs="Calibri" w:hint="default"/>
        <w:color w:val="002C47" w:themeColor="text1"/>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8E656EF"/>
    <w:multiLevelType w:val="multilevel"/>
    <w:tmpl w:val="3ED277CE"/>
    <w:lvl w:ilvl="0">
      <w:start w:val="4"/>
      <w:numFmt w:val="bullet"/>
      <w:pStyle w:val="Bullet1"/>
      <w:lvlText w:val="•"/>
      <w:lvlJc w:val="left"/>
      <w:pPr>
        <w:ind w:left="360" w:hanging="360"/>
      </w:pPr>
      <w:rPr>
        <w:rFonts w:ascii="Cambria" w:eastAsia="Cambria" w:hAnsi="Cambri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BAB3695"/>
    <w:multiLevelType w:val="hybridMultilevel"/>
    <w:tmpl w:val="186094C0"/>
    <w:lvl w:ilvl="0" w:tplc="2B62CC62">
      <w:numFmt w:val="bullet"/>
      <w:pStyle w:val="ListParagraph"/>
      <w:lvlText w:val=""/>
      <w:lvlJc w:val="lef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310A7"/>
    <w:multiLevelType w:val="hybridMultilevel"/>
    <w:tmpl w:val="AC1E653E"/>
    <w:lvl w:ilvl="0" w:tplc="9F8E936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2D693C"/>
    <w:multiLevelType w:val="multilevel"/>
    <w:tmpl w:val="4F5CD2AA"/>
    <w:lvl w:ilvl="0">
      <w:start w:val="1"/>
      <w:numFmt w:val="decimal"/>
      <w:lvlText w:val="%1."/>
      <w:lvlJc w:val="left"/>
      <w:pPr>
        <w:ind w:left="720" w:hanging="360"/>
      </w:pPr>
      <w:rPr>
        <w:rFonts w:hint="default"/>
      </w:rPr>
    </w:lvl>
    <w:lvl w:ilvl="1">
      <w:start w:val="1"/>
      <w:numFmt w:val="decimal"/>
      <w:pStyle w:val="Heading3"/>
      <w:isLgl/>
      <w:lvlText w:val="%1.%2"/>
      <w:lvlJc w:val="left"/>
      <w:pPr>
        <w:ind w:left="644" w:hanging="360"/>
      </w:pPr>
      <w:rPr>
        <w:rFonts w:hint="default"/>
      </w:rPr>
    </w:lvl>
    <w:lvl w:ilvl="2">
      <w:start w:val="1"/>
      <w:numFmt w:val="decimal"/>
      <w:pStyle w:val="Heading4"/>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336545"/>
    <w:multiLevelType w:val="hybridMultilevel"/>
    <w:tmpl w:val="9B1E530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F050B9D"/>
    <w:multiLevelType w:val="hybridMultilevel"/>
    <w:tmpl w:val="0AD01BF0"/>
    <w:lvl w:ilvl="0" w:tplc="367A606C">
      <w:start w:val="1"/>
      <w:numFmt w:val="bullet"/>
      <w:lvlText w:val=""/>
      <w:lvlJc w:val="left"/>
      <w:pPr>
        <w:ind w:left="720" w:hanging="360"/>
      </w:pPr>
      <w:rPr>
        <w:rFonts w:ascii="Symbol" w:hAnsi="Symbol" w:hint="default"/>
        <w:color w:val="auto"/>
      </w:rPr>
    </w:lvl>
    <w:lvl w:ilvl="1" w:tplc="DC8811C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C0670"/>
    <w:multiLevelType w:val="hybridMultilevel"/>
    <w:tmpl w:val="C7EE714E"/>
    <w:lvl w:ilvl="0" w:tplc="EC60A8F8">
      <w:start w:val="1"/>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0A58D7"/>
    <w:multiLevelType w:val="hybridMultilevel"/>
    <w:tmpl w:val="63042E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4C58C5"/>
    <w:multiLevelType w:val="hybridMultilevel"/>
    <w:tmpl w:val="0E2AD8F8"/>
    <w:lvl w:ilvl="0" w:tplc="2D08F574">
      <w:start w:val="1"/>
      <w:numFmt w:val="bullet"/>
      <w:lvlText w:val=""/>
      <w:lvlJc w:val="left"/>
      <w:pPr>
        <w:ind w:left="1080" w:hanging="360"/>
      </w:pPr>
      <w:rPr>
        <w:rFonts w:ascii="Symbol" w:hAnsi="Symbol" w:hint="default"/>
        <w:color w:val="002C47"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A263BEE"/>
    <w:multiLevelType w:val="hybridMultilevel"/>
    <w:tmpl w:val="4AEEFA14"/>
    <w:lvl w:ilvl="0" w:tplc="D29E9AD6">
      <w:start w:val="1"/>
      <w:numFmt w:val="bullet"/>
      <w:lvlText w:val=""/>
      <w:lvlJc w:val="left"/>
      <w:pPr>
        <w:ind w:left="720" w:hanging="360"/>
      </w:pPr>
      <w:rPr>
        <w:rFonts w:ascii="Symbol" w:eastAsia="Cambr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C80850"/>
    <w:multiLevelType w:val="hybridMultilevel"/>
    <w:tmpl w:val="8968BE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F44C7F"/>
    <w:multiLevelType w:val="hybridMultilevel"/>
    <w:tmpl w:val="C83C364C"/>
    <w:lvl w:ilvl="0" w:tplc="24BEF7EE">
      <w:start w:val="1"/>
      <w:numFmt w:val="bullet"/>
      <w:lvlText w:val=""/>
      <w:lvlJc w:val="left"/>
      <w:pPr>
        <w:ind w:left="720" w:hanging="360"/>
      </w:pPr>
      <w:rPr>
        <w:rFonts w:ascii="Symbol" w:eastAsia="Aptos" w:hAnsi="Symbol" w:cs="Times New Roman"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7A71DD0"/>
    <w:multiLevelType w:val="multilevel"/>
    <w:tmpl w:val="BB8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874731">
    <w:abstractNumId w:val="6"/>
  </w:num>
  <w:num w:numId="2" w16cid:durableId="1834369178">
    <w:abstractNumId w:val="3"/>
  </w:num>
  <w:num w:numId="3" w16cid:durableId="729621980">
    <w:abstractNumId w:val="1"/>
  </w:num>
  <w:num w:numId="4" w16cid:durableId="1693191331">
    <w:abstractNumId w:val="5"/>
  </w:num>
  <w:num w:numId="5" w16cid:durableId="1110271873">
    <w:abstractNumId w:val="6"/>
  </w:num>
  <w:num w:numId="6" w16cid:durableId="1860776656">
    <w:abstractNumId w:val="15"/>
  </w:num>
  <w:num w:numId="7" w16cid:durableId="52388051">
    <w:abstractNumId w:val="3"/>
  </w:num>
  <w:num w:numId="8" w16cid:durableId="1427771512">
    <w:abstractNumId w:val="4"/>
  </w:num>
  <w:num w:numId="9" w16cid:durableId="2011566217">
    <w:abstractNumId w:val="7"/>
  </w:num>
  <w:num w:numId="10" w16cid:durableId="1908681559">
    <w:abstractNumId w:val="13"/>
  </w:num>
  <w:num w:numId="11" w16cid:durableId="1301809006">
    <w:abstractNumId w:val="12"/>
  </w:num>
  <w:num w:numId="12" w16cid:durableId="591548873">
    <w:abstractNumId w:val="16"/>
  </w:num>
  <w:num w:numId="13" w16cid:durableId="397367920">
    <w:abstractNumId w:val="18"/>
  </w:num>
  <w:num w:numId="14" w16cid:durableId="581644675">
    <w:abstractNumId w:val="11"/>
  </w:num>
  <w:num w:numId="15" w16cid:durableId="52851094">
    <w:abstractNumId w:val="10"/>
  </w:num>
  <w:num w:numId="16" w16cid:durableId="534273109">
    <w:abstractNumId w:val="17"/>
  </w:num>
  <w:num w:numId="17" w16cid:durableId="1192376246">
    <w:abstractNumId w:val="19"/>
  </w:num>
  <w:num w:numId="18" w16cid:durableId="1640301803">
    <w:abstractNumId w:val="9"/>
  </w:num>
  <w:num w:numId="19" w16cid:durableId="1785225971">
    <w:abstractNumId w:val="8"/>
  </w:num>
  <w:num w:numId="20" w16cid:durableId="2026133748">
    <w:abstractNumId w:val="14"/>
  </w:num>
  <w:num w:numId="21" w16cid:durableId="377901016">
    <w:abstractNumId w:val="0"/>
  </w:num>
  <w:num w:numId="22" w16cid:durableId="1210530812">
    <w:abstractNumId w:val="2"/>
  </w:num>
  <w:num w:numId="23" w16cid:durableId="66062352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XjWpLVcGGBVpxsS9MIRgY7+6Og5plHWDO84cR/81y1O4tWPkYwJYAR0vRqg7UciU2Cri+tlrZH7RuKcVym9hQ==" w:salt="D6TPJ6gHdvG9P/pHrQN/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78"/>
    <w:rsid w:val="00001D49"/>
    <w:rsid w:val="00001DA3"/>
    <w:rsid w:val="000023A8"/>
    <w:rsid w:val="0000244F"/>
    <w:rsid w:val="00002E85"/>
    <w:rsid w:val="00003ACD"/>
    <w:rsid w:val="00003D28"/>
    <w:rsid w:val="0000401B"/>
    <w:rsid w:val="00004B3A"/>
    <w:rsid w:val="000054DC"/>
    <w:rsid w:val="00006173"/>
    <w:rsid w:val="00006478"/>
    <w:rsid w:val="000112A9"/>
    <w:rsid w:val="00011545"/>
    <w:rsid w:val="00012B86"/>
    <w:rsid w:val="000133F6"/>
    <w:rsid w:val="00013A10"/>
    <w:rsid w:val="00013B76"/>
    <w:rsid w:val="00013E3E"/>
    <w:rsid w:val="00014066"/>
    <w:rsid w:val="000149A7"/>
    <w:rsid w:val="000150AF"/>
    <w:rsid w:val="000155C2"/>
    <w:rsid w:val="00015AFD"/>
    <w:rsid w:val="00015DBB"/>
    <w:rsid w:val="0001688D"/>
    <w:rsid w:val="00016D6D"/>
    <w:rsid w:val="00017A76"/>
    <w:rsid w:val="00020114"/>
    <w:rsid w:val="00020A4D"/>
    <w:rsid w:val="000218E3"/>
    <w:rsid w:val="00023298"/>
    <w:rsid w:val="000238D0"/>
    <w:rsid w:val="00025626"/>
    <w:rsid w:val="000256C7"/>
    <w:rsid w:val="00025753"/>
    <w:rsid w:val="000262E7"/>
    <w:rsid w:val="000276C8"/>
    <w:rsid w:val="00027D83"/>
    <w:rsid w:val="000302CF"/>
    <w:rsid w:val="00030453"/>
    <w:rsid w:val="000304DE"/>
    <w:rsid w:val="00033517"/>
    <w:rsid w:val="0003415C"/>
    <w:rsid w:val="000349B5"/>
    <w:rsid w:val="000358A4"/>
    <w:rsid w:val="00035973"/>
    <w:rsid w:val="000365C2"/>
    <w:rsid w:val="00036FF4"/>
    <w:rsid w:val="0003776F"/>
    <w:rsid w:val="00037DD5"/>
    <w:rsid w:val="00040BAD"/>
    <w:rsid w:val="000414D0"/>
    <w:rsid w:val="000419C1"/>
    <w:rsid w:val="000427D1"/>
    <w:rsid w:val="0004371E"/>
    <w:rsid w:val="00043B68"/>
    <w:rsid w:val="00043C2C"/>
    <w:rsid w:val="00044AF7"/>
    <w:rsid w:val="00044B45"/>
    <w:rsid w:val="00045CD9"/>
    <w:rsid w:val="00045D63"/>
    <w:rsid w:val="00046349"/>
    <w:rsid w:val="00047200"/>
    <w:rsid w:val="0004753C"/>
    <w:rsid w:val="000475CB"/>
    <w:rsid w:val="00052C72"/>
    <w:rsid w:val="00052EF4"/>
    <w:rsid w:val="00053944"/>
    <w:rsid w:val="00054505"/>
    <w:rsid w:val="000560EA"/>
    <w:rsid w:val="00060816"/>
    <w:rsid w:val="00060957"/>
    <w:rsid w:val="00060C76"/>
    <w:rsid w:val="00061C0B"/>
    <w:rsid w:val="000620C1"/>
    <w:rsid w:val="00063318"/>
    <w:rsid w:val="0006350B"/>
    <w:rsid w:val="00063CBA"/>
    <w:rsid w:val="000647C6"/>
    <w:rsid w:val="0006498E"/>
    <w:rsid w:val="0006622F"/>
    <w:rsid w:val="00070A42"/>
    <w:rsid w:val="000714B5"/>
    <w:rsid w:val="00071BD4"/>
    <w:rsid w:val="00071DC8"/>
    <w:rsid w:val="00073F9B"/>
    <w:rsid w:val="000745C1"/>
    <w:rsid w:val="0007572F"/>
    <w:rsid w:val="000760D6"/>
    <w:rsid w:val="0008071B"/>
    <w:rsid w:val="000807AE"/>
    <w:rsid w:val="00081078"/>
    <w:rsid w:val="000813FC"/>
    <w:rsid w:val="00081674"/>
    <w:rsid w:val="00081B3C"/>
    <w:rsid w:val="00082AF1"/>
    <w:rsid w:val="00082D7D"/>
    <w:rsid w:val="000841B0"/>
    <w:rsid w:val="0008454B"/>
    <w:rsid w:val="000869F5"/>
    <w:rsid w:val="00090580"/>
    <w:rsid w:val="00090759"/>
    <w:rsid w:val="0009165A"/>
    <w:rsid w:val="00094D94"/>
    <w:rsid w:val="00095589"/>
    <w:rsid w:val="00095798"/>
    <w:rsid w:val="00095EEB"/>
    <w:rsid w:val="00095F02"/>
    <w:rsid w:val="0009751E"/>
    <w:rsid w:val="00097610"/>
    <w:rsid w:val="000976DF"/>
    <w:rsid w:val="00097779"/>
    <w:rsid w:val="00097BC0"/>
    <w:rsid w:val="000A0D24"/>
    <w:rsid w:val="000A108E"/>
    <w:rsid w:val="000A10C9"/>
    <w:rsid w:val="000A1D75"/>
    <w:rsid w:val="000A2848"/>
    <w:rsid w:val="000A3841"/>
    <w:rsid w:val="000A406D"/>
    <w:rsid w:val="000A4145"/>
    <w:rsid w:val="000A5089"/>
    <w:rsid w:val="000A7398"/>
    <w:rsid w:val="000B007F"/>
    <w:rsid w:val="000B14E5"/>
    <w:rsid w:val="000B4F19"/>
    <w:rsid w:val="000B539E"/>
    <w:rsid w:val="000B5A40"/>
    <w:rsid w:val="000B5E3D"/>
    <w:rsid w:val="000B6496"/>
    <w:rsid w:val="000C0426"/>
    <w:rsid w:val="000C14D8"/>
    <w:rsid w:val="000C1A71"/>
    <w:rsid w:val="000C2342"/>
    <w:rsid w:val="000C378E"/>
    <w:rsid w:val="000C4E15"/>
    <w:rsid w:val="000C559E"/>
    <w:rsid w:val="000C623C"/>
    <w:rsid w:val="000D0849"/>
    <w:rsid w:val="000D0B2D"/>
    <w:rsid w:val="000D1793"/>
    <w:rsid w:val="000D343A"/>
    <w:rsid w:val="000D3954"/>
    <w:rsid w:val="000D5E1A"/>
    <w:rsid w:val="000D6100"/>
    <w:rsid w:val="000D635A"/>
    <w:rsid w:val="000D6566"/>
    <w:rsid w:val="000E1113"/>
    <w:rsid w:val="000E1CEE"/>
    <w:rsid w:val="000E2D20"/>
    <w:rsid w:val="000E316F"/>
    <w:rsid w:val="000E3FEC"/>
    <w:rsid w:val="000E440B"/>
    <w:rsid w:val="000E48B2"/>
    <w:rsid w:val="000E68F9"/>
    <w:rsid w:val="000E6A4A"/>
    <w:rsid w:val="000F0708"/>
    <w:rsid w:val="000F0AC1"/>
    <w:rsid w:val="000F1DC0"/>
    <w:rsid w:val="000F308B"/>
    <w:rsid w:val="000F34A8"/>
    <w:rsid w:val="000F4E4F"/>
    <w:rsid w:val="000F5091"/>
    <w:rsid w:val="000F5637"/>
    <w:rsid w:val="000F5EAB"/>
    <w:rsid w:val="000F639E"/>
    <w:rsid w:val="000F6507"/>
    <w:rsid w:val="000F6E64"/>
    <w:rsid w:val="00100637"/>
    <w:rsid w:val="001007FE"/>
    <w:rsid w:val="001012EF"/>
    <w:rsid w:val="001037CA"/>
    <w:rsid w:val="0010419C"/>
    <w:rsid w:val="0010574C"/>
    <w:rsid w:val="00107AC5"/>
    <w:rsid w:val="00107B53"/>
    <w:rsid w:val="0011018A"/>
    <w:rsid w:val="001102EF"/>
    <w:rsid w:val="00111B73"/>
    <w:rsid w:val="00111C36"/>
    <w:rsid w:val="00111ED9"/>
    <w:rsid w:val="00112DBF"/>
    <w:rsid w:val="00112FA0"/>
    <w:rsid w:val="001134AF"/>
    <w:rsid w:val="001140C9"/>
    <w:rsid w:val="00116B0C"/>
    <w:rsid w:val="0011780F"/>
    <w:rsid w:val="00117B8F"/>
    <w:rsid w:val="001206AD"/>
    <w:rsid w:val="00120823"/>
    <w:rsid w:val="00120D68"/>
    <w:rsid w:val="00121813"/>
    <w:rsid w:val="00121FA5"/>
    <w:rsid w:val="0012220F"/>
    <w:rsid w:val="0012255C"/>
    <w:rsid w:val="001228C6"/>
    <w:rsid w:val="00122F3C"/>
    <w:rsid w:val="001239A0"/>
    <w:rsid w:val="0012448A"/>
    <w:rsid w:val="00124BFE"/>
    <w:rsid w:val="00126D74"/>
    <w:rsid w:val="001274E6"/>
    <w:rsid w:val="00127BE6"/>
    <w:rsid w:val="00127C7C"/>
    <w:rsid w:val="00127D04"/>
    <w:rsid w:val="00130637"/>
    <w:rsid w:val="001337E9"/>
    <w:rsid w:val="0013407C"/>
    <w:rsid w:val="0013446C"/>
    <w:rsid w:val="00134B76"/>
    <w:rsid w:val="00134D35"/>
    <w:rsid w:val="00135DF7"/>
    <w:rsid w:val="001361BE"/>
    <w:rsid w:val="001361C3"/>
    <w:rsid w:val="001362F9"/>
    <w:rsid w:val="001373C9"/>
    <w:rsid w:val="00141686"/>
    <w:rsid w:val="00141B59"/>
    <w:rsid w:val="0014219D"/>
    <w:rsid w:val="00143673"/>
    <w:rsid w:val="00143E8E"/>
    <w:rsid w:val="001455CD"/>
    <w:rsid w:val="001473F1"/>
    <w:rsid w:val="00147A32"/>
    <w:rsid w:val="0015091C"/>
    <w:rsid w:val="00151BD2"/>
    <w:rsid w:val="00152518"/>
    <w:rsid w:val="001527AD"/>
    <w:rsid w:val="00153116"/>
    <w:rsid w:val="00153C63"/>
    <w:rsid w:val="001565E2"/>
    <w:rsid w:val="00161E3C"/>
    <w:rsid w:val="00162B3B"/>
    <w:rsid w:val="00163565"/>
    <w:rsid w:val="00164A42"/>
    <w:rsid w:val="001652C6"/>
    <w:rsid w:val="00165F79"/>
    <w:rsid w:val="0016606E"/>
    <w:rsid w:val="00166F8A"/>
    <w:rsid w:val="00172D62"/>
    <w:rsid w:val="00173069"/>
    <w:rsid w:val="00173CAF"/>
    <w:rsid w:val="00173D30"/>
    <w:rsid w:val="00173EC7"/>
    <w:rsid w:val="0017534D"/>
    <w:rsid w:val="00176638"/>
    <w:rsid w:val="0018154A"/>
    <w:rsid w:val="00181BB2"/>
    <w:rsid w:val="0018240A"/>
    <w:rsid w:val="00182C53"/>
    <w:rsid w:val="00185240"/>
    <w:rsid w:val="00185EC7"/>
    <w:rsid w:val="00186F43"/>
    <w:rsid w:val="00187F77"/>
    <w:rsid w:val="00191296"/>
    <w:rsid w:val="001923EA"/>
    <w:rsid w:val="001928EF"/>
    <w:rsid w:val="00192B20"/>
    <w:rsid w:val="00194DCF"/>
    <w:rsid w:val="001950FF"/>
    <w:rsid w:val="001963AB"/>
    <w:rsid w:val="00197375"/>
    <w:rsid w:val="00197544"/>
    <w:rsid w:val="001978CE"/>
    <w:rsid w:val="00197AEA"/>
    <w:rsid w:val="001A2A20"/>
    <w:rsid w:val="001A3E63"/>
    <w:rsid w:val="001A5CBA"/>
    <w:rsid w:val="001A6CAD"/>
    <w:rsid w:val="001A6E57"/>
    <w:rsid w:val="001B0218"/>
    <w:rsid w:val="001B07C0"/>
    <w:rsid w:val="001B1686"/>
    <w:rsid w:val="001B1B24"/>
    <w:rsid w:val="001B1E1F"/>
    <w:rsid w:val="001B362D"/>
    <w:rsid w:val="001B5503"/>
    <w:rsid w:val="001B6E20"/>
    <w:rsid w:val="001C00AD"/>
    <w:rsid w:val="001C0CAF"/>
    <w:rsid w:val="001C0EE0"/>
    <w:rsid w:val="001C1304"/>
    <w:rsid w:val="001C2018"/>
    <w:rsid w:val="001C544C"/>
    <w:rsid w:val="001C56D9"/>
    <w:rsid w:val="001C5796"/>
    <w:rsid w:val="001C6215"/>
    <w:rsid w:val="001C667F"/>
    <w:rsid w:val="001C6C96"/>
    <w:rsid w:val="001C77B9"/>
    <w:rsid w:val="001D1CB9"/>
    <w:rsid w:val="001D280F"/>
    <w:rsid w:val="001D2E47"/>
    <w:rsid w:val="001D441D"/>
    <w:rsid w:val="001D4679"/>
    <w:rsid w:val="001D46E8"/>
    <w:rsid w:val="001D4ACD"/>
    <w:rsid w:val="001D5E1D"/>
    <w:rsid w:val="001D66CB"/>
    <w:rsid w:val="001D74D7"/>
    <w:rsid w:val="001D779F"/>
    <w:rsid w:val="001E0FA9"/>
    <w:rsid w:val="001E2BC2"/>
    <w:rsid w:val="001E2C53"/>
    <w:rsid w:val="001E3340"/>
    <w:rsid w:val="001E48C2"/>
    <w:rsid w:val="001E730F"/>
    <w:rsid w:val="001E7EC8"/>
    <w:rsid w:val="001F0A97"/>
    <w:rsid w:val="001F184D"/>
    <w:rsid w:val="001F26DA"/>
    <w:rsid w:val="001F55A2"/>
    <w:rsid w:val="001F5CF9"/>
    <w:rsid w:val="001F6DAE"/>
    <w:rsid w:val="00200F80"/>
    <w:rsid w:val="00201B56"/>
    <w:rsid w:val="0020249D"/>
    <w:rsid w:val="0020324F"/>
    <w:rsid w:val="00203C38"/>
    <w:rsid w:val="00204EBB"/>
    <w:rsid w:val="002050F1"/>
    <w:rsid w:val="002059CB"/>
    <w:rsid w:val="00210F22"/>
    <w:rsid w:val="00212263"/>
    <w:rsid w:val="00212648"/>
    <w:rsid w:val="00212DDF"/>
    <w:rsid w:val="002144B2"/>
    <w:rsid w:val="00215543"/>
    <w:rsid w:val="00216334"/>
    <w:rsid w:val="002167D2"/>
    <w:rsid w:val="00216FC4"/>
    <w:rsid w:val="002177CC"/>
    <w:rsid w:val="00217E49"/>
    <w:rsid w:val="0022137A"/>
    <w:rsid w:val="00221A7B"/>
    <w:rsid w:val="00222074"/>
    <w:rsid w:val="002221AC"/>
    <w:rsid w:val="002222FE"/>
    <w:rsid w:val="002223D5"/>
    <w:rsid w:val="00222E17"/>
    <w:rsid w:val="00224679"/>
    <w:rsid w:val="00224A9E"/>
    <w:rsid w:val="00226627"/>
    <w:rsid w:val="0022766F"/>
    <w:rsid w:val="00227C2C"/>
    <w:rsid w:val="00227C8A"/>
    <w:rsid w:val="002301D6"/>
    <w:rsid w:val="00230702"/>
    <w:rsid w:val="002320AE"/>
    <w:rsid w:val="002326DE"/>
    <w:rsid w:val="00232FD5"/>
    <w:rsid w:val="00233EAE"/>
    <w:rsid w:val="00233FCA"/>
    <w:rsid w:val="002349CF"/>
    <w:rsid w:val="002356E1"/>
    <w:rsid w:val="00235EE4"/>
    <w:rsid w:val="00236AF7"/>
    <w:rsid w:val="0023777C"/>
    <w:rsid w:val="00237D5C"/>
    <w:rsid w:val="00240340"/>
    <w:rsid w:val="00240FCA"/>
    <w:rsid w:val="00241C61"/>
    <w:rsid w:val="0024234B"/>
    <w:rsid w:val="00243452"/>
    <w:rsid w:val="00243862"/>
    <w:rsid w:val="00243B32"/>
    <w:rsid w:val="002440CD"/>
    <w:rsid w:val="00244C0C"/>
    <w:rsid w:val="002457B3"/>
    <w:rsid w:val="00250447"/>
    <w:rsid w:val="0025121A"/>
    <w:rsid w:val="0025199D"/>
    <w:rsid w:val="002522BA"/>
    <w:rsid w:val="002522ED"/>
    <w:rsid w:val="00252F95"/>
    <w:rsid w:val="002541ED"/>
    <w:rsid w:val="00254CC1"/>
    <w:rsid w:val="00255B9E"/>
    <w:rsid w:val="00255EC6"/>
    <w:rsid w:val="00257FA3"/>
    <w:rsid w:val="00263D46"/>
    <w:rsid w:val="0026423E"/>
    <w:rsid w:val="00266606"/>
    <w:rsid w:val="00267C52"/>
    <w:rsid w:val="00270444"/>
    <w:rsid w:val="002719A8"/>
    <w:rsid w:val="00271A66"/>
    <w:rsid w:val="00271EB4"/>
    <w:rsid w:val="00272437"/>
    <w:rsid w:val="00272A58"/>
    <w:rsid w:val="00272A75"/>
    <w:rsid w:val="00272D48"/>
    <w:rsid w:val="00273724"/>
    <w:rsid w:val="00273746"/>
    <w:rsid w:val="00274489"/>
    <w:rsid w:val="00274546"/>
    <w:rsid w:val="00274903"/>
    <w:rsid w:val="002754BF"/>
    <w:rsid w:val="00275524"/>
    <w:rsid w:val="00276D1C"/>
    <w:rsid w:val="002776C2"/>
    <w:rsid w:val="002779CD"/>
    <w:rsid w:val="00280E50"/>
    <w:rsid w:val="00282036"/>
    <w:rsid w:val="00283851"/>
    <w:rsid w:val="00284156"/>
    <w:rsid w:val="002847EA"/>
    <w:rsid w:val="00284A8F"/>
    <w:rsid w:val="00285531"/>
    <w:rsid w:val="00285927"/>
    <w:rsid w:val="00286318"/>
    <w:rsid w:val="0028677A"/>
    <w:rsid w:val="00286865"/>
    <w:rsid w:val="002877EA"/>
    <w:rsid w:val="00287DF3"/>
    <w:rsid w:val="00287FC5"/>
    <w:rsid w:val="00290481"/>
    <w:rsid w:val="00290A06"/>
    <w:rsid w:val="002923C2"/>
    <w:rsid w:val="0029308F"/>
    <w:rsid w:val="002943CC"/>
    <w:rsid w:val="0029688B"/>
    <w:rsid w:val="002971A8"/>
    <w:rsid w:val="00297EA2"/>
    <w:rsid w:val="002A055D"/>
    <w:rsid w:val="002A0BFC"/>
    <w:rsid w:val="002A0D54"/>
    <w:rsid w:val="002A13AA"/>
    <w:rsid w:val="002A1DD9"/>
    <w:rsid w:val="002A4723"/>
    <w:rsid w:val="002A49F5"/>
    <w:rsid w:val="002A67D1"/>
    <w:rsid w:val="002A6DCE"/>
    <w:rsid w:val="002B08A2"/>
    <w:rsid w:val="002B0EE8"/>
    <w:rsid w:val="002B0FAD"/>
    <w:rsid w:val="002B16A7"/>
    <w:rsid w:val="002B17FA"/>
    <w:rsid w:val="002B2568"/>
    <w:rsid w:val="002B25E2"/>
    <w:rsid w:val="002B291B"/>
    <w:rsid w:val="002B299C"/>
    <w:rsid w:val="002B330C"/>
    <w:rsid w:val="002B3827"/>
    <w:rsid w:val="002B4952"/>
    <w:rsid w:val="002B64D3"/>
    <w:rsid w:val="002B76E7"/>
    <w:rsid w:val="002B7860"/>
    <w:rsid w:val="002C0148"/>
    <w:rsid w:val="002C0387"/>
    <w:rsid w:val="002C0E2F"/>
    <w:rsid w:val="002C1D6A"/>
    <w:rsid w:val="002C2919"/>
    <w:rsid w:val="002C2B2C"/>
    <w:rsid w:val="002C3650"/>
    <w:rsid w:val="002C3F3F"/>
    <w:rsid w:val="002C4984"/>
    <w:rsid w:val="002C4EB2"/>
    <w:rsid w:val="002C5639"/>
    <w:rsid w:val="002C591E"/>
    <w:rsid w:val="002C6B82"/>
    <w:rsid w:val="002D1C01"/>
    <w:rsid w:val="002D1F8B"/>
    <w:rsid w:val="002D2BF4"/>
    <w:rsid w:val="002D463B"/>
    <w:rsid w:val="002D486C"/>
    <w:rsid w:val="002D4CEC"/>
    <w:rsid w:val="002D5879"/>
    <w:rsid w:val="002D609B"/>
    <w:rsid w:val="002D7C64"/>
    <w:rsid w:val="002E0258"/>
    <w:rsid w:val="002E1317"/>
    <w:rsid w:val="002E1BEA"/>
    <w:rsid w:val="002E275D"/>
    <w:rsid w:val="002E2E64"/>
    <w:rsid w:val="002E304E"/>
    <w:rsid w:val="002E3C1E"/>
    <w:rsid w:val="002E40FD"/>
    <w:rsid w:val="002E4ACE"/>
    <w:rsid w:val="002E5184"/>
    <w:rsid w:val="002E525C"/>
    <w:rsid w:val="002E52B1"/>
    <w:rsid w:val="002E6757"/>
    <w:rsid w:val="002E675E"/>
    <w:rsid w:val="002E7F01"/>
    <w:rsid w:val="002F0121"/>
    <w:rsid w:val="002F1171"/>
    <w:rsid w:val="002F374C"/>
    <w:rsid w:val="002F5CD1"/>
    <w:rsid w:val="002F76A6"/>
    <w:rsid w:val="002F7A8F"/>
    <w:rsid w:val="003003E7"/>
    <w:rsid w:val="003019A1"/>
    <w:rsid w:val="003028AB"/>
    <w:rsid w:val="00302F4E"/>
    <w:rsid w:val="0030349A"/>
    <w:rsid w:val="0030552B"/>
    <w:rsid w:val="0030678F"/>
    <w:rsid w:val="00306E24"/>
    <w:rsid w:val="00307F40"/>
    <w:rsid w:val="003114B2"/>
    <w:rsid w:val="003121A4"/>
    <w:rsid w:val="00312CDD"/>
    <w:rsid w:val="00312F4B"/>
    <w:rsid w:val="00314556"/>
    <w:rsid w:val="003149A1"/>
    <w:rsid w:val="00317334"/>
    <w:rsid w:val="0032187A"/>
    <w:rsid w:val="003224B1"/>
    <w:rsid w:val="003224F3"/>
    <w:rsid w:val="00324A90"/>
    <w:rsid w:val="003261FD"/>
    <w:rsid w:val="00326D3F"/>
    <w:rsid w:val="0032718E"/>
    <w:rsid w:val="003275EB"/>
    <w:rsid w:val="00327E24"/>
    <w:rsid w:val="003300D0"/>
    <w:rsid w:val="00330504"/>
    <w:rsid w:val="00330816"/>
    <w:rsid w:val="003313A8"/>
    <w:rsid w:val="003318D8"/>
    <w:rsid w:val="00331D43"/>
    <w:rsid w:val="00333701"/>
    <w:rsid w:val="00333B6E"/>
    <w:rsid w:val="00333D25"/>
    <w:rsid w:val="00334F6D"/>
    <w:rsid w:val="003358AD"/>
    <w:rsid w:val="00336993"/>
    <w:rsid w:val="00340445"/>
    <w:rsid w:val="003404AE"/>
    <w:rsid w:val="003412E2"/>
    <w:rsid w:val="00341CC7"/>
    <w:rsid w:val="00341EA1"/>
    <w:rsid w:val="0034273F"/>
    <w:rsid w:val="003436A0"/>
    <w:rsid w:val="0034397F"/>
    <w:rsid w:val="003446DD"/>
    <w:rsid w:val="00345AB0"/>
    <w:rsid w:val="0034705C"/>
    <w:rsid w:val="00347369"/>
    <w:rsid w:val="00350190"/>
    <w:rsid w:val="00350B9D"/>
    <w:rsid w:val="00352FD9"/>
    <w:rsid w:val="00353468"/>
    <w:rsid w:val="00354572"/>
    <w:rsid w:val="0035658F"/>
    <w:rsid w:val="00357356"/>
    <w:rsid w:val="00357497"/>
    <w:rsid w:val="0035766D"/>
    <w:rsid w:val="00357B04"/>
    <w:rsid w:val="0036136F"/>
    <w:rsid w:val="0036139D"/>
    <w:rsid w:val="0036251C"/>
    <w:rsid w:val="00362719"/>
    <w:rsid w:val="00362B23"/>
    <w:rsid w:val="003650B1"/>
    <w:rsid w:val="003660DC"/>
    <w:rsid w:val="00367EA1"/>
    <w:rsid w:val="00370E55"/>
    <w:rsid w:val="00370ED9"/>
    <w:rsid w:val="00371FCF"/>
    <w:rsid w:val="003723CF"/>
    <w:rsid w:val="00372DFA"/>
    <w:rsid w:val="00373C15"/>
    <w:rsid w:val="00374999"/>
    <w:rsid w:val="0037530F"/>
    <w:rsid w:val="00375D02"/>
    <w:rsid w:val="00377CEA"/>
    <w:rsid w:val="003804FC"/>
    <w:rsid w:val="00380643"/>
    <w:rsid w:val="003807A9"/>
    <w:rsid w:val="003817AB"/>
    <w:rsid w:val="00383269"/>
    <w:rsid w:val="0038355F"/>
    <w:rsid w:val="00385106"/>
    <w:rsid w:val="00385AAC"/>
    <w:rsid w:val="003860E4"/>
    <w:rsid w:val="00386F85"/>
    <w:rsid w:val="00390038"/>
    <w:rsid w:val="0039037C"/>
    <w:rsid w:val="00393846"/>
    <w:rsid w:val="00393F9B"/>
    <w:rsid w:val="00394857"/>
    <w:rsid w:val="00394B92"/>
    <w:rsid w:val="003953B1"/>
    <w:rsid w:val="003953FA"/>
    <w:rsid w:val="00395813"/>
    <w:rsid w:val="00396BE3"/>
    <w:rsid w:val="00397939"/>
    <w:rsid w:val="00397F84"/>
    <w:rsid w:val="003A04DA"/>
    <w:rsid w:val="003A169D"/>
    <w:rsid w:val="003A30D2"/>
    <w:rsid w:val="003A31B1"/>
    <w:rsid w:val="003A4532"/>
    <w:rsid w:val="003A5690"/>
    <w:rsid w:val="003A595C"/>
    <w:rsid w:val="003A67E5"/>
    <w:rsid w:val="003A68F6"/>
    <w:rsid w:val="003B4D7B"/>
    <w:rsid w:val="003B50C8"/>
    <w:rsid w:val="003C2129"/>
    <w:rsid w:val="003C2447"/>
    <w:rsid w:val="003C2932"/>
    <w:rsid w:val="003C2B70"/>
    <w:rsid w:val="003C3340"/>
    <w:rsid w:val="003C46DE"/>
    <w:rsid w:val="003C48ED"/>
    <w:rsid w:val="003C492B"/>
    <w:rsid w:val="003C4A6F"/>
    <w:rsid w:val="003C575D"/>
    <w:rsid w:val="003C5D65"/>
    <w:rsid w:val="003C624F"/>
    <w:rsid w:val="003C7A61"/>
    <w:rsid w:val="003D233D"/>
    <w:rsid w:val="003D3768"/>
    <w:rsid w:val="003D3BFB"/>
    <w:rsid w:val="003D3C83"/>
    <w:rsid w:val="003D3CAA"/>
    <w:rsid w:val="003D4D1C"/>
    <w:rsid w:val="003D4FC5"/>
    <w:rsid w:val="003D512E"/>
    <w:rsid w:val="003D55B3"/>
    <w:rsid w:val="003D5B44"/>
    <w:rsid w:val="003D5CC1"/>
    <w:rsid w:val="003D7248"/>
    <w:rsid w:val="003E002B"/>
    <w:rsid w:val="003E0B5C"/>
    <w:rsid w:val="003E0F56"/>
    <w:rsid w:val="003E2861"/>
    <w:rsid w:val="003E32F9"/>
    <w:rsid w:val="003E3650"/>
    <w:rsid w:val="003E3B94"/>
    <w:rsid w:val="003E41EE"/>
    <w:rsid w:val="003E4C4D"/>
    <w:rsid w:val="003E5F8D"/>
    <w:rsid w:val="003E601A"/>
    <w:rsid w:val="003E6157"/>
    <w:rsid w:val="003E66E7"/>
    <w:rsid w:val="003E71C8"/>
    <w:rsid w:val="003F1145"/>
    <w:rsid w:val="003F2D68"/>
    <w:rsid w:val="003F3968"/>
    <w:rsid w:val="003F4037"/>
    <w:rsid w:val="003F4ADF"/>
    <w:rsid w:val="003F4F6F"/>
    <w:rsid w:val="003F562C"/>
    <w:rsid w:val="003F59C8"/>
    <w:rsid w:val="00401086"/>
    <w:rsid w:val="00401C99"/>
    <w:rsid w:val="00402F90"/>
    <w:rsid w:val="00403188"/>
    <w:rsid w:val="004035E1"/>
    <w:rsid w:val="00403F3F"/>
    <w:rsid w:val="00404644"/>
    <w:rsid w:val="00404722"/>
    <w:rsid w:val="0040490F"/>
    <w:rsid w:val="00404AA3"/>
    <w:rsid w:val="00405768"/>
    <w:rsid w:val="00405DF9"/>
    <w:rsid w:val="00406215"/>
    <w:rsid w:val="004103CE"/>
    <w:rsid w:val="00412D36"/>
    <w:rsid w:val="00413D3E"/>
    <w:rsid w:val="00416190"/>
    <w:rsid w:val="00416A97"/>
    <w:rsid w:val="00420510"/>
    <w:rsid w:val="00422B6A"/>
    <w:rsid w:val="004240F2"/>
    <w:rsid w:val="004301B2"/>
    <w:rsid w:val="00430449"/>
    <w:rsid w:val="0043088F"/>
    <w:rsid w:val="00434958"/>
    <w:rsid w:val="004364DE"/>
    <w:rsid w:val="004365B4"/>
    <w:rsid w:val="00440EFB"/>
    <w:rsid w:val="00441D4C"/>
    <w:rsid w:val="00442F63"/>
    <w:rsid w:val="00443B07"/>
    <w:rsid w:val="00444E0E"/>
    <w:rsid w:val="00444EA4"/>
    <w:rsid w:val="00445B13"/>
    <w:rsid w:val="00445D5C"/>
    <w:rsid w:val="00447680"/>
    <w:rsid w:val="00447C1D"/>
    <w:rsid w:val="00450412"/>
    <w:rsid w:val="00450C7C"/>
    <w:rsid w:val="00450FFC"/>
    <w:rsid w:val="00451650"/>
    <w:rsid w:val="0045254E"/>
    <w:rsid w:val="00452584"/>
    <w:rsid w:val="0045389D"/>
    <w:rsid w:val="00454B54"/>
    <w:rsid w:val="004554DF"/>
    <w:rsid w:val="0045644A"/>
    <w:rsid w:val="00456EEE"/>
    <w:rsid w:val="00457886"/>
    <w:rsid w:val="00457C85"/>
    <w:rsid w:val="00460F97"/>
    <w:rsid w:val="00462B0E"/>
    <w:rsid w:val="00462F2C"/>
    <w:rsid w:val="004647B1"/>
    <w:rsid w:val="00464E17"/>
    <w:rsid w:val="00465288"/>
    <w:rsid w:val="00466115"/>
    <w:rsid w:val="0046614E"/>
    <w:rsid w:val="00466839"/>
    <w:rsid w:val="004671E8"/>
    <w:rsid w:val="00467584"/>
    <w:rsid w:val="004675F5"/>
    <w:rsid w:val="00467936"/>
    <w:rsid w:val="00470D4D"/>
    <w:rsid w:val="00472A22"/>
    <w:rsid w:val="00472DC6"/>
    <w:rsid w:val="004772A2"/>
    <w:rsid w:val="00480B51"/>
    <w:rsid w:val="00480F04"/>
    <w:rsid w:val="00481BD2"/>
    <w:rsid w:val="00481D62"/>
    <w:rsid w:val="00481F7F"/>
    <w:rsid w:val="00482D55"/>
    <w:rsid w:val="00483217"/>
    <w:rsid w:val="00485B3A"/>
    <w:rsid w:val="00485B67"/>
    <w:rsid w:val="00486770"/>
    <w:rsid w:val="0048713C"/>
    <w:rsid w:val="00490962"/>
    <w:rsid w:val="004939C7"/>
    <w:rsid w:val="00493D13"/>
    <w:rsid w:val="00494471"/>
    <w:rsid w:val="00495354"/>
    <w:rsid w:val="00495447"/>
    <w:rsid w:val="00496623"/>
    <w:rsid w:val="00496628"/>
    <w:rsid w:val="004A039F"/>
    <w:rsid w:val="004A34A8"/>
    <w:rsid w:val="004A38B0"/>
    <w:rsid w:val="004A55F8"/>
    <w:rsid w:val="004A600A"/>
    <w:rsid w:val="004A61B3"/>
    <w:rsid w:val="004B03E7"/>
    <w:rsid w:val="004B087B"/>
    <w:rsid w:val="004B0B5B"/>
    <w:rsid w:val="004B19C5"/>
    <w:rsid w:val="004B204A"/>
    <w:rsid w:val="004B382B"/>
    <w:rsid w:val="004B3D1A"/>
    <w:rsid w:val="004B4B41"/>
    <w:rsid w:val="004B52A3"/>
    <w:rsid w:val="004B55CD"/>
    <w:rsid w:val="004B56EC"/>
    <w:rsid w:val="004B624F"/>
    <w:rsid w:val="004B7600"/>
    <w:rsid w:val="004C034A"/>
    <w:rsid w:val="004C172F"/>
    <w:rsid w:val="004C181C"/>
    <w:rsid w:val="004C1D29"/>
    <w:rsid w:val="004C264C"/>
    <w:rsid w:val="004C44E9"/>
    <w:rsid w:val="004C46AE"/>
    <w:rsid w:val="004C4837"/>
    <w:rsid w:val="004C4BF7"/>
    <w:rsid w:val="004C597D"/>
    <w:rsid w:val="004C61D1"/>
    <w:rsid w:val="004C70DE"/>
    <w:rsid w:val="004C7EF0"/>
    <w:rsid w:val="004D01E7"/>
    <w:rsid w:val="004D270E"/>
    <w:rsid w:val="004D3092"/>
    <w:rsid w:val="004D7DAA"/>
    <w:rsid w:val="004E24AF"/>
    <w:rsid w:val="004E2DDC"/>
    <w:rsid w:val="004E2F19"/>
    <w:rsid w:val="004E38E5"/>
    <w:rsid w:val="004E3C06"/>
    <w:rsid w:val="004E3C45"/>
    <w:rsid w:val="004E6C35"/>
    <w:rsid w:val="004E72F4"/>
    <w:rsid w:val="004F01FC"/>
    <w:rsid w:val="004F095F"/>
    <w:rsid w:val="004F0CFE"/>
    <w:rsid w:val="004F0E25"/>
    <w:rsid w:val="004F1205"/>
    <w:rsid w:val="004F180A"/>
    <w:rsid w:val="004F1D81"/>
    <w:rsid w:val="004F229F"/>
    <w:rsid w:val="004F2DDA"/>
    <w:rsid w:val="004F4697"/>
    <w:rsid w:val="004F53DA"/>
    <w:rsid w:val="004F5E1B"/>
    <w:rsid w:val="004F639C"/>
    <w:rsid w:val="004F7347"/>
    <w:rsid w:val="004F7A54"/>
    <w:rsid w:val="004F7A75"/>
    <w:rsid w:val="005011BE"/>
    <w:rsid w:val="005013AF"/>
    <w:rsid w:val="005013BD"/>
    <w:rsid w:val="00501A5E"/>
    <w:rsid w:val="0050318E"/>
    <w:rsid w:val="005033D3"/>
    <w:rsid w:val="00504A67"/>
    <w:rsid w:val="00504E56"/>
    <w:rsid w:val="0050558F"/>
    <w:rsid w:val="005078BA"/>
    <w:rsid w:val="00507BED"/>
    <w:rsid w:val="00510773"/>
    <w:rsid w:val="00510E7B"/>
    <w:rsid w:val="00511404"/>
    <w:rsid w:val="00511C68"/>
    <w:rsid w:val="00512228"/>
    <w:rsid w:val="00512BAF"/>
    <w:rsid w:val="00512C36"/>
    <w:rsid w:val="0051758C"/>
    <w:rsid w:val="00523674"/>
    <w:rsid w:val="005239D9"/>
    <w:rsid w:val="005245D2"/>
    <w:rsid w:val="00525219"/>
    <w:rsid w:val="005266CE"/>
    <w:rsid w:val="005302E9"/>
    <w:rsid w:val="00533273"/>
    <w:rsid w:val="00533E48"/>
    <w:rsid w:val="00535FD3"/>
    <w:rsid w:val="005367C5"/>
    <w:rsid w:val="00537B47"/>
    <w:rsid w:val="00537DD5"/>
    <w:rsid w:val="005401A4"/>
    <w:rsid w:val="005415B8"/>
    <w:rsid w:val="00541883"/>
    <w:rsid w:val="00542ACD"/>
    <w:rsid w:val="00543CB0"/>
    <w:rsid w:val="00544A61"/>
    <w:rsid w:val="0054622C"/>
    <w:rsid w:val="0054687C"/>
    <w:rsid w:val="00546CC0"/>
    <w:rsid w:val="00546DBB"/>
    <w:rsid w:val="00546E07"/>
    <w:rsid w:val="00546EBF"/>
    <w:rsid w:val="00547F91"/>
    <w:rsid w:val="005510E5"/>
    <w:rsid w:val="00551216"/>
    <w:rsid w:val="00551355"/>
    <w:rsid w:val="00551451"/>
    <w:rsid w:val="00551CAC"/>
    <w:rsid w:val="00552BBB"/>
    <w:rsid w:val="00552CFF"/>
    <w:rsid w:val="00552E8A"/>
    <w:rsid w:val="0055340F"/>
    <w:rsid w:val="005537A9"/>
    <w:rsid w:val="00553DF3"/>
    <w:rsid w:val="00553E35"/>
    <w:rsid w:val="00554148"/>
    <w:rsid w:val="00555404"/>
    <w:rsid w:val="00557A53"/>
    <w:rsid w:val="00560BA2"/>
    <w:rsid w:val="00561083"/>
    <w:rsid w:val="00561186"/>
    <w:rsid w:val="0056257D"/>
    <w:rsid w:val="005654D9"/>
    <w:rsid w:val="0056582B"/>
    <w:rsid w:val="00566C66"/>
    <w:rsid w:val="00566E17"/>
    <w:rsid w:val="005700D6"/>
    <w:rsid w:val="005703B3"/>
    <w:rsid w:val="00570AA2"/>
    <w:rsid w:val="005713E8"/>
    <w:rsid w:val="00571A0C"/>
    <w:rsid w:val="00573990"/>
    <w:rsid w:val="00573AF7"/>
    <w:rsid w:val="00573D02"/>
    <w:rsid w:val="00574907"/>
    <w:rsid w:val="00574AB1"/>
    <w:rsid w:val="0057504D"/>
    <w:rsid w:val="005758CB"/>
    <w:rsid w:val="00575A1D"/>
    <w:rsid w:val="00577ACD"/>
    <w:rsid w:val="00580395"/>
    <w:rsid w:val="00581A95"/>
    <w:rsid w:val="005826C3"/>
    <w:rsid w:val="00583317"/>
    <w:rsid w:val="00584463"/>
    <w:rsid w:val="00584550"/>
    <w:rsid w:val="005846AF"/>
    <w:rsid w:val="00584A3D"/>
    <w:rsid w:val="00584E1E"/>
    <w:rsid w:val="0058500C"/>
    <w:rsid w:val="005850E6"/>
    <w:rsid w:val="0058557B"/>
    <w:rsid w:val="0058575E"/>
    <w:rsid w:val="00586700"/>
    <w:rsid w:val="00590033"/>
    <w:rsid w:val="00591458"/>
    <w:rsid w:val="00591569"/>
    <w:rsid w:val="00593F84"/>
    <w:rsid w:val="005944CF"/>
    <w:rsid w:val="00594682"/>
    <w:rsid w:val="00594A6D"/>
    <w:rsid w:val="005977B2"/>
    <w:rsid w:val="00597F75"/>
    <w:rsid w:val="005A09F2"/>
    <w:rsid w:val="005A46D3"/>
    <w:rsid w:val="005A56FE"/>
    <w:rsid w:val="005A6B93"/>
    <w:rsid w:val="005A746D"/>
    <w:rsid w:val="005A7FD0"/>
    <w:rsid w:val="005B01FB"/>
    <w:rsid w:val="005B1E49"/>
    <w:rsid w:val="005B2E58"/>
    <w:rsid w:val="005B3998"/>
    <w:rsid w:val="005B427E"/>
    <w:rsid w:val="005B4ACB"/>
    <w:rsid w:val="005B5A78"/>
    <w:rsid w:val="005B5FB5"/>
    <w:rsid w:val="005B767E"/>
    <w:rsid w:val="005C005D"/>
    <w:rsid w:val="005C04E8"/>
    <w:rsid w:val="005C1A64"/>
    <w:rsid w:val="005C39D3"/>
    <w:rsid w:val="005C3A5B"/>
    <w:rsid w:val="005C3EE5"/>
    <w:rsid w:val="005C4252"/>
    <w:rsid w:val="005C4A32"/>
    <w:rsid w:val="005C4AD1"/>
    <w:rsid w:val="005C5EE8"/>
    <w:rsid w:val="005C6E09"/>
    <w:rsid w:val="005D229D"/>
    <w:rsid w:val="005D3271"/>
    <w:rsid w:val="005D32FE"/>
    <w:rsid w:val="005D3BF8"/>
    <w:rsid w:val="005D4675"/>
    <w:rsid w:val="005D46C1"/>
    <w:rsid w:val="005D515A"/>
    <w:rsid w:val="005D5195"/>
    <w:rsid w:val="005D55F1"/>
    <w:rsid w:val="005D6D44"/>
    <w:rsid w:val="005D72D5"/>
    <w:rsid w:val="005D7D70"/>
    <w:rsid w:val="005E2295"/>
    <w:rsid w:val="005E3BAF"/>
    <w:rsid w:val="005E4D13"/>
    <w:rsid w:val="005E4F7E"/>
    <w:rsid w:val="005E52AE"/>
    <w:rsid w:val="005E58A7"/>
    <w:rsid w:val="005E5B82"/>
    <w:rsid w:val="005E658D"/>
    <w:rsid w:val="005F0040"/>
    <w:rsid w:val="005F0DA1"/>
    <w:rsid w:val="005F10E8"/>
    <w:rsid w:val="005F11D8"/>
    <w:rsid w:val="005F1D72"/>
    <w:rsid w:val="005F35B0"/>
    <w:rsid w:val="005F39BC"/>
    <w:rsid w:val="005F6958"/>
    <w:rsid w:val="005F6B0F"/>
    <w:rsid w:val="005F6BAE"/>
    <w:rsid w:val="005F76C6"/>
    <w:rsid w:val="005F7DA3"/>
    <w:rsid w:val="006002B4"/>
    <w:rsid w:val="00601225"/>
    <w:rsid w:val="006044AD"/>
    <w:rsid w:val="0060534A"/>
    <w:rsid w:val="006054A5"/>
    <w:rsid w:val="00605D15"/>
    <w:rsid w:val="006061A5"/>
    <w:rsid w:val="006068CB"/>
    <w:rsid w:val="00607301"/>
    <w:rsid w:val="00607662"/>
    <w:rsid w:val="00610070"/>
    <w:rsid w:val="00611408"/>
    <w:rsid w:val="006114EF"/>
    <w:rsid w:val="00614595"/>
    <w:rsid w:val="00615C79"/>
    <w:rsid w:val="00615EAC"/>
    <w:rsid w:val="006214B6"/>
    <w:rsid w:val="0062190F"/>
    <w:rsid w:val="00621D39"/>
    <w:rsid w:val="00621EC1"/>
    <w:rsid w:val="006226A6"/>
    <w:rsid w:val="0062390D"/>
    <w:rsid w:val="0062406A"/>
    <w:rsid w:val="00624304"/>
    <w:rsid w:val="00625BF2"/>
    <w:rsid w:val="00625C12"/>
    <w:rsid w:val="0062688F"/>
    <w:rsid w:val="00631C93"/>
    <w:rsid w:val="00632563"/>
    <w:rsid w:val="00632B19"/>
    <w:rsid w:val="0063337D"/>
    <w:rsid w:val="0063364F"/>
    <w:rsid w:val="00633781"/>
    <w:rsid w:val="00634C13"/>
    <w:rsid w:val="00634D23"/>
    <w:rsid w:val="00635738"/>
    <w:rsid w:val="0063576B"/>
    <w:rsid w:val="00636AC6"/>
    <w:rsid w:val="00637D1D"/>
    <w:rsid w:val="006416BF"/>
    <w:rsid w:val="00641835"/>
    <w:rsid w:val="00641AB7"/>
    <w:rsid w:val="0064232F"/>
    <w:rsid w:val="006424A1"/>
    <w:rsid w:val="00644413"/>
    <w:rsid w:val="0064483D"/>
    <w:rsid w:val="00645A3E"/>
    <w:rsid w:val="00647896"/>
    <w:rsid w:val="00647D10"/>
    <w:rsid w:val="006501BE"/>
    <w:rsid w:val="006514CE"/>
    <w:rsid w:val="006518CF"/>
    <w:rsid w:val="006524F3"/>
    <w:rsid w:val="00652EA6"/>
    <w:rsid w:val="006531A1"/>
    <w:rsid w:val="006537D3"/>
    <w:rsid w:val="0065488C"/>
    <w:rsid w:val="00655170"/>
    <w:rsid w:val="00655BE3"/>
    <w:rsid w:val="00660489"/>
    <w:rsid w:val="006607F0"/>
    <w:rsid w:val="0066096E"/>
    <w:rsid w:val="00660DFE"/>
    <w:rsid w:val="006627CC"/>
    <w:rsid w:val="00662C68"/>
    <w:rsid w:val="0066338F"/>
    <w:rsid w:val="006651BB"/>
    <w:rsid w:val="006668B4"/>
    <w:rsid w:val="00666A23"/>
    <w:rsid w:val="0067013D"/>
    <w:rsid w:val="00670C0E"/>
    <w:rsid w:val="006723F6"/>
    <w:rsid w:val="006726CB"/>
    <w:rsid w:val="00672CC4"/>
    <w:rsid w:val="006769A9"/>
    <w:rsid w:val="00676A33"/>
    <w:rsid w:val="00676B6D"/>
    <w:rsid w:val="00677EDA"/>
    <w:rsid w:val="006801FE"/>
    <w:rsid w:val="00680F06"/>
    <w:rsid w:val="006832DE"/>
    <w:rsid w:val="00684390"/>
    <w:rsid w:val="00684B06"/>
    <w:rsid w:val="00685295"/>
    <w:rsid w:val="00685AD7"/>
    <w:rsid w:val="00685F55"/>
    <w:rsid w:val="006864C2"/>
    <w:rsid w:val="00686D8F"/>
    <w:rsid w:val="00686F4F"/>
    <w:rsid w:val="00690FEB"/>
    <w:rsid w:val="00691295"/>
    <w:rsid w:val="00691522"/>
    <w:rsid w:val="00691B37"/>
    <w:rsid w:val="00691CC4"/>
    <w:rsid w:val="00691F02"/>
    <w:rsid w:val="00692110"/>
    <w:rsid w:val="006923CE"/>
    <w:rsid w:val="00692524"/>
    <w:rsid w:val="00695587"/>
    <w:rsid w:val="00695B16"/>
    <w:rsid w:val="00696297"/>
    <w:rsid w:val="006962AA"/>
    <w:rsid w:val="00696E63"/>
    <w:rsid w:val="00697343"/>
    <w:rsid w:val="00697359"/>
    <w:rsid w:val="00697743"/>
    <w:rsid w:val="00697D60"/>
    <w:rsid w:val="006A03B5"/>
    <w:rsid w:val="006A058D"/>
    <w:rsid w:val="006A202B"/>
    <w:rsid w:val="006A459E"/>
    <w:rsid w:val="006A4C47"/>
    <w:rsid w:val="006A58D0"/>
    <w:rsid w:val="006A60DB"/>
    <w:rsid w:val="006A61A1"/>
    <w:rsid w:val="006A62D1"/>
    <w:rsid w:val="006B0754"/>
    <w:rsid w:val="006B0D5C"/>
    <w:rsid w:val="006B1106"/>
    <w:rsid w:val="006B185C"/>
    <w:rsid w:val="006B19D8"/>
    <w:rsid w:val="006B3DEA"/>
    <w:rsid w:val="006B3F29"/>
    <w:rsid w:val="006B4444"/>
    <w:rsid w:val="006B4A7F"/>
    <w:rsid w:val="006B5199"/>
    <w:rsid w:val="006B64B9"/>
    <w:rsid w:val="006C021D"/>
    <w:rsid w:val="006C13B3"/>
    <w:rsid w:val="006C166A"/>
    <w:rsid w:val="006C1C97"/>
    <w:rsid w:val="006C4BB9"/>
    <w:rsid w:val="006C61E0"/>
    <w:rsid w:val="006C6D9C"/>
    <w:rsid w:val="006C7F5E"/>
    <w:rsid w:val="006C7F6F"/>
    <w:rsid w:val="006D2565"/>
    <w:rsid w:val="006D27EC"/>
    <w:rsid w:val="006D2A73"/>
    <w:rsid w:val="006D35C7"/>
    <w:rsid w:val="006D3A56"/>
    <w:rsid w:val="006D4D6E"/>
    <w:rsid w:val="006D5FD5"/>
    <w:rsid w:val="006D70D2"/>
    <w:rsid w:val="006D70E4"/>
    <w:rsid w:val="006E011C"/>
    <w:rsid w:val="006E1CB1"/>
    <w:rsid w:val="006E285F"/>
    <w:rsid w:val="006E28AC"/>
    <w:rsid w:val="006E3A64"/>
    <w:rsid w:val="006E42A3"/>
    <w:rsid w:val="006E470A"/>
    <w:rsid w:val="006E7867"/>
    <w:rsid w:val="006F0711"/>
    <w:rsid w:val="006F1E4A"/>
    <w:rsid w:val="006F2FE9"/>
    <w:rsid w:val="006F3B52"/>
    <w:rsid w:val="006F3F41"/>
    <w:rsid w:val="006F536A"/>
    <w:rsid w:val="006F5E46"/>
    <w:rsid w:val="006F5F4D"/>
    <w:rsid w:val="006F6231"/>
    <w:rsid w:val="007000DC"/>
    <w:rsid w:val="00702019"/>
    <w:rsid w:val="00702286"/>
    <w:rsid w:val="007034C8"/>
    <w:rsid w:val="00703AC9"/>
    <w:rsid w:val="00703CEB"/>
    <w:rsid w:val="0070576B"/>
    <w:rsid w:val="0070614A"/>
    <w:rsid w:val="00706231"/>
    <w:rsid w:val="00706B0B"/>
    <w:rsid w:val="00707392"/>
    <w:rsid w:val="00707F03"/>
    <w:rsid w:val="00711ABF"/>
    <w:rsid w:val="00712086"/>
    <w:rsid w:val="00712E39"/>
    <w:rsid w:val="00712F99"/>
    <w:rsid w:val="00716332"/>
    <w:rsid w:val="00716688"/>
    <w:rsid w:val="007170D5"/>
    <w:rsid w:val="00717B7B"/>
    <w:rsid w:val="00720426"/>
    <w:rsid w:val="0072165E"/>
    <w:rsid w:val="0072176F"/>
    <w:rsid w:val="00721B3D"/>
    <w:rsid w:val="00721F25"/>
    <w:rsid w:val="00722716"/>
    <w:rsid w:val="007231EB"/>
    <w:rsid w:val="007233ED"/>
    <w:rsid w:val="00724194"/>
    <w:rsid w:val="007247D9"/>
    <w:rsid w:val="00724B8E"/>
    <w:rsid w:val="0072591F"/>
    <w:rsid w:val="00725C67"/>
    <w:rsid w:val="00726A03"/>
    <w:rsid w:val="00727BAB"/>
    <w:rsid w:val="00731C7F"/>
    <w:rsid w:val="0073280C"/>
    <w:rsid w:val="00733DF6"/>
    <w:rsid w:val="00733EB3"/>
    <w:rsid w:val="007340D7"/>
    <w:rsid w:val="0073446A"/>
    <w:rsid w:val="007363D4"/>
    <w:rsid w:val="007369DB"/>
    <w:rsid w:val="00736A16"/>
    <w:rsid w:val="00736ED5"/>
    <w:rsid w:val="00737EAF"/>
    <w:rsid w:val="00737EE7"/>
    <w:rsid w:val="0074036E"/>
    <w:rsid w:val="007408CB"/>
    <w:rsid w:val="00742C69"/>
    <w:rsid w:val="00744385"/>
    <w:rsid w:val="007447AC"/>
    <w:rsid w:val="0074535B"/>
    <w:rsid w:val="0074604D"/>
    <w:rsid w:val="007465E1"/>
    <w:rsid w:val="007469C9"/>
    <w:rsid w:val="00747715"/>
    <w:rsid w:val="00747A94"/>
    <w:rsid w:val="00750410"/>
    <w:rsid w:val="00751149"/>
    <w:rsid w:val="00753594"/>
    <w:rsid w:val="00753628"/>
    <w:rsid w:val="007536B6"/>
    <w:rsid w:val="00754CF8"/>
    <w:rsid w:val="007564E8"/>
    <w:rsid w:val="007565FE"/>
    <w:rsid w:val="0076190B"/>
    <w:rsid w:val="00762232"/>
    <w:rsid w:val="007622DE"/>
    <w:rsid w:val="007629BB"/>
    <w:rsid w:val="00763164"/>
    <w:rsid w:val="007633FE"/>
    <w:rsid w:val="00766293"/>
    <w:rsid w:val="00766FCF"/>
    <w:rsid w:val="00767514"/>
    <w:rsid w:val="00770E51"/>
    <w:rsid w:val="00771451"/>
    <w:rsid w:val="00771ECF"/>
    <w:rsid w:val="007720EB"/>
    <w:rsid w:val="00772133"/>
    <w:rsid w:val="00772354"/>
    <w:rsid w:val="00773112"/>
    <w:rsid w:val="007750CD"/>
    <w:rsid w:val="0077562D"/>
    <w:rsid w:val="00775682"/>
    <w:rsid w:val="00775FF2"/>
    <w:rsid w:val="0077667F"/>
    <w:rsid w:val="00780AB6"/>
    <w:rsid w:val="00780E70"/>
    <w:rsid w:val="00781AFA"/>
    <w:rsid w:val="007836B1"/>
    <w:rsid w:val="0078378E"/>
    <w:rsid w:val="00783B97"/>
    <w:rsid w:val="007843AC"/>
    <w:rsid w:val="007849CC"/>
    <w:rsid w:val="00784A31"/>
    <w:rsid w:val="00784A6F"/>
    <w:rsid w:val="00785085"/>
    <w:rsid w:val="00786200"/>
    <w:rsid w:val="0078659C"/>
    <w:rsid w:val="00786B4D"/>
    <w:rsid w:val="00790A2C"/>
    <w:rsid w:val="00790C76"/>
    <w:rsid w:val="00790E30"/>
    <w:rsid w:val="0079190B"/>
    <w:rsid w:val="00792CBD"/>
    <w:rsid w:val="00792F3C"/>
    <w:rsid w:val="007930B2"/>
    <w:rsid w:val="00793C04"/>
    <w:rsid w:val="00794B16"/>
    <w:rsid w:val="0079527A"/>
    <w:rsid w:val="007960D8"/>
    <w:rsid w:val="0079616D"/>
    <w:rsid w:val="007971EF"/>
    <w:rsid w:val="00797CD5"/>
    <w:rsid w:val="007A0061"/>
    <w:rsid w:val="007A088F"/>
    <w:rsid w:val="007A3193"/>
    <w:rsid w:val="007A3630"/>
    <w:rsid w:val="007A49DF"/>
    <w:rsid w:val="007A6ECE"/>
    <w:rsid w:val="007A7C26"/>
    <w:rsid w:val="007B1188"/>
    <w:rsid w:val="007B1785"/>
    <w:rsid w:val="007B1999"/>
    <w:rsid w:val="007B3775"/>
    <w:rsid w:val="007B3C89"/>
    <w:rsid w:val="007B623C"/>
    <w:rsid w:val="007B626C"/>
    <w:rsid w:val="007B677E"/>
    <w:rsid w:val="007B7241"/>
    <w:rsid w:val="007B7F1D"/>
    <w:rsid w:val="007C1BE5"/>
    <w:rsid w:val="007C2471"/>
    <w:rsid w:val="007C3171"/>
    <w:rsid w:val="007C3809"/>
    <w:rsid w:val="007C3B2F"/>
    <w:rsid w:val="007C44C7"/>
    <w:rsid w:val="007C5232"/>
    <w:rsid w:val="007C5FF3"/>
    <w:rsid w:val="007C7385"/>
    <w:rsid w:val="007C73F2"/>
    <w:rsid w:val="007C7C5E"/>
    <w:rsid w:val="007D1518"/>
    <w:rsid w:val="007D2D3F"/>
    <w:rsid w:val="007D3AD7"/>
    <w:rsid w:val="007D3C53"/>
    <w:rsid w:val="007D5ABB"/>
    <w:rsid w:val="007D66F6"/>
    <w:rsid w:val="007D7461"/>
    <w:rsid w:val="007D7F09"/>
    <w:rsid w:val="007E0C13"/>
    <w:rsid w:val="007E1145"/>
    <w:rsid w:val="007E122E"/>
    <w:rsid w:val="007E2591"/>
    <w:rsid w:val="007E27FF"/>
    <w:rsid w:val="007E28AF"/>
    <w:rsid w:val="007E2BF8"/>
    <w:rsid w:val="007E3246"/>
    <w:rsid w:val="007E3EEE"/>
    <w:rsid w:val="007E47BB"/>
    <w:rsid w:val="007E4974"/>
    <w:rsid w:val="007E4CEC"/>
    <w:rsid w:val="007E5191"/>
    <w:rsid w:val="007E5438"/>
    <w:rsid w:val="007E606F"/>
    <w:rsid w:val="007F08F0"/>
    <w:rsid w:val="007F0A77"/>
    <w:rsid w:val="007F1346"/>
    <w:rsid w:val="007F20B1"/>
    <w:rsid w:val="007F2310"/>
    <w:rsid w:val="007F57B3"/>
    <w:rsid w:val="007F5B91"/>
    <w:rsid w:val="007F5F27"/>
    <w:rsid w:val="00801041"/>
    <w:rsid w:val="008016DD"/>
    <w:rsid w:val="0080384A"/>
    <w:rsid w:val="00803907"/>
    <w:rsid w:val="00804AF2"/>
    <w:rsid w:val="0080587D"/>
    <w:rsid w:val="00805B12"/>
    <w:rsid w:val="00806A32"/>
    <w:rsid w:val="00812760"/>
    <w:rsid w:val="00812FB2"/>
    <w:rsid w:val="00813B64"/>
    <w:rsid w:val="00813D6E"/>
    <w:rsid w:val="0081473E"/>
    <w:rsid w:val="008159D8"/>
    <w:rsid w:val="0081623A"/>
    <w:rsid w:val="00816AB5"/>
    <w:rsid w:val="008178C9"/>
    <w:rsid w:val="00820610"/>
    <w:rsid w:val="00820CF4"/>
    <w:rsid w:val="00821343"/>
    <w:rsid w:val="00821A00"/>
    <w:rsid w:val="00821FF0"/>
    <w:rsid w:val="00822B94"/>
    <w:rsid w:val="00823103"/>
    <w:rsid w:val="008238B1"/>
    <w:rsid w:val="00823C95"/>
    <w:rsid w:val="00824245"/>
    <w:rsid w:val="00824441"/>
    <w:rsid w:val="0082481F"/>
    <w:rsid w:val="00824F53"/>
    <w:rsid w:val="00830C91"/>
    <w:rsid w:val="00830CA3"/>
    <w:rsid w:val="00832878"/>
    <w:rsid w:val="00833335"/>
    <w:rsid w:val="00833AAA"/>
    <w:rsid w:val="00834093"/>
    <w:rsid w:val="00834BD0"/>
    <w:rsid w:val="0083519D"/>
    <w:rsid w:val="008351BE"/>
    <w:rsid w:val="00837A95"/>
    <w:rsid w:val="00840D28"/>
    <w:rsid w:val="00842D7A"/>
    <w:rsid w:val="00843761"/>
    <w:rsid w:val="008441CC"/>
    <w:rsid w:val="0084453B"/>
    <w:rsid w:val="00845BFB"/>
    <w:rsid w:val="00847309"/>
    <w:rsid w:val="0084797E"/>
    <w:rsid w:val="0085014D"/>
    <w:rsid w:val="00850727"/>
    <w:rsid w:val="008513FC"/>
    <w:rsid w:val="008524F3"/>
    <w:rsid w:val="008540C7"/>
    <w:rsid w:val="00854A39"/>
    <w:rsid w:val="00855A5D"/>
    <w:rsid w:val="00856576"/>
    <w:rsid w:val="008567C0"/>
    <w:rsid w:val="0086089D"/>
    <w:rsid w:val="00861C58"/>
    <w:rsid w:val="00861E64"/>
    <w:rsid w:val="008630A4"/>
    <w:rsid w:val="008652C7"/>
    <w:rsid w:val="008661E8"/>
    <w:rsid w:val="00866623"/>
    <w:rsid w:val="0086790A"/>
    <w:rsid w:val="00870DE0"/>
    <w:rsid w:val="00871428"/>
    <w:rsid w:val="00871501"/>
    <w:rsid w:val="00871788"/>
    <w:rsid w:val="0087311F"/>
    <w:rsid w:val="0087488E"/>
    <w:rsid w:val="008804A8"/>
    <w:rsid w:val="008806D9"/>
    <w:rsid w:val="00881910"/>
    <w:rsid w:val="00881A4A"/>
    <w:rsid w:val="00881A92"/>
    <w:rsid w:val="00886564"/>
    <w:rsid w:val="00886C68"/>
    <w:rsid w:val="0088749D"/>
    <w:rsid w:val="008876EB"/>
    <w:rsid w:val="0088777E"/>
    <w:rsid w:val="00887F1D"/>
    <w:rsid w:val="008912C4"/>
    <w:rsid w:val="0089410A"/>
    <w:rsid w:val="00894231"/>
    <w:rsid w:val="00894731"/>
    <w:rsid w:val="00895EB8"/>
    <w:rsid w:val="00895EC2"/>
    <w:rsid w:val="00896768"/>
    <w:rsid w:val="00896DC7"/>
    <w:rsid w:val="008A3FDE"/>
    <w:rsid w:val="008A5E3B"/>
    <w:rsid w:val="008A7B49"/>
    <w:rsid w:val="008A7E4C"/>
    <w:rsid w:val="008B078A"/>
    <w:rsid w:val="008B0915"/>
    <w:rsid w:val="008B0CF3"/>
    <w:rsid w:val="008B15B4"/>
    <w:rsid w:val="008B17E3"/>
    <w:rsid w:val="008B2186"/>
    <w:rsid w:val="008B2F30"/>
    <w:rsid w:val="008B3B16"/>
    <w:rsid w:val="008B41B2"/>
    <w:rsid w:val="008B4BF8"/>
    <w:rsid w:val="008B538F"/>
    <w:rsid w:val="008B68C1"/>
    <w:rsid w:val="008B691C"/>
    <w:rsid w:val="008B71B7"/>
    <w:rsid w:val="008C0540"/>
    <w:rsid w:val="008C0D77"/>
    <w:rsid w:val="008C14A5"/>
    <w:rsid w:val="008C1E50"/>
    <w:rsid w:val="008C2500"/>
    <w:rsid w:val="008C2D1B"/>
    <w:rsid w:val="008C33CB"/>
    <w:rsid w:val="008C36C5"/>
    <w:rsid w:val="008C3E0D"/>
    <w:rsid w:val="008C3EE0"/>
    <w:rsid w:val="008C523B"/>
    <w:rsid w:val="008C66C4"/>
    <w:rsid w:val="008C681B"/>
    <w:rsid w:val="008C6F75"/>
    <w:rsid w:val="008C71ED"/>
    <w:rsid w:val="008C7621"/>
    <w:rsid w:val="008C7764"/>
    <w:rsid w:val="008C7E62"/>
    <w:rsid w:val="008D01CE"/>
    <w:rsid w:val="008D22C4"/>
    <w:rsid w:val="008D2AC5"/>
    <w:rsid w:val="008D335D"/>
    <w:rsid w:val="008D3EDB"/>
    <w:rsid w:val="008D4768"/>
    <w:rsid w:val="008D54F9"/>
    <w:rsid w:val="008D61A7"/>
    <w:rsid w:val="008D6B70"/>
    <w:rsid w:val="008D6E69"/>
    <w:rsid w:val="008D78B2"/>
    <w:rsid w:val="008E05BE"/>
    <w:rsid w:val="008E06B5"/>
    <w:rsid w:val="008E44C7"/>
    <w:rsid w:val="008E45FC"/>
    <w:rsid w:val="008E4AB4"/>
    <w:rsid w:val="008E526A"/>
    <w:rsid w:val="008E65CB"/>
    <w:rsid w:val="008E6696"/>
    <w:rsid w:val="008E6933"/>
    <w:rsid w:val="008E7224"/>
    <w:rsid w:val="008E728F"/>
    <w:rsid w:val="008F1575"/>
    <w:rsid w:val="008F1B70"/>
    <w:rsid w:val="008F23A9"/>
    <w:rsid w:val="008F4006"/>
    <w:rsid w:val="008F42A0"/>
    <w:rsid w:val="008F59E2"/>
    <w:rsid w:val="008F5D2B"/>
    <w:rsid w:val="008F611B"/>
    <w:rsid w:val="008F7947"/>
    <w:rsid w:val="00900039"/>
    <w:rsid w:val="00902301"/>
    <w:rsid w:val="00903ADC"/>
    <w:rsid w:val="00904160"/>
    <w:rsid w:val="00904543"/>
    <w:rsid w:val="00905412"/>
    <w:rsid w:val="009055F4"/>
    <w:rsid w:val="0090669A"/>
    <w:rsid w:val="00906973"/>
    <w:rsid w:val="00910E69"/>
    <w:rsid w:val="0091216E"/>
    <w:rsid w:val="009144A0"/>
    <w:rsid w:val="00914599"/>
    <w:rsid w:val="00915621"/>
    <w:rsid w:val="00915F98"/>
    <w:rsid w:val="009163F1"/>
    <w:rsid w:val="009166B1"/>
    <w:rsid w:val="0091716B"/>
    <w:rsid w:val="00917510"/>
    <w:rsid w:val="00920C17"/>
    <w:rsid w:val="00924A03"/>
    <w:rsid w:val="00926C8A"/>
    <w:rsid w:val="00930037"/>
    <w:rsid w:val="009300D1"/>
    <w:rsid w:val="00934A6F"/>
    <w:rsid w:val="00934CCD"/>
    <w:rsid w:val="009350F6"/>
    <w:rsid w:val="00936033"/>
    <w:rsid w:val="009361B6"/>
    <w:rsid w:val="009374B4"/>
    <w:rsid w:val="00937ABF"/>
    <w:rsid w:val="00940A52"/>
    <w:rsid w:val="00941484"/>
    <w:rsid w:val="0094178B"/>
    <w:rsid w:val="0094258E"/>
    <w:rsid w:val="00942747"/>
    <w:rsid w:val="00942DCA"/>
    <w:rsid w:val="00943EED"/>
    <w:rsid w:val="009443C8"/>
    <w:rsid w:val="0094442B"/>
    <w:rsid w:val="00944C33"/>
    <w:rsid w:val="00946681"/>
    <w:rsid w:val="0094697D"/>
    <w:rsid w:val="00946CEB"/>
    <w:rsid w:val="00951010"/>
    <w:rsid w:val="00951759"/>
    <w:rsid w:val="00951E89"/>
    <w:rsid w:val="0095354B"/>
    <w:rsid w:val="00954EAA"/>
    <w:rsid w:val="009550B7"/>
    <w:rsid w:val="009560A2"/>
    <w:rsid w:val="0095698D"/>
    <w:rsid w:val="00956EEB"/>
    <w:rsid w:val="00961274"/>
    <w:rsid w:val="0096192D"/>
    <w:rsid w:val="0096254E"/>
    <w:rsid w:val="00962A3F"/>
    <w:rsid w:val="00964722"/>
    <w:rsid w:val="0096496B"/>
    <w:rsid w:val="00965EA7"/>
    <w:rsid w:val="00966608"/>
    <w:rsid w:val="00966630"/>
    <w:rsid w:val="00970019"/>
    <w:rsid w:val="00971779"/>
    <w:rsid w:val="009719B1"/>
    <w:rsid w:val="00972AEF"/>
    <w:rsid w:val="009737CB"/>
    <w:rsid w:val="0097464A"/>
    <w:rsid w:val="00975EC8"/>
    <w:rsid w:val="00976213"/>
    <w:rsid w:val="00976DB8"/>
    <w:rsid w:val="00977334"/>
    <w:rsid w:val="00977F26"/>
    <w:rsid w:val="0098117C"/>
    <w:rsid w:val="00982D4F"/>
    <w:rsid w:val="00982E06"/>
    <w:rsid w:val="00983073"/>
    <w:rsid w:val="0098359F"/>
    <w:rsid w:val="00984271"/>
    <w:rsid w:val="0098441D"/>
    <w:rsid w:val="00985F31"/>
    <w:rsid w:val="0098628A"/>
    <w:rsid w:val="00986371"/>
    <w:rsid w:val="00986AB6"/>
    <w:rsid w:val="00986FE0"/>
    <w:rsid w:val="00987783"/>
    <w:rsid w:val="00987F19"/>
    <w:rsid w:val="009902D1"/>
    <w:rsid w:val="009909CB"/>
    <w:rsid w:val="00991AA5"/>
    <w:rsid w:val="00993EEF"/>
    <w:rsid w:val="00994CFA"/>
    <w:rsid w:val="00994DD5"/>
    <w:rsid w:val="00994FBC"/>
    <w:rsid w:val="00995B25"/>
    <w:rsid w:val="00997F19"/>
    <w:rsid w:val="009A063A"/>
    <w:rsid w:val="009A14BD"/>
    <w:rsid w:val="009A2552"/>
    <w:rsid w:val="009A26C6"/>
    <w:rsid w:val="009A4A87"/>
    <w:rsid w:val="009A4C15"/>
    <w:rsid w:val="009A5F06"/>
    <w:rsid w:val="009B0231"/>
    <w:rsid w:val="009B058B"/>
    <w:rsid w:val="009B06CA"/>
    <w:rsid w:val="009B123D"/>
    <w:rsid w:val="009B2A8E"/>
    <w:rsid w:val="009B2BC1"/>
    <w:rsid w:val="009B412A"/>
    <w:rsid w:val="009B5D4A"/>
    <w:rsid w:val="009B7706"/>
    <w:rsid w:val="009C0F89"/>
    <w:rsid w:val="009C15F8"/>
    <w:rsid w:val="009C20BF"/>
    <w:rsid w:val="009C25CA"/>
    <w:rsid w:val="009C430C"/>
    <w:rsid w:val="009C510E"/>
    <w:rsid w:val="009C57A1"/>
    <w:rsid w:val="009C581A"/>
    <w:rsid w:val="009C60AC"/>
    <w:rsid w:val="009C6BA1"/>
    <w:rsid w:val="009C7516"/>
    <w:rsid w:val="009C79F2"/>
    <w:rsid w:val="009D1A76"/>
    <w:rsid w:val="009D1F6E"/>
    <w:rsid w:val="009D28AC"/>
    <w:rsid w:val="009D333A"/>
    <w:rsid w:val="009D42A3"/>
    <w:rsid w:val="009D5320"/>
    <w:rsid w:val="009E1E1F"/>
    <w:rsid w:val="009E26A7"/>
    <w:rsid w:val="009E3D19"/>
    <w:rsid w:val="009E4291"/>
    <w:rsid w:val="009E4564"/>
    <w:rsid w:val="009E50BA"/>
    <w:rsid w:val="009E6096"/>
    <w:rsid w:val="009E63F6"/>
    <w:rsid w:val="009E6495"/>
    <w:rsid w:val="009E67A0"/>
    <w:rsid w:val="009E6A91"/>
    <w:rsid w:val="009E6C03"/>
    <w:rsid w:val="009E738D"/>
    <w:rsid w:val="009E79DB"/>
    <w:rsid w:val="009F0856"/>
    <w:rsid w:val="009F0DE0"/>
    <w:rsid w:val="009F0F89"/>
    <w:rsid w:val="009F1B5E"/>
    <w:rsid w:val="009F1F8A"/>
    <w:rsid w:val="009F2172"/>
    <w:rsid w:val="009F2942"/>
    <w:rsid w:val="009F36A9"/>
    <w:rsid w:val="009F383A"/>
    <w:rsid w:val="009F3F9B"/>
    <w:rsid w:val="009F45AE"/>
    <w:rsid w:val="009F4EF0"/>
    <w:rsid w:val="009F5641"/>
    <w:rsid w:val="009F5CBA"/>
    <w:rsid w:val="00A00CFD"/>
    <w:rsid w:val="00A01DD8"/>
    <w:rsid w:val="00A02B88"/>
    <w:rsid w:val="00A03BE4"/>
    <w:rsid w:val="00A04E2E"/>
    <w:rsid w:val="00A04FD3"/>
    <w:rsid w:val="00A10898"/>
    <w:rsid w:val="00A12A25"/>
    <w:rsid w:val="00A14343"/>
    <w:rsid w:val="00A14A3C"/>
    <w:rsid w:val="00A1545B"/>
    <w:rsid w:val="00A16FD2"/>
    <w:rsid w:val="00A201F0"/>
    <w:rsid w:val="00A21044"/>
    <w:rsid w:val="00A221A4"/>
    <w:rsid w:val="00A227B0"/>
    <w:rsid w:val="00A23EF6"/>
    <w:rsid w:val="00A248B7"/>
    <w:rsid w:val="00A25162"/>
    <w:rsid w:val="00A25577"/>
    <w:rsid w:val="00A257A9"/>
    <w:rsid w:val="00A25A4C"/>
    <w:rsid w:val="00A25EC4"/>
    <w:rsid w:val="00A271F6"/>
    <w:rsid w:val="00A274BD"/>
    <w:rsid w:val="00A3351D"/>
    <w:rsid w:val="00A33B04"/>
    <w:rsid w:val="00A3475B"/>
    <w:rsid w:val="00A34C9C"/>
    <w:rsid w:val="00A36160"/>
    <w:rsid w:val="00A3651D"/>
    <w:rsid w:val="00A40185"/>
    <w:rsid w:val="00A409A1"/>
    <w:rsid w:val="00A4237A"/>
    <w:rsid w:val="00A43309"/>
    <w:rsid w:val="00A44F6A"/>
    <w:rsid w:val="00A452AC"/>
    <w:rsid w:val="00A45D9A"/>
    <w:rsid w:val="00A46814"/>
    <w:rsid w:val="00A46951"/>
    <w:rsid w:val="00A46CA9"/>
    <w:rsid w:val="00A47074"/>
    <w:rsid w:val="00A47C97"/>
    <w:rsid w:val="00A5098D"/>
    <w:rsid w:val="00A50AD5"/>
    <w:rsid w:val="00A50BC1"/>
    <w:rsid w:val="00A52B15"/>
    <w:rsid w:val="00A53473"/>
    <w:rsid w:val="00A53569"/>
    <w:rsid w:val="00A53BA9"/>
    <w:rsid w:val="00A5571B"/>
    <w:rsid w:val="00A55BF9"/>
    <w:rsid w:val="00A56E9E"/>
    <w:rsid w:val="00A6005F"/>
    <w:rsid w:val="00A6033B"/>
    <w:rsid w:val="00A60551"/>
    <w:rsid w:val="00A613E4"/>
    <w:rsid w:val="00A61DCA"/>
    <w:rsid w:val="00A62343"/>
    <w:rsid w:val="00A62360"/>
    <w:rsid w:val="00A63BB0"/>
    <w:rsid w:val="00A6424B"/>
    <w:rsid w:val="00A65782"/>
    <w:rsid w:val="00A65A99"/>
    <w:rsid w:val="00A65CF3"/>
    <w:rsid w:val="00A70567"/>
    <w:rsid w:val="00A711F4"/>
    <w:rsid w:val="00A7146F"/>
    <w:rsid w:val="00A74708"/>
    <w:rsid w:val="00A74AC3"/>
    <w:rsid w:val="00A75BD3"/>
    <w:rsid w:val="00A75D4F"/>
    <w:rsid w:val="00A769EB"/>
    <w:rsid w:val="00A77B11"/>
    <w:rsid w:val="00A77C00"/>
    <w:rsid w:val="00A77FAC"/>
    <w:rsid w:val="00A808F5"/>
    <w:rsid w:val="00A810F3"/>
    <w:rsid w:val="00A81F7C"/>
    <w:rsid w:val="00A83133"/>
    <w:rsid w:val="00A839EC"/>
    <w:rsid w:val="00A83B2C"/>
    <w:rsid w:val="00A85D36"/>
    <w:rsid w:val="00A85D69"/>
    <w:rsid w:val="00A85EC1"/>
    <w:rsid w:val="00A90D93"/>
    <w:rsid w:val="00A90DE5"/>
    <w:rsid w:val="00A912C3"/>
    <w:rsid w:val="00A91C88"/>
    <w:rsid w:val="00A92D45"/>
    <w:rsid w:val="00A93602"/>
    <w:rsid w:val="00A9368C"/>
    <w:rsid w:val="00A93AB8"/>
    <w:rsid w:val="00A94258"/>
    <w:rsid w:val="00A9582B"/>
    <w:rsid w:val="00A95B4C"/>
    <w:rsid w:val="00A95BE7"/>
    <w:rsid w:val="00A9601B"/>
    <w:rsid w:val="00A96994"/>
    <w:rsid w:val="00AA1213"/>
    <w:rsid w:val="00AA18FB"/>
    <w:rsid w:val="00AA2662"/>
    <w:rsid w:val="00AA3422"/>
    <w:rsid w:val="00AA3609"/>
    <w:rsid w:val="00AA43DA"/>
    <w:rsid w:val="00AA4AA1"/>
    <w:rsid w:val="00AA4E27"/>
    <w:rsid w:val="00AA55E4"/>
    <w:rsid w:val="00AA5CB3"/>
    <w:rsid w:val="00AA5F32"/>
    <w:rsid w:val="00AA62AB"/>
    <w:rsid w:val="00AB1EDF"/>
    <w:rsid w:val="00AB22A7"/>
    <w:rsid w:val="00AB2EBC"/>
    <w:rsid w:val="00AB2F9C"/>
    <w:rsid w:val="00AB34C6"/>
    <w:rsid w:val="00AB3F82"/>
    <w:rsid w:val="00AB439A"/>
    <w:rsid w:val="00AB4C87"/>
    <w:rsid w:val="00AB6091"/>
    <w:rsid w:val="00AC1E01"/>
    <w:rsid w:val="00AC22DA"/>
    <w:rsid w:val="00AC3551"/>
    <w:rsid w:val="00AC39AC"/>
    <w:rsid w:val="00AC3C26"/>
    <w:rsid w:val="00AC43A1"/>
    <w:rsid w:val="00AC5023"/>
    <w:rsid w:val="00AC5572"/>
    <w:rsid w:val="00AC6583"/>
    <w:rsid w:val="00AC67C5"/>
    <w:rsid w:val="00AC6FE1"/>
    <w:rsid w:val="00AC76BF"/>
    <w:rsid w:val="00AD07B1"/>
    <w:rsid w:val="00AD10B6"/>
    <w:rsid w:val="00AD25D3"/>
    <w:rsid w:val="00AD3174"/>
    <w:rsid w:val="00AD46F0"/>
    <w:rsid w:val="00AD6A72"/>
    <w:rsid w:val="00AD6C2B"/>
    <w:rsid w:val="00AD7BE2"/>
    <w:rsid w:val="00AE3414"/>
    <w:rsid w:val="00AE3AE3"/>
    <w:rsid w:val="00AE48A8"/>
    <w:rsid w:val="00AE52C9"/>
    <w:rsid w:val="00AE5F91"/>
    <w:rsid w:val="00AE644B"/>
    <w:rsid w:val="00AE69B3"/>
    <w:rsid w:val="00AE6B84"/>
    <w:rsid w:val="00AE799D"/>
    <w:rsid w:val="00AF1B56"/>
    <w:rsid w:val="00AF2465"/>
    <w:rsid w:val="00AF3210"/>
    <w:rsid w:val="00AF34DF"/>
    <w:rsid w:val="00AF37C3"/>
    <w:rsid w:val="00AF5D75"/>
    <w:rsid w:val="00AF5FF4"/>
    <w:rsid w:val="00AF6B70"/>
    <w:rsid w:val="00B00FA8"/>
    <w:rsid w:val="00B013A9"/>
    <w:rsid w:val="00B013E7"/>
    <w:rsid w:val="00B02E71"/>
    <w:rsid w:val="00B03ECA"/>
    <w:rsid w:val="00B04DFD"/>
    <w:rsid w:val="00B0772D"/>
    <w:rsid w:val="00B109AB"/>
    <w:rsid w:val="00B11042"/>
    <w:rsid w:val="00B11993"/>
    <w:rsid w:val="00B11BA8"/>
    <w:rsid w:val="00B11DAF"/>
    <w:rsid w:val="00B13D86"/>
    <w:rsid w:val="00B15493"/>
    <w:rsid w:val="00B154C6"/>
    <w:rsid w:val="00B16503"/>
    <w:rsid w:val="00B16597"/>
    <w:rsid w:val="00B16704"/>
    <w:rsid w:val="00B175D7"/>
    <w:rsid w:val="00B17A2B"/>
    <w:rsid w:val="00B205A0"/>
    <w:rsid w:val="00B2114E"/>
    <w:rsid w:val="00B226B0"/>
    <w:rsid w:val="00B233D8"/>
    <w:rsid w:val="00B237FE"/>
    <w:rsid w:val="00B23DF5"/>
    <w:rsid w:val="00B27487"/>
    <w:rsid w:val="00B274D1"/>
    <w:rsid w:val="00B279DA"/>
    <w:rsid w:val="00B312E5"/>
    <w:rsid w:val="00B33385"/>
    <w:rsid w:val="00B34BCC"/>
    <w:rsid w:val="00B34C8E"/>
    <w:rsid w:val="00B3531F"/>
    <w:rsid w:val="00B40071"/>
    <w:rsid w:val="00B40839"/>
    <w:rsid w:val="00B409D0"/>
    <w:rsid w:val="00B4168C"/>
    <w:rsid w:val="00B41AF6"/>
    <w:rsid w:val="00B42BBC"/>
    <w:rsid w:val="00B4372F"/>
    <w:rsid w:val="00B440BC"/>
    <w:rsid w:val="00B443C9"/>
    <w:rsid w:val="00B46DD3"/>
    <w:rsid w:val="00B47B4D"/>
    <w:rsid w:val="00B5004E"/>
    <w:rsid w:val="00B50743"/>
    <w:rsid w:val="00B50909"/>
    <w:rsid w:val="00B50CE7"/>
    <w:rsid w:val="00B51140"/>
    <w:rsid w:val="00B518F5"/>
    <w:rsid w:val="00B528AB"/>
    <w:rsid w:val="00B52BAB"/>
    <w:rsid w:val="00B53A96"/>
    <w:rsid w:val="00B54DB2"/>
    <w:rsid w:val="00B55464"/>
    <w:rsid w:val="00B55641"/>
    <w:rsid w:val="00B61AFE"/>
    <w:rsid w:val="00B61C54"/>
    <w:rsid w:val="00B62270"/>
    <w:rsid w:val="00B63E71"/>
    <w:rsid w:val="00B63FF7"/>
    <w:rsid w:val="00B64A95"/>
    <w:rsid w:val="00B64FC4"/>
    <w:rsid w:val="00B6598D"/>
    <w:rsid w:val="00B67BAA"/>
    <w:rsid w:val="00B715E3"/>
    <w:rsid w:val="00B71DF1"/>
    <w:rsid w:val="00B73B62"/>
    <w:rsid w:val="00B744DF"/>
    <w:rsid w:val="00B74C49"/>
    <w:rsid w:val="00B7560A"/>
    <w:rsid w:val="00B76C60"/>
    <w:rsid w:val="00B76F2F"/>
    <w:rsid w:val="00B77070"/>
    <w:rsid w:val="00B77867"/>
    <w:rsid w:val="00B77C8E"/>
    <w:rsid w:val="00B77CFF"/>
    <w:rsid w:val="00B77D71"/>
    <w:rsid w:val="00B80760"/>
    <w:rsid w:val="00B838BD"/>
    <w:rsid w:val="00B8416D"/>
    <w:rsid w:val="00B8523C"/>
    <w:rsid w:val="00B85B51"/>
    <w:rsid w:val="00B8731C"/>
    <w:rsid w:val="00B87878"/>
    <w:rsid w:val="00B87FD8"/>
    <w:rsid w:val="00B907C5"/>
    <w:rsid w:val="00B920DD"/>
    <w:rsid w:val="00B93D06"/>
    <w:rsid w:val="00B94591"/>
    <w:rsid w:val="00B949FC"/>
    <w:rsid w:val="00B96415"/>
    <w:rsid w:val="00B964E1"/>
    <w:rsid w:val="00B97A04"/>
    <w:rsid w:val="00BA0389"/>
    <w:rsid w:val="00BA10E0"/>
    <w:rsid w:val="00BA11A0"/>
    <w:rsid w:val="00BA1949"/>
    <w:rsid w:val="00BA2386"/>
    <w:rsid w:val="00BA343B"/>
    <w:rsid w:val="00BA389C"/>
    <w:rsid w:val="00BA3B5D"/>
    <w:rsid w:val="00BA4AD4"/>
    <w:rsid w:val="00BA54F2"/>
    <w:rsid w:val="00BA5593"/>
    <w:rsid w:val="00BA6A55"/>
    <w:rsid w:val="00BA6F3A"/>
    <w:rsid w:val="00BA7C70"/>
    <w:rsid w:val="00BB0AC5"/>
    <w:rsid w:val="00BB255D"/>
    <w:rsid w:val="00BB5280"/>
    <w:rsid w:val="00BB54B8"/>
    <w:rsid w:val="00BB6BB8"/>
    <w:rsid w:val="00BC027A"/>
    <w:rsid w:val="00BC0F86"/>
    <w:rsid w:val="00BC1B1C"/>
    <w:rsid w:val="00BC2ECD"/>
    <w:rsid w:val="00BC33E9"/>
    <w:rsid w:val="00BC4008"/>
    <w:rsid w:val="00BC5C1D"/>
    <w:rsid w:val="00BC6036"/>
    <w:rsid w:val="00BC7A9A"/>
    <w:rsid w:val="00BD1288"/>
    <w:rsid w:val="00BD3374"/>
    <w:rsid w:val="00BD44D6"/>
    <w:rsid w:val="00BD52B4"/>
    <w:rsid w:val="00BD6F02"/>
    <w:rsid w:val="00BD7879"/>
    <w:rsid w:val="00BD7BDB"/>
    <w:rsid w:val="00BE0B4D"/>
    <w:rsid w:val="00BE289A"/>
    <w:rsid w:val="00BE2DB5"/>
    <w:rsid w:val="00BE3121"/>
    <w:rsid w:val="00BE35BD"/>
    <w:rsid w:val="00BE460E"/>
    <w:rsid w:val="00BE4696"/>
    <w:rsid w:val="00BE524D"/>
    <w:rsid w:val="00BE61C3"/>
    <w:rsid w:val="00BE7FDC"/>
    <w:rsid w:val="00BF13C5"/>
    <w:rsid w:val="00BF15D3"/>
    <w:rsid w:val="00BF16B2"/>
    <w:rsid w:val="00BF1D1A"/>
    <w:rsid w:val="00BF5237"/>
    <w:rsid w:val="00BF621C"/>
    <w:rsid w:val="00BF630B"/>
    <w:rsid w:val="00BF68B1"/>
    <w:rsid w:val="00BF774A"/>
    <w:rsid w:val="00BF7F67"/>
    <w:rsid w:val="00C0015B"/>
    <w:rsid w:val="00C0098D"/>
    <w:rsid w:val="00C00BA0"/>
    <w:rsid w:val="00C01308"/>
    <w:rsid w:val="00C01E14"/>
    <w:rsid w:val="00C057F2"/>
    <w:rsid w:val="00C05A15"/>
    <w:rsid w:val="00C100BB"/>
    <w:rsid w:val="00C101EA"/>
    <w:rsid w:val="00C102DE"/>
    <w:rsid w:val="00C11810"/>
    <w:rsid w:val="00C118C1"/>
    <w:rsid w:val="00C11CE2"/>
    <w:rsid w:val="00C12154"/>
    <w:rsid w:val="00C12556"/>
    <w:rsid w:val="00C12A2D"/>
    <w:rsid w:val="00C13033"/>
    <w:rsid w:val="00C1392B"/>
    <w:rsid w:val="00C13949"/>
    <w:rsid w:val="00C1394D"/>
    <w:rsid w:val="00C1438B"/>
    <w:rsid w:val="00C145C9"/>
    <w:rsid w:val="00C14CCD"/>
    <w:rsid w:val="00C15315"/>
    <w:rsid w:val="00C17B45"/>
    <w:rsid w:val="00C204AB"/>
    <w:rsid w:val="00C2064E"/>
    <w:rsid w:val="00C20875"/>
    <w:rsid w:val="00C20CAC"/>
    <w:rsid w:val="00C219F4"/>
    <w:rsid w:val="00C221EA"/>
    <w:rsid w:val="00C23754"/>
    <w:rsid w:val="00C23BCC"/>
    <w:rsid w:val="00C23C05"/>
    <w:rsid w:val="00C247FE"/>
    <w:rsid w:val="00C26CD3"/>
    <w:rsid w:val="00C27937"/>
    <w:rsid w:val="00C31242"/>
    <w:rsid w:val="00C31657"/>
    <w:rsid w:val="00C31FC9"/>
    <w:rsid w:val="00C321EB"/>
    <w:rsid w:val="00C32E40"/>
    <w:rsid w:val="00C35C79"/>
    <w:rsid w:val="00C35F84"/>
    <w:rsid w:val="00C3653F"/>
    <w:rsid w:val="00C3762C"/>
    <w:rsid w:val="00C376C8"/>
    <w:rsid w:val="00C40223"/>
    <w:rsid w:val="00C4072D"/>
    <w:rsid w:val="00C41537"/>
    <w:rsid w:val="00C4406C"/>
    <w:rsid w:val="00C4573F"/>
    <w:rsid w:val="00C47429"/>
    <w:rsid w:val="00C475DA"/>
    <w:rsid w:val="00C50443"/>
    <w:rsid w:val="00C50848"/>
    <w:rsid w:val="00C50C49"/>
    <w:rsid w:val="00C50EE6"/>
    <w:rsid w:val="00C5190A"/>
    <w:rsid w:val="00C51BA7"/>
    <w:rsid w:val="00C5212F"/>
    <w:rsid w:val="00C52528"/>
    <w:rsid w:val="00C53EC8"/>
    <w:rsid w:val="00C5423C"/>
    <w:rsid w:val="00C54F02"/>
    <w:rsid w:val="00C55CF6"/>
    <w:rsid w:val="00C57D1A"/>
    <w:rsid w:val="00C600F1"/>
    <w:rsid w:val="00C601A8"/>
    <w:rsid w:val="00C6070C"/>
    <w:rsid w:val="00C6108F"/>
    <w:rsid w:val="00C6121A"/>
    <w:rsid w:val="00C61F26"/>
    <w:rsid w:val="00C62E7F"/>
    <w:rsid w:val="00C63517"/>
    <w:rsid w:val="00C63CE7"/>
    <w:rsid w:val="00C64898"/>
    <w:rsid w:val="00C66EB3"/>
    <w:rsid w:val="00C6747E"/>
    <w:rsid w:val="00C67871"/>
    <w:rsid w:val="00C67FE8"/>
    <w:rsid w:val="00C700EF"/>
    <w:rsid w:val="00C71336"/>
    <w:rsid w:val="00C71486"/>
    <w:rsid w:val="00C74F72"/>
    <w:rsid w:val="00C753D7"/>
    <w:rsid w:val="00C755B6"/>
    <w:rsid w:val="00C75E09"/>
    <w:rsid w:val="00C77B2E"/>
    <w:rsid w:val="00C80658"/>
    <w:rsid w:val="00C8099E"/>
    <w:rsid w:val="00C80BA4"/>
    <w:rsid w:val="00C81270"/>
    <w:rsid w:val="00C818DA"/>
    <w:rsid w:val="00C82E2C"/>
    <w:rsid w:val="00C83CE6"/>
    <w:rsid w:val="00C850BC"/>
    <w:rsid w:val="00C853A3"/>
    <w:rsid w:val="00C857B2"/>
    <w:rsid w:val="00C91BA4"/>
    <w:rsid w:val="00C922FB"/>
    <w:rsid w:val="00C9230A"/>
    <w:rsid w:val="00C929A1"/>
    <w:rsid w:val="00C92F47"/>
    <w:rsid w:val="00C93ED2"/>
    <w:rsid w:val="00C94593"/>
    <w:rsid w:val="00CA0E33"/>
    <w:rsid w:val="00CA0F90"/>
    <w:rsid w:val="00CA47AC"/>
    <w:rsid w:val="00CA515E"/>
    <w:rsid w:val="00CA5ECF"/>
    <w:rsid w:val="00CA5EFC"/>
    <w:rsid w:val="00CA6AF3"/>
    <w:rsid w:val="00CA7825"/>
    <w:rsid w:val="00CA7971"/>
    <w:rsid w:val="00CA7CE7"/>
    <w:rsid w:val="00CB0877"/>
    <w:rsid w:val="00CB09ED"/>
    <w:rsid w:val="00CB0C53"/>
    <w:rsid w:val="00CB1E36"/>
    <w:rsid w:val="00CB23E7"/>
    <w:rsid w:val="00CB254A"/>
    <w:rsid w:val="00CB34D4"/>
    <w:rsid w:val="00CB38E7"/>
    <w:rsid w:val="00CB3B63"/>
    <w:rsid w:val="00CB3E95"/>
    <w:rsid w:val="00CB3EB4"/>
    <w:rsid w:val="00CB4209"/>
    <w:rsid w:val="00CB42A6"/>
    <w:rsid w:val="00CB4C83"/>
    <w:rsid w:val="00CB519A"/>
    <w:rsid w:val="00CB5375"/>
    <w:rsid w:val="00CB769B"/>
    <w:rsid w:val="00CB7794"/>
    <w:rsid w:val="00CB7913"/>
    <w:rsid w:val="00CC003E"/>
    <w:rsid w:val="00CC1034"/>
    <w:rsid w:val="00CC1370"/>
    <w:rsid w:val="00CC137E"/>
    <w:rsid w:val="00CC1775"/>
    <w:rsid w:val="00CC2548"/>
    <w:rsid w:val="00CC3276"/>
    <w:rsid w:val="00CC4043"/>
    <w:rsid w:val="00CC4525"/>
    <w:rsid w:val="00CC4A6D"/>
    <w:rsid w:val="00CC71CC"/>
    <w:rsid w:val="00CC73FF"/>
    <w:rsid w:val="00CD02A3"/>
    <w:rsid w:val="00CD0A8D"/>
    <w:rsid w:val="00CD0AB4"/>
    <w:rsid w:val="00CD2021"/>
    <w:rsid w:val="00CD3F2C"/>
    <w:rsid w:val="00CD6B85"/>
    <w:rsid w:val="00CD7497"/>
    <w:rsid w:val="00CD7B13"/>
    <w:rsid w:val="00CD7ECB"/>
    <w:rsid w:val="00CE05D9"/>
    <w:rsid w:val="00CE1891"/>
    <w:rsid w:val="00CE1EEA"/>
    <w:rsid w:val="00CE467F"/>
    <w:rsid w:val="00CE530C"/>
    <w:rsid w:val="00CE744D"/>
    <w:rsid w:val="00CE794A"/>
    <w:rsid w:val="00CF1DF4"/>
    <w:rsid w:val="00CF32B5"/>
    <w:rsid w:val="00CF35F8"/>
    <w:rsid w:val="00CF38AA"/>
    <w:rsid w:val="00CF6F85"/>
    <w:rsid w:val="00CF703F"/>
    <w:rsid w:val="00CF77DD"/>
    <w:rsid w:val="00CF7B2D"/>
    <w:rsid w:val="00D00350"/>
    <w:rsid w:val="00D00BE8"/>
    <w:rsid w:val="00D02D7D"/>
    <w:rsid w:val="00D035D9"/>
    <w:rsid w:val="00D03834"/>
    <w:rsid w:val="00D047CA"/>
    <w:rsid w:val="00D0525E"/>
    <w:rsid w:val="00D05D2C"/>
    <w:rsid w:val="00D07A86"/>
    <w:rsid w:val="00D07C84"/>
    <w:rsid w:val="00D07CC2"/>
    <w:rsid w:val="00D109EE"/>
    <w:rsid w:val="00D10A44"/>
    <w:rsid w:val="00D1213D"/>
    <w:rsid w:val="00D13BB0"/>
    <w:rsid w:val="00D13F8A"/>
    <w:rsid w:val="00D1400D"/>
    <w:rsid w:val="00D14BDD"/>
    <w:rsid w:val="00D15D6B"/>
    <w:rsid w:val="00D167F2"/>
    <w:rsid w:val="00D17EA4"/>
    <w:rsid w:val="00D17EC7"/>
    <w:rsid w:val="00D17F2D"/>
    <w:rsid w:val="00D201FD"/>
    <w:rsid w:val="00D21068"/>
    <w:rsid w:val="00D213BC"/>
    <w:rsid w:val="00D22186"/>
    <w:rsid w:val="00D2259E"/>
    <w:rsid w:val="00D24A3A"/>
    <w:rsid w:val="00D25E56"/>
    <w:rsid w:val="00D26AAD"/>
    <w:rsid w:val="00D27067"/>
    <w:rsid w:val="00D272EB"/>
    <w:rsid w:val="00D27704"/>
    <w:rsid w:val="00D27B74"/>
    <w:rsid w:val="00D30115"/>
    <w:rsid w:val="00D30DB6"/>
    <w:rsid w:val="00D312B4"/>
    <w:rsid w:val="00D31C8F"/>
    <w:rsid w:val="00D31ECB"/>
    <w:rsid w:val="00D326D5"/>
    <w:rsid w:val="00D32865"/>
    <w:rsid w:val="00D3376F"/>
    <w:rsid w:val="00D33C3E"/>
    <w:rsid w:val="00D33CAC"/>
    <w:rsid w:val="00D35039"/>
    <w:rsid w:val="00D35B93"/>
    <w:rsid w:val="00D35F4B"/>
    <w:rsid w:val="00D362CE"/>
    <w:rsid w:val="00D40CCC"/>
    <w:rsid w:val="00D41555"/>
    <w:rsid w:val="00D42795"/>
    <w:rsid w:val="00D42B66"/>
    <w:rsid w:val="00D43397"/>
    <w:rsid w:val="00D439A5"/>
    <w:rsid w:val="00D44100"/>
    <w:rsid w:val="00D44F28"/>
    <w:rsid w:val="00D451D4"/>
    <w:rsid w:val="00D504C3"/>
    <w:rsid w:val="00D5057D"/>
    <w:rsid w:val="00D50A2E"/>
    <w:rsid w:val="00D510D6"/>
    <w:rsid w:val="00D51127"/>
    <w:rsid w:val="00D51620"/>
    <w:rsid w:val="00D51F3E"/>
    <w:rsid w:val="00D5235C"/>
    <w:rsid w:val="00D52B2A"/>
    <w:rsid w:val="00D53592"/>
    <w:rsid w:val="00D53A26"/>
    <w:rsid w:val="00D5403F"/>
    <w:rsid w:val="00D550B5"/>
    <w:rsid w:val="00D552EF"/>
    <w:rsid w:val="00D55681"/>
    <w:rsid w:val="00D55C19"/>
    <w:rsid w:val="00D55C3C"/>
    <w:rsid w:val="00D55E41"/>
    <w:rsid w:val="00D56E25"/>
    <w:rsid w:val="00D574C1"/>
    <w:rsid w:val="00D57580"/>
    <w:rsid w:val="00D61124"/>
    <w:rsid w:val="00D615FB"/>
    <w:rsid w:val="00D61E00"/>
    <w:rsid w:val="00D61EF3"/>
    <w:rsid w:val="00D63648"/>
    <w:rsid w:val="00D6547A"/>
    <w:rsid w:val="00D65670"/>
    <w:rsid w:val="00D65977"/>
    <w:rsid w:val="00D664F7"/>
    <w:rsid w:val="00D6653D"/>
    <w:rsid w:val="00D66B0D"/>
    <w:rsid w:val="00D66E44"/>
    <w:rsid w:val="00D7072D"/>
    <w:rsid w:val="00D71C17"/>
    <w:rsid w:val="00D71FA5"/>
    <w:rsid w:val="00D72217"/>
    <w:rsid w:val="00D72B1F"/>
    <w:rsid w:val="00D73136"/>
    <w:rsid w:val="00D739AE"/>
    <w:rsid w:val="00D74B71"/>
    <w:rsid w:val="00D74F3A"/>
    <w:rsid w:val="00D7620B"/>
    <w:rsid w:val="00D76D10"/>
    <w:rsid w:val="00D772F1"/>
    <w:rsid w:val="00D82083"/>
    <w:rsid w:val="00D85747"/>
    <w:rsid w:val="00D86B1E"/>
    <w:rsid w:val="00D87327"/>
    <w:rsid w:val="00D87DF1"/>
    <w:rsid w:val="00D90EE8"/>
    <w:rsid w:val="00D918D5"/>
    <w:rsid w:val="00D919ED"/>
    <w:rsid w:val="00D927B1"/>
    <w:rsid w:val="00D93A48"/>
    <w:rsid w:val="00D93BA2"/>
    <w:rsid w:val="00D94896"/>
    <w:rsid w:val="00D94F97"/>
    <w:rsid w:val="00D950FF"/>
    <w:rsid w:val="00D95816"/>
    <w:rsid w:val="00D95932"/>
    <w:rsid w:val="00D974BE"/>
    <w:rsid w:val="00D97B20"/>
    <w:rsid w:val="00D97B71"/>
    <w:rsid w:val="00D97DF6"/>
    <w:rsid w:val="00DA13D4"/>
    <w:rsid w:val="00DA3643"/>
    <w:rsid w:val="00DA419C"/>
    <w:rsid w:val="00DA43D1"/>
    <w:rsid w:val="00DA49C8"/>
    <w:rsid w:val="00DA531B"/>
    <w:rsid w:val="00DA55C9"/>
    <w:rsid w:val="00DA56DB"/>
    <w:rsid w:val="00DA5D8E"/>
    <w:rsid w:val="00DA70D4"/>
    <w:rsid w:val="00DA798C"/>
    <w:rsid w:val="00DB0FA2"/>
    <w:rsid w:val="00DB2932"/>
    <w:rsid w:val="00DB3126"/>
    <w:rsid w:val="00DB4017"/>
    <w:rsid w:val="00DB47A3"/>
    <w:rsid w:val="00DB4B12"/>
    <w:rsid w:val="00DB4BFB"/>
    <w:rsid w:val="00DB5097"/>
    <w:rsid w:val="00DB5769"/>
    <w:rsid w:val="00DB5B95"/>
    <w:rsid w:val="00DB6D6A"/>
    <w:rsid w:val="00DB7522"/>
    <w:rsid w:val="00DB799A"/>
    <w:rsid w:val="00DC156C"/>
    <w:rsid w:val="00DC16EB"/>
    <w:rsid w:val="00DC2169"/>
    <w:rsid w:val="00DC3040"/>
    <w:rsid w:val="00DC3527"/>
    <w:rsid w:val="00DC3589"/>
    <w:rsid w:val="00DC4B52"/>
    <w:rsid w:val="00DC5E8D"/>
    <w:rsid w:val="00DD015F"/>
    <w:rsid w:val="00DD0313"/>
    <w:rsid w:val="00DD0BCF"/>
    <w:rsid w:val="00DD0CD1"/>
    <w:rsid w:val="00DD30B2"/>
    <w:rsid w:val="00DD36B1"/>
    <w:rsid w:val="00DD3815"/>
    <w:rsid w:val="00DD44A5"/>
    <w:rsid w:val="00DD54AE"/>
    <w:rsid w:val="00DD5DEC"/>
    <w:rsid w:val="00DD5DF6"/>
    <w:rsid w:val="00DD693E"/>
    <w:rsid w:val="00DD7139"/>
    <w:rsid w:val="00DD75CE"/>
    <w:rsid w:val="00DD7782"/>
    <w:rsid w:val="00DD7C80"/>
    <w:rsid w:val="00DE00C7"/>
    <w:rsid w:val="00DE131B"/>
    <w:rsid w:val="00DE3372"/>
    <w:rsid w:val="00DE40D1"/>
    <w:rsid w:val="00DE4E15"/>
    <w:rsid w:val="00DE4FB5"/>
    <w:rsid w:val="00DE5074"/>
    <w:rsid w:val="00DE52DC"/>
    <w:rsid w:val="00DE5362"/>
    <w:rsid w:val="00DE6258"/>
    <w:rsid w:val="00DE6882"/>
    <w:rsid w:val="00DE6D65"/>
    <w:rsid w:val="00DE7827"/>
    <w:rsid w:val="00DE7D25"/>
    <w:rsid w:val="00DF1857"/>
    <w:rsid w:val="00DF3BB1"/>
    <w:rsid w:val="00DF4533"/>
    <w:rsid w:val="00DF515E"/>
    <w:rsid w:val="00DF5F70"/>
    <w:rsid w:val="00DF7C52"/>
    <w:rsid w:val="00DF7C93"/>
    <w:rsid w:val="00E019B4"/>
    <w:rsid w:val="00E0324F"/>
    <w:rsid w:val="00E03A90"/>
    <w:rsid w:val="00E048CF"/>
    <w:rsid w:val="00E04A88"/>
    <w:rsid w:val="00E1031F"/>
    <w:rsid w:val="00E11015"/>
    <w:rsid w:val="00E13610"/>
    <w:rsid w:val="00E13DB0"/>
    <w:rsid w:val="00E14A46"/>
    <w:rsid w:val="00E14B86"/>
    <w:rsid w:val="00E14FF2"/>
    <w:rsid w:val="00E15B3C"/>
    <w:rsid w:val="00E15CFF"/>
    <w:rsid w:val="00E16DCB"/>
    <w:rsid w:val="00E17B34"/>
    <w:rsid w:val="00E17F93"/>
    <w:rsid w:val="00E20B28"/>
    <w:rsid w:val="00E21BD6"/>
    <w:rsid w:val="00E2271F"/>
    <w:rsid w:val="00E243A1"/>
    <w:rsid w:val="00E24D2D"/>
    <w:rsid w:val="00E2514D"/>
    <w:rsid w:val="00E2523F"/>
    <w:rsid w:val="00E26258"/>
    <w:rsid w:val="00E26916"/>
    <w:rsid w:val="00E273A9"/>
    <w:rsid w:val="00E30800"/>
    <w:rsid w:val="00E30972"/>
    <w:rsid w:val="00E30CED"/>
    <w:rsid w:val="00E31014"/>
    <w:rsid w:val="00E32F00"/>
    <w:rsid w:val="00E34572"/>
    <w:rsid w:val="00E35F93"/>
    <w:rsid w:val="00E407FE"/>
    <w:rsid w:val="00E41C4A"/>
    <w:rsid w:val="00E41EEC"/>
    <w:rsid w:val="00E4300C"/>
    <w:rsid w:val="00E43C9B"/>
    <w:rsid w:val="00E464F1"/>
    <w:rsid w:val="00E46A6A"/>
    <w:rsid w:val="00E472BC"/>
    <w:rsid w:val="00E47892"/>
    <w:rsid w:val="00E50184"/>
    <w:rsid w:val="00E508F8"/>
    <w:rsid w:val="00E50AF4"/>
    <w:rsid w:val="00E51C63"/>
    <w:rsid w:val="00E52DEC"/>
    <w:rsid w:val="00E52F70"/>
    <w:rsid w:val="00E536D7"/>
    <w:rsid w:val="00E54856"/>
    <w:rsid w:val="00E54E34"/>
    <w:rsid w:val="00E54F12"/>
    <w:rsid w:val="00E55008"/>
    <w:rsid w:val="00E55E82"/>
    <w:rsid w:val="00E57505"/>
    <w:rsid w:val="00E6041F"/>
    <w:rsid w:val="00E6071F"/>
    <w:rsid w:val="00E60F3C"/>
    <w:rsid w:val="00E614FE"/>
    <w:rsid w:val="00E61B6B"/>
    <w:rsid w:val="00E62000"/>
    <w:rsid w:val="00E628A7"/>
    <w:rsid w:val="00E6291D"/>
    <w:rsid w:val="00E63AF9"/>
    <w:rsid w:val="00E66FC2"/>
    <w:rsid w:val="00E6708F"/>
    <w:rsid w:val="00E671E9"/>
    <w:rsid w:val="00E67918"/>
    <w:rsid w:val="00E67DB8"/>
    <w:rsid w:val="00E702D3"/>
    <w:rsid w:val="00E71AA1"/>
    <w:rsid w:val="00E72FC9"/>
    <w:rsid w:val="00E747E4"/>
    <w:rsid w:val="00E74F6B"/>
    <w:rsid w:val="00E75723"/>
    <w:rsid w:val="00E75D34"/>
    <w:rsid w:val="00E75DAB"/>
    <w:rsid w:val="00E8038C"/>
    <w:rsid w:val="00E80C80"/>
    <w:rsid w:val="00E85D38"/>
    <w:rsid w:val="00E86096"/>
    <w:rsid w:val="00E9031B"/>
    <w:rsid w:val="00E905BC"/>
    <w:rsid w:val="00E90A03"/>
    <w:rsid w:val="00E92108"/>
    <w:rsid w:val="00E92A89"/>
    <w:rsid w:val="00E94559"/>
    <w:rsid w:val="00E97613"/>
    <w:rsid w:val="00E97F04"/>
    <w:rsid w:val="00EA0FF3"/>
    <w:rsid w:val="00EA1875"/>
    <w:rsid w:val="00EA1BD9"/>
    <w:rsid w:val="00EA38C1"/>
    <w:rsid w:val="00EA3A60"/>
    <w:rsid w:val="00EA3AAE"/>
    <w:rsid w:val="00EA3B49"/>
    <w:rsid w:val="00EA417E"/>
    <w:rsid w:val="00EA509B"/>
    <w:rsid w:val="00EA5793"/>
    <w:rsid w:val="00EA5B22"/>
    <w:rsid w:val="00EA7225"/>
    <w:rsid w:val="00EB0978"/>
    <w:rsid w:val="00EB0E91"/>
    <w:rsid w:val="00EB1567"/>
    <w:rsid w:val="00EB18B1"/>
    <w:rsid w:val="00EB18E0"/>
    <w:rsid w:val="00EB1FF5"/>
    <w:rsid w:val="00EB2B96"/>
    <w:rsid w:val="00EB3E5B"/>
    <w:rsid w:val="00EB513C"/>
    <w:rsid w:val="00EB59ED"/>
    <w:rsid w:val="00EB63A6"/>
    <w:rsid w:val="00EB6827"/>
    <w:rsid w:val="00EB6A2F"/>
    <w:rsid w:val="00EB76CF"/>
    <w:rsid w:val="00EC01E3"/>
    <w:rsid w:val="00EC050D"/>
    <w:rsid w:val="00EC1359"/>
    <w:rsid w:val="00EC337D"/>
    <w:rsid w:val="00EC45D5"/>
    <w:rsid w:val="00EC48CF"/>
    <w:rsid w:val="00EC4CB7"/>
    <w:rsid w:val="00EC523A"/>
    <w:rsid w:val="00EC5301"/>
    <w:rsid w:val="00EC57A5"/>
    <w:rsid w:val="00EC582C"/>
    <w:rsid w:val="00ED1BE9"/>
    <w:rsid w:val="00ED36A6"/>
    <w:rsid w:val="00ED41B5"/>
    <w:rsid w:val="00ED5CFD"/>
    <w:rsid w:val="00ED625A"/>
    <w:rsid w:val="00ED6CFD"/>
    <w:rsid w:val="00ED7E09"/>
    <w:rsid w:val="00EE037E"/>
    <w:rsid w:val="00EE1C0F"/>
    <w:rsid w:val="00EE1D78"/>
    <w:rsid w:val="00EE2FCD"/>
    <w:rsid w:val="00EE34A6"/>
    <w:rsid w:val="00EE4709"/>
    <w:rsid w:val="00EE4870"/>
    <w:rsid w:val="00EE4926"/>
    <w:rsid w:val="00EE4AB8"/>
    <w:rsid w:val="00EE5BE0"/>
    <w:rsid w:val="00EE5CFF"/>
    <w:rsid w:val="00EF02E5"/>
    <w:rsid w:val="00EF0DCC"/>
    <w:rsid w:val="00EF1006"/>
    <w:rsid w:val="00EF1CEE"/>
    <w:rsid w:val="00EF20B9"/>
    <w:rsid w:val="00EF21C8"/>
    <w:rsid w:val="00EF3976"/>
    <w:rsid w:val="00EF3B9C"/>
    <w:rsid w:val="00EF4677"/>
    <w:rsid w:val="00EF5A7E"/>
    <w:rsid w:val="00EF5B27"/>
    <w:rsid w:val="00EF5E43"/>
    <w:rsid w:val="00EF7ABD"/>
    <w:rsid w:val="00F00C99"/>
    <w:rsid w:val="00F01990"/>
    <w:rsid w:val="00F0245B"/>
    <w:rsid w:val="00F0273D"/>
    <w:rsid w:val="00F02F9B"/>
    <w:rsid w:val="00F04CC3"/>
    <w:rsid w:val="00F055C6"/>
    <w:rsid w:val="00F05CEF"/>
    <w:rsid w:val="00F062BA"/>
    <w:rsid w:val="00F07C5E"/>
    <w:rsid w:val="00F101E4"/>
    <w:rsid w:val="00F10246"/>
    <w:rsid w:val="00F1198B"/>
    <w:rsid w:val="00F11BDD"/>
    <w:rsid w:val="00F125EB"/>
    <w:rsid w:val="00F13FA8"/>
    <w:rsid w:val="00F14BCB"/>
    <w:rsid w:val="00F167D3"/>
    <w:rsid w:val="00F2192E"/>
    <w:rsid w:val="00F22B80"/>
    <w:rsid w:val="00F22E1D"/>
    <w:rsid w:val="00F243AF"/>
    <w:rsid w:val="00F24AF3"/>
    <w:rsid w:val="00F24FCF"/>
    <w:rsid w:val="00F251CC"/>
    <w:rsid w:val="00F25524"/>
    <w:rsid w:val="00F256B3"/>
    <w:rsid w:val="00F26C6D"/>
    <w:rsid w:val="00F279EA"/>
    <w:rsid w:val="00F306AC"/>
    <w:rsid w:val="00F31217"/>
    <w:rsid w:val="00F312F0"/>
    <w:rsid w:val="00F31318"/>
    <w:rsid w:val="00F32100"/>
    <w:rsid w:val="00F32350"/>
    <w:rsid w:val="00F32507"/>
    <w:rsid w:val="00F331D3"/>
    <w:rsid w:val="00F35094"/>
    <w:rsid w:val="00F3580E"/>
    <w:rsid w:val="00F35DED"/>
    <w:rsid w:val="00F41BBE"/>
    <w:rsid w:val="00F428BD"/>
    <w:rsid w:val="00F449CF"/>
    <w:rsid w:val="00F45043"/>
    <w:rsid w:val="00F46043"/>
    <w:rsid w:val="00F464B0"/>
    <w:rsid w:val="00F47456"/>
    <w:rsid w:val="00F50777"/>
    <w:rsid w:val="00F511EF"/>
    <w:rsid w:val="00F51624"/>
    <w:rsid w:val="00F5359F"/>
    <w:rsid w:val="00F54946"/>
    <w:rsid w:val="00F5636C"/>
    <w:rsid w:val="00F5646E"/>
    <w:rsid w:val="00F576CC"/>
    <w:rsid w:val="00F57E32"/>
    <w:rsid w:val="00F6043B"/>
    <w:rsid w:val="00F60457"/>
    <w:rsid w:val="00F605DB"/>
    <w:rsid w:val="00F632F1"/>
    <w:rsid w:val="00F649AA"/>
    <w:rsid w:val="00F64DDC"/>
    <w:rsid w:val="00F64FB8"/>
    <w:rsid w:val="00F6514F"/>
    <w:rsid w:val="00F65EFD"/>
    <w:rsid w:val="00F666B7"/>
    <w:rsid w:val="00F67069"/>
    <w:rsid w:val="00F67A3D"/>
    <w:rsid w:val="00F67EA2"/>
    <w:rsid w:val="00F70D17"/>
    <w:rsid w:val="00F716EC"/>
    <w:rsid w:val="00F7194C"/>
    <w:rsid w:val="00F73A03"/>
    <w:rsid w:val="00F75A86"/>
    <w:rsid w:val="00F75FDB"/>
    <w:rsid w:val="00F76FD0"/>
    <w:rsid w:val="00F8076B"/>
    <w:rsid w:val="00F8134F"/>
    <w:rsid w:val="00F814E3"/>
    <w:rsid w:val="00F81518"/>
    <w:rsid w:val="00F8184A"/>
    <w:rsid w:val="00F8243F"/>
    <w:rsid w:val="00F82D7B"/>
    <w:rsid w:val="00F83270"/>
    <w:rsid w:val="00F8351A"/>
    <w:rsid w:val="00F84675"/>
    <w:rsid w:val="00F846C5"/>
    <w:rsid w:val="00F854D1"/>
    <w:rsid w:val="00F854E6"/>
    <w:rsid w:val="00F85977"/>
    <w:rsid w:val="00F85D48"/>
    <w:rsid w:val="00F86C0C"/>
    <w:rsid w:val="00F86E71"/>
    <w:rsid w:val="00F912EB"/>
    <w:rsid w:val="00F92490"/>
    <w:rsid w:val="00F9388A"/>
    <w:rsid w:val="00F94484"/>
    <w:rsid w:val="00F94EAE"/>
    <w:rsid w:val="00F95807"/>
    <w:rsid w:val="00FA0C8D"/>
    <w:rsid w:val="00FA123F"/>
    <w:rsid w:val="00FA1AFF"/>
    <w:rsid w:val="00FA2412"/>
    <w:rsid w:val="00FA26BC"/>
    <w:rsid w:val="00FA2AAA"/>
    <w:rsid w:val="00FA3F0C"/>
    <w:rsid w:val="00FA6335"/>
    <w:rsid w:val="00FB0AEC"/>
    <w:rsid w:val="00FB2BF1"/>
    <w:rsid w:val="00FB3552"/>
    <w:rsid w:val="00FB358E"/>
    <w:rsid w:val="00FB3BC1"/>
    <w:rsid w:val="00FB4B34"/>
    <w:rsid w:val="00FB52E1"/>
    <w:rsid w:val="00FB57B9"/>
    <w:rsid w:val="00FB616C"/>
    <w:rsid w:val="00FB6D76"/>
    <w:rsid w:val="00FC019F"/>
    <w:rsid w:val="00FC1539"/>
    <w:rsid w:val="00FC18A9"/>
    <w:rsid w:val="00FC1E8B"/>
    <w:rsid w:val="00FC3B42"/>
    <w:rsid w:val="00FC3C0F"/>
    <w:rsid w:val="00FC3D23"/>
    <w:rsid w:val="00FC4B5B"/>
    <w:rsid w:val="00FC4C3A"/>
    <w:rsid w:val="00FC5E94"/>
    <w:rsid w:val="00FC64AB"/>
    <w:rsid w:val="00FC66B6"/>
    <w:rsid w:val="00FC767D"/>
    <w:rsid w:val="00FC7A44"/>
    <w:rsid w:val="00FC7F7E"/>
    <w:rsid w:val="00FD144E"/>
    <w:rsid w:val="00FD1C47"/>
    <w:rsid w:val="00FD1D6A"/>
    <w:rsid w:val="00FD22F4"/>
    <w:rsid w:val="00FD237D"/>
    <w:rsid w:val="00FD26CB"/>
    <w:rsid w:val="00FD2C0D"/>
    <w:rsid w:val="00FD34C0"/>
    <w:rsid w:val="00FD50DB"/>
    <w:rsid w:val="00FD6C77"/>
    <w:rsid w:val="00FD6F9B"/>
    <w:rsid w:val="00FD7DAF"/>
    <w:rsid w:val="00FD7DEC"/>
    <w:rsid w:val="00FE06E6"/>
    <w:rsid w:val="00FE1027"/>
    <w:rsid w:val="00FE10A7"/>
    <w:rsid w:val="00FE1F44"/>
    <w:rsid w:val="00FE2CAE"/>
    <w:rsid w:val="00FE43A8"/>
    <w:rsid w:val="00FE4644"/>
    <w:rsid w:val="00FE553A"/>
    <w:rsid w:val="00FE6EC0"/>
    <w:rsid w:val="00FF07E7"/>
    <w:rsid w:val="00FF16F6"/>
    <w:rsid w:val="00FF2349"/>
    <w:rsid w:val="00FF5026"/>
    <w:rsid w:val="00FF7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D15F3"/>
  <w15:chartTrackingRefBased/>
  <w15:docId w15:val="{83BAF82D-D086-4BAE-953D-C51CDE0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DF4533"/>
    <w:pPr>
      <w:keepNext/>
      <w:keepLines/>
      <w:numPr>
        <w:ilvl w:val="1"/>
        <w:numId w:val="15"/>
      </w:numPr>
      <w:spacing w:before="480" w:line="240" w:lineRule="atLeast"/>
      <w:ind w:left="720" w:hanging="720"/>
      <w:outlineLvl w:val="2"/>
    </w:pPr>
    <w:rPr>
      <w:rFonts w:eastAsiaTheme="majorEastAsia" w:cs="Times New Roman"/>
      <w:b/>
      <w:bCs/>
      <w:color w:val="001871"/>
      <w:sz w:val="32"/>
      <w:szCs w:val="32"/>
    </w:rPr>
  </w:style>
  <w:style w:type="paragraph" w:styleId="Heading4">
    <w:name w:val="heading 4"/>
    <w:basedOn w:val="Heading2"/>
    <w:next w:val="Normal"/>
    <w:link w:val="Heading4Char"/>
    <w:autoRedefine/>
    <w:qFormat/>
    <w:rsid w:val="00095F02"/>
    <w:pPr>
      <w:numPr>
        <w:ilvl w:val="2"/>
        <w:numId w:val="15"/>
      </w:numPr>
      <w:ind w:left="709"/>
      <w:outlineLvl w:val="3"/>
    </w:pPr>
    <w:rPr>
      <w:sz w:val="28"/>
      <w:szCs w:val="28"/>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DF4533"/>
    <w:rPr>
      <w:rFonts w:eastAsiaTheme="majorEastAsia" w:cs="Times New Roman"/>
      <w:b/>
      <w:bCs/>
      <w:color w:val="001871"/>
      <w:sz w:val="32"/>
      <w:szCs w:val="32"/>
    </w:rPr>
  </w:style>
  <w:style w:type="character" w:customStyle="1" w:styleId="Heading4Char">
    <w:name w:val="Heading 4 Char"/>
    <w:basedOn w:val="DefaultParagraphFont"/>
    <w:link w:val="Heading4"/>
    <w:rsid w:val="00095F02"/>
    <w:rPr>
      <w:rFonts w:eastAsia="Times New Roman" w:cs="Times New Roman"/>
      <w:b/>
      <w:bCs/>
      <w:color w:val="001871"/>
      <w:sz w:val="28"/>
      <w:szCs w:val="28"/>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976213"/>
    <w:pPr>
      <w:spacing w:before="120" w:after="0" w:line="264" w:lineRule="auto"/>
    </w:pPr>
    <w:rPr>
      <w:rFonts w:eastAsia="Cambria" w:cs="Times New Roman"/>
    </w:rPr>
  </w:style>
  <w:style w:type="paragraph" w:customStyle="1" w:styleId="Numberbullet0">
    <w:name w:val="Number bullet"/>
    <w:basedOn w:val="ListParagraph"/>
    <w:uiPriority w:val="3"/>
    <w:qFormat/>
    <w:rsid w:val="006416BF"/>
    <w:pPr>
      <w:numPr>
        <w:numId w:val="8"/>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5"/>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aliases w:val="1 heading,Bullet point,Bulletr List Paragraph,CAB - List Bullet,Dot point 1.5 line spacing,Dot pt,FooterText,L,List Bullet Cab,List Paragraph - bullets,List Paragraph1,List Paragraph11,NFP GP Bulleted List,Paragraphe de liste1,numbered,列"/>
    <w:basedOn w:val="ListBullet"/>
    <w:link w:val="ListParagraphChar"/>
    <w:autoRedefine/>
    <w:uiPriority w:val="34"/>
    <w:qFormat/>
    <w:rsid w:val="00D56E25"/>
    <w:pPr>
      <w:numPr>
        <w:numId w:val="19"/>
      </w:numPr>
      <w:spacing w:after="120" w:line="240" w:lineRule="auto"/>
    </w:pPr>
    <w:rPr>
      <w:rFonts w:asciiTheme="minorHAnsi" w:hAnsiTheme="minorHAnsi" w:cs="Calibri"/>
      <w:lang w:eastAsia="en-AU"/>
    </w:rPr>
  </w:style>
  <w:style w:type="character" w:customStyle="1" w:styleId="normaltextrun">
    <w:name w:val="normaltextrun"/>
    <w:basedOn w:val="DefaultParagraphFont"/>
    <w:rsid w:val="00881910"/>
  </w:style>
  <w:style w:type="character" w:customStyle="1" w:styleId="spellingerror">
    <w:name w:val="spellingerror"/>
    <w:basedOn w:val="DefaultParagraphFont"/>
    <w:rsid w:val="00881910"/>
  </w:style>
  <w:style w:type="paragraph" w:customStyle="1" w:styleId="paragraph">
    <w:name w:val="paragraph"/>
    <w:aliases w:val="a"/>
    <w:basedOn w:val="Normal"/>
    <w:link w:val="paragraphChar"/>
    <w:rsid w:val="007756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775682"/>
  </w:style>
  <w:style w:type="character" w:customStyle="1" w:styleId="ListParagraphChar">
    <w:name w:val="List Paragraph Char"/>
    <w:aliases w:val="1 heading Char,Bullet point Char,Bulletr List Paragraph Char,CAB - List Bullet Char,Dot point 1.5 line spacing Char,Dot pt Char,FooterText Char,L Char,List Bullet Cab Char,List Paragraph - bullets Char,List Paragraph1 Char,列 Char"/>
    <w:basedOn w:val="DefaultParagraphFont"/>
    <w:link w:val="ListParagraph"/>
    <w:uiPriority w:val="34"/>
    <w:qFormat/>
    <w:locked/>
    <w:rsid w:val="00D56E25"/>
    <w:rPr>
      <w:rFonts w:asciiTheme="minorHAnsi" w:eastAsia="Cambria" w:hAnsiTheme="minorHAnsi" w:cs="Calibri"/>
      <w:lang w:eastAsia="en-AU"/>
    </w:rPr>
  </w:style>
  <w:style w:type="paragraph" w:customStyle="1" w:styleId="Calloutbox">
    <w:name w:val="Call out box"/>
    <w:basedOn w:val="Normal"/>
    <w:qFormat/>
    <w:rsid w:val="008E4AB4"/>
    <w:pPr>
      <w:pBdr>
        <w:top w:val="single" w:sz="4" w:space="6" w:color="F2F2F2" w:themeColor="background2"/>
        <w:left w:val="single" w:sz="4" w:space="4" w:color="F2F2F2" w:themeColor="background2"/>
        <w:bottom w:val="single" w:sz="4" w:space="6" w:color="F2F2F2" w:themeColor="background2"/>
        <w:right w:val="single" w:sz="4" w:space="4" w:color="F2F2F2" w:themeColor="background2"/>
      </w:pBdr>
      <w:shd w:val="clear" w:color="auto" w:fill="F2F2F2" w:themeFill="background2"/>
      <w:spacing w:after="160" w:line="256" w:lineRule="auto"/>
      <w:ind w:left="357"/>
    </w:pPr>
    <w:rPr>
      <w:rFonts w:asciiTheme="minorHAnsi" w:hAnsiTheme="minorHAnsi"/>
      <w:szCs w:val="22"/>
    </w:rPr>
  </w:style>
  <w:style w:type="character" w:customStyle="1" w:styleId="ui-provider">
    <w:name w:val="ui-provider"/>
    <w:basedOn w:val="DefaultParagraphFont"/>
    <w:rsid w:val="008E4AB4"/>
  </w:style>
  <w:style w:type="character" w:styleId="Strong">
    <w:name w:val="Strong"/>
    <w:basedOn w:val="DefaultParagraphFont"/>
    <w:uiPriority w:val="22"/>
    <w:qFormat/>
    <w:rsid w:val="008E4AB4"/>
    <w:rPr>
      <w:b/>
      <w:bCs/>
    </w:rPr>
  </w:style>
  <w:style w:type="character" w:customStyle="1" w:styleId="cf01">
    <w:name w:val="cf01"/>
    <w:basedOn w:val="DefaultParagraphFont"/>
    <w:rsid w:val="00F3580E"/>
    <w:rPr>
      <w:rFonts w:ascii="Segoe UI" w:hAnsi="Segoe UI" w:cs="Segoe UI" w:hint="default"/>
      <w:sz w:val="18"/>
      <w:szCs w:val="18"/>
    </w:rPr>
  </w:style>
  <w:style w:type="character" w:styleId="UnresolvedMention">
    <w:name w:val="Unresolved Mention"/>
    <w:basedOn w:val="DefaultParagraphFont"/>
    <w:uiPriority w:val="99"/>
    <w:semiHidden/>
    <w:unhideWhenUsed/>
    <w:rsid w:val="0090669A"/>
    <w:rPr>
      <w:color w:val="605E5C"/>
      <w:shd w:val="clear" w:color="auto" w:fill="E1DFDD"/>
    </w:rPr>
  </w:style>
  <w:style w:type="paragraph" w:styleId="NormalWeb">
    <w:name w:val="Normal (Web)"/>
    <w:basedOn w:val="Normal"/>
    <w:uiPriority w:val="99"/>
    <w:semiHidden/>
    <w:unhideWhenUsed/>
    <w:rsid w:val="00CC4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qFormat/>
    <w:rsid w:val="007B7241"/>
  </w:style>
  <w:style w:type="paragraph" w:customStyle="1" w:styleId="ActHead5">
    <w:name w:val="ActHead 5"/>
    <w:aliases w:val="s"/>
    <w:basedOn w:val="Normal"/>
    <w:next w:val="subsection"/>
    <w:link w:val="ActHead5Char"/>
    <w:qFormat/>
    <w:rsid w:val="007B7241"/>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paragraph" w:customStyle="1" w:styleId="subsection">
    <w:name w:val="subsection"/>
    <w:aliases w:val="ss"/>
    <w:basedOn w:val="Normal"/>
    <w:link w:val="subsectionChar"/>
    <w:rsid w:val="007B7241"/>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paragraphsub">
    <w:name w:val="paragraph(sub)"/>
    <w:aliases w:val="aa"/>
    <w:basedOn w:val="Normal"/>
    <w:rsid w:val="007B7241"/>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character" w:customStyle="1" w:styleId="ActHead5Char">
    <w:name w:val="ActHead 5 Char"/>
    <w:aliases w:val="s Char"/>
    <w:link w:val="ActHead5"/>
    <w:rsid w:val="007B7241"/>
    <w:rPr>
      <w:rFonts w:ascii="Times New Roman" w:eastAsia="Times New Roman" w:hAnsi="Times New Roman" w:cs="Times New Roman"/>
      <w:b/>
      <w:kern w:val="28"/>
      <w:sz w:val="24"/>
      <w:lang w:eastAsia="en-AU"/>
    </w:rPr>
  </w:style>
  <w:style w:type="character" w:customStyle="1" w:styleId="paragraphChar">
    <w:name w:val="paragraph Char"/>
    <w:aliases w:val="a Char"/>
    <w:basedOn w:val="DefaultParagraphFont"/>
    <w:link w:val="paragraph"/>
    <w:rsid w:val="007B7241"/>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rsid w:val="007B7241"/>
    <w:rPr>
      <w:rFonts w:ascii="Times New Roman" w:eastAsia="Times New Roman" w:hAnsi="Times New Roman" w:cs="Times New Roman"/>
      <w:sz w:val="22"/>
      <w:lang w:eastAsia="en-AU"/>
    </w:rPr>
  </w:style>
  <w:style w:type="paragraph" w:customStyle="1" w:styleId="subsection2">
    <w:name w:val="subsection2"/>
    <w:aliases w:val="ss2"/>
    <w:basedOn w:val="Normal"/>
    <w:next w:val="subsection"/>
    <w:rsid w:val="007B7241"/>
    <w:pPr>
      <w:spacing w:before="40" w:after="0" w:line="240" w:lineRule="auto"/>
      <w:ind w:left="1134"/>
    </w:pPr>
    <w:rPr>
      <w:rFonts w:ascii="Times New Roman" w:eastAsia="Times New Roman" w:hAnsi="Times New Roman" w:cs="Times New Roman"/>
      <w:sz w:val="22"/>
      <w:lang w:eastAsia="en-AU"/>
    </w:rPr>
  </w:style>
  <w:style w:type="character" w:styleId="HTMLCite">
    <w:name w:val="HTML Cite"/>
    <w:basedOn w:val="DefaultParagraphFont"/>
    <w:uiPriority w:val="99"/>
    <w:semiHidden/>
    <w:unhideWhenUsed/>
    <w:rsid w:val="00D74F3A"/>
    <w:rPr>
      <w:i/>
      <w:iCs/>
    </w:rPr>
  </w:style>
  <w:style w:type="character" w:customStyle="1" w:styleId="sr-only">
    <w:name w:val="sr-only"/>
    <w:basedOn w:val="DefaultParagraphFont"/>
    <w:rsid w:val="00D74F3A"/>
  </w:style>
  <w:style w:type="character" w:styleId="CommentReference">
    <w:name w:val="annotation reference"/>
    <w:basedOn w:val="DefaultParagraphFont"/>
    <w:uiPriority w:val="99"/>
    <w:semiHidden/>
    <w:unhideWhenUsed/>
    <w:rsid w:val="00013B76"/>
    <w:rPr>
      <w:sz w:val="16"/>
      <w:szCs w:val="16"/>
    </w:rPr>
  </w:style>
  <w:style w:type="paragraph" w:styleId="CommentText">
    <w:name w:val="annotation text"/>
    <w:basedOn w:val="Normal"/>
    <w:link w:val="CommentTextChar"/>
    <w:uiPriority w:val="99"/>
    <w:unhideWhenUsed/>
    <w:rsid w:val="00013B76"/>
    <w:pPr>
      <w:spacing w:line="240" w:lineRule="auto"/>
    </w:pPr>
  </w:style>
  <w:style w:type="character" w:customStyle="1" w:styleId="CommentTextChar">
    <w:name w:val="Comment Text Char"/>
    <w:basedOn w:val="DefaultParagraphFont"/>
    <w:link w:val="CommentText"/>
    <w:uiPriority w:val="99"/>
    <w:rsid w:val="00013B76"/>
  </w:style>
  <w:style w:type="paragraph" w:customStyle="1" w:styleId="notemargin">
    <w:name w:val="note(margin)"/>
    <w:aliases w:val="nm"/>
    <w:basedOn w:val="Normal"/>
    <w:rsid w:val="008661E8"/>
    <w:pPr>
      <w:tabs>
        <w:tab w:val="left" w:pos="709"/>
      </w:tabs>
      <w:spacing w:before="122" w:after="0" w:line="198" w:lineRule="exact"/>
      <w:ind w:left="709" w:hanging="709"/>
    </w:pPr>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8661E8"/>
    <w:pPr>
      <w:spacing w:before="122" w:after="0" w:line="240" w:lineRule="auto"/>
      <w:ind w:left="1985" w:hanging="851"/>
    </w:pPr>
    <w:rPr>
      <w:rFonts w:ascii="Times New Roman" w:eastAsia="Times New Roman" w:hAnsi="Times New Roman" w:cs="Times New Roman"/>
      <w:sz w:val="18"/>
      <w:lang w:eastAsia="en-AU"/>
    </w:rPr>
  </w:style>
  <w:style w:type="paragraph" w:customStyle="1" w:styleId="Tablea">
    <w:name w:val="Table(a)"/>
    <w:aliases w:val="ta"/>
    <w:basedOn w:val="Normal"/>
    <w:rsid w:val="008661E8"/>
    <w:pPr>
      <w:spacing w:before="60" w:after="0" w:line="240" w:lineRule="auto"/>
      <w:ind w:left="284" w:hanging="284"/>
    </w:pPr>
    <w:rPr>
      <w:rFonts w:ascii="Times New Roman" w:eastAsia="Times New Roman" w:hAnsi="Times New Roman" w:cs="Times New Roman"/>
      <w:lang w:eastAsia="en-AU"/>
    </w:rPr>
  </w:style>
  <w:style w:type="paragraph" w:customStyle="1" w:styleId="Tabletext">
    <w:name w:val="Tabletext"/>
    <w:aliases w:val="tt"/>
    <w:basedOn w:val="Normal"/>
    <w:rsid w:val="008661E8"/>
    <w:pPr>
      <w:spacing w:before="60" w:after="0" w:line="240" w:lineRule="atLeast"/>
    </w:pPr>
    <w:rPr>
      <w:rFonts w:ascii="Times New Roman" w:eastAsia="Times New Roman" w:hAnsi="Times New Roman" w:cs="Times New Roman"/>
      <w:lang w:eastAsia="en-AU"/>
    </w:rPr>
  </w:style>
  <w:style w:type="paragraph" w:customStyle="1" w:styleId="TableHeading">
    <w:name w:val="TableHeading"/>
    <w:aliases w:val="th"/>
    <w:basedOn w:val="Normal"/>
    <w:next w:val="Tabletext"/>
    <w:rsid w:val="008661E8"/>
    <w:pPr>
      <w:keepNext/>
      <w:spacing w:before="60" w:after="0" w:line="240" w:lineRule="atLeast"/>
    </w:pPr>
    <w:rPr>
      <w:rFonts w:ascii="Times New Roman" w:eastAsia="Times New Roman" w:hAnsi="Times New Roman" w:cs="Times New Roman"/>
      <w:b/>
      <w:lang w:eastAsia="en-AU"/>
    </w:rPr>
  </w:style>
  <w:style w:type="character" w:customStyle="1" w:styleId="notetextChar">
    <w:name w:val="note(text) Char"/>
    <w:aliases w:val="n Char"/>
    <w:basedOn w:val="DefaultParagraphFont"/>
    <w:link w:val="notetext"/>
    <w:rsid w:val="008661E8"/>
    <w:rPr>
      <w:rFonts w:ascii="Times New Roman" w:eastAsia="Times New Roman" w:hAnsi="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6832DE"/>
    <w:rPr>
      <w:b/>
      <w:bCs/>
    </w:rPr>
  </w:style>
  <w:style w:type="character" w:customStyle="1" w:styleId="CommentSubjectChar">
    <w:name w:val="Comment Subject Char"/>
    <w:basedOn w:val="CommentTextChar"/>
    <w:link w:val="CommentSubject"/>
    <w:uiPriority w:val="99"/>
    <w:semiHidden/>
    <w:rsid w:val="006832DE"/>
    <w:rPr>
      <w:b/>
      <w:bCs/>
    </w:rPr>
  </w:style>
  <w:style w:type="paragraph" w:styleId="Revision">
    <w:name w:val="Revision"/>
    <w:hidden/>
    <w:uiPriority w:val="99"/>
    <w:semiHidden/>
    <w:rsid w:val="00D17F2D"/>
    <w:pPr>
      <w:spacing w:after="0" w:line="240" w:lineRule="auto"/>
    </w:pPr>
  </w:style>
  <w:style w:type="character" w:styleId="FollowedHyperlink">
    <w:name w:val="FollowedHyperlink"/>
    <w:basedOn w:val="DefaultParagraphFont"/>
    <w:uiPriority w:val="99"/>
    <w:semiHidden/>
    <w:unhideWhenUsed/>
    <w:rsid w:val="003E5F8D"/>
    <w:rPr>
      <w:color w:val="6E2B62" w:themeColor="followedHyperlink"/>
      <w:u w:val="single"/>
    </w:rPr>
  </w:style>
  <w:style w:type="paragraph" w:customStyle="1" w:styleId="pf0">
    <w:name w:val="pf0"/>
    <w:basedOn w:val="Normal"/>
    <w:rsid w:val="002B33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5E2295"/>
    <w:rPr>
      <w:rFonts w:ascii="Segoe UI" w:hAnsi="Segoe UI" w:cs="Segoe UI" w:hint="default"/>
      <w:i/>
      <w:iCs/>
      <w:sz w:val="18"/>
      <w:szCs w:val="18"/>
    </w:rPr>
  </w:style>
  <w:style w:type="paragraph" w:customStyle="1" w:styleId="Default">
    <w:name w:val="Default"/>
    <w:rsid w:val="00DB6D6A"/>
    <w:pPr>
      <w:autoSpaceDE w:val="0"/>
      <w:autoSpaceDN w:val="0"/>
      <w:adjustRightInd w:val="0"/>
      <w:spacing w:after="0" w:line="240" w:lineRule="auto"/>
    </w:pPr>
    <w:rPr>
      <w:rFonts w:ascii="Aptos" w:hAnsi="Aptos" w:cs="Aptos"/>
      <w:color w:val="000000"/>
      <w:sz w:val="24"/>
      <w:szCs w:val="24"/>
    </w:rPr>
  </w:style>
  <w:style w:type="paragraph" w:customStyle="1" w:styleId="Bullet1">
    <w:name w:val="Bullet 1"/>
    <w:basedOn w:val="ListBullet"/>
    <w:qFormat/>
    <w:rsid w:val="004B03E7"/>
    <w:pPr>
      <w:numPr>
        <w:numId w:val="9"/>
      </w:numPr>
      <w:spacing w:line="240" w:lineRule="atLeast"/>
    </w:pPr>
    <w:rPr>
      <w:rFonts w:asciiTheme="minorHAnsi" w:hAnsiTheme="minorHAnsi" w:cstheme="minorHAnsi"/>
      <w:color w:val="000000"/>
      <w:lang w:eastAsia="en-AU"/>
    </w:rPr>
  </w:style>
  <w:style w:type="table" w:styleId="GridTable4-Accent2">
    <w:name w:val="Grid Table 4 Accent 2"/>
    <w:basedOn w:val="TableNormal"/>
    <w:uiPriority w:val="49"/>
    <w:rsid w:val="004B03E7"/>
    <w:pPr>
      <w:spacing w:after="0" w:line="240" w:lineRule="auto"/>
    </w:pPr>
    <w:tblPr>
      <w:tblStyleRowBandSize w:val="1"/>
      <w:tblStyleColBandSize w:val="1"/>
      <w:tblBorders>
        <w:top w:val="single" w:sz="4" w:space="0" w:color="9DB7E8" w:themeColor="accent2" w:themeTint="99"/>
        <w:left w:val="single" w:sz="4" w:space="0" w:color="9DB7E8" w:themeColor="accent2" w:themeTint="99"/>
        <w:bottom w:val="single" w:sz="4" w:space="0" w:color="9DB7E8" w:themeColor="accent2" w:themeTint="99"/>
        <w:right w:val="single" w:sz="4" w:space="0" w:color="9DB7E8" w:themeColor="accent2" w:themeTint="99"/>
        <w:insideH w:val="single" w:sz="4" w:space="0" w:color="9DB7E8" w:themeColor="accent2" w:themeTint="99"/>
        <w:insideV w:val="single" w:sz="4" w:space="0" w:color="9DB7E8" w:themeColor="accent2" w:themeTint="99"/>
      </w:tblBorders>
    </w:tblPr>
    <w:tblStylePr w:type="firstRow">
      <w:rPr>
        <w:b/>
        <w:bCs/>
        <w:color w:val="FFFFFF" w:themeColor="background1"/>
      </w:rPr>
      <w:tblPr/>
      <w:tcPr>
        <w:tcBorders>
          <w:top w:val="single" w:sz="4" w:space="0" w:color="5C88DA" w:themeColor="accent2"/>
          <w:left w:val="single" w:sz="4" w:space="0" w:color="5C88DA" w:themeColor="accent2"/>
          <w:bottom w:val="single" w:sz="4" w:space="0" w:color="5C88DA" w:themeColor="accent2"/>
          <w:right w:val="single" w:sz="4" w:space="0" w:color="5C88DA" w:themeColor="accent2"/>
          <w:insideH w:val="nil"/>
          <w:insideV w:val="nil"/>
        </w:tcBorders>
        <w:shd w:val="clear" w:color="auto" w:fill="5C88DA" w:themeFill="accent2"/>
      </w:tcPr>
    </w:tblStylePr>
    <w:tblStylePr w:type="lastRow">
      <w:rPr>
        <w:b/>
        <w:bCs/>
      </w:rPr>
      <w:tblPr/>
      <w:tcPr>
        <w:tcBorders>
          <w:top w:val="double" w:sz="4" w:space="0" w:color="5C88DA" w:themeColor="accent2"/>
        </w:tcBorders>
      </w:tcPr>
    </w:tblStylePr>
    <w:tblStylePr w:type="firstCol">
      <w:rPr>
        <w:b/>
        <w:bCs/>
      </w:rPr>
    </w:tblStylePr>
    <w:tblStylePr w:type="lastCol">
      <w:rPr>
        <w:b/>
        <w:bCs/>
      </w:rPr>
    </w:tblStylePr>
    <w:tblStylePr w:type="band1Vert">
      <w:tblPr/>
      <w:tcPr>
        <w:shd w:val="clear" w:color="auto" w:fill="DEE7F7" w:themeFill="accent2" w:themeFillTint="33"/>
      </w:tcPr>
    </w:tblStylePr>
    <w:tblStylePr w:type="band1Horz">
      <w:tblPr/>
      <w:tcPr>
        <w:shd w:val="clear" w:color="auto" w:fill="DEE7F7" w:themeFill="accent2" w:themeFillTint="33"/>
      </w:tcPr>
    </w:tblStylePr>
  </w:style>
  <w:style w:type="table" w:customStyle="1" w:styleId="TableTGAblue">
    <w:name w:val="Table TGA blue"/>
    <w:basedOn w:val="TableNormal"/>
    <w:uiPriority w:val="99"/>
    <w:qFormat/>
    <w:rsid w:val="000F308B"/>
    <w:pPr>
      <w:spacing w:before="180" w:after="180" w:line="240" w:lineRule="auto"/>
    </w:pPr>
    <w:rPr>
      <w:rFonts w:ascii="Cambria" w:hAnsi="Cambria" w:cs="Times New Roman"/>
      <w:color w:val="000000"/>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cPr>
        <w:shd w:val="clear" w:color="auto" w:fill="B8CCEA" w:themeFill="accent3"/>
      </w:tcPr>
    </w:tblStylePr>
  </w:style>
  <w:style w:type="paragraph" w:customStyle="1" w:styleId="Callout">
    <w:name w:val="Callout"/>
    <w:basedOn w:val="Normal"/>
    <w:link w:val="CalloutChar"/>
    <w:qFormat/>
    <w:rsid w:val="00025626"/>
    <w:pPr>
      <w:spacing w:before="120" w:line="240" w:lineRule="auto"/>
    </w:pPr>
    <w:rPr>
      <w:rFonts w:asciiTheme="minorHAnsi" w:eastAsia="Cambria" w:hAnsiTheme="minorHAnsi" w:cstheme="minorHAnsi"/>
      <w:lang w:eastAsia="en-AU"/>
    </w:rPr>
  </w:style>
  <w:style w:type="character" w:customStyle="1" w:styleId="CalloutChar">
    <w:name w:val="Callout Char"/>
    <w:basedOn w:val="DefaultParagraphFont"/>
    <w:link w:val="Callout"/>
    <w:rsid w:val="00025626"/>
    <w:rPr>
      <w:rFonts w:asciiTheme="minorHAnsi" w:eastAsia="Cambria" w:hAnsiTheme="minorHAnsi" w:cs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273">
      <w:bodyDiv w:val="1"/>
      <w:marLeft w:val="0"/>
      <w:marRight w:val="0"/>
      <w:marTop w:val="0"/>
      <w:marBottom w:val="0"/>
      <w:divBdr>
        <w:top w:val="none" w:sz="0" w:space="0" w:color="auto"/>
        <w:left w:val="none" w:sz="0" w:space="0" w:color="auto"/>
        <w:bottom w:val="none" w:sz="0" w:space="0" w:color="auto"/>
        <w:right w:val="none" w:sz="0" w:space="0" w:color="auto"/>
      </w:divBdr>
    </w:div>
    <w:div w:id="30494646">
      <w:bodyDiv w:val="1"/>
      <w:marLeft w:val="0"/>
      <w:marRight w:val="0"/>
      <w:marTop w:val="0"/>
      <w:marBottom w:val="0"/>
      <w:divBdr>
        <w:top w:val="none" w:sz="0" w:space="0" w:color="auto"/>
        <w:left w:val="none" w:sz="0" w:space="0" w:color="auto"/>
        <w:bottom w:val="none" w:sz="0" w:space="0" w:color="auto"/>
        <w:right w:val="none" w:sz="0" w:space="0" w:color="auto"/>
      </w:divBdr>
      <w:divsChild>
        <w:div w:id="1204052623">
          <w:marLeft w:val="446"/>
          <w:marRight w:val="0"/>
          <w:marTop w:val="0"/>
          <w:marBottom w:val="120"/>
          <w:divBdr>
            <w:top w:val="none" w:sz="0" w:space="0" w:color="auto"/>
            <w:left w:val="none" w:sz="0" w:space="0" w:color="auto"/>
            <w:bottom w:val="none" w:sz="0" w:space="0" w:color="auto"/>
            <w:right w:val="none" w:sz="0" w:space="0" w:color="auto"/>
          </w:divBdr>
        </w:div>
        <w:div w:id="1002120238">
          <w:marLeft w:val="446"/>
          <w:marRight w:val="0"/>
          <w:marTop w:val="0"/>
          <w:marBottom w:val="120"/>
          <w:divBdr>
            <w:top w:val="none" w:sz="0" w:space="0" w:color="auto"/>
            <w:left w:val="none" w:sz="0" w:space="0" w:color="auto"/>
            <w:bottom w:val="none" w:sz="0" w:space="0" w:color="auto"/>
            <w:right w:val="none" w:sz="0" w:space="0" w:color="auto"/>
          </w:divBdr>
        </w:div>
      </w:divsChild>
    </w:div>
    <w:div w:id="32311189">
      <w:bodyDiv w:val="1"/>
      <w:marLeft w:val="0"/>
      <w:marRight w:val="0"/>
      <w:marTop w:val="0"/>
      <w:marBottom w:val="0"/>
      <w:divBdr>
        <w:top w:val="none" w:sz="0" w:space="0" w:color="auto"/>
        <w:left w:val="none" w:sz="0" w:space="0" w:color="auto"/>
        <w:bottom w:val="none" w:sz="0" w:space="0" w:color="auto"/>
        <w:right w:val="none" w:sz="0" w:space="0" w:color="auto"/>
      </w:divBdr>
    </w:div>
    <w:div w:id="65230940">
      <w:bodyDiv w:val="1"/>
      <w:marLeft w:val="0"/>
      <w:marRight w:val="0"/>
      <w:marTop w:val="0"/>
      <w:marBottom w:val="0"/>
      <w:divBdr>
        <w:top w:val="none" w:sz="0" w:space="0" w:color="auto"/>
        <w:left w:val="none" w:sz="0" w:space="0" w:color="auto"/>
        <w:bottom w:val="none" w:sz="0" w:space="0" w:color="auto"/>
        <w:right w:val="none" w:sz="0" w:space="0" w:color="auto"/>
      </w:divBdr>
    </w:div>
    <w:div w:id="65492340">
      <w:bodyDiv w:val="1"/>
      <w:marLeft w:val="0"/>
      <w:marRight w:val="0"/>
      <w:marTop w:val="0"/>
      <w:marBottom w:val="0"/>
      <w:divBdr>
        <w:top w:val="none" w:sz="0" w:space="0" w:color="auto"/>
        <w:left w:val="none" w:sz="0" w:space="0" w:color="auto"/>
        <w:bottom w:val="none" w:sz="0" w:space="0" w:color="auto"/>
        <w:right w:val="none" w:sz="0" w:space="0" w:color="auto"/>
      </w:divBdr>
    </w:div>
    <w:div w:id="99493522">
      <w:bodyDiv w:val="1"/>
      <w:marLeft w:val="0"/>
      <w:marRight w:val="0"/>
      <w:marTop w:val="0"/>
      <w:marBottom w:val="0"/>
      <w:divBdr>
        <w:top w:val="none" w:sz="0" w:space="0" w:color="auto"/>
        <w:left w:val="none" w:sz="0" w:space="0" w:color="auto"/>
        <w:bottom w:val="none" w:sz="0" w:space="0" w:color="auto"/>
        <w:right w:val="none" w:sz="0" w:space="0" w:color="auto"/>
      </w:divBdr>
    </w:div>
    <w:div w:id="115756056">
      <w:bodyDiv w:val="1"/>
      <w:marLeft w:val="0"/>
      <w:marRight w:val="0"/>
      <w:marTop w:val="0"/>
      <w:marBottom w:val="0"/>
      <w:divBdr>
        <w:top w:val="none" w:sz="0" w:space="0" w:color="auto"/>
        <w:left w:val="none" w:sz="0" w:space="0" w:color="auto"/>
        <w:bottom w:val="none" w:sz="0" w:space="0" w:color="auto"/>
        <w:right w:val="none" w:sz="0" w:space="0" w:color="auto"/>
      </w:divBdr>
      <w:divsChild>
        <w:div w:id="138807730">
          <w:marLeft w:val="446"/>
          <w:marRight w:val="0"/>
          <w:marTop w:val="0"/>
          <w:marBottom w:val="120"/>
          <w:divBdr>
            <w:top w:val="none" w:sz="0" w:space="0" w:color="auto"/>
            <w:left w:val="none" w:sz="0" w:space="0" w:color="auto"/>
            <w:bottom w:val="none" w:sz="0" w:space="0" w:color="auto"/>
            <w:right w:val="none" w:sz="0" w:space="0" w:color="auto"/>
          </w:divBdr>
        </w:div>
        <w:div w:id="2059039564">
          <w:marLeft w:val="446"/>
          <w:marRight w:val="0"/>
          <w:marTop w:val="0"/>
          <w:marBottom w:val="120"/>
          <w:divBdr>
            <w:top w:val="none" w:sz="0" w:space="0" w:color="auto"/>
            <w:left w:val="none" w:sz="0" w:space="0" w:color="auto"/>
            <w:bottom w:val="none" w:sz="0" w:space="0" w:color="auto"/>
            <w:right w:val="none" w:sz="0" w:space="0" w:color="auto"/>
          </w:divBdr>
        </w:div>
        <w:div w:id="1881280039">
          <w:marLeft w:val="446"/>
          <w:marRight w:val="0"/>
          <w:marTop w:val="0"/>
          <w:marBottom w:val="120"/>
          <w:divBdr>
            <w:top w:val="none" w:sz="0" w:space="0" w:color="auto"/>
            <w:left w:val="none" w:sz="0" w:space="0" w:color="auto"/>
            <w:bottom w:val="none" w:sz="0" w:space="0" w:color="auto"/>
            <w:right w:val="none" w:sz="0" w:space="0" w:color="auto"/>
          </w:divBdr>
        </w:div>
      </w:divsChild>
    </w:div>
    <w:div w:id="118841227">
      <w:bodyDiv w:val="1"/>
      <w:marLeft w:val="0"/>
      <w:marRight w:val="0"/>
      <w:marTop w:val="0"/>
      <w:marBottom w:val="0"/>
      <w:divBdr>
        <w:top w:val="none" w:sz="0" w:space="0" w:color="auto"/>
        <w:left w:val="none" w:sz="0" w:space="0" w:color="auto"/>
        <w:bottom w:val="none" w:sz="0" w:space="0" w:color="auto"/>
        <w:right w:val="none" w:sz="0" w:space="0" w:color="auto"/>
      </w:divBdr>
    </w:div>
    <w:div w:id="267087442">
      <w:bodyDiv w:val="1"/>
      <w:marLeft w:val="0"/>
      <w:marRight w:val="0"/>
      <w:marTop w:val="0"/>
      <w:marBottom w:val="0"/>
      <w:divBdr>
        <w:top w:val="none" w:sz="0" w:space="0" w:color="auto"/>
        <w:left w:val="none" w:sz="0" w:space="0" w:color="auto"/>
        <w:bottom w:val="none" w:sz="0" w:space="0" w:color="auto"/>
        <w:right w:val="none" w:sz="0" w:space="0" w:color="auto"/>
      </w:divBdr>
      <w:divsChild>
        <w:div w:id="1854145272">
          <w:marLeft w:val="562"/>
          <w:marRight w:val="0"/>
          <w:marTop w:val="360"/>
          <w:marBottom w:val="160"/>
          <w:divBdr>
            <w:top w:val="none" w:sz="0" w:space="0" w:color="auto"/>
            <w:left w:val="none" w:sz="0" w:space="0" w:color="auto"/>
            <w:bottom w:val="none" w:sz="0" w:space="0" w:color="auto"/>
            <w:right w:val="none" w:sz="0" w:space="0" w:color="auto"/>
          </w:divBdr>
        </w:div>
        <w:div w:id="1569730173">
          <w:marLeft w:val="562"/>
          <w:marRight w:val="0"/>
          <w:marTop w:val="360"/>
          <w:marBottom w:val="160"/>
          <w:divBdr>
            <w:top w:val="none" w:sz="0" w:space="0" w:color="auto"/>
            <w:left w:val="none" w:sz="0" w:space="0" w:color="auto"/>
            <w:bottom w:val="none" w:sz="0" w:space="0" w:color="auto"/>
            <w:right w:val="none" w:sz="0" w:space="0" w:color="auto"/>
          </w:divBdr>
        </w:div>
      </w:divsChild>
    </w:div>
    <w:div w:id="279534485">
      <w:bodyDiv w:val="1"/>
      <w:marLeft w:val="0"/>
      <w:marRight w:val="0"/>
      <w:marTop w:val="0"/>
      <w:marBottom w:val="0"/>
      <w:divBdr>
        <w:top w:val="none" w:sz="0" w:space="0" w:color="auto"/>
        <w:left w:val="none" w:sz="0" w:space="0" w:color="auto"/>
        <w:bottom w:val="none" w:sz="0" w:space="0" w:color="auto"/>
        <w:right w:val="none" w:sz="0" w:space="0" w:color="auto"/>
      </w:divBdr>
    </w:div>
    <w:div w:id="294912539">
      <w:bodyDiv w:val="1"/>
      <w:marLeft w:val="0"/>
      <w:marRight w:val="0"/>
      <w:marTop w:val="0"/>
      <w:marBottom w:val="0"/>
      <w:divBdr>
        <w:top w:val="none" w:sz="0" w:space="0" w:color="auto"/>
        <w:left w:val="none" w:sz="0" w:space="0" w:color="auto"/>
        <w:bottom w:val="none" w:sz="0" w:space="0" w:color="auto"/>
        <w:right w:val="none" w:sz="0" w:space="0" w:color="auto"/>
      </w:divBdr>
    </w:div>
    <w:div w:id="338656208">
      <w:bodyDiv w:val="1"/>
      <w:marLeft w:val="0"/>
      <w:marRight w:val="0"/>
      <w:marTop w:val="0"/>
      <w:marBottom w:val="0"/>
      <w:divBdr>
        <w:top w:val="none" w:sz="0" w:space="0" w:color="auto"/>
        <w:left w:val="none" w:sz="0" w:space="0" w:color="auto"/>
        <w:bottom w:val="none" w:sz="0" w:space="0" w:color="auto"/>
        <w:right w:val="none" w:sz="0" w:space="0" w:color="auto"/>
      </w:divBdr>
    </w:div>
    <w:div w:id="380716408">
      <w:bodyDiv w:val="1"/>
      <w:marLeft w:val="0"/>
      <w:marRight w:val="0"/>
      <w:marTop w:val="0"/>
      <w:marBottom w:val="0"/>
      <w:divBdr>
        <w:top w:val="none" w:sz="0" w:space="0" w:color="auto"/>
        <w:left w:val="none" w:sz="0" w:space="0" w:color="auto"/>
        <w:bottom w:val="none" w:sz="0" w:space="0" w:color="auto"/>
        <w:right w:val="none" w:sz="0" w:space="0" w:color="auto"/>
      </w:divBdr>
    </w:div>
    <w:div w:id="509565649">
      <w:bodyDiv w:val="1"/>
      <w:marLeft w:val="0"/>
      <w:marRight w:val="0"/>
      <w:marTop w:val="0"/>
      <w:marBottom w:val="0"/>
      <w:divBdr>
        <w:top w:val="none" w:sz="0" w:space="0" w:color="auto"/>
        <w:left w:val="none" w:sz="0" w:space="0" w:color="auto"/>
        <w:bottom w:val="none" w:sz="0" w:space="0" w:color="auto"/>
        <w:right w:val="none" w:sz="0" w:space="0" w:color="auto"/>
      </w:divBdr>
    </w:div>
    <w:div w:id="536090802">
      <w:bodyDiv w:val="1"/>
      <w:marLeft w:val="0"/>
      <w:marRight w:val="0"/>
      <w:marTop w:val="0"/>
      <w:marBottom w:val="0"/>
      <w:divBdr>
        <w:top w:val="none" w:sz="0" w:space="0" w:color="auto"/>
        <w:left w:val="none" w:sz="0" w:space="0" w:color="auto"/>
        <w:bottom w:val="none" w:sz="0" w:space="0" w:color="auto"/>
        <w:right w:val="none" w:sz="0" w:space="0" w:color="auto"/>
      </w:divBdr>
    </w:div>
    <w:div w:id="592281352">
      <w:bodyDiv w:val="1"/>
      <w:marLeft w:val="0"/>
      <w:marRight w:val="0"/>
      <w:marTop w:val="0"/>
      <w:marBottom w:val="0"/>
      <w:divBdr>
        <w:top w:val="none" w:sz="0" w:space="0" w:color="auto"/>
        <w:left w:val="none" w:sz="0" w:space="0" w:color="auto"/>
        <w:bottom w:val="none" w:sz="0" w:space="0" w:color="auto"/>
        <w:right w:val="none" w:sz="0" w:space="0" w:color="auto"/>
      </w:divBdr>
    </w:div>
    <w:div w:id="594822297">
      <w:bodyDiv w:val="1"/>
      <w:marLeft w:val="0"/>
      <w:marRight w:val="0"/>
      <w:marTop w:val="0"/>
      <w:marBottom w:val="0"/>
      <w:divBdr>
        <w:top w:val="none" w:sz="0" w:space="0" w:color="auto"/>
        <w:left w:val="none" w:sz="0" w:space="0" w:color="auto"/>
        <w:bottom w:val="none" w:sz="0" w:space="0" w:color="auto"/>
        <w:right w:val="none" w:sz="0" w:space="0" w:color="auto"/>
      </w:divBdr>
    </w:div>
    <w:div w:id="615411066">
      <w:bodyDiv w:val="1"/>
      <w:marLeft w:val="0"/>
      <w:marRight w:val="0"/>
      <w:marTop w:val="0"/>
      <w:marBottom w:val="0"/>
      <w:divBdr>
        <w:top w:val="none" w:sz="0" w:space="0" w:color="auto"/>
        <w:left w:val="none" w:sz="0" w:space="0" w:color="auto"/>
        <w:bottom w:val="none" w:sz="0" w:space="0" w:color="auto"/>
        <w:right w:val="none" w:sz="0" w:space="0" w:color="auto"/>
      </w:divBdr>
    </w:div>
    <w:div w:id="630982298">
      <w:bodyDiv w:val="1"/>
      <w:marLeft w:val="0"/>
      <w:marRight w:val="0"/>
      <w:marTop w:val="0"/>
      <w:marBottom w:val="0"/>
      <w:divBdr>
        <w:top w:val="none" w:sz="0" w:space="0" w:color="auto"/>
        <w:left w:val="none" w:sz="0" w:space="0" w:color="auto"/>
        <w:bottom w:val="none" w:sz="0" w:space="0" w:color="auto"/>
        <w:right w:val="none" w:sz="0" w:space="0" w:color="auto"/>
      </w:divBdr>
    </w:div>
    <w:div w:id="637344622">
      <w:bodyDiv w:val="1"/>
      <w:marLeft w:val="0"/>
      <w:marRight w:val="0"/>
      <w:marTop w:val="0"/>
      <w:marBottom w:val="0"/>
      <w:divBdr>
        <w:top w:val="none" w:sz="0" w:space="0" w:color="auto"/>
        <w:left w:val="none" w:sz="0" w:space="0" w:color="auto"/>
        <w:bottom w:val="none" w:sz="0" w:space="0" w:color="auto"/>
        <w:right w:val="none" w:sz="0" w:space="0" w:color="auto"/>
      </w:divBdr>
    </w:div>
    <w:div w:id="691302865">
      <w:bodyDiv w:val="1"/>
      <w:marLeft w:val="0"/>
      <w:marRight w:val="0"/>
      <w:marTop w:val="0"/>
      <w:marBottom w:val="0"/>
      <w:divBdr>
        <w:top w:val="none" w:sz="0" w:space="0" w:color="auto"/>
        <w:left w:val="none" w:sz="0" w:space="0" w:color="auto"/>
        <w:bottom w:val="none" w:sz="0" w:space="0" w:color="auto"/>
        <w:right w:val="none" w:sz="0" w:space="0" w:color="auto"/>
      </w:divBdr>
    </w:div>
    <w:div w:id="794757408">
      <w:bodyDiv w:val="1"/>
      <w:marLeft w:val="0"/>
      <w:marRight w:val="0"/>
      <w:marTop w:val="0"/>
      <w:marBottom w:val="0"/>
      <w:divBdr>
        <w:top w:val="none" w:sz="0" w:space="0" w:color="auto"/>
        <w:left w:val="none" w:sz="0" w:space="0" w:color="auto"/>
        <w:bottom w:val="none" w:sz="0" w:space="0" w:color="auto"/>
        <w:right w:val="none" w:sz="0" w:space="0" w:color="auto"/>
      </w:divBdr>
    </w:div>
    <w:div w:id="829715495">
      <w:bodyDiv w:val="1"/>
      <w:marLeft w:val="0"/>
      <w:marRight w:val="0"/>
      <w:marTop w:val="0"/>
      <w:marBottom w:val="0"/>
      <w:divBdr>
        <w:top w:val="none" w:sz="0" w:space="0" w:color="auto"/>
        <w:left w:val="none" w:sz="0" w:space="0" w:color="auto"/>
        <w:bottom w:val="none" w:sz="0" w:space="0" w:color="auto"/>
        <w:right w:val="none" w:sz="0" w:space="0" w:color="auto"/>
      </w:divBdr>
    </w:div>
    <w:div w:id="870411878">
      <w:bodyDiv w:val="1"/>
      <w:marLeft w:val="0"/>
      <w:marRight w:val="0"/>
      <w:marTop w:val="0"/>
      <w:marBottom w:val="0"/>
      <w:divBdr>
        <w:top w:val="none" w:sz="0" w:space="0" w:color="auto"/>
        <w:left w:val="none" w:sz="0" w:space="0" w:color="auto"/>
        <w:bottom w:val="none" w:sz="0" w:space="0" w:color="auto"/>
        <w:right w:val="none" w:sz="0" w:space="0" w:color="auto"/>
      </w:divBdr>
    </w:div>
    <w:div w:id="956983513">
      <w:bodyDiv w:val="1"/>
      <w:marLeft w:val="0"/>
      <w:marRight w:val="0"/>
      <w:marTop w:val="0"/>
      <w:marBottom w:val="0"/>
      <w:divBdr>
        <w:top w:val="none" w:sz="0" w:space="0" w:color="auto"/>
        <w:left w:val="none" w:sz="0" w:space="0" w:color="auto"/>
        <w:bottom w:val="none" w:sz="0" w:space="0" w:color="auto"/>
        <w:right w:val="none" w:sz="0" w:space="0" w:color="auto"/>
      </w:divBdr>
    </w:div>
    <w:div w:id="968970313">
      <w:bodyDiv w:val="1"/>
      <w:marLeft w:val="0"/>
      <w:marRight w:val="0"/>
      <w:marTop w:val="0"/>
      <w:marBottom w:val="0"/>
      <w:divBdr>
        <w:top w:val="none" w:sz="0" w:space="0" w:color="auto"/>
        <w:left w:val="none" w:sz="0" w:space="0" w:color="auto"/>
        <w:bottom w:val="none" w:sz="0" w:space="0" w:color="auto"/>
        <w:right w:val="none" w:sz="0" w:space="0" w:color="auto"/>
      </w:divBdr>
      <w:divsChild>
        <w:div w:id="1976373402">
          <w:marLeft w:val="0"/>
          <w:marRight w:val="0"/>
          <w:marTop w:val="0"/>
          <w:marBottom w:val="0"/>
          <w:divBdr>
            <w:top w:val="none" w:sz="0" w:space="0" w:color="auto"/>
            <w:left w:val="none" w:sz="0" w:space="0" w:color="auto"/>
            <w:bottom w:val="none" w:sz="0" w:space="0" w:color="auto"/>
            <w:right w:val="none" w:sz="0" w:space="0" w:color="auto"/>
          </w:divBdr>
        </w:div>
      </w:divsChild>
    </w:div>
    <w:div w:id="1003164619">
      <w:bodyDiv w:val="1"/>
      <w:marLeft w:val="0"/>
      <w:marRight w:val="0"/>
      <w:marTop w:val="0"/>
      <w:marBottom w:val="0"/>
      <w:divBdr>
        <w:top w:val="none" w:sz="0" w:space="0" w:color="auto"/>
        <w:left w:val="none" w:sz="0" w:space="0" w:color="auto"/>
        <w:bottom w:val="none" w:sz="0" w:space="0" w:color="auto"/>
        <w:right w:val="none" w:sz="0" w:space="0" w:color="auto"/>
      </w:divBdr>
      <w:divsChild>
        <w:div w:id="926420193">
          <w:marLeft w:val="706"/>
          <w:marRight w:val="0"/>
          <w:marTop w:val="0"/>
          <w:marBottom w:val="120"/>
          <w:divBdr>
            <w:top w:val="none" w:sz="0" w:space="0" w:color="auto"/>
            <w:left w:val="none" w:sz="0" w:space="0" w:color="auto"/>
            <w:bottom w:val="none" w:sz="0" w:space="0" w:color="auto"/>
            <w:right w:val="none" w:sz="0" w:space="0" w:color="auto"/>
          </w:divBdr>
        </w:div>
        <w:div w:id="613443537">
          <w:marLeft w:val="706"/>
          <w:marRight w:val="0"/>
          <w:marTop w:val="0"/>
          <w:marBottom w:val="120"/>
          <w:divBdr>
            <w:top w:val="none" w:sz="0" w:space="0" w:color="auto"/>
            <w:left w:val="none" w:sz="0" w:space="0" w:color="auto"/>
            <w:bottom w:val="none" w:sz="0" w:space="0" w:color="auto"/>
            <w:right w:val="none" w:sz="0" w:space="0" w:color="auto"/>
          </w:divBdr>
        </w:div>
        <w:div w:id="595866886">
          <w:marLeft w:val="706"/>
          <w:marRight w:val="0"/>
          <w:marTop w:val="0"/>
          <w:marBottom w:val="120"/>
          <w:divBdr>
            <w:top w:val="none" w:sz="0" w:space="0" w:color="auto"/>
            <w:left w:val="none" w:sz="0" w:space="0" w:color="auto"/>
            <w:bottom w:val="none" w:sz="0" w:space="0" w:color="auto"/>
            <w:right w:val="none" w:sz="0" w:space="0" w:color="auto"/>
          </w:divBdr>
        </w:div>
        <w:div w:id="1907688979">
          <w:marLeft w:val="706"/>
          <w:marRight w:val="0"/>
          <w:marTop w:val="0"/>
          <w:marBottom w:val="120"/>
          <w:divBdr>
            <w:top w:val="none" w:sz="0" w:space="0" w:color="auto"/>
            <w:left w:val="none" w:sz="0" w:space="0" w:color="auto"/>
            <w:bottom w:val="none" w:sz="0" w:space="0" w:color="auto"/>
            <w:right w:val="none" w:sz="0" w:space="0" w:color="auto"/>
          </w:divBdr>
        </w:div>
        <w:div w:id="851332453">
          <w:marLeft w:val="706"/>
          <w:marRight w:val="0"/>
          <w:marTop w:val="0"/>
          <w:marBottom w:val="120"/>
          <w:divBdr>
            <w:top w:val="none" w:sz="0" w:space="0" w:color="auto"/>
            <w:left w:val="none" w:sz="0" w:space="0" w:color="auto"/>
            <w:bottom w:val="none" w:sz="0" w:space="0" w:color="auto"/>
            <w:right w:val="none" w:sz="0" w:space="0" w:color="auto"/>
          </w:divBdr>
        </w:div>
      </w:divsChild>
    </w:div>
    <w:div w:id="1010983882">
      <w:bodyDiv w:val="1"/>
      <w:marLeft w:val="0"/>
      <w:marRight w:val="0"/>
      <w:marTop w:val="0"/>
      <w:marBottom w:val="0"/>
      <w:divBdr>
        <w:top w:val="none" w:sz="0" w:space="0" w:color="auto"/>
        <w:left w:val="none" w:sz="0" w:space="0" w:color="auto"/>
        <w:bottom w:val="none" w:sz="0" w:space="0" w:color="auto"/>
        <w:right w:val="none" w:sz="0" w:space="0" w:color="auto"/>
      </w:divBdr>
    </w:div>
    <w:div w:id="1070688883">
      <w:bodyDiv w:val="1"/>
      <w:marLeft w:val="0"/>
      <w:marRight w:val="0"/>
      <w:marTop w:val="0"/>
      <w:marBottom w:val="0"/>
      <w:divBdr>
        <w:top w:val="none" w:sz="0" w:space="0" w:color="auto"/>
        <w:left w:val="none" w:sz="0" w:space="0" w:color="auto"/>
        <w:bottom w:val="none" w:sz="0" w:space="0" w:color="auto"/>
        <w:right w:val="none" w:sz="0" w:space="0" w:color="auto"/>
      </w:divBdr>
    </w:div>
    <w:div w:id="1098795290">
      <w:bodyDiv w:val="1"/>
      <w:marLeft w:val="0"/>
      <w:marRight w:val="0"/>
      <w:marTop w:val="0"/>
      <w:marBottom w:val="0"/>
      <w:divBdr>
        <w:top w:val="none" w:sz="0" w:space="0" w:color="auto"/>
        <w:left w:val="none" w:sz="0" w:space="0" w:color="auto"/>
        <w:bottom w:val="none" w:sz="0" w:space="0" w:color="auto"/>
        <w:right w:val="none" w:sz="0" w:space="0" w:color="auto"/>
      </w:divBdr>
      <w:divsChild>
        <w:div w:id="1909267399">
          <w:marLeft w:val="0"/>
          <w:marRight w:val="0"/>
          <w:marTop w:val="0"/>
          <w:marBottom w:val="0"/>
          <w:divBdr>
            <w:top w:val="none" w:sz="0" w:space="0" w:color="auto"/>
            <w:left w:val="none" w:sz="0" w:space="0" w:color="auto"/>
            <w:bottom w:val="none" w:sz="0" w:space="0" w:color="auto"/>
            <w:right w:val="none" w:sz="0" w:space="0" w:color="auto"/>
          </w:divBdr>
          <w:divsChild>
            <w:div w:id="153030823">
              <w:marLeft w:val="0"/>
              <w:marRight w:val="0"/>
              <w:marTop w:val="0"/>
              <w:marBottom w:val="0"/>
              <w:divBdr>
                <w:top w:val="none" w:sz="0" w:space="0" w:color="auto"/>
                <w:left w:val="none" w:sz="0" w:space="0" w:color="auto"/>
                <w:bottom w:val="none" w:sz="0" w:space="0" w:color="auto"/>
                <w:right w:val="none" w:sz="0" w:space="0" w:color="auto"/>
              </w:divBdr>
            </w:div>
          </w:divsChild>
        </w:div>
        <w:div w:id="1191795063">
          <w:marLeft w:val="0"/>
          <w:marRight w:val="0"/>
          <w:marTop w:val="0"/>
          <w:marBottom w:val="0"/>
          <w:divBdr>
            <w:top w:val="none" w:sz="0" w:space="0" w:color="auto"/>
            <w:left w:val="none" w:sz="0" w:space="0" w:color="auto"/>
            <w:bottom w:val="none" w:sz="0" w:space="0" w:color="auto"/>
            <w:right w:val="none" w:sz="0" w:space="0" w:color="auto"/>
          </w:divBdr>
          <w:divsChild>
            <w:div w:id="1863474561">
              <w:marLeft w:val="0"/>
              <w:marRight w:val="0"/>
              <w:marTop w:val="0"/>
              <w:marBottom w:val="0"/>
              <w:divBdr>
                <w:top w:val="none" w:sz="0" w:space="0" w:color="auto"/>
                <w:left w:val="none" w:sz="0" w:space="0" w:color="auto"/>
                <w:bottom w:val="none" w:sz="0" w:space="0" w:color="auto"/>
                <w:right w:val="none" w:sz="0" w:space="0" w:color="auto"/>
              </w:divBdr>
              <w:divsChild>
                <w:div w:id="841241358">
                  <w:marLeft w:val="0"/>
                  <w:marRight w:val="0"/>
                  <w:marTop w:val="0"/>
                  <w:marBottom w:val="0"/>
                  <w:divBdr>
                    <w:top w:val="none" w:sz="0" w:space="0" w:color="auto"/>
                    <w:left w:val="none" w:sz="0" w:space="0" w:color="auto"/>
                    <w:bottom w:val="none" w:sz="0" w:space="0" w:color="auto"/>
                    <w:right w:val="none" w:sz="0" w:space="0" w:color="auto"/>
                  </w:divBdr>
                  <w:divsChild>
                    <w:div w:id="1695111342">
                      <w:marLeft w:val="0"/>
                      <w:marRight w:val="0"/>
                      <w:marTop w:val="0"/>
                      <w:marBottom w:val="0"/>
                      <w:divBdr>
                        <w:top w:val="single" w:sz="6" w:space="0" w:color="CCCCCC"/>
                        <w:left w:val="none" w:sz="0" w:space="0" w:color="auto"/>
                        <w:bottom w:val="single" w:sz="6" w:space="0" w:color="CCCCCC"/>
                        <w:right w:val="none" w:sz="0" w:space="0" w:color="auto"/>
                      </w:divBdr>
                      <w:divsChild>
                        <w:div w:id="1975791375">
                          <w:marLeft w:val="0"/>
                          <w:marRight w:val="0"/>
                          <w:marTop w:val="0"/>
                          <w:marBottom w:val="0"/>
                          <w:divBdr>
                            <w:top w:val="none" w:sz="0" w:space="0" w:color="auto"/>
                            <w:left w:val="none" w:sz="0" w:space="0" w:color="auto"/>
                            <w:bottom w:val="none" w:sz="0" w:space="0" w:color="auto"/>
                            <w:right w:val="none" w:sz="0" w:space="0" w:color="auto"/>
                          </w:divBdr>
                          <w:divsChild>
                            <w:div w:id="1586761899">
                              <w:marLeft w:val="0"/>
                              <w:marRight w:val="0"/>
                              <w:marTop w:val="0"/>
                              <w:marBottom w:val="0"/>
                              <w:divBdr>
                                <w:top w:val="none" w:sz="0" w:space="0" w:color="auto"/>
                                <w:left w:val="none" w:sz="0" w:space="0" w:color="auto"/>
                                <w:bottom w:val="none" w:sz="0" w:space="0" w:color="auto"/>
                                <w:right w:val="none" w:sz="0" w:space="0" w:color="auto"/>
                              </w:divBdr>
                              <w:divsChild>
                                <w:div w:id="5755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5076">
                          <w:marLeft w:val="0"/>
                          <w:marRight w:val="0"/>
                          <w:marTop w:val="0"/>
                          <w:marBottom w:val="0"/>
                          <w:divBdr>
                            <w:top w:val="none" w:sz="0" w:space="0" w:color="auto"/>
                            <w:left w:val="none" w:sz="0" w:space="0" w:color="auto"/>
                            <w:bottom w:val="none" w:sz="0" w:space="0" w:color="auto"/>
                            <w:right w:val="none" w:sz="0" w:space="0" w:color="auto"/>
                          </w:divBdr>
                          <w:divsChild>
                            <w:div w:id="1881477616">
                              <w:marLeft w:val="0"/>
                              <w:marRight w:val="0"/>
                              <w:marTop w:val="0"/>
                              <w:marBottom w:val="0"/>
                              <w:divBdr>
                                <w:top w:val="none" w:sz="0" w:space="0" w:color="auto"/>
                                <w:left w:val="none" w:sz="0" w:space="0" w:color="auto"/>
                                <w:bottom w:val="none" w:sz="0" w:space="0" w:color="auto"/>
                                <w:right w:val="none" w:sz="0" w:space="0" w:color="auto"/>
                              </w:divBdr>
                              <w:divsChild>
                                <w:div w:id="1587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36608">
          <w:marLeft w:val="0"/>
          <w:marRight w:val="0"/>
          <w:marTop w:val="0"/>
          <w:marBottom w:val="0"/>
          <w:divBdr>
            <w:top w:val="none" w:sz="0" w:space="0" w:color="auto"/>
            <w:left w:val="none" w:sz="0" w:space="0" w:color="auto"/>
            <w:bottom w:val="none" w:sz="0" w:space="0" w:color="auto"/>
            <w:right w:val="none" w:sz="0" w:space="0" w:color="auto"/>
          </w:divBdr>
          <w:divsChild>
            <w:div w:id="176508235">
              <w:marLeft w:val="0"/>
              <w:marRight w:val="0"/>
              <w:marTop w:val="0"/>
              <w:marBottom w:val="0"/>
              <w:divBdr>
                <w:top w:val="none" w:sz="0" w:space="0" w:color="auto"/>
                <w:left w:val="none" w:sz="0" w:space="0" w:color="auto"/>
                <w:bottom w:val="none" w:sz="0" w:space="0" w:color="auto"/>
                <w:right w:val="none" w:sz="0" w:space="0" w:color="auto"/>
              </w:divBdr>
              <w:divsChild>
                <w:div w:id="868687848">
                  <w:marLeft w:val="0"/>
                  <w:marRight w:val="0"/>
                  <w:marTop w:val="0"/>
                  <w:marBottom w:val="0"/>
                  <w:divBdr>
                    <w:top w:val="none" w:sz="0" w:space="0" w:color="auto"/>
                    <w:left w:val="none" w:sz="0" w:space="0" w:color="auto"/>
                    <w:bottom w:val="none" w:sz="0" w:space="0" w:color="auto"/>
                    <w:right w:val="none" w:sz="0" w:space="0" w:color="auto"/>
                  </w:divBdr>
                  <w:divsChild>
                    <w:div w:id="985815284">
                      <w:marLeft w:val="0"/>
                      <w:marRight w:val="0"/>
                      <w:marTop w:val="0"/>
                      <w:marBottom w:val="0"/>
                      <w:divBdr>
                        <w:top w:val="none" w:sz="0" w:space="0" w:color="auto"/>
                        <w:left w:val="none" w:sz="0" w:space="0" w:color="auto"/>
                        <w:bottom w:val="none" w:sz="0" w:space="0" w:color="auto"/>
                        <w:right w:val="none" w:sz="0" w:space="0" w:color="auto"/>
                      </w:divBdr>
                      <w:divsChild>
                        <w:div w:id="626618741">
                          <w:marLeft w:val="0"/>
                          <w:marRight w:val="0"/>
                          <w:marTop w:val="0"/>
                          <w:marBottom w:val="0"/>
                          <w:divBdr>
                            <w:top w:val="none" w:sz="0" w:space="0" w:color="auto"/>
                            <w:left w:val="none" w:sz="0" w:space="0" w:color="auto"/>
                            <w:bottom w:val="none" w:sz="0" w:space="0" w:color="auto"/>
                            <w:right w:val="none" w:sz="0" w:space="0" w:color="auto"/>
                          </w:divBdr>
                          <w:divsChild>
                            <w:div w:id="11388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88866">
      <w:bodyDiv w:val="1"/>
      <w:marLeft w:val="0"/>
      <w:marRight w:val="0"/>
      <w:marTop w:val="0"/>
      <w:marBottom w:val="0"/>
      <w:divBdr>
        <w:top w:val="none" w:sz="0" w:space="0" w:color="auto"/>
        <w:left w:val="none" w:sz="0" w:space="0" w:color="auto"/>
        <w:bottom w:val="none" w:sz="0" w:space="0" w:color="auto"/>
        <w:right w:val="none" w:sz="0" w:space="0" w:color="auto"/>
      </w:divBdr>
    </w:div>
    <w:div w:id="1199584476">
      <w:bodyDiv w:val="1"/>
      <w:marLeft w:val="0"/>
      <w:marRight w:val="0"/>
      <w:marTop w:val="0"/>
      <w:marBottom w:val="0"/>
      <w:divBdr>
        <w:top w:val="none" w:sz="0" w:space="0" w:color="auto"/>
        <w:left w:val="none" w:sz="0" w:space="0" w:color="auto"/>
        <w:bottom w:val="none" w:sz="0" w:space="0" w:color="auto"/>
        <w:right w:val="none" w:sz="0" w:space="0" w:color="auto"/>
      </w:divBdr>
    </w:div>
    <w:div w:id="1271471629">
      <w:bodyDiv w:val="1"/>
      <w:marLeft w:val="0"/>
      <w:marRight w:val="0"/>
      <w:marTop w:val="0"/>
      <w:marBottom w:val="0"/>
      <w:divBdr>
        <w:top w:val="none" w:sz="0" w:space="0" w:color="auto"/>
        <w:left w:val="none" w:sz="0" w:space="0" w:color="auto"/>
        <w:bottom w:val="none" w:sz="0" w:space="0" w:color="auto"/>
        <w:right w:val="none" w:sz="0" w:space="0" w:color="auto"/>
      </w:divBdr>
    </w:div>
    <w:div w:id="1331064602">
      <w:bodyDiv w:val="1"/>
      <w:marLeft w:val="0"/>
      <w:marRight w:val="0"/>
      <w:marTop w:val="0"/>
      <w:marBottom w:val="0"/>
      <w:divBdr>
        <w:top w:val="none" w:sz="0" w:space="0" w:color="auto"/>
        <w:left w:val="none" w:sz="0" w:space="0" w:color="auto"/>
        <w:bottom w:val="none" w:sz="0" w:space="0" w:color="auto"/>
        <w:right w:val="none" w:sz="0" w:space="0" w:color="auto"/>
      </w:divBdr>
    </w:div>
    <w:div w:id="1422337805">
      <w:bodyDiv w:val="1"/>
      <w:marLeft w:val="0"/>
      <w:marRight w:val="0"/>
      <w:marTop w:val="0"/>
      <w:marBottom w:val="0"/>
      <w:divBdr>
        <w:top w:val="none" w:sz="0" w:space="0" w:color="auto"/>
        <w:left w:val="none" w:sz="0" w:space="0" w:color="auto"/>
        <w:bottom w:val="none" w:sz="0" w:space="0" w:color="auto"/>
        <w:right w:val="none" w:sz="0" w:space="0" w:color="auto"/>
      </w:divBdr>
    </w:div>
    <w:div w:id="1473526692">
      <w:bodyDiv w:val="1"/>
      <w:marLeft w:val="0"/>
      <w:marRight w:val="0"/>
      <w:marTop w:val="0"/>
      <w:marBottom w:val="0"/>
      <w:divBdr>
        <w:top w:val="none" w:sz="0" w:space="0" w:color="auto"/>
        <w:left w:val="none" w:sz="0" w:space="0" w:color="auto"/>
        <w:bottom w:val="none" w:sz="0" w:space="0" w:color="auto"/>
        <w:right w:val="none" w:sz="0" w:space="0" w:color="auto"/>
      </w:divBdr>
      <w:divsChild>
        <w:div w:id="704477049">
          <w:marLeft w:val="706"/>
          <w:marRight w:val="0"/>
          <w:marTop w:val="0"/>
          <w:marBottom w:val="120"/>
          <w:divBdr>
            <w:top w:val="none" w:sz="0" w:space="0" w:color="auto"/>
            <w:left w:val="none" w:sz="0" w:space="0" w:color="auto"/>
            <w:bottom w:val="none" w:sz="0" w:space="0" w:color="auto"/>
            <w:right w:val="none" w:sz="0" w:space="0" w:color="auto"/>
          </w:divBdr>
        </w:div>
        <w:div w:id="1027951915">
          <w:marLeft w:val="706"/>
          <w:marRight w:val="0"/>
          <w:marTop w:val="0"/>
          <w:marBottom w:val="120"/>
          <w:divBdr>
            <w:top w:val="none" w:sz="0" w:space="0" w:color="auto"/>
            <w:left w:val="none" w:sz="0" w:space="0" w:color="auto"/>
            <w:bottom w:val="none" w:sz="0" w:space="0" w:color="auto"/>
            <w:right w:val="none" w:sz="0" w:space="0" w:color="auto"/>
          </w:divBdr>
        </w:div>
        <w:div w:id="1991980513">
          <w:marLeft w:val="706"/>
          <w:marRight w:val="0"/>
          <w:marTop w:val="0"/>
          <w:marBottom w:val="120"/>
          <w:divBdr>
            <w:top w:val="none" w:sz="0" w:space="0" w:color="auto"/>
            <w:left w:val="none" w:sz="0" w:space="0" w:color="auto"/>
            <w:bottom w:val="none" w:sz="0" w:space="0" w:color="auto"/>
            <w:right w:val="none" w:sz="0" w:space="0" w:color="auto"/>
          </w:divBdr>
        </w:div>
        <w:div w:id="1571188558">
          <w:marLeft w:val="706"/>
          <w:marRight w:val="0"/>
          <w:marTop w:val="0"/>
          <w:marBottom w:val="120"/>
          <w:divBdr>
            <w:top w:val="none" w:sz="0" w:space="0" w:color="auto"/>
            <w:left w:val="none" w:sz="0" w:space="0" w:color="auto"/>
            <w:bottom w:val="none" w:sz="0" w:space="0" w:color="auto"/>
            <w:right w:val="none" w:sz="0" w:space="0" w:color="auto"/>
          </w:divBdr>
        </w:div>
        <w:div w:id="913856127">
          <w:marLeft w:val="706"/>
          <w:marRight w:val="0"/>
          <w:marTop w:val="0"/>
          <w:marBottom w:val="120"/>
          <w:divBdr>
            <w:top w:val="none" w:sz="0" w:space="0" w:color="auto"/>
            <w:left w:val="none" w:sz="0" w:space="0" w:color="auto"/>
            <w:bottom w:val="none" w:sz="0" w:space="0" w:color="auto"/>
            <w:right w:val="none" w:sz="0" w:space="0" w:color="auto"/>
          </w:divBdr>
        </w:div>
      </w:divsChild>
    </w:div>
    <w:div w:id="1503466068">
      <w:bodyDiv w:val="1"/>
      <w:marLeft w:val="0"/>
      <w:marRight w:val="0"/>
      <w:marTop w:val="0"/>
      <w:marBottom w:val="0"/>
      <w:divBdr>
        <w:top w:val="none" w:sz="0" w:space="0" w:color="auto"/>
        <w:left w:val="none" w:sz="0" w:space="0" w:color="auto"/>
        <w:bottom w:val="none" w:sz="0" w:space="0" w:color="auto"/>
        <w:right w:val="none" w:sz="0" w:space="0" w:color="auto"/>
      </w:divBdr>
      <w:divsChild>
        <w:div w:id="995454580">
          <w:marLeft w:val="0"/>
          <w:marRight w:val="0"/>
          <w:marTop w:val="0"/>
          <w:marBottom w:val="0"/>
          <w:divBdr>
            <w:top w:val="none" w:sz="0" w:space="0" w:color="auto"/>
            <w:left w:val="none" w:sz="0" w:space="0" w:color="auto"/>
            <w:bottom w:val="none" w:sz="0" w:space="0" w:color="auto"/>
            <w:right w:val="none" w:sz="0" w:space="0" w:color="auto"/>
          </w:divBdr>
          <w:divsChild>
            <w:div w:id="1215854562">
              <w:marLeft w:val="0"/>
              <w:marRight w:val="0"/>
              <w:marTop w:val="0"/>
              <w:marBottom w:val="0"/>
              <w:divBdr>
                <w:top w:val="none" w:sz="0" w:space="0" w:color="auto"/>
                <w:left w:val="none" w:sz="0" w:space="0" w:color="auto"/>
                <w:bottom w:val="none" w:sz="0" w:space="0" w:color="auto"/>
                <w:right w:val="none" w:sz="0" w:space="0" w:color="auto"/>
              </w:divBdr>
            </w:div>
          </w:divsChild>
        </w:div>
        <w:div w:id="463235688">
          <w:marLeft w:val="0"/>
          <w:marRight w:val="0"/>
          <w:marTop w:val="0"/>
          <w:marBottom w:val="0"/>
          <w:divBdr>
            <w:top w:val="none" w:sz="0" w:space="0" w:color="auto"/>
            <w:left w:val="none" w:sz="0" w:space="0" w:color="auto"/>
            <w:bottom w:val="none" w:sz="0" w:space="0" w:color="auto"/>
            <w:right w:val="none" w:sz="0" w:space="0" w:color="auto"/>
          </w:divBdr>
          <w:divsChild>
            <w:div w:id="30767670">
              <w:marLeft w:val="0"/>
              <w:marRight w:val="0"/>
              <w:marTop w:val="0"/>
              <w:marBottom w:val="0"/>
              <w:divBdr>
                <w:top w:val="none" w:sz="0" w:space="0" w:color="auto"/>
                <w:left w:val="none" w:sz="0" w:space="0" w:color="auto"/>
                <w:bottom w:val="none" w:sz="0" w:space="0" w:color="auto"/>
                <w:right w:val="none" w:sz="0" w:space="0" w:color="auto"/>
              </w:divBdr>
              <w:divsChild>
                <w:div w:id="117266868">
                  <w:marLeft w:val="0"/>
                  <w:marRight w:val="0"/>
                  <w:marTop w:val="0"/>
                  <w:marBottom w:val="0"/>
                  <w:divBdr>
                    <w:top w:val="none" w:sz="0" w:space="0" w:color="auto"/>
                    <w:left w:val="none" w:sz="0" w:space="0" w:color="auto"/>
                    <w:bottom w:val="none" w:sz="0" w:space="0" w:color="auto"/>
                    <w:right w:val="none" w:sz="0" w:space="0" w:color="auto"/>
                  </w:divBdr>
                  <w:divsChild>
                    <w:div w:id="1762213065">
                      <w:marLeft w:val="0"/>
                      <w:marRight w:val="0"/>
                      <w:marTop w:val="0"/>
                      <w:marBottom w:val="0"/>
                      <w:divBdr>
                        <w:top w:val="single" w:sz="6" w:space="0" w:color="CCCCCC"/>
                        <w:left w:val="none" w:sz="0" w:space="0" w:color="auto"/>
                        <w:bottom w:val="single" w:sz="6" w:space="0" w:color="CCCCCC"/>
                        <w:right w:val="none" w:sz="0" w:space="0" w:color="auto"/>
                      </w:divBdr>
                      <w:divsChild>
                        <w:div w:id="476920352">
                          <w:marLeft w:val="0"/>
                          <w:marRight w:val="0"/>
                          <w:marTop w:val="0"/>
                          <w:marBottom w:val="0"/>
                          <w:divBdr>
                            <w:top w:val="none" w:sz="0" w:space="0" w:color="auto"/>
                            <w:left w:val="none" w:sz="0" w:space="0" w:color="auto"/>
                            <w:bottom w:val="none" w:sz="0" w:space="0" w:color="auto"/>
                            <w:right w:val="none" w:sz="0" w:space="0" w:color="auto"/>
                          </w:divBdr>
                          <w:divsChild>
                            <w:div w:id="1078207745">
                              <w:marLeft w:val="0"/>
                              <w:marRight w:val="0"/>
                              <w:marTop w:val="0"/>
                              <w:marBottom w:val="0"/>
                              <w:divBdr>
                                <w:top w:val="none" w:sz="0" w:space="0" w:color="auto"/>
                                <w:left w:val="none" w:sz="0" w:space="0" w:color="auto"/>
                                <w:bottom w:val="none" w:sz="0" w:space="0" w:color="auto"/>
                                <w:right w:val="none" w:sz="0" w:space="0" w:color="auto"/>
                              </w:divBdr>
                              <w:divsChild>
                                <w:div w:id="12881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01">
                          <w:marLeft w:val="0"/>
                          <w:marRight w:val="0"/>
                          <w:marTop w:val="0"/>
                          <w:marBottom w:val="0"/>
                          <w:divBdr>
                            <w:top w:val="none" w:sz="0" w:space="0" w:color="auto"/>
                            <w:left w:val="none" w:sz="0" w:space="0" w:color="auto"/>
                            <w:bottom w:val="none" w:sz="0" w:space="0" w:color="auto"/>
                            <w:right w:val="none" w:sz="0" w:space="0" w:color="auto"/>
                          </w:divBdr>
                          <w:divsChild>
                            <w:div w:id="876627718">
                              <w:marLeft w:val="0"/>
                              <w:marRight w:val="0"/>
                              <w:marTop w:val="0"/>
                              <w:marBottom w:val="0"/>
                              <w:divBdr>
                                <w:top w:val="none" w:sz="0" w:space="0" w:color="auto"/>
                                <w:left w:val="none" w:sz="0" w:space="0" w:color="auto"/>
                                <w:bottom w:val="none" w:sz="0" w:space="0" w:color="auto"/>
                                <w:right w:val="none" w:sz="0" w:space="0" w:color="auto"/>
                              </w:divBdr>
                              <w:divsChild>
                                <w:div w:id="1728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7180">
          <w:marLeft w:val="0"/>
          <w:marRight w:val="0"/>
          <w:marTop w:val="0"/>
          <w:marBottom w:val="0"/>
          <w:divBdr>
            <w:top w:val="none" w:sz="0" w:space="0" w:color="auto"/>
            <w:left w:val="none" w:sz="0" w:space="0" w:color="auto"/>
            <w:bottom w:val="none" w:sz="0" w:space="0" w:color="auto"/>
            <w:right w:val="none" w:sz="0" w:space="0" w:color="auto"/>
          </w:divBdr>
          <w:divsChild>
            <w:div w:id="1473909857">
              <w:marLeft w:val="0"/>
              <w:marRight w:val="0"/>
              <w:marTop w:val="0"/>
              <w:marBottom w:val="0"/>
              <w:divBdr>
                <w:top w:val="none" w:sz="0" w:space="0" w:color="auto"/>
                <w:left w:val="none" w:sz="0" w:space="0" w:color="auto"/>
                <w:bottom w:val="none" w:sz="0" w:space="0" w:color="auto"/>
                <w:right w:val="none" w:sz="0" w:space="0" w:color="auto"/>
              </w:divBdr>
              <w:divsChild>
                <w:div w:id="332269504">
                  <w:marLeft w:val="0"/>
                  <w:marRight w:val="0"/>
                  <w:marTop w:val="0"/>
                  <w:marBottom w:val="0"/>
                  <w:divBdr>
                    <w:top w:val="none" w:sz="0" w:space="0" w:color="auto"/>
                    <w:left w:val="none" w:sz="0" w:space="0" w:color="auto"/>
                    <w:bottom w:val="none" w:sz="0" w:space="0" w:color="auto"/>
                    <w:right w:val="none" w:sz="0" w:space="0" w:color="auto"/>
                  </w:divBdr>
                  <w:divsChild>
                    <w:div w:id="1477794089">
                      <w:marLeft w:val="0"/>
                      <w:marRight w:val="0"/>
                      <w:marTop w:val="0"/>
                      <w:marBottom w:val="0"/>
                      <w:divBdr>
                        <w:top w:val="none" w:sz="0" w:space="0" w:color="auto"/>
                        <w:left w:val="none" w:sz="0" w:space="0" w:color="auto"/>
                        <w:bottom w:val="none" w:sz="0" w:space="0" w:color="auto"/>
                        <w:right w:val="none" w:sz="0" w:space="0" w:color="auto"/>
                      </w:divBdr>
                      <w:divsChild>
                        <w:div w:id="2122413310">
                          <w:marLeft w:val="0"/>
                          <w:marRight w:val="0"/>
                          <w:marTop w:val="0"/>
                          <w:marBottom w:val="0"/>
                          <w:divBdr>
                            <w:top w:val="none" w:sz="0" w:space="0" w:color="auto"/>
                            <w:left w:val="none" w:sz="0" w:space="0" w:color="auto"/>
                            <w:bottom w:val="none" w:sz="0" w:space="0" w:color="auto"/>
                            <w:right w:val="none" w:sz="0" w:space="0" w:color="auto"/>
                          </w:divBdr>
                          <w:divsChild>
                            <w:div w:id="10986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31855">
      <w:bodyDiv w:val="1"/>
      <w:marLeft w:val="0"/>
      <w:marRight w:val="0"/>
      <w:marTop w:val="0"/>
      <w:marBottom w:val="0"/>
      <w:divBdr>
        <w:top w:val="none" w:sz="0" w:space="0" w:color="auto"/>
        <w:left w:val="none" w:sz="0" w:space="0" w:color="auto"/>
        <w:bottom w:val="none" w:sz="0" w:space="0" w:color="auto"/>
        <w:right w:val="none" w:sz="0" w:space="0" w:color="auto"/>
      </w:divBdr>
    </w:div>
    <w:div w:id="1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2072195727">
          <w:marLeft w:val="562"/>
          <w:marRight w:val="0"/>
          <w:marTop w:val="360"/>
          <w:marBottom w:val="160"/>
          <w:divBdr>
            <w:top w:val="none" w:sz="0" w:space="0" w:color="auto"/>
            <w:left w:val="none" w:sz="0" w:space="0" w:color="auto"/>
            <w:bottom w:val="none" w:sz="0" w:space="0" w:color="auto"/>
            <w:right w:val="none" w:sz="0" w:space="0" w:color="auto"/>
          </w:divBdr>
        </w:div>
        <w:div w:id="1448038658">
          <w:marLeft w:val="562"/>
          <w:marRight w:val="0"/>
          <w:marTop w:val="360"/>
          <w:marBottom w:val="160"/>
          <w:divBdr>
            <w:top w:val="none" w:sz="0" w:space="0" w:color="auto"/>
            <w:left w:val="none" w:sz="0" w:space="0" w:color="auto"/>
            <w:bottom w:val="none" w:sz="0" w:space="0" w:color="auto"/>
            <w:right w:val="none" w:sz="0" w:space="0" w:color="auto"/>
          </w:divBdr>
        </w:div>
      </w:divsChild>
    </w:div>
    <w:div w:id="1733769392">
      <w:bodyDiv w:val="1"/>
      <w:marLeft w:val="0"/>
      <w:marRight w:val="0"/>
      <w:marTop w:val="0"/>
      <w:marBottom w:val="0"/>
      <w:divBdr>
        <w:top w:val="none" w:sz="0" w:space="0" w:color="auto"/>
        <w:left w:val="none" w:sz="0" w:space="0" w:color="auto"/>
        <w:bottom w:val="none" w:sz="0" w:space="0" w:color="auto"/>
        <w:right w:val="none" w:sz="0" w:space="0" w:color="auto"/>
      </w:divBdr>
    </w:div>
    <w:div w:id="1767001656">
      <w:bodyDiv w:val="1"/>
      <w:marLeft w:val="0"/>
      <w:marRight w:val="0"/>
      <w:marTop w:val="0"/>
      <w:marBottom w:val="0"/>
      <w:divBdr>
        <w:top w:val="none" w:sz="0" w:space="0" w:color="auto"/>
        <w:left w:val="none" w:sz="0" w:space="0" w:color="auto"/>
        <w:bottom w:val="none" w:sz="0" w:space="0" w:color="auto"/>
        <w:right w:val="none" w:sz="0" w:space="0" w:color="auto"/>
      </w:divBdr>
    </w:div>
    <w:div w:id="1775395128">
      <w:bodyDiv w:val="1"/>
      <w:marLeft w:val="0"/>
      <w:marRight w:val="0"/>
      <w:marTop w:val="0"/>
      <w:marBottom w:val="0"/>
      <w:divBdr>
        <w:top w:val="none" w:sz="0" w:space="0" w:color="auto"/>
        <w:left w:val="none" w:sz="0" w:space="0" w:color="auto"/>
        <w:bottom w:val="none" w:sz="0" w:space="0" w:color="auto"/>
        <w:right w:val="none" w:sz="0" w:space="0" w:color="auto"/>
      </w:divBdr>
    </w:div>
    <w:div w:id="1792434167">
      <w:bodyDiv w:val="1"/>
      <w:marLeft w:val="0"/>
      <w:marRight w:val="0"/>
      <w:marTop w:val="0"/>
      <w:marBottom w:val="0"/>
      <w:divBdr>
        <w:top w:val="none" w:sz="0" w:space="0" w:color="auto"/>
        <w:left w:val="none" w:sz="0" w:space="0" w:color="auto"/>
        <w:bottom w:val="none" w:sz="0" w:space="0" w:color="auto"/>
        <w:right w:val="none" w:sz="0" w:space="0" w:color="auto"/>
      </w:divBdr>
    </w:div>
    <w:div w:id="1797139817">
      <w:bodyDiv w:val="1"/>
      <w:marLeft w:val="0"/>
      <w:marRight w:val="0"/>
      <w:marTop w:val="0"/>
      <w:marBottom w:val="0"/>
      <w:divBdr>
        <w:top w:val="none" w:sz="0" w:space="0" w:color="auto"/>
        <w:left w:val="none" w:sz="0" w:space="0" w:color="auto"/>
        <w:bottom w:val="none" w:sz="0" w:space="0" w:color="auto"/>
        <w:right w:val="none" w:sz="0" w:space="0" w:color="auto"/>
      </w:divBdr>
    </w:div>
    <w:div w:id="1820341213">
      <w:bodyDiv w:val="1"/>
      <w:marLeft w:val="0"/>
      <w:marRight w:val="0"/>
      <w:marTop w:val="0"/>
      <w:marBottom w:val="0"/>
      <w:divBdr>
        <w:top w:val="none" w:sz="0" w:space="0" w:color="auto"/>
        <w:left w:val="none" w:sz="0" w:space="0" w:color="auto"/>
        <w:bottom w:val="none" w:sz="0" w:space="0" w:color="auto"/>
        <w:right w:val="none" w:sz="0" w:space="0" w:color="auto"/>
      </w:divBdr>
    </w:div>
    <w:div w:id="1833258140">
      <w:bodyDiv w:val="1"/>
      <w:marLeft w:val="0"/>
      <w:marRight w:val="0"/>
      <w:marTop w:val="0"/>
      <w:marBottom w:val="0"/>
      <w:divBdr>
        <w:top w:val="none" w:sz="0" w:space="0" w:color="auto"/>
        <w:left w:val="none" w:sz="0" w:space="0" w:color="auto"/>
        <w:bottom w:val="none" w:sz="0" w:space="0" w:color="auto"/>
        <w:right w:val="none" w:sz="0" w:space="0" w:color="auto"/>
      </w:divBdr>
      <w:divsChild>
        <w:div w:id="791437883">
          <w:marLeft w:val="274"/>
          <w:marRight w:val="0"/>
          <w:marTop w:val="0"/>
          <w:marBottom w:val="60"/>
          <w:divBdr>
            <w:top w:val="none" w:sz="0" w:space="0" w:color="auto"/>
            <w:left w:val="none" w:sz="0" w:space="0" w:color="auto"/>
            <w:bottom w:val="none" w:sz="0" w:space="0" w:color="auto"/>
            <w:right w:val="none" w:sz="0" w:space="0" w:color="auto"/>
          </w:divBdr>
        </w:div>
        <w:div w:id="1145584710">
          <w:marLeft w:val="274"/>
          <w:marRight w:val="0"/>
          <w:marTop w:val="0"/>
          <w:marBottom w:val="60"/>
          <w:divBdr>
            <w:top w:val="none" w:sz="0" w:space="0" w:color="auto"/>
            <w:left w:val="none" w:sz="0" w:space="0" w:color="auto"/>
            <w:bottom w:val="none" w:sz="0" w:space="0" w:color="auto"/>
            <w:right w:val="none" w:sz="0" w:space="0" w:color="auto"/>
          </w:divBdr>
        </w:div>
      </w:divsChild>
    </w:div>
    <w:div w:id="1906645419">
      <w:bodyDiv w:val="1"/>
      <w:marLeft w:val="0"/>
      <w:marRight w:val="0"/>
      <w:marTop w:val="0"/>
      <w:marBottom w:val="0"/>
      <w:divBdr>
        <w:top w:val="none" w:sz="0" w:space="0" w:color="auto"/>
        <w:left w:val="none" w:sz="0" w:space="0" w:color="auto"/>
        <w:bottom w:val="none" w:sz="0" w:space="0" w:color="auto"/>
        <w:right w:val="none" w:sz="0" w:space="0" w:color="auto"/>
      </w:divBdr>
    </w:div>
    <w:div w:id="1931428876">
      <w:bodyDiv w:val="1"/>
      <w:marLeft w:val="0"/>
      <w:marRight w:val="0"/>
      <w:marTop w:val="0"/>
      <w:marBottom w:val="0"/>
      <w:divBdr>
        <w:top w:val="none" w:sz="0" w:space="0" w:color="auto"/>
        <w:left w:val="none" w:sz="0" w:space="0" w:color="auto"/>
        <w:bottom w:val="none" w:sz="0" w:space="0" w:color="auto"/>
        <w:right w:val="none" w:sz="0" w:space="0" w:color="auto"/>
      </w:divBdr>
    </w:div>
    <w:div w:id="1983466511">
      <w:bodyDiv w:val="1"/>
      <w:marLeft w:val="0"/>
      <w:marRight w:val="0"/>
      <w:marTop w:val="0"/>
      <w:marBottom w:val="0"/>
      <w:divBdr>
        <w:top w:val="none" w:sz="0" w:space="0" w:color="auto"/>
        <w:left w:val="none" w:sz="0" w:space="0" w:color="auto"/>
        <w:bottom w:val="none" w:sz="0" w:space="0" w:color="auto"/>
        <w:right w:val="none" w:sz="0" w:space="0" w:color="auto"/>
      </w:divBdr>
    </w:div>
    <w:div w:id="1990937748">
      <w:bodyDiv w:val="1"/>
      <w:marLeft w:val="0"/>
      <w:marRight w:val="0"/>
      <w:marTop w:val="0"/>
      <w:marBottom w:val="0"/>
      <w:divBdr>
        <w:top w:val="none" w:sz="0" w:space="0" w:color="auto"/>
        <w:left w:val="none" w:sz="0" w:space="0" w:color="auto"/>
        <w:bottom w:val="none" w:sz="0" w:space="0" w:color="auto"/>
        <w:right w:val="none" w:sz="0" w:space="0" w:color="auto"/>
      </w:divBdr>
    </w:div>
    <w:div w:id="1995060058">
      <w:bodyDiv w:val="1"/>
      <w:marLeft w:val="0"/>
      <w:marRight w:val="0"/>
      <w:marTop w:val="0"/>
      <w:marBottom w:val="0"/>
      <w:divBdr>
        <w:top w:val="none" w:sz="0" w:space="0" w:color="auto"/>
        <w:left w:val="none" w:sz="0" w:space="0" w:color="auto"/>
        <w:bottom w:val="none" w:sz="0" w:space="0" w:color="auto"/>
        <w:right w:val="none" w:sz="0" w:space="0" w:color="auto"/>
      </w:divBdr>
    </w:div>
    <w:div w:id="2064056839">
      <w:bodyDiv w:val="1"/>
      <w:marLeft w:val="0"/>
      <w:marRight w:val="0"/>
      <w:marTop w:val="0"/>
      <w:marBottom w:val="0"/>
      <w:divBdr>
        <w:top w:val="none" w:sz="0" w:space="0" w:color="auto"/>
        <w:left w:val="none" w:sz="0" w:space="0" w:color="auto"/>
        <w:bottom w:val="none" w:sz="0" w:space="0" w:color="auto"/>
        <w:right w:val="none" w:sz="0" w:space="0" w:color="auto"/>
      </w:divBdr>
    </w:div>
    <w:div w:id="2108386787">
      <w:bodyDiv w:val="1"/>
      <w:marLeft w:val="0"/>
      <w:marRight w:val="0"/>
      <w:marTop w:val="0"/>
      <w:marBottom w:val="0"/>
      <w:divBdr>
        <w:top w:val="none" w:sz="0" w:space="0" w:color="auto"/>
        <w:left w:val="none" w:sz="0" w:space="0" w:color="auto"/>
        <w:bottom w:val="none" w:sz="0" w:space="0" w:color="auto"/>
        <w:right w:val="none" w:sz="0" w:space="0" w:color="auto"/>
      </w:divBdr>
    </w:div>
    <w:div w:id="2138065430">
      <w:bodyDiv w:val="1"/>
      <w:marLeft w:val="0"/>
      <w:marRight w:val="0"/>
      <w:marTop w:val="0"/>
      <w:marBottom w:val="0"/>
      <w:divBdr>
        <w:top w:val="none" w:sz="0" w:space="0" w:color="auto"/>
        <w:left w:val="none" w:sz="0" w:space="0" w:color="auto"/>
        <w:bottom w:val="none" w:sz="0" w:space="0" w:color="auto"/>
        <w:right w:val="none" w:sz="0" w:space="0" w:color="auto"/>
      </w:divBdr>
      <w:divsChild>
        <w:div w:id="434247784">
          <w:marLeft w:val="446"/>
          <w:marRight w:val="0"/>
          <w:marTop w:val="0"/>
          <w:marBottom w:val="120"/>
          <w:divBdr>
            <w:top w:val="none" w:sz="0" w:space="0" w:color="auto"/>
            <w:left w:val="none" w:sz="0" w:space="0" w:color="auto"/>
            <w:bottom w:val="none" w:sz="0" w:space="0" w:color="auto"/>
            <w:right w:val="none" w:sz="0" w:space="0" w:color="auto"/>
          </w:divBdr>
        </w:div>
        <w:div w:id="1952083099">
          <w:marLeft w:val="446"/>
          <w:marRight w:val="0"/>
          <w:marTop w:val="0"/>
          <w:marBottom w:val="120"/>
          <w:divBdr>
            <w:top w:val="none" w:sz="0" w:space="0" w:color="auto"/>
            <w:left w:val="none" w:sz="0" w:space="0" w:color="auto"/>
            <w:bottom w:val="none" w:sz="0" w:space="0" w:color="auto"/>
            <w:right w:val="none" w:sz="0" w:space="0" w:color="auto"/>
          </w:divBdr>
        </w:div>
        <w:div w:id="1526824037">
          <w:marLeft w:val="446"/>
          <w:marRight w:val="0"/>
          <w:marTop w:val="0"/>
          <w:marBottom w:val="120"/>
          <w:divBdr>
            <w:top w:val="none" w:sz="0" w:space="0" w:color="auto"/>
            <w:left w:val="none" w:sz="0" w:space="0" w:color="auto"/>
            <w:bottom w:val="none" w:sz="0" w:space="0" w:color="auto"/>
            <w:right w:val="none" w:sz="0" w:space="0" w:color="auto"/>
          </w:divBdr>
        </w:div>
        <w:div w:id="459154476">
          <w:marLeft w:val="446"/>
          <w:marRight w:val="0"/>
          <w:marTop w:val="0"/>
          <w:marBottom w:val="120"/>
          <w:divBdr>
            <w:top w:val="none" w:sz="0" w:space="0" w:color="auto"/>
            <w:left w:val="none" w:sz="0" w:space="0" w:color="auto"/>
            <w:bottom w:val="none" w:sz="0" w:space="0" w:color="auto"/>
            <w:right w:val="none" w:sz="0" w:space="0" w:color="auto"/>
          </w:divBdr>
        </w:div>
        <w:div w:id="2142190286">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C2004A03952" TargetMode="External"/><Relationship Id="rId18" Type="http://schemas.openxmlformats.org/officeDocument/2006/relationships/hyperlink" Target="https://www.legislation.gov.au/F2018L01350/latest/versions" TargetMode="External"/><Relationship Id="rId26" Type="http://schemas.openxmlformats.org/officeDocument/2006/relationships/hyperlink" Target="https://www.racgp.org.au/running-a-practice/technology/business-technology/artificial-intelligence-ai-scribes" TargetMode="External"/><Relationship Id="rId39" Type="http://schemas.openxmlformats.org/officeDocument/2006/relationships/hyperlink" Target="https://www.tga.gov.au/privacy" TargetMode="External"/><Relationship Id="rId21" Type="http://schemas.openxmlformats.org/officeDocument/2006/relationships/hyperlink" Target="https://www.legislation.gov.au/F1996B00406/latest/versions" TargetMode="External"/><Relationship Id="rId34" Type="http://schemas.openxmlformats.org/officeDocument/2006/relationships/hyperlink" Target="https://www.legislation.gov.au/F1996B00406/latest/versions" TargetMode="External"/><Relationship Id="rId42" Type="http://schemas.openxmlformats.org/officeDocument/2006/relationships/hyperlink" Target="https://www.cyber.gov.au/" TargetMode="External"/><Relationship Id="rId47" Type="http://schemas.openxmlformats.org/officeDocument/2006/relationships/hyperlink" Target="https://www.tga.gov.au/about-tga/advisory-bodies-and-committees/regulatory-and-technical-consultative-forum-medical-devices-regtech-forum" TargetMode="External"/><Relationship Id="rId50" Type="http://schemas.openxmlformats.org/officeDocument/2006/relationships/hyperlink" Target="https://consult.industry.gov.au/ai-mandatory-guardrails" TargetMode="External"/><Relationship Id="rId55" Type="http://schemas.openxmlformats.org/officeDocument/2006/relationships/hyperlink" Target="https://www.legislation.gov.au/F2002B00237/latest/versions" TargetMode="External"/><Relationship Id="rId63" Type="http://schemas.openxmlformats.org/officeDocument/2006/relationships/hyperlink" Target="https://www.tga.gov.au/about-tga/advisory-bodies-and-committees/advisory-committee-medical-devices-acmd" TargetMode="External"/><Relationship Id="rId68"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76" Type="http://schemas.openxmlformats.org/officeDocument/2006/relationships/hyperlink" Target="https://www.tga.gov.au/resources/guidance/understanding-your-post-market-responsibilities-medical-devices" TargetMode="External"/><Relationship Id="rId8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tga.gov.au/how-we-regulate/australian-conformity-assessment-bodies-australian-cabs" TargetMode="External"/><Relationship Id="rId2" Type="http://schemas.openxmlformats.org/officeDocument/2006/relationships/customXml" Target="../customXml/item2.xml"/><Relationship Id="rId16" Type="http://schemas.openxmlformats.org/officeDocument/2006/relationships/hyperlink" Target="https://www.legislation.gov.au/C2004A03952/latest/versions" TargetMode="External"/><Relationship Id="rId29" Type="http://schemas.openxmlformats.org/officeDocument/2006/relationships/hyperlink" Target="https://www.fda.gov/medical-devices/software-medical-device-samd/artificial-intelligence-and-machine-learning-aiml-enabled-medical-devices" TargetMode="External"/><Relationship Id="rId11" Type="http://schemas.openxmlformats.org/officeDocument/2006/relationships/hyperlink" Target="mailto:tga.copyright@tga.gov.au" TargetMode="External"/><Relationship Id="rId24" Type="http://schemas.openxmlformats.org/officeDocument/2006/relationships/hyperlink" Target="https://www.oaic.gov.au/news/media-centre/new-ai-guidance-makes-privacy-compliance-easier-for-business" TargetMode="External"/><Relationship Id="rId32" Type="http://schemas.openxmlformats.org/officeDocument/2006/relationships/hyperlink" Target="https://www.tga.gov.au/products/australian-register-therapeutic-goods-artg" TargetMode="External"/><Relationship Id="rId37" Type="http://schemas.openxmlformats.org/officeDocument/2006/relationships/hyperlink" Target="https://www.oaic.gov.au/privacy/privacy-legislation/the-privacy-act" TargetMode="External"/><Relationship Id="rId40" Type="http://schemas.openxmlformats.org/officeDocument/2006/relationships/hyperlink" Target="https://www.health.gov.au/using-our-websites/website-privacy-policy?language=und" TargetMode="External"/><Relationship Id="rId45" Type="http://schemas.openxmlformats.org/officeDocument/2006/relationships/hyperlink" Target="https://www.safetyandquality.gov.au/standards" TargetMode="External"/><Relationship Id="rId53" Type="http://schemas.openxmlformats.org/officeDocument/2006/relationships/hyperlink" Target="https://consult.industry.gov.au/ai-mandatory-guardrails" TargetMode="External"/><Relationship Id="rId58" Type="http://schemas.openxmlformats.org/officeDocument/2006/relationships/hyperlink" Target="https://www.tga.gov.au/resources/resource/guidance/comparable-overseas-regulators-medical-device-applications" TargetMode="External"/><Relationship Id="rId66" Type="http://schemas.openxmlformats.org/officeDocument/2006/relationships/header" Target="header2.xml"/><Relationship Id="rId74" Type="http://schemas.openxmlformats.org/officeDocument/2006/relationships/hyperlink" Target="https://www.tga.gov.au/node/287365" TargetMode="External"/><Relationship Id="rId79" Type="http://schemas.openxmlformats.org/officeDocument/2006/relationships/hyperlink" Target="https://www.tga.gov.au/safety/safety/database-adverse-event-notifications-daen-medicines"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tga.gov.au/about-tga/advisory-bodies-and-committees/technical-reference-group-software-medical-device-samd-and-artificial-intelligence-ai" TargetMode="External"/><Relationship Id="rId82" Type="http://schemas.openxmlformats.org/officeDocument/2006/relationships/header" Target="header3.xml"/><Relationship Id="rId19" Type="http://schemas.openxmlformats.org/officeDocument/2006/relationships/hyperlink" Target="https://www.legislation.gov.au/F2021L01661/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health-technologies-and-digital-health/what-we-do" TargetMode="External"/><Relationship Id="rId22" Type="http://schemas.openxmlformats.org/officeDocument/2006/relationships/hyperlink" Target="https://www.legislation.gov.au/F2021L01661/latest/versions" TargetMode="External"/><Relationship Id="rId27" Type="http://schemas.openxmlformats.org/officeDocument/2006/relationships/hyperlink" Target="https://www.safetyandquality.gov.au/publications-and-resources/resource-library/ai-implementation-hospitals-legislation-policy-guidelines-and-principles-and-evidence-about-quality-and-safety" TargetMode="External"/><Relationship Id="rId30" Type="http://schemas.openxmlformats.org/officeDocument/2006/relationships/hyperlink" Target="https://www.imdrf.org/consultations/good-machine-learning-practice-medical-device-development-guiding-principles" TargetMode="External"/><Relationship Id="rId35" Type="http://schemas.openxmlformats.org/officeDocument/2006/relationships/hyperlink" Target="https://www.legislation.gov.au/F2002B00237/latest/versions" TargetMode="External"/><Relationship Id="rId43" Type="http://schemas.openxmlformats.org/officeDocument/2006/relationships/hyperlink" Target="https://www.ahpra.gov.au/" TargetMode="External"/><Relationship Id="rId48" Type="http://schemas.openxmlformats.org/officeDocument/2006/relationships/hyperlink" Target="https://www.tga.gov.au/about-tga/advisory-bodies-and-committees/medical-devices-consumer-working-group-mdcwg" TargetMode="External"/><Relationship Id="rId56"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64" Type="http://schemas.openxmlformats.org/officeDocument/2006/relationships/header" Target="header1.xml"/><Relationship Id="rId69" Type="http://schemas.openxmlformats.org/officeDocument/2006/relationships/hyperlink" Target="https://www.tga.gov.au/how-we-regulate/supply-therapeutic-good/supply-prescription-medicine/application-process-prescription-medicines/comparable-overseas-regulators" TargetMode="External"/><Relationship Id="rId77" Type="http://schemas.openxmlformats.org/officeDocument/2006/relationships/hyperlink" Target="https://www.tga.gov.au/how-we-regulate/monitoring-safety-and-shortages/report-adverse-event-or-incident/report-adverse-event-medical-devices" TargetMode="External"/><Relationship Id="rId8" Type="http://schemas.openxmlformats.org/officeDocument/2006/relationships/webSettings" Target="webSettings.xml"/><Relationship Id="rId51" Type="http://schemas.openxmlformats.org/officeDocument/2006/relationships/hyperlink" Target="https://www.tga.gov.au/medical-devices-overview" TargetMode="External"/><Relationship Id="rId72" Type="http://schemas.openxmlformats.org/officeDocument/2006/relationships/hyperlink" Target="https://www.tga.gov.au/resources/resource/reference-material/medical-devices-regulatory-basics" TargetMode="External"/><Relationship Id="rId80" Type="http://schemas.openxmlformats.org/officeDocument/2006/relationships/hyperlink" Target="https://www.tga.gov.au/resources/resource/reference-material/medical-device-incident-reporting-and-investigation-scheme-iris" TargetMode="External"/><Relationship Id="rId85"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budget.gov.au/content/bp2/download/bp2_2024-25.pdf"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ahpra.gov.au/Resources/Artificial-Intelligence-in-healthcare.aspx" TargetMode="External"/><Relationship Id="rId33" Type="http://schemas.openxmlformats.org/officeDocument/2006/relationships/hyperlink" Target="https://www.tga.gov.au/about-tga/legislation/legislation-and-legislative-instruments/therapeutic-goods-advertising-code" TargetMode="External"/><Relationship Id="rId38" Type="http://schemas.openxmlformats.org/officeDocument/2006/relationships/hyperlink" Target="https://www.oaic.gov.au/" TargetMode="External"/><Relationship Id="rId46" Type="http://schemas.openxmlformats.org/officeDocument/2006/relationships/hyperlink" Target="https://www.tga.gov.au/about-tga/advisory-bodies-and-committees/technical-reference-group-software-medical-device-samd-and-artificial-intelligence-ai" TargetMode="External"/><Relationship Id="rId59" Type="http://schemas.openxmlformats.org/officeDocument/2006/relationships/hyperlink" Target="https://www.imdrf.org/" TargetMode="External"/><Relationship Id="rId67" Type="http://schemas.openxmlformats.org/officeDocument/2006/relationships/footer" Target="footer2.xml"/><Relationship Id="rId20" Type="http://schemas.openxmlformats.org/officeDocument/2006/relationships/hyperlink" Target="https://www.tga.gov.au/resources/resource/reference-material/excluded-software" TargetMode="External"/><Relationship Id="rId41" Type="http://schemas.openxmlformats.org/officeDocument/2006/relationships/hyperlink" Target="https://www.homeaffairs.gov.au/cyber-security-subsite/files/2023-cyber-security-strategy.pdf" TargetMode="External"/><Relationship Id="rId54" Type="http://schemas.openxmlformats.org/officeDocument/2006/relationships/hyperlink" Target="https://www.legislation.gov.au/Series/F2002B00237" TargetMode="External"/><Relationship Id="rId62" Type="http://schemas.openxmlformats.org/officeDocument/2006/relationships/hyperlink" Target="https://www.tga.gov.au/how-we-regulate/manufacturing/manufacture-medical-device/point-care-manufacturing-medical-devices/point-care-manufacturing-medical-devices-steering-committee-and-working-groups" TargetMode="External"/><Relationship Id="rId70" Type="http://schemas.openxmlformats.org/officeDocument/2006/relationships/hyperlink" Target="https://www.tga.gov.au/how-we-regulate/manufacturing/manufacture-medical-device/obtain-and-maintain-regulatory-evidence/manufacturer-evidence-medical-devices" TargetMode="External"/><Relationship Id="rId75" Type="http://schemas.openxmlformats.org/officeDocument/2006/relationships/hyperlink" Target="https://www.tga.gov.au/clinical-evidence-guidelines-documents-medical-devices" TargetMode="External"/><Relationship Id="rId83" Type="http://schemas.openxmlformats.org/officeDocument/2006/relationships/header" Target="header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nsult.industry.gov.au/ai-mandatory-guardrails" TargetMode="External"/><Relationship Id="rId23" Type="http://schemas.openxmlformats.org/officeDocument/2006/relationships/hyperlink" Target="https://www.tga.gov.au/resources/publication/publications/progress-update-mandatory-reporting-adverse-events-healthcare-facilities" TargetMode="External"/><Relationship Id="rId28" Type="http://schemas.openxmlformats.org/officeDocument/2006/relationships/hyperlink" Target="https://www.tga.gov.au/about-tga/international/international-activities" TargetMode="External"/><Relationship Id="rId36" Type="http://schemas.openxmlformats.org/officeDocument/2006/relationships/hyperlink" Target="https://www.legislation.gov.au/F2018L01350/latest/versions" TargetMode="External"/><Relationship Id="rId49" Type="http://schemas.openxmlformats.org/officeDocument/2006/relationships/hyperlink" Target="https://www.tga.gov.au/how-we-regulate/manufacturing/manufacture-medical-device/point-care-manufacturing-medical-devices/point-care-manufacturing-medical-devices-steering-committee-and-working-groups" TargetMode="External"/><Relationship Id="rId57" Type="http://schemas.openxmlformats.org/officeDocument/2006/relationships/hyperlink" Target="https://www.tga.gov.au/how-we-regulate/supply-therapeutic-good/supply-prescription-medicine/application-process-prescription-medicines/comparable-overseas-regulators" TargetMode="External"/><Relationship Id="rId10" Type="http://schemas.openxmlformats.org/officeDocument/2006/relationships/endnotes" Target="endnotes.xml"/><Relationship Id="rId31" Type="http://schemas.openxmlformats.org/officeDocument/2006/relationships/hyperlink" Target="https://www.legislation.gov.au/Series/C2004A03952" TargetMode="External"/><Relationship Id="rId44" Type="http://schemas.openxmlformats.org/officeDocument/2006/relationships/hyperlink" Target="https://www.safetyandquality.gov.au/" TargetMode="External"/><Relationship Id="rId52" Type="http://schemas.openxmlformats.org/officeDocument/2006/relationships/hyperlink" Target="https://www.tga.gov.au/products/medical-devices" TargetMode="External"/><Relationship Id="rId60" Type="http://schemas.openxmlformats.org/officeDocument/2006/relationships/hyperlink" Target="https://www.tga.gov.au/about-tga/advisory-bodies-and-committees/medical-devices-consumer-working-group-mdcwg" TargetMode="External"/><Relationship Id="rId65" Type="http://schemas.openxmlformats.org/officeDocument/2006/relationships/footer" Target="footer1.xml"/><Relationship Id="rId73" Type="http://schemas.openxmlformats.org/officeDocument/2006/relationships/hyperlink" Target="https://www.tga.gov.au/data-management-and-data-integrity-dmdi" TargetMode="External"/><Relationship Id="rId78" Type="http://schemas.openxmlformats.org/officeDocument/2006/relationships/hyperlink" Target="https://www.tga.gov.au/safety/safety/database-adverse-event-notifications-daen-medical-devices" TargetMode="External"/><Relationship Id="rId81" Type="http://schemas.openxmlformats.org/officeDocument/2006/relationships/hyperlink" Target="https://www.tga.gov.au/resources/resource/reference-material/uniform-recall-procedure-therapeutic-goods-urptg" TargetMode="External"/><Relationship Id="rId86"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mdrf.org/documents/principles-and-practices-software-bill-materials-medical-device-cybersecurity" TargetMode="External"/><Relationship Id="rId1" Type="http://schemas.openxmlformats.org/officeDocument/2006/relationships/hyperlink" Target="https://www.legislation.gov.au/C2004A03952/latest/versio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C3C29D9D907E4C9D7667DAE68A37A8" ma:contentTypeVersion="" ma:contentTypeDescription="PDMS Document Site Content Type" ma:contentTypeScope="" ma:versionID="4c877028c69f03287605ec76a8a7e979">
  <xsd:schema xmlns:xsd="http://www.w3.org/2001/XMLSchema" xmlns:xs="http://www.w3.org/2001/XMLSchema" xmlns:p="http://schemas.microsoft.com/office/2006/metadata/properties" xmlns:ns2="AD279832-F8EC-4128-99F7-2502C2E024AE" targetNamespace="http://schemas.microsoft.com/office/2006/metadata/properties" ma:root="true" ma:fieldsID="b4341e7949bcb197680f846acb4739a7" ns2:_="">
    <xsd:import namespace="AD279832-F8EC-4128-99F7-2502C2E024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9832-F8EC-4128-99F7-2502C2E024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D279832-F8EC-4128-99F7-2502C2E024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8EA7-F90E-4D44-B105-66498D67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79832-F8EC-4128-99F7-2502C2E0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995DB-BDBF-4D2D-B379-80F49EF559FC}">
  <ds:schemaRefs>
    <ds:schemaRef ds:uri="http://schemas.microsoft.com/office/2006/metadata/properties"/>
    <ds:schemaRef ds:uri="http://schemas.microsoft.com/office/infopath/2007/PartnerControls"/>
    <ds:schemaRef ds:uri="AD279832-F8EC-4128-99F7-2502C2E024AE"/>
  </ds:schemaRefs>
</ds:datastoreItem>
</file>

<file path=customXml/itemProps3.xml><?xml version="1.0" encoding="utf-8"?>
<ds:datastoreItem xmlns:ds="http://schemas.openxmlformats.org/officeDocument/2006/customXml" ds:itemID="{969898B0-EF8F-4D72-8E13-001498E677EF}">
  <ds:schemaRefs>
    <ds:schemaRef ds:uri="http://schemas.microsoft.com/sharepoint/v3/contenttype/forms"/>
  </ds:schemaRefs>
</ds:datastoreItem>
</file>

<file path=customXml/itemProps4.xml><?xml version="1.0" encoding="utf-8"?>
<ds:datastoreItem xmlns:ds="http://schemas.openxmlformats.org/officeDocument/2006/customXml" ds:itemID="{D0638387-EC03-4E21-87CE-1D542511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13367</Words>
  <Characters>76198</Characters>
  <Application>Microsoft Office Word</Application>
  <DocSecurity>8</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BATESON, Rebecca</dc:creator>
  <cp:keywords/>
  <dc:description/>
  <cp:lastModifiedBy>DEACON, Dale</cp:lastModifiedBy>
  <cp:revision>3</cp:revision>
  <dcterms:created xsi:type="dcterms:W3CDTF">2025-07-23T23:57:00Z</dcterms:created>
  <dcterms:modified xsi:type="dcterms:W3CDTF">2025-07-23T23:58:00Z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0x010100266966F133664895A6EE3632470D45F5004EC3C29D9D907E4C9D7667DAE68A37A8</vt:lpwstr>
  </property>
</Properties>
</file>