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BBD6" w14:textId="77777777" w:rsidR="00331496" w:rsidRDefault="00331496"/>
    <w:p w14:paraId="25DAEDD7" w14:textId="77777777" w:rsidR="005F6958" w:rsidRDefault="005F6958"/>
    <w:p w14:paraId="5AE31690" w14:textId="77777777" w:rsidR="005F6958" w:rsidRDefault="005F6958"/>
    <w:p w14:paraId="54E57AC3" w14:textId="2916A0B5" w:rsidR="005F6958" w:rsidRDefault="002E04A4" w:rsidP="005F6958">
      <w:pPr>
        <w:pStyle w:val="Title"/>
      </w:pPr>
      <w:r w:rsidRPr="002E04A4">
        <w:t>Screening, identification and content of nicotine in e-cigarette liquids</w:t>
      </w:r>
    </w:p>
    <w:p w14:paraId="528AEB2C" w14:textId="77777777" w:rsidR="005F6958" w:rsidRDefault="005F6958"/>
    <w:p w14:paraId="366CE7E8" w14:textId="77777777" w:rsidR="005F6958" w:rsidRDefault="005F6958"/>
    <w:p w14:paraId="0B096F80" w14:textId="77777777" w:rsidR="005F6958" w:rsidRDefault="005F6958"/>
    <w:p w14:paraId="0407282B" w14:textId="77777777" w:rsidR="005F6958" w:rsidRDefault="005F6958"/>
    <w:p w14:paraId="219CA29C" w14:textId="77777777" w:rsidR="005F6958" w:rsidRDefault="005F6958"/>
    <w:p w14:paraId="1116FBDD" w14:textId="77777777" w:rsidR="005F6958" w:rsidRDefault="005F6958"/>
    <w:p w14:paraId="39C901D0" w14:textId="61EF6C0B" w:rsidR="005F6958" w:rsidRDefault="002E04A4" w:rsidP="005F6958">
      <w:pPr>
        <w:pStyle w:val="Date"/>
      </w:pPr>
      <w:r>
        <w:t>June 2025</w:t>
      </w:r>
    </w:p>
    <w:p w14:paraId="6F5748B3" w14:textId="77777777" w:rsidR="005F6958" w:rsidRDefault="005F6958">
      <w:r>
        <w:br w:type="page"/>
      </w:r>
    </w:p>
    <w:p w14:paraId="028CE774"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7297FA52" w14:textId="77777777" w:rsidR="0089410A" w:rsidRDefault="00DD3815" w:rsidP="004E2F19">
      <w:pPr>
        <w:pStyle w:val="LegalSubheading"/>
      </w:pPr>
      <w:bookmarkStart w:id="1" w:name="_Toc126664138"/>
      <w:r w:rsidRPr="00DD3815">
        <w:t>© Commonwealth of Australia</w:t>
      </w:r>
      <w:r w:rsidR="00F35094">
        <w:t xml:space="preserve"> 202</w:t>
      </w:r>
      <w:r w:rsidR="00D44546">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7" w:history="1">
        <w:r w:rsidRPr="00DD3815">
          <w:rPr>
            <w:rStyle w:val="Hyperlink"/>
            <w:rFonts w:cs="Arial"/>
            <w:b/>
            <w:bCs/>
          </w:rPr>
          <w:t>tga.copyright@tga.gov.au</w:t>
        </w:r>
      </w:hyperlink>
      <w:r w:rsidRPr="00DD3815">
        <w:t>&gt;.</w:t>
      </w:r>
      <w:bookmarkEnd w:id="1"/>
    </w:p>
    <w:p w14:paraId="4B6B09F0"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64690730" w14:textId="77777777" w:rsidR="0089410A" w:rsidRPr="00215D48" w:rsidRDefault="0089410A" w:rsidP="0089410A">
          <w:pPr>
            <w:pStyle w:val="NonTOCheading2"/>
          </w:pPr>
          <w:r w:rsidRPr="00215D48">
            <w:t>Contents</w:t>
          </w:r>
        </w:p>
        <w:p w14:paraId="602B9C7D" w14:textId="3F893A16" w:rsidR="00614E47" w:rsidRDefault="0089410A">
          <w:pPr>
            <w:pStyle w:val="TOC2"/>
            <w:rPr>
              <w:rFonts w:asciiTheme="minorHAnsi" w:eastAsiaTheme="minorEastAsia" w:hAnsiTheme="minorHAnsi" w:cstheme="minorBidi"/>
              <w:noProof/>
              <w:color w:val="auto"/>
              <w:kern w:val="2"/>
              <w:szCs w:val="24"/>
              <w:lang w:eastAsia="en-AU"/>
              <w14:ligatures w14:val="standardContextual"/>
            </w:rPr>
          </w:pPr>
          <w:r w:rsidRPr="00215D48">
            <w:rPr>
              <w:b/>
              <w:sz w:val="32"/>
            </w:rPr>
            <w:fldChar w:fldCharType="begin"/>
          </w:r>
          <w:r w:rsidRPr="00215D48">
            <w:instrText xml:space="preserve"> TOC \h \z \u \t "Heading 2,1,Heading 3,2,Heading 4,3" </w:instrText>
          </w:r>
          <w:r w:rsidRPr="00215D48">
            <w:rPr>
              <w:b/>
              <w:sz w:val="32"/>
            </w:rPr>
            <w:fldChar w:fldCharType="separate"/>
          </w:r>
          <w:hyperlink w:anchor="_Toc200966075" w:history="1">
            <w:r w:rsidR="00614E47" w:rsidRPr="00B76447">
              <w:rPr>
                <w:rStyle w:val="Hyperlink"/>
                <w:noProof/>
              </w:rPr>
              <w:t>Chromatographic conditions</w:t>
            </w:r>
            <w:r w:rsidR="00614E47">
              <w:rPr>
                <w:noProof/>
                <w:webHidden/>
              </w:rPr>
              <w:tab/>
            </w:r>
            <w:r w:rsidR="00614E47">
              <w:rPr>
                <w:noProof/>
                <w:webHidden/>
              </w:rPr>
              <w:fldChar w:fldCharType="begin"/>
            </w:r>
            <w:r w:rsidR="00614E47">
              <w:rPr>
                <w:noProof/>
                <w:webHidden/>
              </w:rPr>
              <w:instrText xml:space="preserve"> PAGEREF _Toc200966075 \h </w:instrText>
            </w:r>
            <w:r w:rsidR="00614E47">
              <w:rPr>
                <w:noProof/>
                <w:webHidden/>
              </w:rPr>
            </w:r>
            <w:r w:rsidR="00614E47">
              <w:rPr>
                <w:noProof/>
                <w:webHidden/>
              </w:rPr>
              <w:fldChar w:fldCharType="separate"/>
            </w:r>
            <w:r w:rsidR="00614E47">
              <w:rPr>
                <w:noProof/>
                <w:webHidden/>
              </w:rPr>
              <w:t>4</w:t>
            </w:r>
            <w:r w:rsidR="00614E47">
              <w:rPr>
                <w:noProof/>
                <w:webHidden/>
              </w:rPr>
              <w:fldChar w:fldCharType="end"/>
            </w:r>
          </w:hyperlink>
        </w:p>
        <w:p w14:paraId="041F4706" w14:textId="27024DF7" w:rsidR="00614E47" w:rsidRDefault="00614E47">
          <w:pPr>
            <w:pStyle w:val="TOC2"/>
            <w:rPr>
              <w:rFonts w:asciiTheme="minorHAnsi" w:eastAsiaTheme="minorEastAsia" w:hAnsiTheme="minorHAnsi" w:cstheme="minorBidi"/>
              <w:noProof/>
              <w:color w:val="auto"/>
              <w:kern w:val="2"/>
              <w:szCs w:val="24"/>
              <w:lang w:eastAsia="en-AU"/>
              <w14:ligatures w14:val="standardContextual"/>
            </w:rPr>
          </w:pPr>
          <w:hyperlink w:anchor="_Toc200966076" w:history="1">
            <w:r w:rsidRPr="00B76447">
              <w:rPr>
                <w:rStyle w:val="Hyperlink"/>
                <w:noProof/>
              </w:rPr>
              <w:t>System suitability</w:t>
            </w:r>
            <w:r>
              <w:rPr>
                <w:noProof/>
                <w:webHidden/>
              </w:rPr>
              <w:tab/>
            </w:r>
            <w:r>
              <w:rPr>
                <w:noProof/>
                <w:webHidden/>
              </w:rPr>
              <w:fldChar w:fldCharType="begin"/>
            </w:r>
            <w:r>
              <w:rPr>
                <w:noProof/>
                <w:webHidden/>
              </w:rPr>
              <w:instrText xml:space="preserve"> PAGEREF _Toc200966076 \h </w:instrText>
            </w:r>
            <w:r>
              <w:rPr>
                <w:noProof/>
                <w:webHidden/>
              </w:rPr>
            </w:r>
            <w:r>
              <w:rPr>
                <w:noProof/>
                <w:webHidden/>
              </w:rPr>
              <w:fldChar w:fldCharType="separate"/>
            </w:r>
            <w:r>
              <w:rPr>
                <w:noProof/>
                <w:webHidden/>
              </w:rPr>
              <w:t>4</w:t>
            </w:r>
            <w:r>
              <w:rPr>
                <w:noProof/>
                <w:webHidden/>
              </w:rPr>
              <w:fldChar w:fldCharType="end"/>
            </w:r>
          </w:hyperlink>
        </w:p>
        <w:p w14:paraId="3EF45BF7" w14:textId="5AB373AA" w:rsidR="00614E47" w:rsidRDefault="00614E47">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6077" w:history="1">
            <w:r w:rsidRPr="00B76447">
              <w:rPr>
                <w:rStyle w:val="Hyperlink"/>
                <w:noProof/>
              </w:rPr>
              <w:t>Buffer preparation</w:t>
            </w:r>
            <w:r>
              <w:rPr>
                <w:noProof/>
                <w:webHidden/>
              </w:rPr>
              <w:tab/>
            </w:r>
            <w:r>
              <w:rPr>
                <w:noProof/>
                <w:webHidden/>
              </w:rPr>
              <w:fldChar w:fldCharType="begin"/>
            </w:r>
            <w:r>
              <w:rPr>
                <w:noProof/>
                <w:webHidden/>
              </w:rPr>
              <w:instrText xml:space="preserve"> PAGEREF _Toc200966077 \h </w:instrText>
            </w:r>
            <w:r>
              <w:rPr>
                <w:noProof/>
                <w:webHidden/>
              </w:rPr>
            </w:r>
            <w:r>
              <w:rPr>
                <w:noProof/>
                <w:webHidden/>
              </w:rPr>
              <w:fldChar w:fldCharType="separate"/>
            </w:r>
            <w:r>
              <w:rPr>
                <w:noProof/>
                <w:webHidden/>
              </w:rPr>
              <w:t>4</w:t>
            </w:r>
            <w:r>
              <w:rPr>
                <w:noProof/>
                <w:webHidden/>
              </w:rPr>
              <w:fldChar w:fldCharType="end"/>
            </w:r>
          </w:hyperlink>
        </w:p>
        <w:p w14:paraId="3F78E1B5" w14:textId="4FD99BD2" w:rsidR="00614E47" w:rsidRDefault="00614E47">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6078" w:history="1">
            <w:r w:rsidRPr="00B76447">
              <w:rPr>
                <w:rStyle w:val="Hyperlink"/>
                <w:noProof/>
              </w:rPr>
              <w:t>Mobile phase/Diluent preparation</w:t>
            </w:r>
            <w:r>
              <w:rPr>
                <w:noProof/>
                <w:webHidden/>
              </w:rPr>
              <w:tab/>
            </w:r>
            <w:r>
              <w:rPr>
                <w:noProof/>
                <w:webHidden/>
              </w:rPr>
              <w:fldChar w:fldCharType="begin"/>
            </w:r>
            <w:r>
              <w:rPr>
                <w:noProof/>
                <w:webHidden/>
              </w:rPr>
              <w:instrText xml:space="preserve"> PAGEREF _Toc200966078 \h </w:instrText>
            </w:r>
            <w:r>
              <w:rPr>
                <w:noProof/>
                <w:webHidden/>
              </w:rPr>
            </w:r>
            <w:r>
              <w:rPr>
                <w:noProof/>
                <w:webHidden/>
              </w:rPr>
              <w:fldChar w:fldCharType="separate"/>
            </w:r>
            <w:r>
              <w:rPr>
                <w:noProof/>
                <w:webHidden/>
              </w:rPr>
              <w:t>4</w:t>
            </w:r>
            <w:r>
              <w:rPr>
                <w:noProof/>
                <w:webHidden/>
              </w:rPr>
              <w:fldChar w:fldCharType="end"/>
            </w:r>
          </w:hyperlink>
        </w:p>
        <w:p w14:paraId="1B77A177" w14:textId="134E9ECE" w:rsidR="00614E47" w:rsidRDefault="00614E47">
          <w:pPr>
            <w:pStyle w:val="TOC2"/>
            <w:rPr>
              <w:rFonts w:asciiTheme="minorHAnsi" w:eastAsiaTheme="minorEastAsia" w:hAnsiTheme="minorHAnsi" w:cstheme="minorBidi"/>
              <w:noProof/>
              <w:color w:val="auto"/>
              <w:kern w:val="2"/>
              <w:szCs w:val="24"/>
              <w:lang w:eastAsia="en-AU"/>
              <w14:ligatures w14:val="standardContextual"/>
            </w:rPr>
          </w:pPr>
          <w:hyperlink w:anchor="_Toc200966079" w:history="1">
            <w:r w:rsidRPr="00B76447">
              <w:rPr>
                <w:rStyle w:val="Hyperlink"/>
                <w:noProof/>
              </w:rPr>
              <w:t>Identification and content of nicotine in samples</w:t>
            </w:r>
            <w:r>
              <w:rPr>
                <w:noProof/>
                <w:webHidden/>
              </w:rPr>
              <w:tab/>
            </w:r>
            <w:r>
              <w:rPr>
                <w:noProof/>
                <w:webHidden/>
              </w:rPr>
              <w:fldChar w:fldCharType="begin"/>
            </w:r>
            <w:r>
              <w:rPr>
                <w:noProof/>
                <w:webHidden/>
              </w:rPr>
              <w:instrText xml:space="preserve"> PAGEREF _Toc200966079 \h </w:instrText>
            </w:r>
            <w:r>
              <w:rPr>
                <w:noProof/>
                <w:webHidden/>
              </w:rPr>
            </w:r>
            <w:r>
              <w:rPr>
                <w:noProof/>
                <w:webHidden/>
              </w:rPr>
              <w:fldChar w:fldCharType="separate"/>
            </w:r>
            <w:r>
              <w:rPr>
                <w:noProof/>
                <w:webHidden/>
              </w:rPr>
              <w:t>5</w:t>
            </w:r>
            <w:r>
              <w:rPr>
                <w:noProof/>
                <w:webHidden/>
              </w:rPr>
              <w:fldChar w:fldCharType="end"/>
            </w:r>
          </w:hyperlink>
        </w:p>
        <w:p w14:paraId="577A1B5C" w14:textId="0B7B70BB" w:rsidR="00614E47" w:rsidRDefault="00614E47">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6080" w:history="1">
            <w:r w:rsidRPr="00B76447">
              <w:rPr>
                <w:rStyle w:val="Hyperlink"/>
                <w:noProof/>
              </w:rPr>
              <w:t>Standard stock (200 µg/mL) – prepare in duplicate</w:t>
            </w:r>
            <w:r>
              <w:rPr>
                <w:noProof/>
                <w:webHidden/>
              </w:rPr>
              <w:tab/>
            </w:r>
            <w:r>
              <w:rPr>
                <w:noProof/>
                <w:webHidden/>
              </w:rPr>
              <w:fldChar w:fldCharType="begin"/>
            </w:r>
            <w:r>
              <w:rPr>
                <w:noProof/>
                <w:webHidden/>
              </w:rPr>
              <w:instrText xml:space="preserve"> PAGEREF _Toc200966080 \h </w:instrText>
            </w:r>
            <w:r>
              <w:rPr>
                <w:noProof/>
                <w:webHidden/>
              </w:rPr>
            </w:r>
            <w:r>
              <w:rPr>
                <w:noProof/>
                <w:webHidden/>
              </w:rPr>
              <w:fldChar w:fldCharType="separate"/>
            </w:r>
            <w:r>
              <w:rPr>
                <w:noProof/>
                <w:webHidden/>
              </w:rPr>
              <w:t>5</w:t>
            </w:r>
            <w:r>
              <w:rPr>
                <w:noProof/>
                <w:webHidden/>
              </w:rPr>
              <w:fldChar w:fldCharType="end"/>
            </w:r>
          </w:hyperlink>
        </w:p>
        <w:p w14:paraId="02787D0E" w14:textId="0375796C" w:rsidR="00614E47" w:rsidRDefault="00614E47">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6081" w:history="1">
            <w:r w:rsidRPr="00B76447">
              <w:rPr>
                <w:rStyle w:val="Hyperlink"/>
                <w:noProof/>
              </w:rPr>
              <w:t xml:space="preserve">Working standard (20 </w:t>
            </w:r>
            <w:r w:rsidRPr="00B76447">
              <w:rPr>
                <w:rStyle w:val="Hyperlink"/>
                <w:rFonts w:ascii="Aptos Narrow" w:hAnsi="Aptos Narrow"/>
                <w:noProof/>
              </w:rPr>
              <w:t>µ</w:t>
            </w:r>
            <w:r w:rsidRPr="00B76447">
              <w:rPr>
                <w:rStyle w:val="Hyperlink"/>
                <w:noProof/>
              </w:rPr>
              <w:t>g/mL)</w:t>
            </w:r>
            <w:r>
              <w:rPr>
                <w:noProof/>
                <w:webHidden/>
              </w:rPr>
              <w:tab/>
            </w:r>
            <w:r>
              <w:rPr>
                <w:noProof/>
                <w:webHidden/>
              </w:rPr>
              <w:fldChar w:fldCharType="begin"/>
            </w:r>
            <w:r>
              <w:rPr>
                <w:noProof/>
                <w:webHidden/>
              </w:rPr>
              <w:instrText xml:space="preserve"> PAGEREF _Toc200966081 \h </w:instrText>
            </w:r>
            <w:r>
              <w:rPr>
                <w:noProof/>
                <w:webHidden/>
              </w:rPr>
            </w:r>
            <w:r>
              <w:rPr>
                <w:noProof/>
                <w:webHidden/>
              </w:rPr>
              <w:fldChar w:fldCharType="separate"/>
            </w:r>
            <w:r>
              <w:rPr>
                <w:noProof/>
                <w:webHidden/>
              </w:rPr>
              <w:t>5</w:t>
            </w:r>
            <w:r>
              <w:rPr>
                <w:noProof/>
                <w:webHidden/>
              </w:rPr>
              <w:fldChar w:fldCharType="end"/>
            </w:r>
          </w:hyperlink>
        </w:p>
        <w:p w14:paraId="63623363" w14:textId="371CF048" w:rsidR="00614E47" w:rsidRDefault="00614E47">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6082" w:history="1">
            <w:r w:rsidRPr="00B76447">
              <w:rPr>
                <w:rStyle w:val="Hyperlink"/>
                <w:noProof/>
              </w:rPr>
              <w:t>Sample preparation – prepare in duplicate:</w:t>
            </w:r>
            <w:r>
              <w:rPr>
                <w:noProof/>
                <w:webHidden/>
              </w:rPr>
              <w:tab/>
            </w:r>
            <w:r>
              <w:rPr>
                <w:noProof/>
                <w:webHidden/>
              </w:rPr>
              <w:fldChar w:fldCharType="begin"/>
            </w:r>
            <w:r>
              <w:rPr>
                <w:noProof/>
                <w:webHidden/>
              </w:rPr>
              <w:instrText xml:space="preserve"> PAGEREF _Toc200966082 \h </w:instrText>
            </w:r>
            <w:r>
              <w:rPr>
                <w:noProof/>
                <w:webHidden/>
              </w:rPr>
            </w:r>
            <w:r>
              <w:rPr>
                <w:noProof/>
                <w:webHidden/>
              </w:rPr>
              <w:fldChar w:fldCharType="separate"/>
            </w:r>
            <w:r>
              <w:rPr>
                <w:noProof/>
                <w:webHidden/>
              </w:rPr>
              <w:t>5</w:t>
            </w:r>
            <w:r>
              <w:rPr>
                <w:noProof/>
                <w:webHidden/>
              </w:rPr>
              <w:fldChar w:fldCharType="end"/>
            </w:r>
          </w:hyperlink>
        </w:p>
        <w:p w14:paraId="495A4ABD" w14:textId="68D5456E" w:rsidR="00614E47" w:rsidRDefault="00614E47">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6083" w:history="1">
            <w:r w:rsidRPr="00B76447">
              <w:rPr>
                <w:rStyle w:val="Hyperlink"/>
                <w:noProof/>
              </w:rPr>
              <w:t>Acceptance criteria:</w:t>
            </w:r>
            <w:r>
              <w:rPr>
                <w:noProof/>
                <w:webHidden/>
              </w:rPr>
              <w:tab/>
            </w:r>
            <w:r>
              <w:rPr>
                <w:noProof/>
                <w:webHidden/>
              </w:rPr>
              <w:fldChar w:fldCharType="begin"/>
            </w:r>
            <w:r>
              <w:rPr>
                <w:noProof/>
                <w:webHidden/>
              </w:rPr>
              <w:instrText xml:space="preserve"> PAGEREF _Toc200966083 \h </w:instrText>
            </w:r>
            <w:r>
              <w:rPr>
                <w:noProof/>
                <w:webHidden/>
              </w:rPr>
            </w:r>
            <w:r>
              <w:rPr>
                <w:noProof/>
                <w:webHidden/>
              </w:rPr>
              <w:fldChar w:fldCharType="separate"/>
            </w:r>
            <w:r>
              <w:rPr>
                <w:noProof/>
                <w:webHidden/>
              </w:rPr>
              <w:t>5</w:t>
            </w:r>
            <w:r>
              <w:rPr>
                <w:noProof/>
                <w:webHidden/>
              </w:rPr>
              <w:fldChar w:fldCharType="end"/>
            </w:r>
          </w:hyperlink>
        </w:p>
        <w:p w14:paraId="27F2031D" w14:textId="32A85382" w:rsidR="00614E47" w:rsidRDefault="00614E47">
          <w:pPr>
            <w:pStyle w:val="TOC2"/>
            <w:rPr>
              <w:rFonts w:asciiTheme="minorHAnsi" w:eastAsiaTheme="minorEastAsia" w:hAnsiTheme="minorHAnsi" w:cstheme="minorBidi"/>
              <w:noProof/>
              <w:color w:val="auto"/>
              <w:kern w:val="2"/>
              <w:szCs w:val="24"/>
              <w:lang w:eastAsia="en-AU"/>
              <w14:ligatures w14:val="standardContextual"/>
            </w:rPr>
          </w:pPr>
          <w:hyperlink w:anchor="_Toc200966084" w:history="1">
            <w:r w:rsidRPr="00B76447">
              <w:rPr>
                <w:rStyle w:val="Hyperlink"/>
                <w:noProof/>
              </w:rPr>
              <w:t>Example chromatograms</w:t>
            </w:r>
            <w:r>
              <w:rPr>
                <w:noProof/>
                <w:webHidden/>
              </w:rPr>
              <w:tab/>
            </w:r>
            <w:r>
              <w:rPr>
                <w:noProof/>
                <w:webHidden/>
              </w:rPr>
              <w:fldChar w:fldCharType="begin"/>
            </w:r>
            <w:r>
              <w:rPr>
                <w:noProof/>
                <w:webHidden/>
              </w:rPr>
              <w:instrText xml:space="preserve"> PAGEREF _Toc200966084 \h </w:instrText>
            </w:r>
            <w:r>
              <w:rPr>
                <w:noProof/>
                <w:webHidden/>
              </w:rPr>
            </w:r>
            <w:r>
              <w:rPr>
                <w:noProof/>
                <w:webHidden/>
              </w:rPr>
              <w:fldChar w:fldCharType="separate"/>
            </w:r>
            <w:r>
              <w:rPr>
                <w:noProof/>
                <w:webHidden/>
              </w:rPr>
              <w:t>6</w:t>
            </w:r>
            <w:r>
              <w:rPr>
                <w:noProof/>
                <w:webHidden/>
              </w:rPr>
              <w:fldChar w:fldCharType="end"/>
            </w:r>
          </w:hyperlink>
        </w:p>
        <w:p w14:paraId="650F17F6" w14:textId="0A6E29D5" w:rsidR="00DD3815" w:rsidRDefault="0089410A" w:rsidP="00327972">
          <w:r w:rsidRPr="00215D48">
            <w:fldChar w:fldCharType="end"/>
          </w:r>
        </w:p>
      </w:sdtContent>
    </w:sdt>
    <w:p w14:paraId="0F17217F" w14:textId="77777777" w:rsidR="0089410A" w:rsidRDefault="0089410A">
      <w:pPr>
        <w:rPr>
          <w:rFonts w:eastAsia="Cambria" w:cs="Times New Roman"/>
          <w:bCs/>
          <w:color w:val="333F4A"/>
          <w:sz w:val="17"/>
        </w:rPr>
      </w:pPr>
      <w:r>
        <w:rPr>
          <w:b/>
          <w:bCs/>
        </w:rPr>
        <w:br w:type="page"/>
      </w:r>
    </w:p>
    <w:p w14:paraId="1311E957" w14:textId="77777777" w:rsidR="00327972" w:rsidRPr="002E46DF" w:rsidRDefault="00327972" w:rsidP="00E01B1A">
      <w:pPr>
        <w:pStyle w:val="NonTOCheading2"/>
      </w:pPr>
      <w:bookmarkStart w:id="2" w:name="_Toc199496493"/>
      <w:bookmarkStart w:id="3" w:name="_Toc199919606"/>
      <w:bookmarkStart w:id="4" w:name="_Toc323739589"/>
      <w:bookmarkStart w:id="5" w:name="_Toc356305216"/>
      <w:r w:rsidRPr="002E46DF">
        <w:lastRenderedPageBreak/>
        <w:t xml:space="preserve">Screening, </w:t>
      </w:r>
      <w:r>
        <w:t>i</w:t>
      </w:r>
      <w:r w:rsidRPr="002E46DF">
        <w:t xml:space="preserve">dentification and </w:t>
      </w:r>
      <w:r>
        <w:t>c</w:t>
      </w:r>
      <w:r w:rsidRPr="002E46DF">
        <w:t xml:space="preserve">ontent of </w:t>
      </w:r>
      <w:r>
        <w:t>n</w:t>
      </w:r>
      <w:r w:rsidRPr="002E46DF">
        <w:t xml:space="preserve">icotine in e-cigarette </w:t>
      </w:r>
      <w:r>
        <w:t>l</w:t>
      </w:r>
      <w:r w:rsidRPr="002E46DF">
        <w:t>iquids</w:t>
      </w:r>
      <w:bookmarkEnd w:id="2"/>
      <w:bookmarkEnd w:id="3"/>
    </w:p>
    <w:p w14:paraId="313165E7" w14:textId="77777777" w:rsidR="00327972" w:rsidRDefault="00327972" w:rsidP="00E01B1A">
      <w:r>
        <w:t>This method describes the s</w:t>
      </w:r>
      <w:r w:rsidRPr="007C4B9E">
        <w:t xml:space="preserve">creening, </w:t>
      </w:r>
      <w:r>
        <w:t>i</w:t>
      </w:r>
      <w:r w:rsidRPr="007C4B9E">
        <w:t xml:space="preserve">dentification and </w:t>
      </w:r>
      <w:r>
        <w:t>c</w:t>
      </w:r>
      <w:r w:rsidRPr="007C4B9E">
        <w:t xml:space="preserve">ontent of </w:t>
      </w:r>
      <w:r>
        <w:t>n</w:t>
      </w:r>
      <w:r w:rsidRPr="007C4B9E">
        <w:t xml:space="preserve">icotine in e-cigarette </w:t>
      </w:r>
      <w:r>
        <w:t>l</w:t>
      </w:r>
      <w:r w:rsidRPr="007C4B9E">
        <w:t>iquids</w:t>
      </w:r>
      <w:r>
        <w:t xml:space="preserve"> by </w:t>
      </w:r>
      <w:r w:rsidRPr="007C4B9E">
        <w:t xml:space="preserve">Ultra-Performance Liquid Chromatography </w:t>
      </w:r>
      <w:r>
        <w:t>(UPLC).</w:t>
      </w:r>
    </w:p>
    <w:p w14:paraId="4F1F2AB4" w14:textId="77777777" w:rsidR="00327972" w:rsidRDefault="00327972" w:rsidP="00E01B1A">
      <w:pPr>
        <w:pStyle w:val="Heading3"/>
      </w:pPr>
      <w:bookmarkStart w:id="6" w:name="_Toc199919607"/>
      <w:bookmarkStart w:id="7" w:name="_Toc200966075"/>
      <w:r w:rsidRPr="007C4B9E">
        <w:t>Chromatographic conditions</w:t>
      </w:r>
      <w:bookmarkEnd w:id="6"/>
      <w:bookmarkEnd w:id="7"/>
    </w:p>
    <w:p w14:paraId="79B628C8" w14:textId="77777777" w:rsidR="00327972" w:rsidRPr="00551602" w:rsidRDefault="00327972" w:rsidP="00327972">
      <w:pPr>
        <w:pStyle w:val="Tabletitle"/>
      </w:pPr>
      <w:r w:rsidRPr="00224A62">
        <w:t xml:space="preserve">Table 1. </w:t>
      </w:r>
      <w:bookmarkStart w:id="8" w:name="General_Chromatographic_Conditions"/>
      <w:bookmarkStart w:id="9" w:name="_Ref165542936"/>
      <w:r w:rsidRPr="00224A62">
        <w:t>General Chromatographic conditions</w:t>
      </w:r>
      <w:bookmarkEnd w:id="8"/>
      <w:bookmarkEnd w:id="9"/>
    </w:p>
    <w:tbl>
      <w:tblPr>
        <w:tblStyle w:val="TableTGAblue2023"/>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8"/>
      </w:tblGrid>
      <w:tr w:rsidR="00327972" w:rsidRPr="00551602" w14:paraId="17C3628C" w14:textId="77777777" w:rsidTr="00900CEC">
        <w:trPr>
          <w:cnfStyle w:val="100000000000" w:firstRow="1" w:lastRow="0" w:firstColumn="0" w:lastColumn="0" w:oddVBand="0" w:evenVBand="0" w:oddHBand="0" w:evenHBand="0" w:firstRowFirstColumn="0" w:firstRowLastColumn="0" w:lastRowFirstColumn="0" w:lastRowLastColumn="0"/>
          <w:trHeight w:val="20"/>
          <w:tblHeader w:val="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5C47885A" w14:textId="77777777" w:rsidR="00327972" w:rsidRPr="00551602" w:rsidRDefault="00327972" w:rsidP="00900CEC">
            <w:pPr>
              <w:spacing w:before="60" w:after="60"/>
              <w:rPr>
                <w:rFonts w:asciiTheme="minorHAnsi" w:hAnsiTheme="minorHAnsi" w:cstheme="minorHAnsi"/>
                <w:b w:val="0"/>
                <w:sz w:val="20"/>
                <w:szCs w:val="20"/>
              </w:rPr>
            </w:pPr>
            <w:r w:rsidRPr="00551602">
              <w:rPr>
                <w:rFonts w:asciiTheme="minorHAnsi" w:hAnsiTheme="minorHAnsi" w:cstheme="minorHAnsi"/>
                <w:sz w:val="20"/>
                <w:szCs w:val="20"/>
              </w:rPr>
              <w:t>Apparatus:</w:t>
            </w:r>
          </w:p>
        </w:tc>
        <w:tc>
          <w:tcPr>
            <w:tcW w:w="5958" w:type="dxa"/>
            <w:shd w:val="clear" w:color="auto" w:fill="auto"/>
          </w:tcPr>
          <w:p w14:paraId="3F46BCBD" w14:textId="77777777" w:rsidR="00327972" w:rsidRPr="00551602" w:rsidRDefault="00327972" w:rsidP="00900CE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 w:val="20"/>
                <w:szCs w:val="20"/>
              </w:rPr>
            </w:pPr>
            <w:r w:rsidRPr="00551602">
              <w:rPr>
                <w:rFonts w:asciiTheme="minorHAnsi" w:hAnsiTheme="minorHAnsi" w:cstheme="minorHAnsi"/>
                <w:b w:val="0"/>
                <w:bCs/>
                <w:color w:val="auto"/>
                <w:sz w:val="20"/>
                <w:szCs w:val="20"/>
              </w:rPr>
              <w:t xml:space="preserve">Waters </w:t>
            </w:r>
            <w:proofErr w:type="spellStart"/>
            <w:r w:rsidRPr="00551602">
              <w:rPr>
                <w:rFonts w:asciiTheme="minorHAnsi" w:hAnsiTheme="minorHAnsi" w:cstheme="minorHAnsi"/>
                <w:b w:val="0"/>
                <w:bCs/>
                <w:color w:val="auto"/>
                <w:sz w:val="20"/>
                <w:szCs w:val="20"/>
              </w:rPr>
              <w:t>Acquity</w:t>
            </w:r>
            <w:proofErr w:type="spellEnd"/>
            <w:r w:rsidRPr="00551602">
              <w:rPr>
                <w:rFonts w:asciiTheme="minorHAnsi" w:hAnsiTheme="minorHAnsi" w:cstheme="minorHAnsi"/>
                <w:b w:val="0"/>
                <w:bCs/>
                <w:color w:val="auto"/>
                <w:sz w:val="20"/>
                <w:szCs w:val="20"/>
              </w:rPr>
              <w:t xml:space="preserve"> H-Class UPLC system with PDA detector; or</w:t>
            </w:r>
            <w:r w:rsidRPr="00551602">
              <w:rPr>
                <w:rFonts w:asciiTheme="minorHAnsi" w:hAnsiTheme="minorHAnsi" w:cstheme="minorHAnsi"/>
                <w:b w:val="0"/>
                <w:bCs/>
                <w:color w:val="auto"/>
                <w:sz w:val="20"/>
                <w:szCs w:val="20"/>
              </w:rPr>
              <w:br/>
              <w:t>Agilent 1260 with DAD detector.</w:t>
            </w:r>
          </w:p>
        </w:tc>
      </w:tr>
      <w:tr w:rsidR="00327972" w:rsidRPr="00551602" w14:paraId="0E4ACAB1" w14:textId="77777777" w:rsidTr="00900CEC">
        <w:trPr>
          <w:trHeight w:val="431"/>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3DA85E11"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Column:</w:t>
            </w:r>
          </w:p>
        </w:tc>
        <w:tc>
          <w:tcPr>
            <w:tcW w:w="5958" w:type="dxa"/>
          </w:tcPr>
          <w:p w14:paraId="7F2D7768" w14:textId="77777777" w:rsidR="00327972" w:rsidRPr="00551602" w:rsidRDefault="00327972" w:rsidP="00900C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1602">
              <w:rPr>
                <w:rFonts w:asciiTheme="minorHAnsi" w:hAnsiTheme="minorHAnsi" w:cstheme="minorHAnsi"/>
                <w:sz w:val="20"/>
                <w:szCs w:val="20"/>
              </w:rPr>
              <w:t xml:space="preserve">Waters </w:t>
            </w:r>
            <w:proofErr w:type="spellStart"/>
            <w:r w:rsidRPr="00551602">
              <w:rPr>
                <w:rFonts w:asciiTheme="minorHAnsi" w:hAnsiTheme="minorHAnsi" w:cstheme="minorHAnsi"/>
                <w:sz w:val="20"/>
                <w:szCs w:val="20"/>
              </w:rPr>
              <w:t>Acquity</w:t>
            </w:r>
            <w:proofErr w:type="spellEnd"/>
            <w:r w:rsidRPr="00551602">
              <w:rPr>
                <w:rFonts w:asciiTheme="minorHAnsi" w:hAnsiTheme="minorHAnsi" w:cstheme="minorHAnsi"/>
                <w:sz w:val="20"/>
                <w:szCs w:val="20"/>
              </w:rPr>
              <w:t xml:space="preserve"> BEH C18, 2.1 × 50 mm, 1.7 µm, </w:t>
            </w:r>
            <w:r w:rsidRPr="00551602">
              <w:rPr>
                <w:rFonts w:asciiTheme="minorHAnsi" w:hAnsiTheme="minorHAnsi" w:cstheme="minorHAnsi"/>
                <w:sz w:val="20"/>
                <w:szCs w:val="20"/>
              </w:rPr>
              <w:br/>
              <w:t xml:space="preserve">with Waters </w:t>
            </w:r>
            <w:proofErr w:type="spellStart"/>
            <w:r w:rsidRPr="00551602">
              <w:rPr>
                <w:rFonts w:asciiTheme="minorHAnsi" w:hAnsiTheme="minorHAnsi" w:cstheme="minorHAnsi"/>
                <w:sz w:val="20"/>
                <w:szCs w:val="20"/>
              </w:rPr>
              <w:t>Acquity</w:t>
            </w:r>
            <w:proofErr w:type="spellEnd"/>
            <w:r w:rsidRPr="00551602">
              <w:rPr>
                <w:rFonts w:asciiTheme="minorHAnsi" w:hAnsiTheme="minorHAnsi" w:cstheme="minorHAnsi"/>
                <w:sz w:val="20"/>
                <w:szCs w:val="20"/>
              </w:rPr>
              <w:t xml:space="preserve"> Column in-Line filter, 0.2 µm</w:t>
            </w:r>
          </w:p>
        </w:tc>
      </w:tr>
      <w:tr w:rsidR="00327972" w:rsidRPr="00551602" w14:paraId="79D84961"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664EB028"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Mobile Phase:</w:t>
            </w:r>
          </w:p>
        </w:tc>
        <w:tc>
          <w:tcPr>
            <w:tcW w:w="5958" w:type="dxa"/>
          </w:tcPr>
          <w:p w14:paraId="73C8CFC9"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gramStart"/>
            <w:r w:rsidRPr="00551602">
              <w:rPr>
                <w:rFonts w:asciiTheme="minorHAnsi" w:hAnsiTheme="minorHAnsi" w:cstheme="minorHAnsi"/>
                <w:sz w:val="20"/>
                <w:szCs w:val="20"/>
              </w:rPr>
              <w:t>85 :</w:t>
            </w:r>
            <w:proofErr w:type="gramEnd"/>
            <w:r w:rsidRPr="00551602">
              <w:rPr>
                <w:rFonts w:asciiTheme="minorHAnsi" w:hAnsiTheme="minorHAnsi" w:cstheme="minorHAnsi"/>
                <w:sz w:val="20"/>
                <w:szCs w:val="20"/>
              </w:rPr>
              <w:t xml:space="preserve"> 15, 10mM Ammonium </w:t>
            </w:r>
            <w:proofErr w:type="spellStart"/>
            <w:r w:rsidRPr="00551602">
              <w:rPr>
                <w:rFonts w:asciiTheme="minorHAnsi" w:hAnsiTheme="minorHAnsi" w:cstheme="minorHAnsi"/>
                <w:sz w:val="20"/>
                <w:szCs w:val="20"/>
              </w:rPr>
              <w:t>Formate</w:t>
            </w:r>
            <w:proofErr w:type="spellEnd"/>
            <w:r w:rsidRPr="00551602">
              <w:rPr>
                <w:rFonts w:asciiTheme="minorHAnsi" w:hAnsiTheme="minorHAnsi" w:cstheme="minorHAnsi"/>
                <w:sz w:val="20"/>
                <w:szCs w:val="20"/>
              </w:rPr>
              <w:t xml:space="preserve"> (pH10.1</w:t>
            </w:r>
            <w:proofErr w:type="gramStart"/>
            <w:r w:rsidRPr="00551602">
              <w:rPr>
                <w:rFonts w:asciiTheme="minorHAnsi" w:hAnsiTheme="minorHAnsi" w:cstheme="minorHAnsi"/>
                <w:sz w:val="20"/>
                <w:szCs w:val="20"/>
              </w:rPr>
              <w:t>) :</w:t>
            </w:r>
            <w:proofErr w:type="gramEnd"/>
            <w:r w:rsidRPr="00551602">
              <w:rPr>
                <w:rFonts w:asciiTheme="minorHAnsi" w:hAnsiTheme="minorHAnsi" w:cstheme="minorHAnsi"/>
                <w:sz w:val="20"/>
                <w:szCs w:val="20"/>
              </w:rPr>
              <w:t xml:space="preserve"> Acetonitrile</w:t>
            </w:r>
          </w:p>
        </w:tc>
      </w:tr>
      <w:tr w:rsidR="00327972" w:rsidRPr="00551602" w14:paraId="11BAB0A0"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7983F5B6"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Diluent:</w:t>
            </w:r>
          </w:p>
        </w:tc>
        <w:tc>
          <w:tcPr>
            <w:tcW w:w="5958" w:type="dxa"/>
          </w:tcPr>
          <w:p w14:paraId="56764179"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1602">
              <w:rPr>
                <w:rFonts w:asciiTheme="minorHAnsi" w:hAnsiTheme="minorHAnsi" w:cstheme="minorHAnsi"/>
                <w:sz w:val="20"/>
                <w:szCs w:val="20"/>
              </w:rPr>
              <w:t>Mobile Phase</w:t>
            </w:r>
          </w:p>
        </w:tc>
      </w:tr>
      <w:tr w:rsidR="00327972" w:rsidRPr="00551602" w14:paraId="0F213811"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4216B2A8"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Flow rate:</w:t>
            </w:r>
          </w:p>
        </w:tc>
        <w:tc>
          <w:tcPr>
            <w:tcW w:w="5958" w:type="dxa"/>
          </w:tcPr>
          <w:p w14:paraId="7BD0AA46"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1602">
              <w:rPr>
                <w:rFonts w:asciiTheme="minorHAnsi" w:hAnsiTheme="minorHAnsi" w:cstheme="minorHAnsi"/>
                <w:sz w:val="20"/>
                <w:szCs w:val="20"/>
              </w:rPr>
              <w:t>0.5 mL/min</w:t>
            </w:r>
          </w:p>
        </w:tc>
      </w:tr>
      <w:tr w:rsidR="00327972" w:rsidRPr="00551602" w14:paraId="35813911"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0870A8BD"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Injection volume:</w:t>
            </w:r>
          </w:p>
        </w:tc>
        <w:tc>
          <w:tcPr>
            <w:tcW w:w="5958" w:type="dxa"/>
          </w:tcPr>
          <w:p w14:paraId="650615DA"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1602">
              <w:rPr>
                <w:rFonts w:asciiTheme="minorHAnsi" w:hAnsiTheme="minorHAnsi" w:cstheme="minorHAnsi"/>
                <w:sz w:val="20"/>
                <w:szCs w:val="20"/>
              </w:rPr>
              <w:t xml:space="preserve">1.5 </w:t>
            </w:r>
            <w:r w:rsidRPr="00551602">
              <w:rPr>
                <w:rFonts w:asciiTheme="minorHAnsi" w:hAnsiTheme="minorHAnsi" w:cstheme="minorHAnsi"/>
                <w:sz w:val="20"/>
                <w:szCs w:val="20"/>
              </w:rPr>
              <w:sym w:font="Symbol" w:char="F06D"/>
            </w:r>
            <w:r w:rsidRPr="00551602">
              <w:rPr>
                <w:rFonts w:asciiTheme="minorHAnsi" w:hAnsiTheme="minorHAnsi" w:cstheme="minorHAnsi"/>
                <w:sz w:val="20"/>
                <w:szCs w:val="20"/>
              </w:rPr>
              <w:t>L</w:t>
            </w:r>
          </w:p>
        </w:tc>
      </w:tr>
      <w:tr w:rsidR="00327972" w:rsidRPr="00551602" w14:paraId="528C9547"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39771818"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Sample temperature:</w:t>
            </w:r>
          </w:p>
        </w:tc>
        <w:tc>
          <w:tcPr>
            <w:tcW w:w="5958" w:type="dxa"/>
          </w:tcPr>
          <w:p w14:paraId="28E41F2C"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1602">
              <w:rPr>
                <w:rFonts w:asciiTheme="minorHAnsi" w:hAnsiTheme="minorHAnsi" w:cstheme="minorHAnsi"/>
                <w:sz w:val="20"/>
                <w:szCs w:val="20"/>
              </w:rPr>
              <w:t>20 °C</w:t>
            </w:r>
          </w:p>
        </w:tc>
      </w:tr>
      <w:tr w:rsidR="00327972" w:rsidRPr="00551602" w14:paraId="619AB65B"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7647AAC4"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Column temperature:</w:t>
            </w:r>
          </w:p>
        </w:tc>
        <w:tc>
          <w:tcPr>
            <w:tcW w:w="5958" w:type="dxa"/>
          </w:tcPr>
          <w:p w14:paraId="366F2993"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1602">
              <w:rPr>
                <w:rFonts w:asciiTheme="minorHAnsi" w:hAnsiTheme="minorHAnsi" w:cstheme="minorHAnsi"/>
                <w:sz w:val="20"/>
                <w:szCs w:val="20"/>
              </w:rPr>
              <w:t>35 °C</w:t>
            </w:r>
          </w:p>
        </w:tc>
      </w:tr>
      <w:tr w:rsidR="00327972" w:rsidRPr="00551602" w14:paraId="4F00BF16"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0752A59E"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 xml:space="preserve">Detection: </w:t>
            </w:r>
          </w:p>
        </w:tc>
        <w:tc>
          <w:tcPr>
            <w:tcW w:w="5958" w:type="dxa"/>
          </w:tcPr>
          <w:p w14:paraId="08A848BD"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1602">
              <w:rPr>
                <w:rFonts w:asciiTheme="minorHAnsi" w:hAnsiTheme="minorHAnsi" w:cstheme="minorHAnsi"/>
                <w:sz w:val="20"/>
                <w:szCs w:val="20"/>
              </w:rPr>
              <w:t>261 nm.</w:t>
            </w:r>
          </w:p>
          <w:p w14:paraId="3AFB1FD3"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1602">
              <w:rPr>
                <w:rFonts w:asciiTheme="minorHAnsi" w:hAnsiTheme="minorHAnsi" w:cstheme="minorHAnsi"/>
                <w:sz w:val="20"/>
                <w:szCs w:val="20"/>
              </w:rPr>
              <w:t>PDA detection from 190-400 nm. Resolution 1.2 nm, 20 Hz.</w:t>
            </w:r>
          </w:p>
        </w:tc>
      </w:tr>
      <w:tr w:rsidR="00327972" w:rsidRPr="00551602" w14:paraId="02D45ECC"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6AAF9C3C"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Needle wash:</w:t>
            </w:r>
          </w:p>
        </w:tc>
        <w:tc>
          <w:tcPr>
            <w:tcW w:w="5958" w:type="dxa"/>
          </w:tcPr>
          <w:p w14:paraId="6E09A38E"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gramStart"/>
            <w:r w:rsidRPr="00551602">
              <w:rPr>
                <w:rFonts w:asciiTheme="minorHAnsi" w:hAnsiTheme="minorHAnsi" w:cstheme="minorHAnsi"/>
                <w:sz w:val="20"/>
                <w:szCs w:val="20"/>
              </w:rPr>
              <w:t>50 :</w:t>
            </w:r>
            <w:proofErr w:type="gramEnd"/>
            <w:r w:rsidRPr="00551602">
              <w:rPr>
                <w:rFonts w:asciiTheme="minorHAnsi" w:hAnsiTheme="minorHAnsi" w:cstheme="minorHAnsi"/>
                <w:sz w:val="20"/>
                <w:szCs w:val="20"/>
              </w:rPr>
              <w:t xml:space="preserve"> 50, </w:t>
            </w:r>
            <w:proofErr w:type="gramStart"/>
            <w:r w:rsidRPr="00551602">
              <w:rPr>
                <w:rFonts w:asciiTheme="minorHAnsi" w:hAnsiTheme="minorHAnsi" w:cstheme="minorHAnsi"/>
                <w:sz w:val="20"/>
                <w:szCs w:val="20"/>
              </w:rPr>
              <w:t>Methanol :</w:t>
            </w:r>
            <w:proofErr w:type="gramEnd"/>
            <w:r w:rsidRPr="00551602">
              <w:rPr>
                <w:rFonts w:asciiTheme="minorHAnsi" w:hAnsiTheme="minorHAnsi" w:cstheme="minorHAnsi"/>
                <w:sz w:val="20"/>
                <w:szCs w:val="20"/>
              </w:rPr>
              <w:t xml:space="preserve"> HPLC water</w:t>
            </w:r>
          </w:p>
        </w:tc>
      </w:tr>
      <w:tr w:rsidR="00327972" w:rsidRPr="00551602" w14:paraId="5F95D5F7"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28457447"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Purge wash:</w:t>
            </w:r>
          </w:p>
        </w:tc>
        <w:tc>
          <w:tcPr>
            <w:tcW w:w="5958" w:type="dxa"/>
          </w:tcPr>
          <w:p w14:paraId="0B8A9C2B"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gramStart"/>
            <w:r w:rsidRPr="00551602">
              <w:rPr>
                <w:rFonts w:asciiTheme="minorHAnsi" w:hAnsiTheme="minorHAnsi" w:cstheme="minorHAnsi"/>
                <w:sz w:val="20"/>
                <w:szCs w:val="20"/>
              </w:rPr>
              <w:t>20 :</w:t>
            </w:r>
            <w:proofErr w:type="gramEnd"/>
            <w:r w:rsidRPr="00551602">
              <w:rPr>
                <w:rFonts w:asciiTheme="minorHAnsi" w:hAnsiTheme="minorHAnsi" w:cstheme="minorHAnsi"/>
                <w:sz w:val="20"/>
                <w:szCs w:val="20"/>
              </w:rPr>
              <w:t xml:space="preserve"> 80, </w:t>
            </w:r>
            <w:proofErr w:type="gramStart"/>
            <w:r w:rsidRPr="00551602">
              <w:rPr>
                <w:rFonts w:asciiTheme="minorHAnsi" w:hAnsiTheme="minorHAnsi" w:cstheme="minorHAnsi"/>
                <w:sz w:val="20"/>
                <w:szCs w:val="20"/>
              </w:rPr>
              <w:t>Acetonitrile :</w:t>
            </w:r>
            <w:proofErr w:type="gramEnd"/>
            <w:r w:rsidRPr="00551602">
              <w:rPr>
                <w:rFonts w:asciiTheme="minorHAnsi" w:hAnsiTheme="minorHAnsi" w:cstheme="minorHAnsi"/>
                <w:sz w:val="20"/>
                <w:szCs w:val="20"/>
              </w:rPr>
              <w:t xml:space="preserve"> HPLC water</w:t>
            </w:r>
          </w:p>
        </w:tc>
      </w:tr>
      <w:tr w:rsidR="00327972" w:rsidRPr="00551602" w14:paraId="19713645"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123E555A"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Seal wash:</w:t>
            </w:r>
          </w:p>
        </w:tc>
        <w:tc>
          <w:tcPr>
            <w:tcW w:w="5958" w:type="dxa"/>
          </w:tcPr>
          <w:p w14:paraId="7C5D1164"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gramStart"/>
            <w:r w:rsidRPr="00551602">
              <w:rPr>
                <w:rFonts w:asciiTheme="minorHAnsi" w:hAnsiTheme="minorHAnsi" w:cstheme="minorHAnsi"/>
                <w:sz w:val="20"/>
                <w:szCs w:val="20"/>
              </w:rPr>
              <w:t>20 :</w:t>
            </w:r>
            <w:proofErr w:type="gramEnd"/>
            <w:r w:rsidRPr="00551602">
              <w:rPr>
                <w:rFonts w:asciiTheme="minorHAnsi" w:hAnsiTheme="minorHAnsi" w:cstheme="minorHAnsi"/>
                <w:sz w:val="20"/>
                <w:szCs w:val="20"/>
              </w:rPr>
              <w:t xml:space="preserve"> 80, </w:t>
            </w:r>
            <w:proofErr w:type="gramStart"/>
            <w:r w:rsidRPr="00551602">
              <w:rPr>
                <w:rFonts w:asciiTheme="minorHAnsi" w:hAnsiTheme="minorHAnsi" w:cstheme="minorHAnsi"/>
                <w:sz w:val="20"/>
                <w:szCs w:val="20"/>
              </w:rPr>
              <w:t>Acetonitrile :</w:t>
            </w:r>
            <w:proofErr w:type="gramEnd"/>
            <w:r w:rsidRPr="00551602">
              <w:rPr>
                <w:rFonts w:asciiTheme="minorHAnsi" w:hAnsiTheme="minorHAnsi" w:cstheme="minorHAnsi"/>
                <w:sz w:val="20"/>
                <w:szCs w:val="20"/>
              </w:rPr>
              <w:t xml:space="preserve"> HPLC water</w:t>
            </w:r>
          </w:p>
        </w:tc>
      </w:tr>
      <w:tr w:rsidR="00327972" w:rsidRPr="00551602" w14:paraId="77E0F79D" w14:textId="77777777" w:rsidTr="00900CEC">
        <w:trPr>
          <w:trHeight w:val="20"/>
        </w:trPr>
        <w:tc>
          <w:tcPr>
            <w:cnfStyle w:val="001000000000" w:firstRow="0" w:lastRow="0" w:firstColumn="1" w:lastColumn="0" w:oddVBand="0" w:evenVBand="0" w:oddHBand="0" w:evenHBand="0" w:firstRowFirstColumn="0" w:firstRowLastColumn="0" w:lastRowFirstColumn="0" w:lastRowLastColumn="0"/>
            <w:tcW w:w="3114" w:type="dxa"/>
            <w:shd w:val="clear" w:color="auto" w:fill="B8CCEA" w:themeFill="accent3"/>
          </w:tcPr>
          <w:p w14:paraId="273BC22B" w14:textId="77777777" w:rsidR="00327972" w:rsidRPr="00551602" w:rsidRDefault="00327972" w:rsidP="00900CEC">
            <w:pPr>
              <w:keepNext/>
              <w:spacing w:before="60" w:after="60"/>
              <w:rPr>
                <w:rFonts w:asciiTheme="minorHAnsi" w:hAnsiTheme="minorHAnsi" w:cstheme="minorHAnsi"/>
                <w:b/>
                <w:color w:val="263287"/>
                <w:sz w:val="20"/>
                <w:szCs w:val="20"/>
              </w:rPr>
            </w:pPr>
            <w:r w:rsidRPr="00551602">
              <w:rPr>
                <w:rFonts w:asciiTheme="minorHAnsi" w:hAnsiTheme="minorHAnsi" w:cstheme="minorHAnsi"/>
                <w:b/>
                <w:color w:val="263287"/>
                <w:sz w:val="20"/>
                <w:szCs w:val="20"/>
              </w:rPr>
              <w:t>Run time:</w:t>
            </w:r>
          </w:p>
        </w:tc>
        <w:tc>
          <w:tcPr>
            <w:tcW w:w="5958" w:type="dxa"/>
          </w:tcPr>
          <w:p w14:paraId="3A94C1F0" w14:textId="77777777" w:rsidR="00327972" w:rsidRPr="00551602" w:rsidRDefault="00327972" w:rsidP="00900C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51602">
              <w:rPr>
                <w:rFonts w:asciiTheme="minorHAnsi" w:hAnsiTheme="minorHAnsi" w:cstheme="minorHAnsi"/>
                <w:sz w:val="20"/>
                <w:szCs w:val="20"/>
              </w:rPr>
              <w:t>5 minutes</w:t>
            </w:r>
          </w:p>
        </w:tc>
      </w:tr>
    </w:tbl>
    <w:p w14:paraId="796766D2" w14:textId="385595FD" w:rsidR="00327972" w:rsidRDefault="00327972" w:rsidP="00E01B1A">
      <w:pPr>
        <w:pStyle w:val="Heading3"/>
      </w:pPr>
      <w:bookmarkStart w:id="10" w:name="_Toc199496494"/>
      <w:bookmarkStart w:id="11" w:name="_Toc199919608"/>
      <w:bookmarkStart w:id="12" w:name="_Toc200966076"/>
      <w:r w:rsidRPr="002E46DF">
        <w:t xml:space="preserve">System </w:t>
      </w:r>
      <w:r>
        <w:t>s</w:t>
      </w:r>
      <w:r w:rsidRPr="002E46DF">
        <w:t>uitability</w:t>
      </w:r>
      <w:bookmarkEnd w:id="10"/>
      <w:bookmarkEnd w:id="11"/>
      <w:bookmarkEnd w:id="12"/>
    </w:p>
    <w:p w14:paraId="0C8843AA" w14:textId="4C8A86EF" w:rsidR="00327972" w:rsidRPr="00E84511" w:rsidRDefault="00327972" w:rsidP="00E01B1A">
      <w:r>
        <w:t>T</w:t>
      </w:r>
      <w:r w:rsidRPr="00E84511">
        <w:t>he system suitability solution will be a standard solution.</w:t>
      </w:r>
    </w:p>
    <w:p w14:paraId="62988D86" w14:textId="77777777" w:rsidR="00327972" w:rsidRPr="0026162D" w:rsidRDefault="00327972" w:rsidP="00E01B1A">
      <w:r w:rsidRPr="000075A8">
        <w:t>For six replicate injections of the system suitability solution</w:t>
      </w:r>
      <w:r>
        <w:t>, t</w:t>
      </w:r>
      <w:r w:rsidRPr="001977FF">
        <w:t>he % RSD on retention time</w:t>
      </w:r>
      <w:r>
        <w:t xml:space="preserve"> and </w:t>
      </w:r>
      <w:r w:rsidRPr="00A51C91">
        <w:t>response (Area, Height or Internal Standard Ratio)</w:t>
      </w:r>
      <w:r w:rsidRPr="001977FF">
        <w:t xml:space="preserve"> is </w:t>
      </w:r>
      <w:r>
        <w:rPr>
          <w:rFonts w:asciiTheme="majorHAnsi" w:hAnsiTheme="majorHAnsi" w:cstheme="majorHAnsi"/>
        </w:rPr>
        <w:t xml:space="preserve">≤ </w:t>
      </w:r>
      <w:r w:rsidRPr="001977FF">
        <w:t>1.0 %</w:t>
      </w:r>
      <w:r>
        <w:t xml:space="preserve"> and</w:t>
      </w:r>
      <w:r w:rsidRPr="0026162D">
        <w:t xml:space="preserve"> </w:t>
      </w:r>
      <w:r>
        <w:rPr>
          <w:rFonts w:asciiTheme="majorHAnsi" w:hAnsiTheme="majorHAnsi" w:cstheme="majorHAnsi"/>
        </w:rPr>
        <w:t xml:space="preserve">≤ </w:t>
      </w:r>
      <w:r w:rsidRPr="00A51C91">
        <w:t>2.0%</w:t>
      </w:r>
      <w:r>
        <w:t xml:space="preserve"> respectively. The </w:t>
      </w:r>
      <w:r w:rsidRPr="0026162D">
        <w:t xml:space="preserve">Symmetry Factor </w:t>
      </w:r>
      <w:r w:rsidRPr="0026162D">
        <w:rPr>
          <w:rFonts w:asciiTheme="majorHAnsi" w:hAnsiTheme="majorHAnsi" w:cstheme="majorHAnsi"/>
        </w:rPr>
        <w:t xml:space="preserve">for </w:t>
      </w:r>
      <w:r>
        <w:rPr>
          <w:rFonts w:asciiTheme="majorHAnsi" w:hAnsiTheme="majorHAnsi" w:cstheme="majorHAnsi"/>
        </w:rPr>
        <w:t xml:space="preserve">the </w:t>
      </w:r>
      <w:r w:rsidRPr="0026162D">
        <w:rPr>
          <w:rFonts w:asciiTheme="majorHAnsi" w:hAnsiTheme="majorHAnsi" w:cstheme="majorHAnsi"/>
        </w:rPr>
        <w:t xml:space="preserve">nicotine peak is </w:t>
      </w:r>
      <w:r>
        <w:rPr>
          <w:rFonts w:asciiTheme="majorHAnsi" w:hAnsiTheme="majorHAnsi" w:cstheme="majorHAnsi"/>
        </w:rPr>
        <w:t xml:space="preserve">between 0.8 and </w:t>
      </w:r>
      <w:r w:rsidRPr="0026162D">
        <w:rPr>
          <w:rFonts w:asciiTheme="majorHAnsi" w:hAnsiTheme="majorHAnsi" w:cstheme="majorHAnsi"/>
        </w:rPr>
        <w:t>2.5</w:t>
      </w:r>
      <w:r>
        <w:rPr>
          <w:rFonts w:asciiTheme="majorHAnsi" w:hAnsiTheme="majorHAnsi" w:cstheme="majorHAnsi"/>
        </w:rPr>
        <w:t>.</w:t>
      </w:r>
    </w:p>
    <w:p w14:paraId="117A336F" w14:textId="77777777" w:rsidR="00327972" w:rsidRPr="002E46DF" w:rsidRDefault="00327972" w:rsidP="00E01B1A">
      <w:pPr>
        <w:pStyle w:val="Heading4"/>
      </w:pPr>
      <w:bookmarkStart w:id="13" w:name="Buffer"/>
      <w:bookmarkStart w:id="14" w:name="_Ref165546343"/>
      <w:bookmarkStart w:id="15" w:name="_Toc200966077"/>
      <w:r w:rsidRPr="002E46DF">
        <w:t>Buffer</w:t>
      </w:r>
      <w:bookmarkEnd w:id="13"/>
      <w:r w:rsidRPr="002E46DF">
        <w:t xml:space="preserve"> preparation</w:t>
      </w:r>
      <w:bookmarkEnd w:id="14"/>
      <w:bookmarkEnd w:id="15"/>
    </w:p>
    <w:p w14:paraId="1813F66E" w14:textId="77777777" w:rsidR="00327972" w:rsidRPr="002E46DF" w:rsidRDefault="00327972" w:rsidP="00E01B1A">
      <w:r w:rsidRPr="002E46DF">
        <w:t xml:space="preserve">To prepare 1 litre of </w:t>
      </w:r>
      <w:r>
        <w:t xml:space="preserve">buffer </w:t>
      </w:r>
      <w:r w:rsidRPr="002E46DF">
        <w:t xml:space="preserve">solution, </w:t>
      </w:r>
      <w:r>
        <w:t>measure approximately 995mL H</w:t>
      </w:r>
      <w:r>
        <w:rPr>
          <w:vertAlign w:val="subscript"/>
        </w:rPr>
        <w:t>2</w:t>
      </w:r>
      <w:r>
        <w:t>O, then add 378</w:t>
      </w:r>
      <w:r>
        <w:rPr>
          <w:rFonts w:ascii="Aptos Narrow" w:hAnsi="Aptos Narrow"/>
        </w:rPr>
        <w:t>µ</w:t>
      </w:r>
      <w:r>
        <w:t>L formic acid and 4.98mL 30% ammonium hydroxide solution</w:t>
      </w:r>
      <w:r w:rsidRPr="002E46DF">
        <w:t>. Mix</w:t>
      </w:r>
      <w:r>
        <w:t>, then check t</w:t>
      </w:r>
      <w:r w:rsidRPr="002E46DF">
        <w:t>he pH of the buffer solution</w:t>
      </w:r>
      <w:r>
        <w:t>. Adjust to pH 10.1 as necessary with ammonium hydroxide solution or formic acid.</w:t>
      </w:r>
    </w:p>
    <w:p w14:paraId="50E189EA" w14:textId="77777777" w:rsidR="00327972" w:rsidRPr="002E46DF" w:rsidRDefault="00327972" w:rsidP="00327972">
      <w:pPr>
        <w:pStyle w:val="Heading4"/>
      </w:pPr>
      <w:bookmarkStart w:id="16" w:name="_Ref165545702"/>
      <w:bookmarkStart w:id="17" w:name="_Toc200966078"/>
      <w:r w:rsidRPr="002E46DF">
        <w:t>Mobile phase/</w:t>
      </w:r>
      <w:bookmarkStart w:id="18" w:name="Diluent"/>
      <w:r w:rsidRPr="002E46DF">
        <w:t>Diluent</w:t>
      </w:r>
      <w:bookmarkEnd w:id="18"/>
      <w:r w:rsidRPr="002E46DF">
        <w:t xml:space="preserve"> preparation</w:t>
      </w:r>
      <w:bookmarkEnd w:id="16"/>
      <w:bookmarkEnd w:id="17"/>
    </w:p>
    <w:p w14:paraId="7774B96F" w14:textId="77777777" w:rsidR="00327972" w:rsidRDefault="00327972" w:rsidP="00327972">
      <w:proofErr w:type="gramStart"/>
      <w:r>
        <w:t>85 :</w:t>
      </w:r>
      <w:proofErr w:type="gramEnd"/>
      <w:r>
        <w:t xml:space="preserve"> 15, </w:t>
      </w:r>
      <w:proofErr w:type="gramStart"/>
      <w:r>
        <w:t>Buffer :</w:t>
      </w:r>
      <w:proofErr w:type="gramEnd"/>
      <w:r>
        <w:t xml:space="preserve"> Acetonitrile</w:t>
      </w:r>
    </w:p>
    <w:p w14:paraId="53FAD8F3" w14:textId="77777777" w:rsidR="00327972" w:rsidRPr="002E46DF" w:rsidRDefault="00327972" w:rsidP="00E01B1A">
      <w:pPr>
        <w:pStyle w:val="Heading3"/>
      </w:pPr>
      <w:bookmarkStart w:id="19" w:name="_Ref165538669"/>
      <w:bookmarkStart w:id="20" w:name="_Toc199496495"/>
      <w:bookmarkStart w:id="21" w:name="_Toc199919609"/>
      <w:bookmarkStart w:id="22" w:name="_Hlk116550211"/>
      <w:bookmarkStart w:id="23" w:name="_Toc200966079"/>
      <w:r>
        <w:lastRenderedPageBreak/>
        <w:t>Identification and c</w:t>
      </w:r>
      <w:r w:rsidRPr="002E46DF">
        <w:t xml:space="preserve">ontent of </w:t>
      </w:r>
      <w:r>
        <w:t>n</w:t>
      </w:r>
      <w:r w:rsidRPr="002E46DF">
        <w:t>icotine in samples</w:t>
      </w:r>
      <w:bookmarkEnd w:id="19"/>
      <w:bookmarkEnd w:id="20"/>
      <w:bookmarkEnd w:id="21"/>
      <w:bookmarkEnd w:id="23"/>
    </w:p>
    <w:p w14:paraId="5961C568" w14:textId="04DBE9EE" w:rsidR="00327972" w:rsidRPr="002E46DF" w:rsidRDefault="00327972" w:rsidP="00E01B1A">
      <w:pPr>
        <w:pStyle w:val="Heading4"/>
      </w:pPr>
      <w:bookmarkStart w:id="24" w:name="Standard_2"/>
      <w:bookmarkStart w:id="25" w:name="_Toc200966080"/>
      <w:bookmarkEnd w:id="22"/>
      <w:r w:rsidRPr="002E46DF">
        <w:t>Standard</w:t>
      </w:r>
      <w:bookmarkEnd w:id="24"/>
      <w:r>
        <w:t xml:space="preserve"> </w:t>
      </w:r>
      <w:r w:rsidR="00E01B1A">
        <w:t>s</w:t>
      </w:r>
      <w:r>
        <w:t>tock</w:t>
      </w:r>
      <w:r w:rsidRPr="002E46DF">
        <w:t xml:space="preserve"> (200 µg/mL) – prepare in duplicate</w:t>
      </w:r>
      <w:bookmarkEnd w:id="25"/>
    </w:p>
    <w:p w14:paraId="16DF0C89" w14:textId="77777777" w:rsidR="00327972" w:rsidRDefault="00327972" w:rsidP="00327972">
      <w:r w:rsidRPr="00852ED0">
        <w:t xml:space="preserve">Accurately </w:t>
      </w:r>
      <w:r>
        <w:t xml:space="preserve">prepare a standard stock solution in diluent with an equivalent concentration of nicotine (as base) of </w:t>
      </w:r>
      <w:r w:rsidRPr="002E46DF">
        <w:t>200 µg/</w:t>
      </w:r>
      <w:proofErr w:type="spellStart"/>
      <w:r w:rsidRPr="002E46DF">
        <w:t>mL</w:t>
      </w:r>
      <w:r w:rsidRPr="00852ED0">
        <w:t>.</w:t>
      </w:r>
      <w:proofErr w:type="spellEnd"/>
    </w:p>
    <w:p w14:paraId="05F0B0E0" w14:textId="77777777" w:rsidR="00327972" w:rsidRPr="00852ED0" w:rsidRDefault="00327972" w:rsidP="00E01B1A">
      <w:r w:rsidRPr="003A0BD1">
        <w:t xml:space="preserve">Note: Stock standard solution is stable for 4 weeks, stored at 4°C </w:t>
      </w:r>
      <w:r>
        <w:t xml:space="preserve">and </w:t>
      </w:r>
      <w:r w:rsidRPr="003A0BD1">
        <w:t>protected from light.</w:t>
      </w:r>
    </w:p>
    <w:p w14:paraId="7DBE3153" w14:textId="77777777" w:rsidR="00327972" w:rsidRPr="00141D0E" w:rsidRDefault="00327972" w:rsidP="00327972">
      <w:pPr>
        <w:pStyle w:val="Heading4"/>
        <w:rPr>
          <w:strike/>
        </w:rPr>
      </w:pPr>
      <w:bookmarkStart w:id="26" w:name="_Toc200966081"/>
      <w:r>
        <w:t xml:space="preserve">Working standard (20 </w:t>
      </w:r>
      <w:r>
        <w:rPr>
          <w:rFonts w:ascii="Aptos Narrow" w:hAnsi="Aptos Narrow"/>
        </w:rPr>
        <w:t>µ</w:t>
      </w:r>
      <w:r>
        <w:t>g/mL)</w:t>
      </w:r>
      <w:bookmarkEnd w:id="26"/>
    </w:p>
    <w:p w14:paraId="047746F3" w14:textId="77777777" w:rsidR="00327972" w:rsidRPr="00673BC1" w:rsidRDefault="00327972" w:rsidP="00327972">
      <w:r w:rsidRPr="00673BC1">
        <w:t xml:space="preserve">Dilute </w:t>
      </w:r>
      <w:r>
        <w:t>the Standard Stock 10x in diluent.</w:t>
      </w:r>
    </w:p>
    <w:p w14:paraId="6EE98D40" w14:textId="77777777" w:rsidR="00327972" w:rsidRPr="002E46DF" w:rsidRDefault="00327972" w:rsidP="00327972">
      <w:pPr>
        <w:pStyle w:val="Heading4"/>
      </w:pPr>
      <w:bookmarkStart w:id="27" w:name="Sample"/>
      <w:bookmarkStart w:id="28" w:name="_Toc200966082"/>
      <w:r w:rsidRPr="002E46DF">
        <w:t>Sample</w:t>
      </w:r>
      <w:bookmarkEnd w:id="27"/>
      <w:r w:rsidRPr="002E46DF">
        <w:t xml:space="preserve"> </w:t>
      </w:r>
      <w:r>
        <w:t>p</w:t>
      </w:r>
      <w:r w:rsidRPr="002E46DF">
        <w:t>reparation – prepare in duplicate:</w:t>
      </w:r>
      <w:bookmarkEnd w:id="28"/>
    </w:p>
    <w:p w14:paraId="10DCBA34" w14:textId="77777777" w:rsidR="00327972" w:rsidRDefault="00327972" w:rsidP="00327972">
      <w:r>
        <w:t>Accurately d</w:t>
      </w:r>
      <w:r w:rsidRPr="002E46DF">
        <w:t xml:space="preserve">ilute </w:t>
      </w:r>
      <w:r>
        <w:t xml:space="preserve">100 </w:t>
      </w:r>
      <w:r>
        <w:rPr>
          <w:rFonts w:ascii="Aptos Narrow" w:hAnsi="Aptos Narrow"/>
        </w:rPr>
        <w:t>µ</w:t>
      </w:r>
      <w:r>
        <w:t xml:space="preserve">L of sample to 15 mL with diluent and mix thoroughly. Further dilute to obtain a solution with a nicotine concentration of approximately 20 </w:t>
      </w:r>
      <w:r>
        <w:rPr>
          <w:rFonts w:ascii="Aptos Narrow" w:hAnsi="Aptos Narrow"/>
        </w:rPr>
        <w:t>µ</w:t>
      </w:r>
      <w:r>
        <w:t>g/</w:t>
      </w:r>
      <w:proofErr w:type="spellStart"/>
      <w:r>
        <w:t>mL.</w:t>
      </w:r>
      <w:proofErr w:type="spellEnd"/>
      <w:r>
        <w:t xml:space="preserve"> See Table 2 for suggested dilutions.</w:t>
      </w:r>
    </w:p>
    <w:p w14:paraId="7EE00A5E" w14:textId="77777777" w:rsidR="00327972" w:rsidRDefault="00327972" w:rsidP="00327972">
      <w:r w:rsidRPr="009F46BD">
        <w:rPr>
          <w:b/>
          <w:bCs/>
        </w:rPr>
        <w:t>Note:</w:t>
      </w:r>
      <w:r>
        <w:t xml:space="preserve"> </w:t>
      </w:r>
      <w:r w:rsidRPr="00870C5B">
        <w:t xml:space="preserve">Dilutions can be performed </w:t>
      </w:r>
      <w:r>
        <w:t>using</w:t>
      </w:r>
      <w:r w:rsidRPr="00870C5B">
        <w:t xml:space="preserve"> a positive displacement pi</w:t>
      </w:r>
      <w:r>
        <w:t>ston</w:t>
      </w:r>
      <w:r w:rsidRPr="00870C5B">
        <w:t>-operated volumetric apparatus (POVA)</w:t>
      </w:r>
      <w:r>
        <w:t>.</w:t>
      </w:r>
    </w:p>
    <w:p w14:paraId="73FAC22A" w14:textId="77777777" w:rsidR="00327972" w:rsidRPr="002E46DF" w:rsidRDefault="00327972" w:rsidP="00327972">
      <w:pPr>
        <w:pStyle w:val="Tabletitle"/>
      </w:pPr>
      <w:r w:rsidRPr="00224A62">
        <w:t>Table 2. Suggested dilutions for varying Nicotine strengths (mg/m</w:t>
      </w:r>
      <w:r>
        <w:t>L</w:t>
      </w:r>
      <w:r w:rsidRPr="00224A62">
        <w:t>)</w:t>
      </w:r>
    </w:p>
    <w:tbl>
      <w:tblPr>
        <w:tblStyle w:val="TableTGAblue2023"/>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535"/>
        <w:gridCol w:w="1535"/>
        <w:gridCol w:w="1701"/>
        <w:gridCol w:w="1701"/>
        <w:gridCol w:w="1122"/>
      </w:tblGrid>
      <w:tr w:rsidR="00327972" w:rsidRPr="00B43AED" w14:paraId="0E2F5DE7" w14:textId="77777777" w:rsidTr="00900CEC">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466" w:type="dxa"/>
            <w:vMerge w:val="restart"/>
            <w:shd w:val="clear" w:color="auto" w:fill="B8CCEA" w:themeFill="accent3"/>
          </w:tcPr>
          <w:p w14:paraId="75F7B593" w14:textId="77777777" w:rsidR="00327972" w:rsidRPr="00B43AED" w:rsidRDefault="00327972" w:rsidP="00900CEC">
            <w:pPr>
              <w:rPr>
                <w:b w:val="0"/>
                <w:sz w:val="20"/>
                <w:szCs w:val="20"/>
              </w:rPr>
            </w:pPr>
            <w:bookmarkStart w:id="29" w:name="Table_2_1"/>
            <w:r w:rsidRPr="00B43AED">
              <w:rPr>
                <w:sz w:val="20"/>
                <w:szCs w:val="20"/>
              </w:rPr>
              <w:t>Nicotine Strength</w:t>
            </w:r>
          </w:p>
        </w:tc>
        <w:tc>
          <w:tcPr>
            <w:tcW w:w="3070" w:type="dxa"/>
            <w:gridSpan w:val="2"/>
            <w:shd w:val="clear" w:color="auto" w:fill="B8CCEA" w:themeFill="accent3"/>
          </w:tcPr>
          <w:p w14:paraId="3AFDAD08" w14:textId="77777777" w:rsidR="00327972" w:rsidRPr="00B43AED" w:rsidRDefault="00327972" w:rsidP="00900CEC">
            <w:pPr>
              <w:cnfStyle w:val="100000000000" w:firstRow="1" w:lastRow="0" w:firstColumn="0" w:lastColumn="0" w:oddVBand="0" w:evenVBand="0" w:oddHBand="0" w:evenHBand="0" w:firstRowFirstColumn="0" w:firstRowLastColumn="0" w:lastRowFirstColumn="0" w:lastRowLastColumn="0"/>
              <w:rPr>
                <w:b w:val="0"/>
                <w:sz w:val="20"/>
                <w:szCs w:val="20"/>
              </w:rPr>
            </w:pPr>
            <w:r w:rsidRPr="00B43AED">
              <w:rPr>
                <w:sz w:val="20"/>
                <w:szCs w:val="20"/>
              </w:rPr>
              <w:t>Dilution 1 (stock)</w:t>
            </w:r>
          </w:p>
        </w:tc>
        <w:tc>
          <w:tcPr>
            <w:tcW w:w="3402" w:type="dxa"/>
            <w:gridSpan w:val="2"/>
            <w:shd w:val="clear" w:color="auto" w:fill="B8CCEA" w:themeFill="accent3"/>
          </w:tcPr>
          <w:p w14:paraId="30E3E3A6" w14:textId="77777777" w:rsidR="00327972" w:rsidRPr="00B43AED" w:rsidRDefault="00327972" w:rsidP="00900CEC">
            <w:pPr>
              <w:cnfStyle w:val="100000000000" w:firstRow="1" w:lastRow="0" w:firstColumn="0" w:lastColumn="0" w:oddVBand="0" w:evenVBand="0" w:oddHBand="0" w:evenHBand="0" w:firstRowFirstColumn="0" w:firstRowLastColumn="0" w:lastRowFirstColumn="0" w:lastRowLastColumn="0"/>
              <w:rPr>
                <w:b w:val="0"/>
                <w:sz w:val="20"/>
                <w:szCs w:val="20"/>
              </w:rPr>
            </w:pPr>
            <w:r w:rsidRPr="00B43AED">
              <w:rPr>
                <w:sz w:val="20"/>
                <w:szCs w:val="20"/>
              </w:rPr>
              <w:t>Dilution 2 (working sample)</w:t>
            </w:r>
          </w:p>
        </w:tc>
        <w:tc>
          <w:tcPr>
            <w:tcW w:w="1122" w:type="dxa"/>
            <w:vMerge w:val="restart"/>
          </w:tcPr>
          <w:p w14:paraId="31A125AE" w14:textId="77777777" w:rsidR="00327972" w:rsidRPr="00B43AED" w:rsidRDefault="00327972" w:rsidP="00900CEC">
            <w:pPr>
              <w:cnfStyle w:val="100000000000" w:firstRow="1" w:lastRow="0" w:firstColumn="0" w:lastColumn="0" w:oddVBand="0" w:evenVBand="0" w:oddHBand="0" w:evenHBand="0" w:firstRowFirstColumn="0" w:firstRowLastColumn="0" w:lastRowFirstColumn="0" w:lastRowLastColumn="0"/>
              <w:rPr>
                <w:b w:val="0"/>
                <w:sz w:val="20"/>
                <w:szCs w:val="20"/>
              </w:rPr>
            </w:pPr>
            <w:r w:rsidRPr="00B43AED">
              <w:rPr>
                <w:sz w:val="20"/>
                <w:szCs w:val="20"/>
              </w:rPr>
              <w:t xml:space="preserve">Dilution </w:t>
            </w:r>
            <w:r w:rsidRPr="00E01B1A">
              <w:rPr>
                <w:sz w:val="20"/>
                <w:szCs w:val="20"/>
              </w:rPr>
              <w:t>Factor</w:t>
            </w:r>
          </w:p>
        </w:tc>
      </w:tr>
      <w:tr w:rsidR="00327972" w:rsidRPr="00B43AED" w14:paraId="0F4ED6E7" w14:textId="77777777" w:rsidTr="00900CEC">
        <w:trPr>
          <w:trHeight w:val="535"/>
        </w:trPr>
        <w:tc>
          <w:tcPr>
            <w:cnfStyle w:val="001000000000" w:firstRow="0" w:lastRow="0" w:firstColumn="1" w:lastColumn="0" w:oddVBand="0" w:evenVBand="0" w:oddHBand="0" w:evenHBand="0" w:firstRowFirstColumn="0" w:firstRowLastColumn="0" w:lastRowFirstColumn="0" w:lastRowLastColumn="0"/>
            <w:tcW w:w="1466" w:type="dxa"/>
            <w:vMerge/>
          </w:tcPr>
          <w:p w14:paraId="4A322AA7" w14:textId="77777777" w:rsidR="00327972" w:rsidRPr="00B43AED" w:rsidRDefault="00327972" w:rsidP="00900CEC">
            <w:pPr>
              <w:rPr>
                <w:sz w:val="20"/>
                <w:szCs w:val="20"/>
              </w:rPr>
            </w:pPr>
          </w:p>
        </w:tc>
        <w:tc>
          <w:tcPr>
            <w:tcW w:w="1535" w:type="dxa"/>
            <w:shd w:val="clear" w:color="auto" w:fill="B8CCEA" w:themeFill="accent3"/>
          </w:tcPr>
          <w:p w14:paraId="019B2A4E" w14:textId="77777777" w:rsidR="00327972" w:rsidRPr="00E01B1A" w:rsidRDefault="00327972" w:rsidP="00900CEC">
            <w:pPr>
              <w:cnfStyle w:val="000000000000" w:firstRow="0" w:lastRow="0" w:firstColumn="0" w:lastColumn="0" w:oddVBand="0" w:evenVBand="0" w:oddHBand="0" w:evenHBand="0" w:firstRowFirstColumn="0" w:firstRowLastColumn="0" w:lastRowFirstColumn="0" w:lastRowLastColumn="0"/>
              <w:rPr>
                <w:b/>
                <w:bCs/>
                <w:color w:val="263287"/>
                <w:sz w:val="20"/>
                <w:szCs w:val="20"/>
              </w:rPr>
            </w:pPr>
            <w:r w:rsidRPr="00E01B1A">
              <w:rPr>
                <w:b/>
                <w:bCs/>
                <w:color w:val="263287"/>
                <w:sz w:val="20"/>
                <w:szCs w:val="20"/>
              </w:rPr>
              <w:t>Volume of Sample</w:t>
            </w:r>
          </w:p>
        </w:tc>
        <w:tc>
          <w:tcPr>
            <w:tcW w:w="1535" w:type="dxa"/>
            <w:shd w:val="clear" w:color="auto" w:fill="B8CCEA" w:themeFill="accent3"/>
          </w:tcPr>
          <w:p w14:paraId="38B29973" w14:textId="77777777" w:rsidR="00327972" w:rsidRPr="00E01B1A" w:rsidRDefault="00327972" w:rsidP="00900CEC">
            <w:pPr>
              <w:cnfStyle w:val="000000000000" w:firstRow="0" w:lastRow="0" w:firstColumn="0" w:lastColumn="0" w:oddVBand="0" w:evenVBand="0" w:oddHBand="0" w:evenHBand="0" w:firstRowFirstColumn="0" w:firstRowLastColumn="0" w:lastRowFirstColumn="0" w:lastRowLastColumn="0"/>
              <w:rPr>
                <w:b/>
                <w:bCs/>
                <w:color w:val="263287"/>
                <w:sz w:val="20"/>
                <w:szCs w:val="20"/>
              </w:rPr>
            </w:pPr>
            <w:r w:rsidRPr="00E01B1A">
              <w:rPr>
                <w:b/>
                <w:bCs/>
                <w:color w:val="263287"/>
                <w:sz w:val="20"/>
                <w:szCs w:val="20"/>
              </w:rPr>
              <w:t>Volume of Diluent</w:t>
            </w:r>
          </w:p>
        </w:tc>
        <w:tc>
          <w:tcPr>
            <w:tcW w:w="1701" w:type="dxa"/>
            <w:shd w:val="clear" w:color="auto" w:fill="B8CCEA" w:themeFill="accent3"/>
          </w:tcPr>
          <w:p w14:paraId="36B5A393" w14:textId="77777777" w:rsidR="00327972" w:rsidRPr="00E01B1A" w:rsidRDefault="00327972" w:rsidP="00900CEC">
            <w:pPr>
              <w:cnfStyle w:val="000000000000" w:firstRow="0" w:lastRow="0" w:firstColumn="0" w:lastColumn="0" w:oddVBand="0" w:evenVBand="0" w:oddHBand="0" w:evenHBand="0" w:firstRowFirstColumn="0" w:firstRowLastColumn="0" w:lastRowFirstColumn="0" w:lastRowLastColumn="0"/>
              <w:rPr>
                <w:b/>
                <w:bCs/>
                <w:color w:val="263287"/>
                <w:sz w:val="20"/>
                <w:szCs w:val="20"/>
              </w:rPr>
            </w:pPr>
            <w:r w:rsidRPr="00E01B1A">
              <w:rPr>
                <w:b/>
                <w:bCs/>
                <w:color w:val="263287"/>
                <w:sz w:val="20"/>
                <w:szCs w:val="20"/>
              </w:rPr>
              <w:t>Aliquot of Stock Sample</w:t>
            </w:r>
          </w:p>
        </w:tc>
        <w:tc>
          <w:tcPr>
            <w:tcW w:w="1701" w:type="dxa"/>
            <w:shd w:val="clear" w:color="auto" w:fill="B8CCEA" w:themeFill="accent3"/>
          </w:tcPr>
          <w:p w14:paraId="715118B0" w14:textId="77777777" w:rsidR="00327972" w:rsidRPr="00E01B1A" w:rsidRDefault="00327972" w:rsidP="00900CEC">
            <w:pPr>
              <w:cnfStyle w:val="000000000000" w:firstRow="0" w:lastRow="0" w:firstColumn="0" w:lastColumn="0" w:oddVBand="0" w:evenVBand="0" w:oddHBand="0" w:evenHBand="0" w:firstRowFirstColumn="0" w:firstRowLastColumn="0" w:lastRowFirstColumn="0" w:lastRowLastColumn="0"/>
              <w:rPr>
                <w:b/>
                <w:bCs/>
                <w:color w:val="263287"/>
                <w:sz w:val="20"/>
                <w:szCs w:val="20"/>
              </w:rPr>
            </w:pPr>
            <w:r w:rsidRPr="00E01B1A">
              <w:rPr>
                <w:b/>
                <w:bCs/>
                <w:color w:val="263287"/>
                <w:sz w:val="20"/>
                <w:szCs w:val="20"/>
              </w:rPr>
              <w:t xml:space="preserve">Volume of </w:t>
            </w:r>
            <w:r w:rsidRPr="00E01B1A">
              <w:rPr>
                <w:b/>
                <w:bCs/>
                <w:color w:val="263287"/>
              </w:rPr>
              <w:fldChar w:fldCharType="begin"/>
            </w:r>
            <w:r w:rsidRPr="00E01B1A">
              <w:rPr>
                <w:b/>
                <w:bCs/>
                <w:color w:val="263287"/>
                <w:sz w:val="20"/>
                <w:szCs w:val="20"/>
              </w:rPr>
              <w:instrText xml:space="preserve"> REF Diluent \h  \* MERGEFORMAT </w:instrText>
            </w:r>
            <w:r w:rsidRPr="00E01B1A">
              <w:rPr>
                <w:b/>
                <w:bCs/>
                <w:color w:val="263287"/>
              </w:rPr>
            </w:r>
            <w:r w:rsidRPr="00E01B1A">
              <w:rPr>
                <w:b/>
                <w:bCs/>
                <w:color w:val="263287"/>
              </w:rPr>
              <w:fldChar w:fldCharType="separate"/>
            </w:r>
            <w:r w:rsidRPr="00E01B1A">
              <w:rPr>
                <w:b/>
                <w:bCs/>
                <w:color w:val="263287"/>
                <w:sz w:val="20"/>
                <w:szCs w:val="20"/>
              </w:rPr>
              <w:t>Diluent</w:t>
            </w:r>
            <w:r w:rsidRPr="00E01B1A">
              <w:rPr>
                <w:b/>
                <w:bCs/>
                <w:color w:val="263287"/>
              </w:rPr>
              <w:fldChar w:fldCharType="end"/>
            </w:r>
            <w:r w:rsidRPr="00E01B1A">
              <w:rPr>
                <w:b/>
                <w:bCs/>
                <w:color w:val="263287"/>
                <w:sz w:val="20"/>
                <w:szCs w:val="20"/>
              </w:rPr>
              <w:t xml:space="preserve"> added</w:t>
            </w:r>
          </w:p>
        </w:tc>
        <w:tc>
          <w:tcPr>
            <w:tcW w:w="1122" w:type="dxa"/>
            <w:vMerge/>
            <w:shd w:val="clear" w:color="auto" w:fill="B8CCEA"/>
            <w:textDirection w:val="btLr"/>
          </w:tcPr>
          <w:p w14:paraId="4F2D136B"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p>
        </w:tc>
      </w:tr>
      <w:tr w:rsidR="00327972" w:rsidRPr="00B43AED" w14:paraId="076CDCCF" w14:textId="77777777" w:rsidTr="00900CEC">
        <w:trPr>
          <w:trHeight w:val="498"/>
        </w:trPr>
        <w:tc>
          <w:tcPr>
            <w:cnfStyle w:val="001000000000" w:firstRow="0" w:lastRow="0" w:firstColumn="1" w:lastColumn="0" w:oddVBand="0" w:evenVBand="0" w:oddHBand="0" w:evenHBand="0" w:firstRowFirstColumn="0" w:firstRowLastColumn="0" w:lastRowFirstColumn="0" w:lastRowLastColumn="0"/>
            <w:tcW w:w="1466" w:type="dxa"/>
          </w:tcPr>
          <w:p w14:paraId="5E970607" w14:textId="77777777" w:rsidR="00327972" w:rsidRPr="00B43AED" w:rsidRDefault="00327972" w:rsidP="00900CEC">
            <w:pPr>
              <w:rPr>
                <w:sz w:val="20"/>
                <w:szCs w:val="20"/>
              </w:rPr>
            </w:pPr>
            <w:r w:rsidRPr="00B43AED">
              <w:rPr>
                <w:sz w:val="20"/>
                <w:szCs w:val="20"/>
              </w:rPr>
              <w:t>1.5-5 mg/mL</w:t>
            </w:r>
          </w:p>
        </w:tc>
        <w:tc>
          <w:tcPr>
            <w:tcW w:w="1535" w:type="dxa"/>
            <w:vMerge w:val="restart"/>
          </w:tcPr>
          <w:p w14:paraId="62CF1787"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100 µL</w:t>
            </w:r>
          </w:p>
        </w:tc>
        <w:tc>
          <w:tcPr>
            <w:tcW w:w="1535" w:type="dxa"/>
            <w:vMerge w:val="restart"/>
          </w:tcPr>
          <w:p w14:paraId="3DC67FD8"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14,900 µL</w:t>
            </w:r>
          </w:p>
        </w:tc>
        <w:tc>
          <w:tcPr>
            <w:tcW w:w="1701" w:type="dxa"/>
            <w:shd w:val="clear" w:color="auto" w:fill="DEE7F7" w:themeFill="accent2" w:themeFillTint="33"/>
          </w:tcPr>
          <w:p w14:paraId="0323473B"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shd w:val="clear" w:color="auto" w:fill="DEE7F7" w:themeFill="accent2" w:themeFillTint="33"/>
          </w:tcPr>
          <w:p w14:paraId="7B705A07"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p>
        </w:tc>
        <w:tc>
          <w:tcPr>
            <w:tcW w:w="1122" w:type="dxa"/>
          </w:tcPr>
          <w:p w14:paraId="203AB635"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150x</w:t>
            </w:r>
          </w:p>
        </w:tc>
      </w:tr>
      <w:tr w:rsidR="00327972" w:rsidRPr="00B43AED" w14:paraId="6663C45A" w14:textId="77777777" w:rsidTr="00900CEC">
        <w:trPr>
          <w:trHeight w:val="498"/>
        </w:trPr>
        <w:tc>
          <w:tcPr>
            <w:cnfStyle w:val="001000000000" w:firstRow="0" w:lastRow="0" w:firstColumn="1" w:lastColumn="0" w:oddVBand="0" w:evenVBand="0" w:oddHBand="0" w:evenHBand="0" w:firstRowFirstColumn="0" w:firstRowLastColumn="0" w:lastRowFirstColumn="0" w:lastRowLastColumn="0"/>
            <w:tcW w:w="1466" w:type="dxa"/>
          </w:tcPr>
          <w:p w14:paraId="765FA499" w14:textId="77777777" w:rsidR="00327972" w:rsidRPr="00B43AED" w:rsidRDefault="00327972" w:rsidP="00900CEC">
            <w:pPr>
              <w:rPr>
                <w:sz w:val="20"/>
                <w:szCs w:val="20"/>
              </w:rPr>
            </w:pPr>
            <w:r w:rsidRPr="00B43AED">
              <w:rPr>
                <w:sz w:val="20"/>
                <w:szCs w:val="20"/>
              </w:rPr>
              <w:t>5-15 mg/mL</w:t>
            </w:r>
          </w:p>
        </w:tc>
        <w:tc>
          <w:tcPr>
            <w:tcW w:w="1535" w:type="dxa"/>
            <w:vMerge/>
          </w:tcPr>
          <w:p w14:paraId="4E3A72A6"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p>
        </w:tc>
        <w:tc>
          <w:tcPr>
            <w:tcW w:w="1535" w:type="dxa"/>
            <w:vMerge/>
          </w:tcPr>
          <w:p w14:paraId="334D27E4"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32002AA6"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250 µL</w:t>
            </w:r>
          </w:p>
        </w:tc>
        <w:tc>
          <w:tcPr>
            <w:tcW w:w="1701" w:type="dxa"/>
          </w:tcPr>
          <w:p w14:paraId="4B70ED75"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500 µL</w:t>
            </w:r>
          </w:p>
        </w:tc>
        <w:tc>
          <w:tcPr>
            <w:tcW w:w="1122" w:type="dxa"/>
          </w:tcPr>
          <w:p w14:paraId="46528276"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450x</w:t>
            </w:r>
          </w:p>
        </w:tc>
      </w:tr>
      <w:tr w:rsidR="00327972" w:rsidRPr="00B43AED" w14:paraId="540DDDA3" w14:textId="77777777" w:rsidTr="00900CEC">
        <w:trPr>
          <w:trHeight w:val="498"/>
        </w:trPr>
        <w:tc>
          <w:tcPr>
            <w:cnfStyle w:val="001000000000" w:firstRow="0" w:lastRow="0" w:firstColumn="1" w:lastColumn="0" w:oddVBand="0" w:evenVBand="0" w:oddHBand="0" w:evenHBand="0" w:firstRowFirstColumn="0" w:firstRowLastColumn="0" w:lastRowFirstColumn="0" w:lastRowLastColumn="0"/>
            <w:tcW w:w="1466" w:type="dxa"/>
          </w:tcPr>
          <w:p w14:paraId="1C70A895" w14:textId="77777777" w:rsidR="00327972" w:rsidRPr="00B43AED" w:rsidRDefault="00327972" w:rsidP="00900CEC">
            <w:pPr>
              <w:rPr>
                <w:sz w:val="20"/>
                <w:szCs w:val="20"/>
              </w:rPr>
            </w:pPr>
            <w:r w:rsidRPr="00B43AED">
              <w:rPr>
                <w:sz w:val="20"/>
                <w:szCs w:val="20"/>
              </w:rPr>
              <w:t>15-30 mg/mL</w:t>
            </w:r>
          </w:p>
        </w:tc>
        <w:tc>
          <w:tcPr>
            <w:tcW w:w="1535" w:type="dxa"/>
            <w:vMerge/>
          </w:tcPr>
          <w:p w14:paraId="29002795"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p>
        </w:tc>
        <w:tc>
          <w:tcPr>
            <w:tcW w:w="1535" w:type="dxa"/>
            <w:vMerge/>
          </w:tcPr>
          <w:p w14:paraId="05FB559A"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160F9997"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225 µL</w:t>
            </w:r>
          </w:p>
        </w:tc>
        <w:tc>
          <w:tcPr>
            <w:tcW w:w="1701" w:type="dxa"/>
          </w:tcPr>
          <w:p w14:paraId="6F83E283"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1275 µL</w:t>
            </w:r>
          </w:p>
        </w:tc>
        <w:tc>
          <w:tcPr>
            <w:tcW w:w="1122" w:type="dxa"/>
          </w:tcPr>
          <w:p w14:paraId="31959F52"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1000x</w:t>
            </w:r>
          </w:p>
        </w:tc>
      </w:tr>
      <w:tr w:rsidR="00327972" w:rsidRPr="00B43AED" w14:paraId="61B0029A" w14:textId="77777777" w:rsidTr="00900CEC">
        <w:trPr>
          <w:trHeight w:val="498"/>
        </w:trPr>
        <w:tc>
          <w:tcPr>
            <w:cnfStyle w:val="001000000000" w:firstRow="0" w:lastRow="0" w:firstColumn="1" w:lastColumn="0" w:oddVBand="0" w:evenVBand="0" w:oddHBand="0" w:evenHBand="0" w:firstRowFirstColumn="0" w:firstRowLastColumn="0" w:lastRowFirstColumn="0" w:lastRowLastColumn="0"/>
            <w:tcW w:w="1466" w:type="dxa"/>
          </w:tcPr>
          <w:p w14:paraId="32FC8FAE" w14:textId="77777777" w:rsidR="00327972" w:rsidRPr="00B43AED" w:rsidRDefault="00327972" w:rsidP="00900CEC">
            <w:pPr>
              <w:rPr>
                <w:sz w:val="20"/>
                <w:szCs w:val="20"/>
              </w:rPr>
            </w:pPr>
            <w:r w:rsidRPr="00B43AED">
              <w:rPr>
                <w:sz w:val="20"/>
                <w:szCs w:val="20"/>
              </w:rPr>
              <w:t>30-50 mg/mL</w:t>
            </w:r>
          </w:p>
        </w:tc>
        <w:tc>
          <w:tcPr>
            <w:tcW w:w="1535" w:type="dxa"/>
            <w:vMerge/>
          </w:tcPr>
          <w:p w14:paraId="1E20DB68"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p>
        </w:tc>
        <w:tc>
          <w:tcPr>
            <w:tcW w:w="1535" w:type="dxa"/>
            <w:vMerge/>
          </w:tcPr>
          <w:p w14:paraId="6D8DEC69"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78B36ADB"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90 µL</w:t>
            </w:r>
          </w:p>
        </w:tc>
        <w:tc>
          <w:tcPr>
            <w:tcW w:w="1701" w:type="dxa"/>
          </w:tcPr>
          <w:p w14:paraId="1617575C"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1410 µL</w:t>
            </w:r>
          </w:p>
        </w:tc>
        <w:tc>
          <w:tcPr>
            <w:tcW w:w="1122" w:type="dxa"/>
          </w:tcPr>
          <w:p w14:paraId="187F2B62" w14:textId="77777777" w:rsidR="00327972" w:rsidRPr="00B43AED" w:rsidRDefault="00327972" w:rsidP="00900CEC">
            <w:pPr>
              <w:cnfStyle w:val="000000000000" w:firstRow="0" w:lastRow="0" w:firstColumn="0" w:lastColumn="0" w:oddVBand="0" w:evenVBand="0" w:oddHBand="0" w:evenHBand="0" w:firstRowFirstColumn="0" w:firstRowLastColumn="0" w:lastRowFirstColumn="0" w:lastRowLastColumn="0"/>
              <w:rPr>
                <w:sz w:val="20"/>
                <w:szCs w:val="20"/>
              </w:rPr>
            </w:pPr>
            <w:r w:rsidRPr="00B43AED">
              <w:rPr>
                <w:sz w:val="20"/>
                <w:szCs w:val="20"/>
              </w:rPr>
              <w:t>2500x</w:t>
            </w:r>
          </w:p>
        </w:tc>
      </w:tr>
    </w:tbl>
    <w:p w14:paraId="3860AA08" w14:textId="77777777" w:rsidR="00327972" w:rsidRPr="002E46DF" w:rsidRDefault="00327972" w:rsidP="00327972">
      <w:pPr>
        <w:pStyle w:val="Heading4"/>
      </w:pPr>
      <w:bookmarkStart w:id="30" w:name="_Toc200966083"/>
      <w:bookmarkEnd w:id="29"/>
      <w:r w:rsidRPr="002E46DF">
        <w:t>Acceptance criteria:</w:t>
      </w:r>
      <w:bookmarkEnd w:id="30"/>
    </w:p>
    <w:p w14:paraId="6F67D7CF" w14:textId="77777777" w:rsidR="00327972" w:rsidRPr="002E46DF" w:rsidRDefault="00327972" w:rsidP="00E01B1A">
      <w:r w:rsidRPr="002E46DF">
        <w:t xml:space="preserve">The retention time for the nicotine peak in the </w:t>
      </w:r>
      <w:r w:rsidRPr="002E46DF">
        <w:fldChar w:fldCharType="begin"/>
      </w:r>
      <w:r w:rsidRPr="002E46DF">
        <w:instrText xml:space="preserve"> REF Sample \h </w:instrText>
      </w:r>
      <w:r>
        <w:instrText xml:space="preserve"> \* MERGEFORMAT </w:instrText>
      </w:r>
      <w:r w:rsidRPr="002E46DF">
        <w:fldChar w:fldCharType="separate"/>
      </w:r>
      <w:r w:rsidRPr="002E46DF">
        <w:t>Sample</w:t>
      </w:r>
      <w:r w:rsidRPr="002E46DF">
        <w:fldChar w:fldCharType="end"/>
      </w:r>
      <w:r w:rsidRPr="002E46DF">
        <w:t xml:space="preserve"> chromatogram should be ± </w:t>
      </w:r>
      <w:r>
        <w:t xml:space="preserve">0.1 minutes </w:t>
      </w:r>
      <w:r w:rsidRPr="002E46DF">
        <w:t xml:space="preserve"> </w:t>
      </w:r>
      <w:r>
        <w:t xml:space="preserve">of </w:t>
      </w:r>
      <w:r w:rsidRPr="002E46DF">
        <w:t>the retention time of th</w:t>
      </w:r>
      <w:r w:rsidRPr="00224A62">
        <w:t>e corresponding</w:t>
      </w:r>
      <w:r w:rsidRPr="002E46DF">
        <w:t xml:space="preserve"> peak in the </w:t>
      </w:r>
      <w:r w:rsidRPr="002E46DF">
        <w:fldChar w:fldCharType="begin"/>
      </w:r>
      <w:r w:rsidRPr="002E46DF">
        <w:instrText xml:space="preserve"> REF Standard_2 \h </w:instrText>
      </w:r>
      <w:r>
        <w:instrText xml:space="preserve"> \* MERGEFORMAT </w:instrText>
      </w:r>
      <w:r w:rsidRPr="002E46DF">
        <w:fldChar w:fldCharType="separate"/>
      </w:r>
      <w:r w:rsidRPr="002E46DF">
        <w:t>Standard</w:t>
      </w:r>
      <w:r w:rsidRPr="002E46DF">
        <w:fldChar w:fldCharType="end"/>
      </w:r>
      <w:r w:rsidRPr="002E46DF">
        <w:t xml:space="preserve"> chromatogram.</w:t>
      </w:r>
    </w:p>
    <w:p w14:paraId="7DCF1768" w14:textId="77777777" w:rsidR="00327972" w:rsidRPr="002E46DF" w:rsidRDefault="00327972" w:rsidP="00327972">
      <w:r w:rsidRPr="002E46DF">
        <w:t>The symmetry factor of the nicotine peak should be between 0.8 and 2.5.</w:t>
      </w:r>
    </w:p>
    <w:p w14:paraId="0CC1F0B0" w14:textId="77777777" w:rsidR="00327972" w:rsidRDefault="00327972" w:rsidP="00327972">
      <w:r>
        <w:t xml:space="preserve">The absorption maxima in the spectrum of nicotine in the sample chromatogram shall be the same wavelength as that of the reference standard within </w:t>
      </w:r>
      <w:r w:rsidRPr="004F0956">
        <w:t>± 2 nm range.</w:t>
      </w:r>
    </w:p>
    <w:p w14:paraId="073B45D1" w14:textId="77777777" w:rsidR="00327972" w:rsidRDefault="00327972" w:rsidP="00327972">
      <w:r w:rsidRPr="002E46DF">
        <w:fldChar w:fldCharType="begin"/>
      </w:r>
      <w:r w:rsidRPr="002E46DF">
        <w:instrText xml:space="preserve"> REF Standard_2 \h </w:instrText>
      </w:r>
      <w:r>
        <w:instrText xml:space="preserve"> \* MERGEFORMAT </w:instrText>
      </w:r>
      <w:r w:rsidRPr="002E46DF">
        <w:fldChar w:fldCharType="separate"/>
      </w:r>
      <w:r w:rsidRPr="002E46DF">
        <w:t>Standard</w:t>
      </w:r>
      <w:r w:rsidRPr="002E46DF">
        <w:fldChar w:fldCharType="end"/>
      </w:r>
      <w:r>
        <w:t>:</w:t>
      </w:r>
      <w:r w:rsidRPr="002E46DF">
        <w:t xml:space="preserve"> %RSD </w:t>
      </w:r>
      <w:r>
        <w:t xml:space="preserve">≤ </w:t>
      </w:r>
      <w:r w:rsidRPr="002E46DF">
        <w:t>2.0; Standard correlation 98.0-102.0%</w:t>
      </w:r>
      <w:r>
        <w:t>.</w:t>
      </w:r>
    </w:p>
    <w:p w14:paraId="07F2070C" w14:textId="77777777" w:rsidR="00327972" w:rsidRPr="002E46DF" w:rsidRDefault="00327972" w:rsidP="00327972">
      <w:r w:rsidRPr="002E46DF">
        <w:fldChar w:fldCharType="begin"/>
      </w:r>
      <w:r w:rsidRPr="002E46DF">
        <w:instrText xml:space="preserve"> REF Sample \h </w:instrText>
      </w:r>
      <w:r>
        <w:instrText xml:space="preserve"> \* MERGEFORMAT </w:instrText>
      </w:r>
      <w:r w:rsidRPr="002E46DF">
        <w:fldChar w:fldCharType="separate"/>
      </w:r>
      <w:r w:rsidRPr="002E46DF">
        <w:t>Sample</w:t>
      </w:r>
      <w:r w:rsidRPr="002E46DF">
        <w:fldChar w:fldCharType="end"/>
      </w:r>
      <w:r w:rsidRPr="002E46DF">
        <w:t xml:space="preserve"> replicates</w:t>
      </w:r>
      <w:r>
        <w:t>:</w:t>
      </w:r>
      <w:r w:rsidRPr="002E46DF">
        <w:t xml:space="preserve"> %RSD </w:t>
      </w:r>
      <w:r>
        <w:t>≤ 2.0</w:t>
      </w:r>
    </w:p>
    <w:p w14:paraId="6B04F999" w14:textId="1787C535" w:rsidR="00E01B1A" w:rsidRDefault="00327972" w:rsidP="00327972">
      <w:r w:rsidRPr="002E46DF">
        <w:t xml:space="preserve">The test is invalid when there is interference with the peak of </w:t>
      </w:r>
      <w:r w:rsidRPr="00FF1F8D">
        <w:t>nicotine.</w:t>
      </w:r>
    </w:p>
    <w:p w14:paraId="4EA53880" w14:textId="77777777" w:rsidR="00E01B1A" w:rsidRDefault="00E01B1A">
      <w:r>
        <w:br w:type="page"/>
      </w:r>
    </w:p>
    <w:p w14:paraId="38E86329" w14:textId="77777777" w:rsidR="00327972" w:rsidRPr="002E46DF" w:rsidRDefault="00327972" w:rsidP="00E01B1A">
      <w:pPr>
        <w:pStyle w:val="Heading3"/>
      </w:pPr>
      <w:bookmarkStart w:id="31" w:name="_Toc199496496"/>
      <w:bookmarkStart w:id="32" w:name="_Toc199919610"/>
      <w:bookmarkStart w:id="33" w:name="_Toc200966084"/>
      <w:r w:rsidRPr="002E46DF">
        <w:lastRenderedPageBreak/>
        <w:t xml:space="preserve">Example </w:t>
      </w:r>
      <w:r>
        <w:t>c</w:t>
      </w:r>
      <w:r w:rsidRPr="002E46DF">
        <w:t>hromatogram</w:t>
      </w:r>
      <w:r>
        <w:t>s</w:t>
      </w:r>
      <w:bookmarkEnd w:id="31"/>
      <w:bookmarkEnd w:id="32"/>
      <w:bookmarkEnd w:id="33"/>
    </w:p>
    <w:p w14:paraId="4630EA0B" w14:textId="77777777" w:rsidR="00327972" w:rsidRPr="002E46DF" w:rsidRDefault="00327972" w:rsidP="00327972">
      <w:r w:rsidRPr="002E46DF">
        <w:t>Blank:</w:t>
      </w:r>
    </w:p>
    <w:p w14:paraId="5D8F9324" w14:textId="77777777" w:rsidR="00327972" w:rsidRPr="002E46DF" w:rsidRDefault="00327972" w:rsidP="00327972">
      <w:r>
        <w:rPr>
          <w:noProof/>
        </w:rPr>
        <w:drawing>
          <wp:inline distT="0" distB="0" distL="0" distR="0" wp14:anchorId="484AAF82" wp14:editId="3163AADE">
            <wp:extent cx="4514850" cy="2425700"/>
            <wp:effectExtent l="0" t="0" r="0" b="0"/>
            <wp:docPr id="24" name="Picture 24" descr="Example chromatograms -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Example chromatograms - Blank"/>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15784" cy="2426202"/>
                    </a:xfrm>
                    <a:prstGeom prst="rect">
                      <a:avLst/>
                    </a:prstGeom>
                  </pic:spPr>
                </pic:pic>
              </a:graphicData>
            </a:graphic>
          </wp:inline>
        </w:drawing>
      </w:r>
    </w:p>
    <w:p w14:paraId="680CC28A" w14:textId="77777777" w:rsidR="00327972" w:rsidRPr="002E46DF" w:rsidRDefault="00327972" w:rsidP="00327972">
      <w:r w:rsidRPr="002E46DF">
        <w:t>Standard (20</w:t>
      </w:r>
      <w:r>
        <w:t xml:space="preserve"> </w:t>
      </w:r>
      <w:r w:rsidRPr="002E46DF">
        <w:t>ppm):</w:t>
      </w:r>
    </w:p>
    <w:p w14:paraId="4C9008A4" w14:textId="77777777" w:rsidR="00327972" w:rsidRDefault="00327972" w:rsidP="00327972">
      <w:r>
        <w:rPr>
          <w:noProof/>
        </w:rPr>
        <w:drawing>
          <wp:inline distT="0" distB="0" distL="0" distR="0" wp14:anchorId="3BEEC712" wp14:editId="2C576FAB">
            <wp:extent cx="4410075" cy="2454910"/>
            <wp:effectExtent l="0" t="0" r="0" b="2540"/>
            <wp:docPr id="25" name="Picture 25" descr="Example chromatograms - Standard (20 p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Example chromatograms - Standard (20 ppm)"/>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0473" cy="2455132"/>
                    </a:xfrm>
                    <a:prstGeom prst="rect">
                      <a:avLst/>
                    </a:prstGeom>
                  </pic:spPr>
                </pic:pic>
              </a:graphicData>
            </a:graphic>
          </wp:inline>
        </w:drawing>
      </w:r>
    </w:p>
    <w:p w14:paraId="4CA8539E" w14:textId="77777777" w:rsidR="00327972" w:rsidRPr="002E46DF" w:rsidRDefault="00327972" w:rsidP="00327972">
      <w:r w:rsidRPr="002E46DF">
        <w:t>Sample:</w:t>
      </w:r>
    </w:p>
    <w:p w14:paraId="709CBEA5" w14:textId="77777777" w:rsidR="00327972" w:rsidRDefault="00327972" w:rsidP="00327972">
      <w:r>
        <w:rPr>
          <w:noProof/>
        </w:rPr>
        <w:drawing>
          <wp:inline distT="0" distB="0" distL="0" distR="0" wp14:anchorId="0B9B9C32" wp14:editId="545DC4E5">
            <wp:extent cx="4429125" cy="2458720"/>
            <wp:effectExtent l="0" t="0" r="9525" b="0"/>
            <wp:docPr id="26" name="Picture 26" descr="Example chromatograms -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Example chromatograms - Sampl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29455" cy="2458903"/>
                    </a:xfrm>
                    <a:prstGeom prst="rect">
                      <a:avLst/>
                    </a:prstGeom>
                  </pic:spPr>
                </pic:pic>
              </a:graphicData>
            </a:graphic>
          </wp:inline>
        </w:drawing>
      </w:r>
    </w:p>
    <w:bookmarkEnd w:id="4"/>
    <w:bookmarkEnd w:id="5"/>
    <w:p w14:paraId="57EC5C48" w14:textId="77777777" w:rsidR="0089410A" w:rsidRDefault="0089410A" w:rsidP="00DD3815">
      <w:pPr>
        <w:pStyle w:val="LegalSubheading"/>
        <w:rPr>
          <w:b/>
          <w:bCs/>
        </w:rPr>
      </w:pPr>
    </w:p>
    <w:p w14:paraId="219D0881" w14:textId="77777777" w:rsidR="00B528AB" w:rsidRDefault="00B528AB" w:rsidP="00DD3815">
      <w:pPr>
        <w:pStyle w:val="LegalSubheading"/>
        <w:rPr>
          <w:b/>
          <w:bCs/>
        </w:rPr>
        <w:sectPr w:rsidR="00B528AB" w:rsidSect="00537B47">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05C083E" w14:textId="77777777" w:rsidR="00B528AB" w:rsidRPr="00DD3815" w:rsidRDefault="00B528AB" w:rsidP="00DD3815">
      <w:pPr>
        <w:pStyle w:val="LegalSubheading"/>
        <w:rPr>
          <w:b/>
          <w:bCs/>
        </w:rPr>
      </w:pPr>
    </w:p>
    <w:sectPr w:rsidR="00B528AB" w:rsidRPr="00DD3815" w:rsidSect="00537B47">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B826" w14:textId="77777777" w:rsidR="002E04A4" w:rsidRDefault="002E04A4" w:rsidP="00537B47">
      <w:pPr>
        <w:spacing w:after="0" w:line="240" w:lineRule="auto"/>
      </w:pPr>
      <w:r>
        <w:separator/>
      </w:r>
    </w:p>
  </w:endnote>
  <w:endnote w:type="continuationSeparator" w:id="0">
    <w:p w14:paraId="4457DABC" w14:textId="77777777" w:rsidR="002E04A4" w:rsidRDefault="002E04A4"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76CB" w14:textId="228C0921"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2EE025D7" wp14:editId="68186DAA">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7643BE"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sdt>
      <w:sdtPr>
        <w:alias w:val="Add document title"/>
        <w:tag w:val="Add document title"/>
        <w:id w:val="1709610007"/>
        <w:text/>
      </w:sdtPr>
      <w:sdtEndPr/>
      <w:sdtContent>
        <w:r w:rsidR="002E04A4" w:rsidRPr="002E04A4">
          <w:t>Screening, identification and content of nicotine in e-cigarette liquids</w:t>
        </w:r>
      </w:sdtContent>
    </w:sdt>
  </w:p>
  <w:p w14:paraId="22FE0B29" w14:textId="4E2D1250" w:rsidR="00DD3815" w:rsidRPr="00DD3815" w:rsidRDefault="002E04A4" w:rsidP="00DD3815">
    <w:pPr>
      <w:pStyle w:val="Footer"/>
    </w:pPr>
    <w:r>
      <w:t>June 2025</w:t>
    </w:r>
    <w:r w:rsidR="00DD3815" w:rsidRPr="00DD3815">
      <w:tab/>
    </w:r>
    <w:r w:rsidR="00DD3815" w:rsidRPr="00DD3815">
      <w:tab/>
      <w:t xml:space="preserve">Page </w:t>
    </w:r>
    <w:r w:rsidR="00DD3815" w:rsidRPr="00DD3815">
      <w:fldChar w:fldCharType="begin"/>
    </w:r>
    <w:r w:rsidR="00DD3815" w:rsidRPr="00DD3815">
      <w:instrText xml:space="preserve"> PAGE  \* Arabic  \* MERGEFORMAT </w:instrText>
    </w:r>
    <w:r w:rsidR="00DD3815" w:rsidRPr="00DD3815">
      <w:fldChar w:fldCharType="separate"/>
    </w:r>
    <w:r w:rsidR="00DD3815" w:rsidRPr="00DD3815">
      <w:t>1</w:t>
    </w:r>
    <w:r w:rsidR="00DD3815" w:rsidRPr="00DD3815">
      <w:fldChar w:fldCharType="end"/>
    </w:r>
    <w:r w:rsidR="00DD3815" w:rsidRPr="00DD3815">
      <w:t xml:space="preserve"> of </w:t>
    </w:r>
    <w:fldSimple w:instr=" NUMPAGES  \* Arabic  \* MERGEFORMAT ">
      <w:r w:rsidR="00DD3815"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36185"/>
      <w:showingPlcHdr/>
      <w:picture/>
    </w:sdtPr>
    <w:sdtEndPr/>
    <w:sdtContent>
      <w:p w14:paraId="4F0E7404"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5D40AD9D" wp14:editId="15514604">
              <wp:simplePos x="0" y="0"/>
              <wp:positionH relativeFrom="column">
                <wp:posOffset>-918210</wp:posOffset>
              </wp:positionH>
              <wp:positionV relativeFrom="paragraph">
                <wp:posOffset>-4500880</wp:posOffset>
              </wp:positionV>
              <wp:extent cx="7567200" cy="507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1C7551A4" w14:textId="77777777" w:rsidTr="00574690">
      <w:trPr>
        <w:trHeight w:hRule="exact" w:val="565"/>
        <w:jc w:val="center"/>
      </w:trPr>
      <w:tc>
        <w:tcPr>
          <w:tcW w:w="9145" w:type="dxa"/>
        </w:tcPr>
        <w:p w14:paraId="6E03A246" w14:textId="77777777" w:rsidR="00B528AB" w:rsidRPr="00215D48" w:rsidRDefault="00B528AB" w:rsidP="00B528AB">
          <w:pPr>
            <w:pStyle w:val="TGASignoff"/>
          </w:pPr>
          <w:r w:rsidRPr="00215D48">
            <w:t>Therapeutic Goods Administration</w:t>
          </w:r>
        </w:p>
      </w:tc>
    </w:tr>
    <w:tr w:rsidR="00B528AB" w:rsidRPr="00215D48" w14:paraId="78AC0AA3" w14:textId="77777777" w:rsidTr="00574690">
      <w:trPr>
        <w:trHeight w:val="963"/>
        <w:jc w:val="center"/>
      </w:trPr>
      <w:tc>
        <w:tcPr>
          <w:tcW w:w="9145" w:type="dxa"/>
          <w:tcMar>
            <w:top w:w="28" w:type="dxa"/>
          </w:tcMar>
        </w:tcPr>
        <w:p w14:paraId="5BC9BDF1" w14:textId="77777777" w:rsidR="00B528AB" w:rsidRPr="00215D48" w:rsidRDefault="00B528AB" w:rsidP="00B528AB">
          <w:pPr>
            <w:pStyle w:val="Address"/>
            <w:jc w:val="center"/>
          </w:pPr>
          <w:r w:rsidRPr="00215D48">
            <w:t>PO Box 100 Woden ACT 2606 Australia</w:t>
          </w:r>
        </w:p>
        <w:p w14:paraId="6588BDAF"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9E1DB6F"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bl>
  <w:p w14:paraId="2ECCF1F3"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E570" w14:textId="77777777" w:rsidR="002E04A4" w:rsidRDefault="002E04A4" w:rsidP="00537B47">
      <w:pPr>
        <w:spacing w:after="0" w:line="240" w:lineRule="auto"/>
      </w:pPr>
      <w:r>
        <w:separator/>
      </w:r>
    </w:p>
  </w:footnote>
  <w:footnote w:type="continuationSeparator" w:id="0">
    <w:p w14:paraId="1822A204" w14:textId="77777777" w:rsidR="002E04A4" w:rsidRDefault="002E04A4"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B619"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634A" w14:textId="77777777" w:rsidR="00537B47" w:rsidRDefault="00D44546" w:rsidP="005F6958">
    <w:r>
      <w:rPr>
        <w:noProof/>
      </w:rPr>
      <w:drawing>
        <wp:inline distT="0" distB="0" distL="0" distR="0" wp14:anchorId="0C33F451" wp14:editId="40308DEF">
          <wp:extent cx="3344545" cy="694055"/>
          <wp:effectExtent l="0" t="0" r="8255" b="0"/>
          <wp:docPr id="1596027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5F6958">
      <w:rPr>
        <w:noProof/>
      </w:rPr>
      <w:drawing>
        <wp:anchor distT="0" distB="0" distL="114300" distR="114300" simplePos="0" relativeHeight="251658240" behindDoc="1" locked="0" layoutInCell="1" allowOverlap="1" wp14:anchorId="21C1E0BE" wp14:editId="25D7A77A">
          <wp:simplePos x="0" y="0"/>
          <wp:positionH relativeFrom="page">
            <wp:align>right</wp:align>
          </wp:positionH>
          <wp:positionV relativeFrom="paragraph">
            <wp:posOffset>3122930</wp:posOffset>
          </wp:positionV>
          <wp:extent cx="7553325" cy="4260356"/>
          <wp:effectExtent l="0" t="0" r="0" b="6985"/>
          <wp:wrapNone/>
          <wp:docPr id="3" name="Picture 3"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353"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9737033">
    <w:abstractNumId w:val="2"/>
  </w:num>
  <w:num w:numId="2" w16cid:durableId="1244874731">
    <w:abstractNumId w:val="6"/>
  </w:num>
  <w:num w:numId="3" w16cid:durableId="1834369178">
    <w:abstractNumId w:val="4"/>
  </w:num>
  <w:num w:numId="4" w16cid:durableId="729621980">
    <w:abstractNumId w:val="3"/>
  </w:num>
  <w:num w:numId="5" w16cid:durableId="467238759">
    <w:abstractNumId w:val="7"/>
  </w:num>
  <w:num w:numId="6" w16cid:durableId="1237932114">
    <w:abstractNumId w:val="8"/>
  </w:num>
  <w:num w:numId="7" w16cid:durableId="1799059278">
    <w:abstractNumId w:val="1"/>
  </w:num>
  <w:num w:numId="8" w16cid:durableId="1712530828">
    <w:abstractNumId w:val="6"/>
  </w:num>
  <w:num w:numId="9" w16cid:durableId="1529752905">
    <w:abstractNumId w:val="0"/>
  </w:num>
  <w:num w:numId="10" w16cid:durableId="1693191331">
    <w:abstractNumId w:val="5"/>
  </w:num>
  <w:num w:numId="11" w16cid:durableId="1110271873">
    <w:abstractNumId w:val="6"/>
  </w:num>
  <w:num w:numId="12" w16cid:durableId="991257336">
    <w:abstractNumId w:val="4"/>
  </w:num>
  <w:num w:numId="13" w16cid:durableId="1860776656">
    <w:abstractNumId w:val="9"/>
  </w:num>
  <w:num w:numId="14" w16cid:durableId="52388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A4"/>
    <w:rsid w:val="00067454"/>
    <w:rsid w:val="0016606E"/>
    <w:rsid w:val="001A6E57"/>
    <w:rsid w:val="0020324F"/>
    <w:rsid w:val="002A0D54"/>
    <w:rsid w:val="002E04A4"/>
    <w:rsid w:val="00327972"/>
    <w:rsid w:val="00331496"/>
    <w:rsid w:val="00444E0E"/>
    <w:rsid w:val="004E2F19"/>
    <w:rsid w:val="00537B47"/>
    <w:rsid w:val="00574AB1"/>
    <w:rsid w:val="0058575E"/>
    <w:rsid w:val="005D5E56"/>
    <w:rsid w:val="005F6958"/>
    <w:rsid w:val="00614E47"/>
    <w:rsid w:val="006B19D8"/>
    <w:rsid w:val="007633FE"/>
    <w:rsid w:val="007F0A77"/>
    <w:rsid w:val="007F5F27"/>
    <w:rsid w:val="00820CF4"/>
    <w:rsid w:val="00830C91"/>
    <w:rsid w:val="0089410A"/>
    <w:rsid w:val="008B078A"/>
    <w:rsid w:val="008C7621"/>
    <w:rsid w:val="008C7764"/>
    <w:rsid w:val="008E6696"/>
    <w:rsid w:val="008E728F"/>
    <w:rsid w:val="00911D6D"/>
    <w:rsid w:val="0095478F"/>
    <w:rsid w:val="00977F26"/>
    <w:rsid w:val="009A4C15"/>
    <w:rsid w:val="00B00AD3"/>
    <w:rsid w:val="00B528AB"/>
    <w:rsid w:val="00B55641"/>
    <w:rsid w:val="00BA389C"/>
    <w:rsid w:val="00BC4008"/>
    <w:rsid w:val="00C12A2D"/>
    <w:rsid w:val="00CC3276"/>
    <w:rsid w:val="00D13F8A"/>
    <w:rsid w:val="00D44546"/>
    <w:rsid w:val="00D82083"/>
    <w:rsid w:val="00D918D5"/>
    <w:rsid w:val="00DD3815"/>
    <w:rsid w:val="00E01B1A"/>
    <w:rsid w:val="00E17F93"/>
    <w:rsid w:val="00E521C1"/>
    <w:rsid w:val="00E83FFB"/>
    <w:rsid w:val="00E905BC"/>
    <w:rsid w:val="00EB1567"/>
    <w:rsid w:val="00F35094"/>
    <w:rsid w:val="00F74207"/>
    <w:rsid w:val="00FC37C2"/>
    <w:rsid w:val="00FF191B"/>
    <w:rsid w:val="00FF4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5F85A"/>
  <w15:chartTrackingRefBased/>
  <w15:docId w15:val="{3F733C0D-C7FB-49EE-9155-F62D2863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72"/>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E01B1A"/>
    <w:pPr>
      <w:keepNext/>
      <w:keepLines/>
      <w:spacing w:before="480" w:line="240" w:lineRule="atLeast"/>
      <w:outlineLvl w:val="2"/>
    </w:pPr>
    <w:rPr>
      <w:rFonts w:asciiTheme="majorHAnsi" w:eastAsia="Times New Roman" w:hAnsiTheme="majorHAnsi" w:cstheme="majorHAnsi"/>
      <w:b/>
      <w:bCs/>
      <w:color w:val="001871"/>
      <w:sz w:val="32"/>
      <w:szCs w:val="32"/>
    </w:rPr>
  </w:style>
  <w:style w:type="paragraph" w:styleId="Heading4">
    <w:name w:val="heading 4"/>
    <w:basedOn w:val="Normal"/>
    <w:next w:val="Normal"/>
    <w:link w:val="Heading4Char"/>
    <w:autoRedefine/>
    <w:qFormat/>
    <w:rsid w:val="00E01B1A"/>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E01B1A"/>
    <w:rPr>
      <w:rFonts w:asciiTheme="majorHAnsi" w:eastAsia="Times New Roman" w:hAnsiTheme="majorHAnsi" w:cstheme="majorHAnsi"/>
      <w:b/>
      <w:bCs/>
      <w:color w:val="001871"/>
      <w:sz w:val="32"/>
      <w:szCs w:val="32"/>
    </w:rPr>
  </w:style>
  <w:style w:type="character" w:customStyle="1" w:styleId="Heading4Char">
    <w:name w:val="Heading 4 Char"/>
    <w:basedOn w:val="DefaultParagraphFont"/>
    <w:link w:val="Heading4"/>
    <w:rsid w:val="00E01B1A"/>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ga.copyright@tga.gov.au"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13</TotalTime>
  <Pages>7</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Test method: Screening, identification and content of nicotine in e-cigarette liquids</vt:lpstr>
    </vt:vector>
  </TitlesOfParts>
  <Company>Department of Health, Disability and Ageing</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method: Screening, identification and content of nicotine in e-cigarette liquids</dc:title>
  <dc:subject>therapeutic goods regulation</dc:subject>
  <dc:creator>Therapeutic Goods Administration</dc:creator>
  <cp:keywords/>
  <dc:description/>
  <dcterms:created xsi:type="dcterms:W3CDTF">2025-06-16T01:09:00Z</dcterms:created>
  <dcterms:modified xsi:type="dcterms:W3CDTF">2025-06-16T01:34:00Z</dcterms:modified>
</cp:coreProperties>
</file>