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10473F5C" w:rsidR="00F02AEC" w:rsidRPr="00215D48" w:rsidRDefault="00457050" w:rsidP="002B29B2">
            <w:pPr>
              <w:pStyle w:val="Title"/>
            </w:pPr>
            <w:bookmarkStart w:id="0" w:name="_Toc178244700"/>
            <w:bookmarkStart w:id="1" w:name="_Toc196820222"/>
            <w:bookmarkStart w:id="2" w:name="_Toc196820533"/>
            <w:bookmarkStart w:id="3" w:name="_Toc196900871"/>
            <w:bookmarkStart w:id="4" w:name="_Toc198028594"/>
            <w:r>
              <w:t>Notice of final decisions to amend (or not amend) the current Poisons Standard</w:t>
            </w:r>
            <w:bookmarkEnd w:id="0"/>
            <w:bookmarkEnd w:id="1"/>
            <w:bookmarkEnd w:id="2"/>
            <w:bookmarkEnd w:id="3"/>
            <w:bookmarkEnd w:id="4"/>
          </w:p>
        </w:tc>
      </w:tr>
      <w:tr w:rsidR="00F02AEC" w:rsidRPr="00215D48" w14:paraId="5819680E" w14:textId="77777777" w:rsidTr="002B29B2">
        <w:trPr>
          <w:trHeight w:val="1916"/>
        </w:trPr>
        <w:tc>
          <w:tcPr>
            <w:tcW w:w="8720" w:type="dxa"/>
          </w:tcPr>
          <w:p w14:paraId="755BC6E0" w14:textId="77777777" w:rsidR="00F02AEC" w:rsidRDefault="00C10B21" w:rsidP="00D1612F">
            <w:pPr>
              <w:pStyle w:val="Subtitle"/>
              <w:ind w:left="0"/>
            </w:pPr>
            <w:r>
              <w:t>19</w:t>
            </w:r>
            <w:r w:rsidR="00E21AC7">
              <w:t xml:space="preserve"> May 2025</w:t>
            </w:r>
          </w:p>
          <w:p w14:paraId="36535783" w14:textId="77777777" w:rsidR="00B45DA4" w:rsidRDefault="00B45DA4" w:rsidP="00D1612F">
            <w:pPr>
              <w:pStyle w:val="Subtitle"/>
              <w:ind w:left="0"/>
            </w:pPr>
          </w:p>
          <w:p w14:paraId="54DDB299" w14:textId="76536DF4" w:rsidR="00B45DA4" w:rsidRPr="002C7C4F" w:rsidRDefault="00B45DA4" w:rsidP="00D1612F">
            <w:pPr>
              <w:pStyle w:val="Subtitle"/>
              <w:ind w:left="0"/>
              <w:rPr>
                <w:sz w:val="28"/>
                <w:szCs w:val="28"/>
              </w:rPr>
            </w:pPr>
            <w:r w:rsidRPr="007D2D48">
              <w:rPr>
                <w:color w:val="auto"/>
                <w:sz w:val="28"/>
                <w:szCs w:val="28"/>
              </w:rPr>
              <w:t>Version 2.0</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0F338A">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4F3B29D2" w:rsidR="00175CD8" w:rsidRDefault="00F02AEC" w:rsidP="00DE78C9">
      <w:pPr>
        <w:rPr>
          <w:sz w:val="16"/>
          <w:szCs w:val="16"/>
        </w:rPr>
      </w:pPr>
      <w:r w:rsidRPr="00DE78C9">
        <w:rPr>
          <w:sz w:val="16"/>
          <w:szCs w:val="16"/>
        </w:rPr>
        <w:t>© Commonwealth of Australia 202</w:t>
      </w:r>
      <w:r w:rsidR="00E21AC7">
        <w:rPr>
          <w:sz w:val="16"/>
          <w:szCs w:val="16"/>
        </w:rPr>
        <w:t>5</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E78C9">
          <w:rPr>
            <w:rStyle w:val="Hyperlink"/>
            <w:rFonts w:cs="Arial"/>
            <w:sz w:val="16"/>
            <w:szCs w:val="16"/>
          </w:rPr>
          <w:t>tga.copyright@tga.gov.au</w:t>
        </w:r>
      </w:hyperlink>
      <w:r w:rsidRPr="00DE78C9">
        <w:rPr>
          <w:sz w:val="16"/>
          <w:szCs w:val="16"/>
        </w:rPr>
        <w:t>.</w:t>
      </w:r>
    </w:p>
    <w:bookmarkStart w:id="5" w:name="_Toc198028595" w:displacedByCustomXml="next"/>
    <w:bookmarkStart w:id="6" w:name="_Toc196900872" w:displacedByCustomXml="next"/>
    <w:bookmarkStart w:id="7" w:name="_Toc178244701" w:displacedByCustomXml="next"/>
    <w:bookmarkStart w:id="8" w:name="_Toc196820223" w:displacedByCustomXml="next"/>
    <w:bookmarkStart w:id="9" w:name="_Toc196820534"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9"/>
          <w:bookmarkEnd w:id="8"/>
          <w:bookmarkEnd w:id="7"/>
          <w:bookmarkEnd w:id="6"/>
          <w:bookmarkEnd w:id="5"/>
        </w:p>
        <w:p w14:paraId="0B4CA766" w14:textId="06893CDC" w:rsidR="00917E33" w:rsidRDefault="002B5C5B">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"1-1" \h \z \u \t "Heading 2,1,Heading 3,2,Legal Subheading,2,Non TOC heading 2,2" </w:instrText>
          </w:r>
          <w:r>
            <w:fldChar w:fldCharType="separate"/>
          </w:r>
          <w:hyperlink w:anchor="_Toc198028594" w:history="1">
            <w:r w:rsidR="00917E33" w:rsidRPr="00217317">
              <w:rPr>
                <w:rStyle w:val="Hyperlink"/>
                <w:noProof/>
              </w:rPr>
              <w:t>Notice of final decisions to amend (or not amend) the current Poisons Standard</w:t>
            </w:r>
            <w:r w:rsidR="00917E33">
              <w:rPr>
                <w:noProof/>
                <w:webHidden/>
              </w:rPr>
              <w:tab/>
            </w:r>
            <w:r w:rsidR="00917E33">
              <w:rPr>
                <w:noProof/>
                <w:webHidden/>
              </w:rPr>
              <w:fldChar w:fldCharType="begin"/>
            </w:r>
            <w:r w:rsidR="00917E33">
              <w:rPr>
                <w:noProof/>
                <w:webHidden/>
              </w:rPr>
              <w:instrText xml:space="preserve"> PAGEREF _Toc198028594 \h </w:instrText>
            </w:r>
            <w:r w:rsidR="00917E33">
              <w:rPr>
                <w:noProof/>
                <w:webHidden/>
              </w:rPr>
            </w:r>
            <w:r w:rsidR="00917E33">
              <w:rPr>
                <w:noProof/>
                <w:webHidden/>
              </w:rPr>
              <w:fldChar w:fldCharType="separate"/>
            </w:r>
            <w:r w:rsidR="007D2D48">
              <w:rPr>
                <w:noProof/>
                <w:webHidden/>
              </w:rPr>
              <w:t>1</w:t>
            </w:r>
            <w:r w:rsidR="00917E33">
              <w:rPr>
                <w:noProof/>
                <w:webHidden/>
              </w:rPr>
              <w:fldChar w:fldCharType="end"/>
            </w:r>
          </w:hyperlink>
        </w:p>
        <w:p w14:paraId="16BEB791" w14:textId="4FADAAE6"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595" w:history="1">
            <w:r w:rsidRPr="00217317">
              <w:rPr>
                <w:rStyle w:val="Hyperlink"/>
                <w:noProof/>
              </w:rPr>
              <w:t>Contents</w:t>
            </w:r>
            <w:r>
              <w:rPr>
                <w:noProof/>
                <w:webHidden/>
              </w:rPr>
              <w:tab/>
            </w:r>
            <w:r>
              <w:rPr>
                <w:noProof/>
                <w:webHidden/>
              </w:rPr>
              <w:fldChar w:fldCharType="begin"/>
            </w:r>
            <w:r>
              <w:rPr>
                <w:noProof/>
                <w:webHidden/>
              </w:rPr>
              <w:instrText xml:space="preserve"> PAGEREF _Toc198028595 \h </w:instrText>
            </w:r>
            <w:r>
              <w:rPr>
                <w:noProof/>
                <w:webHidden/>
              </w:rPr>
            </w:r>
            <w:r>
              <w:rPr>
                <w:noProof/>
                <w:webHidden/>
              </w:rPr>
              <w:fldChar w:fldCharType="separate"/>
            </w:r>
            <w:r w:rsidR="007D2D48">
              <w:rPr>
                <w:noProof/>
                <w:webHidden/>
              </w:rPr>
              <w:t>3</w:t>
            </w:r>
            <w:r>
              <w:rPr>
                <w:noProof/>
                <w:webHidden/>
              </w:rPr>
              <w:fldChar w:fldCharType="end"/>
            </w:r>
          </w:hyperlink>
        </w:p>
        <w:p w14:paraId="2D950267" w14:textId="58AA4497"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596" w:history="1">
            <w:r w:rsidRPr="00217317">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_Toc198028596 \h </w:instrText>
            </w:r>
            <w:r>
              <w:rPr>
                <w:noProof/>
                <w:webHidden/>
              </w:rPr>
            </w:r>
            <w:r>
              <w:rPr>
                <w:noProof/>
                <w:webHidden/>
              </w:rPr>
              <w:fldChar w:fldCharType="separate"/>
            </w:r>
            <w:r w:rsidR="007D2D48">
              <w:rPr>
                <w:noProof/>
                <w:webHidden/>
              </w:rPr>
              <w:t>5</w:t>
            </w:r>
            <w:r>
              <w:rPr>
                <w:noProof/>
                <w:webHidden/>
              </w:rPr>
              <w:fldChar w:fldCharType="end"/>
            </w:r>
          </w:hyperlink>
        </w:p>
        <w:p w14:paraId="488A0342" w14:textId="75EE4C9D"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597" w:history="1">
            <w:r w:rsidRPr="00217317">
              <w:rPr>
                <w:rStyle w:val="Hyperlink"/>
                <w:noProof/>
              </w:rPr>
              <w:t>Final decisions on proposed amendments referred to the Advisory Committee on Medicines Scheduling (ACMS #46, November 2024)</w:t>
            </w:r>
            <w:r>
              <w:rPr>
                <w:noProof/>
                <w:webHidden/>
              </w:rPr>
              <w:tab/>
            </w:r>
            <w:r>
              <w:rPr>
                <w:noProof/>
                <w:webHidden/>
              </w:rPr>
              <w:fldChar w:fldCharType="begin"/>
            </w:r>
            <w:r>
              <w:rPr>
                <w:noProof/>
                <w:webHidden/>
              </w:rPr>
              <w:instrText xml:space="preserve"> PAGEREF _Toc198028597 \h </w:instrText>
            </w:r>
            <w:r>
              <w:rPr>
                <w:noProof/>
                <w:webHidden/>
              </w:rPr>
            </w:r>
            <w:r>
              <w:rPr>
                <w:noProof/>
                <w:webHidden/>
              </w:rPr>
              <w:fldChar w:fldCharType="separate"/>
            </w:r>
            <w:r w:rsidR="007D2D48">
              <w:rPr>
                <w:noProof/>
                <w:webHidden/>
              </w:rPr>
              <w:t>6</w:t>
            </w:r>
            <w:r>
              <w:rPr>
                <w:noProof/>
                <w:webHidden/>
              </w:rPr>
              <w:fldChar w:fldCharType="end"/>
            </w:r>
          </w:hyperlink>
        </w:p>
        <w:p w14:paraId="71ABCCA5" w14:textId="7BA87BCA"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598" w:history="1">
            <w:r w:rsidRPr="00217317">
              <w:rPr>
                <w:rStyle w:val="Hyperlink"/>
                <w:noProof/>
              </w:rPr>
              <w:t xml:space="preserve">Final decision in relation to </w:t>
            </w:r>
            <w:r w:rsidRPr="00217317">
              <w:rPr>
                <w:rStyle w:val="Hyperlink"/>
                <w:i/>
                <w:iCs/>
                <w:noProof/>
              </w:rPr>
              <w:t>Atropa belladonna</w:t>
            </w:r>
            <w:r>
              <w:rPr>
                <w:noProof/>
                <w:webHidden/>
              </w:rPr>
              <w:tab/>
            </w:r>
            <w:r>
              <w:rPr>
                <w:noProof/>
                <w:webHidden/>
              </w:rPr>
              <w:fldChar w:fldCharType="begin"/>
            </w:r>
            <w:r>
              <w:rPr>
                <w:noProof/>
                <w:webHidden/>
              </w:rPr>
              <w:instrText xml:space="preserve"> PAGEREF _Toc198028598 \h </w:instrText>
            </w:r>
            <w:r>
              <w:rPr>
                <w:noProof/>
                <w:webHidden/>
              </w:rPr>
            </w:r>
            <w:r>
              <w:rPr>
                <w:noProof/>
                <w:webHidden/>
              </w:rPr>
              <w:fldChar w:fldCharType="separate"/>
            </w:r>
            <w:r w:rsidR="007D2D48">
              <w:rPr>
                <w:noProof/>
                <w:webHidden/>
              </w:rPr>
              <w:t>6</w:t>
            </w:r>
            <w:r>
              <w:rPr>
                <w:noProof/>
                <w:webHidden/>
              </w:rPr>
              <w:fldChar w:fldCharType="end"/>
            </w:r>
          </w:hyperlink>
        </w:p>
        <w:p w14:paraId="66D6D5B1" w14:textId="2EEEDA41"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599" w:history="1">
            <w:r w:rsidRPr="00217317">
              <w:rPr>
                <w:rStyle w:val="Hyperlink"/>
                <w:noProof/>
              </w:rPr>
              <w:t>Final decision in relation to astodrimer sodium</w:t>
            </w:r>
            <w:r>
              <w:rPr>
                <w:noProof/>
                <w:webHidden/>
              </w:rPr>
              <w:tab/>
            </w:r>
            <w:r>
              <w:rPr>
                <w:noProof/>
                <w:webHidden/>
              </w:rPr>
              <w:fldChar w:fldCharType="begin"/>
            </w:r>
            <w:r>
              <w:rPr>
                <w:noProof/>
                <w:webHidden/>
              </w:rPr>
              <w:instrText xml:space="preserve"> PAGEREF _Toc198028599 \h </w:instrText>
            </w:r>
            <w:r>
              <w:rPr>
                <w:noProof/>
                <w:webHidden/>
              </w:rPr>
            </w:r>
            <w:r>
              <w:rPr>
                <w:noProof/>
                <w:webHidden/>
              </w:rPr>
              <w:fldChar w:fldCharType="separate"/>
            </w:r>
            <w:r w:rsidR="007D2D48">
              <w:rPr>
                <w:noProof/>
                <w:webHidden/>
              </w:rPr>
              <w:t>8</w:t>
            </w:r>
            <w:r>
              <w:rPr>
                <w:noProof/>
                <w:webHidden/>
              </w:rPr>
              <w:fldChar w:fldCharType="end"/>
            </w:r>
          </w:hyperlink>
        </w:p>
        <w:p w14:paraId="5AD0DBF6" w14:textId="3DDD8FB7"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600" w:history="1">
            <w:r w:rsidRPr="00217317">
              <w:rPr>
                <w:rStyle w:val="Hyperlink"/>
                <w:noProof/>
              </w:rPr>
              <w:t>Final decisions on proposed amendments referred to the Advisory Committee on Medicines and Chemicals Scheduling in joint session (Joint ACMS-ACCS #38, November 2024)</w:t>
            </w:r>
            <w:r>
              <w:rPr>
                <w:noProof/>
                <w:webHidden/>
              </w:rPr>
              <w:tab/>
            </w:r>
            <w:r>
              <w:rPr>
                <w:noProof/>
                <w:webHidden/>
              </w:rPr>
              <w:fldChar w:fldCharType="begin"/>
            </w:r>
            <w:r>
              <w:rPr>
                <w:noProof/>
                <w:webHidden/>
              </w:rPr>
              <w:instrText xml:space="preserve"> PAGEREF _Toc198028600 \h </w:instrText>
            </w:r>
            <w:r>
              <w:rPr>
                <w:noProof/>
                <w:webHidden/>
              </w:rPr>
            </w:r>
            <w:r>
              <w:rPr>
                <w:noProof/>
                <w:webHidden/>
              </w:rPr>
              <w:fldChar w:fldCharType="separate"/>
            </w:r>
            <w:r w:rsidR="007D2D48">
              <w:rPr>
                <w:noProof/>
                <w:webHidden/>
              </w:rPr>
              <w:t>10</w:t>
            </w:r>
            <w:r>
              <w:rPr>
                <w:noProof/>
                <w:webHidden/>
              </w:rPr>
              <w:fldChar w:fldCharType="end"/>
            </w:r>
          </w:hyperlink>
        </w:p>
        <w:p w14:paraId="19936574" w14:textId="0F533906"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1" w:history="1">
            <w:r w:rsidRPr="00217317">
              <w:rPr>
                <w:rStyle w:val="Hyperlink"/>
                <w:noProof/>
              </w:rPr>
              <w:t xml:space="preserve">Final decision in relation to </w:t>
            </w:r>
            <w:r w:rsidRPr="00217317">
              <w:rPr>
                <w:rStyle w:val="Hyperlink"/>
                <w:i/>
                <w:iCs/>
                <w:noProof/>
              </w:rPr>
              <w:t>Symphytum officinalis</w:t>
            </w:r>
            <w:r w:rsidRPr="00217317">
              <w:rPr>
                <w:rStyle w:val="Hyperlink"/>
                <w:noProof/>
              </w:rPr>
              <w:t xml:space="preserve"> (comfrey)</w:t>
            </w:r>
            <w:r>
              <w:rPr>
                <w:noProof/>
                <w:webHidden/>
              </w:rPr>
              <w:tab/>
            </w:r>
            <w:r>
              <w:rPr>
                <w:noProof/>
                <w:webHidden/>
              </w:rPr>
              <w:fldChar w:fldCharType="begin"/>
            </w:r>
            <w:r>
              <w:rPr>
                <w:noProof/>
                <w:webHidden/>
              </w:rPr>
              <w:instrText xml:space="preserve"> PAGEREF _Toc198028601 \h </w:instrText>
            </w:r>
            <w:r>
              <w:rPr>
                <w:noProof/>
                <w:webHidden/>
              </w:rPr>
            </w:r>
            <w:r>
              <w:rPr>
                <w:noProof/>
                <w:webHidden/>
              </w:rPr>
              <w:fldChar w:fldCharType="separate"/>
            </w:r>
            <w:r w:rsidR="007D2D48">
              <w:rPr>
                <w:noProof/>
                <w:webHidden/>
              </w:rPr>
              <w:t>10</w:t>
            </w:r>
            <w:r>
              <w:rPr>
                <w:noProof/>
                <w:webHidden/>
              </w:rPr>
              <w:fldChar w:fldCharType="end"/>
            </w:r>
          </w:hyperlink>
        </w:p>
        <w:p w14:paraId="46A7DAFF" w14:textId="5A5B57A6"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602" w:history="1">
            <w:r w:rsidRPr="00217317">
              <w:rPr>
                <w:rStyle w:val="Hyperlink"/>
                <w:noProof/>
              </w:rPr>
              <w:t>Final decisions on proposed amendments to the current Poisons Standard under regulation 42ZCZU</w:t>
            </w:r>
            <w:r>
              <w:rPr>
                <w:noProof/>
                <w:webHidden/>
              </w:rPr>
              <w:tab/>
            </w:r>
            <w:r>
              <w:rPr>
                <w:noProof/>
                <w:webHidden/>
              </w:rPr>
              <w:fldChar w:fldCharType="begin"/>
            </w:r>
            <w:r>
              <w:rPr>
                <w:noProof/>
                <w:webHidden/>
              </w:rPr>
              <w:instrText xml:space="preserve"> PAGEREF _Toc198028602 \h </w:instrText>
            </w:r>
            <w:r>
              <w:rPr>
                <w:noProof/>
                <w:webHidden/>
              </w:rPr>
            </w:r>
            <w:r>
              <w:rPr>
                <w:noProof/>
                <w:webHidden/>
              </w:rPr>
              <w:fldChar w:fldCharType="separate"/>
            </w:r>
            <w:r w:rsidR="007D2D48">
              <w:rPr>
                <w:noProof/>
                <w:webHidden/>
              </w:rPr>
              <w:t>12</w:t>
            </w:r>
            <w:r>
              <w:rPr>
                <w:noProof/>
                <w:webHidden/>
              </w:rPr>
              <w:fldChar w:fldCharType="end"/>
            </w:r>
          </w:hyperlink>
        </w:p>
        <w:p w14:paraId="308949E5" w14:textId="00DA0F35"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3" w:history="1">
            <w:r w:rsidRPr="00217317">
              <w:rPr>
                <w:rStyle w:val="Hyperlink"/>
                <w:noProof/>
              </w:rPr>
              <w:t>Final decision in relation to fuzapladib sodium</w:t>
            </w:r>
            <w:r>
              <w:rPr>
                <w:noProof/>
                <w:webHidden/>
              </w:rPr>
              <w:tab/>
            </w:r>
            <w:r>
              <w:rPr>
                <w:noProof/>
                <w:webHidden/>
              </w:rPr>
              <w:fldChar w:fldCharType="begin"/>
            </w:r>
            <w:r>
              <w:rPr>
                <w:noProof/>
                <w:webHidden/>
              </w:rPr>
              <w:instrText xml:space="preserve"> PAGEREF _Toc198028603 \h </w:instrText>
            </w:r>
            <w:r>
              <w:rPr>
                <w:noProof/>
                <w:webHidden/>
              </w:rPr>
            </w:r>
            <w:r>
              <w:rPr>
                <w:noProof/>
                <w:webHidden/>
              </w:rPr>
              <w:fldChar w:fldCharType="separate"/>
            </w:r>
            <w:r w:rsidR="007D2D48">
              <w:rPr>
                <w:noProof/>
                <w:webHidden/>
              </w:rPr>
              <w:t>12</w:t>
            </w:r>
            <w:r>
              <w:rPr>
                <w:noProof/>
                <w:webHidden/>
              </w:rPr>
              <w:fldChar w:fldCharType="end"/>
            </w:r>
          </w:hyperlink>
        </w:p>
        <w:p w14:paraId="1DE4A731" w14:textId="6AB807DD"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4" w:history="1">
            <w:r w:rsidRPr="00217317">
              <w:rPr>
                <w:rStyle w:val="Hyperlink"/>
                <w:noProof/>
              </w:rPr>
              <w:t>Final decision in relation to ilunocitinib</w:t>
            </w:r>
            <w:r>
              <w:rPr>
                <w:noProof/>
                <w:webHidden/>
              </w:rPr>
              <w:tab/>
            </w:r>
            <w:r>
              <w:rPr>
                <w:noProof/>
                <w:webHidden/>
              </w:rPr>
              <w:fldChar w:fldCharType="begin"/>
            </w:r>
            <w:r>
              <w:rPr>
                <w:noProof/>
                <w:webHidden/>
              </w:rPr>
              <w:instrText xml:space="preserve"> PAGEREF _Toc198028604 \h </w:instrText>
            </w:r>
            <w:r>
              <w:rPr>
                <w:noProof/>
                <w:webHidden/>
              </w:rPr>
            </w:r>
            <w:r>
              <w:rPr>
                <w:noProof/>
                <w:webHidden/>
              </w:rPr>
              <w:fldChar w:fldCharType="separate"/>
            </w:r>
            <w:r w:rsidR="007D2D48">
              <w:rPr>
                <w:noProof/>
                <w:webHidden/>
              </w:rPr>
              <w:t>14</w:t>
            </w:r>
            <w:r>
              <w:rPr>
                <w:noProof/>
                <w:webHidden/>
              </w:rPr>
              <w:fldChar w:fldCharType="end"/>
            </w:r>
          </w:hyperlink>
        </w:p>
        <w:p w14:paraId="67EEC3D6" w14:textId="27782EF8"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5" w:history="1">
            <w:r w:rsidRPr="00217317">
              <w:rPr>
                <w:rStyle w:val="Hyperlink"/>
                <w:noProof/>
              </w:rPr>
              <w:t>Final decision in relation to 1,4-dimethylnapthalene</w:t>
            </w:r>
            <w:r>
              <w:rPr>
                <w:noProof/>
                <w:webHidden/>
              </w:rPr>
              <w:tab/>
            </w:r>
            <w:r>
              <w:rPr>
                <w:noProof/>
                <w:webHidden/>
              </w:rPr>
              <w:fldChar w:fldCharType="begin"/>
            </w:r>
            <w:r>
              <w:rPr>
                <w:noProof/>
                <w:webHidden/>
              </w:rPr>
              <w:instrText xml:space="preserve"> PAGEREF _Toc198028605 \h </w:instrText>
            </w:r>
            <w:r>
              <w:rPr>
                <w:noProof/>
                <w:webHidden/>
              </w:rPr>
            </w:r>
            <w:r>
              <w:rPr>
                <w:noProof/>
                <w:webHidden/>
              </w:rPr>
              <w:fldChar w:fldCharType="separate"/>
            </w:r>
            <w:r w:rsidR="007D2D48">
              <w:rPr>
                <w:noProof/>
                <w:webHidden/>
              </w:rPr>
              <w:t>16</w:t>
            </w:r>
            <w:r>
              <w:rPr>
                <w:noProof/>
                <w:webHidden/>
              </w:rPr>
              <w:fldChar w:fldCharType="end"/>
            </w:r>
          </w:hyperlink>
        </w:p>
        <w:p w14:paraId="4DDBDC0E" w14:textId="5F35C86C"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6" w:history="1">
            <w:r w:rsidRPr="00217317">
              <w:rPr>
                <w:rStyle w:val="Hyperlink"/>
                <w:noProof/>
              </w:rPr>
              <w:t>Final decision in relation to folpet</w:t>
            </w:r>
            <w:r>
              <w:rPr>
                <w:noProof/>
                <w:webHidden/>
              </w:rPr>
              <w:tab/>
            </w:r>
            <w:r>
              <w:rPr>
                <w:noProof/>
                <w:webHidden/>
              </w:rPr>
              <w:fldChar w:fldCharType="begin"/>
            </w:r>
            <w:r>
              <w:rPr>
                <w:noProof/>
                <w:webHidden/>
              </w:rPr>
              <w:instrText xml:space="preserve"> PAGEREF _Toc198028606 \h </w:instrText>
            </w:r>
            <w:r>
              <w:rPr>
                <w:noProof/>
                <w:webHidden/>
              </w:rPr>
            </w:r>
            <w:r>
              <w:rPr>
                <w:noProof/>
                <w:webHidden/>
              </w:rPr>
              <w:fldChar w:fldCharType="separate"/>
            </w:r>
            <w:r w:rsidR="007D2D48">
              <w:rPr>
                <w:noProof/>
                <w:webHidden/>
              </w:rPr>
              <w:t>18</w:t>
            </w:r>
            <w:r>
              <w:rPr>
                <w:noProof/>
                <w:webHidden/>
              </w:rPr>
              <w:fldChar w:fldCharType="end"/>
            </w:r>
          </w:hyperlink>
        </w:p>
        <w:p w14:paraId="0695F3D5" w14:textId="19A645C0"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607" w:history="1">
            <w:r w:rsidRPr="00217317">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_Toc198028607 \h </w:instrText>
            </w:r>
            <w:r>
              <w:rPr>
                <w:noProof/>
                <w:webHidden/>
              </w:rPr>
            </w:r>
            <w:r>
              <w:rPr>
                <w:noProof/>
                <w:webHidden/>
              </w:rPr>
              <w:fldChar w:fldCharType="separate"/>
            </w:r>
            <w:r w:rsidR="007D2D48">
              <w:rPr>
                <w:noProof/>
                <w:webHidden/>
              </w:rPr>
              <w:t>20</w:t>
            </w:r>
            <w:r>
              <w:rPr>
                <w:noProof/>
                <w:webHidden/>
              </w:rPr>
              <w:fldChar w:fldCharType="end"/>
            </w:r>
          </w:hyperlink>
        </w:p>
        <w:p w14:paraId="41B7F7B0" w14:textId="600D1F1E"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8" w:history="1">
            <w:r w:rsidRPr="00217317">
              <w:rPr>
                <w:rStyle w:val="Hyperlink"/>
                <w:noProof/>
              </w:rPr>
              <w:t>DATOPOTAMAB DERUXTECAN</w:t>
            </w:r>
            <w:r>
              <w:rPr>
                <w:noProof/>
                <w:webHidden/>
              </w:rPr>
              <w:tab/>
            </w:r>
            <w:r>
              <w:rPr>
                <w:noProof/>
                <w:webHidden/>
              </w:rPr>
              <w:fldChar w:fldCharType="begin"/>
            </w:r>
            <w:r>
              <w:rPr>
                <w:noProof/>
                <w:webHidden/>
              </w:rPr>
              <w:instrText xml:space="preserve"> PAGEREF _Toc198028608 \h </w:instrText>
            </w:r>
            <w:r>
              <w:rPr>
                <w:noProof/>
                <w:webHidden/>
              </w:rPr>
            </w:r>
            <w:r>
              <w:rPr>
                <w:noProof/>
                <w:webHidden/>
              </w:rPr>
              <w:fldChar w:fldCharType="separate"/>
            </w:r>
            <w:r w:rsidR="007D2D48">
              <w:rPr>
                <w:noProof/>
                <w:webHidden/>
              </w:rPr>
              <w:t>20</w:t>
            </w:r>
            <w:r>
              <w:rPr>
                <w:noProof/>
                <w:webHidden/>
              </w:rPr>
              <w:fldChar w:fldCharType="end"/>
            </w:r>
          </w:hyperlink>
        </w:p>
        <w:p w14:paraId="49A5F573" w14:textId="20247708"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9" w:history="1">
            <w:r w:rsidRPr="00217317">
              <w:rPr>
                <w:rStyle w:val="Hyperlink"/>
                <w:noProof/>
              </w:rPr>
              <w:t>ELAFIBRANOR</w:t>
            </w:r>
            <w:r>
              <w:rPr>
                <w:noProof/>
                <w:webHidden/>
              </w:rPr>
              <w:tab/>
            </w:r>
            <w:r>
              <w:rPr>
                <w:noProof/>
                <w:webHidden/>
              </w:rPr>
              <w:fldChar w:fldCharType="begin"/>
            </w:r>
            <w:r>
              <w:rPr>
                <w:noProof/>
                <w:webHidden/>
              </w:rPr>
              <w:instrText xml:space="preserve"> PAGEREF _Toc198028609 \h </w:instrText>
            </w:r>
            <w:r>
              <w:rPr>
                <w:noProof/>
                <w:webHidden/>
              </w:rPr>
            </w:r>
            <w:r>
              <w:rPr>
                <w:noProof/>
                <w:webHidden/>
              </w:rPr>
              <w:fldChar w:fldCharType="separate"/>
            </w:r>
            <w:r w:rsidR="007D2D48">
              <w:rPr>
                <w:noProof/>
                <w:webHidden/>
              </w:rPr>
              <w:t>20</w:t>
            </w:r>
            <w:r>
              <w:rPr>
                <w:noProof/>
                <w:webHidden/>
              </w:rPr>
              <w:fldChar w:fldCharType="end"/>
            </w:r>
          </w:hyperlink>
        </w:p>
        <w:p w14:paraId="7EC626CC" w14:textId="707EF91D"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0" w:history="1">
            <w:r w:rsidRPr="00217317">
              <w:rPr>
                <w:rStyle w:val="Hyperlink"/>
                <w:noProof/>
              </w:rPr>
              <w:t>FUTIBATINIB</w:t>
            </w:r>
            <w:r>
              <w:rPr>
                <w:noProof/>
                <w:webHidden/>
              </w:rPr>
              <w:tab/>
            </w:r>
            <w:r>
              <w:rPr>
                <w:noProof/>
                <w:webHidden/>
              </w:rPr>
              <w:fldChar w:fldCharType="begin"/>
            </w:r>
            <w:r>
              <w:rPr>
                <w:noProof/>
                <w:webHidden/>
              </w:rPr>
              <w:instrText xml:space="preserve"> PAGEREF _Toc198028610 \h </w:instrText>
            </w:r>
            <w:r>
              <w:rPr>
                <w:noProof/>
                <w:webHidden/>
              </w:rPr>
            </w:r>
            <w:r>
              <w:rPr>
                <w:noProof/>
                <w:webHidden/>
              </w:rPr>
              <w:fldChar w:fldCharType="separate"/>
            </w:r>
            <w:r w:rsidR="007D2D48">
              <w:rPr>
                <w:noProof/>
                <w:webHidden/>
              </w:rPr>
              <w:t>20</w:t>
            </w:r>
            <w:r>
              <w:rPr>
                <w:noProof/>
                <w:webHidden/>
              </w:rPr>
              <w:fldChar w:fldCharType="end"/>
            </w:r>
          </w:hyperlink>
        </w:p>
        <w:p w14:paraId="12CB6124" w14:textId="32532AFC"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1" w:history="1">
            <w:r w:rsidRPr="00217317">
              <w:rPr>
                <w:rStyle w:val="Hyperlink"/>
                <w:noProof/>
              </w:rPr>
              <w:t>INAVOLISIB</w:t>
            </w:r>
            <w:r>
              <w:rPr>
                <w:noProof/>
                <w:webHidden/>
              </w:rPr>
              <w:tab/>
            </w:r>
            <w:r>
              <w:rPr>
                <w:noProof/>
                <w:webHidden/>
              </w:rPr>
              <w:fldChar w:fldCharType="begin"/>
            </w:r>
            <w:r>
              <w:rPr>
                <w:noProof/>
                <w:webHidden/>
              </w:rPr>
              <w:instrText xml:space="preserve"> PAGEREF _Toc198028611 \h </w:instrText>
            </w:r>
            <w:r>
              <w:rPr>
                <w:noProof/>
                <w:webHidden/>
              </w:rPr>
            </w:r>
            <w:r>
              <w:rPr>
                <w:noProof/>
                <w:webHidden/>
              </w:rPr>
              <w:fldChar w:fldCharType="separate"/>
            </w:r>
            <w:r w:rsidR="007D2D48">
              <w:rPr>
                <w:noProof/>
                <w:webHidden/>
              </w:rPr>
              <w:t>21</w:t>
            </w:r>
            <w:r>
              <w:rPr>
                <w:noProof/>
                <w:webHidden/>
              </w:rPr>
              <w:fldChar w:fldCharType="end"/>
            </w:r>
          </w:hyperlink>
        </w:p>
        <w:p w14:paraId="1F5A4D77" w14:textId="5AB30CE7"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2" w:history="1">
            <w:r w:rsidRPr="00217317">
              <w:rPr>
                <w:rStyle w:val="Hyperlink"/>
                <w:noProof/>
              </w:rPr>
              <w:t>LANDIOLOL</w:t>
            </w:r>
            <w:r>
              <w:rPr>
                <w:noProof/>
                <w:webHidden/>
              </w:rPr>
              <w:tab/>
            </w:r>
            <w:r>
              <w:rPr>
                <w:noProof/>
                <w:webHidden/>
              </w:rPr>
              <w:fldChar w:fldCharType="begin"/>
            </w:r>
            <w:r>
              <w:rPr>
                <w:noProof/>
                <w:webHidden/>
              </w:rPr>
              <w:instrText xml:space="preserve"> PAGEREF _Toc198028612 \h </w:instrText>
            </w:r>
            <w:r>
              <w:rPr>
                <w:noProof/>
                <w:webHidden/>
              </w:rPr>
            </w:r>
            <w:r>
              <w:rPr>
                <w:noProof/>
                <w:webHidden/>
              </w:rPr>
              <w:fldChar w:fldCharType="separate"/>
            </w:r>
            <w:r w:rsidR="007D2D48">
              <w:rPr>
                <w:noProof/>
                <w:webHidden/>
              </w:rPr>
              <w:t>21</w:t>
            </w:r>
            <w:r>
              <w:rPr>
                <w:noProof/>
                <w:webHidden/>
              </w:rPr>
              <w:fldChar w:fldCharType="end"/>
            </w:r>
          </w:hyperlink>
        </w:p>
        <w:p w14:paraId="665A8839" w14:textId="0EA241D7"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3" w:history="1">
            <w:r w:rsidRPr="00217317">
              <w:rPr>
                <w:rStyle w:val="Hyperlink"/>
                <w:noProof/>
              </w:rPr>
              <w:t>LAZERTINIB</w:t>
            </w:r>
            <w:r>
              <w:rPr>
                <w:noProof/>
                <w:webHidden/>
              </w:rPr>
              <w:tab/>
            </w:r>
            <w:r>
              <w:rPr>
                <w:noProof/>
                <w:webHidden/>
              </w:rPr>
              <w:fldChar w:fldCharType="begin"/>
            </w:r>
            <w:r>
              <w:rPr>
                <w:noProof/>
                <w:webHidden/>
              </w:rPr>
              <w:instrText xml:space="preserve"> PAGEREF _Toc198028613 \h </w:instrText>
            </w:r>
            <w:r>
              <w:rPr>
                <w:noProof/>
                <w:webHidden/>
              </w:rPr>
            </w:r>
            <w:r>
              <w:rPr>
                <w:noProof/>
                <w:webHidden/>
              </w:rPr>
              <w:fldChar w:fldCharType="separate"/>
            </w:r>
            <w:r w:rsidR="007D2D48">
              <w:rPr>
                <w:noProof/>
                <w:webHidden/>
              </w:rPr>
              <w:t>21</w:t>
            </w:r>
            <w:r>
              <w:rPr>
                <w:noProof/>
                <w:webHidden/>
              </w:rPr>
              <w:fldChar w:fldCharType="end"/>
            </w:r>
          </w:hyperlink>
        </w:p>
        <w:p w14:paraId="3A28E32D" w14:textId="728EFD16"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4" w:history="1">
            <w:r w:rsidRPr="00217317">
              <w:rPr>
                <w:rStyle w:val="Hyperlink"/>
                <w:noProof/>
              </w:rPr>
              <w:t>PEGUNIGALSIDASE ALFA</w:t>
            </w:r>
            <w:r>
              <w:rPr>
                <w:noProof/>
                <w:webHidden/>
              </w:rPr>
              <w:tab/>
            </w:r>
            <w:r>
              <w:rPr>
                <w:noProof/>
                <w:webHidden/>
              </w:rPr>
              <w:fldChar w:fldCharType="begin"/>
            </w:r>
            <w:r>
              <w:rPr>
                <w:noProof/>
                <w:webHidden/>
              </w:rPr>
              <w:instrText xml:space="preserve"> PAGEREF _Toc198028614 \h </w:instrText>
            </w:r>
            <w:r>
              <w:rPr>
                <w:noProof/>
                <w:webHidden/>
              </w:rPr>
            </w:r>
            <w:r>
              <w:rPr>
                <w:noProof/>
                <w:webHidden/>
              </w:rPr>
              <w:fldChar w:fldCharType="separate"/>
            </w:r>
            <w:r w:rsidR="007D2D48">
              <w:rPr>
                <w:noProof/>
                <w:webHidden/>
              </w:rPr>
              <w:t>21</w:t>
            </w:r>
            <w:r>
              <w:rPr>
                <w:noProof/>
                <w:webHidden/>
              </w:rPr>
              <w:fldChar w:fldCharType="end"/>
            </w:r>
          </w:hyperlink>
        </w:p>
        <w:p w14:paraId="4DA00179" w14:textId="1F7F584F"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5" w:history="1">
            <w:r w:rsidRPr="00217317">
              <w:rPr>
                <w:rStyle w:val="Hyperlink"/>
                <w:noProof/>
              </w:rPr>
              <w:t>REPOTRECTINIB</w:t>
            </w:r>
            <w:r>
              <w:rPr>
                <w:noProof/>
                <w:webHidden/>
              </w:rPr>
              <w:tab/>
            </w:r>
            <w:r>
              <w:rPr>
                <w:noProof/>
                <w:webHidden/>
              </w:rPr>
              <w:fldChar w:fldCharType="begin"/>
            </w:r>
            <w:r>
              <w:rPr>
                <w:noProof/>
                <w:webHidden/>
              </w:rPr>
              <w:instrText xml:space="preserve"> PAGEREF _Toc198028615 \h </w:instrText>
            </w:r>
            <w:r>
              <w:rPr>
                <w:noProof/>
                <w:webHidden/>
              </w:rPr>
            </w:r>
            <w:r>
              <w:rPr>
                <w:noProof/>
                <w:webHidden/>
              </w:rPr>
              <w:fldChar w:fldCharType="separate"/>
            </w:r>
            <w:r w:rsidR="007D2D48">
              <w:rPr>
                <w:noProof/>
                <w:webHidden/>
              </w:rPr>
              <w:t>21</w:t>
            </w:r>
            <w:r>
              <w:rPr>
                <w:noProof/>
                <w:webHidden/>
              </w:rPr>
              <w:fldChar w:fldCharType="end"/>
            </w:r>
          </w:hyperlink>
        </w:p>
        <w:p w14:paraId="0E656DC8" w14:textId="6EE56D7B"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6" w:history="1">
            <w:r w:rsidRPr="00217317">
              <w:rPr>
                <w:rStyle w:val="Hyperlink"/>
                <w:noProof/>
              </w:rPr>
              <w:t>SEPIAPTERIN</w:t>
            </w:r>
            <w:r>
              <w:rPr>
                <w:noProof/>
                <w:webHidden/>
              </w:rPr>
              <w:tab/>
            </w:r>
            <w:r>
              <w:rPr>
                <w:noProof/>
                <w:webHidden/>
              </w:rPr>
              <w:fldChar w:fldCharType="begin"/>
            </w:r>
            <w:r>
              <w:rPr>
                <w:noProof/>
                <w:webHidden/>
              </w:rPr>
              <w:instrText xml:space="preserve"> PAGEREF _Toc198028616 \h </w:instrText>
            </w:r>
            <w:r>
              <w:rPr>
                <w:noProof/>
                <w:webHidden/>
              </w:rPr>
            </w:r>
            <w:r>
              <w:rPr>
                <w:noProof/>
                <w:webHidden/>
              </w:rPr>
              <w:fldChar w:fldCharType="separate"/>
            </w:r>
            <w:r w:rsidR="007D2D48">
              <w:rPr>
                <w:noProof/>
                <w:webHidden/>
              </w:rPr>
              <w:t>22</w:t>
            </w:r>
            <w:r>
              <w:rPr>
                <w:noProof/>
                <w:webHidden/>
              </w:rPr>
              <w:fldChar w:fldCharType="end"/>
            </w:r>
          </w:hyperlink>
        </w:p>
        <w:p w14:paraId="64313791" w14:textId="122C1B3E"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7" w:history="1">
            <w:r w:rsidRPr="00217317">
              <w:rPr>
                <w:rStyle w:val="Hyperlink"/>
                <w:noProof/>
              </w:rPr>
              <w:t>TEPROTUMUMAB</w:t>
            </w:r>
            <w:r>
              <w:rPr>
                <w:noProof/>
                <w:webHidden/>
              </w:rPr>
              <w:tab/>
            </w:r>
            <w:r>
              <w:rPr>
                <w:noProof/>
                <w:webHidden/>
              </w:rPr>
              <w:fldChar w:fldCharType="begin"/>
            </w:r>
            <w:r>
              <w:rPr>
                <w:noProof/>
                <w:webHidden/>
              </w:rPr>
              <w:instrText xml:space="preserve"> PAGEREF _Toc198028617 \h </w:instrText>
            </w:r>
            <w:r>
              <w:rPr>
                <w:noProof/>
                <w:webHidden/>
              </w:rPr>
            </w:r>
            <w:r>
              <w:rPr>
                <w:noProof/>
                <w:webHidden/>
              </w:rPr>
              <w:fldChar w:fldCharType="separate"/>
            </w:r>
            <w:r w:rsidR="007D2D48">
              <w:rPr>
                <w:noProof/>
                <w:webHidden/>
              </w:rPr>
              <w:t>22</w:t>
            </w:r>
            <w:r>
              <w:rPr>
                <w:noProof/>
                <w:webHidden/>
              </w:rPr>
              <w:fldChar w:fldCharType="end"/>
            </w:r>
          </w:hyperlink>
        </w:p>
        <w:p w14:paraId="4F2DB26E" w14:textId="139BC7F5"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8" w:history="1">
            <w:r w:rsidRPr="00217317">
              <w:rPr>
                <w:rStyle w:val="Hyperlink"/>
                <w:noProof/>
              </w:rPr>
              <w:t>TEZEPELUMAB</w:t>
            </w:r>
            <w:r>
              <w:rPr>
                <w:noProof/>
                <w:webHidden/>
              </w:rPr>
              <w:tab/>
            </w:r>
            <w:r>
              <w:rPr>
                <w:noProof/>
                <w:webHidden/>
              </w:rPr>
              <w:fldChar w:fldCharType="begin"/>
            </w:r>
            <w:r>
              <w:rPr>
                <w:noProof/>
                <w:webHidden/>
              </w:rPr>
              <w:instrText xml:space="preserve"> PAGEREF _Toc198028618 \h </w:instrText>
            </w:r>
            <w:r>
              <w:rPr>
                <w:noProof/>
                <w:webHidden/>
              </w:rPr>
            </w:r>
            <w:r>
              <w:rPr>
                <w:noProof/>
                <w:webHidden/>
              </w:rPr>
              <w:fldChar w:fldCharType="separate"/>
            </w:r>
            <w:r w:rsidR="007D2D48">
              <w:rPr>
                <w:noProof/>
                <w:webHidden/>
              </w:rPr>
              <w:t>22</w:t>
            </w:r>
            <w:r>
              <w:rPr>
                <w:noProof/>
                <w:webHidden/>
              </w:rPr>
              <w:fldChar w:fldCharType="end"/>
            </w:r>
          </w:hyperlink>
        </w:p>
        <w:p w14:paraId="2723105C" w14:textId="4F12D219"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9" w:history="1">
            <w:r w:rsidRPr="00217317">
              <w:rPr>
                <w:rStyle w:val="Hyperlink"/>
                <w:noProof/>
              </w:rPr>
              <w:t>VELMANASE ALFA</w:t>
            </w:r>
            <w:r>
              <w:rPr>
                <w:noProof/>
                <w:webHidden/>
              </w:rPr>
              <w:tab/>
            </w:r>
            <w:r>
              <w:rPr>
                <w:noProof/>
                <w:webHidden/>
              </w:rPr>
              <w:fldChar w:fldCharType="begin"/>
            </w:r>
            <w:r>
              <w:rPr>
                <w:noProof/>
                <w:webHidden/>
              </w:rPr>
              <w:instrText xml:space="preserve"> PAGEREF _Toc198028619 \h </w:instrText>
            </w:r>
            <w:r>
              <w:rPr>
                <w:noProof/>
                <w:webHidden/>
              </w:rPr>
            </w:r>
            <w:r>
              <w:rPr>
                <w:noProof/>
                <w:webHidden/>
              </w:rPr>
              <w:fldChar w:fldCharType="separate"/>
            </w:r>
            <w:r w:rsidR="007D2D48">
              <w:rPr>
                <w:noProof/>
                <w:webHidden/>
              </w:rPr>
              <w:t>23</w:t>
            </w:r>
            <w:r>
              <w:rPr>
                <w:noProof/>
                <w:webHidden/>
              </w:rPr>
              <w:fldChar w:fldCharType="end"/>
            </w:r>
          </w:hyperlink>
        </w:p>
        <w:p w14:paraId="09B05728" w14:textId="07377091"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5A2B109E" w:rsidR="00457050" w:rsidRPr="00BC2009" w:rsidRDefault="00457050" w:rsidP="00967490">
      <w:pPr>
        <w:pStyle w:val="Heading2"/>
      </w:pPr>
      <w:bookmarkStart w:id="10" w:name="_Toc97640261"/>
      <w:bookmarkStart w:id="11" w:name="_Toc198028596"/>
      <w:r w:rsidRPr="00597B50">
        <w:lastRenderedPageBreak/>
        <w:t>Notice of final decisions to amend (or not amend) the current Poisons Standard</w:t>
      </w:r>
      <w:bookmarkEnd w:id="10"/>
      <w:bookmarkEnd w:id="11"/>
    </w:p>
    <w:p w14:paraId="2FB850E1" w14:textId="4BB6B3F2" w:rsidR="00457050" w:rsidRPr="00206027" w:rsidRDefault="00457050" w:rsidP="00967490">
      <w:pPr>
        <w:rPr>
          <w:rFonts w:cs="Arial"/>
        </w:rPr>
      </w:pPr>
      <w:r w:rsidRPr="00206027">
        <w:rPr>
          <w:rFonts w:cs="Arial"/>
        </w:rPr>
        <w:t xml:space="preserve">This web publication constitutes a notice for the purposes of regulation </w:t>
      </w:r>
      <w:r w:rsidRPr="0011279A">
        <w:rPr>
          <w:rFonts w:cs="Arial"/>
        </w:rPr>
        <w:t>42ZCZS</w:t>
      </w:r>
      <w:r w:rsidR="0011279A" w:rsidRPr="0011279A">
        <w:rPr>
          <w:rFonts w:cs="Arial"/>
        </w:rPr>
        <w:t xml:space="preserve"> </w:t>
      </w:r>
      <w:r w:rsidRPr="0011279A">
        <w:rPr>
          <w:rFonts w:cs="Arial"/>
        </w:rPr>
        <w:t>and regulation 42ZCZX</w:t>
      </w:r>
      <w:r w:rsidRPr="00206027">
        <w:rPr>
          <w:rFonts w:cs="Arial"/>
        </w:rPr>
        <w:t xml:space="preserve"> of the </w:t>
      </w:r>
      <w:r w:rsidRPr="00206027">
        <w:rPr>
          <w:rFonts w:cs="Arial"/>
          <w:i/>
        </w:rPr>
        <w:t xml:space="preserve">Therapeutic Goods Regulations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regulations 42ZCZS</w:t>
      </w:r>
      <w:r w:rsidR="0011279A" w:rsidRPr="0011279A">
        <w:rPr>
          <w:rFonts w:cs="Arial"/>
        </w:rPr>
        <w:t xml:space="preserve"> </w:t>
      </w:r>
      <w:r w:rsidRPr="0011279A">
        <w:rPr>
          <w:rFonts w:cs="Arial"/>
        </w:rPr>
        <w:t>and 42CZX,</w:t>
      </w:r>
      <w:r w:rsidRPr="00206027">
        <w:rPr>
          <w:rFonts w:cs="Arial"/>
        </w:rPr>
        <w:t xml:space="preserve"> this notice publishes:</w:t>
      </w:r>
    </w:p>
    <w:p w14:paraId="4D038242" w14:textId="52C809D4" w:rsidR="00457050" w:rsidRPr="00206027" w:rsidRDefault="00457050" w:rsidP="000F338A">
      <w:pPr>
        <w:pStyle w:val="ListBullet"/>
      </w:pPr>
      <w:r w:rsidRPr="00206027">
        <w:t>the decision</w:t>
      </w:r>
      <w:r w:rsidR="00C5736D">
        <w:t>s</w:t>
      </w:r>
      <w:r w:rsidRPr="00206027">
        <w:t xml:space="preserve"> made by a delegate</w:t>
      </w:r>
      <w:r w:rsidRPr="00206027">
        <w:rPr>
          <w:rStyle w:val="FootnoteReference"/>
          <w:rFonts w:cs="Arial"/>
        </w:rPr>
        <w:footnoteReference w:id="1"/>
      </w:r>
      <w:r w:rsidRPr="00206027">
        <w:t xml:space="preserve"> of the Secretary of the Department of Health and Aged Care (the </w:t>
      </w:r>
      <w:r w:rsidRPr="00206027">
        <w:rPr>
          <w:b/>
          <w:bCs/>
        </w:rPr>
        <w:t>Delegate</w:t>
      </w:r>
      <w:r w:rsidRPr="00206027">
        <w:t>) pursuant to regulation</w:t>
      </w:r>
      <w:r w:rsidR="00C5736D">
        <w:t>s</w:t>
      </w:r>
      <w:r w:rsidRPr="00206027">
        <w:t xml:space="preserve"> 42CZR, 42ZCZU AND 42ZCZW</w:t>
      </w:r>
    </w:p>
    <w:p w14:paraId="1AA8F280" w14:textId="02E74F82" w:rsidR="00457050" w:rsidRPr="00206027" w:rsidRDefault="00457050" w:rsidP="000F338A">
      <w:pPr>
        <w:pStyle w:val="ListBullet"/>
      </w:pPr>
      <w:r w:rsidRPr="00206027">
        <w:t xml:space="preserve">the reasons for </w:t>
      </w:r>
      <w:r w:rsidR="00C5736D">
        <w:t>those</w:t>
      </w:r>
      <w:r w:rsidRPr="00206027">
        <w:t xml:space="preserve"> final decision</w:t>
      </w:r>
      <w:r w:rsidR="00C5736D">
        <w:t>s</w:t>
      </w:r>
      <w:r w:rsidRPr="00206027">
        <w:t xml:space="preserve"> and</w:t>
      </w:r>
    </w:p>
    <w:p w14:paraId="5E6BC7C7" w14:textId="0076B117" w:rsidR="00457050" w:rsidRPr="00206027" w:rsidRDefault="00457050" w:rsidP="000F338A">
      <w:pPr>
        <w:pStyle w:val="ListBullet"/>
      </w:pPr>
      <w:r w:rsidRPr="00206027">
        <w:t>the date of effect of</w:t>
      </w:r>
      <w:r w:rsidR="00C5736D">
        <w:t xml:space="preserve"> those</w:t>
      </w:r>
      <w:r w:rsidRPr="00206027">
        <w:t xml:space="preserve"> decision</w:t>
      </w:r>
      <w:r w:rsidR="00C5736D">
        <w:t>s.</w:t>
      </w:r>
    </w:p>
    <w:p w14:paraId="67DC0EBB" w14:textId="6242BB51" w:rsidR="00457050" w:rsidRPr="00206027" w:rsidRDefault="00831B56" w:rsidP="000F338A">
      <w:pPr>
        <w:pStyle w:val="ListBullet"/>
      </w:pPr>
      <w:r w:rsidRPr="00206027">
        <w:t>Defined terms</w:t>
      </w:r>
    </w:p>
    <w:p w14:paraId="3518FC9A" w14:textId="39B18FB7" w:rsidR="00831B56" w:rsidRPr="00206027" w:rsidRDefault="00831B56" w:rsidP="000F338A">
      <w:pPr>
        <w:pStyle w:val="ListBullet"/>
      </w:pPr>
      <w:r w:rsidRPr="00206027">
        <w:t>In this notice the following defined terms are used in addition to those above:</w:t>
      </w:r>
    </w:p>
    <w:p w14:paraId="6BE33439" w14:textId="29031A03" w:rsidR="00831B56" w:rsidRPr="00206027" w:rsidRDefault="00831B56" w:rsidP="000F338A">
      <w:pPr>
        <w:pStyle w:val="ListBullet"/>
      </w:pPr>
      <w:r w:rsidRPr="00206027">
        <w:t xml:space="preserve">the Therapeutic Goods Act 1989 (Cth) (the </w:t>
      </w:r>
      <w:r w:rsidRPr="00206027">
        <w:rPr>
          <w:b/>
          <w:bCs/>
        </w:rPr>
        <w:t>Act</w:t>
      </w:r>
      <w:r w:rsidRPr="00206027">
        <w:t>)</w:t>
      </w:r>
    </w:p>
    <w:p w14:paraId="6550B5E6" w14:textId="5EBA37FF" w:rsidR="00831B56" w:rsidRPr="00206027" w:rsidRDefault="00831B56" w:rsidP="000F338A">
      <w:pPr>
        <w:pStyle w:val="ListBullet"/>
        <w:rPr>
          <w:rFonts w:cs="Arial"/>
        </w:rPr>
      </w:pPr>
      <w:r w:rsidRPr="00206027">
        <w:rPr>
          <w:rFonts w:cs="Arial"/>
        </w:rPr>
        <w:t xml:space="preserve">the </w:t>
      </w:r>
      <w:hyperlink r:id="rId12"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46FFCF22" w:rsidR="00831B56" w:rsidRPr="00206027" w:rsidRDefault="00831B56" w:rsidP="000F338A">
      <w:pPr>
        <w:pStyle w:val="ListBullet"/>
        <w:rPr>
          <w:rFonts w:cs="Arial"/>
        </w:rPr>
      </w:pPr>
      <w:r w:rsidRPr="00206027">
        <w:rPr>
          <w:rFonts w:cs="Arial"/>
        </w:rPr>
        <w:t>the Scheduling handbook</w:t>
      </w:r>
      <w:r w:rsidR="00FC1EB4" w:rsidRPr="00206027">
        <w:rPr>
          <w:rFonts w:cs="Arial"/>
        </w:rPr>
        <w:t>,</w:t>
      </w:r>
      <w:r w:rsidRPr="00206027">
        <w:rPr>
          <w:rFonts w:cs="Arial"/>
        </w:rPr>
        <w:t xml:space="preserve"> </w:t>
      </w:r>
      <w:hyperlink r:id="rId13" w:history="1">
        <w:r w:rsidRPr="00206027">
          <w:rPr>
            <w:rStyle w:val="Hyperlink"/>
            <w:rFonts w:cs="Arial"/>
          </w:rPr>
          <w:t>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0F338A">
      <w:pPr>
        <w:pStyle w:val="ListBullet"/>
      </w:pPr>
      <w:r w:rsidRPr="00206027">
        <w:t xml:space="preserve">the Therapeutic Goods Administration (the </w:t>
      </w:r>
      <w:r w:rsidRPr="00206027">
        <w:rPr>
          <w:b/>
          <w:bCs/>
        </w:rPr>
        <w:t>TGA</w:t>
      </w:r>
      <w:r w:rsidRPr="00206027">
        <w:t>).</w:t>
      </w:r>
    </w:p>
    <w:p w14:paraId="1ECB50B6" w14:textId="5A17E978" w:rsidR="00831B56" w:rsidRPr="00206027" w:rsidRDefault="00831B56" w:rsidP="000F338A">
      <w:pPr>
        <w:pStyle w:val="ListBullet"/>
        <w:numPr>
          <w:ilvl w:val="0"/>
          <w:numId w:val="0"/>
        </w:numPr>
        <w:ind w:left="207"/>
      </w:pPr>
      <w:r w:rsidRPr="00206027">
        <w:t>Note: additional terms are also defined for individual decisions.</w:t>
      </w:r>
    </w:p>
    <w:p w14:paraId="78617E2B" w14:textId="77777777" w:rsidR="00E82526" w:rsidRDefault="00E82526">
      <w:pPr>
        <w:rPr>
          <w:rFonts w:eastAsia="Times New Roman" w:cs="Times New Roman"/>
          <w:b/>
          <w:bCs/>
          <w:color w:val="001871"/>
          <w:sz w:val="38"/>
          <w:szCs w:val="38"/>
        </w:rPr>
      </w:pPr>
      <w:bookmarkStart w:id="12" w:name="_Toc97640263"/>
      <w:r>
        <w:br w:type="page"/>
      </w:r>
    </w:p>
    <w:p w14:paraId="66FD8F80" w14:textId="09BFD1DF" w:rsidR="008921D5" w:rsidRPr="00FA029A" w:rsidRDefault="008921D5" w:rsidP="008921D5">
      <w:pPr>
        <w:pStyle w:val="Heading2"/>
      </w:pPr>
      <w:bookmarkStart w:id="13" w:name="_Toc198028597"/>
      <w:r>
        <w:lastRenderedPageBreak/>
        <w:t>Final</w:t>
      </w:r>
      <w:r w:rsidRPr="00FA029A">
        <w:t xml:space="preserve"> decisions on proposed amendments referred to the Advisory Committee o</w:t>
      </w:r>
      <w:r>
        <w:t>n Medicines Scheduling (ACMS #4</w:t>
      </w:r>
      <w:r w:rsidR="00E21AC7">
        <w:t>6</w:t>
      </w:r>
      <w:r>
        <w:t xml:space="preserve">, </w:t>
      </w:r>
      <w:r w:rsidR="00E21AC7">
        <w:t>November</w:t>
      </w:r>
      <w:r w:rsidR="00894493">
        <w:t xml:space="preserve"> </w:t>
      </w:r>
      <w:r>
        <w:t>2024</w:t>
      </w:r>
      <w:r w:rsidRPr="00FA029A">
        <w:t>)</w:t>
      </w:r>
      <w:bookmarkEnd w:id="12"/>
      <w:bookmarkEnd w:id="13"/>
    </w:p>
    <w:p w14:paraId="287721DB" w14:textId="0F61DDE3" w:rsidR="008921D5" w:rsidRDefault="008921D5" w:rsidP="00335538">
      <w:pPr>
        <w:pStyle w:val="Heading3"/>
      </w:pPr>
      <w:bookmarkStart w:id="14" w:name="_Toc46325255"/>
      <w:bookmarkStart w:id="15" w:name="_Toc46325611"/>
      <w:bookmarkStart w:id="16" w:name="_Toc46327427"/>
      <w:bookmarkStart w:id="17" w:name="_Toc46412213"/>
      <w:bookmarkStart w:id="18" w:name="_Final_decision_in"/>
      <w:bookmarkStart w:id="19" w:name="_Toc46325256"/>
      <w:bookmarkStart w:id="20" w:name="_Toc46325612"/>
      <w:bookmarkStart w:id="21" w:name="_Toc46327428"/>
      <w:bookmarkStart w:id="22" w:name="_Toc46412214"/>
      <w:bookmarkStart w:id="23" w:name="_Toc46325257"/>
      <w:bookmarkStart w:id="24" w:name="_Toc46325613"/>
      <w:bookmarkStart w:id="25" w:name="_Toc46327429"/>
      <w:bookmarkStart w:id="26" w:name="_Toc46412215"/>
      <w:bookmarkStart w:id="27" w:name="_Toc46325258"/>
      <w:bookmarkStart w:id="28" w:name="_Toc46325614"/>
      <w:bookmarkStart w:id="29" w:name="_Toc46327430"/>
      <w:bookmarkStart w:id="30" w:name="_Toc46412216"/>
      <w:bookmarkStart w:id="31" w:name="_Toc46325259"/>
      <w:bookmarkStart w:id="32" w:name="_Toc46325615"/>
      <w:bookmarkStart w:id="33" w:name="_Toc46327431"/>
      <w:bookmarkStart w:id="34" w:name="_Toc46412217"/>
      <w:bookmarkStart w:id="35" w:name="_Final_decision_in_1"/>
      <w:bookmarkStart w:id="36" w:name="_Toc19802859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 xml:space="preserve">Final decision in relation to </w:t>
      </w:r>
      <w:r w:rsidR="00756100" w:rsidRPr="00756100">
        <w:rPr>
          <w:i/>
          <w:iCs/>
        </w:rPr>
        <w:t>Atropa belladonna</w:t>
      </w:r>
      <w:bookmarkEnd w:id="36"/>
    </w:p>
    <w:p w14:paraId="0B3246E1" w14:textId="77777777" w:rsidR="00FE75C7" w:rsidRPr="00335538" w:rsidRDefault="00FE75C7" w:rsidP="00335538">
      <w:pPr>
        <w:pStyle w:val="Heading4"/>
      </w:pPr>
      <w:r w:rsidRPr="00335538">
        <w:t>Proposal</w:t>
      </w:r>
    </w:p>
    <w:p w14:paraId="22D5D6D2" w14:textId="4C4903A8" w:rsidR="00FE75C7" w:rsidRDefault="00E31904" w:rsidP="00FE75C7">
      <w:pPr>
        <w:jc w:val="both"/>
      </w:pPr>
      <w:r w:rsidRPr="00E31904">
        <w:t>The Delegate of the Secretary of the Department of Health and Aged Care ha</w:t>
      </w:r>
      <w:r w:rsidR="005A51B0">
        <w:t>d</w:t>
      </w:r>
      <w:r w:rsidRPr="00E31904">
        <w:t xml:space="preserve"> proposed deletion of the Pharmacy medicine (Schedule 2) entry for </w:t>
      </w:r>
      <w:r w:rsidRPr="00DC597C">
        <w:rPr>
          <w:i/>
          <w:iCs/>
        </w:rPr>
        <w:t>Atropa belladonna</w:t>
      </w:r>
      <w:r w:rsidRPr="00E31904">
        <w:t xml:space="preserve"> (belladonna) from the Poisons Standard, making all preparations Prescription Only medicine</w:t>
      </w:r>
      <w:r w:rsidR="001408F6">
        <w:t>s</w:t>
      </w:r>
      <w:r w:rsidRPr="00E31904">
        <w:t xml:space="preserve"> (Schedule 4). </w:t>
      </w:r>
      <w:r w:rsidRPr="00DC597C">
        <w:rPr>
          <w:i/>
          <w:iCs/>
        </w:rPr>
        <w:t>Atropa belladonna</w:t>
      </w:r>
      <w:r w:rsidRPr="00E31904">
        <w:t xml:space="preserve"> is included in Schedule 2, Schedule 4 and Appendix G in the current Poisons Standard.</w:t>
      </w:r>
    </w:p>
    <w:p w14:paraId="009EE8CC" w14:textId="41296746" w:rsidR="00FE75C7" w:rsidRPr="00967490" w:rsidRDefault="00FE75C7" w:rsidP="00335538">
      <w:pPr>
        <w:pStyle w:val="Heading4"/>
      </w:pPr>
      <w:r w:rsidRPr="00967490">
        <w:t>Final decision</w:t>
      </w:r>
    </w:p>
    <w:p w14:paraId="7B2D7001" w14:textId="77777777" w:rsidR="00972C89" w:rsidRPr="00AE1A3C" w:rsidRDefault="00972C89" w:rsidP="00972C89">
      <w:pPr>
        <w:rPr>
          <w:highlight w:val="yellow"/>
        </w:rPr>
      </w:pPr>
      <w:r w:rsidRPr="001524A3">
        <w:t>P</w:t>
      </w:r>
      <w:r w:rsidRPr="005B1C1F">
        <w:t>ursuant to regulation 42ZCZR of the Regulations</w:t>
      </w:r>
      <w:r w:rsidRPr="00794ED2">
        <w:t>, the delegate has decided to confirm the</w:t>
      </w:r>
      <w:r w:rsidRPr="005B1C1F">
        <w:t xml:space="preserve"> interim decision and amend the current Poisons Standard in relation to </w:t>
      </w:r>
      <w:r w:rsidRPr="005B1C1F">
        <w:rPr>
          <w:i/>
          <w:iCs/>
        </w:rPr>
        <w:t>Atropa belladonna</w:t>
      </w:r>
      <w:r w:rsidRPr="005B1C1F">
        <w:t xml:space="preserve"> as follows:</w:t>
      </w:r>
      <w:r w:rsidRPr="005B1C1F">
        <w:rPr>
          <w:rStyle w:val="FootnoteReference"/>
        </w:rPr>
        <w:footnoteReference w:id="2"/>
      </w:r>
    </w:p>
    <w:p w14:paraId="192ED2F9"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Schedule 4</w:t>
      </w:r>
    </w:p>
    <w:p w14:paraId="346050A2" w14:textId="77777777" w:rsidR="00972C89" w:rsidRPr="00BC2307" w:rsidRDefault="00972C89" w:rsidP="00972C89">
      <w:pPr>
        <w:ind w:firstLine="567"/>
        <w:rPr>
          <w:rFonts w:eastAsia="Cambria" w:cs="Arial"/>
          <w:i/>
          <w:color w:val="4D2779"/>
          <w:szCs w:val="20"/>
        </w:rPr>
      </w:pPr>
      <w:r w:rsidRPr="00BC2307">
        <w:rPr>
          <w:rFonts w:cs="Arial"/>
          <w:color w:val="auto"/>
          <w:szCs w:val="20"/>
        </w:rPr>
        <w:t xml:space="preserve">ATROPA BELLADONNA (belladonna) </w:t>
      </w:r>
      <w:r w:rsidRPr="00BC2307">
        <w:rPr>
          <w:rFonts w:cs="Arial"/>
          <w:b/>
          <w:bCs/>
          <w:color w:val="auto"/>
          <w:szCs w:val="20"/>
        </w:rPr>
        <w:t xml:space="preserve">except </w:t>
      </w:r>
      <w:r w:rsidRPr="00BC2307">
        <w:rPr>
          <w:rFonts w:cs="Arial"/>
          <w:color w:val="auto"/>
          <w:szCs w:val="20"/>
        </w:rPr>
        <w:t>when included in Schedule 2.</w:t>
      </w:r>
    </w:p>
    <w:p w14:paraId="6E0216D6"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Schedule 2 – Amend Entry</w:t>
      </w:r>
    </w:p>
    <w:p w14:paraId="61331497" w14:textId="77777777" w:rsidR="00972C89" w:rsidRPr="00BC2307" w:rsidRDefault="00972C89" w:rsidP="00972C89">
      <w:pPr>
        <w:ind w:firstLine="567"/>
        <w:rPr>
          <w:rFonts w:cs="Arial"/>
          <w:color w:val="auto"/>
          <w:szCs w:val="20"/>
        </w:rPr>
      </w:pPr>
      <w:r w:rsidRPr="00BC2307">
        <w:rPr>
          <w:rFonts w:cs="Arial"/>
          <w:color w:val="auto"/>
          <w:szCs w:val="20"/>
        </w:rPr>
        <w:t>ATROPA BELLADONNA (belladonna):</w:t>
      </w:r>
    </w:p>
    <w:p w14:paraId="7FA9C0A4" w14:textId="77777777" w:rsidR="00972C89" w:rsidRPr="00BC2307" w:rsidRDefault="00972C89" w:rsidP="00972C89">
      <w:pPr>
        <w:autoSpaceDE w:val="0"/>
        <w:autoSpaceDN w:val="0"/>
        <w:adjustRightInd w:val="0"/>
        <w:spacing w:before="120" w:after="180" w:line="240" w:lineRule="atLeast"/>
        <w:ind w:left="1145" w:hanging="357"/>
        <w:rPr>
          <w:rFonts w:cs="Arial"/>
          <w:color w:val="auto"/>
        </w:rPr>
      </w:pPr>
      <w:r w:rsidRPr="7F29EC43">
        <w:rPr>
          <w:rFonts w:cs="Arial"/>
          <w:color w:val="auto"/>
        </w:rPr>
        <w:t>(a)</w:t>
      </w:r>
      <w:r>
        <w:tab/>
      </w:r>
      <w:r w:rsidRPr="7F29EC43">
        <w:rPr>
          <w:rFonts w:cs="Arial"/>
          <w:color w:val="auto"/>
        </w:rPr>
        <w:t>for external use in preparations containing 0.03% or less of total solanaceous           alkaloids; or</w:t>
      </w:r>
    </w:p>
    <w:p w14:paraId="2E5040FA" w14:textId="77777777" w:rsidR="00972C89" w:rsidRPr="00BC2307" w:rsidRDefault="00972C89" w:rsidP="00972C89">
      <w:pPr>
        <w:autoSpaceDE w:val="0"/>
        <w:autoSpaceDN w:val="0"/>
        <w:adjustRightInd w:val="0"/>
        <w:spacing w:before="120" w:after="180" w:line="240" w:lineRule="atLeast"/>
        <w:ind w:left="1145" w:hanging="357"/>
        <w:rPr>
          <w:rFonts w:cs="Arial"/>
          <w:color w:val="auto"/>
          <w:szCs w:val="20"/>
        </w:rPr>
      </w:pPr>
      <w:r w:rsidRPr="00BC2307">
        <w:rPr>
          <w:rFonts w:cs="Arial"/>
          <w:color w:val="auto"/>
          <w:szCs w:val="20"/>
        </w:rPr>
        <w:t xml:space="preserve">(b) </w:t>
      </w:r>
      <w:r w:rsidRPr="00BC2307">
        <w:rPr>
          <w:rFonts w:cs="Arial"/>
          <w:color w:val="auto"/>
          <w:szCs w:val="20"/>
        </w:rPr>
        <w:tab/>
        <w:t xml:space="preserve">for oral use </w:t>
      </w:r>
      <w:r w:rsidRPr="00BC2307">
        <w:rPr>
          <w:rFonts w:eastAsia="Cambria" w:cs="Arial"/>
          <w:color w:val="00B050"/>
          <w:szCs w:val="20"/>
          <w:lang w:eastAsia="en-AU"/>
        </w:rPr>
        <w:t>in adults and children 6 years of age and over:</w:t>
      </w:r>
    </w:p>
    <w:p w14:paraId="57D971CA" w14:textId="77777777" w:rsidR="00972C89" w:rsidRPr="00BC2307" w:rsidRDefault="00972C89" w:rsidP="00972C89">
      <w:pPr>
        <w:autoSpaceDE w:val="0"/>
        <w:autoSpaceDN w:val="0"/>
        <w:adjustRightInd w:val="0"/>
        <w:ind w:left="1191"/>
        <w:rPr>
          <w:rFonts w:cs="Arial"/>
          <w:color w:val="auto"/>
          <w:szCs w:val="20"/>
        </w:rPr>
      </w:pPr>
      <w:r w:rsidRPr="00BC2307">
        <w:rPr>
          <w:rFonts w:cs="Arial"/>
          <w:color w:val="auto"/>
          <w:szCs w:val="20"/>
        </w:rPr>
        <w:t xml:space="preserve">(i) </w:t>
      </w:r>
      <w:r w:rsidRPr="00BC2307">
        <w:rPr>
          <w:rFonts w:cs="Arial"/>
          <w:color w:val="auto"/>
          <w:szCs w:val="20"/>
        </w:rPr>
        <w:tab/>
        <w:t>in undivided preparations containing 0.03% or less of total solanaceous alkaloids when labelled with a dose of 0.3 mg or less of total solanaceous alkaloids and a recommended daily dose of 1.2 mg or less of total solanaceous alkaloids; or</w:t>
      </w:r>
    </w:p>
    <w:p w14:paraId="4BEF2A59" w14:textId="77777777" w:rsidR="00972C89" w:rsidRPr="00BC2307" w:rsidRDefault="00972C89" w:rsidP="00972C89">
      <w:pPr>
        <w:autoSpaceDE w:val="0"/>
        <w:autoSpaceDN w:val="0"/>
        <w:adjustRightInd w:val="0"/>
        <w:ind w:left="1191"/>
        <w:rPr>
          <w:rFonts w:cs="Arial"/>
          <w:color w:val="auto"/>
          <w:szCs w:val="20"/>
        </w:rPr>
      </w:pPr>
      <w:r w:rsidRPr="00BC2307">
        <w:rPr>
          <w:rFonts w:cs="Arial"/>
          <w:color w:val="auto"/>
          <w:szCs w:val="20"/>
        </w:rPr>
        <w:t>(ii) in divided preparations containing 0.3 mg or less of total solanaceous alkaloids per dosage unit, when labelled with a recommended daily dose of 1.2 mg or less of total solanaceous alkaloids.</w:t>
      </w:r>
    </w:p>
    <w:p w14:paraId="31387B9D"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 xml:space="preserve">Index </w:t>
      </w:r>
    </w:p>
    <w:p w14:paraId="5EEB035C" w14:textId="77777777" w:rsidR="00972C89" w:rsidRPr="00BC2307" w:rsidRDefault="00972C89" w:rsidP="00972C89">
      <w:pPr>
        <w:ind w:left="425"/>
        <w:rPr>
          <w:b/>
          <w:bCs/>
          <w:color w:val="auto"/>
          <w:szCs w:val="20"/>
        </w:rPr>
      </w:pPr>
      <w:r w:rsidRPr="00BC2307">
        <w:rPr>
          <w:b/>
          <w:bCs/>
          <w:color w:val="auto"/>
          <w:szCs w:val="20"/>
        </w:rPr>
        <w:t>ATROPA BELLADONNA</w:t>
      </w:r>
    </w:p>
    <w:p w14:paraId="78ECCBA4" w14:textId="77777777" w:rsidR="00972C89" w:rsidRPr="00BC2307" w:rsidRDefault="00972C89" w:rsidP="00972C89">
      <w:pPr>
        <w:ind w:left="425"/>
        <w:rPr>
          <w:color w:val="auto"/>
          <w:szCs w:val="20"/>
        </w:rPr>
      </w:pPr>
      <w:r w:rsidRPr="00BC2307">
        <w:rPr>
          <w:color w:val="auto"/>
          <w:szCs w:val="20"/>
        </w:rPr>
        <w:t>Cross reference: BELLADONNA</w:t>
      </w:r>
    </w:p>
    <w:p w14:paraId="2F4D5002" w14:textId="77777777" w:rsidR="00972C89" w:rsidRPr="00BC2307" w:rsidRDefault="00972C89" w:rsidP="00972C89">
      <w:pPr>
        <w:ind w:left="425"/>
        <w:rPr>
          <w:color w:val="auto"/>
          <w:szCs w:val="20"/>
        </w:rPr>
      </w:pPr>
      <w:r w:rsidRPr="00BC2307">
        <w:rPr>
          <w:color w:val="auto"/>
          <w:szCs w:val="20"/>
        </w:rPr>
        <w:t>Schedule 4</w:t>
      </w:r>
    </w:p>
    <w:p w14:paraId="44033943" w14:textId="77777777" w:rsidR="00972C89" w:rsidRPr="00BC2307" w:rsidRDefault="00972C89" w:rsidP="00972C89">
      <w:pPr>
        <w:ind w:left="425"/>
        <w:rPr>
          <w:color w:val="auto"/>
          <w:szCs w:val="20"/>
        </w:rPr>
      </w:pPr>
      <w:r w:rsidRPr="00BC2307">
        <w:rPr>
          <w:color w:val="auto"/>
          <w:szCs w:val="20"/>
        </w:rPr>
        <w:t>Schedule 2</w:t>
      </w:r>
    </w:p>
    <w:p w14:paraId="6B55778E" w14:textId="4AB8A5B1" w:rsidR="00FE75C7" w:rsidRDefault="00972C89" w:rsidP="00AB29DF">
      <w:pPr>
        <w:ind w:firstLine="425"/>
        <w:jc w:val="both"/>
      </w:pPr>
      <w:r w:rsidRPr="00BC2307">
        <w:rPr>
          <w:color w:val="auto"/>
          <w:szCs w:val="20"/>
        </w:rPr>
        <w:t>Appendix G, clause 1</w:t>
      </w:r>
    </w:p>
    <w:p w14:paraId="115C2705" w14:textId="4F8894E9" w:rsidR="00FE75C7" w:rsidRPr="00967490" w:rsidRDefault="00FE75C7" w:rsidP="00335538">
      <w:pPr>
        <w:pStyle w:val="Heading4"/>
      </w:pPr>
      <w:r w:rsidRPr="00967490">
        <w:lastRenderedPageBreak/>
        <w:t>Materials considered</w:t>
      </w:r>
    </w:p>
    <w:p w14:paraId="0EAB8E5C" w14:textId="77777777" w:rsidR="00B60949" w:rsidRPr="001B2450" w:rsidRDefault="00B60949" w:rsidP="00B60949">
      <w:r w:rsidRPr="001B2450">
        <w:t>In making this final decision, the Delegate considered the following material</w:t>
      </w:r>
      <w:r>
        <w:t>s</w:t>
      </w:r>
      <w:r w:rsidRPr="001B2450">
        <w:t>:</w:t>
      </w:r>
    </w:p>
    <w:p w14:paraId="6681263A" w14:textId="77777777" w:rsidR="00B60949" w:rsidRDefault="00B60949" w:rsidP="000F338A">
      <w:pPr>
        <w:pStyle w:val="ListBullet"/>
      </w:pPr>
      <w:r w:rsidRPr="006C67B4">
        <w:t xml:space="preserve">The proposal to amend the current Poisons Standard with respect to </w:t>
      </w:r>
      <w:r w:rsidRPr="006C67B4">
        <w:rPr>
          <w:i/>
          <w:iCs/>
        </w:rPr>
        <w:t>Atropa belladonna</w:t>
      </w:r>
      <w:r w:rsidRPr="006C67B4">
        <w:t xml:space="preserve"> </w:t>
      </w:r>
      <w:r w:rsidRPr="009918E9">
        <w:t xml:space="preserve">(the </w:t>
      </w:r>
      <w:r w:rsidRPr="00AC6A5B">
        <w:rPr>
          <w:b/>
          <w:bCs/>
        </w:rPr>
        <w:t>Proposal</w:t>
      </w:r>
      <w:r w:rsidRPr="009918E9">
        <w:t>)</w:t>
      </w:r>
    </w:p>
    <w:p w14:paraId="03A471DD" w14:textId="77777777" w:rsidR="00B60949" w:rsidRPr="00715EDB" w:rsidRDefault="00B60949" w:rsidP="000F338A">
      <w:pPr>
        <w:pStyle w:val="ListBullet"/>
      </w:pPr>
      <w:r w:rsidRPr="00B03B68">
        <w:t>T</w:t>
      </w:r>
      <w:sdt>
        <w:sdtPr>
          <w:id w:val="-1478915182"/>
          <w:placeholder>
            <w:docPart w:val="005F7CAF3BA2418DBCAFEF7F2E207C04"/>
          </w:placeholder>
        </w:sdtPr>
        <w:sdtEndPr/>
        <w:sdtContent>
          <w:r w:rsidRPr="00715EDB">
            <w:t xml:space="preserve">he 6 </w:t>
          </w:r>
          <w:hyperlink r:id="rId14" w:history="1">
            <w:r w:rsidRPr="00715EDB">
              <w:rPr>
                <w:rStyle w:val="Hyperlink"/>
              </w:rPr>
              <w:t>public submissions</w:t>
            </w:r>
          </w:hyperlink>
          <w:r w:rsidRPr="00715EDB">
            <w:t xml:space="preserve">, all with a written component, received in response to the </w:t>
          </w:r>
          <w:hyperlink r:id="rId15" w:history="1">
            <w:r w:rsidRPr="00715EDB">
              <w:rPr>
                <w:rStyle w:val="Hyperlink"/>
              </w:rPr>
              <w:t>pre-meeting consultation</w:t>
            </w:r>
          </w:hyperlink>
          <w:r w:rsidRPr="00715EDB">
            <w:t xml:space="preserve"> under regulation 42ZCZK of the Regulations</w:t>
          </w:r>
        </w:sdtContent>
      </w:sdt>
      <w:r w:rsidRPr="00715EDB">
        <w:t xml:space="preserve"> (the </w:t>
      </w:r>
      <w:r w:rsidRPr="006C67B4">
        <w:rPr>
          <w:b/>
          <w:bCs/>
        </w:rPr>
        <w:t>Submissions</w:t>
      </w:r>
      <w:r w:rsidRPr="00715EDB">
        <w:t>)</w:t>
      </w:r>
    </w:p>
    <w:p w14:paraId="56B0E940" w14:textId="77777777" w:rsidR="00B60949" w:rsidRPr="00715EDB" w:rsidRDefault="00B60949" w:rsidP="000F338A">
      <w:pPr>
        <w:pStyle w:val="ListBullet"/>
      </w:pPr>
      <w:r w:rsidRPr="00715EDB">
        <w:t>The advice received from the 46</w:t>
      </w:r>
      <w:r w:rsidRPr="00715EDB">
        <w:rPr>
          <w:vertAlign w:val="superscript"/>
        </w:rPr>
        <w:t>th</w:t>
      </w:r>
      <w:r w:rsidRPr="00715EDB">
        <w:t xml:space="preserve"> meeting of the Advisory Committee on Medicines Scheduling (the </w:t>
      </w:r>
      <w:r w:rsidRPr="00715EDB">
        <w:rPr>
          <w:b/>
          <w:bCs/>
        </w:rPr>
        <w:t>Committee</w:t>
      </w:r>
      <w:r w:rsidRPr="00715EDB">
        <w:t>)</w:t>
      </w:r>
      <w:r w:rsidRPr="00715EDB">
        <w:rPr>
          <w:rStyle w:val="FootnoteReference"/>
          <w:rFonts w:cs="Arial"/>
          <w:szCs w:val="20"/>
        </w:rPr>
        <w:footnoteReference w:id="3"/>
      </w:r>
    </w:p>
    <w:p w14:paraId="5BF11E68" w14:textId="77777777" w:rsidR="00B60949" w:rsidRPr="00C53D05" w:rsidRDefault="00B60949" w:rsidP="000F338A">
      <w:pPr>
        <w:pStyle w:val="ListBullet"/>
        <w:rPr>
          <w:rFonts w:cs="Arial"/>
          <w:szCs w:val="20"/>
        </w:rPr>
      </w:pPr>
      <w:r w:rsidRPr="00AF1A9A">
        <w:rPr>
          <w:rFonts w:cs="Arial"/>
          <w:szCs w:val="20"/>
        </w:rPr>
        <w:t xml:space="preserve">The </w:t>
      </w:r>
      <w:hyperlink r:id="rId16" w:history="1">
        <w:r w:rsidRPr="006D1832">
          <w:rPr>
            <w:rStyle w:val="Hyperlink"/>
            <w:rFonts w:cs="Arial"/>
            <w:szCs w:val="20"/>
          </w:rPr>
          <w:t>interim decision</w:t>
        </w:r>
      </w:hyperlink>
      <w:r w:rsidRPr="00AF1A9A">
        <w:rPr>
          <w:rFonts w:cs="Arial"/>
          <w:szCs w:val="20"/>
        </w:rPr>
        <w:t xml:space="preserve"> and the materials considered as part of the interim decision, as published on </w:t>
      </w:r>
      <w:r w:rsidRPr="00C53D05">
        <w:rPr>
          <w:rFonts w:cs="Arial"/>
          <w:szCs w:val="20"/>
        </w:rPr>
        <w:t>14 March 2025.</w:t>
      </w:r>
    </w:p>
    <w:p w14:paraId="4C2853AC" w14:textId="32E54973" w:rsidR="00B60949" w:rsidRPr="00C53D05" w:rsidRDefault="00B60949" w:rsidP="000F338A">
      <w:pPr>
        <w:pStyle w:val="ListBullet"/>
        <w:rPr>
          <w:rFonts w:cs="Arial"/>
        </w:rPr>
      </w:pPr>
      <w:r w:rsidRPr="7F29EC43">
        <w:rPr>
          <w:rFonts w:cs="Arial"/>
        </w:rPr>
        <w:t xml:space="preserve">The 4 </w:t>
      </w:r>
      <w:r w:rsidR="00AB29DF">
        <w:rPr>
          <w:rFonts w:cs="Arial"/>
        </w:rPr>
        <w:t xml:space="preserve">public </w:t>
      </w:r>
      <w:hyperlink r:id="rId17">
        <w:r>
          <w:t>submissions</w:t>
        </w:r>
      </w:hyperlink>
      <w:r>
        <w:t xml:space="preserve">, 3 of which included a written component, </w:t>
      </w:r>
      <w:r w:rsidRPr="7F29EC43">
        <w:rPr>
          <w:rFonts w:cs="Arial"/>
        </w:rPr>
        <w:t>received in response to the</w:t>
      </w:r>
      <w:r>
        <w:t xml:space="preserve"> </w:t>
      </w:r>
      <w:hyperlink r:id="rId18" w:history="1">
        <w:hyperlink r:id="rId19" w:history="1">
          <w:r w:rsidRPr="7F29EC43">
            <w:rPr>
              <w:color w:val="0000FF"/>
              <w:u w:val="single"/>
            </w:rPr>
            <w:t>public consultation on the interim decision</w:t>
          </w:r>
        </w:hyperlink>
      </w:hyperlink>
      <w:r w:rsidRPr="7F29EC43">
        <w:rPr>
          <w:rFonts w:cs="Arial"/>
        </w:rPr>
        <w:t xml:space="preserve"> under regulation 42ZCZP of the Regulations.</w:t>
      </w:r>
    </w:p>
    <w:p w14:paraId="421EC9CC" w14:textId="77777777" w:rsidR="00B60949" w:rsidRPr="002717F5" w:rsidRDefault="00B60949" w:rsidP="000F338A">
      <w:pPr>
        <w:pStyle w:val="ListBullet"/>
      </w:pPr>
      <w:r w:rsidRPr="1315AB5E">
        <w:t>Subsection 52E(1) of</w:t>
      </w:r>
      <w:r w:rsidRPr="001169AC">
        <w:t xml:space="preserve"> </w:t>
      </w:r>
      <w:r w:rsidRPr="001169AC">
        <w:rPr>
          <w:i/>
        </w:rPr>
        <w:t>the Therapeutic Goods Act 1989</w:t>
      </w:r>
      <w:r w:rsidRPr="1315AB5E">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230688F" w14:textId="77777777" w:rsidR="00B60949" w:rsidRPr="002717F5" w:rsidRDefault="00B60949" w:rsidP="000F338A">
      <w:pPr>
        <w:pStyle w:val="ListBullet"/>
      </w:pPr>
      <w:r w:rsidRPr="002717F5">
        <w:t>pursuant to paragraph 52E(2)(a) of the Act, the SPF, and</w:t>
      </w:r>
    </w:p>
    <w:p w14:paraId="2C6B98FC" w14:textId="0627FA70" w:rsidR="00206027" w:rsidRPr="00F24669" w:rsidRDefault="00B60949" w:rsidP="000F338A">
      <w:pPr>
        <w:pStyle w:val="ListBullet"/>
      </w:pPr>
      <w:r w:rsidRPr="002717F5">
        <w:t>the Handbook.</w:t>
      </w:r>
    </w:p>
    <w:p w14:paraId="09785448" w14:textId="77777777" w:rsidR="00FE75C7" w:rsidRDefault="00FE75C7" w:rsidP="009338F3">
      <w:pPr>
        <w:pStyle w:val="Heading4"/>
      </w:pPr>
      <w:r w:rsidRPr="005E2F5E">
        <w:t>Reasons for the final decision (including findings on material questions of fact)</w:t>
      </w:r>
    </w:p>
    <w:p w14:paraId="7AD2CD2F" w14:textId="7DEF29FE" w:rsidR="006B4707" w:rsidRDefault="00AA1F4E" w:rsidP="00AA1F4E">
      <w:r w:rsidRPr="0035107E">
        <w:t xml:space="preserve">I have made a final decision to </w:t>
      </w:r>
      <w:r w:rsidR="009A5B3E">
        <w:t>conf</w:t>
      </w:r>
      <w:r>
        <w:t>irm</w:t>
      </w:r>
      <w:r w:rsidRPr="0035107E">
        <w:t xml:space="preserve"> my interim decision to amend the current Poisons Standard with respect to </w:t>
      </w:r>
      <w:r w:rsidRPr="009E1E95">
        <w:rPr>
          <w:i/>
          <w:iCs/>
        </w:rPr>
        <w:t>Atropa belladonna</w:t>
      </w:r>
      <w:r w:rsidRPr="0035107E">
        <w:t xml:space="preserve">. </w:t>
      </w:r>
      <w:r>
        <w:t>My reasons for making the final decision are those set out in the interim decision.</w:t>
      </w:r>
      <w:r w:rsidRPr="0035107E">
        <w:t xml:space="preserve"> </w:t>
      </w:r>
      <w:r w:rsidR="001408F6">
        <w:t>In making my final decision, I have considered the material in the interim decision and the submissions received in response to the public consultation on the interim decision.</w:t>
      </w:r>
    </w:p>
    <w:p w14:paraId="41978E5B" w14:textId="6C6BB527" w:rsidR="001703D6" w:rsidRDefault="003D44B0" w:rsidP="001703D6">
      <w:r>
        <w:t xml:space="preserve">All </w:t>
      </w:r>
      <w:r w:rsidR="00AA1F4E" w:rsidRPr="0035107E">
        <w:t>the submissions were in favour of the interim decision</w:t>
      </w:r>
      <w:r w:rsidR="00AA1F4E">
        <w:t xml:space="preserve"> with</w:t>
      </w:r>
      <w:r w:rsidR="00AA1F4E" w:rsidRPr="0035107E">
        <w:t xml:space="preserve"> </w:t>
      </w:r>
      <w:r w:rsidR="00AA1F4E">
        <w:t>3</w:t>
      </w:r>
      <w:r w:rsidR="00AA1F4E" w:rsidRPr="0035107E">
        <w:t xml:space="preserve"> support</w:t>
      </w:r>
      <w:r w:rsidR="00AA1F4E">
        <w:t>ing</w:t>
      </w:r>
      <w:r w:rsidR="00AA1F4E" w:rsidRPr="0035107E">
        <w:t xml:space="preserve"> </w:t>
      </w:r>
      <w:r w:rsidR="007E2597">
        <w:t>it</w:t>
      </w:r>
      <w:r w:rsidR="007E2597" w:rsidRPr="0035107E">
        <w:t xml:space="preserve"> </w:t>
      </w:r>
      <w:r w:rsidR="00AA1F4E" w:rsidRPr="0035107E">
        <w:t>(</w:t>
      </w:r>
      <w:r w:rsidR="00AA1F4E">
        <w:t xml:space="preserve">2 </w:t>
      </w:r>
      <w:r w:rsidR="00AA1F4E" w:rsidRPr="0035107E">
        <w:t>with written justifications)</w:t>
      </w:r>
      <w:r w:rsidR="00AA1F4E">
        <w:t xml:space="preserve"> and</w:t>
      </w:r>
      <w:r w:rsidR="00AA1F4E" w:rsidRPr="0035107E">
        <w:t xml:space="preserve"> one partially support</w:t>
      </w:r>
      <w:r w:rsidR="00AA1F4E">
        <w:t>ing (also</w:t>
      </w:r>
      <w:r w:rsidR="00AA1F4E" w:rsidRPr="0035107E">
        <w:t xml:space="preserve"> with written justifications</w:t>
      </w:r>
      <w:r w:rsidR="00AA1F4E">
        <w:t xml:space="preserve">). </w:t>
      </w:r>
      <w:r w:rsidR="001703D6">
        <w:t>N</w:t>
      </w:r>
      <w:r w:rsidR="001703D6" w:rsidRPr="007B7970">
        <w:t>o response</w:t>
      </w:r>
      <w:r w:rsidR="001703D6">
        <w:t xml:space="preserve"> was</w:t>
      </w:r>
      <w:r w:rsidR="001703D6" w:rsidRPr="007B7970">
        <w:t xml:space="preserve"> </w:t>
      </w:r>
      <w:r w:rsidR="001703D6">
        <w:t>submitted</w:t>
      </w:r>
      <w:r w:rsidR="001703D6" w:rsidRPr="007B7970">
        <w:t xml:space="preserve"> in opposition </w:t>
      </w:r>
      <w:r w:rsidR="001703D6">
        <w:t>to</w:t>
      </w:r>
      <w:r w:rsidR="001703D6" w:rsidRPr="007B7970">
        <w:t xml:space="preserve"> the interim decision.</w:t>
      </w:r>
    </w:p>
    <w:p w14:paraId="54E9CF21" w14:textId="79047952" w:rsidR="0032153F" w:rsidRDefault="00E2638C" w:rsidP="00AA1F4E">
      <w:r>
        <w:t xml:space="preserve">My decision to amend the </w:t>
      </w:r>
      <w:r w:rsidRPr="005367D0">
        <w:t xml:space="preserve">Schedule 2 entry for </w:t>
      </w:r>
      <w:r w:rsidRPr="00CA7CA2">
        <w:rPr>
          <w:i/>
          <w:iCs/>
        </w:rPr>
        <w:t>Atropa belladonna</w:t>
      </w:r>
      <w:r w:rsidRPr="005367D0">
        <w:t xml:space="preserve"> </w:t>
      </w:r>
      <w:r w:rsidRPr="00815D44">
        <w:t xml:space="preserve">to restrict oral use to adults and children 6 years of age and older </w:t>
      </w:r>
      <w:r>
        <w:t>address</w:t>
      </w:r>
      <w:r w:rsidR="00AB29DF">
        <w:t>es</w:t>
      </w:r>
      <w:r>
        <w:t xml:space="preserve"> the </w:t>
      </w:r>
      <w:r w:rsidRPr="00034604">
        <w:t>high incidence of adverse events in children</w:t>
      </w:r>
      <w:r>
        <w:t>. One submission</w:t>
      </w:r>
      <w:r w:rsidRPr="0033384F">
        <w:t xml:space="preserve"> noted that the age restriction amendment was in response to the recent, high incidence of adverse events in children in extemporaneously compounded preparations</w:t>
      </w:r>
      <w:r>
        <w:t xml:space="preserve">. </w:t>
      </w:r>
      <w:r w:rsidR="00180E3B">
        <w:t>Overall,</w:t>
      </w:r>
      <w:r>
        <w:t xml:space="preserve"> t</w:t>
      </w:r>
      <w:r w:rsidR="001E1474">
        <w:t>he</w:t>
      </w:r>
      <w:r w:rsidR="001E1474" w:rsidRPr="00F31251">
        <w:t xml:space="preserve"> submissions agreed that restricting the use of </w:t>
      </w:r>
      <w:r w:rsidR="00C22699" w:rsidRPr="00CA7CA2">
        <w:rPr>
          <w:i/>
          <w:iCs/>
        </w:rPr>
        <w:t>Atropa belladonna</w:t>
      </w:r>
      <w:r w:rsidR="00C22699" w:rsidRPr="005367D0">
        <w:t xml:space="preserve"> </w:t>
      </w:r>
      <w:r w:rsidR="004A4270">
        <w:t>to</w:t>
      </w:r>
      <w:r w:rsidR="001E1474" w:rsidRPr="00F31251">
        <w:t xml:space="preserve"> </w:t>
      </w:r>
      <w:r w:rsidR="005A51B0">
        <w:t xml:space="preserve">children </w:t>
      </w:r>
      <w:r w:rsidR="001E1474" w:rsidRPr="00F31251">
        <w:t xml:space="preserve">6 years </w:t>
      </w:r>
      <w:r w:rsidR="005A51B0">
        <w:t>of age and over</w:t>
      </w:r>
      <w:r w:rsidR="001E1474" w:rsidRPr="00F31251">
        <w:t xml:space="preserve"> will reduce the possibility of misuse and the high incidence of adverse events</w:t>
      </w:r>
      <w:r w:rsidR="004A4270">
        <w:t>,</w:t>
      </w:r>
      <w:r w:rsidR="001E1474" w:rsidRPr="00F31251">
        <w:t xml:space="preserve"> </w:t>
      </w:r>
      <w:r w:rsidR="004A4270">
        <w:t>including</w:t>
      </w:r>
      <w:r w:rsidR="004A4270" w:rsidRPr="00F31251">
        <w:t xml:space="preserve"> </w:t>
      </w:r>
      <w:r w:rsidR="004A4270">
        <w:t>those from</w:t>
      </w:r>
      <w:r w:rsidR="004A4270" w:rsidRPr="00F31251">
        <w:t xml:space="preserve"> compounding preparations</w:t>
      </w:r>
      <w:r w:rsidR="004A4270">
        <w:t>,</w:t>
      </w:r>
      <w:r w:rsidR="004A4270" w:rsidRPr="00F31251">
        <w:t xml:space="preserve"> </w:t>
      </w:r>
      <w:r w:rsidR="001E1474" w:rsidRPr="00F31251">
        <w:t>in children</w:t>
      </w:r>
      <w:r w:rsidR="001E1474">
        <w:t>.</w:t>
      </w:r>
    </w:p>
    <w:p w14:paraId="5B6C8069" w14:textId="6D35A342" w:rsidR="005A142F" w:rsidRDefault="00197DA2" w:rsidP="00197DA2">
      <w:r>
        <w:t>I</w:t>
      </w:r>
      <w:r w:rsidRPr="005367D0" w:rsidDel="00A67669">
        <w:t xml:space="preserve"> </w:t>
      </w:r>
      <w:r>
        <w:t>remain of the view</w:t>
      </w:r>
      <w:r w:rsidRPr="005367D0">
        <w:t xml:space="preserve"> that due to the very low concentration of solanaceous alkaloids present in </w:t>
      </w:r>
      <w:r>
        <w:t>listed medicines containing the</w:t>
      </w:r>
      <w:r w:rsidRPr="005367D0">
        <w:t xml:space="preserve"> </w:t>
      </w:r>
      <w:r w:rsidRPr="00555C2B">
        <w:rPr>
          <w:i/>
          <w:iCs/>
        </w:rPr>
        <w:t>Atropa belladonna</w:t>
      </w:r>
      <w:r w:rsidRPr="00555C2B" w:rsidDel="008C512A">
        <w:rPr>
          <w:i/>
          <w:iCs/>
        </w:rPr>
        <w:t xml:space="preserve"> </w:t>
      </w:r>
      <w:r w:rsidRPr="005367D0">
        <w:t>they should remain exempt from scheduling per Appendix</w:t>
      </w:r>
      <w:r w:rsidR="00E550FF">
        <w:t> </w:t>
      </w:r>
      <w:r w:rsidRPr="005367D0">
        <w:t>G</w:t>
      </w:r>
      <w:r>
        <w:t>.</w:t>
      </w:r>
    </w:p>
    <w:p w14:paraId="294093AA" w14:textId="3726DA24" w:rsidR="00197DA2" w:rsidRDefault="00197DA2" w:rsidP="00197DA2">
      <w:r>
        <w:t>Considering the recent increase in adverse event reports in children under 6 years of age</w:t>
      </w:r>
      <w:r w:rsidR="004A4270">
        <w:t>,</w:t>
      </w:r>
      <w:r w:rsidRPr="00DF755D">
        <w:t xml:space="preserve"> I have decided on an </w:t>
      </w:r>
      <w:r>
        <w:t xml:space="preserve">immediate </w:t>
      </w:r>
      <w:r w:rsidRPr="00DF755D">
        <w:t>implementation date of 1 June 2025</w:t>
      </w:r>
      <w:r w:rsidR="003A2039">
        <w:t>.</w:t>
      </w:r>
      <w:r w:rsidR="005236FA">
        <w:t xml:space="preserve"> </w:t>
      </w:r>
      <w:r w:rsidR="005236FA" w:rsidRPr="005236FA">
        <w:t xml:space="preserve">This implementation date will not </w:t>
      </w:r>
      <w:r w:rsidR="005236FA" w:rsidRPr="005236FA">
        <w:lastRenderedPageBreak/>
        <w:t xml:space="preserve">adversely impact the current supply of listed medicines or the sale of proprietary products containing </w:t>
      </w:r>
      <w:r w:rsidR="005236FA" w:rsidRPr="005236FA">
        <w:rPr>
          <w:i/>
          <w:iCs/>
        </w:rPr>
        <w:t>Atropa belladonna</w:t>
      </w:r>
      <w:r w:rsidR="008F23EE">
        <w:t xml:space="preserve"> and </w:t>
      </w:r>
      <w:r w:rsidR="008F23EE" w:rsidRPr="008F23EE">
        <w:t>represents an appropriate balance between public safety and access.</w:t>
      </w:r>
    </w:p>
    <w:p w14:paraId="7FDDD9BC" w14:textId="77777777" w:rsidR="00AD3544" w:rsidRPr="00E42057" w:rsidRDefault="00AD3544" w:rsidP="009338F3">
      <w:pPr>
        <w:pStyle w:val="Heading4"/>
      </w:pPr>
      <w:bookmarkStart w:id="37" w:name="_Toc97640264"/>
      <w:r w:rsidRPr="00E42057">
        <w:t>Implementation date</w:t>
      </w:r>
    </w:p>
    <w:p w14:paraId="2A776375" w14:textId="49BA3996" w:rsidR="00AD3544" w:rsidRDefault="00AD3544" w:rsidP="009338F3">
      <w:r>
        <w:t xml:space="preserve">1 </w:t>
      </w:r>
      <w:r w:rsidR="00197DA2">
        <w:t>June 2025</w:t>
      </w:r>
    </w:p>
    <w:p w14:paraId="31682BB8" w14:textId="77777777" w:rsidR="00180E3B" w:rsidRDefault="00180E3B" w:rsidP="00180E3B">
      <w:pPr>
        <w:pStyle w:val="Heading3"/>
      </w:pPr>
      <w:bookmarkStart w:id="38" w:name="_Toc198028599"/>
      <w:r>
        <w:t>Final decision in relation to astodrimer sodium</w:t>
      </w:r>
      <w:bookmarkEnd w:id="38"/>
    </w:p>
    <w:p w14:paraId="04620E62" w14:textId="77777777" w:rsidR="00180E3B" w:rsidRPr="00BB34CD" w:rsidRDefault="00180E3B" w:rsidP="00180E3B">
      <w:pPr>
        <w:pStyle w:val="Heading4"/>
      </w:pPr>
      <w:r w:rsidRPr="00BB34CD">
        <w:t>Proposal</w:t>
      </w:r>
    </w:p>
    <w:p w14:paraId="40CE8597" w14:textId="77777777" w:rsidR="00180E3B" w:rsidRDefault="00180E3B" w:rsidP="00180E3B">
      <w:pPr>
        <w:rPr>
          <w:rFonts w:cs="Arial"/>
        </w:rPr>
      </w:pPr>
      <w:r w:rsidRPr="00756100">
        <w:rPr>
          <w:rFonts w:cs="Arial"/>
        </w:rPr>
        <w:t>The Delegate received an application to classify astodrimer sodium vaginal gels for the treatment, relief and prevention of bacterial vaginosis (BV) as Pharmacy medicines (Schedule 2). These preparations are currently listed as Pharmacist Only medicine (Schedule 3). The application also proposed an amendment to the Appendix H entry that would permit advertising of all Schedule 3 preparations of astodrimer sodium. The current Appendix H entry only allows advertising of preparations for the treatment and relief of bacterial vaginosis (BV) and prevention of recurrent bacterial vaginosis (RBV).</w:t>
      </w:r>
    </w:p>
    <w:p w14:paraId="4DE7D057" w14:textId="77777777" w:rsidR="00180E3B" w:rsidRDefault="00180E3B" w:rsidP="00180E3B">
      <w:pPr>
        <w:pStyle w:val="Heading4"/>
      </w:pPr>
      <w:r w:rsidRPr="00BB34CD">
        <w:t>Final decision</w:t>
      </w:r>
    </w:p>
    <w:p w14:paraId="51307551" w14:textId="77777777" w:rsidR="00180E3B" w:rsidRDefault="00180E3B" w:rsidP="00180E3B">
      <w:r w:rsidRPr="00756100">
        <w:t>Pursuant to regulation 42ZCZR of the Regulations, the Delegate has made a final decision to confirm the interim decision and not amend the current Poisons Standard in relation to astodrimer sodium.</w:t>
      </w:r>
    </w:p>
    <w:p w14:paraId="4B118ADA" w14:textId="77777777" w:rsidR="00180E3B" w:rsidRPr="00BB34CD" w:rsidRDefault="00180E3B" w:rsidP="00180E3B">
      <w:pPr>
        <w:pStyle w:val="Heading4"/>
      </w:pPr>
      <w:r w:rsidRPr="00BB34CD">
        <w:t>Materials considered</w:t>
      </w:r>
    </w:p>
    <w:p w14:paraId="7B08B2A5" w14:textId="77777777" w:rsidR="00180E3B" w:rsidRDefault="00180E3B" w:rsidP="00180E3B">
      <w:r>
        <w:t>In making this final decision, the Delegate considered the following material:</w:t>
      </w:r>
    </w:p>
    <w:p w14:paraId="17BA61E6" w14:textId="77777777" w:rsidR="00180E3B" w:rsidRDefault="00180E3B" w:rsidP="00180E3B">
      <w:pPr>
        <w:pStyle w:val="ListBullet"/>
      </w:pPr>
      <w:r w:rsidRPr="00756100">
        <w:t xml:space="preserve">the application to amend the current Poisons Standard with respect to astodrimer sodium </w:t>
      </w:r>
      <w:r w:rsidRPr="00756100">
        <w:rPr>
          <w:b/>
          <w:bCs/>
        </w:rPr>
        <w:t>(the Application)</w:t>
      </w:r>
    </w:p>
    <w:p w14:paraId="644A7511" w14:textId="77777777" w:rsidR="00180E3B" w:rsidRPr="00D2065C" w:rsidRDefault="00180E3B" w:rsidP="00180E3B">
      <w:pPr>
        <w:pStyle w:val="ListBullet"/>
      </w:pPr>
      <w:r>
        <w:t>t</w:t>
      </w:r>
      <w:r w:rsidRPr="00756100">
        <w:t xml:space="preserve">he 12 </w:t>
      </w:r>
      <w:hyperlink r:id="rId20" w:history="1">
        <w:r w:rsidRPr="00756100">
          <w:rPr>
            <w:rStyle w:val="Hyperlink"/>
            <w:rFonts w:cs="Arial"/>
          </w:rPr>
          <w:t>public submissions</w:t>
        </w:r>
      </w:hyperlink>
      <w:r w:rsidRPr="00756100">
        <w:t xml:space="preserve">, including 11 with a written component, received in response to the </w:t>
      </w:r>
      <w:hyperlink r:id="rId21" w:history="1">
        <w:r w:rsidRPr="00756100">
          <w:rPr>
            <w:rStyle w:val="Hyperlink"/>
            <w:rFonts w:cs="Arial"/>
          </w:rPr>
          <w:t>pre-meeting consultation</w:t>
        </w:r>
      </w:hyperlink>
      <w:r w:rsidRPr="00756100">
        <w:t xml:space="preserve"> under regulation 42ZCZK of the Regulations (the </w:t>
      </w:r>
      <w:r w:rsidRPr="00756100">
        <w:rPr>
          <w:b/>
          <w:bCs/>
        </w:rPr>
        <w:t>Submissions</w:t>
      </w:r>
      <w:r w:rsidRPr="00756100">
        <w:t>)</w:t>
      </w:r>
    </w:p>
    <w:p w14:paraId="1779F614" w14:textId="22061F9A" w:rsidR="00180E3B" w:rsidRPr="00D2065C" w:rsidRDefault="00180E3B" w:rsidP="00180E3B">
      <w:pPr>
        <w:pStyle w:val="ListBullet"/>
      </w:pPr>
      <w:r>
        <w:t>t</w:t>
      </w:r>
      <w:r w:rsidRPr="00D2065C">
        <w:t xml:space="preserve">he advice received from the </w:t>
      </w:r>
      <w:r w:rsidRPr="00715EDB">
        <w:t>46</w:t>
      </w:r>
      <w:r w:rsidRPr="00715EDB">
        <w:rPr>
          <w:vertAlign w:val="superscript"/>
        </w:rPr>
        <w:t>th</w:t>
      </w:r>
      <w:r w:rsidRPr="00715EDB">
        <w:t xml:space="preserve"> meeting of the Advisory Committee on Medicines Scheduling</w:t>
      </w:r>
      <w:r w:rsidRPr="00D2065C">
        <w:t xml:space="preserve"> (the </w:t>
      </w:r>
      <w:r w:rsidRPr="00D2065C">
        <w:rPr>
          <w:b/>
          <w:bCs/>
        </w:rPr>
        <w:t>Committee</w:t>
      </w:r>
      <w:r w:rsidRPr="00D2065C">
        <w:t>)</w:t>
      </w:r>
    </w:p>
    <w:p w14:paraId="3CE21C22" w14:textId="77777777" w:rsidR="00180E3B" w:rsidRDefault="00180E3B" w:rsidP="00180E3B">
      <w:pPr>
        <w:pStyle w:val="ListBullet"/>
        <w:rPr>
          <w:rFonts w:cs="Arial"/>
        </w:rPr>
      </w:pPr>
      <w:r w:rsidRPr="00D2065C">
        <w:rPr>
          <w:rFonts w:cs="Arial"/>
        </w:rPr>
        <w:t xml:space="preserve">the </w:t>
      </w:r>
      <w:hyperlink r:id="rId22" w:history="1">
        <w:r w:rsidRPr="00047AD5">
          <w:rPr>
            <w:rStyle w:val="Hyperlink"/>
            <w:rFonts w:cs="Arial"/>
          </w:rPr>
          <w:t>interim decision</w:t>
        </w:r>
      </w:hyperlink>
      <w:r w:rsidRPr="00D2065C">
        <w:rPr>
          <w:rFonts w:cs="Arial"/>
        </w:rPr>
        <w:t xml:space="preserve"> relating to </w:t>
      </w:r>
      <w:r>
        <w:rPr>
          <w:rFonts w:cs="Arial"/>
        </w:rPr>
        <w:t>astodrimer sodium</w:t>
      </w:r>
      <w:r w:rsidRPr="00D2065C">
        <w:rPr>
          <w:rFonts w:cs="Arial"/>
        </w:rPr>
        <w:t xml:space="preserve"> and the materials considered as part of the interim decision, as published on </w:t>
      </w:r>
      <w:r>
        <w:rPr>
          <w:rFonts w:cs="Arial"/>
          <w:szCs w:val="20"/>
        </w:rPr>
        <w:t>14</w:t>
      </w:r>
      <w:r w:rsidRPr="00335538">
        <w:rPr>
          <w:rFonts w:cs="Arial"/>
          <w:szCs w:val="20"/>
        </w:rPr>
        <w:t xml:space="preserve"> </w:t>
      </w:r>
      <w:r>
        <w:rPr>
          <w:rFonts w:cs="Arial"/>
          <w:szCs w:val="20"/>
        </w:rPr>
        <w:t>March</w:t>
      </w:r>
      <w:r w:rsidRPr="00335538">
        <w:rPr>
          <w:rFonts w:cs="Arial"/>
          <w:szCs w:val="20"/>
        </w:rPr>
        <w:t xml:space="preserve"> 202</w:t>
      </w:r>
      <w:r>
        <w:rPr>
          <w:rFonts w:cs="Arial"/>
          <w:szCs w:val="20"/>
        </w:rPr>
        <w:t>5</w:t>
      </w:r>
    </w:p>
    <w:p w14:paraId="495E070A" w14:textId="478E88C0" w:rsidR="00180E3B" w:rsidRPr="00D2065C" w:rsidRDefault="00180E3B" w:rsidP="00180E3B">
      <w:pPr>
        <w:pStyle w:val="ListBullet"/>
        <w:rPr>
          <w:rFonts w:cs="Arial"/>
        </w:rPr>
      </w:pPr>
      <w:r>
        <w:rPr>
          <w:rFonts w:cs="Arial"/>
          <w:szCs w:val="20"/>
        </w:rPr>
        <w:t>t</w:t>
      </w:r>
      <w:r w:rsidRPr="00335538">
        <w:rPr>
          <w:rFonts w:cs="Arial"/>
          <w:szCs w:val="20"/>
        </w:rPr>
        <w:t xml:space="preserve">he </w:t>
      </w:r>
      <w:r>
        <w:rPr>
          <w:rFonts w:cs="Arial"/>
          <w:szCs w:val="20"/>
        </w:rPr>
        <w:t>5</w:t>
      </w:r>
      <w:r w:rsidRPr="00335538">
        <w:rPr>
          <w:rFonts w:cs="Arial"/>
          <w:szCs w:val="20"/>
        </w:rPr>
        <w:t xml:space="preserve"> </w:t>
      </w:r>
      <w:r w:rsidR="004A4270">
        <w:rPr>
          <w:rFonts w:cs="Arial"/>
          <w:szCs w:val="20"/>
        </w:rPr>
        <w:t xml:space="preserve">public </w:t>
      </w:r>
      <w:hyperlink r:id="rId23" w:history="1">
        <w:r w:rsidRPr="00FA76BB">
          <w:t>submission</w:t>
        </w:r>
      </w:hyperlink>
      <w:r w:rsidR="004A4270">
        <w:t>s</w:t>
      </w:r>
      <w:r w:rsidRPr="00335538">
        <w:rPr>
          <w:rFonts w:cs="Arial"/>
          <w:szCs w:val="20"/>
        </w:rPr>
        <w:t xml:space="preserve"> received in response to the</w:t>
      </w:r>
      <w:r w:rsidRPr="00F24669">
        <w:t xml:space="preserve"> </w:t>
      </w:r>
      <w:hyperlink r:id="rId24" w:history="1">
        <w:r>
          <w:rPr>
            <w:color w:val="0000FF"/>
            <w:u w:val="single"/>
          </w:rPr>
          <w:t>public consultation on the interim decision</w:t>
        </w:r>
      </w:hyperlink>
      <w:r w:rsidRPr="00335538">
        <w:rPr>
          <w:rFonts w:cs="Arial"/>
          <w:szCs w:val="20"/>
        </w:rPr>
        <w:t xml:space="preserve"> under regulation 42ZCZP of the Regulations</w:t>
      </w:r>
    </w:p>
    <w:p w14:paraId="3740D76F" w14:textId="77777777" w:rsidR="00180E3B" w:rsidRPr="006D60CA" w:rsidRDefault="00180E3B" w:rsidP="00180E3B">
      <w:pPr>
        <w:pStyle w:val="ListBullet"/>
      </w:pPr>
      <w:r w:rsidRPr="006D60CA">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4D959E22" w14:textId="77777777" w:rsidR="00180E3B" w:rsidRPr="006D60CA" w:rsidRDefault="00180E3B" w:rsidP="00180E3B">
      <w:pPr>
        <w:pStyle w:val="ListBullet"/>
      </w:pPr>
      <w:r w:rsidRPr="006D60CA">
        <w:t>pursuant to paragraph 52E(2)(a) of the Act, the SPF, and</w:t>
      </w:r>
    </w:p>
    <w:p w14:paraId="7FE04BE6" w14:textId="77777777" w:rsidR="00180E3B" w:rsidRDefault="00180E3B" w:rsidP="00180E3B">
      <w:pPr>
        <w:pStyle w:val="ListBullet"/>
      </w:pPr>
      <w:r>
        <w:t>the Handbook.</w:t>
      </w:r>
    </w:p>
    <w:p w14:paraId="5ACCB6AE" w14:textId="77777777" w:rsidR="00180E3B" w:rsidRDefault="00180E3B" w:rsidP="00180E3B">
      <w:pPr>
        <w:pStyle w:val="Heading4"/>
      </w:pPr>
      <w:r w:rsidRPr="00BB34CD">
        <w:lastRenderedPageBreak/>
        <w:t>Reasons for the final decision (including findings on material questions of fact)</w:t>
      </w:r>
    </w:p>
    <w:p w14:paraId="7A89226D" w14:textId="77777777" w:rsidR="00180E3B" w:rsidRDefault="00180E3B" w:rsidP="00180E3B">
      <w:r>
        <w:t>I have made a final decision to confirm my interim decision to not amend the current Poisons Standard with respect to astodrimer sodium. My reasons for making the final decision are those set out in the interim decision. In making my final decision, I have considered the material in the interim decision and the submissions received in response to the public consultation on the interim decision.</w:t>
      </w:r>
    </w:p>
    <w:p w14:paraId="79FA9B0B" w14:textId="77777777" w:rsidR="00180E3B" w:rsidRDefault="00180E3B" w:rsidP="00180E3B">
      <w:r>
        <w:t>Out of the 5 submissions, 2 were supportive and 3 were not supportive of the interim decision to not amend the scheduling of astodrimer sodium. The supportive submissions did not provide a written comment. The 3 submissions that did not support the interim decision highlighted the safety of astodrimer sodium in treating BV as illustrated by the lack of reported adverse events in consumers over the past several years. They also noted the efficacy of the product in treating BV and the benefits of increasing access to a non-antibiotic treatment amidst concerns of developing antibiotic resistance in microbes. As outlined in the interim decision, I note that astodrimer sodium is not systemically absorbed and agree that it has a low risk and is well tolerated.</w:t>
      </w:r>
    </w:p>
    <w:p w14:paraId="1E1AE11F" w14:textId="04A7BE09" w:rsidR="00180E3B" w:rsidRDefault="00180E3B" w:rsidP="00180E3B">
      <w:r>
        <w:t>One submission supported the creation of a Schedule 2 entry for astodrimer sodium for all indications as this would increase access to treatment for issues that affect a large portion of the female population. The submissions also highlighted the need for greater discretion when purchasing women’s care products of a sensitive nature</w:t>
      </w:r>
      <w:r w:rsidR="004A4270">
        <w:t xml:space="preserve"> and argued that the i</w:t>
      </w:r>
      <w:r>
        <w:t xml:space="preserve">nclusion of astodrimer sodium in Schedule 2 would allow for more discretion when purchasing the medicine or seeking advice from pharmacy staff. One submission acknowledged that private rooms are often available to consult with a pharmacist when purchasing Schedule 3 medicines but felt that accessibility over the counter allows for more discretion when seeking pharmacy advice. One submission acknowledged the risk of incorrect self-diagnosis but considered this is to be the case for many </w:t>
      </w:r>
      <w:r w:rsidR="004A4270">
        <w:t xml:space="preserve">of the </w:t>
      </w:r>
      <w:r>
        <w:t>Schedule 2 medicines. Th</w:t>
      </w:r>
      <w:r w:rsidR="004A4270">
        <w:t>is</w:t>
      </w:r>
      <w:r>
        <w:t xml:space="preserve"> submission argued that most people understand that these medicines are only for transient or uncomplicated health issues and that if symptoms persist, they know to seek advice from a doctor.</w:t>
      </w:r>
    </w:p>
    <w:p w14:paraId="083B19F0" w14:textId="473C1411" w:rsidR="00180E3B" w:rsidRDefault="00180E3B" w:rsidP="00180E3B">
      <w:r>
        <w:t>While astodrimer is considered a safe and effective treatment for BV and RBV, it also has a low potential for treatment-related vulvovaginal candidiasis.</w:t>
      </w:r>
      <w:r>
        <w:rPr>
          <w:rStyle w:val="FootnoteReference"/>
        </w:rPr>
        <w:footnoteReference w:id="4"/>
      </w:r>
      <w:r>
        <w:t xml:space="preserve"> Furthermore, the clinical presentation of BV often overlaps with other conditions, including vulvovaginal candidiasis (thrush), sexually transmitted infections</w:t>
      </w:r>
      <w:r w:rsidR="00C27564">
        <w:t xml:space="preserve"> (</w:t>
      </w:r>
      <w:r>
        <w:t>STI</w:t>
      </w:r>
      <w:r w:rsidR="00C27564">
        <w:t>)</w:t>
      </w:r>
      <w:r>
        <w:t xml:space="preserve"> and urinary tract infections (UTI). BV is associated with serious complications such as pelvic inflammatory disease (PID) and an increase in the acquisition of </w:t>
      </w:r>
      <w:r w:rsidR="00C27564">
        <w:t>STI</w:t>
      </w:r>
      <w:r>
        <w:t>s such as chlamydia, gonorrhoea, human immunodeficiency virus and herpes simplex type-2.</w:t>
      </w:r>
      <w:r>
        <w:rPr>
          <w:rStyle w:val="FootnoteReference"/>
        </w:rPr>
        <w:footnoteReference w:id="5"/>
      </w:r>
      <w:r>
        <w:t xml:space="preserve"> I remain concerned of the possibility that some women using the substance for BV may not only be at an increased risk of serious sequelae, but they may be suffering from underdiagnosis or misdiagnosis of more serious conditions</w:t>
      </w:r>
      <w:r w:rsidR="007107E2">
        <w:t xml:space="preserve">. I </w:t>
      </w:r>
      <w:r>
        <w:t>continue to hold the that view consumers are not able to self-diagnose BV without the involvement of a health professional. I also note that vaginal candidiasis has a similar disease risk profile to BV with less serious complications and all the currently marketed vaginal candidiasis treatments are at least Pharmacist only medicines (Schedule 3).</w:t>
      </w:r>
    </w:p>
    <w:p w14:paraId="5E5EBE17" w14:textId="77777777" w:rsidR="00180E3B" w:rsidRDefault="00180E3B" w:rsidP="00180E3B">
      <w:r>
        <w:t>One submission suggested the creation of a Schedule 4 entry for astodrimer sodium for the treatment of RBV and COVID-19 to allow for listing of the medicine on the Pharmaceutical Benefits Scheme (PBS). While this approach may reduce the cost of accessing these products, cost of access is not a consideration for scheduling of substances under s 52(E) of the Act or the SPF. Furthermore, listing of astodrimer sodium as Schedule 4 substance would create additional barriers as consumers will require a prescription to access astodrimer sodium medications.</w:t>
      </w:r>
    </w:p>
    <w:p w14:paraId="73AF5125" w14:textId="77777777" w:rsidR="00180E3B" w:rsidRDefault="00180E3B" w:rsidP="00180E3B">
      <w:r>
        <w:t xml:space="preserve">Opposing submissions also argued for allowing advertising of these products as this would promote consumer awareness of the medicine. I note, however, that references to BV and RBV in advertising about therapeutic goods are restricted representations, as these conditions are considered as serious </w:t>
      </w:r>
      <w:r>
        <w:lastRenderedPageBreak/>
        <w:t>forms of a disease, condition, or ailment that require diagnosis, treatment or supervision by a suitably qualified health practitioner.</w:t>
      </w:r>
    </w:p>
    <w:p w14:paraId="27C8DBA6" w14:textId="417877D5" w:rsidR="00180E3B" w:rsidRPr="003C1B12" w:rsidRDefault="00180E3B" w:rsidP="00180E3B">
      <w:r>
        <w:t xml:space="preserve">In summary, whilst I agree with </w:t>
      </w:r>
      <w:r w:rsidR="007107E2">
        <w:t xml:space="preserve">the </w:t>
      </w:r>
      <w:r>
        <w:t xml:space="preserve">efficacy and low risk of astodrimer sodium and acknowledge the need for discretion when purchasing medicines for </w:t>
      </w:r>
      <w:r w:rsidR="007107E2">
        <w:t>BV</w:t>
      </w:r>
      <w:r>
        <w:t>, I remain of the view that diagnosis of BV is substantially safer with pharmacist oversight to mitigate the risk of consumer misdiagnosis and provision of appropriate advice for the prevention of BV.</w:t>
      </w:r>
    </w:p>
    <w:p w14:paraId="40DB1A16" w14:textId="51F1FD43" w:rsidR="00FB1ACB" w:rsidRPr="00F41DCE" w:rsidRDefault="00FB1ACB" w:rsidP="00FB1ACB">
      <w:pPr>
        <w:pStyle w:val="Heading2"/>
      </w:pPr>
      <w:bookmarkStart w:id="39" w:name="_Toc198028600"/>
      <w:bookmarkEnd w:id="37"/>
      <w:r>
        <w:t>Final</w:t>
      </w:r>
      <w:r w:rsidRPr="00FA029A">
        <w:t xml:space="preserve"> decisions on proposed amendments referred to the </w:t>
      </w:r>
      <w:r w:rsidRPr="00F41DCE">
        <w:t>Advisory Committee on Medicines and Chemicals Scheduling in jo</w:t>
      </w:r>
      <w:r>
        <w:t>int session (Joint ACMS-ACCS #3</w:t>
      </w:r>
      <w:r w:rsidR="00756100">
        <w:t>8</w:t>
      </w:r>
      <w:r>
        <w:t xml:space="preserve">, </w:t>
      </w:r>
      <w:r w:rsidR="00756100">
        <w:t>November</w:t>
      </w:r>
      <w:r>
        <w:t xml:space="preserve"> 2024</w:t>
      </w:r>
      <w:r w:rsidRPr="00F41DCE">
        <w:t>)</w:t>
      </w:r>
      <w:bookmarkEnd w:id="39"/>
    </w:p>
    <w:p w14:paraId="3084A1F3" w14:textId="59F4F8B2" w:rsidR="00FB1ACB" w:rsidRDefault="00FB1ACB" w:rsidP="00FB1ACB">
      <w:pPr>
        <w:pStyle w:val="Heading3"/>
      </w:pPr>
      <w:bookmarkStart w:id="40" w:name="_Toc198028601"/>
      <w:r>
        <w:t xml:space="preserve">Final decision in relation to </w:t>
      </w:r>
      <w:r w:rsidR="00756100" w:rsidRPr="00756100">
        <w:rPr>
          <w:i/>
          <w:iCs/>
        </w:rPr>
        <w:t>Symphytum officinalis</w:t>
      </w:r>
      <w:r w:rsidR="00756100">
        <w:t xml:space="preserve"> (comfrey)</w:t>
      </w:r>
      <w:bookmarkEnd w:id="40"/>
    </w:p>
    <w:p w14:paraId="6B45A697" w14:textId="77777777" w:rsidR="00FB1ACB" w:rsidRPr="00BB34CD" w:rsidRDefault="00FB1ACB" w:rsidP="00D2065C">
      <w:pPr>
        <w:pStyle w:val="Heading4"/>
      </w:pPr>
      <w:r w:rsidRPr="00BB34CD">
        <w:t>Proposal</w:t>
      </w:r>
    </w:p>
    <w:p w14:paraId="6CE74269" w14:textId="71098B69" w:rsidR="003E55CF" w:rsidRDefault="009A2D27" w:rsidP="003E55CF">
      <w:pPr>
        <w:rPr>
          <w:rFonts w:cs="Arial"/>
        </w:rPr>
      </w:pPr>
      <w:r w:rsidRPr="00756100">
        <w:rPr>
          <w:rFonts w:cs="Arial"/>
        </w:rPr>
        <w:t>The Delegate received an application to</w:t>
      </w:r>
      <w:r w:rsidRPr="003E298D">
        <w:rPr>
          <w:rFonts w:cs="Arial"/>
        </w:rPr>
        <w:t xml:space="preserve"> </w:t>
      </w:r>
      <w:r w:rsidR="003E55CF" w:rsidRPr="003E298D">
        <w:rPr>
          <w:rFonts w:cs="Arial"/>
        </w:rPr>
        <w:t xml:space="preserve">amend the Schedule 5 entry for </w:t>
      </w:r>
      <w:r w:rsidR="003E55CF" w:rsidRPr="007C63C5">
        <w:rPr>
          <w:rFonts w:cs="Arial"/>
          <w:i/>
          <w:iCs/>
        </w:rPr>
        <w:t>Symphytum officinalis</w:t>
      </w:r>
      <w:r w:rsidR="003E55CF" w:rsidRPr="003E298D">
        <w:rPr>
          <w:rFonts w:cs="Arial"/>
        </w:rPr>
        <w:t xml:space="preserve"> (comfrey) to allow dermal </w:t>
      </w:r>
      <w:r w:rsidR="003E55CF">
        <w:rPr>
          <w:rFonts w:cs="Arial"/>
        </w:rPr>
        <w:t>preparations</w:t>
      </w:r>
      <w:r w:rsidR="003E55CF" w:rsidRPr="003E298D">
        <w:rPr>
          <w:rFonts w:cs="Arial"/>
        </w:rPr>
        <w:t xml:space="preserve"> for therapeutic or cosmetic use to be unscheduled when containing </w:t>
      </w:r>
      <w:r w:rsidR="003E55CF">
        <w:rPr>
          <w:rFonts w:cs="Arial"/>
        </w:rPr>
        <w:t>20</w:t>
      </w:r>
      <w:r w:rsidR="003E55CF" w:rsidRPr="003E298D">
        <w:rPr>
          <w:rFonts w:cs="Arial"/>
        </w:rPr>
        <w:t>% or less of comfrey.</w:t>
      </w:r>
    </w:p>
    <w:p w14:paraId="6A14DB59" w14:textId="6EFAFA02" w:rsidR="00FB1ACB" w:rsidRDefault="003E55CF" w:rsidP="003E55CF">
      <w:r w:rsidRPr="003E298D">
        <w:rPr>
          <w:rFonts w:cs="Arial"/>
        </w:rPr>
        <w:t>Comfrey is captured in the current Poisons Standard as a Caution</w:t>
      </w:r>
      <w:r>
        <w:rPr>
          <w:rFonts w:cs="Arial"/>
        </w:rPr>
        <w:t xml:space="preserve"> </w:t>
      </w:r>
      <w:r w:rsidRPr="003E298D">
        <w:rPr>
          <w:rFonts w:cs="Arial"/>
        </w:rPr>
        <w:t>(Schedule</w:t>
      </w:r>
      <w:r>
        <w:rPr>
          <w:rFonts w:cs="Arial"/>
        </w:rPr>
        <w:t> </w:t>
      </w:r>
      <w:r w:rsidRPr="003E298D">
        <w:rPr>
          <w:rFonts w:cs="Arial"/>
        </w:rPr>
        <w:t>5) substance for dermal therapeutic or dermal cosmetic use, and Schedule 10 for all other</w:t>
      </w:r>
      <w:r>
        <w:rPr>
          <w:rFonts w:cs="Arial"/>
        </w:rPr>
        <w:t xml:space="preserve"> </w:t>
      </w:r>
      <w:r w:rsidRPr="003E298D">
        <w:rPr>
          <w:rFonts w:cs="Arial"/>
        </w:rPr>
        <w:t>preparations for human or animal use. Schedule 5 preparations containing comfrey are also required</w:t>
      </w:r>
      <w:r>
        <w:rPr>
          <w:rFonts w:cs="Arial"/>
        </w:rPr>
        <w:t xml:space="preserve"> </w:t>
      </w:r>
      <w:r w:rsidRPr="003E298D">
        <w:rPr>
          <w:rFonts w:cs="Arial"/>
        </w:rPr>
        <w:t>to carry safety directions regarding not using on broken skins or under occlusive dressing.</w:t>
      </w:r>
    </w:p>
    <w:p w14:paraId="3D2FE622" w14:textId="0DB7D22C" w:rsidR="00FB1ACB" w:rsidRPr="00BB34CD" w:rsidRDefault="00FB1ACB" w:rsidP="00D2065C">
      <w:pPr>
        <w:pStyle w:val="Heading4"/>
      </w:pPr>
      <w:r w:rsidRPr="00BB34CD">
        <w:t>Final decision</w:t>
      </w:r>
    </w:p>
    <w:p w14:paraId="1A8AE8AD" w14:textId="77777777" w:rsidR="00006B75" w:rsidRDefault="008D3C40">
      <w:r>
        <w:t>Pursuant to regulation 42ZCZR of the Regulations, the Delegate has made a final decision to confirm the interim decision and not amend the current Poisons Standard in relation to comfrey.</w:t>
      </w:r>
    </w:p>
    <w:p w14:paraId="5E0CE4A7" w14:textId="77777777" w:rsidR="00006B75" w:rsidRPr="00BB34CD" w:rsidRDefault="00006B75" w:rsidP="00006B75">
      <w:pPr>
        <w:pStyle w:val="Heading4"/>
      </w:pPr>
      <w:r w:rsidRPr="00BB34CD">
        <w:t>Materials considered</w:t>
      </w:r>
    </w:p>
    <w:p w14:paraId="2FACB02A" w14:textId="77777777" w:rsidR="00006B75" w:rsidRDefault="00006B75" w:rsidP="00006B75">
      <w:r>
        <w:t>In making this final decision, the Delegate considered the following material:</w:t>
      </w:r>
    </w:p>
    <w:p w14:paraId="0EEEF867" w14:textId="77777777" w:rsidR="00006B75" w:rsidRDefault="00006B75" w:rsidP="00006B75">
      <w:pPr>
        <w:pStyle w:val="ListBullet"/>
        <w:ind w:left="567" w:hanging="357"/>
      </w:pPr>
      <w:r>
        <w:t xml:space="preserve">the application to amend the current Poisons Standard with respect to comfrey (the </w:t>
      </w:r>
      <w:r w:rsidRPr="00245C27">
        <w:rPr>
          <w:b/>
          <w:bCs/>
        </w:rPr>
        <w:t>Application</w:t>
      </w:r>
      <w:r>
        <w:t>)</w:t>
      </w:r>
    </w:p>
    <w:p w14:paraId="00BC434A" w14:textId="77777777" w:rsidR="00006B75" w:rsidRDefault="00006B75" w:rsidP="00006B75">
      <w:pPr>
        <w:pStyle w:val="ListBullet"/>
        <w:ind w:left="567" w:hanging="357"/>
      </w:pPr>
      <w:r>
        <w:t xml:space="preserve">the 6 </w:t>
      </w:r>
      <w:hyperlink r:id="rId25" w:history="1">
        <w:r w:rsidRPr="005E0799">
          <w:rPr>
            <w:rStyle w:val="Hyperlink"/>
          </w:rPr>
          <w:t>public submission</w:t>
        </w:r>
      </w:hyperlink>
      <w:r w:rsidRPr="00B03B68">
        <w:t xml:space="preserve">, with </w:t>
      </w:r>
      <w:r>
        <w:t xml:space="preserve">no </w:t>
      </w:r>
      <w:r w:rsidRPr="00B03B68">
        <w:t>written component</w:t>
      </w:r>
      <w:r>
        <w:t xml:space="preserve"> was </w:t>
      </w:r>
      <w:r w:rsidRPr="00B03B68">
        <w:t xml:space="preserve">received in response to the </w:t>
      </w:r>
      <w:r>
        <w:br/>
      </w:r>
      <w:hyperlink r:id="rId26" w:history="1">
        <w:r w:rsidRPr="000A4597">
          <w:rPr>
            <w:rStyle w:val="Hyperlink"/>
          </w:rPr>
          <w:t>pre-meeting consultation</w:t>
        </w:r>
      </w:hyperlink>
      <w:r>
        <w:t xml:space="preserve"> under regulation 42ZCZK of the Regulations (the </w:t>
      </w:r>
      <w:r w:rsidRPr="00245C27">
        <w:rPr>
          <w:b/>
          <w:bCs/>
        </w:rPr>
        <w:t>Submissions</w:t>
      </w:r>
      <w:r>
        <w:t>)</w:t>
      </w:r>
    </w:p>
    <w:p w14:paraId="516E2661" w14:textId="77777777" w:rsidR="00006B75" w:rsidRPr="00D2065C" w:rsidRDefault="00006B75" w:rsidP="00006B75">
      <w:pPr>
        <w:pStyle w:val="ListBullet"/>
        <w:ind w:left="567" w:hanging="357"/>
        <w:rPr>
          <w:rFonts w:cs="Arial"/>
        </w:rPr>
      </w:pPr>
      <w:r>
        <w:t xml:space="preserve">the advice received from the 38th meeting of the Advisory Committee on Medicines and Chemicals Scheduling in joint session (the </w:t>
      </w:r>
      <w:r w:rsidRPr="00245C27">
        <w:rPr>
          <w:b/>
          <w:bCs/>
        </w:rPr>
        <w:t>Committee</w:t>
      </w:r>
      <w:r>
        <w:t>)</w:t>
      </w:r>
    </w:p>
    <w:p w14:paraId="09C32F6F" w14:textId="77777777" w:rsidR="00006B75" w:rsidRDefault="00006B75" w:rsidP="00006B75">
      <w:pPr>
        <w:pStyle w:val="ListBullet"/>
        <w:ind w:left="567" w:hanging="357"/>
        <w:rPr>
          <w:rFonts w:cs="Arial"/>
        </w:rPr>
      </w:pPr>
      <w:r w:rsidRPr="00D2065C">
        <w:rPr>
          <w:rFonts w:cs="Arial"/>
        </w:rPr>
        <w:t xml:space="preserve">the </w:t>
      </w:r>
      <w:hyperlink r:id="rId27" w:history="1">
        <w:r w:rsidRPr="00047AD5">
          <w:rPr>
            <w:rStyle w:val="Hyperlink"/>
            <w:rFonts w:cs="Arial"/>
          </w:rPr>
          <w:t>interim decision</w:t>
        </w:r>
      </w:hyperlink>
      <w:r w:rsidRPr="00D2065C">
        <w:rPr>
          <w:rFonts w:cs="Arial"/>
        </w:rPr>
        <w:t xml:space="preserve"> relating to </w:t>
      </w:r>
      <w:r>
        <w:rPr>
          <w:rFonts w:cs="Arial"/>
        </w:rPr>
        <w:t>comfrey</w:t>
      </w:r>
      <w:r w:rsidRPr="00D2065C">
        <w:rPr>
          <w:rFonts w:cs="Arial"/>
        </w:rPr>
        <w:t xml:space="preserve"> and the materials considered as part of the interim decision, as published on </w:t>
      </w:r>
      <w:r>
        <w:rPr>
          <w:rFonts w:cs="Arial"/>
          <w:szCs w:val="20"/>
        </w:rPr>
        <w:t>14</w:t>
      </w:r>
      <w:r w:rsidRPr="00335538">
        <w:rPr>
          <w:rFonts w:cs="Arial"/>
          <w:szCs w:val="20"/>
        </w:rPr>
        <w:t xml:space="preserve"> </w:t>
      </w:r>
      <w:r>
        <w:rPr>
          <w:rFonts w:cs="Arial"/>
          <w:szCs w:val="20"/>
        </w:rPr>
        <w:t>March</w:t>
      </w:r>
      <w:r w:rsidRPr="00335538">
        <w:rPr>
          <w:rFonts w:cs="Arial"/>
          <w:szCs w:val="20"/>
        </w:rPr>
        <w:t xml:space="preserve"> 202</w:t>
      </w:r>
      <w:r>
        <w:rPr>
          <w:rFonts w:cs="Arial"/>
          <w:szCs w:val="20"/>
        </w:rPr>
        <w:t>5</w:t>
      </w:r>
    </w:p>
    <w:p w14:paraId="1FFF6C40" w14:textId="22C58813" w:rsidR="00006B75" w:rsidRPr="00D2065C" w:rsidRDefault="00006B75" w:rsidP="00006B75">
      <w:pPr>
        <w:pStyle w:val="ListBullet"/>
        <w:ind w:left="567" w:hanging="357"/>
        <w:rPr>
          <w:rFonts w:cs="Arial"/>
        </w:rPr>
      </w:pPr>
      <w:r>
        <w:rPr>
          <w:rFonts w:cs="Arial"/>
          <w:szCs w:val="20"/>
        </w:rPr>
        <w:t>t</w:t>
      </w:r>
      <w:r w:rsidRPr="00335538">
        <w:rPr>
          <w:rFonts w:cs="Arial"/>
          <w:szCs w:val="20"/>
        </w:rPr>
        <w:t xml:space="preserve">he </w:t>
      </w:r>
      <w:r>
        <w:rPr>
          <w:rFonts w:cs="Arial"/>
          <w:szCs w:val="20"/>
        </w:rPr>
        <w:t>7</w:t>
      </w:r>
      <w:r w:rsidRPr="00335538">
        <w:rPr>
          <w:rFonts w:cs="Arial"/>
          <w:szCs w:val="20"/>
        </w:rPr>
        <w:t xml:space="preserve"> </w:t>
      </w:r>
      <w:hyperlink r:id="rId28" w:history="1">
        <w:r w:rsidRPr="00FA76BB">
          <w:t>submission</w:t>
        </w:r>
      </w:hyperlink>
      <w:r w:rsidR="009A5B3E">
        <w:t>s</w:t>
      </w:r>
      <w:r w:rsidRPr="00335538">
        <w:rPr>
          <w:rFonts w:cs="Arial"/>
          <w:szCs w:val="20"/>
        </w:rPr>
        <w:t xml:space="preserve"> received in response to the</w:t>
      </w:r>
      <w:r w:rsidRPr="00F24669">
        <w:t xml:space="preserve"> </w:t>
      </w:r>
      <w:hyperlink r:id="rId29" w:history="1">
        <w:r>
          <w:rPr>
            <w:color w:val="0000FF"/>
            <w:u w:val="single"/>
          </w:rPr>
          <w:t>public consultation on the interim decision</w:t>
        </w:r>
      </w:hyperlink>
      <w:r w:rsidRPr="00335538">
        <w:rPr>
          <w:rFonts w:cs="Arial"/>
          <w:szCs w:val="20"/>
        </w:rPr>
        <w:t xml:space="preserve"> under regulation 42ZCZP of the Regulations</w:t>
      </w:r>
    </w:p>
    <w:p w14:paraId="24E88C33" w14:textId="77777777" w:rsidR="00006B75" w:rsidRPr="006D60CA" w:rsidRDefault="00006B75" w:rsidP="00006B75">
      <w:pPr>
        <w:pStyle w:val="ListBullet"/>
        <w:ind w:left="567" w:hanging="357"/>
      </w:pPr>
      <w:r>
        <w:lastRenderedPageBreak/>
        <w:t>s</w:t>
      </w:r>
      <w:r w:rsidRPr="006D60CA">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85735CE" w14:textId="77777777" w:rsidR="00006B75" w:rsidRDefault="00006B75" w:rsidP="00006B75">
      <w:pPr>
        <w:pStyle w:val="ListBullet"/>
        <w:ind w:left="567" w:hanging="357"/>
      </w:pPr>
      <w:r w:rsidRPr="006D60CA">
        <w:t>pursuant to paragraph 52E(2)(a) of the Act, the SPF, and</w:t>
      </w:r>
    </w:p>
    <w:p w14:paraId="52F576AB" w14:textId="36ECF07B" w:rsidR="00894493" w:rsidRPr="00097B49" w:rsidRDefault="00006B75" w:rsidP="00006B75">
      <w:pPr>
        <w:pStyle w:val="ListBullet"/>
        <w:ind w:left="567" w:hanging="357"/>
      </w:pPr>
      <w:r>
        <w:t>the Handbook.</w:t>
      </w:r>
    </w:p>
    <w:p w14:paraId="3E32315A" w14:textId="77777777" w:rsidR="00FB1ACB" w:rsidRDefault="00FB1ACB" w:rsidP="00D2065C">
      <w:pPr>
        <w:pStyle w:val="Heading4"/>
      </w:pPr>
      <w:r w:rsidRPr="00BB34CD">
        <w:t>Reasons for the final decision (including findings on material questions of fact)</w:t>
      </w:r>
    </w:p>
    <w:p w14:paraId="0B5F068D" w14:textId="16363176" w:rsidR="00C95151" w:rsidRDefault="00C95151" w:rsidP="00C95151">
      <w:r>
        <w:t>I have made a final decision to confirm my interim decision to not amend the current Poisons Standard with respect to comfrey. My reasons for making the final decision are those set out in the interim decision. In making my final decision, I have considered the material in the interim decision and the submissions received in response to the public consultation on the interim decision.</w:t>
      </w:r>
    </w:p>
    <w:p w14:paraId="4BBC9EB3" w14:textId="77777777" w:rsidR="00535DCE" w:rsidRDefault="00C95151" w:rsidP="00C95151">
      <w:r>
        <w:t xml:space="preserve">Of the 7 submissions received, 3 were supportive and 4 were not supportive of the interim decision to not amend the scheduling of comfrey. The 4 submissions that did not support the interim decision highlighted the historic use of comfrey in </w:t>
      </w:r>
      <w:r w:rsidR="009A5B3E">
        <w:t>traditional medicines</w:t>
      </w:r>
      <w:r>
        <w:t xml:space="preserve"> and its wide-spread availability across Europe, USA and New Zealand. </w:t>
      </w:r>
    </w:p>
    <w:p w14:paraId="74EC2B2E" w14:textId="6443E888" w:rsidR="00535DCE" w:rsidRDefault="00535DCE" w:rsidP="00535DCE">
      <w:r>
        <w:t xml:space="preserve">One submission proposed that comfrey preparations containing 1% or less of total </w:t>
      </w:r>
      <w:r w:rsidR="00CD70AB">
        <w:t>pyrrolizidine alkaloids (</w:t>
      </w:r>
      <w:r>
        <w:t>PA</w:t>
      </w:r>
      <w:r w:rsidR="00CD70AB">
        <w:t>)</w:t>
      </w:r>
      <w:r>
        <w:t xml:space="preserve"> could be exempted from scheduling and additional </w:t>
      </w:r>
      <w:r w:rsidRPr="0067632D">
        <w:t xml:space="preserve">restrictions on listed medicines containing comfrey could be imposed through the </w:t>
      </w:r>
      <w:r w:rsidR="005A51B0">
        <w:t>Permissible I</w:t>
      </w:r>
      <w:r>
        <w:t>ngredients</w:t>
      </w:r>
      <w:r w:rsidR="005A51B0">
        <w:t xml:space="preserve"> De</w:t>
      </w:r>
      <w:r>
        <w:t>termination. Another proposed exempting preparations containing 20% or less comfrey from scheduling provided products are labelled as per the current requirements. However, no evidence demonstrating the safety or low risk from preparations containing 20% comfrey extract or 1% PA was presented. PA content in comfrey products can vary substantially, increasing the potential for unintended over exposure and systemic absorption.</w:t>
      </w:r>
    </w:p>
    <w:p w14:paraId="2AFD6A54" w14:textId="5FE98117" w:rsidR="00CD70AB" w:rsidRDefault="00CD70AB" w:rsidP="00CD70AB">
      <w:r>
        <w:t>One submission noted that t</w:t>
      </w:r>
      <w:r w:rsidRPr="00DC261E">
        <w:t xml:space="preserve">wo </w:t>
      </w:r>
      <w:r>
        <w:t>g</w:t>
      </w:r>
      <w:r w:rsidRPr="00DC261E">
        <w:t xml:space="preserve">randfathered </w:t>
      </w:r>
      <w:r>
        <w:t>r</w:t>
      </w:r>
      <w:r w:rsidRPr="00DC261E">
        <w:t xml:space="preserve">egistered </w:t>
      </w:r>
      <w:r>
        <w:t>comfrey preparations are currently listed on the ARTG and therefore, the current scheduling</w:t>
      </w:r>
      <w:r w:rsidRPr="008764CD">
        <w:t xml:space="preserve"> 5 which makes topical comfrey preparations ineligible for use </w:t>
      </w:r>
      <w:r>
        <w:t>as</w:t>
      </w:r>
      <w:r w:rsidRPr="008764CD">
        <w:t xml:space="preserve"> </w:t>
      </w:r>
      <w:r>
        <w:t>l</w:t>
      </w:r>
      <w:r w:rsidRPr="008764CD">
        <w:t>isted medicines creates a regulatory anomaly and an anti-competitive environment</w:t>
      </w:r>
      <w:r>
        <w:t xml:space="preserve">. </w:t>
      </w:r>
      <w:r w:rsidR="005A51B0">
        <w:t>Historically</w:t>
      </w:r>
      <w:r>
        <w:t xml:space="preserve"> registered complimentary medicines are evaluated as required.</w:t>
      </w:r>
    </w:p>
    <w:p w14:paraId="257BA227" w14:textId="0EFA7785" w:rsidR="004450B9" w:rsidRDefault="0010395C" w:rsidP="00FE7592">
      <w:r>
        <w:t xml:space="preserve">The current scheduling of </w:t>
      </w:r>
      <w:r w:rsidR="00EA3C46">
        <w:t>comfrey does not allow its use in listed medicines</w:t>
      </w:r>
      <w:r w:rsidR="00535DCE">
        <w:t xml:space="preserve"> except when present at a concentration of </w:t>
      </w:r>
      <w:r w:rsidR="00535DCE" w:rsidRPr="00535DCE">
        <w:t>0.001%</w:t>
      </w:r>
      <w:r w:rsidR="00535DCE">
        <w:t xml:space="preserve"> or less</w:t>
      </w:r>
      <w:r w:rsidR="00EA3C46">
        <w:t xml:space="preserve">. </w:t>
      </w:r>
      <w:r w:rsidR="00C95151">
        <w:t xml:space="preserve">I acknowledge </w:t>
      </w:r>
      <w:r w:rsidR="00061F9D" w:rsidRPr="00061F9D">
        <w:t>topical comfrey preparations are used in traditional medicine to treat a variety of ailments including bruises, skin inflammation and musculoskeletal issues such as osteoarthritis, back pain, ankle sprains, knee joint injuries, joint distortion, myalgia and rheumatism</w:t>
      </w:r>
      <w:r w:rsidR="00F3766C">
        <w:t>. However,</w:t>
      </w:r>
      <w:r w:rsidR="000C5CCA">
        <w:t xml:space="preserve"> </w:t>
      </w:r>
      <w:r w:rsidR="00C95151">
        <w:t xml:space="preserve">I remain </w:t>
      </w:r>
      <w:r w:rsidR="006962DF">
        <w:t>concerned</w:t>
      </w:r>
      <w:r w:rsidR="00C95151">
        <w:t xml:space="preserve"> that the intended use</w:t>
      </w:r>
      <w:r w:rsidR="002935D0">
        <w:t>s</w:t>
      </w:r>
      <w:r w:rsidR="00C95151">
        <w:t xml:space="preserve"> increase the likelihood of incorrect usage on broken skin</w:t>
      </w:r>
      <w:r w:rsidR="00102721">
        <w:t xml:space="preserve"> and can lead</w:t>
      </w:r>
      <w:r w:rsidR="001C52E4">
        <w:t xml:space="preserve"> to the systemic absorption of PA when applied</w:t>
      </w:r>
      <w:r w:rsidR="00C95151">
        <w:t xml:space="preserve"> over large areas of the body or use</w:t>
      </w:r>
      <w:r w:rsidR="00885218">
        <w:t>d</w:t>
      </w:r>
      <w:r w:rsidR="00C95151">
        <w:t xml:space="preserve"> over a prolonged time.</w:t>
      </w:r>
    </w:p>
    <w:p w14:paraId="706BD8FC" w14:textId="1C0A2766" w:rsidR="00B51F90" w:rsidRPr="00180E3B" w:rsidRDefault="00795D95" w:rsidP="004D232B">
      <w:r>
        <w:t xml:space="preserve">Finally, I note that the </w:t>
      </w:r>
      <w:hyperlink r:id="rId30" w:history="1">
        <w:r w:rsidRPr="00921DCE">
          <w:rPr>
            <w:rStyle w:val="Hyperlink"/>
          </w:rPr>
          <w:t xml:space="preserve">European Union herbal monograph on </w:t>
        </w:r>
        <w:r w:rsidRPr="00921DCE">
          <w:rPr>
            <w:rStyle w:val="Hyperlink"/>
            <w:i/>
            <w:iCs/>
          </w:rPr>
          <w:t>Symphytum officinale</w:t>
        </w:r>
        <w:r w:rsidRPr="00921DCE">
          <w:rPr>
            <w:rStyle w:val="Hyperlink"/>
          </w:rPr>
          <w:t xml:space="preserve"> L., radix</w:t>
        </w:r>
      </w:hyperlink>
      <w:r>
        <w:t xml:space="preserve"> recommends application of a thin layer of 10% liquid extract twice a day on intact skin and limits the daily exposure to PAs via any given topical product to 1 microgram per day for adults. Furthermore, the monograph does not recommend </w:t>
      </w:r>
      <w:r w:rsidRPr="003A2831">
        <w:t>use in children and adolescents under 18 years of age</w:t>
      </w:r>
      <w:r>
        <w:t xml:space="preserve"> or use for more than 10 days.</w:t>
      </w:r>
      <w:r w:rsidR="006F18D1">
        <w:t xml:space="preserve"> Overall, in view of the potential toxicity from </w:t>
      </w:r>
      <w:r w:rsidR="003232CB">
        <w:t>incorrect</w:t>
      </w:r>
      <w:r w:rsidR="006F18D1">
        <w:t xml:space="preserve"> use of </w:t>
      </w:r>
      <w:r w:rsidR="003232CB">
        <w:t>topical comfrey preparations I have dec</w:t>
      </w:r>
      <w:r w:rsidR="00C257A6">
        <w:t xml:space="preserve">ided not to exempt preparations containing 20% or less of comfrey </w:t>
      </w:r>
      <w:r w:rsidR="00E87FE3">
        <w:t>from the current scheduling.</w:t>
      </w:r>
    </w:p>
    <w:p w14:paraId="09B0C61B" w14:textId="16FEDD05" w:rsidR="00457050" w:rsidRPr="00BC2009" w:rsidRDefault="00457050" w:rsidP="00967490">
      <w:pPr>
        <w:pStyle w:val="Heading2"/>
      </w:pPr>
      <w:bookmarkStart w:id="41" w:name="_Toc198028602"/>
      <w:r w:rsidRPr="00B41852">
        <w:lastRenderedPageBreak/>
        <w:t xml:space="preserve">Final decisions on proposed amendments to the current Poisons Standard under regulation </w:t>
      </w:r>
      <w:r w:rsidRPr="005F3EA0">
        <w:t>42ZCZU</w:t>
      </w:r>
      <w:bookmarkEnd w:id="41"/>
    </w:p>
    <w:p w14:paraId="5DACADCF" w14:textId="04E1904F" w:rsidR="00457050" w:rsidRDefault="00457050" w:rsidP="00967490">
      <w:r w:rsidRPr="00B41852">
        <w:t xml:space="preserve">In my capacity as a delegate of the Secretary for the purpose of regulation </w:t>
      </w:r>
      <w:r w:rsidRPr="005F3EA0">
        <w:t>42ZCZU</w:t>
      </w:r>
      <w:r w:rsidRPr="005F3EA0" w:rsidDel="005F3EA0">
        <w:t xml:space="preserve"> </w:t>
      </w:r>
      <w:r w:rsidRPr="00B41852">
        <w:t xml:space="preserve">of </w:t>
      </w:r>
      <w:r>
        <w:t xml:space="preserve">the </w:t>
      </w:r>
      <w:r w:rsidRPr="000A3085">
        <w:rPr>
          <w:bCs/>
        </w:rPr>
        <w:t>Regulations</w:t>
      </w:r>
      <w:r w:rsidRPr="00B41852">
        <w:t xml:space="preserve">, I have made final decisions under regulation </w:t>
      </w:r>
      <w:r w:rsidRPr="005F3EA0">
        <w:t>42ZCZU</w:t>
      </w:r>
      <w:r w:rsidRPr="005F3EA0" w:rsidDel="005F3EA0">
        <w:t xml:space="preserve"> </w:t>
      </w:r>
      <w:r w:rsidRPr="00B41852">
        <w:t>with respec</w:t>
      </w:r>
      <w:r>
        <w:t>t to the following substances:</w:t>
      </w:r>
    </w:p>
    <w:p w14:paraId="1CC6C1A4" w14:textId="67BE17D2" w:rsidR="005951C6" w:rsidRPr="004F585E" w:rsidRDefault="004F585E" w:rsidP="000F338A">
      <w:pPr>
        <w:pStyle w:val="ListBullet"/>
      </w:pPr>
      <w:r w:rsidRPr="004F585E">
        <w:t>Fuzapladib sodium</w:t>
      </w:r>
    </w:p>
    <w:p w14:paraId="03B9F8FC" w14:textId="4F38A484" w:rsidR="005951C6" w:rsidRPr="004F585E" w:rsidRDefault="004F585E" w:rsidP="000F338A">
      <w:pPr>
        <w:pStyle w:val="ListBullet"/>
      </w:pPr>
      <w:r w:rsidRPr="004F585E">
        <w:t>Ilunocitinib</w:t>
      </w:r>
    </w:p>
    <w:p w14:paraId="2C2846B4" w14:textId="01EA5498" w:rsidR="004F585E" w:rsidRPr="004F585E" w:rsidRDefault="004F585E" w:rsidP="000F338A">
      <w:pPr>
        <w:pStyle w:val="ListBullet"/>
      </w:pPr>
      <w:r w:rsidRPr="004F585E">
        <w:t>1,4-Dimethylnapthalene</w:t>
      </w:r>
    </w:p>
    <w:p w14:paraId="18DCA633" w14:textId="4C8E36B4" w:rsidR="007A19DC" w:rsidRPr="004F585E" w:rsidRDefault="004F585E" w:rsidP="000F338A">
      <w:pPr>
        <w:pStyle w:val="ListBullet"/>
      </w:pPr>
      <w:r w:rsidRPr="004F585E">
        <w:t>Folpet</w:t>
      </w:r>
      <w:r w:rsidR="00C27564">
        <w:t>.</w:t>
      </w:r>
    </w:p>
    <w:p w14:paraId="5757B52C" w14:textId="69E6F48B" w:rsidR="00084016" w:rsidRDefault="00084016" w:rsidP="00084016">
      <w:pPr>
        <w:pStyle w:val="Heading3"/>
      </w:pPr>
      <w:bookmarkStart w:id="42" w:name="_Toc164149822"/>
      <w:bookmarkStart w:id="43" w:name="_Toc198028603"/>
      <w:r>
        <w:t xml:space="preserve">Final decision in relation to </w:t>
      </w:r>
      <w:bookmarkEnd w:id="42"/>
      <w:r w:rsidR="00266D38" w:rsidRPr="0076057B">
        <w:rPr>
          <w:rFonts w:eastAsia="Cambria"/>
        </w:rPr>
        <w:t>fuzapladib sodium</w:t>
      </w:r>
      <w:bookmarkEnd w:id="43"/>
    </w:p>
    <w:p w14:paraId="5ACE4FD2" w14:textId="1CA3746B" w:rsidR="00084016" w:rsidRDefault="00084016" w:rsidP="000C3B71">
      <w:pPr>
        <w:pStyle w:val="Heading4"/>
      </w:pPr>
      <w:r w:rsidRPr="00BB34CD">
        <w:t>Final Decision</w:t>
      </w:r>
    </w:p>
    <w:p w14:paraId="18409A85" w14:textId="77777777" w:rsidR="00266D38" w:rsidRPr="00027C26" w:rsidRDefault="00266D38" w:rsidP="00266D38">
      <w:pPr>
        <w:rPr>
          <w:rFonts w:eastAsia="Cambria" w:cs="Arial"/>
          <w:szCs w:val="20"/>
        </w:rPr>
      </w:pPr>
      <w:r w:rsidRPr="00027C26">
        <w:rPr>
          <w:rFonts w:eastAsia="Cambria" w:cs="Arial"/>
          <w:szCs w:val="20"/>
        </w:rPr>
        <w:t xml:space="preserve">Pursuant to regulation 42ZCZU of the Regulations, a Delegate of the Secretary has made a final decision to amend the current Poisons Standard in relation to </w:t>
      </w:r>
      <w:bookmarkStart w:id="44" w:name="_Hlk195191434"/>
      <w:r w:rsidRPr="00027C26">
        <w:rPr>
          <w:rFonts w:eastAsia="Cambria" w:cs="Arial"/>
          <w:szCs w:val="20"/>
        </w:rPr>
        <w:t xml:space="preserve">fuzapladib sodium </w:t>
      </w:r>
      <w:bookmarkEnd w:id="44"/>
      <w:r w:rsidRPr="00027C26">
        <w:rPr>
          <w:rFonts w:eastAsia="Cambria" w:cs="Arial"/>
          <w:szCs w:val="20"/>
        </w:rPr>
        <w:t>as follows:</w:t>
      </w:r>
      <w:r w:rsidRPr="00027C26">
        <w:rPr>
          <w:rStyle w:val="FootnoteReference"/>
          <w:rFonts w:eastAsia="Cambria" w:cs="Arial"/>
          <w:szCs w:val="20"/>
        </w:rPr>
        <w:footnoteReference w:id="6"/>
      </w:r>
    </w:p>
    <w:p w14:paraId="0174A6C1" w14:textId="77777777" w:rsidR="00266D38" w:rsidRPr="0016159C" w:rsidRDefault="00266D38" w:rsidP="00266D38">
      <w:pPr>
        <w:ind w:left="425"/>
        <w:rPr>
          <w:rFonts w:cs="Arial"/>
          <w:b/>
          <w:bCs/>
          <w:szCs w:val="20"/>
        </w:rPr>
      </w:pPr>
      <w:r w:rsidRPr="0016159C">
        <w:rPr>
          <w:rFonts w:cs="Arial"/>
          <w:b/>
          <w:bCs/>
          <w:szCs w:val="20"/>
        </w:rPr>
        <w:t>Schedule 4 – New Entry</w:t>
      </w:r>
    </w:p>
    <w:p w14:paraId="732DE3B2" w14:textId="2897022B" w:rsidR="00266D38" w:rsidRPr="0016159C" w:rsidRDefault="00266D38" w:rsidP="00266D38">
      <w:pPr>
        <w:ind w:left="709"/>
        <w:rPr>
          <w:rFonts w:cs="Arial"/>
          <w:b/>
          <w:bCs/>
          <w:color w:val="00B050"/>
          <w:szCs w:val="20"/>
          <w:u w:val="single"/>
        </w:rPr>
      </w:pPr>
      <w:r w:rsidRPr="0016159C">
        <w:rPr>
          <w:rFonts w:eastAsia="Cambria" w:cs="Arial"/>
          <w:color w:val="00B050"/>
          <w:kern w:val="24"/>
          <w:szCs w:val="20"/>
          <w:u w:val="single"/>
        </w:rPr>
        <w:t>FUZAPLADIB SODIUM</w:t>
      </w:r>
    </w:p>
    <w:p w14:paraId="42851C9A" w14:textId="443B0563" w:rsidR="00266D38" w:rsidRPr="0016159C" w:rsidRDefault="00266D38" w:rsidP="00266D38">
      <w:pPr>
        <w:ind w:left="425"/>
        <w:rPr>
          <w:rFonts w:cs="Arial"/>
          <w:b/>
          <w:bCs/>
          <w:szCs w:val="20"/>
        </w:rPr>
      </w:pPr>
      <w:r w:rsidRPr="0016159C">
        <w:rPr>
          <w:rFonts w:cs="Arial"/>
          <w:b/>
          <w:bCs/>
          <w:szCs w:val="20"/>
        </w:rPr>
        <w:t>Index – New Entry</w:t>
      </w:r>
    </w:p>
    <w:p w14:paraId="07A70568" w14:textId="6DF78AA1" w:rsidR="00266D38" w:rsidRPr="00902003" w:rsidRDefault="00266D38" w:rsidP="00266D38">
      <w:pPr>
        <w:ind w:left="709"/>
        <w:rPr>
          <w:rFonts w:cs="Arial"/>
          <w:color w:val="00B050"/>
          <w:szCs w:val="20"/>
          <w:u w:val="single"/>
        </w:rPr>
      </w:pPr>
      <w:r w:rsidRPr="00902003">
        <w:rPr>
          <w:rFonts w:cs="Arial"/>
          <w:color w:val="00B050"/>
          <w:szCs w:val="20"/>
          <w:u w:val="single"/>
        </w:rPr>
        <w:t>FUZAPLADIB SODIUM</w:t>
      </w:r>
    </w:p>
    <w:p w14:paraId="28387080" w14:textId="651EDE94" w:rsidR="00266D38" w:rsidRPr="00266D38" w:rsidRDefault="00266D38" w:rsidP="00266D38">
      <w:pPr>
        <w:ind w:firstLine="709"/>
      </w:pPr>
      <w:r w:rsidRPr="0016159C">
        <w:rPr>
          <w:rFonts w:cs="Arial"/>
          <w:color w:val="00B050"/>
          <w:szCs w:val="20"/>
          <w:u w:val="single"/>
        </w:rPr>
        <w:t>Schedule</w:t>
      </w:r>
      <w:r w:rsidR="00C27564">
        <w:rPr>
          <w:rFonts w:cs="Arial"/>
          <w:color w:val="00B050"/>
          <w:szCs w:val="20"/>
          <w:u w:val="single"/>
        </w:rPr>
        <w:t xml:space="preserve"> </w:t>
      </w:r>
      <w:r w:rsidRPr="0016159C">
        <w:rPr>
          <w:rFonts w:cs="Arial"/>
          <w:color w:val="00B050"/>
          <w:szCs w:val="20"/>
          <w:u w:val="single"/>
        </w:rPr>
        <w:t>4</w:t>
      </w:r>
    </w:p>
    <w:p w14:paraId="5A600C5B" w14:textId="555616D7" w:rsidR="00084016" w:rsidRDefault="00084016" w:rsidP="000C3B71">
      <w:pPr>
        <w:pStyle w:val="Heading4"/>
      </w:pPr>
      <w:r w:rsidRPr="00BB34CD">
        <w:t>Materials considered</w:t>
      </w:r>
    </w:p>
    <w:p w14:paraId="31C6DFB8" w14:textId="77777777" w:rsidR="00084016" w:rsidRDefault="00084016" w:rsidP="00084016">
      <w:r>
        <w:t>In making this final decision, the Delegate considered the following material:</w:t>
      </w:r>
    </w:p>
    <w:p w14:paraId="02FDA146" w14:textId="77777777" w:rsidR="00266D38" w:rsidRDefault="00266D38" w:rsidP="000F338A">
      <w:pPr>
        <w:pStyle w:val="ListBullet"/>
      </w:pPr>
      <w:r>
        <w:t xml:space="preserve">The application to amend the current Poisons Standard with respect to fuzapladib sodium (the </w:t>
      </w:r>
      <w:r w:rsidRPr="00266D38">
        <w:rPr>
          <w:b/>
          <w:bCs/>
        </w:rPr>
        <w:t>Application</w:t>
      </w:r>
      <w:r>
        <w:t>)</w:t>
      </w:r>
    </w:p>
    <w:p w14:paraId="5720AD3B" w14:textId="77777777" w:rsidR="00266D38" w:rsidRDefault="00266D38" w:rsidP="000F338A">
      <w:pPr>
        <w:pStyle w:val="ListBullet"/>
      </w:pPr>
      <w:r>
        <w:t xml:space="preserve">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1BA2901F" w14:textId="4FA8B447" w:rsidR="00266D38" w:rsidRDefault="00266D38" w:rsidP="000F338A">
      <w:pPr>
        <w:pStyle w:val="ListBullet"/>
      </w:pPr>
      <w:r>
        <w:t>Pursuant to paragraph 52E(2)(a) of the Act, the SPF</w:t>
      </w:r>
    </w:p>
    <w:p w14:paraId="3FDC7B0D" w14:textId="57074DD2" w:rsidR="00084016" w:rsidRPr="00043747" w:rsidRDefault="00266D38" w:rsidP="000F338A">
      <w:pPr>
        <w:pStyle w:val="ListBullet"/>
      </w:pPr>
      <w:r>
        <w:t>The Handbook.</w:t>
      </w:r>
    </w:p>
    <w:p w14:paraId="0869726D" w14:textId="77777777" w:rsidR="00084016" w:rsidRPr="00BB34CD" w:rsidRDefault="00084016" w:rsidP="008C116A">
      <w:pPr>
        <w:pStyle w:val="Heading4"/>
      </w:pPr>
      <w:r w:rsidRPr="00300CBB">
        <w:lastRenderedPageBreak/>
        <w:t>Reasons for the final decision (including findings on material questions of fact)</w:t>
      </w:r>
    </w:p>
    <w:p w14:paraId="5720236A" w14:textId="24EF9FA5" w:rsidR="008A4A5C" w:rsidRDefault="0043718E" w:rsidP="000F338A">
      <w:pPr>
        <w:pStyle w:val="ListBullet"/>
        <w:numPr>
          <w:ilvl w:val="0"/>
          <w:numId w:val="0"/>
        </w:numPr>
      </w:pPr>
      <w:bookmarkStart w:id="45" w:name="_Toc164149823"/>
      <w:r w:rsidRPr="00266D38">
        <w:t xml:space="preserve">The Application </w:t>
      </w:r>
      <w:r w:rsidR="00CC0D53">
        <w:t>is to</w:t>
      </w:r>
      <w:r w:rsidRPr="00266D38">
        <w:t xml:space="preserve"> amend the current Poisons Standard to create a Prescription only (Schedule 4) entry for fuzapladib sodium. </w:t>
      </w:r>
      <w:r w:rsidR="008A4A5C" w:rsidRPr="00266D38">
        <w:t xml:space="preserve">Fuzapladib sodium is the active ingredient of a currently unregistered </w:t>
      </w:r>
      <w:r w:rsidR="000A194B">
        <w:t>veterinary medicine</w:t>
      </w:r>
      <w:r w:rsidR="008A4A5C" w:rsidRPr="00266D38">
        <w:t xml:space="preserve"> and is not included in the current Poisons Standard.</w:t>
      </w:r>
    </w:p>
    <w:p w14:paraId="505764C3" w14:textId="7D5B507F" w:rsidR="00084016" w:rsidRDefault="00084016" w:rsidP="00084016">
      <w:r w:rsidRPr="008B2FC4">
        <w:t xml:space="preserve">In determining that this matter will be a delegate-only decision I have taken into account the information provided </w:t>
      </w:r>
      <w:r w:rsidR="00103BE6">
        <w:t>in the Application</w:t>
      </w:r>
      <w:r w:rsidRPr="008B2FC4">
        <w:t xml:space="preserve">, and the matters outlined under s 52E of the Act and the SPF. </w:t>
      </w:r>
      <w:r w:rsidR="00E82526">
        <w:t>My reasons for making the final decision follow.</w:t>
      </w:r>
    </w:p>
    <w:p w14:paraId="39FA6204" w14:textId="53ED26B3" w:rsidR="00266D38" w:rsidRDefault="00BF756E" w:rsidP="000F338A">
      <w:pPr>
        <w:pStyle w:val="ListBullet"/>
        <w:numPr>
          <w:ilvl w:val="0"/>
          <w:numId w:val="0"/>
        </w:numPr>
      </w:pPr>
      <w:r w:rsidRPr="00266D38">
        <w:t xml:space="preserve">Fuzapladib sodium is a novel anti-inflammatory substance that helps prevent systemic inflammatory response by inhibiting leukocyte function-associated antigen type-1 (LFA-1). </w:t>
      </w:r>
      <w:r w:rsidR="00266D38" w:rsidRPr="00266D38">
        <w:t>Regarding s 52E(1)(a) of the Act, I note that the benefit of fuzapladib sodium is in its use to manage clinical signs associated with the acute onset of pancreatitis in dogs (</w:t>
      </w:r>
      <w:r w:rsidR="00CD70AB" w:rsidRPr="00266D38">
        <w:t>Schedule 4</w:t>
      </w:r>
      <w:r w:rsidR="00CD70AB">
        <w:t xml:space="preserve">, </w:t>
      </w:r>
      <w:r w:rsidR="00266D38" w:rsidRPr="00266D38">
        <w:t xml:space="preserve">scheduling factor 1). The </w:t>
      </w:r>
      <w:r w:rsidR="00103BE6" w:rsidRPr="00103BE6">
        <w:t>Australian Pesticides and Veterinary Medicines Authority</w:t>
      </w:r>
      <w:r w:rsidR="00103BE6">
        <w:t xml:space="preserve"> (</w:t>
      </w:r>
      <w:r w:rsidR="00266D38" w:rsidRPr="00266D38">
        <w:t>APVMA</w:t>
      </w:r>
      <w:r w:rsidR="00103BE6">
        <w:t>)</w:t>
      </w:r>
      <w:r w:rsidR="00266D38" w:rsidRPr="00266D38">
        <w:t xml:space="preserve"> </w:t>
      </w:r>
      <w:r w:rsidR="00103BE6">
        <w:t xml:space="preserve">conducted a </w:t>
      </w:r>
      <w:r w:rsidR="00266D38" w:rsidRPr="00266D38">
        <w:t>Human Health Risk Assessment</w:t>
      </w:r>
      <w:r w:rsidR="00103BE6">
        <w:t xml:space="preserve"> and</w:t>
      </w:r>
      <w:r w:rsidR="00266D38" w:rsidRPr="00266D38">
        <w:t xml:space="preserve"> concluded that that the risk to human health from accidental exposure to fuzapladib sodium would be negligible when used in a controlled environment such as a veterinary clinic by qualified</w:t>
      </w:r>
      <w:r w:rsidR="00833ECC">
        <w:t xml:space="preserve"> or </w:t>
      </w:r>
      <w:r w:rsidR="00266D38" w:rsidRPr="00266D38">
        <w:t>trained staff and risks from direct use are not relevant for the general public. Considering the toxicity data (below) and proposed usage by professionals only, I agree with the APVMA’s findings.</w:t>
      </w:r>
    </w:p>
    <w:p w14:paraId="134ED95D" w14:textId="170B5CD0" w:rsidR="00354E9F" w:rsidRDefault="00354E9F" w:rsidP="000F338A">
      <w:pPr>
        <w:pStyle w:val="ListBullet"/>
        <w:numPr>
          <w:ilvl w:val="0"/>
          <w:numId w:val="0"/>
        </w:numPr>
      </w:pPr>
      <w:r w:rsidRPr="00354E9F">
        <w:t>Regarding s 52E(1)(b) of the Act, I note that fuzapladib sodium is proposed for use as an intravenous injectable solution containing 4 mg/mL fuzapladib sodium. While the product is registered in Japan and has been granted conditional approval in the USA and limited market eligibility in the EU, there is no experience of its usage in Australia (Schedule 4</w:t>
      </w:r>
      <w:r>
        <w:t xml:space="preserve">, </w:t>
      </w:r>
      <w:r w:rsidRPr="00354E9F">
        <w:t>Scheduling factor 8). It is estimated that</w:t>
      </w:r>
      <w:r w:rsidR="00CA2E80">
        <w:t xml:space="preserve"> a</w:t>
      </w:r>
      <w:r w:rsidRPr="00354E9F">
        <w:t>pproximately 0.18% of the Australian dog population would be treated by the product</w:t>
      </w:r>
      <w:r>
        <w:t>.</w:t>
      </w:r>
    </w:p>
    <w:p w14:paraId="03DECFE5" w14:textId="39ECE1C2" w:rsidR="00354E9F" w:rsidRDefault="001146CB" w:rsidP="000F338A">
      <w:pPr>
        <w:pStyle w:val="ListBullet"/>
        <w:numPr>
          <w:ilvl w:val="0"/>
          <w:numId w:val="0"/>
        </w:numPr>
      </w:pPr>
      <w:r w:rsidRPr="001146CB">
        <w:t>In relation to s 52E(1)(c) of the Act, I note that the acute oral toxicity levels for fuzapladib sodium in rats are low (522</w:t>
      </w:r>
      <w:r w:rsidR="005A51B0">
        <w:t>-</w:t>
      </w:r>
      <w:r w:rsidRPr="001146CB">
        <w:t>1,414 mg/kg bw).  Short-term acute toxicity studies established a</w:t>
      </w:r>
      <w:r w:rsidR="00CA2E80">
        <w:rPr>
          <w:rFonts w:eastAsiaTheme="minorHAnsi" w:cstheme="minorBidi"/>
        </w:rPr>
        <w:t xml:space="preserve"> </w:t>
      </w:r>
      <w:r w:rsidR="00CA2E80" w:rsidRPr="006F49F0">
        <w:rPr>
          <w:rFonts w:eastAsiaTheme="minorHAnsi" w:cstheme="minorBidi"/>
        </w:rPr>
        <w:t>no observed adverse effect level</w:t>
      </w:r>
      <w:r w:rsidRPr="001146CB">
        <w:t xml:space="preserve"> </w:t>
      </w:r>
      <w:r w:rsidR="00CA2E80">
        <w:t>(</w:t>
      </w:r>
      <w:r w:rsidRPr="001146CB">
        <w:t>NOAEL</w:t>
      </w:r>
      <w:r w:rsidR="00CA2E80">
        <w:t>)</w:t>
      </w:r>
      <w:r w:rsidRPr="001146CB">
        <w:t xml:space="preserve"> of 5 mg/kg bw/day in dogs (28</w:t>
      </w:r>
      <w:r>
        <w:t>-</w:t>
      </w:r>
      <w:r w:rsidRPr="001146CB">
        <w:t>day study; based on histopathological changes in the thyroid at 15 mg/kg bw/day) and a NOAEL of 12.5 mg/kg bw/day in rats (14</w:t>
      </w:r>
      <w:r>
        <w:t>-</w:t>
      </w:r>
      <w:r w:rsidRPr="001146CB">
        <w:t xml:space="preserve">day study; based on clinical signs, decreased spleen weights and histopathological changes at higher doses).  No data was submitted on acute dermal toxicity, inhalation toxicity, skin and eye irritation or skin sensitisation for fuzapladib sodium. Fuzapladib sodium is considered unlikely to have genotoxic potential </w:t>
      </w:r>
      <w:r w:rsidR="00CA2E80">
        <w:t>and there are</w:t>
      </w:r>
      <w:r w:rsidRPr="001146CB">
        <w:t xml:space="preserve"> also no evidence of reproductive and developmental toxicity testing as conducted by the intravenous route in rats and rabbits. The NOAEL for reproduction and development ranged from 45 to 80 mg/kg bw in rats and 60 mg/kg bw in rabbits.</w:t>
      </w:r>
    </w:p>
    <w:p w14:paraId="7333A011" w14:textId="40B6118A" w:rsidR="001C3380" w:rsidRDefault="001C3380" w:rsidP="000F338A">
      <w:pPr>
        <w:pStyle w:val="ListBullet"/>
        <w:numPr>
          <w:ilvl w:val="0"/>
          <w:numId w:val="0"/>
        </w:numPr>
      </w:pPr>
      <w:r>
        <w:t>With regards to s 52E(1)(d) of the Act, I noted that the fuzapladib sodium is the active ingredient in a currently unregistered product.</w:t>
      </w:r>
      <w:r w:rsidR="00CA2E80">
        <w:t xml:space="preserve"> </w:t>
      </w:r>
      <w:r w:rsidR="005A51B0">
        <w:t>The product</w:t>
      </w:r>
      <w:r>
        <w:t xml:space="preserve"> contains 14 mg fuzapladib sodium in sterilised lyophilised powder which will be dissolved in sterile water and administered as intravenous bolus injection </w:t>
      </w:r>
      <w:r w:rsidR="00CA2E80">
        <w:t>at 0.4</w:t>
      </w:r>
      <w:r w:rsidR="005A51B0">
        <w:t> </w:t>
      </w:r>
      <w:r w:rsidR="00CA2E80">
        <w:t xml:space="preserve">mg/kg bw </w:t>
      </w:r>
      <w:r>
        <w:t>once daily for three days. The product is intended for use by veterinarians only (Schedule 4</w:t>
      </w:r>
      <w:r w:rsidR="00CA2E80">
        <w:t>, scheduling factor 2</w:t>
      </w:r>
      <w:r>
        <w:t>). The APVMA, as the regulator of all veterinary products, will consider the dosage, formulation, labelling, packaging and presentation of fuzapladib sodium containing products during the product registration process.</w:t>
      </w:r>
    </w:p>
    <w:p w14:paraId="2F48D5F4" w14:textId="49B47727" w:rsidR="001C3380" w:rsidRDefault="008E67F4" w:rsidP="000F338A">
      <w:pPr>
        <w:pStyle w:val="ListBullet"/>
        <w:numPr>
          <w:ilvl w:val="0"/>
          <w:numId w:val="0"/>
        </w:numPr>
      </w:pPr>
      <w:r>
        <w:t>As</w:t>
      </w:r>
      <w:r w:rsidR="001C3380">
        <w:t xml:space="preserve"> </w:t>
      </w:r>
      <w:r>
        <w:t xml:space="preserve">fuzapladib </w:t>
      </w:r>
      <w:r w:rsidR="001C3380">
        <w:t xml:space="preserve">will not be used in food producing animals, no </w:t>
      </w:r>
      <w:r w:rsidR="00674C15">
        <w:t>A</w:t>
      </w:r>
      <w:r w:rsidR="001C3380">
        <w:t xml:space="preserve">cceptable </w:t>
      </w:r>
      <w:r w:rsidR="00674C15">
        <w:t>D</w:t>
      </w:r>
      <w:r w:rsidR="001C3380">
        <w:t xml:space="preserve">aily </w:t>
      </w:r>
      <w:r w:rsidR="00674C15">
        <w:t>I</w:t>
      </w:r>
      <w:r w:rsidR="001C3380">
        <w:t xml:space="preserve">ntake (ADI), </w:t>
      </w:r>
      <w:r w:rsidR="00674C15">
        <w:t>A</w:t>
      </w:r>
      <w:r w:rsidR="001C3380">
        <w:t xml:space="preserve">cute </w:t>
      </w:r>
      <w:r w:rsidR="00674C15">
        <w:t>R</w:t>
      </w:r>
      <w:r w:rsidR="001C3380">
        <w:t xml:space="preserve">eference </w:t>
      </w:r>
      <w:r w:rsidR="00674C15">
        <w:t>D</w:t>
      </w:r>
      <w:r w:rsidR="001C3380">
        <w:t xml:space="preserve">ose (ARfD) or </w:t>
      </w:r>
      <w:r w:rsidR="00674C15">
        <w:t>M</w:t>
      </w:r>
      <w:r w:rsidR="001C3380">
        <w:t xml:space="preserve">aximum </w:t>
      </w:r>
      <w:r w:rsidR="00674C15">
        <w:t>R</w:t>
      </w:r>
      <w:r w:rsidR="001C3380">
        <w:t xml:space="preserve">esidue </w:t>
      </w:r>
      <w:r w:rsidR="00674C15">
        <w:t>L</w:t>
      </w:r>
      <w:r w:rsidR="001C3380">
        <w:t>imit (MRL) have been established. Absence of these factors has no impact on the scheduling considerations for fuzapladib sodium.</w:t>
      </w:r>
    </w:p>
    <w:p w14:paraId="5C470A6F" w14:textId="4ECA9068" w:rsidR="008E67F4" w:rsidRDefault="008E67F4" w:rsidP="008E67F4">
      <w:pPr>
        <w:pStyle w:val="ListBullet"/>
        <w:numPr>
          <w:ilvl w:val="0"/>
          <w:numId w:val="0"/>
        </w:numPr>
      </w:pPr>
      <w:r w:rsidRPr="004814FF">
        <w:t xml:space="preserve">Based on the above considerations and the information provided in the application, I have decided to amend the current Poisons Standard </w:t>
      </w:r>
      <w:r>
        <w:t>regarding fuzapladib sodium</w:t>
      </w:r>
      <w:r w:rsidRPr="004814FF">
        <w:t xml:space="preserve"> in the manner laid out above.</w:t>
      </w:r>
      <w:r>
        <w:t xml:space="preserve"> T</w:t>
      </w:r>
      <w:r w:rsidRPr="00902003">
        <w:t>his amendment was not referred to an expert advisory committee for advice.</w:t>
      </w:r>
    </w:p>
    <w:p w14:paraId="0673031F" w14:textId="77777777" w:rsidR="00084016" w:rsidRPr="00300CBB" w:rsidRDefault="00084016" w:rsidP="008C116A">
      <w:pPr>
        <w:pStyle w:val="Heading4"/>
      </w:pPr>
      <w:r w:rsidRPr="00300CBB">
        <w:t>Implementation date</w:t>
      </w:r>
    </w:p>
    <w:p w14:paraId="054B5D62" w14:textId="2C925E6C" w:rsidR="00084016" w:rsidRPr="008C116A" w:rsidRDefault="00084016" w:rsidP="00084016">
      <w:r w:rsidRPr="008C116A">
        <w:t xml:space="preserve">1 </w:t>
      </w:r>
      <w:r w:rsidR="00266D38">
        <w:t>June 2025</w:t>
      </w:r>
    </w:p>
    <w:p w14:paraId="374A3705" w14:textId="128D0D3F" w:rsidR="00084016" w:rsidRDefault="00084016" w:rsidP="00084016">
      <w:pPr>
        <w:pStyle w:val="Heading3"/>
      </w:pPr>
      <w:bookmarkStart w:id="46" w:name="_Toc198028604"/>
      <w:r>
        <w:lastRenderedPageBreak/>
        <w:t xml:space="preserve">Final decision in relation to </w:t>
      </w:r>
      <w:bookmarkEnd w:id="45"/>
      <w:r w:rsidR="001C3380" w:rsidRPr="00FD4C6E">
        <w:t>ilunocitinib</w:t>
      </w:r>
      <w:bookmarkEnd w:id="46"/>
    </w:p>
    <w:p w14:paraId="352D7A0F" w14:textId="1F0A7935" w:rsidR="00084016" w:rsidRPr="00BB34CD" w:rsidRDefault="00084016" w:rsidP="008C116A">
      <w:pPr>
        <w:pStyle w:val="Heading4"/>
      </w:pPr>
      <w:r w:rsidRPr="00BB34CD">
        <w:t>Final Decision</w:t>
      </w:r>
    </w:p>
    <w:p w14:paraId="2C660D16" w14:textId="77777777" w:rsidR="001C3380" w:rsidRPr="002F01E3" w:rsidRDefault="001C3380" w:rsidP="001C3380">
      <w:pPr>
        <w:keepNext/>
        <w:keepLines/>
        <w:outlineLvl w:val="1"/>
        <w:rPr>
          <w:b/>
          <w:bCs/>
          <w:i/>
          <w:iCs/>
          <w:sz w:val="22"/>
        </w:rPr>
      </w:pPr>
      <w:r w:rsidRPr="00A05CA0">
        <w:rPr>
          <w:rFonts w:eastAsia="Cambria" w:cs="Arial"/>
          <w:szCs w:val="20"/>
        </w:rPr>
        <w:t xml:space="preserve">Pursuant to regulation 42ZCZU of the Regulations, a Delegate of the Secretary has made a final decision to amend the current Poisons Standard in relation to </w:t>
      </w:r>
      <w:bookmarkStart w:id="47" w:name="_Hlk195705529"/>
      <w:r>
        <w:rPr>
          <w:rFonts w:eastAsia="Cambria" w:cs="Arial"/>
          <w:szCs w:val="20"/>
        </w:rPr>
        <w:t>i</w:t>
      </w:r>
      <w:r w:rsidRPr="00825F97">
        <w:rPr>
          <w:rFonts w:eastAsia="Cambria" w:cs="Arial"/>
          <w:szCs w:val="20"/>
        </w:rPr>
        <w:t xml:space="preserve">lunocitinib </w:t>
      </w:r>
      <w:bookmarkEnd w:id="47"/>
      <w:r w:rsidRPr="00A05CA0">
        <w:rPr>
          <w:rFonts w:eastAsia="Cambria" w:cs="Arial"/>
          <w:szCs w:val="20"/>
        </w:rPr>
        <w:t>as follows:</w:t>
      </w:r>
      <w:r w:rsidRPr="00A05CA0">
        <w:rPr>
          <w:rStyle w:val="FootnoteReference"/>
          <w:rFonts w:eastAsia="Cambria" w:cs="Arial"/>
          <w:szCs w:val="20"/>
        </w:rPr>
        <w:footnoteReference w:id="7"/>
      </w:r>
    </w:p>
    <w:p w14:paraId="6210DD8E" w14:textId="77777777" w:rsidR="001C3380" w:rsidRDefault="001C3380" w:rsidP="001C3380">
      <w:pPr>
        <w:ind w:left="425"/>
        <w:rPr>
          <w:rFonts w:cs="Arial"/>
          <w:b/>
          <w:bCs/>
          <w:szCs w:val="20"/>
        </w:rPr>
      </w:pPr>
      <w:r w:rsidRPr="00A05CA0">
        <w:rPr>
          <w:rFonts w:cs="Arial"/>
          <w:b/>
          <w:bCs/>
          <w:szCs w:val="20"/>
        </w:rPr>
        <w:t xml:space="preserve">Schedule 4 </w:t>
      </w:r>
      <w:r w:rsidRPr="001C6953">
        <w:rPr>
          <w:rFonts w:cs="Arial"/>
          <w:b/>
          <w:bCs/>
          <w:szCs w:val="20"/>
        </w:rPr>
        <w:t xml:space="preserve">– </w:t>
      </w:r>
      <w:r>
        <w:rPr>
          <w:rFonts w:cs="Arial"/>
          <w:b/>
          <w:bCs/>
          <w:szCs w:val="20"/>
        </w:rPr>
        <w:t>New</w:t>
      </w:r>
      <w:r w:rsidRPr="001C6953">
        <w:rPr>
          <w:rFonts w:cs="Arial"/>
          <w:b/>
          <w:bCs/>
          <w:szCs w:val="20"/>
        </w:rPr>
        <w:t xml:space="preserve"> Entry</w:t>
      </w:r>
    </w:p>
    <w:p w14:paraId="3C108540" w14:textId="4DB6F091" w:rsidR="001C3380" w:rsidRPr="001C3380" w:rsidRDefault="001C3380" w:rsidP="001C3380">
      <w:pPr>
        <w:ind w:left="709"/>
        <w:rPr>
          <w:rFonts w:cs="Arial"/>
          <w:b/>
          <w:bCs/>
          <w:szCs w:val="20"/>
        </w:rPr>
      </w:pPr>
      <w:r w:rsidRPr="001C3380">
        <w:rPr>
          <w:rFonts w:eastAsia="Cambria" w:cs="Arial"/>
          <w:color w:val="00B050"/>
          <w:kern w:val="24"/>
          <w:sz w:val="22"/>
          <w:u w:val="single"/>
        </w:rPr>
        <w:t>ILUNOCITINIB</w:t>
      </w:r>
    </w:p>
    <w:p w14:paraId="60D4BAF8" w14:textId="7E37CBB4" w:rsidR="001C3380" w:rsidRPr="00A05CA0" w:rsidRDefault="001C3380" w:rsidP="001C3380">
      <w:pPr>
        <w:ind w:left="425"/>
        <w:rPr>
          <w:rFonts w:cs="Arial"/>
          <w:b/>
          <w:bCs/>
          <w:szCs w:val="20"/>
        </w:rPr>
      </w:pPr>
      <w:r w:rsidRPr="00A05CA0">
        <w:rPr>
          <w:rFonts w:cs="Arial"/>
          <w:b/>
          <w:bCs/>
          <w:szCs w:val="20"/>
        </w:rPr>
        <w:t xml:space="preserve">Index </w:t>
      </w:r>
      <w:r w:rsidRPr="004017A8">
        <w:rPr>
          <w:rFonts w:cs="Arial"/>
          <w:b/>
          <w:bCs/>
          <w:szCs w:val="20"/>
        </w:rPr>
        <w:t>– New Entry</w:t>
      </w:r>
    </w:p>
    <w:p w14:paraId="5C15AA50" w14:textId="77777777" w:rsidR="001C3380" w:rsidRPr="00902003" w:rsidRDefault="001C3380" w:rsidP="001C3380">
      <w:pPr>
        <w:ind w:left="709"/>
        <w:rPr>
          <w:rFonts w:eastAsia="Cambria" w:cs="Arial"/>
          <w:color w:val="00B050"/>
          <w:kern w:val="24"/>
          <w:sz w:val="22"/>
          <w:u w:val="single"/>
        </w:rPr>
      </w:pPr>
      <w:r w:rsidRPr="00902003">
        <w:rPr>
          <w:rFonts w:eastAsia="Cambria" w:cs="Arial"/>
          <w:color w:val="00B050"/>
          <w:kern w:val="24"/>
          <w:sz w:val="22"/>
          <w:u w:val="single"/>
        </w:rPr>
        <w:t>ILUNOCITINIB</w:t>
      </w:r>
    </w:p>
    <w:p w14:paraId="57030E1E" w14:textId="4DB6E2AA" w:rsidR="00084016" w:rsidRPr="00C93568" w:rsidRDefault="001C3380" w:rsidP="001C3380">
      <w:pPr>
        <w:ind w:left="709"/>
        <w:rPr>
          <w:color w:val="00B050"/>
          <w:u w:val="single"/>
        </w:rPr>
      </w:pPr>
      <w:r w:rsidRPr="001C3380">
        <w:rPr>
          <w:rFonts w:cs="Arial"/>
          <w:color w:val="00B050"/>
          <w:szCs w:val="20"/>
          <w:u w:val="single"/>
        </w:rPr>
        <w:t>Schedule</w:t>
      </w:r>
      <w:r w:rsidR="00C27564">
        <w:rPr>
          <w:rFonts w:cs="Arial"/>
          <w:color w:val="00B050"/>
          <w:szCs w:val="20"/>
          <w:u w:val="single"/>
        </w:rPr>
        <w:t xml:space="preserve"> </w:t>
      </w:r>
      <w:r w:rsidRPr="001C3380">
        <w:rPr>
          <w:rFonts w:cs="Arial"/>
          <w:color w:val="00B050"/>
          <w:szCs w:val="20"/>
          <w:u w:val="single"/>
        </w:rPr>
        <w:t>4</w:t>
      </w:r>
    </w:p>
    <w:p w14:paraId="2B4167EC" w14:textId="6FD8B680" w:rsidR="00084016" w:rsidRPr="00BB34CD" w:rsidRDefault="00084016" w:rsidP="008C116A">
      <w:pPr>
        <w:pStyle w:val="Heading4"/>
      </w:pPr>
      <w:r w:rsidRPr="00BB34CD">
        <w:t>Materials considered</w:t>
      </w:r>
    </w:p>
    <w:p w14:paraId="073C861B" w14:textId="77777777" w:rsidR="00084016" w:rsidRDefault="00084016" w:rsidP="00084016">
      <w:r>
        <w:t>In making this final decision, the Delegate considered the following material:</w:t>
      </w:r>
    </w:p>
    <w:p w14:paraId="37F16438" w14:textId="012E62A6" w:rsidR="00084016" w:rsidRDefault="00084016" w:rsidP="000F338A">
      <w:pPr>
        <w:pStyle w:val="ListBullet"/>
      </w:pPr>
      <w:r>
        <w:t xml:space="preserve">The </w:t>
      </w:r>
      <w:r w:rsidRPr="00C02858">
        <w:t>application</w:t>
      </w:r>
      <w:r>
        <w:t xml:space="preserve"> to amend the current Poisons Standard with respect to </w:t>
      </w:r>
      <w:r w:rsidR="001C3380" w:rsidRPr="008360B5">
        <w:t>Ilunocitinib</w:t>
      </w:r>
      <w:r>
        <w:t xml:space="preserve"> (the </w:t>
      </w:r>
      <w:r w:rsidRPr="000A3085">
        <w:rPr>
          <w:b/>
          <w:bCs/>
        </w:rPr>
        <w:t>Application</w:t>
      </w:r>
      <w:r>
        <w:t>)</w:t>
      </w:r>
    </w:p>
    <w:p w14:paraId="6AB86E77" w14:textId="0A0842A6" w:rsidR="008C116A" w:rsidRDefault="00084016" w:rsidP="000F338A">
      <w:pPr>
        <w:pStyle w:val="ListBullet"/>
      </w:pPr>
      <w:r w:rsidRPr="001169AC">
        <w:t xml:space="preserve">Subsection 52E(1) of </w:t>
      </w:r>
      <w:r w:rsidRPr="00353B0F">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429E8AD7" w14:textId="021E97F6" w:rsidR="00084016" w:rsidRDefault="00084016" w:rsidP="000F338A">
      <w:pPr>
        <w:pStyle w:val="ListBullet"/>
      </w:pPr>
      <w:r>
        <w:t xml:space="preserve">Pursuant to paragraph 52E(2)(a) of the </w:t>
      </w:r>
      <w:r w:rsidRPr="002C15C0">
        <w:t>Act, the SPF, and</w:t>
      </w:r>
    </w:p>
    <w:p w14:paraId="5741336B" w14:textId="3F4D187A" w:rsidR="00084016" w:rsidRDefault="00084016" w:rsidP="000F338A">
      <w:pPr>
        <w:pStyle w:val="ListBullet"/>
      </w:pPr>
      <w:r>
        <w:t>The Handbook.</w:t>
      </w:r>
    </w:p>
    <w:p w14:paraId="7B5E7D7D" w14:textId="77777777" w:rsidR="00084016" w:rsidRPr="00300CBB" w:rsidRDefault="00084016" w:rsidP="008C116A">
      <w:pPr>
        <w:pStyle w:val="Heading4"/>
      </w:pPr>
      <w:r w:rsidRPr="00300CBB">
        <w:t>Reasons for the final decision (including findings on material questions of fact)</w:t>
      </w:r>
    </w:p>
    <w:p w14:paraId="16631E00" w14:textId="14402EA3" w:rsidR="00902003" w:rsidRPr="00902003" w:rsidRDefault="00902003" w:rsidP="00902003">
      <w:pPr>
        <w:pStyle w:val="ListBullet2"/>
        <w:rPr>
          <w:rFonts w:eastAsiaTheme="minorHAnsi" w:cstheme="minorBidi"/>
        </w:rPr>
      </w:pPr>
      <w:r w:rsidRPr="00902003">
        <w:rPr>
          <w:rFonts w:eastAsiaTheme="minorHAnsi" w:cstheme="minorBidi"/>
        </w:rPr>
        <w:t xml:space="preserve">The </w:t>
      </w:r>
      <w:r w:rsidR="00CC0D53" w:rsidRPr="00902003">
        <w:rPr>
          <w:rFonts w:eastAsiaTheme="minorHAnsi" w:cstheme="minorBidi"/>
        </w:rPr>
        <w:t>Applicati</w:t>
      </w:r>
      <w:r w:rsidR="00CC0D53">
        <w:rPr>
          <w:rFonts w:eastAsiaTheme="minorHAnsi" w:cstheme="minorBidi"/>
        </w:rPr>
        <w:t>on</w:t>
      </w:r>
      <w:r w:rsidRPr="00902003">
        <w:rPr>
          <w:rFonts w:eastAsiaTheme="minorHAnsi" w:cstheme="minorBidi"/>
        </w:rPr>
        <w:t xml:space="preserve"> </w:t>
      </w:r>
      <w:r w:rsidR="00CC0D53">
        <w:rPr>
          <w:rFonts w:eastAsiaTheme="minorHAnsi" w:cstheme="minorBidi"/>
        </w:rPr>
        <w:t>is to</w:t>
      </w:r>
      <w:r w:rsidRPr="00902003">
        <w:rPr>
          <w:rFonts w:eastAsiaTheme="minorHAnsi" w:cstheme="minorBidi"/>
        </w:rPr>
        <w:t xml:space="preserve"> amend the current Poisons Standard to create a new entry for Ilunocitinib as a Prescription only (Schedule 4) substance. Ilunocitinib is </w:t>
      </w:r>
      <w:r w:rsidR="0036241A">
        <w:rPr>
          <w:rFonts w:eastAsiaTheme="minorHAnsi" w:cstheme="minorBidi"/>
        </w:rPr>
        <w:t>an</w:t>
      </w:r>
      <w:r w:rsidR="003F293E">
        <w:rPr>
          <w:rFonts w:eastAsiaTheme="minorHAnsi" w:cstheme="minorBidi"/>
        </w:rPr>
        <w:t xml:space="preserve"> active ingredient for a</w:t>
      </w:r>
      <w:r w:rsidR="00576409">
        <w:rPr>
          <w:rFonts w:eastAsiaTheme="minorHAnsi" w:cstheme="minorBidi"/>
        </w:rPr>
        <w:t xml:space="preserve"> currently unregistered veterinary medicine and is not listed </w:t>
      </w:r>
      <w:r w:rsidRPr="00902003">
        <w:rPr>
          <w:rFonts w:eastAsiaTheme="minorHAnsi" w:cstheme="minorBidi"/>
        </w:rPr>
        <w:t>in the current Poisons Standard.</w:t>
      </w:r>
    </w:p>
    <w:p w14:paraId="791F0022" w14:textId="1BBEEB6F" w:rsidR="00D545F6" w:rsidRPr="00902003" w:rsidRDefault="00103BE6" w:rsidP="00D545F6">
      <w:pPr>
        <w:pStyle w:val="ListBullet2"/>
        <w:rPr>
          <w:rFonts w:eastAsiaTheme="minorHAnsi" w:cstheme="minorBidi"/>
        </w:rPr>
      </w:pPr>
      <w:r w:rsidRPr="008B2FC4">
        <w:t xml:space="preserve">In determining that this matter will be a delegate-only decision I have taken into account the information provided </w:t>
      </w:r>
      <w:r>
        <w:t>in the Application</w:t>
      </w:r>
      <w:r w:rsidRPr="008B2FC4">
        <w:t xml:space="preserve">, and the matters outlined under s 52E of the Act and the SPF. </w:t>
      </w:r>
      <w:r>
        <w:t>My reasons for making the final decision follow.</w:t>
      </w:r>
    </w:p>
    <w:p w14:paraId="1F41A357" w14:textId="23CBAE28" w:rsidR="002B34CB" w:rsidRDefault="00902003" w:rsidP="00902003">
      <w:pPr>
        <w:pStyle w:val="ListBullet2"/>
        <w:rPr>
          <w:rFonts w:eastAsiaTheme="minorHAnsi" w:cstheme="minorBidi"/>
        </w:rPr>
      </w:pPr>
      <w:r w:rsidRPr="00902003">
        <w:rPr>
          <w:rFonts w:eastAsiaTheme="minorHAnsi" w:cstheme="minorBidi"/>
        </w:rPr>
        <w:t>Ilunocitinib is an inhibitor of Janus Kinase (JAK) receptors. JAK</w:t>
      </w:r>
      <w:r w:rsidR="00CA2E80">
        <w:rPr>
          <w:rFonts w:eastAsiaTheme="minorHAnsi" w:cstheme="minorBidi"/>
        </w:rPr>
        <w:t xml:space="preserve"> receptors </w:t>
      </w:r>
      <w:r w:rsidRPr="00902003">
        <w:rPr>
          <w:rFonts w:eastAsiaTheme="minorHAnsi" w:cstheme="minorBidi"/>
        </w:rPr>
        <w:t xml:space="preserve">are cytoplasmic non-receptor type tyrosine kinases that regulate transcription of selected genes through the </w:t>
      </w:r>
      <w:r w:rsidR="00CA2E80">
        <w:rPr>
          <w:rFonts w:eastAsiaTheme="minorHAnsi" w:cstheme="minorBidi"/>
        </w:rPr>
        <w:t>s</w:t>
      </w:r>
      <w:r w:rsidRPr="00902003">
        <w:rPr>
          <w:rFonts w:eastAsiaTheme="minorHAnsi" w:cstheme="minorBidi"/>
        </w:rPr>
        <w:t xml:space="preserve">ignal </w:t>
      </w:r>
      <w:r w:rsidR="00CA2E80">
        <w:rPr>
          <w:rFonts w:eastAsiaTheme="minorHAnsi" w:cstheme="minorBidi"/>
        </w:rPr>
        <w:t>t</w:t>
      </w:r>
      <w:r w:rsidRPr="00902003">
        <w:rPr>
          <w:rFonts w:eastAsiaTheme="minorHAnsi" w:cstheme="minorBidi"/>
        </w:rPr>
        <w:t xml:space="preserve">ransduction and </w:t>
      </w:r>
      <w:r w:rsidR="00CA2E80">
        <w:rPr>
          <w:rFonts w:eastAsiaTheme="minorHAnsi" w:cstheme="minorBidi"/>
        </w:rPr>
        <w:t>a</w:t>
      </w:r>
      <w:r w:rsidRPr="00902003">
        <w:rPr>
          <w:rFonts w:eastAsiaTheme="minorHAnsi" w:cstheme="minorBidi"/>
        </w:rPr>
        <w:t xml:space="preserve">ctivator of </w:t>
      </w:r>
      <w:r w:rsidR="00CA2E80">
        <w:rPr>
          <w:rFonts w:eastAsiaTheme="minorHAnsi" w:cstheme="minorBidi"/>
        </w:rPr>
        <w:t>t</w:t>
      </w:r>
      <w:r w:rsidRPr="00902003">
        <w:rPr>
          <w:rFonts w:eastAsiaTheme="minorHAnsi" w:cstheme="minorBidi"/>
        </w:rPr>
        <w:t>ranscription (STAT) proteins. Inhibition of the JAK-STAT signalling pathway inhibit the transcription of several genes involved in inflammatory, immune, and cancer conditions.</w:t>
      </w:r>
    </w:p>
    <w:p w14:paraId="311EE39E" w14:textId="0520D555" w:rsidR="00501903" w:rsidRDefault="00902003" w:rsidP="00501903">
      <w:pPr>
        <w:pStyle w:val="ListBullet2"/>
        <w:rPr>
          <w:rFonts w:eastAsiaTheme="minorHAnsi" w:cstheme="minorBidi"/>
        </w:rPr>
      </w:pPr>
      <w:r w:rsidRPr="00902003">
        <w:rPr>
          <w:rFonts w:eastAsiaTheme="minorHAnsi" w:cstheme="minorBidi"/>
        </w:rPr>
        <w:t xml:space="preserve">In relation to s 52E(1)(a) and (b) of the Act, I note that the ilunocitinib is an active ingredient of </w:t>
      </w:r>
      <w:r w:rsidR="005A51B0">
        <w:rPr>
          <w:rFonts w:eastAsiaTheme="minorHAnsi" w:cstheme="minorBidi"/>
        </w:rPr>
        <w:t>4</w:t>
      </w:r>
      <w:r w:rsidRPr="00902003">
        <w:rPr>
          <w:rFonts w:eastAsiaTheme="minorHAnsi" w:cstheme="minorBidi"/>
        </w:rPr>
        <w:t xml:space="preserve"> medicines yet to be registered in Australia for the treatment of pruritis associated with allergic dermatitis and clinical manifestations of atopic dermatitis in dogs. Allergic dermatitis and atopic dermatitis require veterinary diagnosis and intervention, and the underlying causes and/or </w:t>
      </w:r>
      <w:r w:rsidRPr="00902003">
        <w:rPr>
          <w:rFonts w:eastAsiaTheme="minorHAnsi" w:cstheme="minorBidi"/>
        </w:rPr>
        <w:lastRenderedPageBreak/>
        <w:t>complicating factors may need further investigation and adjunctive therapy (Schedule 4</w:t>
      </w:r>
      <w:r>
        <w:rPr>
          <w:rFonts w:eastAsiaTheme="minorHAnsi" w:cstheme="minorBidi"/>
        </w:rPr>
        <w:t>, s</w:t>
      </w:r>
      <w:r w:rsidRPr="00902003">
        <w:rPr>
          <w:rFonts w:eastAsiaTheme="minorHAnsi" w:cstheme="minorBidi"/>
        </w:rPr>
        <w:t>cheduling factors 1 and 2).</w:t>
      </w:r>
    </w:p>
    <w:p w14:paraId="46414FA4" w14:textId="71674E92" w:rsidR="00B00908" w:rsidRDefault="00B00908" w:rsidP="00501903">
      <w:pPr>
        <w:pStyle w:val="ListBullet2"/>
        <w:rPr>
          <w:rFonts w:eastAsiaTheme="minorHAnsi" w:cstheme="minorBidi"/>
        </w:rPr>
      </w:pPr>
      <w:r w:rsidRPr="00902003">
        <w:rPr>
          <w:rFonts w:eastAsiaTheme="minorHAnsi" w:cstheme="minorBidi"/>
        </w:rPr>
        <w:t xml:space="preserve">Regarding s 52E(1)(b) of the Act, </w:t>
      </w:r>
      <w:r w:rsidR="008358B5">
        <w:rPr>
          <w:rFonts w:eastAsiaTheme="minorHAnsi" w:cstheme="minorBidi"/>
        </w:rPr>
        <w:t>i</w:t>
      </w:r>
      <w:r w:rsidRPr="00902003">
        <w:rPr>
          <w:rFonts w:eastAsiaTheme="minorHAnsi" w:cstheme="minorBidi"/>
        </w:rPr>
        <w:t>t is estimated that 6,500 packs (90 tablets each) of the product will be sold in the first year, representing about 5,000 g of ilunocitinib across all product strengths. This number may increase to 8,000 packs (about 6,000 g of ilunocitinib) in the second year.</w:t>
      </w:r>
    </w:p>
    <w:p w14:paraId="0ECCE129" w14:textId="176A3E78" w:rsidR="00501903" w:rsidRDefault="00501903" w:rsidP="00501903">
      <w:pPr>
        <w:pStyle w:val="ListBullet2"/>
        <w:rPr>
          <w:rFonts w:eastAsiaTheme="minorHAnsi" w:cstheme="minorBidi"/>
        </w:rPr>
      </w:pPr>
      <w:r w:rsidRPr="00902003">
        <w:rPr>
          <w:rFonts w:eastAsiaTheme="minorHAnsi" w:cstheme="minorBidi"/>
        </w:rPr>
        <w:t>Immunosuppression is an expected pharmacological effect of ilunocitinib</w:t>
      </w:r>
      <w:r w:rsidR="00B00908">
        <w:rPr>
          <w:rFonts w:eastAsiaTheme="minorHAnsi" w:cstheme="minorBidi"/>
        </w:rPr>
        <w:t xml:space="preserve"> (see below)</w:t>
      </w:r>
      <w:r w:rsidRPr="00902003">
        <w:rPr>
          <w:rFonts w:eastAsiaTheme="minorHAnsi" w:cstheme="minorBidi"/>
        </w:rPr>
        <w:t>. There may be increased susceptibility to infections</w:t>
      </w:r>
      <w:r>
        <w:rPr>
          <w:rFonts w:eastAsiaTheme="minorHAnsi" w:cstheme="minorBidi"/>
        </w:rPr>
        <w:t xml:space="preserve"> in dogs receiving treatment</w:t>
      </w:r>
      <w:r w:rsidRPr="00902003">
        <w:rPr>
          <w:rFonts w:eastAsiaTheme="minorHAnsi" w:cstheme="minorBidi"/>
        </w:rPr>
        <w:t xml:space="preserve">, which should be monitored. The margin of safety between the therapeutic and toxic dose in dogs is at least 5 times (tablet formulation). </w:t>
      </w:r>
      <w:r w:rsidR="005A51B0">
        <w:rPr>
          <w:rFonts w:eastAsiaTheme="minorHAnsi" w:cstheme="minorBidi"/>
        </w:rPr>
        <w:t>However,</w:t>
      </w:r>
      <w:r w:rsidRPr="00902003">
        <w:rPr>
          <w:rFonts w:eastAsiaTheme="minorHAnsi" w:cstheme="minorBidi"/>
        </w:rPr>
        <w:t xml:space="preserve"> there is no specific antidote and in </w:t>
      </w:r>
      <w:r w:rsidR="008E67F4">
        <w:rPr>
          <w:rFonts w:eastAsiaTheme="minorHAnsi" w:cstheme="minorBidi"/>
        </w:rPr>
        <w:t xml:space="preserve">the </w:t>
      </w:r>
      <w:r w:rsidRPr="00902003">
        <w:rPr>
          <w:rFonts w:eastAsiaTheme="minorHAnsi" w:cstheme="minorBidi"/>
        </w:rPr>
        <w:t xml:space="preserve">case of </w:t>
      </w:r>
      <w:r w:rsidR="008E67F4">
        <w:rPr>
          <w:rFonts w:eastAsiaTheme="minorHAnsi" w:cstheme="minorBidi"/>
        </w:rPr>
        <w:t xml:space="preserve">any </w:t>
      </w:r>
      <w:r w:rsidRPr="00902003">
        <w:rPr>
          <w:rFonts w:eastAsiaTheme="minorHAnsi" w:cstheme="minorBidi"/>
        </w:rPr>
        <w:t>overdose, dogs should be treated symptomatically. Therefore, monitoring or intervention by a veterinary practitioner is required to minimise the risk of harm (Schedule 4</w:t>
      </w:r>
      <w:r>
        <w:rPr>
          <w:rFonts w:eastAsiaTheme="minorHAnsi" w:cstheme="minorBidi"/>
        </w:rPr>
        <w:t xml:space="preserve">, </w:t>
      </w:r>
      <w:r w:rsidR="00674C15">
        <w:rPr>
          <w:rFonts w:eastAsiaTheme="minorHAnsi" w:cstheme="minorBidi"/>
        </w:rPr>
        <w:t>s</w:t>
      </w:r>
      <w:r w:rsidRPr="00BD1B0D">
        <w:rPr>
          <w:rFonts w:eastAsiaTheme="minorHAnsi" w:cstheme="minorBidi"/>
        </w:rPr>
        <w:t>cheduling factors 5 and 6</w:t>
      </w:r>
      <w:r w:rsidRPr="00902003">
        <w:rPr>
          <w:rFonts w:eastAsiaTheme="minorHAnsi" w:cstheme="minorBidi"/>
        </w:rPr>
        <w:t>).</w:t>
      </w:r>
    </w:p>
    <w:p w14:paraId="0D08D85F" w14:textId="4D7BEF4D" w:rsidR="00BD1B0D" w:rsidRDefault="00902003" w:rsidP="00C67BD5">
      <w:pPr>
        <w:pStyle w:val="ListBullet2"/>
        <w:rPr>
          <w:rFonts w:eastAsiaTheme="minorHAnsi" w:cstheme="minorBidi"/>
        </w:rPr>
      </w:pPr>
      <w:r w:rsidRPr="00902003">
        <w:rPr>
          <w:rFonts w:eastAsiaTheme="minorHAnsi" w:cstheme="minorBidi"/>
        </w:rPr>
        <w:t xml:space="preserve">With regards to s 52E(1)(c) of the Act, I note that the </w:t>
      </w:r>
      <w:r w:rsidR="008E67F4">
        <w:rPr>
          <w:rFonts w:eastAsiaTheme="minorHAnsi" w:cstheme="minorBidi"/>
        </w:rPr>
        <w:t>Application</w:t>
      </w:r>
      <w:r w:rsidRPr="00902003">
        <w:rPr>
          <w:rFonts w:eastAsiaTheme="minorHAnsi" w:cstheme="minorBidi"/>
        </w:rPr>
        <w:t xml:space="preserve"> provided toxicology information for both ilunocitinib (the active ingredient) and the finished product. The acute oral toxicity level for ilunocitinib in rats is low (LD</w:t>
      </w:r>
      <w:r w:rsidRPr="00AA4684">
        <w:rPr>
          <w:rFonts w:eastAsiaTheme="minorHAnsi" w:cstheme="minorBidi"/>
          <w:vertAlign w:val="subscript"/>
        </w:rPr>
        <w:t>50</w:t>
      </w:r>
      <w:r w:rsidRPr="00902003">
        <w:rPr>
          <w:rFonts w:eastAsiaTheme="minorHAnsi" w:cstheme="minorBidi"/>
        </w:rPr>
        <w:t xml:space="preserve"> &gt;2</w:t>
      </w:r>
      <w:r w:rsidR="005A51B0">
        <w:rPr>
          <w:rFonts w:eastAsiaTheme="minorHAnsi" w:cstheme="minorBidi"/>
        </w:rPr>
        <w:t>,</w:t>
      </w:r>
      <w:r w:rsidRPr="00902003">
        <w:rPr>
          <w:rFonts w:eastAsiaTheme="minorHAnsi" w:cstheme="minorBidi"/>
        </w:rPr>
        <w:t xml:space="preserve">000 mg/kg bw). No studies were submitted on acute dermal and inhalation toxicity. However, </w:t>
      </w:r>
      <w:r w:rsidR="008E67F4">
        <w:rPr>
          <w:rFonts w:eastAsiaTheme="minorHAnsi" w:cstheme="minorBidi"/>
        </w:rPr>
        <w:t>i</w:t>
      </w:r>
      <w:r w:rsidRPr="00902003">
        <w:rPr>
          <w:rFonts w:eastAsiaTheme="minorHAnsi" w:cstheme="minorBidi"/>
        </w:rPr>
        <w:t>lunocitinib is not considered a skin or eye irritant</w:t>
      </w:r>
      <w:r w:rsidR="008E67F4">
        <w:rPr>
          <w:rFonts w:eastAsiaTheme="minorHAnsi" w:cstheme="minorBidi"/>
        </w:rPr>
        <w:t xml:space="preserve"> or</w:t>
      </w:r>
      <w:r w:rsidRPr="00902003">
        <w:rPr>
          <w:rFonts w:eastAsiaTheme="minorHAnsi" w:cstheme="minorBidi"/>
        </w:rPr>
        <w:t xml:space="preserve"> a skin sensiti</w:t>
      </w:r>
      <w:r w:rsidR="005A51B0">
        <w:rPr>
          <w:rFonts w:eastAsiaTheme="minorHAnsi" w:cstheme="minorBidi"/>
        </w:rPr>
        <w:t>s</w:t>
      </w:r>
      <w:r w:rsidRPr="00902003">
        <w:rPr>
          <w:rFonts w:eastAsiaTheme="minorHAnsi" w:cstheme="minorBidi"/>
        </w:rPr>
        <w:t>er.</w:t>
      </w:r>
    </w:p>
    <w:p w14:paraId="087A917B" w14:textId="53E31581" w:rsidR="00C67BD5" w:rsidRDefault="001A531C" w:rsidP="00C67BD5">
      <w:pPr>
        <w:pStyle w:val="ListBullet2"/>
        <w:rPr>
          <w:rFonts w:eastAsiaTheme="minorHAnsi" w:cstheme="minorBidi"/>
        </w:rPr>
      </w:pPr>
      <w:r w:rsidRPr="00902003">
        <w:rPr>
          <w:rFonts w:eastAsiaTheme="minorHAnsi" w:cstheme="minorBidi"/>
        </w:rPr>
        <w:t xml:space="preserve">In repeat dose </w:t>
      </w:r>
      <w:r w:rsidR="006F49F0">
        <w:rPr>
          <w:rFonts w:eastAsiaTheme="minorHAnsi" w:cstheme="minorBidi"/>
        </w:rPr>
        <w:t xml:space="preserve">oral </w:t>
      </w:r>
      <w:r w:rsidRPr="00902003">
        <w:rPr>
          <w:rFonts w:eastAsiaTheme="minorHAnsi" w:cstheme="minorBidi"/>
        </w:rPr>
        <w:t>toxicity studies in rats and dog</w:t>
      </w:r>
      <w:r w:rsidR="006F49F0">
        <w:rPr>
          <w:rFonts w:eastAsiaTheme="minorHAnsi" w:cstheme="minorBidi"/>
        </w:rPr>
        <w:t>s</w:t>
      </w:r>
      <w:r w:rsidRPr="00902003">
        <w:rPr>
          <w:rFonts w:eastAsiaTheme="minorHAnsi" w:cstheme="minorBidi"/>
        </w:rPr>
        <w:t xml:space="preserve">, </w:t>
      </w:r>
      <w:r w:rsidR="006F49F0">
        <w:rPr>
          <w:rFonts w:eastAsiaTheme="minorHAnsi" w:cstheme="minorBidi"/>
        </w:rPr>
        <w:t>i</w:t>
      </w:r>
      <w:r w:rsidR="006F49F0" w:rsidRPr="00902003">
        <w:rPr>
          <w:rFonts w:eastAsiaTheme="minorHAnsi" w:cstheme="minorBidi"/>
        </w:rPr>
        <w:t xml:space="preserve">mmunosuppressive effects </w:t>
      </w:r>
      <w:r w:rsidRPr="00902003">
        <w:rPr>
          <w:rFonts w:eastAsiaTheme="minorHAnsi" w:cstheme="minorBidi"/>
        </w:rPr>
        <w:t>were observed in the haematopoietic, lymphoid systems and skin. The lowest observed adverse effect level (LOAEL) was 0.8 mg/kg bw/day.</w:t>
      </w:r>
      <w:r w:rsidR="00C67BD5" w:rsidRPr="00C67BD5">
        <w:rPr>
          <w:rFonts w:eastAsiaTheme="minorHAnsi" w:cstheme="minorBidi"/>
        </w:rPr>
        <w:t xml:space="preserve"> </w:t>
      </w:r>
      <w:r w:rsidR="00BD1B0D">
        <w:rPr>
          <w:rFonts w:eastAsiaTheme="minorHAnsi" w:cstheme="minorBidi"/>
        </w:rPr>
        <w:t xml:space="preserve">The </w:t>
      </w:r>
      <w:r w:rsidR="00BD1B0D" w:rsidRPr="00BD1B0D">
        <w:rPr>
          <w:rFonts w:eastAsiaTheme="minorHAnsi" w:cstheme="minorBidi"/>
        </w:rPr>
        <w:t>immunosuppressive effects</w:t>
      </w:r>
      <w:r w:rsidR="00BD1B0D">
        <w:rPr>
          <w:rFonts w:eastAsiaTheme="minorHAnsi" w:cstheme="minorBidi"/>
        </w:rPr>
        <w:t xml:space="preserve"> of</w:t>
      </w:r>
      <w:r w:rsidR="00BD1B0D" w:rsidRPr="00BD1B0D">
        <w:rPr>
          <w:rFonts w:eastAsiaTheme="minorHAnsi" w:cstheme="minorBidi"/>
        </w:rPr>
        <w:t xml:space="preserve"> ilunocitinib are consistent with its pharmacological activity of JAK inhibition</w:t>
      </w:r>
      <w:r w:rsidR="00BD1B0D">
        <w:rPr>
          <w:rFonts w:eastAsiaTheme="minorHAnsi" w:cstheme="minorBidi"/>
        </w:rPr>
        <w:t>.</w:t>
      </w:r>
    </w:p>
    <w:p w14:paraId="5C6CCFD4" w14:textId="464EBAA4" w:rsidR="00BD1B0D" w:rsidRPr="00902003" w:rsidRDefault="00B664FC" w:rsidP="00C67BD5">
      <w:pPr>
        <w:pStyle w:val="ListBullet2"/>
        <w:rPr>
          <w:rFonts w:eastAsiaTheme="minorHAnsi" w:cstheme="minorBidi"/>
        </w:rPr>
      </w:pPr>
      <w:r w:rsidRPr="00B664FC">
        <w:rPr>
          <w:rFonts w:eastAsiaTheme="minorHAnsi" w:cstheme="minorBidi"/>
        </w:rPr>
        <w:t>Major bone abnormalities were observed in a key developmental study in rats</w:t>
      </w:r>
      <w:r w:rsidR="008E67F4">
        <w:rPr>
          <w:rFonts w:eastAsiaTheme="minorHAnsi" w:cstheme="minorBidi"/>
        </w:rPr>
        <w:t xml:space="preserve"> which is</w:t>
      </w:r>
      <w:r w:rsidRPr="00B664FC">
        <w:rPr>
          <w:rFonts w:eastAsiaTheme="minorHAnsi" w:cstheme="minorBidi"/>
        </w:rPr>
        <w:t xml:space="preserve"> likely due t</w:t>
      </w:r>
      <w:r>
        <w:rPr>
          <w:rFonts w:eastAsiaTheme="minorHAnsi" w:cstheme="minorBidi"/>
        </w:rPr>
        <w:t xml:space="preserve">o inhibition of the </w:t>
      </w:r>
      <w:r w:rsidRPr="00B664FC">
        <w:rPr>
          <w:rFonts w:eastAsiaTheme="minorHAnsi" w:cstheme="minorBidi"/>
        </w:rPr>
        <w:t xml:space="preserve">JAK/STAT pathway </w:t>
      </w:r>
      <w:r>
        <w:rPr>
          <w:rFonts w:eastAsiaTheme="minorHAnsi" w:cstheme="minorBidi"/>
        </w:rPr>
        <w:t xml:space="preserve">which </w:t>
      </w:r>
      <w:r w:rsidRPr="00B664FC">
        <w:rPr>
          <w:rFonts w:eastAsiaTheme="minorHAnsi" w:cstheme="minorBidi"/>
        </w:rPr>
        <w:t>is involved in bone development</w:t>
      </w:r>
      <w:r>
        <w:rPr>
          <w:rFonts w:eastAsiaTheme="minorHAnsi" w:cstheme="minorBidi"/>
        </w:rPr>
        <w:t xml:space="preserve">. Similar observations have been made for other </w:t>
      </w:r>
      <w:r w:rsidRPr="00902003">
        <w:rPr>
          <w:rFonts w:eastAsiaTheme="minorHAnsi" w:cstheme="minorBidi"/>
        </w:rPr>
        <w:t>JAK</w:t>
      </w:r>
      <w:r>
        <w:rPr>
          <w:rFonts w:eastAsiaTheme="minorHAnsi" w:cstheme="minorBidi"/>
        </w:rPr>
        <w:t xml:space="preserve"> inhibitors. </w:t>
      </w:r>
      <w:r w:rsidR="00C67BD5">
        <w:rPr>
          <w:rFonts w:eastAsiaTheme="minorHAnsi" w:cstheme="minorBidi"/>
        </w:rPr>
        <w:t>Both the developmental LOAEL</w:t>
      </w:r>
      <w:r w:rsidR="00C67BD5" w:rsidRPr="00902003">
        <w:rPr>
          <w:rFonts w:eastAsiaTheme="minorHAnsi" w:cstheme="minorBidi"/>
        </w:rPr>
        <w:t xml:space="preserve"> </w:t>
      </w:r>
      <w:r w:rsidR="00C67BD5">
        <w:rPr>
          <w:rFonts w:eastAsiaTheme="minorHAnsi" w:cstheme="minorBidi"/>
        </w:rPr>
        <w:t>and</w:t>
      </w:r>
      <w:r w:rsidR="00C67BD5" w:rsidRPr="00902003">
        <w:rPr>
          <w:rFonts w:eastAsiaTheme="minorHAnsi" w:cstheme="minorBidi"/>
        </w:rPr>
        <w:t xml:space="preserve"> </w:t>
      </w:r>
      <w:r w:rsidR="00C67BD5">
        <w:rPr>
          <w:rFonts w:eastAsiaTheme="minorHAnsi" w:cstheme="minorBidi"/>
        </w:rPr>
        <w:t xml:space="preserve">the </w:t>
      </w:r>
      <w:r w:rsidR="00C67BD5" w:rsidRPr="006F49F0">
        <w:rPr>
          <w:rFonts w:eastAsiaTheme="minorHAnsi" w:cstheme="minorBidi"/>
        </w:rPr>
        <w:t xml:space="preserve">no observed adverse effect level </w:t>
      </w:r>
      <w:r w:rsidR="00C67BD5">
        <w:rPr>
          <w:rFonts w:eastAsiaTheme="minorHAnsi" w:cstheme="minorBidi"/>
        </w:rPr>
        <w:t>(</w:t>
      </w:r>
      <w:r w:rsidR="00C67BD5" w:rsidRPr="00902003">
        <w:rPr>
          <w:rFonts w:eastAsiaTheme="minorHAnsi" w:cstheme="minorBidi"/>
        </w:rPr>
        <w:t>NOAEL</w:t>
      </w:r>
      <w:r w:rsidR="00C67BD5">
        <w:rPr>
          <w:rFonts w:eastAsiaTheme="minorHAnsi" w:cstheme="minorBidi"/>
        </w:rPr>
        <w:t>)</w:t>
      </w:r>
      <w:r w:rsidR="00C67BD5" w:rsidRPr="00902003">
        <w:rPr>
          <w:rFonts w:eastAsiaTheme="minorHAnsi" w:cstheme="minorBidi"/>
        </w:rPr>
        <w:t xml:space="preserve"> for maternal toxicity</w:t>
      </w:r>
      <w:r w:rsidR="00C67BD5">
        <w:rPr>
          <w:rFonts w:eastAsiaTheme="minorHAnsi" w:cstheme="minorBidi"/>
        </w:rPr>
        <w:t xml:space="preserve"> of </w:t>
      </w:r>
      <w:r w:rsidR="00C67BD5" w:rsidRPr="00902003">
        <w:rPr>
          <w:rFonts w:eastAsiaTheme="minorHAnsi" w:cstheme="minorBidi"/>
        </w:rPr>
        <w:t xml:space="preserve">ilunocitinib </w:t>
      </w:r>
      <w:r w:rsidR="008E67F4">
        <w:rPr>
          <w:rFonts w:eastAsiaTheme="minorHAnsi" w:cstheme="minorBidi"/>
        </w:rPr>
        <w:t xml:space="preserve">were </w:t>
      </w:r>
      <w:r w:rsidR="00C67BD5">
        <w:rPr>
          <w:rFonts w:eastAsiaTheme="minorHAnsi" w:cstheme="minorBidi"/>
        </w:rPr>
        <w:t xml:space="preserve">estimated to be </w:t>
      </w:r>
      <w:r w:rsidR="00C67BD5" w:rsidRPr="00902003">
        <w:rPr>
          <w:rFonts w:eastAsiaTheme="minorHAnsi" w:cstheme="minorBidi"/>
        </w:rPr>
        <w:t>1 mg/kg bw/day</w:t>
      </w:r>
      <w:r w:rsidR="00C67BD5">
        <w:rPr>
          <w:rFonts w:eastAsiaTheme="minorHAnsi" w:cstheme="minorBidi"/>
        </w:rPr>
        <w:t xml:space="preserve"> in rats</w:t>
      </w:r>
      <w:r w:rsidR="00C67BD5" w:rsidRPr="00902003">
        <w:rPr>
          <w:rFonts w:eastAsiaTheme="minorHAnsi" w:cstheme="minorBidi"/>
        </w:rPr>
        <w:t>. In rabbits, the NOAEL</w:t>
      </w:r>
      <w:r w:rsidR="008E67F4">
        <w:rPr>
          <w:rFonts w:eastAsiaTheme="minorHAnsi" w:cstheme="minorBidi"/>
        </w:rPr>
        <w:t>s</w:t>
      </w:r>
      <w:r w:rsidR="00C67BD5" w:rsidRPr="00902003">
        <w:rPr>
          <w:rFonts w:eastAsiaTheme="minorHAnsi" w:cstheme="minorBidi"/>
        </w:rPr>
        <w:t xml:space="preserve"> for both developmental and maternal toxicity w</w:t>
      </w:r>
      <w:r w:rsidR="008E67F4">
        <w:rPr>
          <w:rFonts w:eastAsiaTheme="minorHAnsi" w:cstheme="minorBidi"/>
        </w:rPr>
        <w:t>ere</w:t>
      </w:r>
      <w:r w:rsidR="00C67BD5" w:rsidRPr="00902003">
        <w:rPr>
          <w:rFonts w:eastAsiaTheme="minorHAnsi" w:cstheme="minorBidi"/>
        </w:rPr>
        <w:t xml:space="preserve"> 10 mg/kg bw/day</w:t>
      </w:r>
      <w:r w:rsidR="00C67BD5">
        <w:rPr>
          <w:rFonts w:eastAsiaTheme="minorHAnsi" w:cstheme="minorBidi"/>
        </w:rPr>
        <w:t xml:space="preserve"> indicating</w:t>
      </w:r>
      <w:r w:rsidR="00C67BD5" w:rsidRPr="00902003">
        <w:rPr>
          <w:rFonts w:eastAsiaTheme="minorHAnsi" w:cstheme="minorBidi"/>
        </w:rPr>
        <w:t xml:space="preserve"> rats are more sensitive to ilunocitinib than rabbits. </w:t>
      </w:r>
      <w:r>
        <w:rPr>
          <w:rFonts w:eastAsiaTheme="minorHAnsi" w:cstheme="minorBidi"/>
        </w:rPr>
        <w:t>However, a</w:t>
      </w:r>
      <w:r w:rsidR="00BD1B0D" w:rsidRPr="00BD1B0D">
        <w:rPr>
          <w:rFonts w:eastAsiaTheme="minorHAnsi" w:cstheme="minorBidi"/>
        </w:rPr>
        <w:t xml:space="preserve"> comprehensive battery of genotoxicity tests with ilunocitinib phosphate salt indicated that ilunocitinib is non-genotoxic.</w:t>
      </w:r>
    </w:p>
    <w:p w14:paraId="1BA7B0BC" w14:textId="395EB105" w:rsidR="00902003" w:rsidRPr="00902003" w:rsidRDefault="00902003" w:rsidP="00902003">
      <w:pPr>
        <w:pStyle w:val="ListBullet2"/>
        <w:rPr>
          <w:rFonts w:eastAsiaTheme="minorHAnsi" w:cstheme="minorBidi"/>
        </w:rPr>
      </w:pPr>
      <w:r w:rsidRPr="00902003">
        <w:rPr>
          <w:rFonts w:eastAsiaTheme="minorHAnsi" w:cstheme="minorBidi"/>
        </w:rPr>
        <w:t>Regarding the formulated product, no studies were submitted for acute oral, dermal, and inhalation toxicity or skin sensitisation. However, it is estimated that the acute oral and dermal toxicity levels are LD</w:t>
      </w:r>
      <w:r w:rsidR="00AA4684" w:rsidRPr="00AA4684">
        <w:rPr>
          <w:rFonts w:eastAsiaTheme="minorHAnsi" w:cstheme="minorBidi"/>
          <w:vertAlign w:val="subscript"/>
        </w:rPr>
        <w:t>50</w:t>
      </w:r>
      <w:r w:rsidRPr="00902003">
        <w:rPr>
          <w:rFonts w:eastAsiaTheme="minorHAnsi" w:cstheme="minorBidi"/>
        </w:rPr>
        <w:t xml:space="preserve"> &gt;2</w:t>
      </w:r>
      <w:r w:rsidR="005A51B0">
        <w:rPr>
          <w:rFonts w:eastAsiaTheme="minorHAnsi" w:cstheme="minorBidi"/>
        </w:rPr>
        <w:t>,</w:t>
      </w:r>
      <w:r w:rsidRPr="00902003">
        <w:rPr>
          <w:rFonts w:eastAsiaTheme="minorHAnsi" w:cstheme="minorBidi"/>
        </w:rPr>
        <w:t>000 mg/kg, and the inhalation toxicity level is LC</w:t>
      </w:r>
      <w:r w:rsidR="00AA4684" w:rsidRPr="00AA4684">
        <w:rPr>
          <w:rFonts w:eastAsiaTheme="minorHAnsi" w:cstheme="minorBidi"/>
          <w:vertAlign w:val="subscript"/>
        </w:rPr>
        <w:t>50</w:t>
      </w:r>
      <w:r w:rsidRPr="00902003">
        <w:rPr>
          <w:rFonts w:eastAsiaTheme="minorHAnsi" w:cstheme="minorBidi"/>
        </w:rPr>
        <w:t xml:space="preserve"> &gt;5</w:t>
      </w:r>
      <w:r w:rsidR="005A51B0">
        <w:rPr>
          <w:rFonts w:eastAsiaTheme="minorHAnsi" w:cstheme="minorBidi"/>
        </w:rPr>
        <w:t>,</w:t>
      </w:r>
      <w:r w:rsidRPr="00902003">
        <w:rPr>
          <w:rFonts w:eastAsiaTheme="minorHAnsi" w:cstheme="minorBidi"/>
        </w:rPr>
        <w:t xml:space="preserve">000 mg/m³. </w:t>
      </w:r>
      <w:r w:rsidR="008E67F4">
        <w:rPr>
          <w:rFonts w:eastAsiaTheme="minorHAnsi" w:cstheme="minorBidi"/>
        </w:rPr>
        <w:t>The product</w:t>
      </w:r>
      <w:r w:rsidRPr="00902003">
        <w:rPr>
          <w:rFonts w:eastAsiaTheme="minorHAnsi" w:cstheme="minorBidi"/>
        </w:rPr>
        <w:t xml:space="preserve"> is not expected to be a skin sensitiser</w:t>
      </w:r>
      <w:r w:rsidR="008E67F4">
        <w:rPr>
          <w:rFonts w:eastAsiaTheme="minorHAnsi" w:cstheme="minorBidi"/>
        </w:rPr>
        <w:t xml:space="preserve"> and b</w:t>
      </w:r>
      <w:r w:rsidRPr="00902003">
        <w:rPr>
          <w:rFonts w:eastAsiaTheme="minorHAnsi" w:cstheme="minorBidi"/>
        </w:rPr>
        <w:t xml:space="preserve">ased on </w:t>
      </w:r>
      <w:r w:rsidRPr="00BD1B0D">
        <w:rPr>
          <w:rFonts w:eastAsiaTheme="minorHAnsi" w:cstheme="minorBidi"/>
          <w:i/>
          <w:iCs/>
        </w:rPr>
        <w:t>in vitro</w:t>
      </w:r>
      <w:r w:rsidRPr="00902003">
        <w:rPr>
          <w:rFonts w:eastAsiaTheme="minorHAnsi" w:cstheme="minorBidi"/>
        </w:rPr>
        <w:t xml:space="preserve"> skin and eye irritation studies, it is not a skin or eye irritant.</w:t>
      </w:r>
    </w:p>
    <w:p w14:paraId="69778268" w14:textId="0F8010DD" w:rsidR="00501903" w:rsidRPr="00902003" w:rsidRDefault="00501903" w:rsidP="00501903">
      <w:pPr>
        <w:pStyle w:val="ListBullet2"/>
        <w:rPr>
          <w:rFonts w:eastAsiaTheme="minorHAnsi" w:cstheme="minorBidi"/>
        </w:rPr>
      </w:pPr>
      <w:r w:rsidRPr="00902003">
        <w:rPr>
          <w:rFonts w:eastAsiaTheme="minorHAnsi" w:cstheme="minorBidi"/>
        </w:rPr>
        <w:t xml:space="preserve">Since the product will not be used in food-producing animals, </w:t>
      </w:r>
      <w:r w:rsidR="008E67F4">
        <w:rPr>
          <w:rFonts w:eastAsiaTheme="minorHAnsi" w:cstheme="minorBidi"/>
        </w:rPr>
        <w:t xml:space="preserve">no </w:t>
      </w:r>
      <w:r w:rsidR="00674C15">
        <w:t>A</w:t>
      </w:r>
      <w:r w:rsidR="008E67F4">
        <w:t xml:space="preserve">cceptable </w:t>
      </w:r>
      <w:r w:rsidR="00674C15">
        <w:t>D</w:t>
      </w:r>
      <w:r w:rsidR="008E67F4">
        <w:t xml:space="preserve">aily </w:t>
      </w:r>
      <w:r w:rsidR="00674C15">
        <w:t>I</w:t>
      </w:r>
      <w:r w:rsidR="008E67F4">
        <w:t xml:space="preserve">ntake (ADI), </w:t>
      </w:r>
      <w:r w:rsidR="00674C15">
        <w:t>A</w:t>
      </w:r>
      <w:r w:rsidR="008E67F4">
        <w:t xml:space="preserve">cute </w:t>
      </w:r>
      <w:r w:rsidR="00674C15">
        <w:t>R</w:t>
      </w:r>
      <w:r w:rsidR="008E67F4">
        <w:t xml:space="preserve">eference </w:t>
      </w:r>
      <w:r w:rsidR="00674C15">
        <w:t>D</w:t>
      </w:r>
      <w:r w:rsidR="008E67F4">
        <w:t xml:space="preserve">ose (ARfD) or </w:t>
      </w:r>
      <w:r w:rsidR="00674C15">
        <w:t>M</w:t>
      </w:r>
      <w:r w:rsidR="008E67F4">
        <w:t xml:space="preserve">aximum </w:t>
      </w:r>
      <w:r w:rsidR="00674C15">
        <w:t>R</w:t>
      </w:r>
      <w:r w:rsidR="008E67F4">
        <w:t xml:space="preserve">esidue </w:t>
      </w:r>
      <w:r w:rsidR="00674C15">
        <w:t>L</w:t>
      </w:r>
      <w:r w:rsidR="008E67F4">
        <w:t>imit (MRL)</w:t>
      </w:r>
      <w:r w:rsidRPr="00902003">
        <w:rPr>
          <w:rFonts w:eastAsiaTheme="minorHAnsi" w:cstheme="minorBidi"/>
        </w:rPr>
        <w:t xml:space="preserve"> have been established for ilunocitinib. </w:t>
      </w:r>
      <w:r w:rsidR="008E67F4">
        <w:rPr>
          <w:rFonts w:eastAsiaTheme="minorHAnsi" w:cstheme="minorBidi"/>
        </w:rPr>
        <w:t>Th</w:t>
      </w:r>
      <w:r w:rsidRPr="00902003">
        <w:rPr>
          <w:rFonts w:eastAsiaTheme="minorHAnsi" w:cstheme="minorBidi"/>
        </w:rPr>
        <w:t>e absence of these factors has no impact on the scheduling considerations for ilunocitinib.</w:t>
      </w:r>
    </w:p>
    <w:p w14:paraId="793083DF" w14:textId="61CEC17C" w:rsidR="00501903" w:rsidRDefault="00902003" w:rsidP="005C6AFD">
      <w:pPr>
        <w:pStyle w:val="ListBullet2"/>
        <w:rPr>
          <w:rFonts w:eastAsiaTheme="minorHAnsi" w:cstheme="minorBidi"/>
        </w:rPr>
      </w:pPr>
      <w:r w:rsidRPr="00902003">
        <w:rPr>
          <w:rFonts w:eastAsiaTheme="minorHAnsi" w:cstheme="minorBidi"/>
        </w:rPr>
        <w:t xml:space="preserve">With regards to s 52E(1)(d) of the Act, </w:t>
      </w:r>
      <w:r w:rsidR="00674C15">
        <w:rPr>
          <w:rFonts w:eastAsiaTheme="minorHAnsi" w:cstheme="minorBidi"/>
        </w:rPr>
        <w:t>i</w:t>
      </w:r>
      <w:r w:rsidRPr="00902003">
        <w:rPr>
          <w:rFonts w:eastAsiaTheme="minorHAnsi" w:cstheme="minorBidi"/>
        </w:rPr>
        <w:t>lunocitinib</w:t>
      </w:r>
      <w:r w:rsidR="00674C15">
        <w:rPr>
          <w:rFonts w:eastAsiaTheme="minorHAnsi" w:cstheme="minorBidi"/>
        </w:rPr>
        <w:t xml:space="preserve"> is</w:t>
      </w:r>
      <w:r w:rsidRPr="00902003">
        <w:rPr>
          <w:rFonts w:eastAsiaTheme="minorHAnsi" w:cstheme="minorBidi"/>
        </w:rPr>
        <w:t xml:space="preserve"> intended to be used as 15 mg, 8.5 mg, 6.4 mg and 4.8 mg oral tablets for dogs. The film-coated and scored tablets will be packaged in child-resistant blister packaging, with 10 tablets/blister card, packed within a cardboard carton in pack sizes of 10, 30 and 90 tablets. Tablets will be administered orally to dogs by owners under the direction of a veterinarian. </w:t>
      </w:r>
      <w:r w:rsidR="005C6AFD" w:rsidRPr="00902003">
        <w:rPr>
          <w:rFonts w:eastAsiaTheme="minorHAnsi" w:cstheme="minorBidi"/>
        </w:rPr>
        <w:t>Handling the tablets can expose owners, especially when breaking them in half.</w:t>
      </w:r>
    </w:p>
    <w:p w14:paraId="4ED6CD47" w14:textId="00B9D38E" w:rsidR="00501903" w:rsidRPr="00902003" w:rsidRDefault="00501903" w:rsidP="005C6AFD">
      <w:pPr>
        <w:pStyle w:val="ListBullet2"/>
        <w:rPr>
          <w:rFonts w:eastAsiaTheme="minorHAnsi" w:cstheme="minorBidi"/>
        </w:rPr>
      </w:pPr>
      <w:r w:rsidRPr="00902003">
        <w:rPr>
          <w:rFonts w:eastAsiaTheme="minorHAnsi" w:cstheme="minorBidi"/>
        </w:rPr>
        <w:t xml:space="preserve">The </w:t>
      </w:r>
      <w:r w:rsidR="00AA4684" w:rsidRPr="00AA4684">
        <w:rPr>
          <w:rFonts w:eastAsiaTheme="minorHAnsi" w:cstheme="minorBidi"/>
        </w:rPr>
        <w:t xml:space="preserve">Australian Pesticides and Veterinary Medicines Authority </w:t>
      </w:r>
      <w:r w:rsidR="00AA4684">
        <w:rPr>
          <w:rFonts w:eastAsiaTheme="minorHAnsi" w:cstheme="minorBidi"/>
        </w:rPr>
        <w:t>(</w:t>
      </w:r>
      <w:r w:rsidRPr="00902003">
        <w:rPr>
          <w:rFonts w:eastAsiaTheme="minorHAnsi" w:cstheme="minorBidi"/>
        </w:rPr>
        <w:t>APVMA</w:t>
      </w:r>
      <w:r w:rsidR="00AA4684">
        <w:rPr>
          <w:rFonts w:eastAsiaTheme="minorHAnsi" w:cstheme="minorBidi"/>
        </w:rPr>
        <w:t>) conducted a</w:t>
      </w:r>
      <w:r w:rsidRPr="00902003">
        <w:rPr>
          <w:rFonts w:eastAsiaTheme="minorHAnsi" w:cstheme="minorBidi"/>
        </w:rPr>
        <w:t xml:space="preserve"> Human Health Risk Assessment (HHRA) that indicated </w:t>
      </w:r>
      <w:r>
        <w:rPr>
          <w:rFonts w:eastAsiaTheme="minorHAnsi" w:cstheme="minorBidi"/>
        </w:rPr>
        <w:t xml:space="preserve">a </w:t>
      </w:r>
      <w:r w:rsidRPr="00902003">
        <w:rPr>
          <w:rFonts w:eastAsiaTheme="minorHAnsi" w:cstheme="minorBidi"/>
        </w:rPr>
        <w:t xml:space="preserve">margin of exposure considerably greater than 100 for adults administering the intended products to dogs without </w:t>
      </w:r>
      <w:r w:rsidR="008E67F4">
        <w:rPr>
          <w:rFonts w:eastAsiaTheme="minorHAnsi" w:cstheme="minorBidi"/>
        </w:rPr>
        <w:t xml:space="preserve">any </w:t>
      </w:r>
      <w:r>
        <w:rPr>
          <w:rFonts w:eastAsiaTheme="minorHAnsi" w:cstheme="minorBidi"/>
        </w:rPr>
        <w:t>p</w:t>
      </w:r>
      <w:r w:rsidRPr="00902003">
        <w:rPr>
          <w:rFonts w:eastAsiaTheme="minorHAnsi" w:cstheme="minorBidi"/>
        </w:rPr>
        <w:t>ersonal protective equipment. In the case of accidental oral ingestion where a single maximum dosing (3 x 15 mg tablets</w:t>
      </w:r>
      <w:r>
        <w:rPr>
          <w:rFonts w:eastAsiaTheme="minorHAnsi" w:cstheme="minorBidi"/>
        </w:rPr>
        <w:t xml:space="preserve"> for a</w:t>
      </w:r>
      <w:r w:rsidRPr="00902003">
        <w:rPr>
          <w:rFonts w:eastAsiaTheme="minorHAnsi" w:cstheme="minorBidi"/>
        </w:rPr>
        <w:t xml:space="preserve"> </w:t>
      </w:r>
      <w:r>
        <w:rPr>
          <w:rFonts w:eastAsiaTheme="minorHAnsi" w:cstheme="minorBidi"/>
        </w:rPr>
        <w:t>75</w:t>
      </w:r>
      <w:r w:rsidRPr="00902003">
        <w:rPr>
          <w:rFonts w:eastAsiaTheme="minorHAnsi" w:cstheme="minorBidi"/>
        </w:rPr>
        <w:t xml:space="preserve"> kg dog) is ingested by a 10 kg child, the exposure (4.5 mg/kg bw) is well below the acute oral LD</w:t>
      </w:r>
      <w:r w:rsidR="00AA4684" w:rsidRPr="00AA4684">
        <w:rPr>
          <w:rFonts w:eastAsiaTheme="minorHAnsi" w:cstheme="minorBidi"/>
          <w:vertAlign w:val="subscript"/>
        </w:rPr>
        <w:t>50</w:t>
      </w:r>
      <w:r w:rsidRPr="00902003">
        <w:rPr>
          <w:rFonts w:eastAsiaTheme="minorHAnsi" w:cstheme="minorBidi"/>
        </w:rPr>
        <w:t xml:space="preserve"> for ilunocitinib (&gt;2</w:t>
      </w:r>
      <w:r w:rsidR="005A51B0">
        <w:rPr>
          <w:rFonts w:eastAsiaTheme="minorHAnsi" w:cstheme="minorBidi"/>
        </w:rPr>
        <w:t>,</w:t>
      </w:r>
      <w:r w:rsidRPr="00902003">
        <w:rPr>
          <w:rFonts w:eastAsiaTheme="minorHAnsi" w:cstheme="minorBidi"/>
        </w:rPr>
        <w:t>000 mg/kg).</w:t>
      </w:r>
      <w:r>
        <w:rPr>
          <w:rFonts w:eastAsiaTheme="minorHAnsi" w:cstheme="minorBidi"/>
        </w:rPr>
        <w:t xml:space="preserve"> </w:t>
      </w:r>
      <w:r w:rsidR="005C6AFD" w:rsidRPr="00902003">
        <w:rPr>
          <w:rFonts w:eastAsiaTheme="minorHAnsi" w:cstheme="minorBidi"/>
        </w:rPr>
        <w:t xml:space="preserve">Use of child resistant packaging will </w:t>
      </w:r>
      <w:r w:rsidR="00674C15">
        <w:rPr>
          <w:rFonts w:eastAsiaTheme="minorHAnsi" w:cstheme="minorBidi"/>
        </w:rPr>
        <w:t xml:space="preserve">further </w:t>
      </w:r>
      <w:r w:rsidR="005C6AFD" w:rsidRPr="00902003">
        <w:rPr>
          <w:rFonts w:eastAsiaTheme="minorHAnsi" w:cstheme="minorBidi"/>
        </w:rPr>
        <w:t>minimise the risk from accidental ingestion by children.</w:t>
      </w:r>
      <w:r>
        <w:rPr>
          <w:rFonts w:eastAsiaTheme="minorHAnsi" w:cstheme="minorBidi"/>
        </w:rPr>
        <w:t xml:space="preserve"> T</w:t>
      </w:r>
      <w:r w:rsidR="005C6AFD" w:rsidRPr="00902003">
        <w:rPr>
          <w:rFonts w:eastAsiaTheme="minorHAnsi" w:cstheme="minorBidi"/>
        </w:rPr>
        <w:t xml:space="preserve">he risk of developmental effects in pregnant women administering ilunocitinib to dogs is </w:t>
      </w:r>
      <w:r w:rsidR="00674C15">
        <w:rPr>
          <w:rFonts w:eastAsiaTheme="minorHAnsi" w:cstheme="minorBidi"/>
        </w:rPr>
        <w:t xml:space="preserve">also </w:t>
      </w:r>
      <w:r w:rsidR="005C6AFD" w:rsidRPr="00902003">
        <w:rPr>
          <w:rFonts w:eastAsiaTheme="minorHAnsi" w:cstheme="minorBidi"/>
        </w:rPr>
        <w:t>considered negligible</w:t>
      </w:r>
      <w:r w:rsidR="005C6AFD">
        <w:rPr>
          <w:rFonts w:eastAsiaTheme="minorHAnsi" w:cstheme="minorBidi"/>
        </w:rPr>
        <w:t xml:space="preserve"> due to </w:t>
      </w:r>
      <w:r>
        <w:rPr>
          <w:rFonts w:eastAsiaTheme="minorHAnsi" w:cstheme="minorBidi"/>
        </w:rPr>
        <w:t xml:space="preserve">the </w:t>
      </w:r>
      <w:r w:rsidR="005C6AFD">
        <w:rPr>
          <w:rFonts w:eastAsiaTheme="minorHAnsi" w:cstheme="minorBidi"/>
        </w:rPr>
        <w:t xml:space="preserve">low exposure </w:t>
      </w:r>
      <w:r>
        <w:rPr>
          <w:rFonts w:eastAsiaTheme="minorHAnsi" w:cstheme="minorBidi"/>
        </w:rPr>
        <w:t xml:space="preserve">and high MOE. </w:t>
      </w:r>
      <w:r w:rsidRPr="00501903">
        <w:rPr>
          <w:rFonts w:eastAsiaTheme="minorHAnsi" w:cstheme="minorBidi"/>
        </w:rPr>
        <w:t>I have considered</w:t>
      </w:r>
      <w:r w:rsidR="00B00908">
        <w:rPr>
          <w:rFonts w:eastAsiaTheme="minorHAnsi" w:cstheme="minorBidi"/>
        </w:rPr>
        <w:t xml:space="preserve"> usage and benefits against</w:t>
      </w:r>
      <w:r w:rsidRPr="00501903">
        <w:rPr>
          <w:rFonts w:eastAsiaTheme="minorHAnsi" w:cstheme="minorBidi"/>
        </w:rPr>
        <w:t xml:space="preserve"> the relatively low risk of substance toxicity and it potential to elicit adverse effects from acute or repeat exposure.  I am of the view that the benefits posed by ilunocitinib outweigh the risks to </w:t>
      </w:r>
      <w:r w:rsidRPr="00501903">
        <w:rPr>
          <w:rFonts w:eastAsiaTheme="minorHAnsi" w:cstheme="minorBidi"/>
        </w:rPr>
        <w:lastRenderedPageBreak/>
        <w:t>human health</w:t>
      </w:r>
      <w:r w:rsidR="00B00908">
        <w:rPr>
          <w:rFonts w:eastAsiaTheme="minorHAnsi" w:cstheme="minorBidi"/>
        </w:rPr>
        <w:t xml:space="preserve"> and the </w:t>
      </w:r>
      <w:r w:rsidR="00B00908" w:rsidRPr="00501903">
        <w:rPr>
          <w:rFonts w:eastAsiaTheme="minorHAnsi" w:cstheme="minorBidi"/>
        </w:rPr>
        <w:t>proposed labelling</w:t>
      </w:r>
      <w:r w:rsidR="00B00908">
        <w:rPr>
          <w:rFonts w:eastAsiaTheme="minorHAnsi" w:cstheme="minorBidi"/>
        </w:rPr>
        <w:t xml:space="preserve"> for the product</w:t>
      </w:r>
      <w:r w:rsidR="00B00908" w:rsidRPr="00501903">
        <w:rPr>
          <w:rFonts w:eastAsiaTheme="minorHAnsi" w:cstheme="minorBidi"/>
        </w:rPr>
        <w:t xml:space="preserve">, including </w:t>
      </w:r>
      <w:r w:rsidR="00B00908">
        <w:rPr>
          <w:rFonts w:eastAsiaTheme="minorHAnsi" w:cstheme="minorBidi"/>
        </w:rPr>
        <w:t xml:space="preserve">the </w:t>
      </w:r>
      <w:r w:rsidR="00B00908" w:rsidRPr="00501903">
        <w:rPr>
          <w:rFonts w:eastAsiaTheme="minorHAnsi" w:cstheme="minorBidi"/>
        </w:rPr>
        <w:t xml:space="preserve">safety directions, </w:t>
      </w:r>
      <w:r w:rsidR="00B00908">
        <w:rPr>
          <w:rFonts w:eastAsiaTheme="minorHAnsi" w:cstheme="minorBidi"/>
        </w:rPr>
        <w:t>are</w:t>
      </w:r>
      <w:r w:rsidR="00B00908" w:rsidRPr="00501903">
        <w:rPr>
          <w:rFonts w:eastAsiaTheme="minorHAnsi" w:cstheme="minorBidi"/>
        </w:rPr>
        <w:t xml:space="preserve"> appropriate to manage the risks.</w:t>
      </w:r>
    </w:p>
    <w:p w14:paraId="1C5CA25B" w14:textId="0C6B4E6A" w:rsidR="00902003" w:rsidRDefault="00902003" w:rsidP="00902003">
      <w:pPr>
        <w:pStyle w:val="ListBullet2"/>
        <w:rPr>
          <w:rFonts w:eastAsiaTheme="minorHAnsi" w:cstheme="minorBidi"/>
        </w:rPr>
      </w:pPr>
      <w:r w:rsidRPr="00902003">
        <w:rPr>
          <w:rFonts w:eastAsiaTheme="minorHAnsi" w:cstheme="minorBidi"/>
        </w:rPr>
        <w:t>Regarding s 52E(1)(f), I note that only experimental clinical experience is available for ilunocitinib (</w:t>
      </w:r>
      <w:r w:rsidR="00674C15" w:rsidRPr="00902003">
        <w:rPr>
          <w:rFonts w:eastAsiaTheme="minorHAnsi" w:cstheme="minorBidi"/>
        </w:rPr>
        <w:t>Schedule 4</w:t>
      </w:r>
      <w:r w:rsidR="00674C15">
        <w:rPr>
          <w:rFonts w:eastAsiaTheme="minorHAnsi" w:cstheme="minorBidi"/>
        </w:rPr>
        <w:t xml:space="preserve">, </w:t>
      </w:r>
      <w:r w:rsidRPr="00902003">
        <w:rPr>
          <w:rFonts w:eastAsiaTheme="minorHAnsi" w:cstheme="minorBidi"/>
        </w:rPr>
        <w:t>scheduling factor 8). However, another JAK</w:t>
      </w:r>
      <w:r w:rsidR="00B664FC">
        <w:rPr>
          <w:rFonts w:eastAsiaTheme="minorHAnsi" w:cstheme="minorBidi"/>
        </w:rPr>
        <w:t xml:space="preserve"> inhibitor</w:t>
      </w:r>
      <w:r w:rsidRPr="00902003">
        <w:rPr>
          <w:rFonts w:eastAsiaTheme="minorHAnsi" w:cstheme="minorBidi"/>
        </w:rPr>
        <w:t xml:space="preserve">, oclacitinib </w:t>
      </w:r>
      <w:r w:rsidR="00674C15">
        <w:rPr>
          <w:rFonts w:eastAsiaTheme="minorHAnsi" w:cstheme="minorBidi"/>
        </w:rPr>
        <w:t xml:space="preserve">is </w:t>
      </w:r>
      <w:r w:rsidRPr="00902003">
        <w:rPr>
          <w:rFonts w:eastAsiaTheme="minorHAnsi" w:cstheme="minorBidi"/>
        </w:rPr>
        <w:t>approved in Australia to treat atopic dermatitis in dogs</w:t>
      </w:r>
      <w:r w:rsidR="00674C15">
        <w:rPr>
          <w:rFonts w:eastAsiaTheme="minorHAnsi" w:cstheme="minorBidi"/>
        </w:rPr>
        <w:t xml:space="preserve"> as a Schedule 4 medicine</w:t>
      </w:r>
      <w:r w:rsidRPr="00902003">
        <w:rPr>
          <w:rFonts w:eastAsiaTheme="minorHAnsi" w:cstheme="minorBidi"/>
        </w:rPr>
        <w:t xml:space="preserve">. </w:t>
      </w:r>
      <w:r w:rsidR="00674C15">
        <w:rPr>
          <w:rFonts w:eastAsiaTheme="minorHAnsi" w:cstheme="minorBidi"/>
        </w:rPr>
        <w:t>Similarity, s</w:t>
      </w:r>
      <w:r w:rsidRPr="00902003">
        <w:rPr>
          <w:rFonts w:eastAsiaTheme="minorHAnsi" w:cstheme="minorBidi"/>
        </w:rPr>
        <w:t>everal JAK</w:t>
      </w:r>
      <w:r w:rsidR="00B664FC">
        <w:rPr>
          <w:rFonts w:eastAsiaTheme="minorHAnsi" w:cstheme="minorBidi"/>
        </w:rPr>
        <w:t xml:space="preserve"> inhibitors </w:t>
      </w:r>
      <w:r w:rsidRPr="00902003">
        <w:rPr>
          <w:rFonts w:eastAsiaTheme="minorHAnsi" w:cstheme="minorBidi"/>
        </w:rPr>
        <w:t>approved for use</w:t>
      </w:r>
      <w:r w:rsidR="00674C15">
        <w:rPr>
          <w:rFonts w:eastAsiaTheme="minorHAnsi" w:cstheme="minorBidi"/>
        </w:rPr>
        <w:t xml:space="preserve"> in human</w:t>
      </w:r>
      <w:r w:rsidR="00674C15" w:rsidRPr="00902003">
        <w:rPr>
          <w:rFonts w:eastAsiaTheme="minorHAnsi" w:cstheme="minorBidi"/>
        </w:rPr>
        <w:t xml:space="preserve"> (baricitinib, deucravacitinib, ruxolitinib, tofacitinib and upadacitinib)</w:t>
      </w:r>
      <w:r w:rsidR="00674C15">
        <w:rPr>
          <w:rFonts w:eastAsiaTheme="minorHAnsi" w:cstheme="minorBidi"/>
        </w:rPr>
        <w:t xml:space="preserve"> are also listed </w:t>
      </w:r>
      <w:r w:rsidRPr="00902003">
        <w:rPr>
          <w:rFonts w:eastAsiaTheme="minorHAnsi" w:cstheme="minorBidi"/>
        </w:rPr>
        <w:t xml:space="preserve">as </w:t>
      </w:r>
      <w:r w:rsidR="00674C15">
        <w:rPr>
          <w:rFonts w:eastAsiaTheme="minorHAnsi" w:cstheme="minorBidi"/>
        </w:rPr>
        <w:t>Schedule 4 medicines</w:t>
      </w:r>
      <w:r w:rsidRPr="00902003">
        <w:rPr>
          <w:rFonts w:eastAsiaTheme="minorHAnsi" w:cstheme="minorBidi"/>
        </w:rPr>
        <w:t>.</w:t>
      </w:r>
    </w:p>
    <w:p w14:paraId="686A0C6B" w14:textId="0FBA2DD7" w:rsidR="00674C15" w:rsidRPr="00902003" w:rsidRDefault="00674C15" w:rsidP="00902003">
      <w:pPr>
        <w:pStyle w:val="ListBullet2"/>
        <w:rPr>
          <w:rFonts w:eastAsiaTheme="minorHAnsi" w:cstheme="minorBidi"/>
        </w:rPr>
      </w:pPr>
      <w:r w:rsidRPr="004814FF">
        <w:t xml:space="preserve">Based on the above considerations and the information provided in the application, I have decided to amend the current Poisons Standard </w:t>
      </w:r>
      <w:r>
        <w:t xml:space="preserve">regarding </w:t>
      </w:r>
      <w:r>
        <w:rPr>
          <w:rFonts w:eastAsiaTheme="minorHAnsi" w:cstheme="minorBidi"/>
        </w:rPr>
        <w:t>i</w:t>
      </w:r>
      <w:r w:rsidRPr="00902003">
        <w:rPr>
          <w:rFonts w:eastAsiaTheme="minorHAnsi" w:cstheme="minorBidi"/>
        </w:rPr>
        <w:t>lunocitinib</w:t>
      </w:r>
      <w:r w:rsidRPr="004814FF">
        <w:t xml:space="preserve"> in the manner laid out above.</w:t>
      </w:r>
      <w:r>
        <w:t xml:space="preserve"> T</w:t>
      </w:r>
      <w:r w:rsidRPr="00902003">
        <w:t>his amendment was not referred to an expert advisory committee for advice.</w:t>
      </w:r>
    </w:p>
    <w:p w14:paraId="752D5D2C" w14:textId="538825DD" w:rsidR="00084016" w:rsidRPr="00300CBB" w:rsidRDefault="00084016" w:rsidP="00C12DE0">
      <w:pPr>
        <w:pStyle w:val="Heading4"/>
      </w:pPr>
      <w:r w:rsidRPr="00300CBB">
        <w:t>Implementation date</w:t>
      </w:r>
    </w:p>
    <w:p w14:paraId="685C5FD6" w14:textId="2BF7AA30" w:rsidR="00084016" w:rsidRPr="00C12DE0" w:rsidRDefault="00084016" w:rsidP="00084016">
      <w:r w:rsidRPr="00C12DE0">
        <w:t xml:space="preserve">1 </w:t>
      </w:r>
      <w:r w:rsidR="00902003">
        <w:t>June 2025</w:t>
      </w:r>
    </w:p>
    <w:p w14:paraId="3AD58283" w14:textId="03FA81C1" w:rsidR="00084016" w:rsidRDefault="00084016" w:rsidP="00084016">
      <w:pPr>
        <w:pStyle w:val="Heading3"/>
      </w:pPr>
      <w:bookmarkStart w:id="48" w:name="_Toc164149824"/>
      <w:bookmarkStart w:id="49" w:name="_Toc198028605"/>
      <w:r w:rsidRPr="00F15658">
        <w:t xml:space="preserve">Final decision in relation to </w:t>
      </w:r>
      <w:bookmarkEnd w:id="48"/>
      <w:r w:rsidR="007F2DE3" w:rsidRPr="007F2DE3">
        <w:t>1,4-dimethylnapthalene</w:t>
      </w:r>
      <w:bookmarkEnd w:id="49"/>
    </w:p>
    <w:p w14:paraId="2BFCB967" w14:textId="292161DC" w:rsidR="00084016" w:rsidRDefault="00084016" w:rsidP="00706696">
      <w:pPr>
        <w:pStyle w:val="Heading4"/>
      </w:pPr>
      <w:r w:rsidRPr="00BB34CD">
        <w:t>Final Decision</w:t>
      </w:r>
    </w:p>
    <w:p w14:paraId="138A1DCB" w14:textId="77777777" w:rsidR="00B1313F" w:rsidRPr="0056746C" w:rsidRDefault="00B1313F" w:rsidP="00B1313F">
      <w:pPr>
        <w:rPr>
          <w:rFonts w:cs="Arial"/>
        </w:rPr>
      </w:pPr>
      <w:r w:rsidRPr="0056746C">
        <w:rPr>
          <w:rFonts w:cs="Arial"/>
        </w:rPr>
        <w:t>Pursuant to regulation 42ZCZU</w:t>
      </w:r>
      <w:r w:rsidRPr="0056746C" w:rsidDel="005F3EA0">
        <w:rPr>
          <w:rFonts w:cs="Arial"/>
        </w:rPr>
        <w:t xml:space="preserve"> </w:t>
      </w:r>
      <w:r w:rsidRPr="0056746C">
        <w:rPr>
          <w:rFonts w:cs="Arial"/>
        </w:rPr>
        <w:t>of the Regulations, a Delegate of the Secretary has made a final decision to amend the current Poisons Standard in relation to 1,4-dimethylnaphthalene as follows.</w:t>
      </w:r>
    </w:p>
    <w:p w14:paraId="34A5ADD8" w14:textId="77777777" w:rsidR="00B1313F" w:rsidRPr="0056746C" w:rsidRDefault="00B1313F" w:rsidP="00B1313F">
      <w:pPr>
        <w:ind w:left="426"/>
        <w:rPr>
          <w:rFonts w:cs="Arial"/>
          <w:b/>
          <w:color w:val="auto"/>
        </w:rPr>
      </w:pPr>
      <w:r w:rsidRPr="0056746C">
        <w:rPr>
          <w:rFonts w:cs="Arial"/>
          <w:b/>
          <w:color w:val="auto"/>
        </w:rPr>
        <w:t>Schedule 5 – New Entry</w:t>
      </w:r>
    </w:p>
    <w:p w14:paraId="530AFAAE" w14:textId="77777777" w:rsidR="00B1313F" w:rsidRPr="0039556B" w:rsidRDefault="00B1313F" w:rsidP="00B1313F">
      <w:pPr>
        <w:ind w:firstLine="709"/>
        <w:rPr>
          <w:rFonts w:cs="Arial"/>
          <w:color w:val="00B050"/>
          <w:u w:val="single"/>
        </w:rPr>
      </w:pPr>
      <w:r w:rsidRPr="357515BA">
        <w:rPr>
          <w:rFonts w:cs="Arial"/>
          <w:color w:val="00B050"/>
          <w:u w:val="single"/>
        </w:rPr>
        <w:t xml:space="preserve">1,4-dimethylnaphthalene for </w:t>
      </w:r>
      <w:r w:rsidRPr="236B06E7">
        <w:rPr>
          <w:rFonts w:cs="Arial"/>
          <w:color w:val="00B050"/>
          <w:u w:val="single"/>
        </w:rPr>
        <w:t xml:space="preserve">use as </w:t>
      </w:r>
      <w:r w:rsidRPr="357515BA">
        <w:rPr>
          <w:rFonts w:cs="Arial"/>
          <w:color w:val="00B050"/>
          <w:u w:val="single"/>
        </w:rPr>
        <w:t xml:space="preserve">agricultural </w:t>
      </w:r>
      <w:r w:rsidRPr="236B06E7">
        <w:rPr>
          <w:rFonts w:cs="Arial"/>
          <w:color w:val="00B050"/>
          <w:u w:val="single"/>
        </w:rPr>
        <w:t>chemicals</w:t>
      </w:r>
    </w:p>
    <w:p w14:paraId="673FBC6D" w14:textId="77777777" w:rsidR="00B1313F" w:rsidRPr="0056746C" w:rsidRDefault="00B1313F" w:rsidP="00B1313F">
      <w:pPr>
        <w:ind w:left="426"/>
        <w:rPr>
          <w:rFonts w:cs="Arial"/>
          <w:b/>
          <w:color w:val="auto"/>
        </w:rPr>
      </w:pPr>
      <w:r w:rsidRPr="0056746C">
        <w:rPr>
          <w:rFonts w:cs="Arial"/>
          <w:b/>
          <w:color w:val="auto"/>
        </w:rPr>
        <w:t>Index – New Entry</w:t>
      </w:r>
    </w:p>
    <w:p w14:paraId="1B861A82" w14:textId="77777777" w:rsidR="00C27564" w:rsidRDefault="00B1313F" w:rsidP="00FB5D12">
      <w:pPr>
        <w:ind w:firstLine="709"/>
        <w:rPr>
          <w:rFonts w:cs="Arial"/>
          <w:color w:val="00B050"/>
          <w:u w:val="single"/>
        </w:rPr>
      </w:pPr>
      <w:r w:rsidRPr="00FB5D12">
        <w:rPr>
          <w:rFonts w:cs="Arial"/>
          <w:color w:val="00B050"/>
          <w:u w:val="single"/>
        </w:rPr>
        <w:t>1,4-dimethylnaphthalene</w:t>
      </w:r>
    </w:p>
    <w:p w14:paraId="3B42FA53" w14:textId="43D34836" w:rsidR="00B1313F" w:rsidRPr="00B1313F" w:rsidRDefault="00B1313F" w:rsidP="00FB5D12">
      <w:pPr>
        <w:ind w:firstLine="709"/>
      </w:pPr>
      <w:r w:rsidRPr="0056746C">
        <w:rPr>
          <w:rFonts w:cs="Arial"/>
          <w:color w:val="00B050"/>
          <w:u w:val="single"/>
        </w:rPr>
        <w:t>Schedule 5</w:t>
      </w:r>
    </w:p>
    <w:p w14:paraId="530EB586" w14:textId="00B3EED8" w:rsidR="00084016" w:rsidRPr="00BB34CD" w:rsidRDefault="00084016" w:rsidP="00706696">
      <w:pPr>
        <w:pStyle w:val="Heading4"/>
      </w:pPr>
      <w:r w:rsidRPr="00BB34CD">
        <w:t>Materials considered</w:t>
      </w:r>
    </w:p>
    <w:p w14:paraId="7656ACE5" w14:textId="77777777" w:rsidR="00084016" w:rsidRDefault="00084016" w:rsidP="00084016">
      <w:r>
        <w:t>In making this final decision, the Delegate considered the following material:</w:t>
      </w:r>
    </w:p>
    <w:p w14:paraId="7633B783" w14:textId="37E851C0" w:rsidR="00084016" w:rsidRDefault="00084016" w:rsidP="000F338A">
      <w:pPr>
        <w:pStyle w:val="ListBullet"/>
      </w:pPr>
      <w:r>
        <w:t xml:space="preserve">The </w:t>
      </w:r>
      <w:r w:rsidRPr="00C02858">
        <w:t>application</w:t>
      </w:r>
      <w:r>
        <w:t xml:space="preserve"> to amend the current Poisons Standard with respect to </w:t>
      </w:r>
      <w:r w:rsidR="00CE7AA5" w:rsidRPr="00CE7AA5">
        <w:t>1,4-dimethylnaphthalene</w:t>
      </w:r>
      <w:r>
        <w:t xml:space="preserve"> (the </w:t>
      </w:r>
      <w:r w:rsidRPr="000A3085">
        <w:rPr>
          <w:b/>
          <w:bCs/>
        </w:rPr>
        <w:t>Application</w:t>
      </w:r>
      <w:r>
        <w:t>)</w:t>
      </w:r>
    </w:p>
    <w:p w14:paraId="39141334" w14:textId="11DE979C" w:rsidR="00084016" w:rsidRDefault="00084016" w:rsidP="000F338A">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w:t>
      </w:r>
    </w:p>
    <w:p w14:paraId="52317A0C" w14:textId="77777777" w:rsidR="00084016" w:rsidRDefault="00084016" w:rsidP="000F338A">
      <w:pPr>
        <w:pStyle w:val="ListBullet"/>
      </w:pPr>
      <w:r>
        <w:t xml:space="preserve">Pursuant to paragraph 52E(2)(a) of the Act, </w:t>
      </w:r>
      <w:r w:rsidRPr="008C4FB7">
        <w:t>the SPF, and</w:t>
      </w:r>
    </w:p>
    <w:p w14:paraId="4F23F520" w14:textId="77777777" w:rsidR="00084016" w:rsidRDefault="00084016" w:rsidP="000F338A">
      <w:pPr>
        <w:pStyle w:val="ListBullet"/>
      </w:pPr>
      <w:r>
        <w:t>The Handbook.</w:t>
      </w:r>
    </w:p>
    <w:p w14:paraId="317FB381" w14:textId="77777777" w:rsidR="00084016" w:rsidRPr="00300CBB" w:rsidRDefault="00084016" w:rsidP="00706696">
      <w:pPr>
        <w:pStyle w:val="Heading4"/>
      </w:pPr>
      <w:r w:rsidRPr="00300CBB">
        <w:t>Reasons for the final decision (including findings on material questions of fact)</w:t>
      </w:r>
    </w:p>
    <w:p w14:paraId="17D6F847" w14:textId="57331858" w:rsidR="004814FF" w:rsidRPr="004814FF" w:rsidRDefault="004814FF" w:rsidP="008248BD">
      <w:pPr>
        <w:pStyle w:val="ListBullet2"/>
        <w:rPr>
          <w:rFonts w:eastAsiaTheme="minorHAnsi" w:cstheme="minorBidi"/>
        </w:rPr>
      </w:pPr>
      <w:r w:rsidRPr="004814FF">
        <w:rPr>
          <w:rFonts w:eastAsiaTheme="minorHAnsi" w:cstheme="minorBidi"/>
        </w:rPr>
        <w:t>The Applica</w:t>
      </w:r>
      <w:r w:rsidR="008248BD">
        <w:rPr>
          <w:rFonts w:eastAsiaTheme="minorHAnsi" w:cstheme="minorBidi"/>
        </w:rPr>
        <w:t>tion is</w:t>
      </w:r>
      <w:r w:rsidRPr="004814FF">
        <w:rPr>
          <w:rFonts w:eastAsiaTheme="minorHAnsi" w:cstheme="minorBidi"/>
        </w:rPr>
        <w:t xml:space="preserve"> to amend the current Poisons Standard to create an entry for 1,4</w:t>
      </w:r>
      <w:r w:rsidR="00CE547A">
        <w:rPr>
          <w:rFonts w:eastAsiaTheme="minorHAnsi" w:cstheme="minorBidi"/>
        </w:rPr>
        <w:noBreakHyphen/>
      </w:r>
      <w:r w:rsidRPr="004814FF">
        <w:rPr>
          <w:rFonts w:eastAsiaTheme="minorHAnsi" w:cstheme="minorBidi"/>
        </w:rPr>
        <w:t>dimethylnaphthalene (1,4-DMN) as a Caution (Schedule 5) substance.</w:t>
      </w:r>
      <w:r w:rsidR="00143081">
        <w:rPr>
          <w:rFonts w:eastAsiaTheme="minorHAnsi" w:cstheme="minorBidi"/>
        </w:rPr>
        <w:t xml:space="preserve"> </w:t>
      </w:r>
      <w:r w:rsidR="00143081" w:rsidRPr="004814FF">
        <w:rPr>
          <w:rFonts w:eastAsiaTheme="minorHAnsi" w:cstheme="minorBidi"/>
        </w:rPr>
        <w:t>1,4-DMN</w:t>
      </w:r>
      <w:r w:rsidR="004F49AD">
        <w:rPr>
          <w:rFonts w:eastAsiaTheme="minorHAnsi" w:cstheme="minorBidi"/>
        </w:rPr>
        <w:t xml:space="preserve"> i</w:t>
      </w:r>
      <w:r w:rsidR="008F2EF1">
        <w:rPr>
          <w:rFonts w:eastAsiaTheme="minorHAnsi" w:cstheme="minorBidi"/>
        </w:rPr>
        <w:t>s</w:t>
      </w:r>
      <w:r w:rsidR="004F49AD">
        <w:rPr>
          <w:rFonts w:eastAsiaTheme="minorHAnsi" w:cstheme="minorBidi"/>
        </w:rPr>
        <w:t xml:space="preserve"> the </w:t>
      </w:r>
      <w:r w:rsidR="00D14572">
        <w:rPr>
          <w:rFonts w:eastAsiaTheme="minorHAnsi" w:cstheme="minorBidi"/>
        </w:rPr>
        <w:t>active ingredient in a currently unregistered agricultural product and</w:t>
      </w:r>
      <w:r w:rsidR="00143081">
        <w:rPr>
          <w:rFonts w:eastAsiaTheme="minorHAnsi" w:cstheme="minorBidi"/>
        </w:rPr>
        <w:t xml:space="preserve"> is not listed in the current Poisons Standard.</w:t>
      </w:r>
    </w:p>
    <w:p w14:paraId="5AF8F72E" w14:textId="60A8F036" w:rsidR="0098132A" w:rsidRDefault="00103BE6" w:rsidP="0098132A">
      <w:pPr>
        <w:pStyle w:val="ListBullet2"/>
        <w:rPr>
          <w:rFonts w:eastAsiaTheme="minorHAnsi" w:cstheme="minorBidi"/>
        </w:rPr>
      </w:pPr>
      <w:r w:rsidRPr="008B2FC4">
        <w:lastRenderedPageBreak/>
        <w:t xml:space="preserve">In determining that this matter will be a delegate-only decision I have taken into account the information provided </w:t>
      </w:r>
      <w:r>
        <w:t>in the Application</w:t>
      </w:r>
      <w:r w:rsidRPr="008B2FC4">
        <w:t xml:space="preserve">, and the matters outlined under s 52E of the Act and the SPF. </w:t>
      </w:r>
      <w:r>
        <w:t>My reasons for making the final decision follow.</w:t>
      </w:r>
    </w:p>
    <w:p w14:paraId="0454154B" w14:textId="2354C0FC" w:rsidR="00AE6D7F" w:rsidRPr="004814FF" w:rsidRDefault="00AE6D7F" w:rsidP="00AE6D7F">
      <w:pPr>
        <w:pStyle w:val="ListBullet2"/>
        <w:rPr>
          <w:rFonts w:eastAsiaTheme="minorHAnsi" w:cstheme="minorBidi"/>
        </w:rPr>
      </w:pPr>
      <w:r w:rsidRPr="004814FF">
        <w:rPr>
          <w:rFonts w:eastAsiaTheme="minorHAnsi" w:cstheme="minorBidi"/>
        </w:rPr>
        <w:t xml:space="preserve">1,4-DMN belongs to the chemical family of alkylated </w:t>
      </w:r>
      <w:r w:rsidR="00C27564" w:rsidRPr="004814FF">
        <w:rPr>
          <w:rFonts w:eastAsiaTheme="minorHAnsi" w:cstheme="minorBidi"/>
        </w:rPr>
        <w:t>naphthalene</w:t>
      </w:r>
      <w:r w:rsidR="00C27564">
        <w:rPr>
          <w:rFonts w:eastAsiaTheme="minorHAnsi" w:cstheme="minorBidi"/>
        </w:rPr>
        <w:t>s</w:t>
      </w:r>
      <w:r w:rsidRPr="004814FF">
        <w:rPr>
          <w:rFonts w:eastAsiaTheme="minorHAnsi" w:cstheme="minorBidi"/>
        </w:rPr>
        <w:t xml:space="preserve"> and acts as a plant growth regulator preventing sprouting of potato tubers. It also occurs naturally in different plant species with background values up to 60 μg/kg in potato, 0.4 μg/kg in poppy and up to 12 μg/kg in poppy tops.</w:t>
      </w:r>
    </w:p>
    <w:p w14:paraId="2A83826C" w14:textId="7546EDF8" w:rsidR="003C7456" w:rsidRPr="004814FF" w:rsidRDefault="004814FF" w:rsidP="003C7456">
      <w:pPr>
        <w:pStyle w:val="ListBullet2"/>
        <w:rPr>
          <w:rFonts w:eastAsiaTheme="minorHAnsi" w:cstheme="minorBidi"/>
        </w:rPr>
      </w:pPr>
      <w:r w:rsidRPr="004814FF">
        <w:rPr>
          <w:rFonts w:eastAsiaTheme="minorHAnsi" w:cstheme="minorBidi"/>
        </w:rPr>
        <w:t xml:space="preserve">In relation to s 52E(1)(a) and (b) of the Act, 1,4-DMN </w:t>
      </w:r>
      <w:r w:rsidR="00B16B20">
        <w:rPr>
          <w:rFonts w:eastAsiaTheme="minorHAnsi" w:cstheme="minorBidi"/>
        </w:rPr>
        <w:t xml:space="preserve">is proposed to be used in an agricultural product </w:t>
      </w:r>
      <w:r w:rsidRPr="004814FF">
        <w:rPr>
          <w:rFonts w:eastAsiaTheme="minorHAnsi" w:cstheme="minorBidi"/>
        </w:rPr>
        <w:t xml:space="preserve">for enhancing dormancy of potatoes in storage and preventing sprouting. </w:t>
      </w:r>
      <w:r w:rsidR="003C7456" w:rsidRPr="004814FF">
        <w:rPr>
          <w:rFonts w:eastAsiaTheme="minorHAnsi" w:cstheme="minorBidi"/>
        </w:rPr>
        <w:t>1,4-DMN has been registered in the USA since the mid-1990’s, and is registered in Canada, Kenya, and Mexico and received approvals in over 20 European countries.</w:t>
      </w:r>
    </w:p>
    <w:p w14:paraId="2E73C464" w14:textId="057C5778" w:rsidR="004814FF" w:rsidRDefault="004814FF" w:rsidP="008248BD">
      <w:pPr>
        <w:pStyle w:val="ListBullet2"/>
        <w:rPr>
          <w:rFonts w:eastAsiaTheme="minorHAnsi" w:cstheme="minorBidi"/>
        </w:rPr>
      </w:pPr>
      <w:r w:rsidRPr="004814FF">
        <w:rPr>
          <w:rFonts w:eastAsiaTheme="minorHAnsi" w:cstheme="minorBidi"/>
        </w:rPr>
        <w:t xml:space="preserve">Regarding s 52E(1)(b) and (d) of the Act, </w:t>
      </w:r>
      <w:r w:rsidR="00BB43A8" w:rsidRPr="004814FF">
        <w:rPr>
          <w:rFonts w:eastAsiaTheme="minorHAnsi" w:cstheme="minorBidi"/>
        </w:rPr>
        <w:t xml:space="preserve">1,4-DMN </w:t>
      </w:r>
      <w:r w:rsidRPr="004814FF">
        <w:rPr>
          <w:rFonts w:eastAsiaTheme="minorHAnsi" w:cstheme="minorBidi"/>
        </w:rPr>
        <w:t xml:space="preserve">is proposed to be used as liquid formulation containing 980 g/L </w:t>
      </w:r>
      <w:r w:rsidR="00BB43A8">
        <w:rPr>
          <w:rFonts w:eastAsiaTheme="minorHAnsi" w:cstheme="minorBidi"/>
        </w:rPr>
        <w:t>of the substance</w:t>
      </w:r>
      <w:r w:rsidRPr="004814FF">
        <w:rPr>
          <w:rFonts w:eastAsiaTheme="minorHAnsi" w:cstheme="minorBidi"/>
        </w:rPr>
        <w:t>. The product is intended for professional use and will be applied mechanically via specialist thermal fogging equipment in enclosed area. The product will be available in 20 L fluorinated high-density polyethylene (HDPE) containers.</w:t>
      </w:r>
      <w:r w:rsidR="00B337AF">
        <w:rPr>
          <w:rFonts w:eastAsiaTheme="minorHAnsi" w:cstheme="minorBidi"/>
        </w:rPr>
        <w:t xml:space="preserve"> T</w:t>
      </w:r>
      <w:r w:rsidRPr="004814FF">
        <w:rPr>
          <w:rFonts w:eastAsiaTheme="minorHAnsi" w:cstheme="minorBidi"/>
        </w:rPr>
        <w:t xml:space="preserve">he </w:t>
      </w:r>
      <w:r w:rsidR="00C5113D">
        <w:rPr>
          <w:rFonts w:eastAsiaTheme="minorHAnsi" w:cstheme="minorBidi"/>
        </w:rPr>
        <w:t>application</w:t>
      </w:r>
      <w:r w:rsidRPr="004814FF">
        <w:rPr>
          <w:rFonts w:eastAsiaTheme="minorHAnsi" w:cstheme="minorBidi"/>
        </w:rPr>
        <w:t xml:space="preserve"> </w:t>
      </w:r>
      <w:r w:rsidR="00C5113D">
        <w:rPr>
          <w:rFonts w:eastAsiaTheme="minorHAnsi" w:cstheme="minorBidi"/>
        </w:rPr>
        <w:t>provided</w:t>
      </w:r>
      <w:r w:rsidRPr="004814FF">
        <w:rPr>
          <w:rFonts w:eastAsiaTheme="minorHAnsi" w:cstheme="minorBidi"/>
        </w:rPr>
        <w:t xml:space="preserve"> that around 700 to 1</w:t>
      </w:r>
      <w:r w:rsidR="005A51B0">
        <w:rPr>
          <w:rFonts w:eastAsiaTheme="minorHAnsi" w:cstheme="minorBidi"/>
        </w:rPr>
        <w:t>,</w:t>
      </w:r>
      <w:r w:rsidRPr="004814FF">
        <w:rPr>
          <w:rFonts w:eastAsiaTheme="minorHAnsi" w:cstheme="minorBidi"/>
        </w:rPr>
        <w:t>400 litres 1,4-DMN will be used per annum during the first 2 years of its registration.</w:t>
      </w:r>
    </w:p>
    <w:p w14:paraId="18A93A03" w14:textId="6A0D4D39" w:rsidR="00B175FF" w:rsidRPr="004814FF" w:rsidRDefault="00B175FF" w:rsidP="008248BD">
      <w:pPr>
        <w:pStyle w:val="ListBullet2"/>
        <w:rPr>
          <w:rFonts w:eastAsiaTheme="minorHAnsi" w:cstheme="minorBidi"/>
        </w:rPr>
      </w:pPr>
      <w:r w:rsidRPr="00B175FF">
        <w:rPr>
          <w:rFonts w:eastAsiaTheme="minorHAnsi" w:cstheme="minorBidi"/>
        </w:rPr>
        <w:t xml:space="preserve">The </w:t>
      </w:r>
      <w:r w:rsidR="00AA4684" w:rsidRPr="00AA4684">
        <w:rPr>
          <w:rFonts w:eastAsiaTheme="minorHAnsi" w:cstheme="minorBidi"/>
        </w:rPr>
        <w:t xml:space="preserve">Australian Pesticides and Veterinary Medicines Authority </w:t>
      </w:r>
      <w:r w:rsidR="00AA4684">
        <w:rPr>
          <w:rFonts w:eastAsiaTheme="minorHAnsi" w:cstheme="minorBidi"/>
        </w:rPr>
        <w:t>(</w:t>
      </w:r>
      <w:r w:rsidRPr="00B175FF">
        <w:rPr>
          <w:rFonts w:eastAsiaTheme="minorHAnsi" w:cstheme="minorBidi"/>
        </w:rPr>
        <w:t>APVMA</w:t>
      </w:r>
      <w:r w:rsidR="00AA4684">
        <w:rPr>
          <w:rFonts w:eastAsiaTheme="minorHAnsi" w:cstheme="minorBidi"/>
        </w:rPr>
        <w:t>)</w:t>
      </w:r>
      <w:r w:rsidRPr="00B175FF">
        <w:rPr>
          <w:rFonts w:eastAsiaTheme="minorHAnsi" w:cstheme="minorBidi"/>
        </w:rPr>
        <w:t xml:space="preserve"> has </w:t>
      </w:r>
      <w:r w:rsidR="00674C15">
        <w:rPr>
          <w:rFonts w:eastAsiaTheme="minorHAnsi" w:cstheme="minorBidi"/>
        </w:rPr>
        <w:t xml:space="preserve">undertaken a </w:t>
      </w:r>
      <w:r w:rsidR="00674C15" w:rsidRPr="004814FF">
        <w:rPr>
          <w:rFonts w:eastAsiaTheme="minorHAnsi" w:cstheme="minorBidi"/>
        </w:rPr>
        <w:t>Human Health Risk Assessment (HHRA)</w:t>
      </w:r>
      <w:r w:rsidRPr="00B175FF">
        <w:rPr>
          <w:rFonts w:eastAsiaTheme="minorHAnsi" w:cstheme="minorBidi"/>
        </w:rPr>
        <w:t xml:space="preserve"> </w:t>
      </w:r>
      <w:r w:rsidR="00103BE6">
        <w:rPr>
          <w:rFonts w:eastAsiaTheme="minorHAnsi" w:cstheme="minorBidi"/>
        </w:rPr>
        <w:t>and recommended</w:t>
      </w:r>
      <w:r w:rsidRPr="00B175FF">
        <w:rPr>
          <w:rFonts w:eastAsiaTheme="minorHAnsi" w:cstheme="minorBidi"/>
        </w:rPr>
        <w:t xml:space="preserve"> health-based guidance values including Acceptable Daily Intake (ADI) and the Acute Reference Dose (ARfD), and appropriate first aid instructions and safety directions </w:t>
      </w:r>
      <w:r w:rsidR="00103BE6">
        <w:rPr>
          <w:rFonts w:eastAsiaTheme="minorHAnsi" w:cstheme="minorBidi"/>
        </w:rPr>
        <w:t>along</w:t>
      </w:r>
      <w:r w:rsidRPr="00B175FF">
        <w:rPr>
          <w:rFonts w:eastAsiaTheme="minorHAnsi" w:cstheme="minorBidi"/>
        </w:rPr>
        <w:t xml:space="preserve"> with other safety precautions for the label. </w:t>
      </w:r>
      <w:r w:rsidR="00A71CAE">
        <w:rPr>
          <w:rFonts w:cs="Arial"/>
        </w:rPr>
        <w:t xml:space="preserve">In consideration of the toxicity information presented in the </w:t>
      </w:r>
      <w:r w:rsidR="00A71CAE" w:rsidRPr="4B62E0B3">
        <w:rPr>
          <w:rFonts w:cs="Arial"/>
        </w:rPr>
        <w:t>HHRA</w:t>
      </w:r>
      <w:r w:rsidR="00A71CAE">
        <w:rPr>
          <w:rFonts w:cs="Arial"/>
        </w:rPr>
        <w:t xml:space="preserve"> (see below), the proposed usage pattern of </w:t>
      </w:r>
      <w:r w:rsidR="00103BE6" w:rsidRPr="004814FF">
        <w:rPr>
          <w:rFonts w:eastAsiaTheme="minorHAnsi" w:cstheme="minorBidi"/>
        </w:rPr>
        <w:t>1,4-DMN</w:t>
      </w:r>
      <w:r w:rsidR="00A71CAE">
        <w:rPr>
          <w:rFonts w:cs="Arial"/>
        </w:rPr>
        <w:t xml:space="preserve"> and the recommended label statements,</w:t>
      </w:r>
      <w:r w:rsidR="00002094">
        <w:rPr>
          <w:rFonts w:cs="Arial"/>
        </w:rPr>
        <w:t xml:space="preserve"> </w:t>
      </w:r>
      <w:r w:rsidRPr="00B175FF">
        <w:rPr>
          <w:rFonts w:eastAsiaTheme="minorHAnsi" w:cstheme="minorBidi"/>
        </w:rPr>
        <w:t>I am satisfied that the risk of 1,4-DMN associated adverse effects can be adequately mitigated and 1,4-DMN containing product can be used safely in agricultural applications by adherence to product label instructions.</w:t>
      </w:r>
    </w:p>
    <w:p w14:paraId="34E6DA57" w14:textId="098E493F" w:rsidR="004814FF" w:rsidRPr="004814FF" w:rsidRDefault="004814FF" w:rsidP="008248BD">
      <w:pPr>
        <w:pStyle w:val="ListBullet2"/>
        <w:rPr>
          <w:rFonts w:eastAsiaTheme="minorHAnsi" w:cstheme="minorBidi"/>
        </w:rPr>
      </w:pPr>
      <w:r w:rsidRPr="004814FF">
        <w:rPr>
          <w:rFonts w:eastAsiaTheme="minorHAnsi" w:cstheme="minorBidi"/>
        </w:rPr>
        <w:t>In relation to s 52E(1)(c) of the Act, I note that the acute toxicity of 1,4-DMN in rats is low (oral LD50 &gt;2</w:t>
      </w:r>
      <w:r w:rsidR="005A51B0">
        <w:rPr>
          <w:rFonts w:eastAsiaTheme="minorHAnsi" w:cstheme="minorBidi"/>
        </w:rPr>
        <w:t>,</w:t>
      </w:r>
      <w:r w:rsidRPr="004814FF">
        <w:rPr>
          <w:rFonts w:eastAsiaTheme="minorHAnsi" w:cstheme="minorBidi"/>
        </w:rPr>
        <w:t>000 mg/kg bw; dermal LD</w:t>
      </w:r>
      <w:r w:rsidR="00AA4684" w:rsidRPr="00AA4684">
        <w:rPr>
          <w:rFonts w:eastAsiaTheme="minorHAnsi" w:cstheme="minorBidi"/>
          <w:vertAlign w:val="subscript"/>
        </w:rPr>
        <w:t>50</w:t>
      </w:r>
      <w:r w:rsidRPr="004814FF">
        <w:rPr>
          <w:rFonts w:eastAsiaTheme="minorHAnsi" w:cstheme="minorBidi"/>
        </w:rPr>
        <w:t xml:space="preserve"> &gt;2</w:t>
      </w:r>
      <w:r w:rsidR="005A51B0">
        <w:rPr>
          <w:rFonts w:eastAsiaTheme="minorHAnsi" w:cstheme="minorBidi"/>
        </w:rPr>
        <w:t>,</w:t>
      </w:r>
      <w:r w:rsidRPr="004814FF">
        <w:rPr>
          <w:rFonts w:eastAsiaTheme="minorHAnsi" w:cstheme="minorBidi"/>
        </w:rPr>
        <w:t>000 mg/kg bw and inhalation LC</w:t>
      </w:r>
      <w:r w:rsidR="00AA4684" w:rsidRPr="00AA4684">
        <w:rPr>
          <w:rFonts w:eastAsiaTheme="minorHAnsi" w:cstheme="minorBidi"/>
          <w:vertAlign w:val="subscript"/>
        </w:rPr>
        <w:t>50</w:t>
      </w:r>
      <w:r w:rsidRPr="004814FF">
        <w:rPr>
          <w:rFonts w:eastAsiaTheme="minorHAnsi" w:cstheme="minorBidi"/>
        </w:rPr>
        <w:t xml:space="preserve"> &gt;4.16 mg/L). Studies indicated that 1,4-DMN </w:t>
      </w:r>
      <w:r w:rsidR="00F20F94">
        <w:rPr>
          <w:rFonts w:eastAsiaTheme="minorHAnsi" w:cstheme="minorBidi"/>
        </w:rPr>
        <w:t>is</w:t>
      </w:r>
      <w:r w:rsidRPr="004814FF">
        <w:rPr>
          <w:rFonts w:eastAsiaTheme="minorHAnsi" w:cstheme="minorBidi"/>
        </w:rPr>
        <w:t xml:space="preserve"> a moderate eye irritant and slight skin irritant in rabbits and not a skin sensitiser in guinea pigs (Buehler method). Based on the limited, but sufficient data, the acute and repeat dose toxicological profile are aligned with </w:t>
      </w:r>
      <w:r w:rsidR="004D2E4E">
        <w:rPr>
          <w:rFonts w:eastAsiaTheme="minorHAnsi" w:cstheme="minorBidi"/>
        </w:rPr>
        <w:t>scheduling factor</w:t>
      </w:r>
      <w:r w:rsidRPr="004814FF">
        <w:rPr>
          <w:rFonts w:eastAsiaTheme="minorHAnsi" w:cstheme="minorBidi"/>
        </w:rPr>
        <w:t xml:space="preserve"> </w:t>
      </w:r>
      <w:r w:rsidR="00131235">
        <w:rPr>
          <w:rFonts w:eastAsiaTheme="minorHAnsi" w:cstheme="minorBidi"/>
        </w:rPr>
        <w:t xml:space="preserve">1 </w:t>
      </w:r>
      <w:r w:rsidR="0099148B">
        <w:rPr>
          <w:rFonts w:eastAsiaTheme="minorHAnsi" w:cstheme="minorBidi"/>
        </w:rPr>
        <w:t>for</w:t>
      </w:r>
      <w:r w:rsidRPr="004814FF">
        <w:rPr>
          <w:rFonts w:eastAsiaTheme="minorHAnsi" w:cstheme="minorBidi"/>
        </w:rPr>
        <w:t xml:space="preserve"> Scheduling 5 classification.</w:t>
      </w:r>
    </w:p>
    <w:p w14:paraId="17531EAA" w14:textId="410759CB" w:rsidR="004814FF" w:rsidRPr="004814FF" w:rsidRDefault="004814FF" w:rsidP="008248BD">
      <w:pPr>
        <w:pStyle w:val="ListBullet2"/>
        <w:rPr>
          <w:rFonts w:eastAsiaTheme="minorHAnsi" w:cstheme="minorBidi"/>
        </w:rPr>
      </w:pPr>
      <w:r w:rsidRPr="004814FF">
        <w:rPr>
          <w:rFonts w:eastAsiaTheme="minorHAnsi" w:cstheme="minorBidi"/>
        </w:rPr>
        <w:t>I have also considered the repeat dose (sub-chronic and long-term) toxicity studies in rats</w:t>
      </w:r>
      <w:r w:rsidR="00363B67">
        <w:rPr>
          <w:rFonts w:eastAsiaTheme="minorHAnsi" w:cstheme="minorBidi"/>
        </w:rPr>
        <w:t>. T</w:t>
      </w:r>
      <w:r w:rsidRPr="004814FF">
        <w:rPr>
          <w:rFonts w:eastAsiaTheme="minorHAnsi" w:cstheme="minorBidi"/>
        </w:rPr>
        <w:t>he major target tissue was the kidney with effects including chronic progressive nephropathy (CPN), basophilic tubules, mononuclear cell infiltration, karyomegaly of the cortical tubules, proteinosis in the papilla tubules, and papillary necrosis. CPN is a kidney finding repeatedly observed in aging rats and not considered relevant to humans.</w:t>
      </w:r>
      <w:r w:rsidR="004927BA">
        <w:rPr>
          <w:rStyle w:val="FootnoteReference"/>
          <w:rFonts w:eastAsiaTheme="minorHAnsi" w:cstheme="minorBidi"/>
        </w:rPr>
        <w:footnoteReference w:id="8"/>
      </w:r>
    </w:p>
    <w:p w14:paraId="79EC3E07" w14:textId="109F069B" w:rsidR="0041539A" w:rsidRPr="00F2713A" w:rsidRDefault="004814FF" w:rsidP="007B0ED9">
      <w:pPr>
        <w:pStyle w:val="ListBullet2"/>
      </w:pPr>
      <w:r w:rsidRPr="004814FF">
        <w:rPr>
          <w:rFonts w:eastAsiaTheme="minorHAnsi" w:cstheme="minorBidi"/>
        </w:rPr>
        <w:t xml:space="preserve">1,4-DMN is unlikely to be genotoxic based on an adequate range of </w:t>
      </w:r>
      <w:r w:rsidRPr="001B3397">
        <w:rPr>
          <w:rFonts w:eastAsiaTheme="minorHAnsi" w:cstheme="minorBidi"/>
          <w:i/>
          <w:iCs/>
        </w:rPr>
        <w:t>in vivo</w:t>
      </w:r>
      <w:r w:rsidRPr="004814FF">
        <w:rPr>
          <w:rFonts w:eastAsiaTheme="minorHAnsi" w:cstheme="minorBidi"/>
        </w:rPr>
        <w:t xml:space="preserve"> and </w:t>
      </w:r>
      <w:r w:rsidRPr="001B3397">
        <w:rPr>
          <w:rFonts w:eastAsiaTheme="minorHAnsi" w:cstheme="minorBidi"/>
          <w:i/>
          <w:iCs/>
        </w:rPr>
        <w:t>in vitro</w:t>
      </w:r>
      <w:r w:rsidRPr="004814FF">
        <w:rPr>
          <w:rFonts w:eastAsiaTheme="minorHAnsi" w:cstheme="minorBidi"/>
        </w:rPr>
        <w:t xml:space="preserve"> studies. I noted that no effects on reproduction, neurotoxicity or immunotoxicity w</w:t>
      </w:r>
      <w:r w:rsidR="005A51B0">
        <w:rPr>
          <w:rFonts w:eastAsiaTheme="minorHAnsi" w:cstheme="minorBidi"/>
        </w:rPr>
        <w:t>ere</w:t>
      </w:r>
      <w:r w:rsidRPr="004814FF">
        <w:rPr>
          <w:rFonts w:eastAsiaTheme="minorHAnsi" w:cstheme="minorBidi"/>
        </w:rPr>
        <w:t xml:space="preserve"> observed, and no evidence of carcinogenicity was found in rats. These findings are consistent with a Schedule 5 classification</w:t>
      </w:r>
      <w:r w:rsidR="001B3397">
        <w:rPr>
          <w:rFonts w:eastAsiaTheme="minorHAnsi" w:cstheme="minorBidi"/>
        </w:rPr>
        <w:t xml:space="preserve"> (scheduling factor 2)</w:t>
      </w:r>
      <w:r w:rsidRPr="004814FF">
        <w:rPr>
          <w:rFonts w:eastAsiaTheme="minorHAnsi" w:cstheme="minorBidi"/>
        </w:rPr>
        <w:t>.</w:t>
      </w:r>
      <w:r w:rsidR="007B0ED9">
        <w:rPr>
          <w:rFonts w:eastAsiaTheme="minorHAnsi" w:cstheme="minorBidi"/>
        </w:rPr>
        <w:t xml:space="preserve"> </w:t>
      </w:r>
      <w:r w:rsidR="0041539A">
        <w:rPr>
          <w:rFonts w:eastAsiaTheme="minorHAnsi" w:cstheme="minorBidi"/>
        </w:rPr>
        <w:t>I also note that t</w:t>
      </w:r>
      <w:r w:rsidR="0041539A" w:rsidRPr="004814FF">
        <w:rPr>
          <w:rFonts w:eastAsiaTheme="minorHAnsi" w:cstheme="minorBidi"/>
        </w:rPr>
        <w:t xml:space="preserve">he HHRA concluded that the acute toxicity profile of the </w:t>
      </w:r>
      <w:r w:rsidR="007B0ED9">
        <w:rPr>
          <w:rFonts w:eastAsiaTheme="minorHAnsi" w:cstheme="minorBidi"/>
        </w:rPr>
        <w:t>1,4-DMN</w:t>
      </w:r>
      <w:r w:rsidR="0041539A" w:rsidRPr="004814FF">
        <w:rPr>
          <w:rFonts w:eastAsiaTheme="minorHAnsi" w:cstheme="minorBidi"/>
        </w:rPr>
        <w:t xml:space="preserve"> and the proposed product are considered identical, given their formulation.</w:t>
      </w:r>
    </w:p>
    <w:p w14:paraId="32C86DEF" w14:textId="58F5151A" w:rsidR="004814FF" w:rsidRPr="004814FF" w:rsidRDefault="004814FF" w:rsidP="008248BD">
      <w:pPr>
        <w:pStyle w:val="ListBullet2"/>
        <w:rPr>
          <w:rFonts w:eastAsiaTheme="minorHAnsi" w:cstheme="minorBidi"/>
        </w:rPr>
      </w:pPr>
      <w:r w:rsidRPr="004814FF">
        <w:rPr>
          <w:rFonts w:eastAsiaTheme="minorHAnsi" w:cstheme="minorBidi"/>
        </w:rPr>
        <w:t>In relation to s 52E(1)(e) of the Act, I am satisfied the potential for misuse or abuse of 1,4-DMN is limited. In forming this view, I have considered the substance has no established therapeutic value in humans that would indicate that there is a risk of dependency, abuse, misuse, or diversion into illicit use.</w:t>
      </w:r>
    </w:p>
    <w:p w14:paraId="307894BE" w14:textId="7BE8AFB2" w:rsidR="00084016" w:rsidRDefault="004814FF" w:rsidP="000F338A">
      <w:pPr>
        <w:pStyle w:val="ListBullet"/>
        <w:numPr>
          <w:ilvl w:val="0"/>
          <w:numId w:val="0"/>
        </w:numPr>
      </w:pPr>
      <w:r w:rsidRPr="004814FF">
        <w:lastRenderedPageBreak/>
        <w:t xml:space="preserve">Based on the above considerations and the information provided in the </w:t>
      </w:r>
      <w:r w:rsidR="00AA4684">
        <w:t>A</w:t>
      </w:r>
      <w:r w:rsidRPr="004814FF">
        <w:t xml:space="preserve">pplication, I have decided to amend the current Poisons Standard </w:t>
      </w:r>
      <w:r w:rsidR="00AA4684">
        <w:t xml:space="preserve">regarding 1,4-DMN </w:t>
      </w:r>
      <w:r w:rsidRPr="004814FF">
        <w:t>in the manner laid out above.</w:t>
      </w:r>
      <w:r w:rsidR="009C0FC3">
        <w:t xml:space="preserve"> T</w:t>
      </w:r>
      <w:r w:rsidR="009C0FC3" w:rsidRPr="00902003">
        <w:t>his amendment was not referred to an expert advisory committee for advice.</w:t>
      </w:r>
    </w:p>
    <w:p w14:paraId="1CEF16CB" w14:textId="2137A9DB" w:rsidR="00084016" w:rsidRPr="00300CBB" w:rsidRDefault="00084016" w:rsidP="00706696">
      <w:pPr>
        <w:pStyle w:val="Heading4"/>
      </w:pPr>
      <w:r w:rsidRPr="00300CBB">
        <w:t>Implementation date</w:t>
      </w:r>
    </w:p>
    <w:p w14:paraId="1B4A1C7A" w14:textId="61679463" w:rsidR="00084016" w:rsidRPr="00E82526" w:rsidRDefault="00084016" w:rsidP="00084016">
      <w:r w:rsidRPr="00E82526">
        <w:t xml:space="preserve">1 </w:t>
      </w:r>
      <w:r w:rsidR="004814FF">
        <w:t>June 2025</w:t>
      </w:r>
    </w:p>
    <w:p w14:paraId="053326AD" w14:textId="2BA2C340" w:rsidR="00084016" w:rsidRPr="00C625E9" w:rsidRDefault="00084016" w:rsidP="00C625E9">
      <w:pPr>
        <w:pStyle w:val="Heading3"/>
      </w:pPr>
      <w:bookmarkStart w:id="50" w:name="_Toc198028606"/>
      <w:r w:rsidRPr="005950FD">
        <w:t>Final decision in relation to</w:t>
      </w:r>
      <w:r w:rsidR="00C377EB" w:rsidRPr="00C625E9">
        <w:t xml:space="preserve"> fo</w:t>
      </w:r>
      <w:r w:rsidR="008C68E9" w:rsidRPr="00C625E9">
        <w:t>lpet</w:t>
      </w:r>
      <w:bookmarkEnd w:id="50"/>
    </w:p>
    <w:p w14:paraId="165F70B9" w14:textId="6F7BFBA4" w:rsidR="00084016" w:rsidRPr="005950FD" w:rsidRDefault="00084016" w:rsidP="0077764E">
      <w:pPr>
        <w:pStyle w:val="Heading4"/>
      </w:pPr>
      <w:r w:rsidRPr="005950FD">
        <w:t>Final Decision</w:t>
      </w:r>
    </w:p>
    <w:p w14:paraId="2D3F8271" w14:textId="77777777" w:rsidR="00096CDC" w:rsidRPr="00EC7E91" w:rsidRDefault="00096CDC" w:rsidP="00096CDC">
      <w:pPr>
        <w:rPr>
          <w:rFonts w:cs="Arial"/>
        </w:rPr>
      </w:pPr>
      <w:r w:rsidRPr="00EC7E91">
        <w:rPr>
          <w:rFonts w:cs="Arial"/>
        </w:rPr>
        <w:t>Pursuant to regulation 42ZCZU</w:t>
      </w:r>
      <w:r w:rsidRPr="00EC7E91" w:rsidDel="005F3EA0">
        <w:rPr>
          <w:rFonts w:cs="Arial"/>
        </w:rPr>
        <w:t xml:space="preserve"> </w:t>
      </w:r>
      <w:r w:rsidRPr="00EC7E91">
        <w:rPr>
          <w:rFonts w:cs="Arial"/>
        </w:rPr>
        <w:t>of the Regulations, a Delegate of the Secretary has made a final decision to amend the current Poisons Standard in relation to folpet as follows.</w:t>
      </w:r>
    </w:p>
    <w:p w14:paraId="787BF181" w14:textId="77777777" w:rsidR="00096CDC" w:rsidRPr="00EC7E91" w:rsidRDefault="00096CDC" w:rsidP="00096CDC">
      <w:pPr>
        <w:ind w:left="426"/>
        <w:rPr>
          <w:rFonts w:cs="Arial"/>
          <w:b/>
          <w:strike/>
          <w:color w:val="FF0000"/>
        </w:rPr>
      </w:pPr>
      <w:r w:rsidRPr="00EC7E91">
        <w:rPr>
          <w:rFonts w:cs="Arial"/>
          <w:b/>
          <w:strike/>
          <w:color w:val="FF0000"/>
        </w:rPr>
        <w:t>Schedule 7 – Amend Entry</w:t>
      </w:r>
    </w:p>
    <w:p w14:paraId="45ECD481" w14:textId="59209E2B" w:rsidR="00096CDC" w:rsidRPr="00EC7E91" w:rsidRDefault="00096CDC" w:rsidP="00096CDC">
      <w:pPr>
        <w:ind w:firstLine="709"/>
        <w:rPr>
          <w:rFonts w:cs="Arial"/>
          <w:strike/>
          <w:color w:val="FF0000"/>
          <w:u w:val="single"/>
        </w:rPr>
      </w:pPr>
      <w:r w:rsidRPr="00EC7E91">
        <w:rPr>
          <w:rFonts w:cs="Arial"/>
          <w:strike/>
          <w:color w:val="FF0000"/>
          <w:u w:val="single"/>
        </w:rPr>
        <w:t>FOLPET</w:t>
      </w:r>
    </w:p>
    <w:p w14:paraId="29A12F68" w14:textId="77777777" w:rsidR="00096CDC" w:rsidRPr="00EC7E91" w:rsidRDefault="00096CDC" w:rsidP="00096CDC">
      <w:pPr>
        <w:ind w:left="426"/>
        <w:rPr>
          <w:rFonts w:cs="Arial"/>
          <w:b/>
          <w:color w:val="auto"/>
        </w:rPr>
      </w:pPr>
      <w:r w:rsidRPr="00EC7E91">
        <w:rPr>
          <w:rFonts w:cs="Arial"/>
          <w:b/>
          <w:color w:val="auto"/>
        </w:rPr>
        <w:t>Schedule 6 – New Entry</w:t>
      </w:r>
    </w:p>
    <w:p w14:paraId="27A47AC1" w14:textId="5360ACAA" w:rsidR="00096CDC" w:rsidRPr="00EC7E91" w:rsidRDefault="00096CDC" w:rsidP="00096CDC">
      <w:pPr>
        <w:ind w:firstLine="709"/>
        <w:rPr>
          <w:rFonts w:cs="Arial"/>
          <w:strike/>
          <w:color w:val="FF0000"/>
          <w:u w:val="single"/>
        </w:rPr>
      </w:pPr>
      <w:r w:rsidRPr="00EC7E91">
        <w:rPr>
          <w:rFonts w:cs="Arial"/>
          <w:color w:val="00B050"/>
          <w:u w:val="single"/>
        </w:rPr>
        <w:t>FOLPET</w:t>
      </w:r>
    </w:p>
    <w:p w14:paraId="6C060D03" w14:textId="77777777" w:rsidR="00096CDC" w:rsidRPr="00EC7E91" w:rsidRDefault="00096CDC" w:rsidP="00096CDC">
      <w:pPr>
        <w:ind w:left="426"/>
        <w:rPr>
          <w:rFonts w:cs="Arial"/>
          <w:b/>
          <w:color w:val="auto"/>
        </w:rPr>
      </w:pPr>
      <w:r w:rsidRPr="00EC7E91">
        <w:rPr>
          <w:rFonts w:cs="Arial"/>
          <w:b/>
          <w:color w:val="auto"/>
        </w:rPr>
        <w:t>Index – New Entry</w:t>
      </w:r>
    </w:p>
    <w:p w14:paraId="3F2E1032" w14:textId="77777777" w:rsidR="00096CDC" w:rsidRPr="00EC7E91" w:rsidRDefault="00096CDC" w:rsidP="00096CDC">
      <w:pPr>
        <w:ind w:firstLine="709"/>
        <w:rPr>
          <w:rFonts w:cs="Arial"/>
          <w:strike/>
          <w:color w:val="FF0000"/>
          <w:u w:val="single"/>
        </w:rPr>
      </w:pPr>
      <w:r w:rsidRPr="00EC7E91">
        <w:rPr>
          <w:rFonts w:cs="Arial"/>
          <w:b/>
          <w:bCs/>
          <w:color w:val="00B050"/>
          <w:u w:val="single"/>
        </w:rPr>
        <w:t>FOLPET</w:t>
      </w:r>
    </w:p>
    <w:p w14:paraId="65301B6A" w14:textId="77777777" w:rsidR="00096CDC" w:rsidRDefault="00096CDC" w:rsidP="00096CDC">
      <w:pPr>
        <w:ind w:firstLine="709"/>
        <w:rPr>
          <w:rFonts w:cs="Arial"/>
          <w:color w:val="00B050"/>
          <w:u w:val="single"/>
        </w:rPr>
      </w:pPr>
      <w:r w:rsidRPr="00EC7E91">
        <w:rPr>
          <w:rFonts w:cs="Arial"/>
          <w:color w:val="00B050"/>
          <w:u w:val="single"/>
        </w:rPr>
        <w:t>Schedule 6</w:t>
      </w:r>
    </w:p>
    <w:p w14:paraId="36830A7E" w14:textId="019895C4" w:rsidR="00084016" w:rsidRPr="005950FD" w:rsidRDefault="00096CDC" w:rsidP="00096CDC">
      <w:pPr>
        <w:spacing w:before="120"/>
        <w:ind w:firstLine="709"/>
      </w:pPr>
      <w:r w:rsidRPr="00DD75D7">
        <w:rPr>
          <w:rFonts w:cs="Arial"/>
          <w:strike/>
          <w:color w:val="FF0000"/>
        </w:rPr>
        <w:t>Appendix J, clause 1</w:t>
      </w:r>
    </w:p>
    <w:p w14:paraId="3CDABF98" w14:textId="272E05D7" w:rsidR="00084016" w:rsidRPr="005950FD" w:rsidRDefault="00084016" w:rsidP="0077764E">
      <w:pPr>
        <w:pStyle w:val="Heading4"/>
      </w:pPr>
      <w:r w:rsidRPr="005950FD">
        <w:t>Materials considered</w:t>
      </w:r>
    </w:p>
    <w:p w14:paraId="2EF4F1DA" w14:textId="77777777" w:rsidR="00084016" w:rsidRPr="005950FD" w:rsidRDefault="00084016" w:rsidP="00C53ABF">
      <w:pPr>
        <w:spacing w:before="120" w:after="0" w:line="240" w:lineRule="atLeast"/>
        <w:jc w:val="both"/>
      </w:pPr>
      <w:r w:rsidRPr="005950FD">
        <w:t>In making this final decision, the Delegate considered the following material:</w:t>
      </w:r>
    </w:p>
    <w:p w14:paraId="05EF048D" w14:textId="63B59BB2" w:rsidR="00084016" w:rsidRPr="005950FD" w:rsidRDefault="00084016" w:rsidP="00C53ABF">
      <w:pPr>
        <w:pStyle w:val="ListParagraph"/>
        <w:numPr>
          <w:ilvl w:val="0"/>
          <w:numId w:val="19"/>
        </w:numPr>
        <w:spacing w:before="120" w:after="180" w:line="240" w:lineRule="atLeast"/>
        <w:ind w:left="723"/>
        <w:contextualSpacing w:val="0"/>
        <w:jc w:val="both"/>
        <w:rPr>
          <w:rFonts w:eastAsia="Cambria" w:cstheme="minorHAnsi"/>
        </w:rPr>
      </w:pPr>
      <w:r w:rsidRPr="005950FD">
        <w:rPr>
          <w:rFonts w:eastAsia="Cambria" w:cstheme="minorHAnsi"/>
        </w:rPr>
        <w:t xml:space="preserve">The application to amend the current Poisons Standard with respect to </w:t>
      </w:r>
      <w:r w:rsidR="00420433">
        <w:rPr>
          <w:rFonts w:eastAsia="Cambria" w:cstheme="minorHAnsi"/>
        </w:rPr>
        <w:t>folpet</w:t>
      </w:r>
      <w:r w:rsidR="00420433" w:rsidRPr="005950FD">
        <w:rPr>
          <w:rFonts w:eastAsia="Cambria" w:cstheme="minorHAnsi"/>
        </w:rPr>
        <w:t xml:space="preserve"> </w:t>
      </w:r>
      <w:r w:rsidRPr="005950FD">
        <w:rPr>
          <w:rFonts w:eastAsia="Cambria" w:cstheme="minorHAnsi"/>
        </w:rPr>
        <w:t xml:space="preserve">(the </w:t>
      </w:r>
      <w:r w:rsidRPr="005950FD">
        <w:rPr>
          <w:rFonts w:eastAsia="Cambria" w:cstheme="minorHAnsi"/>
          <w:b/>
          <w:bCs/>
        </w:rPr>
        <w:t>Application</w:t>
      </w:r>
      <w:r w:rsidRPr="005950FD">
        <w:rPr>
          <w:rFonts w:eastAsia="Cambria" w:cstheme="minorHAnsi"/>
        </w:rPr>
        <w:t>)</w:t>
      </w:r>
    </w:p>
    <w:p w14:paraId="3D8E4C38" w14:textId="213433A8" w:rsidR="00084016" w:rsidRPr="008B7FEE"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 xml:space="preserve">Subsection 52E(1) of </w:t>
      </w:r>
      <w:r w:rsidRPr="008B7FEE">
        <w:rPr>
          <w:rFonts w:eastAsia="Cambria" w:cstheme="minorHAnsi"/>
          <w:i/>
        </w:rPr>
        <w:t>the Therapeutic Goods Act 1989</w:t>
      </w:r>
      <w:r w:rsidRPr="008B7FEE">
        <w:rPr>
          <w:rFonts w:eastAsia="Cambria" w:cstheme="minorHAnsi"/>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170EE6A0" w14:textId="77777777" w:rsidR="00084016" w:rsidRPr="008B7FEE"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Pursuant to paragraph 52E(2)(a) of the Act, the SPF, and</w:t>
      </w:r>
    </w:p>
    <w:p w14:paraId="31B23947" w14:textId="520C9CFB" w:rsidR="00084016" w:rsidRPr="00993BAA"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The Handbook</w:t>
      </w:r>
      <w:r w:rsidRPr="00993BAA">
        <w:rPr>
          <w:rFonts w:eastAsia="Cambria" w:cstheme="minorHAnsi"/>
        </w:rPr>
        <w:t>.</w:t>
      </w:r>
    </w:p>
    <w:p w14:paraId="1D4C38A1" w14:textId="77777777" w:rsidR="00084016" w:rsidRPr="005950FD" w:rsidRDefault="00084016" w:rsidP="0077764E">
      <w:pPr>
        <w:pStyle w:val="Heading4"/>
      </w:pPr>
      <w:r w:rsidRPr="005950FD">
        <w:t>Reasons for the final decision (including findings on material questions of fact)</w:t>
      </w:r>
    </w:p>
    <w:p w14:paraId="7B091C21" w14:textId="7B2FA901" w:rsidR="00084016" w:rsidRDefault="0051421A" w:rsidP="00084016">
      <w:pPr>
        <w:spacing w:before="120"/>
        <w:rPr>
          <w:rFonts w:cs="Arial"/>
        </w:rPr>
      </w:pPr>
      <w:r w:rsidRPr="00036CCC">
        <w:rPr>
          <w:rFonts w:cs="Arial"/>
        </w:rPr>
        <w:t>This proposal is to reschedu</w:t>
      </w:r>
      <w:r>
        <w:rPr>
          <w:rFonts w:cs="Arial"/>
        </w:rPr>
        <w:t>le</w:t>
      </w:r>
      <w:r w:rsidRPr="00036CCC">
        <w:rPr>
          <w:rFonts w:cs="Arial"/>
        </w:rPr>
        <w:t xml:space="preserve"> the substance folpet from </w:t>
      </w:r>
      <w:r>
        <w:rPr>
          <w:rFonts w:cs="Arial"/>
        </w:rPr>
        <w:t>Dangerous poisons (</w:t>
      </w:r>
      <w:r w:rsidRPr="00036CCC">
        <w:rPr>
          <w:rFonts w:cs="Arial"/>
        </w:rPr>
        <w:t>Schedule 7</w:t>
      </w:r>
      <w:r>
        <w:rPr>
          <w:rFonts w:cs="Arial"/>
        </w:rPr>
        <w:t>)</w:t>
      </w:r>
      <w:r w:rsidRPr="00036CCC">
        <w:rPr>
          <w:rFonts w:cs="Arial"/>
        </w:rPr>
        <w:t xml:space="preserve"> into </w:t>
      </w:r>
      <w:r>
        <w:rPr>
          <w:rFonts w:cs="Arial"/>
        </w:rPr>
        <w:t>Poisons (</w:t>
      </w:r>
      <w:r w:rsidRPr="00036CCC">
        <w:rPr>
          <w:rFonts w:cs="Arial"/>
        </w:rPr>
        <w:t>Schedule 6</w:t>
      </w:r>
      <w:r>
        <w:rPr>
          <w:rFonts w:cs="Arial"/>
        </w:rPr>
        <w:t>)</w:t>
      </w:r>
      <w:r w:rsidRPr="00036CCC">
        <w:rPr>
          <w:rFonts w:cs="Arial"/>
        </w:rPr>
        <w:t xml:space="preserve"> of the Poisons Standard</w:t>
      </w:r>
      <w:r>
        <w:rPr>
          <w:rFonts w:cs="Arial"/>
        </w:rPr>
        <w:t xml:space="preserve"> and to remove the Appendix J entry that limits availability of folpet </w:t>
      </w:r>
      <w:r w:rsidRPr="00384211">
        <w:rPr>
          <w:rFonts w:cs="Arial"/>
        </w:rPr>
        <w:t>only to a</w:t>
      </w:r>
      <w:r>
        <w:rPr>
          <w:rFonts w:cs="Arial"/>
        </w:rPr>
        <w:t>n</w:t>
      </w:r>
      <w:r w:rsidRPr="00384211">
        <w:rPr>
          <w:rFonts w:cs="Arial"/>
        </w:rPr>
        <w:t xml:space="preserve"> </w:t>
      </w:r>
      <w:r>
        <w:rPr>
          <w:rFonts w:cs="Arial"/>
        </w:rPr>
        <w:t>a</w:t>
      </w:r>
      <w:r w:rsidRPr="00384211">
        <w:rPr>
          <w:rFonts w:cs="Arial"/>
        </w:rPr>
        <w:t>ppropriately authorised or licensed</w:t>
      </w:r>
      <w:r>
        <w:rPr>
          <w:rFonts w:cs="Arial"/>
        </w:rPr>
        <w:t xml:space="preserve"> person</w:t>
      </w:r>
      <w:r w:rsidRPr="00036CCC">
        <w:rPr>
          <w:rFonts w:cs="Arial"/>
        </w:rPr>
        <w:t>.</w:t>
      </w:r>
    </w:p>
    <w:p w14:paraId="7F63529B" w14:textId="3F64E85C" w:rsidR="00F04BEA" w:rsidRDefault="00103BE6" w:rsidP="00084016">
      <w:pPr>
        <w:spacing w:before="120"/>
      </w:pPr>
      <w:r w:rsidRPr="008B2FC4">
        <w:t xml:space="preserve">In determining that this matter will be a delegate-only decision I have taken into account the information provided </w:t>
      </w:r>
      <w:r>
        <w:t>in the Application</w:t>
      </w:r>
      <w:r w:rsidRPr="008B2FC4">
        <w:t xml:space="preserve">, and the matters outlined under s 52E of the Act and the SPF. </w:t>
      </w:r>
      <w:r>
        <w:t>My reasons for making the final decision follow.</w:t>
      </w:r>
    </w:p>
    <w:p w14:paraId="63DCF26E" w14:textId="48EF3A06" w:rsidR="009C0FC3" w:rsidRDefault="009C0FC3" w:rsidP="009C0FC3">
      <w:pPr>
        <w:spacing w:before="120"/>
        <w:rPr>
          <w:rFonts w:cs="Arial"/>
        </w:rPr>
      </w:pPr>
      <w:r w:rsidRPr="4B62E0B3">
        <w:rPr>
          <w:rFonts w:cs="Arial"/>
        </w:rPr>
        <w:lastRenderedPageBreak/>
        <w:t xml:space="preserve">Folpet is a phthalimide fungicide, which is a multi-site inhibitor acting simultaneously on several target sites in fungi. </w:t>
      </w:r>
      <w:r w:rsidRPr="00FE50B7">
        <w:rPr>
          <w:rFonts w:cs="Arial"/>
        </w:rPr>
        <w:t>An agricultural fungicide, it has been used to control mildew, leaf spot, and other diseases in crops si</w:t>
      </w:r>
      <w:r>
        <w:rPr>
          <w:rFonts w:cs="Arial"/>
        </w:rPr>
        <w:t>n</w:t>
      </w:r>
      <w:r w:rsidRPr="00FE50B7">
        <w:rPr>
          <w:rFonts w:cs="Arial"/>
        </w:rPr>
        <w:t>ce the 1950s.</w:t>
      </w:r>
      <w:r w:rsidRPr="00E6383E">
        <w:rPr>
          <w:rFonts w:cs="Arial"/>
        </w:rPr>
        <w:t xml:space="preserve"> </w:t>
      </w:r>
      <w:r>
        <w:rPr>
          <w:rFonts w:cs="Arial"/>
        </w:rPr>
        <w:t>T</w:t>
      </w:r>
      <w:r w:rsidRPr="01D464FA">
        <w:rPr>
          <w:rFonts w:cs="Arial"/>
        </w:rPr>
        <w:t>he product is approved for use in USA, Europe, South Africa and New Zealand.</w:t>
      </w:r>
    </w:p>
    <w:p w14:paraId="2E4D5F45" w14:textId="53A3506F" w:rsidR="009C0FC3" w:rsidRDefault="009C0FC3" w:rsidP="009C0FC3">
      <w:pPr>
        <w:spacing w:before="120"/>
        <w:rPr>
          <w:rFonts w:eastAsia="Arial" w:cs="Arial"/>
        </w:rPr>
      </w:pPr>
      <w:r w:rsidRPr="4B62E0B3">
        <w:rPr>
          <w:rFonts w:cs="Arial"/>
        </w:rPr>
        <w:t xml:space="preserve">Regarding s 52E(1)(a) and (b) of the Act, folpet is proposed to be used in Australia as fungicide </w:t>
      </w:r>
      <w:r w:rsidR="00FD3C01">
        <w:rPr>
          <w:rFonts w:cs="Arial"/>
        </w:rPr>
        <w:t>to</w:t>
      </w:r>
      <w:r w:rsidRPr="4B62E0B3">
        <w:rPr>
          <w:rFonts w:cs="Arial"/>
        </w:rPr>
        <w:t xml:space="preserve"> control anthracnose (</w:t>
      </w:r>
      <w:r w:rsidRPr="4B62E0B3">
        <w:rPr>
          <w:rFonts w:cs="Arial"/>
          <w:i/>
          <w:iCs/>
        </w:rPr>
        <w:t>Colletotrichum spp.</w:t>
      </w:r>
      <w:r w:rsidRPr="4B62E0B3">
        <w:rPr>
          <w:rFonts w:cs="Arial"/>
        </w:rPr>
        <w:t>), grey mould (</w:t>
      </w:r>
      <w:r w:rsidRPr="4B62E0B3">
        <w:rPr>
          <w:rFonts w:cs="Arial"/>
          <w:i/>
          <w:iCs/>
        </w:rPr>
        <w:t>Botrytis cinerea</w:t>
      </w:r>
      <w:r w:rsidRPr="4B62E0B3">
        <w:rPr>
          <w:rFonts w:cs="Arial"/>
        </w:rPr>
        <w:t>), downy mildew (</w:t>
      </w:r>
      <w:r w:rsidRPr="4B62E0B3">
        <w:rPr>
          <w:rFonts w:cs="Arial"/>
          <w:i/>
          <w:iCs/>
        </w:rPr>
        <w:t>Plasmopara viticola</w:t>
      </w:r>
      <w:r w:rsidRPr="4B62E0B3">
        <w:rPr>
          <w:rFonts w:cs="Arial"/>
        </w:rPr>
        <w:t>), black spot (</w:t>
      </w:r>
      <w:r w:rsidRPr="4B62E0B3">
        <w:rPr>
          <w:rFonts w:cs="Arial"/>
          <w:i/>
          <w:iCs/>
        </w:rPr>
        <w:t>Elsinoe ampelina</w:t>
      </w:r>
      <w:r w:rsidRPr="4B62E0B3">
        <w:rPr>
          <w:rFonts w:cs="Arial"/>
        </w:rPr>
        <w:t>) and dead arm</w:t>
      </w:r>
      <w:r w:rsidR="00FD3C01">
        <w:rPr>
          <w:rFonts w:cs="Arial"/>
        </w:rPr>
        <w:t xml:space="preserve"> in grapes</w:t>
      </w:r>
      <w:r w:rsidRPr="4B62E0B3">
        <w:rPr>
          <w:rFonts w:cs="Arial"/>
        </w:rPr>
        <w:t xml:space="preserve">. </w:t>
      </w:r>
      <w:r>
        <w:rPr>
          <w:rFonts w:cs="Arial"/>
        </w:rPr>
        <w:t xml:space="preserve">While currently there is no folpet product available in Australia, it appears that </w:t>
      </w:r>
      <w:r w:rsidRPr="00353D3B">
        <w:rPr>
          <w:rFonts w:cs="Arial"/>
        </w:rPr>
        <w:t>other folpet-containing products (eg. ‘Phaltan’) were available in Australia during the 1960s</w:t>
      </w:r>
      <w:r>
        <w:rPr>
          <w:rFonts w:cs="Arial"/>
        </w:rPr>
        <w:t xml:space="preserve">. </w:t>
      </w:r>
      <w:r w:rsidRPr="008AE64A">
        <w:rPr>
          <w:rFonts w:cs="Arial"/>
        </w:rPr>
        <w:t>The</w:t>
      </w:r>
      <w:r w:rsidRPr="4B62E0B3">
        <w:rPr>
          <w:rFonts w:cs="Arial"/>
        </w:rPr>
        <w:t xml:space="preserve"> </w:t>
      </w:r>
      <w:r w:rsidR="00AA4684" w:rsidRPr="00AA4684">
        <w:rPr>
          <w:rFonts w:cs="Arial"/>
        </w:rPr>
        <w:t xml:space="preserve">Australian Pesticides and Veterinary Medicines Authority </w:t>
      </w:r>
      <w:r w:rsidR="00AA4684">
        <w:rPr>
          <w:rFonts w:cs="Arial"/>
        </w:rPr>
        <w:t>(</w:t>
      </w:r>
      <w:r w:rsidRPr="4B62E0B3">
        <w:rPr>
          <w:rFonts w:cs="Arial"/>
        </w:rPr>
        <w:t>APVMA</w:t>
      </w:r>
      <w:r w:rsidR="00AA4684">
        <w:rPr>
          <w:rFonts w:cs="Arial"/>
        </w:rPr>
        <w:t>)</w:t>
      </w:r>
      <w:r w:rsidRPr="4B62E0B3">
        <w:rPr>
          <w:rFonts w:cs="Arial"/>
        </w:rPr>
        <w:t xml:space="preserve"> </w:t>
      </w:r>
      <w:r>
        <w:rPr>
          <w:rFonts w:cs="Arial"/>
        </w:rPr>
        <w:t xml:space="preserve">has </w:t>
      </w:r>
      <w:r w:rsidR="00AA4684">
        <w:rPr>
          <w:rFonts w:cs="Arial"/>
        </w:rPr>
        <w:t>conducted a</w:t>
      </w:r>
      <w:r>
        <w:rPr>
          <w:rFonts w:cs="Arial"/>
        </w:rPr>
        <w:t xml:space="preserve"> </w:t>
      </w:r>
      <w:r w:rsidRPr="4B62E0B3">
        <w:rPr>
          <w:rFonts w:cs="Arial"/>
        </w:rPr>
        <w:t>Human Health Risk Assessment (HHRA)</w:t>
      </w:r>
      <w:r w:rsidRPr="4B62E0B3" w:rsidDel="00BD438D">
        <w:rPr>
          <w:rFonts w:cs="Arial"/>
        </w:rPr>
        <w:t xml:space="preserve"> </w:t>
      </w:r>
      <w:r w:rsidR="00AA4684">
        <w:rPr>
          <w:rFonts w:cs="Arial"/>
        </w:rPr>
        <w:t xml:space="preserve">for folpet </w:t>
      </w:r>
      <w:r>
        <w:rPr>
          <w:rFonts w:cs="Arial"/>
        </w:rPr>
        <w:t>and concluded that the risks</w:t>
      </w:r>
      <w:r w:rsidRPr="4B62E0B3">
        <w:rPr>
          <w:rFonts w:cs="Arial"/>
        </w:rPr>
        <w:t xml:space="preserve"> can be adequately mitigated via appropriate labelling.</w:t>
      </w:r>
      <w:r>
        <w:rPr>
          <w:rFonts w:cs="Arial"/>
        </w:rPr>
        <w:t xml:space="preserve"> After considering the toxicity information presented in the </w:t>
      </w:r>
      <w:r w:rsidRPr="4B62E0B3">
        <w:rPr>
          <w:rFonts w:cs="Arial"/>
        </w:rPr>
        <w:t>HHRA</w:t>
      </w:r>
      <w:r>
        <w:rPr>
          <w:rFonts w:cs="Arial"/>
        </w:rPr>
        <w:t xml:space="preserve"> (see below), the proposed usage pattern of the folpet product and the recommended label statements, I agree with the APVMA’s conclusions.</w:t>
      </w:r>
    </w:p>
    <w:p w14:paraId="694CB6D3" w14:textId="77777777" w:rsidR="009C0FC3" w:rsidRDefault="009C0FC3" w:rsidP="009C0FC3">
      <w:pPr>
        <w:spacing w:before="120"/>
        <w:rPr>
          <w:rFonts w:cs="Arial"/>
        </w:rPr>
      </w:pPr>
      <w:r w:rsidRPr="01D464FA">
        <w:rPr>
          <w:rFonts w:cs="Arial"/>
        </w:rPr>
        <w:t>In relation to s 52E(1)(b) and (d) of the Act, the product, Folpet 800WG Fungicide, is a professional-use product with 800 g/L folpet in a water dispersible granular formulation. It</w:t>
      </w:r>
      <w:r w:rsidRPr="01D464FA" w:rsidDel="00787E24">
        <w:rPr>
          <w:rFonts w:cs="Arial"/>
        </w:rPr>
        <w:t xml:space="preserve"> </w:t>
      </w:r>
      <w:r>
        <w:rPr>
          <w:rFonts w:cs="Arial"/>
        </w:rPr>
        <w:t>will be</w:t>
      </w:r>
      <w:r w:rsidRPr="01D464FA">
        <w:rPr>
          <w:rFonts w:cs="Arial"/>
        </w:rPr>
        <w:t xml:space="preserve"> applied to grapevine foliage using banded or broadcast spray applicators at a </w:t>
      </w:r>
      <w:r>
        <w:rPr>
          <w:rFonts w:cs="Arial"/>
        </w:rPr>
        <w:t>final</w:t>
      </w:r>
      <w:r w:rsidRPr="01D464FA">
        <w:rPr>
          <w:rFonts w:cs="Arial"/>
        </w:rPr>
        <w:t xml:space="preserve"> rate of 125 g/100 L.</w:t>
      </w:r>
      <w:r>
        <w:rPr>
          <w:rFonts w:cs="Arial"/>
        </w:rPr>
        <w:t xml:space="preserve"> The Product will be available in 1-20 kg pack sizes in plastic bags for use by professionals.</w:t>
      </w:r>
    </w:p>
    <w:p w14:paraId="3F0EB7E9" w14:textId="3FCD1DA8" w:rsidR="009C0FC3" w:rsidRPr="00386D1F" w:rsidRDefault="009C0FC3" w:rsidP="009C0FC3">
      <w:pPr>
        <w:spacing w:before="120"/>
        <w:rPr>
          <w:rFonts w:eastAsia="Arial" w:cs="Arial"/>
        </w:rPr>
      </w:pPr>
      <w:r w:rsidRPr="00386D1F">
        <w:rPr>
          <w:rFonts w:cs="Arial"/>
        </w:rPr>
        <w:t>With regard to s 52E(1)(c) of the Act, based on the data presented in the HHRA</w:t>
      </w:r>
      <w:r w:rsidRPr="008AE64A" w:rsidDel="00AF37D4">
        <w:rPr>
          <w:rFonts w:cs="Arial"/>
        </w:rPr>
        <w:t xml:space="preserve">, </w:t>
      </w:r>
      <w:r w:rsidRPr="00386D1F">
        <w:rPr>
          <w:rFonts w:eastAsia="Arial" w:cs="Arial"/>
        </w:rPr>
        <w:t>the acute oral, dermal and inhalational toxicity levels for folpet are low in animal studies (LD</w:t>
      </w:r>
      <w:r w:rsidRPr="008AE64A">
        <w:rPr>
          <w:rFonts w:eastAsia="Arial" w:cs="Arial"/>
          <w:sz w:val="16"/>
          <w:szCs w:val="16"/>
          <w:vertAlign w:val="subscript"/>
        </w:rPr>
        <w:t>50</w:t>
      </w:r>
      <w:r w:rsidRPr="00386D1F">
        <w:rPr>
          <w:rFonts w:eastAsia="Arial" w:cs="Arial"/>
        </w:rPr>
        <w:t xml:space="preserve"> &gt;2,000 mg/kg bw for oral </w:t>
      </w:r>
      <w:r w:rsidRPr="008AE64A">
        <w:rPr>
          <w:rFonts w:eastAsia="Arial" w:cs="Arial"/>
        </w:rPr>
        <w:t xml:space="preserve">in rats </w:t>
      </w:r>
      <w:r w:rsidRPr="00386D1F">
        <w:rPr>
          <w:rFonts w:eastAsia="Arial" w:cs="Arial"/>
        </w:rPr>
        <w:t>and dermal routes</w:t>
      </w:r>
      <w:r w:rsidRPr="008AE64A">
        <w:rPr>
          <w:rFonts w:eastAsia="Arial" w:cs="Arial"/>
        </w:rPr>
        <w:t xml:space="preserve"> in rats for folpet, and rabbits</w:t>
      </w:r>
      <w:r w:rsidRPr="00386D1F" w:rsidDel="00B4614C">
        <w:rPr>
          <w:rFonts w:eastAsia="Arial" w:cs="Arial"/>
        </w:rPr>
        <w:t xml:space="preserve"> for </w:t>
      </w:r>
      <w:r w:rsidRPr="008AE64A">
        <w:rPr>
          <w:rFonts w:eastAsia="Arial" w:cs="Arial"/>
        </w:rPr>
        <w:t>the product).</w:t>
      </w:r>
      <w:r w:rsidRPr="00386D1F">
        <w:rPr>
          <w:rFonts w:eastAsia="Arial" w:cs="Arial"/>
        </w:rPr>
        <w:t xml:space="preserve"> </w:t>
      </w:r>
      <w:r>
        <w:rPr>
          <w:rFonts w:eastAsia="Arial" w:cs="Arial"/>
        </w:rPr>
        <w:t xml:space="preserve">These low acute toxicity values </w:t>
      </w:r>
      <w:r w:rsidRPr="008AE64A">
        <w:rPr>
          <w:rFonts w:eastAsia="Arial" w:cs="Arial"/>
        </w:rPr>
        <w:t>meet</w:t>
      </w:r>
      <w:r w:rsidRPr="00386D1F">
        <w:rPr>
          <w:rFonts w:eastAsia="Arial" w:cs="Arial"/>
        </w:rPr>
        <w:t xml:space="preserve"> the </w:t>
      </w:r>
      <w:r>
        <w:rPr>
          <w:rFonts w:eastAsia="Arial" w:cs="Arial"/>
        </w:rPr>
        <w:t>scheduling</w:t>
      </w:r>
      <w:r w:rsidRPr="00386D1F">
        <w:rPr>
          <w:rFonts w:eastAsia="Arial" w:cs="Arial"/>
        </w:rPr>
        <w:t xml:space="preserve"> factor</w:t>
      </w:r>
      <w:r>
        <w:rPr>
          <w:rFonts w:eastAsia="Arial" w:cs="Arial"/>
        </w:rPr>
        <w:t xml:space="preserve"> </w:t>
      </w:r>
      <w:r w:rsidRPr="008AE64A">
        <w:rPr>
          <w:rFonts w:eastAsia="Arial" w:cs="Arial"/>
        </w:rPr>
        <w:t>1</w:t>
      </w:r>
      <w:r w:rsidRPr="00386D1F" w:rsidDel="00855775">
        <w:rPr>
          <w:rFonts w:eastAsia="Arial" w:cs="Arial"/>
        </w:rPr>
        <w:t xml:space="preserve"> </w:t>
      </w:r>
      <w:r>
        <w:rPr>
          <w:rFonts w:eastAsia="Arial" w:cs="Arial"/>
        </w:rPr>
        <w:t>for</w:t>
      </w:r>
      <w:r w:rsidRPr="00386D1F">
        <w:rPr>
          <w:rFonts w:eastAsia="Arial" w:cs="Arial"/>
        </w:rPr>
        <w:t xml:space="preserve"> Scheule 5. However, folpet dust has moderate inhalational toxicity </w:t>
      </w:r>
      <w:r w:rsidRPr="008AE64A">
        <w:rPr>
          <w:rFonts w:eastAsia="Arial" w:cs="Arial"/>
        </w:rPr>
        <w:t>(LC</w:t>
      </w:r>
      <w:r w:rsidRPr="008AE64A">
        <w:rPr>
          <w:rFonts w:eastAsia="Arial" w:cs="Arial"/>
          <w:sz w:val="16"/>
          <w:szCs w:val="16"/>
          <w:vertAlign w:val="subscript"/>
        </w:rPr>
        <w:t>50</w:t>
      </w:r>
      <w:r w:rsidR="0011579F">
        <w:rPr>
          <w:rFonts w:eastAsia="Arial" w:cs="Arial"/>
          <w:sz w:val="16"/>
          <w:szCs w:val="16"/>
          <w:vertAlign w:val="subscript"/>
        </w:rPr>
        <w:t xml:space="preserve"> </w:t>
      </w:r>
      <w:r w:rsidRPr="008AE64A">
        <w:rPr>
          <w:rFonts w:eastAsia="Arial" w:cs="Arial"/>
        </w:rPr>
        <w:t>&gt;1</w:t>
      </w:r>
      <w:r w:rsidR="005A51B0">
        <w:rPr>
          <w:rFonts w:eastAsia="Arial" w:cs="Arial"/>
        </w:rPr>
        <w:t>,</w:t>
      </w:r>
      <w:r w:rsidRPr="008AE64A">
        <w:rPr>
          <w:rFonts w:eastAsia="Arial" w:cs="Arial"/>
        </w:rPr>
        <w:t>080 mg/m</w:t>
      </w:r>
      <w:r w:rsidRPr="008AE64A">
        <w:rPr>
          <w:rFonts w:eastAsia="Arial" w:cs="Arial"/>
          <w:sz w:val="16"/>
          <w:szCs w:val="16"/>
          <w:vertAlign w:val="superscript"/>
        </w:rPr>
        <w:t>3</w:t>
      </w:r>
      <w:r w:rsidRPr="008AE64A">
        <w:rPr>
          <w:rFonts w:eastAsia="Arial" w:cs="Arial"/>
        </w:rPr>
        <w:t xml:space="preserve"> fo</w:t>
      </w:r>
      <w:r w:rsidRPr="005A51B0">
        <w:rPr>
          <w:rFonts w:eastAsia="Arial" w:cs="Arial"/>
          <w:szCs w:val="20"/>
        </w:rPr>
        <w:t>r micronized dust</w:t>
      </w:r>
      <w:r w:rsidRPr="008AE64A">
        <w:rPr>
          <w:rFonts w:eastAsia="Arial" w:cs="Arial"/>
          <w:sz w:val="22"/>
        </w:rPr>
        <w:t>)</w:t>
      </w:r>
      <w:r w:rsidRPr="008AE64A">
        <w:rPr>
          <w:rFonts w:eastAsia="Arial" w:cs="Arial"/>
        </w:rPr>
        <w:t xml:space="preserve"> </w:t>
      </w:r>
      <w:r w:rsidRPr="00386D1F">
        <w:rPr>
          <w:rFonts w:eastAsia="Arial" w:cs="Arial"/>
        </w:rPr>
        <w:t>in rats when administered by the nose-only route (</w:t>
      </w:r>
      <w:r w:rsidR="001F3290" w:rsidRPr="00386D1F">
        <w:rPr>
          <w:rFonts w:eastAsia="Arial" w:cs="Arial"/>
        </w:rPr>
        <w:t>Schedule 6</w:t>
      </w:r>
      <w:r w:rsidR="001F3290">
        <w:rPr>
          <w:rFonts w:eastAsia="Arial" w:cs="Arial"/>
        </w:rPr>
        <w:t xml:space="preserve">, </w:t>
      </w:r>
      <w:r w:rsidR="00D02C01">
        <w:rPr>
          <w:rFonts w:eastAsia="Arial" w:cs="Arial"/>
        </w:rPr>
        <w:t>s</w:t>
      </w:r>
      <w:r w:rsidRPr="00386D1F">
        <w:rPr>
          <w:rFonts w:eastAsia="Arial" w:cs="Arial"/>
        </w:rPr>
        <w:t>cheduling</w:t>
      </w:r>
      <w:r w:rsidRPr="008AE64A">
        <w:rPr>
          <w:rFonts w:eastAsia="Arial" w:cs="Arial"/>
        </w:rPr>
        <w:t xml:space="preserve"> factors 1 and</w:t>
      </w:r>
      <w:r w:rsidRPr="00386D1F">
        <w:rPr>
          <w:rFonts w:eastAsia="Arial" w:cs="Arial"/>
        </w:rPr>
        <w:t xml:space="preserve"> 2)</w:t>
      </w:r>
      <w:r w:rsidR="001F3290">
        <w:rPr>
          <w:rFonts w:eastAsia="Arial" w:cs="Arial"/>
        </w:rPr>
        <w:t>.</w:t>
      </w:r>
    </w:p>
    <w:p w14:paraId="32B237C4" w14:textId="0C40D2C0" w:rsidR="009C0FC3" w:rsidRDefault="009C0FC3" w:rsidP="009C0FC3">
      <w:pPr>
        <w:spacing w:before="120"/>
        <w:rPr>
          <w:rFonts w:eastAsia="Arial" w:cs="Arial"/>
        </w:rPr>
      </w:pPr>
      <w:r w:rsidRPr="009C0FC3">
        <w:rPr>
          <w:rFonts w:cs="Arial"/>
        </w:rPr>
        <w:t>Based</w:t>
      </w:r>
      <w:r w:rsidRPr="01D464FA">
        <w:rPr>
          <w:rFonts w:eastAsia="Arial" w:cs="Arial"/>
        </w:rPr>
        <w:t xml:space="preserve"> on the animal studies, folpet is not </w:t>
      </w:r>
      <w:r>
        <w:rPr>
          <w:rFonts w:eastAsia="Arial" w:cs="Arial"/>
        </w:rPr>
        <w:t xml:space="preserve">a </w:t>
      </w:r>
      <w:r w:rsidRPr="01D464FA">
        <w:rPr>
          <w:rFonts w:eastAsia="Arial" w:cs="Arial"/>
        </w:rPr>
        <w:t xml:space="preserve">skin irritant, while the product is </w:t>
      </w:r>
      <w:r>
        <w:rPr>
          <w:rFonts w:eastAsia="Arial" w:cs="Arial"/>
        </w:rPr>
        <w:t xml:space="preserve">a </w:t>
      </w:r>
      <w:r w:rsidRPr="01D464FA">
        <w:rPr>
          <w:rFonts w:eastAsia="Arial" w:cs="Arial"/>
        </w:rPr>
        <w:t xml:space="preserve">moderate skin irritant. </w:t>
      </w:r>
      <w:r w:rsidRPr="008AE64A">
        <w:rPr>
          <w:rFonts w:eastAsia="Arial" w:cs="Arial"/>
        </w:rPr>
        <w:t>Further</w:t>
      </w:r>
      <w:r w:rsidRPr="01D464FA">
        <w:rPr>
          <w:rFonts w:eastAsia="Arial" w:cs="Arial"/>
        </w:rPr>
        <w:t>, both folpet and the product are severe eye irritant</w:t>
      </w:r>
      <w:r>
        <w:rPr>
          <w:rFonts w:eastAsia="Arial" w:cs="Arial"/>
        </w:rPr>
        <w:t>s</w:t>
      </w:r>
      <w:r w:rsidRPr="01D464FA">
        <w:rPr>
          <w:rFonts w:eastAsia="Arial" w:cs="Arial"/>
        </w:rPr>
        <w:t xml:space="preserve"> and severe skin sensitiser</w:t>
      </w:r>
      <w:r>
        <w:rPr>
          <w:rFonts w:eastAsia="Arial" w:cs="Arial"/>
        </w:rPr>
        <w:t>s</w:t>
      </w:r>
      <w:r w:rsidRPr="01D464FA">
        <w:rPr>
          <w:rFonts w:eastAsia="Arial" w:cs="Arial"/>
        </w:rPr>
        <w:t>, which aligns with Schedule 6</w:t>
      </w:r>
      <w:r w:rsidR="001F3290">
        <w:rPr>
          <w:rFonts w:eastAsia="Arial" w:cs="Arial"/>
        </w:rPr>
        <w:t>, scheduling</w:t>
      </w:r>
      <w:r w:rsidRPr="01D464FA">
        <w:rPr>
          <w:rFonts w:eastAsia="Arial" w:cs="Arial"/>
        </w:rPr>
        <w:t xml:space="preserve"> factor</w:t>
      </w:r>
      <w:r>
        <w:rPr>
          <w:rFonts w:eastAsia="Arial" w:cs="Arial"/>
        </w:rPr>
        <w:t xml:space="preserve"> </w:t>
      </w:r>
      <w:r w:rsidRPr="008AE64A">
        <w:rPr>
          <w:rFonts w:eastAsia="Arial" w:cs="Arial"/>
        </w:rPr>
        <w:t>1</w:t>
      </w:r>
      <w:r w:rsidRPr="01D464FA">
        <w:rPr>
          <w:rFonts w:eastAsia="Arial" w:cs="Arial"/>
        </w:rPr>
        <w:t>.</w:t>
      </w:r>
    </w:p>
    <w:p w14:paraId="7A123709" w14:textId="648142AC" w:rsidR="009C0FC3" w:rsidRPr="00C66683" w:rsidRDefault="009C0FC3" w:rsidP="009C0FC3">
      <w:pPr>
        <w:spacing w:before="120"/>
        <w:rPr>
          <w:rFonts w:eastAsia="Arial" w:cs="Arial"/>
        </w:rPr>
      </w:pPr>
      <w:r w:rsidRPr="0025258E">
        <w:rPr>
          <w:rFonts w:eastAsia="Arial" w:cs="Arial"/>
        </w:rPr>
        <w:t>In reference to the repeat dose toxicity,</w:t>
      </w:r>
      <w:r w:rsidR="00CD2E9B">
        <w:rPr>
          <w:rFonts w:eastAsia="Arial" w:cs="Arial"/>
        </w:rPr>
        <w:t xml:space="preserve"> local irritating effects were observed in rats in feeding studies (acanthosis and hyperkeratosis and/or ulceration/erosion of the stomach) and following repeat dermal administration (acanthosis, exudate and skin ulcers)</w:t>
      </w:r>
      <w:r w:rsidRPr="0073706D">
        <w:rPr>
          <w:rFonts w:eastAsia="Arial" w:cs="Arial"/>
        </w:rPr>
        <w:t>.</w:t>
      </w:r>
      <w:r w:rsidRPr="0025258E">
        <w:rPr>
          <w:rFonts w:eastAsia="Arial" w:cs="Arial"/>
        </w:rPr>
        <w:t xml:space="preserve"> Folpet was not a developmental or reproductive toxicant in multigeneration studies.</w:t>
      </w:r>
      <w:r>
        <w:t xml:space="preserve"> </w:t>
      </w:r>
      <w:r w:rsidRPr="0025258E">
        <w:rPr>
          <w:rFonts w:eastAsia="Arial" w:cs="Arial"/>
        </w:rPr>
        <w:t>In 1984,</w:t>
      </w:r>
      <w:r>
        <w:t xml:space="preserve"> </w:t>
      </w:r>
      <w:r w:rsidRPr="00C3159C">
        <w:rPr>
          <w:rFonts w:eastAsia="Arial" w:cs="Arial"/>
        </w:rPr>
        <w:t>the Pesticides and Agricultural Chemicals</w:t>
      </w:r>
      <w:r>
        <w:rPr>
          <w:rFonts w:eastAsia="Arial" w:cs="Arial"/>
        </w:rPr>
        <w:t xml:space="preserve"> S</w:t>
      </w:r>
      <w:r w:rsidRPr="00C3159C">
        <w:rPr>
          <w:rFonts w:eastAsia="Arial" w:cs="Arial"/>
        </w:rPr>
        <w:t>tanding Committee</w:t>
      </w:r>
      <w:r>
        <w:rPr>
          <w:rFonts w:eastAsia="Arial" w:cs="Arial"/>
        </w:rPr>
        <w:t xml:space="preserve"> </w:t>
      </w:r>
      <w:r w:rsidRPr="0025258E">
        <w:rPr>
          <w:rFonts w:eastAsia="Arial" w:cs="Arial"/>
        </w:rPr>
        <w:t xml:space="preserve">recommended rescheduling of folpet from exempt to S7 </w:t>
      </w:r>
      <w:r w:rsidRPr="0073706D">
        <w:rPr>
          <w:rFonts w:eastAsia="Arial" w:cs="Arial"/>
        </w:rPr>
        <w:t>based on the induction of neoplastic growth in the duodenum of several strains of mice</w:t>
      </w:r>
      <w:r w:rsidR="00CD2E9B">
        <w:rPr>
          <w:rFonts w:eastAsia="Arial" w:cs="Arial"/>
        </w:rPr>
        <w:t xml:space="preserve"> </w:t>
      </w:r>
      <w:r w:rsidRPr="0073706D">
        <w:rPr>
          <w:rFonts w:eastAsia="Arial" w:cs="Arial"/>
        </w:rPr>
        <w:t xml:space="preserve">and positive results in multiple </w:t>
      </w:r>
      <w:r w:rsidRPr="0073706D">
        <w:rPr>
          <w:rFonts w:eastAsia="Arial" w:cs="Arial"/>
          <w:i/>
        </w:rPr>
        <w:t>in vitro</w:t>
      </w:r>
      <w:r w:rsidRPr="0073706D">
        <w:rPr>
          <w:rFonts w:eastAsia="Arial" w:cs="Arial"/>
        </w:rPr>
        <w:t xml:space="preserve"> mutagenicity assays</w:t>
      </w:r>
      <w:r w:rsidRPr="0025258E">
        <w:rPr>
          <w:rFonts w:eastAsia="Arial" w:cs="Arial"/>
        </w:rPr>
        <w:t>.</w:t>
      </w:r>
      <w:r>
        <w:rPr>
          <w:rFonts w:eastAsia="Arial" w:cs="Arial"/>
        </w:rPr>
        <w:t xml:space="preserve"> </w:t>
      </w:r>
      <w:r w:rsidRPr="003D6E75">
        <w:rPr>
          <w:rFonts w:eastAsia="Arial" w:cs="Arial"/>
        </w:rPr>
        <w:t xml:space="preserve">The genotoxic potential of folpet was investigated in a battery of genotoxicity tests. </w:t>
      </w:r>
      <w:r>
        <w:rPr>
          <w:rFonts w:eastAsia="Arial" w:cs="Arial"/>
        </w:rPr>
        <w:t>While f</w:t>
      </w:r>
      <w:r w:rsidRPr="003D6E75">
        <w:rPr>
          <w:rFonts w:eastAsia="Arial" w:cs="Arial"/>
        </w:rPr>
        <w:t>olpet show</w:t>
      </w:r>
      <w:r>
        <w:rPr>
          <w:rFonts w:eastAsia="Arial" w:cs="Arial"/>
        </w:rPr>
        <w:t>ed</w:t>
      </w:r>
      <w:r w:rsidRPr="003D6E75">
        <w:rPr>
          <w:rFonts w:eastAsia="Arial" w:cs="Arial"/>
        </w:rPr>
        <w:t xml:space="preserve"> positive results in </w:t>
      </w:r>
      <w:r w:rsidRPr="0D093923">
        <w:rPr>
          <w:rFonts w:eastAsia="Arial" w:cs="Arial"/>
          <w:i/>
        </w:rPr>
        <w:t>in vitro</w:t>
      </w:r>
      <w:r w:rsidRPr="003D6E75">
        <w:rPr>
          <w:rFonts w:eastAsia="Arial" w:cs="Arial"/>
        </w:rPr>
        <w:t xml:space="preserve"> studies</w:t>
      </w:r>
      <w:r>
        <w:rPr>
          <w:rFonts w:eastAsia="Arial" w:cs="Arial"/>
        </w:rPr>
        <w:t>,</w:t>
      </w:r>
      <w:r w:rsidRPr="003D6E75">
        <w:rPr>
          <w:rFonts w:eastAsia="Arial" w:cs="Arial"/>
        </w:rPr>
        <w:t xml:space="preserve"> </w:t>
      </w:r>
      <w:r>
        <w:rPr>
          <w:rFonts w:eastAsia="Arial" w:cs="Arial"/>
        </w:rPr>
        <w:t>there was</w:t>
      </w:r>
      <w:r w:rsidRPr="003D6E75">
        <w:rPr>
          <w:rFonts w:eastAsia="Arial" w:cs="Arial"/>
        </w:rPr>
        <w:t xml:space="preserve"> no</w:t>
      </w:r>
      <w:r>
        <w:rPr>
          <w:rFonts w:eastAsia="Arial" w:cs="Arial"/>
        </w:rPr>
        <w:t xml:space="preserve"> </w:t>
      </w:r>
      <w:r w:rsidRPr="003D6E75">
        <w:rPr>
          <w:rFonts w:eastAsia="Arial" w:cs="Arial"/>
        </w:rPr>
        <w:t xml:space="preserve">indication of DNA damage </w:t>
      </w:r>
      <w:r w:rsidRPr="0D093923">
        <w:rPr>
          <w:rFonts w:eastAsia="Arial" w:cs="Arial"/>
          <w:i/>
        </w:rPr>
        <w:t>in vivo</w:t>
      </w:r>
      <w:r w:rsidRPr="003D6E75">
        <w:rPr>
          <w:rFonts w:eastAsia="Arial" w:cs="Arial"/>
        </w:rPr>
        <w:t xml:space="preserve"> up to 2</w:t>
      </w:r>
      <w:r w:rsidR="005A51B0">
        <w:rPr>
          <w:rFonts w:eastAsia="Arial" w:cs="Arial"/>
        </w:rPr>
        <w:t>,</w:t>
      </w:r>
      <w:r w:rsidRPr="003D6E75">
        <w:rPr>
          <w:rFonts w:eastAsia="Arial" w:cs="Arial"/>
        </w:rPr>
        <w:t>000 mg/kg bw/day</w:t>
      </w:r>
      <w:r w:rsidR="005A51B0">
        <w:rPr>
          <w:rFonts w:eastAsia="Arial" w:cs="Arial"/>
        </w:rPr>
        <w:t>.</w:t>
      </w:r>
      <w:r>
        <w:rPr>
          <w:rStyle w:val="FootnoteReference"/>
          <w:rFonts w:eastAsia="Arial" w:cs="Arial"/>
        </w:rPr>
        <w:footnoteReference w:id="9"/>
      </w:r>
      <w:r>
        <w:rPr>
          <w:rFonts w:eastAsia="Arial" w:cs="Arial"/>
        </w:rPr>
        <w:t xml:space="preserve"> It is considered that the genotoxic potential of folpet is not expressed </w:t>
      </w:r>
      <w:r w:rsidRPr="0D093923">
        <w:rPr>
          <w:rFonts w:eastAsia="Arial" w:cs="Arial"/>
          <w:i/>
        </w:rPr>
        <w:t>in vivo</w:t>
      </w:r>
      <w:r>
        <w:rPr>
          <w:rFonts w:eastAsia="Arial" w:cs="Arial"/>
        </w:rPr>
        <w:t>, possibly because of the high reactivity of folpet with thiol groups in proteins in the mucous membrane of gastrointestinal tracts resulting in r</w:t>
      </w:r>
      <w:r w:rsidR="005A51B0">
        <w:rPr>
          <w:rFonts w:eastAsia="Arial" w:cs="Arial"/>
        </w:rPr>
        <w:t>a</w:t>
      </w:r>
      <w:r>
        <w:rPr>
          <w:rFonts w:eastAsia="Arial" w:cs="Arial"/>
        </w:rPr>
        <w:t xml:space="preserve">pid degradation and reduced systemic exposure to folpet. </w:t>
      </w:r>
      <w:r w:rsidRPr="00880893">
        <w:rPr>
          <w:rFonts w:eastAsia="Arial" w:cs="Arial"/>
        </w:rPr>
        <w:t xml:space="preserve">Folpet metabolites phthalimide, phthalamic acid, phthalic acid, phthalic anhydride and 2-cyanobenzoic acid are unlikely to be genotoxic based on the available genotoxicity data and </w:t>
      </w:r>
      <w:r w:rsidRPr="0D093923">
        <w:rPr>
          <w:rFonts w:eastAsia="Arial" w:cs="Arial"/>
          <w:i/>
        </w:rPr>
        <w:t>in silico</w:t>
      </w:r>
      <w:r w:rsidRPr="00880893">
        <w:rPr>
          <w:rFonts w:eastAsia="Arial" w:cs="Arial"/>
        </w:rPr>
        <w:t xml:space="preserve"> prediction</w:t>
      </w:r>
      <w:r w:rsidR="005A51B0">
        <w:rPr>
          <w:rFonts w:eastAsia="Arial" w:cs="Arial"/>
        </w:rPr>
        <w:t>s</w:t>
      </w:r>
      <w:r w:rsidR="00C27564">
        <w:rPr>
          <w:rFonts w:eastAsia="Arial" w:cs="Arial"/>
        </w:rPr>
        <w:t>.</w:t>
      </w:r>
      <w:r>
        <w:rPr>
          <w:rStyle w:val="FootnoteReference"/>
          <w:rFonts w:eastAsia="Arial" w:cs="Arial"/>
        </w:rPr>
        <w:footnoteReference w:id="10"/>
      </w:r>
      <w:r w:rsidRPr="008AE64A">
        <w:rPr>
          <w:rFonts w:eastAsia="Arial" w:cs="Arial"/>
        </w:rPr>
        <w:t xml:space="preserve"> </w:t>
      </w:r>
      <w:r w:rsidR="0073706D">
        <w:rPr>
          <w:rFonts w:eastAsia="Arial" w:cs="Arial"/>
        </w:rPr>
        <w:t xml:space="preserve">Based on the weight of evidence, folpet is not considered to pose a genotoxic or carcinogenic risk to humans. </w:t>
      </w:r>
      <w:r w:rsidRPr="1CAEA6ED">
        <w:rPr>
          <w:rFonts w:eastAsia="Arial" w:cs="Arial"/>
        </w:rPr>
        <w:t>In relation to s 52E(1)(e) of the Act, I am satisfied the potential for misuse or abuse of folpet is limited. In forming this view, I have considered the substance has no established therapeutic value in humans that would indicate that there is a risk of dependency, abuse, misuse, or diversion into illicit use.</w:t>
      </w:r>
    </w:p>
    <w:p w14:paraId="27D6567F" w14:textId="51E6CA4F" w:rsidR="009C0FC3" w:rsidRPr="00EC7E91" w:rsidRDefault="009C0FC3" w:rsidP="009C0FC3">
      <w:pPr>
        <w:spacing w:before="120"/>
        <w:rPr>
          <w:rFonts w:eastAsia="Arial" w:cs="Arial"/>
        </w:rPr>
      </w:pPr>
      <w:r w:rsidRPr="01D464FA">
        <w:rPr>
          <w:rFonts w:eastAsia="Arial" w:cs="Arial"/>
        </w:rPr>
        <w:lastRenderedPageBreak/>
        <w:t xml:space="preserve">Regarding </w:t>
      </w:r>
      <w:r w:rsidR="00AA4684">
        <w:rPr>
          <w:rFonts w:eastAsia="Arial" w:cs="Arial"/>
        </w:rPr>
        <w:t>s 52E(1)</w:t>
      </w:r>
      <w:r w:rsidRPr="01D464FA">
        <w:rPr>
          <w:rFonts w:eastAsia="Arial" w:cs="Arial"/>
        </w:rPr>
        <w:t xml:space="preserve">(f) of the Act, </w:t>
      </w:r>
      <w:r>
        <w:rPr>
          <w:rFonts w:eastAsia="Arial" w:cs="Arial"/>
        </w:rPr>
        <w:t xml:space="preserve">a closely related fungicide </w:t>
      </w:r>
      <w:r w:rsidRPr="008AE64A">
        <w:rPr>
          <w:rFonts w:eastAsia="Arial" w:cs="Arial"/>
        </w:rPr>
        <w:t>captan</w:t>
      </w:r>
      <w:r w:rsidRPr="01D464FA" w:rsidDel="00A27281">
        <w:rPr>
          <w:rFonts w:eastAsia="Arial" w:cs="Arial"/>
        </w:rPr>
        <w:t xml:space="preserve">, </w:t>
      </w:r>
      <w:r w:rsidRPr="01D464FA">
        <w:rPr>
          <w:rFonts w:eastAsia="Arial" w:cs="Arial"/>
        </w:rPr>
        <w:t>is listed in Schedule 6 of the Poisons Standard with no cut-off.</w:t>
      </w:r>
      <w:r>
        <w:rPr>
          <w:rFonts w:eastAsia="Arial" w:cs="Arial"/>
        </w:rPr>
        <w:t xml:space="preserve"> Captan has a toxicity profile similar to folpet (low acute oral and dermal toxicity but severe eye irritation) and was classified as Schedule 7 based on its mutagenic properties </w:t>
      </w:r>
      <w:r w:rsidRPr="008AE64A">
        <w:rPr>
          <w:rFonts w:eastAsia="Arial" w:cs="Arial"/>
          <w:i/>
        </w:rPr>
        <w:t>in vitro</w:t>
      </w:r>
      <w:r>
        <w:rPr>
          <w:rFonts w:eastAsia="Arial" w:cs="Arial"/>
        </w:rPr>
        <w:t xml:space="preserve">. However, </w:t>
      </w:r>
      <w:r w:rsidR="00AA4684">
        <w:rPr>
          <w:rFonts w:eastAsia="Arial" w:cs="Arial"/>
        </w:rPr>
        <w:t xml:space="preserve">captan was later down scheduled to Schedule 6 considering </w:t>
      </w:r>
      <w:r>
        <w:rPr>
          <w:rFonts w:eastAsia="Arial" w:cs="Arial"/>
        </w:rPr>
        <w:t xml:space="preserve">genotoxicity data </w:t>
      </w:r>
      <w:r w:rsidRPr="00526AAA">
        <w:rPr>
          <w:rFonts w:eastAsia="Arial" w:cs="Arial"/>
          <w:i/>
          <w:iCs/>
        </w:rPr>
        <w:t>in vivo</w:t>
      </w:r>
      <w:r>
        <w:rPr>
          <w:rFonts w:eastAsia="Arial" w:cs="Arial"/>
          <w:i/>
          <w:iCs/>
        </w:rPr>
        <w:t xml:space="preserve"> </w:t>
      </w:r>
      <w:r>
        <w:rPr>
          <w:rFonts w:eastAsia="Arial" w:cs="Arial"/>
        </w:rPr>
        <w:t>was predominantly negative</w:t>
      </w:r>
      <w:r w:rsidR="00AA4684">
        <w:rPr>
          <w:rFonts w:eastAsia="Arial" w:cs="Arial"/>
        </w:rPr>
        <w:t xml:space="preserve"> and</w:t>
      </w:r>
      <w:r>
        <w:rPr>
          <w:rFonts w:eastAsia="Arial" w:cs="Arial"/>
        </w:rPr>
        <w:t xml:space="preserve"> the overall weight-of-evidence </w:t>
      </w:r>
      <w:r w:rsidR="00AA4684">
        <w:rPr>
          <w:rFonts w:eastAsia="Arial" w:cs="Arial"/>
        </w:rPr>
        <w:t xml:space="preserve">also indicating folpet </w:t>
      </w:r>
      <w:r>
        <w:rPr>
          <w:rFonts w:eastAsia="Arial" w:cs="Arial"/>
        </w:rPr>
        <w:t>unlikely to be genotoxic.</w:t>
      </w:r>
    </w:p>
    <w:p w14:paraId="077CC547" w14:textId="0B02A6C7" w:rsidR="0072344E" w:rsidRPr="005950FD" w:rsidRDefault="00AA4684" w:rsidP="009C0FC3">
      <w:pPr>
        <w:spacing w:before="120"/>
      </w:pPr>
      <w:r w:rsidRPr="004814FF">
        <w:t xml:space="preserve">Based on the above considerations and the information provided in the </w:t>
      </w:r>
      <w:r>
        <w:t>A</w:t>
      </w:r>
      <w:r w:rsidRPr="004814FF">
        <w:t xml:space="preserve">pplication, I have decided to amend the current Poisons Standard </w:t>
      </w:r>
      <w:r>
        <w:t xml:space="preserve">regarding folpet </w:t>
      </w:r>
      <w:r w:rsidRPr="004814FF">
        <w:t>in the manner laid out above.</w:t>
      </w:r>
      <w:r>
        <w:t xml:space="preserve"> T</w:t>
      </w:r>
      <w:r w:rsidRPr="00902003">
        <w:t>his amendment was not referred to an expert advisory committee for advice.</w:t>
      </w:r>
    </w:p>
    <w:p w14:paraId="278923E3" w14:textId="494996E1" w:rsidR="00084016" w:rsidRPr="005950FD" w:rsidRDefault="00084016" w:rsidP="00C12DE0">
      <w:pPr>
        <w:pStyle w:val="Heading4"/>
      </w:pPr>
      <w:r w:rsidRPr="005950FD">
        <w:t>Implementation date</w:t>
      </w:r>
      <w:bookmarkStart w:id="51" w:name="_Toc164149825"/>
      <w:bookmarkStart w:id="52" w:name="_Toc140832989"/>
    </w:p>
    <w:p w14:paraId="533285B8" w14:textId="2E72E55F" w:rsidR="00084016" w:rsidRPr="00E82526" w:rsidRDefault="00084016" w:rsidP="00084016">
      <w:pPr>
        <w:spacing w:before="360"/>
      </w:pPr>
      <w:r w:rsidRPr="00E82526">
        <w:t xml:space="preserve">1 </w:t>
      </w:r>
      <w:r w:rsidR="0051421A">
        <w:t>June 2025</w:t>
      </w:r>
    </w:p>
    <w:p w14:paraId="7166D417" w14:textId="22F0D531" w:rsidR="000D7942" w:rsidRPr="005069D2" w:rsidRDefault="000D7942" w:rsidP="000D7942">
      <w:pPr>
        <w:pStyle w:val="Heading2"/>
      </w:pPr>
      <w:bookmarkStart w:id="53" w:name="_Toc198028607"/>
      <w:bookmarkEnd w:id="51"/>
      <w:bookmarkEnd w:id="52"/>
      <w:r w:rsidRPr="005069D2">
        <w:t>Amendments to the Poison Standard in relation to New Chemical Entities (NCEs)</w:t>
      </w:r>
      <w:bookmarkEnd w:id="53"/>
    </w:p>
    <w:p w14:paraId="65568A5C" w14:textId="36D92DAB" w:rsidR="000D7942" w:rsidRDefault="000D7942" w:rsidP="00967490">
      <w:r>
        <w:t>The NCEs liste</w:t>
      </w:r>
      <w:r w:rsidRPr="00A27362">
        <w:t>d below will be inc</w:t>
      </w:r>
      <w:r w:rsidRPr="003C7F4C">
        <w:t xml:space="preserve">luded in the new Poisons Standard that will come into effect on </w:t>
      </w:r>
      <w:r w:rsidR="00762E10">
        <w:t>1 June 2025</w:t>
      </w:r>
      <w:r w:rsidRPr="003C7F4C">
        <w:t>.</w:t>
      </w:r>
    </w:p>
    <w:p w14:paraId="18AA1DE7" w14:textId="77777777" w:rsidR="00187A87" w:rsidRDefault="00187A87" w:rsidP="00187A87">
      <w:pPr>
        <w:pStyle w:val="Heading3"/>
        <w:spacing w:before="240" w:line="220" w:lineRule="atLeast"/>
      </w:pPr>
      <w:bookmarkStart w:id="54" w:name="_Toc198028608"/>
      <w:r>
        <w:t>DATOPOTAMAB DERUXTECAN</w:t>
      </w:r>
      <w:bookmarkEnd w:id="54"/>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187A87" w14:paraId="7096F2A4" w14:textId="77777777" w:rsidTr="00B250E5">
        <w:tc>
          <w:tcPr>
            <w:tcW w:w="8072" w:type="dxa"/>
          </w:tcPr>
          <w:p w14:paraId="5149F25F" w14:textId="77777777" w:rsidR="00187A87" w:rsidRPr="00247188" w:rsidRDefault="00187A87" w:rsidP="00B250E5">
            <w:pPr>
              <w:spacing w:before="120" w:after="120"/>
              <w:rPr>
                <w:rFonts w:cs="Arial"/>
                <w:sz w:val="20"/>
                <w:szCs w:val="20"/>
              </w:rPr>
            </w:pPr>
            <w:r w:rsidRPr="00247188">
              <w:rPr>
                <w:rStyle w:val="Strong"/>
                <w:rFonts w:cs="Arial"/>
                <w:color w:val="000000"/>
                <w:sz w:val="20"/>
                <w:szCs w:val="20"/>
              </w:rPr>
              <w:t>Schedule 4 – New Entry</w:t>
            </w:r>
          </w:p>
          <w:p w14:paraId="1CE3FCFB" w14:textId="558E9939" w:rsidR="00187A87" w:rsidRPr="007D2D48" w:rsidRDefault="000E1750" w:rsidP="00B250E5">
            <w:pPr>
              <w:spacing w:before="120" w:after="120"/>
              <w:rPr>
                <w:rFonts w:cs="Arial"/>
                <w:color w:val="00B050"/>
                <w:sz w:val="20"/>
                <w:szCs w:val="20"/>
                <w:u w:val="single"/>
              </w:rPr>
            </w:pPr>
            <w:r w:rsidRPr="007D2D48">
              <w:rPr>
                <w:rFonts w:cs="Arial"/>
                <w:color w:val="00B050"/>
                <w:szCs w:val="20"/>
                <w:u w:val="single"/>
              </w:rPr>
              <w:t>DATOPOTAMAB DERUXTECAN</w:t>
            </w:r>
          </w:p>
          <w:p w14:paraId="716CF42F" w14:textId="77777777" w:rsidR="00187A87" w:rsidRPr="007D2D48" w:rsidRDefault="00187A87" w:rsidP="00B250E5">
            <w:pPr>
              <w:spacing w:before="120" w:after="120"/>
              <w:rPr>
                <w:rFonts w:cs="Arial"/>
                <w:sz w:val="20"/>
                <w:szCs w:val="20"/>
              </w:rPr>
            </w:pPr>
            <w:r w:rsidRPr="007D2D48">
              <w:rPr>
                <w:rStyle w:val="Strong"/>
                <w:rFonts w:cs="Arial"/>
                <w:color w:val="000000"/>
                <w:sz w:val="20"/>
                <w:szCs w:val="20"/>
              </w:rPr>
              <w:t>Index – New Entry</w:t>
            </w:r>
          </w:p>
          <w:p w14:paraId="7BE0A874" w14:textId="49DAD41C" w:rsidR="00187A87" w:rsidRPr="00247188" w:rsidRDefault="000E1750" w:rsidP="00B250E5">
            <w:pPr>
              <w:spacing w:before="120" w:after="120"/>
              <w:rPr>
                <w:rFonts w:cs="Arial"/>
                <w:b/>
                <w:bCs/>
                <w:color w:val="00B050"/>
                <w:sz w:val="20"/>
                <w:szCs w:val="20"/>
                <w:u w:val="single"/>
              </w:rPr>
            </w:pPr>
            <w:r w:rsidRPr="007D2D48">
              <w:rPr>
                <w:rFonts w:cs="Arial"/>
                <w:color w:val="00B050"/>
                <w:szCs w:val="20"/>
                <w:u w:val="single"/>
              </w:rPr>
              <w:t>DATOPOTAMAB DERUXTECAN</w:t>
            </w:r>
          </w:p>
          <w:p w14:paraId="74AB743B" w14:textId="77777777" w:rsidR="00187A87" w:rsidRPr="00013BFF" w:rsidRDefault="00187A87" w:rsidP="00B250E5">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578E0CDA" w14:textId="1DF68E39" w:rsidR="00F57FDC" w:rsidRDefault="0072009F" w:rsidP="00F57FDC">
      <w:pPr>
        <w:pStyle w:val="Heading3"/>
        <w:spacing w:before="240" w:line="220" w:lineRule="atLeast"/>
      </w:pPr>
      <w:bookmarkStart w:id="55" w:name="_Toc198028609"/>
      <w:r>
        <w:t>ELAFIBRANOR</w:t>
      </w:r>
      <w:bookmarkEnd w:id="55"/>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54D0E3E4" w14:textId="77777777" w:rsidTr="00F57FDC">
        <w:tc>
          <w:tcPr>
            <w:tcW w:w="8072" w:type="dxa"/>
          </w:tcPr>
          <w:p w14:paraId="7C5A4B74" w14:textId="77777777" w:rsidR="00F57FDC" w:rsidRPr="00247188" w:rsidRDefault="00F57FDC" w:rsidP="00F57FDC">
            <w:pPr>
              <w:spacing w:before="120" w:after="120"/>
              <w:rPr>
                <w:rFonts w:cs="Arial"/>
                <w:sz w:val="20"/>
                <w:szCs w:val="20"/>
              </w:rPr>
            </w:pPr>
            <w:r w:rsidRPr="00247188">
              <w:rPr>
                <w:rStyle w:val="Strong"/>
                <w:rFonts w:cs="Arial"/>
                <w:color w:val="000000"/>
                <w:sz w:val="20"/>
                <w:szCs w:val="20"/>
              </w:rPr>
              <w:t>Schedule 4 – New Entry</w:t>
            </w:r>
          </w:p>
          <w:p w14:paraId="2F0D9941" w14:textId="1DE528FF" w:rsidR="00F57FDC" w:rsidRPr="00247188" w:rsidRDefault="00F57FDC" w:rsidP="00F57FDC">
            <w:pPr>
              <w:spacing w:before="120" w:after="120"/>
              <w:rPr>
                <w:rFonts w:cs="Arial"/>
                <w:color w:val="00B050"/>
                <w:sz w:val="20"/>
                <w:szCs w:val="20"/>
                <w:u w:val="single"/>
              </w:rPr>
            </w:pPr>
            <w:r w:rsidRPr="00F57FDC">
              <w:rPr>
                <w:rFonts w:cs="Arial"/>
                <w:color w:val="00B050"/>
                <w:sz w:val="20"/>
                <w:szCs w:val="20"/>
                <w:u w:val="single"/>
              </w:rPr>
              <w:t>ELAFIBRANOR</w:t>
            </w:r>
          </w:p>
          <w:p w14:paraId="37BD0CAF" w14:textId="77777777" w:rsidR="00F57FDC" w:rsidRPr="00247188" w:rsidRDefault="00F57FDC" w:rsidP="00F57FDC">
            <w:pPr>
              <w:spacing w:before="120" w:after="120"/>
              <w:rPr>
                <w:rFonts w:cs="Arial"/>
                <w:sz w:val="20"/>
                <w:szCs w:val="20"/>
              </w:rPr>
            </w:pPr>
            <w:r w:rsidRPr="00247188">
              <w:rPr>
                <w:rStyle w:val="Strong"/>
                <w:rFonts w:cs="Arial"/>
                <w:color w:val="000000"/>
                <w:sz w:val="20"/>
                <w:szCs w:val="20"/>
              </w:rPr>
              <w:t>Index – New Entry</w:t>
            </w:r>
          </w:p>
          <w:p w14:paraId="6A9C66A5" w14:textId="5EF7F1BC" w:rsidR="00F57FDC" w:rsidRPr="00247188" w:rsidRDefault="00F57FDC" w:rsidP="00F57FDC">
            <w:pPr>
              <w:spacing w:before="120" w:after="120"/>
              <w:rPr>
                <w:rFonts w:cs="Arial"/>
                <w:b/>
                <w:bCs/>
                <w:color w:val="00B050"/>
                <w:sz w:val="20"/>
                <w:szCs w:val="20"/>
                <w:u w:val="single"/>
              </w:rPr>
            </w:pPr>
            <w:r w:rsidRPr="00F57FDC">
              <w:rPr>
                <w:rFonts w:cs="Arial"/>
                <w:color w:val="00B050"/>
                <w:sz w:val="20"/>
                <w:szCs w:val="20"/>
                <w:u w:val="single"/>
              </w:rPr>
              <w:t>ELAFIBRANOR</w:t>
            </w:r>
          </w:p>
          <w:p w14:paraId="0D1AB650" w14:textId="7D930A94" w:rsidR="00F57FDC" w:rsidRPr="00013BFF" w:rsidRDefault="00F57FDC" w:rsidP="00F57FDC">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7F8FDC29" w14:textId="65122F60" w:rsidR="00F57FDC" w:rsidRDefault="0072009F" w:rsidP="00F57FDC">
      <w:pPr>
        <w:pStyle w:val="Heading3"/>
        <w:spacing w:before="240" w:line="220" w:lineRule="atLeast"/>
      </w:pPr>
      <w:bookmarkStart w:id="56" w:name="_Toc198028610"/>
      <w:r>
        <w:t>FUTIBATINIB</w:t>
      </w:r>
      <w:bookmarkEnd w:id="56"/>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72F8D3B5" w14:textId="77777777" w:rsidTr="00F57FDC">
        <w:tc>
          <w:tcPr>
            <w:tcW w:w="8072" w:type="dxa"/>
          </w:tcPr>
          <w:p w14:paraId="545C6214"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772B7187" w14:textId="3E76DB3E"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FUTIBATINIB</w:t>
            </w:r>
          </w:p>
          <w:p w14:paraId="58AF4732"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574B2C71" w14:textId="090226C5"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FUTIBATINIB</w:t>
            </w:r>
          </w:p>
          <w:p w14:paraId="0EDA97A8" w14:textId="79F4DEBD"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4CFE1059" w14:textId="0944444A" w:rsidR="00F57FDC" w:rsidRDefault="0072009F" w:rsidP="00F57FDC">
      <w:pPr>
        <w:pStyle w:val="Heading3"/>
        <w:spacing w:before="240" w:line="220" w:lineRule="atLeast"/>
      </w:pPr>
      <w:bookmarkStart w:id="57" w:name="_Toc198028611"/>
      <w:r>
        <w:lastRenderedPageBreak/>
        <w:t>INAVOLISIB</w:t>
      </w:r>
      <w:bookmarkEnd w:id="57"/>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412B1209" w14:textId="77777777" w:rsidTr="00F57FDC">
        <w:tc>
          <w:tcPr>
            <w:tcW w:w="8072" w:type="dxa"/>
          </w:tcPr>
          <w:p w14:paraId="0726973E"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6E84CA76" w14:textId="1D6D8DA7"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INAVOLISIB</w:t>
            </w:r>
          </w:p>
          <w:p w14:paraId="7757FFC2"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05FBAF17" w14:textId="5D3FE3C9"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INAVOLISIB</w:t>
            </w:r>
          </w:p>
          <w:p w14:paraId="1A621E24" w14:textId="2378B157"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49C5FF1F" w14:textId="5E19D77D" w:rsidR="00F57FDC" w:rsidRDefault="0072009F" w:rsidP="00F57FDC">
      <w:pPr>
        <w:pStyle w:val="Heading3"/>
        <w:spacing w:before="240" w:line="220" w:lineRule="atLeast"/>
      </w:pPr>
      <w:bookmarkStart w:id="58" w:name="_Toc198028612"/>
      <w:r>
        <w:t>LANDIOLOL</w:t>
      </w:r>
      <w:bookmarkEnd w:id="58"/>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398160C0" w14:textId="77777777" w:rsidTr="0092526F">
        <w:tc>
          <w:tcPr>
            <w:tcW w:w="8072" w:type="dxa"/>
          </w:tcPr>
          <w:p w14:paraId="4C7C900C"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61AEEB7B" w14:textId="4D214F2B"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LANDIOLOL</w:t>
            </w:r>
          </w:p>
          <w:p w14:paraId="0E8CC6B2"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49AF5B8D" w14:textId="6049E478"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LANDIOLOL</w:t>
            </w:r>
          </w:p>
          <w:p w14:paraId="0D095152" w14:textId="67581599"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4BD92B77" w14:textId="73078DC5" w:rsidR="00F57FDC" w:rsidRDefault="0072009F" w:rsidP="00F57FDC">
      <w:pPr>
        <w:pStyle w:val="Heading3"/>
        <w:spacing w:before="240" w:line="220" w:lineRule="atLeast"/>
      </w:pPr>
      <w:bookmarkStart w:id="59" w:name="_Toc198028613"/>
      <w:r>
        <w:t>LAZERTINIB</w:t>
      </w:r>
      <w:bookmarkEnd w:id="59"/>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6846D03C" w14:textId="77777777" w:rsidTr="0092526F">
        <w:tc>
          <w:tcPr>
            <w:tcW w:w="8072" w:type="dxa"/>
          </w:tcPr>
          <w:p w14:paraId="4C58D55A"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06FDBFB5" w14:textId="11CD0EE5"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LAZERTINIB</w:t>
            </w:r>
          </w:p>
          <w:p w14:paraId="4FB02658"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33BBE286" w14:textId="16FFE5DB"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LAZERTINIB</w:t>
            </w:r>
          </w:p>
          <w:p w14:paraId="4DDE67F4" w14:textId="49EDFF61"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7D45399E" w14:textId="744ECC03" w:rsidR="00F57FDC" w:rsidRDefault="0072009F" w:rsidP="00F57FDC">
      <w:pPr>
        <w:pStyle w:val="Heading3"/>
        <w:spacing w:before="240" w:line="220" w:lineRule="atLeast"/>
      </w:pPr>
      <w:bookmarkStart w:id="60" w:name="_Toc198028614"/>
      <w:r>
        <w:t>PEGUNIGALSIDASE ALFA</w:t>
      </w:r>
      <w:bookmarkEnd w:id="60"/>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42E1AD48" w14:textId="77777777" w:rsidTr="0092526F">
        <w:tc>
          <w:tcPr>
            <w:tcW w:w="8072" w:type="dxa"/>
          </w:tcPr>
          <w:p w14:paraId="3C3224F0"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6ABFDAFC" w14:textId="2BF97EE7"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PEGUNIGALSIDASE ALFA</w:t>
            </w:r>
          </w:p>
          <w:p w14:paraId="5D40E08B"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1CF31D06" w14:textId="2DAE7475"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PEGUNIGALSIDASE ALFA</w:t>
            </w:r>
          </w:p>
          <w:p w14:paraId="6386BBDB" w14:textId="35AD3191"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63C05F74" w14:textId="58FFBE62" w:rsidR="00F57FDC" w:rsidRDefault="0072009F" w:rsidP="00F57FDC">
      <w:pPr>
        <w:pStyle w:val="Heading3"/>
        <w:spacing w:before="240" w:line="220" w:lineRule="atLeast"/>
      </w:pPr>
      <w:bookmarkStart w:id="61" w:name="_Toc198028615"/>
      <w:r>
        <w:t>REPOTRECTINIB</w:t>
      </w:r>
      <w:bookmarkEnd w:id="61"/>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37EC620C" w14:textId="77777777" w:rsidTr="0092526F">
        <w:tc>
          <w:tcPr>
            <w:tcW w:w="8072" w:type="dxa"/>
          </w:tcPr>
          <w:p w14:paraId="296F1B06"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266C813C" w14:textId="2E134443"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REPOTRECTINIB</w:t>
            </w:r>
          </w:p>
          <w:p w14:paraId="2BA69C49"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31C66CEB" w14:textId="33B0A5E9"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REPOTRECTINIB</w:t>
            </w:r>
          </w:p>
          <w:p w14:paraId="1DD60E39" w14:textId="244D4964"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661AC51F" w14:textId="6133A1F2" w:rsidR="00F57FDC" w:rsidRDefault="0072009F" w:rsidP="00F57FDC">
      <w:pPr>
        <w:pStyle w:val="Heading3"/>
        <w:spacing w:before="240" w:line="220" w:lineRule="atLeast"/>
      </w:pPr>
      <w:bookmarkStart w:id="62" w:name="_Toc198028616"/>
      <w:r>
        <w:lastRenderedPageBreak/>
        <w:t>SEPIAPTERIN</w:t>
      </w:r>
      <w:bookmarkEnd w:id="62"/>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0D727874" w14:textId="77777777" w:rsidTr="0092526F">
        <w:tc>
          <w:tcPr>
            <w:tcW w:w="8072" w:type="dxa"/>
          </w:tcPr>
          <w:p w14:paraId="01EB58FC"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3CC15A31" w14:textId="31DC3543" w:rsidR="0072009F" w:rsidRPr="00247188" w:rsidRDefault="00AB753C" w:rsidP="00AB753C">
            <w:pPr>
              <w:spacing w:before="120" w:after="120"/>
              <w:rPr>
                <w:rFonts w:cs="Arial"/>
                <w:color w:val="00B050"/>
                <w:sz w:val="20"/>
                <w:szCs w:val="20"/>
                <w:u w:val="single"/>
              </w:rPr>
            </w:pPr>
            <w:r w:rsidRPr="00AB753C">
              <w:rPr>
                <w:rFonts w:cs="Arial"/>
                <w:color w:val="00B050"/>
                <w:sz w:val="20"/>
                <w:szCs w:val="20"/>
                <w:u w:val="single"/>
              </w:rPr>
              <w:t>SEPIAPTERIN</w:t>
            </w:r>
          </w:p>
          <w:p w14:paraId="60ADEECE"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0BAF3FFD" w14:textId="56BC72CB" w:rsidR="0072009F" w:rsidRPr="00247188" w:rsidRDefault="00AB753C" w:rsidP="00AB753C">
            <w:pPr>
              <w:spacing w:before="120" w:after="120"/>
              <w:rPr>
                <w:rFonts w:cs="Arial"/>
                <w:b/>
                <w:bCs/>
                <w:color w:val="00B050"/>
                <w:sz w:val="20"/>
                <w:szCs w:val="20"/>
                <w:u w:val="single"/>
              </w:rPr>
            </w:pPr>
            <w:r w:rsidRPr="00AB753C">
              <w:rPr>
                <w:rFonts w:cs="Arial"/>
                <w:color w:val="00B050"/>
                <w:sz w:val="20"/>
                <w:szCs w:val="20"/>
                <w:u w:val="single"/>
              </w:rPr>
              <w:t>SEPIAPTERIN</w:t>
            </w:r>
          </w:p>
          <w:p w14:paraId="5D3676A5" w14:textId="77777777" w:rsidR="0072009F" w:rsidRPr="00013BFF" w:rsidRDefault="0072009F" w:rsidP="0092526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2C092A41" w14:textId="639A42FE" w:rsidR="00F57FDC" w:rsidRDefault="0072009F" w:rsidP="00F57FDC">
      <w:pPr>
        <w:pStyle w:val="Heading3"/>
        <w:spacing w:before="240" w:line="220" w:lineRule="atLeast"/>
      </w:pPr>
      <w:bookmarkStart w:id="63" w:name="_Toc198028617"/>
      <w:r w:rsidRPr="00E252A5">
        <w:t>TEPROTUMUMAB</w:t>
      </w:r>
      <w:bookmarkEnd w:id="63"/>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42A59407" w14:textId="77777777" w:rsidTr="0092526F">
        <w:tc>
          <w:tcPr>
            <w:tcW w:w="8072" w:type="dxa"/>
          </w:tcPr>
          <w:p w14:paraId="4FAD96B4"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7FFAB057" w14:textId="5069B9FD" w:rsidR="002102BD" w:rsidRPr="000B6480" w:rsidRDefault="00AB753C" w:rsidP="00AB753C">
            <w:pPr>
              <w:spacing w:before="120" w:after="120"/>
              <w:rPr>
                <w:rFonts w:cs="Arial"/>
                <w:color w:val="00B050"/>
                <w:sz w:val="20"/>
                <w:szCs w:val="20"/>
                <w:u w:val="single"/>
              </w:rPr>
            </w:pPr>
            <w:r w:rsidRPr="00AB753C">
              <w:rPr>
                <w:rFonts w:cs="Arial"/>
                <w:color w:val="00B050"/>
                <w:sz w:val="20"/>
                <w:szCs w:val="20"/>
                <w:u w:val="single"/>
              </w:rPr>
              <w:t>TEPROTUMUMAB</w:t>
            </w:r>
          </w:p>
          <w:p w14:paraId="085F91C8" w14:textId="77777777" w:rsidR="002102BD" w:rsidRDefault="002102BD" w:rsidP="002102BD">
            <w:pPr>
              <w:spacing w:before="120" w:after="120"/>
              <w:rPr>
                <w:rFonts w:cs="Arial"/>
                <w:color w:val="00B050"/>
                <w:sz w:val="20"/>
                <w:szCs w:val="20"/>
                <w:u w:val="single"/>
              </w:rPr>
            </w:pPr>
            <w:r w:rsidRPr="002102BD">
              <w:rPr>
                <w:rStyle w:val="Strong"/>
                <w:color w:val="000000"/>
              </w:rPr>
              <w:t>Appendix F, clause 4 - New Entry</w:t>
            </w:r>
          </w:p>
          <w:tbl>
            <w:tblPr>
              <w:tblStyle w:val="TableGrid"/>
              <w:tblW w:w="0" w:type="auto"/>
              <w:tblLook w:val="04A0" w:firstRow="1" w:lastRow="0" w:firstColumn="1" w:lastColumn="0" w:noHBand="0" w:noVBand="1"/>
            </w:tblPr>
            <w:tblGrid>
              <w:gridCol w:w="2615"/>
              <w:gridCol w:w="2615"/>
              <w:gridCol w:w="2616"/>
            </w:tblGrid>
            <w:tr w:rsidR="002102BD" w:rsidRPr="007D2D48" w14:paraId="56AFD42F" w14:textId="77777777" w:rsidTr="0092526F">
              <w:tc>
                <w:tcPr>
                  <w:tcW w:w="2615" w:type="dxa"/>
                </w:tcPr>
                <w:p w14:paraId="55685EFA" w14:textId="77777777" w:rsidR="002102BD" w:rsidRPr="007D2D48" w:rsidRDefault="002102BD" w:rsidP="00C37434">
                  <w:pPr>
                    <w:framePr w:hSpace="180" w:wrap="around" w:vAnchor="text" w:hAnchor="margin" w:xAlign="center" w:y="6"/>
                    <w:spacing w:before="120"/>
                    <w:rPr>
                      <w:rStyle w:val="Strong"/>
                      <w:rFonts w:cs="Arial"/>
                      <w:color w:val="000000"/>
                    </w:rPr>
                  </w:pPr>
                  <w:r w:rsidRPr="007D2D48">
                    <w:rPr>
                      <w:rFonts w:cs="Arial"/>
                      <w:b/>
                      <w:bCs/>
                      <w:color w:val="auto"/>
                      <w:szCs w:val="20"/>
                    </w:rPr>
                    <w:t>Item</w:t>
                  </w:r>
                </w:p>
              </w:tc>
              <w:tc>
                <w:tcPr>
                  <w:tcW w:w="2615" w:type="dxa"/>
                </w:tcPr>
                <w:p w14:paraId="201074F0" w14:textId="77777777" w:rsidR="002102BD" w:rsidRPr="007D2D48" w:rsidRDefault="002102BD" w:rsidP="00C37434">
                  <w:pPr>
                    <w:framePr w:hSpace="180" w:wrap="around" w:vAnchor="text" w:hAnchor="margin" w:xAlign="center" w:y="6"/>
                    <w:spacing w:before="120"/>
                    <w:rPr>
                      <w:rFonts w:cs="Arial"/>
                      <w:b/>
                      <w:bCs/>
                      <w:color w:val="auto"/>
                      <w:szCs w:val="20"/>
                    </w:rPr>
                  </w:pPr>
                  <w:r w:rsidRPr="007D2D48">
                    <w:rPr>
                      <w:rFonts w:cs="Arial"/>
                      <w:b/>
                      <w:bCs/>
                      <w:color w:val="auto"/>
                      <w:szCs w:val="20"/>
                    </w:rPr>
                    <w:t>Column 1</w:t>
                  </w:r>
                </w:p>
                <w:p w14:paraId="3262E60B" w14:textId="77777777" w:rsidR="002102BD" w:rsidRPr="007D2D48" w:rsidRDefault="002102BD" w:rsidP="00C37434">
                  <w:pPr>
                    <w:framePr w:hSpace="180" w:wrap="around" w:vAnchor="text" w:hAnchor="margin" w:xAlign="center" w:y="6"/>
                    <w:spacing w:before="120"/>
                    <w:rPr>
                      <w:rStyle w:val="Strong"/>
                      <w:rFonts w:cs="Arial"/>
                      <w:color w:val="000000"/>
                    </w:rPr>
                  </w:pPr>
                  <w:r w:rsidRPr="007D2D48">
                    <w:rPr>
                      <w:rFonts w:cs="Arial"/>
                      <w:b/>
                      <w:bCs/>
                      <w:color w:val="auto"/>
                      <w:szCs w:val="20"/>
                    </w:rPr>
                    <w:t>Poison</w:t>
                  </w:r>
                </w:p>
              </w:tc>
              <w:tc>
                <w:tcPr>
                  <w:tcW w:w="2616" w:type="dxa"/>
                </w:tcPr>
                <w:p w14:paraId="171FF915" w14:textId="77777777" w:rsidR="002102BD" w:rsidRPr="007D2D48" w:rsidRDefault="002102BD" w:rsidP="00C37434">
                  <w:pPr>
                    <w:framePr w:hSpace="180" w:wrap="around" w:vAnchor="text" w:hAnchor="margin" w:xAlign="center" w:y="6"/>
                    <w:spacing w:before="120"/>
                    <w:rPr>
                      <w:rFonts w:cs="Arial"/>
                      <w:b/>
                      <w:bCs/>
                      <w:color w:val="auto"/>
                      <w:szCs w:val="20"/>
                    </w:rPr>
                  </w:pPr>
                  <w:r w:rsidRPr="007D2D48">
                    <w:rPr>
                      <w:rFonts w:cs="Arial"/>
                      <w:b/>
                      <w:bCs/>
                      <w:color w:val="auto"/>
                      <w:szCs w:val="20"/>
                    </w:rPr>
                    <w:t>Column 2</w:t>
                  </w:r>
                </w:p>
                <w:p w14:paraId="40A3603D" w14:textId="77777777" w:rsidR="002102BD" w:rsidRPr="007D2D48" w:rsidRDefault="002102BD" w:rsidP="00C37434">
                  <w:pPr>
                    <w:framePr w:hSpace="180" w:wrap="around" w:vAnchor="text" w:hAnchor="margin" w:xAlign="center" w:y="6"/>
                    <w:spacing w:before="120"/>
                    <w:rPr>
                      <w:rStyle w:val="Strong"/>
                      <w:rFonts w:cs="Arial"/>
                      <w:color w:val="000000"/>
                    </w:rPr>
                  </w:pPr>
                  <w:r w:rsidRPr="007D2D48">
                    <w:rPr>
                      <w:rFonts w:cs="Arial"/>
                      <w:b/>
                      <w:bCs/>
                      <w:color w:val="auto"/>
                      <w:szCs w:val="20"/>
                    </w:rPr>
                    <w:t>Warning statement item number</w:t>
                  </w:r>
                </w:p>
              </w:tc>
            </w:tr>
            <w:tr w:rsidR="002102BD" w:rsidRPr="007D2D48" w14:paraId="03EC5770" w14:textId="77777777" w:rsidTr="0092526F">
              <w:tc>
                <w:tcPr>
                  <w:tcW w:w="2615" w:type="dxa"/>
                </w:tcPr>
                <w:p w14:paraId="326BE89D" w14:textId="66BA5B4D" w:rsidR="002102BD" w:rsidRPr="007D2D48" w:rsidRDefault="002102BD" w:rsidP="00C37434">
                  <w:pPr>
                    <w:framePr w:hSpace="180" w:wrap="around" w:vAnchor="text" w:hAnchor="margin" w:xAlign="center" w:y="6"/>
                    <w:spacing w:before="120" w:after="120"/>
                    <w:rPr>
                      <w:rFonts w:cs="Arial"/>
                      <w:color w:val="00B050"/>
                      <w:sz w:val="20"/>
                      <w:szCs w:val="20"/>
                      <w:u w:val="single"/>
                    </w:rPr>
                  </w:pPr>
                  <w:r w:rsidRPr="007D2D48">
                    <w:rPr>
                      <w:rFonts w:cs="Arial"/>
                      <w:color w:val="00B050"/>
                      <w:sz w:val="20"/>
                      <w:szCs w:val="20"/>
                      <w:u w:val="single"/>
                    </w:rPr>
                    <w:t>332</w:t>
                  </w:r>
                </w:p>
              </w:tc>
              <w:tc>
                <w:tcPr>
                  <w:tcW w:w="2615" w:type="dxa"/>
                </w:tcPr>
                <w:p w14:paraId="70C7AB32" w14:textId="77777777" w:rsidR="002102BD" w:rsidRPr="007D2D48" w:rsidRDefault="002102BD" w:rsidP="00C37434">
                  <w:pPr>
                    <w:framePr w:hSpace="180" w:wrap="around" w:vAnchor="text" w:hAnchor="margin" w:xAlign="center" w:y="6"/>
                    <w:spacing w:before="120" w:after="120"/>
                    <w:rPr>
                      <w:rFonts w:cs="Arial"/>
                      <w:color w:val="00B050"/>
                      <w:sz w:val="20"/>
                      <w:szCs w:val="20"/>
                      <w:u w:val="single"/>
                    </w:rPr>
                  </w:pPr>
                  <w:r w:rsidRPr="007D2D48">
                    <w:rPr>
                      <w:rFonts w:cs="Arial"/>
                      <w:color w:val="00B050"/>
                      <w:sz w:val="20"/>
                      <w:szCs w:val="20"/>
                      <w:u w:val="single"/>
                    </w:rPr>
                    <w:t>Teprotumumab</w:t>
                  </w:r>
                </w:p>
              </w:tc>
              <w:tc>
                <w:tcPr>
                  <w:tcW w:w="2616" w:type="dxa"/>
                </w:tcPr>
                <w:p w14:paraId="36FF870A" w14:textId="77777777" w:rsidR="002102BD" w:rsidRPr="007D2D48" w:rsidRDefault="002102BD" w:rsidP="00C37434">
                  <w:pPr>
                    <w:framePr w:hSpace="180" w:wrap="around" w:vAnchor="text" w:hAnchor="margin" w:xAlign="center" w:y="6"/>
                    <w:spacing w:before="120" w:after="120"/>
                    <w:rPr>
                      <w:rFonts w:cs="Arial"/>
                      <w:color w:val="00B050"/>
                      <w:sz w:val="20"/>
                      <w:szCs w:val="20"/>
                      <w:u w:val="single"/>
                    </w:rPr>
                  </w:pPr>
                  <w:r w:rsidRPr="007D2D48">
                    <w:rPr>
                      <w:rFonts w:cs="Arial"/>
                      <w:color w:val="00B050"/>
                      <w:sz w:val="20"/>
                      <w:szCs w:val="20"/>
                      <w:u w:val="single"/>
                    </w:rPr>
                    <w:t>7, 62, 76, 110</w:t>
                  </w:r>
                </w:p>
              </w:tc>
            </w:tr>
          </w:tbl>
          <w:p w14:paraId="1298AA84" w14:textId="2E84CBF1" w:rsidR="002102BD" w:rsidRPr="007D2D48" w:rsidRDefault="002102BD" w:rsidP="00AB753C">
            <w:pPr>
              <w:spacing w:before="120" w:after="120"/>
              <w:rPr>
                <w:rStyle w:val="Strong"/>
                <w:rFonts w:cs="Arial"/>
                <w:color w:val="000000"/>
              </w:rPr>
            </w:pPr>
            <w:r w:rsidRPr="007D2D48">
              <w:rPr>
                <w:rStyle w:val="Strong"/>
                <w:rFonts w:cs="Arial"/>
                <w:color w:val="000000"/>
              </w:rPr>
              <w:t>Appendix L, clause 2 - New Entry</w:t>
            </w:r>
          </w:p>
          <w:tbl>
            <w:tblPr>
              <w:tblStyle w:val="TableGrid"/>
              <w:tblW w:w="0" w:type="auto"/>
              <w:tblLook w:val="04A0" w:firstRow="1" w:lastRow="0" w:firstColumn="1" w:lastColumn="0" w:noHBand="0" w:noVBand="1"/>
            </w:tblPr>
            <w:tblGrid>
              <w:gridCol w:w="2615"/>
              <w:gridCol w:w="2615"/>
              <w:gridCol w:w="2616"/>
            </w:tblGrid>
            <w:tr w:rsidR="002102BD" w:rsidRPr="007D2D48" w14:paraId="162A8DF3" w14:textId="77777777" w:rsidTr="002102BD">
              <w:tc>
                <w:tcPr>
                  <w:tcW w:w="2615" w:type="dxa"/>
                </w:tcPr>
                <w:p w14:paraId="04F65300" w14:textId="40EC727C" w:rsidR="002102BD" w:rsidRPr="007D2D48" w:rsidRDefault="002102BD" w:rsidP="00C37434">
                  <w:pPr>
                    <w:framePr w:hSpace="180" w:wrap="around" w:vAnchor="text" w:hAnchor="margin" w:xAlign="center" w:y="6"/>
                    <w:spacing w:before="120"/>
                    <w:rPr>
                      <w:rStyle w:val="Strong"/>
                      <w:rFonts w:cs="Arial"/>
                      <w:color w:val="000000"/>
                    </w:rPr>
                  </w:pPr>
                  <w:r w:rsidRPr="007D2D48">
                    <w:rPr>
                      <w:rFonts w:cs="Arial"/>
                      <w:b/>
                      <w:bCs/>
                      <w:color w:val="auto"/>
                      <w:szCs w:val="20"/>
                    </w:rPr>
                    <w:t>Item</w:t>
                  </w:r>
                </w:p>
              </w:tc>
              <w:tc>
                <w:tcPr>
                  <w:tcW w:w="2615" w:type="dxa"/>
                </w:tcPr>
                <w:p w14:paraId="71547BDE" w14:textId="77777777" w:rsidR="002102BD" w:rsidRPr="007D2D48" w:rsidRDefault="002102BD" w:rsidP="00C37434">
                  <w:pPr>
                    <w:framePr w:hSpace="180" w:wrap="around" w:vAnchor="text" w:hAnchor="margin" w:xAlign="center" w:y="6"/>
                    <w:spacing w:before="120"/>
                    <w:rPr>
                      <w:rFonts w:cs="Arial"/>
                      <w:b/>
                      <w:bCs/>
                      <w:color w:val="auto"/>
                      <w:szCs w:val="20"/>
                    </w:rPr>
                  </w:pPr>
                  <w:r w:rsidRPr="007D2D48">
                    <w:rPr>
                      <w:rFonts w:cs="Arial"/>
                      <w:b/>
                      <w:bCs/>
                      <w:color w:val="auto"/>
                      <w:szCs w:val="20"/>
                    </w:rPr>
                    <w:t>Column 1</w:t>
                  </w:r>
                </w:p>
                <w:p w14:paraId="78DAE33D" w14:textId="5120D667" w:rsidR="002102BD" w:rsidRPr="007D2D48" w:rsidRDefault="002102BD" w:rsidP="00C37434">
                  <w:pPr>
                    <w:framePr w:hSpace="180" w:wrap="around" w:vAnchor="text" w:hAnchor="margin" w:xAlign="center" w:y="6"/>
                    <w:spacing w:before="120"/>
                    <w:rPr>
                      <w:rStyle w:val="Strong"/>
                      <w:rFonts w:cs="Arial"/>
                      <w:color w:val="000000"/>
                    </w:rPr>
                  </w:pPr>
                  <w:r w:rsidRPr="007D2D48">
                    <w:rPr>
                      <w:rFonts w:cs="Arial"/>
                      <w:b/>
                      <w:bCs/>
                      <w:color w:val="auto"/>
                      <w:szCs w:val="20"/>
                    </w:rPr>
                    <w:t>Poison</w:t>
                  </w:r>
                </w:p>
              </w:tc>
              <w:tc>
                <w:tcPr>
                  <w:tcW w:w="2616" w:type="dxa"/>
                </w:tcPr>
                <w:p w14:paraId="01536A8C" w14:textId="77777777" w:rsidR="002102BD" w:rsidRPr="007D2D48" w:rsidRDefault="002102BD" w:rsidP="00C37434">
                  <w:pPr>
                    <w:framePr w:hSpace="180" w:wrap="around" w:vAnchor="text" w:hAnchor="margin" w:xAlign="center" w:y="6"/>
                    <w:spacing w:before="120"/>
                    <w:rPr>
                      <w:rFonts w:cs="Arial"/>
                      <w:b/>
                      <w:bCs/>
                      <w:color w:val="auto"/>
                      <w:szCs w:val="20"/>
                    </w:rPr>
                  </w:pPr>
                  <w:r w:rsidRPr="007D2D48">
                    <w:rPr>
                      <w:rFonts w:cs="Arial"/>
                      <w:b/>
                      <w:bCs/>
                      <w:color w:val="auto"/>
                      <w:szCs w:val="20"/>
                    </w:rPr>
                    <w:t>Column 2</w:t>
                  </w:r>
                </w:p>
                <w:p w14:paraId="004C9CDE" w14:textId="782B3A39" w:rsidR="002102BD" w:rsidRPr="007D2D48" w:rsidRDefault="002102BD" w:rsidP="00C37434">
                  <w:pPr>
                    <w:framePr w:hSpace="180" w:wrap="around" w:vAnchor="text" w:hAnchor="margin" w:xAlign="center" w:y="6"/>
                    <w:spacing w:before="120"/>
                    <w:rPr>
                      <w:rStyle w:val="Strong"/>
                      <w:rFonts w:cs="Arial"/>
                      <w:color w:val="000000"/>
                    </w:rPr>
                  </w:pPr>
                  <w:r w:rsidRPr="007D2D48">
                    <w:rPr>
                      <w:rFonts w:cs="Arial"/>
                      <w:b/>
                      <w:bCs/>
                      <w:color w:val="auto"/>
                      <w:szCs w:val="20"/>
                    </w:rPr>
                    <w:t>Warning statement item number</w:t>
                  </w:r>
                </w:p>
              </w:tc>
            </w:tr>
            <w:tr w:rsidR="002102BD" w14:paraId="6472B01A" w14:textId="77777777" w:rsidTr="002102BD">
              <w:tc>
                <w:tcPr>
                  <w:tcW w:w="2615" w:type="dxa"/>
                </w:tcPr>
                <w:p w14:paraId="79945793" w14:textId="627C877D" w:rsidR="002102BD" w:rsidRPr="002102BD" w:rsidRDefault="002102BD" w:rsidP="00C37434">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36</w:t>
                  </w:r>
                </w:p>
              </w:tc>
              <w:tc>
                <w:tcPr>
                  <w:tcW w:w="2615" w:type="dxa"/>
                </w:tcPr>
                <w:p w14:paraId="4AF0A8BB" w14:textId="1F4A4FE5" w:rsidR="002102BD" w:rsidRPr="002102BD" w:rsidRDefault="002102BD" w:rsidP="00C37434">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Teprotumumab</w:t>
                  </w:r>
                </w:p>
              </w:tc>
              <w:tc>
                <w:tcPr>
                  <w:tcW w:w="2616" w:type="dxa"/>
                </w:tcPr>
                <w:p w14:paraId="0D85E36E" w14:textId="781E37D6" w:rsidR="002102BD" w:rsidRPr="002102BD" w:rsidRDefault="002102BD" w:rsidP="00C37434">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7, 62, 76, 110</w:t>
                  </w:r>
                </w:p>
              </w:tc>
            </w:tr>
          </w:tbl>
          <w:p w14:paraId="01E8419F"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462A12EE" w14:textId="115E53FC" w:rsidR="0072009F" w:rsidRPr="00247188" w:rsidRDefault="00AB753C" w:rsidP="00AB753C">
            <w:pPr>
              <w:spacing w:before="120" w:after="120"/>
              <w:rPr>
                <w:rFonts w:cs="Arial"/>
                <w:b/>
                <w:bCs/>
                <w:color w:val="00B050"/>
                <w:sz w:val="20"/>
                <w:szCs w:val="20"/>
                <w:u w:val="single"/>
              </w:rPr>
            </w:pPr>
            <w:r w:rsidRPr="00AB753C">
              <w:rPr>
                <w:rFonts w:cs="Arial"/>
                <w:color w:val="00B050"/>
                <w:sz w:val="20"/>
                <w:szCs w:val="20"/>
                <w:u w:val="single"/>
              </w:rPr>
              <w:t>TEPROTUMUMAB</w:t>
            </w:r>
          </w:p>
          <w:p w14:paraId="2D52E83D" w14:textId="77777777" w:rsidR="0072009F" w:rsidRDefault="0072009F" w:rsidP="0092526F">
            <w:pPr>
              <w:spacing w:before="120" w:after="120"/>
              <w:rPr>
                <w:rFonts w:cs="Arial"/>
                <w:color w:val="00B050"/>
                <w:sz w:val="20"/>
                <w:szCs w:val="20"/>
                <w:u w:val="single"/>
              </w:rPr>
            </w:pPr>
            <w:r w:rsidRPr="00247188">
              <w:rPr>
                <w:rFonts w:cs="Arial"/>
                <w:color w:val="00B050"/>
                <w:sz w:val="20"/>
                <w:szCs w:val="20"/>
                <w:u w:val="single"/>
              </w:rPr>
              <w:t xml:space="preserve">Schedule </w:t>
            </w:r>
            <w:r>
              <w:rPr>
                <w:rFonts w:cs="Arial"/>
                <w:color w:val="00B050"/>
                <w:sz w:val="20"/>
                <w:szCs w:val="20"/>
                <w:u w:val="single"/>
              </w:rPr>
              <w:t>4</w:t>
            </w:r>
          </w:p>
          <w:p w14:paraId="62C9C06F" w14:textId="70E846CD" w:rsidR="002102BD" w:rsidRDefault="002102BD" w:rsidP="0092526F">
            <w:pPr>
              <w:spacing w:before="120" w:after="120"/>
              <w:rPr>
                <w:rFonts w:cs="Arial"/>
                <w:color w:val="00B050"/>
                <w:sz w:val="20"/>
                <w:szCs w:val="20"/>
                <w:u w:val="single"/>
              </w:rPr>
            </w:pPr>
            <w:r w:rsidRPr="002102BD">
              <w:rPr>
                <w:rFonts w:cs="Arial"/>
                <w:color w:val="00B050"/>
                <w:sz w:val="20"/>
                <w:szCs w:val="20"/>
                <w:u w:val="single"/>
              </w:rPr>
              <w:t>Appendix F, clause 4</w:t>
            </w:r>
          </w:p>
          <w:p w14:paraId="572507B5" w14:textId="19F11691" w:rsidR="002102BD" w:rsidRPr="002102BD" w:rsidRDefault="002102BD" w:rsidP="0092526F">
            <w:pPr>
              <w:spacing w:before="120" w:after="120"/>
              <w:rPr>
                <w:rFonts w:cs="Arial"/>
                <w:color w:val="00B050"/>
                <w:sz w:val="20"/>
                <w:szCs w:val="20"/>
                <w:u w:val="single"/>
              </w:rPr>
            </w:pPr>
            <w:r>
              <w:rPr>
                <w:rFonts w:cs="Arial"/>
                <w:color w:val="00B050"/>
                <w:sz w:val="20"/>
                <w:szCs w:val="20"/>
                <w:u w:val="single"/>
              </w:rPr>
              <w:t>Appendix L, clause 2</w:t>
            </w:r>
          </w:p>
        </w:tc>
      </w:tr>
    </w:tbl>
    <w:p w14:paraId="76A6B9FB" w14:textId="6B942F36" w:rsidR="00F57FDC" w:rsidRDefault="0072009F" w:rsidP="00F57FDC">
      <w:pPr>
        <w:pStyle w:val="Heading3"/>
        <w:spacing w:before="240" w:line="220" w:lineRule="atLeast"/>
      </w:pPr>
      <w:bookmarkStart w:id="64" w:name="_Toc198028618"/>
      <w:r>
        <w:t>TEZEPELUMAB</w:t>
      </w:r>
      <w:bookmarkEnd w:id="64"/>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28DE011C" w14:textId="77777777" w:rsidTr="0092526F">
        <w:tc>
          <w:tcPr>
            <w:tcW w:w="8072" w:type="dxa"/>
          </w:tcPr>
          <w:p w14:paraId="03B01C58"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163C04F5" w14:textId="7BE28EB1" w:rsidR="0072009F" w:rsidRPr="00247188" w:rsidRDefault="002102BD" w:rsidP="002102BD">
            <w:pPr>
              <w:spacing w:before="120" w:after="120"/>
              <w:rPr>
                <w:rFonts w:cs="Arial"/>
                <w:color w:val="00B050"/>
                <w:sz w:val="20"/>
                <w:szCs w:val="20"/>
                <w:u w:val="single"/>
              </w:rPr>
            </w:pPr>
            <w:r w:rsidRPr="002102BD">
              <w:rPr>
                <w:rFonts w:cs="Arial"/>
                <w:color w:val="00B050"/>
                <w:sz w:val="20"/>
                <w:szCs w:val="20"/>
                <w:u w:val="single"/>
              </w:rPr>
              <w:t>TEZEPELUMAB</w:t>
            </w:r>
          </w:p>
          <w:p w14:paraId="1796EC32"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13EFEEB1" w14:textId="4F7659DA" w:rsidR="0072009F" w:rsidRPr="00247188" w:rsidRDefault="002102BD" w:rsidP="002102BD">
            <w:pPr>
              <w:spacing w:before="120" w:after="120"/>
              <w:rPr>
                <w:rFonts w:cs="Arial"/>
                <w:b/>
                <w:bCs/>
                <w:color w:val="00B050"/>
                <w:sz w:val="20"/>
                <w:szCs w:val="20"/>
                <w:u w:val="single"/>
              </w:rPr>
            </w:pPr>
            <w:r w:rsidRPr="002102BD">
              <w:rPr>
                <w:rFonts w:cs="Arial"/>
                <w:color w:val="00B050"/>
                <w:sz w:val="20"/>
                <w:szCs w:val="20"/>
                <w:u w:val="single"/>
              </w:rPr>
              <w:t>TEZEPELUMAB</w:t>
            </w:r>
          </w:p>
          <w:p w14:paraId="76A4BC70" w14:textId="77777777" w:rsidR="0072009F" w:rsidRPr="00013BFF" w:rsidRDefault="0072009F" w:rsidP="0092526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202703BC" w14:textId="77777777" w:rsidR="007D2D48" w:rsidRDefault="007D2D48" w:rsidP="00F57FDC">
      <w:pPr>
        <w:pStyle w:val="Heading3"/>
        <w:spacing w:before="240" w:line="220" w:lineRule="atLeast"/>
      </w:pPr>
      <w:bookmarkStart w:id="65" w:name="_Toc198028619"/>
    </w:p>
    <w:p w14:paraId="57934673" w14:textId="77777777" w:rsidR="007D2D48" w:rsidRDefault="007D2D48">
      <w:pPr>
        <w:rPr>
          <w:rFonts w:eastAsia="Times New Roman" w:cs="Times New Roman"/>
          <w:b/>
          <w:bCs/>
          <w:color w:val="001871"/>
          <w:sz w:val="32"/>
          <w:szCs w:val="32"/>
        </w:rPr>
      </w:pPr>
      <w:r>
        <w:br w:type="page"/>
      </w:r>
    </w:p>
    <w:p w14:paraId="7539BF20" w14:textId="13C71592" w:rsidR="00F57FDC" w:rsidRDefault="0072009F" w:rsidP="00F57FDC">
      <w:pPr>
        <w:pStyle w:val="Heading3"/>
        <w:spacing w:before="240" w:line="220" w:lineRule="atLeast"/>
      </w:pPr>
      <w:r>
        <w:lastRenderedPageBreak/>
        <w:t>VELMANASE ALFA</w:t>
      </w:r>
      <w:bookmarkEnd w:id="65"/>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7C236426" w14:textId="77777777" w:rsidTr="0092526F">
        <w:tc>
          <w:tcPr>
            <w:tcW w:w="8072" w:type="dxa"/>
          </w:tcPr>
          <w:p w14:paraId="1255786B"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73F94FA0" w14:textId="5B14F62A" w:rsidR="0072009F" w:rsidRPr="00247188" w:rsidRDefault="002102BD" w:rsidP="002102BD">
            <w:pPr>
              <w:spacing w:before="120" w:after="120"/>
              <w:rPr>
                <w:rFonts w:cs="Arial"/>
                <w:color w:val="00B050"/>
                <w:sz w:val="20"/>
                <w:szCs w:val="20"/>
                <w:u w:val="single"/>
              </w:rPr>
            </w:pPr>
            <w:r w:rsidRPr="002102BD">
              <w:rPr>
                <w:rFonts w:cs="Arial"/>
                <w:color w:val="00B050"/>
                <w:sz w:val="20"/>
                <w:szCs w:val="20"/>
                <w:u w:val="single"/>
              </w:rPr>
              <w:t>VELMANASE ALFA</w:t>
            </w:r>
          </w:p>
          <w:p w14:paraId="3E709427"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7FF06CB6" w14:textId="5150D3D6" w:rsidR="0072009F" w:rsidRPr="00247188" w:rsidRDefault="002102BD" w:rsidP="002102BD">
            <w:pPr>
              <w:spacing w:before="120" w:after="120"/>
              <w:rPr>
                <w:rFonts w:cs="Arial"/>
                <w:b/>
                <w:bCs/>
                <w:color w:val="00B050"/>
                <w:sz w:val="20"/>
                <w:szCs w:val="20"/>
                <w:u w:val="single"/>
              </w:rPr>
            </w:pPr>
            <w:r w:rsidRPr="002102BD">
              <w:rPr>
                <w:rFonts w:cs="Arial"/>
                <w:color w:val="00B050"/>
                <w:sz w:val="20"/>
                <w:szCs w:val="20"/>
                <w:u w:val="single"/>
              </w:rPr>
              <w:t>VELMANASE ALFA</w:t>
            </w:r>
          </w:p>
          <w:p w14:paraId="45878C6F" w14:textId="77777777" w:rsidR="0072009F" w:rsidRPr="00013BFF" w:rsidRDefault="0072009F" w:rsidP="0092526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6B03F681" w14:textId="77777777" w:rsidR="0072009F" w:rsidRPr="0072009F" w:rsidRDefault="0072009F" w:rsidP="0072009F"/>
    <w:p w14:paraId="1C7DEDBF" w14:textId="4E953CA7" w:rsidR="00686CED" w:rsidRDefault="00686CED">
      <w:r>
        <w:br w:type="page"/>
      </w:r>
    </w:p>
    <w:p w14:paraId="2EB51584" w14:textId="77777777" w:rsidR="00686CED" w:rsidRPr="007D2D48" w:rsidRDefault="00686CED" w:rsidP="00686CED">
      <w:pPr>
        <w:pStyle w:val="Heading2"/>
        <w:pageBreakBefore/>
      </w:pPr>
      <w:bookmarkStart w:id="66" w:name="_Toc190165711"/>
      <w:r w:rsidRPr="007D2D48">
        <w:lastRenderedPageBreak/>
        <w:t>Version history</w:t>
      </w:r>
      <w:bookmarkEnd w:id="66"/>
    </w:p>
    <w:tbl>
      <w:tblPr>
        <w:tblStyle w:val="TableGrid"/>
        <w:tblW w:w="0" w:type="auto"/>
        <w:tblLook w:val="04A0" w:firstRow="1" w:lastRow="0" w:firstColumn="1" w:lastColumn="0" w:noHBand="0" w:noVBand="1"/>
      </w:tblPr>
      <w:tblGrid>
        <w:gridCol w:w="1838"/>
        <w:gridCol w:w="1985"/>
        <w:gridCol w:w="5237"/>
      </w:tblGrid>
      <w:tr w:rsidR="00686CED" w:rsidRPr="007D2D48" w14:paraId="7055DB55" w14:textId="77777777" w:rsidTr="0002144D">
        <w:tc>
          <w:tcPr>
            <w:tcW w:w="1838" w:type="dxa"/>
          </w:tcPr>
          <w:p w14:paraId="74073A9F" w14:textId="77777777" w:rsidR="00686CED" w:rsidRPr="007D2D48" w:rsidRDefault="00686CED" w:rsidP="0002144D">
            <w:pPr>
              <w:rPr>
                <w:b/>
                <w:bCs/>
              </w:rPr>
            </w:pPr>
            <w:r w:rsidRPr="007D2D48">
              <w:rPr>
                <w:b/>
                <w:bCs/>
              </w:rPr>
              <w:t>Version</w:t>
            </w:r>
          </w:p>
        </w:tc>
        <w:tc>
          <w:tcPr>
            <w:tcW w:w="1985" w:type="dxa"/>
          </w:tcPr>
          <w:p w14:paraId="5460E583" w14:textId="77777777" w:rsidR="00686CED" w:rsidRPr="007D2D48" w:rsidRDefault="00686CED" w:rsidP="0002144D">
            <w:pPr>
              <w:rPr>
                <w:b/>
                <w:bCs/>
              </w:rPr>
            </w:pPr>
            <w:r w:rsidRPr="007D2D48">
              <w:rPr>
                <w:b/>
                <w:bCs/>
              </w:rPr>
              <w:t xml:space="preserve">Date </w:t>
            </w:r>
          </w:p>
        </w:tc>
        <w:tc>
          <w:tcPr>
            <w:tcW w:w="5237" w:type="dxa"/>
          </w:tcPr>
          <w:p w14:paraId="2451C741" w14:textId="77777777" w:rsidR="00686CED" w:rsidRPr="007D2D48" w:rsidRDefault="00686CED" w:rsidP="0002144D">
            <w:pPr>
              <w:rPr>
                <w:b/>
                <w:bCs/>
              </w:rPr>
            </w:pPr>
            <w:r w:rsidRPr="007D2D48">
              <w:rPr>
                <w:b/>
                <w:bCs/>
              </w:rPr>
              <w:t>Description of changes</w:t>
            </w:r>
          </w:p>
        </w:tc>
      </w:tr>
      <w:tr w:rsidR="00686CED" w:rsidRPr="007D2D48" w14:paraId="45A5593D" w14:textId="77777777" w:rsidTr="0002144D">
        <w:tc>
          <w:tcPr>
            <w:tcW w:w="1838" w:type="dxa"/>
          </w:tcPr>
          <w:p w14:paraId="28CC3A1A" w14:textId="77777777" w:rsidR="00686CED" w:rsidRPr="007D2D48" w:rsidRDefault="00686CED" w:rsidP="0002144D">
            <w:r w:rsidRPr="007D2D48">
              <w:t>1.0</w:t>
            </w:r>
          </w:p>
        </w:tc>
        <w:tc>
          <w:tcPr>
            <w:tcW w:w="1985" w:type="dxa"/>
          </w:tcPr>
          <w:p w14:paraId="3DDDB26A" w14:textId="43B46DDD" w:rsidR="00686CED" w:rsidRPr="007D2D48" w:rsidRDefault="00686CED" w:rsidP="0002144D">
            <w:r w:rsidRPr="007D2D48">
              <w:t>19 May 2025</w:t>
            </w:r>
          </w:p>
        </w:tc>
        <w:tc>
          <w:tcPr>
            <w:tcW w:w="5237" w:type="dxa"/>
          </w:tcPr>
          <w:p w14:paraId="7D126478" w14:textId="77777777" w:rsidR="00686CED" w:rsidRPr="007D2D48" w:rsidRDefault="00686CED" w:rsidP="0002144D">
            <w:r w:rsidRPr="007D2D48">
              <w:t>Original document</w:t>
            </w:r>
          </w:p>
        </w:tc>
      </w:tr>
      <w:tr w:rsidR="00686CED" w14:paraId="6F9E6A71" w14:textId="77777777" w:rsidTr="0002144D">
        <w:tc>
          <w:tcPr>
            <w:tcW w:w="1838" w:type="dxa"/>
          </w:tcPr>
          <w:p w14:paraId="735D468F" w14:textId="77777777" w:rsidR="00686CED" w:rsidRPr="007D2D48" w:rsidRDefault="00686CED" w:rsidP="0002144D">
            <w:r w:rsidRPr="007D2D48">
              <w:t>2.0</w:t>
            </w:r>
          </w:p>
        </w:tc>
        <w:tc>
          <w:tcPr>
            <w:tcW w:w="1985" w:type="dxa"/>
          </w:tcPr>
          <w:p w14:paraId="5C68CE23" w14:textId="29BBE129" w:rsidR="00686CED" w:rsidRPr="007D2D48" w:rsidRDefault="00C94C83" w:rsidP="0002144D">
            <w:r w:rsidRPr="007D2D48">
              <w:t>23</w:t>
            </w:r>
            <w:r w:rsidR="002C7C4F" w:rsidRPr="007D2D48">
              <w:t xml:space="preserve"> June </w:t>
            </w:r>
            <w:r w:rsidR="00686CED" w:rsidRPr="007D2D48">
              <w:t>2025</w:t>
            </w:r>
          </w:p>
        </w:tc>
        <w:tc>
          <w:tcPr>
            <w:tcW w:w="5237" w:type="dxa"/>
          </w:tcPr>
          <w:p w14:paraId="455BD8F1" w14:textId="5686EC54" w:rsidR="00686CED" w:rsidRPr="00CC0649" w:rsidRDefault="00686CED" w:rsidP="002C7C4F">
            <w:r w:rsidRPr="007D2D48">
              <w:t xml:space="preserve">On p. </w:t>
            </w:r>
            <w:r w:rsidR="002C7C4F" w:rsidRPr="007D2D48">
              <w:t xml:space="preserve">20, the </w:t>
            </w:r>
            <w:r w:rsidR="006A3A21" w:rsidRPr="007D2D48">
              <w:t>amendment of NCEs in relation to DATOPOTAMAB DERUXTECAN was incorrectly shown as VELMANASE ALFA and now has been corrected.</w:t>
            </w:r>
          </w:p>
        </w:tc>
      </w:tr>
    </w:tbl>
    <w:p w14:paraId="4E44A790" w14:textId="77777777" w:rsidR="00686CED" w:rsidRPr="00EE2006" w:rsidRDefault="00686CED" w:rsidP="00EE2006">
      <w:pPr>
        <w:tabs>
          <w:tab w:val="left" w:pos="811"/>
        </w:tabs>
        <w:sectPr w:rsidR="00686CED" w:rsidRPr="00EE2006" w:rsidSect="008C6CF9">
          <w:headerReference w:type="default" r:id="rId31"/>
          <w:footerReference w:type="default" r:id="rId32"/>
          <w:pgSz w:w="11906" w:h="16838" w:code="9"/>
          <w:pgMar w:top="1418" w:right="1418" w:bottom="1843"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39763B05" w:rsidR="00F02AEC" w:rsidRPr="005E3E9A" w:rsidRDefault="00F02AEC" w:rsidP="00300CBB">
            <w:pPr>
              <w:pStyle w:val="Address"/>
              <w:jc w:val="center"/>
              <w:rPr>
                <w:color w:val="auto"/>
                <w:sz w:val="22"/>
              </w:rPr>
            </w:pPr>
            <w:r w:rsidRPr="005E3E9A">
              <w:rPr>
                <w:color w:val="auto"/>
              </w:rPr>
              <w:t>Email</w:t>
            </w:r>
            <w:r w:rsidRPr="00215D48">
              <w:t xml:space="preserve">: </w:t>
            </w:r>
            <w:hyperlink r:id="rId33" w:history="1">
              <w:r w:rsidRPr="00215D48">
                <w:rPr>
                  <w:rStyle w:val="Hyperlink"/>
                </w:rPr>
                <w:t>info@tga.gov.au</w:t>
              </w:r>
            </w:hyperlink>
            <w:r w:rsidRPr="00215D48">
              <w:t xml:space="preserve">  </w:t>
            </w:r>
            <w:r w:rsidRPr="005E3E9A">
              <w:rPr>
                <w:color w:val="auto"/>
              </w:rPr>
              <w:t>Phone: 1800 020 653 Fax: 02 6203 1605</w:t>
            </w:r>
          </w:p>
          <w:p w14:paraId="49F7061A" w14:textId="77777777" w:rsidR="00F02AEC" w:rsidRPr="00215D48" w:rsidRDefault="00F02AEC" w:rsidP="00300CBB">
            <w:pPr>
              <w:pStyle w:val="Address"/>
              <w:jc w:val="center"/>
              <w:rPr>
                <w:rStyle w:val="Hyperlink"/>
                <w:b/>
                <w:color w:val="auto"/>
                <w:sz w:val="22"/>
              </w:rPr>
            </w:pPr>
            <w:hyperlink r:id="rId34"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4B4802" w:rsidRDefault="004B4802" w:rsidP="00967490"/>
    <w:sectPr w:rsidR="004B4802" w:rsidSect="00AE7C6A">
      <w:headerReference w:type="first" r:id="rId35"/>
      <w:footerReference w:type="first" r:id="rId3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32CB" w14:textId="77777777" w:rsidR="008F5BB7" w:rsidRDefault="008F5BB7" w:rsidP="00967490">
      <w:r>
        <w:separator/>
      </w:r>
    </w:p>
    <w:p w14:paraId="09DB895D" w14:textId="77777777" w:rsidR="008F5BB7" w:rsidRDefault="008F5BB7" w:rsidP="00967490"/>
    <w:p w14:paraId="463172C0" w14:textId="77777777" w:rsidR="008F5BB7" w:rsidRDefault="008F5BB7" w:rsidP="00967490"/>
  </w:endnote>
  <w:endnote w:type="continuationSeparator" w:id="0">
    <w:p w14:paraId="5417C92C" w14:textId="77777777" w:rsidR="008F5BB7" w:rsidRDefault="008F5BB7" w:rsidP="00967490">
      <w:r>
        <w:continuationSeparator/>
      </w:r>
    </w:p>
    <w:p w14:paraId="2F8D795F" w14:textId="77777777" w:rsidR="008F5BB7" w:rsidRDefault="008F5BB7" w:rsidP="00967490"/>
    <w:p w14:paraId="617609ED" w14:textId="77777777" w:rsidR="008F5BB7" w:rsidRDefault="008F5BB7"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701884E1" w14:textId="4C146B36" w:rsidR="00557AF7" w:rsidRDefault="00557AF7" w:rsidP="00557AF7">
          <w:pPr>
            <w:ind w:left="-110"/>
            <w:rPr>
              <w:rFonts w:asciiTheme="minorHAnsi" w:hAnsiTheme="minorHAnsi" w:cstheme="minorHAnsi"/>
              <w:sz w:val="18"/>
              <w:szCs w:val="18"/>
            </w:rPr>
          </w:pPr>
          <w:r w:rsidRPr="00557AF7">
            <w:rPr>
              <w:rFonts w:asciiTheme="minorHAnsi" w:hAnsiTheme="minorHAnsi" w:cstheme="minorHAnsi"/>
              <w:sz w:val="18"/>
              <w:szCs w:val="18"/>
            </w:rPr>
            <w:t>Notice of final decisions to amend (or not amend) the current Poisons Standar</w:t>
          </w:r>
          <w:r>
            <w:rPr>
              <w:rFonts w:asciiTheme="minorHAnsi" w:hAnsiTheme="minorHAnsi" w:cstheme="minorHAnsi"/>
              <w:sz w:val="18"/>
              <w:szCs w:val="18"/>
            </w:rPr>
            <w:t xml:space="preserve">d – </w:t>
          </w:r>
          <w:r w:rsidR="00E21AC7">
            <w:rPr>
              <w:rFonts w:asciiTheme="minorHAnsi" w:hAnsiTheme="minorHAnsi" w:cstheme="minorHAnsi"/>
              <w:sz w:val="18"/>
              <w:szCs w:val="18"/>
            </w:rPr>
            <w:t>May</w:t>
          </w:r>
          <w:r w:rsidR="00CE580A">
            <w:rPr>
              <w:rFonts w:asciiTheme="minorHAnsi" w:hAnsiTheme="minorHAnsi" w:cstheme="minorHAnsi"/>
              <w:sz w:val="18"/>
              <w:szCs w:val="18"/>
            </w:rPr>
            <w:t xml:space="preserve"> 202</w:t>
          </w:r>
          <w:r w:rsidR="00E21AC7">
            <w:rPr>
              <w:rFonts w:asciiTheme="minorHAnsi" w:hAnsiTheme="minorHAnsi" w:cstheme="minorHAnsi"/>
              <w:sz w:val="18"/>
              <w:szCs w:val="18"/>
            </w:rPr>
            <w:t>5</w:t>
          </w:r>
        </w:p>
        <w:p w14:paraId="13CB60D5" w14:textId="78BA43F1" w:rsidR="00C94C83" w:rsidRDefault="00C94C83" w:rsidP="00557AF7">
          <w:pPr>
            <w:ind w:left="-110"/>
            <w:rPr>
              <w:rFonts w:asciiTheme="minorHAnsi" w:hAnsiTheme="minorHAnsi" w:cstheme="minorHAnsi"/>
              <w:sz w:val="18"/>
              <w:szCs w:val="18"/>
            </w:rPr>
          </w:pPr>
          <w:r>
            <w:rPr>
              <w:rFonts w:asciiTheme="minorHAnsi" w:hAnsiTheme="minorHAnsi" w:cstheme="minorHAnsi"/>
              <w:sz w:val="18"/>
              <w:szCs w:val="18"/>
            </w:rPr>
            <w:t>Version 2.0 June 2025</w:t>
          </w:r>
        </w:p>
        <w:p w14:paraId="5FF3321B" w14:textId="4D1EAA95" w:rsidR="00CE580A" w:rsidRPr="00DE78C9" w:rsidRDefault="00CE580A" w:rsidP="00557AF7">
          <w:pPr>
            <w:ind w:left="-110"/>
            <w:rPr>
              <w:rFonts w:asciiTheme="minorHAnsi" w:hAnsiTheme="minorHAnsi" w:cstheme="minorHAnsi"/>
              <w:sz w:val="18"/>
              <w:szCs w:val="18"/>
            </w:rPr>
          </w:pP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3AA6B05E" w14:textId="77777777" w:rsidR="004B4802" w:rsidRDefault="004B48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77777777"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8340" w14:textId="77777777" w:rsidR="008F5BB7" w:rsidRDefault="008F5BB7" w:rsidP="00967490">
      <w:r>
        <w:separator/>
      </w:r>
    </w:p>
  </w:footnote>
  <w:footnote w:type="continuationSeparator" w:id="0">
    <w:p w14:paraId="12318B71" w14:textId="77777777" w:rsidR="008F5BB7" w:rsidRDefault="008F5BB7" w:rsidP="00967490">
      <w:r>
        <w:continuationSeparator/>
      </w:r>
    </w:p>
    <w:p w14:paraId="11BF1E62" w14:textId="77777777" w:rsidR="008F5BB7" w:rsidRDefault="008F5BB7" w:rsidP="00967490"/>
    <w:p w14:paraId="6BFD4F25" w14:textId="77777777" w:rsidR="008F5BB7" w:rsidRDefault="008F5BB7" w:rsidP="00967490"/>
  </w:footnote>
  <w:footnote w:id="1">
    <w:p w14:paraId="799494EA" w14:textId="7CE74680"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52D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(Cth).</w:t>
      </w:r>
    </w:p>
  </w:footnote>
  <w:footnote w:id="2">
    <w:p w14:paraId="691CDBBB" w14:textId="77777777" w:rsidR="00972C89" w:rsidRDefault="00972C89" w:rsidP="00972C8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3">
    <w:p w14:paraId="3293B473" w14:textId="77777777" w:rsidR="00B60949" w:rsidRPr="00967490" w:rsidRDefault="00B60949" w:rsidP="00B60949">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(Cth).</w:t>
      </w:r>
    </w:p>
  </w:footnote>
  <w:footnote w:id="4">
    <w:p w14:paraId="5F9F35A9" w14:textId="77777777" w:rsidR="00180E3B" w:rsidRDefault="00180E3B" w:rsidP="00180E3B">
      <w:pPr>
        <w:pStyle w:val="FootnoteText"/>
      </w:pPr>
      <w:r>
        <w:rPr>
          <w:rStyle w:val="FootnoteReference"/>
        </w:rPr>
        <w:footnoteRef/>
      </w:r>
      <w:r>
        <w:t xml:space="preserve"> </w:t>
      </w:r>
      <w:r w:rsidRPr="00C15918">
        <w:t xml:space="preserve">Mendling W, Holzgreve W. Astodrimer sodium and bacterial vaginosis: a mini review. Arch Gynecol Obstet. 2022 Jul;306(1):101-108. doi: </w:t>
      </w:r>
      <w:hyperlink r:id="rId1" w:history="1">
        <w:r w:rsidRPr="00C15918">
          <w:rPr>
            <w:rStyle w:val="Hyperlink"/>
          </w:rPr>
          <w:t>10.1007/s00404-022-06429-z</w:t>
        </w:r>
      </w:hyperlink>
      <w:r w:rsidRPr="00C15918">
        <w:t>.</w:t>
      </w:r>
    </w:p>
  </w:footnote>
  <w:footnote w:id="5">
    <w:p w14:paraId="79DA83BC" w14:textId="77777777" w:rsidR="00180E3B" w:rsidRDefault="00180E3B" w:rsidP="00180E3B">
      <w:pPr>
        <w:pStyle w:val="FootnoteText"/>
      </w:pPr>
      <w:r>
        <w:rPr>
          <w:rStyle w:val="FootnoteReference"/>
        </w:rPr>
        <w:footnoteRef/>
      </w:r>
      <w:r>
        <w:t xml:space="preserve"> </w:t>
      </w:r>
      <w:hyperlink r:id="rId2" w:history="1">
        <w:r w:rsidRPr="00C15918">
          <w:rPr>
            <w:rStyle w:val="Hyperlink"/>
          </w:rPr>
          <w:t>Bacterial vaginosis</w:t>
        </w:r>
      </w:hyperlink>
      <w:r>
        <w:t>. HealthDirect. The Australian Government Department of Health and Aged Care.</w:t>
      </w:r>
    </w:p>
  </w:footnote>
  <w:footnote w:id="6">
    <w:p w14:paraId="3537AE6E" w14:textId="77777777" w:rsidR="00266D38" w:rsidRPr="001203D1" w:rsidRDefault="00266D38" w:rsidP="00266D38">
      <w:pPr>
        <w:pStyle w:val="FootnoteText"/>
        <w:rPr>
          <w:rFonts w:asciiTheme="minorHAnsi" w:hAnsiTheme="minorHAnsi" w:cstheme="minorHAnsi"/>
          <w:sz w:val="18"/>
          <w:szCs w:val="18"/>
        </w:rPr>
      </w:pPr>
      <w:r w:rsidRPr="00D45C7D">
        <w:rPr>
          <w:rStyle w:val="FootnoteReference"/>
          <w:rFonts w:cs="Arial"/>
          <w:sz w:val="18"/>
          <w:szCs w:val="18"/>
        </w:rPr>
        <w:footnoteRef/>
      </w:r>
      <w:r w:rsidRPr="001203D1">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7">
    <w:p w14:paraId="459A3AC9" w14:textId="77777777" w:rsidR="001C3380" w:rsidRPr="00D45C7D" w:rsidRDefault="001C3380" w:rsidP="001C3380">
      <w:pPr>
        <w:pStyle w:val="FootnoteText"/>
        <w:rPr>
          <w:rFonts w:cs="Arial"/>
          <w:sz w:val="18"/>
          <w:szCs w:val="18"/>
        </w:rPr>
      </w:pPr>
      <w:r w:rsidRPr="00D45C7D">
        <w:rPr>
          <w:rStyle w:val="FootnoteReference"/>
          <w:rFonts w:cs="Arial"/>
          <w:sz w:val="18"/>
          <w:szCs w:val="18"/>
        </w:rPr>
        <w:footnoteRef/>
      </w:r>
      <w:r w:rsidRPr="00D45C7D">
        <w:rPr>
          <w:rFonts w:cs="Arial"/>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59406DE7" w14:textId="0AAA8062" w:rsidR="004927BA" w:rsidRDefault="004927BA">
      <w:pPr>
        <w:pStyle w:val="FootnoteText"/>
      </w:pPr>
      <w:r>
        <w:rPr>
          <w:rStyle w:val="FootnoteReference"/>
        </w:rPr>
        <w:footnoteRef/>
      </w:r>
      <w:r>
        <w:t xml:space="preserve"> </w:t>
      </w:r>
      <w:r w:rsidR="008D58E1" w:rsidRPr="008D58E1">
        <w:t>Gordon C. Hard, Marcy I. Banton, Robert S. Bretzlaff, Wolfgang Dekant, Jefferson R. Fowles, Anthony K. Mallett, Douglas B. McGregor, Kathleen M. Roberts, Robert L. Sielken, Ciriaco Valdez-Flores, Samuel M. Cohen, Consideration of Rat Chronic Progressive Nephropathy in Regulatory Evaluations for Carcinogenicity, </w:t>
      </w:r>
      <w:r w:rsidR="008D58E1" w:rsidRPr="008D58E1">
        <w:rPr>
          <w:i/>
          <w:iCs/>
        </w:rPr>
        <w:t>Toxicological Sciences</w:t>
      </w:r>
      <w:r w:rsidR="008D58E1" w:rsidRPr="008D58E1">
        <w:t>, Volume 132, Issue 2, April 2013, Pages 268–275</w:t>
      </w:r>
      <w:r w:rsidR="008D58E1">
        <w:t>. DOI:</w:t>
      </w:r>
      <w:r w:rsidR="008D58E1" w:rsidRPr="008D58E1">
        <w:t> </w:t>
      </w:r>
      <w:hyperlink r:id="rId3" w:history="1">
        <w:r w:rsidR="008D58E1" w:rsidRPr="008D58E1">
          <w:rPr>
            <w:rStyle w:val="Hyperlink"/>
          </w:rPr>
          <w:t>https://doi.org/10.1093/toxsci/kfs305</w:t>
        </w:r>
      </w:hyperlink>
    </w:p>
  </w:footnote>
  <w:footnote w:id="9">
    <w:p w14:paraId="40E72FB7" w14:textId="77777777" w:rsidR="009C0FC3" w:rsidRDefault="009C0FC3" w:rsidP="009C0FC3">
      <w:pPr>
        <w:pStyle w:val="FootnoteText"/>
        <w:rPr>
          <w:rStyle w:val="Hyperlink"/>
        </w:rPr>
      </w:pPr>
      <w:r>
        <w:rPr>
          <w:rStyle w:val="FootnoteReference"/>
        </w:rPr>
        <w:footnoteRef/>
      </w:r>
      <w:r>
        <w:t xml:space="preserve"> </w:t>
      </w:r>
      <w:r w:rsidRPr="00736F79">
        <w:t>European Food Safety Authority, 2009. Conclusion regarding the peer review of the pesticide risk assessment of the active substance folpet. </w:t>
      </w:r>
      <w:r w:rsidRPr="00736F79">
        <w:rPr>
          <w:i/>
          <w:iCs/>
        </w:rPr>
        <w:t>EFSA Journal</w:t>
      </w:r>
      <w:r w:rsidRPr="00736F79">
        <w:t> 2009; 7(8):RN-297, 80 pp. doi:</w:t>
      </w:r>
      <w:hyperlink r:id="rId4" w:tgtFrame="_blank" w:tooltip="Link to external resource: 10.2903/j.efsa.2009.297r" w:history="1">
        <w:r w:rsidRPr="00736F79">
          <w:rPr>
            <w:rStyle w:val="Hyperlink"/>
          </w:rPr>
          <w:t>10.2903/j.efsa.2009.297r</w:t>
        </w:r>
      </w:hyperlink>
    </w:p>
  </w:footnote>
  <w:footnote w:id="10">
    <w:p w14:paraId="001E52A8" w14:textId="77777777" w:rsidR="009C0FC3" w:rsidRDefault="009C0FC3" w:rsidP="009C0FC3">
      <w:pPr>
        <w:pStyle w:val="FootnoteText"/>
        <w:rPr>
          <w:rStyle w:val="Hyperlink"/>
        </w:rPr>
      </w:pPr>
      <w:r>
        <w:rPr>
          <w:rStyle w:val="FootnoteReference"/>
        </w:rPr>
        <w:footnoteRef/>
      </w:r>
      <w:r>
        <w:t xml:space="preserve"> </w:t>
      </w:r>
      <w:r w:rsidRPr="009F58E7">
        <w:t>EFSA (European Food Safety Authority), Álvarez, F., Arena, M., Auteri, D., Leite, S. B., Binaglia, M., Castoldi, A. F., Chiusolo, A., Cioca, A.-A., Colagiorgi, A., Colas, M., Crivellente, F., De Lentdecker, C., De Magistris, I., Egsmose, M., Fait, G., Ferilli, F., Gouliarmou, V., Halling, K., … Villamar-Bouza, L. (2023). Peer review of the pesticide risk assessment of the active substance folpet. </w:t>
      </w:r>
      <w:r w:rsidRPr="009F58E7">
        <w:rPr>
          <w:i/>
          <w:iCs/>
        </w:rPr>
        <w:t>EFSA Journal,</w:t>
      </w:r>
      <w:r w:rsidRPr="009F58E7">
        <w:t> 21(8), 1–32. </w:t>
      </w:r>
      <w:hyperlink r:id="rId5" w:history="1">
        <w:r w:rsidRPr="009F58E7">
          <w:rPr>
            <w:rStyle w:val="Hyperlink"/>
          </w:rPr>
          <w:t>https://doi.org/10.2903/j.efsa.2023.8139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428903361" name="Picture 142890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41430748" name="Picture 4143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10EEB2AD" w14:textId="77777777" w:rsidR="00870254" w:rsidRDefault="008702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77777777"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44EA2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CDC77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F24A1D"/>
    <w:multiLevelType w:val="hybridMultilevel"/>
    <w:tmpl w:val="95C2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8F771A6"/>
    <w:multiLevelType w:val="multilevel"/>
    <w:tmpl w:val="605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FC2B36"/>
    <w:multiLevelType w:val="hybridMultilevel"/>
    <w:tmpl w:val="3474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C3326"/>
    <w:multiLevelType w:val="hybridMultilevel"/>
    <w:tmpl w:val="0C2A2B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4D838A1"/>
    <w:multiLevelType w:val="hybridMultilevel"/>
    <w:tmpl w:val="405675F8"/>
    <w:lvl w:ilvl="0" w:tplc="91B677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924211"/>
    <w:multiLevelType w:val="hybridMultilevel"/>
    <w:tmpl w:val="FBF6AE7C"/>
    <w:lvl w:ilvl="0" w:tplc="6748B47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4560A7"/>
    <w:multiLevelType w:val="hybridMultilevel"/>
    <w:tmpl w:val="59CE893A"/>
    <w:lvl w:ilvl="0" w:tplc="219A6C40">
      <w:start w:val="1"/>
      <w:numFmt w:val="bullet"/>
      <w:lvlText w:val=""/>
      <w:lvlJc w:val="left"/>
      <w:pPr>
        <w:ind w:left="720" w:hanging="360"/>
      </w:pPr>
      <w:rPr>
        <w:rFonts w:ascii="Symbol" w:hAnsi="Symbol"/>
      </w:rPr>
    </w:lvl>
    <w:lvl w:ilvl="1" w:tplc="36A47D1C">
      <w:start w:val="1"/>
      <w:numFmt w:val="bullet"/>
      <w:lvlText w:val=""/>
      <w:lvlJc w:val="left"/>
      <w:pPr>
        <w:ind w:left="720" w:hanging="360"/>
      </w:pPr>
      <w:rPr>
        <w:rFonts w:ascii="Symbol" w:hAnsi="Symbol"/>
      </w:rPr>
    </w:lvl>
    <w:lvl w:ilvl="2" w:tplc="FA60FD58">
      <w:start w:val="1"/>
      <w:numFmt w:val="bullet"/>
      <w:lvlText w:val=""/>
      <w:lvlJc w:val="left"/>
      <w:pPr>
        <w:ind w:left="720" w:hanging="360"/>
      </w:pPr>
      <w:rPr>
        <w:rFonts w:ascii="Symbol" w:hAnsi="Symbol"/>
      </w:rPr>
    </w:lvl>
    <w:lvl w:ilvl="3" w:tplc="CA7CAEBC">
      <w:start w:val="1"/>
      <w:numFmt w:val="bullet"/>
      <w:lvlText w:val=""/>
      <w:lvlJc w:val="left"/>
      <w:pPr>
        <w:ind w:left="720" w:hanging="360"/>
      </w:pPr>
      <w:rPr>
        <w:rFonts w:ascii="Symbol" w:hAnsi="Symbol"/>
      </w:rPr>
    </w:lvl>
    <w:lvl w:ilvl="4" w:tplc="16FADF2A">
      <w:start w:val="1"/>
      <w:numFmt w:val="bullet"/>
      <w:lvlText w:val=""/>
      <w:lvlJc w:val="left"/>
      <w:pPr>
        <w:ind w:left="720" w:hanging="360"/>
      </w:pPr>
      <w:rPr>
        <w:rFonts w:ascii="Symbol" w:hAnsi="Symbol"/>
      </w:rPr>
    </w:lvl>
    <w:lvl w:ilvl="5" w:tplc="F664E246">
      <w:start w:val="1"/>
      <w:numFmt w:val="bullet"/>
      <w:lvlText w:val=""/>
      <w:lvlJc w:val="left"/>
      <w:pPr>
        <w:ind w:left="720" w:hanging="360"/>
      </w:pPr>
      <w:rPr>
        <w:rFonts w:ascii="Symbol" w:hAnsi="Symbol"/>
      </w:rPr>
    </w:lvl>
    <w:lvl w:ilvl="6" w:tplc="4210DFEC">
      <w:start w:val="1"/>
      <w:numFmt w:val="bullet"/>
      <w:lvlText w:val=""/>
      <w:lvlJc w:val="left"/>
      <w:pPr>
        <w:ind w:left="720" w:hanging="360"/>
      </w:pPr>
      <w:rPr>
        <w:rFonts w:ascii="Symbol" w:hAnsi="Symbol"/>
      </w:rPr>
    </w:lvl>
    <w:lvl w:ilvl="7" w:tplc="E3B64238">
      <w:start w:val="1"/>
      <w:numFmt w:val="bullet"/>
      <w:lvlText w:val=""/>
      <w:lvlJc w:val="left"/>
      <w:pPr>
        <w:ind w:left="720" w:hanging="360"/>
      </w:pPr>
      <w:rPr>
        <w:rFonts w:ascii="Symbol" w:hAnsi="Symbol"/>
      </w:rPr>
    </w:lvl>
    <w:lvl w:ilvl="8" w:tplc="EDFEC5B6">
      <w:start w:val="1"/>
      <w:numFmt w:val="bullet"/>
      <w:lvlText w:val=""/>
      <w:lvlJc w:val="left"/>
      <w:pPr>
        <w:ind w:left="720" w:hanging="360"/>
      </w:pPr>
      <w:rPr>
        <w:rFonts w:ascii="Symbol" w:hAnsi="Symbol"/>
      </w:rPr>
    </w:lvl>
  </w:abstractNum>
  <w:abstractNum w:abstractNumId="16" w15:restartNumberingAfterBreak="0">
    <w:nsid w:val="4C1058C4"/>
    <w:multiLevelType w:val="hybridMultilevel"/>
    <w:tmpl w:val="ACA00536"/>
    <w:lvl w:ilvl="0" w:tplc="91B6772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EBB2E90"/>
    <w:multiLevelType w:val="hybridMultilevel"/>
    <w:tmpl w:val="B7E45DF4"/>
    <w:lvl w:ilvl="0" w:tplc="FFFFFFFF">
      <w:start w:val="1"/>
      <w:numFmt w:val="lowerLetter"/>
      <w:lvlText w:val="(%1)"/>
      <w:lvlJc w:val="left"/>
      <w:pPr>
        <w:ind w:left="1429" w:hanging="360"/>
      </w:pPr>
      <w:rPr>
        <w:rFonts w:ascii="Arial" w:eastAsiaTheme="minorHAnsi" w:hAnsi="Arial" w:cstheme="minorBidi" w:hint="default"/>
      </w:rPr>
    </w:lvl>
    <w:lvl w:ilvl="1" w:tplc="95C89DF8">
      <w:start w:val="1"/>
      <w:numFmt w:val="lowerRoman"/>
      <w:lvlText w:val="(%2)"/>
      <w:lvlJc w:val="left"/>
      <w:pPr>
        <w:ind w:left="191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500351ED"/>
    <w:multiLevelType w:val="hybridMultilevel"/>
    <w:tmpl w:val="A32A1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995581"/>
    <w:multiLevelType w:val="hybridMultilevel"/>
    <w:tmpl w:val="B1860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2E8630A"/>
    <w:multiLevelType w:val="multilevel"/>
    <w:tmpl w:val="A1F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239F4"/>
    <w:multiLevelType w:val="hybridMultilevel"/>
    <w:tmpl w:val="2E82A58C"/>
    <w:lvl w:ilvl="0" w:tplc="82AA357A">
      <w:start w:val="1"/>
      <w:numFmt w:val="upperLetter"/>
      <w:lvlText w:val="%1)"/>
      <w:lvlJc w:val="left"/>
      <w:pPr>
        <w:ind w:left="1020" w:hanging="360"/>
      </w:pPr>
    </w:lvl>
    <w:lvl w:ilvl="1" w:tplc="0F56DB78">
      <w:start w:val="1"/>
      <w:numFmt w:val="upperLetter"/>
      <w:lvlText w:val="%2)"/>
      <w:lvlJc w:val="left"/>
      <w:pPr>
        <w:ind w:left="1020" w:hanging="360"/>
      </w:pPr>
    </w:lvl>
    <w:lvl w:ilvl="2" w:tplc="03F631B0">
      <w:start w:val="1"/>
      <w:numFmt w:val="upperLetter"/>
      <w:lvlText w:val="%3)"/>
      <w:lvlJc w:val="left"/>
      <w:pPr>
        <w:ind w:left="1020" w:hanging="360"/>
      </w:pPr>
    </w:lvl>
    <w:lvl w:ilvl="3" w:tplc="93720EE6">
      <w:start w:val="1"/>
      <w:numFmt w:val="upperLetter"/>
      <w:lvlText w:val="%4)"/>
      <w:lvlJc w:val="left"/>
      <w:pPr>
        <w:ind w:left="1020" w:hanging="360"/>
      </w:pPr>
    </w:lvl>
    <w:lvl w:ilvl="4" w:tplc="E8AA7EEE">
      <w:start w:val="1"/>
      <w:numFmt w:val="upperLetter"/>
      <w:lvlText w:val="%5)"/>
      <w:lvlJc w:val="left"/>
      <w:pPr>
        <w:ind w:left="1020" w:hanging="360"/>
      </w:pPr>
    </w:lvl>
    <w:lvl w:ilvl="5" w:tplc="CF9076DA">
      <w:start w:val="1"/>
      <w:numFmt w:val="upperLetter"/>
      <w:lvlText w:val="%6)"/>
      <w:lvlJc w:val="left"/>
      <w:pPr>
        <w:ind w:left="1020" w:hanging="360"/>
      </w:pPr>
    </w:lvl>
    <w:lvl w:ilvl="6" w:tplc="27729EB2">
      <w:start w:val="1"/>
      <w:numFmt w:val="upperLetter"/>
      <w:lvlText w:val="%7)"/>
      <w:lvlJc w:val="left"/>
      <w:pPr>
        <w:ind w:left="1020" w:hanging="360"/>
      </w:pPr>
    </w:lvl>
    <w:lvl w:ilvl="7" w:tplc="7FA45CA4">
      <w:start w:val="1"/>
      <w:numFmt w:val="upperLetter"/>
      <w:lvlText w:val="%8)"/>
      <w:lvlJc w:val="left"/>
      <w:pPr>
        <w:ind w:left="1020" w:hanging="360"/>
      </w:pPr>
    </w:lvl>
    <w:lvl w:ilvl="8" w:tplc="6B9EFEC2">
      <w:start w:val="1"/>
      <w:numFmt w:val="upperLetter"/>
      <w:lvlText w:val="%9)"/>
      <w:lvlJc w:val="left"/>
      <w:pPr>
        <w:ind w:left="1020" w:hanging="360"/>
      </w:pPr>
    </w:lvl>
  </w:abstractNum>
  <w:abstractNum w:abstractNumId="24" w15:restartNumberingAfterBreak="0">
    <w:nsid w:val="616C4119"/>
    <w:multiLevelType w:val="hybridMultilevel"/>
    <w:tmpl w:val="32B26098"/>
    <w:lvl w:ilvl="0" w:tplc="32680A86">
      <w:start w:val="1"/>
      <w:numFmt w:val="lowerLetter"/>
      <w:lvlText w:val="%1)"/>
      <w:lvlJc w:val="left"/>
      <w:pPr>
        <w:ind w:left="1020" w:hanging="360"/>
      </w:pPr>
    </w:lvl>
    <w:lvl w:ilvl="1" w:tplc="0FF485D6">
      <w:start w:val="1"/>
      <w:numFmt w:val="lowerLetter"/>
      <w:lvlText w:val="%2)"/>
      <w:lvlJc w:val="left"/>
      <w:pPr>
        <w:ind w:left="1020" w:hanging="360"/>
      </w:pPr>
    </w:lvl>
    <w:lvl w:ilvl="2" w:tplc="000ABD2C">
      <w:start w:val="1"/>
      <w:numFmt w:val="lowerLetter"/>
      <w:lvlText w:val="%3)"/>
      <w:lvlJc w:val="left"/>
      <w:pPr>
        <w:ind w:left="1020" w:hanging="360"/>
      </w:pPr>
    </w:lvl>
    <w:lvl w:ilvl="3" w:tplc="E25A570E">
      <w:start w:val="1"/>
      <w:numFmt w:val="lowerLetter"/>
      <w:lvlText w:val="%4)"/>
      <w:lvlJc w:val="left"/>
      <w:pPr>
        <w:ind w:left="1020" w:hanging="360"/>
      </w:pPr>
    </w:lvl>
    <w:lvl w:ilvl="4" w:tplc="382409D2">
      <w:start w:val="1"/>
      <w:numFmt w:val="lowerLetter"/>
      <w:lvlText w:val="%5)"/>
      <w:lvlJc w:val="left"/>
      <w:pPr>
        <w:ind w:left="1020" w:hanging="360"/>
      </w:pPr>
    </w:lvl>
    <w:lvl w:ilvl="5" w:tplc="2320F0B0">
      <w:start w:val="1"/>
      <w:numFmt w:val="lowerLetter"/>
      <w:lvlText w:val="%6)"/>
      <w:lvlJc w:val="left"/>
      <w:pPr>
        <w:ind w:left="1020" w:hanging="360"/>
      </w:pPr>
    </w:lvl>
    <w:lvl w:ilvl="6" w:tplc="4E047BD2">
      <w:start w:val="1"/>
      <w:numFmt w:val="lowerLetter"/>
      <w:lvlText w:val="%7)"/>
      <w:lvlJc w:val="left"/>
      <w:pPr>
        <w:ind w:left="1020" w:hanging="360"/>
      </w:pPr>
    </w:lvl>
    <w:lvl w:ilvl="7" w:tplc="94EE11BE">
      <w:start w:val="1"/>
      <w:numFmt w:val="lowerLetter"/>
      <w:lvlText w:val="%8)"/>
      <w:lvlJc w:val="left"/>
      <w:pPr>
        <w:ind w:left="1020" w:hanging="360"/>
      </w:pPr>
    </w:lvl>
    <w:lvl w:ilvl="8" w:tplc="EA020C4E">
      <w:start w:val="1"/>
      <w:numFmt w:val="lowerLetter"/>
      <w:lvlText w:val="%9)"/>
      <w:lvlJc w:val="left"/>
      <w:pPr>
        <w:ind w:left="1020" w:hanging="360"/>
      </w:pPr>
    </w:lvl>
  </w:abstractNum>
  <w:abstractNum w:abstractNumId="25" w15:restartNumberingAfterBreak="0">
    <w:nsid w:val="67AD19E4"/>
    <w:multiLevelType w:val="hybridMultilevel"/>
    <w:tmpl w:val="44664D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79C12510"/>
    <w:multiLevelType w:val="hybridMultilevel"/>
    <w:tmpl w:val="2A8CBA44"/>
    <w:lvl w:ilvl="0" w:tplc="7008410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0653A2"/>
    <w:multiLevelType w:val="hybridMultilevel"/>
    <w:tmpl w:val="7814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5"/>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3"/>
  </w:num>
  <w:num w:numId="3" w16cid:durableId="1248614696">
    <w:abstractNumId w:val="4"/>
  </w:num>
  <w:num w:numId="4" w16cid:durableId="297951965">
    <w:abstractNumId w:val="20"/>
  </w:num>
  <w:num w:numId="5" w16cid:durableId="1535191726">
    <w:abstractNumId w:val="11"/>
  </w:num>
  <w:num w:numId="6" w16cid:durableId="224069918">
    <w:abstractNumId w:val="18"/>
  </w:num>
  <w:num w:numId="7" w16cid:durableId="1150249122">
    <w:abstractNumId w:val="8"/>
  </w:num>
  <w:num w:numId="8" w16cid:durableId="233053789">
    <w:abstractNumId w:val="1"/>
  </w:num>
  <w:num w:numId="9" w16cid:durableId="1393187700">
    <w:abstractNumId w:val="0"/>
  </w:num>
  <w:num w:numId="10" w16cid:durableId="91820601">
    <w:abstractNumId w:val="5"/>
  </w:num>
  <w:num w:numId="11" w16cid:durableId="1223715709">
    <w:abstractNumId w:val="28"/>
  </w:num>
  <w:num w:numId="12" w16cid:durableId="284118181">
    <w:abstractNumId w:val="13"/>
  </w:num>
  <w:num w:numId="13" w16cid:durableId="65491580">
    <w:abstractNumId w:val="13"/>
    <w:lvlOverride w:ilvl="0">
      <w:startOverride w:val="1"/>
    </w:lvlOverride>
  </w:num>
  <w:num w:numId="14" w16cid:durableId="478496800">
    <w:abstractNumId w:val="26"/>
  </w:num>
  <w:num w:numId="15" w16cid:durableId="1951473459">
    <w:abstractNumId w:val="25"/>
  </w:num>
  <w:num w:numId="16" w16cid:durableId="409738082">
    <w:abstractNumId w:val="27"/>
  </w:num>
  <w:num w:numId="17" w16cid:durableId="1253704649">
    <w:abstractNumId w:val="17"/>
  </w:num>
  <w:num w:numId="18" w16cid:durableId="1702510677">
    <w:abstractNumId w:val="21"/>
  </w:num>
  <w:num w:numId="19" w16cid:durableId="430591781">
    <w:abstractNumId w:val="2"/>
  </w:num>
  <w:num w:numId="20" w16cid:durableId="1060520906">
    <w:abstractNumId w:val="19"/>
  </w:num>
  <w:num w:numId="21" w16cid:durableId="1694768760">
    <w:abstractNumId w:val="9"/>
  </w:num>
  <w:num w:numId="22" w16cid:durableId="2071878291">
    <w:abstractNumId w:val="29"/>
  </w:num>
  <w:num w:numId="23" w16cid:durableId="165481811">
    <w:abstractNumId w:val="23"/>
  </w:num>
  <w:num w:numId="24" w16cid:durableId="726995479">
    <w:abstractNumId w:val="12"/>
  </w:num>
  <w:num w:numId="25" w16cid:durableId="829443525">
    <w:abstractNumId w:val="16"/>
  </w:num>
  <w:num w:numId="26" w16cid:durableId="1648128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7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466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626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286621">
    <w:abstractNumId w:val="7"/>
  </w:num>
  <w:num w:numId="31" w16cid:durableId="348146139">
    <w:abstractNumId w:val="10"/>
  </w:num>
  <w:num w:numId="32" w16cid:durableId="2012171257">
    <w:abstractNumId w:val="14"/>
  </w:num>
  <w:num w:numId="33" w16cid:durableId="191234374">
    <w:abstractNumId w:val="28"/>
  </w:num>
  <w:num w:numId="34" w16cid:durableId="2103135633">
    <w:abstractNumId w:val="28"/>
  </w:num>
  <w:num w:numId="35" w16cid:durableId="1097601086">
    <w:abstractNumId w:val="28"/>
  </w:num>
  <w:num w:numId="36" w16cid:durableId="780338939">
    <w:abstractNumId w:val="24"/>
  </w:num>
  <w:num w:numId="37" w16cid:durableId="298534091">
    <w:abstractNumId w:val="22"/>
  </w:num>
  <w:num w:numId="38" w16cid:durableId="836768100">
    <w:abstractNumId w:val="6"/>
  </w:num>
  <w:num w:numId="39" w16cid:durableId="1045527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2094"/>
    <w:rsid w:val="00002B8F"/>
    <w:rsid w:val="00005BD3"/>
    <w:rsid w:val="00005CE2"/>
    <w:rsid w:val="0000665B"/>
    <w:rsid w:val="00006B75"/>
    <w:rsid w:val="00007A50"/>
    <w:rsid w:val="000127F9"/>
    <w:rsid w:val="00014258"/>
    <w:rsid w:val="00022FCF"/>
    <w:rsid w:val="00033CE0"/>
    <w:rsid w:val="000434C1"/>
    <w:rsid w:val="0004645C"/>
    <w:rsid w:val="00052BE5"/>
    <w:rsid w:val="00052FC5"/>
    <w:rsid w:val="000546FE"/>
    <w:rsid w:val="00061F9D"/>
    <w:rsid w:val="00064106"/>
    <w:rsid w:val="00064108"/>
    <w:rsid w:val="000644B9"/>
    <w:rsid w:val="00064D72"/>
    <w:rsid w:val="0007452D"/>
    <w:rsid w:val="000827B0"/>
    <w:rsid w:val="00082AEF"/>
    <w:rsid w:val="00084016"/>
    <w:rsid w:val="0008505E"/>
    <w:rsid w:val="00094B81"/>
    <w:rsid w:val="00095A50"/>
    <w:rsid w:val="00096CDC"/>
    <w:rsid w:val="00097B49"/>
    <w:rsid w:val="000A139A"/>
    <w:rsid w:val="000A194B"/>
    <w:rsid w:val="000A23DB"/>
    <w:rsid w:val="000A5B3C"/>
    <w:rsid w:val="000B1F7B"/>
    <w:rsid w:val="000B5636"/>
    <w:rsid w:val="000B6480"/>
    <w:rsid w:val="000C0B57"/>
    <w:rsid w:val="000C3A5C"/>
    <w:rsid w:val="000C3B71"/>
    <w:rsid w:val="000C5CCA"/>
    <w:rsid w:val="000C7171"/>
    <w:rsid w:val="000D17D8"/>
    <w:rsid w:val="000D3369"/>
    <w:rsid w:val="000D7942"/>
    <w:rsid w:val="000E1750"/>
    <w:rsid w:val="000E205B"/>
    <w:rsid w:val="000E4DEF"/>
    <w:rsid w:val="000F1B26"/>
    <w:rsid w:val="000F30C6"/>
    <w:rsid w:val="000F338A"/>
    <w:rsid w:val="000F5861"/>
    <w:rsid w:val="000F6D1C"/>
    <w:rsid w:val="000F6F7E"/>
    <w:rsid w:val="000F7C3D"/>
    <w:rsid w:val="0010231F"/>
    <w:rsid w:val="00102721"/>
    <w:rsid w:val="0010395C"/>
    <w:rsid w:val="00103BE6"/>
    <w:rsid w:val="00110FBB"/>
    <w:rsid w:val="00111F57"/>
    <w:rsid w:val="0011279A"/>
    <w:rsid w:val="001130A1"/>
    <w:rsid w:val="001146CB"/>
    <w:rsid w:val="0011579F"/>
    <w:rsid w:val="001172AE"/>
    <w:rsid w:val="0012473C"/>
    <w:rsid w:val="00126769"/>
    <w:rsid w:val="00131235"/>
    <w:rsid w:val="00132410"/>
    <w:rsid w:val="00134EF7"/>
    <w:rsid w:val="001408F6"/>
    <w:rsid w:val="00143081"/>
    <w:rsid w:val="00152308"/>
    <w:rsid w:val="00152321"/>
    <w:rsid w:val="00153582"/>
    <w:rsid w:val="00154359"/>
    <w:rsid w:val="00155533"/>
    <w:rsid w:val="00161403"/>
    <w:rsid w:val="00165900"/>
    <w:rsid w:val="00166A6F"/>
    <w:rsid w:val="001670DC"/>
    <w:rsid w:val="00167F44"/>
    <w:rsid w:val="001703D6"/>
    <w:rsid w:val="001749D2"/>
    <w:rsid w:val="00175CD8"/>
    <w:rsid w:val="0017784B"/>
    <w:rsid w:val="00180E3B"/>
    <w:rsid w:val="00186B9E"/>
    <w:rsid w:val="00187A87"/>
    <w:rsid w:val="00196949"/>
    <w:rsid w:val="00196A59"/>
    <w:rsid w:val="00197DA2"/>
    <w:rsid w:val="001A16E8"/>
    <w:rsid w:val="001A531C"/>
    <w:rsid w:val="001B3397"/>
    <w:rsid w:val="001B70A7"/>
    <w:rsid w:val="001C23E5"/>
    <w:rsid w:val="001C3380"/>
    <w:rsid w:val="001C52BB"/>
    <w:rsid w:val="001C52E4"/>
    <w:rsid w:val="001D4C7E"/>
    <w:rsid w:val="001E074B"/>
    <w:rsid w:val="001E089E"/>
    <w:rsid w:val="001E1474"/>
    <w:rsid w:val="001E43B0"/>
    <w:rsid w:val="001E6CD4"/>
    <w:rsid w:val="001F00CB"/>
    <w:rsid w:val="001F3290"/>
    <w:rsid w:val="00202F19"/>
    <w:rsid w:val="00204043"/>
    <w:rsid w:val="002050E4"/>
    <w:rsid w:val="00206027"/>
    <w:rsid w:val="002102BD"/>
    <w:rsid w:val="00212F39"/>
    <w:rsid w:val="00220506"/>
    <w:rsid w:val="00224B63"/>
    <w:rsid w:val="00230E2E"/>
    <w:rsid w:val="00235FD2"/>
    <w:rsid w:val="002410E9"/>
    <w:rsid w:val="00241B50"/>
    <w:rsid w:val="00247188"/>
    <w:rsid w:val="0025010F"/>
    <w:rsid w:val="00250EB2"/>
    <w:rsid w:val="002608C4"/>
    <w:rsid w:val="00263C10"/>
    <w:rsid w:val="00266D38"/>
    <w:rsid w:val="0027487C"/>
    <w:rsid w:val="00274EEB"/>
    <w:rsid w:val="0027775B"/>
    <w:rsid w:val="00280BB3"/>
    <w:rsid w:val="002829AC"/>
    <w:rsid w:val="00286E51"/>
    <w:rsid w:val="00290514"/>
    <w:rsid w:val="00290CD9"/>
    <w:rsid w:val="002935D0"/>
    <w:rsid w:val="002940FF"/>
    <w:rsid w:val="00294976"/>
    <w:rsid w:val="0029622B"/>
    <w:rsid w:val="00296E82"/>
    <w:rsid w:val="0029784A"/>
    <w:rsid w:val="002A1420"/>
    <w:rsid w:val="002A371E"/>
    <w:rsid w:val="002A49F1"/>
    <w:rsid w:val="002A4C54"/>
    <w:rsid w:val="002A6CC9"/>
    <w:rsid w:val="002A6DF7"/>
    <w:rsid w:val="002A6F8F"/>
    <w:rsid w:val="002B1BF7"/>
    <w:rsid w:val="002B1E3C"/>
    <w:rsid w:val="002B34CB"/>
    <w:rsid w:val="002B5C5B"/>
    <w:rsid w:val="002C1A21"/>
    <w:rsid w:val="002C3736"/>
    <w:rsid w:val="002C7C4F"/>
    <w:rsid w:val="002D10B2"/>
    <w:rsid w:val="002D4856"/>
    <w:rsid w:val="002E14A0"/>
    <w:rsid w:val="002F4F8E"/>
    <w:rsid w:val="002F591F"/>
    <w:rsid w:val="003008D8"/>
    <w:rsid w:val="00300CBB"/>
    <w:rsid w:val="003109D6"/>
    <w:rsid w:val="003120CD"/>
    <w:rsid w:val="00314C23"/>
    <w:rsid w:val="0032153F"/>
    <w:rsid w:val="00321B93"/>
    <w:rsid w:val="003231C8"/>
    <w:rsid w:val="003232CB"/>
    <w:rsid w:val="003263E6"/>
    <w:rsid w:val="0033384F"/>
    <w:rsid w:val="00335320"/>
    <w:rsid w:val="00335538"/>
    <w:rsid w:val="00345304"/>
    <w:rsid w:val="0035444D"/>
    <w:rsid w:val="00354E9F"/>
    <w:rsid w:val="003566D3"/>
    <w:rsid w:val="00361624"/>
    <w:rsid w:val="0036241A"/>
    <w:rsid w:val="00362FE7"/>
    <w:rsid w:val="00363B67"/>
    <w:rsid w:val="00374380"/>
    <w:rsid w:val="00374CBE"/>
    <w:rsid w:val="00386AF2"/>
    <w:rsid w:val="003872D1"/>
    <w:rsid w:val="0039143F"/>
    <w:rsid w:val="003924D4"/>
    <w:rsid w:val="003961D6"/>
    <w:rsid w:val="003A1B6F"/>
    <w:rsid w:val="003A2039"/>
    <w:rsid w:val="003A2831"/>
    <w:rsid w:val="003A461B"/>
    <w:rsid w:val="003A709A"/>
    <w:rsid w:val="003B4235"/>
    <w:rsid w:val="003B622C"/>
    <w:rsid w:val="003B6C24"/>
    <w:rsid w:val="003C1B12"/>
    <w:rsid w:val="003C3C33"/>
    <w:rsid w:val="003C4DA5"/>
    <w:rsid w:val="003C7456"/>
    <w:rsid w:val="003C7F4C"/>
    <w:rsid w:val="003D036E"/>
    <w:rsid w:val="003D44B0"/>
    <w:rsid w:val="003E55CF"/>
    <w:rsid w:val="003E7102"/>
    <w:rsid w:val="003F293E"/>
    <w:rsid w:val="003F2E57"/>
    <w:rsid w:val="003F4036"/>
    <w:rsid w:val="003F5E43"/>
    <w:rsid w:val="003F7B79"/>
    <w:rsid w:val="00402895"/>
    <w:rsid w:val="00413311"/>
    <w:rsid w:val="00413744"/>
    <w:rsid w:val="0041539A"/>
    <w:rsid w:val="00416F79"/>
    <w:rsid w:val="00420433"/>
    <w:rsid w:val="00424477"/>
    <w:rsid w:val="004246B8"/>
    <w:rsid w:val="00425A50"/>
    <w:rsid w:val="004260D5"/>
    <w:rsid w:val="0042652F"/>
    <w:rsid w:val="004320AC"/>
    <w:rsid w:val="00435E0B"/>
    <w:rsid w:val="0043718E"/>
    <w:rsid w:val="00437E58"/>
    <w:rsid w:val="00440D56"/>
    <w:rsid w:val="004429A5"/>
    <w:rsid w:val="00443404"/>
    <w:rsid w:val="004450B9"/>
    <w:rsid w:val="0045381C"/>
    <w:rsid w:val="004544B1"/>
    <w:rsid w:val="00454694"/>
    <w:rsid w:val="00457050"/>
    <w:rsid w:val="0046072C"/>
    <w:rsid w:val="004666D1"/>
    <w:rsid w:val="004728CC"/>
    <w:rsid w:val="004814FF"/>
    <w:rsid w:val="00487A39"/>
    <w:rsid w:val="004927BA"/>
    <w:rsid w:val="004A41D9"/>
    <w:rsid w:val="004A4270"/>
    <w:rsid w:val="004A787E"/>
    <w:rsid w:val="004B2B51"/>
    <w:rsid w:val="004B4802"/>
    <w:rsid w:val="004B58A3"/>
    <w:rsid w:val="004B6ADF"/>
    <w:rsid w:val="004B7498"/>
    <w:rsid w:val="004C1363"/>
    <w:rsid w:val="004C1DFF"/>
    <w:rsid w:val="004C434F"/>
    <w:rsid w:val="004C719A"/>
    <w:rsid w:val="004D06D7"/>
    <w:rsid w:val="004D232B"/>
    <w:rsid w:val="004D2E4E"/>
    <w:rsid w:val="004D3FF8"/>
    <w:rsid w:val="004D7346"/>
    <w:rsid w:val="004E3E16"/>
    <w:rsid w:val="004E7DB4"/>
    <w:rsid w:val="004F49AD"/>
    <w:rsid w:val="004F585E"/>
    <w:rsid w:val="00501903"/>
    <w:rsid w:val="00502188"/>
    <w:rsid w:val="00512E8A"/>
    <w:rsid w:val="0051421A"/>
    <w:rsid w:val="005236FA"/>
    <w:rsid w:val="00524638"/>
    <w:rsid w:val="00524BB0"/>
    <w:rsid w:val="005316E3"/>
    <w:rsid w:val="00532A0F"/>
    <w:rsid w:val="00535DCE"/>
    <w:rsid w:val="00540ABB"/>
    <w:rsid w:val="0054258B"/>
    <w:rsid w:val="005426BC"/>
    <w:rsid w:val="00543F1A"/>
    <w:rsid w:val="00553705"/>
    <w:rsid w:val="00557AF7"/>
    <w:rsid w:val="005601D2"/>
    <w:rsid w:val="00566FB7"/>
    <w:rsid w:val="00576352"/>
    <w:rsid w:val="00576409"/>
    <w:rsid w:val="00577563"/>
    <w:rsid w:val="00581BB9"/>
    <w:rsid w:val="0058575E"/>
    <w:rsid w:val="0058651C"/>
    <w:rsid w:val="00590CB3"/>
    <w:rsid w:val="00591A30"/>
    <w:rsid w:val="00591B8B"/>
    <w:rsid w:val="005951C6"/>
    <w:rsid w:val="00596CA3"/>
    <w:rsid w:val="005978BA"/>
    <w:rsid w:val="005A142F"/>
    <w:rsid w:val="005A1B5A"/>
    <w:rsid w:val="005A3C87"/>
    <w:rsid w:val="005A51B0"/>
    <w:rsid w:val="005A5C2A"/>
    <w:rsid w:val="005B1C6F"/>
    <w:rsid w:val="005B3EC4"/>
    <w:rsid w:val="005B6937"/>
    <w:rsid w:val="005B7A98"/>
    <w:rsid w:val="005B7FA0"/>
    <w:rsid w:val="005C65E7"/>
    <w:rsid w:val="005C6AFD"/>
    <w:rsid w:val="005D1558"/>
    <w:rsid w:val="005E3E9A"/>
    <w:rsid w:val="005E53F6"/>
    <w:rsid w:val="00600BBC"/>
    <w:rsid w:val="006034F8"/>
    <w:rsid w:val="00603B07"/>
    <w:rsid w:val="006069CA"/>
    <w:rsid w:val="00607C44"/>
    <w:rsid w:val="006119D9"/>
    <w:rsid w:val="00613263"/>
    <w:rsid w:val="00615E49"/>
    <w:rsid w:val="00616016"/>
    <w:rsid w:val="00643B54"/>
    <w:rsid w:val="006514F7"/>
    <w:rsid w:val="00653E82"/>
    <w:rsid w:val="00664E91"/>
    <w:rsid w:val="006713DD"/>
    <w:rsid w:val="00671D81"/>
    <w:rsid w:val="00674C15"/>
    <w:rsid w:val="0067613C"/>
    <w:rsid w:val="0067632D"/>
    <w:rsid w:val="0067698A"/>
    <w:rsid w:val="00684381"/>
    <w:rsid w:val="00686CED"/>
    <w:rsid w:val="006926FB"/>
    <w:rsid w:val="006962DF"/>
    <w:rsid w:val="006976B8"/>
    <w:rsid w:val="006A1F0B"/>
    <w:rsid w:val="006A3A21"/>
    <w:rsid w:val="006B1C10"/>
    <w:rsid w:val="006B4707"/>
    <w:rsid w:val="006B58CD"/>
    <w:rsid w:val="006C1D61"/>
    <w:rsid w:val="006C30A5"/>
    <w:rsid w:val="006C4A65"/>
    <w:rsid w:val="006C4B06"/>
    <w:rsid w:val="006C7200"/>
    <w:rsid w:val="006D0733"/>
    <w:rsid w:val="006D3FE9"/>
    <w:rsid w:val="006D419F"/>
    <w:rsid w:val="006E5F4C"/>
    <w:rsid w:val="006F115E"/>
    <w:rsid w:val="006F18D1"/>
    <w:rsid w:val="006F49F0"/>
    <w:rsid w:val="006F6F29"/>
    <w:rsid w:val="00701F92"/>
    <w:rsid w:val="00704A6D"/>
    <w:rsid w:val="00706696"/>
    <w:rsid w:val="00706C82"/>
    <w:rsid w:val="007107E2"/>
    <w:rsid w:val="00711546"/>
    <w:rsid w:val="00711853"/>
    <w:rsid w:val="00712931"/>
    <w:rsid w:val="007165B1"/>
    <w:rsid w:val="0072009F"/>
    <w:rsid w:val="00720587"/>
    <w:rsid w:val="00722E1A"/>
    <w:rsid w:val="007232A5"/>
    <w:rsid w:val="0072344E"/>
    <w:rsid w:val="00731F5A"/>
    <w:rsid w:val="0073706D"/>
    <w:rsid w:val="00746990"/>
    <w:rsid w:val="0075008A"/>
    <w:rsid w:val="0075124E"/>
    <w:rsid w:val="00756100"/>
    <w:rsid w:val="00756EB0"/>
    <w:rsid w:val="00757E6A"/>
    <w:rsid w:val="00761375"/>
    <w:rsid w:val="00762848"/>
    <w:rsid w:val="00762E10"/>
    <w:rsid w:val="0076373C"/>
    <w:rsid w:val="0077314C"/>
    <w:rsid w:val="00773B4C"/>
    <w:rsid w:val="0077764E"/>
    <w:rsid w:val="00782458"/>
    <w:rsid w:val="007829DD"/>
    <w:rsid w:val="00786240"/>
    <w:rsid w:val="00787AE1"/>
    <w:rsid w:val="007909E2"/>
    <w:rsid w:val="00793056"/>
    <w:rsid w:val="00795D95"/>
    <w:rsid w:val="007A0076"/>
    <w:rsid w:val="007A19DC"/>
    <w:rsid w:val="007A2E0B"/>
    <w:rsid w:val="007A3539"/>
    <w:rsid w:val="007A3857"/>
    <w:rsid w:val="007A78F1"/>
    <w:rsid w:val="007B0ED9"/>
    <w:rsid w:val="007B28CA"/>
    <w:rsid w:val="007B5758"/>
    <w:rsid w:val="007B7970"/>
    <w:rsid w:val="007D2158"/>
    <w:rsid w:val="007D2D48"/>
    <w:rsid w:val="007E2597"/>
    <w:rsid w:val="007E60F6"/>
    <w:rsid w:val="007E61EF"/>
    <w:rsid w:val="007F0A77"/>
    <w:rsid w:val="007F0E87"/>
    <w:rsid w:val="007F28F9"/>
    <w:rsid w:val="007F2DE3"/>
    <w:rsid w:val="008015EE"/>
    <w:rsid w:val="00811206"/>
    <w:rsid w:val="008117C8"/>
    <w:rsid w:val="008134A3"/>
    <w:rsid w:val="008248BD"/>
    <w:rsid w:val="00831B56"/>
    <w:rsid w:val="008329DB"/>
    <w:rsid w:val="00833ECC"/>
    <w:rsid w:val="008358B5"/>
    <w:rsid w:val="0084211F"/>
    <w:rsid w:val="0085753D"/>
    <w:rsid w:val="00861670"/>
    <w:rsid w:val="00870173"/>
    <w:rsid w:val="00870254"/>
    <w:rsid w:val="00870BB0"/>
    <w:rsid w:val="00874773"/>
    <w:rsid w:val="008764CD"/>
    <w:rsid w:val="00877A7A"/>
    <w:rsid w:val="00885218"/>
    <w:rsid w:val="00887A3B"/>
    <w:rsid w:val="008921D5"/>
    <w:rsid w:val="00894493"/>
    <w:rsid w:val="008946C3"/>
    <w:rsid w:val="0089508D"/>
    <w:rsid w:val="008A4A5C"/>
    <w:rsid w:val="008B1BB5"/>
    <w:rsid w:val="008B28D0"/>
    <w:rsid w:val="008B7BA6"/>
    <w:rsid w:val="008C06FD"/>
    <w:rsid w:val="008C116A"/>
    <w:rsid w:val="008C68E9"/>
    <w:rsid w:val="008C6CF9"/>
    <w:rsid w:val="008D1FEB"/>
    <w:rsid w:val="008D25F1"/>
    <w:rsid w:val="008D3C40"/>
    <w:rsid w:val="008D4F95"/>
    <w:rsid w:val="008D58E1"/>
    <w:rsid w:val="008D6261"/>
    <w:rsid w:val="008E0C10"/>
    <w:rsid w:val="008E67F4"/>
    <w:rsid w:val="008F23EE"/>
    <w:rsid w:val="008F2EF1"/>
    <w:rsid w:val="008F4413"/>
    <w:rsid w:val="008F5087"/>
    <w:rsid w:val="008F5BB7"/>
    <w:rsid w:val="00902003"/>
    <w:rsid w:val="00903C7F"/>
    <w:rsid w:val="00903CBD"/>
    <w:rsid w:val="00904A80"/>
    <w:rsid w:val="00914DFD"/>
    <w:rsid w:val="0091663D"/>
    <w:rsid w:val="00916B35"/>
    <w:rsid w:val="00917E33"/>
    <w:rsid w:val="00921DCE"/>
    <w:rsid w:val="009225D3"/>
    <w:rsid w:val="00923B14"/>
    <w:rsid w:val="00923EFF"/>
    <w:rsid w:val="00930D58"/>
    <w:rsid w:val="00931A63"/>
    <w:rsid w:val="00932395"/>
    <w:rsid w:val="009338F3"/>
    <w:rsid w:val="00934FDF"/>
    <w:rsid w:val="0093723C"/>
    <w:rsid w:val="009377F2"/>
    <w:rsid w:val="0094276C"/>
    <w:rsid w:val="0094436E"/>
    <w:rsid w:val="0094514B"/>
    <w:rsid w:val="00945B1E"/>
    <w:rsid w:val="00950451"/>
    <w:rsid w:val="0095570D"/>
    <w:rsid w:val="00967490"/>
    <w:rsid w:val="00967885"/>
    <w:rsid w:val="00972C89"/>
    <w:rsid w:val="00974046"/>
    <w:rsid w:val="0098132A"/>
    <w:rsid w:val="00982633"/>
    <w:rsid w:val="00982D51"/>
    <w:rsid w:val="00984405"/>
    <w:rsid w:val="00986556"/>
    <w:rsid w:val="00990AFC"/>
    <w:rsid w:val="0099148B"/>
    <w:rsid w:val="009955D0"/>
    <w:rsid w:val="009A2087"/>
    <w:rsid w:val="009A2D27"/>
    <w:rsid w:val="009A4603"/>
    <w:rsid w:val="009A5B3E"/>
    <w:rsid w:val="009A62A2"/>
    <w:rsid w:val="009A7318"/>
    <w:rsid w:val="009B06CA"/>
    <w:rsid w:val="009B4E0D"/>
    <w:rsid w:val="009B7232"/>
    <w:rsid w:val="009C0FC3"/>
    <w:rsid w:val="009C1126"/>
    <w:rsid w:val="009C6794"/>
    <w:rsid w:val="009C6D92"/>
    <w:rsid w:val="009D113D"/>
    <w:rsid w:val="009D14FE"/>
    <w:rsid w:val="009D4A3D"/>
    <w:rsid w:val="009E215E"/>
    <w:rsid w:val="009E7789"/>
    <w:rsid w:val="009E7E17"/>
    <w:rsid w:val="009F0791"/>
    <w:rsid w:val="009F3B53"/>
    <w:rsid w:val="009F7132"/>
    <w:rsid w:val="00A238D3"/>
    <w:rsid w:val="00A30217"/>
    <w:rsid w:val="00A40463"/>
    <w:rsid w:val="00A40F25"/>
    <w:rsid w:val="00A41965"/>
    <w:rsid w:val="00A43A45"/>
    <w:rsid w:val="00A458DE"/>
    <w:rsid w:val="00A52A67"/>
    <w:rsid w:val="00A53007"/>
    <w:rsid w:val="00A558A1"/>
    <w:rsid w:val="00A608CA"/>
    <w:rsid w:val="00A61E38"/>
    <w:rsid w:val="00A71CAE"/>
    <w:rsid w:val="00A757D2"/>
    <w:rsid w:val="00A80741"/>
    <w:rsid w:val="00A84B94"/>
    <w:rsid w:val="00A84C97"/>
    <w:rsid w:val="00AA12EC"/>
    <w:rsid w:val="00AA1F4E"/>
    <w:rsid w:val="00AA3CFA"/>
    <w:rsid w:val="00AA437F"/>
    <w:rsid w:val="00AA4684"/>
    <w:rsid w:val="00AB29DF"/>
    <w:rsid w:val="00AB4550"/>
    <w:rsid w:val="00AB753C"/>
    <w:rsid w:val="00AB7CBF"/>
    <w:rsid w:val="00AC2957"/>
    <w:rsid w:val="00AC33DF"/>
    <w:rsid w:val="00AC5329"/>
    <w:rsid w:val="00AC7868"/>
    <w:rsid w:val="00AD3544"/>
    <w:rsid w:val="00AD3E40"/>
    <w:rsid w:val="00AD5C3A"/>
    <w:rsid w:val="00AD7A8C"/>
    <w:rsid w:val="00AE4590"/>
    <w:rsid w:val="00AE5559"/>
    <w:rsid w:val="00AE6D7F"/>
    <w:rsid w:val="00AE7C12"/>
    <w:rsid w:val="00B00355"/>
    <w:rsid w:val="00B00908"/>
    <w:rsid w:val="00B1313F"/>
    <w:rsid w:val="00B167C2"/>
    <w:rsid w:val="00B16B20"/>
    <w:rsid w:val="00B175FF"/>
    <w:rsid w:val="00B23A63"/>
    <w:rsid w:val="00B266A4"/>
    <w:rsid w:val="00B337AF"/>
    <w:rsid w:val="00B3629B"/>
    <w:rsid w:val="00B36AFE"/>
    <w:rsid w:val="00B42B6F"/>
    <w:rsid w:val="00B455B7"/>
    <w:rsid w:val="00B45DA4"/>
    <w:rsid w:val="00B46BC0"/>
    <w:rsid w:val="00B51F90"/>
    <w:rsid w:val="00B60949"/>
    <w:rsid w:val="00B63D42"/>
    <w:rsid w:val="00B664FC"/>
    <w:rsid w:val="00B665AB"/>
    <w:rsid w:val="00B7271F"/>
    <w:rsid w:val="00B745BD"/>
    <w:rsid w:val="00B77535"/>
    <w:rsid w:val="00B80EFA"/>
    <w:rsid w:val="00B81163"/>
    <w:rsid w:val="00B93167"/>
    <w:rsid w:val="00B9395E"/>
    <w:rsid w:val="00B94301"/>
    <w:rsid w:val="00B96674"/>
    <w:rsid w:val="00BA563B"/>
    <w:rsid w:val="00BA5643"/>
    <w:rsid w:val="00BB2BEA"/>
    <w:rsid w:val="00BB2FE9"/>
    <w:rsid w:val="00BB34CD"/>
    <w:rsid w:val="00BB43A8"/>
    <w:rsid w:val="00BB691B"/>
    <w:rsid w:val="00BB71C3"/>
    <w:rsid w:val="00BD01B5"/>
    <w:rsid w:val="00BD1B0D"/>
    <w:rsid w:val="00BD3579"/>
    <w:rsid w:val="00BD4BEC"/>
    <w:rsid w:val="00BD7AF5"/>
    <w:rsid w:val="00BE0386"/>
    <w:rsid w:val="00BE03B8"/>
    <w:rsid w:val="00BE2699"/>
    <w:rsid w:val="00BE32C5"/>
    <w:rsid w:val="00BF756E"/>
    <w:rsid w:val="00C05965"/>
    <w:rsid w:val="00C10B21"/>
    <w:rsid w:val="00C12388"/>
    <w:rsid w:val="00C1282C"/>
    <w:rsid w:val="00C12DE0"/>
    <w:rsid w:val="00C14E48"/>
    <w:rsid w:val="00C15918"/>
    <w:rsid w:val="00C16D34"/>
    <w:rsid w:val="00C17B6A"/>
    <w:rsid w:val="00C22699"/>
    <w:rsid w:val="00C257A6"/>
    <w:rsid w:val="00C27564"/>
    <w:rsid w:val="00C34090"/>
    <w:rsid w:val="00C346EA"/>
    <w:rsid w:val="00C37434"/>
    <w:rsid w:val="00C377EB"/>
    <w:rsid w:val="00C4248E"/>
    <w:rsid w:val="00C5113D"/>
    <w:rsid w:val="00C53ABF"/>
    <w:rsid w:val="00C54D2C"/>
    <w:rsid w:val="00C55A29"/>
    <w:rsid w:val="00C5736D"/>
    <w:rsid w:val="00C60B74"/>
    <w:rsid w:val="00C625E9"/>
    <w:rsid w:val="00C67BD5"/>
    <w:rsid w:val="00C72082"/>
    <w:rsid w:val="00C740B8"/>
    <w:rsid w:val="00C81F8B"/>
    <w:rsid w:val="00C831C3"/>
    <w:rsid w:val="00C83AE3"/>
    <w:rsid w:val="00C910A0"/>
    <w:rsid w:val="00C915FD"/>
    <w:rsid w:val="00C91633"/>
    <w:rsid w:val="00C94C83"/>
    <w:rsid w:val="00C95151"/>
    <w:rsid w:val="00CA2E80"/>
    <w:rsid w:val="00CA55F9"/>
    <w:rsid w:val="00CA6314"/>
    <w:rsid w:val="00CA6C30"/>
    <w:rsid w:val="00CB0550"/>
    <w:rsid w:val="00CC0D53"/>
    <w:rsid w:val="00CC3661"/>
    <w:rsid w:val="00CC3DAA"/>
    <w:rsid w:val="00CC4089"/>
    <w:rsid w:val="00CD1B7F"/>
    <w:rsid w:val="00CD2E9B"/>
    <w:rsid w:val="00CD70AB"/>
    <w:rsid w:val="00CD70F8"/>
    <w:rsid w:val="00CE547A"/>
    <w:rsid w:val="00CE580A"/>
    <w:rsid w:val="00CE641B"/>
    <w:rsid w:val="00CE755B"/>
    <w:rsid w:val="00CE7AA5"/>
    <w:rsid w:val="00CE7F1F"/>
    <w:rsid w:val="00CF100B"/>
    <w:rsid w:val="00D008E1"/>
    <w:rsid w:val="00D02C01"/>
    <w:rsid w:val="00D05B3D"/>
    <w:rsid w:val="00D0677B"/>
    <w:rsid w:val="00D075E3"/>
    <w:rsid w:val="00D078BE"/>
    <w:rsid w:val="00D07BC2"/>
    <w:rsid w:val="00D110DC"/>
    <w:rsid w:val="00D13F8A"/>
    <w:rsid w:val="00D14572"/>
    <w:rsid w:val="00D15E47"/>
    <w:rsid w:val="00D1612F"/>
    <w:rsid w:val="00D2065C"/>
    <w:rsid w:val="00D20CE2"/>
    <w:rsid w:val="00D23434"/>
    <w:rsid w:val="00D377D4"/>
    <w:rsid w:val="00D545F6"/>
    <w:rsid w:val="00D5582A"/>
    <w:rsid w:val="00D561B7"/>
    <w:rsid w:val="00D5632F"/>
    <w:rsid w:val="00D600F3"/>
    <w:rsid w:val="00D63833"/>
    <w:rsid w:val="00D64077"/>
    <w:rsid w:val="00D651A5"/>
    <w:rsid w:val="00D67AB0"/>
    <w:rsid w:val="00D702C4"/>
    <w:rsid w:val="00D70413"/>
    <w:rsid w:val="00D710F9"/>
    <w:rsid w:val="00D725B3"/>
    <w:rsid w:val="00D77233"/>
    <w:rsid w:val="00D805A2"/>
    <w:rsid w:val="00D918D5"/>
    <w:rsid w:val="00D93E10"/>
    <w:rsid w:val="00D9468B"/>
    <w:rsid w:val="00D95298"/>
    <w:rsid w:val="00D96A5A"/>
    <w:rsid w:val="00DA0F7B"/>
    <w:rsid w:val="00DA5F8B"/>
    <w:rsid w:val="00DB3ECC"/>
    <w:rsid w:val="00DC11BA"/>
    <w:rsid w:val="00DC261E"/>
    <w:rsid w:val="00DC2B6B"/>
    <w:rsid w:val="00DC2E44"/>
    <w:rsid w:val="00DC4A56"/>
    <w:rsid w:val="00DC597C"/>
    <w:rsid w:val="00DC760F"/>
    <w:rsid w:val="00DD3A05"/>
    <w:rsid w:val="00DD651B"/>
    <w:rsid w:val="00DE78C9"/>
    <w:rsid w:val="00DF068B"/>
    <w:rsid w:val="00DF606E"/>
    <w:rsid w:val="00E05749"/>
    <w:rsid w:val="00E061B9"/>
    <w:rsid w:val="00E06BDB"/>
    <w:rsid w:val="00E12CD7"/>
    <w:rsid w:val="00E21AC7"/>
    <w:rsid w:val="00E23812"/>
    <w:rsid w:val="00E24C24"/>
    <w:rsid w:val="00E252A5"/>
    <w:rsid w:val="00E258F6"/>
    <w:rsid w:val="00E2638C"/>
    <w:rsid w:val="00E272F1"/>
    <w:rsid w:val="00E31904"/>
    <w:rsid w:val="00E42057"/>
    <w:rsid w:val="00E523BA"/>
    <w:rsid w:val="00E53D3F"/>
    <w:rsid w:val="00E550FF"/>
    <w:rsid w:val="00E65F1F"/>
    <w:rsid w:val="00E72F3E"/>
    <w:rsid w:val="00E82526"/>
    <w:rsid w:val="00E84613"/>
    <w:rsid w:val="00E84865"/>
    <w:rsid w:val="00E87FE3"/>
    <w:rsid w:val="00E9107C"/>
    <w:rsid w:val="00EA0132"/>
    <w:rsid w:val="00EA35B4"/>
    <w:rsid w:val="00EA3C46"/>
    <w:rsid w:val="00EA75C9"/>
    <w:rsid w:val="00EA7641"/>
    <w:rsid w:val="00EB592B"/>
    <w:rsid w:val="00EB7D3C"/>
    <w:rsid w:val="00EC12B3"/>
    <w:rsid w:val="00EC12C0"/>
    <w:rsid w:val="00EC4FBE"/>
    <w:rsid w:val="00EC771A"/>
    <w:rsid w:val="00ED198A"/>
    <w:rsid w:val="00EE0EE6"/>
    <w:rsid w:val="00EE2006"/>
    <w:rsid w:val="00EF2043"/>
    <w:rsid w:val="00EF3D43"/>
    <w:rsid w:val="00EF4176"/>
    <w:rsid w:val="00EF6958"/>
    <w:rsid w:val="00EF6EB2"/>
    <w:rsid w:val="00F005F3"/>
    <w:rsid w:val="00F02AEC"/>
    <w:rsid w:val="00F0455A"/>
    <w:rsid w:val="00F04BEA"/>
    <w:rsid w:val="00F06944"/>
    <w:rsid w:val="00F10269"/>
    <w:rsid w:val="00F122BD"/>
    <w:rsid w:val="00F12E59"/>
    <w:rsid w:val="00F1332A"/>
    <w:rsid w:val="00F20F94"/>
    <w:rsid w:val="00F213CA"/>
    <w:rsid w:val="00F22416"/>
    <w:rsid w:val="00F24065"/>
    <w:rsid w:val="00F24669"/>
    <w:rsid w:val="00F27D21"/>
    <w:rsid w:val="00F31251"/>
    <w:rsid w:val="00F341F6"/>
    <w:rsid w:val="00F36362"/>
    <w:rsid w:val="00F3766C"/>
    <w:rsid w:val="00F377B5"/>
    <w:rsid w:val="00F37BEB"/>
    <w:rsid w:val="00F41208"/>
    <w:rsid w:val="00F45262"/>
    <w:rsid w:val="00F458EC"/>
    <w:rsid w:val="00F54DA5"/>
    <w:rsid w:val="00F56084"/>
    <w:rsid w:val="00F57FDC"/>
    <w:rsid w:val="00F61CBA"/>
    <w:rsid w:val="00F71CF8"/>
    <w:rsid w:val="00F776E3"/>
    <w:rsid w:val="00F777E7"/>
    <w:rsid w:val="00F879DF"/>
    <w:rsid w:val="00F913ED"/>
    <w:rsid w:val="00F97B41"/>
    <w:rsid w:val="00FA49C3"/>
    <w:rsid w:val="00FA76BB"/>
    <w:rsid w:val="00FB0C57"/>
    <w:rsid w:val="00FB1ACB"/>
    <w:rsid w:val="00FB4811"/>
    <w:rsid w:val="00FB5D12"/>
    <w:rsid w:val="00FC1821"/>
    <w:rsid w:val="00FC1EB4"/>
    <w:rsid w:val="00FC37A3"/>
    <w:rsid w:val="00FC4B5C"/>
    <w:rsid w:val="00FD0EDC"/>
    <w:rsid w:val="00FD3C01"/>
    <w:rsid w:val="00FE0270"/>
    <w:rsid w:val="00FE0F05"/>
    <w:rsid w:val="00FE2A1F"/>
    <w:rsid w:val="00FE7592"/>
    <w:rsid w:val="00FE75C7"/>
    <w:rsid w:val="00FF229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538"/>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0F338A"/>
    <w:pPr>
      <w:numPr>
        <w:numId w:val="11"/>
      </w:numPr>
      <w:spacing w:before="120" w:after="180" w:line="240" w:lineRule="atLeast"/>
      <w:ind w:hanging="436"/>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autoRedefine/>
    <w:uiPriority w:val="1"/>
    <w:qFormat/>
    <w:rsid w:val="00F24669"/>
    <w:pPr>
      <w:numPr>
        <w:numId w:val="12"/>
      </w:numPr>
      <w:tabs>
        <w:tab w:val="num" w:pos="360"/>
      </w:tabs>
      <w:ind w:left="1083"/>
    </w:pPr>
    <w:rPr>
      <w:rFonts w:cs="Arial"/>
      <w:color w:val="FF0000"/>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26"/>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409">
      <w:bodyDiv w:val="1"/>
      <w:marLeft w:val="0"/>
      <w:marRight w:val="0"/>
      <w:marTop w:val="0"/>
      <w:marBottom w:val="0"/>
      <w:divBdr>
        <w:top w:val="none" w:sz="0" w:space="0" w:color="auto"/>
        <w:left w:val="none" w:sz="0" w:space="0" w:color="auto"/>
        <w:bottom w:val="none" w:sz="0" w:space="0" w:color="auto"/>
        <w:right w:val="none" w:sz="0" w:space="0" w:color="auto"/>
      </w:divBdr>
    </w:div>
    <w:div w:id="541016861">
      <w:bodyDiv w:val="1"/>
      <w:marLeft w:val="0"/>
      <w:marRight w:val="0"/>
      <w:marTop w:val="0"/>
      <w:marBottom w:val="0"/>
      <w:divBdr>
        <w:top w:val="none" w:sz="0" w:space="0" w:color="auto"/>
        <w:left w:val="none" w:sz="0" w:space="0" w:color="auto"/>
        <w:bottom w:val="none" w:sz="0" w:space="0" w:color="auto"/>
        <w:right w:val="none" w:sz="0" w:space="0" w:color="auto"/>
      </w:divBdr>
    </w:div>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32543473">
      <w:bodyDiv w:val="1"/>
      <w:marLeft w:val="0"/>
      <w:marRight w:val="0"/>
      <w:marTop w:val="0"/>
      <w:marBottom w:val="0"/>
      <w:divBdr>
        <w:top w:val="none" w:sz="0" w:space="0" w:color="auto"/>
        <w:left w:val="none" w:sz="0" w:space="0" w:color="auto"/>
        <w:bottom w:val="none" w:sz="0" w:space="0" w:color="auto"/>
        <w:right w:val="none" w:sz="0" w:space="0" w:color="auto"/>
      </w:divBdr>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006590152">
      <w:bodyDiv w:val="1"/>
      <w:marLeft w:val="0"/>
      <w:marRight w:val="0"/>
      <w:marTop w:val="0"/>
      <w:marBottom w:val="0"/>
      <w:divBdr>
        <w:top w:val="none" w:sz="0" w:space="0" w:color="auto"/>
        <w:left w:val="none" w:sz="0" w:space="0" w:color="auto"/>
        <w:bottom w:val="none" w:sz="0" w:space="0" w:color="auto"/>
        <w:right w:val="none" w:sz="0" w:space="0" w:color="auto"/>
      </w:divBdr>
    </w:div>
    <w:div w:id="1258443112">
      <w:bodyDiv w:val="1"/>
      <w:marLeft w:val="0"/>
      <w:marRight w:val="0"/>
      <w:marTop w:val="0"/>
      <w:marBottom w:val="0"/>
      <w:divBdr>
        <w:top w:val="none" w:sz="0" w:space="0" w:color="auto"/>
        <w:left w:val="none" w:sz="0" w:space="0" w:color="auto"/>
        <w:bottom w:val="none" w:sz="0" w:space="0" w:color="auto"/>
        <w:right w:val="none" w:sz="0" w:space="0" w:color="auto"/>
      </w:divBdr>
    </w:div>
    <w:div w:id="1407415277">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 w:id="20541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consultations.tga.gov.au/tga/scheduling-interim-decision-november-2024/" TargetMode="External"/><Relationship Id="rId26" Type="http://schemas.openxmlformats.org/officeDocument/2006/relationships/hyperlink" Target="https://consultations.tga.gov.au/tga/scheduling-pre-meeting-november-2024/user_uploads/final---pre-meeting-public-notice---acms-46--accs-40--joint-38---november-2024---pdf.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sultations.tga.gov.au/tga/scheduling-pre-meeting-november-2024/user_uploads/final---pre-meeting-public-notice---acms-46--accs-40--joint-38---november-2024---pdf.pdf" TargetMode="External"/><Relationship Id="rId34"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consultations.tga.gov.au/tga/scheduling-interim-decision-march-2024/" TargetMode="External"/><Relationship Id="rId25" Type="http://schemas.openxmlformats.org/officeDocument/2006/relationships/hyperlink" Target="https://consultations.tga.gov.au/tga/scheduling-pre-meeting-november-2024/" TargetMode="External"/><Relationship Id="rId33" Type="http://schemas.openxmlformats.org/officeDocument/2006/relationships/hyperlink" Target="mailto:info@tga.gov.au"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tga.gov.au/sites/default/files/2025-03/public-notice-of-interim-decisions-acms46_accs40joint-acms-accs38-november-2024.pdf" TargetMode="External"/><Relationship Id="rId20" Type="http://schemas.openxmlformats.org/officeDocument/2006/relationships/hyperlink" Target="https://consultations.tga.gov.au/tga/scheduling-pre-meeting-november-2024/" TargetMode="External"/><Relationship Id="rId29" Type="http://schemas.openxmlformats.org/officeDocument/2006/relationships/hyperlink" Target="https://consultations.tga.gov.au/tga/scheduling-interim-decision-november-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consultations.tga.gov.au/tga/scheduling-interim-decision-november-2024"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tions.tga.gov.au/tga/scheduling-pre-meeting-november-2024/user_uploads/final---pre-meeting-public-notice---acms-46--accs-40--joint-38---november-2024---pdf.pdf" TargetMode="External"/><Relationship Id="rId23" Type="http://schemas.openxmlformats.org/officeDocument/2006/relationships/hyperlink" Target="https://consultations.tga.gov.au/tga/scheduling-interim-decision-march-2024/" TargetMode="External"/><Relationship Id="rId28" Type="http://schemas.openxmlformats.org/officeDocument/2006/relationships/hyperlink" Target="https://consultations.tga.gov.au/tga/scheduling-interim-decision-march-2024/"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tga.gov.au/resources/publication/scheduling-decisions-interim/notice-interim-decisions-proposed-amendments-poisons-standard-acms-46-and-joint-acms-accs-38-november-202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scheduling-pre-meeting-november-2024/" TargetMode="External"/><Relationship Id="rId22" Type="http://schemas.openxmlformats.org/officeDocument/2006/relationships/hyperlink" Target="https://www.tga.gov.au/sites/default/files/2025-03/public-notice-of-interim-decisions-acms46_accs40joint-acms-accs38-november-2024.pdf" TargetMode="External"/><Relationship Id="rId27" Type="http://schemas.openxmlformats.org/officeDocument/2006/relationships/hyperlink" Target="https://www.tga.gov.au/sites/default/files/2025-03/public-notice-of-interim-decisions-acms46_accs40joint-acms-accs38-november-2024.pdf" TargetMode="External"/><Relationship Id="rId30" Type="http://schemas.openxmlformats.org/officeDocument/2006/relationships/hyperlink" Target="https://www.ema.europa.eu/en/documents/herbal-monograph/final-european-union-herbal-monograph-symphytum-officinale-l-radix_en.pdf"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toxsci/kfs305" TargetMode="External"/><Relationship Id="rId2" Type="http://schemas.openxmlformats.org/officeDocument/2006/relationships/hyperlink" Target="https://www.healthdirect.gov.au/bacterial-vaginosis" TargetMode="External"/><Relationship Id="rId1" Type="http://schemas.openxmlformats.org/officeDocument/2006/relationships/hyperlink" Target="https://link.springer.com/article/10.1007/s00404-022-06429-z" TargetMode="External"/><Relationship Id="rId5" Type="http://schemas.openxmlformats.org/officeDocument/2006/relationships/hyperlink" Target="https://doi.org/10.2903/j.efsa.2023.8139" TargetMode="External"/><Relationship Id="rId4" Type="http://schemas.openxmlformats.org/officeDocument/2006/relationships/hyperlink" Target="https://doi.org/10.2903/j.efsa.2009.297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F7CAF3BA2418DBCAFEF7F2E207C04"/>
        <w:category>
          <w:name w:val="General"/>
          <w:gallery w:val="placeholder"/>
        </w:category>
        <w:types>
          <w:type w:val="bbPlcHdr"/>
        </w:types>
        <w:behaviors>
          <w:behavior w:val="content"/>
        </w:behaviors>
        <w:guid w:val="{C9070D20-DFB4-4969-A31A-B65BE507E6A2}"/>
      </w:docPartPr>
      <w:docPartBody>
        <w:p w:rsidR="008E1014" w:rsidRDefault="008E1014" w:rsidP="008E1014">
          <w:pPr>
            <w:pStyle w:val="005F7CAF3BA2418DBCAFEF7F2E207C04"/>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14"/>
    <w:rsid w:val="00081C45"/>
    <w:rsid w:val="00141FAF"/>
    <w:rsid w:val="001756EA"/>
    <w:rsid w:val="001E0F7C"/>
    <w:rsid w:val="001F00CB"/>
    <w:rsid w:val="0027487C"/>
    <w:rsid w:val="00376EC4"/>
    <w:rsid w:val="00405D2A"/>
    <w:rsid w:val="00413311"/>
    <w:rsid w:val="005B3EC4"/>
    <w:rsid w:val="006069CA"/>
    <w:rsid w:val="00631A4D"/>
    <w:rsid w:val="006B58CD"/>
    <w:rsid w:val="006F1AD1"/>
    <w:rsid w:val="00885AA7"/>
    <w:rsid w:val="00895210"/>
    <w:rsid w:val="008A18C3"/>
    <w:rsid w:val="008E1014"/>
    <w:rsid w:val="00903C7F"/>
    <w:rsid w:val="009635A2"/>
    <w:rsid w:val="009F0791"/>
    <w:rsid w:val="00A84C97"/>
    <w:rsid w:val="00AE4590"/>
    <w:rsid w:val="00B80EFA"/>
    <w:rsid w:val="00B87CF7"/>
    <w:rsid w:val="00B919EF"/>
    <w:rsid w:val="00C710C9"/>
    <w:rsid w:val="00C9588A"/>
    <w:rsid w:val="00CA6314"/>
    <w:rsid w:val="00CF1ADC"/>
    <w:rsid w:val="00D0677B"/>
    <w:rsid w:val="00D22FCD"/>
    <w:rsid w:val="00D61E69"/>
    <w:rsid w:val="00DC2B6B"/>
    <w:rsid w:val="00DD3A94"/>
    <w:rsid w:val="00DE5C5D"/>
    <w:rsid w:val="00E23812"/>
    <w:rsid w:val="00E258F6"/>
    <w:rsid w:val="00E31717"/>
    <w:rsid w:val="00E632D8"/>
    <w:rsid w:val="00EE0D23"/>
    <w:rsid w:val="00F52B3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014"/>
    <w:rPr>
      <w:color w:val="808080"/>
    </w:rPr>
  </w:style>
  <w:style w:type="paragraph" w:customStyle="1" w:styleId="005F7CAF3BA2418DBCAFEF7F2E207C04">
    <w:name w:val="005F7CAF3BA2418DBCAFEF7F2E207C04"/>
    <w:rsid w:val="008E1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25</Pages>
  <Words>7801</Words>
  <Characters>44467</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Notice of final decision to amend (or not amend) the current Poisons Standard - ACMS #44, ACCS #38, Joint ACMS-ACCS #36</vt:lpstr>
    </vt:vector>
  </TitlesOfParts>
  <Company>Department of Health and Aged Care</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 ACMS #44, ACCS #38, Joint ACMS-ACCS #36</dc:title>
  <dc:subject>therapeutic goods regulation</dc:subject>
  <dc:creator>Therapeutic Goods Administration</dc:creator>
  <cp:keywords/>
  <dc:description/>
  <cp:lastModifiedBy>ALZUBI, Dania</cp:lastModifiedBy>
  <cp:revision>2</cp:revision>
  <dcterms:created xsi:type="dcterms:W3CDTF">2025-06-23T00:05:00Z</dcterms:created>
  <dcterms:modified xsi:type="dcterms:W3CDTF">2025-06-23T00:05:00Z</dcterms:modified>
</cp:coreProperties>
</file>