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445C" w14:textId="77777777" w:rsidR="00F02AEC" w:rsidRDefault="00F02AEC" w:rsidP="00B03B68"/>
    <w:p w14:paraId="0975505F" w14:textId="77777777" w:rsidR="00692401" w:rsidRDefault="00692401" w:rsidP="00B03B68"/>
    <w:p w14:paraId="749902E8" w14:textId="77777777" w:rsidR="00692401" w:rsidRDefault="00692401" w:rsidP="00B03B68"/>
    <w:p w14:paraId="2D11798A" w14:textId="7B063ED6" w:rsidR="00692401" w:rsidRDefault="00692401" w:rsidP="0095170C">
      <w:pPr>
        <w:pStyle w:val="Title"/>
      </w:pPr>
      <w:r w:rsidRPr="00692401">
        <w:t>Notice of interim decision to amend (or not amend) the current Poisons Standard</w:t>
      </w:r>
      <w:r w:rsidR="00B53BAD">
        <w:t xml:space="preserve"> in relation to </w:t>
      </w:r>
      <w:bookmarkStart w:id="0" w:name="_Hlk201575513"/>
      <w:r w:rsidR="00FF5F61">
        <w:t>p</w:t>
      </w:r>
      <w:r w:rsidR="00FF5F61" w:rsidRPr="00FF5F61">
        <w:t xml:space="preserve">yridoxine, pyridoxal or pyridoxamine </w:t>
      </w:r>
      <w:r w:rsidR="00FF5F61">
        <w:t>(</w:t>
      </w:r>
      <w:r w:rsidR="00B53BAD">
        <w:t>vitamin</w:t>
      </w:r>
      <w:r w:rsidR="00FF5F61">
        <w:t> </w:t>
      </w:r>
      <w:r w:rsidR="00B53BAD">
        <w:t>B6</w:t>
      </w:r>
      <w:r w:rsidR="00FF5F61">
        <w:t>)</w:t>
      </w:r>
      <w:bookmarkEnd w:id="0"/>
    </w:p>
    <w:p w14:paraId="12707555" w14:textId="15D08780" w:rsidR="00692401" w:rsidRPr="00B03B68" w:rsidRDefault="00392227" w:rsidP="0095170C">
      <w:pPr>
        <w:pStyle w:val="Subtitle"/>
        <w:ind w:left="0"/>
        <w:sectPr w:rsidR="00692401" w:rsidRPr="00B03B6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t>2</w:t>
      </w:r>
      <w:r w:rsidR="00516398">
        <w:t>6</w:t>
      </w:r>
      <w:r w:rsidR="00692401" w:rsidRPr="00EC7505">
        <w:t xml:space="preserve"> </w:t>
      </w:r>
      <w:r w:rsidR="00B53BAD" w:rsidRPr="00EC7505">
        <w:t>June</w:t>
      </w:r>
      <w:r w:rsidR="00692401" w:rsidRPr="00EC7505">
        <w:t xml:space="preserve"> 20</w:t>
      </w:r>
      <w:r w:rsidR="00B53BAD" w:rsidRPr="00EC7505">
        <w:t>25</w:t>
      </w:r>
    </w:p>
    <w:p w14:paraId="7F51FB51" w14:textId="77777777" w:rsidR="00F02AEC" w:rsidRPr="00CC381E" w:rsidRDefault="00F02AEC" w:rsidP="00CC381E">
      <w:pPr>
        <w:pStyle w:val="LegalSubheading"/>
        <w:rPr>
          <w:b/>
          <w:bCs/>
        </w:rPr>
      </w:pPr>
      <w:r w:rsidRPr="00CC381E">
        <w:rPr>
          <w:b/>
          <w:bCs/>
        </w:rPr>
        <w:lastRenderedPageBreak/>
        <w:t>Copyright</w:t>
      </w:r>
    </w:p>
    <w:p w14:paraId="07235089" w14:textId="4E4E53AF" w:rsidR="00930D58" w:rsidRPr="00CC381E" w:rsidRDefault="00F02AEC" w:rsidP="00CC381E">
      <w:pPr>
        <w:pStyle w:val="LegalSubheading"/>
      </w:pPr>
      <w:r w:rsidRPr="00CC381E">
        <w:t>© Commonwealth of Australia 202</w:t>
      </w:r>
      <w:r w:rsidR="00B53BAD">
        <w:t>5</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w:t>
      </w:r>
      <w:r w:rsidR="00FF7D3B" w:rsidRPr="00CC381E">
        <w:t>reserved,</w:t>
      </w:r>
      <w:r w:rsidRPr="00CC381E">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5" w:history="1">
        <w:r w:rsidRPr="00CC381E">
          <w:rPr>
            <w:rStyle w:val="Hyperlink"/>
            <w:color w:val="auto"/>
            <w:u w:val="none"/>
          </w:rPr>
          <w:t>tga.copyright@tga.gov.au</w:t>
        </w:r>
      </w:hyperlink>
      <w:r w:rsidRPr="00CC381E">
        <w:t>.</w:t>
      </w:r>
    </w:p>
    <w:p w14:paraId="70D53FDB" w14:textId="77777777" w:rsidR="0090744F" w:rsidRPr="00CC381E" w:rsidRDefault="0090744F" w:rsidP="00CC381E">
      <w:pPr>
        <w:pStyle w:val="LegalSubheading"/>
        <w:rPr>
          <w:b/>
          <w:bCs/>
        </w:rPr>
      </w:pPr>
      <w:r w:rsidRPr="00CC381E">
        <w:rPr>
          <w:b/>
          <w:bCs/>
        </w:rPr>
        <w:t>Confidentiality</w:t>
      </w:r>
    </w:p>
    <w:p w14:paraId="3FFF9537"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EastAsia" w:cstheme="minorBidi"/>
          <w:b w:val="0"/>
          <w:color w:val="auto"/>
          <w:sz w:val="20"/>
        </w:rPr>
        <w:id w:val="21514769"/>
        <w:docPartObj>
          <w:docPartGallery w:val="Table of Contents"/>
          <w:docPartUnique/>
        </w:docPartObj>
      </w:sdtPr>
      <w:sdtEndPr/>
      <w:sdtContent>
        <w:p w14:paraId="4B0C451B" w14:textId="77777777" w:rsidR="00F02AEC" w:rsidRPr="00B03B68" w:rsidRDefault="00F02AEC" w:rsidP="000579C9">
          <w:pPr>
            <w:pStyle w:val="NonTOCheading2"/>
          </w:pPr>
          <w:r w:rsidRPr="00B03B68">
            <w:t>Contents</w:t>
          </w:r>
        </w:p>
        <w:p w14:paraId="2E55B50E" w14:textId="3A6DFB1B" w:rsidR="004B0576"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199506478" w:history="1">
            <w:r w:rsidR="004B0576" w:rsidRPr="001B6C82">
              <w:rPr>
                <w:rStyle w:val="Hyperlink"/>
                <w:noProof/>
              </w:rPr>
              <w:t>Notice of interim decisions made under Regulation 42ZCZN of the Therapeutic Goods Regulations 1990</w:t>
            </w:r>
            <w:r w:rsidR="004B0576">
              <w:rPr>
                <w:noProof/>
                <w:webHidden/>
              </w:rPr>
              <w:tab/>
            </w:r>
            <w:r w:rsidR="004B0576">
              <w:rPr>
                <w:noProof/>
                <w:webHidden/>
              </w:rPr>
              <w:fldChar w:fldCharType="begin"/>
            </w:r>
            <w:r w:rsidR="004B0576">
              <w:rPr>
                <w:noProof/>
                <w:webHidden/>
              </w:rPr>
              <w:instrText xml:space="preserve"> PAGEREF _Toc199506478 \h </w:instrText>
            </w:r>
            <w:r w:rsidR="004B0576">
              <w:rPr>
                <w:noProof/>
                <w:webHidden/>
              </w:rPr>
            </w:r>
            <w:r w:rsidR="004B0576">
              <w:rPr>
                <w:noProof/>
                <w:webHidden/>
              </w:rPr>
              <w:fldChar w:fldCharType="separate"/>
            </w:r>
            <w:r w:rsidR="00713284">
              <w:rPr>
                <w:noProof/>
                <w:webHidden/>
              </w:rPr>
              <w:t>4</w:t>
            </w:r>
            <w:r w:rsidR="004B0576">
              <w:rPr>
                <w:noProof/>
                <w:webHidden/>
              </w:rPr>
              <w:fldChar w:fldCharType="end"/>
            </w:r>
          </w:hyperlink>
        </w:p>
        <w:p w14:paraId="290F9F9F" w14:textId="542968B9" w:rsidR="004B0576" w:rsidRDefault="004B057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506479" w:history="1">
            <w:r w:rsidRPr="001B6C82">
              <w:rPr>
                <w:rStyle w:val="Hyperlink"/>
                <w:noProof/>
              </w:rPr>
              <w:t>Interim decision on a proposed amendment referred to the Advisory Committee on Medicines Scheduling (ACMS #46, November 2024)</w:t>
            </w:r>
            <w:r>
              <w:rPr>
                <w:noProof/>
                <w:webHidden/>
              </w:rPr>
              <w:tab/>
            </w:r>
            <w:r>
              <w:rPr>
                <w:noProof/>
                <w:webHidden/>
              </w:rPr>
              <w:fldChar w:fldCharType="begin"/>
            </w:r>
            <w:r>
              <w:rPr>
                <w:noProof/>
                <w:webHidden/>
              </w:rPr>
              <w:instrText xml:space="preserve"> PAGEREF _Toc199506479 \h </w:instrText>
            </w:r>
            <w:r>
              <w:rPr>
                <w:noProof/>
                <w:webHidden/>
              </w:rPr>
            </w:r>
            <w:r>
              <w:rPr>
                <w:noProof/>
                <w:webHidden/>
              </w:rPr>
              <w:fldChar w:fldCharType="separate"/>
            </w:r>
            <w:r w:rsidR="00713284">
              <w:rPr>
                <w:noProof/>
                <w:webHidden/>
              </w:rPr>
              <w:t>5</w:t>
            </w:r>
            <w:r>
              <w:rPr>
                <w:noProof/>
                <w:webHidden/>
              </w:rPr>
              <w:fldChar w:fldCharType="end"/>
            </w:r>
          </w:hyperlink>
        </w:p>
        <w:p w14:paraId="576B5FD1" w14:textId="00EAAFCC" w:rsidR="004B0576" w:rsidRDefault="004B0576">
          <w:pPr>
            <w:pStyle w:val="TOC2"/>
            <w:rPr>
              <w:rFonts w:asciiTheme="minorHAnsi" w:eastAsiaTheme="minorEastAsia" w:hAnsiTheme="minorHAnsi" w:cstheme="minorBidi"/>
              <w:noProof/>
              <w:color w:val="auto"/>
              <w:kern w:val="2"/>
              <w:szCs w:val="24"/>
              <w:lang w:eastAsia="en-AU"/>
              <w14:ligatures w14:val="standardContextual"/>
            </w:rPr>
          </w:pPr>
          <w:hyperlink w:anchor="_Toc199506480" w:history="1">
            <w:r w:rsidRPr="001B6C82">
              <w:rPr>
                <w:rStyle w:val="Hyperlink"/>
                <w:noProof/>
              </w:rPr>
              <w:t xml:space="preserve">Interim decision in relation to </w:t>
            </w:r>
            <w:r w:rsidRPr="001B6C82">
              <w:rPr>
                <w:rStyle w:val="Hyperlink"/>
                <w:noProof/>
                <w:lang w:eastAsia="en-AU"/>
              </w:rPr>
              <w:t>pyridoxine, pyridoxal or pyridoxamine</w:t>
            </w:r>
            <w:r>
              <w:rPr>
                <w:noProof/>
                <w:webHidden/>
              </w:rPr>
              <w:tab/>
            </w:r>
            <w:r>
              <w:rPr>
                <w:noProof/>
                <w:webHidden/>
              </w:rPr>
              <w:fldChar w:fldCharType="begin"/>
            </w:r>
            <w:r>
              <w:rPr>
                <w:noProof/>
                <w:webHidden/>
              </w:rPr>
              <w:instrText xml:space="preserve"> PAGEREF _Toc199506480 \h </w:instrText>
            </w:r>
            <w:r>
              <w:rPr>
                <w:noProof/>
                <w:webHidden/>
              </w:rPr>
            </w:r>
            <w:r>
              <w:rPr>
                <w:noProof/>
                <w:webHidden/>
              </w:rPr>
              <w:fldChar w:fldCharType="separate"/>
            </w:r>
            <w:r w:rsidR="00713284">
              <w:rPr>
                <w:noProof/>
                <w:webHidden/>
              </w:rPr>
              <w:t>5</w:t>
            </w:r>
            <w:r>
              <w:rPr>
                <w:noProof/>
                <w:webHidden/>
              </w:rPr>
              <w:fldChar w:fldCharType="end"/>
            </w:r>
          </w:hyperlink>
        </w:p>
        <w:p w14:paraId="4D47B296" w14:textId="2D3C03D5"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1" w:history="1">
            <w:r w:rsidRPr="001B6C82">
              <w:rPr>
                <w:rStyle w:val="Hyperlink"/>
                <w:noProof/>
              </w:rPr>
              <w:t>Proposal</w:t>
            </w:r>
            <w:r>
              <w:rPr>
                <w:noProof/>
                <w:webHidden/>
              </w:rPr>
              <w:tab/>
            </w:r>
            <w:r>
              <w:rPr>
                <w:noProof/>
                <w:webHidden/>
              </w:rPr>
              <w:fldChar w:fldCharType="begin"/>
            </w:r>
            <w:r>
              <w:rPr>
                <w:noProof/>
                <w:webHidden/>
              </w:rPr>
              <w:instrText xml:space="preserve"> PAGEREF _Toc199506481 \h </w:instrText>
            </w:r>
            <w:r>
              <w:rPr>
                <w:noProof/>
                <w:webHidden/>
              </w:rPr>
            </w:r>
            <w:r>
              <w:rPr>
                <w:noProof/>
                <w:webHidden/>
              </w:rPr>
              <w:fldChar w:fldCharType="separate"/>
            </w:r>
            <w:r w:rsidR="00713284">
              <w:rPr>
                <w:noProof/>
                <w:webHidden/>
              </w:rPr>
              <w:t>5</w:t>
            </w:r>
            <w:r>
              <w:rPr>
                <w:noProof/>
                <w:webHidden/>
              </w:rPr>
              <w:fldChar w:fldCharType="end"/>
            </w:r>
          </w:hyperlink>
        </w:p>
        <w:p w14:paraId="529B0047" w14:textId="71465040"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2" w:history="1">
            <w:r w:rsidRPr="001B6C82">
              <w:rPr>
                <w:rStyle w:val="Hyperlink"/>
                <w:noProof/>
              </w:rPr>
              <w:t>Interim decision</w:t>
            </w:r>
            <w:r>
              <w:rPr>
                <w:noProof/>
                <w:webHidden/>
              </w:rPr>
              <w:tab/>
            </w:r>
            <w:r>
              <w:rPr>
                <w:noProof/>
                <w:webHidden/>
              </w:rPr>
              <w:fldChar w:fldCharType="begin"/>
            </w:r>
            <w:r>
              <w:rPr>
                <w:noProof/>
                <w:webHidden/>
              </w:rPr>
              <w:instrText xml:space="preserve"> PAGEREF _Toc199506482 \h </w:instrText>
            </w:r>
            <w:r>
              <w:rPr>
                <w:noProof/>
                <w:webHidden/>
              </w:rPr>
            </w:r>
            <w:r>
              <w:rPr>
                <w:noProof/>
                <w:webHidden/>
              </w:rPr>
              <w:fldChar w:fldCharType="separate"/>
            </w:r>
            <w:r w:rsidR="00713284">
              <w:rPr>
                <w:noProof/>
                <w:webHidden/>
              </w:rPr>
              <w:t>5</w:t>
            </w:r>
            <w:r>
              <w:rPr>
                <w:noProof/>
                <w:webHidden/>
              </w:rPr>
              <w:fldChar w:fldCharType="end"/>
            </w:r>
          </w:hyperlink>
        </w:p>
        <w:p w14:paraId="1F669131" w14:textId="4AE880F3"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3" w:history="1">
            <w:r w:rsidRPr="001B6C82">
              <w:rPr>
                <w:rStyle w:val="Hyperlink"/>
                <w:noProof/>
              </w:rPr>
              <w:t>Materials considered</w:t>
            </w:r>
            <w:r>
              <w:rPr>
                <w:noProof/>
                <w:webHidden/>
              </w:rPr>
              <w:tab/>
            </w:r>
            <w:r>
              <w:rPr>
                <w:noProof/>
                <w:webHidden/>
              </w:rPr>
              <w:fldChar w:fldCharType="begin"/>
            </w:r>
            <w:r>
              <w:rPr>
                <w:noProof/>
                <w:webHidden/>
              </w:rPr>
              <w:instrText xml:space="preserve"> PAGEREF _Toc199506483 \h </w:instrText>
            </w:r>
            <w:r>
              <w:rPr>
                <w:noProof/>
                <w:webHidden/>
              </w:rPr>
            </w:r>
            <w:r>
              <w:rPr>
                <w:noProof/>
                <w:webHidden/>
              </w:rPr>
              <w:fldChar w:fldCharType="separate"/>
            </w:r>
            <w:r w:rsidR="00713284">
              <w:rPr>
                <w:noProof/>
                <w:webHidden/>
              </w:rPr>
              <w:t>6</w:t>
            </w:r>
            <w:r>
              <w:rPr>
                <w:noProof/>
                <w:webHidden/>
              </w:rPr>
              <w:fldChar w:fldCharType="end"/>
            </w:r>
          </w:hyperlink>
        </w:p>
        <w:p w14:paraId="3CDCBFC5" w14:textId="7B0A9610"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4" w:history="1">
            <w:r w:rsidRPr="001B6C82">
              <w:rPr>
                <w:rStyle w:val="Hyperlink"/>
                <w:noProof/>
              </w:rPr>
              <w:t>Summary of Committee advice to the Delegate</w:t>
            </w:r>
            <w:r>
              <w:rPr>
                <w:noProof/>
                <w:webHidden/>
              </w:rPr>
              <w:tab/>
            </w:r>
            <w:r>
              <w:rPr>
                <w:noProof/>
                <w:webHidden/>
              </w:rPr>
              <w:fldChar w:fldCharType="begin"/>
            </w:r>
            <w:r>
              <w:rPr>
                <w:noProof/>
                <w:webHidden/>
              </w:rPr>
              <w:instrText xml:space="preserve"> PAGEREF _Toc199506484 \h </w:instrText>
            </w:r>
            <w:r>
              <w:rPr>
                <w:noProof/>
                <w:webHidden/>
              </w:rPr>
            </w:r>
            <w:r>
              <w:rPr>
                <w:noProof/>
                <w:webHidden/>
              </w:rPr>
              <w:fldChar w:fldCharType="separate"/>
            </w:r>
            <w:r w:rsidR="00713284">
              <w:rPr>
                <w:noProof/>
                <w:webHidden/>
              </w:rPr>
              <w:t>6</w:t>
            </w:r>
            <w:r>
              <w:rPr>
                <w:noProof/>
                <w:webHidden/>
              </w:rPr>
              <w:fldChar w:fldCharType="end"/>
            </w:r>
          </w:hyperlink>
        </w:p>
        <w:p w14:paraId="7BB5C087" w14:textId="6EFF1CA2"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5" w:history="1">
            <w:r w:rsidRPr="001B6C82">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_Toc199506485 \h </w:instrText>
            </w:r>
            <w:r>
              <w:rPr>
                <w:noProof/>
                <w:webHidden/>
              </w:rPr>
            </w:r>
            <w:r>
              <w:rPr>
                <w:noProof/>
                <w:webHidden/>
              </w:rPr>
              <w:fldChar w:fldCharType="separate"/>
            </w:r>
            <w:r w:rsidR="00713284">
              <w:rPr>
                <w:noProof/>
                <w:webHidden/>
              </w:rPr>
              <w:t>8</w:t>
            </w:r>
            <w:r>
              <w:rPr>
                <w:noProof/>
                <w:webHidden/>
              </w:rPr>
              <w:fldChar w:fldCharType="end"/>
            </w:r>
          </w:hyperlink>
        </w:p>
        <w:p w14:paraId="06A804B1" w14:textId="7A8EB5FA" w:rsidR="004B0576" w:rsidRDefault="004B057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9506486" w:history="1">
            <w:r w:rsidRPr="001B6C82">
              <w:rPr>
                <w:rStyle w:val="Hyperlink"/>
                <w:noProof/>
              </w:rPr>
              <w:t>Proposed implementation date</w:t>
            </w:r>
            <w:r>
              <w:rPr>
                <w:noProof/>
                <w:webHidden/>
              </w:rPr>
              <w:tab/>
            </w:r>
            <w:r>
              <w:rPr>
                <w:noProof/>
                <w:webHidden/>
              </w:rPr>
              <w:fldChar w:fldCharType="begin"/>
            </w:r>
            <w:r>
              <w:rPr>
                <w:noProof/>
                <w:webHidden/>
              </w:rPr>
              <w:instrText xml:space="preserve"> PAGEREF _Toc199506486 \h </w:instrText>
            </w:r>
            <w:r>
              <w:rPr>
                <w:noProof/>
                <w:webHidden/>
              </w:rPr>
            </w:r>
            <w:r>
              <w:rPr>
                <w:noProof/>
                <w:webHidden/>
              </w:rPr>
              <w:fldChar w:fldCharType="separate"/>
            </w:r>
            <w:r w:rsidR="00713284">
              <w:rPr>
                <w:noProof/>
                <w:webHidden/>
              </w:rPr>
              <w:t>16</w:t>
            </w:r>
            <w:r>
              <w:rPr>
                <w:noProof/>
                <w:webHidden/>
              </w:rPr>
              <w:fldChar w:fldCharType="end"/>
            </w:r>
          </w:hyperlink>
        </w:p>
        <w:p w14:paraId="7E6FD656" w14:textId="76C8A156" w:rsidR="00F02AEC" w:rsidRPr="00B03B68" w:rsidRDefault="00F02AEC" w:rsidP="00B03B68">
          <w:r w:rsidRPr="00B03B68">
            <w:fldChar w:fldCharType="end"/>
          </w:r>
        </w:p>
      </w:sdtContent>
    </w:sdt>
    <w:p w14:paraId="237E94EF" w14:textId="77777777" w:rsidR="00F02AEC" w:rsidRPr="00B03B68" w:rsidRDefault="00F02AEC" w:rsidP="00B03B68">
      <w:r w:rsidRPr="00B03B68">
        <w:br w:type="page"/>
      </w:r>
    </w:p>
    <w:p w14:paraId="4A2459AF" w14:textId="77777777" w:rsidR="00F02AEC" w:rsidRPr="00B03B68" w:rsidRDefault="00522B11" w:rsidP="0095170C">
      <w:pPr>
        <w:pStyle w:val="Heading2"/>
      </w:pPr>
      <w:bookmarkStart w:id="1" w:name="_Toc199506478"/>
      <w:r w:rsidRPr="00B03B68">
        <w:lastRenderedPageBreak/>
        <w:t>Notice of interim decisions made under Regulation 42ZCZN of the Therapeutic Goods Regulations 1990</w:t>
      </w:r>
      <w:bookmarkEnd w:id="1"/>
    </w:p>
    <w:p w14:paraId="6F9165A3" w14:textId="77777777" w:rsidR="00522B11" w:rsidRPr="00B03B68" w:rsidRDefault="00522B11" w:rsidP="00CC381E">
      <w:r w:rsidRPr="00B03B68">
        <w:t>This web publication constitutes a notice for the purposes of regulation 42ZCZP of the Therapeutic Goods Regulations 1990 (the Regulations). In accordance with regulation 42ZCZP, this notice sets out:</w:t>
      </w:r>
    </w:p>
    <w:p w14:paraId="37F520F7" w14:textId="7BDB42AA" w:rsidR="00522B11" w:rsidRPr="00B03B68" w:rsidRDefault="00522B11" w:rsidP="00CC381E">
      <w:pPr>
        <w:pStyle w:val="ListBullet"/>
      </w:pPr>
      <w:r w:rsidRPr="00B03B68">
        <w:t>the interim decision</w:t>
      </w:r>
      <w:r w:rsidR="00F34D3B">
        <w:t xml:space="preserve"> </w:t>
      </w:r>
      <w:r w:rsidRPr="00B03B68">
        <w:t xml:space="preserve">made by a delegate of the Secretary </w:t>
      </w:r>
      <w:r w:rsidR="006E3F78" w:rsidRPr="00501B8C">
        <w:t>of the Department of Health</w:t>
      </w:r>
      <w:r w:rsidR="00202895">
        <w:t xml:space="preserve">, Disability </w:t>
      </w:r>
      <w:r w:rsidR="006E3F78" w:rsidRPr="00501B8C">
        <w:t>and Age</w:t>
      </w:r>
      <w:r w:rsidR="00202895">
        <w:t>ing</w:t>
      </w:r>
      <w:r w:rsidR="006E3F78" w:rsidRPr="00501B8C">
        <w:t xml:space="preserve"> responsible for scheduling of medicines and chemicals (the </w:t>
      </w:r>
      <w:r w:rsidR="006E3F78" w:rsidRPr="00EE0BA9">
        <w:rPr>
          <w:b/>
          <w:bCs/>
        </w:rPr>
        <w:t>Delegate</w:t>
      </w:r>
      <w:r w:rsidR="006E3F78" w:rsidRPr="00501B8C">
        <w:t>)</w:t>
      </w:r>
      <w:r w:rsidR="006E3F78">
        <w:rPr>
          <w:rStyle w:val="FootnoteReference"/>
          <w:rFonts w:cs="Arial"/>
        </w:rPr>
        <w:footnoteReference w:id="2"/>
      </w:r>
      <w:r w:rsidR="006E3F78">
        <w:t xml:space="preserve"> </w:t>
      </w:r>
      <w:r w:rsidRPr="00B03B68">
        <w:t>under regulation 42ZCZN in relation to proposed amendment</w:t>
      </w:r>
      <w:r w:rsidR="00F34D3B">
        <w:t xml:space="preserve"> </w:t>
      </w:r>
      <w:r w:rsidRPr="00B03B68">
        <w:t xml:space="preserve">to the current Poisons Standard which </w:t>
      </w:r>
      <w:r w:rsidRPr="0032690C">
        <w:t>was</w:t>
      </w:r>
      <w:r w:rsidRPr="00B03B68">
        <w:t xml:space="preserve"> referred to an expert advisory committee</w:t>
      </w:r>
      <w:r w:rsidR="009421DD" w:rsidRPr="00F34D3B">
        <w:rPr>
          <w:vertAlign w:val="superscript"/>
        </w:rPr>
        <w:footnoteReference w:id="3"/>
      </w:r>
      <w:r w:rsidRPr="00B03B68">
        <w:t xml:space="preserve"> under subdivision 3D.2 of the Regulations in </w:t>
      </w:r>
      <w:r w:rsidR="00F34D3B">
        <w:t xml:space="preserve">November </w:t>
      </w:r>
      <w:proofErr w:type="gramStart"/>
      <w:r w:rsidR="00F34D3B">
        <w:t>2024</w:t>
      </w:r>
      <w:r w:rsidRPr="00B03B68">
        <w:t>;</w:t>
      </w:r>
      <w:proofErr w:type="gramEnd"/>
    </w:p>
    <w:p w14:paraId="51FE7C38" w14:textId="6CB1CF63" w:rsidR="00522B11" w:rsidRPr="00B03B68" w:rsidRDefault="00522B11" w:rsidP="00CC381E">
      <w:pPr>
        <w:pStyle w:val="ListBullet"/>
      </w:pPr>
      <w:r w:rsidRPr="00B03B68">
        <w:t>the proposed date of effect of the proposed amendment.</w:t>
      </w:r>
    </w:p>
    <w:p w14:paraId="2AF05E0A" w14:textId="6475CE98" w:rsidR="00522B11" w:rsidRPr="00B03B68" w:rsidRDefault="00522B11" w:rsidP="00CC381E">
      <w:r w:rsidRPr="00B03B68">
        <w:t xml:space="preserve">In accordance with regulation 42ZCZP, interested persons (including the applicant requesting the amendment) are invited to make submissions to the Secretary in relation to </w:t>
      </w:r>
      <w:r w:rsidR="00F34D3B">
        <w:t>this</w:t>
      </w:r>
      <w:r w:rsidRPr="00B03B68">
        <w:t xml:space="preserve"> interim decision</w:t>
      </w:r>
      <w:r w:rsidR="00F34D3B">
        <w:t xml:space="preserve"> </w:t>
      </w:r>
      <w:r w:rsidRPr="00B03B68">
        <w:t xml:space="preserve">on or before </w:t>
      </w:r>
      <w:r w:rsidR="00392227">
        <w:t>27</w:t>
      </w:r>
      <w:r w:rsidRPr="00EC7505">
        <w:t xml:space="preserve"> </w:t>
      </w:r>
      <w:r w:rsidR="00EC7505" w:rsidRPr="00EC7505">
        <w:t xml:space="preserve">July </w:t>
      </w:r>
      <w:r w:rsidRPr="00EC7505">
        <w:t>20</w:t>
      </w:r>
      <w:r w:rsidR="00EC7505" w:rsidRPr="00EC7505">
        <w:t>25</w:t>
      </w:r>
      <w:r w:rsidRPr="00B03B68">
        <w:t>.</w:t>
      </w:r>
    </w:p>
    <w:p w14:paraId="62547C79" w14:textId="77777777" w:rsidR="00522B11" w:rsidRPr="00B03B68" w:rsidRDefault="00522B11" w:rsidP="00CC381E">
      <w:r w:rsidRPr="00B03B68">
        <w:t xml:space="preserve">Submissions should be provided through our </w:t>
      </w:r>
      <w:hyperlink r:id="rId16" w:tgtFrame="_blank" w:history="1">
        <w:r w:rsidRPr="00B03B68">
          <w:rPr>
            <w:rStyle w:val="Hyperlink"/>
          </w:rPr>
          <w:t>consultation hub</w:t>
        </w:r>
      </w:hyperlink>
      <w:r w:rsidRPr="00B03B68">
        <w:t>. Submissions will be considered by the Delegate in making the final decision.</w:t>
      </w:r>
    </w:p>
    <w:p w14:paraId="5E381BCD" w14:textId="77777777" w:rsidR="00522B11" w:rsidRPr="00B03B68" w:rsidRDefault="00522B11" w:rsidP="00CC381E">
      <w:r w:rsidRPr="00B03B68">
        <w:t xml:space="preserve">Please note that in accordance with </w:t>
      </w:r>
      <w:proofErr w:type="spellStart"/>
      <w:r w:rsidRPr="00B03B68">
        <w:t>subregulation</w:t>
      </w:r>
      <w:proofErr w:type="spellEnd"/>
      <w:r w:rsidRPr="00B03B68">
        <w:t xml:space="preserve"> 42</w:t>
      </w:r>
      <w:proofErr w:type="gramStart"/>
      <w:r w:rsidRPr="00B03B68">
        <w:t>ZCZQ(</w:t>
      </w:r>
      <w:proofErr w:type="gramEnd"/>
      <w:r w:rsidRPr="00B03B68">
        <w:t>4) of the Regulations, the Secretary must publish all relevant submissions received, unless the Secretary considers the information to be confidential information.</w:t>
      </w:r>
    </w:p>
    <w:p w14:paraId="298F6C41" w14:textId="77777777" w:rsidR="00522B11" w:rsidRPr="00CC381E" w:rsidRDefault="00522B11" w:rsidP="00CC381E">
      <w:pPr>
        <w:rPr>
          <w:b/>
          <w:bCs/>
        </w:rPr>
      </w:pPr>
      <w:r w:rsidRPr="00CC381E">
        <w:rPr>
          <w:b/>
          <w:bCs/>
        </w:rPr>
        <w:t>Defined terms</w:t>
      </w:r>
    </w:p>
    <w:p w14:paraId="7E38B8D9" w14:textId="77777777" w:rsidR="00522B11" w:rsidRPr="00B03B68" w:rsidRDefault="00522B11" w:rsidP="00CC381E">
      <w:r w:rsidRPr="00B03B68">
        <w:t>In this notice the following defined terms are used in addition to those above:</w:t>
      </w:r>
    </w:p>
    <w:p w14:paraId="611868B9" w14:textId="77777777" w:rsidR="00522B11" w:rsidRPr="00B03B68" w:rsidRDefault="00522B11" w:rsidP="00CC381E">
      <w:pPr>
        <w:pStyle w:val="ListBullet"/>
      </w:pPr>
      <w:r w:rsidRPr="00B03B68">
        <w:t xml:space="preserve">the </w:t>
      </w:r>
      <w:r w:rsidRPr="00751544">
        <w:rPr>
          <w:i/>
          <w:iCs/>
        </w:rPr>
        <w:t>Therapeutic Goods Act 1989</w:t>
      </w:r>
      <w:r w:rsidRPr="00B03B68">
        <w:t xml:space="preserve"> (</w:t>
      </w:r>
      <w:proofErr w:type="spellStart"/>
      <w:r w:rsidRPr="00B03B68">
        <w:t>Cth</w:t>
      </w:r>
      <w:proofErr w:type="spellEnd"/>
      <w:r w:rsidRPr="00B03B68">
        <w:t>) (the Act)</w:t>
      </w:r>
    </w:p>
    <w:p w14:paraId="00765FD8" w14:textId="77777777" w:rsidR="00522B11" w:rsidRPr="00B03B68" w:rsidRDefault="00522B11" w:rsidP="00CC381E">
      <w:pPr>
        <w:pStyle w:val="ListBullet"/>
      </w:pPr>
      <w:r w:rsidRPr="00B03B68">
        <w:t>the Scheduling Policy Framework 2018 (the SPF)</w:t>
      </w:r>
    </w:p>
    <w:p w14:paraId="5847A4C1" w14:textId="77777777" w:rsidR="00522B11" w:rsidRPr="00B03B68" w:rsidRDefault="00522B11" w:rsidP="00CC381E">
      <w:pPr>
        <w:pStyle w:val="ListBullet"/>
      </w:pPr>
      <w:r w:rsidRPr="00B03B68">
        <w:t>the Scheduling handbook: Guidance for amending the Poisons Standard (the Handbook)</w:t>
      </w:r>
      <w:r w:rsidR="00CC381E">
        <w:t xml:space="preserve">, </w:t>
      </w:r>
      <w:r w:rsidRPr="00B03B68">
        <w:t>and</w:t>
      </w:r>
    </w:p>
    <w:p w14:paraId="4F885E4C" w14:textId="77777777" w:rsidR="00522B11" w:rsidRPr="00B03B68" w:rsidRDefault="00522B11" w:rsidP="00CC381E">
      <w:pPr>
        <w:pStyle w:val="ListBullet"/>
      </w:pPr>
      <w:r w:rsidRPr="00B03B68">
        <w:t>the Therapeutic Goods Administration (the TGA).</w:t>
      </w:r>
    </w:p>
    <w:p w14:paraId="447173A8" w14:textId="78C768F9" w:rsidR="5F869B2E" w:rsidRDefault="00522B11" w:rsidP="00713284">
      <w:r w:rsidRPr="00B03B68">
        <w:t>Note: additional terms are also defined for individual decisions.</w:t>
      </w:r>
      <w:r w:rsidR="009421DD" w:rsidRPr="00B03B68">
        <w:br w:type="page"/>
      </w:r>
    </w:p>
    <w:p w14:paraId="51041B53" w14:textId="6FA0D924" w:rsidR="00F02AEC" w:rsidRPr="00B03B68" w:rsidRDefault="009421DD" w:rsidP="00CC381E">
      <w:pPr>
        <w:pStyle w:val="Heading2"/>
      </w:pPr>
      <w:bookmarkStart w:id="2" w:name="_Toc199506479"/>
      <w:r w:rsidRPr="00B03B68">
        <w:lastRenderedPageBreak/>
        <w:t>Interim decision</w:t>
      </w:r>
      <w:r w:rsidR="00F34D3B">
        <w:t xml:space="preserve"> </w:t>
      </w:r>
      <w:r w:rsidRPr="00B03B68">
        <w:t xml:space="preserve">on </w:t>
      </w:r>
      <w:r w:rsidR="00F34D3B">
        <w:t xml:space="preserve">a </w:t>
      </w:r>
      <w:r w:rsidRPr="00B03B68">
        <w:t>proposed amendment referred to the Advisory Committee on Medicines Scheduling (ACMS</w:t>
      </w:r>
      <w:r w:rsidR="005212A2" w:rsidRPr="00B03B68">
        <w:t> </w:t>
      </w:r>
      <w:r w:rsidRPr="00B03B68">
        <w:t>#</w:t>
      </w:r>
      <w:r w:rsidR="00FF5F61">
        <w:t>46</w:t>
      </w:r>
      <w:r w:rsidRPr="00B03B68">
        <w:t>,</w:t>
      </w:r>
      <w:r w:rsidR="005212A2" w:rsidRPr="00B03B68">
        <w:t> </w:t>
      </w:r>
      <w:r w:rsidR="00FF5F61">
        <w:t>November</w:t>
      </w:r>
      <w:r w:rsidR="005212A2" w:rsidRPr="00B03B68">
        <w:t> </w:t>
      </w:r>
      <w:r w:rsidRPr="00B03B68">
        <w:t>20</w:t>
      </w:r>
      <w:r w:rsidR="00FF5F61">
        <w:t>24</w:t>
      </w:r>
      <w:r w:rsidRPr="00B03B68">
        <w:t>)</w:t>
      </w:r>
      <w:bookmarkEnd w:id="2"/>
    </w:p>
    <w:p w14:paraId="25991266" w14:textId="7A0F9ACB" w:rsidR="00F02AEC" w:rsidRPr="00B03B68" w:rsidRDefault="009421DD" w:rsidP="00CC381E">
      <w:pPr>
        <w:pStyle w:val="Heading3"/>
      </w:pPr>
      <w:bookmarkStart w:id="3" w:name="_Toc199506480"/>
      <w:r w:rsidRPr="00B03B68">
        <w:t xml:space="preserve">Interim decision in relation to </w:t>
      </w:r>
      <w:r w:rsidR="00FF5F61">
        <w:rPr>
          <w:lang w:eastAsia="en-AU"/>
        </w:rPr>
        <w:t>p</w:t>
      </w:r>
      <w:r w:rsidR="00FF5F61" w:rsidRPr="00C71EA4">
        <w:rPr>
          <w:lang w:eastAsia="en-AU"/>
        </w:rPr>
        <w:t>yridoxine, pyridoxal or</w:t>
      </w:r>
      <w:r w:rsidR="007A6C3D">
        <w:rPr>
          <w:lang w:eastAsia="en-AU"/>
        </w:rPr>
        <w:t xml:space="preserve"> </w:t>
      </w:r>
      <w:r w:rsidR="00FF5F61" w:rsidRPr="00C71EA4">
        <w:rPr>
          <w:lang w:eastAsia="en-AU"/>
        </w:rPr>
        <w:t>pyridoxamine</w:t>
      </w:r>
      <w:bookmarkEnd w:id="3"/>
    </w:p>
    <w:p w14:paraId="7C63A553" w14:textId="77777777" w:rsidR="009421DD" w:rsidRPr="00B03B68" w:rsidRDefault="00BF6B60" w:rsidP="00CC381E">
      <w:pPr>
        <w:pStyle w:val="Heading4"/>
      </w:pPr>
      <w:bookmarkStart w:id="4" w:name="_Toc199506481"/>
      <w:bookmarkStart w:id="5" w:name="_Toc323739592"/>
      <w:bookmarkStart w:id="6" w:name="_Toc356305219"/>
      <w:r w:rsidRPr="00B03B68">
        <w:t>Proposal</w:t>
      </w:r>
      <w:bookmarkEnd w:id="4"/>
    </w:p>
    <w:p w14:paraId="15CA4BEE" w14:textId="08A27680" w:rsidR="00BF6B60" w:rsidRPr="00B03B68" w:rsidRDefault="00FF5F61" w:rsidP="00B03B68">
      <w:r w:rsidRPr="00C71EA4">
        <w:rPr>
          <w:lang w:eastAsia="en-AU"/>
        </w:rPr>
        <w:t>The applicant has proposed to amend the current Po</w:t>
      </w:r>
      <w:r>
        <w:rPr>
          <w:lang w:eastAsia="en-AU"/>
        </w:rPr>
        <w:t>i</w:t>
      </w:r>
      <w:r w:rsidRPr="00C71EA4">
        <w:rPr>
          <w:lang w:eastAsia="en-AU"/>
        </w:rPr>
        <w:t>son</w:t>
      </w:r>
      <w:r>
        <w:rPr>
          <w:lang w:eastAsia="en-AU"/>
        </w:rPr>
        <w:t>s</w:t>
      </w:r>
      <w:r w:rsidRPr="00C71EA4">
        <w:rPr>
          <w:lang w:eastAsia="en-AU"/>
        </w:rPr>
        <w:t xml:space="preserve"> Standard in relation to </w:t>
      </w:r>
      <w:r>
        <w:rPr>
          <w:lang w:eastAsia="en-AU"/>
        </w:rPr>
        <w:t>p</w:t>
      </w:r>
      <w:r w:rsidRPr="00C71EA4">
        <w:rPr>
          <w:lang w:eastAsia="en-AU"/>
        </w:rPr>
        <w:t xml:space="preserve">yridoxine, pyridoxal </w:t>
      </w:r>
      <w:r>
        <w:rPr>
          <w:lang w:eastAsia="en-AU"/>
        </w:rPr>
        <w:t>or</w:t>
      </w:r>
      <w:r w:rsidRPr="00C71EA4">
        <w:rPr>
          <w:lang w:eastAsia="en-AU"/>
        </w:rPr>
        <w:t xml:space="preserve"> pyridoxamine </w:t>
      </w:r>
      <w:r>
        <w:rPr>
          <w:lang w:eastAsia="en-AU"/>
        </w:rPr>
        <w:t xml:space="preserve">which </w:t>
      </w:r>
      <w:r w:rsidRPr="00C71EA4">
        <w:rPr>
          <w:lang w:eastAsia="en-AU"/>
        </w:rPr>
        <w:t xml:space="preserve">are different forms of vitamin B6. Under the proposal, human therapeutic preparations containing between 5 mg and 200 mg of pyridoxine, pyridoxal or pyridoxamine would be included </w:t>
      </w:r>
      <w:r>
        <w:rPr>
          <w:lang w:eastAsia="en-AU"/>
        </w:rPr>
        <w:t>in a new Pharmacist Only Medicine (</w:t>
      </w:r>
      <w:r w:rsidRPr="00C71EA4">
        <w:rPr>
          <w:lang w:eastAsia="en-AU"/>
        </w:rPr>
        <w:t>Schedule 3)</w:t>
      </w:r>
      <w:r>
        <w:rPr>
          <w:lang w:eastAsia="en-AU"/>
        </w:rPr>
        <w:t xml:space="preserve"> entry</w:t>
      </w:r>
      <w:r w:rsidRPr="00C71EA4">
        <w:rPr>
          <w:lang w:eastAsia="en-AU"/>
        </w:rPr>
        <w:t>. These preparations are currently not scheduled.</w:t>
      </w:r>
    </w:p>
    <w:p w14:paraId="0CCF96CC" w14:textId="77777777" w:rsidR="00BF6B60" w:rsidRPr="00B03B68" w:rsidRDefault="002008D8" w:rsidP="00FF5F61">
      <w:pPr>
        <w:pStyle w:val="Heading4"/>
      </w:pPr>
      <w:bookmarkStart w:id="7" w:name="_Toc199506482"/>
      <w:r w:rsidRPr="00B03B68">
        <w:t>Interim decision</w:t>
      </w:r>
      <w:bookmarkEnd w:id="7"/>
    </w:p>
    <w:p w14:paraId="12D8BF78" w14:textId="05DF8175" w:rsidR="002008D8" w:rsidRPr="00B03B68" w:rsidRDefault="002008D8" w:rsidP="00B03B68">
      <w:r w:rsidRPr="00B03B68">
        <w:t xml:space="preserve">Pursuant to regulation 42ZCZN of the Regulations, the Delegate has, in relation to the proposed amendment, made an interim decision </w:t>
      </w:r>
      <w:r w:rsidRPr="00FF5F61">
        <w:t xml:space="preserve">to amend the current Poisons Standard in relation to </w:t>
      </w:r>
      <w:r w:rsidR="00FF5F61" w:rsidRPr="00FF5F61">
        <w:rPr>
          <w:lang w:eastAsia="en-AU"/>
        </w:rPr>
        <w:t xml:space="preserve">pyridoxine, pyridoxal </w:t>
      </w:r>
      <w:r w:rsidR="00FF5F61">
        <w:rPr>
          <w:lang w:eastAsia="en-AU"/>
        </w:rPr>
        <w:t>or</w:t>
      </w:r>
      <w:r w:rsidR="00FF5F61" w:rsidRPr="00FF5F61">
        <w:rPr>
          <w:lang w:eastAsia="en-AU"/>
        </w:rPr>
        <w:t xml:space="preserve"> pyridoxamine</w:t>
      </w:r>
      <w:r w:rsidRPr="00FF5F61">
        <w:t xml:space="preserve"> as follows:</w:t>
      </w:r>
      <w:r w:rsidR="00FF5F61">
        <w:rPr>
          <w:rStyle w:val="FootnoteReference"/>
        </w:rPr>
        <w:footnoteReference w:id="4"/>
      </w:r>
    </w:p>
    <w:p w14:paraId="2F6137E0" w14:textId="77777777" w:rsidR="00DE72C1" w:rsidRDefault="00DE72C1" w:rsidP="007814E1">
      <w:pPr>
        <w:spacing w:before="180" w:after="180" w:line="240" w:lineRule="atLeast"/>
        <w:ind w:left="426" w:hanging="142"/>
        <w:rPr>
          <w:rFonts w:eastAsia="Cambria" w:cs="Arial"/>
          <w:b/>
        </w:rPr>
      </w:pPr>
      <w:r>
        <w:rPr>
          <w:rFonts w:eastAsia="Cambria" w:cs="Arial"/>
          <w:b/>
        </w:rPr>
        <w:t>Schedule 4 – Amend entry</w:t>
      </w:r>
    </w:p>
    <w:p w14:paraId="31684A3B" w14:textId="77777777" w:rsidR="00F074F4" w:rsidRDefault="00DE72C1" w:rsidP="00DE72C1">
      <w:pPr>
        <w:spacing w:before="180" w:after="180" w:line="240" w:lineRule="atLeast"/>
        <w:ind w:left="720"/>
        <w:rPr>
          <w:rFonts w:eastAsia="Cambria" w:cs="Arial"/>
          <w:color w:val="00B050"/>
        </w:rPr>
      </w:pPr>
      <w:r w:rsidRPr="007D63FD">
        <w:rPr>
          <w:rFonts w:eastAsia="Cambria" w:cs="Arial"/>
        </w:rPr>
        <w:t xml:space="preserve">PYRIDOXINE, PYRIDOXAL OR PYRIDOXAMINE for human therapeutic use </w:t>
      </w:r>
      <w:r w:rsidRPr="00560573">
        <w:rPr>
          <w:rFonts w:eastAsia="Cambria" w:cs="Arial"/>
          <w:b/>
          <w:bCs/>
        </w:rPr>
        <w:t>except</w:t>
      </w:r>
      <w:r w:rsidR="00F074F4" w:rsidRPr="00560573">
        <w:rPr>
          <w:rFonts w:eastAsia="Cambria" w:cs="Arial"/>
          <w:b/>
          <w:bCs/>
        </w:rPr>
        <w:t>:</w:t>
      </w:r>
    </w:p>
    <w:p w14:paraId="5D92C261" w14:textId="0C590614" w:rsidR="00DE72C1" w:rsidRPr="003540C6" w:rsidRDefault="00DE72C1" w:rsidP="00DE72C1">
      <w:pPr>
        <w:spacing w:before="180" w:after="180" w:line="240" w:lineRule="atLeast"/>
        <w:ind w:left="1418" w:hanging="425"/>
        <w:rPr>
          <w:rFonts w:eastAsia="Cambria" w:cs="Arial"/>
          <w:bCs/>
          <w:strike/>
          <w:color w:val="FF0000"/>
        </w:rPr>
      </w:pPr>
      <w:r w:rsidRPr="00FB4078">
        <w:rPr>
          <w:rFonts w:eastAsia="Cambria" w:cs="Arial"/>
          <w:bCs/>
        </w:rPr>
        <w:t xml:space="preserve">(a) </w:t>
      </w:r>
      <w:r w:rsidRPr="00FB4078">
        <w:rPr>
          <w:rFonts w:eastAsia="Cambria" w:cs="Arial"/>
          <w:bCs/>
          <w:color w:val="FF0000"/>
        </w:rPr>
        <w:tab/>
      </w:r>
      <w:r w:rsidR="00FB4078" w:rsidRPr="00437B45">
        <w:rPr>
          <w:rFonts w:eastAsia="Cambria" w:cs="Arial"/>
          <w:color w:val="00B050"/>
          <w:u w:val="single"/>
        </w:rPr>
        <w:t>when included in Schedule 3</w:t>
      </w:r>
      <w:r w:rsidR="006C5875" w:rsidRPr="00437B45">
        <w:rPr>
          <w:rFonts w:eastAsia="Cambria" w:cs="Arial"/>
          <w:color w:val="00B050"/>
          <w:u w:val="single"/>
        </w:rPr>
        <w:t>; or</w:t>
      </w:r>
      <w:r w:rsidR="006C5875">
        <w:rPr>
          <w:rFonts w:eastAsia="Cambria" w:cs="Arial"/>
          <w:color w:val="00B050"/>
        </w:rPr>
        <w:t xml:space="preserve"> </w:t>
      </w:r>
      <w:r w:rsidRPr="003540C6">
        <w:rPr>
          <w:rFonts w:eastAsia="Cambria" w:cs="Arial"/>
          <w:bCs/>
          <w:strike/>
          <w:color w:val="FF0000"/>
        </w:rPr>
        <w:t xml:space="preserve">in oral preparations containing 200 mg or less but more than 50 mg of pyridoxine, pyridoxal or pyridoxamine per recommended daily dose when compliant with the requirements of the required advisory statements for medicine labels; or </w:t>
      </w:r>
    </w:p>
    <w:p w14:paraId="1B2F10DE" w14:textId="0C7EAD1F" w:rsidR="002A2130" w:rsidRPr="002A2130" w:rsidRDefault="00DE72C1" w:rsidP="00F074F4">
      <w:pPr>
        <w:pStyle w:val="ListBulleti"/>
      </w:pPr>
      <w:r w:rsidRPr="003540C6">
        <w:t xml:space="preserve"> (b) </w:t>
      </w:r>
      <w:r w:rsidRPr="003540C6">
        <w:tab/>
        <w:t>in oral preparations containing 50 mg or less of pyridoxine, pyridoxal or pyridoxamine per recommended daily dose.</w:t>
      </w:r>
    </w:p>
    <w:p w14:paraId="27AA1F11" w14:textId="77777777" w:rsidR="00AF3AE3" w:rsidRPr="00AF3AE3" w:rsidRDefault="00AF3AE3" w:rsidP="00AF3AE3">
      <w:pPr>
        <w:ind w:firstLine="284"/>
        <w:rPr>
          <w:b/>
          <w:bCs/>
        </w:rPr>
      </w:pPr>
      <w:r w:rsidRPr="00AF3AE3">
        <w:rPr>
          <w:b/>
          <w:bCs/>
        </w:rPr>
        <w:t>Schedule 3 – New Entry</w:t>
      </w:r>
    </w:p>
    <w:p w14:paraId="33A8AABC" w14:textId="28D57FB3" w:rsidR="007814E1" w:rsidRPr="00437B45" w:rsidRDefault="00AF3AE3" w:rsidP="00AF3AE3">
      <w:pPr>
        <w:ind w:left="709"/>
        <w:rPr>
          <w:u w:val="single"/>
        </w:rPr>
      </w:pPr>
      <w:r w:rsidRPr="00437B45">
        <w:rPr>
          <w:color w:val="00B050"/>
          <w:u w:val="single"/>
        </w:rPr>
        <w:t xml:space="preserve">PYRIDOXINE, PYRIDOXAL OR PYRIDOXAMINE for human therapeutic use in oral preparations containing </w:t>
      </w:r>
      <w:r w:rsidR="0078744B" w:rsidRPr="00437B45">
        <w:rPr>
          <w:color w:val="00B050"/>
          <w:u w:val="single"/>
        </w:rPr>
        <w:t xml:space="preserve">more </w:t>
      </w:r>
      <w:r w:rsidR="006953C0" w:rsidRPr="00437B45">
        <w:rPr>
          <w:color w:val="00B050"/>
          <w:u w:val="single"/>
        </w:rPr>
        <w:t xml:space="preserve">than 50 mg </w:t>
      </w:r>
      <w:r w:rsidR="0078744B" w:rsidRPr="00437B45">
        <w:rPr>
          <w:color w:val="00B050"/>
          <w:u w:val="single"/>
        </w:rPr>
        <w:t xml:space="preserve">but less than </w:t>
      </w:r>
      <w:r w:rsidRPr="00437B45">
        <w:rPr>
          <w:color w:val="00B050"/>
          <w:u w:val="single"/>
        </w:rPr>
        <w:t>200 mg of pyridoxine, pyridoxal or pyridoxamine per recommended daily dose.</w:t>
      </w:r>
    </w:p>
    <w:p w14:paraId="7AB55C16" w14:textId="77777777" w:rsidR="002008D8" w:rsidRPr="00B03B68" w:rsidRDefault="002008D8" w:rsidP="002A2130">
      <w:pPr>
        <w:ind w:firstLine="284"/>
      </w:pPr>
      <w:r w:rsidRPr="00CC381E">
        <w:rPr>
          <w:b/>
          <w:bCs/>
        </w:rPr>
        <w:t>Index –</w:t>
      </w:r>
      <w:r w:rsidRPr="00B03B68">
        <w:t xml:space="preserve"> </w:t>
      </w:r>
      <w:r w:rsidR="00CC381E" w:rsidRPr="00CC381E">
        <w:rPr>
          <w:b/>
          <w:bCs/>
        </w:rPr>
        <w:t>New /Amend/ Delete Entry</w:t>
      </w:r>
    </w:p>
    <w:p w14:paraId="36C56EDC" w14:textId="77777777" w:rsidR="00C05E41" w:rsidRPr="00391E1E" w:rsidRDefault="00C05E41" w:rsidP="00C05E41">
      <w:pPr>
        <w:spacing w:before="180" w:after="180" w:line="240" w:lineRule="atLeast"/>
        <w:ind w:left="720"/>
        <w:rPr>
          <w:rFonts w:eastAsia="Cambria" w:cs="Arial"/>
        </w:rPr>
      </w:pPr>
      <w:r w:rsidRPr="00391E1E">
        <w:rPr>
          <w:rFonts w:eastAsia="Cambria" w:cs="Arial"/>
        </w:rPr>
        <w:t>PYRIDOXINE, PYRIDOXAL OR PYRIDOXAMINE</w:t>
      </w:r>
    </w:p>
    <w:p w14:paraId="4F3AB328" w14:textId="77777777" w:rsidR="00C05E41" w:rsidRPr="00391E1E" w:rsidRDefault="00C05E41" w:rsidP="00C05E41">
      <w:pPr>
        <w:spacing w:before="180" w:after="180" w:line="240" w:lineRule="atLeast"/>
        <w:ind w:left="720"/>
        <w:rPr>
          <w:rFonts w:eastAsia="Cambria" w:cs="Arial"/>
        </w:rPr>
      </w:pPr>
      <w:r w:rsidRPr="00391E1E">
        <w:rPr>
          <w:rFonts w:eastAsia="Cambria" w:cs="Arial"/>
        </w:rPr>
        <w:t>Schedule 4</w:t>
      </w:r>
    </w:p>
    <w:p w14:paraId="1A9AB6A0" w14:textId="19F7D914" w:rsidR="002008D8" w:rsidRPr="00437B45" w:rsidRDefault="00C05E41" w:rsidP="00C05E41">
      <w:pPr>
        <w:ind w:firstLine="720"/>
        <w:rPr>
          <w:u w:val="single"/>
        </w:rPr>
      </w:pPr>
      <w:r w:rsidRPr="00437B45">
        <w:rPr>
          <w:rFonts w:eastAsia="Cambria" w:cs="Arial"/>
          <w:color w:val="00B050"/>
          <w:u w:val="single"/>
        </w:rPr>
        <w:t>Schedule 3</w:t>
      </w:r>
    </w:p>
    <w:p w14:paraId="6741862F" w14:textId="77777777" w:rsidR="00C05E41" w:rsidRDefault="00C05E41">
      <w:pPr>
        <w:rPr>
          <w:rFonts w:eastAsia="Cambria" w:cs="Times New Roman"/>
          <w:bCs/>
          <w:color w:val="001871"/>
          <w:sz w:val="28"/>
          <w:szCs w:val="26"/>
        </w:rPr>
      </w:pPr>
      <w:bookmarkStart w:id="8" w:name="_Toc199506483"/>
      <w:r>
        <w:br w:type="page"/>
      </w:r>
    </w:p>
    <w:p w14:paraId="3C5CCAB4" w14:textId="5065AA42" w:rsidR="00205945" w:rsidRPr="00B03B68" w:rsidRDefault="00205945" w:rsidP="00A042CD">
      <w:pPr>
        <w:pStyle w:val="Heading4"/>
      </w:pPr>
      <w:r w:rsidRPr="00B03B68">
        <w:lastRenderedPageBreak/>
        <w:t>Materials considered</w:t>
      </w:r>
      <w:bookmarkEnd w:id="8"/>
    </w:p>
    <w:p w14:paraId="4ED9262B" w14:textId="77777777" w:rsidR="005A34E2" w:rsidRPr="00B03B68" w:rsidRDefault="00205945" w:rsidP="00B03B68">
      <w:r w:rsidRPr="00B03B68">
        <w:t>In making this interim decision, the Delegate considered the following material:</w:t>
      </w:r>
    </w:p>
    <w:p w14:paraId="7B9A2419" w14:textId="3E624A66" w:rsidR="00205945" w:rsidRPr="00B03B68" w:rsidRDefault="00205945" w:rsidP="00A042CD">
      <w:pPr>
        <w:pStyle w:val="ListBullet"/>
      </w:pPr>
      <w:r w:rsidRPr="00B03B68">
        <w:t>The</w:t>
      </w:r>
      <w:sdt>
        <w:sdtPr>
          <w:alias w:val="Hyperlink to TGA website"/>
          <w:tag w:val="Hyperlink to TGA website"/>
          <w:id w:val="41648376"/>
          <w:placeholder>
            <w:docPart w:val="87F372D2617446C995170ED79404A4C1"/>
          </w:placeholder>
        </w:sdtPr>
        <w:sdtEndPr/>
        <w:sdtContent>
          <w:r w:rsidRPr="00B03B68">
            <w:t xml:space="preserve"> application</w:t>
          </w:r>
        </w:sdtContent>
      </w:sdt>
      <w:r w:rsidRPr="00B03B68">
        <w:t xml:space="preserve"> to amend the current Poisons Standard with respect to </w:t>
      </w:r>
      <w:sdt>
        <w:sdtPr>
          <w:id w:val="-1679116484"/>
          <w:placeholder>
            <w:docPart w:val="167393964D7B4CE580B22DEA52A620E0"/>
          </w:placeholder>
        </w:sdtPr>
        <w:sdtEndPr>
          <w:rPr>
            <w:highlight w:val="yellow"/>
          </w:rPr>
        </w:sdtEndPr>
        <w:sdtContent>
          <w:r w:rsidR="00FF5F61" w:rsidRPr="00FF5F61">
            <w:t xml:space="preserve">pyridoxine, pyridoxal </w:t>
          </w:r>
          <w:r w:rsidR="00FF5F61">
            <w:t>or</w:t>
          </w:r>
          <w:r w:rsidR="00FF5F61" w:rsidRPr="00FF5F61">
            <w:t xml:space="preserve"> pyridoxamine</w:t>
          </w:r>
        </w:sdtContent>
      </w:sdt>
      <w:r w:rsidRPr="00B03B68">
        <w:t xml:space="preserve"> (the Application)</w:t>
      </w:r>
    </w:p>
    <w:p w14:paraId="6367C32C" w14:textId="2500D759" w:rsidR="005A34E2" w:rsidRPr="00B03B68" w:rsidRDefault="00205945" w:rsidP="00A042CD">
      <w:pPr>
        <w:pStyle w:val="ListBullet"/>
      </w:pPr>
      <w:r w:rsidRPr="00B03B68">
        <w:t>T</w:t>
      </w:r>
      <w:sdt>
        <w:sdtPr>
          <w:id w:val="-189071562"/>
          <w:placeholder>
            <w:docPart w:val="731CF32895634A92B66C10BC3BC60079"/>
          </w:placeholder>
        </w:sdtPr>
        <w:sdtEndPr/>
        <w:sdtContent>
          <w:r w:rsidRPr="00B03B68">
            <w:t xml:space="preserve">he </w:t>
          </w:r>
          <w:r w:rsidR="00437B45">
            <w:t>21</w:t>
          </w:r>
          <w:r w:rsidRPr="00B03B68">
            <w:t xml:space="preserve"> public submissions, with </w:t>
          </w:r>
          <w:r w:rsidR="00437B45">
            <w:t>20</w:t>
          </w:r>
          <w:r w:rsidRPr="00B03B68">
            <w:t xml:space="preserve"> including a written component, received in response to the pre-meeting consultation under regulation 42ZCZK of the Regulations</w:t>
          </w:r>
        </w:sdtContent>
      </w:sdt>
      <w:r w:rsidRPr="00B03B68">
        <w:t xml:space="preserve"> (the Submissions)</w:t>
      </w:r>
    </w:p>
    <w:p w14:paraId="1EB76500" w14:textId="4B26E211" w:rsidR="00205945" w:rsidRPr="00B03B68" w:rsidRDefault="00205945" w:rsidP="00A042CD">
      <w:pPr>
        <w:pStyle w:val="ListBullet"/>
      </w:pPr>
      <w:r w:rsidRPr="00B03B68">
        <w:t>T</w:t>
      </w:r>
      <w:sdt>
        <w:sdtPr>
          <w:id w:val="-1404066247"/>
          <w:placeholder>
            <w:docPart w:val="167393964D7B4CE580B22DEA52A620E0"/>
          </w:placeholder>
        </w:sdtPr>
        <w:sdtEndPr>
          <w:rPr>
            <w:highlight w:val="yellow"/>
          </w:rPr>
        </w:sdtEndPr>
        <w:sdtContent>
          <w:proofErr w:type="gramStart"/>
          <w:r w:rsidRPr="00B03B68">
            <w:t>he</w:t>
          </w:r>
          <w:proofErr w:type="gramEnd"/>
          <w:r w:rsidRPr="00B03B68">
            <w:t xml:space="preserve"> advice received from the </w:t>
          </w:r>
          <w:r w:rsidR="00FF5F61">
            <w:t>46</w:t>
          </w:r>
          <w:r w:rsidR="00FF5F61" w:rsidRPr="00FF5F61">
            <w:rPr>
              <w:vertAlign w:val="superscript"/>
            </w:rPr>
            <w:t>th</w:t>
          </w:r>
          <w:r w:rsidR="00FF5F61">
            <w:t xml:space="preserve"> </w:t>
          </w:r>
          <w:r w:rsidRPr="00B03B68">
            <w:t xml:space="preserve">meeting of the </w:t>
          </w:r>
          <w:r w:rsidRPr="00FF5F61">
            <w:t xml:space="preserve">Advisory Committee on Medicines Scheduling </w:t>
          </w:r>
        </w:sdtContent>
      </w:sdt>
      <w:r w:rsidRPr="00B03B68">
        <w:t xml:space="preserve"> (the Committee)</w:t>
      </w:r>
    </w:p>
    <w:p w14:paraId="7CAA67B2" w14:textId="77777777" w:rsidR="00205945" w:rsidRPr="00B03B68" w:rsidRDefault="00205945" w:rsidP="00A042CD">
      <w:pPr>
        <w:pStyle w:val="ListBullet"/>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3059086F" w14:textId="77777777" w:rsidR="00205945" w:rsidRPr="00B03B68" w:rsidRDefault="00205945" w:rsidP="00A042CD">
      <w:pPr>
        <w:pStyle w:val="ListBullet"/>
      </w:pPr>
      <w:r w:rsidRPr="00B03B68">
        <w:t>The SPF</w:t>
      </w:r>
      <w:r w:rsidR="004667F5" w:rsidRPr="00B03B68">
        <w:t>,</w:t>
      </w:r>
      <w:r w:rsidRPr="00B03B68">
        <w:t xml:space="preserve"> and</w:t>
      </w:r>
    </w:p>
    <w:p w14:paraId="62A54C09" w14:textId="77777777" w:rsidR="00205945" w:rsidRPr="00B03B68" w:rsidRDefault="00205945" w:rsidP="00A042CD">
      <w:pPr>
        <w:pStyle w:val="ListBullet"/>
      </w:pPr>
      <w:r w:rsidRPr="00B03B68">
        <w:t>The</w:t>
      </w:r>
      <w:r w:rsidR="009031DD" w:rsidRPr="00B03B68">
        <w:t xml:space="preserve"> Handbook</w:t>
      </w:r>
      <w:r w:rsidRPr="00B03B68">
        <w:t>.</w:t>
      </w:r>
    </w:p>
    <w:p w14:paraId="7A62DA92" w14:textId="77777777" w:rsidR="009031DD" w:rsidRPr="00B03B68" w:rsidRDefault="009031DD" w:rsidP="00A042CD">
      <w:pPr>
        <w:pStyle w:val="Heading4"/>
      </w:pPr>
      <w:bookmarkStart w:id="9" w:name="_Toc199506484"/>
      <w:r w:rsidRPr="00B03B68">
        <w:t>Summary of Committee advice to the Delegate</w:t>
      </w:r>
      <w:bookmarkEnd w:id="9"/>
    </w:p>
    <w:p w14:paraId="3D68030F" w14:textId="6555163A" w:rsidR="00FF5F61" w:rsidRDefault="009031DD" w:rsidP="00FF5F61">
      <w:r w:rsidRPr="005849DA">
        <w:t xml:space="preserve">The Committee recommended that the current </w:t>
      </w:r>
      <w:r w:rsidR="005849DA" w:rsidRPr="005849DA">
        <w:t>scheduling of</w:t>
      </w:r>
      <w:r w:rsidRPr="005849DA">
        <w:t xml:space="preserve"> </w:t>
      </w:r>
      <w:r w:rsidR="00FF5F61" w:rsidRPr="005849DA">
        <w:t>pyridoxine, pyridoxal or pyridoxamine</w:t>
      </w:r>
      <w:r w:rsidRPr="005849DA">
        <w:t xml:space="preserve"> remains appropriate</w:t>
      </w:r>
      <w:r w:rsidR="00FF5F61" w:rsidRPr="005849DA">
        <w:t>.</w:t>
      </w:r>
      <w:r w:rsidR="00FF5F61">
        <w:t xml:space="preserve"> </w:t>
      </w:r>
      <w:r w:rsidR="003370B6" w:rsidRPr="003370B6">
        <w:t xml:space="preserve">The </w:t>
      </w:r>
      <w:r w:rsidR="00F24561">
        <w:t>C</w:t>
      </w:r>
      <w:r w:rsidR="003370B6" w:rsidRPr="003370B6">
        <w:t xml:space="preserve">ommittee considered that consumer behaviour and lack of awareness are the major drivers for the adverse events generally associated with vitamin B6 over-consumption. </w:t>
      </w:r>
      <w:r w:rsidR="000B56D7">
        <w:t xml:space="preserve">The Committee </w:t>
      </w:r>
      <w:r w:rsidR="0049412C">
        <w:t>advised that s</w:t>
      </w:r>
      <w:r w:rsidR="003370B6" w:rsidRPr="003370B6">
        <w:t>cheduling is not the appropriate regulatory instrument to control the risk of overconsumption from multiple sources and there is not enough information to justify the amendments proposed by the applicant.</w:t>
      </w:r>
      <w:r w:rsidR="00501553">
        <w:t xml:space="preserve"> </w:t>
      </w:r>
      <w:r w:rsidR="00501553" w:rsidRPr="00501553">
        <w:t>Instead, the Committee recommended that that the TGA should consider:</w:t>
      </w:r>
    </w:p>
    <w:p w14:paraId="4BBB9A3A" w14:textId="5004EEDE" w:rsidR="00501553" w:rsidRDefault="00501553" w:rsidP="00501553">
      <w:pPr>
        <w:pStyle w:val="ListBullet"/>
      </w:pPr>
      <w:r w:rsidRPr="00501553">
        <w:t>education campaigns to increase public awareness of adverse effects of overconsumption of vitamin B6</w:t>
      </w:r>
    </w:p>
    <w:p w14:paraId="5FD4AF75" w14:textId="69C5E060" w:rsidR="00501553" w:rsidRDefault="00501553" w:rsidP="00501553">
      <w:pPr>
        <w:pStyle w:val="ListBullet"/>
      </w:pPr>
      <w:r w:rsidRPr="00501553">
        <w:t xml:space="preserve">using ‘vitamin B6’ instead </w:t>
      </w:r>
      <w:r w:rsidR="007F0A83">
        <w:t xml:space="preserve">of </w:t>
      </w:r>
      <w:r w:rsidRPr="00501553">
        <w:t>‘pyridoxine’ on labels for better consumer understanding</w:t>
      </w:r>
    </w:p>
    <w:p w14:paraId="248CCA87" w14:textId="155D56A5" w:rsidR="00501553" w:rsidRPr="00B03B68" w:rsidRDefault="00501553" w:rsidP="00501553">
      <w:pPr>
        <w:pStyle w:val="ListBullet"/>
      </w:pPr>
      <w:r w:rsidRPr="00501553">
        <w:t>strengthening the labelling requirements either through stronger wording of warning statements and/or clearer labelling for the presence of vitamin B6 in products.</w:t>
      </w:r>
    </w:p>
    <w:p w14:paraId="689BF60A" w14:textId="292F1D62" w:rsidR="002008D8" w:rsidRPr="00B03B68" w:rsidRDefault="009031DD" w:rsidP="00B03B68">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w:t>
      </w:r>
      <w:r w:rsidR="003370B6">
        <w:t xml:space="preserve">; </w:t>
      </w:r>
      <w:r w:rsidRPr="00B03B68">
        <w:t>and (f) any other matters that the Secretary considers necessary to protect public health.</w:t>
      </w:r>
    </w:p>
    <w:p w14:paraId="423AC9E8" w14:textId="17668623" w:rsidR="00915A60" w:rsidRPr="00B03B68" w:rsidRDefault="00915A60" w:rsidP="00B03B68">
      <w:r w:rsidRPr="00B03B68">
        <w:t>The reasons for the advice include:</w:t>
      </w:r>
    </w:p>
    <w:p w14:paraId="64608ED0" w14:textId="77777777" w:rsidR="00915A60" w:rsidRDefault="00915A60" w:rsidP="00C91779">
      <w:pPr>
        <w:pStyle w:val="Heading5"/>
        <w:numPr>
          <w:ilvl w:val="0"/>
          <w:numId w:val="11"/>
        </w:numPr>
      </w:pPr>
      <w:r w:rsidRPr="00B03B68">
        <w:t>the risks and benefits of the use of a substance</w:t>
      </w:r>
    </w:p>
    <w:p w14:paraId="6753B0FB" w14:textId="77777777" w:rsidR="00915A60" w:rsidRDefault="00915A60" w:rsidP="001330F6">
      <w:pPr>
        <w:pStyle w:val="Heading6"/>
      </w:pPr>
      <w:r w:rsidRPr="00B03B68">
        <w:t>Risks:</w:t>
      </w:r>
    </w:p>
    <w:p w14:paraId="10B96AD9" w14:textId="22A6BA6F" w:rsidR="001330F6" w:rsidRPr="001658BE" w:rsidRDefault="003370B6" w:rsidP="001330F6">
      <w:pPr>
        <w:pStyle w:val="ListBullet2"/>
        <w:rPr>
          <w:color w:val="auto"/>
        </w:rPr>
      </w:pPr>
      <w:bookmarkStart w:id="10" w:name="_Hlk166666329"/>
      <w:r w:rsidRPr="001658BE">
        <w:rPr>
          <w:color w:val="auto"/>
        </w:rPr>
        <w:t>Vitamin B6 can be consumed at doses higher than the recommended daily intake, including through the consumption of a variety of supplement products.</w:t>
      </w:r>
    </w:p>
    <w:p w14:paraId="62944AAB" w14:textId="13F5C53E" w:rsidR="003370B6" w:rsidRPr="001658BE" w:rsidRDefault="003370B6" w:rsidP="001330F6">
      <w:pPr>
        <w:pStyle w:val="ListBullet2"/>
        <w:rPr>
          <w:color w:val="auto"/>
        </w:rPr>
      </w:pPr>
      <w:r w:rsidRPr="001658BE">
        <w:rPr>
          <w:color w:val="auto"/>
        </w:rPr>
        <w:t>Predominantly high doses and/or prolonged use has been linked with peripheral neuropathy. However, there are case reports at low doses and consensus regarding a safe threshold is lacking.</w:t>
      </w:r>
    </w:p>
    <w:bookmarkEnd w:id="10"/>
    <w:p w14:paraId="4BF6F702" w14:textId="77777777" w:rsidR="00915A60" w:rsidRDefault="00915A60" w:rsidP="001330F6">
      <w:pPr>
        <w:pStyle w:val="Heading6"/>
      </w:pPr>
      <w:r w:rsidRPr="00B03B68">
        <w:t>Benefits:</w:t>
      </w:r>
    </w:p>
    <w:p w14:paraId="5C6EE90F" w14:textId="4FCB6F79" w:rsidR="001330F6" w:rsidRPr="001658BE" w:rsidRDefault="003370B6" w:rsidP="001330F6">
      <w:pPr>
        <w:pStyle w:val="ListBullet2"/>
        <w:rPr>
          <w:color w:val="auto"/>
        </w:rPr>
      </w:pPr>
      <w:r w:rsidRPr="001658BE">
        <w:rPr>
          <w:color w:val="auto"/>
        </w:rPr>
        <w:t>Limited data is available for the benefit of vitamin B6 for pre-menstrual symptoms and pregnancy-related nausea and vomiting.</w:t>
      </w:r>
    </w:p>
    <w:p w14:paraId="39B19EE2" w14:textId="1F0FE25A" w:rsidR="003370B6" w:rsidRPr="001658BE" w:rsidRDefault="003370B6" w:rsidP="001330F6">
      <w:pPr>
        <w:pStyle w:val="ListBullet2"/>
        <w:rPr>
          <w:color w:val="auto"/>
        </w:rPr>
      </w:pPr>
      <w:r w:rsidRPr="001658BE">
        <w:rPr>
          <w:color w:val="auto"/>
        </w:rPr>
        <w:lastRenderedPageBreak/>
        <w:t>There is very limited data regarding the benefit of vitamin B6 for cardiovascular disease prevention and general wellbeing.</w:t>
      </w:r>
    </w:p>
    <w:p w14:paraId="12232A7F" w14:textId="4276D7AF" w:rsidR="003370B6" w:rsidRPr="001658BE" w:rsidRDefault="003370B6" w:rsidP="001330F6">
      <w:pPr>
        <w:pStyle w:val="ListBullet2"/>
        <w:rPr>
          <w:color w:val="auto"/>
        </w:rPr>
      </w:pPr>
      <w:r w:rsidRPr="001658BE">
        <w:rPr>
          <w:color w:val="auto"/>
        </w:rPr>
        <w:t>Higher doses have a minor use in treating rare paediatric epilepsy syndromes.</w:t>
      </w:r>
    </w:p>
    <w:p w14:paraId="791C11C9" w14:textId="77777777" w:rsidR="00915A60" w:rsidRPr="00B03B68" w:rsidRDefault="00915A60" w:rsidP="00C91779">
      <w:pPr>
        <w:pStyle w:val="Heading5"/>
        <w:numPr>
          <w:ilvl w:val="0"/>
          <w:numId w:val="11"/>
        </w:numPr>
      </w:pPr>
      <w:r w:rsidRPr="00B03B68">
        <w:t>the purposes for which a substance is to be used and the extent of use of a substance</w:t>
      </w:r>
    </w:p>
    <w:p w14:paraId="44E33FB5" w14:textId="4B67F47E" w:rsidR="001330F6" w:rsidRPr="001658BE" w:rsidRDefault="003370B6" w:rsidP="001330F6">
      <w:pPr>
        <w:pStyle w:val="ListBullet2"/>
        <w:rPr>
          <w:color w:val="auto"/>
        </w:rPr>
      </w:pPr>
      <w:r w:rsidRPr="001658BE">
        <w:rPr>
          <w:color w:val="auto"/>
        </w:rPr>
        <w:t>Used to treat vitamin B6 deficiency.</w:t>
      </w:r>
    </w:p>
    <w:p w14:paraId="4095D1EA" w14:textId="4A09670F" w:rsidR="003370B6" w:rsidRPr="001658BE" w:rsidRDefault="003370B6" w:rsidP="001330F6">
      <w:pPr>
        <w:pStyle w:val="ListBullet2"/>
        <w:rPr>
          <w:color w:val="auto"/>
        </w:rPr>
      </w:pPr>
      <w:r w:rsidRPr="001658BE">
        <w:rPr>
          <w:color w:val="auto"/>
        </w:rPr>
        <w:t>Included in large number of supplements with a variety of listed benefits including use in treating pre-menstrual symptoms, pregnancy-related nausea and vomiting, prevention of cardiovascular diseases and stress management.</w:t>
      </w:r>
    </w:p>
    <w:p w14:paraId="472966E3" w14:textId="77777777" w:rsidR="00915A60" w:rsidRPr="00B03B68" w:rsidRDefault="00915A60" w:rsidP="00C91779">
      <w:pPr>
        <w:pStyle w:val="Heading5"/>
        <w:numPr>
          <w:ilvl w:val="0"/>
          <w:numId w:val="11"/>
        </w:numPr>
      </w:pPr>
      <w:r w:rsidRPr="00B03B68">
        <w:t>the toxicity of a substance</w:t>
      </w:r>
    </w:p>
    <w:p w14:paraId="1A5CEEDB" w14:textId="549A4955" w:rsidR="00B96678" w:rsidRPr="001658BE" w:rsidRDefault="003370B6" w:rsidP="00B96678">
      <w:pPr>
        <w:pStyle w:val="ListBullet2"/>
        <w:rPr>
          <w:color w:val="auto"/>
        </w:rPr>
      </w:pPr>
      <w:r w:rsidRPr="001658BE">
        <w:rPr>
          <w:color w:val="auto"/>
        </w:rPr>
        <w:t>Vitamin B6 has been associated with peripheral neuropathy generally at high doses (&gt;500 mg/day) and prolonged duration but cases at lower doses have been reported.</w:t>
      </w:r>
    </w:p>
    <w:p w14:paraId="0AC05F07" w14:textId="7E9EC244" w:rsidR="003370B6" w:rsidRPr="001658BE" w:rsidRDefault="003370B6" w:rsidP="00B96678">
      <w:pPr>
        <w:pStyle w:val="ListBullet2"/>
        <w:rPr>
          <w:color w:val="auto"/>
        </w:rPr>
      </w:pPr>
      <w:r w:rsidRPr="001658BE">
        <w:rPr>
          <w:color w:val="auto"/>
        </w:rPr>
        <w:t>There is uncertainty regarding a safe daily dose and a large variation in daily upper limits set by different countries.</w:t>
      </w:r>
    </w:p>
    <w:p w14:paraId="1CCBBC67" w14:textId="77777777" w:rsidR="00915A60" w:rsidRPr="00B03B68" w:rsidRDefault="00915A60" w:rsidP="00C91779">
      <w:pPr>
        <w:pStyle w:val="Heading5"/>
        <w:numPr>
          <w:ilvl w:val="0"/>
          <w:numId w:val="11"/>
        </w:numPr>
      </w:pPr>
      <w:r w:rsidRPr="00B03B68">
        <w:t>the dosage, formulation, labelling, packaging and presentation of a substance</w:t>
      </w:r>
    </w:p>
    <w:p w14:paraId="42F26D9B" w14:textId="63E58FB8" w:rsidR="003370B6" w:rsidRPr="001658BE" w:rsidRDefault="003370B6" w:rsidP="003370B6">
      <w:pPr>
        <w:pStyle w:val="ListBullet2"/>
        <w:rPr>
          <w:color w:val="auto"/>
        </w:rPr>
      </w:pPr>
      <w:r w:rsidRPr="001658BE">
        <w:rPr>
          <w:color w:val="auto"/>
        </w:rPr>
        <w:t>Presented as capsules, tablets, liquids, chewable tablets and sublingual tablets.</w:t>
      </w:r>
    </w:p>
    <w:p w14:paraId="1A0D205E" w14:textId="1B5696D8" w:rsidR="003370B6" w:rsidRPr="001658BE" w:rsidRDefault="003370B6" w:rsidP="003370B6">
      <w:pPr>
        <w:pStyle w:val="ListBullet2"/>
        <w:rPr>
          <w:color w:val="auto"/>
        </w:rPr>
      </w:pPr>
      <w:r w:rsidRPr="001658BE">
        <w:rPr>
          <w:color w:val="auto"/>
        </w:rPr>
        <w:t>Can be single ingredient or included in multi-ingredient preparations.</w:t>
      </w:r>
    </w:p>
    <w:p w14:paraId="14913257" w14:textId="63B5A68B" w:rsidR="003370B6" w:rsidRPr="001658BE" w:rsidRDefault="003370B6" w:rsidP="003370B6">
      <w:pPr>
        <w:pStyle w:val="ListBullet2"/>
        <w:rPr>
          <w:color w:val="auto"/>
        </w:rPr>
      </w:pPr>
      <w:r w:rsidRPr="001658BE">
        <w:rPr>
          <w:color w:val="auto"/>
        </w:rPr>
        <w:t>Dosage ranges from less than 2 mg to 100 mg recommended daily dose (RDD) which are currently unscheduled</w:t>
      </w:r>
      <w:r w:rsidR="000F3235">
        <w:rPr>
          <w:color w:val="auto"/>
        </w:rPr>
        <w:t xml:space="preserve"> (</w:t>
      </w:r>
      <w:r w:rsidR="000F3235" w:rsidRPr="000F3235">
        <w:rPr>
          <w:color w:val="auto"/>
        </w:rPr>
        <w:t xml:space="preserve">when compliant with the requirements of the </w:t>
      </w:r>
      <w:r w:rsidR="006E640C">
        <w:rPr>
          <w:color w:val="auto"/>
        </w:rPr>
        <w:t>R</w:t>
      </w:r>
      <w:r w:rsidR="006E640C" w:rsidRPr="000F3235">
        <w:rPr>
          <w:color w:val="auto"/>
        </w:rPr>
        <w:t xml:space="preserve">equired </w:t>
      </w:r>
      <w:r w:rsidR="006E640C">
        <w:rPr>
          <w:color w:val="auto"/>
        </w:rPr>
        <w:t>A</w:t>
      </w:r>
      <w:r w:rsidR="006E640C" w:rsidRPr="000F3235">
        <w:rPr>
          <w:color w:val="auto"/>
        </w:rPr>
        <w:t xml:space="preserve">dvisory </w:t>
      </w:r>
      <w:r w:rsidR="006E640C">
        <w:rPr>
          <w:color w:val="auto"/>
        </w:rPr>
        <w:t>S</w:t>
      </w:r>
      <w:r w:rsidR="006E640C" w:rsidRPr="000F3235">
        <w:rPr>
          <w:color w:val="auto"/>
        </w:rPr>
        <w:t xml:space="preserve">tatements </w:t>
      </w:r>
      <w:r w:rsidR="000F3235" w:rsidRPr="000F3235">
        <w:rPr>
          <w:color w:val="auto"/>
        </w:rPr>
        <w:t xml:space="preserve">for </w:t>
      </w:r>
      <w:r w:rsidR="006E640C">
        <w:rPr>
          <w:color w:val="auto"/>
        </w:rPr>
        <w:t>M</w:t>
      </w:r>
      <w:r w:rsidR="006E640C" w:rsidRPr="000F3235">
        <w:rPr>
          <w:color w:val="auto"/>
        </w:rPr>
        <w:t xml:space="preserve">edicine </w:t>
      </w:r>
      <w:r w:rsidR="006E640C">
        <w:rPr>
          <w:color w:val="auto"/>
        </w:rPr>
        <w:t>L</w:t>
      </w:r>
      <w:r w:rsidR="006E640C" w:rsidRPr="000F3235">
        <w:rPr>
          <w:color w:val="auto"/>
        </w:rPr>
        <w:t>abels</w:t>
      </w:r>
      <w:r w:rsidR="000F3235">
        <w:rPr>
          <w:color w:val="auto"/>
        </w:rPr>
        <w:t>)</w:t>
      </w:r>
      <w:r w:rsidRPr="001658BE">
        <w:rPr>
          <w:color w:val="auto"/>
        </w:rPr>
        <w:t xml:space="preserve">; higher doses (&gt; 200 mg) are available on prescription. </w:t>
      </w:r>
    </w:p>
    <w:p w14:paraId="1A81B910" w14:textId="31328EED" w:rsidR="003370B6" w:rsidRPr="00A00CB3" w:rsidRDefault="003370B6" w:rsidP="003370B6">
      <w:pPr>
        <w:pStyle w:val="ListBullet2"/>
        <w:rPr>
          <w:color w:val="auto"/>
        </w:rPr>
      </w:pPr>
      <w:r w:rsidRPr="001658BE">
        <w:rPr>
          <w:color w:val="auto"/>
        </w:rPr>
        <w:t xml:space="preserve">Presence of vitamin B6 in multi-ingredient products </w:t>
      </w:r>
      <w:r w:rsidR="00BB3D24">
        <w:rPr>
          <w:color w:val="auto"/>
        </w:rPr>
        <w:t>is</w:t>
      </w:r>
      <w:r w:rsidR="00BB3D24" w:rsidRPr="00A00CB3">
        <w:rPr>
          <w:color w:val="auto"/>
        </w:rPr>
        <w:t xml:space="preserve"> </w:t>
      </w:r>
      <w:r w:rsidRPr="00A00CB3">
        <w:rPr>
          <w:color w:val="auto"/>
        </w:rPr>
        <w:t>often not prominently displayed.</w:t>
      </w:r>
    </w:p>
    <w:p w14:paraId="6B6416CB" w14:textId="683767CB" w:rsidR="00915A60" w:rsidRPr="00A00CB3" w:rsidRDefault="004E7A05" w:rsidP="00C91779">
      <w:pPr>
        <w:pStyle w:val="ListBullet2"/>
        <w:rPr>
          <w:color w:val="auto"/>
        </w:rPr>
      </w:pPr>
      <w:r>
        <w:rPr>
          <w:color w:val="auto"/>
        </w:rPr>
        <w:t>Use of i</w:t>
      </w:r>
      <w:r w:rsidR="003370B6" w:rsidRPr="00A00CB3">
        <w:rPr>
          <w:color w:val="auto"/>
        </w:rPr>
        <w:t>ngredient names in label</w:t>
      </w:r>
      <w:r>
        <w:rPr>
          <w:color w:val="auto"/>
        </w:rPr>
        <w:t>ling</w:t>
      </w:r>
      <w:r w:rsidR="003370B6" w:rsidRPr="00A00CB3" w:rsidDel="004E7A05">
        <w:rPr>
          <w:color w:val="auto"/>
        </w:rPr>
        <w:t xml:space="preserve"> </w:t>
      </w:r>
      <w:r>
        <w:rPr>
          <w:color w:val="auto"/>
        </w:rPr>
        <w:t>is</w:t>
      </w:r>
      <w:r w:rsidR="003370B6" w:rsidRPr="00A00CB3">
        <w:rPr>
          <w:color w:val="auto"/>
        </w:rPr>
        <w:t xml:space="preserve"> inconsistent and confusing for consumers (pyridoxine, pyridoxine hydrochloride, pyridoxal 5-phosphate, and pyridoxal 5-phosphate monohydrate are used and not always described as vitamin B6).</w:t>
      </w:r>
    </w:p>
    <w:p w14:paraId="79CB4DEC" w14:textId="77777777" w:rsidR="00915A60" w:rsidRPr="00B03B68" w:rsidRDefault="00915A60" w:rsidP="00C91779">
      <w:pPr>
        <w:pStyle w:val="Heading5"/>
        <w:numPr>
          <w:ilvl w:val="0"/>
          <w:numId w:val="11"/>
        </w:numPr>
      </w:pPr>
      <w:r w:rsidRPr="00B03B68">
        <w:t>the potential for abuse of a substance</w:t>
      </w:r>
    </w:p>
    <w:p w14:paraId="07795165" w14:textId="552D9CE4" w:rsidR="00B96678" w:rsidRPr="00A00CB3" w:rsidRDefault="00501553" w:rsidP="00B96678">
      <w:pPr>
        <w:pStyle w:val="ListBullet2"/>
        <w:rPr>
          <w:color w:val="auto"/>
        </w:rPr>
      </w:pPr>
      <w:r w:rsidRPr="00A00CB3">
        <w:rPr>
          <w:color w:val="auto"/>
        </w:rPr>
        <w:t>Nil.</w:t>
      </w:r>
    </w:p>
    <w:p w14:paraId="76014345" w14:textId="77777777" w:rsidR="00915A60" w:rsidRDefault="00915A60" w:rsidP="00C91779">
      <w:pPr>
        <w:pStyle w:val="Heading5"/>
        <w:numPr>
          <w:ilvl w:val="0"/>
          <w:numId w:val="11"/>
        </w:numPr>
      </w:pPr>
      <w:r w:rsidRPr="00B03B68">
        <w:t>any other matters that the Secretary considers necessary to protect public health</w:t>
      </w:r>
    </w:p>
    <w:p w14:paraId="297EA92D" w14:textId="03D70121" w:rsidR="00B96678" w:rsidRPr="00A00CB3" w:rsidRDefault="00501553" w:rsidP="00B96678">
      <w:pPr>
        <w:pStyle w:val="ListBullet2"/>
        <w:rPr>
          <w:color w:val="auto"/>
        </w:rPr>
      </w:pPr>
      <w:r w:rsidRPr="00A00CB3">
        <w:rPr>
          <w:color w:val="auto"/>
        </w:rPr>
        <w:t>Lack of consumer awareness of adverse side effects.</w:t>
      </w:r>
    </w:p>
    <w:p w14:paraId="0B78D917" w14:textId="69701FD3" w:rsidR="00501553" w:rsidRPr="00A00CB3" w:rsidRDefault="00501553" w:rsidP="00B96678">
      <w:pPr>
        <w:pStyle w:val="ListBullet2"/>
        <w:rPr>
          <w:color w:val="auto"/>
        </w:rPr>
      </w:pPr>
      <w:r w:rsidRPr="00A00CB3">
        <w:rPr>
          <w:color w:val="auto"/>
        </w:rPr>
        <w:t xml:space="preserve">Risk of overconsumption from a variety of sources including dietary, fortified foods, vitamins and supplements (single ingredient and multi-ingredient, including some magnesium formulations </w:t>
      </w:r>
      <w:r w:rsidR="00C452B4">
        <w:rPr>
          <w:color w:val="auto"/>
        </w:rPr>
        <w:t>providing a daily do</w:t>
      </w:r>
      <w:r w:rsidR="005241F2">
        <w:rPr>
          <w:color w:val="auto"/>
        </w:rPr>
        <w:t>se of</w:t>
      </w:r>
      <w:r w:rsidR="00C452B4" w:rsidRPr="00A00CB3">
        <w:rPr>
          <w:color w:val="auto"/>
        </w:rPr>
        <w:t xml:space="preserve"> </w:t>
      </w:r>
      <w:r w:rsidRPr="00A00CB3">
        <w:rPr>
          <w:color w:val="auto"/>
        </w:rPr>
        <w:t>nearly 100 mg of vitamin B6).</w:t>
      </w:r>
    </w:p>
    <w:p w14:paraId="505481C0" w14:textId="2A70B2B8" w:rsidR="00501553" w:rsidRPr="00E25AAC" w:rsidRDefault="00C36102" w:rsidP="00B96678">
      <w:pPr>
        <w:pStyle w:val="ListBullet2"/>
        <w:rPr>
          <w:color w:val="auto"/>
        </w:rPr>
      </w:pPr>
      <w:r>
        <w:rPr>
          <w:color w:val="auto"/>
        </w:rPr>
        <w:t>I</w:t>
      </w:r>
      <w:r w:rsidR="00501553" w:rsidRPr="00E25AAC">
        <w:rPr>
          <w:color w:val="auto"/>
        </w:rPr>
        <w:t xml:space="preserve">ncreased use of supplements and growing awareness of ability to report </w:t>
      </w:r>
      <w:r>
        <w:rPr>
          <w:color w:val="auto"/>
        </w:rPr>
        <w:t>may</w:t>
      </w:r>
      <w:r w:rsidRPr="00E25AAC">
        <w:rPr>
          <w:color w:val="auto"/>
        </w:rPr>
        <w:t xml:space="preserve"> </w:t>
      </w:r>
      <w:r w:rsidR="00501553" w:rsidRPr="00E25AAC">
        <w:rPr>
          <w:color w:val="auto"/>
        </w:rPr>
        <w:t>have contributed to increased reports of peripheral neuropathy.</w:t>
      </w:r>
    </w:p>
    <w:p w14:paraId="726C1E34" w14:textId="77777777" w:rsidR="001977DF" w:rsidRDefault="001977DF">
      <w:pPr>
        <w:rPr>
          <w:rFonts w:eastAsia="Cambria" w:cs="Times New Roman"/>
          <w:bCs/>
          <w:color w:val="001871"/>
          <w:sz w:val="28"/>
          <w:szCs w:val="26"/>
        </w:rPr>
      </w:pPr>
      <w:bookmarkStart w:id="11" w:name="_Toc199506485"/>
      <w:r>
        <w:br w:type="page"/>
      </w:r>
    </w:p>
    <w:p w14:paraId="04BE115C" w14:textId="62304FA3" w:rsidR="00915A60" w:rsidRPr="00B03B68" w:rsidRDefault="00915A60" w:rsidP="00A042CD">
      <w:pPr>
        <w:pStyle w:val="Heading4"/>
      </w:pPr>
      <w:r w:rsidRPr="00B03B68">
        <w:lastRenderedPageBreak/>
        <w:t>Reasons for the interim decision (including findings on material questions of fact)</w:t>
      </w:r>
      <w:bookmarkEnd w:id="11"/>
    </w:p>
    <w:p w14:paraId="0AACA734" w14:textId="17EF70FC" w:rsidR="00915A60" w:rsidRPr="00B03B68" w:rsidRDefault="00007AC9" w:rsidP="00B03B68">
      <w:r>
        <w:t xml:space="preserve">While I </w:t>
      </w:r>
      <w:r w:rsidR="00915A60" w:rsidRPr="00501553">
        <w:t>agree</w:t>
      </w:r>
      <w:r w:rsidR="00915A60" w:rsidRPr="00B03B68">
        <w:t xml:space="preserve"> with the Committee's findings on the relevant provisions of section 52E of the Act</w:t>
      </w:r>
      <w:r w:rsidR="005C5747">
        <w:t>, I disagree with the Committee’s scheduling recommendation</w:t>
      </w:r>
      <w:r w:rsidR="003060F1">
        <w:t xml:space="preserve"> to not amend the Poisons Standard</w:t>
      </w:r>
      <w:r w:rsidR="00915A60" w:rsidRPr="00B03B68">
        <w:t>.</w:t>
      </w:r>
      <w:r w:rsidR="000B2B26">
        <w:t xml:space="preserve"> I also disagree with the applicant’s proposal </w:t>
      </w:r>
      <w:r w:rsidR="006F4B69">
        <w:t xml:space="preserve">to restrict all preparations containing 5-200 mg of </w:t>
      </w:r>
      <w:r w:rsidR="00825D7A">
        <w:t xml:space="preserve">vitamin B6 </w:t>
      </w:r>
      <w:r w:rsidR="00081DD7">
        <w:t>(</w:t>
      </w:r>
      <w:r w:rsidR="00081DD7" w:rsidRPr="005849DA">
        <w:t>pyridoxine, pyridoxal or pyridoxamine</w:t>
      </w:r>
      <w:r w:rsidR="00081DD7">
        <w:t xml:space="preserve">) </w:t>
      </w:r>
      <w:r w:rsidR="00825D7A">
        <w:t>as Pharmacist Only medicines (Schedule 3).</w:t>
      </w:r>
    </w:p>
    <w:p w14:paraId="3ED04528" w14:textId="467C7205" w:rsidR="00A6512D" w:rsidRDefault="00915A60" w:rsidP="00B03B68">
      <w:r w:rsidRPr="00B03B68">
        <w:t xml:space="preserve">I have considered </w:t>
      </w:r>
      <w:r w:rsidRPr="009E58F5">
        <w:t xml:space="preserve">the </w:t>
      </w:r>
      <w:r w:rsidR="00A6512D" w:rsidRPr="009E58F5">
        <w:t>17</w:t>
      </w:r>
      <w:r w:rsidRPr="009E58F5">
        <w:t xml:space="preserve"> public</w:t>
      </w:r>
      <w:r w:rsidRPr="00B03B68">
        <w:t xml:space="preserve"> submissions received during the pre-meeting consultation </w:t>
      </w:r>
      <w:r w:rsidR="00A6512D">
        <w:t xml:space="preserve">of which </w:t>
      </w:r>
      <w:r w:rsidR="00A6512D" w:rsidDel="005E31BE">
        <w:t>15</w:t>
      </w:r>
      <w:r w:rsidR="005E31BE">
        <w:t> </w:t>
      </w:r>
      <w:r w:rsidR="00A6512D">
        <w:t>opposed the proposal and 14 provided written justification for their opposing views.</w:t>
      </w:r>
      <w:r w:rsidRPr="00B03B68">
        <w:t xml:space="preserve"> </w:t>
      </w:r>
      <w:r w:rsidR="00A6512D">
        <w:t>The main points raised in opposition are</w:t>
      </w:r>
      <w:r w:rsidR="00235080">
        <w:t xml:space="preserve"> summarised below.</w:t>
      </w:r>
    </w:p>
    <w:p w14:paraId="39343051" w14:textId="7081BCA7" w:rsidR="00235080" w:rsidRDefault="00235080" w:rsidP="00DD5645">
      <w:pPr>
        <w:pStyle w:val="ListBullet"/>
      </w:pPr>
      <w:r>
        <w:t>Peripheral neuropathy is associated with high dosage (above 100 mg/day) taken over a long period of time and symptoms generally improve after discontinuation.</w:t>
      </w:r>
    </w:p>
    <w:p w14:paraId="63607226" w14:textId="3876B1D7" w:rsidR="00235080" w:rsidRDefault="00235080" w:rsidP="00DD5645">
      <w:pPr>
        <w:pStyle w:val="ListBullet"/>
      </w:pPr>
      <w:r>
        <w:t>Cases of p</w:t>
      </w:r>
      <w:r w:rsidR="00A6512D">
        <w:t>eripheral neuropathy are</w:t>
      </w:r>
      <w:r>
        <w:t xml:space="preserve"> rare</w:t>
      </w:r>
      <w:r w:rsidR="004F3C9C">
        <w:t>,</w:t>
      </w:r>
      <w:r>
        <w:t xml:space="preserve"> particularly at dosage</w:t>
      </w:r>
      <w:r w:rsidR="00EB3D3C">
        <w:t>s</w:t>
      </w:r>
      <w:r>
        <w:t xml:space="preserve"> below 50 mg/day</w:t>
      </w:r>
      <w:r w:rsidR="00EB3D3C">
        <w:t>,</w:t>
      </w:r>
      <w:r>
        <w:t xml:space="preserve"> and the risk is negligible when compared to the number of products available and large volume of sales.</w:t>
      </w:r>
    </w:p>
    <w:p w14:paraId="4E395114" w14:textId="1CC9502D" w:rsidR="00DD5645" w:rsidRDefault="00AB74DF" w:rsidP="00DD5645">
      <w:pPr>
        <w:pStyle w:val="ListBullet"/>
      </w:pPr>
      <w:r>
        <w:t>Interpretation of d</w:t>
      </w:r>
      <w:r w:rsidR="00DD5645" w:rsidRPr="00DD5645">
        <w:t>ata available, including TGA’s D</w:t>
      </w:r>
      <w:r w:rsidR="00DD5645">
        <w:t>atabase of Adverse Events (D</w:t>
      </w:r>
      <w:r w:rsidR="00DD5645" w:rsidRPr="00DD5645">
        <w:t>AEN</w:t>
      </w:r>
      <w:r w:rsidR="00DD5645">
        <w:t>)</w:t>
      </w:r>
      <w:r w:rsidR="009D64FE">
        <w:t>,</w:t>
      </w:r>
      <w:r w:rsidR="00DD5645" w:rsidRPr="00DD5645">
        <w:t xml:space="preserve"> </w:t>
      </w:r>
      <w:r w:rsidR="008D7B48">
        <w:t>is limited by the minimal amount of information</w:t>
      </w:r>
      <w:r w:rsidR="00DD5645" w:rsidRPr="00DD5645">
        <w:t xml:space="preserve"> regarding exact dose consumed, formulation and symptoms recorded (self-observed or diagnosed by medical professional)</w:t>
      </w:r>
      <w:r w:rsidR="00521C57">
        <w:t>.</w:t>
      </w:r>
      <w:r w:rsidR="00DD5645">
        <w:t xml:space="preserve"> </w:t>
      </w:r>
      <w:r w:rsidR="008675B1">
        <w:t>A</w:t>
      </w:r>
      <w:r w:rsidR="00DD5645">
        <w:t xml:space="preserve"> causal relationship between higher intake of vitamin B6 and peripheral neuropathy cannot be clearly established.</w:t>
      </w:r>
    </w:p>
    <w:p w14:paraId="65846E22" w14:textId="67BB13EA" w:rsidR="00A6512D" w:rsidRDefault="00DD5645" w:rsidP="00DD5645">
      <w:pPr>
        <w:pStyle w:val="ListBullet"/>
      </w:pPr>
      <w:r w:rsidRPr="00DD5645">
        <w:t>The current labelling requir</w:t>
      </w:r>
      <w:r>
        <w:t>ements</w:t>
      </w:r>
      <w:r w:rsidRPr="00DD5645">
        <w:t xml:space="preserve"> for listed medicines providing more than 10 mg RDD</w:t>
      </w:r>
      <w:r w:rsidR="001C1BF9">
        <w:t xml:space="preserve"> </w:t>
      </w:r>
      <w:r w:rsidR="003F51B9">
        <w:t xml:space="preserve">commenced on </w:t>
      </w:r>
      <w:r>
        <w:t>1 March 202</w:t>
      </w:r>
      <w:r w:rsidR="003F51B9">
        <w:t xml:space="preserve">2 with a </w:t>
      </w:r>
      <w:r w:rsidR="001977DF">
        <w:t>1-year</w:t>
      </w:r>
      <w:r w:rsidR="003F51B9">
        <w:t xml:space="preserve"> transition period</w:t>
      </w:r>
      <w:r w:rsidR="001D72AB">
        <w:t xml:space="preserve">. </w:t>
      </w:r>
      <w:r w:rsidR="005A0D40">
        <w:t>I</w:t>
      </w:r>
      <w:r w:rsidR="00F7165F">
        <w:t>ndustry consider</w:t>
      </w:r>
      <w:r w:rsidR="005A0D40">
        <w:t>s</w:t>
      </w:r>
      <w:r w:rsidR="00F7165F">
        <w:t xml:space="preserve"> the</w:t>
      </w:r>
      <w:r w:rsidR="000F6F81">
        <w:t xml:space="preserve"> new requirements </w:t>
      </w:r>
      <w:r w:rsidR="0047615D">
        <w:t xml:space="preserve">practical and adequate in </w:t>
      </w:r>
      <w:r w:rsidR="006E640C">
        <w:t xml:space="preserve">communicating </w:t>
      </w:r>
      <w:r w:rsidR="0047615D">
        <w:t xml:space="preserve">the </w:t>
      </w:r>
      <w:r w:rsidR="009C0ACF">
        <w:t>risks</w:t>
      </w:r>
      <w:r w:rsidR="002D6BDD">
        <w:t xml:space="preserve"> from excess inta</w:t>
      </w:r>
      <w:r w:rsidR="001601C0">
        <w:t>ke of vitamin B6</w:t>
      </w:r>
      <w:r w:rsidR="00BE6E52">
        <w:t xml:space="preserve"> and the</w:t>
      </w:r>
      <w:r w:rsidR="00212F43">
        <w:t xml:space="preserve"> impact of the</w:t>
      </w:r>
      <w:r w:rsidR="00A04630">
        <w:t xml:space="preserve">se </w:t>
      </w:r>
      <w:r w:rsidR="00F8039A">
        <w:t>regulatory changes</w:t>
      </w:r>
      <w:r w:rsidR="00AF0196">
        <w:t xml:space="preserve"> </w:t>
      </w:r>
      <w:r w:rsidR="00BE6E52">
        <w:t>are</w:t>
      </w:r>
      <w:r w:rsidR="001977DF">
        <w:t xml:space="preserve"> </w:t>
      </w:r>
      <w:r w:rsidR="00210202">
        <w:t xml:space="preserve">not </w:t>
      </w:r>
      <w:r w:rsidR="006E640C">
        <w:t xml:space="preserve">yet </w:t>
      </w:r>
      <w:r w:rsidR="00210202">
        <w:t>fully realised.</w:t>
      </w:r>
    </w:p>
    <w:p w14:paraId="7364C5AC" w14:textId="68B1118C" w:rsidR="00DD5645" w:rsidRDefault="00DD5645" w:rsidP="00DD5645">
      <w:pPr>
        <w:pStyle w:val="ListBullet"/>
      </w:pPr>
      <w:r>
        <w:t>The proposed cut-off level of 5 mg RDD is not supported in the literature and will impact more than 1,500 listed medicines imposing a</w:t>
      </w:r>
      <w:r w:rsidR="004D697A">
        <w:t>n immense</w:t>
      </w:r>
      <w:r>
        <w:t xml:space="preserve"> regulatory burden</w:t>
      </w:r>
      <w:r w:rsidR="006352B7">
        <w:t xml:space="preserve"> for sponsors and pharmacies</w:t>
      </w:r>
      <w:r>
        <w:t>.</w:t>
      </w:r>
    </w:p>
    <w:p w14:paraId="1C9732E2" w14:textId="0D8CF2FC" w:rsidR="00915A60" w:rsidRDefault="00A6512D" w:rsidP="00B03B68">
      <w:pPr>
        <w:rPr>
          <w:rFonts w:eastAsia="Cambria" w:cs="Arial"/>
          <w:lang w:val="en"/>
        </w:rPr>
      </w:pPr>
      <w:r>
        <w:t>One</w:t>
      </w:r>
      <w:r w:rsidR="00915A60" w:rsidRPr="00B03B68">
        <w:t xml:space="preserve"> response </w:t>
      </w:r>
      <w:r>
        <w:t>was</w:t>
      </w:r>
      <w:r w:rsidR="00915A60" w:rsidRPr="00B03B68">
        <w:t xml:space="preserve"> fully supportive of the applicant’s proposal</w:t>
      </w:r>
      <w:r>
        <w:t>, and 1 was</w:t>
      </w:r>
      <w:r w:rsidR="00915A60" w:rsidRPr="00B03B68">
        <w:t xml:space="preserve"> partially supportive</w:t>
      </w:r>
      <w:r>
        <w:t>. Both provided written justification</w:t>
      </w:r>
      <w:r w:rsidR="00915A60" w:rsidRPr="00B03B68">
        <w:t xml:space="preserve"> </w:t>
      </w:r>
      <w:r>
        <w:t xml:space="preserve">for their support. </w:t>
      </w:r>
      <w:r>
        <w:rPr>
          <w:rFonts w:eastAsia="Cambria" w:cs="Arial"/>
          <w:lang w:val="en"/>
        </w:rPr>
        <w:t>The supporters consider the proposal to be a</w:t>
      </w:r>
      <w:r w:rsidRPr="001F4D84">
        <w:rPr>
          <w:rFonts w:eastAsia="Cambria" w:cs="Arial"/>
          <w:lang w:val="en"/>
        </w:rPr>
        <w:t xml:space="preserve"> sensible balance between public health safety and consumer access</w:t>
      </w:r>
      <w:r>
        <w:rPr>
          <w:rFonts w:eastAsia="Cambria" w:cs="Arial"/>
          <w:lang w:val="en"/>
        </w:rPr>
        <w:t xml:space="preserve"> where p</w:t>
      </w:r>
      <w:r w:rsidRPr="001F4D84">
        <w:rPr>
          <w:rFonts w:eastAsia="Cambria" w:cs="Arial"/>
          <w:lang w:val="en"/>
        </w:rPr>
        <w:t>harmacist involv</w:t>
      </w:r>
      <w:r>
        <w:rPr>
          <w:rFonts w:eastAsia="Cambria" w:cs="Arial"/>
          <w:lang w:val="en"/>
        </w:rPr>
        <w:t>ement</w:t>
      </w:r>
      <w:r w:rsidRPr="001F4D84">
        <w:rPr>
          <w:rFonts w:eastAsia="Cambria" w:cs="Arial"/>
          <w:lang w:val="en"/>
        </w:rPr>
        <w:t xml:space="preserve"> can address the lack of consumer awareness regarding potential risks associated with </w:t>
      </w:r>
      <w:r>
        <w:rPr>
          <w:rFonts w:eastAsia="Cambria" w:cs="Arial"/>
          <w:lang w:val="en"/>
        </w:rPr>
        <w:t xml:space="preserve">consuming </w:t>
      </w:r>
      <w:r w:rsidRPr="001F4D84">
        <w:rPr>
          <w:rFonts w:eastAsia="Cambria" w:cs="Arial"/>
          <w:lang w:val="en"/>
        </w:rPr>
        <w:t xml:space="preserve">multiple </w:t>
      </w:r>
      <w:r>
        <w:rPr>
          <w:rFonts w:eastAsia="Cambria" w:cs="Arial"/>
          <w:lang w:val="en"/>
        </w:rPr>
        <w:t xml:space="preserve">products containing </w:t>
      </w:r>
      <w:r w:rsidRPr="001F4D84">
        <w:rPr>
          <w:rFonts w:eastAsia="Cambria" w:cs="Arial"/>
          <w:lang w:val="en"/>
        </w:rPr>
        <w:t>vitamin B6</w:t>
      </w:r>
      <w:r w:rsidRPr="005C2B2A">
        <w:rPr>
          <w:rFonts w:eastAsia="Cambria" w:cs="Arial"/>
          <w:lang w:val="en"/>
        </w:rPr>
        <w:t>.</w:t>
      </w:r>
    </w:p>
    <w:p w14:paraId="5FE4B960" w14:textId="1C054FFE" w:rsidR="00DD5645" w:rsidRDefault="00865832" w:rsidP="00B03B68">
      <w:r>
        <w:t>I dis</w:t>
      </w:r>
      <w:r w:rsidR="00491362">
        <w:t xml:space="preserve">agree with both </w:t>
      </w:r>
      <w:r w:rsidR="004A7775">
        <w:t xml:space="preserve">the Committee’s </w:t>
      </w:r>
      <w:r w:rsidR="00186423">
        <w:t xml:space="preserve">recommendation </w:t>
      </w:r>
      <w:r w:rsidR="004A7775">
        <w:t xml:space="preserve">and </w:t>
      </w:r>
      <w:r w:rsidR="00572316">
        <w:t xml:space="preserve">the </w:t>
      </w:r>
      <w:r w:rsidR="00923657">
        <w:t>majority view</w:t>
      </w:r>
      <w:r w:rsidR="00502F5F">
        <w:t xml:space="preserve"> </w:t>
      </w:r>
      <w:r w:rsidR="00921A91">
        <w:t>of</w:t>
      </w:r>
      <w:r w:rsidR="00905B19">
        <w:t xml:space="preserve"> </w:t>
      </w:r>
      <w:r w:rsidR="004A7775">
        <w:t xml:space="preserve">not amending the scheduling of </w:t>
      </w:r>
      <w:r w:rsidR="004A7775" w:rsidRPr="004A7775">
        <w:t>pyridoxine, pyridoxal or pyridoxamine</w:t>
      </w:r>
      <w:r w:rsidR="006E3B3C">
        <w:t>. In doing</w:t>
      </w:r>
      <w:r w:rsidR="00FB79E1">
        <w:t xml:space="preserve"> so</w:t>
      </w:r>
      <w:r w:rsidR="007B3261">
        <w:t>,</w:t>
      </w:r>
      <w:r w:rsidR="004A7775">
        <w:t xml:space="preserve"> </w:t>
      </w:r>
      <w:r w:rsidR="004D4361">
        <w:t>I have</w:t>
      </w:r>
      <w:r w:rsidR="004A7775">
        <w:t xml:space="preserve"> considered the following</w:t>
      </w:r>
      <w:r w:rsidR="00664765">
        <w:t xml:space="preserve"> matters</w:t>
      </w:r>
      <w:r w:rsidR="004A7775">
        <w:t>.</w:t>
      </w:r>
    </w:p>
    <w:p w14:paraId="620EE045" w14:textId="223C9BFB" w:rsidR="003B28FA" w:rsidRPr="001458AE" w:rsidRDefault="003B28FA" w:rsidP="005B3DEF">
      <w:pPr>
        <w:rPr>
          <w:b/>
          <w:i/>
        </w:rPr>
      </w:pPr>
      <w:r w:rsidRPr="001458AE">
        <w:rPr>
          <w:b/>
          <w:i/>
        </w:rPr>
        <w:t>Vitamin B</w:t>
      </w:r>
      <w:r w:rsidR="004B1166" w:rsidRPr="001458AE">
        <w:rPr>
          <w:b/>
          <w:i/>
        </w:rPr>
        <w:t xml:space="preserve">6 </w:t>
      </w:r>
      <w:r w:rsidR="004B6B18" w:rsidRPr="001458AE">
        <w:rPr>
          <w:b/>
          <w:bCs/>
          <w:i/>
          <w:iCs/>
        </w:rPr>
        <w:t>function</w:t>
      </w:r>
    </w:p>
    <w:p w14:paraId="0225097B" w14:textId="59D7BC8A" w:rsidR="00B47845" w:rsidRDefault="00B47845" w:rsidP="005B3DEF">
      <w:r w:rsidRPr="00B47845">
        <w:t xml:space="preserve">Vitamin B6 </w:t>
      </w:r>
      <w:r w:rsidR="00236AA8">
        <w:t xml:space="preserve">is a </w:t>
      </w:r>
      <w:r w:rsidR="00973C77">
        <w:t>water-soluble</w:t>
      </w:r>
      <w:r w:rsidR="00236AA8">
        <w:t xml:space="preserve"> vitamin that </w:t>
      </w:r>
      <w:r w:rsidRPr="00B47845">
        <w:t xml:space="preserve">acts as a co-enzyme in </w:t>
      </w:r>
      <w:r w:rsidR="00973C77">
        <w:t xml:space="preserve">more than </w:t>
      </w:r>
      <w:r w:rsidR="00A67DC0">
        <w:t>150</w:t>
      </w:r>
      <w:r w:rsidRPr="00B47845">
        <w:t xml:space="preserve"> enzymatic reactions in the metabolism of amino acids, carbohydrates and lipids.</w:t>
      </w:r>
      <w:r w:rsidR="00A67DC0">
        <w:rPr>
          <w:rStyle w:val="FootnoteReference"/>
        </w:rPr>
        <w:footnoteReference w:id="5"/>
      </w:r>
      <w:r w:rsidRPr="00B47845">
        <w:t xml:space="preserve"> Vitamin B6 is also important for the synthesis of many neurotransmitters, haemoglobin formation and immune functions.</w:t>
      </w:r>
      <w:r w:rsidR="004B6B18">
        <w:t xml:space="preserve"> </w:t>
      </w:r>
      <w:r w:rsidR="004B6B18" w:rsidRPr="004B6B18">
        <w:t>Vitamin B6 deficiency can cause peripheral neuropathy, seborrheic dermatitis, glossitis, and cheilosis, and, in adults, confusion and seizures.</w:t>
      </w:r>
    </w:p>
    <w:p w14:paraId="12D42C66" w14:textId="12507176" w:rsidR="00DC4DC1" w:rsidRPr="001458AE" w:rsidRDefault="00DC4DC1" w:rsidP="005B3DEF">
      <w:pPr>
        <w:rPr>
          <w:b/>
          <w:i/>
        </w:rPr>
      </w:pPr>
      <w:r w:rsidRPr="001458AE">
        <w:rPr>
          <w:b/>
          <w:i/>
        </w:rPr>
        <w:t xml:space="preserve">Dietary </w:t>
      </w:r>
      <w:r w:rsidR="004B1166" w:rsidRPr="001458AE">
        <w:rPr>
          <w:b/>
          <w:i/>
        </w:rPr>
        <w:t>requirements</w:t>
      </w:r>
    </w:p>
    <w:p w14:paraId="3FFFE5F6" w14:textId="00003791" w:rsidR="005319E7" w:rsidRDefault="009470EB" w:rsidP="005B3DEF">
      <w:r>
        <w:t>Vitamin B6</w:t>
      </w:r>
      <w:r w:rsidRPr="00712582">
        <w:t xml:space="preserve"> is found in a wide range of foods including meats, breakfast cereals, vegetables and fruits.</w:t>
      </w:r>
      <w:r w:rsidR="006D3102">
        <w:t xml:space="preserve"> </w:t>
      </w:r>
      <w:r w:rsidR="003524F9" w:rsidRPr="00712582">
        <w:t>In Australia, the estimated average requirement for vitamin B6 for adults is 1.1</w:t>
      </w:r>
      <w:r w:rsidR="003524F9">
        <w:t xml:space="preserve"> to </w:t>
      </w:r>
      <w:r w:rsidR="003524F9" w:rsidRPr="00712582">
        <w:t xml:space="preserve">1.3 mg/day and </w:t>
      </w:r>
      <w:r w:rsidR="00E249B3">
        <w:t xml:space="preserve">the </w:t>
      </w:r>
      <w:r w:rsidR="003524F9" w:rsidRPr="00712582">
        <w:t>recommended dietary intake</w:t>
      </w:r>
      <w:r w:rsidR="005719B9">
        <w:t xml:space="preserve"> (RDI)</w:t>
      </w:r>
      <w:r w:rsidR="003524F9" w:rsidRPr="00712582">
        <w:t xml:space="preserve"> </w:t>
      </w:r>
      <w:r w:rsidR="003524F9">
        <w:t>is</w:t>
      </w:r>
      <w:r w:rsidR="003524F9" w:rsidRPr="00712582">
        <w:t xml:space="preserve"> 1.3 </w:t>
      </w:r>
      <w:r w:rsidR="003524F9">
        <w:t xml:space="preserve">to </w:t>
      </w:r>
      <w:r w:rsidR="003524F9" w:rsidRPr="00712582">
        <w:t>1.7 mg/day.</w:t>
      </w:r>
      <w:r w:rsidR="00403473">
        <w:rPr>
          <w:rStyle w:val="FootnoteReference"/>
        </w:rPr>
        <w:footnoteReference w:id="6"/>
      </w:r>
      <w:r w:rsidR="003524F9">
        <w:t xml:space="preserve"> </w:t>
      </w:r>
      <w:r w:rsidR="00C85848">
        <w:t xml:space="preserve">Despite </w:t>
      </w:r>
      <w:r w:rsidR="00CE79D0">
        <w:t xml:space="preserve">many Australians </w:t>
      </w:r>
      <w:r w:rsidR="00C85848">
        <w:t xml:space="preserve">not </w:t>
      </w:r>
      <w:r w:rsidR="00C85848" w:rsidRPr="00C85848">
        <w:t xml:space="preserve">eating the recommended serves of the 5 food groups </w:t>
      </w:r>
      <w:r w:rsidR="00CE79D0">
        <w:t xml:space="preserve">each day </w:t>
      </w:r>
      <w:r w:rsidR="00C85848" w:rsidRPr="00C85848">
        <w:t xml:space="preserve">and consuming a high amount of discretionary food, the nutrient intake of Australians, as a whole, </w:t>
      </w:r>
      <w:r w:rsidR="006E640C">
        <w:t>is</w:t>
      </w:r>
      <w:r w:rsidR="006E640C" w:rsidRPr="00C85848">
        <w:t xml:space="preserve"> </w:t>
      </w:r>
      <w:r w:rsidR="00C85848" w:rsidRPr="00C85848">
        <w:t>not adversely affected</w:t>
      </w:r>
      <w:r w:rsidR="00825485">
        <w:t>.</w:t>
      </w:r>
      <w:r w:rsidR="00C85848" w:rsidDel="00825485">
        <w:t xml:space="preserve"> </w:t>
      </w:r>
      <w:r w:rsidR="00C85848" w:rsidRPr="00C85848">
        <w:t>Australians generally get enough key nutrients in their diet.</w:t>
      </w:r>
      <w:r w:rsidR="00C85848">
        <w:rPr>
          <w:rStyle w:val="FootnoteReference"/>
        </w:rPr>
        <w:footnoteReference w:id="7"/>
      </w:r>
    </w:p>
    <w:p w14:paraId="6D9DD515" w14:textId="65508A56" w:rsidR="00B314A3" w:rsidRDefault="007001DE" w:rsidP="00FA61BB">
      <w:r>
        <w:lastRenderedPageBreak/>
        <w:t>For example, b</w:t>
      </w:r>
      <w:r w:rsidR="003524F9">
        <w:t xml:space="preserve">ased on the vitamin B6 content in various foods, </w:t>
      </w:r>
      <w:r w:rsidR="005719B9">
        <w:t xml:space="preserve">one serve of breakfast cereal (30 g), one cup of mashed potato, one medium banana and one </w:t>
      </w:r>
      <w:r w:rsidR="0086658E">
        <w:t xml:space="preserve">portion of </w:t>
      </w:r>
      <w:r w:rsidR="005719B9">
        <w:t>chicken breast (85</w:t>
      </w:r>
      <w:r w:rsidR="0086658E">
        <w:t> </w:t>
      </w:r>
      <w:r w:rsidR="005719B9">
        <w:t xml:space="preserve">g) </w:t>
      </w:r>
      <w:r w:rsidR="00247789">
        <w:t>is expected to</w:t>
      </w:r>
      <w:r w:rsidR="005719B9" w:rsidDel="00247789">
        <w:t xml:space="preserve"> </w:t>
      </w:r>
      <w:r w:rsidR="005719B9">
        <w:t>provide 2 mg of vitamin B6.</w:t>
      </w:r>
      <w:r w:rsidR="005719B9">
        <w:rPr>
          <w:rStyle w:val="FootnoteReference"/>
        </w:rPr>
        <w:footnoteReference w:id="8"/>
      </w:r>
      <w:r w:rsidR="005719B9">
        <w:rPr>
          <w:vertAlign w:val="superscript"/>
        </w:rPr>
        <w:t>,</w:t>
      </w:r>
      <w:r w:rsidR="005719B9">
        <w:rPr>
          <w:rStyle w:val="FootnoteReference"/>
        </w:rPr>
        <w:footnoteReference w:id="9"/>
      </w:r>
      <w:r w:rsidR="005719B9">
        <w:t xml:space="preserve"> </w:t>
      </w:r>
      <w:r w:rsidR="005B3DEF">
        <w:t>In Australia, vitamin B6 (pyridoxine hydrochloride) can be added to various food items including bread, breakfast cereals, cereal flours, pasta and formulated beverages. The maximum permissible amount is 0.25 mg (25% RDI) per reference quantity (35 g for bread, pasta and flour)</w:t>
      </w:r>
      <w:r w:rsidR="00460CD4">
        <w:t xml:space="preserve">. </w:t>
      </w:r>
      <w:r w:rsidR="004A5A48">
        <w:t>However</w:t>
      </w:r>
      <w:r w:rsidR="009A68A0">
        <w:t>,</w:t>
      </w:r>
      <w:r w:rsidR="00240AF5" w:rsidDel="009A68A0">
        <w:t xml:space="preserve"> </w:t>
      </w:r>
      <w:r w:rsidR="00135624">
        <w:t>f</w:t>
      </w:r>
      <w:r w:rsidR="00135624" w:rsidRPr="00135624">
        <w:t>ormulated caffeinated beverages</w:t>
      </w:r>
      <w:r w:rsidR="00A25B38">
        <w:t xml:space="preserve"> </w:t>
      </w:r>
      <w:r w:rsidR="009A68A0">
        <w:t xml:space="preserve">(colloquially known as energy drinks) </w:t>
      </w:r>
      <w:r w:rsidR="00A25B38">
        <w:t>can contain up to 10 mg of vitamin B6 in</w:t>
      </w:r>
      <w:r w:rsidR="00C9624A">
        <w:t xml:space="preserve"> </w:t>
      </w:r>
      <w:r w:rsidR="00D04886" w:rsidRPr="00D04886">
        <w:t xml:space="preserve">a daily maximum </w:t>
      </w:r>
      <w:r w:rsidR="00F83CB9">
        <w:t>amount</w:t>
      </w:r>
      <w:r w:rsidR="00D04886" w:rsidRPr="00D04886">
        <w:t xml:space="preserve"> of </w:t>
      </w:r>
      <w:r w:rsidR="00F209AE">
        <w:t>6</w:t>
      </w:r>
      <w:r w:rsidR="00D04886" w:rsidRPr="00D04886">
        <w:t>00</w:t>
      </w:r>
      <w:r w:rsidR="00341201">
        <w:t xml:space="preserve"> </w:t>
      </w:r>
      <w:r w:rsidR="00D04886" w:rsidRPr="00D04886">
        <w:t>m</w:t>
      </w:r>
      <w:r w:rsidR="008A4447">
        <w:t>L</w:t>
      </w:r>
      <w:r w:rsidR="00F24561">
        <w:t>,</w:t>
      </w:r>
      <w:r w:rsidR="00D04886" w:rsidRPr="00D04886">
        <w:t xml:space="preserve"> </w:t>
      </w:r>
      <w:r w:rsidR="00CA08D6">
        <w:t>which is</w:t>
      </w:r>
      <w:r w:rsidR="00CF4569">
        <w:t xml:space="preserve"> a</w:t>
      </w:r>
      <w:r w:rsidR="0028657C">
        <w:t xml:space="preserve">lmost </w:t>
      </w:r>
      <w:r w:rsidR="006E640C">
        <w:t xml:space="preserve">6 </w:t>
      </w:r>
      <w:r w:rsidR="00AB1697">
        <w:t>times the RDI</w:t>
      </w:r>
      <w:r w:rsidR="005B3DEF">
        <w:t>.</w:t>
      </w:r>
    </w:p>
    <w:p w14:paraId="00F841B8" w14:textId="364F0B5D" w:rsidR="00975F74" w:rsidRDefault="00975F74" w:rsidP="00975F74">
      <w:r>
        <w:t xml:space="preserve">Further, human </w:t>
      </w:r>
      <w:r w:rsidRPr="005A5EDF">
        <w:t xml:space="preserve">gut flora </w:t>
      </w:r>
      <w:r>
        <w:t>s</w:t>
      </w:r>
      <w:r w:rsidRPr="005A5EDF">
        <w:t>ynthes</w:t>
      </w:r>
      <w:r>
        <w:t>ises</w:t>
      </w:r>
      <w:r w:rsidRPr="005A5EDF">
        <w:t xml:space="preserve"> </w:t>
      </w:r>
      <w:r>
        <w:t xml:space="preserve">vitamin </w:t>
      </w:r>
      <w:r w:rsidRPr="005A5EDF">
        <w:t xml:space="preserve">B6 </w:t>
      </w:r>
      <w:r>
        <w:t>which can</w:t>
      </w:r>
      <w:r w:rsidRPr="005A5EDF">
        <w:t xml:space="preserve"> make a significant contribution to </w:t>
      </w:r>
      <w:r>
        <w:t xml:space="preserve">a person’s vitamin </w:t>
      </w:r>
      <w:r w:rsidRPr="005A5EDF">
        <w:t xml:space="preserve">B6 intake and may </w:t>
      </w:r>
      <w:r w:rsidR="00602740">
        <w:t xml:space="preserve">be </w:t>
      </w:r>
      <w:r w:rsidR="00680CE4">
        <w:t xml:space="preserve">an </w:t>
      </w:r>
      <w:r w:rsidR="00602740">
        <w:t xml:space="preserve">additional factor </w:t>
      </w:r>
      <w:r w:rsidR="00550C52">
        <w:t>for</w:t>
      </w:r>
      <w:r w:rsidRPr="005A5EDF">
        <w:t xml:space="preserve"> why dietary </w:t>
      </w:r>
      <w:r>
        <w:t xml:space="preserve">vitamin </w:t>
      </w:r>
      <w:r w:rsidRPr="005A5EDF">
        <w:t>B6 deficiency is rare.</w:t>
      </w:r>
      <w:r>
        <w:rPr>
          <w:rStyle w:val="FootnoteReference"/>
        </w:rPr>
        <w:footnoteReference w:id="10"/>
      </w:r>
    </w:p>
    <w:p w14:paraId="2170E04C" w14:textId="66879464" w:rsidR="00B93589" w:rsidRDefault="00BA141B" w:rsidP="00FA61BB">
      <w:r>
        <w:t>Overall,</w:t>
      </w:r>
      <w:r w:rsidR="00C8474A">
        <w:t xml:space="preserve"> I am of the view that the RDI for vitamin B6 is easily met </w:t>
      </w:r>
      <w:r w:rsidR="00880B61">
        <w:t>through dietary intake</w:t>
      </w:r>
      <w:r w:rsidR="009317E7">
        <w:t xml:space="preserve"> alone</w:t>
      </w:r>
      <w:r w:rsidR="00C8474A">
        <w:t xml:space="preserve"> </w:t>
      </w:r>
      <w:r w:rsidR="00983CFF">
        <w:t xml:space="preserve">by </w:t>
      </w:r>
      <w:r w:rsidR="006E640C">
        <w:t>most</w:t>
      </w:r>
      <w:r w:rsidR="00216CA7">
        <w:t xml:space="preserve"> Australians</w:t>
      </w:r>
      <w:r w:rsidR="009317E7">
        <w:t xml:space="preserve"> and </w:t>
      </w:r>
      <w:r w:rsidR="00907DE6">
        <w:t xml:space="preserve">supplementation </w:t>
      </w:r>
      <w:r w:rsidR="00C11A4A">
        <w:t xml:space="preserve">is </w:t>
      </w:r>
      <w:r w:rsidR="006E640C">
        <w:t xml:space="preserve">generally </w:t>
      </w:r>
      <w:r w:rsidR="00907DE6">
        <w:t xml:space="preserve">only required for </w:t>
      </w:r>
      <w:r w:rsidR="00C8474A">
        <w:t xml:space="preserve">people diagnosed with </w:t>
      </w:r>
      <w:r w:rsidR="00B314A3">
        <w:t xml:space="preserve">a </w:t>
      </w:r>
      <w:r w:rsidR="00C8474A">
        <w:t xml:space="preserve">clinical deficiency </w:t>
      </w:r>
      <w:r w:rsidR="00B314A3">
        <w:t>of</w:t>
      </w:r>
      <w:r w:rsidR="00C8474A">
        <w:t xml:space="preserve"> vitamin B6.</w:t>
      </w:r>
    </w:p>
    <w:p w14:paraId="1ABD99C3" w14:textId="3B595F4B" w:rsidR="00DC4DC1" w:rsidRPr="00C11A4A" w:rsidRDefault="004B1166" w:rsidP="005B3DEF">
      <w:pPr>
        <w:rPr>
          <w:b/>
          <w:i/>
        </w:rPr>
      </w:pPr>
      <w:r w:rsidRPr="00C11A4A">
        <w:rPr>
          <w:b/>
          <w:i/>
        </w:rPr>
        <w:t>Therapeutic</w:t>
      </w:r>
      <w:r w:rsidR="00DC4DC1" w:rsidRPr="00C11A4A">
        <w:rPr>
          <w:b/>
          <w:i/>
        </w:rPr>
        <w:t xml:space="preserve"> use of vitamin B6</w:t>
      </w:r>
    </w:p>
    <w:p w14:paraId="2D3BDB86" w14:textId="1B18A3F4" w:rsidR="00157B2B" w:rsidRDefault="00316EE8" w:rsidP="003161F5">
      <w:r>
        <w:t>Clinical de</w:t>
      </w:r>
      <w:r w:rsidR="0089420F">
        <w:t xml:space="preserve">ficiency of vitamin B6 is rare. </w:t>
      </w:r>
      <w:r w:rsidR="003161F5" w:rsidRPr="003161F5">
        <w:t>Vitamin B6 deficiency is usually caused by pyridoxine-inactivating medications (e</w:t>
      </w:r>
      <w:r w:rsidR="0003412F">
        <w:t>.</w:t>
      </w:r>
      <w:r w:rsidR="003161F5" w:rsidRPr="003161F5">
        <w:t>g</w:t>
      </w:r>
      <w:r w:rsidR="0003412F">
        <w:t>.</w:t>
      </w:r>
      <w:r w:rsidR="003161F5" w:rsidRPr="003161F5">
        <w:t xml:space="preserve"> isoniazid), protein-energy undernutrition, malabsorption, alcohol use disorder, </w:t>
      </w:r>
      <w:r w:rsidR="00BC12EC">
        <w:t>impaired renal function</w:t>
      </w:r>
      <w:r w:rsidR="007F75C1">
        <w:t xml:space="preserve"> or autoimmune diseases</w:t>
      </w:r>
      <w:r w:rsidR="003161F5" w:rsidRPr="003161F5">
        <w:t>.</w:t>
      </w:r>
      <w:r w:rsidR="000829F0">
        <w:t xml:space="preserve"> </w:t>
      </w:r>
      <w:r w:rsidR="009739E2">
        <w:t xml:space="preserve">Diagnosis of vitamin </w:t>
      </w:r>
      <w:r w:rsidR="008D78C7">
        <w:t>B</w:t>
      </w:r>
      <w:r w:rsidR="009739E2">
        <w:t xml:space="preserve">6 deficiency is based on </w:t>
      </w:r>
      <w:r w:rsidR="00517105">
        <w:t xml:space="preserve">clinical findings coupled with laboratory </w:t>
      </w:r>
      <w:r w:rsidR="00A67B73" w:rsidRPr="00A67B73">
        <w:t>measurement of serum</w:t>
      </w:r>
      <w:r w:rsidR="002B0374" w:rsidRPr="002B0374">
        <w:t xml:space="preserve"> </w:t>
      </w:r>
      <w:r w:rsidR="002B0374" w:rsidRPr="0032388D">
        <w:t>pyridoxal 5′-phosphate</w:t>
      </w:r>
      <w:r w:rsidR="00A67B73" w:rsidRPr="00A67B73">
        <w:t xml:space="preserve"> </w:t>
      </w:r>
      <w:r w:rsidR="002B0374">
        <w:t>(</w:t>
      </w:r>
      <w:r w:rsidR="007247B0">
        <w:t>PLP</w:t>
      </w:r>
      <w:r w:rsidR="002B0374">
        <w:t>)</w:t>
      </w:r>
      <w:r w:rsidR="00517105">
        <w:t xml:space="preserve"> </w:t>
      </w:r>
      <w:r w:rsidR="00A67B73">
        <w:t xml:space="preserve">levels. </w:t>
      </w:r>
      <w:r w:rsidR="002A0324">
        <w:t>Generally</w:t>
      </w:r>
      <w:r w:rsidR="00B077F2">
        <w:t>,</w:t>
      </w:r>
      <w:r w:rsidR="002A0324">
        <w:t xml:space="preserve"> </w:t>
      </w:r>
      <w:r w:rsidR="0059229F">
        <w:t xml:space="preserve">deficiencies are addressed by correcting the secondary causes </w:t>
      </w:r>
      <w:r w:rsidR="00B077F2">
        <w:t xml:space="preserve">or </w:t>
      </w:r>
      <w:r w:rsidR="00FD5B04">
        <w:t xml:space="preserve">prescribing </w:t>
      </w:r>
      <w:r w:rsidR="00B077F2">
        <w:t>vitamin B6 supplementation</w:t>
      </w:r>
      <w:r w:rsidR="00FD5B04">
        <w:t>,</w:t>
      </w:r>
      <w:r w:rsidR="00390853">
        <w:t xml:space="preserve"> </w:t>
      </w:r>
      <w:r w:rsidR="00B077F2">
        <w:t>or both.</w:t>
      </w:r>
      <w:r w:rsidR="003F75C9">
        <w:rPr>
          <w:rStyle w:val="FootnoteReference"/>
        </w:rPr>
        <w:footnoteReference w:id="11"/>
      </w:r>
      <w:r w:rsidR="0059229F">
        <w:t xml:space="preserve"> </w:t>
      </w:r>
      <w:r w:rsidR="00EC5199" w:rsidRPr="00EC5199">
        <w:t xml:space="preserve">Vitamin B6 supplementation </w:t>
      </w:r>
      <w:r w:rsidR="007F307A">
        <w:t>in</w:t>
      </w:r>
      <w:r w:rsidR="00EC5199" w:rsidRPr="00EC5199">
        <w:t xml:space="preserve"> therapeutic </w:t>
      </w:r>
      <w:r w:rsidR="007F307A">
        <w:t xml:space="preserve">dose </w:t>
      </w:r>
      <w:r w:rsidR="003653E4">
        <w:t xml:space="preserve">of </w:t>
      </w:r>
      <w:r w:rsidR="009512E4" w:rsidRPr="00EC5199">
        <w:t>10 to 25</w:t>
      </w:r>
      <w:r w:rsidR="003241E5">
        <w:t> </w:t>
      </w:r>
      <w:r w:rsidR="009512E4" w:rsidRPr="00EC5199">
        <w:t>mg/day</w:t>
      </w:r>
      <w:r w:rsidR="009512E4">
        <w:t xml:space="preserve"> is</w:t>
      </w:r>
      <w:r w:rsidR="007F307A">
        <w:t xml:space="preserve"> used to </w:t>
      </w:r>
      <w:r w:rsidR="00EC5199" w:rsidRPr="00EC5199">
        <w:t>treat seizures from isoniazid toxicity.</w:t>
      </w:r>
      <w:r w:rsidR="006674A3">
        <w:rPr>
          <w:rStyle w:val="FootnoteReference"/>
        </w:rPr>
        <w:footnoteReference w:id="12"/>
      </w:r>
    </w:p>
    <w:p w14:paraId="0A44B17A" w14:textId="2FD491EE" w:rsidR="008D78C7" w:rsidRDefault="00F72527" w:rsidP="003161F5">
      <w:r>
        <w:t xml:space="preserve">Several Australian </w:t>
      </w:r>
      <w:r w:rsidR="004A6195">
        <w:t xml:space="preserve">government guidelines </w:t>
      </w:r>
      <w:r w:rsidR="00612B54">
        <w:t xml:space="preserve">suggest </w:t>
      </w:r>
      <w:r w:rsidR="005B494D" w:rsidRPr="005B494D">
        <w:t xml:space="preserve">taking doxylamine and pyridoxine tablets </w:t>
      </w:r>
      <w:r w:rsidR="007D6F47">
        <w:t xml:space="preserve">(50-200 mg/day) </w:t>
      </w:r>
      <w:r w:rsidR="005B494D" w:rsidRPr="005B494D">
        <w:t>together</w:t>
      </w:r>
      <w:r w:rsidR="005B494D">
        <w:t xml:space="preserve"> </w:t>
      </w:r>
      <w:r w:rsidR="007F2232">
        <w:t xml:space="preserve">as </w:t>
      </w:r>
      <w:r w:rsidR="00045B1F">
        <w:t xml:space="preserve">a </w:t>
      </w:r>
      <w:r w:rsidR="007F2232">
        <w:t>remedy for n</w:t>
      </w:r>
      <w:r w:rsidR="007F2232" w:rsidRPr="00361BD4">
        <w:t>ausea and vomiting in pregnancy</w:t>
      </w:r>
      <w:r w:rsidR="007166CA">
        <w:t xml:space="preserve"> (</w:t>
      </w:r>
      <w:r w:rsidR="0045501A">
        <w:t xml:space="preserve">commonly known as </w:t>
      </w:r>
      <w:r w:rsidR="007166CA">
        <w:t>‘morning sickness</w:t>
      </w:r>
      <w:r w:rsidR="0064395C">
        <w:t>’)</w:t>
      </w:r>
      <w:r w:rsidR="007F2232">
        <w:t xml:space="preserve">, </w:t>
      </w:r>
      <w:r w:rsidR="00833EFE">
        <w:t xml:space="preserve">but </w:t>
      </w:r>
      <w:r w:rsidR="007D6F47">
        <w:t>advocate caution against high intake of vitamin B6.</w:t>
      </w:r>
      <w:r w:rsidR="00374131">
        <w:rPr>
          <w:rStyle w:val="FootnoteReference"/>
        </w:rPr>
        <w:footnoteReference w:id="13"/>
      </w:r>
      <w:r w:rsidR="00780605">
        <w:rPr>
          <w:vertAlign w:val="superscript"/>
        </w:rPr>
        <w:t>,</w:t>
      </w:r>
      <w:r w:rsidR="00780605">
        <w:rPr>
          <w:rStyle w:val="FootnoteReference"/>
        </w:rPr>
        <w:footnoteReference w:id="14"/>
      </w:r>
      <w:r w:rsidR="008B48BC">
        <w:rPr>
          <w:vertAlign w:val="superscript"/>
        </w:rPr>
        <w:t>,</w:t>
      </w:r>
      <w:r w:rsidR="0029351A">
        <w:rPr>
          <w:rStyle w:val="FootnoteReference"/>
        </w:rPr>
        <w:footnoteReference w:id="15"/>
      </w:r>
      <w:r w:rsidR="007D6F47">
        <w:t xml:space="preserve"> </w:t>
      </w:r>
      <w:r w:rsidR="00EE0213">
        <w:t xml:space="preserve">A recent </w:t>
      </w:r>
      <w:r w:rsidR="004C00AB">
        <w:t xml:space="preserve">systematic review of </w:t>
      </w:r>
      <w:r w:rsidR="002455EF">
        <w:t xml:space="preserve">the </w:t>
      </w:r>
      <w:r w:rsidR="004C00AB">
        <w:t xml:space="preserve">use of </w:t>
      </w:r>
      <w:r w:rsidR="00DC2AFC">
        <w:t xml:space="preserve">vitamin B6 to treat </w:t>
      </w:r>
      <w:r w:rsidR="00223F09">
        <w:t>n</w:t>
      </w:r>
      <w:r w:rsidR="00223F09" w:rsidRPr="00361BD4">
        <w:t>ausea and vomiting in pregnancy</w:t>
      </w:r>
      <w:r w:rsidR="00223F09">
        <w:t xml:space="preserve"> </w:t>
      </w:r>
      <w:r w:rsidR="004F5B89">
        <w:t xml:space="preserve">noted that </w:t>
      </w:r>
      <w:r w:rsidR="008B633C">
        <w:t>h</w:t>
      </w:r>
      <w:r w:rsidR="008B633C" w:rsidRPr="008B633C">
        <w:t>igh doses of vitamin B6 may lead to adverse pregnancy outcomes</w:t>
      </w:r>
      <w:r w:rsidR="008B633C">
        <w:t xml:space="preserve"> and the potential risks</w:t>
      </w:r>
      <w:r w:rsidR="00BF2FB6">
        <w:t>, particularly</w:t>
      </w:r>
      <w:r w:rsidR="00BF2FB6" w:rsidRPr="00C55A4B">
        <w:t xml:space="preserve"> during the critical first trimester of embryonic development</w:t>
      </w:r>
      <w:r w:rsidR="00BF2FB6">
        <w:t>, cannot be ignored.</w:t>
      </w:r>
      <w:r w:rsidR="00994267">
        <w:rPr>
          <w:rStyle w:val="FootnoteReference"/>
        </w:rPr>
        <w:footnoteReference w:id="16"/>
      </w:r>
    </w:p>
    <w:p w14:paraId="56CF24F7" w14:textId="31516A9C" w:rsidR="00E81DE0" w:rsidRPr="003161F5" w:rsidRDefault="0037252E" w:rsidP="003161F5">
      <w:r>
        <w:t xml:space="preserve">Supplemental vitamin B6 </w:t>
      </w:r>
      <w:r w:rsidR="00056259">
        <w:t>ha</w:t>
      </w:r>
      <w:r w:rsidR="00145053">
        <w:t>s</w:t>
      </w:r>
      <w:r w:rsidR="00056259">
        <w:t xml:space="preserve"> been </w:t>
      </w:r>
      <w:r w:rsidR="00B9343B">
        <w:t>hypothesi</w:t>
      </w:r>
      <w:r w:rsidR="002455EF">
        <w:t>s</w:t>
      </w:r>
      <w:r w:rsidR="00B9343B">
        <w:t xml:space="preserve">ed to reduce risks of </w:t>
      </w:r>
      <w:r w:rsidR="00B9343B" w:rsidRPr="00B9343B">
        <w:t>cardiovascular disease</w:t>
      </w:r>
      <w:r w:rsidR="00B9343B">
        <w:t>s, certain kinds of cancer</w:t>
      </w:r>
      <w:r w:rsidR="004667E6">
        <w:t xml:space="preserve"> and loss of cognitive function</w:t>
      </w:r>
      <w:r w:rsidR="007D707C">
        <w:t>, but the</w:t>
      </w:r>
      <w:r w:rsidR="008B15BE">
        <w:t>re is little</w:t>
      </w:r>
      <w:r w:rsidR="00347687">
        <w:t xml:space="preserve"> evidence </w:t>
      </w:r>
      <w:r w:rsidR="006E640C">
        <w:t xml:space="preserve">of </w:t>
      </w:r>
      <w:r w:rsidR="00465FAB">
        <w:t>preventative or beneficial</w:t>
      </w:r>
      <w:r w:rsidR="00A72E60">
        <w:t xml:space="preserve"> effect</w:t>
      </w:r>
      <w:r w:rsidR="007D707C">
        <w:t xml:space="preserve"> of vitamin B6</w:t>
      </w:r>
      <w:r w:rsidR="004E3EF6">
        <w:t xml:space="preserve"> for these conditions. </w:t>
      </w:r>
      <w:r w:rsidR="00662840">
        <w:t>Conclusive evidence is also lacking on the u</w:t>
      </w:r>
      <w:r w:rsidR="004A24E6">
        <w:t xml:space="preserve">se of </w:t>
      </w:r>
      <w:r w:rsidR="00103B35" w:rsidRPr="00103B35">
        <w:t xml:space="preserve">supplemental vitamin B6 (up to 100 mg/day) to treat </w:t>
      </w:r>
      <w:r w:rsidR="00F025AB">
        <w:t>p</w:t>
      </w:r>
      <w:r w:rsidR="00F025AB" w:rsidRPr="00F025AB">
        <w:t>remenstrual syndrome</w:t>
      </w:r>
      <w:r w:rsidR="00103B35" w:rsidRPr="00103B35">
        <w:t>.</w:t>
      </w:r>
      <w:r w:rsidR="00662840">
        <w:rPr>
          <w:rStyle w:val="FootnoteReference"/>
        </w:rPr>
        <w:footnoteReference w:id="17"/>
      </w:r>
    </w:p>
    <w:p w14:paraId="3664FA14" w14:textId="09209B46" w:rsidR="0003412F" w:rsidRDefault="004023EC" w:rsidP="005B3DEF">
      <w:r>
        <w:t xml:space="preserve">Overall, I consider the </w:t>
      </w:r>
      <w:r w:rsidR="00C5775C">
        <w:t xml:space="preserve">benefits of supplemental </w:t>
      </w:r>
      <w:r w:rsidR="00CA691B">
        <w:t xml:space="preserve">intake of </w:t>
      </w:r>
      <w:r w:rsidR="00C5775C">
        <w:t xml:space="preserve">vitamin B6 to be </w:t>
      </w:r>
      <w:r w:rsidR="00DB71ED">
        <w:t>negligible</w:t>
      </w:r>
      <w:r w:rsidR="00563EBD">
        <w:t xml:space="preserve">, </w:t>
      </w:r>
      <w:r w:rsidR="00C5775C">
        <w:t>unless re</w:t>
      </w:r>
      <w:r w:rsidR="00BC3D3B">
        <w:t xml:space="preserve">quired to address </w:t>
      </w:r>
      <w:r w:rsidR="0006234F">
        <w:t xml:space="preserve">a </w:t>
      </w:r>
      <w:r w:rsidR="00BC3D3B">
        <w:t>clinically diagnosed deficiency.</w:t>
      </w:r>
    </w:p>
    <w:p w14:paraId="731CEC29" w14:textId="335357D9" w:rsidR="001C3453" w:rsidRPr="00007CA9" w:rsidRDefault="001C3453" w:rsidP="001977DF">
      <w:pPr>
        <w:keepNext/>
        <w:rPr>
          <w:b/>
          <w:i/>
        </w:rPr>
      </w:pPr>
      <w:r w:rsidRPr="00A43393">
        <w:rPr>
          <w:b/>
          <w:bCs/>
          <w:i/>
          <w:iCs/>
        </w:rPr>
        <w:lastRenderedPageBreak/>
        <w:t xml:space="preserve">Vitamin B6 </w:t>
      </w:r>
      <w:r w:rsidR="00C2581F">
        <w:rPr>
          <w:b/>
          <w:bCs/>
          <w:i/>
          <w:iCs/>
        </w:rPr>
        <w:t>metabolism</w:t>
      </w:r>
    </w:p>
    <w:p w14:paraId="379CCA2B" w14:textId="3E8EE2F5" w:rsidR="001C3453" w:rsidRDefault="00DE2E7B" w:rsidP="001C3453">
      <w:r>
        <w:t>The term v</w:t>
      </w:r>
      <w:r w:rsidR="001C3453" w:rsidRPr="0032388D">
        <w:t xml:space="preserve">itamin B6 </w:t>
      </w:r>
      <w:r>
        <w:t xml:space="preserve">is used to </w:t>
      </w:r>
      <w:r w:rsidR="001C3453" w:rsidRPr="0032388D">
        <w:t xml:space="preserve">represent a group of </w:t>
      </w:r>
      <w:r w:rsidR="0078474C">
        <w:t>3</w:t>
      </w:r>
      <w:r w:rsidR="0078474C" w:rsidRPr="0032388D">
        <w:t xml:space="preserve"> </w:t>
      </w:r>
      <w:r w:rsidR="001C3453" w:rsidRPr="0032388D">
        <w:t xml:space="preserve">related </w:t>
      </w:r>
      <w:r w:rsidR="00A71A49">
        <w:t>substances</w:t>
      </w:r>
      <w:r w:rsidR="00A71A49" w:rsidRPr="0032388D">
        <w:t xml:space="preserve"> </w:t>
      </w:r>
      <w:r w:rsidR="001C3453" w:rsidRPr="0032388D">
        <w:t xml:space="preserve">(pyridoxine, pyridoxal, and pyridoxamine) and their phosphorylated forms. Of these compounds, </w:t>
      </w:r>
      <w:r w:rsidR="001C3453">
        <w:t>PLP</w:t>
      </w:r>
      <w:r w:rsidR="00BF321C">
        <w:t xml:space="preserve"> – the phosphorylated for</w:t>
      </w:r>
      <w:r w:rsidR="00114F68">
        <w:t>m</w:t>
      </w:r>
      <w:r w:rsidR="00BF321C">
        <w:t xml:space="preserve"> of pyridoxal – </w:t>
      </w:r>
      <w:r w:rsidR="001C3453" w:rsidRPr="0032388D">
        <w:t xml:space="preserve">represents the major biologically active form of vitamin B6, while pyridoxine </w:t>
      </w:r>
      <w:r w:rsidR="00BC68BA">
        <w:t xml:space="preserve">hydrochloride </w:t>
      </w:r>
      <w:r w:rsidR="003E0A2C" w:rsidRPr="00BC68BA">
        <w:t>is</w:t>
      </w:r>
      <w:r w:rsidR="00B16558" w:rsidRPr="00BC68BA">
        <w:t xml:space="preserve"> the form </w:t>
      </w:r>
      <w:proofErr w:type="gramStart"/>
      <w:r w:rsidR="009D79E7" w:rsidRPr="00BC68BA">
        <w:t xml:space="preserve">most </w:t>
      </w:r>
      <w:r w:rsidR="001C3453" w:rsidRPr="0032388D">
        <w:t>commonly used</w:t>
      </w:r>
      <w:proofErr w:type="gramEnd"/>
      <w:r w:rsidR="001C3453" w:rsidRPr="0032388D">
        <w:t xml:space="preserve"> in nutritional supplements and vitamin preparations.</w:t>
      </w:r>
    </w:p>
    <w:p w14:paraId="1504B568" w14:textId="0B8BFAAF" w:rsidR="001C3453" w:rsidRDefault="00904D19" w:rsidP="001C3453">
      <w:r>
        <w:t>P</w:t>
      </w:r>
      <w:r w:rsidRPr="0032388D">
        <w:t>hosphorylated forms</w:t>
      </w:r>
      <w:r>
        <w:t xml:space="preserve"> of </w:t>
      </w:r>
      <w:r w:rsidRPr="0032388D">
        <w:t>pyridoxine, pyridoxal, and pyridoxamine</w:t>
      </w:r>
      <w:r>
        <w:t xml:space="preserve"> are first dephos</w:t>
      </w:r>
      <w:r w:rsidR="00D757DC">
        <w:t xml:space="preserve">phorylated in the intestine, </w:t>
      </w:r>
      <w:r w:rsidR="005C1F38">
        <w:t>absorbed across the intestinal membrane</w:t>
      </w:r>
      <w:r>
        <w:t xml:space="preserve"> </w:t>
      </w:r>
      <w:r w:rsidR="005C1F38">
        <w:t>and</w:t>
      </w:r>
      <w:r w:rsidR="001C3453">
        <w:t xml:space="preserve"> </w:t>
      </w:r>
      <w:r w:rsidR="00646C6E">
        <w:t>are re-phosphorylated</w:t>
      </w:r>
      <w:r w:rsidR="001C3453">
        <w:t xml:space="preserve"> by pyridoxal kinase. P</w:t>
      </w:r>
      <w:r w:rsidR="001C3453" w:rsidRPr="00700ECF">
        <w:t>yridoxine</w:t>
      </w:r>
      <w:r w:rsidR="001C3453">
        <w:t xml:space="preserve"> phosphate and</w:t>
      </w:r>
      <w:r w:rsidR="001C3453" w:rsidRPr="00700ECF">
        <w:t xml:space="preserve"> pyridoxamine</w:t>
      </w:r>
      <w:r w:rsidR="001C3453">
        <w:t xml:space="preserve"> phosphate are then converted to PLP by the action of pyridoxine phosphate oxidase. This</w:t>
      </w:r>
      <w:r w:rsidR="001C3453" w:rsidDel="003D46CE">
        <w:t xml:space="preserve"> </w:t>
      </w:r>
      <w:r w:rsidR="003D46CE">
        <w:t xml:space="preserve">occurs </w:t>
      </w:r>
      <w:r w:rsidR="001C3453">
        <w:t>primar</w:t>
      </w:r>
      <w:r w:rsidR="003D46CE">
        <w:t>il</w:t>
      </w:r>
      <w:r w:rsidR="001C3453">
        <w:t>y in the liver</w:t>
      </w:r>
      <w:r w:rsidR="00AD724C">
        <w:t>, after which</w:t>
      </w:r>
      <w:r w:rsidR="001C3453" w:rsidDel="00AD724C">
        <w:t xml:space="preserve"> </w:t>
      </w:r>
      <w:r w:rsidR="001C3453">
        <w:t>PLP is circulated in an albumin bound form.</w:t>
      </w:r>
      <w:r w:rsidR="001C3453" w:rsidRPr="00400CC4">
        <w:t xml:space="preserve"> </w:t>
      </w:r>
      <w:r w:rsidR="001C3453" w:rsidRPr="0052307C">
        <w:t>The body store</w:t>
      </w:r>
      <w:r w:rsidR="001C3453">
        <w:t xml:space="preserve">s </w:t>
      </w:r>
      <w:r w:rsidR="001C3453" w:rsidRPr="0052307C">
        <w:t xml:space="preserve">vitamin B6 </w:t>
      </w:r>
      <w:r w:rsidR="001C3453">
        <w:t>as PLP covalently</w:t>
      </w:r>
      <w:r w:rsidR="001C3453" w:rsidRPr="0052307C">
        <w:t xml:space="preserve"> </w:t>
      </w:r>
      <w:r w:rsidR="001C3453">
        <w:t xml:space="preserve">bound </w:t>
      </w:r>
      <w:r w:rsidR="001C3453" w:rsidRPr="0052307C">
        <w:t>to glycogen phosphorylase</w:t>
      </w:r>
      <w:r w:rsidR="001C3453">
        <w:t xml:space="preserve"> enzyme</w:t>
      </w:r>
      <w:r w:rsidR="001C3453" w:rsidRPr="0052307C">
        <w:t xml:space="preserve"> </w:t>
      </w:r>
      <w:r w:rsidR="001C3453">
        <w:t>in muscles.</w:t>
      </w:r>
    </w:p>
    <w:p w14:paraId="70B00BD4" w14:textId="2A19A6CC" w:rsidR="001C3453" w:rsidRDefault="001C3453" w:rsidP="001C3453">
      <w:r>
        <w:t>B</w:t>
      </w:r>
      <w:r w:rsidRPr="00DC26AF">
        <w:t>ecause of the reactivity of its aldehyde group</w:t>
      </w:r>
      <w:r w:rsidR="0094376F">
        <w:t>,</w:t>
      </w:r>
      <w:r>
        <w:t xml:space="preserve"> PLP </w:t>
      </w:r>
      <w:r w:rsidRPr="00DC26AF">
        <w:t>can be involved in other unwanted reactions with macromolecules within the cell</w:t>
      </w:r>
      <w:r w:rsidR="000D1C27">
        <w:t>,</w:t>
      </w:r>
      <w:r w:rsidRPr="00DC26AF">
        <w:t xml:space="preserve"> analogous to the unwanted reactions of reactive oxygen species.</w:t>
      </w:r>
      <w:r w:rsidRPr="00DC26AF" w:rsidDel="00235FC4">
        <w:t xml:space="preserve"> </w:t>
      </w:r>
      <w:r>
        <w:t>PLP levels are tightly regulated in the body and i</w:t>
      </w:r>
      <w:r w:rsidRPr="003557AA">
        <w:t>ntracellular</w:t>
      </w:r>
      <w:r>
        <w:t xml:space="preserve"> PLP</w:t>
      </w:r>
      <w:r w:rsidRPr="003557AA">
        <w:t xml:space="preserve"> concentrations are maintained at approximately 1</w:t>
      </w:r>
      <w:r w:rsidR="00D2784D">
        <w:t xml:space="preserve"> </w:t>
      </w:r>
      <w:proofErr w:type="spellStart"/>
      <w:r w:rsidRPr="003557AA">
        <w:t>μM</w:t>
      </w:r>
      <w:proofErr w:type="spellEnd"/>
      <w:r w:rsidRPr="003557AA">
        <w:t xml:space="preserve"> to prevent inappropriate reactions (aldehyde or carbonyl stress)</w:t>
      </w:r>
      <w:r>
        <w:t>.</w:t>
      </w:r>
      <w:r>
        <w:rPr>
          <w:rStyle w:val="FootnoteReference"/>
        </w:rPr>
        <w:footnoteReference w:id="18"/>
      </w:r>
    </w:p>
    <w:p w14:paraId="2CC2B4EF" w14:textId="2AA3CCE7" w:rsidR="001C3453" w:rsidRDefault="001C3453" w:rsidP="001C3453">
      <w:r w:rsidRPr="00983489">
        <w:t xml:space="preserve">When </w:t>
      </w:r>
      <w:r>
        <w:t xml:space="preserve">vitamin </w:t>
      </w:r>
      <w:r w:rsidRPr="00983489">
        <w:t xml:space="preserve">B6 intake exceeds requirements, </w:t>
      </w:r>
      <w:r w:rsidR="00C72A16">
        <w:t>PLP</w:t>
      </w:r>
      <w:r w:rsidRPr="00983489">
        <w:t xml:space="preserve"> is dephosphorylated (mainly in the liver) </w:t>
      </w:r>
      <w:r w:rsidR="00967B26">
        <w:t>to</w:t>
      </w:r>
      <w:r w:rsidRPr="00983489">
        <w:t xml:space="preserve"> pyridoxal </w:t>
      </w:r>
      <w:r w:rsidR="00967B26">
        <w:t xml:space="preserve">which </w:t>
      </w:r>
      <w:r w:rsidRPr="00983489">
        <w:t xml:space="preserve">is </w:t>
      </w:r>
      <w:r w:rsidR="00200915">
        <w:t xml:space="preserve">then </w:t>
      </w:r>
      <w:r w:rsidRPr="00983489">
        <w:t>oxidi</w:t>
      </w:r>
      <w:r w:rsidR="00200915">
        <w:t>s</w:t>
      </w:r>
      <w:r w:rsidRPr="00983489">
        <w:t>ed to pyridoxic acid prior to excretion in urine.</w:t>
      </w:r>
      <w:r>
        <w:t xml:space="preserve"> Pyridoxal can also be converted to pyridoxine by the action of pyridoxal reductase. </w:t>
      </w:r>
      <w:r w:rsidRPr="000544D7">
        <w:t>Although the body absorbs large pharmacological doses of vitamin B6, it quickly eliminates most</w:t>
      </w:r>
      <w:r w:rsidR="00842380">
        <w:t xml:space="preserve"> but not all</w:t>
      </w:r>
      <w:r w:rsidRPr="000544D7">
        <w:t xml:space="preserve"> of </w:t>
      </w:r>
      <w:r>
        <w:t>it</w:t>
      </w:r>
      <w:r w:rsidRPr="000544D7">
        <w:t xml:space="preserve"> in the urine</w:t>
      </w:r>
      <w:r>
        <w:t>.</w:t>
      </w:r>
      <w:r>
        <w:rPr>
          <w:rStyle w:val="FootnoteReference"/>
        </w:rPr>
        <w:footnoteReference w:id="19"/>
      </w:r>
    </w:p>
    <w:p w14:paraId="1BDFC889" w14:textId="0113277E" w:rsidR="001C3453" w:rsidRDefault="00A86C84" w:rsidP="001C3453">
      <w:r>
        <w:t>P</w:t>
      </w:r>
      <w:r w:rsidR="000F26B9">
        <w:t>ools of v</w:t>
      </w:r>
      <w:r w:rsidR="001C3453" w:rsidRPr="00912D5B">
        <w:t xml:space="preserve">itamin B6 </w:t>
      </w:r>
      <w:r w:rsidR="000F26B9">
        <w:t>stored</w:t>
      </w:r>
      <w:r w:rsidR="001C3453" w:rsidRPr="00912D5B">
        <w:t xml:space="preserve"> in skeletal muscle are resistant to depletion</w:t>
      </w:r>
      <w:r w:rsidR="001C3453">
        <w:t xml:space="preserve"> and </w:t>
      </w:r>
      <w:r w:rsidR="001C3453" w:rsidRPr="00912D5B">
        <w:t>vitamin B6 supplementation is not associated with marked increases in vitamin B6 in muscle.</w:t>
      </w:r>
      <w:r w:rsidR="001C3453">
        <w:t xml:space="preserve"> In contrast, vitamin supplementation can result in an</w:t>
      </w:r>
      <w:r w:rsidR="001C3453" w:rsidDel="004205F2">
        <w:t xml:space="preserve"> </w:t>
      </w:r>
      <w:r w:rsidR="001C3453">
        <w:t xml:space="preserve">increase in </w:t>
      </w:r>
      <w:r w:rsidR="009962A5">
        <w:t xml:space="preserve">vitamin B6 concentrations in </w:t>
      </w:r>
      <w:r w:rsidR="001C3453">
        <w:t>plasma which decreases once supplementation is stopped.</w:t>
      </w:r>
      <w:r w:rsidR="00836B7A">
        <w:rPr>
          <w:rStyle w:val="FootnoteReference"/>
        </w:rPr>
        <w:footnoteReference w:id="20"/>
      </w:r>
      <w:r w:rsidR="00B74A82">
        <w:t xml:space="preserve"> </w:t>
      </w:r>
      <w:r w:rsidR="00607FEB">
        <w:t xml:space="preserve">The </w:t>
      </w:r>
      <w:r w:rsidR="00002D5E">
        <w:t xml:space="preserve">pharmacokinetics of </w:t>
      </w:r>
      <w:r w:rsidR="003A19C5">
        <w:t xml:space="preserve">vitamin B6 is </w:t>
      </w:r>
      <w:r w:rsidR="00E52CF2">
        <w:t>also dep</w:t>
      </w:r>
      <w:r w:rsidR="009D737D">
        <w:t>endent on the vitamer used for supplementation.</w:t>
      </w:r>
    </w:p>
    <w:p w14:paraId="7F4DD080" w14:textId="3F4A58D6" w:rsidR="00EF6148" w:rsidRDefault="00A55C2E" w:rsidP="00A55C2E">
      <w:pPr>
        <w:rPr>
          <w:vertAlign w:val="superscript"/>
        </w:rPr>
      </w:pPr>
      <w:r>
        <w:t>E</w:t>
      </w:r>
      <w:r w:rsidRPr="00BC2FBB">
        <w:t xml:space="preserve">xcessive intake of pyridoxine </w:t>
      </w:r>
      <w:r w:rsidR="001429C4">
        <w:t>can</w:t>
      </w:r>
      <w:r w:rsidRPr="00BC2FBB">
        <w:t xml:space="preserve"> saturate </w:t>
      </w:r>
      <w:r>
        <w:t>pyridoxal kinase and</w:t>
      </w:r>
      <w:r w:rsidRPr="00BC2FBB">
        <w:t xml:space="preserve"> </w:t>
      </w:r>
      <w:r w:rsidRPr="00DD7235">
        <w:t>pyridoxine phosphate oxidase</w:t>
      </w:r>
      <w:r w:rsidRPr="00BC2FBB">
        <w:t xml:space="preserve"> with a resultant accumulation of inactive pyridoxine</w:t>
      </w:r>
      <w:r w:rsidR="00C120B6">
        <w:t xml:space="preserve"> which</w:t>
      </w:r>
      <w:r>
        <w:t xml:space="preserve"> can act</w:t>
      </w:r>
      <w:r w:rsidRPr="00BC2FBB">
        <w:t xml:space="preserve"> </w:t>
      </w:r>
      <w:r w:rsidR="00C120B6">
        <w:t xml:space="preserve">then </w:t>
      </w:r>
      <w:r w:rsidRPr="00BC2FBB">
        <w:t xml:space="preserve">as a competitive inhibitor for </w:t>
      </w:r>
      <w:r w:rsidR="00C120B6">
        <w:t>PLP</w:t>
      </w:r>
      <w:r w:rsidR="0091026C">
        <w:t xml:space="preserve"> dependent enzymes</w:t>
      </w:r>
      <w:r>
        <w:t xml:space="preserve"> </w:t>
      </w:r>
      <w:r w:rsidR="00D15606">
        <w:t xml:space="preserve">mimicking the </w:t>
      </w:r>
      <w:r w:rsidR="008B20B3">
        <w:t>symptoms of vitamin B6 deficiency</w:t>
      </w:r>
      <w:r w:rsidRPr="00BC2FBB">
        <w:t>.</w:t>
      </w:r>
      <w:r>
        <w:t xml:space="preserve"> </w:t>
      </w:r>
      <w:r w:rsidR="00801E58">
        <w:t xml:space="preserve">Differences in metabolism of pyridoxine </w:t>
      </w:r>
      <w:r w:rsidR="003A208B">
        <w:t xml:space="preserve">between individuals </w:t>
      </w:r>
      <w:r w:rsidR="00801E58">
        <w:t>may also explain the differences in individual toxicity to vitamin B6.</w:t>
      </w:r>
      <w:r w:rsidR="00801E58">
        <w:rPr>
          <w:rStyle w:val="FootnoteReference"/>
        </w:rPr>
        <w:footnoteReference w:id="21"/>
      </w:r>
      <w:r w:rsidR="00801E58" w:rsidRPr="0091026C">
        <w:rPr>
          <w:vertAlign w:val="superscript"/>
        </w:rPr>
        <w:t>,</w:t>
      </w:r>
      <w:r w:rsidR="00801E58">
        <w:rPr>
          <w:rStyle w:val="FootnoteReference"/>
        </w:rPr>
        <w:footnoteReference w:id="22"/>
      </w:r>
    </w:p>
    <w:p w14:paraId="22CD30F8" w14:textId="481B2187" w:rsidR="00A55C2E" w:rsidRDefault="00A55C2E" w:rsidP="00A55C2E">
      <w:r>
        <w:t xml:space="preserve">Pyridoxine </w:t>
      </w:r>
      <w:r w:rsidR="00EF6148">
        <w:t xml:space="preserve">has also been reported to </w:t>
      </w:r>
      <w:r>
        <w:t xml:space="preserve">induce cell death </w:t>
      </w:r>
      <w:r w:rsidRPr="002C648E">
        <w:rPr>
          <w:i/>
          <w:iCs/>
        </w:rPr>
        <w:t>in vitro</w:t>
      </w:r>
      <w:r>
        <w:t xml:space="preserve"> while the other vitamers including pyridoxamine did not</w:t>
      </w:r>
      <w:r w:rsidR="007564A8">
        <w:t>. T</w:t>
      </w:r>
      <w:r w:rsidR="00793CDD">
        <w:t>here are several clinical reports</w:t>
      </w:r>
      <w:r w:rsidR="007002C6">
        <w:t xml:space="preserve"> on</w:t>
      </w:r>
      <w:r w:rsidR="008E1C75" w:rsidRPr="008E1C75">
        <w:t xml:space="preserve"> neurological side effects of </w:t>
      </w:r>
      <w:r w:rsidR="008E1C75">
        <w:t>pyridoxine</w:t>
      </w:r>
      <w:r w:rsidR="008E1C75" w:rsidRPr="008E1C75">
        <w:t xml:space="preserve"> </w:t>
      </w:r>
      <w:r w:rsidR="007002C6">
        <w:t>that</w:t>
      </w:r>
      <w:r w:rsidR="008E1C75" w:rsidRPr="008E1C75">
        <w:t xml:space="preserve"> discourage the use of excessive </w:t>
      </w:r>
      <w:r w:rsidR="008E1C75">
        <w:t>pyridoxine</w:t>
      </w:r>
      <w:r w:rsidR="008E1C75" w:rsidRPr="005C7901">
        <w:t>.</w:t>
      </w:r>
      <w:r w:rsidR="004A44AD" w:rsidRPr="005C7901">
        <w:rPr>
          <w:rStyle w:val="FootnoteReference"/>
        </w:rPr>
        <w:footnoteReference w:id="23"/>
      </w:r>
      <w:r w:rsidR="00B61946" w:rsidRPr="005C7901">
        <w:rPr>
          <w:vertAlign w:val="superscript"/>
        </w:rPr>
        <w:t xml:space="preserve">, </w:t>
      </w:r>
      <w:r w:rsidR="00BD4B59" w:rsidRPr="005C7901">
        <w:rPr>
          <w:rStyle w:val="FootnoteReference"/>
        </w:rPr>
        <w:footnoteReference w:id="24"/>
      </w:r>
      <w:r w:rsidR="001A2D6F" w:rsidRPr="005C7901">
        <w:rPr>
          <w:vertAlign w:val="superscript"/>
        </w:rPr>
        <w:t xml:space="preserve">, </w:t>
      </w:r>
      <w:r w:rsidR="001A2D6F" w:rsidRPr="005C7901">
        <w:rPr>
          <w:rStyle w:val="FootnoteReference"/>
        </w:rPr>
        <w:footnoteReference w:id="25"/>
      </w:r>
    </w:p>
    <w:p w14:paraId="613DDFB7" w14:textId="5F96F2E2" w:rsidR="00AF4E96" w:rsidRPr="00934A33" w:rsidRDefault="005444A0" w:rsidP="005B3DEF">
      <w:pPr>
        <w:rPr>
          <w:b/>
          <w:i/>
        </w:rPr>
      </w:pPr>
      <w:r w:rsidRPr="00934A33">
        <w:rPr>
          <w:b/>
          <w:i/>
        </w:rPr>
        <w:t>Adverse effects (peripheral neuropathy)</w:t>
      </w:r>
    </w:p>
    <w:p w14:paraId="6BF6BC81" w14:textId="25188A4A" w:rsidR="00800586" w:rsidRPr="00222FF7" w:rsidRDefault="006309AF" w:rsidP="005B3DEF">
      <w:pPr>
        <w:rPr>
          <w:lang w:eastAsia="en-AU"/>
        </w:rPr>
      </w:pPr>
      <w:r>
        <w:rPr>
          <w:lang w:eastAsia="en-AU"/>
        </w:rPr>
        <w:t xml:space="preserve">Peripheral neuropathy is </w:t>
      </w:r>
      <w:r w:rsidRPr="0035393D">
        <w:rPr>
          <w:lang w:eastAsia="en-AU"/>
        </w:rPr>
        <w:t>a common neurological disorder that affects the peripheral nervous system</w:t>
      </w:r>
      <w:r w:rsidRPr="00A02B7D">
        <w:rPr>
          <w:lang w:eastAsia="en-AU"/>
        </w:rPr>
        <w:t xml:space="preserve"> </w:t>
      </w:r>
      <w:r w:rsidRPr="00BA6168">
        <w:rPr>
          <w:lang w:eastAsia="en-AU"/>
        </w:rPr>
        <w:t>in humans</w:t>
      </w:r>
      <w:r w:rsidR="00791730">
        <w:rPr>
          <w:lang w:eastAsia="en-AU"/>
        </w:rPr>
        <w:t>, commonly secondary to medical conditions such as diabetes</w:t>
      </w:r>
      <w:r>
        <w:rPr>
          <w:lang w:eastAsia="en-AU"/>
        </w:rPr>
        <w:t xml:space="preserve">. </w:t>
      </w:r>
      <w:r w:rsidR="007B4938" w:rsidRPr="007B4938">
        <w:rPr>
          <w:lang w:eastAsia="en-AU"/>
        </w:rPr>
        <w:t xml:space="preserve">The prevalence of peripheral </w:t>
      </w:r>
      <w:r w:rsidR="007B4938" w:rsidRPr="007B4938">
        <w:rPr>
          <w:lang w:eastAsia="en-AU"/>
        </w:rPr>
        <w:lastRenderedPageBreak/>
        <w:t xml:space="preserve">neuropathy in the general population ranges from 1% to 7% </w:t>
      </w:r>
      <w:r w:rsidR="00D25512" w:rsidRPr="00D25512">
        <w:rPr>
          <w:lang w:eastAsia="en-AU"/>
        </w:rPr>
        <w:t>with higher rates among those older than 50 years</w:t>
      </w:r>
      <w:r w:rsidR="0054669A">
        <w:rPr>
          <w:lang w:eastAsia="en-AU"/>
        </w:rPr>
        <w:t xml:space="preserve"> and </w:t>
      </w:r>
      <w:r w:rsidR="00F24561">
        <w:rPr>
          <w:lang w:eastAsia="en-AU"/>
        </w:rPr>
        <w:t>persons with diabetes</w:t>
      </w:r>
      <w:r w:rsidR="0054669A">
        <w:rPr>
          <w:lang w:eastAsia="en-AU"/>
        </w:rPr>
        <w:t>.</w:t>
      </w:r>
      <w:r w:rsidR="003E5874">
        <w:rPr>
          <w:rStyle w:val="FootnoteReference"/>
          <w:lang w:eastAsia="en-AU"/>
        </w:rPr>
        <w:footnoteReference w:id="26"/>
      </w:r>
      <w:r w:rsidR="00C83448">
        <w:rPr>
          <w:vertAlign w:val="superscript"/>
          <w:lang w:eastAsia="en-AU"/>
        </w:rPr>
        <w:t>,</w:t>
      </w:r>
      <w:r w:rsidR="00C83448">
        <w:rPr>
          <w:rStyle w:val="FootnoteReference"/>
          <w:lang w:eastAsia="en-AU"/>
        </w:rPr>
        <w:footnoteReference w:id="27"/>
      </w:r>
      <w:r w:rsidR="00EC2643">
        <w:rPr>
          <w:lang w:eastAsia="en-AU"/>
        </w:rPr>
        <w:t xml:space="preserve"> </w:t>
      </w:r>
      <w:r w:rsidR="00B0380D">
        <w:rPr>
          <w:lang w:eastAsia="en-AU"/>
        </w:rPr>
        <w:t>Despite the</w:t>
      </w:r>
      <w:r w:rsidR="0035594B">
        <w:rPr>
          <w:lang w:eastAsia="en-AU"/>
        </w:rPr>
        <w:t xml:space="preserve"> vital roles played by vitamin B6 in various bodily function</w:t>
      </w:r>
      <w:r w:rsidR="00E53469">
        <w:rPr>
          <w:lang w:eastAsia="en-AU"/>
        </w:rPr>
        <w:t>s</w:t>
      </w:r>
      <w:r w:rsidR="0035594B">
        <w:rPr>
          <w:lang w:eastAsia="en-AU"/>
        </w:rPr>
        <w:t>, it</w:t>
      </w:r>
      <w:r w:rsidR="0061329E">
        <w:rPr>
          <w:lang w:eastAsia="en-AU"/>
        </w:rPr>
        <w:t xml:space="preserve"> is now well established that </w:t>
      </w:r>
      <w:r w:rsidR="00BA6168" w:rsidRPr="00BA6168">
        <w:rPr>
          <w:lang w:eastAsia="en-AU"/>
        </w:rPr>
        <w:t xml:space="preserve">high intake of vitamin B6 </w:t>
      </w:r>
      <w:r w:rsidR="00BA6168">
        <w:rPr>
          <w:lang w:eastAsia="en-AU"/>
        </w:rPr>
        <w:t>can lead to the</w:t>
      </w:r>
      <w:r w:rsidR="00BA6168" w:rsidRPr="00BA6168">
        <w:rPr>
          <w:lang w:eastAsia="en-AU"/>
        </w:rPr>
        <w:t xml:space="preserve"> development of peripheral neuropathy</w:t>
      </w:r>
      <w:r w:rsidR="00A501F8">
        <w:rPr>
          <w:lang w:eastAsia="en-AU"/>
        </w:rPr>
        <w:t xml:space="preserve">. </w:t>
      </w:r>
      <w:r w:rsidR="00F24561">
        <w:rPr>
          <w:lang w:eastAsia="en-AU"/>
        </w:rPr>
        <w:t>Previously,</w:t>
      </w:r>
      <w:r w:rsidR="00A501F8">
        <w:rPr>
          <w:lang w:eastAsia="en-AU"/>
        </w:rPr>
        <w:t xml:space="preserve"> i</w:t>
      </w:r>
      <w:r w:rsidR="006263A4">
        <w:rPr>
          <w:lang w:eastAsia="en-AU"/>
        </w:rPr>
        <w:t xml:space="preserve">t </w:t>
      </w:r>
      <w:r w:rsidR="00251E73">
        <w:rPr>
          <w:lang w:eastAsia="en-AU"/>
        </w:rPr>
        <w:t>was</w:t>
      </w:r>
      <w:r w:rsidR="00117FE2">
        <w:rPr>
          <w:lang w:eastAsia="en-AU"/>
        </w:rPr>
        <w:t xml:space="preserve"> generally considered that high intake </w:t>
      </w:r>
      <w:r w:rsidR="00713284">
        <w:rPr>
          <w:lang w:eastAsia="en-AU"/>
        </w:rPr>
        <w:t>greater than</w:t>
      </w:r>
      <w:r w:rsidR="00713284" w:rsidRPr="00F6369C">
        <w:rPr>
          <w:lang w:eastAsia="en-AU"/>
        </w:rPr>
        <w:t xml:space="preserve"> 200</w:t>
      </w:r>
      <w:r w:rsidR="00F24561">
        <w:rPr>
          <w:lang w:eastAsia="en-AU"/>
        </w:rPr>
        <w:t> </w:t>
      </w:r>
      <w:r w:rsidR="00117FE2" w:rsidRPr="00F6369C">
        <w:rPr>
          <w:lang w:eastAsia="en-AU"/>
        </w:rPr>
        <w:t>mg/day</w:t>
      </w:r>
      <w:r w:rsidR="00E77C02">
        <w:rPr>
          <w:lang w:eastAsia="en-AU"/>
        </w:rPr>
        <w:t xml:space="preserve"> taken over a long period of time is required to develop peripheral neuropathy</w:t>
      </w:r>
      <w:r w:rsidR="0014547B">
        <w:rPr>
          <w:lang w:eastAsia="en-AU"/>
        </w:rPr>
        <w:t>. However</w:t>
      </w:r>
      <w:r w:rsidR="00E77C02">
        <w:rPr>
          <w:lang w:eastAsia="en-AU"/>
        </w:rPr>
        <w:t xml:space="preserve">, </w:t>
      </w:r>
      <w:r w:rsidR="00BF0287">
        <w:rPr>
          <w:lang w:eastAsia="en-AU"/>
        </w:rPr>
        <w:t xml:space="preserve">a </w:t>
      </w:r>
      <w:r w:rsidR="00F75FEA">
        <w:rPr>
          <w:lang w:eastAsia="en-AU"/>
        </w:rPr>
        <w:t xml:space="preserve">recent review by </w:t>
      </w:r>
      <w:r w:rsidR="00B56C7B">
        <w:rPr>
          <w:lang w:eastAsia="en-AU"/>
        </w:rPr>
        <w:t xml:space="preserve">the </w:t>
      </w:r>
      <w:r w:rsidR="006A7054">
        <w:rPr>
          <w:lang w:eastAsia="en-AU"/>
        </w:rPr>
        <w:t>European Food Safety Authority (</w:t>
      </w:r>
      <w:r w:rsidR="00B56C7B" w:rsidRPr="00B56C7B">
        <w:rPr>
          <w:lang w:eastAsia="en-AU"/>
        </w:rPr>
        <w:t>EFSA</w:t>
      </w:r>
      <w:r w:rsidR="006A7054">
        <w:rPr>
          <w:lang w:eastAsia="en-AU"/>
        </w:rPr>
        <w:t>)</w:t>
      </w:r>
      <w:r w:rsidR="00B56C7B" w:rsidRPr="00B56C7B">
        <w:rPr>
          <w:lang w:eastAsia="en-AU"/>
        </w:rPr>
        <w:t xml:space="preserve"> Panel on Nutrition, Novel Foods and</w:t>
      </w:r>
      <w:r w:rsidR="00B56C7B">
        <w:rPr>
          <w:lang w:eastAsia="en-AU"/>
        </w:rPr>
        <w:t xml:space="preserve"> </w:t>
      </w:r>
      <w:r w:rsidR="00B56C7B" w:rsidRPr="00B56C7B">
        <w:rPr>
          <w:lang w:eastAsia="en-AU"/>
        </w:rPr>
        <w:t>Food Allergens</w:t>
      </w:r>
      <w:r w:rsidR="00E77C02">
        <w:rPr>
          <w:lang w:eastAsia="en-AU"/>
        </w:rPr>
        <w:t xml:space="preserve"> </w:t>
      </w:r>
      <w:r w:rsidR="00B56C7B">
        <w:rPr>
          <w:lang w:eastAsia="en-AU"/>
        </w:rPr>
        <w:t xml:space="preserve">concluded </w:t>
      </w:r>
      <w:r w:rsidR="004227B0">
        <w:rPr>
          <w:lang w:eastAsia="en-AU"/>
        </w:rPr>
        <w:t xml:space="preserve">that </w:t>
      </w:r>
      <w:r w:rsidR="00A005B8">
        <w:rPr>
          <w:lang w:eastAsia="en-AU"/>
        </w:rPr>
        <w:t xml:space="preserve">currently available evidence </w:t>
      </w:r>
      <w:r w:rsidR="00F006B6">
        <w:rPr>
          <w:lang w:eastAsia="en-AU"/>
        </w:rPr>
        <w:t>‘</w:t>
      </w:r>
      <w:r w:rsidR="00A005B8">
        <w:rPr>
          <w:lang w:eastAsia="en-AU"/>
        </w:rPr>
        <w:t xml:space="preserve">allows </w:t>
      </w:r>
      <w:r w:rsidR="00A005B8" w:rsidRPr="00A005B8">
        <w:rPr>
          <w:lang w:eastAsia="en-AU"/>
        </w:rPr>
        <w:t xml:space="preserve">establishing with sufﬁcient certainty that </w:t>
      </w:r>
      <w:r w:rsidR="00F006B6" w:rsidRPr="00A005B8">
        <w:rPr>
          <w:lang w:eastAsia="en-AU"/>
        </w:rPr>
        <w:t>peripheral neuropathy</w:t>
      </w:r>
      <w:r w:rsidR="00A005B8" w:rsidRPr="00A005B8">
        <w:rPr>
          <w:lang w:eastAsia="en-AU"/>
        </w:rPr>
        <w:t xml:space="preserve"> may occur at supplemental vitamin B6 intakes of 50 mg/day in some individuals</w:t>
      </w:r>
      <w:r w:rsidR="00F006B6">
        <w:rPr>
          <w:lang w:eastAsia="en-AU"/>
        </w:rPr>
        <w:t>’</w:t>
      </w:r>
      <w:r w:rsidR="00A005B8" w:rsidRPr="00A005B8">
        <w:rPr>
          <w:lang w:eastAsia="en-AU"/>
        </w:rPr>
        <w:t>.</w:t>
      </w:r>
      <w:r w:rsidR="00F006B6">
        <w:rPr>
          <w:rStyle w:val="FootnoteReference"/>
          <w:lang w:eastAsia="en-AU"/>
        </w:rPr>
        <w:footnoteReference w:id="28"/>
      </w:r>
      <w:r w:rsidR="00733AD5">
        <w:rPr>
          <w:lang w:eastAsia="en-AU"/>
        </w:rPr>
        <w:t xml:space="preserve"> In arriving at</w:t>
      </w:r>
      <w:r w:rsidR="00116EA5">
        <w:rPr>
          <w:lang w:eastAsia="en-AU"/>
        </w:rPr>
        <w:t xml:space="preserve"> their conclusion, the panel </w:t>
      </w:r>
      <w:r w:rsidR="00073996">
        <w:rPr>
          <w:lang w:eastAsia="en-AU"/>
        </w:rPr>
        <w:t xml:space="preserve">considered </w:t>
      </w:r>
      <w:r w:rsidR="00953144">
        <w:rPr>
          <w:lang w:eastAsia="en-AU"/>
        </w:rPr>
        <w:t xml:space="preserve">several cases of </w:t>
      </w:r>
      <w:r w:rsidR="00E83D35">
        <w:rPr>
          <w:lang w:eastAsia="en-AU"/>
        </w:rPr>
        <w:t xml:space="preserve">peripheral neuropathy at </w:t>
      </w:r>
      <w:r w:rsidR="00E97C22">
        <w:rPr>
          <w:lang w:eastAsia="en-AU"/>
        </w:rPr>
        <w:t xml:space="preserve">supplemental doses of less than 50 mg/day </w:t>
      </w:r>
      <w:r w:rsidR="008F3ADC">
        <w:rPr>
          <w:lang w:eastAsia="en-AU"/>
        </w:rPr>
        <w:t>reported in liter</w:t>
      </w:r>
      <w:r w:rsidR="00CF00E1">
        <w:rPr>
          <w:lang w:eastAsia="en-AU"/>
        </w:rPr>
        <w:t xml:space="preserve">ature and </w:t>
      </w:r>
      <w:r w:rsidR="00B9398C" w:rsidRPr="00CF00E1">
        <w:rPr>
          <w:lang w:eastAsia="en-AU"/>
        </w:rPr>
        <w:t>vigilance system</w:t>
      </w:r>
      <w:r w:rsidR="00B9398C">
        <w:rPr>
          <w:lang w:eastAsia="en-AU"/>
        </w:rPr>
        <w:t>s</w:t>
      </w:r>
      <w:r w:rsidR="00B9398C" w:rsidRPr="00CF00E1">
        <w:rPr>
          <w:lang w:eastAsia="en-AU"/>
        </w:rPr>
        <w:t xml:space="preserve"> </w:t>
      </w:r>
      <w:r w:rsidR="00CF00E1" w:rsidRPr="00CF00E1">
        <w:rPr>
          <w:lang w:eastAsia="en-AU"/>
        </w:rPr>
        <w:t xml:space="preserve">from </w:t>
      </w:r>
      <w:r w:rsidR="00CF00E1">
        <w:rPr>
          <w:lang w:eastAsia="en-AU"/>
        </w:rPr>
        <w:t xml:space="preserve">EU </w:t>
      </w:r>
      <w:r w:rsidR="00B9398C">
        <w:rPr>
          <w:lang w:eastAsia="en-AU"/>
        </w:rPr>
        <w:t>m</w:t>
      </w:r>
      <w:r w:rsidR="00CF00E1" w:rsidRPr="00CF00E1">
        <w:rPr>
          <w:lang w:eastAsia="en-AU"/>
        </w:rPr>
        <w:t xml:space="preserve">ember </w:t>
      </w:r>
      <w:r w:rsidR="006E640C">
        <w:rPr>
          <w:lang w:eastAsia="en-AU"/>
        </w:rPr>
        <w:t>s</w:t>
      </w:r>
      <w:r w:rsidR="006E640C" w:rsidRPr="00CF00E1">
        <w:rPr>
          <w:lang w:eastAsia="en-AU"/>
        </w:rPr>
        <w:t>tates</w:t>
      </w:r>
      <w:r w:rsidR="00CF00E1">
        <w:rPr>
          <w:lang w:eastAsia="en-AU"/>
        </w:rPr>
        <w:t xml:space="preserve">. </w:t>
      </w:r>
      <w:r w:rsidR="006460BA" w:rsidRPr="006460BA">
        <w:rPr>
          <w:lang w:eastAsia="en-AU"/>
        </w:rPr>
        <w:t>The Panel additionally note</w:t>
      </w:r>
      <w:r w:rsidR="00B9398C">
        <w:rPr>
          <w:lang w:eastAsia="en-AU"/>
        </w:rPr>
        <w:t>d</w:t>
      </w:r>
      <w:r w:rsidR="006460BA" w:rsidRPr="006460BA">
        <w:rPr>
          <w:lang w:eastAsia="en-AU"/>
        </w:rPr>
        <w:t xml:space="preserve"> the large inter</w:t>
      </w:r>
      <w:r w:rsidR="006812DC">
        <w:rPr>
          <w:lang w:eastAsia="en-AU"/>
        </w:rPr>
        <w:t>-</w:t>
      </w:r>
      <w:r w:rsidR="006460BA" w:rsidRPr="006460BA">
        <w:rPr>
          <w:lang w:eastAsia="en-AU"/>
        </w:rPr>
        <w:t>individual</w:t>
      </w:r>
      <w:r w:rsidR="006460BA">
        <w:rPr>
          <w:lang w:eastAsia="en-AU"/>
        </w:rPr>
        <w:t xml:space="preserve"> </w:t>
      </w:r>
      <w:r w:rsidR="006460BA" w:rsidRPr="006460BA">
        <w:rPr>
          <w:lang w:eastAsia="en-AU"/>
        </w:rPr>
        <w:t>differences in sensitivity to vitamin B6 toxicity</w:t>
      </w:r>
      <w:r w:rsidR="00C54DE2">
        <w:rPr>
          <w:lang w:eastAsia="en-AU"/>
        </w:rPr>
        <w:t>.</w:t>
      </w:r>
      <w:r w:rsidR="00CA3AF9">
        <w:rPr>
          <w:rStyle w:val="FootnoteReference"/>
          <w:lang w:eastAsia="en-AU"/>
        </w:rPr>
        <w:footnoteReference w:id="29"/>
      </w:r>
      <w:r w:rsidR="00E846E1">
        <w:rPr>
          <w:lang w:eastAsia="en-AU"/>
        </w:rPr>
        <w:t xml:space="preserve"> </w:t>
      </w:r>
      <w:r w:rsidR="00E846E1" w:rsidRPr="00B804C5">
        <w:rPr>
          <w:lang w:eastAsia="en-AU"/>
        </w:rPr>
        <w:t xml:space="preserve">The case reports, </w:t>
      </w:r>
      <w:r w:rsidR="00F741B6" w:rsidRPr="00B804C5">
        <w:rPr>
          <w:lang w:eastAsia="en-AU"/>
        </w:rPr>
        <w:t xml:space="preserve">vigilance data and some of the published literature </w:t>
      </w:r>
      <w:r w:rsidR="00127396" w:rsidRPr="00B804C5">
        <w:rPr>
          <w:lang w:eastAsia="en-AU"/>
        </w:rPr>
        <w:t xml:space="preserve">reviewed by the EFSA panel, </w:t>
      </w:r>
      <w:r w:rsidR="001E3C72">
        <w:rPr>
          <w:lang w:eastAsia="en-AU"/>
        </w:rPr>
        <w:t>were not</w:t>
      </w:r>
      <w:r w:rsidR="00127396" w:rsidRPr="00B804C5">
        <w:rPr>
          <w:lang w:eastAsia="en-AU"/>
        </w:rPr>
        <w:t xml:space="preserve"> considered </w:t>
      </w:r>
      <w:r w:rsidR="001E3C72">
        <w:rPr>
          <w:lang w:eastAsia="en-AU"/>
        </w:rPr>
        <w:t>in</w:t>
      </w:r>
      <w:r w:rsidR="00127396" w:rsidRPr="00B804C5">
        <w:rPr>
          <w:lang w:eastAsia="en-AU"/>
        </w:rPr>
        <w:t xml:space="preserve"> </w:t>
      </w:r>
      <w:r w:rsidR="004A1751" w:rsidRPr="00B804C5">
        <w:rPr>
          <w:lang w:eastAsia="en-AU"/>
        </w:rPr>
        <w:t xml:space="preserve">the recent </w:t>
      </w:r>
      <w:r w:rsidR="00047DDF" w:rsidRPr="00B804C5">
        <w:rPr>
          <w:lang w:eastAsia="en-AU"/>
        </w:rPr>
        <w:t xml:space="preserve">review </w:t>
      </w:r>
      <w:r w:rsidR="00D84924" w:rsidRPr="00B804C5">
        <w:rPr>
          <w:lang w:eastAsia="en-AU"/>
        </w:rPr>
        <w:t xml:space="preserve">cited by </w:t>
      </w:r>
      <w:r w:rsidR="00B804C5" w:rsidRPr="00B804C5">
        <w:rPr>
          <w:lang w:eastAsia="en-AU"/>
        </w:rPr>
        <w:t xml:space="preserve">the </w:t>
      </w:r>
      <w:r w:rsidR="00D84924" w:rsidRPr="00B804C5">
        <w:rPr>
          <w:lang w:eastAsia="en-AU"/>
        </w:rPr>
        <w:t>public submitter</w:t>
      </w:r>
      <w:r w:rsidR="00B804C5" w:rsidRPr="00B804C5">
        <w:rPr>
          <w:lang w:eastAsia="en-AU"/>
        </w:rPr>
        <w:t>s</w:t>
      </w:r>
      <w:r w:rsidR="00D84924" w:rsidRPr="00B804C5">
        <w:rPr>
          <w:lang w:eastAsia="en-AU"/>
        </w:rPr>
        <w:t xml:space="preserve"> opposing</w:t>
      </w:r>
      <w:r w:rsidR="00A12AD0" w:rsidRPr="00B804C5">
        <w:rPr>
          <w:lang w:eastAsia="en-AU"/>
        </w:rPr>
        <w:t xml:space="preserve"> the scheduling</w:t>
      </w:r>
      <w:r w:rsidR="00BF680B">
        <w:rPr>
          <w:lang w:eastAsia="en-AU"/>
        </w:rPr>
        <w:t xml:space="preserve"> proposal</w:t>
      </w:r>
      <w:r w:rsidR="00A12AD0" w:rsidRPr="00B804C5">
        <w:rPr>
          <w:lang w:eastAsia="en-AU"/>
        </w:rPr>
        <w:t>.</w:t>
      </w:r>
    </w:p>
    <w:p w14:paraId="217B2493" w14:textId="2EFE962D" w:rsidR="008D79DD" w:rsidRDefault="008D79DD" w:rsidP="008D79DD">
      <w:pPr>
        <w:rPr>
          <w:lang w:eastAsia="en-AU"/>
        </w:rPr>
      </w:pPr>
      <w:r w:rsidRPr="008D79DD">
        <w:rPr>
          <w:lang w:eastAsia="en-AU"/>
        </w:rPr>
        <w:t xml:space="preserve">As of </w:t>
      </w:r>
      <w:r w:rsidR="00C637F6">
        <w:rPr>
          <w:lang w:eastAsia="en-AU"/>
        </w:rPr>
        <w:t xml:space="preserve">4 </w:t>
      </w:r>
      <w:r w:rsidR="00C637F6" w:rsidRPr="009E58F5">
        <w:rPr>
          <w:lang w:eastAsia="en-AU"/>
        </w:rPr>
        <w:t>June</w:t>
      </w:r>
      <w:r w:rsidR="00A95BF4" w:rsidRPr="009E58F5">
        <w:rPr>
          <w:lang w:eastAsia="en-AU"/>
        </w:rPr>
        <w:t xml:space="preserve"> </w:t>
      </w:r>
      <w:r w:rsidRPr="009E58F5">
        <w:rPr>
          <w:lang w:eastAsia="en-AU"/>
        </w:rPr>
        <w:t>2025, there were</w:t>
      </w:r>
      <w:r w:rsidRPr="008D79DD">
        <w:rPr>
          <w:lang w:eastAsia="en-AU"/>
        </w:rPr>
        <w:t xml:space="preserve"> </w:t>
      </w:r>
      <w:r w:rsidR="00C637F6">
        <w:rPr>
          <w:lang w:eastAsia="en-AU"/>
        </w:rPr>
        <w:t>174</w:t>
      </w:r>
      <w:r w:rsidR="00C637F6" w:rsidRPr="005466D3">
        <w:rPr>
          <w:lang w:eastAsia="en-AU"/>
        </w:rPr>
        <w:t xml:space="preserve"> </w:t>
      </w:r>
      <w:r w:rsidRPr="005466D3">
        <w:rPr>
          <w:lang w:eastAsia="en-AU"/>
        </w:rPr>
        <w:t>reports</w:t>
      </w:r>
      <w:r w:rsidRPr="008D79DD">
        <w:rPr>
          <w:lang w:eastAsia="en-AU"/>
        </w:rPr>
        <w:t xml:space="preserve"> of peripheral neuropathy, peripheral sensory neuropathy, small fibre neuropathy or chronic polyneuropathy for products containing vitamin B6 on the</w:t>
      </w:r>
      <w:r w:rsidR="005466D3">
        <w:rPr>
          <w:lang w:eastAsia="en-AU"/>
        </w:rPr>
        <w:t xml:space="preserve"> TGA’s</w:t>
      </w:r>
      <w:r w:rsidRPr="008D79DD">
        <w:rPr>
          <w:lang w:eastAsia="en-AU"/>
        </w:rPr>
        <w:t xml:space="preserve"> </w:t>
      </w:r>
      <w:hyperlink r:id="rId17" w:history="1">
        <w:r w:rsidRPr="008D79DD">
          <w:rPr>
            <w:rStyle w:val="Hyperlink"/>
            <w:lang w:eastAsia="en-AU"/>
          </w:rPr>
          <w:t>Database of Adverse Event Notifications (DAEN)</w:t>
        </w:r>
      </w:hyperlink>
      <w:r w:rsidRPr="008D79DD">
        <w:rPr>
          <w:lang w:eastAsia="en-AU"/>
        </w:rPr>
        <w:t xml:space="preserve">. </w:t>
      </w:r>
      <w:r w:rsidR="006F76E6" w:rsidRPr="008D79DD">
        <w:rPr>
          <w:lang w:eastAsia="en-AU"/>
        </w:rPr>
        <w:t>Of the</w:t>
      </w:r>
      <w:r w:rsidR="006F76E6">
        <w:rPr>
          <w:lang w:eastAsia="en-AU"/>
        </w:rPr>
        <w:t>se</w:t>
      </w:r>
      <w:r w:rsidR="006F76E6" w:rsidRPr="008D79DD">
        <w:rPr>
          <w:lang w:eastAsia="en-AU"/>
        </w:rPr>
        <w:t xml:space="preserve">, </w:t>
      </w:r>
      <w:r w:rsidR="00C637F6">
        <w:rPr>
          <w:lang w:eastAsia="en-AU"/>
        </w:rPr>
        <w:t>102</w:t>
      </w:r>
      <w:r w:rsidR="00C637F6" w:rsidRPr="008D79DD">
        <w:rPr>
          <w:lang w:eastAsia="en-AU"/>
        </w:rPr>
        <w:t xml:space="preserve"> </w:t>
      </w:r>
      <w:r w:rsidR="006F76E6" w:rsidRPr="008D79DD">
        <w:rPr>
          <w:lang w:eastAsia="en-AU"/>
        </w:rPr>
        <w:t>also reported ‘Hypervitaminosis B6’ and/or ‘Vitamin B6 increased’</w:t>
      </w:r>
      <w:r w:rsidR="00863118">
        <w:rPr>
          <w:lang w:eastAsia="en-AU"/>
        </w:rPr>
        <w:t xml:space="preserve">. </w:t>
      </w:r>
      <w:r w:rsidR="00A95F4A">
        <w:rPr>
          <w:lang w:eastAsia="en-AU"/>
        </w:rPr>
        <w:t>T</w:t>
      </w:r>
      <w:r w:rsidR="00A95F4A" w:rsidRPr="00A95F4A">
        <w:rPr>
          <w:lang w:eastAsia="en-AU"/>
        </w:rPr>
        <w:t xml:space="preserve">here </w:t>
      </w:r>
      <w:r w:rsidR="00A95F4A">
        <w:rPr>
          <w:lang w:eastAsia="en-AU"/>
        </w:rPr>
        <w:t>were</w:t>
      </w:r>
      <w:r w:rsidR="00A95F4A" w:rsidRPr="00A95F4A">
        <w:rPr>
          <w:lang w:eastAsia="en-AU"/>
        </w:rPr>
        <w:t xml:space="preserve"> another </w:t>
      </w:r>
      <w:r w:rsidR="000104BE">
        <w:rPr>
          <w:lang w:eastAsia="en-AU"/>
        </w:rPr>
        <w:t>92</w:t>
      </w:r>
      <w:r w:rsidR="000104BE" w:rsidRPr="00A95F4A">
        <w:rPr>
          <w:lang w:eastAsia="en-AU"/>
        </w:rPr>
        <w:t xml:space="preserve"> </w:t>
      </w:r>
      <w:r w:rsidR="00A95F4A" w:rsidRPr="00A95F4A">
        <w:rPr>
          <w:lang w:eastAsia="en-AU"/>
        </w:rPr>
        <w:t xml:space="preserve">reports of ‘Hypervitaminosis B6’ and/or ‘Vitamin B6 increased’ with less specific reaction terms </w:t>
      </w:r>
      <w:r w:rsidR="002E5C32" w:rsidRPr="002E5C32">
        <w:rPr>
          <w:lang w:eastAsia="en-AU"/>
        </w:rPr>
        <w:t>such as paraesthesia, burning sensation etc.</w:t>
      </w:r>
      <w:r w:rsidR="002E5C32">
        <w:rPr>
          <w:lang w:eastAsia="en-AU"/>
        </w:rPr>
        <w:t xml:space="preserve"> </w:t>
      </w:r>
      <w:r w:rsidR="006E640C">
        <w:rPr>
          <w:lang w:eastAsia="en-AU"/>
        </w:rPr>
        <w:t xml:space="preserve">also </w:t>
      </w:r>
      <w:r w:rsidR="00A95F4A" w:rsidRPr="00A95F4A">
        <w:rPr>
          <w:lang w:eastAsia="en-AU"/>
        </w:rPr>
        <w:t>possibly suggestive of neuropathies.</w:t>
      </w:r>
    </w:p>
    <w:p w14:paraId="6B0EF5C8" w14:textId="6527CC7C" w:rsidR="00EF45C0" w:rsidRDefault="00AF403B" w:rsidP="005F7262">
      <w:pPr>
        <w:rPr>
          <w:lang w:eastAsia="en-AU"/>
        </w:rPr>
      </w:pPr>
      <w:r>
        <w:rPr>
          <w:lang w:eastAsia="en-AU"/>
        </w:rPr>
        <w:t>A m</w:t>
      </w:r>
      <w:r w:rsidR="00A1237E" w:rsidRPr="00A1237E">
        <w:rPr>
          <w:lang w:eastAsia="en-AU"/>
        </w:rPr>
        <w:t>ajority of the 17</w:t>
      </w:r>
      <w:r w:rsidR="000104BE">
        <w:rPr>
          <w:lang w:eastAsia="en-AU"/>
        </w:rPr>
        <w:t>4</w:t>
      </w:r>
      <w:r w:rsidR="00A1237E" w:rsidRPr="00A1237E">
        <w:rPr>
          <w:lang w:eastAsia="en-AU"/>
        </w:rPr>
        <w:t xml:space="preserve"> adverse events in DAEN were reported since 1 January 2023 (1</w:t>
      </w:r>
      <w:r w:rsidR="000104BE">
        <w:rPr>
          <w:lang w:eastAsia="en-AU"/>
        </w:rPr>
        <w:t>31</w:t>
      </w:r>
      <w:r w:rsidR="00A1237E" w:rsidRPr="00A1237E">
        <w:rPr>
          <w:lang w:eastAsia="en-AU"/>
        </w:rPr>
        <w:t xml:space="preserve"> events, </w:t>
      </w:r>
      <w:r w:rsidR="000104BE" w:rsidRPr="00A1237E">
        <w:rPr>
          <w:lang w:eastAsia="en-AU"/>
        </w:rPr>
        <w:t>7</w:t>
      </w:r>
      <w:r w:rsidR="000104BE">
        <w:rPr>
          <w:lang w:eastAsia="en-AU"/>
        </w:rPr>
        <w:t>5</w:t>
      </w:r>
      <w:r w:rsidR="00A1237E" w:rsidRPr="00A1237E">
        <w:rPr>
          <w:lang w:eastAsia="en-AU"/>
        </w:rPr>
        <w:t xml:space="preserve">%) </w:t>
      </w:r>
      <w:r w:rsidR="00A1237E" w:rsidRPr="009E58F5">
        <w:rPr>
          <w:lang w:eastAsia="en-AU"/>
        </w:rPr>
        <w:t xml:space="preserve">with </w:t>
      </w:r>
      <w:r w:rsidR="00771ACD" w:rsidRPr="009E58F5">
        <w:rPr>
          <w:lang w:eastAsia="en-AU"/>
        </w:rPr>
        <w:t xml:space="preserve">36 </w:t>
      </w:r>
      <w:r w:rsidR="00A1237E" w:rsidRPr="009E58F5">
        <w:rPr>
          <w:lang w:eastAsia="en-AU"/>
        </w:rPr>
        <w:t xml:space="preserve">events </w:t>
      </w:r>
      <w:r w:rsidR="001D3DB6" w:rsidRPr="009E58F5">
        <w:rPr>
          <w:lang w:eastAsia="en-AU"/>
        </w:rPr>
        <w:t xml:space="preserve">being </w:t>
      </w:r>
      <w:r w:rsidR="00A1237E" w:rsidRPr="009E58F5">
        <w:rPr>
          <w:lang w:eastAsia="en-AU"/>
        </w:rPr>
        <w:t>reported in 2023</w:t>
      </w:r>
      <w:r w:rsidR="00F24561">
        <w:rPr>
          <w:lang w:eastAsia="en-AU"/>
        </w:rPr>
        <w:t>,</w:t>
      </w:r>
      <w:r w:rsidR="00A1237E" w:rsidRPr="009E58F5">
        <w:rPr>
          <w:lang w:eastAsia="en-AU"/>
        </w:rPr>
        <w:t xml:space="preserve"> 41 events in 2024</w:t>
      </w:r>
      <w:r w:rsidR="00F24561">
        <w:rPr>
          <w:lang w:eastAsia="en-AU"/>
        </w:rPr>
        <w:t>,</w:t>
      </w:r>
      <w:r w:rsidR="00771ACD" w:rsidRPr="009E58F5">
        <w:rPr>
          <w:lang w:eastAsia="en-AU"/>
        </w:rPr>
        <w:t xml:space="preserve"> and</w:t>
      </w:r>
      <w:r w:rsidR="00771ACD">
        <w:rPr>
          <w:lang w:eastAsia="en-AU"/>
        </w:rPr>
        <w:t xml:space="preserve"> 54 events to 4 June 2025</w:t>
      </w:r>
      <w:r w:rsidR="00A1237E" w:rsidRPr="00A1237E">
        <w:rPr>
          <w:lang w:eastAsia="en-AU"/>
        </w:rPr>
        <w:t xml:space="preserve">. The sustained reporting following the TGA’s </w:t>
      </w:r>
      <w:hyperlink r:id="rId18" w:history="1">
        <w:r w:rsidR="00A1237E" w:rsidRPr="00E436ED">
          <w:rPr>
            <w:rStyle w:val="Hyperlink"/>
            <w:lang w:eastAsia="en-AU"/>
          </w:rPr>
          <w:t>safety update</w:t>
        </w:r>
      </w:hyperlink>
      <w:r w:rsidR="00A1237E" w:rsidRPr="00A1237E">
        <w:rPr>
          <w:lang w:eastAsia="en-AU"/>
        </w:rPr>
        <w:t xml:space="preserve"> </w:t>
      </w:r>
      <w:r w:rsidR="00E436ED">
        <w:rPr>
          <w:lang w:eastAsia="en-AU"/>
        </w:rPr>
        <w:t xml:space="preserve">in </w:t>
      </w:r>
      <w:r w:rsidR="00A1237E" w:rsidRPr="00A1237E">
        <w:rPr>
          <w:lang w:eastAsia="en-AU"/>
        </w:rPr>
        <w:t xml:space="preserve">2022 and </w:t>
      </w:r>
      <w:hyperlink r:id="rId19" w:anchor="changes-to-label-warnings-for-vitamin-b6-products" w:history="1">
        <w:r w:rsidR="00071A9D">
          <w:rPr>
            <w:rStyle w:val="Hyperlink"/>
            <w:lang w:eastAsia="en-AU"/>
          </w:rPr>
          <w:t>changes to label warnings for vitamin B6 products</w:t>
        </w:r>
      </w:hyperlink>
      <w:r w:rsidR="00071A9D">
        <w:rPr>
          <w:lang w:eastAsia="en-AU"/>
        </w:rPr>
        <w:t xml:space="preserve"> </w:t>
      </w:r>
      <w:r w:rsidR="00A1237E" w:rsidRPr="00A1237E">
        <w:rPr>
          <w:lang w:eastAsia="en-AU"/>
        </w:rPr>
        <w:t>(effective 1</w:t>
      </w:r>
      <w:r w:rsidR="009A4A61">
        <w:rPr>
          <w:lang w:eastAsia="en-AU"/>
        </w:rPr>
        <w:t> </w:t>
      </w:r>
      <w:r w:rsidR="00E26437">
        <w:rPr>
          <w:lang w:eastAsia="en-AU"/>
        </w:rPr>
        <w:t>March</w:t>
      </w:r>
      <w:r w:rsidR="00E26437" w:rsidRPr="00A1237E">
        <w:rPr>
          <w:lang w:eastAsia="en-AU"/>
        </w:rPr>
        <w:t xml:space="preserve"> </w:t>
      </w:r>
      <w:r w:rsidR="00A1237E" w:rsidRPr="00A1237E">
        <w:rPr>
          <w:lang w:eastAsia="en-AU"/>
        </w:rPr>
        <w:t>202</w:t>
      </w:r>
      <w:r w:rsidR="00E26437">
        <w:rPr>
          <w:lang w:eastAsia="en-AU"/>
        </w:rPr>
        <w:t>2</w:t>
      </w:r>
      <w:r w:rsidR="00AF696A">
        <w:rPr>
          <w:lang w:eastAsia="en-AU"/>
        </w:rPr>
        <w:t xml:space="preserve"> with a 1 year transition period</w:t>
      </w:r>
      <w:r w:rsidR="00A1237E" w:rsidRPr="00A1237E">
        <w:rPr>
          <w:lang w:eastAsia="en-AU"/>
        </w:rPr>
        <w:t xml:space="preserve">) </w:t>
      </w:r>
      <w:r w:rsidR="002350A4">
        <w:rPr>
          <w:lang w:eastAsia="en-AU"/>
        </w:rPr>
        <w:t xml:space="preserve">indicates </w:t>
      </w:r>
      <w:r w:rsidR="00A1237E" w:rsidRPr="00A1237E">
        <w:rPr>
          <w:lang w:eastAsia="en-AU"/>
        </w:rPr>
        <w:t xml:space="preserve">that the </w:t>
      </w:r>
      <w:r w:rsidR="00B15EDF">
        <w:rPr>
          <w:lang w:eastAsia="en-AU"/>
        </w:rPr>
        <w:t>incidence of adverse events</w:t>
      </w:r>
      <w:r w:rsidR="00B15EDF" w:rsidRPr="00A1237E">
        <w:rPr>
          <w:lang w:eastAsia="en-AU"/>
        </w:rPr>
        <w:t xml:space="preserve"> </w:t>
      </w:r>
      <w:r w:rsidR="006E640C">
        <w:rPr>
          <w:lang w:eastAsia="en-AU"/>
        </w:rPr>
        <w:t>may be higher</w:t>
      </w:r>
      <w:r w:rsidR="00A1237E" w:rsidRPr="00A1237E">
        <w:rPr>
          <w:lang w:eastAsia="en-AU"/>
        </w:rPr>
        <w:t xml:space="preserve"> than </w:t>
      </w:r>
      <w:r w:rsidR="00B15EDF">
        <w:rPr>
          <w:lang w:eastAsia="en-AU"/>
        </w:rPr>
        <w:t xml:space="preserve">the </w:t>
      </w:r>
      <w:r w:rsidR="00A1237E" w:rsidRPr="00A1237E">
        <w:rPr>
          <w:lang w:eastAsia="en-AU"/>
        </w:rPr>
        <w:t>pre-2023 reporting data suggested</w:t>
      </w:r>
      <w:r w:rsidR="003309B4">
        <w:rPr>
          <w:lang w:eastAsia="en-AU"/>
        </w:rPr>
        <w:t>.</w:t>
      </w:r>
      <w:r w:rsidR="00EF45C0">
        <w:rPr>
          <w:lang w:eastAsia="en-AU"/>
        </w:rPr>
        <w:t xml:space="preserve"> </w:t>
      </w:r>
      <w:r w:rsidR="00EF45C0" w:rsidRPr="00EF45C0">
        <w:rPr>
          <w:lang w:eastAsia="en-AU"/>
        </w:rPr>
        <w:t xml:space="preserve">The sustained reporting to </w:t>
      </w:r>
      <w:r w:rsidR="006E640C">
        <w:rPr>
          <w:lang w:eastAsia="en-AU"/>
        </w:rPr>
        <w:t>the TGA,</w:t>
      </w:r>
      <w:r w:rsidR="006E640C" w:rsidRPr="00EF45C0">
        <w:rPr>
          <w:lang w:eastAsia="en-AU"/>
        </w:rPr>
        <w:t xml:space="preserve"> </w:t>
      </w:r>
      <w:r w:rsidR="00EF45C0" w:rsidRPr="00EF45C0">
        <w:rPr>
          <w:lang w:eastAsia="en-AU"/>
        </w:rPr>
        <w:t xml:space="preserve">combined with general under-reporting of adverse events for complementary medicines and vitamin supplements </w:t>
      </w:r>
      <w:r w:rsidR="00EF45C0">
        <w:rPr>
          <w:lang w:eastAsia="en-AU"/>
        </w:rPr>
        <w:t>perceived as safe</w:t>
      </w:r>
      <w:r w:rsidR="00EF45C0" w:rsidRPr="00EF45C0">
        <w:rPr>
          <w:lang w:eastAsia="en-AU"/>
        </w:rPr>
        <w:t>, suggests</w:t>
      </w:r>
      <w:r w:rsidR="00EF45C0">
        <w:rPr>
          <w:lang w:eastAsia="en-AU"/>
        </w:rPr>
        <w:t xml:space="preserve"> that</w:t>
      </w:r>
      <w:r w:rsidR="00EF45C0" w:rsidRPr="00EF45C0">
        <w:rPr>
          <w:lang w:eastAsia="en-AU"/>
        </w:rPr>
        <w:t xml:space="preserve"> </w:t>
      </w:r>
      <w:r w:rsidR="006E640C">
        <w:rPr>
          <w:lang w:eastAsia="en-AU"/>
        </w:rPr>
        <w:t>reports</w:t>
      </w:r>
      <w:r w:rsidR="00EF45C0" w:rsidRPr="00EF45C0">
        <w:rPr>
          <w:lang w:eastAsia="en-AU"/>
        </w:rPr>
        <w:t xml:space="preserve"> in </w:t>
      </w:r>
      <w:r w:rsidR="006E640C">
        <w:rPr>
          <w:lang w:eastAsia="en-AU"/>
        </w:rPr>
        <w:t xml:space="preserve">the </w:t>
      </w:r>
      <w:r w:rsidR="00EF45C0" w:rsidRPr="00EF45C0">
        <w:rPr>
          <w:lang w:eastAsia="en-AU"/>
        </w:rPr>
        <w:t xml:space="preserve">DAEN </w:t>
      </w:r>
      <w:r w:rsidR="006E640C">
        <w:rPr>
          <w:lang w:eastAsia="en-AU"/>
        </w:rPr>
        <w:t xml:space="preserve">are </w:t>
      </w:r>
      <w:r w:rsidR="005A0799">
        <w:rPr>
          <w:lang w:eastAsia="en-AU"/>
        </w:rPr>
        <w:t xml:space="preserve">unlikely to be </w:t>
      </w:r>
      <w:r w:rsidR="006E640C">
        <w:rPr>
          <w:lang w:eastAsia="en-AU"/>
        </w:rPr>
        <w:t>a result of</w:t>
      </w:r>
      <w:r w:rsidR="00EF45C0" w:rsidRPr="00EF45C0">
        <w:rPr>
          <w:lang w:eastAsia="en-AU"/>
        </w:rPr>
        <w:t xml:space="preserve"> ‘notoriety bias’</w:t>
      </w:r>
      <w:r w:rsidR="005A0799">
        <w:rPr>
          <w:lang w:eastAsia="en-AU"/>
        </w:rPr>
        <w:t>.</w:t>
      </w:r>
    </w:p>
    <w:p w14:paraId="40961F3A" w14:textId="3879519C" w:rsidR="00DE40AF" w:rsidRDefault="00063A6D" w:rsidP="008D79DD">
      <w:pPr>
        <w:rPr>
          <w:lang w:eastAsia="en-AU"/>
        </w:rPr>
      </w:pPr>
      <w:r>
        <w:rPr>
          <w:lang w:eastAsia="en-AU"/>
        </w:rPr>
        <w:t>S</w:t>
      </w:r>
      <w:r w:rsidR="003832F1">
        <w:rPr>
          <w:lang w:eastAsia="en-AU"/>
        </w:rPr>
        <w:t xml:space="preserve">ubmissions </w:t>
      </w:r>
      <w:r>
        <w:rPr>
          <w:lang w:eastAsia="en-AU"/>
        </w:rPr>
        <w:t xml:space="preserve">also </w:t>
      </w:r>
      <w:r w:rsidR="003832F1">
        <w:rPr>
          <w:lang w:eastAsia="en-AU"/>
        </w:rPr>
        <w:t xml:space="preserve">referred to the </w:t>
      </w:r>
      <w:r w:rsidR="00202B7D">
        <w:rPr>
          <w:lang w:eastAsia="en-AU"/>
        </w:rPr>
        <w:t xml:space="preserve">low number of </w:t>
      </w:r>
      <w:r w:rsidR="005A5AD5">
        <w:rPr>
          <w:lang w:eastAsia="en-AU"/>
        </w:rPr>
        <w:t xml:space="preserve">peripheral </w:t>
      </w:r>
      <w:r w:rsidR="006355D5">
        <w:rPr>
          <w:lang w:eastAsia="en-AU"/>
        </w:rPr>
        <w:t>neuropathies</w:t>
      </w:r>
      <w:r w:rsidR="005A5AD5">
        <w:rPr>
          <w:lang w:eastAsia="en-AU"/>
        </w:rPr>
        <w:t xml:space="preserve"> reported in the </w:t>
      </w:r>
      <w:hyperlink r:id="rId20" w:history="1">
        <w:r w:rsidR="0032690C">
          <w:rPr>
            <w:rStyle w:val="Hyperlink"/>
            <w:lang w:eastAsia="en-AU"/>
          </w:rPr>
          <w:t>EudraVigilance</w:t>
        </w:r>
      </w:hyperlink>
      <w:r w:rsidR="00C14417">
        <w:rPr>
          <w:lang w:eastAsia="en-AU"/>
        </w:rPr>
        <w:t xml:space="preserve"> </w:t>
      </w:r>
      <w:r w:rsidR="005A5AD5" w:rsidRPr="0032690C">
        <w:rPr>
          <w:lang w:eastAsia="en-AU"/>
        </w:rPr>
        <w:t>database</w:t>
      </w:r>
      <w:r w:rsidR="005A5AD5">
        <w:rPr>
          <w:lang w:eastAsia="en-AU"/>
        </w:rPr>
        <w:t xml:space="preserve"> and contrasted that against volume of sale</w:t>
      </w:r>
      <w:r w:rsidR="00C3566F">
        <w:rPr>
          <w:lang w:eastAsia="en-AU"/>
        </w:rPr>
        <w:t>s</w:t>
      </w:r>
      <w:r w:rsidR="005A5AD5">
        <w:rPr>
          <w:lang w:eastAsia="en-AU"/>
        </w:rPr>
        <w:t xml:space="preserve"> to </w:t>
      </w:r>
      <w:r w:rsidR="000838BA">
        <w:rPr>
          <w:lang w:eastAsia="en-AU"/>
        </w:rPr>
        <w:t xml:space="preserve">argue </w:t>
      </w:r>
      <w:r w:rsidR="005A5AD5">
        <w:rPr>
          <w:lang w:eastAsia="en-AU"/>
        </w:rPr>
        <w:t xml:space="preserve">a </w:t>
      </w:r>
      <w:r w:rsidR="00B37BF3">
        <w:rPr>
          <w:lang w:eastAsia="en-AU"/>
        </w:rPr>
        <w:t xml:space="preserve">low frequency of adverse events from vitamin B6 supplementation. </w:t>
      </w:r>
      <w:r w:rsidR="000838BA">
        <w:rPr>
          <w:lang w:eastAsia="en-AU"/>
        </w:rPr>
        <w:t>I note that</w:t>
      </w:r>
      <w:r w:rsidR="00415037" w:rsidDel="000838BA">
        <w:rPr>
          <w:lang w:eastAsia="en-AU"/>
        </w:rPr>
        <w:t xml:space="preserve"> </w:t>
      </w:r>
      <w:r w:rsidR="00365DF7">
        <w:rPr>
          <w:lang w:eastAsia="en-AU"/>
        </w:rPr>
        <w:t xml:space="preserve">the denominator used </w:t>
      </w:r>
      <w:r w:rsidR="004C3095">
        <w:rPr>
          <w:lang w:eastAsia="en-AU"/>
        </w:rPr>
        <w:t>is un</w:t>
      </w:r>
      <w:r w:rsidR="00415037" w:rsidRPr="00415037">
        <w:rPr>
          <w:lang w:eastAsia="en-AU"/>
        </w:rPr>
        <w:t xml:space="preserve">it sale volume rather than number of </w:t>
      </w:r>
      <w:r w:rsidR="00FE25C5">
        <w:rPr>
          <w:lang w:eastAsia="en-AU"/>
        </w:rPr>
        <w:t xml:space="preserve">people taking vitamin B6 supplementation. </w:t>
      </w:r>
      <w:r w:rsidR="00F72903">
        <w:rPr>
          <w:lang w:eastAsia="en-AU"/>
        </w:rPr>
        <w:t>Further</w:t>
      </w:r>
      <w:r w:rsidR="00FE25C5">
        <w:rPr>
          <w:lang w:eastAsia="en-AU"/>
        </w:rPr>
        <w:t xml:space="preserve">, </w:t>
      </w:r>
      <w:proofErr w:type="spellStart"/>
      <w:r w:rsidR="006837FB" w:rsidRPr="006837FB">
        <w:rPr>
          <w:lang w:eastAsia="en-AU"/>
        </w:rPr>
        <w:t>EudraVigilance</w:t>
      </w:r>
      <w:proofErr w:type="spellEnd"/>
      <w:r w:rsidR="006837FB" w:rsidRPr="006837FB">
        <w:rPr>
          <w:lang w:eastAsia="en-AU"/>
        </w:rPr>
        <w:t xml:space="preserve"> is a system for managing and analysing information on suspected adverse reactions to medicines authorised in the European Economic Area (</w:t>
      </w:r>
      <w:hyperlink r:id="rId21" w:anchor="monitoring-suspected-adverse-reactions-11758" w:tgtFrame="_blank" w:tooltip="https://www.ema.europa.eu/en/human-regulatory-overview/pharmacovigilance-overview#monitoring-suspected-adverse-reactions-11758" w:history="1">
        <w:r w:rsidR="00A72C53">
          <w:rPr>
            <w:rStyle w:val="Hyperlink"/>
            <w:lang w:eastAsia="en-AU"/>
          </w:rPr>
          <w:t>www.ema.europa.eu/en/human-regulatory-overview/pharmacovigilance-overview#monitoring-suspected-adverse-reactions-11758</w:t>
        </w:r>
      </w:hyperlink>
      <w:r w:rsidR="006837FB" w:rsidRPr="006837FB">
        <w:rPr>
          <w:lang w:eastAsia="en-AU"/>
        </w:rPr>
        <w:t>)</w:t>
      </w:r>
      <w:r w:rsidR="001C731C">
        <w:rPr>
          <w:lang w:eastAsia="en-AU"/>
        </w:rPr>
        <w:t>.</w:t>
      </w:r>
      <w:r w:rsidR="006D2D97">
        <w:rPr>
          <w:lang w:eastAsia="en-AU"/>
        </w:rPr>
        <w:t xml:space="preserve"> </w:t>
      </w:r>
      <w:r w:rsidR="0075495A">
        <w:rPr>
          <w:lang w:eastAsia="en-AU"/>
        </w:rPr>
        <w:t xml:space="preserve">The </w:t>
      </w:r>
      <w:proofErr w:type="spellStart"/>
      <w:r w:rsidR="004A68F7" w:rsidRPr="006837FB">
        <w:rPr>
          <w:lang w:eastAsia="en-AU"/>
        </w:rPr>
        <w:t>EudraVigilance</w:t>
      </w:r>
      <w:proofErr w:type="spellEnd"/>
      <w:r w:rsidR="00324242" w:rsidDel="004A68F7">
        <w:rPr>
          <w:lang w:eastAsia="en-AU"/>
        </w:rPr>
        <w:t xml:space="preserve"> </w:t>
      </w:r>
      <w:r w:rsidR="00324242">
        <w:rPr>
          <w:lang w:eastAsia="en-AU"/>
        </w:rPr>
        <w:t xml:space="preserve">database </w:t>
      </w:r>
      <w:r w:rsidR="00553443">
        <w:rPr>
          <w:lang w:eastAsia="en-AU"/>
        </w:rPr>
        <w:t xml:space="preserve">therefore </w:t>
      </w:r>
      <w:r w:rsidR="00553443" w:rsidRPr="00553443">
        <w:rPr>
          <w:lang w:eastAsia="en-AU"/>
        </w:rPr>
        <w:t xml:space="preserve">would include minimal data for </w:t>
      </w:r>
      <w:r w:rsidR="000B2149">
        <w:rPr>
          <w:lang w:eastAsia="en-AU"/>
        </w:rPr>
        <w:t xml:space="preserve">products </w:t>
      </w:r>
      <w:r w:rsidR="00C83CAF">
        <w:rPr>
          <w:lang w:eastAsia="en-AU"/>
        </w:rPr>
        <w:t xml:space="preserve">containing vitamin B6 as they are considered </w:t>
      </w:r>
      <w:r w:rsidR="00553443" w:rsidRPr="00553443">
        <w:rPr>
          <w:lang w:eastAsia="en-AU"/>
        </w:rPr>
        <w:t>food supplements</w:t>
      </w:r>
      <w:r w:rsidR="00C83CAF">
        <w:rPr>
          <w:lang w:eastAsia="en-AU"/>
        </w:rPr>
        <w:t xml:space="preserve"> in the EU</w:t>
      </w:r>
      <w:r w:rsidR="00B65B57" w:rsidDel="00BB1171">
        <w:rPr>
          <w:lang w:eastAsia="en-AU"/>
        </w:rPr>
        <w:t xml:space="preserve"> </w:t>
      </w:r>
      <w:r w:rsidR="00BB1171">
        <w:rPr>
          <w:lang w:eastAsia="en-AU"/>
        </w:rPr>
        <w:t xml:space="preserve">and </w:t>
      </w:r>
      <w:r w:rsidR="00A454AC" w:rsidRPr="00A454AC">
        <w:rPr>
          <w:lang w:eastAsia="en-AU"/>
        </w:rPr>
        <w:t xml:space="preserve">are </w:t>
      </w:r>
      <w:r w:rsidR="00BB1171">
        <w:rPr>
          <w:lang w:eastAsia="en-AU"/>
        </w:rPr>
        <w:t xml:space="preserve">not </w:t>
      </w:r>
      <w:r w:rsidR="00A454AC" w:rsidRPr="00A454AC">
        <w:rPr>
          <w:lang w:eastAsia="en-AU"/>
        </w:rPr>
        <w:t>regulated as</w:t>
      </w:r>
      <w:r w:rsidR="00D264D4">
        <w:rPr>
          <w:lang w:eastAsia="en-AU"/>
        </w:rPr>
        <w:t xml:space="preserve"> </w:t>
      </w:r>
      <w:r w:rsidR="00A454AC" w:rsidRPr="00A454AC">
        <w:rPr>
          <w:lang w:eastAsia="en-AU"/>
        </w:rPr>
        <w:t>medicines</w:t>
      </w:r>
      <w:r w:rsidR="00D264D4">
        <w:rPr>
          <w:lang w:eastAsia="en-AU"/>
        </w:rPr>
        <w:t xml:space="preserve"> </w:t>
      </w:r>
      <w:r w:rsidR="00D264D4" w:rsidRPr="009542DA">
        <w:rPr>
          <w:lang w:eastAsia="en-AU"/>
        </w:rPr>
        <w:t>(</w:t>
      </w:r>
      <w:hyperlink r:id="rId22" w:tgtFrame="_blank" w:tooltip="https://www.efsa.europa.eu/en/topics/topic/food-supplements" w:history="1">
        <w:r w:rsidR="00D264D4" w:rsidRPr="009542DA">
          <w:rPr>
            <w:rStyle w:val="Hyperlink"/>
            <w:lang w:eastAsia="en-AU"/>
          </w:rPr>
          <w:t>Food supplements | EFSA</w:t>
        </w:r>
      </w:hyperlink>
      <w:r w:rsidR="00D264D4" w:rsidRPr="009542DA">
        <w:rPr>
          <w:lang w:eastAsia="en-AU"/>
        </w:rPr>
        <w:t>)</w:t>
      </w:r>
      <w:r w:rsidR="00A454AC" w:rsidRPr="00A454AC">
        <w:rPr>
          <w:lang w:eastAsia="en-AU"/>
        </w:rPr>
        <w:t>.</w:t>
      </w:r>
    </w:p>
    <w:p w14:paraId="757AB834" w14:textId="38BF0CB3" w:rsidR="00DE40AF" w:rsidRDefault="00DE40AF" w:rsidP="00DE40AF">
      <w:pPr>
        <w:rPr>
          <w:lang w:eastAsia="en-AU"/>
        </w:rPr>
      </w:pPr>
      <w:r>
        <w:rPr>
          <w:lang w:eastAsia="en-AU"/>
        </w:rPr>
        <w:t xml:space="preserve">Reporting of adverse events for food supplements is likely dependent on </w:t>
      </w:r>
      <w:r w:rsidR="00430C66">
        <w:rPr>
          <w:lang w:eastAsia="en-AU"/>
        </w:rPr>
        <w:t xml:space="preserve">the </w:t>
      </w:r>
      <w:r w:rsidRPr="00F8795B">
        <w:rPr>
          <w:lang w:eastAsia="en-AU"/>
        </w:rPr>
        <w:t>requirements</w:t>
      </w:r>
      <w:r>
        <w:rPr>
          <w:lang w:eastAsia="en-AU"/>
        </w:rPr>
        <w:t xml:space="preserve"> of </w:t>
      </w:r>
      <w:r w:rsidRPr="00F8795B">
        <w:rPr>
          <w:lang w:eastAsia="en-AU"/>
        </w:rPr>
        <w:t>individual</w:t>
      </w:r>
      <w:r>
        <w:rPr>
          <w:lang w:eastAsia="en-AU"/>
        </w:rPr>
        <w:t xml:space="preserve"> </w:t>
      </w:r>
      <w:r w:rsidR="00430C66">
        <w:rPr>
          <w:lang w:eastAsia="en-AU"/>
        </w:rPr>
        <w:t xml:space="preserve">EU </w:t>
      </w:r>
      <w:r>
        <w:rPr>
          <w:lang w:eastAsia="en-AU"/>
        </w:rPr>
        <w:t xml:space="preserve">members </w:t>
      </w:r>
      <w:r w:rsidR="00430C66">
        <w:rPr>
          <w:lang w:eastAsia="en-AU"/>
        </w:rPr>
        <w:t>states</w:t>
      </w:r>
      <w:r>
        <w:rPr>
          <w:lang w:eastAsia="en-AU"/>
        </w:rPr>
        <w:t xml:space="preserve">. </w:t>
      </w:r>
      <w:r w:rsidRPr="00312E3C">
        <w:rPr>
          <w:lang w:eastAsia="en-AU"/>
        </w:rPr>
        <w:t>In the Netherlands, adverse events for 'non-registered health-enhancing products' are collected by the Netherlands Pharmacovigilance Centre Lareb</w:t>
      </w:r>
      <w:r w:rsidR="003A27A3" w:rsidRPr="00312E3C">
        <w:rPr>
          <w:lang w:eastAsia="en-AU"/>
        </w:rPr>
        <w:t>.</w:t>
      </w:r>
      <w:r w:rsidRPr="00312E3C">
        <w:rPr>
          <w:lang w:eastAsia="en-AU"/>
        </w:rPr>
        <w:t xml:space="preserve"> </w:t>
      </w:r>
      <w:r w:rsidR="003A27A3" w:rsidRPr="00312E3C">
        <w:rPr>
          <w:lang w:eastAsia="en-AU"/>
        </w:rPr>
        <w:t>H</w:t>
      </w:r>
      <w:r w:rsidRPr="00312E3C">
        <w:rPr>
          <w:lang w:eastAsia="en-AU"/>
        </w:rPr>
        <w:t>owever</w:t>
      </w:r>
      <w:r w:rsidR="000B7376" w:rsidRPr="00312E3C">
        <w:rPr>
          <w:lang w:eastAsia="en-AU"/>
        </w:rPr>
        <w:t>,</w:t>
      </w:r>
      <w:r w:rsidRPr="00312E3C">
        <w:rPr>
          <w:lang w:eastAsia="en-AU"/>
        </w:rPr>
        <w:t xml:space="preserve"> the number of reports for these products is far lower than for other medicines.</w:t>
      </w:r>
      <w:r w:rsidR="00137AE3">
        <w:rPr>
          <w:rStyle w:val="FootnoteReference"/>
          <w:lang w:eastAsia="en-AU"/>
        </w:rPr>
        <w:footnoteReference w:id="30"/>
      </w:r>
      <w:r w:rsidR="00D8262E" w:rsidRPr="00312E3C">
        <w:rPr>
          <w:lang w:eastAsia="en-AU"/>
        </w:rPr>
        <w:t xml:space="preserve"> </w:t>
      </w:r>
      <w:r w:rsidRPr="00312E3C">
        <w:rPr>
          <w:lang w:eastAsia="en-AU"/>
        </w:rPr>
        <w:t xml:space="preserve">Despite this, </w:t>
      </w:r>
      <w:r>
        <w:rPr>
          <w:lang w:eastAsia="en-AU"/>
        </w:rPr>
        <w:t>between August 2007 until July 2024</w:t>
      </w:r>
      <w:r w:rsidR="006E640C">
        <w:rPr>
          <w:lang w:eastAsia="en-AU"/>
        </w:rPr>
        <w:t>,</w:t>
      </w:r>
      <w:r>
        <w:rPr>
          <w:lang w:eastAsia="en-AU"/>
        </w:rPr>
        <w:t xml:space="preserve"> Lareb received 238 reports of neuropathic pain associated with the use </w:t>
      </w:r>
      <w:r>
        <w:rPr>
          <w:lang w:eastAsia="en-AU"/>
        </w:rPr>
        <w:lastRenderedPageBreak/>
        <w:t>of food supplements containing vitamin B6</w:t>
      </w:r>
      <w:r w:rsidR="005F10BB">
        <w:rPr>
          <w:lang w:eastAsia="en-AU"/>
        </w:rPr>
        <w:t>,</w:t>
      </w:r>
      <w:r>
        <w:rPr>
          <w:lang w:eastAsia="en-AU"/>
        </w:rPr>
        <w:t xml:space="preserve"> of which 100 </w:t>
      </w:r>
      <w:r w:rsidR="000B7376">
        <w:rPr>
          <w:lang w:eastAsia="en-AU"/>
        </w:rPr>
        <w:t xml:space="preserve">cases </w:t>
      </w:r>
      <w:r w:rsidR="003F2113">
        <w:rPr>
          <w:lang w:eastAsia="en-AU"/>
        </w:rPr>
        <w:t>report</w:t>
      </w:r>
      <w:r w:rsidR="00C66F04">
        <w:rPr>
          <w:lang w:eastAsia="en-AU"/>
        </w:rPr>
        <w:t>ed</w:t>
      </w:r>
      <w:r w:rsidR="003F2113">
        <w:rPr>
          <w:lang w:eastAsia="en-AU"/>
        </w:rPr>
        <w:t xml:space="preserve"> </w:t>
      </w:r>
      <w:r w:rsidR="005F10BB">
        <w:rPr>
          <w:lang w:eastAsia="en-AU"/>
        </w:rPr>
        <w:t xml:space="preserve">taking </w:t>
      </w:r>
      <w:r>
        <w:rPr>
          <w:lang w:eastAsia="en-AU"/>
        </w:rPr>
        <w:t>a dose of less than 21</w:t>
      </w:r>
      <w:r w:rsidR="002B73E4">
        <w:rPr>
          <w:lang w:eastAsia="en-AU"/>
        </w:rPr>
        <w:t> </w:t>
      </w:r>
      <w:r>
        <w:rPr>
          <w:lang w:eastAsia="en-AU"/>
        </w:rPr>
        <w:t>mg/day</w:t>
      </w:r>
      <w:r w:rsidR="00C66F04">
        <w:rPr>
          <w:lang w:eastAsia="en-AU"/>
        </w:rPr>
        <w:t xml:space="preserve"> and </w:t>
      </w:r>
      <w:r w:rsidR="00C66F04" w:rsidRPr="00C66F04">
        <w:rPr>
          <w:lang w:eastAsia="en-AU"/>
        </w:rPr>
        <w:t>79 cases reported taking a daily dose of 12 mg or less</w:t>
      </w:r>
      <w:r>
        <w:rPr>
          <w:lang w:eastAsia="en-AU"/>
        </w:rPr>
        <w:t>.</w:t>
      </w:r>
      <w:r>
        <w:rPr>
          <w:rStyle w:val="FootnoteReference"/>
          <w:lang w:eastAsia="en-AU"/>
        </w:rPr>
        <w:footnoteReference w:id="31"/>
      </w:r>
    </w:p>
    <w:p w14:paraId="10E61F7B" w14:textId="3AD867F3" w:rsidR="008E695E" w:rsidRPr="00C0684E" w:rsidRDefault="002D0F8F" w:rsidP="008D79DD">
      <w:pPr>
        <w:rPr>
          <w:b/>
          <w:bCs/>
          <w:i/>
          <w:iCs/>
          <w:lang w:eastAsia="en-AU"/>
        </w:rPr>
      </w:pPr>
      <w:r w:rsidRPr="00C0684E">
        <w:rPr>
          <w:b/>
          <w:bCs/>
          <w:i/>
          <w:iCs/>
          <w:lang w:eastAsia="en-AU"/>
        </w:rPr>
        <w:t>Limitations of spontaneous adverse events reporting</w:t>
      </w:r>
    </w:p>
    <w:p w14:paraId="7EEF9467" w14:textId="7A5AD683" w:rsidR="00542E71" w:rsidRDefault="00B834E9" w:rsidP="008D79DD">
      <w:pPr>
        <w:rPr>
          <w:lang w:eastAsia="en-AU"/>
        </w:rPr>
      </w:pPr>
      <w:r w:rsidRPr="00B834E9">
        <w:rPr>
          <w:lang w:eastAsia="en-AU"/>
        </w:rPr>
        <w:t xml:space="preserve">While spontaneous adverse event reporting systems are foundational to global safety surveillance, under-reporting is a major drawback </w:t>
      </w:r>
      <w:r w:rsidR="00B64186">
        <w:rPr>
          <w:lang w:eastAsia="en-AU"/>
        </w:rPr>
        <w:t>in their capacity to</w:t>
      </w:r>
      <w:r w:rsidRPr="00B834E9">
        <w:rPr>
          <w:lang w:eastAsia="en-AU"/>
        </w:rPr>
        <w:t xml:space="preserve"> detect safety signals. </w:t>
      </w:r>
      <w:r w:rsidR="00891204">
        <w:rPr>
          <w:lang w:eastAsia="en-AU"/>
        </w:rPr>
        <w:t xml:space="preserve">Multiple factors such as </w:t>
      </w:r>
      <w:r w:rsidR="00D86BF9" w:rsidRPr="007C4DC3">
        <w:rPr>
          <w:lang w:eastAsia="en-AU"/>
        </w:rPr>
        <w:t>uncertainty around the potential causal relationship</w:t>
      </w:r>
      <w:r w:rsidR="00EE482F">
        <w:rPr>
          <w:lang w:eastAsia="en-AU"/>
        </w:rPr>
        <w:t xml:space="preserve"> and lack of awareness of association for </w:t>
      </w:r>
      <w:r w:rsidR="00ED5442">
        <w:rPr>
          <w:lang w:eastAsia="en-AU"/>
        </w:rPr>
        <w:t xml:space="preserve">lesser-known medicines </w:t>
      </w:r>
      <w:r w:rsidR="00800348" w:rsidRPr="007C4DC3">
        <w:rPr>
          <w:lang w:eastAsia="en-AU"/>
        </w:rPr>
        <w:t>such as complementary medicines</w:t>
      </w:r>
      <w:r w:rsidR="00800348">
        <w:rPr>
          <w:lang w:eastAsia="en-AU"/>
        </w:rPr>
        <w:t xml:space="preserve"> </w:t>
      </w:r>
      <w:r w:rsidR="00ED5442">
        <w:rPr>
          <w:lang w:eastAsia="en-AU"/>
        </w:rPr>
        <w:t>contribute to under</w:t>
      </w:r>
      <w:r w:rsidR="00907E27">
        <w:rPr>
          <w:lang w:eastAsia="en-AU"/>
        </w:rPr>
        <w:t>-</w:t>
      </w:r>
      <w:r w:rsidR="00ED5442">
        <w:rPr>
          <w:lang w:eastAsia="en-AU"/>
        </w:rPr>
        <w:t>reporting.</w:t>
      </w:r>
      <w:r w:rsidR="00172C99">
        <w:rPr>
          <w:rStyle w:val="FootnoteReference"/>
          <w:lang w:eastAsia="en-AU"/>
        </w:rPr>
        <w:footnoteReference w:id="32"/>
      </w:r>
      <w:r w:rsidR="00ED5442">
        <w:rPr>
          <w:lang w:eastAsia="en-AU"/>
        </w:rPr>
        <w:t xml:space="preserve"> </w:t>
      </w:r>
      <w:r w:rsidR="00ED5442" w:rsidRPr="007C4DC3">
        <w:rPr>
          <w:lang w:eastAsia="en-AU"/>
        </w:rPr>
        <w:t>Under-reporting is likely further exacerbated for Australian complementary medicines, where patients, when questioned on their medication history, may not disclose use to their treating healthcare professional.</w:t>
      </w:r>
      <w:r w:rsidR="00E2597D">
        <w:rPr>
          <w:rStyle w:val="FootnoteReference"/>
          <w:lang w:eastAsia="en-AU"/>
        </w:rPr>
        <w:footnoteReference w:id="33"/>
      </w:r>
    </w:p>
    <w:p w14:paraId="2E1D4122" w14:textId="238B8775" w:rsidR="00251568" w:rsidRDefault="00ED5442" w:rsidP="008D79DD">
      <w:pPr>
        <w:rPr>
          <w:lang w:eastAsia="en-AU"/>
        </w:rPr>
      </w:pPr>
      <w:r w:rsidRPr="007C4DC3">
        <w:rPr>
          <w:lang w:eastAsia="en-AU"/>
        </w:rPr>
        <w:t xml:space="preserve">Another </w:t>
      </w:r>
      <w:r w:rsidR="00026A36">
        <w:rPr>
          <w:lang w:eastAsia="en-AU"/>
        </w:rPr>
        <w:t>significant</w:t>
      </w:r>
      <w:r w:rsidR="00026A36" w:rsidRPr="007C4DC3">
        <w:rPr>
          <w:lang w:eastAsia="en-AU"/>
        </w:rPr>
        <w:t xml:space="preserve"> </w:t>
      </w:r>
      <w:r w:rsidRPr="007C4DC3">
        <w:rPr>
          <w:lang w:eastAsia="en-AU"/>
        </w:rPr>
        <w:t xml:space="preserve">factor that </w:t>
      </w:r>
      <w:r w:rsidR="00026A36">
        <w:rPr>
          <w:lang w:eastAsia="en-AU"/>
        </w:rPr>
        <w:t>may</w:t>
      </w:r>
      <w:r w:rsidR="00026A36" w:rsidRPr="007C4DC3">
        <w:rPr>
          <w:lang w:eastAsia="en-AU"/>
        </w:rPr>
        <w:t xml:space="preserve"> </w:t>
      </w:r>
      <w:r w:rsidRPr="007C4DC3">
        <w:rPr>
          <w:lang w:eastAsia="en-AU"/>
        </w:rPr>
        <w:t xml:space="preserve">lead to under-reporting for complementary medicines is the general perception of safety. </w:t>
      </w:r>
      <w:r w:rsidR="007D108F">
        <w:rPr>
          <w:lang w:eastAsia="en-AU"/>
        </w:rPr>
        <w:t xml:space="preserve">Observations from </w:t>
      </w:r>
      <w:r w:rsidR="00562EDC">
        <w:rPr>
          <w:lang w:eastAsia="en-AU"/>
        </w:rPr>
        <w:t xml:space="preserve">the </w:t>
      </w:r>
      <w:r w:rsidR="00562EDC" w:rsidRPr="00562EDC">
        <w:rPr>
          <w:lang w:eastAsia="en-AU"/>
        </w:rPr>
        <w:t xml:space="preserve">narratives </w:t>
      </w:r>
      <w:r w:rsidR="006E640C">
        <w:rPr>
          <w:lang w:eastAsia="en-AU"/>
        </w:rPr>
        <w:t>of</w:t>
      </w:r>
      <w:r w:rsidR="006E640C" w:rsidRPr="00562EDC">
        <w:rPr>
          <w:lang w:eastAsia="en-AU"/>
        </w:rPr>
        <w:t xml:space="preserve"> </w:t>
      </w:r>
      <w:r w:rsidR="00562EDC" w:rsidRPr="00562EDC">
        <w:rPr>
          <w:lang w:eastAsia="en-AU"/>
        </w:rPr>
        <w:t xml:space="preserve">vitamin B6 neuropathy cases </w:t>
      </w:r>
      <w:r w:rsidR="00562EDC">
        <w:rPr>
          <w:lang w:eastAsia="en-AU"/>
        </w:rPr>
        <w:t xml:space="preserve">in DAEN </w:t>
      </w:r>
      <w:r w:rsidR="003E328A">
        <w:rPr>
          <w:lang w:eastAsia="en-AU"/>
        </w:rPr>
        <w:t xml:space="preserve">identified that </w:t>
      </w:r>
      <w:r w:rsidR="00562EDC" w:rsidRPr="00562EDC">
        <w:rPr>
          <w:lang w:eastAsia="en-AU"/>
        </w:rPr>
        <w:t xml:space="preserve">consumers </w:t>
      </w:r>
      <w:r w:rsidR="009A4717">
        <w:rPr>
          <w:lang w:eastAsia="en-AU"/>
        </w:rPr>
        <w:t>were</w:t>
      </w:r>
      <w:r w:rsidR="00562EDC" w:rsidRPr="00562EDC">
        <w:rPr>
          <w:lang w:eastAsia="en-AU"/>
        </w:rPr>
        <w:t xml:space="preserve"> surprise</w:t>
      </w:r>
      <w:r w:rsidR="009A4717">
        <w:rPr>
          <w:lang w:eastAsia="en-AU"/>
        </w:rPr>
        <w:t>d to find</w:t>
      </w:r>
      <w:r w:rsidR="00562EDC" w:rsidRPr="00562EDC">
        <w:rPr>
          <w:lang w:eastAsia="en-AU"/>
        </w:rPr>
        <w:t xml:space="preserve"> that vitamin supplement</w:t>
      </w:r>
      <w:r w:rsidR="00F24561">
        <w:rPr>
          <w:lang w:eastAsia="en-AU"/>
        </w:rPr>
        <w:t>ation</w:t>
      </w:r>
      <w:r w:rsidR="00562EDC" w:rsidRPr="00562EDC">
        <w:rPr>
          <w:lang w:eastAsia="en-AU"/>
        </w:rPr>
        <w:t xml:space="preserve"> can cause such harm</w:t>
      </w:r>
      <w:r w:rsidR="00B24CEA">
        <w:rPr>
          <w:lang w:eastAsia="en-AU"/>
        </w:rPr>
        <w:t xml:space="preserve">. </w:t>
      </w:r>
      <w:r w:rsidR="00355B4E">
        <w:rPr>
          <w:lang w:eastAsia="en-AU"/>
        </w:rPr>
        <w:t xml:space="preserve">Current reporting suggests </w:t>
      </w:r>
      <w:r w:rsidR="004C38E0">
        <w:rPr>
          <w:lang w:eastAsia="en-AU"/>
        </w:rPr>
        <w:t xml:space="preserve">that </w:t>
      </w:r>
      <w:r w:rsidR="00CA1B6A">
        <w:rPr>
          <w:lang w:eastAsia="en-AU"/>
        </w:rPr>
        <w:t xml:space="preserve">testing </w:t>
      </w:r>
      <w:r w:rsidR="00562EDC" w:rsidRPr="00562EDC">
        <w:rPr>
          <w:lang w:eastAsia="en-AU"/>
        </w:rPr>
        <w:t xml:space="preserve">for vitamin B6 toxicity </w:t>
      </w:r>
      <w:r w:rsidR="004C38E0">
        <w:rPr>
          <w:lang w:eastAsia="en-AU"/>
        </w:rPr>
        <w:t>for</w:t>
      </w:r>
      <w:r w:rsidR="00562EDC" w:rsidRPr="00562EDC">
        <w:rPr>
          <w:lang w:eastAsia="en-AU"/>
        </w:rPr>
        <w:t xml:space="preserve"> neuropathy symptoms </w:t>
      </w:r>
      <w:r w:rsidR="00CA1B6A">
        <w:rPr>
          <w:lang w:eastAsia="en-AU"/>
        </w:rPr>
        <w:t xml:space="preserve">may be increasing due to increased awareness </w:t>
      </w:r>
      <w:r w:rsidR="00754813">
        <w:rPr>
          <w:lang w:eastAsia="en-AU"/>
        </w:rPr>
        <w:t>by health care professionals of the issue</w:t>
      </w:r>
      <w:r w:rsidRPr="007C4DC3">
        <w:rPr>
          <w:lang w:eastAsia="en-AU"/>
        </w:rPr>
        <w:t>.</w:t>
      </w:r>
      <w:r w:rsidR="00A21C0B">
        <w:rPr>
          <w:lang w:eastAsia="en-AU"/>
        </w:rPr>
        <w:t xml:space="preserve"> </w:t>
      </w:r>
      <w:r w:rsidR="00752163" w:rsidRPr="00752163">
        <w:rPr>
          <w:lang w:eastAsia="en-AU"/>
        </w:rPr>
        <w:t xml:space="preserve">The true rate of occurrence of an adverse event cannot be determined from spontaneous adverse event reporting systems due to both </w:t>
      </w:r>
      <w:r w:rsidR="00D92ED7">
        <w:rPr>
          <w:lang w:eastAsia="en-AU"/>
        </w:rPr>
        <w:t xml:space="preserve">general </w:t>
      </w:r>
      <w:r w:rsidR="00752163" w:rsidRPr="00752163">
        <w:rPr>
          <w:lang w:eastAsia="en-AU"/>
        </w:rPr>
        <w:t xml:space="preserve">under-reporting and </w:t>
      </w:r>
      <w:r w:rsidR="00D92ED7">
        <w:rPr>
          <w:lang w:eastAsia="en-AU"/>
        </w:rPr>
        <w:t xml:space="preserve">a </w:t>
      </w:r>
      <w:r w:rsidR="00752163" w:rsidRPr="00752163">
        <w:rPr>
          <w:lang w:eastAsia="en-AU"/>
        </w:rPr>
        <w:t>lack of usage data</w:t>
      </w:r>
      <w:r w:rsidR="00B1104F">
        <w:rPr>
          <w:lang w:eastAsia="en-AU"/>
        </w:rPr>
        <w:t>.</w:t>
      </w:r>
      <w:r w:rsidR="00752163">
        <w:rPr>
          <w:lang w:eastAsia="en-AU"/>
        </w:rPr>
        <w:t xml:space="preserve"> </w:t>
      </w:r>
      <w:r w:rsidR="00B1104F">
        <w:rPr>
          <w:lang w:eastAsia="en-AU"/>
        </w:rPr>
        <w:t>A</w:t>
      </w:r>
      <w:r w:rsidR="00591C29" w:rsidRPr="00AC31AF">
        <w:rPr>
          <w:lang w:eastAsia="en-AU"/>
        </w:rPr>
        <w:t xml:space="preserve"> low number of spontaneous adverse event reports cannot be considered evidence of the absence a safety </w:t>
      </w:r>
      <w:r w:rsidR="006E640C">
        <w:rPr>
          <w:lang w:eastAsia="en-AU"/>
        </w:rPr>
        <w:t>issue</w:t>
      </w:r>
      <w:r w:rsidR="00591C29">
        <w:rPr>
          <w:lang w:eastAsia="en-AU"/>
        </w:rPr>
        <w:t>.</w:t>
      </w:r>
    </w:p>
    <w:p w14:paraId="0C36F073" w14:textId="1280A2B0" w:rsidR="008D79DD" w:rsidRPr="008D79DD" w:rsidRDefault="00251568" w:rsidP="008D79DD">
      <w:pPr>
        <w:rPr>
          <w:lang w:eastAsia="en-AU"/>
        </w:rPr>
      </w:pPr>
      <w:r>
        <w:rPr>
          <w:lang w:eastAsia="en-AU"/>
        </w:rPr>
        <w:t>While there is variability in the reporting of peripheral neuropathy</w:t>
      </w:r>
      <w:r w:rsidR="00C20984">
        <w:rPr>
          <w:lang w:eastAsia="en-AU"/>
        </w:rPr>
        <w:t xml:space="preserve"> adverse events</w:t>
      </w:r>
      <w:r>
        <w:rPr>
          <w:lang w:eastAsia="en-AU"/>
        </w:rPr>
        <w:t>, a substantial concern is that for some consumers, the symptoms can be irreversible.</w:t>
      </w:r>
      <w:r w:rsidR="005E1BFF">
        <w:rPr>
          <w:lang w:eastAsia="en-AU"/>
        </w:rPr>
        <w:t xml:space="preserve"> </w:t>
      </w:r>
      <w:r w:rsidR="00BF79C3">
        <w:rPr>
          <w:lang w:eastAsia="en-AU"/>
        </w:rPr>
        <w:t xml:space="preserve">Overall, I am convinced </w:t>
      </w:r>
      <w:r w:rsidR="005E1BFF">
        <w:rPr>
          <w:lang w:eastAsia="en-AU"/>
        </w:rPr>
        <w:t xml:space="preserve">that </w:t>
      </w:r>
      <w:r w:rsidR="00BF79C3">
        <w:rPr>
          <w:lang w:eastAsia="en-AU"/>
        </w:rPr>
        <w:t>vitamin B6 poses a real risk of peripheral neuropathy to consumers at doses lower than 200 mg/day.</w:t>
      </w:r>
    </w:p>
    <w:p w14:paraId="6A1AF3C0" w14:textId="35D5468F" w:rsidR="00BA657E" w:rsidRPr="002C22FE" w:rsidRDefault="0037625A" w:rsidP="005B3DEF">
      <w:pPr>
        <w:rPr>
          <w:b/>
          <w:bCs/>
          <w:i/>
          <w:iCs/>
        </w:rPr>
      </w:pPr>
      <w:r w:rsidRPr="002C22FE">
        <w:rPr>
          <w:b/>
          <w:bCs/>
          <w:i/>
          <w:iCs/>
        </w:rPr>
        <w:t xml:space="preserve">Estimating </w:t>
      </w:r>
      <w:r w:rsidR="00452D8B" w:rsidRPr="002C22FE">
        <w:rPr>
          <w:b/>
          <w:bCs/>
          <w:i/>
          <w:iCs/>
        </w:rPr>
        <w:t>vitamin B6</w:t>
      </w:r>
      <w:r w:rsidR="009133CD" w:rsidRPr="002C22FE">
        <w:rPr>
          <w:b/>
          <w:bCs/>
          <w:i/>
          <w:iCs/>
        </w:rPr>
        <w:t xml:space="preserve"> </w:t>
      </w:r>
      <w:r w:rsidR="00452D8B" w:rsidRPr="002C22FE">
        <w:rPr>
          <w:b/>
          <w:bCs/>
          <w:i/>
          <w:iCs/>
        </w:rPr>
        <w:t>intake from multiple sources</w:t>
      </w:r>
    </w:p>
    <w:p w14:paraId="5EFCFD99" w14:textId="719D9EC9" w:rsidR="008D391A" w:rsidRDefault="00A36F2C" w:rsidP="00030F6B">
      <w:r w:rsidRPr="00E066F9">
        <w:t xml:space="preserve">The use of vitamin B6 </w:t>
      </w:r>
      <w:r w:rsidR="0026239B">
        <w:t xml:space="preserve">as an ingredient in </w:t>
      </w:r>
      <w:r w:rsidR="009133CD">
        <w:t xml:space="preserve">medicines and </w:t>
      </w:r>
      <w:r w:rsidRPr="00E066F9">
        <w:t xml:space="preserve">supplements is </w:t>
      </w:r>
      <w:r w:rsidR="0026239B">
        <w:t>pervasive</w:t>
      </w:r>
      <w:r w:rsidRPr="00E066F9">
        <w:t xml:space="preserve"> </w:t>
      </w:r>
      <w:r w:rsidR="001967A9">
        <w:t>and t</w:t>
      </w:r>
      <w:r w:rsidR="001967A9" w:rsidRPr="005B3DEF">
        <w:t>he vitamin B6 market in Australia is growing due to its increasing incorporation in dietary supplements, fortified foods, and pharmaceuticals</w:t>
      </w:r>
      <w:r w:rsidR="001967A9">
        <w:t>.</w:t>
      </w:r>
      <w:r w:rsidR="00A602D1">
        <w:rPr>
          <w:rStyle w:val="FootnoteReference"/>
        </w:rPr>
        <w:footnoteReference w:id="34"/>
      </w:r>
      <w:r w:rsidR="001967A9">
        <w:t xml:space="preserve"> </w:t>
      </w:r>
      <w:r w:rsidR="00270A27">
        <w:t>Currently there are more than 1,</w:t>
      </w:r>
      <w:r w:rsidR="00270A27" w:rsidDel="00922339">
        <w:t xml:space="preserve">500 </w:t>
      </w:r>
      <w:r w:rsidR="009C52BD">
        <w:t>preparations</w:t>
      </w:r>
      <w:r w:rsidR="00270A27">
        <w:t xml:space="preserve"> </w:t>
      </w:r>
      <w:r w:rsidR="00922339">
        <w:t xml:space="preserve">on the </w:t>
      </w:r>
      <w:r w:rsidR="004C2F62">
        <w:t>Australian Register of Therapeutic Goods (</w:t>
      </w:r>
      <w:r w:rsidR="00922339">
        <w:t>ARTG</w:t>
      </w:r>
      <w:r w:rsidR="004C2F62">
        <w:t>)</w:t>
      </w:r>
      <w:r w:rsidR="00922339">
        <w:t xml:space="preserve"> </w:t>
      </w:r>
      <w:r w:rsidR="00270A27">
        <w:t>that contain vitamin B6 as an active ingredient.</w:t>
      </w:r>
      <w:r w:rsidR="00E8342A" w:rsidRPr="00E8342A">
        <w:t xml:space="preserve"> </w:t>
      </w:r>
      <w:r w:rsidR="00E8342A" w:rsidRPr="008D391A">
        <w:t xml:space="preserve">Doses used </w:t>
      </w:r>
      <w:r w:rsidR="00E8342A">
        <w:t xml:space="preserve">in the commonly available vitamin B6 </w:t>
      </w:r>
      <w:r w:rsidR="00311065">
        <w:t xml:space="preserve">preparations </w:t>
      </w:r>
      <w:r w:rsidR="00E8342A" w:rsidRPr="008D391A">
        <w:t xml:space="preserve">are often far </w:t>
      </w:r>
      <w:r w:rsidR="00311065">
        <w:t xml:space="preserve">higher than </w:t>
      </w:r>
      <w:r w:rsidR="00E8342A" w:rsidRPr="008D391A">
        <w:t>the physiological range</w:t>
      </w:r>
      <w:r w:rsidR="009C4B80">
        <w:t xml:space="preserve"> or </w:t>
      </w:r>
      <w:r w:rsidR="006E640C">
        <w:t xml:space="preserve">the level </w:t>
      </w:r>
      <w:r w:rsidR="009C4B80">
        <w:t>required in the diet</w:t>
      </w:r>
      <w:r w:rsidR="00E8342A" w:rsidRPr="008D391A">
        <w:t>.</w:t>
      </w:r>
      <w:r w:rsidR="00BF1610">
        <w:t xml:space="preserve"> </w:t>
      </w:r>
      <w:r w:rsidR="00D25A90">
        <w:t>Currently</w:t>
      </w:r>
      <w:r w:rsidR="00BF1610" w:rsidRPr="00BF1610">
        <w:t xml:space="preserve">, preparations providing up to 200 mg of pyridoxine, pyridoxal or pyridoxamine per RDD are available for self-selection without any professional guidance or oversight. Almost 80% of these </w:t>
      </w:r>
      <w:r w:rsidR="00E905D6">
        <w:t>products</w:t>
      </w:r>
      <w:r w:rsidR="00E905D6" w:rsidRPr="00BF1610">
        <w:t xml:space="preserve"> </w:t>
      </w:r>
      <w:r w:rsidR="00BF1610" w:rsidRPr="00BF1610">
        <w:t>provide a dose of more than 2 mg/day</w:t>
      </w:r>
      <w:r w:rsidR="009E0D61">
        <w:t xml:space="preserve">, which is above the RDI for </w:t>
      </w:r>
      <w:r w:rsidR="009E0D61" w:rsidRPr="00BF1610">
        <w:t>pyridoxine, pyridoxal or pyridoxamine</w:t>
      </w:r>
      <w:r w:rsidR="00BF1610" w:rsidRPr="00BF1610">
        <w:t>.</w:t>
      </w:r>
    </w:p>
    <w:p w14:paraId="6F1A62D7" w14:textId="45F53C10" w:rsidR="00154E6C" w:rsidRDefault="00154E6C" w:rsidP="00154E6C">
      <w:r>
        <w:t xml:space="preserve">Due to the widespread addition of vitamin B6 to </w:t>
      </w:r>
      <w:r w:rsidR="00721107">
        <w:t xml:space="preserve">various </w:t>
      </w:r>
      <w:r>
        <w:t xml:space="preserve">products, estimating the total daily vitamin B6 intake from the combination of diet, medicines, supplements and fortified food and beverages, is likely to be beyond the </w:t>
      </w:r>
      <w:r w:rsidR="00BA06DB">
        <w:t xml:space="preserve">health literacy </w:t>
      </w:r>
      <w:r>
        <w:t>capability of the typical consumer.</w:t>
      </w:r>
    </w:p>
    <w:p w14:paraId="51529847" w14:textId="45D20C94" w:rsidR="009958A7" w:rsidRDefault="00EE254D" w:rsidP="00030F6B">
      <w:r>
        <w:t xml:space="preserve">To estimate the total vitamin B6 intake, a consumer </w:t>
      </w:r>
      <w:r w:rsidR="00C1021A">
        <w:t>is required to</w:t>
      </w:r>
      <w:r w:rsidR="00E5771B">
        <w:t>:</w:t>
      </w:r>
    </w:p>
    <w:p w14:paraId="19FA1BBA" w14:textId="0D73BE43" w:rsidR="00E5771B" w:rsidRDefault="00616211" w:rsidP="00FF7C41">
      <w:pPr>
        <w:pStyle w:val="ListParagraph"/>
        <w:numPr>
          <w:ilvl w:val="0"/>
          <w:numId w:val="22"/>
        </w:numPr>
      </w:pPr>
      <w:r>
        <w:t>k</w:t>
      </w:r>
      <w:r w:rsidR="00E5771B">
        <w:t xml:space="preserve">now each of the products </w:t>
      </w:r>
      <w:r w:rsidR="00FC3126">
        <w:t>used that contain vitamin B6</w:t>
      </w:r>
      <w:r w:rsidR="008F3843">
        <w:t xml:space="preserve"> including all the forms </w:t>
      </w:r>
      <w:r w:rsidR="00E1125F">
        <w:t>that are captured under the term</w:t>
      </w:r>
    </w:p>
    <w:p w14:paraId="05AE11B2" w14:textId="21C4C075" w:rsidR="00AE1311" w:rsidRDefault="00EA0271" w:rsidP="00E8613F">
      <w:pPr>
        <w:pStyle w:val="ListParagraph"/>
        <w:numPr>
          <w:ilvl w:val="0"/>
          <w:numId w:val="22"/>
        </w:numPr>
      </w:pPr>
      <w:r>
        <w:t xml:space="preserve">know </w:t>
      </w:r>
      <w:r w:rsidR="00AE1311">
        <w:t xml:space="preserve">the frequency they are </w:t>
      </w:r>
      <w:r>
        <w:t>taking each source of vitamin B6</w:t>
      </w:r>
    </w:p>
    <w:p w14:paraId="3E1CBA5C" w14:textId="7385C36A" w:rsidR="00FC3126" w:rsidRDefault="00C1021A" w:rsidP="00E8613F">
      <w:pPr>
        <w:pStyle w:val="ListParagraph"/>
        <w:numPr>
          <w:ilvl w:val="0"/>
          <w:numId w:val="22"/>
        </w:numPr>
      </w:pPr>
      <w:r>
        <w:t xml:space="preserve">consider </w:t>
      </w:r>
      <w:r w:rsidR="00616211">
        <w:t>t</w:t>
      </w:r>
      <w:r w:rsidR="00FC3126">
        <w:t xml:space="preserve">he </w:t>
      </w:r>
      <w:r w:rsidR="00811329">
        <w:t xml:space="preserve">duration for which </w:t>
      </w:r>
      <w:r w:rsidR="00FC3126">
        <w:t xml:space="preserve">they have been taking </w:t>
      </w:r>
      <w:r w:rsidR="004C488C">
        <w:t xml:space="preserve">each </w:t>
      </w:r>
      <w:r w:rsidR="001F1210">
        <w:t xml:space="preserve">of </w:t>
      </w:r>
      <w:r w:rsidR="00FC3126">
        <w:t>these products</w:t>
      </w:r>
      <w:r w:rsidR="00E1125F">
        <w:t xml:space="preserve">, </w:t>
      </w:r>
      <w:r w:rsidR="00230CD2">
        <w:t>with</w:t>
      </w:r>
      <w:r w:rsidR="005074A0">
        <w:t xml:space="preserve"> </w:t>
      </w:r>
      <w:r w:rsidR="004C488C">
        <w:t>many</w:t>
      </w:r>
      <w:r w:rsidR="005074A0">
        <w:t xml:space="preserve"> </w:t>
      </w:r>
      <w:r w:rsidR="00652A3D">
        <w:t>supplements advised for long-term use</w:t>
      </w:r>
    </w:p>
    <w:p w14:paraId="2563B7BC" w14:textId="6034DF7C" w:rsidR="003821F5" w:rsidRDefault="00616211" w:rsidP="00E8613F">
      <w:pPr>
        <w:pStyle w:val="ListParagraph"/>
        <w:numPr>
          <w:ilvl w:val="0"/>
          <w:numId w:val="22"/>
        </w:numPr>
      </w:pPr>
      <w:r>
        <w:t>t</w:t>
      </w:r>
      <w:r w:rsidR="003821F5">
        <w:t>he</w:t>
      </w:r>
      <w:r w:rsidR="00E1125F">
        <w:t>n</w:t>
      </w:r>
      <w:r w:rsidR="003821F5">
        <w:t xml:space="preserve"> </w:t>
      </w:r>
      <w:r w:rsidR="007F57BC">
        <w:t xml:space="preserve">calculate an </w:t>
      </w:r>
      <w:r w:rsidR="002F084B">
        <w:t>overall</w:t>
      </w:r>
      <w:r w:rsidR="007F57BC">
        <w:t xml:space="preserve"> daily v</w:t>
      </w:r>
      <w:r w:rsidR="00FF7C41">
        <w:t>itamin B6 intake</w:t>
      </w:r>
      <w:r w:rsidR="003821F5">
        <w:t>.</w:t>
      </w:r>
    </w:p>
    <w:p w14:paraId="2EF92F43" w14:textId="4D86D582" w:rsidR="00880A59" w:rsidRDefault="00880A59" w:rsidP="00030F6B">
      <w:r>
        <w:lastRenderedPageBreak/>
        <w:t>Vitamin B6 exists in several forms</w:t>
      </w:r>
      <w:r w:rsidR="003E06AE">
        <w:t xml:space="preserve"> which can appear on labels with different names. Consumers don’t often </w:t>
      </w:r>
      <w:r w:rsidR="003D5F3C">
        <w:t xml:space="preserve">understand that the different chemical forms may </w:t>
      </w:r>
      <w:r w:rsidR="004A7A5F">
        <w:t xml:space="preserve">also </w:t>
      </w:r>
      <w:r w:rsidR="003D5F3C">
        <w:t xml:space="preserve">have </w:t>
      </w:r>
      <w:r w:rsidR="00F24561">
        <w:t>varied</w:t>
      </w:r>
      <w:r w:rsidR="003D5F3C">
        <w:t xml:space="preserve"> bioavailability.</w:t>
      </w:r>
    </w:p>
    <w:p w14:paraId="06E8BDAC" w14:textId="219E27AA" w:rsidR="00884C27" w:rsidRDefault="004C2F62" w:rsidP="00030F6B">
      <w:r>
        <w:t xml:space="preserve">Almost all </w:t>
      </w:r>
      <w:r w:rsidR="00D61885">
        <w:t xml:space="preserve">vitamin B6 </w:t>
      </w:r>
      <w:r>
        <w:t>products on the ARTG</w:t>
      </w:r>
      <w:r w:rsidR="00F50DDA">
        <w:t xml:space="preserve"> </w:t>
      </w:r>
      <w:r w:rsidR="00C4517F">
        <w:t>contain</w:t>
      </w:r>
      <w:r w:rsidR="00CD2F4C">
        <w:t xml:space="preserve"> </w:t>
      </w:r>
      <w:r w:rsidR="006F340A">
        <w:t xml:space="preserve">pyridoxine hydrochloride, </w:t>
      </w:r>
      <w:r w:rsidR="00CA2D1A">
        <w:t>PLP</w:t>
      </w:r>
      <w:r w:rsidR="00E60233">
        <w:t xml:space="preserve"> </w:t>
      </w:r>
      <w:r w:rsidR="00A8118C">
        <w:t xml:space="preserve">or </w:t>
      </w:r>
      <w:r w:rsidR="00CA2D1A">
        <w:t>PLP</w:t>
      </w:r>
      <w:r w:rsidR="00E60233">
        <w:t xml:space="preserve"> monohydrate</w:t>
      </w:r>
      <w:r w:rsidR="005D7567">
        <w:t>,</w:t>
      </w:r>
      <w:r w:rsidR="00977251">
        <w:t xml:space="preserve"> </w:t>
      </w:r>
      <w:r w:rsidR="008D6012">
        <w:t>and</w:t>
      </w:r>
      <w:r>
        <w:t xml:space="preserve"> for Listed medicines</w:t>
      </w:r>
      <w:r w:rsidR="008D6012">
        <w:t xml:space="preserve"> can </w:t>
      </w:r>
      <w:r w:rsidR="005D7567">
        <w:t xml:space="preserve">contain </w:t>
      </w:r>
      <w:r w:rsidR="008D6012">
        <w:t>up to</w:t>
      </w:r>
      <w:r w:rsidR="00977251">
        <w:t xml:space="preserve"> </w:t>
      </w:r>
      <w:r w:rsidR="00A8118C">
        <w:t xml:space="preserve">an equivalent of </w:t>
      </w:r>
      <w:r w:rsidR="0041591B">
        <w:t>1</w:t>
      </w:r>
      <w:r w:rsidR="00977251">
        <w:t>00 mg</w:t>
      </w:r>
      <w:r w:rsidR="0000574A">
        <w:t xml:space="preserve"> RDD</w:t>
      </w:r>
      <w:r w:rsidR="001D7280" w:rsidRPr="001D7280">
        <w:t xml:space="preserve"> </w:t>
      </w:r>
      <w:r w:rsidR="001D7280">
        <w:t>of pyridoxine</w:t>
      </w:r>
      <w:r w:rsidR="000D55D6">
        <w:t xml:space="preserve">. </w:t>
      </w:r>
      <w:r w:rsidR="00CD0D46">
        <w:t xml:space="preserve">While pyridoxine is the mandatory component for all the </w:t>
      </w:r>
      <w:r w:rsidR="005D7567">
        <w:t>3</w:t>
      </w:r>
      <w:r w:rsidR="00CD0D46">
        <w:t xml:space="preserve"> </w:t>
      </w:r>
      <w:r w:rsidR="003F4F44">
        <w:t>ingredients</w:t>
      </w:r>
      <w:r w:rsidR="007A1F26">
        <w:t>,</w:t>
      </w:r>
      <w:r w:rsidR="00802C35">
        <w:t xml:space="preserve"> there</w:t>
      </w:r>
      <w:r w:rsidR="004C7AD4">
        <w:t xml:space="preserve"> is no </w:t>
      </w:r>
      <w:r w:rsidR="004C7AD4" w:rsidRPr="004C7AD4">
        <w:t>requirement to display the equivalent amount of pyridoxine on labels</w:t>
      </w:r>
      <w:r w:rsidR="003F4F44">
        <w:t xml:space="preserve"> or the total amount of </w:t>
      </w:r>
      <w:r w:rsidR="000C4326">
        <w:t>pyridoxine</w:t>
      </w:r>
      <w:r w:rsidR="00CF0BAE">
        <w:t>.</w:t>
      </w:r>
    </w:p>
    <w:p w14:paraId="1B8D8C73" w14:textId="5A573726" w:rsidR="00013CA1" w:rsidRDefault="002477E7" w:rsidP="00030F6B">
      <w:r>
        <w:t>For</w:t>
      </w:r>
      <w:r w:rsidR="00AD08C6">
        <w:t xml:space="preserve"> a consumer to accurately </w:t>
      </w:r>
      <w:r w:rsidR="00CF0BAE">
        <w:t>determine the</w:t>
      </w:r>
      <w:r w:rsidR="00AD08C6">
        <w:t>ir</w:t>
      </w:r>
      <w:r w:rsidR="00CF0BAE">
        <w:t xml:space="preserve"> </w:t>
      </w:r>
      <w:r w:rsidR="00DB7A6B">
        <w:t>vitamin B6 intake</w:t>
      </w:r>
      <w:r w:rsidR="00803C1C">
        <w:t xml:space="preserve"> a</w:t>
      </w:r>
      <w:r w:rsidR="00DB7A6B" w:rsidDel="00803C1C">
        <w:t xml:space="preserve"> </w:t>
      </w:r>
      <w:r w:rsidR="00803C1C">
        <w:t>calculation is required to</w:t>
      </w:r>
      <w:r w:rsidR="00532F5F">
        <w:t xml:space="preserve"> convert </w:t>
      </w:r>
      <w:r w:rsidR="00B8461B">
        <w:t xml:space="preserve">pyridoxine </w:t>
      </w:r>
      <w:r w:rsidR="00FD0B14">
        <w:t>h</w:t>
      </w:r>
      <w:r w:rsidR="00B8461B">
        <w:t xml:space="preserve">ydrochloride, </w:t>
      </w:r>
      <w:r w:rsidR="001B1043">
        <w:t>PLP</w:t>
      </w:r>
      <w:r w:rsidR="00B8461B">
        <w:t xml:space="preserve"> and </w:t>
      </w:r>
      <w:r w:rsidR="001B1043">
        <w:t>PLP</w:t>
      </w:r>
      <w:r w:rsidR="00B8461B">
        <w:t xml:space="preserve"> monohydrate to </w:t>
      </w:r>
      <w:r w:rsidR="00FB5D6E">
        <w:t xml:space="preserve">their </w:t>
      </w:r>
      <w:r w:rsidR="00B8461B">
        <w:t>pyridox</w:t>
      </w:r>
      <w:r w:rsidR="007A1F26">
        <w:t>i</w:t>
      </w:r>
      <w:r w:rsidR="00B8461B">
        <w:t>ne</w:t>
      </w:r>
      <w:r w:rsidR="001846D1">
        <w:t xml:space="preserve"> </w:t>
      </w:r>
      <w:r w:rsidR="00FB5D6E">
        <w:t>equivalents</w:t>
      </w:r>
      <w:r w:rsidR="00FD0B14">
        <w:t>.</w:t>
      </w:r>
      <w:r w:rsidR="00671160">
        <w:t xml:space="preserve"> </w:t>
      </w:r>
      <w:r w:rsidR="00BC5178">
        <w:t xml:space="preserve">While </w:t>
      </w:r>
      <w:proofErr w:type="gramStart"/>
      <w:r w:rsidR="00803C1C">
        <w:t xml:space="preserve">the </w:t>
      </w:r>
      <w:r w:rsidR="00BC5178">
        <w:t>majority of</w:t>
      </w:r>
      <w:proofErr w:type="gramEnd"/>
      <w:r w:rsidR="00BC5178">
        <w:t xml:space="preserve"> </w:t>
      </w:r>
      <w:r w:rsidR="00310CD9">
        <w:t xml:space="preserve">the vitamin B6 </w:t>
      </w:r>
      <w:r w:rsidR="006E640C">
        <w:t xml:space="preserve">listed </w:t>
      </w:r>
      <w:r w:rsidR="001A121C">
        <w:t>medicines</w:t>
      </w:r>
      <w:r w:rsidR="002720C0">
        <w:t xml:space="preserve"> contain any one of </w:t>
      </w:r>
      <w:r w:rsidR="00FF70AD">
        <w:t xml:space="preserve">pyridoxine hydrochloride, </w:t>
      </w:r>
      <w:r w:rsidR="001B1043">
        <w:t>PLP</w:t>
      </w:r>
      <w:r w:rsidR="00FF70AD">
        <w:t xml:space="preserve"> and </w:t>
      </w:r>
      <w:r w:rsidR="001B1043">
        <w:t>PLP</w:t>
      </w:r>
      <w:r w:rsidR="00FF70AD">
        <w:t xml:space="preserve"> monohydrate</w:t>
      </w:r>
      <w:r w:rsidR="00FB5D6E">
        <w:t>,</w:t>
      </w:r>
      <w:r w:rsidR="00FF70AD">
        <w:t xml:space="preserve"> </w:t>
      </w:r>
      <w:r w:rsidR="00552182">
        <w:t xml:space="preserve">currently </w:t>
      </w:r>
      <w:r w:rsidR="00552182" w:rsidRPr="00552182">
        <w:t>80</w:t>
      </w:r>
      <w:r w:rsidR="00DE2AC8" w:rsidRPr="00552182">
        <w:t xml:space="preserve"> vitamin </w:t>
      </w:r>
      <w:r w:rsidR="0075356A" w:rsidRPr="00552182">
        <w:t>B6 medications</w:t>
      </w:r>
      <w:r w:rsidR="0075356A">
        <w:t xml:space="preserve"> contain </w:t>
      </w:r>
      <w:r w:rsidR="00854B8A">
        <w:t>2</w:t>
      </w:r>
      <w:r w:rsidR="002720C0">
        <w:t xml:space="preserve"> or more</w:t>
      </w:r>
      <w:r w:rsidR="009A58AF">
        <w:t xml:space="preserve"> of</w:t>
      </w:r>
      <w:r w:rsidR="002720C0">
        <w:t xml:space="preserve"> these </w:t>
      </w:r>
      <w:r w:rsidR="00FF70AD">
        <w:t>active ingredients</w:t>
      </w:r>
      <w:r w:rsidR="00013CA1">
        <w:t xml:space="preserve"> which complicates the </w:t>
      </w:r>
      <w:r w:rsidR="00BD6313">
        <w:t xml:space="preserve">estimation of </w:t>
      </w:r>
      <w:r w:rsidR="002A20F2">
        <w:t xml:space="preserve">the </w:t>
      </w:r>
      <w:r w:rsidR="001A2E50">
        <w:t xml:space="preserve">total vitamin </w:t>
      </w:r>
      <w:r w:rsidR="00871911">
        <w:t xml:space="preserve">B6 </w:t>
      </w:r>
      <w:r w:rsidR="005A052D">
        <w:t>in these products</w:t>
      </w:r>
      <w:r w:rsidR="009A58AF">
        <w:t>.</w:t>
      </w:r>
      <w:r w:rsidR="002B5C62">
        <w:t xml:space="preserve"> Overall, the quantity of </w:t>
      </w:r>
      <w:r w:rsidR="002B5C62" w:rsidRPr="00BF1610">
        <w:t>pyridoxine, pyridoxal or pyridoxamine</w:t>
      </w:r>
      <w:r w:rsidR="002B5C62">
        <w:t xml:space="preserve"> displayed on the label will be an overestimate of the equivalent pyridoxine intake.</w:t>
      </w:r>
    </w:p>
    <w:p w14:paraId="4E7A44FD" w14:textId="6781B00B" w:rsidR="0083067C" w:rsidRDefault="006A2ECD" w:rsidP="00030F6B">
      <w:r>
        <w:t xml:space="preserve">As inclusion of vitamin B6 </w:t>
      </w:r>
      <w:r w:rsidR="002B5C62">
        <w:t xml:space="preserve">in products </w:t>
      </w:r>
      <w:r>
        <w:t>is so widespread, c</w:t>
      </w:r>
      <w:r w:rsidR="00D741F4">
        <w:t>onsumers</w:t>
      </w:r>
      <w:r w:rsidR="00CC2E22">
        <w:t xml:space="preserve"> can </w:t>
      </w:r>
      <w:r w:rsidR="007C606E">
        <w:t>easily and unknowingly</w:t>
      </w:r>
      <w:r w:rsidR="00F0765F">
        <w:t xml:space="preserve"> increase their </w:t>
      </w:r>
      <w:r w:rsidR="005F3A5D">
        <w:t>vitamin</w:t>
      </w:r>
      <w:r w:rsidR="002B5C62">
        <w:t> </w:t>
      </w:r>
      <w:r w:rsidR="005F3A5D">
        <w:t xml:space="preserve">B6 intake </w:t>
      </w:r>
      <w:proofErr w:type="gramStart"/>
      <w:r w:rsidR="005F3A5D">
        <w:t xml:space="preserve">through the </w:t>
      </w:r>
      <w:r w:rsidR="009E4C7E">
        <w:t>use</w:t>
      </w:r>
      <w:r w:rsidR="005F3A5D">
        <w:t xml:space="preserve"> of</w:t>
      </w:r>
      <w:proofErr w:type="gramEnd"/>
      <w:r w:rsidR="005F3A5D">
        <w:t xml:space="preserve"> multiple supplements</w:t>
      </w:r>
      <w:r w:rsidR="00225166">
        <w:t xml:space="preserve">. </w:t>
      </w:r>
      <w:r w:rsidR="00F131F1">
        <w:t xml:space="preserve">A typical </w:t>
      </w:r>
      <w:r w:rsidR="00460130" w:rsidDel="00F131F1">
        <w:t>e</w:t>
      </w:r>
      <w:r w:rsidR="00460130">
        <w:t>xample</w:t>
      </w:r>
      <w:r w:rsidR="00F131F1">
        <w:t xml:space="preserve"> is the </w:t>
      </w:r>
      <w:r w:rsidR="006E640C">
        <w:t xml:space="preserve">daily </w:t>
      </w:r>
      <w:r w:rsidR="00F131F1">
        <w:t xml:space="preserve">use of </w:t>
      </w:r>
      <w:r w:rsidR="00460130">
        <w:t>a multivitamin tablet and a zinc or ma</w:t>
      </w:r>
      <w:r w:rsidR="005627EC">
        <w:t xml:space="preserve">gnesium supplement </w:t>
      </w:r>
      <w:r w:rsidR="00F131F1">
        <w:t xml:space="preserve">which </w:t>
      </w:r>
      <w:r w:rsidR="005627EC">
        <w:t>both contain vitamin B6.</w:t>
      </w:r>
      <w:r w:rsidR="00D741F4">
        <w:t xml:space="preserve"> </w:t>
      </w:r>
      <w:r w:rsidR="008E7B39">
        <w:t>In addition</w:t>
      </w:r>
      <w:r w:rsidR="00A718DD">
        <w:t xml:space="preserve">, various food </w:t>
      </w:r>
      <w:r w:rsidR="00C72790">
        <w:t xml:space="preserve">and beverages supplemented with vitamin B6 </w:t>
      </w:r>
      <w:r w:rsidR="008E7B39">
        <w:t xml:space="preserve">should </w:t>
      </w:r>
      <w:r w:rsidR="00D3794C">
        <w:t>also</w:t>
      </w:r>
      <w:r w:rsidR="008E7B39">
        <w:t xml:space="preserve"> </w:t>
      </w:r>
      <w:r w:rsidR="00C72790">
        <w:t xml:space="preserve">be taken into consideration </w:t>
      </w:r>
      <w:r w:rsidR="0083067C">
        <w:t xml:space="preserve">when </w:t>
      </w:r>
      <w:r w:rsidR="00C72790">
        <w:t xml:space="preserve">estimating </w:t>
      </w:r>
      <w:r w:rsidR="0083067C">
        <w:t>a person</w:t>
      </w:r>
      <w:r w:rsidR="002D0736">
        <w:t>’</w:t>
      </w:r>
      <w:r w:rsidR="0083067C">
        <w:t>s</w:t>
      </w:r>
      <w:r w:rsidR="002146A2" w:rsidDel="0083067C">
        <w:t xml:space="preserve"> </w:t>
      </w:r>
      <w:r w:rsidR="00C72790">
        <w:t>total vitamin</w:t>
      </w:r>
      <w:r w:rsidR="0035766B">
        <w:t> </w:t>
      </w:r>
      <w:r w:rsidR="00C72790">
        <w:t>B6 intake.</w:t>
      </w:r>
    </w:p>
    <w:p w14:paraId="0050406F" w14:textId="2F265B00" w:rsidR="001D67D1" w:rsidRDefault="001D67D1" w:rsidP="001D67D1">
      <w:r>
        <w:t xml:space="preserve">Consumers </w:t>
      </w:r>
      <w:r w:rsidR="00DC611D">
        <w:t xml:space="preserve">may not </w:t>
      </w:r>
      <w:r>
        <w:t>understand that combining multiple vitamin B6 containing supplements</w:t>
      </w:r>
      <w:r w:rsidR="00AD37E7">
        <w:t>,</w:t>
      </w:r>
      <w:r>
        <w:t xml:space="preserve"> or taking high dose individual supplements, in combination with other </w:t>
      </w:r>
      <w:r w:rsidR="00AE5DCA">
        <w:t xml:space="preserve">dietary </w:t>
      </w:r>
      <w:r>
        <w:t>sources, can quickly lead to high levels</w:t>
      </w:r>
      <w:r w:rsidR="00AE5DCA">
        <w:t xml:space="preserve"> of vitamin B6</w:t>
      </w:r>
      <w:r>
        <w:t xml:space="preserve"> in the body.</w:t>
      </w:r>
    </w:p>
    <w:p w14:paraId="0F913B70" w14:textId="113E669C" w:rsidR="00452D8B" w:rsidRPr="002D0736" w:rsidRDefault="00D401B0" w:rsidP="00452D8B">
      <w:pPr>
        <w:rPr>
          <w:b/>
          <w:i/>
        </w:rPr>
      </w:pPr>
      <w:r>
        <w:rPr>
          <w:b/>
          <w:bCs/>
          <w:i/>
          <w:iCs/>
        </w:rPr>
        <w:t>Presentation and w</w:t>
      </w:r>
      <w:r w:rsidR="00452D8B" w:rsidRPr="002D0736">
        <w:rPr>
          <w:b/>
          <w:bCs/>
          <w:i/>
          <w:iCs/>
        </w:rPr>
        <w:t>arning</w:t>
      </w:r>
      <w:r w:rsidR="00452D8B" w:rsidRPr="002D0736">
        <w:rPr>
          <w:b/>
          <w:i/>
        </w:rPr>
        <w:t xml:space="preserve"> labels for vitamin B6 </w:t>
      </w:r>
      <w:r>
        <w:rPr>
          <w:b/>
          <w:bCs/>
          <w:i/>
          <w:iCs/>
        </w:rPr>
        <w:t xml:space="preserve">containing </w:t>
      </w:r>
      <w:r w:rsidR="00452D8B" w:rsidRPr="002D0736">
        <w:rPr>
          <w:b/>
          <w:i/>
        </w:rPr>
        <w:t>medicines</w:t>
      </w:r>
    </w:p>
    <w:p w14:paraId="303FA37D" w14:textId="6EABCC8C" w:rsidR="00D34B84" w:rsidRDefault="00521955" w:rsidP="009174AB">
      <w:r>
        <w:t>Since 1 March 202</w:t>
      </w:r>
      <w:r w:rsidR="00E77CDC">
        <w:t>2</w:t>
      </w:r>
      <w:r>
        <w:t xml:space="preserve">, </w:t>
      </w:r>
      <w:r w:rsidR="00A27B98">
        <w:t>listed</w:t>
      </w:r>
      <w:r w:rsidR="002E0EE3">
        <w:t xml:space="preserve"> medicines</w:t>
      </w:r>
      <w:r w:rsidR="00D46F83">
        <w:t xml:space="preserve"> </w:t>
      </w:r>
      <w:r w:rsidR="006E640C">
        <w:t xml:space="preserve">containing </w:t>
      </w:r>
      <w:r w:rsidR="009174AB">
        <w:t>more than 10 mg</w:t>
      </w:r>
      <w:r w:rsidR="00D46F83">
        <w:t xml:space="preserve"> </w:t>
      </w:r>
      <w:r w:rsidR="009D5802">
        <w:t xml:space="preserve">per </w:t>
      </w:r>
      <w:r w:rsidR="00D46F83">
        <w:t>RDD</w:t>
      </w:r>
      <w:r w:rsidR="009174AB">
        <w:t xml:space="preserve"> of pyridoxine</w:t>
      </w:r>
      <w:r w:rsidR="000A6086">
        <w:t xml:space="preserve"> require</w:t>
      </w:r>
      <w:r w:rsidR="009174AB">
        <w:t xml:space="preserve"> </w:t>
      </w:r>
      <w:r w:rsidR="000A6086">
        <w:t xml:space="preserve">a </w:t>
      </w:r>
      <w:r w:rsidR="009174AB">
        <w:t>warning statement on the label</w:t>
      </w:r>
      <w:r w:rsidR="00052E84">
        <w:t xml:space="preserve"> – </w:t>
      </w:r>
      <w:r w:rsidR="00052E84">
        <w:rPr>
          <w:i/>
          <w:iCs/>
        </w:rPr>
        <w:t>S</w:t>
      </w:r>
      <w:r w:rsidR="00355FEE" w:rsidRPr="00431066">
        <w:rPr>
          <w:i/>
          <w:iCs/>
        </w:rPr>
        <w:t>top taking this medication if you experience tingling, burning or numbness and see your healthcare practitioner as soon as possible</w:t>
      </w:r>
      <w:r w:rsidR="000A6086">
        <w:t>.</w:t>
      </w:r>
    </w:p>
    <w:p w14:paraId="3B1AA1AB" w14:textId="7EE4BE1E" w:rsidR="007F74FA" w:rsidRDefault="00AE5B4E" w:rsidP="00C464D6">
      <w:r>
        <w:t xml:space="preserve">Of concern is that </w:t>
      </w:r>
      <w:r w:rsidR="007F74FA">
        <w:t xml:space="preserve">there are </w:t>
      </w:r>
      <w:r w:rsidR="78CB8EFC">
        <w:t>several</w:t>
      </w:r>
      <w:r w:rsidR="007F74FA">
        <w:t xml:space="preserve"> products on the market where the front of the label provides no indication that vitamin B6 is an </w:t>
      </w:r>
      <w:r w:rsidR="00F24561">
        <w:t>ingredient,</w:t>
      </w:r>
      <w:r w:rsidR="53A0085F">
        <w:t xml:space="preserve"> and </w:t>
      </w:r>
      <w:r w:rsidR="00066E46">
        <w:t xml:space="preserve">consumers may </w:t>
      </w:r>
      <w:r w:rsidR="006E640C">
        <w:t xml:space="preserve">believe </w:t>
      </w:r>
      <w:r w:rsidR="00066E46">
        <w:t>that the product is a</w:t>
      </w:r>
      <w:r w:rsidR="53A0085F">
        <w:t xml:space="preserve"> single ingredient preparation</w:t>
      </w:r>
      <w:r w:rsidR="007F74FA">
        <w:t xml:space="preserve">. </w:t>
      </w:r>
      <w:r w:rsidR="00066E46">
        <w:t>A</w:t>
      </w:r>
      <w:r w:rsidR="007F74FA">
        <w:t xml:space="preserve"> consumer would not know that vitamin B6 is present unless they read the ingredient panel</w:t>
      </w:r>
      <w:r w:rsidR="0067063E">
        <w:t xml:space="preserve"> </w:t>
      </w:r>
      <w:r w:rsidR="00C65B56">
        <w:t xml:space="preserve">and, in </w:t>
      </w:r>
      <w:r w:rsidR="00473851">
        <w:t>some</w:t>
      </w:r>
      <w:r w:rsidR="00C65B56">
        <w:t xml:space="preserve"> circumstances,</w:t>
      </w:r>
      <w:r w:rsidR="0067063E">
        <w:t xml:space="preserve"> need to know that pyridoxine</w:t>
      </w:r>
      <w:r w:rsidR="009026DB">
        <w:t xml:space="preserve"> (</w:t>
      </w:r>
      <w:r w:rsidR="00DF5F17">
        <w:t>or pyridoxine hydrochloride)</w:t>
      </w:r>
      <w:r w:rsidR="0067063E">
        <w:t>, pyridoxal and pyridoxamine are forms of vitamin</w:t>
      </w:r>
      <w:r w:rsidR="00723EEA">
        <w:t> </w:t>
      </w:r>
      <w:r w:rsidR="0067063E">
        <w:t>B6</w:t>
      </w:r>
      <w:r w:rsidR="007F74FA">
        <w:t>.</w:t>
      </w:r>
    </w:p>
    <w:p w14:paraId="338E4DA7" w14:textId="73A87AFD" w:rsidR="001A7C75" w:rsidRDefault="00D34B84" w:rsidP="00C464D6">
      <w:r>
        <w:t>The</w:t>
      </w:r>
      <w:r w:rsidR="0037498C">
        <w:t xml:space="preserve"> </w:t>
      </w:r>
      <w:r w:rsidR="008479C7">
        <w:t xml:space="preserve">evidence for the </w:t>
      </w:r>
      <w:r w:rsidR="0037498C">
        <w:t>effectiveness of labels</w:t>
      </w:r>
      <w:r w:rsidR="00F8293B" w:rsidRPr="00F8293B">
        <w:t xml:space="preserve"> </w:t>
      </w:r>
      <w:r w:rsidR="00F8293B">
        <w:t xml:space="preserve">in raising consumer awareness </w:t>
      </w:r>
      <w:r w:rsidR="00C44174">
        <w:t xml:space="preserve">of the potential risks </w:t>
      </w:r>
      <w:r w:rsidR="00CF4B39">
        <w:t xml:space="preserve">from the use of </w:t>
      </w:r>
      <w:r w:rsidR="00C65B56">
        <w:t>complementary medicines</w:t>
      </w:r>
      <w:r w:rsidR="00CF4B39">
        <w:t xml:space="preserve"> </w:t>
      </w:r>
      <w:r w:rsidR="00F42FA7">
        <w:t xml:space="preserve">is </w:t>
      </w:r>
      <w:r w:rsidR="008479C7">
        <w:t>equivocal</w:t>
      </w:r>
      <w:r w:rsidR="00F42FA7">
        <w:t>.</w:t>
      </w:r>
      <w:r w:rsidR="005A1B70">
        <w:t xml:space="preserve"> </w:t>
      </w:r>
      <w:r w:rsidR="00C365DD">
        <w:t xml:space="preserve">Relying on labelling alone to manage potential risks also </w:t>
      </w:r>
      <w:r w:rsidR="00880888">
        <w:t xml:space="preserve">puts additional responsibilities on consumers. </w:t>
      </w:r>
      <w:r w:rsidR="00197C02" w:rsidRPr="00197C02">
        <w:t xml:space="preserve">Many consumers </w:t>
      </w:r>
      <w:r w:rsidR="00197C02">
        <w:t>do not</w:t>
      </w:r>
      <w:r w:rsidR="00197C02" w:rsidRPr="00197C02">
        <w:t xml:space="preserve"> regularly read </w:t>
      </w:r>
      <w:r w:rsidR="00DC6451">
        <w:t>complementary medicine</w:t>
      </w:r>
      <w:r w:rsidR="00197C02" w:rsidRPr="00197C02">
        <w:t xml:space="preserve"> labels or understand the information they read on those labels</w:t>
      </w:r>
      <w:r w:rsidR="00197C02">
        <w:t>.</w:t>
      </w:r>
      <w:r w:rsidR="00197C02">
        <w:rPr>
          <w:rStyle w:val="FootnoteReference"/>
        </w:rPr>
        <w:footnoteReference w:id="35"/>
      </w:r>
      <w:r w:rsidR="006C283F">
        <w:t xml:space="preserve"> </w:t>
      </w:r>
      <w:r w:rsidR="00A31EE6">
        <w:t>A</w:t>
      </w:r>
      <w:r w:rsidR="00DD42AF">
        <w:t xml:space="preserve"> recent </w:t>
      </w:r>
      <w:r w:rsidR="00D944BF">
        <w:t xml:space="preserve">Australian </w:t>
      </w:r>
      <w:r w:rsidR="00DD42AF">
        <w:t xml:space="preserve">study of </w:t>
      </w:r>
      <w:r w:rsidR="00D944BF">
        <w:t>125 complementary medicine</w:t>
      </w:r>
      <w:r w:rsidR="009A0571">
        <w:t xml:space="preserve"> users</w:t>
      </w:r>
      <w:r w:rsidR="00E73213">
        <w:t xml:space="preserve"> reported that</w:t>
      </w:r>
      <w:r w:rsidR="00A31EE6">
        <w:t xml:space="preserve"> </w:t>
      </w:r>
      <w:r w:rsidR="007A270F">
        <w:t>after reading the warning statement</w:t>
      </w:r>
      <w:r w:rsidR="0053075E">
        <w:t>s</w:t>
      </w:r>
      <w:r w:rsidR="007A270F">
        <w:t xml:space="preserve"> </w:t>
      </w:r>
      <w:r w:rsidR="007A3F45">
        <w:t xml:space="preserve">less than 50% </w:t>
      </w:r>
      <w:r w:rsidR="005E4303">
        <w:t>(61 participants, 48.8%)</w:t>
      </w:r>
      <w:r w:rsidR="007A3F45">
        <w:t xml:space="preserve"> </w:t>
      </w:r>
      <w:r w:rsidR="007A270F" w:rsidRPr="00DD42AF">
        <w:t>s</w:t>
      </w:r>
      <w:r w:rsidR="007A270F">
        <w:t>ought</w:t>
      </w:r>
      <w:r w:rsidR="007A270F" w:rsidRPr="00DD42AF">
        <w:t xml:space="preserve"> further information </w:t>
      </w:r>
      <w:r w:rsidR="007A270F">
        <w:t>on the product before using</w:t>
      </w:r>
      <w:r w:rsidR="00FB5DCD">
        <w:t xml:space="preserve"> it.</w:t>
      </w:r>
      <w:r w:rsidR="00FB5DCD">
        <w:rPr>
          <w:rStyle w:val="FootnoteReference"/>
        </w:rPr>
        <w:footnoteReference w:id="36"/>
      </w:r>
      <w:r w:rsidR="007A270F">
        <w:t xml:space="preserve"> </w:t>
      </w:r>
      <w:r w:rsidR="00BC793C">
        <w:t xml:space="preserve">Notably, </w:t>
      </w:r>
      <w:r w:rsidR="00421306" w:rsidRPr="00DD42AF">
        <w:t>61 participants (48.8%)</w:t>
      </w:r>
      <w:r w:rsidR="00421306">
        <w:t xml:space="preserve"> were not concerned by the warnings and </w:t>
      </w:r>
      <w:r w:rsidR="00C0185F" w:rsidRPr="00DD42AF">
        <w:t>13 (10.4%) admitted to not reading</w:t>
      </w:r>
      <w:r w:rsidR="00AE1EE8">
        <w:t xml:space="preserve"> the</w:t>
      </w:r>
      <w:r w:rsidR="00C0185F" w:rsidRPr="00DD42AF">
        <w:t xml:space="preserve"> labels</w:t>
      </w:r>
      <w:r w:rsidR="001A7C75">
        <w:t>.</w:t>
      </w:r>
      <w:r w:rsidR="00F72A63" w:rsidRPr="00F72A63">
        <w:t xml:space="preserve"> </w:t>
      </w:r>
      <w:r w:rsidR="00AE1EE8">
        <w:t>T</w:t>
      </w:r>
      <w:r w:rsidR="00026DC1">
        <w:t xml:space="preserve">his study also reported that </w:t>
      </w:r>
      <w:r w:rsidR="00F603ED">
        <w:t xml:space="preserve">the </w:t>
      </w:r>
      <w:r w:rsidR="00094B36">
        <w:t>internet is the</w:t>
      </w:r>
      <w:r w:rsidR="00026DC1">
        <w:t xml:space="preserve"> main source of </w:t>
      </w:r>
      <w:r w:rsidR="00094B36">
        <w:t xml:space="preserve">information for users of complementary medicines. </w:t>
      </w:r>
      <w:r w:rsidR="00A2046C">
        <w:t>Another study</w:t>
      </w:r>
      <w:r w:rsidR="00094B36">
        <w:t xml:space="preserve"> also </w:t>
      </w:r>
      <w:r w:rsidR="00F72A63">
        <w:t>report</w:t>
      </w:r>
      <w:r w:rsidR="00094B36">
        <w:t xml:space="preserve">ed </w:t>
      </w:r>
      <w:r w:rsidR="00F72A63">
        <w:t xml:space="preserve">dietary supplement users often use </w:t>
      </w:r>
      <w:r w:rsidR="000446AF">
        <w:t>the</w:t>
      </w:r>
      <w:r w:rsidR="00F72A63">
        <w:t xml:space="preserve"> internet to seek information and rarely consult </w:t>
      </w:r>
      <w:r w:rsidR="000446AF">
        <w:t xml:space="preserve">a </w:t>
      </w:r>
      <w:r w:rsidR="00F72A63">
        <w:t>health-care professional.</w:t>
      </w:r>
      <w:r w:rsidR="00F72A63">
        <w:rPr>
          <w:rStyle w:val="FootnoteReference"/>
        </w:rPr>
        <w:footnoteReference w:id="37"/>
      </w:r>
    </w:p>
    <w:p w14:paraId="3CA0FF64" w14:textId="32380AD0" w:rsidR="0098501A" w:rsidRDefault="00DB5920" w:rsidP="00C464D6">
      <w:r>
        <w:t>T</w:t>
      </w:r>
      <w:r w:rsidR="0098501A">
        <w:t xml:space="preserve">hese are small cohort </w:t>
      </w:r>
      <w:r w:rsidR="00F24561">
        <w:t>studies,</w:t>
      </w:r>
      <w:r w:rsidR="0098501A">
        <w:t xml:space="preserve"> and the conclusions </w:t>
      </w:r>
      <w:r w:rsidR="001B7351">
        <w:t xml:space="preserve">have limitations when </w:t>
      </w:r>
      <w:r w:rsidR="0098501A">
        <w:t>extrapolat</w:t>
      </w:r>
      <w:r w:rsidR="001B7351">
        <w:t>ing</w:t>
      </w:r>
      <w:r w:rsidR="0098501A">
        <w:t xml:space="preserve"> to the general population.</w:t>
      </w:r>
      <w:r w:rsidR="00CF7A73">
        <w:t xml:space="preserve"> I agree with the </w:t>
      </w:r>
      <w:r w:rsidR="00BF0600">
        <w:t xml:space="preserve">authors </w:t>
      </w:r>
      <w:r w:rsidR="00A50C71">
        <w:t>regarding</w:t>
      </w:r>
      <w:r w:rsidR="000F1520">
        <w:t xml:space="preserve"> the </w:t>
      </w:r>
      <w:r w:rsidR="000F1520" w:rsidRPr="000F1520">
        <w:t>need for large</w:t>
      </w:r>
      <w:r w:rsidR="006E640C">
        <w:t>r</w:t>
      </w:r>
      <w:r w:rsidR="000F1520" w:rsidRPr="000F1520">
        <w:t xml:space="preserve"> studies to </w:t>
      </w:r>
      <w:r w:rsidR="00A63338">
        <w:t>understand the usage, effectiveness and appropriateness of labels on complementary medicines.</w:t>
      </w:r>
    </w:p>
    <w:p w14:paraId="723AE8B2" w14:textId="43608900" w:rsidR="006220CB" w:rsidRPr="00823F10" w:rsidRDefault="006220CB" w:rsidP="004D39C2">
      <w:pPr>
        <w:rPr>
          <w:b/>
          <w:i/>
        </w:rPr>
      </w:pPr>
      <w:r w:rsidRPr="00823F10">
        <w:rPr>
          <w:b/>
          <w:i/>
        </w:rPr>
        <w:lastRenderedPageBreak/>
        <w:t>Conclusion</w:t>
      </w:r>
    </w:p>
    <w:p w14:paraId="0D4D6F6A" w14:textId="0E28598F" w:rsidR="006F172A" w:rsidRDefault="006F172A" w:rsidP="006F172A">
      <w:r>
        <w:t xml:space="preserve">I have decided to amend the scheduling of vitamin B6 to restrict the access to medicines providing more than 50 mg per RDD of vitamin B6 by classifying these as Pharmacist </w:t>
      </w:r>
      <w:r w:rsidR="000506AF">
        <w:t>O</w:t>
      </w:r>
      <w:r>
        <w:t xml:space="preserve">nly </w:t>
      </w:r>
      <w:r w:rsidR="000506AF">
        <w:t>M</w:t>
      </w:r>
      <w:r w:rsidR="009E77B9">
        <w:t xml:space="preserve">edicines </w:t>
      </w:r>
      <w:r>
        <w:t>(Schedule</w:t>
      </w:r>
      <w:r w:rsidR="009E77B9">
        <w:t> </w:t>
      </w:r>
      <w:r>
        <w:t>3).</w:t>
      </w:r>
    </w:p>
    <w:p w14:paraId="215675A5" w14:textId="18FAD142" w:rsidR="008B684E" w:rsidRDefault="006F172A" w:rsidP="006F172A">
      <w:r>
        <w:t xml:space="preserve">This </w:t>
      </w:r>
      <w:r w:rsidR="00782129">
        <w:t xml:space="preserve">interim </w:t>
      </w:r>
      <w:r>
        <w:t>decision balances</w:t>
      </w:r>
      <w:r w:rsidR="005A0052">
        <w:t xml:space="preserve"> the</w:t>
      </w:r>
      <w:r w:rsidR="008B684E">
        <w:t>:</w:t>
      </w:r>
    </w:p>
    <w:p w14:paraId="345CDAAA" w14:textId="3B049C8C" w:rsidR="0073115F" w:rsidRDefault="006F172A" w:rsidP="00823F10">
      <w:pPr>
        <w:pStyle w:val="ListParagraph"/>
        <w:numPr>
          <w:ilvl w:val="0"/>
          <w:numId w:val="23"/>
        </w:numPr>
      </w:pPr>
      <w:r>
        <w:t>limited benefits of vitamin B6</w:t>
      </w:r>
      <w:r w:rsidR="00B558C5">
        <w:t xml:space="preserve"> when considering dietary availab</w:t>
      </w:r>
      <w:r w:rsidR="00BF3FD6">
        <w:t xml:space="preserve">ility and </w:t>
      </w:r>
      <w:r w:rsidR="00C34758">
        <w:t>the rareness of</w:t>
      </w:r>
      <w:r w:rsidR="000908E0">
        <w:t xml:space="preserve"> clinical</w:t>
      </w:r>
      <w:r w:rsidR="00BF3FD6">
        <w:t xml:space="preserve"> deficiency</w:t>
      </w:r>
    </w:p>
    <w:p w14:paraId="1821F3F5" w14:textId="2CBC0D02" w:rsidR="00A8597F" w:rsidRDefault="00A8597F" w:rsidP="00A8597F">
      <w:pPr>
        <w:pStyle w:val="ListParagraph"/>
        <w:numPr>
          <w:ilvl w:val="0"/>
          <w:numId w:val="23"/>
        </w:numPr>
      </w:pPr>
      <w:r>
        <w:t xml:space="preserve">extensive use of vitamin B6 </w:t>
      </w:r>
      <w:r w:rsidR="00FB7906">
        <w:t xml:space="preserve">in </w:t>
      </w:r>
      <w:r w:rsidR="00FD28D0">
        <w:t>l</w:t>
      </w:r>
      <w:r>
        <w:t>isted medicines and fortified foods and beverages</w:t>
      </w:r>
    </w:p>
    <w:p w14:paraId="55DC3BAA" w14:textId="254AA507" w:rsidR="00B56524" w:rsidRDefault="00665865" w:rsidP="00FB7906">
      <w:pPr>
        <w:pStyle w:val="ListParagraph"/>
        <w:numPr>
          <w:ilvl w:val="0"/>
          <w:numId w:val="23"/>
        </w:numPr>
      </w:pPr>
      <w:r>
        <w:t>m</w:t>
      </w:r>
      <w:r w:rsidR="00EC04DE">
        <w:t>argin of safety between th</w:t>
      </w:r>
      <w:r w:rsidR="0073115F">
        <w:t xml:space="preserve">erapeutic </w:t>
      </w:r>
      <w:r w:rsidR="00EC04DE">
        <w:t>and toxic dose</w:t>
      </w:r>
      <w:r w:rsidR="00F83F4D">
        <w:t>s</w:t>
      </w:r>
      <w:r w:rsidR="00EC04DE">
        <w:t xml:space="preserve"> in conjunction with the </w:t>
      </w:r>
      <w:r w:rsidR="0073115F">
        <w:t xml:space="preserve">wide inter-individual variability in </w:t>
      </w:r>
      <w:r w:rsidR="00A8597F">
        <w:t xml:space="preserve">the </w:t>
      </w:r>
      <w:r w:rsidR="00B56524">
        <w:t>metabolism of vitamin B6</w:t>
      </w:r>
    </w:p>
    <w:p w14:paraId="6FA9FA87" w14:textId="07F345FA" w:rsidR="005A0052" w:rsidRDefault="00B56524" w:rsidP="00FB7906">
      <w:pPr>
        <w:pStyle w:val="ListParagraph"/>
        <w:numPr>
          <w:ilvl w:val="0"/>
          <w:numId w:val="23"/>
        </w:numPr>
      </w:pPr>
      <w:r>
        <w:t>risks of peripheral neuropathy, including irreversible adverse effects</w:t>
      </w:r>
    </w:p>
    <w:p w14:paraId="0DFBC291" w14:textId="7909470F" w:rsidR="00EB1DFB" w:rsidRDefault="00EB1DFB" w:rsidP="00FB7906">
      <w:pPr>
        <w:pStyle w:val="ListParagraph"/>
        <w:numPr>
          <w:ilvl w:val="0"/>
          <w:numId w:val="23"/>
        </w:numPr>
      </w:pPr>
      <w:r>
        <w:t xml:space="preserve">uncertainties </w:t>
      </w:r>
      <w:r w:rsidR="008E20BE">
        <w:t>regarding</w:t>
      </w:r>
      <w:r w:rsidR="00007D0D">
        <w:t xml:space="preserve"> the overall daily intake of consumers using supplements</w:t>
      </w:r>
    </w:p>
    <w:p w14:paraId="6EB7F4E5" w14:textId="20F3363E" w:rsidR="006F172A" w:rsidRDefault="00365093" w:rsidP="00FB7906">
      <w:pPr>
        <w:pStyle w:val="ListParagraph"/>
        <w:numPr>
          <w:ilvl w:val="0"/>
          <w:numId w:val="23"/>
        </w:numPr>
      </w:pPr>
      <w:r>
        <w:t xml:space="preserve">burden on </w:t>
      </w:r>
      <w:r w:rsidR="006F172A">
        <w:t>consumers to calculate their total daily intake</w:t>
      </w:r>
      <w:r w:rsidR="00B56524">
        <w:t xml:space="preserve"> of vitamin B6</w:t>
      </w:r>
      <w:r w:rsidR="006F172A">
        <w:t>.</w:t>
      </w:r>
    </w:p>
    <w:p w14:paraId="7764D837" w14:textId="640B60C0" w:rsidR="00C4497B" w:rsidRDefault="00DF5680" w:rsidP="004D39C2">
      <w:r>
        <w:t>T</w:t>
      </w:r>
      <w:r w:rsidR="005E7B80">
        <w:t xml:space="preserve">he daily requirement of vitamin B6 can be easily obtained from the </w:t>
      </w:r>
      <w:r w:rsidR="006E640C">
        <w:t xml:space="preserve">usual Australian </w:t>
      </w:r>
      <w:r w:rsidR="005E7B80">
        <w:t>diet</w:t>
      </w:r>
      <w:r w:rsidR="006E640C">
        <w:t>,</w:t>
      </w:r>
      <w:r w:rsidR="0068661B">
        <w:t xml:space="preserve"> and the </w:t>
      </w:r>
      <w:r w:rsidR="00654B05">
        <w:t xml:space="preserve">use of </w:t>
      </w:r>
      <w:r w:rsidR="0068661B">
        <w:t xml:space="preserve">supplemental vitamin B6 </w:t>
      </w:r>
      <w:r w:rsidR="0059641A">
        <w:t>provides</w:t>
      </w:r>
      <w:r w:rsidR="0068661B">
        <w:t xml:space="preserve"> limited </w:t>
      </w:r>
      <w:r w:rsidR="0059641A">
        <w:t xml:space="preserve">benefit except </w:t>
      </w:r>
      <w:r w:rsidR="006E640C">
        <w:t xml:space="preserve">in </w:t>
      </w:r>
      <w:r w:rsidR="00654B05">
        <w:t xml:space="preserve">people who have a </w:t>
      </w:r>
      <w:r w:rsidR="0059641A">
        <w:t>clinically diagnosed vitamin</w:t>
      </w:r>
      <w:r w:rsidR="00287AC0">
        <w:t> </w:t>
      </w:r>
      <w:r w:rsidR="0059641A">
        <w:t xml:space="preserve">B6 deficiency. In contrast, </w:t>
      </w:r>
      <w:r w:rsidR="007E4057">
        <w:t>high intake of vitamin B6 pose</w:t>
      </w:r>
      <w:r w:rsidR="005E044E">
        <w:t xml:space="preserve">s </w:t>
      </w:r>
      <w:r w:rsidR="00453DCF">
        <w:t xml:space="preserve">a </w:t>
      </w:r>
      <w:r w:rsidR="005E044E">
        <w:t>risk of peripheral neuropathy</w:t>
      </w:r>
      <w:r w:rsidR="00AF24E6">
        <w:t>,</w:t>
      </w:r>
      <w:r w:rsidR="005E044E">
        <w:t xml:space="preserve"> </w:t>
      </w:r>
      <w:r w:rsidR="00453DCF">
        <w:t xml:space="preserve">which </w:t>
      </w:r>
      <w:r w:rsidR="00AD4184">
        <w:t xml:space="preserve">cannot be excluded </w:t>
      </w:r>
      <w:r w:rsidR="00A7637B">
        <w:t>for doses less than 50 mg/day.</w:t>
      </w:r>
      <w:r w:rsidR="00D1002E">
        <w:rPr>
          <w:color w:val="FF0000"/>
        </w:rPr>
        <w:t xml:space="preserve"> </w:t>
      </w:r>
      <w:r w:rsidR="001D48F1">
        <w:t xml:space="preserve">Under the current labelling </w:t>
      </w:r>
      <w:r w:rsidR="00453DCF">
        <w:t>requirements</w:t>
      </w:r>
      <w:r w:rsidR="001D48F1">
        <w:t xml:space="preserve">, it is difficult for a consumer to estimate their vitamin B6 intake </w:t>
      </w:r>
      <w:r w:rsidR="00180507">
        <w:t xml:space="preserve">and the </w:t>
      </w:r>
      <w:r w:rsidR="00E00F51">
        <w:t xml:space="preserve">widespread </w:t>
      </w:r>
      <w:r w:rsidR="00180507">
        <w:t xml:space="preserve">presence of </w:t>
      </w:r>
      <w:r w:rsidR="00180507" w:rsidDel="00E00F51">
        <w:t>vitamin</w:t>
      </w:r>
      <w:r w:rsidR="00E00F51">
        <w:t> </w:t>
      </w:r>
      <w:r w:rsidR="00180507">
        <w:t xml:space="preserve">B6 in </w:t>
      </w:r>
      <w:r w:rsidR="006E640C">
        <w:t xml:space="preserve">listed </w:t>
      </w:r>
      <w:r w:rsidR="00180507">
        <w:t xml:space="preserve">medicines and </w:t>
      </w:r>
      <w:r w:rsidR="00B94811">
        <w:t xml:space="preserve">food supplements makes it more challenging. </w:t>
      </w:r>
      <w:r w:rsidR="00754CFC">
        <w:rPr>
          <w:lang w:eastAsia="en-AU"/>
        </w:rPr>
        <w:t>Pa</w:t>
      </w:r>
      <w:r w:rsidR="00754CFC" w:rsidRPr="00540F33">
        <w:t>radoxically</w:t>
      </w:r>
      <w:r w:rsidR="00C34136">
        <w:t>,</w:t>
      </w:r>
      <w:r w:rsidR="00754CFC" w:rsidRPr="00540F33">
        <w:t xml:space="preserve"> the most common symptoms associated with vitamin B6 toxicity are </w:t>
      </w:r>
      <w:proofErr w:type="gramStart"/>
      <w:r w:rsidR="00754CFC" w:rsidRPr="00540F33">
        <w:t>similar</w:t>
      </w:r>
      <w:r w:rsidR="00754CFC">
        <w:t xml:space="preserve"> </w:t>
      </w:r>
      <w:r w:rsidR="00754CFC" w:rsidRPr="00540F33">
        <w:t>to</w:t>
      </w:r>
      <w:proofErr w:type="gramEnd"/>
      <w:r w:rsidR="00754CFC" w:rsidRPr="00540F33">
        <w:t xml:space="preserve"> those </w:t>
      </w:r>
      <w:r w:rsidR="007B78D8">
        <w:t>of</w:t>
      </w:r>
      <w:r w:rsidR="00C41AEE" w:rsidRPr="00540F33">
        <w:t xml:space="preserve"> </w:t>
      </w:r>
      <w:r w:rsidR="00754CFC" w:rsidRPr="00540F33">
        <w:t>vitamin B6 deficiency.</w:t>
      </w:r>
      <w:r w:rsidR="00754CFC">
        <w:t xml:space="preserve"> </w:t>
      </w:r>
      <w:r w:rsidR="009C5F92">
        <w:t xml:space="preserve">Therefore, it is possible that consumers </w:t>
      </w:r>
      <w:r w:rsidR="00C34136">
        <w:t xml:space="preserve">may </w:t>
      </w:r>
      <w:r w:rsidR="009C5F92">
        <w:t>inadvertently exacerbate the very symptoms they are trying to treat</w:t>
      </w:r>
      <w:r w:rsidR="00F91EC0">
        <w:t>.</w:t>
      </w:r>
      <w:r w:rsidR="00F853B6">
        <w:t xml:space="preserve"> </w:t>
      </w:r>
      <w:r w:rsidR="00186BA6">
        <w:t>In addition</w:t>
      </w:r>
      <w:r w:rsidR="004921D9" w:rsidDel="00186BA6">
        <w:t>,</w:t>
      </w:r>
      <w:r w:rsidR="007A2D27">
        <w:t xml:space="preserve"> </w:t>
      </w:r>
      <w:r w:rsidR="00980292">
        <w:t xml:space="preserve">inter-individual variability </w:t>
      </w:r>
      <w:r w:rsidR="00186BA6">
        <w:t xml:space="preserve">in metabolism makes it difficult for individuals to know whether the </w:t>
      </w:r>
      <w:r w:rsidR="00F853B6">
        <w:t>vitamin B6 products they take may pose a risk.</w:t>
      </w:r>
    </w:p>
    <w:p w14:paraId="6B474FE8" w14:textId="18E6A9C3" w:rsidR="00F85048" w:rsidRPr="00F24561" w:rsidRDefault="00A46104" w:rsidP="004D39C2">
      <w:pPr>
        <w:rPr>
          <w:i/>
        </w:rPr>
      </w:pPr>
      <w:r>
        <w:t xml:space="preserve">Turning my mind to scheduling factors 1, 3 and </w:t>
      </w:r>
      <w:r w:rsidRPr="00E30A23">
        <w:t>5</w:t>
      </w:r>
      <w:r>
        <w:t xml:space="preserve"> of Schedule 3, </w:t>
      </w:r>
      <w:r w:rsidR="007E30DE" w:rsidDel="00C4497B">
        <w:t>a</w:t>
      </w:r>
      <w:r w:rsidR="007E30DE">
        <w:t xml:space="preserve"> p</w:t>
      </w:r>
      <w:r w:rsidR="007E30DE" w:rsidRPr="00FF25E3">
        <w:t>harmacist-consumer consultation</w:t>
      </w:r>
      <w:r w:rsidR="007E30DE">
        <w:t xml:space="preserve"> can signif</w:t>
      </w:r>
      <w:r w:rsidR="00756D4B">
        <w:t>icantly help consumers in safe use of these supplements</w:t>
      </w:r>
      <w:r w:rsidR="00454DAD">
        <w:t xml:space="preserve">, including the difficulties of consumers determining their daily dosage, </w:t>
      </w:r>
      <w:r w:rsidR="00756D4B">
        <w:t xml:space="preserve">and reduce the </w:t>
      </w:r>
      <w:r w:rsidR="0007764E">
        <w:t xml:space="preserve">risks </w:t>
      </w:r>
      <w:r w:rsidR="00454DAD">
        <w:t>from</w:t>
      </w:r>
      <w:r w:rsidR="0007764E">
        <w:t xml:space="preserve"> overuse</w:t>
      </w:r>
      <w:r w:rsidR="00931A29">
        <w:t>, including potentially irreversible peripheral neuropathy</w:t>
      </w:r>
      <w:r w:rsidR="0070212C">
        <w:t>.</w:t>
      </w:r>
      <w:r w:rsidR="00D319CA">
        <w:t xml:space="preserve"> </w:t>
      </w:r>
      <w:r w:rsidR="00F91EC0">
        <w:rPr>
          <w:lang w:eastAsia="en-AU"/>
        </w:rPr>
        <w:t>T</w:t>
      </w:r>
      <w:r w:rsidR="00F91EC0" w:rsidRPr="00DA1BD7">
        <w:rPr>
          <w:lang w:eastAsia="en-AU"/>
        </w:rPr>
        <w:t xml:space="preserve">he benefits of involving a health-care professional in the decision to take dietary supplements </w:t>
      </w:r>
      <w:r w:rsidR="00F91EC0">
        <w:rPr>
          <w:lang w:eastAsia="en-AU"/>
        </w:rPr>
        <w:t xml:space="preserve">should </w:t>
      </w:r>
      <w:r w:rsidR="00F91EC0" w:rsidRPr="00DA1BD7">
        <w:rPr>
          <w:lang w:eastAsia="en-AU"/>
        </w:rPr>
        <w:t xml:space="preserve">be encouraged </w:t>
      </w:r>
      <w:r w:rsidR="00F91EC0">
        <w:rPr>
          <w:lang w:eastAsia="en-AU"/>
        </w:rPr>
        <w:t xml:space="preserve">where there are associated </w:t>
      </w:r>
      <w:r w:rsidR="00F91EC0" w:rsidRPr="00DA1BD7">
        <w:rPr>
          <w:lang w:eastAsia="en-AU"/>
        </w:rPr>
        <w:t xml:space="preserve">risks </w:t>
      </w:r>
      <w:r w:rsidR="00F91EC0">
        <w:rPr>
          <w:lang w:eastAsia="en-AU"/>
        </w:rPr>
        <w:t xml:space="preserve">from use. </w:t>
      </w:r>
      <w:r w:rsidR="004F0EED">
        <w:t>S</w:t>
      </w:r>
      <w:r w:rsidR="00E556F7">
        <w:t xml:space="preserve">everal European regulatory agencies </w:t>
      </w:r>
      <w:r w:rsidR="00E71B98">
        <w:t xml:space="preserve">advise taking </w:t>
      </w:r>
      <w:r w:rsidR="002D534E">
        <w:t xml:space="preserve">no </w:t>
      </w:r>
      <w:r w:rsidR="00B42156">
        <w:t xml:space="preserve">more than </w:t>
      </w:r>
      <w:r w:rsidR="00B42156" w:rsidDel="006C0B08">
        <w:t>10</w:t>
      </w:r>
      <w:r w:rsidR="006C0B08">
        <w:t> </w:t>
      </w:r>
      <w:r w:rsidR="00B42156">
        <w:t xml:space="preserve">mg/day of vitamin B6 </w:t>
      </w:r>
      <w:r w:rsidR="002D534E">
        <w:t xml:space="preserve">except </w:t>
      </w:r>
      <w:r w:rsidR="00B42156">
        <w:t>under medical advice.</w:t>
      </w:r>
      <w:r w:rsidR="00F85048">
        <w:rPr>
          <w:rStyle w:val="FootnoteReference"/>
        </w:rPr>
        <w:footnoteReference w:id="38"/>
      </w:r>
      <w:r w:rsidR="006E632E" w:rsidRPr="006E632E">
        <w:rPr>
          <w:vertAlign w:val="superscript"/>
        </w:rPr>
        <w:t>,</w:t>
      </w:r>
      <w:r w:rsidR="00371583">
        <w:rPr>
          <w:vertAlign w:val="superscript"/>
        </w:rPr>
        <w:t xml:space="preserve"> </w:t>
      </w:r>
      <w:r w:rsidR="006E632E">
        <w:rPr>
          <w:rStyle w:val="FootnoteReference"/>
        </w:rPr>
        <w:footnoteReference w:id="39"/>
      </w:r>
      <w:r w:rsidR="00695AA7">
        <w:rPr>
          <w:vertAlign w:val="superscript"/>
        </w:rPr>
        <w:softHyphen/>
      </w:r>
    </w:p>
    <w:p w14:paraId="5AE4D84E" w14:textId="2BC6BC43" w:rsidR="00082C94" w:rsidRDefault="00D70736" w:rsidP="004D39C2">
      <w:r w:rsidRPr="00D70736">
        <w:t>Although there is poor evidence of a benefit for dietary supplements for most people with a healthy, balanced diet, they are crucial for people with dietary deficiencies or at-risk populations.</w:t>
      </w:r>
      <w:r>
        <w:t xml:space="preserve"> </w:t>
      </w:r>
      <w:r w:rsidR="00375BAA">
        <w:t xml:space="preserve">Medicines providing higher doses of vitamin B6 </w:t>
      </w:r>
      <w:r w:rsidR="007921FC">
        <w:t>(</w:t>
      </w:r>
      <w:proofErr w:type="gramStart"/>
      <w:r w:rsidR="007921FC">
        <w:t>in excess of</w:t>
      </w:r>
      <w:proofErr w:type="gramEnd"/>
      <w:r w:rsidR="007921FC">
        <w:t xml:space="preserve"> 200 mg per RDD) </w:t>
      </w:r>
      <w:r w:rsidR="00375BAA">
        <w:t>will therefore cont</w:t>
      </w:r>
      <w:r w:rsidR="00D021BD">
        <w:t xml:space="preserve">inue to be available as Prescription </w:t>
      </w:r>
      <w:r w:rsidR="00EE68DE">
        <w:t>O</w:t>
      </w:r>
      <w:r w:rsidR="00D021BD">
        <w:t xml:space="preserve">nly </w:t>
      </w:r>
      <w:r w:rsidR="000239B1">
        <w:t>M</w:t>
      </w:r>
      <w:r w:rsidR="00D021BD">
        <w:t>edicines (Schedule 4</w:t>
      </w:r>
      <w:r w:rsidR="000239B1">
        <w:t>)</w:t>
      </w:r>
      <w:r w:rsidR="00D021BD">
        <w:t>.</w:t>
      </w:r>
    </w:p>
    <w:p w14:paraId="0E237FE5" w14:textId="387BDB8B" w:rsidR="00A517DC" w:rsidRDefault="00EA348F" w:rsidP="007A1829">
      <w:pPr>
        <w:rPr>
          <w:lang w:eastAsia="en-AU"/>
        </w:rPr>
      </w:pPr>
      <w:r>
        <w:rPr>
          <w:lang w:eastAsia="en-AU"/>
        </w:rPr>
        <w:t xml:space="preserve">In deciding 50 mg </w:t>
      </w:r>
      <w:r w:rsidR="006E640C">
        <w:rPr>
          <w:lang w:eastAsia="en-AU"/>
        </w:rPr>
        <w:t>as</w:t>
      </w:r>
      <w:r w:rsidR="00800229">
        <w:rPr>
          <w:lang w:eastAsia="en-AU"/>
        </w:rPr>
        <w:t xml:space="preserve"> the cut-off for </w:t>
      </w:r>
      <w:r w:rsidR="00180BCF">
        <w:rPr>
          <w:lang w:eastAsia="en-AU"/>
        </w:rPr>
        <w:t>exemption</w:t>
      </w:r>
      <w:r w:rsidR="00800229">
        <w:rPr>
          <w:lang w:eastAsia="en-AU"/>
        </w:rPr>
        <w:t xml:space="preserve"> from scheduling</w:t>
      </w:r>
      <w:r w:rsidR="0082227E">
        <w:rPr>
          <w:lang w:eastAsia="en-AU"/>
        </w:rPr>
        <w:t>, rather than the 5 mg proposed by the applicant</w:t>
      </w:r>
      <w:r w:rsidR="00800229">
        <w:rPr>
          <w:lang w:eastAsia="en-AU"/>
        </w:rPr>
        <w:t>, I have</w:t>
      </w:r>
      <w:r w:rsidR="00D878F9">
        <w:rPr>
          <w:lang w:eastAsia="en-AU"/>
        </w:rPr>
        <w:t xml:space="preserve"> also</w:t>
      </w:r>
      <w:r w:rsidR="00800229">
        <w:rPr>
          <w:lang w:eastAsia="en-AU"/>
        </w:rPr>
        <w:t xml:space="preserve"> </w:t>
      </w:r>
      <w:r w:rsidR="005F1D1A">
        <w:rPr>
          <w:lang w:eastAsia="en-AU"/>
        </w:rPr>
        <w:t>considered</w:t>
      </w:r>
      <w:r w:rsidR="00800229">
        <w:rPr>
          <w:lang w:eastAsia="en-AU"/>
        </w:rPr>
        <w:t xml:space="preserve"> the </w:t>
      </w:r>
      <w:hyperlink r:id="rId23" w:tgtFrame="_blank" w:history="1">
        <w:r w:rsidR="00FB1B8B" w:rsidRPr="005443A6">
          <w:rPr>
            <w:color w:val="0000FF"/>
            <w:u w:val="single"/>
          </w:rPr>
          <w:t>Nutrient Reference Values for Australia and New Zealand Including Recommended Dietary Intakes</w:t>
        </w:r>
      </w:hyperlink>
      <w:r w:rsidR="00800229">
        <w:rPr>
          <w:lang w:eastAsia="en-AU"/>
        </w:rPr>
        <w:t xml:space="preserve"> </w:t>
      </w:r>
      <w:r w:rsidR="00C22D95">
        <w:rPr>
          <w:lang w:eastAsia="en-AU"/>
        </w:rPr>
        <w:t xml:space="preserve">established by the </w:t>
      </w:r>
      <w:r w:rsidR="00353FB8">
        <w:rPr>
          <w:lang w:eastAsia="en-AU"/>
        </w:rPr>
        <w:t>National Health and Medical Research Council</w:t>
      </w:r>
      <w:r w:rsidR="006E640C">
        <w:rPr>
          <w:lang w:eastAsia="en-AU"/>
        </w:rPr>
        <w:t xml:space="preserve"> (NHMRC). The NHMRC</w:t>
      </w:r>
      <w:r w:rsidR="00B57EB5">
        <w:rPr>
          <w:lang w:eastAsia="en-AU"/>
        </w:rPr>
        <w:t xml:space="preserve"> established an upper level of intake for adults 19 years and over at 50 mg/day</w:t>
      </w:r>
      <w:r w:rsidR="00353FB8">
        <w:rPr>
          <w:lang w:eastAsia="en-AU"/>
        </w:rPr>
        <w:t>.</w:t>
      </w:r>
      <w:r w:rsidR="00D428DD">
        <w:rPr>
          <w:lang w:eastAsia="en-AU"/>
        </w:rPr>
        <w:t xml:space="preserve"> Decreasing the limit of unscheduled preparations from 200 mg to 50 mg of vitamin B6 </w:t>
      </w:r>
      <w:r w:rsidR="0080343B">
        <w:rPr>
          <w:lang w:eastAsia="en-AU"/>
        </w:rPr>
        <w:t>should</w:t>
      </w:r>
      <w:r w:rsidR="00D428DD">
        <w:rPr>
          <w:lang w:eastAsia="en-AU"/>
        </w:rPr>
        <w:t xml:space="preserve"> reduce the risks </w:t>
      </w:r>
      <w:r w:rsidR="0080343B">
        <w:rPr>
          <w:lang w:eastAsia="en-AU"/>
        </w:rPr>
        <w:t>fro</w:t>
      </w:r>
      <w:r w:rsidR="00334519">
        <w:rPr>
          <w:lang w:eastAsia="en-AU"/>
        </w:rPr>
        <w:t>m</w:t>
      </w:r>
      <w:r w:rsidR="003F7158">
        <w:rPr>
          <w:lang w:eastAsia="en-AU"/>
        </w:rPr>
        <w:t xml:space="preserve"> use of a single product</w:t>
      </w:r>
      <w:r w:rsidR="00F15395">
        <w:rPr>
          <w:lang w:eastAsia="en-AU"/>
        </w:rPr>
        <w:t>,</w:t>
      </w:r>
      <w:r w:rsidR="003F7158">
        <w:rPr>
          <w:lang w:eastAsia="en-AU"/>
        </w:rPr>
        <w:t xml:space="preserve"> and from combined exposure from multiple sources.</w:t>
      </w:r>
    </w:p>
    <w:p w14:paraId="1341AF11" w14:textId="3F78FE23" w:rsidR="007A1829" w:rsidRDefault="005671DF" w:rsidP="007A1829">
      <w:r>
        <w:t>Internationally, t</w:t>
      </w:r>
      <w:r w:rsidRPr="00C71EA4">
        <w:t>he acceptable level</w:t>
      </w:r>
      <w:r>
        <w:t xml:space="preserve"> set by other regulatory bodies var</w:t>
      </w:r>
      <w:r w:rsidR="006E640C">
        <w:t>ies</w:t>
      </w:r>
      <w:r>
        <w:t xml:space="preserve"> considerably and ranges from </w:t>
      </w:r>
      <w:r w:rsidR="00180BCF">
        <w:t>10 mg/day</w:t>
      </w:r>
      <w:r w:rsidR="00E80F8B">
        <w:t xml:space="preserve"> </w:t>
      </w:r>
      <w:r w:rsidR="003539E5">
        <w:t>in the UK</w:t>
      </w:r>
      <w:r w:rsidR="00D43C0D">
        <w:rPr>
          <w:rStyle w:val="FootnoteReference"/>
        </w:rPr>
        <w:footnoteReference w:id="40"/>
      </w:r>
      <w:r w:rsidR="003539E5">
        <w:t xml:space="preserve"> to </w:t>
      </w:r>
      <w:r w:rsidR="003539E5" w:rsidDel="002E4BD4">
        <w:t>100</w:t>
      </w:r>
      <w:r w:rsidR="002E4BD4">
        <w:t> </w:t>
      </w:r>
      <w:r w:rsidR="003539E5">
        <w:t>mg/day in Can</w:t>
      </w:r>
      <w:r w:rsidR="00D43C0D">
        <w:t>ada</w:t>
      </w:r>
      <w:r w:rsidR="001F6BF5">
        <w:rPr>
          <w:rStyle w:val="FootnoteReference"/>
        </w:rPr>
        <w:footnoteReference w:id="41"/>
      </w:r>
      <w:r w:rsidR="00D43C0D">
        <w:t xml:space="preserve"> and the USA</w:t>
      </w:r>
      <w:r w:rsidR="001C17D9">
        <w:t>.</w:t>
      </w:r>
      <w:r w:rsidR="001C17D9">
        <w:rPr>
          <w:rStyle w:val="FootnoteReference"/>
        </w:rPr>
        <w:footnoteReference w:id="42"/>
      </w:r>
      <w:r w:rsidR="00E40DC5">
        <w:t xml:space="preserve"> </w:t>
      </w:r>
      <w:r w:rsidR="004F0EED" w:rsidRPr="00695AA7">
        <w:t xml:space="preserve">Food Standards Australia New Zealand </w:t>
      </w:r>
      <w:r w:rsidR="004F0EED">
        <w:t xml:space="preserve">(FSANZ) reviewed the UL set by various international agencies and considered the UL of </w:t>
      </w:r>
      <w:r w:rsidR="004F0EED" w:rsidRPr="00695AA7">
        <w:t>25</w:t>
      </w:r>
      <w:r w:rsidR="00DB0029">
        <w:t> </w:t>
      </w:r>
      <w:r w:rsidR="004F0EED" w:rsidRPr="00695AA7">
        <w:t xml:space="preserve">mg/day for adults set by the EU </w:t>
      </w:r>
      <w:r w:rsidR="004F0EED">
        <w:t xml:space="preserve">to be the most relevant </w:t>
      </w:r>
      <w:r w:rsidR="004F0EED" w:rsidRPr="0073028F">
        <w:t xml:space="preserve">because it was derived from longer-term </w:t>
      </w:r>
      <w:r w:rsidR="004F0EED" w:rsidRPr="0073028F">
        <w:lastRenderedPageBreak/>
        <w:t>studies in humans</w:t>
      </w:r>
      <w:r w:rsidR="004F0EED" w:rsidRPr="00695AA7">
        <w:t>.</w:t>
      </w:r>
      <w:r w:rsidR="004F0EED">
        <w:rPr>
          <w:rStyle w:val="FootnoteReference"/>
        </w:rPr>
        <w:footnoteReference w:id="43"/>
      </w:r>
      <w:r w:rsidR="004F0EED">
        <w:t xml:space="preserve"> </w:t>
      </w:r>
      <w:r w:rsidR="004F0EED">
        <w:rPr>
          <w:lang w:eastAsia="en-AU"/>
        </w:rPr>
        <w:t xml:space="preserve">The </w:t>
      </w:r>
      <w:r w:rsidR="004F0EED" w:rsidRPr="00B56C7B">
        <w:rPr>
          <w:lang w:eastAsia="en-AU"/>
        </w:rPr>
        <w:t>EFSA Panel on Nutrition, Novel Foods and</w:t>
      </w:r>
      <w:r w:rsidR="004F0EED">
        <w:rPr>
          <w:lang w:eastAsia="en-AU"/>
        </w:rPr>
        <w:t xml:space="preserve"> </w:t>
      </w:r>
      <w:r w:rsidR="004F0EED" w:rsidRPr="00B56C7B">
        <w:rPr>
          <w:lang w:eastAsia="en-AU"/>
        </w:rPr>
        <w:t>Food Allergens</w:t>
      </w:r>
      <w:r w:rsidR="004F0EED">
        <w:rPr>
          <w:lang w:eastAsia="en-AU"/>
        </w:rPr>
        <w:t xml:space="preserve"> recently has set a</w:t>
      </w:r>
      <w:r w:rsidR="006E640C">
        <w:rPr>
          <w:lang w:eastAsia="en-AU"/>
        </w:rPr>
        <w:t>n</w:t>
      </w:r>
      <w:r w:rsidR="004F0EED">
        <w:rPr>
          <w:lang w:eastAsia="en-AU"/>
        </w:rPr>
        <w:t xml:space="preserve"> UL of 12.5 mg/day for vitamin B6.</w:t>
      </w:r>
      <w:r w:rsidR="004F0EED">
        <w:rPr>
          <w:vertAlign w:val="superscript"/>
          <w:lang w:eastAsia="en-AU"/>
        </w:rPr>
        <w:t>27</w:t>
      </w:r>
      <w:r w:rsidR="004F0EED">
        <w:rPr>
          <w:lang w:eastAsia="en-AU"/>
        </w:rPr>
        <w:t xml:space="preserve"> </w:t>
      </w:r>
      <w:r w:rsidR="00AC00EC">
        <w:t>While</w:t>
      </w:r>
      <w:r w:rsidR="003003DE">
        <w:t xml:space="preserve"> there are reports of</w:t>
      </w:r>
      <w:r w:rsidR="00D441EC">
        <w:t xml:space="preserve"> </w:t>
      </w:r>
      <w:r w:rsidR="00B35E71">
        <w:t>vitamin B6 related neuropathy at doses less than 50 mg/day</w:t>
      </w:r>
      <w:r w:rsidR="00011FBC">
        <w:t>,</w:t>
      </w:r>
      <w:r w:rsidR="00B35E71">
        <w:t xml:space="preserve"> the numbers are limited and </w:t>
      </w:r>
      <w:r w:rsidR="002E4BD4">
        <w:t xml:space="preserve">the evidence is equivocal as </w:t>
      </w:r>
      <w:r w:rsidR="00731A3B">
        <w:t xml:space="preserve">to </w:t>
      </w:r>
      <w:r w:rsidR="00CC7603" w:rsidRPr="00D441EC">
        <w:t>the causal link between vitamin B6 intake at the</w:t>
      </w:r>
      <w:r w:rsidR="00731A3B">
        <w:t>se</w:t>
      </w:r>
      <w:r w:rsidR="00CC7603" w:rsidRPr="00D441EC">
        <w:t xml:space="preserve"> </w:t>
      </w:r>
      <w:r w:rsidR="00731A3B">
        <w:t xml:space="preserve">lower </w:t>
      </w:r>
      <w:r w:rsidR="00CC7603" w:rsidRPr="00D441EC">
        <w:t>consumed doses and the development of neuropathy symptoms.</w:t>
      </w:r>
      <w:r w:rsidR="008C3D8D">
        <w:rPr>
          <w:rStyle w:val="FootnoteReference"/>
        </w:rPr>
        <w:footnoteReference w:id="44"/>
      </w:r>
    </w:p>
    <w:p w14:paraId="72837A8D" w14:textId="4E6F7015" w:rsidR="00120386" w:rsidRDefault="007A1829" w:rsidP="00120386">
      <w:r>
        <w:t>I note that in 20</w:t>
      </w:r>
      <w:r w:rsidR="00646E1B">
        <w:t>18</w:t>
      </w:r>
      <w:r>
        <w:t>, regulatory changes in the Netherlands to lower th</w:t>
      </w:r>
      <w:r w:rsidRPr="003C4D65">
        <w:t xml:space="preserve">e maximum daily dose </w:t>
      </w:r>
      <w:r>
        <w:t>for vitamin</w:t>
      </w:r>
      <w:r w:rsidR="009B17C4">
        <w:t> </w:t>
      </w:r>
      <w:r>
        <w:t xml:space="preserve">B6 </w:t>
      </w:r>
      <w:r w:rsidR="00BC7C85">
        <w:t xml:space="preserve">to 21 mg/day </w:t>
      </w:r>
      <w:r>
        <w:t xml:space="preserve">resulted in a decrease in </w:t>
      </w:r>
      <w:r w:rsidR="00790EDF">
        <w:t xml:space="preserve">daily dose of vitamin B6 and </w:t>
      </w:r>
      <w:r>
        <w:t xml:space="preserve">adverse reports </w:t>
      </w:r>
      <w:r w:rsidR="00790EDF">
        <w:t>of neuropathy</w:t>
      </w:r>
      <w:r>
        <w:t>.</w:t>
      </w:r>
      <w:r>
        <w:rPr>
          <w:rStyle w:val="FootnoteReference"/>
        </w:rPr>
        <w:footnoteReference w:id="45"/>
      </w:r>
      <w:r w:rsidR="00641C00">
        <w:t xml:space="preserve"> </w:t>
      </w:r>
      <w:r w:rsidR="00C81350">
        <w:t>However, c</w:t>
      </w:r>
      <w:r w:rsidR="00120386" w:rsidRPr="00025662">
        <w:t xml:space="preserve">ases describing neuropathy related to vitamin B6 supplementation </w:t>
      </w:r>
      <w:r w:rsidR="00120386">
        <w:t>were</w:t>
      </w:r>
      <w:r w:rsidR="00120386" w:rsidRPr="00025662">
        <w:t xml:space="preserve"> still reported </w:t>
      </w:r>
      <w:r w:rsidR="00120386">
        <w:t>in the Netherlands in 2023.</w:t>
      </w:r>
    </w:p>
    <w:p w14:paraId="498CCFC4" w14:textId="2643A61E" w:rsidR="005616E9" w:rsidRPr="00D2670E" w:rsidRDefault="00443BD2" w:rsidP="001967A9">
      <w:pPr>
        <w:rPr>
          <w:b/>
          <w:bCs/>
          <w:i/>
          <w:iCs/>
        </w:rPr>
      </w:pPr>
      <w:r w:rsidRPr="00D2670E">
        <w:rPr>
          <w:b/>
          <w:bCs/>
          <w:i/>
          <w:iCs/>
        </w:rPr>
        <w:t>Recommendations for o</w:t>
      </w:r>
      <w:r w:rsidR="005616E9" w:rsidRPr="00D2670E">
        <w:rPr>
          <w:b/>
          <w:bCs/>
          <w:i/>
          <w:iCs/>
        </w:rPr>
        <w:t>ther action</w:t>
      </w:r>
      <w:r w:rsidR="00567D4B">
        <w:rPr>
          <w:b/>
          <w:bCs/>
          <w:i/>
          <w:iCs/>
        </w:rPr>
        <w:t>s to complement the Interim Decision</w:t>
      </w:r>
    </w:p>
    <w:p w14:paraId="1887AC42" w14:textId="70E12FF9" w:rsidR="001150CC" w:rsidRDefault="00BD6934" w:rsidP="004E7E1F">
      <w:pPr>
        <w:rPr>
          <w:rFonts w:eastAsia="Cambria" w:cs="Arial"/>
        </w:rPr>
      </w:pPr>
      <w:r>
        <w:rPr>
          <w:rFonts w:eastAsia="Cambria" w:cs="Arial"/>
        </w:rPr>
        <w:t xml:space="preserve">Scheduling is </w:t>
      </w:r>
      <w:r w:rsidR="006E640C">
        <w:rPr>
          <w:rFonts w:eastAsia="Cambria" w:cs="Arial"/>
        </w:rPr>
        <w:t xml:space="preserve">only </w:t>
      </w:r>
      <w:r>
        <w:rPr>
          <w:rFonts w:eastAsia="Cambria" w:cs="Arial"/>
        </w:rPr>
        <w:t xml:space="preserve">one part of the regulatory framework </w:t>
      </w:r>
      <w:r w:rsidR="001150CC">
        <w:rPr>
          <w:rFonts w:eastAsia="Cambria" w:cs="Arial"/>
        </w:rPr>
        <w:t xml:space="preserve">for </w:t>
      </w:r>
      <w:r>
        <w:rPr>
          <w:rFonts w:eastAsia="Cambria" w:cs="Arial"/>
        </w:rPr>
        <w:t xml:space="preserve">managing risks </w:t>
      </w:r>
      <w:r w:rsidR="001150CC">
        <w:rPr>
          <w:rFonts w:eastAsia="Cambria" w:cs="Arial"/>
        </w:rPr>
        <w:t>from the use of medicines.</w:t>
      </w:r>
      <w:r w:rsidR="00F75F73">
        <w:rPr>
          <w:rFonts w:eastAsia="Cambria" w:cs="Arial"/>
        </w:rPr>
        <w:t xml:space="preserve"> The scheduling for pyridoxine, pyridoxal and pyridoxamine intersects with other </w:t>
      </w:r>
      <w:r w:rsidR="00661CB0">
        <w:rPr>
          <w:rFonts w:eastAsia="Cambria" w:cs="Arial"/>
        </w:rPr>
        <w:t>regulatory controls which should be reviewed in consideration of this Interim Decision.</w:t>
      </w:r>
    </w:p>
    <w:p w14:paraId="608BD9C9" w14:textId="07A7DF56" w:rsidR="004E7E1F" w:rsidRPr="00D4124F" w:rsidRDefault="00ED6E1D" w:rsidP="004E7E1F">
      <w:pPr>
        <w:rPr>
          <w:rFonts w:eastAsia="Cambria" w:cs="Arial"/>
        </w:rPr>
      </w:pPr>
      <w:r>
        <w:rPr>
          <w:rFonts w:eastAsia="Cambria" w:cs="Arial"/>
        </w:rPr>
        <w:t>Following the</w:t>
      </w:r>
      <w:r w:rsidR="005E6600">
        <w:rPr>
          <w:rFonts w:eastAsia="Cambria" w:cs="Arial"/>
        </w:rPr>
        <w:t xml:space="preserve"> p</w:t>
      </w:r>
      <w:r w:rsidR="006F28E0">
        <w:rPr>
          <w:rFonts w:eastAsia="Cambria" w:cs="Arial"/>
        </w:rPr>
        <w:t>ublic consultation on this</w:t>
      </w:r>
      <w:r w:rsidR="005E6600">
        <w:rPr>
          <w:rFonts w:eastAsia="Cambria" w:cs="Arial"/>
        </w:rPr>
        <w:t xml:space="preserve"> Interim Decision and </w:t>
      </w:r>
      <w:r>
        <w:rPr>
          <w:rFonts w:eastAsia="Cambria" w:cs="Arial"/>
        </w:rPr>
        <w:t xml:space="preserve">depending on the </w:t>
      </w:r>
      <w:r w:rsidR="005E6600">
        <w:rPr>
          <w:rFonts w:eastAsia="Cambria" w:cs="Arial"/>
        </w:rPr>
        <w:t>Final Decision</w:t>
      </w:r>
      <w:r w:rsidR="006F28E0">
        <w:rPr>
          <w:rFonts w:eastAsia="Cambria" w:cs="Arial"/>
        </w:rPr>
        <w:t>,</w:t>
      </w:r>
      <w:r w:rsidR="005E6600">
        <w:rPr>
          <w:rFonts w:eastAsia="Cambria" w:cs="Arial"/>
        </w:rPr>
        <w:t xml:space="preserve"> </w:t>
      </w:r>
      <w:r w:rsidR="004E7E1F">
        <w:rPr>
          <w:rFonts w:eastAsia="Cambria" w:cs="Arial"/>
        </w:rPr>
        <w:t>I recommend that the Delegate</w:t>
      </w:r>
      <w:r w:rsidR="007464E5">
        <w:rPr>
          <w:rFonts w:eastAsia="Cambria" w:cs="Arial"/>
        </w:rPr>
        <w:t>s</w:t>
      </w:r>
      <w:r w:rsidR="004E7E1F">
        <w:rPr>
          <w:rFonts w:eastAsia="Cambria" w:cs="Arial"/>
        </w:rPr>
        <w:t xml:space="preserve"> responsible for the </w:t>
      </w:r>
      <w:hyperlink r:id="rId24" w:tgtFrame="_blank" w:history="1">
        <w:r w:rsidR="000304AC">
          <w:rPr>
            <w:rFonts w:cs="Arial"/>
            <w:color w:val="0000FF"/>
            <w:u w:val="single"/>
            <w:lang w:eastAsia="en-AU"/>
          </w:rPr>
          <w:t>Therapeutic Goods (Permissible Ingredients) Determination (No. 2) 2025</w:t>
        </w:r>
      </w:hyperlink>
      <w:r w:rsidR="004E7E1F">
        <w:rPr>
          <w:rFonts w:eastAsia="Cambria" w:cs="Arial"/>
        </w:rPr>
        <w:t xml:space="preserve"> </w:t>
      </w:r>
      <w:r w:rsidR="007464E5">
        <w:rPr>
          <w:rFonts w:eastAsia="Cambria" w:cs="Arial"/>
        </w:rPr>
        <w:t xml:space="preserve">and the </w:t>
      </w:r>
      <w:hyperlink r:id="rId25" w:history="1">
        <w:r w:rsidR="007464E5" w:rsidRPr="00557867">
          <w:rPr>
            <w:rStyle w:val="Hyperlink"/>
          </w:rPr>
          <w:t>Therapeutic Goods (Medicines Advisory Statements) Specification 2021</w:t>
        </w:r>
      </w:hyperlink>
      <w:r w:rsidR="007464E5">
        <w:t xml:space="preserve"> </w:t>
      </w:r>
      <w:r w:rsidR="004E7E1F">
        <w:rPr>
          <w:rFonts w:eastAsia="Cambria" w:cs="Arial"/>
        </w:rPr>
        <w:t>review the appropriateness of the pyridoxine, pyridoxal and pyridoxamine entries</w:t>
      </w:r>
      <w:r w:rsidR="005B0011">
        <w:rPr>
          <w:rFonts w:eastAsia="Cambria" w:cs="Arial"/>
        </w:rPr>
        <w:t xml:space="preserve"> to address conflicting requirements</w:t>
      </w:r>
      <w:r w:rsidR="00BA6E6A">
        <w:rPr>
          <w:rFonts w:eastAsia="Cambria" w:cs="Arial"/>
        </w:rPr>
        <w:t>.</w:t>
      </w:r>
    </w:p>
    <w:p w14:paraId="7E452595" w14:textId="383E1389" w:rsidR="00764F4C" w:rsidRDefault="005658F0" w:rsidP="001967A9">
      <w:r>
        <w:t>Currently, the</w:t>
      </w:r>
      <w:r w:rsidR="001A6F3A">
        <w:t xml:space="preserve"> </w:t>
      </w:r>
      <w:r w:rsidR="00766C12">
        <w:rPr>
          <w:rFonts w:eastAsia="Cambria" w:cs="Arial"/>
        </w:rPr>
        <w:t>Permissible Ingredient Determination</w:t>
      </w:r>
      <w:r w:rsidR="00766C12">
        <w:t xml:space="preserve"> </w:t>
      </w:r>
      <w:r>
        <w:t xml:space="preserve">allows </w:t>
      </w:r>
      <w:r w:rsidR="00567C0F">
        <w:t xml:space="preserve">up to </w:t>
      </w:r>
      <w:r w:rsidR="00567C0F" w:rsidRPr="00567C0F">
        <w:t xml:space="preserve">100 mg of pyridoxine </w:t>
      </w:r>
      <w:r w:rsidR="00AC43AE">
        <w:t xml:space="preserve">per RDD </w:t>
      </w:r>
      <w:r w:rsidR="00B859C4">
        <w:t xml:space="preserve">in listed medicines </w:t>
      </w:r>
      <w:r w:rsidR="00567C0F" w:rsidRPr="00567C0F">
        <w:t>for individuals aged 19 years and older</w:t>
      </w:r>
      <w:r w:rsidR="00FD08B0">
        <w:t xml:space="preserve">. </w:t>
      </w:r>
      <w:r w:rsidR="00764F4C">
        <w:t>Products which contain</w:t>
      </w:r>
      <w:r w:rsidR="001007F7">
        <w:t xml:space="preserve"> pyridoxine between 100 and 200 mg </w:t>
      </w:r>
      <w:r w:rsidR="00764F4C">
        <w:t xml:space="preserve">are considered </w:t>
      </w:r>
      <w:r w:rsidR="006E640C">
        <w:t xml:space="preserve">registered </w:t>
      </w:r>
      <w:r w:rsidR="00764F4C">
        <w:t>complementary medicines</w:t>
      </w:r>
      <w:r w:rsidR="00AC43AE">
        <w:t>.</w:t>
      </w:r>
    </w:p>
    <w:p w14:paraId="6C859FCA" w14:textId="65DC7A62" w:rsidR="00201A73" w:rsidRDefault="000D0364" w:rsidP="001967A9">
      <w:r>
        <w:rPr>
          <w:rFonts w:eastAsia="Cambria" w:cs="Arial"/>
        </w:rPr>
        <w:t xml:space="preserve">If this </w:t>
      </w:r>
      <w:r w:rsidR="00C80F09">
        <w:rPr>
          <w:rFonts w:eastAsia="Cambria" w:cs="Arial"/>
        </w:rPr>
        <w:t>Interim De</w:t>
      </w:r>
      <w:r>
        <w:rPr>
          <w:rFonts w:eastAsia="Cambria" w:cs="Arial"/>
        </w:rPr>
        <w:t>cis</w:t>
      </w:r>
      <w:r w:rsidR="00C80F09">
        <w:rPr>
          <w:rFonts w:eastAsia="Cambria" w:cs="Arial"/>
        </w:rPr>
        <w:t xml:space="preserve">ion is made </w:t>
      </w:r>
      <w:r w:rsidR="006E640C">
        <w:rPr>
          <w:rFonts w:eastAsia="Cambria" w:cs="Arial"/>
        </w:rPr>
        <w:t>final</w:t>
      </w:r>
      <w:r w:rsidR="00C80F09">
        <w:rPr>
          <w:rFonts w:eastAsia="Cambria" w:cs="Arial"/>
        </w:rPr>
        <w:t xml:space="preserve">, </w:t>
      </w:r>
      <w:r w:rsidR="00F55A92">
        <w:rPr>
          <w:rFonts w:eastAsia="Cambria" w:cs="Arial"/>
        </w:rPr>
        <w:t xml:space="preserve">I recommend </w:t>
      </w:r>
      <w:r w:rsidR="003C325C">
        <w:rPr>
          <w:rFonts w:eastAsia="Cambria" w:cs="Arial"/>
        </w:rPr>
        <w:t xml:space="preserve">that </w:t>
      </w:r>
      <w:r w:rsidR="00F70A39">
        <w:rPr>
          <w:rFonts w:eastAsia="Cambria" w:cs="Arial"/>
        </w:rPr>
        <w:t>the</w:t>
      </w:r>
      <w:r w:rsidR="00420328">
        <w:rPr>
          <w:rFonts w:eastAsia="Cambria" w:cs="Arial"/>
        </w:rPr>
        <w:t xml:space="preserve">se instruments </w:t>
      </w:r>
      <w:r w:rsidR="00F22EA2">
        <w:rPr>
          <w:rFonts w:eastAsia="Cambria" w:cs="Arial"/>
        </w:rPr>
        <w:t xml:space="preserve">be reviewed </w:t>
      </w:r>
      <w:r w:rsidR="008207A3">
        <w:rPr>
          <w:rFonts w:eastAsia="Cambria" w:cs="Arial"/>
        </w:rPr>
        <w:t>to:</w:t>
      </w:r>
    </w:p>
    <w:p w14:paraId="4EFFD366" w14:textId="372F9077" w:rsidR="008E62E9" w:rsidRDefault="00222365" w:rsidP="003474E9">
      <w:pPr>
        <w:pStyle w:val="ListParagraph"/>
      </w:pPr>
      <w:r>
        <w:t>r</w:t>
      </w:r>
      <w:r w:rsidR="003E7391">
        <w:t xml:space="preserve">equire all forms </w:t>
      </w:r>
      <w:r w:rsidR="00C44BC2">
        <w:t xml:space="preserve">to include </w:t>
      </w:r>
      <w:r w:rsidR="004E25AC">
        <w:t>the term</w:t>
      </w:r>
      <w:r w:rsidR="008E62E9">
        <w:t xml:space="preserve"> vitamin B6</w:t>
      </w:r>
      <w:r w:rsidR="00FA06CA">
        <w:t xml:space="preserve"> in the ingredient list</w:t>
      </w:r>
      <w:r w:rsidR="00B7251F">
        <w:t>;</w:t>
      </w:r>
      <w:r w:rsidR="00D754B6">
        <w:t xml:space="preserve"> for example</w:t>
      </w:r>
      <w:r w:rsidR="004A0AB5">
        <w:t>,</w:t>
      </w:r>
      <w:r w:rsidR="00D754B6">
        <w:t xml:space="preserve"> </w:t>
      </w:r>
      <w:r w:rsidR="004A0AB5">
        <w:t>vi</w:t>
      </w:r>
      <w:r w:rsidR="00D754B6">
        <w:t>tamin B6 (pyridoxine hydrochlo</w:t>
      </w:r>
      <w:r w:rsidR="00B7251F">
        <w:t>ride)</w:t>
      </w:r>
      <w:r w:rsidR="005A140B">
        <w:t>.</w:t>
      </w:r>
      <w:r w:rsidR="00F24561">
        <w:rPr>
          <w:rStyle w:val="FootnoteReference"/>
          <w:rFonts w:cs="Arial"/>
        </w:rPr>
        <w:footnoteReference w:id="46"/>
      </w:r>
    </w:p>
    <w:p w14:paraId="389F55A8" w14:textId="77777777" w:rsidR="005279DD" w:rsidRDefault="00222365" w:rsidP="003A6B4E">
      <w:pPr>
        <w:pStyle w:val="ListParagraph"/>
      </w:pPr>
      <w:r>
        <w:t>c</w:t>
      </w:r>
      <w:r w:rsidR="00790866">
        <w:t xml:space="preserve">onsider whether ingredient labels should also </w:t>
      </w:r>
      <w:r w:rsidR="003A6B4E">
        <w:t xml:space="preserve">express the </w:t>
      </w:r>
      <w:r w:rsidR="008E6F30">
        <w:t xml:space="preserve">amount </w:t>
      </w:r>
      <w:r w:rsidR="00025360">
        <w:t>of vitamin B6</w:t>
      </w:r>
      <w:r w:rsidR="008E6F30">
        <w:t xml:space="preserve"> present </w:t>
      </w:r>
      <w:r w:rsidR="00025360">
        <w:t>(</w:t>
      </w:r>
      <w:r w:rsidR="00742421">
        <w:t>in pyridoxine equivalents</w:t>
      </w:r>
      <w:r w:rsidR="00025360">
        <w:t>)</w:t>
      </w:r>
      <w:r w:rsidR="00877691">
        <w:t xml:space="preserve"> and provide the total amount of vitamin B6 </w:t>
      </w:r>
      <w:r w:rsidR="000800CA">
        <w:t>in the case of medicines containing more than one vitam</w:t>
      </w:r>
      <w:r w:rsidR="004B0F6F">
        <w:t>in</w:t>
      </w:r>
    </w:p>
    <w:p w14:paraId="4C8F00AD" w14:textId="1E4EC992" w:rsidR="003A6B4E" w:rsidRDefault="005279DD" w:rsidP="003A6B4E">
      <w:pPr>
        <w:pStyle w:val="ListParagraph"/>
      </w:pPr>
      <w:r>
        <w:t xml:space="preserve">consider a </w:t>
      </w:r>
      <w:r w:rsidR="0008074C">
        <w:t>limit on the duration of use</w:t>
      </w:r>
    </w:p>
    <w:p w14:paraId="432A96BF" w14:textId="67867A8D" w:rsidR="008F5D0F" w:rsidRDefault="00D22806" w:rsidP="003474E9">
      <w:pPr>
        <w:pStyle w:val="ListParagraph"/>
      </w:pPr>
      <w:r>
        <w:t>s</w:t>
      </w:r>
      <w:r w:rsidR="00C125E3">
        <w:t>implify</w:t>
      </w:r>
      <w:r w:rsidR="008207A3">
        <w:t xml:space="preserve"> </w:t>
      </w:r>
      <w:r w:rsidR="00C125E3">
        <w:t>and s</w:t>
      </w:r>
      <w:r w:rsidR="00145624">
        <w:t>tre</w:t>
      </w:r>
      <w:r w:rsidR="00C125E3">
        <w:t>ngth</w:t>
      </w:r>
      <w:r>
        <w:t xml:space="preserve">en </w:t>
      </w:r>
      <w:r w:rsidR="00C125E3">
        <w:t xml:space="preserve">the </w:t>
      </w:r>
      <w:proofErr w:type="gramStart"/>
      <w:r w:rsidR="00627CEF">
        <w:t>warnings</w:t>
      </w:r>
      <w:r w:rsidR="004A0AB5">
        <w:t>;</w:t>
      </w:r>
      <w:proofErr w:type="gramEnd"/>
      <w:r w:rsidR="00664961">
        <w:t xml:space="preserve"> for example</w:t>
      </w:r>
      <w:r w:rsidR="004A0AB5">
        <w:t>,</w:t>
      </w:r>
    </w:p>
    <w:p w14:paraId="2C796E3A" w14:textId="4ED3BCDC" w:rsidR="00622CA5" w:rsidRDefault="005A140B" w:rsidP="008F5D0F">
      <w:pPr>
        <w:pStyle w:val="ListParagraph"/>
        <w:numPr>
          <w:ilvl w:val="1"/>
          <w:numId w:val="16"/>
        </w:numPr>
      </w:pPr>
      <w:r>
        <w:t xml:space="preserve">Excess </w:t>
      </w:r>
      <w:r w:rsidR="00664961">
        <w:t>consum</w:t>
      </w:r>
      <w:r w:rsidR="00F140A3">
        <w:t>p</w:t>
      </w:r>
      <w:r w:rsidR="00664961">
        <w:t>tion of vitamin B</w:t>
      </w:r>
      <w:r w:rsidR="00102998">
        <w:t>6</w:t>
      </w:r>
      <w:r w:rsidR="00664961">
        <w:t xml:space="preserve"> can </w:t>
      </w:r>
      <w:r w:rsidR="00C140DD">
        <w:t>c</w:t>
      </w:r>
      <w:r w:rsidR="00102998">
        <w:t>ause nerve damage</w:t>
      </w:r>
      <w:r w:rsidR="008F5D0F">
        <w:t>. Stop use and see a doctor if you experience tingling, burning or numbness</w:t>
      </w:r>
      <w:r w:rsidR="006E640C">
        <w:t>.</w:t>
      </w:r>
      <w:r w:rsidR="00622CA5">
        <w:t xml:space="preserve"> OR</w:t>
      </w:r>
    </w:p>
    <w:p w14:paraId="0624AAAD" w14:textId="4E574235" w:rsidR="00A036DD" w:rsidRDefault="00622CA5" w:rsidP="00D4124F">
      <w:pPr>
        <w:pStyle w:val="ListParagraph"/>
        <w:numPr>
          <w:ilvl w:val="1"/>
          <w:numId w:val="16"/>
        </w:numPr>
      </w:pPr>
      <w:r>
        <w:t>Stop use and see a doctor if you experience tingling, burning or numbness [contains vitamin B6</w:t>
      </w:r>
      <w:r w:rsidR="00216660">
        <w:t>]</w:t>
      </w:r>
      <w:r w:rsidR="005A140B">
        <w:t>.</w:t>
      </w:r>
    </w:p>
    <w:p w14:paraId="61C94A63" w14:textId="121751AF" w:rsidR="00F24561" w:rsidRDefault="006E640C" w:rsidP="00F24561">
      <w:pPr>
        <w:pStyle w:val="ListParagraph"/>
      </w:pPr>
      <w:r>
        <w:t xml:space="preserve">consider </w:t>
      </w:r>
      <w:r w:rsidR="00F24561">
        <w:t>the whether the required statements for pyridoxine and pyridoxal in single and multi-ingredient preparations should be aligned.</w:t>
      </w:r>
    </w:p>
    <w:p w14:paraId="37C1FA02" w14:textId="0F7A727A" w:rsidR="009610AA" w:rsidRDefault="009610AA" w:rsidP="003474E9">
      <w:pPr>
        <w:pStyle w:val="ListParagraph"/>
      </w:pPr>
      <w:r>
        <w:t xml:space="preserve">consider whether the current threshold of 10 mg per RDD </w:t>
      </w:r>
      <w:r w:rsidR="0099108A">
        <w:t xml:space="preserve">for requiring warning statements </w:t>
      </w:r>
      <w:r w:rsidR="00FF44CD">
        <w:t>should be reduced to a level closer to the recommended dietary intake (e.g. 2 mg)</w:t>
      </w:r>
      <w:r w:rsidR="0028466E">
        <w:t>.</w:t>
      </w:r>
    </w:p>
    <w:p w14:paraId="3C77656B" w14:textId="0104D590" w:rsidR="00115D0F" w:rsidRDefault="00115D0F" w:rsidP="00115D0F">
      <w:proofErr w:type="gramStart"/>
      <w:r>
        <w:t>The majority of</w:t>
      </w:r>
      <w:proofErr w:type="gramEnd"/>
      <w:r>
        <w:t xml:space="preserve"> consumers who use complementary medicines perceive these medicines to be safe and effective.</w:t>
      </w:r>
      <w:r w:rsidR="005E5933" w:rsidRPr="005E5933">
        <w:rPr>
          <w:vertAlign w:val="superscript"/>
        </w:rPr>
        <w:t>35</w:t>
      </w:r>
      <w:r>
        <w:t xml:space="preserve"> </w:t>
      </w:r>
      <w:r w:rsidR="009B2F4C">
        <w:t>However, e</w:t>
      </w:r>
      <w:r w:rsidR="005D524B" w:rsidRPr="005D524B">
        <w:t xml:space="preserve">ach individual medicine and its formulation is not assessed by the TGA. Instead, listed medicines can only use ingredients that </w:t>
      </w:r>
      <w:r w:rsidR="00560477">
        <w:t xml:space="preserve">the TGA </w:t>
      </w:r>
      <w:r w:rsidR="005D524B" w:rsidRPr="005D524B">
        <w:t>ha</w:t>
      </w:r>
      <w:r w:rsidR="00560477">
        <w:t>s</w:t>
      </w:r>
      <w:r w:rsidR="005D524B" w:rsidRPr="005D524B">
        <w:t xml:space="preserve"> assessed </w:t>
      </w:r>
      <w:r w:rsidR="00A37201">
        <w:t xml:space="preserve">for </w:t>
      </w:r>
      <w:r w:rsidR="00560477">
        <w:t>safety and quality</w:t>
      </w:r>
      <w:r>
        <w:t>.</w:t>
      </w:r>
    </w:p>
    <w:p w14:paraId="11B7306C" w14:textId="73905D60" w:rsidR="00084C6A" w:rsidRDefault="00FB6885" w:rsidP="002A5DE1">
      <w:r>
        <w:t>Due to</w:t>
      </w:r>
      <w:r w:rsidR="006F23CF">
        <w:t xml:space="preserve"> consumer </w:t>
      </w:r>
      <w:r w:rsidR="000B77A7">
        <w:t xml:space="preserve">behaviour which </w:t>
      </w:r>
      <w:r w:rsidR="00972634">
        <w:t xml:space="preserve">is weighted toward a positive </w:t>
      </w:r>
      <w:r w:rsidR="006F23CF">
        <w:t xml:space="preserve">perception of </w:t>
      </w:r>
      <w:r w:rsidR="0025542D">
        <w:t xml:space="preserve">the </w:t>
      </w:r>
      <w:r w:rsidR="006F23CF">
        <w:t xml:space="preserve">benefits </w:t>
      </w:r>
      <w:r w:rsidR="00A03371">
        <w:t xml:space="preserve">of </w:t>
      </w:r>
      <w:r w:rsidR="001547DA">
        <w:t>complementary medicines</w:t>
      </w:r>
      <w:r w:rsidR="00972634">
        <w:t xml:space="preserve"> compared with the potential risks and </w:t>
      </w:r>
      <w:r w:rsidR="00A03371">
        <w:t>importance</w:t>
      </w:r>
      <w:r w:rsidR="00972634">
        <w:t xml:space="preserve"> of </w:t>
      </w:r>
      <w:r w:rsidR="00A03371">
        <w:t xml:space="preserve">instruction and </w:t>
      </w:r>
      <w:r w:rsidR="00972634">
        <w:t>warning labels</w:t>
      </w:r>
      <w:r w:rsidR="001547DA">
        <w:t xml:space="preserve">, I </w:t>
      </w:r>
      <w:r w:rsidR="00F24561">
        <w:t>support the Committee’s</w:t>
      </w:r>
      <w:r w:rsidR="001547DA">
        <w:t xml:space="preserve"> recommend </w:t>
      </w:r>
      <w:r w:rsidR="006F2BAF">
        <w:t xml:space="preserve">of </w:t>
      </w:r>
      <w:r w:rsidR="001547DA">
        <w:t xml:space="preserve">an education campaign to raise consumer knowledge </w:t>
      </w:r>
      <w:r w:rsidR="001547DA">
        <w:lastRenderedPageBreak/>
        <w:t xml:space="preserve">and awareness </w:t>
      </w:r>
      <w:r w:rsidR="00DD4EE1">
        <w:t>of the risks from overuse of vitamin B6.</w:t>
      </w:r>
      <w:r w:rsidR="006F21D7">
        <w:t xml:space="preserve"> </w:t>
      </w:r>
      <w:r w:rsidR="00F24561">
        <w:t xml:space="preserve">However, large-scale education campaigns </w:t>
      </w:r>
      <w:r w:rsidR="006F2BAF">
        <w:t>are</w:t>
      </w:r>
      <w:r w:rsidR="00F24561">
        <w:t xml:space="preserve"> outside the purview of scheduling. I note that the TGA recently </w:t>
      </w:r>
      <w:r w:rsidR="006F2BAF">
        <w:t xml:space="preserve">ran a public awareness campaign </w:t>
      </w:r>
      <w:r w:rsidR="00F24561">
        <w:t xml:space="preserve">on understanding complementary medicines, </w:t>
      </w:r>
      <w:r w:rsidR="006F2BAF" w:rsidRPr="006F2BAF">
        <w:t>educat</w:t>
      </w:r>
      <w:r w:rsidR="006F2BAF">
        <w:t>ing</w:t>
      </w:r>
      <w:r w:rsidR="006F2BAF" w:rsidRPr="006F2BAF">
        <w:t xml:space="preserve"> consumers on how complementary medicines might interact with other medicines</w:t>
      </w:r>
      <w:r w:rsidR="006F2BAF">
        <w:t xml:space="preserve"> </w:t>
      </w:r>
      <w:r w:rsidR="00F24561">
        <w:t>(</w:t>
      </w:r>
      <w:hyperlink r:id="rId26" w:history="1">
        <w:r w:rsidR="00F24561">
          <w:rPr>
            <w:rStyle w:val="Hyperlink"/>
          </w:rPr>
          <w:t>www.tga.gov.au/news/blog/understanding-complementary-medicines</w:t>
        </w:r>
      </w:hyperlink>
      <w:r w:rsidR="00F24561">
        <w:t xml:space="preserve">). </w:t>
      </w:r>
      <w:r w:rsidR="00084C6A">
        <w:t xml:space="preserve">I </w:t>
      </w:r>
      <w:r w:rsidR="00F24561">
        <w:t xml:space="preserve">also </w:t>
      </w:r>
      <w:r w:rsidR="00084C6A">
        <w:t xml:space="preserve">note that </w:t>
      </w:r>
      <w:r w:rsidR="000A7373">
        <w:t xml:space="preserve">the NPS </w:t>
      </w:r>
      <w:proofErr w:type="spellStart"/>
      <w:r w:rsidR="000A7373">
        <w:t>Medicinewise</w:t>
      </w:r>
      <w:proofErr w:type="spellEnd"/>
      <w:r w:rsidR="000A7373">
        <w:t xml:space="preserve"> website (</w:t>
      </w:r>
      <w:hyperlink r:id="rId27" w:history="1">
        <w:r w:rsidR="000A7373" w:rsidRPr="00CD3C4C">
          <w:rPr>
            <w:rStyle w:val="Hyperlink"/>
          </w:rPr>
          <w:t>www.nps.org.au</w:t>
        </w:r>
      </w:hyperlink>
      <w:r w:rsidR="000A7373">
        <w:t>), which contains</w:t>
      </w:r>
      <w:r w:rsidR="002B2E42">
        <w:t xml:space="preserve"> </w:t>
      </w:r>
      <w:r w:rsidR="00123FA9">
        <w:t xml:space="preserve">limited </w:t>
      </w:r>
      <w:hyperlink r:id="rId28" w:history="1">
        <w:r w:rsidR="00123FA9" w:rsidRPr="00ED7C0B">
          <w:rPr>
            <w:rStyle w:val="Hyperlink"/>
          </w:rPr>
          <w:t>consumer information</w:t>
        </w:r>
      </w:hyperlink>
      <w:r w:rsidR="00123FA9">
        <w:t xml:space="preserve"> on the </w:t>
      </w:r>
      <w:r w:rsidR="00DD6E7C">
        <w:t xml:space="preserve">safe use of complementary medicines </w:t>
      </w:r>
      <w:r w:rsidR="00ED7C0B">
        <w:t xml:space="preserve">is currently under review by the </w:t>
      </w:r>
      <w:r w:rsidR="00ED7C0B" w:rsidRPr="00ED7C0B">
        <w:t>Australian Commission on Safety and Quality in Health Care</w:t>
      </w:r>
      <w:r w:rsidR="00ED7C0B">
        <w:t>.</w:t>
      </w:r>
    </w:p>
    <w:p w14:paraId="585545DA" w14:textId="07C3BADB" w:rsidR="006F23CF" w:rsidRDefault="006F21D7" w:rsidP="002A5DE1">
      <w:r>
        <w:t xml:space="preserve">I strongly encourage </w:t>
      </w:r>
      <w:r w:rsidR="00C200CC">
        <w:t xml:space="preserve">the complementary </w:t>
      </w:r>
      <w:r w:rsidR="00652209">
        <w:t xml:space="preserve">and alternative medicines </w:t>
      </w:r>
      <w:r w:rsidR="00C200CC">
        <w:t>industry</w:t>
      </w:r>
      <w:r w:rsidR="00111F43">
        <w:t>,</w:t>
      </w:r>
      <w:r w:rsidR="00C200CC">
        <w:t xml:space="preserve"> </w:t>
      </w:r>
      <w:r w:rsidR="008646ED">
        <w:t>particularly</w:t>
      </w:r>
      <w:r w:rsidR="00E24846">
        <w:t xml:space="preserve"> </w:t>
      </w:r>
      <w:r>
        <w:t xml:space="preserve">the sponsors of vitamin B6 </w:t>
      </w:r>
      <w:r w:rsidR="00E24846">
        <w:t>medicines</w:t>
      </w:r>
      <w:r w:rsidR="00111F43">
        <w:t>,</w:t>
      </w:r>
      <w:r w:rsidR="00E24846">
        <w:t xml:space="preserve"> </w:t>
      </w:r>
      <w:r w:rsidRPr="00D2670E">
        <w:t xml:space="preserve">to </w:t>
      </w:r>
      <w:r w:rsidR="00CC71BB" w:rsidRPr="00D2670E">
        <w:t xml:space="preserve">initiate </w:t>
      </w:r>
      <w:r w:rsidR="000150DC" w:rsidRPr="00D2670E">
        <w:t>and</w:t>
      </w:r>
      <w:r w:rsidR="00CC71BB" w:rsidRPr="00D2670E">
        <w:t xml:space="preserve"> support</w:t>
      </w:r>
      <w:r w:rsidR="00CC71BB">
        <w:t xml:space="preserve"> such</w:t>
      </w:r>
      <w:r w:rsidR="00E24846">
        <w:t xml:space="preserve"> educational activities.</w:t>
      </w:r>
    </w:p>
    <w:p w14:paraId="56313AC9" w14:textId="7D68FD70" w:rsidR="00A154F4" w:rsidRDefault="00A154F4" w:rsidP="002A5DE1">
      <w:r>
        <w:t xml:space="preserve">I also </w:t>
      </w:r>
      <w:r w:rsidR="00F24561">
        <w:t>suggest</w:t>
      </w:r>
      <w:r>
        <w:t xml:space="preserve"> that FSANZ consider the appropriateness of the 10 mg </w:t>
      </w:r>
      <w:r w:rsidR="00AC623E">
        <w:t xml:space="preserve">limit for vitamin B6 in formulated caffeinated beverages </w:t>
      </w:r>
      <w:r w:rsidR="00F57F8A">
        <w:t xml:space="preserve">(colloquially </w:t>
      </w:r>
      <w:r w:rsidR="00CF7903">
        <w:t>known</w:t>
      </w:r>
      <w:r w:rsidR="00F57F8A">
        <w:t xml:space="preserve"> as energy drinks) </w:t>
      </w:r>
      <w:r w:rsidR="00AC623E">
        <w:t xml:space="preserve">considering the risks from </w:t>
      </w:r>
      <w:r w:rsidR="00E17B78">
        <w:t>the use of multiple products containing vitamin B6.</w:t>
      </w:r>
    </w:p>
    <w:p w14:paraId="4B7E5B0D" w14:textId="199604CE" w:rsidR="008F7070" w:rsidRPr="008646ED" w:rsidRDefault="008F7070" w:rsidP="002A5DE1">
      <w:pPr>
        <w:rPr>
          <w:b/>
          <w:i/>
        </w:rPr>
      </w:pPr>
      <w:r w:rsidRPr="008646ED">
        <w:rPr>
          <w:b/>
          <w:i/>
        </w:rPr>
        <w:t>Implementation considerations</w:t>
      </w:r>
    </w:p>
    <w:p w14:paraId="6CA00416" w14:textId="1B4129ED" w:rsidR="00CA6B28" w:rsidRDefault="003A7484" w:rsidP="002A5DE1">
      <w:bookmarkStart w:id="12" w:name="_Hlk201573273"/>
      <w:r>
        <w:t>T</w:t>
      </w:r>
      <w:r w:rsidR="00773C7E">
        <w:t xml:space="preserve">he scheduling changes will impact </w:t>
      </w:r>
      <w:r w:rsidR="0095526A">
        <w:t>more than 100</w:t>
      </w:r>
      <w:r w:rsidR="007C49F5" w:rsidDel="0008600F">
        <w:t xml:space="preserve"> </w:t>
      </w:r>
      <w:r w:rsidR="0008600F">
        <w:t xml:space="preserve">preparations </w:t>
      </w:r>
      <w:r w:rsidR="007C49F5">
        <w:t>currently listed in the ARTG</w:t>
      </w:r>
      <w:r w:rsidR="0065251E">
        <w:t xml:space="preserve"> that provide more than 50 mg per RDD</w:t>
      </w:r>
      <w:r w:rsidR="00787C35">
        <w:t xml:space="preserve"> of vitamin B6 </w:t>
      </w:r>
      <w:r w:rsidR="00787C35" w:rsidRPr="00787C35">
        <w:t xml:space="preserve">(excludes medicines containing vitamin B6 </w:t>
      </w:r>
      <w:r w:rsidR="00787C35">
        <w:t xml:space="preserve">in combination </w:t>
      </w:r>
      <w:r w:rsidR="00787C35" w:rsidRPr="00787C35">
        <w:t>with other active ingredients</w:t>
      </w:r>
      <w:r w:rsidR="009E07D0">
        <w:t xml:space="preserve"> such as multivitamins</w:t>
      </w:r>
      <w:r w:rsidR="00787C35" w:rsidRPr="00787C35">
        <w:t>)</w:t>
      </w:r>
      <w:r w:rsidR="00031F3B">
        <w:t xml:space="preserve"> </w:t>
      </w:r>
      <w:r w:rsidR="009E07D0">
        <w:t>which accounts for 7%</w:t>
      </w:r>
      <w:r w:rsidR="00031F3B">
        <w:t xml:space="preserve"> of the </w:t>
      </w:r>
      <w:r w:rsidR="00AF3642">
        <w:t>vitamin</w:t>
      </w:r>
      <w:r w:rsidR="00713284">
        <w:t> </w:t>
      </w:r>
      <w:r w:rsidR="00AF3642">
        <w:t xml:space="preserve">B6 </w:t>
      </w:r>
      <w:r w:rsidR="00787C35">
        <w:t xml:space="preserve">only </w:t>
      </w:r>
      <w:r w:rsidR="000C2E27">
        <w:t>preparations</w:t>
      </w:r>
      <w:r w:rsidR="00787C35">
        <w:t>.</w:t>
      </w:r>
    </w:p>
    <w:bookmarkEnd w:id="12"/>
    <w:p w14:paraId="288783AD" w14:textId="14DE3DBB" w:rsidR="00145624" w:rsidRDefault="000C2E27" w:rsidP="002A5DE1">
      <w:r>
        <w:t>Consequently, sponsors of these preparation</w:t>
      </w:r>
      <w:r w:rsidR="006E640C">
        <w:t>s</w:t>
      </w:r>
      <w:r>
        <w:t xml:space="preserve"> will need to decide whether to continue</w:t>
      </w:r>
      <w:r w:rsidR="008E4758">
        <w:t xml:space="preserve"> marketing these products, reformulate the level of </w:t>
      </w:r>
      <w:r w:rsidR="00F35519">
        <w:t xml:space="preserve">vitamin B6 </w:t>
      </w:r>
      <w:r w:rsidR="006953C0">
        <w:t xml:space="preserve">to be 50 mg or </w:t>
      </w:r>
      <w:r w:rsidR="00F35519">
        <w:t>below</w:t>
      </w:r>
      <w:r w:rsidR="008E4758">
        <w:t xml:space="preserve">, or phase them out of the market. </w:t>
      </w:r>
      <w:r w:rsidR="00F35519">
        <w:t xml:space="preserve">Any products that </w:t>
      </w:r>
      <w:r w:rsidR="003E122B">
        <w:t xml:space="preserve">continue to include vitamin B6 between 50-200 mg </w:t>
      </w:r>
      <w:r w:rsidR="0049453C">
        <w:t xml:space="preserve">will </w:t>
      </w:r>
      <w:r w:rsidR="003A7484">
        <w:t>need</w:t>
      </w:r>
      <w:r w:rsidR="0049453C">
        <w:t xml:space="preserve"> to be</w:t>
      </w:r>
      <w:r w:rsidR="00B40207">
        <w:t xml:space="preserve"> </w:t>
      </w:r>
      <w:r w:rsidR="007D1E01">
        <w:t xml:space="preserve">evaluated </w:t>
      </w:r>
      <w:r w:rsidR="00B40207">
        <w:t>as</w:t>
      </w:r>
      <w:r w:rsidR="007D1E01">
        <w:t xml:space="preserve"> a</w:t>
      </w:r>
      <w:r w:rsidR="00B40207">
        <w:t xml:space="preserve"> registered medicine</w:t>
      </w:r>
      <w:r w:rsidR="003A7484">
        <w:t xml:space="preserve">. </w:t>
      </w:r>
      <w:r w:rsidR="004D48F7">
        <w:t>S</w:t>
      </w:r>
      <w:r w:rsidR="00732A67">
        <w:t>tudies o</w:t>
      </w:r>
      <w:r w:rsidR="004D48F7">
        <w:t>n</w:t>
      </w:r>
      <w:r w:rsidR="00732A67">
        <w:t xml:space="preserve"> </w:t>
      </w:r>
      <w:r w:rsidR="004D48F7">
        <w:t xml:space="preserve">the </w:t>
      </w:r>
      <w:r w:rsidR="00732A67">
        <w:t>efficacy and r</w:t>
      </w:r>
      <w:r w:rsidR="003A7484">
        <w:t xml:space="preserve">eformulation of some </w:t>
      </w:r>
      <w:r w:rsidR="00732A67">
        <w:t>these products</w:t>
      </w:r>
      <w:r w:rsidR="007C49F5">
        <w:t xml:space="preserve"> </w:t>
      </w:r>
      <w:r w:rsidR="00732A67">
        <w:t xml:space="preserve">may also be required. </w:t>
      </w:r>
      <w:r w:rsidR="00B93868">
        <w:t>I have</w:t>
      </w:r>
      <w:r w:rsidR="00732A67">
        <w:t xml:space="preserve"> therefore</w:t>
      </w:r>
      <w:r w:rsidR="00B93868">
        <w:t xml:space="preserve"> decided on an implementation period of </w:t>
      </w:r>
      <w:r w:rsidR="00B93868" w:rsidRPr="008E5EEA">
        <w:t>18 months.</w:t>
      </w:r>
      <w:r w:rsidR="007C49F5">
        <w:t xml:space="preserve"> </w:t>
      </w:r>
      <w:r w:rsidR="009132A7">
        <w:t xml:space="preserve">This will also allow the TGA to review the other regulatory controls </w:t>
      </w:r>
      <w:r w:rsidR="008B4EC7">
        <w:t xml:space="preserve">currently in place for vitamin B6 preparations and </w:t>
      </w:r>
      <w:r w:rsidR="006E640C">
        <w:t xml:space="preserve">aim to </w:t>
      </w:r>
      <w:r w:rsidR="008B4EC7">
        <w:t xml:space="preserve">align the </w:t>
      </w:r>
      <w:r w:rsidR="0046194C">
        <w:t>timeline</w:t>
      </w:r>
      <w:r w:rsidR="006376D9">
        <w:t xml:space="preserve"> for any other changes</w:t>
      </w:r>
      <w:r w:rsidR="003E4A07">
        <w:t>.</w:t>
      </w:r>
    </w:p>
    <w:p w14:paraId="3E4D7A25" w14:textId="77777777" w:rsidR="00915A60" w:rsidRPr="00B03B68" w:rsidRDefault="00694D49" w:rsidP="00B96678">
      <w:pPr>
        <w:pStyle w:val="Heading4"/>
      </w:pPr>
      <w:bookmarkStart w:id="13" w:name="_Toc199506486"/>
      <w:r>
        <w:t>Proposed i</w:t>
      </w:r>
      <w:r w:rsidR="00915A60" w:rsidRPr="00B03B68">
        <w:t>mplementation date</w:t>
      </w:r>
      <w:bookmarkEnd w:id="13"/>
    </w:p>
    <w:p w14:paraId="4FD30E43" w14:textId="3B872BD2" w:rsidR="00ED7D4C" w:rsidRPr="003E4A07" w:rsidRDefault="00B800D3" w:rsidP="002A5DE1">
      <w:pPr>
        <w:sectPr w:rsidR="00ED7D4C" w:rsidRPr="003E4A07">
          <w:headerReference w:type="default" r:id="rId29"/>
          <w:footerReference w:type="default" r:id="rId30"/>
          <w:pgSz w:w="11906" w:h="16838" w:code="9"/>
          <w:pgMar w:top="1134" w:right="1418" w:bottom="1361" w:left="1418" w:header="573" w:footer="567" w:gutter="0"/>
          <w:cols w:space="708"/>
          <w:docGrid w:linePitch="360"/>
        </w:sectPr>
      </w:pPr>
      <w:r>
        <w:t>1 February 2027.</w:t>
      </w:r>
      <w:bookmarkEnd w:id="5"/>
      <w:bookmarkEnd w:id="6"/>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4B22A789" w14:textId="77777777">
        <w:trPr>
          <w:trHeight w:hRule="exact" w:val="565"/>
          <w:jc w:val="center"/>
        </w:trPr>
        <w:tc>
          <w:tcPr>
            <w:tcW w:w="9145" w:type="dxa"/>
          </w:tcPr>
          <w:p w14:paraId="6ED70D35" w14:textId="77777777" w:rsidR="00F02AEC" w:rsidRPr="00B03B68" w:rsidRDefault="00F02AEC" w:rsidP="000579C9">
            <w:pPr>
              <w:pStyle w:val="TGASignoff"/>
            </w:pPr>
            <w:r w:rsidRPr="00B03B68">
              <w:lastRenderedPageBreak/>
              <w:t>Therapeutic Goods Administration</w:t>
            </w:r>
          </w:p>
        </w:tc>
      </w:tr>
      <w:tr w:rsidR="00F02AEC" w:rsidRPr="00B03B68" w14:paraId="68D5BBD3" w14:textId="77777777">
        <w:trPr>
          <w:trHeight w:val="963"/>
          <w:jc w:val="center"/>
        </w:trPr>
        <w:tc>
          <w:tcPr>
            <w:tcW w:w="9145" w:type="dxa"/>
            <w:tcMar>
              <w:top w:w="28" w:type="dxa"/>
            </w:tcMar>
          </w:tcPr>
          <w:p w14:paraId="0B820139" w14:textId="77777777" w:rsidR="00F02AEC" w:rsidRPr="00B03B68" w:rsidRDefault="00F02AEC" w:rsidP="000579C9">
            <w:pPr>
              <w:pStyle w:val="Address"/>
              <w:jc w:val="center"/>
            </w:pPr>
            <w:r w:rsidRPr="00B03B68">
              <w:t>PO Box 100 Woden ACT 2606 Australia</w:t>
            </w:r>
          </w:p>
          <w:p w14:paraId="1575A201" w14:textId="77777777" w:rsidR="00F02AEC" w:rsidRPr="00B03B68" w:rsidRDefault="00F02AEC" w:rsidP="000579C9">
            <w:pPr>
              <w:jc w:val="center"/>
            </w:pPr>
            <w:r w:rsidRPr="00B03B68">
              <w:t xml:space="preserve">Email: </w:t>
            </w:r>
            <w:hyperlink r:id="rId31" w:history="1">
              <w:r w:rsidRPr="00B03B68">
                <w:rPr>
                  <w:rStyle w:val="Hyperlink"/>
                </w:rPr>
                <w:t>info@tga.gov.au</w:t>
              </w:r>
            </w:hyperlink>
            <w:r w:rsidRPr="00B03B68">
              <w:t xml:space="preserve">  Phone: 1800 020 </w:t>
            </w:r>
            <w:proofErr w:type="gramStart"/>
            <w:r w:rsidRPr="00B03B68">
              <w:t>653  Fax</w:t>
            </w:r>
            <w:proofErr w:type="gramEnd"/>
            <w:r w:rsidRPr="00B03B68">
              <w:t>: 02 6203 1605</w:t>
            </w:r>
          </w:p>
          <w:p w14:paraId="5CD4BFFA" w14:textId="77777777" w:rsidR="00F02AEC" w:rsidRPr="00B03B68" w:rsidRDefault="000579C9" w:rsidP="000579C9">
            <w:pPr>
              <w:jc w:val="center"/>
            </w:pPr>
            <w:r>
              <w:t xml:space="preserve">Web: </w:t>
            </w:r>
            <w:hyperlink r:id="rId32" w:history="1">
              <w:r>
                <w:rPr>
                  <w:rStyle w:val="Hyperlink"/>
                </w:rPr>
                <w:t>tga.gov.au</w:t>
              </w:r>
            </w:hyperlink>
          </w:p>
        </w:tc>
      </w:tr>
      <w:tr w:rsidR="00F02AEC" w:rsidRPr="00B03B68" w14:paraId="375477A6" w14:textId="77777777">
        <w:trPr>
          <w:trHeight w:val="251"/>
          <w:jc w:val="center"/>
        </w:trPr>
        <w:tc>
          <w:tcPr>
            <w:tcW w:w="9145" w:type="dxa"/>
            <w:tcMar>
              <w:top w:w="28" w:type="dxa"/>
            </w:tcMar>
          </w:tcPr>
          <w:p w14:paraId="6A937DF8" w14:textId="77777777" w:rsidR="00F02AEC" w:rsidRPr="00B03B68" w:rsidRDefault="00F02AEC" w:rsidP="00B03B68"/>
        </w:tc>
      </w:tr>
    </w:tbl>
    <w:p w14:paraId="3E7EEC01" w14:textId="77777777" w:rsidR="005B141F" w:rsidRPr="00B03B68" w:rsidRDefault="005B141F" w:rsidP="00B03B68"/>
    <w:sectPr w:rsidR="005B141F" w:rsidRPr="00B03B68">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FC32" w14:textId="77777777" w:rsidR="00686D45" w:rsidRDefault="00686D45" w:rsidP="00F02AEC">
      <w:pPr>
        <w:spacing w:after="0" w:line="240" w:lineRule="auto"/>
      </w:pPr>
      <w:r>
        <w:separator/>
      </w:r>
    </w:p>
  </w:endnote>
  <w:endnote w:type="continuationSeparator" w:id="0">
    <w:p w14:paraId="18C9C29D" w14:textId="77777777" w:rsidR="00686D45" w:rsidRDefault="00686D45" w:rsidP="00F02AEC">
      <w:pPr>
        <w:spacing w:after="0" w:line="240" w:lineRule="auto"/>
      </w:pPr>
      <w:r>
        <w:continuationSeparator/>
      </w:r>
    </w:p>
  </w:endnote>
  <w:endnote w:type="continuationNotice" w:id="1">
    <w:p w14:paraId="0260420E" w14:textId="77777777" w:rsidR="00686D45" w:rsidRDefault="00686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1ADEA38" w14:textId="77777777">
      <w:trPr>
        <w:trHeight w:val="423"/>
      </w:trPr>
      <w:tc>
        <w:tcPr>
          <w:tcW w:w="4360" w:type="dxa"/>
          <w:tcBorders>
            <w:top w:val="single" w:sz="4" w:space="0" w:color="auto"/>
          </w:tcBorders>
        </w:tcPr>
        <w:p w14:paraId="11E3D958" w14:textId="77777777" w:rsidR="00F02AEC" w:rsidRDefault="00F02AEC">
          <w:pPr>
            <w:pStyle w:val="Footer"/>
          </w:pPr>
        </w:p>
        <w:p w14:paraId="6D15B42C" w14:textId="77777777" w:rsidR="00F02AEC" w:rsidRPr="00257138" w:rsidRDefault="00F02AEC">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4ADE674" w14:textId="77777777" w:rsidR="00F02AEC" w:rsidRDefault="00F02AEC">
              <w:pPr>
                <w:pStyle w:val="Footer"/>
                <w:jc w:val="right"/>
              </w:pPr>
            </w:p>
            <w:p w14:paraId="4E6EF4B0" w14:textId="77777777" w:rsidR="00F02AEC" w:rsidRPr="00257138" w:rsidRDefault="00F02AEC">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46570A25" w14:textId="77777777">
      <w:trPr>
        <w:trHeight w:val="263"/>
      </w:trPr>
      <w:tc>
        <w:tcPr>
          <w:tcW w:w="4360" w:type="dxa"/>
        </w:tcPr>
        <w:p w14:paraId="57FF177F" w14:textId="77777777" w:rsidR="00F02AEC" w:rsidRPr="00257138" w:rsidRDefault="00F02AEC">
          <w:pPr>
            <w:pStyle w:val="Footer"/>
          </w:pPr>
          <w:r w:rsidRPr="00257138">
            <w:t xml:space="preserve">V1.0 </w:t>
          </w:r>
          <w:r>
            <w:t>Month</w:t>
          </w:r>
          <w:r w:rsidRPr="00257138">
            <w:t xml:space="preserve"> 201</w:t>
          </w:r>
          <w:r>
            <w:t>2</w:t>
          </w:r>
        </w:p>
      </w:tc>
      <w:tc>
        <w:tcPr>
          <w:tcW w:w="4360" w:type="dxa"/>
        </w:tcPr>
        <w:p w14:paraId="703542F8" w14:textId="77777777" w:rsidR="00F02AEC" w:rsidRPr="00257138" w:rsidRDefault="00F02AEC">
          <w:pPr>
            <w:pStyle w:val="Footer"/>
            <w:jc w:val="right"/>
          </w:pPr>
        </w:p>
      </w:tc>
    </w:tr>
  </w:tbl>
  <w:p w14:paraId="142D1692" w14:textId="77777777" w:rsidR="00F02AEC" w:rsidRPr="00826007" w:rsidRDefault="00F02AEC">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5DC8" w14:textId="77777777" w:rsidR="00F02AEC" w:rsidRDefault="00F02AEC">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28B791BB" w14:textId="77777777">
      <w:trPr>
        <w:trHeight w:val="423"/>
      </w:trPr>
      <w:tc>
        <w:tcPr>
          <w:tcW w:w="7338" w:type="dxa"/>
          <w:tcBorders>
            <w:top w:val="single" w:sz="4" w:space="0" w:color="auto"/>
          </w:tcBorders>
        </w:tcPr>
        <w:p w14:paraId="68AF8C9E" w14:textId="4573D23E" w:rsidR="00F02AEC" w:rsidRPr="005212A2" w:rsidRDefault="000579C9" w:rsidP="000579C9">
          <w:pPr>
            <w:pStyle w:val="Footer"/>
          </w:pPr>
          <w:r w:rsidRPr="000579C9">
            <w:t>Notice of interim decision to amend (or not amend) the current Poisons Standard (</w:t>
          </w:r>
          <w:r w:rsidRPr="00F45C5D">
            <w:t>June</w:t>
          </w:r>
          <w:r w:rsidRPr="000579C9">
            <w:t xml:space="preserve"> 202</w:t>
          </w:r>
          <w:r w:rsidR="00B53BAD">
            <w:t>5</w:t>
          </w:r>
          <w:r w:rsidRPr="000579C9">
            <w:t>)</w:t>
          </w:r>
          <w:r w:rsidR="00F02AEC" w:rsidRPr="005212A2">
            <w:t xml:space="preserve"> </w:t>
          </w:r>
          <w:r w:rsidR="00F02AEC" w:rsidRPr="005212A2">
            <w:br/>
          </w:r>
        </w:p>
      </w:tc>
      <w:tc>
        <w:tcPr>
          <w:tcW w:w="1734" w:type="dxa"/>
          <w:tcBorders>
            <w:top w:val="single" w:sz="4" w:space="0" w:color="auto"/>
          </w:tcBorders>
        </w:tcPr>
        <w:sdt>
          <w:sdtPr>
            <w:id w:val="11571659"/>
            <w:docPartObj>
              <w:docPartGallery w:val="Page Numbers (Top of Page)"/>
              <w:docPartUnique/>
            </w:docPartObj>
          </w:sdtPr>
          <w:sdtEndPr/>
          <w:sdtContent>
            <w:p w14:paraId="31B2857B"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 xml:space="preserve"> NUMPAGES  </w:instrText>
              </w:r>
              <w:r>
                <w:fldChar w:fldCharType="separate"/>
              </w:r>
              <w:r w:rsidRPr="005212A2">
                <w:rPr>
                  <w:noProof/>
                </w:rPr>
                <w:t>7</w:t>
              </w:r>
              <w:r>
                <w:rPr>
                  <w:noProof/>
                </w:rPr>
                <w:fldChar w:fldCharType="end"/>
              </w:r>
            </w:p>
          </w:sdtContent>
        </w:sdt>
      </w:tc>
    </w:tr>
  </w:tbl>
  <w:p w14:paraId="255E88CE" w14:textId="77777777" w:rsidR="00F02AEC" w:rsidRPr="0090744F" w:rsidRDefault="00F02AEC">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4FCA" w14:textId="77777777" w:rsidR="005B141F" w:rsidRPr="008E3C43" w:rsidRDefault="005B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87D5" w14:textId="77777777" w:rsidR="00686D45" w:rsidRDefault="00686D45" w:rsidP="00F02AEC">
      <w:pPr>
        <w:spacing w:after="0" w:line="240" w:lineRule="auto"/>
      </w:pPr>
      <w:r>
        <w:separator/>
      </w:r>
    </w:p>
  </w:footnote>
  <w:footnote w:type="continuationSeparator" w:id="0">
    <w:p w14:paraId="27CB5B3A" w14:textId="77777777" w:rsidR="00686D45" w:rsidRDefault="00686D45" w:rsidP="00F02AEC">
      <w:pPr>
        <w:spacing w:after="0" w:line="240" w:lineRule="auto"/>
      </w:pPr>
      <w:r>
        <w:continuationSeparator/>
      </w:r>
    </w:p>
  </w:footnote>
  <w:footnote w:type="continuationNotice" w:id="1">
    <w:p w14:paraId="6813AB70" w14:textId="77777777" w:rsidR="00686D45" w:rsidRDefault="00686D45">
      <w:pPr>
        <w:spacing w:after="0" w:line="240" w:lineRule="auto"/>
      </w:pPr>
    </w:p>
  </w:footnote>
  <w:footnote w:id="2">
    <w:p w14:paraId="0D986828" w14:textId="77777777" w:rsidR="006E3F78" w:rsidRDefault="006E3F78" w:rsidP="006E3F78">
      <w:pPr>
        <w:pStyle w:val="FootnoteText"/>
      </w:pPr>
      <w:r>
        <w:rPr>
          <w:rStyle w:val="FootnoteReference"/>
        </w:rPr>
        <w:footnoteRef/>
      </w:r>
      <w:r>
        <w:t xml:space="preserve"> </w:t>
      </w:r>
      <w:r w:rsidRPr="00501B8C">
        <w:t xml:space="preserve">For the purposes of s 52D of the </w:t>
      </w:r>
      <w:r w:rsidRPr="00EE0BA9">
        <w:rPr>
          <w:i/>
          <w:iCs/>
        </w:rPr>
        <w:t>Therapeutic Goods Act 1989</w:t>
      </w:r>
      <w:r w:rsidRPr="00501B8C">
        <w:t xml:space="preserve"> (Cth)</w:t>
      </w:r>
    </w:p>
  </w:footnote>
  <w:footnote w:id="3">
    <w:p w14:paraId="2AE07D01" w14:textId="77777777" w:rsidR="009421DD" w:rsidRPr="009421DD" w:rsidRDefault="009421DD">
      <w:pPr>
        <w:pStyle w:val="FootnoteText"/>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w:t>
      </w:r>
      <w:r w:rsidRPr="00CC381E">
        <w:t xml:space="preserve">Established under sections 52B and 52C of the </w:t>
      </w:r>
      <w:r w:rsidRPr="00CC381E">
        <w:rPr>
          <w:i/>
          <w:iCs/>
        </w:rPr>
        <w:t>Therapeutic Goods Act 1989</w:t>
      </w:r>
      <w:r w:rsidRPr="00CC381E">
        <w:t xml:space="preserve"> (</w:t>
      </w:r>
      <w:r w:rsidRPr="00CC381E">
        <w:t>Cth).</w:t>
      </w:r>
    </w:p>
  </w:footnote>
  <w:footnote w:id="4">
    <w:p w14:paraId="6A761561" w14:textId="5337479E" w:rsidR="00FF5F61" w:rsidRDefault="00FF5F61">
      <w:pPr>
        <w:pStyle w:val="FootnoteText"/>
      </w:pPr>
      <w:r>
        <w:rPr>
          <w:rStyle w:val="FootnoteReference"/>
        </w:rPr>
        <w:footnoteRef/>
      </w:r>
      <w:r>
        <w:t xml:space="preserve"> </w:t>
      </w:r>
      <w:r w:rsidRPr="00FF5F61">
        <w:t>Proposed additions are shown in green underlined font, proposed deletions are shown in red strikethrough font, and text without this formatting represents the current text in the Poisons Standard.</w:t>
      </w:r>
    </w:p>
  </w:footnote>
  <w:footnote w:id="5">
    <w:p w14:paraId="49A58D46" w14:textId="6B2CF826" w:rsidR="00A67DC0" w:rsidRDefault="00A67DC0">
      <w:pPr>
        <w:pStyle w:val="FootnoteText"/>
      </w:pPr>
      <w:r>
        <w:rPr>
          <w:rStyle w:val="FootnoteReference"/>
        </w:rPr>
        <w:footnoteRef/>
      </w:r>
      <w:r>
        <w:t xml:space="preserve"> </w:t>
      </w:r>
      <w:r w:rsidRPr="00AB3DB0">
        <w:t xml:space="preserve">The Enzyme Commission </w:t>
      </w:r>
      <w:r w:rsidR="00FE41C0">
        <w:t xml:space="preserve">website </w:t>
      </w:r>
      <w:r w:rsidRPr="00AB3DB0">
        <w:t>(</w:t>
      </w:r>
      <w:hyperlink r:id="rId1" w:history="1">
        <w:r w:rsidRPr="009E13DA">
          <w:rPr>
            <w:rStyle w:val="Hyperlink"/>
          </w:rPr>
          <w:t>www.chem.qmul.ac.uk/iubmb/enzyme/</w:t>
        </w:r>
      </w:hyperlink>
      <w:r>
        <w:t>)</w:t>
      </w:r>
      <w:r w:rsidR="006A4F5B">
        <w:t xml:space="preserve"> accessed on </w:t>
      </w:r>
      <w:r w:rsidR="008D4BFE">
        <w:t>16 June 2025</w:t>
      </w:r>
    </w:p>
  </w:footnote>
  <w:footnote w:id="6">
    <w:p w14:paraId="348034DD" w14:textId="4ACDD535" w:rsidR="00403473" w:rsidRDefault="00403473" w:rsidP="00D2012A">
      <w:pPr>
        <w:pStyle w:val="FootnoteText"/>
      </w:pPr>
      <w:r>
        <w:rPr>
          <w:rStyle w:val="FootnoteReference"/>
        </w:rPr>
        <w:footnoteRef/>
      </w:r>
      <w:r>
        <w:t xml:space="preserve"> </w:t>
      </w:r>
      <w:hyperlink r:id="rId2" w:history="1">
        <w:r w:rsidR="00D2012A" w:rsidRPr="005B7C16">
          <w:rPr>
            <w:rStyle w:val="Hyperlink"/>
          </w:rPr>
          <w:t>Nutrient Reference Values for Australia and New Zealand</w:t>
        </w:r>
      </w:hyperlink>
      <w:r w:rsidR="00D2012A">
        <w:t>. National Health and Medical Research Council, Australian Government Department of Health</w:t>
      </w:r>
      <w:r w:rsidR="00A55DAF">
        <w:t>, Disability</w:t>
      </w:r>
      <w:r w:rsidR="00D2012A">
        <w:t xml:space="preserve"> and Ageing, New Zealand Ministry of Health</w:t>
      </w:r>
      <w:r w:rsidR="006342CE">
        <w:t xml:space="preserve"> (2006).</w:t>
      </w:r>
      <w:r w:rsidR="00D2012A">
        <w:t xml:space="preserve"> </w:t>
      </w:r>
    </w:p>
  </w:footnote>
  <w:footnote w:id="7">
    <w:p w14:paraId="6C54D4E7" w14:textId="540DCD10" w:rsidR="00C85848" w:rsidRDefault="00C85848" w:rsidP="00C85848">
      <w:pPr>
        <w:pStyle w:val="FootnoteText"/>
      </w:pPr>
      <w:r>
        <w:rPr>
          <w:rStyle w:val="FootnoteReference"/>
        </w:rPr>
        <w:footnoteRef/>
      </w:r>
      <w:r>
        <w:t xml:space="preserve"> </w:t>
      </w:r>
      <w:hyperlink r:id="rId3" w:history="1">
        <w:r w:rsidRPr="00157FDE">
          <w:rPr>
            <w:rStyle w:val="Hyperlink"/>
          </w:rPr>
          <w:t>Nutrition across the life stages</w:t>
        </w:r>
      </w:hyperlink>
      <w:r>
        <w:t xml:space="preserve">. </w:t>
      </w:r>
      <w:r w:rsidRPr="00C85848">
        <w:t>Australian Institute of Health and Welfare</w:t>
      </w:r>
      <w:r>
        <w:t xml:space="preserve"> </w:t>
      </w:r>
      <w:r w:rsidR="006A4F5B">
        <w:t>(</w:t>
      </w:r>
      <w:r>
        <w:t>2018</w:t>
      </w:r>
      <w:r w:rsidR="006A4F5B">
        <w:t>)</w:t>
      </w:r>
      <w:r>
        <w:t>.</w:t>
      </w:r>
    </w:p>
  </w:footnote>
  <w:footnote w:id="8">
    <w:p w14:paraId="312F43A4" w14:textId="324AD54D" w:rsidR="005719B9" w:rsidRDefault="005719B9">
      <w:pPr>
        <w:pStyle w:val="FootnoteText"/>
      </w:pPr>
      <w:r>
        <w:rPr>
          <w:rStyle w:val="FootnoteReference"/>
        </w:rPr>
        <w:footnoteRef/>
      </w:r>
      <w:r>
        <w:t xml:space="preserve"> </w:t>
      </w:r>
      <w:hyperlink r:id="rId4" w:anchor="en8" w:history="1">
        <w:r w:rsidRPr="005719B9">
          <w:rPr>
            <w:rStyle w:val="Hyperlink"/>
          </w:rPr>
          <w:t>Vitamin B6 Fact Sheet for Health Professionals</w:t>
        </w:r>
      </w:hyperlink>
      <w:r>
        <w:t>, US National Institute of Health, Office of Dietary Supplements</w:t>
      </w:r>
      <w:r w:rsidR="00A84060">
        <w:t>; accessed on 16 June 2025</w:t>
      </w:r>
    </w:p>
  </w:footnote>
  <w:footnote w:id="9">
    <w:p w14:paraId="7ED29103" w14:textId="48FB8485" w:rsidR="005719B9" w:rsidRDefault="005719B9">
      <w:pPr>
        <w:pStyle w:val="FootnoteText"/>
      </w:pPr>
      <w:r>
        <w:rPr>
          <w:rStyle w:val="FootnoteReference"/>
        </w:rPr>
        <w:footnoteRef/>
      </w:r>
      <w:r>
        <w:t xml:space="preserve"> Nutritional information available from </w:t>
      </w:r>
      <w:hyperlink r:id="rId5" w:anchor="nutrition-modal" w:history="1">
        <w:r>
          <w:rPr>
            <w:rStyle w:val="Hyperlink"/>
          </w:rPr>
          <w:t>www.kelloggs.com.au</w:t>
        </w:r>
      </w:hyperlink>
      <w:r>
        <w:t xml:space="preserve">; accessed on </w:t>
      </w:r>
      <w:r w:rsidR="008D4BFE">
        <w:t>16</w:t>
      </w:r>
      <w:r>
        <w:t xml:space="preserve"> June 2025</w:t>
      </w:r>
      <w:r w:rsidR="00C07D97">
        <w:t>.</w:t>
      </w:r>
    </w:p>
  </w:footnote>
  <w:footnote w:id="10">
    <w:p w14:paraId="4EFDE99D" w14:textId="505CC2D8" w:rsidR="00975F74" w:rsidRDefault="00975F74" w:rsidP="00975F74">
      <w:pPr>
        <w:pStyle w:val="FootnoteText"/>
      </w:pPr>
      <w:r>
        <w:rPr>
          <w:rStyle w:val="FootnoteReference"/>
        </w:rPr>
        <w:footnoteRef/>
      </w:r>
      <w:r>
        <w:t xml:space="preserve"> </w:t>
      </w:r>
      <w:r w:rsidR="00FC6F09" w:rsidRPr="00FC6F09">
        <w:t xml:space="preserve">Wan Z, Zheng J, Zhu Z, Sang L, Zhu J, Luo S, Zhao Y, Wang R, Zhang Y, Hao K, Chen L, Du J, Kan J, He H. Intermediate role of gut microbiota in vitamin B nutrition and its influences on human health. Front </w:t>
      </w:r>
      <w:r w:rsidR="00FC6F09" w:rsidRPr="00FC6F09">
        <w:t xml:space="preserve">Nutr. 2022 Dec </w:t>
      </w:r>
      <w:r w:rsidR="00FC6F09" w:rsidRPr="00FC6F09">
        <w:t xml:space="preserve">13;9:1031502. doi: </w:t>
      </w:r>
      <w:hyperlink r:id="rId6" w:tgtFrame="_blank" w:history="1">
        <w:r w:rsidR="00FC6F09" w:rsidRPr="00FC6F09">
          <w:rPr>
            <w:rStyle w:val="Hyperlink"/>
          </w:rPr>
          <w:t>10.3389/fnut.2022.1031502</w:t>
        </w:r>
      </w:hyperlink>
    </w:p>
  </w:footnote>
  <w:footnote w:id="11">
    <w:p w14:paraId="40F4DAE0" w14:textId="2594035B" w:rsidR="003F75C9" w:rsidRDefault="003F75C9">
      <w:pPr>
        <w:pStyle w:val="FootnoteText"/>
      </w:pPr>
      <w:r>
        <w:rPr>
          <w:rStyle w:val="FootnoteReference"/>
        </w:rPr>
        <w:footnoteRef/>
      </w:r>
      <w:r>
        <w:t xml:space="preserve"> </w:t>
      </w:r>
      <w:hyperlink r:id="rId7" w:anchor="Diagnosis_v44325047" w:history="1">
        <w:r w:rsidR="00FC6F09">
          <w:rPr>
            <w:rStyle w:val="Hyperlink"/>
          </w:rPr>
          <w:t>MSD Manual Professional Version - Vitamin B6 Deficiency and Dependency</w:t>
        </w:r>
      </w:hyperlink>
      <w:r w:rsidR="00FC6F09">
        <w:t xml:space="preserve">, accessed </w:t>
      </w:r>
      <w:r w:rsidR="00C07D97">
        <w:t xml:space="preserve">on </w:t>
      </w:r>
      <w:r w:rsidR="00FC6F09">
        <w:t>23 June 2025.</w:t>
      </w:r>
    </w:p>
  </w:footnote>
  <w:footnote w:id="12">
    <w:p w14:paraId="4B93C19C" w14:textId="35C0D9A7" w:rsidR="006674A3" w:rsidRDefault="006674A3">
      <w:pPr>
        <w:pStyle w:val="FootnoteText"/>
      </w:pPr>
      <w:r>
        <w:rPr>
          <w:rStyle w:val="FootnoteReference"/>
        </w:rPr>
        <w:footnoteRef/>
      </w:r>
      <w:r>
        <w:t xml:space="preserve"> </w:t>
      </w:r>
      <w:r w:rsidR="00FC6F09" w:rsidRPr="00FC6F09">
        <w:t xml:space="preserve">Hemminger A, Wills BK. Vitamin B6 Toxicity. [Updated 2023 Feb 7]. In: </w:t>
      </w:r>
      <w:r w:rsidR="00FC6F09" w:rsidRPr="00FC6F09">
        <w:t xml:space="preserve">StatPearls [Internet]. Treasure Island (FL): StatPearls Publishing; 2025 Jan. Available from </w:t>
      </w:r>
      <w:hyperlink r:id="rId8" w:history="1">
        <w:r w:rsidR="00FC6F09">
          <w:rPr>
            <w:rStyle w:val="Hyperlink"/>
          </w:rPr>
          <w:t>www.ncbi.nlm.nih.gov/books/NBK554500/</w:t>
        </w:r>
      </w:hyperlink>
      <w:r w:rsidR="00FC6F09">
        <w:t>, accessed on 232 June 2025.</w:t>
      </w:r>
    </w:p>
  </w:footnote>
  <w:footnote w:id="13">
    <w:p w14:paraId="2A3AB068" w14:textId="2FE77B61" w:rsidR="005766C1" w:rsidRDefault="00374131">
      <w:pPr>
        <w:pStyle w:val="FootnoteText"/>
      </w:pPr>
      <w:r>
        <w:rPr>
          <w:rStyle w:val="FootnoteReference"/>
        </w:rPr>
        <w:footnoteRef/>
      </w:r>
      <w:r>
        <w:t xml:space="preserve"> </w:t>
      </w:r>
      <w:hyperlink r:id="rId9" w:history="1">
        <w:r w:rsidR="00C07D97">
          <w:rPr>
            <w:rStyle w:val="Hyperlink"/>
          </w:rPr>
          <w:t>Information leaflet on Nausea and Vomiting in Pregnancy</w:t>
        </w:r>
      </w:hyperlink>
      <w:r w:rsidR="00C07D97">
        <w:t xml:space="preserve">, </w:t>
      </w:r>
      <w:r w:rsidR="00C07D97" w:rsidRPr="00C07D97">
        <w:t>NSW Health</w:t>
      </w:r>
      <w:r w:rsidR="00C07D97">
        <w:t>, accessed on 23 June 2025</w:t>
      </w:r>
    </w:p>
  </w:footnote>
  <w:footnote w:id="14">
    <w:p w14:paraId="0B627384" w14:textId="12B8A46D" w:rsidR="00780605" w:rsidRDefault="00780605">
      <w:pPr>
        <w:pStyle w:val="FootnoteText"/>
      </w:pPr>
      <w:r>
        <w:rPr>
          <w:rStyle w:val="FootnoteReference"/>
        </w:rPr>
        <w:footnoteRef/>
      </w:r>
      <w:r>
        <w:t xml:space="preserve"> </w:t>
      </w:r>
      <w:hyperlink r:id="rId10" w:history="1">
        <w:r w:rsidR="00C07D97">
          <w:rPr>
            <w:rStyle w:val="Hyperlink"/>
          </w:rPr>
          <w:t>Adult Medication Guideline on Pyridoxine (Vitamin B6)</w:t>
        </w:r>
      </w:hyperlink>
      <w:r w:rsidR="00C07D97">
        <w:t>, Government of Western Australia, accessed on 23 June 2025.</w:t>
      </w:r>
    </w:p>
  </w:footnote>
  <w:footnote w:id="15">
    <w:p w14:paraId="06311ED1" w14:textId="7F382086" w:rsidR="0029351A" w:rsidRDefault="0029351A">
      <w:pPr>
        <w:pStyle w:val="FootnoteText"/>
      </w:pPr>
      <w:r>
        <w:rPr>
          <w:rStyle w:val="FootnoteReference"/>
        </w:rPr>
        <w:footnoteRef/>
      </w:r>
      <w:r>
        <w:t xml:space="preserve"> </w:t>
      </w:r>
      <w:hyperlink r:id="rId11" w:history="1">
        <w:r w:rsidR="000E2816" w:rsidRPr="00B838F2">
          <w:rPr>
            <w:rStyle w:val="Hyperlink"/>
          </w:rPr>
          <w:t xml:space="preserve">Guideline for the management of nausea and vomiting in </w:t>
        </w:r>
        <w:r w:rsidR="004E5240" w:rsidRPr="00B838F2">
          <w:rPr>
            <w:rStyle w:val="Hyperlink"/>
          </w:rPr>
          <w:t>pregnancy</w:t>
        </w:r>
        <w:r w:rsidR="000E2816" w:rsidRPr="00B838F2">
          <w:rPr>
            <w:rStyle w:val="Hyperlink"/>
          </w:rPr>
          <w:t xml:space="preserve"> </w:t>
        </w:r>
        <w:r w:rsidR="004E5240" w:rsidRPr="00B838F2">
          <w:rPr>
            <w:rStyle w:val="Hyperlink"/>
          </w:rPr>
          <w:t xml:space="preserve">and </w:t>
        </w:r>
        <w:r w:rsidR="003E7EA5" w:rsidRPr="00B838F2">
          <w:rPr>
            <w:rStyle w:val="Hyperlink"/>
          </w:rPr>
          <w:t>hyperemesis gravidarum</w:t>
        </w:r>
      </w:hyperlink>
      <w:r w:rsidR="002A47C1">
        <w:t xml:space="preserve">. Society for </w:t>
      </w:r>
      <w:r w:rsidR="00CB0499">
        <w:t>Obstetric</w:t>
      </w:r>
      <w:r w:rsidR="002A47C1">
        <w:t xml:space="preserve"> Medicine</w:t>
      </w:r>
      <w:r w:rsidR="00CB0499">
        <w:t xml:space="preserve"> of Australia and New Zealand</w:t>
      </w:r>
      <w:r w:rsidR="00C07D97">
        <w:t>, accessed on 16 June 2025</w:t>
      </w:r>
      <w:r w:rsidR="00CB0499">
        <w:t xml:space="preserve">. </w:t>
      </w:r>
      <w:r w:rsidR="004E5240">
        <w:t xml:space="preserve"> </w:t>
      </w:r>
    </w:p>
  </w:footnote>
  <w:footnote w:id="16">
    <w:p w14:paraId="2598B036" w14:textId="5A1DA3E5" w:rsidR="00994267" w:rsidRDefault="00994267" w:rsidP="00443445">
      <w:pPr>
        <w:pStyle w:val="FootnoteText"/>
      </w:pPr>
      <w:r>
        <w:rPr>
          <w:rStyle w:val="FootnoteReference"/>
        </w:rPr>
        <w:footnoteRef/>
      </w:r>
      <w:r>
        <w:t xml:space="preserve"> </w:t>
      </w:r>
      <w:r w:rsidR="00C07D97" w:rsidRPr="00C07D97">
        <w:t xml:space="preserve">He L, Fan Y, Hu Y, Tian C, Tian Y, Zhang J, Ren Y, Tan J. The potential hazards of high doses of vitamin B6 in treating nausea and vomiting in pregnancy: A systematic review. Int J </w:t>
      </w:r>
      <w:r w:rsidR="00C07D97" w:rsidRPr="00C07D97">
        <w:t>Gynaecol Obstet. 2025 Apr;169(1):38-50. doi:</w:t>
      </w:r>
      <w:r w:rsidR="00443445" w:rsidRPr="00443445">
        <w:rPr>
          <w:rFonts w:ascii="Segoe UI" w:eastAsia="Times New Roman" w:hAnsi="Segoe UI" w:cs="Segoe UI"/>
          <w:color w:val="212121"/>
          <w:sz w:val="24"/>
          <w:szCs w:val="24"/>
          <w:lang w:eastAsia="en-AU"/>
        </w:rPr>
        <w:t xml:space="preserve"> </w:t>
      </w:r>
      <w:hyperlink r:id="rId12" w:tgtFrame="_blank" w:history="1">
        <w:r w:rsidR="00443445" w:rsidRPr="00443445">
          <w:rPr>
            <w:rStyle w:val="Hyperlink"/>
          </w:rPr>
          <w:t>10.1002/ijgo.16032</w:t>
        </w:r>
      </w:hyperlink>
      <w:r w:rsidR="00443445">
        <w:t>.</w:t>
      </w:r>
    </w:p>
  </w:footnote>
  <w:footnote w:id="17">
    <w:p w14:paraId="62BD8633" w14:textId="749B3C8E" w:rsidR="00662840" w:rsidRDefault="00662840">
      <w:pPr>
        <w:pStyle w:val="FootnoteText"/>
      </w:pPr>
      <w:r>
        <w:rPr>
          <w:rStyle w:val="FootnoteReference"/>
        </w:rPr>
        <w:footnoteRef/>
      </w:r>
      <w:r>
        <w:t xml:space="preserve"> </w:t>
      </w:r>
      <w:r w:rsidR="00C07D97" w:rsidRPr="00C07D97">
        <w:t xml:space="preserve">Whelan AM, Jurgens TM, Naylor H. Herbs, vitamins and minerals in the treatment of premenstrual syndrome: a systematic review. Can J Clin </w:t>
      </w:r>
      <w:r w:rsidR="00C07D97" w:rsidRPr="00C07D97">
        <w:t>Pharmacol. 2009 Fall;16(3</w:t>
      </w:r>
      <w:r w:rsidR="00C07D97" w:rsidRPr="00C07D97">
        <w:t>):e407-29.</w:t>
      </w:r>
      <w:r w:rsidR="00C07D97">
        <w:t xml:space="preserve"> </w:t>
      </w:r>
      <w:r w:rsidR="00C07D97" w:rsidRPr="00C07D97">
        <w:t>PMID: 19923637.</w:t>
      </w:r>
    </w:p>
  </w:footnote>
  <w:footnote w:id="18">
    <w:p w14:paraId="06E55139" w14:textId="25DE8F04" w:rsidR="001C3453" w:rsidRDefault="001C3453" w:rsidP="001C3453">
      <w:pPr>
        <w:pStyle w:val="FootnoteText"/>
      </w:pPr>
      <w:r>
        <w:rPr>
          <w:rStyle w:val="FootnoteReference"/>
        </w:rPr>
        <w:footnoteRef/>
      </w:r>
      <w:r>
        <w:t xml:space="preserve"> </w:t>
      </w:r>
      <w:r w:rsidR="00443445" w:rsidRPr="00443445">
        <w:t>di Salvo ML, Contestabile R, Safo MK. Vitamin B</w:t>
      </w:r>
      <w:r w:rsidR="009E07D0">
        <w:t>6</w:t>
      </w:r>
      <w:r w:rsidR="00443445" w:rsidRPr="00443445">
        <w:t xml:space="preserve"> salvage enzymes: mechanism, structure and regulation. </w:t>
      </w:r>
      <w:r w:rsidR="00443445" w:rsidRPr="00443445">
        <w:t xml:space="preserve">Biochim Biophys Acta. 2011 Nov;1814(11):1597-608. </w:t>
      </w:r>
      <w:r w:rsidR="005C7901">
        <w:t>DOI</w:t>
      </w:r>
      <w:r w:rsidR="00443445" w:rsidRPr="00443445">
        <w:t>:</w:t>
      </w:r>
      <w:r w:rsidR="00CC3CA0">
        <w:t xml:space="preserve"> </w:t>
      </w:r>
      <w:hyperlink r:id="rId13" w:history="1">
        <w:r w:rsidR="005C7901">
          <w:rPr>
            <w:rStyle w:val="Hyperlink"/>
          </w:rPr>
          <w:t>10.1016/j.bbapap.2010.12.006</w:t>
        </w:r>
      </w:hyperlink>
      <w:r w:rsidR="00CC3CA0">
        <w:t xml:space="preserve">. </w:t>
      </w:r>
    </w:p>
  </w:footnote>
  <w:footnote w:id="19">
    <w:p w14:paraId="2669B959" w14:textId="7D0FA47A" w:rsidR="001C3453" w:rsidRDefault="001C3453" w:rsidP="001C3453">
      <w:pPr>
        <w:pStyle w:val="FootnoteText"/>
      </w:pPr>
      <w:r>
        <w:rPr>
          <w:rStyle w:val="FootnoteReference"/>
        </w:rPr>
        <w:footnoteRef/>
      </w:r>
      <w:r>
        <w:t xml:space="preserve"> </w:t>
      </w:r>
      <w:hyperlink r:id="rId14" w:anchor="en8" w:history="1">
        <w:r w:rsidR="00CC3CA0">
          <w:rPr>
            <w:rStyle w:val="Hyperlink"/>
          </w:rPr>
          <w:t>Vitamin B6 Fact Sheet for Health Professionals</w:t>
        </w:r>
      </w:hyperlink>
      <w:r w:rsidR="00CC3CA0">
        <w:t>, National Institute of Health, Office of Dietary Supplements, accessed on 16 June 2025.</w:t>
      </w:r>
      <w:r>
        <w:t xml:space="preserve"> </w:t>
      </w:r>
    </w:p>
  </w:footnote>
  <w:footnote w:id="20">
    <w:p w14:paraId="0B5992FF" w14:textId="4B9E47BD" w:rsidR="00836B7A" w:rsidRDefault="00836B7A" w:rsidP="007E23B2">
      <w:pPr>
        <w:pStyle w:val="FootnoteText"/>
      </w:pPr>
      <w:r>
        <w:rPr>
          <w:rStyle w:val="FootnoteReference"/>
        </w:rPr>
        <w:footnoteRef/>
      </w:r>
      <w:r>
        <w:t xml:space="preserve"> </w:t>
      </w:r>
      <w:r w:rsidR="00355E46" w:rsidRPr="00355E46">
        <w:t xml:space="preserve">Van den </w:t>
      </w:r>
      <w:r w:rsidR="00355E46" w:rsidRPr="00355E46">
        <w:t xml:space="preserve">Eynde MDG, Scheijen JLJM, Stehouwer CDA, Miyata T, Schalkwijk CG. Quantification of the B6 vitamers in human plasma and urine in a study with pyridoxamine as an oral supplement; pyridoxamine as an alternative for pyridoxine. Clin Nutr. 2021 Jul;40(7):4624-4632. </w:t>
      </w:r>
      <w:r w:rsidR="005C7901">
        <w:t>DOI</w:t>
      </w:r>
      <w:r w:rsidR="00355E46" w:rsidRPr="00355E46">
        <w:t xml:space="preserve">: </w:t>
      </w:r>
      <w:hyperlink r:id="rId15" w:tgtFrame="_blank" w:tooltip="Persistent link using digital object identifier" w:history="1">
        <w:r w:rsidR="005C7901">
          <w:rPr>
            <w:rStyle w:val="Hyperlink"/>
          </w:rPr>
          <w:t>10.1016/j.clnu.2021.05.028</w:t>
        </w:r>
      </w:hyperlink>
      <w:r w:rsidR="007E23B2">
        <w:t xml:space="preserve">. </w:t>
      </w:r>
    </w:p>
  </w:footnote>
  <w:footnote w:id="21">
    <w:p w14:paraId="2E4845E8" w14:textId="77777777" w:rsidR="00CC3CA0" w:rsidRPr="00CC3CA0" w:rsidRDefault="00801E58" w:rsidP="00CC3CA0">
      <w:pPr>
        <w:pStyle w:val="FootnoteText"/>
      </w:pPr>
      <w:r>
        <w:rPr>
          <w:rStyle w:val="FootnoteReference"/>
        </w:rPr>
        <w:footnoteRef/>
      </w:r>
      <w:r>
        <w:t xml:space="preserve"> </w:t>
      </w:r>
      <w:r w:rsidR="00CC3CA0" w:rsidRPr="00CC3CA0">
        <w:t xml:space="preserve">Vrolijk MF, </w:t>
      </w:r>
      <w:r w:rsidR="00CC3CA0" w:rsidRPr="00CC3CA0">
        <w:t xml:space="preserve">Opperhuizen A, Jansen EHJM, Hageman GJ, Bast A, Haenen GRMM. The vitamin B6 paradox: Supplementation with high concentrations of pyridoxine leads to decreased vitamin B6 function. Toxicol In Vitro. 2017 </w:t>
      </w:r>
      <w:r w:rsidR="00CC3CA0" w:rsidRPr="00CC3CA0">
        <w:t>Oct;44:206-212.</w:t>
      </w:r>
      <w:r w:rsidR="00CC3CA0">
        <w:t xml:space="preserve"> </w:t>
      </w:r>
      <w:r w:rsidR="00CC3CA0" w:rsidRPr="00CC3CA0">
        <w:t> </w:t>
      </w:r>
    </w:p>
    <w:p w14:paraId="2E4B1B49" w14:textId="05B5501B" w:rsidR="00801E58" w:rsidRDefault="00CC3CA0" w:rsidP="00801E58">
      <w:pPr>
        <w:pStyle w:val="FootnoteText"/>
      </w:pPr>
      <w:r w:rsidRPr="00CC3CA0">
        <w:t>DOI: </w:t>
      </w:r>
      <w:hyperlink r:id="rId16" w:tgtFrame="_blank" w:history="1">
        <w:r w:rsidRPr="00CC3CA0">
          <w:rPr>
            <w:rStyle w:val="Hyperlink"/>
          </w:rPr>
          <w:t>10.1016/j.tiv.2017.07.009</w:t>
        </w:r>
      </w:hyperlink>
      <w:r>
        <w:t>.</w:t>
      </w:r>
    </w:p>
  </w:footnote>
  <w:footnote w:id="22">
    <w:p w14:paraId="12628EDF" w14:textId="051B5A1F" w:rsidR="00801E58" w:rsidRDefault="00801E58" w:rsidP="00801E58">
      <w:pPr>
        <w:pStyle w:val="FootnoteText"/>
      </w:pPr>
      <w:r>
        <w:rPr>
          <w:rStyle w:val="FootnoteReference"/>
        </w:rPr>
        <w:footnoteRef/>
      </w:r>
      <w:r>
        <w:t xml:space="preserve"> </w:t>
      </w:r>
      <w:r w:rsidR="00CC3CA0" w:rsidRPr="00CC3CA0">
        <w:t xml:space="preserve">Vrolijk MF, Hageman GJ, van de Koppel S, van Hunsel F, Bast A. Inter-individual differences in pharmacokinetics of vitamin B6: a possible explanation of different sensitivity to its neuropathic effects. </w:t>
      </w:r>
      <w:r w:rsidR="00CC3CA0" w:rsidRPr="00CC3CA0">
        <w:t xml:space="preserve">PharmaNutrition. </w:t>
      </w:r>
      <w:r w:rsidR="00CC3CA0" w:rsidRPr="00CC3CA0">
        <w:t xml:space="preserve">2020;12:100188. </w:t>
      </w:r>
      <w:r w:rsidR="00CC3CA0">
        <w:t xml:space="preserve">DOI: </w:t>
      </w:r>
      <w:hyperlink r:id="rId17" w:tgtFrame="_blank" w:tooltip="Persistent link using digital object identifier" w:history="1">
        <w:r w:rsidR="005C7901">
          <w:rPr>
            <w:rStyle w:val="Hyperlink"/>
          </w:rPr>
          <w:t>10.1016/j.phanu.2020.100188</w:t>
        </w:r>
      </w:hyperlink>
      <w:r w:rsidR="00CC3CA0">
        <w:t>.</w:t>
      </w:r>
      <w:r w:rsidR="00CC3CA0" w:rsidRPr="00CC3CA0">
        <w:t xml:space="preserve"> </w:t>
      </w:r>
      <w:hyperlink r:id="rId18" w:history="1"/>
      <w:r>
        <w:t xml:space="preserve"> </w:t>
      </w:r>
    </w:p>
  </w:footnote>
  <w:footnote w:id="23">
    <w:p w14:paraId="7C1B1744" w14:textId="7860190D" w:rsidR="004A44AD" w:rsidRDefault="004A44AD">
      <w:pPr>
        <w:pStyle w:val="FootnoteText"/>
      </w:pPr>
      <w:r>
        <w:rPr>
          <w:rStyle w:val="FootnoteReference"/>
        </w:rPr>
        <w:footnoteRef/>
      </w:r>
      <w:r>
        <w:t xml:space="preserve"> </w:t>
      </w:r>
      <w:r w:rsidR="005C7901" w:rsidRPr="005C7901">
        <w:t xml:space="preserve">de </w:t>
      </w:r>
      <w:r w:rsidR="005C7901" w:rsidRPr="005C7901">
        <w:t xml:space="preserve">Zegher F, Przyrembel H, Chalmers RA, Wolff ED, Huijmans JG. Successful treatment of infantile type I primary hyperoxaluria complicated by pyridoxine toxicity. Lancet. 1985 Aug 17;2(8451):392-3. </w:t>
      </w:r>
      <w:r w:rsidR="005C7901">
        <w:t>DOI</w:t>
      </w:r>
      <w:r w:rsidR="005C7901" w:rsidRPr="005C7901">
        <w:t xml:space="preserve">: </w:t>
      </w:r>
      <w:hyperlink r:id="rId19" w:history="1">
        <w:r w:rsidR="005C7901">
          <w:rPr>
            <w:rStyle w:val="Hyperlink"/>
          </w:rPr>
          <w:t>10.1016/s0140-6736(85)92536-x</w:t>
        </w:r>
      </w:hyperlink>
      <w:r w:rsidR="005C7901">
        <w:t>.</w:t>
      </w:r>
    </w:p>
  </w:footnote>
  <w:footnote w:id="24">
    <w:p w14:paraId="6319687A" w14:textId="4D780B3A" w:rsidR="00BD4B59" w:rsidRDefault="00BD4B59" w:rsidP="005C7901">
      <w:pPr>
        <w:pStyle w:val="FootnoteText"/>
      </w:pPr>
      <w:r>
        <w:rPr>
          <w:rStyle w:val="FootnoteReference"/>
        </w:rPr>
        <w:footnoteRef/>
      </w:r>
      <w:r>
        <w:t xml:space="preserve"> </w:t>
      </w:r>
      <w:r w:rsidR="005C7901" w:rsidRPr="005C7901">
        <w:t xml:space="preserve">Hammen A, Wagner B, </w:t>
      </w:r>
      <w:r w:rsidR="005C7901" w:rsidRPr="005C7901">
        <w:t xml:space="preserve">Berkhoff M, Donati F. A paradoxical rise of neonatal seizures after treatment with vitamin B6. Eur J Paediatr Neurol. 1998;2(6):319-22. </w:t>
      </w:r>
      <w:r w:rsidR="005C7901">
        <w:t>DOI</w:t>
      </w:r>
      <w:r w:rsidR="005C7901" w:rsidRPr="005C7901">
        <w:t xml:space="preserve">: </w:t>
      </w:r>
      <w:hyperlink r:id="rId20" w:tgtFrame="_blank" w:history="1">
        <w:r w:rsidR="005C7901" w:rsidRPr="005C7901">
          <w:rPr>
            <w:rStyle w:val="Hyperlink"/>
          </w:rPr>
          <w:t>10.1016/s1090-3798(98)80007-x</w:t>
        </w:r>
      </w:hyperlink>
      <w:r w:rsidR="000E68CA">
        <w:t xml:space="preserve"> </w:t>
      </w:r>
    </w:p>
  </w:footnote>
  <w:footnote w:id="25">
    <w:p w14:paraId="2916D934" w14:textId="44238515" w:rsidR="001A2D6F" w:rsidRDefault="001A2D6F">
      <w:pPr>
        <w:pStyle w:val="FootnoteText"/>
      </w:pPr>
      <w:r>
        <w:rPr>
          <w:rStyle w:val="FootnoteReference"/>
        </w:rPr>
        <w:footnoteRef/>
      </w:r>
      <w:r>
        <w:t xml:space="preserve"> </w:t>
      </w:r>
      <w:r w:rsidR="005C7901" w:rsidRPr="005C7901">
        <w:t xml:space="preserve">Lheureux P, Penaloza A, Gris M. Pyridoxine in clinical toxicology: a review. </w:t>
      </w:r>
      <w:r w:rsidR="005C7901" w:rsidRPr="005C7901">
        <w:t xml:space="preserve">Eur J Emerg Med. 2005 Apr;12(2):78-85. </w:t>
      </w:r>
      <w:r w:rsidR="005C7901">
        <w:t>DOI</w:t>
      </w:r>
      <w:r w:rsidR="005C7901" w:rsidRPr="005C7901">
        <w:t xml:space="preserve">: </w:t>
      </w:r>
      <w:hyperlink r:id="rId21" w:tgtFrame="_blank" w:history="1">
        <w:r w:rsidR="005C7901" w:rsidRPr="005C7901">
          <w:rPr>
            <w:rStyle w:val="Hyperlink"/>
          </w:rPr>
          <w:t>10.1097/00063110-200504000-00007</w:t>
        </w:r>
      </w:hyperlink>
      <w:r w:rsidR="005C7901" w:rsidRPr="005C7901">
        <w:t>.</w:t>
      </w:r>
    </w:p>
  </w:footnote>
  <w:footnote w:id="26">
    <w:p w14:paraId="58AB9DC1" w14:textId="69C9925E" w:rsidR="003E5874" w:rsidRDefault="003E5874">
      <w:pPr>
        <w:pStyle w:val="FootnoteText"/>
      </w:pPr>
      <w:r>
        <w:rPr>
          <w:rStyle w:val="FootnoteReference"/>
        </w:rPr>
        <w:footnoteRef/>
      </w:r>
      <w:r>
        <w:t xml:space="preserve"> </w:t>
      </w:r>
      <w:r w:rsidR="005C7901" w:rsidRPr="005C7901">
        <w:t>Castelli G, Desai KM, Cantone RE. Peripheral Neuropathy: Evaluation and Differential Diagnosis. Am Fam Physician. 2020 Dec 15;102(12):732-739. PMID: 33320513.</w:t>
      </w:r>
    </w:p>
  </w:footnote>
  <w:footnote w:id="27">
    <w:p w14:paraId="07CBA267" w14:textId="0A732B40" w:rsidR="00C83448" w:rsidRDefault="00C83448">
      <w:pPr>
        <w:pStyle w:val="FootnoteText"/>
      </w:pPr>
      <w:r>
        <w:rPr>
          <w:rStyle w:val="FootnoteReference"/>
        </w:rPr>
        <w:footnoteRef/>
      </w:r>
      <w:r>
        <w:t xml:space="preserve"> </w:t>
      </w:r>
      <w:r w:rsidR="008D32E8" w:rsidRPr="008D32E8">
        <w:t xml:space="preserve">Hicks, C.W., Wang, D., Windham, B.G. et al. Prevalence of peripheral neuropathy defined by monofilament insensitivity in middle-aged and older adults in two US cohorts. Sci Rep 11, 19159 (2021). </w:t>
      </w:r>
      <w:r w:rsidR="008D32E8">
        <w:t xml:space="preserve">DOI: </w:t>
      </w:r>
      <w:hyperlink r:id="rId22" w:history="1">
        <w:r w:rsidR="005C7901">
          <w:rPr>
            <w:rStyle w:val="Hyperlink"/>
          </w:rPr>
          <w:t>10.1038/s41598-021-98565-w</w:t>
        </w:r>
      </w:hyperlink>
      <w:r w:rsidR="00FF6CE7">
        <w:t xml:space="preserve"> </w:t>
      </w:r>
    </w:p>
  </w:footnote>
  <w:footnote w:id="28">
    <w:p w14:paraId="17A4A55F" w14:textId="35C73B91" w:rsidR="00F006B6" w:rsidRDefault="00F006B6">
      <w:pPr>
        <w:pStyle w:val="FootnoteText"/>
      </w:pPr>
      <w:r>
        <w:rPr>
          <w:rStyle w:val="FootnoteReference"/>
        </w:rPr>
        <w:footnoteRef/>
      </w:r>
      <w:r>
        <w:t xml:space="preserve"> </w:t>
      </w:r>
      <w:r w:rsidR="005C7901" w:rsidRPr="005C7901">
        <w:t>EFSA Panel on Nutrition, Novel Foods and Food Allergens. Scientiﬁc opinion on the tolerable upper intake level for vitamin</w:t>
      </w:r>
      <w:r w:rsidR="003D2D9F">
        <w:t> </w:t>
      </w:r>
      <w:r w:rsidR="005C7901" w:rsidRPr="005C7901">
        <w:t>B6.</w:t>
      </w:r>
      <w:r w:rsidR="003D2D9F">
        <w:t xml:space="preserve"> </w:t>
      </w:r>
      <w:r w:rsidR="005C7901" w:rsidRPr="005C7901">
        <w:t>EFSA Journal 2023;21(5):8006, 110 pp.</w:t>
      </w:r>
      <w:r w:rsidR="003D2D9F">
        <w:t xml:space="preserve"> DOI:</w:t>
      </w:r>
      <w:r w:rsidR="005C7901" w:rsidRPr="005C7901">
        <w:t xml:space="preserve"> </w:t>
      </w:r>
      <w:hyperlink r:id="rId23" w:history="1">
        <w:r w:rsidR="003D2D9F">
          <w:rPr>
            <w:rStyle w:val="Hyperlink"/>
          </w:rPr>
          <w:t>10.2903/j.efsa.2023.8006</w:t>
        </w:r>
      </w:hyperlink>
      <w:r w:rsidR="005C7901">
        <w:t xml:space="preserve"> </w:t>
      </w:r>
    </w:p>
  </w:footnote>
  <w:footnote w:id="29">
    <w:p w14:paraId="1C6C1F8E" w14:textId="673F398E" w:rsidR="00CA3AF9" w:rsidRDefault="00CA3AF9">
      <w:pPr>
        <w:pStyle w:val="FootnoteText"/>
      </w:pPr>
      <w:r>
        <w:rPr>
          <w:rStyle w:val="FootnoteReference"/>
        </w:rPr>
        <w:footnoteRef/>
      </w:r>
      <w:r>
        <w:t xml:space="preserve"> </w:t>
      </w:r>
      <w:r w:rsidR="003D2D9F" w:rsidRPr="003D2D9F">
        <w:rPr>
          <w:lang w:eastAsia="en-AU"/>
        </w:rPr>
        <w:t xml:space="preserve">Hadtstein F, Vrolijk M. Vitamin B-6-Induced Neuropathy: Exploring the Mechanisms of Pyridoxine Toxicity. Adv Nutr. 2021 Oct 1;12(5):1911-1929. </w:t>
      </w:r>
      <w:r w:rsidR="003D2D9F">
        <w:rPr>
          <w:lang w:eastAsia="en-AU"/>
        </w:rPr>
        <w:t>DOI</w:t>
      </w:r>
      <w:r w:rsidR="003D2D9F" w:rsidRPr="003D2D9F">
        <w:rPr>
          <w:lang w:eastAsia="en-AU"/>
        </w:rPr>
        <w:t xml:space="preserve">: </w:t>
      </w:r>
      <w:hyperlink r:id="rId24" w:history="1">
        <w:r w:rsidR="003D2D9F">
          <w:rPr>
            <w:rStyle w:val="Hyperlink"/>
            <w:lang w:eastAsia="en-AU"/>
          </w:rPr>
          <w:t>10.1093/advances/nmab033</w:t>
        </w:r>
      </w:hyperlink>
      <w:r w:rsidR="003D2D9F">
        <w:rPr>
          <w:lang w:eastAsia="en-AU"/>
        </w:rPr>
        <w:t xml:space="preserve">. </w:t>
      </w:r>
    </w:p>
  </w:footnote>
  <w:footnote w:id="30">
    <w:p w14:paraId="553E213E" w14:textId="6BABB10B" w:rsidR="00137AE3" w:rsidRDefault="00137AE3">
      <w:pPr>
        <w:pStyle w:val="FootnoteText"/>
      </w:pPr>
      <w:r>
        <w:rPr>
          <w:rStyle w:val="FootnoteReference"/>
        </w:rPr>
        <w:footnoteRef/>
      </w:r>
      <w:r>
        <w:t xml:space="preserve"> </w:t>
      </w:r>
      <w:r w:rsidR="003D2D9F" w:rsidRPr="003D2D9F">
        <w:t xml:space="preserve">van Hunsel F, Scholl J, Vrolijk M, Ekhart C. Impact of Regulatory Action on Dose Maximalization for Vitamin B6 Dietary Supplements on the Reporting Pattern for Neuropathy. </w:t>
      </w:r>
      <w:r w:rsidR="003D2D9F" w:rsidRPr="003D2D9F">
        <w:t>Pharmacoepidemiol</w:t>
      </w:r>
      <w:r w:rsidR="003D2D9F">
        <w:t>.</w:t>
      </w:r>
      <w:r w:rsidR="003D2D9F" w:rsidRPr="003D2D9F">
        <w:t xml:space="preserve"> Drug Saf. 2025 Feb;34(2</w:t>
      </w:r>
      <w:r w:rsidR="003D2D9F" w:rsidRPr="003D2D9F">
        <w:t xml:space="preserve">):e70108. </w:t>
      </w:r>
      <w:r w:rsidR="003D2D9F">
        <w:t xml:space="preserve">DOI: </w:t>
      </w:r>
      <w:hyperlink r:id="rId25" w:history="1">
        <w:r w:rsidR="003D2D9F">
          <w:rPr>
            <w:rStyle w:val="Hyperlink"/>
          </w:rPr>
          <w:t>10.1002/pds.70108</w:t>
        </w:r>
      </w:hyperlink>
      <w:r w:rsidR="003D2D9F" w:rsidRPr="003D2D9F">
        <w:t>.</w:t>
      </w:r>
      <w:r>
        <w:t xml:space="preserve"> </w:t>
      </w:r>
    </w:p>
  </w:footnote>
  <w:footnote w:id="31">
    <w:p w14:paraId="23D3856C" w14:textId="7F277DC4" w:rsidR="00DE40AF" w:rsidRDefault="00DE40AF" w:rsidP="00DE40AF">
      <w:pPr>
        <w:pStyle w:val="FootnoteText"/>
      </w:pPr>
      <w:r>
        <w:rPr>
          <w:rStyle w:val="FootnoteReference"/>
        </w:rPr>
        <w:footnoteRef/>
      </w:r>
      <w:r>
        <w:t xml:space="preserve"> </w:t>
      </w:r>
      <w:hyperlink r:id="rId26" w:history="1">
        <w:r w:rsidR="00C66F04" w:rsidRPr="00C66F04">
          <w:rPr>
            <w:rStyle w:val="Hyperlink"/>
          </w:rPr>
          <w:t>Nerve damage due to the use of nutritional supplements with vitamin B6</w:t>
        </w:r>
      </w:hyperlink>
      <w:r w:rsidR="00C66F04">
        <w:t xml:space="preserve">. </w:t>
      </w:r>
      <w:r w:rsidR="00C66F04" w:rsidRPr="00C66F04">
        <w:t>The Netherlands Pharmacovigilance Centre Lareb</w:t>
      </w:r>
      <w:r w:rsidR="00C66F04">
        <w:t xml:space="preserve"> New Update (13 November 2024), accessed on 2</w:t>
      </w:r>
      <w:r w:rsidR="00516398">
        <w:t>3</w:t>
      </w:r>
      <w:r w:rsidR="00C66F04">
        <w:t xml:space="preserve"> June 2025.</w:t>
      </w:r>
    </w:p>
  </w:footnote>
  <w:footnote w:id="32">
    <w:p w14:paraId="057DB335" w14:textId="3F32479E" w:rsidR="00172C99" w:rsidRDefault="00172C99">
      <w:pPr>
        <w:pStyle w:val="FootnoteText"/>
      </w:pPr>
      <w:r>
        <w:rPr>
          <w:rStyle w:val="FootnoteReference"/>
        </w:rPr>
        <w:footnoteRef/>
      </w:r>
      <w:r>
        <w:t xml:space="preserve"> </w:t>
      </w:r>
      <w:r w:rsidR="00C66F04" w:rsidRPr="00C66F04">
        <w:t>Palleria C, Leporini C, Chimirri S, Marrazzo G, Sacchetta S, Bruno L, Lista RM, Staltari O, Scuteri A, Scicchitano F, Russo E. Limitations and obstacles of the spontaneous adverse drugs reactions reporting: Two "challenging" case reports. J Pharmacol Pharmacother. 2013 Dec;4(Suppl 1</w:t>
      </w:r>
      <w:r w:rsidR="00C66F04" w:rsidRPr="00C66F04">
        <w:t>):S66-72.</w:t>
      </w:r>
      <w:r w:rsidR="00C66F04">
        <w:t xml:space="preserve"> DOI: </w:t>
      </w:r>
      <w:hyperlink r:id="rId27" w:history="1">
        <w:r w:rsidR="00C66F04">
          <w:rPr>
            <w:rStyle w:val="Hyperlink"/>
          </w:rPr>
          <w:t>10.4103/0976-500X.120955</w:t>
        </w:r>
      </w:hyperlink>
      <w:r w:rsidR="00C66F04">
        <w:t xml:space="preserve">. </w:t>
      </w:r>
    </w:p>
  </w:footnote>
  <w:footnote w:id="33">
    <w:p w14:paraId="624E9169" w14:textId="05A64276" w:rsidR="00E2597D" w:rsidRDefault="00E2597D">
      <w:pPr>
        <w:pStyle w:val="FootnoteText"/>
      </w:pPr>
      <w:r>
        <w:rPr>
          <w:rStyle w:val="FootnoteReference"/>
        </w:rPr>
        <w:footnoteRef/>
      </w:r>
      <w:r>
        <w:t xml:space="preserve"> </w:t>
      </w:r>
      <w:r w:rsidR="00C66F04" w:rsidRPr="00C66F04">
        <w:t xml:space="preserve">Harnett JE, McIntyre E, Steel A, Foley H, </w:t>
      </w:r>
      <w:r w:rsidR="00C66F04" w:rsidRPr="00C66F04">
        <w:t>Sibbritt D, Adams J. Use of complementary medicine products: a nationally representative cross-sectional survey of 2019 Australian adults. BMJ Open. 2019 Jul 16;9(7</w:t>
      </w:r>
      <w:r w:rsidR="00C66F04" w:rsidRPr="00C66F04">
        <w:t>):e024198.</w:t>
      </w:r>
      <w:r w:rsidR="00C66F04">
        <w:t xml:space="preserve"> DOI: </w:t>
      </w:r>
      <w:hyperlink r:id="rId28" w:history="1">
        <w:r w:rsidR="00C66F04" w:rsidRPr="000E4A83">
          <w:rPr>
            <w:rStyle w:val="Hyperlink"/>
          </w:rPr>
          <w:t>https://doi.org/10.1136/bmjopen-2018-024198</w:t>
        </w:r>
      </w:hyperlink>
      <w:r w:rsidR="00C66F04">
        <w:t xml:space="preserve">. </w:t>
      </w:r>
      <w:r>
        <w:t xml:space="preserve"> </w:t>
      </w:r>
    </w:p>
  </w:footnote>
  <w:footnote w:id="34">
    <w:p w14:paraId="4A5ACCCE" w14:textId="4EE50E76" w:rsidR="00A602D1" w:rsidRDefault="00A602D1">
      <w:pPr>
        <w:pStyle w:val="FootnoteText"/>
      </w:pPr>
      <w:r>
        <w:rPr>
          <w:rStyle w:val="FootnoteReference"/>
        </w:rPr>
        <w:footnoteRef/>
      </w:r>
      <w:r>
        <w:t xml:space="preserve"> </w:t>
      </w:r>
      <w:hyperlink r:id="rId29" w:history="1">
        <w:r w:rsidR="00C66F04">
          <w:rPr>
            <w:rStyle w:val="Hyperlink"/>
          </w:rPr>
          <w:t>Australia Pyridoxine Hydrochloride Vitamin B6 Market (2025-2031) Outlook | Revenue, Share, Trends, Industry, Size, Companies, Value, Forecast, Analysis &amp; Growth</w:t>
        </w:r>
      </w:hyperlink>
      <w:r w:rsidR="00C66F04">
        <w:t>. 6WResearch. 2022 August. Accessed on 16 June 2025.</w:t>
      </w:r>
    </w:p>
  </w:footnote>
  <w:footnote w:id="35">
    <w:p w14:paraId="429FEF38" w14:textId="07BF9338" w:rsidR="00197C02" w:rsidRDefault="00197C02">
      <w:pPr>
        <w:pStyle w:val="FootnoteText"/>
      </w:pPr>
      <w:r>
        <w:rPr>
          <w:rStyle w:val="FootnoteReference"/>
        </w:rPr>
        <w:footnoteRef/>
      </w:r>
      <w:r>
        <w:t xml:space="preserve"> </w:t>
      </w:r>
      <w:r w:rsidR="00C66F04" w:rsidRPr="00C66F04">
        <w:t xml:space="preserve">Boon H, Bozinovski N. A Systematic Narrative Review of the Evidence for </w:t>
      </w:r>
      <w:r w:rsidR="00C66F04" w:rsidRPr="00C66F04">
        <w:t>Labeling of Natural Health Products and Dietary Supplements. J Altern Complement Med. 2019 Aug;25(8):777-788.</w:t>
      </w:r>
      <w:r w:rsidR="00C66F04">
        <w:t xml:space="preserve"> </w:t>
      </w:r>
      <w:r w:rsidR="00C66F04" w:rsidRPr="00C66F04">
        <w:t>DOI: </w:t>
      </w:r>
      <w:hyperlink r:id="rId30" w:tgtFrame="_blank" w:history="1">
        <w:r w:rsidR="00C66F04" w:rsidRPr="00C66F04">
          <w:rPr>
            <w:rStyle w:val="Hyperlink"/>
          </w:rPr>
          <w:t>10.1089/acm.2018.0533</w:t>
        </w:r>
      </w:hyperlink>
      <w:r w:rsidR="00C66F04">
        <w:t>.</w:t>
      </w:r>
    </w:p>
  </w:footnote>
  <w:footnote w:id="36">
    <w:p w14:paraId="1A1DA0B0" w14:textId="4471B664" w:rsidR="00FB5DCD" w:rsidRDefault="00FB5DCD">
      <w:pPr>
        <w:pStyle w:val="FootnoteText"/>
      </w:pPr>
      <w:r>
        <w:rPr>
          <w:rStyle w:val="FootnoteReference"/>
        </w:rPr>
        <w:footnoteRef/>
      </w:r>
      <w:r>
        <w:t xml:space="preserve"> </w:t>
      </w:r>
      <w:r w:rsidR="00074511" w:rsidRPr="00074511">
        <w:t xml:space="preserve">Naseri K, </w:t>
      </w:r>
      <w:r w:rsidR="00074511" w:rsidRPr="00074511">
        <w:t>Thrimawithana T, Allahham A, Nooney V, de Courten B, Shahin W. Exploring Complementary Medicine Usage, Consumer Perceptions, and Impact of Label Warnings: A Cross-Sectional Study in Melbourne, Australia. Pharmacy (Basel). 2025 Apr 27;13(3):61.</w:t>
      </w:r>
      <w:r w:rsidR="00074511">
        <w:t xml:space="preserve"> DOI: </w:t>
      </w:r>
      <w:hyperlink r:id="rId31" w:tgtFrame="_blank" w:history="1">
        <w:r w:rsidR="00074511" w:rsidRPr="00074511">
          <w:rPr>
            <w:rStyle w:val="Hyperlink"/>
          </w:rPr>
          <w:t>10.3390/pharmacy13030061</w:t>
        </w:r>
      </w:hyperlink>
      <w:r w:rsidR="00074511">
        <w:t>.</w:t>
      </w:r>
    </w:p>
  </w:footnote>
  <w:footnote w:id="37">
    <w:p w14:paraId="386C75B2" w14:textId="513FE623" w:rsidR="00074511" w:rsidRPr="00074511" w:rsidRDefault="00F72A63" w:rsidP="00074511">
      <w:pPr>
        <w:pStyle w:val="FootnoteText"/>
      </w:pPr>
      <w:r>
        <w:rPr>
          <w:rStyle w:val="FootnoteReference"/>
        </w:rPr>
        <w:footnoteRef/>
      </w:r>
      <w:r>
        <w:t xml:space="preserve"> </w:t>
      </w:r>
      <w:r w:rsidR="00074511" w:rsidRPr="00074511">
        <w:t xml:space="preserve">Nathan JP, </w:t>
      </w:r>
      <w:r w:rsidR="00074511" w:rsidRPr="00074511">
        <w:t>Kudadjie-Gyamfi E, Halberstam L, Wright JT. Consumers' Information-Seeking Behaviors on Dietary Supplements. Int Q Community Health Educ. 2020 Apr;40(3):171-176.</w:t>
      </w:r>
      <w:r w:rsidR="00074511">
        <w:t xml:space="preserve"> </w:t>
      </w:r>
      <w:r w:rsidR="00074511" w:rsidRPr="00074511">
        <w:t>DOI: </w:t>
      </w:r>
      <w:hyperlink r:id="rId32" w:tgtFrame="_blank" w:history="1">
        <w:r w:rsidR="00074511" w:rsidRPr="00074511">
          <w:rPr>
            <w:rStyle w:val="Hyperlink"/>
          </w:rPr>
          <w:t>10.1177/0272684X19874967</w:t>
        </w:r>
      </w:hyperlink>
      <w:r w:rsidR="00074511">
        <w:t>.</w:t>
      </w:r>
    </w:p>
    <w:p w14:paraId="456B0280" w14:textId="33EC0AA7" w:rsidR="00F72A63" w:rsidRDefault="00F72A63" w:rsidP="00F72A63">
      <w:pPr>
        <w:pStyle w:val="FootnoteText"/>
      </w:pPr>
    </w:p>
  </w:footnote>
  <w:footnote w:id="38">
    <w:p w14:paraId="4FFF1AA8" w14:textId="007B36D9" w:rsidR="006E632E" w:rsidRDefault="00F85048">
      <w:pPr>
        <w:pStyle w:val="FootnoteText"/>
      </w:pPr>
      <w:r>
        <w:rPr>
          <w:rStyle w:val="FootnoteReference"/>
        </w:rPr>
        <w:footnoteRef/>
      </w:r>
      <w:r>
        <w:t xml:space="preserve"> </w:t>
      </w:r>
      <w:hyperlink r:id="rId33" w:history="1">
        <w:r w:rsidR="00074511" w:rsidRPr="00074511">
          <w:rPr>
            <w:rStyle w:val="Hyperlink"/>
          </w:rPr>
          <w:t>Vitamin B6 - pyridoxine</w:t>
        </w:r>
      </w:hyperlink>
      <w:r w:rsidR="00074511" w:rsidRPr="00074511">
        <w:t>.</w:t>
      </w:r>
      <w:r w:rsidR="00074511">
        <w:t xml:space="preserve"> Good Standards Scotland. Accessed on 2</w:t>
      </w:r>
      <w:r w:rsidR="00516398">
        <w:t>3</w:t>
      </w:r>
      <w:r w:rsidR="00074511">
        <w:t xml:space="preserve"> June 2025.</w:t>
      </w:r>
    </w:p>
  </w:footnote>
  <w:footnote w:id="39">
    <w:p w14:paraId="75E8E768" w14:textId="517191E2" w:rsidR="006E632E" w:rsidRDefault="006E632E">
      <w:pPr>
        <w:pStyle w:val="FootnoteText"/>
      </w:pPr>
      <w:r>
        <w:rPr>
          <w:rStyle w:val="FootnoteReference"/>
        </w:rPr>
        <w:footnoteRef/>
      </w:r>
      <w:r>
        <w:t xml:space="preserve"> </w:t>
      </w:r>
      <w:hyperlink r:id="rId34" w:history="1">
        <w:r w:rsidR="00074511" w:rsidRPr="00074511">
          <w:rPr>
            <w:rStyle w:val="Hyperlink"/>
          </w:rPr>
          <w:t>B vitamins and folic acid</w:t>
        </w:r>
      </w:hyperlink>
      <w:r w:rsidR="00074511">
        <w:t xml:space="preserve">. </w:t>
      </w:r>
      <w:r w:rsidR="00074511" w:rsidRPr="00074511">
        <w:t>National Health Service</w:t>
      </w:r>
      <w:r w:rsidR="00074511">
        <w:t>, United Kingdom. Accessed on 2</w:t>
      </w:r>
      <w:r w:rsidR="00516398">
        <w:t>3</w:t>
      </w:r>
      <w:r w:rsidR="00074511">
        <w:t xml:space="preserve"> June 2025.</w:t>
      </w:r>
    </w:p>
  </w:footnote>
  <w:footnote w:id="40">
    <w:p w14:paraId="1AD4DF74" w14:textId="4EE35578" w:rsidR="00B378BC" w:rsidRDefault="00D43C0D">
      <w:pPr>
        <w:pStyle w:val="FootnoteText"/>
      </w:pPr>
      <w:r>
        <w:rPr>
          <w:rStyle w:val="FootnoteReference"/>
        </w:rPr>
        <w:footnoteRef/>
      </w:r>
      <w:r>
        <w:t xml:space="preserve"> </w:t>
      </w:r>
      <w:hyperlink r:id="rId35" w:history="1">
        <w:r w:rsidR="00B378BC" w:rsidRPr="00DD7F2F">
          <w:rPr>
            <w:rStyle w:val="Hyperlink"/>
            <w:rFonts w:cs="Arial"/>
            <w:szCs w:val="16"/>
          </w:rPr>
          <w:t>Safe Upper Levels for Vitamins and Minerals</w:t>
        </w:r>
      </w:hyperlink>
      <w:r w:rsidR="005E5933">
        <w:t xml:space="preserve">. </w:t>
      </w:r>
      <w:r w:rsidR="005E5933" w:rsidRPr="005E5933">
        <w:rPr>
          <w:rFonts w:cs="Arial"/>
          <w:szCs w:val="16"/>
        </w:rPr>
        <w:t xml:space="preserve">Report of the </w:t>
      </w:r>
      <w:r w:rsidR="005E5933">
        <w:t>United Kingdom</w:t>
      </w:r>
      <w:r w:rsidR="005E5933" w:rsidRPr="005E5933">
        <w:rPr>
          <w:rFonts w:cs="Arial"/>
          <w:szCs w:val="16"/>
        </w:rPr>
        <w:t xml:space="preserve"> Expert Group on Vitamins and </w:t>
      </w:r>
      <w:r w:rsidR="005E5933">
        <w:rPr>
          <w:rFonts w:cs="Arial"/>
          <w:szCs w:val="16"/>
        </w:rPr>
        <w:t>M</w:t>
      </w:r>
      <w:r w:rsidR="005E5933" w:rsidRPr="005E5933">
        <w:rPr>
          <w:rFonts w:cs="Arial"/>
          <w:szCs w:val="16"/>
        </w:rPr>
        <w:t xml:space="preserve">inerals </w:t>
      </w:r>
      <w:r w:rsidR="00074511" w:rsidRPr="00DD7F2F">
        <w:rPr>
          <w:rFonts w:cs="Arial"/>
          <w:szCs w:val="16"/>
        </w:rPr>
        <w:t>(2003).</w:t>
      </w:r>
    </w:p>
  </w:footnote>
  <w:footnote w:id="41">
    <w:p w14:paraId="041A3264" w14:textId="62AC7D35" w:rsidR="001F6BF5" w:rsidRDefault="001F6BF5">
      <w:pPr>
        <w:pStyle w:val="FootnoteText"/>
      </w:pPr>
      <w:r>
        <w:rPr>
          <w:rStyle w:val="FootnoteReference"/>
        </w:rPr>
        <w:footnoteRef/>
      </w:r>
      <w:r>
        <w:t xml:space="preserve"> </w:t>
      </w:r>
      <w:hyperlink r:id="rId36" w:history="1">
        <w:r w:rsidRPr="00DD7F2F">
          <w:rPr>
            <w:rStyle w:val="Hyperlink"/>
            <w:rFonts w:cs="Arial"/>
            <w:szCs w:val="16"/>
          </w:rPr>
          <w:t>Dietary reference intakes tables: Reference values for vitamins</w:t>
        </w:r>
      </w:hyperlink>
      <w:r w:rsidR="005E5933">
        <w:t xml:space="preserve">. </w:t>
      </w:r>
      <w:r w:rsidR="005E5933" w:rsidRPr="00DD7F2F">
        <w:rPr>
          <w:rFonts w:cs="Arial"/>
          <w:szCs w:val="16"/>
        </w:rPr>
        <w:t>Health Canada.</w:t>
      </w:r>
      <w:r w:rsidR="005E5933">
        <w:rPr>
          <w:rFonts w:cs="Arial"/>
          <w:szCs w:val="16"/>
        </w:rPr>
        <w:t xml:space="preserve"> Accessed on 2</w:t>
      </w:r>
      <w:r w:rsidR="00516398">
        <w:rPr>
          <w:rFonts w:cs="Arial"/>
          <w:szCs w:val="16"/>
        </w:rPr>
        <w:t>3</w:t>
      </w:r>
      <w:r w:rsidR="005E5933">
        <w:rPr>
          <w:rFonts w:cs="Arial"/>
          <w:szCs w:val="16"/>
        </w:rPr>
        <w:t xml:space="preserve"> June 2025.</w:t>
      </w:r>
    </w:p>
  </w:footnote>
  <w:footnote w:id="42">
    <w:p w14:paraId="52DE9EB1" w14:textId="49008527" w:rsidR="001C17D9" w:rsidRDefault="001C17D9" w:rsidP="005E5933">
      <w:pPr>
        <w:pStyle w:val="FootnoteText"/>
      </w:pPr>
      <w:r>
        <w:rPr>
          <w:rStyle w:val="FootnoteReference"/>
        </w:rPr>
        <w:footnoteRef/>
      </w:r>
      <w:r>
        <w:t xml:space="preserve"> </w:t>
      </w:r>
      <w:hyperlink r:id="rId37" w:tgtFrame="external" w:history="1">
        <w:r w:rsidRPr="00DD7F2F">
          <w:rPr>
            <w:rStyle w:val="Hyperlink"/>
            <w:rFonts w:cs="Arial"/>
            <w:color w:val="205488"/>
            <w:szCs w:val="16"/>
            <w:shd w:val="clear" w:color="auto" w:fill="FFFFFF"/>
          </w:rPr>
          <w:t xml:space="preserve">Dietary Reference Intakes: </w:t>
        </w:r>
        <w:r w:rsidRPr="00DD7F2F">
          <w:rPr>
            <w:rStyle w:val="Hyperlink"/>
            <w:rFonts w:cs="Arial"/>
            <w:color w:val="205488"/>
            <w:szCs w:val="16"/>
            <w:shd w:val="clear" w:color="auto" w:fill="FFFFFF"/>
          </w:rPr>
          <w:t>Thiamin, Riboflavin, Niacin, Vitamin B6, Folate, Vitamin B12, Pantothenic Acid, Biotin, and Choline</w:t>
        </w:r>
      </w:hyperlink>
      <w:r w:rsidR="005E5933">
        <w:t xml:space="preserve">. </w:t>
      </w:r>
      <w:r w:rsidR="005E5933" w:rsidRPr="005E5933">
        <w:t>Institute of Medicine. 1998. Washington, DC: The National Academies Press.</w:t>
      </w:r>
      <w:r w:rsidR="005E5933">
        <w:t xml:space="preserve"> DOI: </w:t>
      </w:r>
      <w:hyperlink r:id="rId38" w:history="1">
        <w:r w:rsidR="005E5933">
          <w:rPr>
            <w:rStyle w:val="Hyperlink"/>
          </w:rPr>
          <w:t>10.17226/6015</w:t>
        </w:r>
      </w:hyperlink>
      <w:r w:rsidR="005E5933">
        <w:t xml:space="preserve">. </w:t>
      </w:r>
    </w:p>
  </w:footnote>
  <w:footnote w:id="43">
    <w:p w14:paraId="15CB82BB" w14:textId="2E20B730" w:rsidR="004F0EED" w:rsidRDefault="004F0EED" w:rsidP="004F0EED">
      <w:pPr>
        <w:pStyle w:val="FootnoteText"/>
        <w:jc w:val="both"/>
      </w:pPr>
      <w:r>
        <w:rPr>
          <w:rStyle w:val="FootnoteReference"/>
        </w:rPr>
        <w:footnoteRef/>
      </w:r>
      <w:r>
        <w:t xml:space="preserve"> </w:t>
      </w:r>
      <w:hyperlink r:id="rId39" w:history="1">
        <w:r w:rsidRPr="0073028F">
          <w:rPr>
            <w:rStyle w:val="Hyperlink"/>
          </w:rPr>
          <w:t>Attachment 6 (Nutrition Assessment)</w:t>
        </w:r>
      </w:hyperlink>
      <w:r>
        <w:t xml:space="preserve"> to the </w:t>
      </w:r>
      <w:r w:rsidRPr="00695AA7">
        <w:t>Food Standards Australia New Zealand</w:t>
      </w:r>
      <w:r>
        <w:t xml:space="preserve"> Final Assessment Report in relation to an application to permit addition of </w:t>
      </w:r>
      <w:r w:rsidRPr="0073028F">
        <w:t>addition of vitamins and minerals to formulated beverages</w:t>
      </w:r>
      <w:r>
        <w:t xml:space="preserve">, 2005. Accessed on </w:t>
      </w:r>
      <w:r w:rsidR="00516398">
        <w:t xml:space="preserve">23 </w:t>
      </w:r>
      <w:r>
        <w:t>June 2025.</w:t>
      </w:r>
    </w:p>
  </w:footnote>
  <w:footnote w:id="44">
    <w:p w14:paraId="5E7C395B" w14:textId="34E70A03" w:rsidR="008C3D8D" w:rsidRDefault="008C3D8D">
      <w:pPr>
        <w:pStyle w:val="FootnoteText"/>
      </w:pPr>
      <w:r>
        <w:rPr>
          <w:rStyle w:val="FootnoteReference"/>
        </w:rPr>
        <w:footnoteRef/>
      </w:r>
      <w:r>
        <w:t xml:space="preserve"> </w:t>
      </w:r>
      <w:r w:rsidRPr="008C3D8D">
        <w:t xml:space="preserve">van Hunsel F, van de Koppel S, van </w:t>
      </w:r>
      <w:r w:rsidRPr="008C3D8D">
        <w:t>Puijenbroek E, Kant A. Vitamin B</w:t>
      </w:r>
      <w:r w:rsidRPr="008C3D8D">
        <w:rPr>
          <w:vertAlign w:val="subscript"/>
        </w:rPr>
        <w:t>6</w:t>
      </w:r>
      <w:r w:rsidRPr="008C3D8D">
        <w:t> in Health Supplements and Neuropathy: Case Series Assessment of Spontaneously Reported Cases. Drug Saf. 2018 Sep;41(9):859-869.</w:t>
      </w:r>
      <w:r>
        <w:t xml:space="preserve"> DOI: </w:t>
      </w:r>
      <w:hyperlink r:id="rId40" w:tgtFrame="_blank" w:history="1">
        <w:r w:rsidRPr="008C3D8D">
          <w:rPr>
            <w:rStyle w:val="Hyperlink"/>
          </w:rPr>
          <w:t>10.1007/s40264-018-0664-0</w:t>
        </w:r>
      </w:hyperlink>
      <w:r>
        <w:t>.</w:t>
      </w:r>
    </w:p>
  </w:footnote>
  <w:footnote w:id="45">
    <w:p w14:paraId="4CA081E7" w14:textId="1A2B6A4C" w:rsidR="007A1829" w:rsidRDefault="007A1829" w:rsidP="007A1829">
      <w:pPr>
        <w:pStyle w:val="FootnoteText"/>
      </w:pPr>
      <w:r>
        <w:rPr>
          <w:rStyle w:val="FootnoteReference"/>
        </w:rPr>
        <w:footnoteRef/>
      </w:r>
      <w:r>
        <w:t xml:space="preserve"> </w:t>
      </w:r>
      <w:r w:rsidR="005E5933" w:rsidRPr="005E5933">
        <w:t xml:space="preserve">van Hunsel F, Scholl J, Vrolijk M, Ekhart C. Impact of Regulatory Action on Dose Maximalization for Vitamin B6 Dietary Supplements on the Reporting Pattern for Neuropathy. </w:t>
      </w:r>
      <w:r w:rsidR="005E5933" w:rsidRPr="005E5933">
        <w:t>Pharmacoepidemiol Drug Saf. 2025 Feb;34(2</w:t>
      </w:r>
      <w:r w:rsidR="005E5933" w:rsidRPr="005E5933">
        <w:t>):e70108</w:t>
      </w:r>
      <w:r w:rsidR="005E5933">
        <w:t xml:space="preserve">. DOI: </w:t>
      </w:r>
      <w:hyperlink r:id="rId41" w:history="1">
        <w:r w:rsidR="005E5933">
          <w:rPr>
            <w:rStyle w:val="Hyperlink"/>
          </w:rPr>
          <w:t>10.1002/pds.70108</w:t>
        </w:r>
      </w:hyperlink>
      <w:r w:rsidR="005E5933">
        <w:t xml:space="preserve">. </w:t>
      </w:r>
      <w:r>
        <w:t xml:space="preserve"> </w:t>
      </w:r>
    </w:p>
  </w:footnote>
  <w:footnote w:id="46">
    <w:p w14:paraId="042A3F56" w14:textId="77777777" w:rsidR="00F24561" w:rsidRDefault="00F24561" w:rsidP="00F24561">
      <w:pPr>
        <w:pStyle w:val="FootnoteText"/>
      </w:pPr>
      <w:r>
        <w:rPr>
          <w:rStyle w:val="FootnoteReference"/>
        </w:rPr>
        <w:footnoteRef/>
      </w:r>
      <w:r>
        <w:t xml:space="preserve"> </w:t>
      </w:r>
      <w:r w:rsidRPr="0028466E">
        <w:t>Therapeutic Goods Order No. 92 - Standard for labels of non-prescription medicines</w:t>
      </w:r>
      <w:r>
        <w:t xml:space="preserve"> may also need to be reviewed in conjunction with the </w:t>
      </w:r>
      <w:hyperlink r:id="rId42" w:tgtFrame="_blank" w:history="1">
        <w:r>
          <w:rPr>
            <w:rFonts w:cs="Arial"/>
            <w:color w:val="0000FF"/>
            <w:u w:val="single"/>
            <w:lang w:eastAsia="en-AU"/>
          </w:rPr>
          <w:t>Therapeutic Goods (Permissible Ingredients) Determination (No. 2) 2025</w:t>
        </w:r>
      </w:hyperlink>
      <w:r>
        <w:rPr>
          <w:rFonts w:cs="Arial"/>
        </w:rPr>
        <w:t xml:space="preserve"> and the </w:t>
      </w:r>
      <w:hyperlink r:id="rId43" w:history="1">
        <w:r w:rsidRPr="00557867">
          <w:rPr>
            <w:rStyle w:val="Hyperlink"/>
          </w:rPr>
          <w:t>Therapeutic Goods (Medicines Advisory Statements) Specification 2021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FF83"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69E6895E" w14:textId="77777777">
      <w:trPr>
        <w:trHeight w:hRule="exact" w:val="8845"/>
      </w:trPr>
      <w:tc>
        <w:tcPr>
          <w:tcW w:w="11964" w:type="dxa"/>
          <w:vAlign w:val="center"/>
        </w:tcPr>
        <w:p w14:paraId="2263CE1A" w14:textId="77777777" w:rsidR="00F02AEC" w:rsidRPr="002B29B2" w:rsidRDefault="00F02AEC">
          <w:pPr>
            <w:ind w:left="-57"/>
            <w:rPr>
              <w:noProof/>
            </w:rPr>
          </w:pPr>
        </w:p>
      </w:tc>
    </w:tr>
  </w:tbl>
  <w:p w14:paraId="4C30D7C1" w14:textId="0CD2AA9D" w:rsidR="00F02AEC" w:rsidRDefault="0054659D">
    <w:pPr>
      <w:rPr>
        <w:noProof/>
      </w:rPr>
    </w:pPr>
    <w:r>
      <w:rPr>
        <w:noProof/>
        <w:lang w:eastAsia="en-AU"/>
      </w:rPr>
      <w:drawing>
        <wp:inline distT="0" distB="0" distL="0" distR="0" wp14:anchorId="50DD4923" wp14:editId="6C0CCB5A">
          <wp:extent cx="3344545" cy="694055"/>
          <wp:effectExtent l="0" t="0" r="8255" b="0"/>
          <wp:docPr id="116550286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02867"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F02AEC" w:rsidRPr="002B29B2">
      <w:rPr>
        <w:noProof/>
        <w:lang w:eastAsia="en-AU"/>
      </w:rPr>
      <w:drawing>
        <wp:anchor distT="0" distB="0" distL="114300" distR="114300" simplePos="0" relativeHeight="251658240" behindDoc="0" locked="0" layoutInCell="0" allowOverlap="1" wp14:anchorId="5B5F4C28" wp14:editId="71F98CB8">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3776" w14:textId="77777777" w:rsidR="00F02AEC" w:rsidRPr="005212A2" w:rsidRDefault="00F02AEC" w:rsidP="000579C9">
    <w:pPr>
      <w:pStyle w:val="Header"/>
    </w:pPr>
    <w:r w:rsidRPr="005212A2">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5622" w14:textId="77777777" w:rsidR="005B141F" w:rsidRPr="00FE501F" w:rsidRDefault="005B141F">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420D4"/>
    <w:multiLevelType w:val="hybridMultilevel"/>
    <w:tmpl w:val="188C1D50"/>
    <w:lvl w:ilvl="0" w:tplc="0E9E1560">
      <w:start w:val="1"/>
      <w:numFmt w:val="lowerLetter"/>
      <w:lvlText w:val="%1)"/>
      <w:lvlJc w:val="left"/>
      <w:pPr>
        <w:ind w:left="1020" w:hanging="360"/>
      </w:pPr>
    </w:lvl>
    <w:lvl w:ilvl="1" w:tplc="8354A5B2">
      <w:start w:val="1"/>
      <w:numFmt w:val="lowerLetter"/>
      <w:lvlText w:val="%2)"/>
      <w:lvlJc w:val="left"/>
      <w:pPr>
        <w:ind w:left="1020" w:hanging="360"/>
      </w:pPr>
    </w:lvl>
    <w:lvl w:ilvl="2" w:tplc="50EA705C">
      <w:start w:val="1"/>
      <w:numFmt w:val="lowerLetter"/>
      <w:lvlText w:val="%3)"/>
      <w:lvlJc w:val="left"/>
      <w:pPr>
        <w:ind w:left="1020" w:hanging="360"/>
      </w:pPr>
    </w:lvl>
    <w:lvl w:ilvl="3" w:tplc="F8766118">
      <w:start w:val="1"/>
      <w:numFmt w:val="lowerLetter"/>
      <w:lvlText w:val="%4)"/>
      <w:lvlJc w:val="left"/>
      <w:pPr>
        <w:ind w:left="1020" w:hanging="360"/>
      </w:pPr>
    </w:lvl>
    <w:lvl w:ilvl="4" w:tplc="4C82647E">
      <w:start w:val="1"/>
      <w:numFmt w:val="lowerLetter"/>
      <w:lvlText w:val="%5)"/>
      <w:lvlJc w:val="left"/>
      <w:pPr>
        <w:ind w:left="1020" w:hanging="360"/>
      </w:pPr>
    </w:lvl>
    <w:lvl w:ilvl="5" w:tplc="AD1EE998">
      <w:start w:val="1"/>
      <w:numFmt w:val="lowerLetter"/>
      <w:lvlText w:val="%6)"/>
      <w:lvlJc w:val="left"/>
      <w:pPr>
        <w:ind w:left="1020" w:hanging="360"/>
      </w:pPr>
    </w:lvl>
    <w:lvl w:ilvl="6" w:tplc="16949F80">
      <w:start w:val="1"/>
      <w:numFmt w:val="lowerLetter"/>
      <w:lvlText w:val="%7)"/>
      <w:lvlJc w:val="left"/>
      <w:pPr>
        <w:ind w:left="1020" w:hanging="360"/>
      </w:pPr>
    </w:lvl>
    <w:lvl w:ilvl="7" w:tplc="82EADBC0">
      <w:start w:val="1"/>
      <w:numFmt w:val="lowerLetter"/>
      <w:lvlText w:val="%8)"/>
      <w:lvlJc w:val="left"/>
      <w:pPr>
        <w:ind w:left="1020" w:hanging="360"/>
      </w:pPr>
    </w:lvl>
    <w:lvl w:ilvl="8" w:tplc="124C3C20">
      <w:start w:val="1"/>
      <w:numFmt w:val="lowerLetter"/>
      <w:lvlText w:val="%9)"/>
      <w:lvlJc w:val="left"/>
      <w:pPr>
        <w:ind w:left="1020" w:hanging="360"/>
      </w:pPr>
    </w:lvl>
  </w:abstractNum>
  <w:abstractNum w:abstractNumId="2" w15:restartNumberingAfterBreak="0">
    <w:nsid w:val="0C653530"/>
    <w:multiLevelType w:val="hybridMultilevel"/>
    <w:tmpl w:val="7B0E400A"/>
    <w:lvl w:ilvl="0" w:tplc="2CAAF5B4">
      <w:start w:val="1"/>
      <w:numFmt w:val="bullet"/>
      <w:lvlText w:val=""/>
      <w:lvlJc w:val="left"/>
      <w:pPr>
        <w:ind w:left="720" w:hanging="360"/>
      </w:pPr>
      <w:rPr>
        <w:rFonts w:ascii="Symbol" w:hAnsi="Symbol"/>
      </w:rPr>
    </w:lvl>
    <w:lvl w:ilvl="1" w:tplc="8526A086">
      <w:start w:val="1"/>
      <w:numFmt w:val="bullet"/>
      <w:lvlText w:val=""/>
      <w:lvlJc w:val="left"/>
      <w:pPr>
        <w:ind w:left="720" w:hanging="360"/>
      </w:pPr>
      <w:rPr>
        <w:rFonts w:ascii="Symbol" w:hAnsi="Symbol"/>
      </w:rPr>
    </w:lvl>
    <w:lvl w:ilvl="2" w:tplc="A5FAE35E">
      <w:start w:val="1"/>
      <w:numFmt w:val="bullet"/>
      <w:lvlText w:val=""/>
      <w:lvlJc w:val="left"/>
      <w:pPr>
        <w:ind w:left="720" w:hanging="360"/>
      </w:pPr>
      <w:rPr>
        <w:rFonts w:ascii="Symbol" w:hAnsi="Symbol"/>
      </w:rPr>
    </w:lvl>
    <w:lvl w:ilvl="3" w:tplc="27AE860C">
      <w:start w:val="1"/>
      <w:numFmt w:val="bullet"/>
      <w:lvlText w:val=""/>
      <w:lvlJc w:val="left"/>
      <w:pPr>
        <w:ind w:left="720" w:hanging="360"/>
      </w:pPr>
      <w:rPr>
        <w:rFonts w:ascii="Symbol" w:hAnsi="Symbol"/>
      </w:rPr>
    </w:lvl>
    <w:lvl w:ilvl="4" w:tplc="1D546176">
      <w:start w:val="1"/>
      <w:numFmt w:val="bullet"/>
      <w:lvlText w:val=""/>
      <w:lvlJc w:val="left"/>
      <w:pPr>
        <w:ind w:left="720" w:hanging="360"/>
      </w:pPr>
      <w:rPr>
        <w:rFonts w:ascii="Symbol" w:hAnsi="Symbol"/>
      </w:rPr>
    </w:lvl>
    <w:lvl w:ilvl="5" w:tplc="80129982">
      <w:start w:val="1"/>
      <w:numFmt w:val="bullet"/>
      <w:lvlText w:val=""/>
      <w:lvlJc w:val="left"/>
      <w:pPr>
        <w:ind w:left="720" w:hanging="360"/>
      </w:pPr>
      <w:rPr>
        <w:rFonts w:ascii="Symbol" w:hAnsi="Symbol"/>
      </w:rPr>
    </w:lvl>
    <w:lvl w:ilvl="6" w:tplc="A82294BE">
      <w:start w:val="1"/>
      <w:numFmt w:val="bullet"/>
      <w:lvlText w:val=""/>
      <w:lvlJc w:val="left"/>
      <w:pPr>
        <w:ind w:left="720" w:hanging="360"/>
      </w:pPr>
      <w:rPr>
        <w:rFonts w:ascii="Symbol" w:hAnsi="Symbol"/>
      </w:rPr>
    </w:lvl>
    <w:lvl w:ilvl="7" w:tplc="A13E6DFC">
      <w:start w:val="1"/>
      <w:numFmt w:val="bullet"/>
      <w:lvlText w:val=""/>
      <w:lvlJc w:val="left"/>
      <w:pPr>
        <w:ind w:left="720" w:hanging="360"/>
      </w:pPr>
      <w:rPr>
        <w:rFonts w:ascii="Symbol" w:hAnsi="Symbol"/>
      </w:rPr>
    </w:lvl>
    <w:lvl w:ilvl="8" w:tplc="FECCA124">
      <w:start w:val="1"/>
      <w:numFmt w:val="bullet"/>
      <w:lvlText w:val=""/>
      <w:lvlJc w:val="left"/>
      <w:pPr>
        <w:ind w:left="720" w:hanging="360"/>
      </w:pPr>
      <w:rPr>
        <w:rFonts w:ascii="Symbol" w:hAnsi="Symbol"/>
      </w:rPr>
    </w:lvl>
  </w:abstractNum>
  <w:abstractNum w:abstractNumId="3"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3100FB0"/>
    <w:multiLevelType w:val="hybridMultilevel"/>
    <w:tmpl w:val="E59AEE0A"/>
    <w:lvl w:ilvl="0" w:tplc="93489F84">
      <w:start w:val="1"/>
      <w:numFmt w:val="lowerLetter"/>
      <w:lvlText w:val="%1)"/>
      <w:lvlJc w:val="left"/>
      <w:pPr>
        <w:ind w:left="1020" w:hanging="360"/>
      </w:pPr>
    </w:lvl>
    <w:lvl w:ilvl="1" w:tplc="348EB7C8">
      <w:start w:val="1"/>
      <w:numFmt w:val="lowerLetter"/>
      <w:lvlText w:val="%2)"/>
      <w:lvlJc w:val="left"/>
      <w:pPr>
        <w:ind w:left="1020" w:hanging="360"/>
      </w:pPr>
    </w:lvl>
    <w:lvl w:ilvl="2" w:tplc="04C44A4C">
      <w:start w:val="1"/>
      <w:numFmt w:val="lowerLetter"/>
      <w:lvlText w:val="%3)"/>
      <w:lvlJc w:val="left"/>
      <w:pPr>
        <w:ind w:left="1020" w:hanging="360"/>
      </w:pPr>
    </w:lvl>
    <w:lvl w:ilvl="3" w:tplc="9AE247EA">
      <w:start w:val="1"/>
      <w:numFmt w:val="lowerLetter"/>
      <w:lvlText w:val="%4)"/>
      <w:lvlJc w:val="left"/>
      <w:pPr>
        <w:ind w:left="1020" w:hanging="360"/>
      </w:pPr>
    </w:lvl>
    <w:lvl w:ilvl="4" w:tplc="424CE4CE">
      <w:start w:val="1"/>
      <w:numFmt w:val="lowerLetter"/>
      <w:lvlText w:val="%5)"/>
      <w:lvlJc w:val="left"/>
      <w:pPr>
        <w:ind w:left="1020" w:hanging="360"/>
      </w:pPr>
    </w:lvl>
    <w:lvl w:ilvl="5" w:tplc="76D09CDC">
      <w:start w:val="1"/>
      <w:numFmt w:val="lowerLetter"/>
      <w:lvlText w:val="%6)"/>
      <w:lvlJc w:val="left"/>
      <w:pPr>
        <w:ind w:left="1020" w:hanging="360"/>
      </w:pPr>
    </w:lvl>
    <w:lvl w:ilvl="6" w:tplc="3572ABD2">
      <w:start w:val="1"/>
      <w:numFmt w:val="lowerLetter"/>
      <w:lvlText w:val="%7)"/>
      <w:lvlJc w:val="left"/>
      <w:pPr>
        <w:ind w:left="1020" w:hanging="360"/>
      </w:pPr>
    </w:lvl>
    <w:lvl w:ilvl="7" w:tplc="28687A68">
      <w:start w:val="1"/>
      <w:numFmt w:val="lowerLetter"/>
      <w:lvlText w:val="%8)"/>
      <w:lvlJc w:val="left"/>
      <w:pPr>
        <w:ind w:left="1020" w:hanging="360"/>
      </w:pPr>
    </w:lvl>
    <w:lvl w:ilvl="8" w:tplc="4638345E">
      <w:start w:val="1"/>
      <w:numFmt w:val="lowerLetter"/>
      <w:lvlText w:val="%9)"/>
      <w:lvlJc w:val="left"/>
      <w:pPr>
        <w:ind w:left="1020" w:hanging="36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AF5801"/>
    <w:multiLevelType w:val="hybridMultilevel"/>
    <w:tmpl w:val="D3E0C9D8"/>
    <w:lvl w:ilvl="0" w:tplc="1F566CB8">
      <w:start w:val="1"/>
      <w:numFmt w:val="bullet"/>
      <w:lvlText w:val=""/>
      <w:lvlJc w:val="left"/>
      <w:pPr>
        <w:ind w:left="720" w:hanging="360"/>
      </w:pPr>
      <w:rPr>
        <w:rFonts w:ascii="Symbol" w:hAnsi="Symbol"/>
      </w:rPr>
    </w:lvl>
    <w:lvl w:ilvl="1" w:tplc="51DCED36">
      <w:start w:val="1"/>
      <w:numFmt w:val="bullet"/>
      <w:lvlText w:val=""/>
      <w:lvlJc w:val="left"/>
      <w:pPr>
        <w:ind w:left="720" w:hanging="360"/>
      </w:pPr>
      <w:rPr>
        <w:rFonts w:ascii="Symbol" w:hAnsi="Symbol"/>
      </w:rPr>
    </w:lvl>
    <w:lvl w:ilvl="2" w:tplc="CD84E6A4">
      <w:start w:val="1"/>
      <w:numFmt w:val="bullet"/>
      <w:lvlText w:val=""/>
      <w:lvlJc w:val="left"/>
      <w:pPr>
        <w:ind w:left="720" w:hanging="360"/>
      </w:pPr>
      <w:rPr>
        <w:rFonts w:ascii="Symbol" w:hAnsi="Symbol"/>
      </w:rPr>
    </w:lvl>
    <w:lvl w:ilvl="3" w:tplc="B43C0282">
      <w:start w:val="1"/>
      <w:numFmt w:val="bullet"/>
      <w:lvlText w:val=""/>
      <w:lvlJc w:val="left"/>
      <w:pPr>
        <w:ind w:left="720" w:hanging="360"/>
      </w:pPr>
      <w:rPr>
        <w:rFonts w:ascii="Symbol" w:hAnsi="Symbol"/>
      </w:rPr>
    </w:lvl>
    <w:lvl w:ilvl="4" w:tplc="7C706E32">
      <w:start w:val="1"/>
      <w:numFmt w:val="bullet"/>
      <w:lvlText w:val=""/>
      <w:lvlJc w:val="left"/>
      <w:pPr>
        <w:ind w:left="720" w:hanging="360"/>
      </w:pPr>
      <w:rPr>
        <w:rFonts w:ascii="Symbol" w:hAnsi="Symbol"/>
      </w:rPr>
    </w:lvl>
    <w:lvl w:ilvl="5" w:tplc="FC7EF016">
      <w:start w:val="1"/>
      <w:numFmt w:val="bullet"/>
      <w:lvlText w:val=""/>
      <w:lvlJc w:val="left"/>
      <w:pPr>
        <w:ind w:left="720" w:hanging="360"/>
      </w:pPr>
      <w:rPr>
        <w:rFonts w:ascii="Symbol" w:hAnsi="Symbol"/>
      </w:rPr>
    </w:lvl>
    <w:lvl w:ilvl="6" w:tplc="02781960">
      <w:start w:val="1"/>
      <w:numFmt w:val="bullet"/>
      <w:lvlText w:val=""/>
      <w:lvlJc w:val="left"/>
      <w:pPr>
        <w:ind w:left="720" w:hanging="360"/>
      </w:pPr>
      <w:rPr>
        <w:rFonts w:ascii="Symbol" w:hAnsi="Symbol"/>
      </w:rPr>
    </w:lvl>
    <w:lvl w:ilvl="7" w:tplc="D7D6C4C4">
      <w:start w:val="1"/>
      <w:numFmt w:val="bullet"/>
      <w:lvlText w:val=""/>
      <w:lvlJc w:val="left"/>
      <w:pPr>
        <w:ind w:left="720" w:hanging="360"/>
      </w:pPr>
      <w:rPr>
        <w:rFonts w:ascii="Symbol" w:hAnsi="Symbol"/>
      </w:rPr>
    </w:lvl>
    <w:lvl w:ilvl="8" w:tplc="4B7E8694">
      <w:start w:val="1"/>
      <w:numFmt w:val="bullet"/>
      <w:lvlText w:val=""/>
      <w:lvlJc w:val="left"/>
      <w:pPr>
        <w:ind w:left="720" w:hanging="360"/>
      </w:pPr>
      <w:rPr>
        <w:rFonts w:ascii="Symbol" w:hAnsi="Symbol"/>
      </w:rPr>
    </w:lvl>
  </w:abstractNum>
  <w:abstractNum w:abstractNumId="8" w15:restartNumberingAfterBreak="0">
    <w:nsid w:val="1ABD74D0"/>
    <w:multiLevelType w:val="hybridMultilevel"/>
    <w:tmpl w:val="23FE21D4"/>
    <w:lvl w:ilvl="0" w:tplc="180E42A8">
      <w:start w:val="1"/>
      <w:numFmt w:val="lowerRoman"/>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DFB4D0E"/>
    <w:multiLevelType w:val="multilevel"/>
    <w:tmpl w:val="C5EC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1" w15:restartNumberingAfterBreak="0">
    <w:nsid w:val="264F6B41"/>
    <w:multiLevelType w:val="hybridMultilevel"/>
    <w:tmpl w:val="87EE1B3A"/>
    <w:lvl w:ilvl="0" w:tplc="8FC4E62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2190F"/>
    <w:multiLevelType w:val="multilevel"/>
    <w:tmpl w:val="F16A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5182663"/>
    <w:multiLevelType w:val="hybridMultilevel"/>
    <w:tmpl w:val="B636C284"/>
    <w:lvl w:ilvl="0" w:tplc="ED44E300">
      <w:start w:val="1"/>
      <w:numFmt w:val="lowerLetter"/>
      <w:lvlText w:val="%1)"/>
      <w:lvlJc w:val="left"/>
      <w:pPr>
        <w:ind w:left="1020" w:hanging="360"/>
      </w:pPr>
    </w:lvl>
    <w:lvl w:ilvl="1" w:tplc="21FC3B62">
      <w:start w:val="1"/>
      <w:numFmt w:val="lowerLetter"/>
      <w:lvlText w:val="%2)"/>
      <w:lvlJc w:val="left"/>
      <w:pPr>
        <w:ind w:left="1020" w:hanging="360"/>
      </w:pPr>
    </w:lvl>
    <w:lvl w:ilvl="2" w:tplc="774C2390">
      <w:start w:val="1"/>
      <w:numFmt w:val="lowerLetter"/>
      <w:lvlText w:val="%3)"/>
      <w:lvlJc w:val="left"/>
      <w:pPr>
        <w:ind w:left="1020" w:hanging="360"/>
      </w:pPr>
    </w:lvl>
    <w:lvl w:ilvl="3" w:tplc="951CD212">
      <w:start w:val="1"/>
      <w:numFmt w:val="lowerLetter"/>
      <w:lvlText w:val="%4)"/>
      <w:lvlJc w:val="left"/>
      <w:pPr>
        <w:ind w:left="1020" w:hanging="360"/>
      </w:pPr>
    </w:lvl>
    <w:lvl w:ilvl="4" w:tplc="AE9C1978">
      <w:start w:val="1"/>
      <w:numFmt w:val="lowerLetter"/>
      <w:lvlText w:val="%5)"/>
      <w:lvlJc w:val="left"/>
      <w:pPr>
        <w:ind w:left="1020" w:hanging="360"/>
      </w:pPr>
    </w:lvl>
    <w:lvl w:ilvl="5" w:tplc="66D432D8">
      <w:start w:val="1"/>
      <w:numFmt w:val="lowerLetter"/>
      <w:lvlText w:val="%6)"/>
      <w:lvlJc w:val="left"/>
      <w:pPr>
        <w:ind w:left="1020" w:hanging="360"/>
      </w:pPr>
    </w:lvl>
    <w:lvl w:ilvl="6" w:tplc="0D9ED960">
      <w:start w:val="1"/>
      <w:numFmt w:val="lowerLetter"/>
      <w:lvlText w:val="%7)"/>
      <w:lvlJc w:val="left"/>
      <w:pPr>
        <w:ind w:left="1020" w:hanging="360"/>
      </w:pPr>
    </w:lvl>
    <w:lvl w:ilvl="7" w:tplc="F40C378E">
      <w:start w:val="1"/>
      <w:numFmt w:val="lowerLetter"/>
      <w:lvlText w:val="%8)"/>
      <w:lvlJc w:val="left"/>
      <w:pPr>
        <w:ind w:left="1020" w:hanging="360"/>
      </w:pPr>
    </w:lvl>
    <w:lvl w:ilvl="8" w:tplc="98C65036">
      <w:start w:val="1"/>
      <w:numFmt w:val="lowerLetter"/>
      <w:lvlText w:val="%9)"/>
      <w:lvlJc w:val="left"/>
      <w:pPr>
        <w:ind w:left="1020" w:hanging="360"/>
      </w:pPr>
    </w:lvl>
  </w:abstractNum>
  <w:abstractNum w:abstractNumId="15" w15:restartNumberingAfterBreak="0">
    <w:nsid w:val="39052705"/>
    <w:multiLevelType w:val="multilevel"/>
    <w:tmpl w:val="2A1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A5FBA"/>
    <w:multiLevelType w:val="multilevel"/>
    <w:tmpl w:val="49F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8173A"/>
    <w:multiLevelType w:val="multilevel"/>
    <w:tmpl w:val="A2B2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9" w15:restartNumberingAfterBreak="0">
    <w:nsid w:val="523E5694"/>
    <w:multiLevelType w:val="multilevel"/>
    <w:tmpl w:val="4A7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12978"/>
    <w:multiLevelType w:val="multilevel"/>
    <w:tmpl w:val="3BE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0431E"/>
    <w:multiLevelType w:val="multilevel"/>
    <w:tmpl w:val="3D40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ED4ECE"/>
    <w:multiLevelType w:val="hybridMultilevel"/>
    <w:tmpl w:val="E4BE08A6"/>
    <w:lvl w:ilvl="0" w:tplc="09BA6412">
      <w:start w:val="1"/>
      <w:numFmt w:val="lowerLetter"/>
      <w:lvlText w:val="%1)"/>
      <w:lvlJc w:val="left"/>
      <w:pPr>
        <w:ind w:left="1020" w:hanging="360"/>
      </w:pPr>
    </w:lvl>
    <w:lvl w:ilvl="1" w:tplc="71205670">
      <w:start w:val="1"/>
      <w:numFmt w:val="lowerLetter"/>
      <w:lvlText w:val="%2)"/>
      <w:lvlJc w:val="left"/>
      <w:pPr>
        <w:ind w:left="1020" w:hanging="360"/>
      </w:pPr>
    </w:lvl>
    <w:lvl w:ilvl="2" w:tplc="77545518">
      <w:start w:val="1"/>
      <w:numFmt w:val="lowerLetter"/>
      <w:lvlText w:val="%3)"/>
      <w:lvlJc w:val="left"/>
      <w:pPr>
        <w:ind w:left="1020" w:hanging="360"/>
      </w:pPr>
    </w:lvl>
    <w:lvl w:ilvl="3" w:tplc="E85C95CC">
      <w:start w:val="1"/>
      <w:numFmt w:val="lowerLetter"/>
      <w:lvlText w:val="%4)"/>
      <w:lvlJc w:val="left"/>
      <w:pPr>
        <w:ind w:left="1020" w:hanging="360"/>
      </w:pPr>
    </w:lvl>
    <w:lvl w:ilvl="4" w:tplc="4EC66E3E">
      <w:start w:val="1"/>
      <w:numFmt w:val="lowerLetter"/>
      <w:lvlText w:val="%5)"/>
      <w:lvlJc w:val="left"/>
      <w:pPr>
        <w:ind w:left="1020" w:hanging="360"/>
      </w:pPr>
    </w:lvl>
    <w:lvl w:ilvl="5" w:tplc="997801F6">
      <w:start w:val="1"/>
      <w:numFmt w:val="lowerLetter"/>
      <w:lvlText w:val="%6)"/>
      <w:lvlJc w:val="left"/>
      <w:pPr>
        <w:ind w:left="1020" w:hanging="360"/>
      </w:pPr>
    </w:lvl>
    <w:lvl w:ilvl="6" w:tplc="776874AE">
      <w:start w:val="1"/>
      <w:numFmt w:val="lowerLetter"/>
      <w:lvlText w:val="%7)"/>
      <w:lvlJc w:val="left"/>
      <w:pPr>
        <w:ind w:left="1020" w:hanging="360"/>
      </w:pPr>
    </w:lvl>
    <w:lvl w:ilvl="7" w:tplc="B6E27E1A">
      <w:start w:val="1"/>
      <w:numFmt w:val="lowerLetter"/>
      <w:lvlText w:val="%8)"/>
      <w:lvlJc w:val="left"/>
      <w:pPr>
        <w:ind w:left="1020" w:hanging="360"/>
      </w:pPr>
    </w:lvl>
    <w:lvl w:ilvl="8" w:tplc="47C6D4D2">
      <w:start w:val="1"/>
      <w:numFmt w:val="lowerLetter"/>
      <w:lvlText w:val="%9)"/>
      <w:lvlJc w:val="left"/>
      <w:pPr>
        <w:ind w:left="1020" w:hanging="360"/>
      </w:pPr>
    </w:lvl>
  </w:abstractNum>
  <w:abstractNum w:abstractNumId="23" w15:restartNumberingAfterBreak="0">
    <w:nsid w:val="5FE6338E"/>
    <w:multiLevelType w:val="hybridMultilevel"/>
    <w:tmpl w:val="0EB6A126"/>
    <w:lvl w:ilvl="0" w:tplc="BD7A7D36">
      <w:start w:val="1"/>
      <w:numFmt w:val="bullet"/>
      <w:lvlText w:val=""/>
      <w:lvlJc w:val="left"/>
      <w:pPr>
        <w:ind w:left="720" w:hanging="360"/>
      </w:pPr>
      <w:rPr>
        <w:rFonts w:ascii="Symbol" w:hAnsi="Symbol"/>
      </w:rPr>
    </w:lvl>
    <w:lvl w:ilvl="1" w:tplc="091E0B9E">
      <w:start w:val="1"/>
      <w:numFmt w:val="bullet"/>
      <w:lvlText w:val=""/>
      <w:lvlJc w:val="left"/>
      <w:pPr>
        <w:ind w:left="720" w:hanging="360"/>
      </w:pPr>
      <w:rPr>
        <w:rFonts w:ascii="Symbol" w:hAnsi="Symbol"/>
      </w:rPr>
    </w:lvl>
    <w:lvl w:ilvl="2" w:tplc="2714795A">
      <w:start w:val="1"/>
      <w:numFmt w:val="bullet"/>
      <w:lvlText w:val=""/>
      <w:lvlJc w:val="left"/>
      <w:pPr>
        <w:ind w:left="720" w:hanging="360"/>
      </w:pPr>
      <w:rPr>
        <w:rFonts w:ascii="Symbol" w:hAnsi="Symbol"/>
      </w:rPr>
    </w:lvl>
    <w:lvl w:ilvl="3" w:tplc="E264CDD2">
      <w:start w:val="1"/>
      <w:numFmt w:val="bullet"/>
      <w:lvlText w:val=""/>
      <w:lvlJc w:val="left"/>
      <w:pPr>
        <w:ind w:left="720" w:hanging="360"/>
      </w:pPr>
      <w:rPr>
        <w:rFonts w:ascii="Symbol" w:hAnsi="Symbol"/>
      </w:rPr>
    </w:lvl>
    <w:lvl w:ilvl="4" w:tplc="732009EA">
      <w:start w:val="1"/>
      <w:numFmt w:val="bullet"/>
      <w:lvlText w:val=""/>
      <w:lvlJc w:val="left"/>
      <w:pPr>
        <w:ind w:left="720" w:hanging="360"/>
      </w:pPr>
      <w:rPr>
        <w:rFonts w:ascii="Symbol" w:hAnsi="Symbol"/>
      </w:rPr>
    </w:lvl>
    <w:lvl w:ilvl="5" w:tplc="A6CA110A">
      <w:start w:val="1"/>
      <w:numFmt w:val="bullet"/>
      <w:lvlText w:val=""/>
      <w:lvlJc w:val="left"/>
      <w:pPr>
        <w:ind w:left="720" w:hanging="360"/>
      </w:pPr>
      <w:rPr>
        <w:rFonts w:ascii="Symbol" w:hAnsi="Symbol"/>
      </w:rPr>
    </w:lvl>
    <w:lvl w:ilvl="6" w:tplc="077EDDEE">
      <w:start w:val="1"/>
      <w:numFmt w:val="bullet"/>
      <w:lvlText w:val=""/>
      <w:lvlJc w:val="left"/>
      <w:pPr>
        <w:ind w:left="720" w:hanging="360"/>
      </w:pPr>
      <w:rPr>
        <w:rFonts w:ascii="Symbol" w:hAnsi="Symbol"/>
      </w:rPr>
    </w:lvl>
    <w:lvl w:ilvl="7" w:tplc="74766932">
      <w:start w:val="1"/>
      <w:numFmt w:val="bullet"/>
      <w:lvlText w:val=""/>
      <w:lvlJc w:val="left"/>
      <w:pPr>
        <w:ind w:left="720" w:hanging="360"/>
      </w:pPr>
      <w:rPr>
        <w:rFonts w:ascii="Symbol" w:hAnsi="Symbol"/>
      </w:rPr>
    </w:lvl>
    <w:lvl w:ilvl="8" w:tplc="05DE60DC">
      <w:start w:val="1"/>
      <w:numFmt w:val="bullet"/>
      <w:lvlText w:val=""/>
      <w:lvlJc w:val="left"/>
      <w:pPr>
        <w:ind w:left="720" w:hanging="360"/>
      </w:pPr>
      <w:rPr>
        <w:rFonts w:ascii="Symbol" w:hAnsi="Symbol"/>
      </w:rPr>
    </w:lvl>
  </w:abstractNum>
  <w:abstractNum w:abstractNumId="24" w15:restartNumberingAfterBreak="0">
    <w:nsid w:val="64893ABE"/>
    <w:multiLevelType w:val="hybridMultilevel"/>
    <w:tmpl w:val="8E802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5246E2"/>
    <w:multiLevelType w:val="hybridMultilevel"/>
    <w:tmpl w:val="0388CEAA"/>
    <w:lvl w:ilvl="0" w:tplc="0700CB88">
      <w:start w:val="1"/>
      <w:numFmt w:val="bullet"/>
      <w:lvlText w:val=""/>
      <w:lvlJc w:val="left"/>
      <w:pPr>
        <w:ind w:left="720" w:hanging="360"/>
      </w:pPr>
      <w:rPr>
        <w:rFonts w:ascii="Symbol" w:hAnsi="Symbol"/>
      </w:rPr>
    </w:lvl>
    <w:lvl w:ilvl="1" w:tplc="CAC43434">
      <w:start w:val="1"/>
      <w:numFmt w:val="bullet"/>
      <w:lvlText w:val=""/>
      <w:lvlJc w:val="left"/>
      <w:pPr>
        <w:ind w:left="720" w:hanging="360"/>
      </w:pPr>
      <w:rPr>
        <w:rFonts w:ascii="Symbol" w:hAnsi="Symbol"/>
      </w:rPr>
    </w:lvl>
    <w:lvl w:ilvl="2" w:tplc="FE6C2A78">
      <w:start w:val="1"/>
      <w:numFmt w:val="bullet"/>
      <w:lvlText w:val=""/>
      <w:lvlJc w:val="left"/>
      <w:pPr>
        <w:ind w:left="720" w:hanging="360"/>
      </w:pPr>
      <w:rPr>
        <w:rFonts w:ascii="Symbol" w:hAnsi="Symbol"/>
      </w:rPr>
    </w:lvl>
    <w:lvl w:ilvl="3" w:tplc="C16A94F6">
      <w:start w:val="1"/>
      <w:numFmt w:val="bullet"/>
      <w:lvlText w:val=""/>
      <w:lvlJc w:val="left"/>
      <w:pPr>
        <w:ind w:left="720" w:hanging="360"/>
      </w:pPr>
      <w:rPr>
        <w:rFonts w:ascii="Symbol" w:hAnsi="Symbol"/>
      </w:rPr>
    </w:lvl>
    <w:lvl w:ilvl="4" w:tplc="38A09DA8">
      <w:start w:val="1"/>
      <w:numFmt w:val="bullet"/>
      <w:lvlText w:val=""/>
      <w:lvlJc w:val="left"/>
      <w:pPr>
        <w:ind w:left="720" w:hanging="360"/>
      </w:pPr>
      <w:rPr>
        <w:rFonts w:ascii="Symbol" w:hAnsi="Symbol"/>
      </w:rPr>
    </w:lvl>
    <w:lvl w:ilvl="5" w:tplc="D7C2BCB0">
      <w:start w:val="1"/>
      <w:numFmt w:val="bullet"/>
      <w:lvlText w:val=""/>
      <w:lvlJc w:val="left"/>
      <w:pPr>
        <w:ind w:left="720" w:hanging="360"/>
      </w:pPr>
      <w:rPr>
        <w:rFonts w:ascii="Symbol" w:hAnsi="Symbol"/>
      </w:rPr>
    </w:lvl>
    <w:lvl w:ilvl="6" w:tplc="1F2AF70C">
      <w:start w:val="1"/>
      <w:numFmt w:val="bullet"/>
      <w:lvlText w:val=""/>
      <w:lvlJc w:val="left"/>
      <w:pPr>
        <w:ind w:left="720" w:hanging="360"/>
      </w:pPr>
      <w:rPr>
        <w:rFonts w:ascii="Symbol" w:hAnsi="Symbol"/>
      </w:rPr>
    </w:lvl>
    <w:lvl w:ilvl="7" w:tplc="200E29AA">
      <w:start w:val="1"/>
      <w:numFmt w:val="bullet"/>
      <w:lvlText w:val=""/>
      <w:lvlJc w:val="left"/>
      <w:pPr>
        <w:ind w:left="720" w:hanging="360"/>
      </w:pPr>
      <w:rPr>
        <w:rFonts w:ascii="Symbol" w:hAnsi="Symbol"/>
      </w:rPr>
    </w:lvl>
    <w:lvl w:ilvl="8" w:tplc="E08E30EE">
      <w:start w:val="1"/>
      <w:numFmt w:val="bullet"/>
      <w:lvlText w:val=""/>
      <w:lvlJc w:val="left"/>
      <w:pPr>
        <w:ind w:left="720" w:hanging="360"/>
      </w:pPr>
      <w:rPr>
        <w:rFonts w:ascii="Symbol" w:hAnsi="Symbol"/>
      </w:rPr>
    </w:lvl>
  </w:abstractNum>
  <w:abstractNum w:abstractNumId="26"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728C6"/>
    <w:multiLevelType w:val="multilevel"/>
    <w:tmpl w:val="E47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C35C5"/>
    <w:multiLevelType w:val="hybridMultilevel"/>
    <w:tmpl w:val="1D02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A92D71"/>
    <w:multiLevelType w:val="hybridMultilevel"/>
    <w:tmpl w:val="AC327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1097230">
    <w:abstractNumId w:val="3"/>
  </w:num>
  <w:num w:numId="2" w16cid:durableId="870067104">
    <w:abstractNumId w:val="6"/>
  </w:num>
  <w:num w:numId="3" w16cid:durableId="776367075">
    <w:abstractNumId w:val="0"/>
  </w:num>
  <w:num w:numId="4" w16cid:durableId="350569323">
    <w:abstractNumId w:val="5"/>
  </w:num>
  <w:num w:numId="5" w16cid:durableId="671222171">
    <w:abstractNumId w:val="13"/>
  </w:num>
  <w:num w:numId="6" w16cid:durableId="852691286">
    <w:abstractNumId w:val="8"/>
  </w:num>
  <w:num w:numId="7" w16cid:durableId="1062169600">
    <w:abstractNumId w:val="6"/>
  </w:num>
  <w:num w:numId="8" w16cid:durableId="11732394">
    <w:abstractNumId w:val="10"/>
  </w:num>
  <w:num w:numId="9" w16cid:durableId="2103913646">
    <w:abstractNumId w:val="18"/>
  </w:num>
  <w:num w:numId="10" w16cid:durableId="1479374813">
    <w:abstractNumId w:val="3"/>
  </w:num>
  <w:num w:numId="11" w16cid:durableId="1107315578">
    <w:abstractNumId w:val="29"/>
  </w:num>
  <w:num w:numId="12" w16cid:durableId="963199091">
    <w:abstractNumId w:val="25"/>
  </w:num>
  <w:num w:numId="13" w16cid:durableId="636110491">
    <w:abstractNumId w:val="23"/>
  </w:num>
  <w:num w:numId="14" w16cid:durableId="667102182">
    <w:abstractNumId w:val="7"/>
  </w:num>
  <w:num w:numId="15" w16cid:durableId="833107661">
    <w:abstractNumId w:val="2"/>
  </w:num>
  <w:num w:numId="16" w16cid:durableId="1692411440">
    <w:abstractNumId w:val="11"/>
  </w:num>
  <w:num w:numId="17" w16cid:durableId="1478720569">
    <w:abstractNumId w:val="26"/>
  </w:num>
  <w:num w:numId="18" w16cid:durableId="2103913628">
    <w:abstractNumId w:val="22"/>
  </w:num>
  <w:num w:numId="19" w16cid:durableId="846142577">
    <w:abstractNumId w:val="4"/>
  </w:num>
  <w:num w:numId="20" w16cid:durableId="130295722">
    <w:abstractNumId w:val="1"/>
  </w:num>
  <w:num w:numId="21" w16cid:durableId="1578511639">
    <w:abstractNumId w:val="14"/>
  </w:num>
  <w:num w:numId="22" w16cid:durableId="1354764017">
    <w:abstractNumId w:val="28"/>
  </w:num>
  <w:num w:numId="23" w16cid:durableId="1750925674">
    <w:abstractNumId w:val="24"/>
  </w:num>
  <w:num w:numId="24" w16cid:durableId="1223757070">
    <w:abstractNumId w:val="15"/>
  </w:num>
  <w:num w:numId="25" w16cid:durableId="2078429370">
    <w:abstractNumId w:val="12"/>
  </w:num>
  <w:num w:numId="26" w16cid:durableId="1233007800">
    <w:abstractNumId w:val="17"/>
  </w:num>
  <w:num w:numId="27" w16cid:durableId="692852198">
    <w:abstractNumId w:val="16"/>
  </w:num>
  <w:num w:numId="28" w16cid:durableId="2040352301">
    <w:abstractNumId w:val="9"/>
  </w:num>
  <w:num w:numId="29" w16cid:durableId="167643411">
    <w:abstractNumId w:val="27"/>
  </w:num>
  <w:num w:numId="30" w16cid:durableId="953753756">
    <w:abstractNumId w:val="19"/>
  </w:num>
  <w:num w:numId="31" w16cid:durableId="1100250148">
    <w:abstractNumId w:val="20"/>
  </w:num>
  <w:num w:numId="32" w16cid:durableId="78820815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AD"/>
    <w:rsid w:val="00000F1F"/>
    <w:rsid w:val="000010EB"/>
    <w:rsid w:val="000019AE"/>
    <w:rsid w:val="00002D5E"/>
    <w:rsid w:val="0000574A"/>
    <w:rsid w:val="00007AC9"/>
    <w:rsid w:val="00007CA9"/>
    <w:rsid w:val="00007D0D"/>
    <w:rsid w:val="000104BE"/>
    <w:rsid w:val="000116C1"/>
    <w:rsid w:val="00011FBC"/>
    <w:rsid w:val="000139A8"/>
    <w:rsid w:val="00013CA1"/>
    <w:rsid w:val="000150DC"/>
    <w:rsid w:val="00015B80"/>
    <w:rsid w:val="00016BD2"/>
    <w:rsid w:val="00021374"/>
    <w:rsid w:val="000239B1"/>
    <w:rsid w:val="00024268"/>
    <w:rsid w:val="00024AF5"/>
    <w:rsid w:val="00025360"/>
    <w:rsid w:val="00025662"/>
    <w:rsid w:val="00026A36"/>
    <w:rsid w:val="00026DC1"/>
    <w:rsid w:val="000304AC"/>
    <w:rsid w:val="00030F6B"/>
    <w:rsid w:val="00031F3B"/>
    <w:rsid w:val="000321D7"/>
    <w:rsid w:val="000330B6"/>
    <w:rsid w:val="0003412F"/>
    <w:rsid w:val="00034AD2"/>
    <w:rsid w:val="00034F51"/>
    <w:rsid w:val="00036FCE"/>
    <w:rsid w:val="00037E31"/>
    <w:rsid w:val="000446AF"/>
    <w:rsid w:val="00045A82"/>
    <w:rsid w:val="00045B1F"/>
    <w:rsid w:val="0004667E"/>
    <w:rsid w:val="00046F24"/>
    <w:rsid w:val="00047DDF"/>
    <w:rsid w:val="000503F4"/>
    <w:rsid w:val="000506AF"/>
    <w:rsid w:val="00050AAB"/>
    <w:rsid w:val="00052E84"/>
    <w:rsid w:val="000534DA"/>
    <w:rsid w:val="00053C6B"/>
    <w:rsid w:val="000540E1"/>
    <w:rsid w:val="000544D7"/>
    <w:rsid w:val="00056259"/>
    <w:rsid w:val="000579C9"/>
    <w:rsid w:val="0006234F"/>
    <w:rsid w:val="00063A6D"/>
    <w:rsid w:val="00064AE0"/>
    <w:rsid w:val="00066E46"/>
    <w:rsid w:val="00071A9D"/>
    <w:rsid w:val="00071D82"/>
    <w:rsid w:val="000728F8"/>
    <w:rsid w:val="000730C6"/>
    <w:rsid w:val="00073715"/>
    <w:rsid w:val="00073996"/>
    <w:rsid w:val="00074511"/>
    <w:rsid w:val="0007458A"/>
    <w:rsid w:val="0007764E"/>
    <w:rsid w:val="00077B03"/>
    <w:rsid w:val="000800CA"/>
    <w:rsid w:val="0008074C"/>
    <w:rsid w:val="00081DD7"/>
    <w:rsid w:val="000829F0"/>
    <w:rsid w:val="00082C94"/>
    <w:rsid w:val="000838BA"/>
    <w:rsid w:val="00084BD4"/>
    <w:rsid w:val="00084C6A"/>
    <w:rsid w:val="00084C79"/>
    <w:rsid w:val="00084CE3"/>
    <w:rsid w:val="0008600F"/>
    <w:rsid w:val="00086A83"/>
    <w:rsid w:val="00086E8B"/>
    <w:rsid w:val="000873AD"/>
    <w:rsid w:val="0008780B"/>
    <w:rsid w:val="0009006C"/>
    <w:rsid w:val="000907F8"/>
    <w:rsid w:val="000908E0"/>
    <w:rsid w:val="000912B8"/>
    <w:rsid w:val="000913C6"/>
    <w:rsid w:val="00093E53"/>
    <w:rsid w:val="00094001"/>
    <w:rsid w:val="00094504"/>
    <w:rsid w:val="00094B36"/>
    <w:rsid w:val="00094B81"/>
    <w:rsid w:val="00094D4C"/>
    <w:rsid w:val="000952E9"/>
    <w:rsid w:val="00096A59"/>
    <w:rsid w:val="00096BE5"/>
    <w:rsid w:val="00097B94"/>
    <w:rsid w:val="000A0C1D"/>
    <w:rsid w:val="000A15AF"/>
    <w:rsid w:val="000A6086"/>
    <w:rsid w:val="000A7373"/>
    <w:rsid w:val="000B2149"/>
    <w:rsid w:val="000B2B26"/>
    <w:rsid w:val="000B493F"/>
    <w:rsid w:val="000B56D7"/>
    <w:rsid w:val="000B7376"/>
    <w:rsid w:val="000B77A7"/>
    <w:rsid w:val="000C1802"/>
    <w:rsid w:val="000C2E27"/>
    <w:rsid w:val="000C4125"/>
    <w:rsid w:val="000C4326"/>
    <w:rsid w:val="000C5171"/>
    <w:rsid w:val="000D0364"/>
    <w:rsid w:val="000D1C27"/>
    <w:rsid w:val="000D1E93"/>
    <w:rsid w:val="000D267F"/>
    <w:rsid w:val="000D46DB"/>
    <w:rsid w:val="000D55D6"/>
    <w:rsid w:val="000E1A2F"/>
    <w:rsid w:val="000E2816"/>
    <w:rsid w:val="000E56BC"/>
    <w:rsid w:val="000E68CA"/>
    <w:rsid w:val="000F1520"/>
    <w:rsid w:val="000F1B74"/>
    <w:rsid w:val="000F24EB"/>
    <w:rsid w:val="000F26B9"/>
    <w:rsid w:val="000F3235"/>
    <w:rsid w:val="000F45B1"/>
    <w:rsid w:val="000F64F7"/>
    <w:rsid w:val="000F6F81"/>
    <w:rsid w:val="000F74FB"/>
    <w:rsid w:val="000F755A"/>
    <w:rsid w:val="001007F7"/>
    <w:rsid w:val="00102998"/>
    <w:rsid w:val="00103B35"/>
    <w:rsid w:val="00103C84"/>
    <w:rsid w:val="00104C53"/>
    <w:rsid w:val="001074F3"/>
    <w:rsid w:val="00111F43"/>
    <w:rsid w:val="00114F68"/>
    <w:rsid w:val="001150CC"/>
    <w:rsid w:val="00115D0F"/>
    <w:rsid w:val="00115FE6"/>
    <w:rsid w:val="00116D40"/>
    <w:rsid w:val="00116EA5"/>
    <w:rsid w:val="001172BB"/>
    <w:rsid w:val="00117BDE"/>
    <w:rsid w:val="00117FE2"/>
    <w:rsid w:val="00120386"/>
    <w:rsid w:val="0012123F"/>
    <w:rsid w:val="00122E90"/>
    <w:rsid w:val="0012367D"/>
    <w:rsid w:val="00123FA9"/>
    <w:rsid w:val="0012473C"/>
    <w:rsid w:val="00124D67"/>
    <w:rsid w:val="00124ED0"/>
    <w:rsid w:val="00126E72"/>
    <w:rsid w:val="00127396"/>
    <w:rsid w:val="001330F6"/>
    <w:rsid w:val="00134337"/>
    <w:rsid w:val="001347F9"/>
    <w:rsid w:val="00134C06"/>
    <w:rsid w:val="00135067"/>
    <w:rsid w:val="00135624"/>
    <w:rsid w:val="00135DDE"/>
    <w:rsid w:val="00137AE3"/>
    <w:rsid w:val="00142442"/>
    <w:rsid w:val="00142979"/>
    <w:rsid w:val="001429C4"/>
    <w:rsid w:val="001439FA"/>
    <w:rsid w:val="00143F1F"/>
    <w:rsid w:val="00145053"/>
    <w:rsid w:val="0014547B"/>
    <w:rsid w:val="00145624"/>
    <w:rsid w:val="001458AE"/>
    <w:rsid w:val="00146D1E"/>
    <w:rsid w:val="00147BCC"/>
    <w:rsid w:val="001547DA"/>
    <w:rsid w:val="00154E6C"/>
    <w:rsid w:val="00155AE5"/>
    <w:rsid w:val="0015654F"/>
    <w:rsid w:val="001566F4"/>
    <w:rsid w:val="0015687B"/>
    <w:rsid w:val="00157B2B"/>
    <w:rsid w:val="00157FDE"/>
    <w:rsid w:val="001601C0"/>
    <w:rsid w:val="0016045A"/>
    <w:rsid w:val="00161034"/>
    <w:rsid w:val="001658BE"/>
    <w:rsid w:val="00166604"/>
    <w:rsid w:val="0017220F"/>
    <w:rsid w:val="001724BC"/>
    <w:rsid w:val="00172C99"/>
    <w:rsid w:val="0017497A"/>
    <w:rsid w:val="001749D2"/>
    <w:rsid w:val="00175CD8"/>
    <w:rsid w:val="00176EB1"/>
    <w:rsid w:val="00177AFE"/>
    <w:rsid w:val="00180507"/>
    <w:rsid w:val="00180BCF"/>
    <w:rsid w:val="001827B8"/>
    <w:rsid w:val="00184033"/>
    <w:rsid w:val="001846D1"/>
    <w:rsid w:val="00186423"/>
    <w:rsid w:val="00186BA6"/>
    <w:rsid w:val="00187388"/>
    <w:rsid w:val="001912BB"/>
    <w:rsid w:val="001922FA"/>
    <w:rsid w:val="00192622"/>
    <w:rsid w:val="00194FBE"/>
    <w:rsid w:val="001967A9"/>
    <w:rsid w:val="0019768C"/>
    <w:rsid w:val="001977DF"/>
    <w:rsid w:val="00197C02"/>
    <w:rsid w:val="00197DA8"/>
    <w:rsid w:val="001A07DE"/>
    <w:rsid w:val="001A121C"/>
    <w:rsid w:val="001A20C4"/>
    <w:rsid w:val="001A2683"/>
    <w:rsid w:val="001A2D6F"/>
    <w:rsid w:val="001A2E50"/>
    <w:rsid w:val="001A3B8F"/>
    <w:rsid w:val="001A4ACC"/>
    <w:rsid w:val="001A5007"/>
    <w:rsid w:val="001A5C54"/>
    <w:rsid w:val="001A62B1"/>
    <w:rsid w:val="001A6F3A"/>
    <w:rsid w:val="001A7C75"/>
    <w:rsid w:val="001B0D01"/>
    <w:rsid w:val="001B1043"/>
    <w:rsid w:val="001B17B6"/>
    <w:rsid w:val="001B4715"/>
    <w:rsid w:val="001B64B5"/>
    <w:rsid w:val="001B653A"/>
    <w:rsid w:val="001B7351"/>
    <w:rsid w:val="001C050F"/>
    <w:rsid w:val="001C14D0"/>
    <w:rsid w:val="001C17D9"/>
    <w:rsid w:val="001C1BF9"/>
    <w:rsid w:val="001C3453"/>
    <w:rsid w:val="001C49B9"/>
    <w:rsid w:val="001C6E67"/>
    <w:rsid w:val="001C731C"/>
    <w:rsid w:val="001C73B9"/>
    <w:rsid w:val="001D00BA"/>
    <w:rsid w:val="001D01D2"/>
    <w:rsid w:val="001D1512"/>
    <w:rsid w:val="001D1537"/>
    <w:rsid w:val="001D1FE1"/>
    <w:rsid w:val="001D3077"/>
    <w:rsid w:val="001D3DB6"/>
    <w:rsid w:val="001D4326"/>
    <w:rsid w:val="001D468B"/>
    <w:rsid w:val="001D48F1"/>
    <w:rsid w:val="001D5E99"/>
    <w:rsid w:val="001D6601"/>
    <w:rsid w:val="001D67D1"/>
    <w:rsid w:val="001D6AF6"/>
    <w:rsid w:val="001D6CC3"/>
    <w:rsid w:val="001D7280"/>
    <w:rsid w:val="001D72AB"/>
    <w:rsid w:val="001E0671"/>
    <w:rsid w:val="001E3C72"/>
    <w:rsid w:val="001E736E"/>
    <w:rsid w:val="001F0ED4"/>
    <w:rsid w:val="001F10EA"/>
    <w:rsid w:val="001F1210"/>
    <w:rsid w:val="001F29C4"/>
    <w:rsid w:val="001F32BE"/>
    <w:rsid w:val="001F4B1E"/>
    <w:rsid w:val="001F58E9"/>
    <w:rsid w:val="001F6BF5"/>
    <w:rsid w:val="002008D8"/>
    <w:rsid w:val="00200915"/>
    <w:rsid w:val="002013E4"/>
    <w:rsid w:val="002013FD"/>
    <w:rsid w:val="00201A73"/>
    <w:rsid w:val="00202895"/>
    <w:rsid w:val="00202B7D"/>
    <w:rsid w:val="0020350E"/>
    <w:rsid w:val="00205114"/>
    <w:rsid w:val="00205945"/>
    <w:rsid w:val="00210202"/>
    <w:rsid w:val="00211016"/>
    <w:rsid w:val="00212F43"/>
    <w:rsid w:val="00213C69"/>
    <w:rsid w:val="002146A2"/>
    <w:rsid w:val="00215A16"/>
    <w:rsid w:val="00216660"/>
    <w:rsid w:val="00216CA7"/>
    <w:rsid w:val="00216D24"/>
    <w:rsid w:val="00222365"/>
    <w:rsid w:val="00222FF7"/>
    <w:rsid w:val="00223F09"/>
    <w:rsid w:val="00225166"/>
    <w:rsid w:val="002252D8"/>
    <w:rsid w:val="002272C3"/>
    <w:rsid w:val="00230043"/>
    <w:rsid w:val="00230CD2"/>
    <w:rsid w:val="002312FD"/>
    <w:rsid w:val="00231641"/>
    <w:rsid w:val="00232D5F"/>
    <w:rsid w:val="0023318A"/>
    <w:rsid w:val="00233760"/>
    <w:rsid w:val="00234280"/>
    <w:rsid w:val="002348A4"/>
    <w:rsid w:val="00235080"/>
    <w:rsid w:val="002350A4"/>
    <w:rsid w:val="00235FC4"/>
    <w:rsid w:val="00236AA8"/>
    <w:rsid w:val="002376E7"/>
    <w:rsid w:val="00240311"/>
    <w:rsid w:val="002407E6"/>
    <w:rsid w:val="00240AF5"/>
    <w:rsid w:val="0024111C"/>
    <w:rsid w:val="002427B4"/>
    <w:rsid w:val="00243904"/>
    <w:rsid w:val="0024418F"/>
    <w:rsid w:val="00244EE2"/>
    <w:rsid w:val="002455EF"/>
    <w:rsid w:val="00247789"/>
    <w:rsid w:val="002477E7"/>
    <w:rsid w:val="00251568"/>
    <w:rsid w:val="00251E73"/>
    <w:rsid w:val="0025542D"/>
    <w:rsid w:val="0025582B"/>
    <w:rsid w:val="00255A8A"/>
    <w:rsid w:val="002566CE"/>
    <w:rsid w:val="00257AEF"/>
    <w:rsid w:val="00257E53"/>
    <w:rsid w:val="00260318"/>
    <w:rsid w:val="002613B5"/>
    <w:rsid w:val="0026239B"/>
    <w:rsid w:val="00270A27"/>
    <w:rsid w:val="002720C0"/>
    <w:rsid w:val="002761D1"/>
    <w:rsid w:val="00277E5D"/>
    <w:rsid w:val="0028224B"/>
    <w:rsid w:val="0028239C"/>
    <w:rsid w:val="00283AE4"/>
    <w:rsid w:val="0028406C"/>
    <w:rsid w:val="0028466E"/>
    <w:rsid w:val="00284ED8"/>
    <w:rsid w:val="00284F59"/>
    <w:rsid w:val="002854D5"/>
    <w:rsid w:val="00285733"/>
    <w:rsid w:val="0028657C"/>
    <w:rsid w:val="00287AC0"/>
    <w:rsid w:val="0029351A"/>
    <w:rsid w:val="00295BC2"/>
    <w:rsid w:val="002A0324"/>
    <w:rsid w:val="002A20F2"/>
    <w:rsid w:val="002A2130"/>
    <w:rsid w:val="002A47C1"/>
    <w:rsid w:val="002A49E4"/>
    <w:rsid w:val="002A5D8C"/>
    <w:rsid w:val="002A5DE1"/>
    <w:rsid w:val="002B0374"/>
    <w:rsid w:val="002B09DF"/>
    <w:rsid w:val="002B0CD7"/>
    <w:rsid w:val="002B1189"/>
    <w:rsid w:val="002B2E42"/>
    <w:rsid w:val="002B334C"/>
    <w:rsid w:val="002B41AE"/>
    <w:rsid w:val="002B42BD"/>
    <w:rsid w:val="002B5C62"/>
    <w:rsid w:val="002B6930"/>
    <w:rsid w:val="002B73E4"/>
    <w:rsid w:val="002C02F3"/>
    <w:rsid w:val="002C22FE"/>
    <w:rsid w:val="002C2C6B"/>
    <w:rsid w:val="002C4378"/>
    <w:rsid w:val="002C603D"/>
    <w:rsid w:val="002C648E"/>
    <w:rsid w:val="002C6E94"/>
    <w:rsid w:val="002D0736"/>
    <w:rsid w:val="002D0F8F"/>
    <w:rsid w:val="002D1EDE"/>
    <w:rsid w:val="002D4BA2"/>
    <w:rsid w:val="002D534E"/>
    <w:rsid w:val="002D5FF2"/>
    <w:rsid w:val="002D6BDD"/>
    <w:rsid w:val="002D6D0D"/>
    <w:rsid w:val="002E0112"/>
    <w:rsid w:val="002E0EE3"/>
    <w:rsid w:val="002E370D"/>
    <w:rsid w:val="002E3D49"/>
    <w:rsid w:val="002E3E09"/>
    <w:rsid w:val="002E4BD4"/>
    <w:rsid w:val="002E5C32"/>
    <w:rsid w:val="002E7FE8"/>
    <w:rsid w:val="002F084B"/>
    <w:rsid w:val="002F31FE"/>
    <w:rsid w:val="002F3A26"/>
    <w:rsid w:val="002F42E0"/>
    <w:rsid w:val="002F5645"/>
    <w:rsid w:val="002F5962"/>
    <w:rsid w:val="002F5CD9"/>
    <w:rsid w:val="003003DE"/>
    <w:rsid w:val="003008D8"/>
    <w:rsid w:val="003009DD"/>
    <w:rsid w:val="003011E3"/>
    <w:rsid w:val="003048AC"/>
    <w:rsid w:val="00305A6E"/>
    <w:rsid w:val="003060F1"/>
    <w:rsid w:val="00307CEE"/>
    <w:rsid w:val="00310061"/>
    <w:rsid w:val="00310CD9"/>
    <w:rsid w:val="00311065"/>
    <w:rsid w:val="003116BA"/>
    <w:rsid w:val="00311724"/>
    <w:rsid w:val="00311B57"/>
    <w:rsid w:val="00311B9E"/>
    <w:rsid w:val="00311C90"/>
    <w:rsid w:val="00312E3C"/>
    <w:rsid w:val="003161F5"/>
    <w:rsid w:val="0031667B"/>
    <w:rsid w:val="00316EE8"/>
    <w:rsid w:val="00320EF4"/>
    <w:rsid w:val="00320FF1"/>
    <w:rsid w:val="0032388D"/>
    <w:rsid w:val="00323E16"/>
    <w:rsid w:val="003241E5"/>
    <w:rsid w:val="00324242"/>
    <w:rsid w:val="0032685B"/>
    <w:rsid w:val="0032690C"/>
    <w:rsid w:val="00327F00"/>
    <w:rsid w:val="003309B4"/>
    <w:rsid w:val="00334519"/>
    <w:rsid w:val="003349F7"/>
    <w:rsid w:val="003365C3"/>
    <w:rsid w:val="003370B6"/>
    <w:rsid w:val="00341201"/>
    <w:rsid w:val="00341F1C"/>
    <w:rsid w:val="00344686"/>
    <w:rsid w:val="00344F5B"/>
    <w:rsid w:val="003459CA"/>
    <w:rsid w:val="003474E9"/>
    <w:rsid w:val="00347687"/>
    <w:rsid w:val="00350020"/>
    <w:rsid w:val="003517F1"/>
    <w:rsid w:val="003524F9"/>
    <w:rsid w:val="00352675"/>
    <w:rsid w:val="00352C56"/>
    <w:rsid w:val="0035393D"/>
    <w:rsid w:val="003539E5"/>
    <w:rsid w:val="00353B57"/>
    <w:rsid w:val="00353FB8"/>
    <w:rsid w:val="0035444D"/>
    <w:rsid w:val="00355179"/>
    <w:rsid w:val="003557AA"/>
    <w:rsid w:val="00355882"/>
    <w:rsid w:val="0035594B"/>
    <w:rsid w:val="00355B4E"/>
    <w:rsid w:val="00355E46"/>
    <w:rsid w:val="00355FEE"/>
    <w:rsid w:val="0035668A"/>
    <w:rsid w:val="00356743"/>
    <w:rsid w:val="0035679C"/>
    <w:rsid w:val="0035766B"/>
    <w:rsid w:val="003603C2"/>
    <w:rsid w:val="00360AFD"/>
    <w:rsid w:val="00361BD4"/>
    <w:rsid w:val="00365093"/>
    <w:rsid w:val="003653E4"/>
    <w:rsid w:val="00365DF7"/>
    <w:rsid w:val="0036647E"/>
    <w:rsid w:val="00366BB4"/>
    <w:rsid w:val="00366FE8"/>
    <w:rsid w:val="003704A1"/>
    <w:rsid w:val="00371583"/>
    <w:rsid w:val="0037252E"/>
    <w:rsid w:val="00374131"/>
    <w:rsid w:val="00374183"/>
    <w:rsid w:val="0037498C"/>
    <w:rsid w:val="00375BAA"/>
    <w:rsid w:val="0037625A"/>
    <w:rsid w:val="00377960"/>
    <w:rsid w:val="003821F5"/>
    <w:rsid w:val="003832F1"/>
    <w:rsid w:val="003850BB"/>
    <w:rsid w:val="003854F6"/>
    <w:rsid w:val="00390853"/>
    <w:rsid w:val="00391A73"/>
    <w:rsid w:val="00392227"/>
    <w:rsid w:val="003947D6"/>
    <w:rsid w:val="00394A99"/>
    <w:rsid w:val="00397835"/>
    <w:rsid w:val="003A19C5"/>
    <w:rsid w:val="003A208B"/>
    <w:rsid w:val="003A27A3"/>
    <w:rsid w:val="003A2D62"/>
    <w:rsid w:val="003A50FC"/>
    <w:rsid w:val="003A6225"/>
    <w:rsid w:val="003A66F4"/>
    <w:rsid w:val="003A6738"/>
    <w:rsid w:val="003A6B4E"/>
    <w:rsid w:val="003A7484"/>
    <w:rsid w:val="003B122B"/>
    <w:rsid w:val="003B1557"/>
    <w:rsid w:val="003B1766"/>
    <w:rsid w:val="003B28FA"/>
    <w:rsid w:val="003B2BA9"/>
    <w:rsid w:val="003B3C86"/>
    <w:rsid w:val="003B5AC3"/>
    <w:rsid w:val="003B5C39"/>
    <w:rsid w:val="003B61B6"/>
    <w:rsid w:val="003B70F4"/>
    <w:rsid w:val="003C0204"/>
    <w:rsid w:val="003C325C"/>
    <w:rsid w:val="003C4D65"/>
    <w:rsid w:val="003C7762"/>
    <w:rsid w:val="003D2D9F"/>
    <w:rsid w:val="003D35C8"/>
    <w:rsid w:val="003D46CE"/>
    <w:rsid w:val="003D4F5F"/>
    <w:rsid w:val="003D5F3C"/>
    <w:rsid w:val="003D7E1B"/>
    <w:rsid w:val="003E06AE"/>
    <w:rsid w:val="003E0A2C"/>
    <w:rsid w:val="003E122B"/>
    <w:rsid w:val="003E328A"/>
    <w:rsid w:val="003E4A07"/>
    <w:rsid w:val="003E5874"/>
    <w:rsid w:val="003E7391"/>
    <w:rsid w:val="003E799F"/>
    <w:rsid w:val="003E7C7B"/>
    <w:rsid w:val="003E7EA5"/>
    <w:rsid w:val="003F0523"/>
    <w:rsid w:val="003F0D28"/>
    <w:rsid w:val="003F2113"/>
    <w:rsid w:val="003F22EA"/>
    <w:rsid w:val="003F25D2"/>
    <w:rsid w:val="003F4F44"/>
    <w:rsid w:val="003F51B9"/>
    <w:rsid w:val="003F5642"/>
    <w:rsid w:val="003F7158"/>
    <w:rsid w:val="003F75C9"/>
    <w:rsid w:val="003F7A4A"/>
    <w:rsid w:val="00400CC4"/>
    <w:rsid w:val="00401A29"/>
    <w:rsid w:val="00402311"/>
    <w:rsid w:val="004023EC"/>
    <w:rsid w:val="00403473"/>
    <w:rsid w:val="00410E05"/>
    <w:rsid w:val="00411C65"/>
    <w:rsid w:val="00412D91"/>
    <w:rsid w:val="00413FA1"/>
    <w:rsid w:val="0041411D"/>
    <w:rsid w:val="004148B9"/>
    <w:rsid w:val="00414E6E"/>
    <w:rsid w:val="00415037"/>
    <w:rsid w:val="0041511A"/>
    <w:rsid w:val="0041591B"/>
    <w:rsid w:val="0041636A"/>
    <w:rsid w:val="00417DCE"/>
    <w:rsid w:val="00417E09"/>
    <w:rsid w:val="00420247"/>
    <w:rsid w:val="00420328"/>
    <w:rsid w:val="004205F2"/>
    <w:rsid w:val="00421306"/>
    <w:rsid w:val="004227B0"/>
    <w:rsid w:val="00423141"/>
    <w:rsid w:val="004246B8"/>
    <w:rsid w:val="00426F90"/>
    <w:rsid w:val="00427190"/>
    <w:rsid w:val="00430C66"/>
    <w:rsid w:val="00431066"/>
    <w:rsid w:val="00432AD6"/>
    <w:rsid w:val="00433577"/>
    <w:rsid w:val="00435F4D"/>
    <w:rsid w:val="00437B45"/>
    <w:rsid w:val="0044024E"/>
    <w:rsid w:val="00443445"/>
    <w:rsid w:val="00443BD2"/>
    <w:rsid w:val="00443EFC"/>
    <w:rsid w:val="00446A9A"/>
    <w:rsid w:val="004471F3"/>
    <w:rsid w:val="00450EE1"/>
    <w:rsid w:val="00452D8B"/>
    <w:rsid w:val="00453DCF"/>
    <w:rsid w:val="00454DAD"/>
    <w:rsid w:val="00454F8B"/>
    <w:rsid w:val="0045501A"/>
    <w:rsid w:val="0045565E"/>
    <w:rsid w:val="00456D62"/>
    <w:rsid w:val="00456D63"/>
    <w:rsid w:val="00457175"/>
    <w:rsid w:val="00460130"/>
    <w:rsid w:val="004605DC"/>
    <w:rsid w:val="004608DE"/>
    <w:rsid w:val="00460CD4"/>
    <w:rsid w:val="00460D53"/>
    <w:rsid w:val="00461340"/>
    <w:rsid w:val="0046194C"/>
    <w:rsid w:val="00462277"/>
    <w:rsid w:val="00463A2F"/>
    <w:rsid w:val="00463BED"/>
    <w:rsid w:val="004651B0"/>
    <w:rsid w:val="00465FAB"/>
    <w:rsid w:val="004667E6"/>
    <w:rsid w:val="004667F5"/>
    <w:rsid w:val="0047209E"/>
    <w:rsid w:val="004729EC"/>
    <w:rsid w:val="00473851"/>
    <w:rsid w:val="00473CFB"/>
    <w:rsid w:val="0047615D"/>
    <w:rsid w:val="00480043"/>
    <w:rsid w:val="00480E12"/>
    <w:rsid w:val="004848D9"/>
    <w:rsid w:val="00485DD6"/>
    <w:rsid w:val="00491362"/>
    <w:rsid w:val="004921D9"/>
    <w:rsid w:val="0049412C"/>
    <w:rsid w:val="0049453C"/>
    <w:rsid w:val="004958A0"/>
    <w:rsid w:val="00497E91"/>
    <w:rsid w:val="004A05C1"/>
    <w:rsid w:val="004A09BC"/>
    <w:rsid w:val="004A0AB5"/>
    <w:rsid w:val="004A1751"/>
    <w:rsid w:val="004A24E6"/>
    <w:rsid w:val="004A2798"/>
    <w:rsid w:val="004A44AD"/>
    <w:rsid w:val="004A4A82"/>
    <w:rsid w:val="004A5273"/>
    <w:rsid w:val="004A5A48"/>
    <w:rsid w:val="004A6195"/>
    <w:rsid w:val="004A68F7"/>
    <w:rsid w:val="004A7775"/>
    <w:rsid w:val="004A7A5F"/>
    <w:rsid w:val="004B0576"/>
    <w:rsid w:val="004B0F6F"/>
    <w:rsid w:val="004B1166"/>
    <w:rsid w:val="004B208D"/>
    <w:rsid w:val="004B5BDE"/>
    <w:rsid w:val="004B66A4"/>
    <w:rsid w:val="004B6AD2"/>
    <w:rsid w:val="004B6B18"/>
    <w:rsid w:val="004C00AB"/>
    <w:rsid w:val="004C0F83"/>
    <w:rsid w:val="004C2F62"/>
    <w:rsid w:val="004C3095"/>
    <w:rsid w:val="004C38E0"/>
    <w:rsid w:val="004C488C"/>
    <w:rsid w:val="004C4F7F"/>
    <w:rsid w:val="004C7AD4"/>
    <w:rsid w:val="004D2D17"/>
    <w:rsid w:val="004D35FF"/>
    <w:rsid w:val="004D39C2"/>
    <w:rsid w:val="004D4361"/>
    <w:rsid w:val="004D48F7"/>
    <w:rsid w:val="004D4EA0"/>
    <w:rsid w:val="004D697A"/>
    <w:rsid w:val="004D7D11"/>
    <w:rsid w:val="004E25AC"/>
    <w:rsid w:val="004E3EF6"/>
    <w:rsid w:val="004E5240"/>
    <w:rsid w:val="004E5C81"/>
    <w:rsid w:val="004E60A9"/>
    <w:rsid w:val="004E704C"/>
    <w:rsid w:val="004E7A05"/>
    <w:rsid w:val="004E7E1F"/>
    <w:rsid w:val="004F0EED"/>
    <w:rsid w:val="004F2223"/>
    <w:rsid w:val="004F364B"/>
    <w:rsid w:val="004F3C9C"/>
    <w:rsid w:val="004F4CCB"/>
    <w:rsid w:val="004F5B89"/>
    <w:rsid w:val="004F62E0"/>
    <w:rsid w:val="004F6BB7"/>
    <w:rsid w:val="00500DCA"/>
    <w:rsid w:val="00501553"/>
    <w:rsid w:val="00501DA0"/>
    <w:rsid w:val="00502F5F"/>
    <w:rsid w:val="00503813"/>
    <w:rsid w:val="00505557"/>
    <w:rsid w:val="005074A0"/>
    <w:rsid w:val="00515E71"/>
    <w:rsid w:val="00516398"/>
    <w:rsid w:val="005164C4"/>
    <w:rsid w:val="00517105"/>
    <w:rsid w:val="005212A2"/>
    <w:rsid w:val="00521955"/>
    <w:rsid w:val="00521C57"/>
    <w:rsid w:val="0052268F"/>
    <w:rsid w:val="00522B11"/>
    <w:rsid w:val="0052307C"/>
    <w:rsid w:val="005241F2"/>
    <w:rsid w:val="00525378"/>
    <w:rsid w:val="00526783"/>
    <w:rsid w:val="00526BC7"/>
    <w:rsid w:val="00527401"/>
    <w:rsid w:val="005279DD"/>
    <w:rsid w:val="0053075E"/>
    <w:rsid w:val="005319E7"/>
    <w:rsid w:val="00531B0F"/>
    <w:rsid w:val="005324D3"/>
    <w:rsid w:val="005325D5"/>
    <w:rsid w:val="00532F5F"/>
    <w:rsid w:val="00533AA6"/>
    <w:rsid w:val="00537762"/>
    <w:rsid w:val="00540F33"/>
    <w:rsid w:val="00542E71"/>
    <w:rsid w:val="0054361C"/>
    <w:rsid w:val="005444A0"/>
    <w:rsid w:val="0054659D"/>
    <w:rsid w:val="0054669A"/>
    <w:rsid w:val="005466D3"/>
    <w:rsid w:val="00550318"/>
    <w:rsid w:val="00550778"/>
    <w:rsid w:val="00550C52"/>
    <w:rsid w:val="005518C4"/>
    <w:rsid w:val="00552182"/>
    <w:rsid w:val="00553443"/>
    <w:rsid w:val="00555054"/>
    <w:rsid w:val="005559A0"/>
    <w:rsid w:val="00555A5A"/>
    <w:rsid w:val="00555CB0"/>
    <w:rsid w:val="00557867"/>
    <w:rsid w:val="0056031F"/>
    <w:rsid w:val="00560477"/>
    <w:rsid w:val="00560573"/>
    <w:rsid w:val="005616E9"/>
    <w:rsid w:val="005627EC"/>
    <w:rsid w:val="00562EDC"/>
    <w:rsid w:val="00563EBD"/>
    <w:rsid w:val="00564CCA"/>
    <w:rsid w:val="005656F7"/>
    <w:rsid w:val="005658F0"/>
    <w:rsid w:val="00566E73"/>
    <w:rsid w:val="005671DF"/>
    <w:rsid w:val="00567C0F"/>
    <w:rsid w:val="00567D4B"/>
    <w:rsid w:val="005719B9"/>
    <w:rsid w:val="005722B0"/>
    <w:rsid w:val="00572316"/>
    <w:rsid w:val="00574DEE"/>
    <w:rsid w:val="00574ECE"/>
    <w:rsid w:val="00575914"/>
    <w:rsid w:val="005766C1"/>
    <w:rsid w:val="00576AFB"/>
    <w:rsid w:val="00580B8F"/>
    <w:rsid w:val="00582B51"/>
    <w:rsid w:val="005849DA"/>
    <w:rsid w:val="0058575E"/>
    <w:rsid w:val="0058670D"/>
    <w:rsid w:val="0058694F"/>
    <w:rsid w:val="0058767F"/>
    <w:rsid w:val="005901C2"/>
    <w:rsid w:val="00591C29"/>
    <w:rsid w:val="0059229F"/>
    <w:rsid w:val="0059641A"/>
    <w:rsid w:val="00597A30"/>
    <w:rsid w:val="005A0052"/>
    <w:rsid w:val="005A052D"/>
    <w:rsid w:val="005A0799"/>
    <w:rsid w:val="005A0D40"/>
    <w:rsid w:val="005A140B"/>
    <w:rsid w:val="005A1B70"/>
    <w:rsid w:val="005A26E9"/>
    <w:rsid w:val="005A34E2"/>
    <w:rsid w:val="005A5AD5"/>
    <w:rsid w:val="005A5EDF"/>
    <w:rsid w:val="005A64E9"/>
    <w:rsid w:val="005A6AD8"/>
    <w:rsid w:val="005A6CD5"/>
    <w:rsid w:val="005A729C"/>
    <w:rsid w:val="005B0011"/>
    <w:rsid w:val="005B03FC"/>
    <w:rsid w:val="005B0B0C"/>
    <w:rsid w:val="005B0D94"/>
    <w:rsid w:val="005B141F"/>
    <w:rsid w:val="005B2A0B"/>
    <w:rsid w:val="005B3AE1"/>
    <w:rsid w:val="005B3DEF"/>
    <w:rsid w:val="005B494D"/>
    <w:rsid w:val="005B55C3"/>
    <w:rsid w:val="005B6940"/>
    <w:rsid w:val="005B7C16"/>
    <w:rsid w:val="005C1F38"/>
    <w:rsid w:val="005C2386"/>
    <w:rsid w:val="005C41F5"/>
    <w:rsid w:val="005C5747"/>
    <w:rsid w:val="005C68C5"/>
    <w:rsid w:val="005C7901"/>
    <w:rsid w:val="005D3EBB"/>
    <w:rsid w:val="005D4CC1"/>
    <w:rsid w:val="005D5207"/>
    <w:rsid w:val="005D524B"/>
    <w:rsid w:val="005D6F9D"/>
    <w:rsid w:val="005D7567"/>
    <w:rsid w:val="005E044E"/>
    <w:rsid w:val="005E123C"/>
    <w:rsid w:val="005E1992"/>
    <w:rsid w:val="005E1BFF"/>
    <w:rsid w:val="005E2362"/>
    <w:rsid w:val="005E298D"/>
    <w:rsid w:val="005E2A36"/>
    <w:rsid w:val="005E31BE"/>
    <w:rsid w:val="005E4303"/>
    <w:rsid w:val="005E4956"/>
    <w:rsid w:val="005E4B40"/>
    <w:rsid w:val="005E5933"/>
    <w:rsid w:val="005E631F"/>
    <w:rsid w:val="005E63EE"/>
    <w:rsid w:val="005E6600"/>
    <w:rsid w:val="005E7B80"/>
    <w:rsid w:val="005F0493"/>
    <w:rsid w:val="005F10BB"/>
    <w:rsid w:val="005F1D1A"/>
    <w:rsid w:val="005F2381"/>
    <w:rsid w:val="005F2B31"/>
    <w:rsid w:val="005F3520"/>
    <w:rsid w:val="005F3543"/>
    <w:rsid w:val="005F3A5D"/>
    <w:rsid w:val="005F7262"/>
    <w:rsid w:val="005F75A0"/>
    <w:rsid w:val="006009C0"/>
    <w:rsid w:val="0060140E"/>
    <w:rsid w:val="00601E0A"/>
    <w:rsid w:val="00602740"/>
    <w:rsid w:val="0060533F"/>
    <w:rsid w:val="00607FEB"/>
    <w:rsid w:val="00610820"/>
    <w:rsid w:val="006109FA"/>
    <w:rsid w:val="00612B54"/>
    <w:rsid w:val="0061329E"/>
    <w:rsid w:val="00614393"/>
    <w:rsid w:val="00614960"/>
    <w:rsid w:val="00616211"/>
    <w:rsid w:val="00620727"/>
    <w:rsid w:val="006219B2"/>
    <w:rsid w:val="00621EFA"/>
    <w:rsid w:val="006220CB"/>
    <w:rsid w:val="00622CA5"/>
    <w:rsid w:val="0062614F"/>
    <w:rsid w:val="00626368"/>
    <w:rsid w:val="006263A4"/>
    <w:rsid w:val="00626B23"/>
    <w:rsid w:val="00627CEF"/>
    <w:rsid w:val="00627F0A"/>
    <w:rsid w:val="006309AF"/>
    <w:rsid w:val="006311D3"/>
    <w:rsid w:val="0063127B"/>
    <w:rsid w:val="00632DD1"/>
    <w:rsid w:val="0063355B"/>
    <w:rsid w:val="006342CE"/>
    <w:rsid w:val="006352B7"/>
    <w:rsid w:val="006355D5"/>
    <w:rsid w:val="0063722C"/>
    <w:rsid w:val="006376D9"/>
    <w:rsid w:val="006378BB"/>
    <w:rsid w:val="006401F9"/>
    <w:rsid w:val="0064097F"/>
    <w:rsid w:val="00640A7F"/>
    <w:rsid w:val="00641072"/>
    <w:rsid w:val="006414FE"/>
    <w:rsid w:val="00641C00"/>
    <w:rsid w:val="006432BE"/>
    <w:rsid w:val="0064395C"/>
    <w:rsid w:val="00645301"/>
    <w:rsid w:val="006460BA"/>
    <w:rsid w:val="00646778"/>
    <w:rsid w:val="00646C6E"/>
    <w:rsid w:val="00646E1B"/>
    <w:rsid w:val="006479F4"/>
    <w:rsid w:val="00652209"/>
    <w:rsid w:val="0065251E"/>
    <w:rsid w:val="0065254F"/>
    <w:rsid w:val="00652A3D"/>
    <w:rsid w:val="00654B05"/>
    <w:rsid w:val="00656ADE"/>
    <w:rsid w:val="006605BA"/>
    <w:rsid w:val="0066144D"/>
    <w:rsid w:val="00661CB0"/>
    <w:rsid w:val="00662840"/>
    <w:rsid w:val="00662935"/>
    <w:rsid w:val="00663293"/>
    <w:rsid w:val="00663EAF"/>
    <w:rsid w:val="00664765"/>
    <w:rsid w:val="00664961"/>
    <w:rsid w:val="00665366"/>
    <w:rsid w:val="00665578"/>
    <w:rsid w:val="00665865"/>
    <w:rsid w:val="006674A3"/>
    <w:rsid w:val="0067063E"/>
    <w:rsid w:val="00670CF9"/>
    <w:rsid w:val="00671160"/>
    <w:rsid w:val="00671A98"/>
    <w:rsid w:val="006748C2"/>
    <w:rsid w:val="00675712"/>
    <w:rsid w:val="00680CE4"/>
    <w:rsid w:val="006812DC"/>
    <w:rsid w:val="006815CE"/>
    <w:rsid w:val="006837FB"/>
    <w:rsid w:val="00684412"/>
    <w:rsid w:val="0068661B"/>
    <w:rsid w:val="00686666"/>
    <w:rsid w:val="00686851"/>
    <w:rsid w:val="00686D45"/>
    <w:rsid w:val="00687341"/>
    <w:rsid w:val="00690818"/>
    <w:rsid w:val="00690C80"/>
    <w:rsid w:val="00691F93"/>
    <w:rsid w:val="00692401"/>
    <w:rsid w:val="00694D49"/>
    <w:rsid w:val="006953C0"/>
    <w:rsid w:val="00695AA7"/>
    <w:rsid w:val="00696367"/>
    <w:rsid w:val="006A1F0B"/>
    <w:rsid w:val="006A26AF"/>
    <w:rsid w:val="006A2ECD"/>
    <w:rsid w:val="006A4D44"/>
    <w:rsid w:val="006A4F5B"/>
    <w:rsid w:val="006A59A3"/>
    <w:rsid w:val="006A5F19"/>
    <w:rsid w:val="006A7054"/>
    <w:rsid w:val="006B0D62"/>
    <w:rsid w:val="006B1BAD"/>
    <w:rsid w:val="006B35FB"/>
    <w:rsid w:val="006B3FCF"/>
    <w:rsid w:val="006B4DCD"/>
    <w:rsid w:val="006C0B08"/>
    <w:rsid w:val="006C283F"/>
    <w:rsid w:val="006C5653"/>
    <w:rsid w:val="006C5875"/>
    <w:rsid w:val="006C5932"/>
    <w:rsid w:val="006C73B9"/>
    <w:rsid w:val="006D18CE"/>
    <w:rsid w:val="006D2422"/>
    <w:rsid w:val="006D2D97"/>
    <w:rsid w:val="006D3102"/>
    <w:rsid w:val="006D3283"/>
    <w:rsid w:val="006D7518"/>
    <w:rsid w:val="006E0850"/>
    <w:rsid w:val="006E164B"/>
    <w:rsid w:val="006E3B3C"/>
    <w:rsid w:val="006E3F78"/>
    <w:rsid w:val="006E51B9"/>
    <w:rsid w:val="006E632E"/>
    <w:rsid w:val="006E63B5"/>
    <w:rsid w:val="006E640C"/>
    <w:rsid w:val="006E7C36"/>
    <w:rsid w:val="006F0E6D"/>
    <w:rsid w:val="006F172A"/>
    <w:rsid w:val="006F21D7"/>
    <w:rsid w:val="006F23CF"/>
    <w:rsid w:val="006F24DD"/>
    <w:rsid w:val="006F28E0"/>
    <w:rsid w:val="006F2BAF"/>
    <w:rsid w:val="006F340A"/>
    <w:rsid w:val="006F4B69"/>
    <w:rsid w:val="006F4C10"/>
    <w:rsid w:val="006F74FF"/>
    <w:rsid w:val="006F76E6"/>
    <w:rsid w:val="006F7DA9"/>
    <w:rsid w:val="007001DE"/>
    <w:rsid w:val="007002C6"/>
    <w:rsid w:val="00700ECF"/>
    <w:rsid w:val="0070212C"/>
    <w:rsid w:val="00702AD1"/>
    <w:rsid w:val="00703217"/>
    <w:rsid w:val="007040ED"/>
    <w:rsid w:val="00704E43"/>
    <w:rsid w:val="00705531"/>
    <w:rsid w:val="00706386"/>
    <w:rsid w:val="00706935"/>
    <w:rsid w:val="007113B2"/>
    <w:rsid w:val="00711A10"/>
    <w:rsid w:val="00712148"/>
    <w:rsid w:val="007130EB"/>
    <w:rsid w:val="00713284"/>
    <w:rsid w:val="00713888"/>
    <w:rsid w:val="007166CA"/>
    <w:rsid w:val="00717D63"/>
    <w:rsid w:val="00721107"/>
    <w:rsid w:val="00721332"/>
    <w:rsid w:val="00723EEA"/>
    <w:rsid w:val="007247B0"/>
    <w:rsid w:val="00724860"/>
    <w:rsid w:val="00726B5A"/>
    <w:rsid w:val="00727F3B"/>
    <w:rsid w:val="0073028F"/>
    <w:rsid w:val="0073115F"/>
    <w:rsid w:val="00731A3B"/>
    <w:rsid w:val="00732810"/>
    <w:rsid w:val="00732A67"/>
    <w:rsid w:val="00732B61"/>
    <w:rsid w:val="007331FE"/>
    <w:rsid w:val="007339FC"/>
    <w:rsid w:val="00733AD5"/>
    <w:rsid w:val="0073536B"/>
    <w:rsid w:val="00741A13"/>
    <w:rsid w:val="00742421"/>
    <w:rsid w:val="00743765"/>
    <w:rsid w:val="00745915"/>
    <w:rsid w:val="007464E5"/>
    <w:rsid w:val="00746990"/>
    <w:rsid w:val="00746E3C"/>
    <w:rsid w:val="00750605"/>
    <w:rsid w:val="00751544"/>
    <w:rsid w:val="007518D7"/>
    <w:rsid w:val="00752163"/>
    <w:rsid w:val="0075271C"/>
    <w:rsid w:val="00752A37"/>
    <w:rsid w:val="0075356A"/>
    <w:rsid w:val="00753EFB"/>
    <w:rsid w:val="007544B7"/>
    <w:rsid w:val="00754813"/>
    <w:rsid w:val="0075495A"/>
    <w:rsid w:val="00754CF8"/>
    <w:rsid w:val="00754CFC"/>
    <w:rsid w:val="007564A8"/>
    <w:rsid w:val="00756D4B"/>
    <w:rsid w:val="00757916"/>
    <w:rsid w:val="00757AA1"/>
    <w:rsid w:val="0076012C"/>
    <w:rsid w:val="0076199D"/>
    <w:rsid w:val="00762102"/>
    <w:rsid w:val="007642F0"/>
    <w:rsid w:val="00764D44"/>
    <w:rsid w:val="00764F4C"/>
    <w:rsid w:val="00765D2E"/>
    <w:rsid w:val="00766C12"/>
    <w:rsid w:val="007713D9"/>
    <w:rsid w:val="00771ACD"/>
    <w:rsid w:val="007720FC"/>
    <w:rsid w:val="0077389E"/>
    <w:rsid w:val="00773A83"/>
    <w:rsid w:val="00773C7E"/>
    <w:rsid w:val="007748D6"/>
    <w:rsid w:val="00774AA8"/>
    <w:rsid w:val="00774CD4"/>
    <w:rsid w:val="0077626F"/>
    <w:rsid w:val="00780605"/>
    <w:rsid w:val="007814E1"/>
    <w:rsid w:val="00782129"/>
    <w:rsid w:val="00783552"/>
    <w:rsid w:val="0078474C"/>
    <w:rsid w:val="007865F1"/>
    <w:rsid w:val="00786BB8"/>
    <w:rsid w:val="0078744B"/>
    <w:rsid w:val="00787C35"/>
    <w:rsid w:val="00790866"/>
    <w:rsid w:val="00790EDF"/>
    <w:rsid w:val="00791730"/>
    <w:rsid w:val="007921FC"/>
    <w:rsid w:val="00792BB1"/>
    <w:rsid w:val="00792D46"/>
    <w:rsid w:val="00793CDD"/>
    <w:rsid w:val="007950E6"/>
    <w:rsid w:val="0079574F"/>
    <w:rsid w:val="007A1829"/>
    <w:rsid w:val="007A1DFD"/>
    <w:rsid w:val="007A1F26"/>
    <w:rsid w:val="007A270F"/>
    <w:rsid w:val="007A2D27"/>
    <w:rsid w:val="007A3F45"/>
    <w:rsid w:val="007A4E41"/>
    <w:rsid w:val="007A5D98"/>
    <w:rsid w:val="007A69FE"/>
    <w:rsid w:val="007A6C3D"/>
    <w:rsid w:val="007A6EED"/>
    <w:rsid w:val="007A7A38"/>
    <w:rsid w:val="007B078F"/>
    <w:rsid w:val="007B0AA3"/>
    <w:rsid w:val="007B24C1"/>
    <w:rsid w:val="007B3261"/>
    <w:rsid w:val="007B3D9F"/>
    <w:rsid w:val="007B4938"/>
    <w:rsid w:val="007B5697"/>
    <w:rsid w:val="007B5C24"/>
    <w:rsid w:val="007B6143"/>
    <w:rsid w:val="007B78D8"/>
    <w:rsid w:val="007C1B5C"/>
    <w:rsid w:val="007C47E7"/>
    <w:rsid w:val="007C49F5"/>
    <w:rsid w:val="007C4DC3"/>
    <w:rsid w:val="007C606E"/>
    <w:rsid w:val="007C7942"/>
    <w:rsid w:val="007D09D6"/>
    <w:rsid w:val="007D108F"/>
    <w:rsid w:val="007D1E01"/>
    <w:rsid w:val="007D6F47"/>
    <w:rsid w:val="007D707C"/>
    <w:rsid w:val="007E040B"/>
    <w:rsid w:val="007E147D"/>
    <w:rsid w:val="007E23B2"/>
    <w:rsid w:val="007E2454"/>
    <w:rsid w:val="007E30DE"/>
    <w:rsid w:val="007E4057"/>
    <w:rsid w:val="007E5562"/>
    <w:rsid w:val="007F0A77"/>
    <w:rsid w:val="007F0A83"/>
    <w:rsid w:val="007F1A1C"/>
    <w:rsid w:val="007F1B4E"/>
    <w:rsid w:val="007F2232"/>
    <w:rsid w:val="007F286A"/>
    <w:rsid w:val="007F307A"/>
    <w:rsid w:val="007F57BC"/>
    <w:rsid w:val="007F6A47"/>
    <w:rsid w:val="007F74FA"/>
    <w:rsid w:val="007F75C1"/>
    <w:rsid w:val="00800007"/>
    <w:rsid w:val="00800229"/>
    <w:rsid w:val="00800348"/>
    <w:rsid w:val="00800586"/>
    <w:rsid w:val="008005C7"/>
    <w:rsid w:val="00801E58"/>
    <w:rsid w:val="00802C35"/>
    <w:rsid w:val="0080343B"/>
    <w:rsid w:val="00803C1C"/>
    <w:rsid w:val="00804614"/>
    <w:rsid w:val="00804DAD"/>
    <w:rsid w:val="00805772"/>
    <w:rsid w:val="00811010"/>
    <w:rsid w:val="00811329"/>
    <w:rsid w:val="00814C21"/>
    <w:rsid w:val="008171BA"/>
    <w:rsid w:val="00820628"/>
    <w:rsid w:val="008207A3"/>
    <w:rsid w:val="00820E99"/>
    <w:rsid w:val="0082227E"/>
    <w:rsid w:val="00822737"/>
    <w:rsid w:val="00823F10"/>
    <w:rsid w:val="00825485"/>
    <w:rsid w:val="00825D7A"/>
    <w:rsid w:val="00826015"/>
    <w:rsid w:val="0083067C"/>
    <w:rsid w:val="00830B96"/>
    <w:rsid w:val="008329DB"/>
    <w:rsid w:val="00833C3D"/>
    <w:rsid w:val="00833EFE"/>
    <w:rsid w:val="00836B7A"/>
    <w:rsid w:val="00840FB8"/>
    <w:rsid w:val="00841947"/>
    <w:rsid w:val="00842380"/>
    <w:rsid w:val="00846AEB"/>
    <w:rsid w:val="008479C7"/>
    <w:rsid w:val="00850E42"/>
    <w:rsid w:val="00851BD1"/>
    <w:rsid w:val="00852DCC"/>
    <w:rsid w:val="00854B8A"/>
    <w:rsid w:val="00855352"/>
    <w:rsid w:val="00855E4F"/>
    <w:rsid w:val="00857DAF"/>
    <w:rsid w:val="00860587"/>
    <w:rsid w:val="008615F4"/>
    <w:rsid w:val="00861812"/>
    <w:rsid w:val="00862450"/>
    <w:rsid w:val="00863118"/>
    <w:rsid w:val="00863189"/>
    <w:rsid w:val="00863D60"/>
    <w:rsid w:val="00863D65"/>
    <w:rsid w:val="008646ED"/>
    <w:rsid w:val="00865832"/>
    <w:rsid w:val="0086624C"/>
    <w:rsid w:val="0086658E"/>
    <w:rsid w:val="0086694F"/>
    <w:rsid w:val="00867034"/>
    <w:rsid w:val="008675B1"/>
    <w:rsid w:val="008679CB"/>
    <w:rsid w:val="00867DDD"/>
    <w:rsid w:val="00870D29"/>
    <w:rsid w:val="00871911"/>
    <w:rsid w:val="00874189"/>
    <w:rsid w:val="0087489B"/>
    <w:rsid w:val="008751DB"/>
    <w:rsid w:val="0087666E"/>
    <w:rsid w:val="00877691"/>
    <w:rsid w:val="008802D3"/>
    <w:rsid w:val="00880888"/>
    <w:rsid w:val="00880A59"/>
    <w:rsid w:val="00880B61"/>
    <w:rsid w:val="00880C31"/>
    <w:rsid w:val="00882D2E"/>
    <w:rsid w:val="0088318F"/>
    <w:rsid w:val="008837C8"/>
    <w:rsid w:val="00884C27"/>
    <w:rsid w:val="00887308"/>
    <w:rsid w:val="00891204"/>
    <w:rsid w:val="00893D40"/>
    <w:rsid w:val="0089420F"/>
    <w:rsid w:val="00894F5B"/>
    <w:rsid w:val="0089547D"/>
    <w:rsid w:val="00896CA9"/>
    <w:rsid w:val="008970AB"/>
    <w:rsid w:val="008A0F09"/>
    <w:rsid w:val="008A3ECB"/>
    <w:rsid w:val="008A4447"/>
    <w:rsid w:val="008A655A"/>
    <w:rsid w:val="008B009C"/>
    <w:rsid w:val="008B15BE"/>
    <w:rsid w:val="008B1C9E"/>
    <w:rsid w:val="008B20B3"/>
    <w:rsid w:val="008B46DB"/>
    <w:rsid w:val="008B48BC"/>
    <w:rsid w:val="008B4EC7"/>
    <w:rsid w:val="008B633C"/>
    <w:rsid w:val="008B684E"/>
    <w:rsid w:val="008B6F93"/>
    <w:rsid w:val="008C39DF"/>
    <w:rsid w:val="008C3D8D"/>
    <w:rsid w:val="008C46C2"/>
    <w:rsid w:val="008C4B70"/>
    <w:rsid w:val="008C57F3"/>
    <w:rsid w:val="008C7C5B"/>
    <w:rsid w:val="008D1ED6"/>
    <w:rsid w:val="008D2206"/>
    <w:rsid w:val="008D32E8"/>
    <w:rsid w:val="008D391A"/>
    <w:rsid w:val="008D4B98"/>
    <w:rsid w:val="008D4BFE"/>
    <w:rsid w:val="008D6012"/>
    <w:rsid w:val="008D78C7"/>
    <w:rsid w:val="008D79D5"/>
    <w:rsid w:val="008D79DD"/>
    <w:rsid w:val="008D7B48"/>
    <w:rsid w:val="008E12B0"/>
    <w:rsid w:val="008E1C75"/>
    <w:rsid w:val="008E20BE"/>
    <w:rsid w:val="008E2307"/>
    <w:rsid w:val="008E4758"/>
    <w:rsid w:val="008E4EA6"/>
    <w:rsid w:val="008E5B09"/>
    <w:rsid w:val="008E5EEA"/>
    <w:rsid w:val="008E62E9"/>
    <w:rsid w:val="008E695E"/>
    <w:rsid w:val="008E6F30"/>
    <w:rsid w:val="008E7288"/>
    <w:rsid w:val="008E7B39"/>
    <w:rsid w:val="008F2CD9"/>
    <w:rsid w:val="008F3843"/>
    <w:rsid w:val="008F3858"/>
    <w:rsid w:val="008F3ADC"/>
    <w:rsid w:val="008F435E"/>
    <w:rsid w:val="008F5D0F"/>
    <w:rsid w:val="008F7070"/>
    <w:rsid w:val="009016E9"/>
    <w:rsid w:val="009026DB"/>
    <w:rsid w:val="00902ED4"/>
    <w:rsid w:val="009031DD"/>
    <w:rsid w:val="00904C2E"/>
    <w:rsid w:val="00904D19"/>
    <w:rsid w:val="00905B19"/>
    <w:rsid w:val="00905F51"/>
    <w:rsid w:val="0090744F"/>
    <w:rsid w:val="009074D9"/>
    <w:rsid w:val="00907DE6"/>
    <w:rsid w:val="00907E27"/>
    <w:rsid w:val="0091026C"/>
    <w:rsid w:val="0091066F"/>
    <w:rsid w:val="009124FD"/>
    <w:rsid w:val="00912D5B"/>
    <w:rsid w:val="009132A7"/>
    <w:rsid w:val="009133CD"/>
    <w:rsid w:val="00915A60"/>
    <w:rsid w:val="00915AAF"/>
    <w:rsid w:val="0091616D"/>
    <w:rsid w:val="009174AB"/>
    <w:rsid w:val="00917A88"/>
    <w:rsid w:val="00917B1D"/>
    <w:rsid w:val="00921A91"/>
    <w:rsid w:val="00922166"/>
    <w:rsid w:val="00922339"/>
    <w:rsid w:val="009227D1"/>
    <w:rsid w:val="00923657"/>
    <w:rsid w:val="009243C5"/>
    <w:rsid w:val="00925D4E"/>
    <w:rsid w:val="00926934"/>
    <w:rsid w:val="00926F5A"/>
    <w:rsid w:val="00930D58"/>
    <w:rsid w:val="009317E7"/>
    <w:rsid w:val="00931A29"/>
    <w:rsid w:val="00934A33"/>
    <w:rsid w:val="009400B0"/>
    <w:rsid w:val="0094066F"/>
    <w:rsid w:val="009421DD"/>
    <w:rsid w:val="00942B82"/>
    <w:rsid w:val="009430C4"/>
    <w:rsid w:val="009431D4"/>
    <w:rsid w:val="0094376F"/>
    <w:rsid w:val="009437DF"/>
    <w:rsid w:val="00945282"/>
    <w:rsid w:val="00945FB6"/>
    <w:rsid w:val="009470EB"/>
    <w:rsid w:val="009471D1"/>
    <w:rsid w:val="00950089"/>
    <w:rsid w:val="00950644"/>
    <w:rsid w:val="009512E4"/>
    <w:rsid w:val="0095170C"/>
    <w:rsid w:val="00953144"/>
    <w:rsid w:val="009542DA"/>
    <w:rsid w:val="0095526A"/>
    <w:rsid w:val="009610AA"/>
    <w:rsid w:val="00967B26"/>
    <w:rsid w:val="00970506"/>
    <w:rsid w:val="00972634"/>
    <w:rsid w:val="009726A7"/>
    <w:rsid w:val="00973010"/>
    <w:rsid w:val="009739E2"/>
    <w:rsid w:val="00973C77"/>
    <w:rsid w:val="009741F5"/>
    <w:rsid w:val="00974EB8"/>
    <w:rsid w:val="00975F74"/>
    <w:rsid w:val="00977251"/>
    <w:rsid w:val="00980292"/>
    <w:rsid w:val="00980C14"/>
    <w:rsid w:val="00983489"/>
    <w:rsid w:val="00983CFF"/>
    <w:rsid w:val="0098501A"/>
    <w:rsid w:val="009866F3"/>
    <w:rsid w:val="00987859"/>
    <w:rsid w:val="0099108A"/>
    <w:rsid w:val="00991AB5"/>
    <w:rsid w:val="00991B33"/>
    <w:rsid w:val="00991D86"/>
    <w:rsid w:val="00994267"/>
    <w:rsid w:val="00994AA8"/>
    <w:rsid w:val="009958A7"/>
    <w:rsid w:val="009962A5"/>
    <w:rsid w:val="009A0571"/>
    <w:rsid w:val="009A2021"/>
    <w:rsid w:val="009A2F6B"/>
    <w:rsid w:val="009A4717"/>
    <w:rsid w:val="009A4A61"/>
    <w:rsid w:val="009A58AF"/>
    <w:rsid w:val="009A68A0"/>
    <w:rsid w:val="009B1329"/>
    <w:rsid w:val="009B17C4"/>
    <w:rsid w:val="009B2F4C"/>
    <w:rsid w:val="009B3D64"/>
    <w:rsid w:val="009B4F95"/>
    <w:rsid w:val="009B50EB"/>
    <w:rsid w:val="009B5431"/>
    <w:rsid w:val="009C0A3F"/>
    <w:rsid w:val="009C0ACF"/>
    <w:rsid w:val="009C2333"/>
    <w:rsid w:val="009C3A76"/>
    <w:rsid w:val="009C4B80"/>
    <w:rsid w:val="009C52BD"/>
    <w:rsid w:val="009C5CAC"/>
    <w:rsid w:val="009C5F92"/>
    <w:rsid w:val="009C727F"/>
    <w:rsid w:val="009D5802"/>
    <w:rsid w:val="009D64FE"/>
    <w:rsid w:val="009D737D"/>
    <w:rsid w:val="009D79E7"/>
    <w:rsid w:val="009E07D0"/>
    <w:rsid w:val="009E0D61"/>
    <w:rsid w:val="009E37E6"/>
    <w:rsid w:val="009E489E"/>
    <w:rsid w:val="009E48B9"/>
    <w:rsid w:val="009E4C7E"/>
    <w:rsid w:val="009E58F5"/>
    <w:rsid w:val="009E66E2"/>
    <w:rsid w:val="009E77B9"/>
    <w:rsid w:val="009F068E"/>
    <w:rsid w:val="009F1213"/>
    <w:rsid w:val="009F1C02"/>
    <w:rsid w:val="009F3A27"/>
    <w:rsid w:val="009F3BC6"/>
    <w:rsid w:val="009F50A2"/>
    <w:rsid w:val="009F5663"/>
    <w:rsid w:val="009F6735"/>
    <w:rsid w:val="00A00430"/>
    <w:rsid w:val="00A005B8"/>
    <w:rsid w:val="00A00CB3"/>
    <w:rsid w:val="00A02B7D"/>
    <w:rsid w:val="00A03371"/>
    <w:rsid w:val="00A036DD"/>
    <w:rsid w:val="00A0403B"/>
    <w:rsid w:val="00A042CD"/>
    <w:rsid w:val="00A04630"/>
    <w:rsid w:val="00A05A93"/>
    <w:rsid w:val="00A0637B"/>
    <w:rsid w:val="00A06B15"/>
    <w:rsid w:val="00A075CB"/>
    <w:rsid w:val="00A07723"/>
    <w:rsid w:val="00A07AF6"/>
    <w:rsid w:val="00A07FF7"/>
    <w:rsid w:val="00A106B9"/>
    <w:rsid w:val="00A1237E"/>
    <w:rsid w:val="00A12AD0"/>
    <w:rsid w:val="00A13688"/>
    <w:rsid w:val="00A154F4"/>
    <w:rsid w:val="00A16CEF"/>
    <w:rsid w:val="00A1704D"/>
    <w:rsid w:val="00A171F6"/>
    <w:rsid w:val="00A2046C"/>
    <w:rsid w:val="00A21C0B"/>
    <w:rsid w:val="00A22F2F"/>
    <w:rsid w:val="00A23770"/>
    <w:rsid w:val="00A25B38"/>
    <w:rsid w:val="00A27B98"/>
    <w:rsid w:val="00A31191"/>
    <w:rsid w:val="00A31813"/>
    <w:rsid w:val="00A31EE6"/>
    <w:rsid w:val="00A32DBF"/>
    <w:rsid w:val="00A330D3"/>
    <w:rsid w:val="00A33A4D"/>
    <w:rsid w:val="00A3426E"/>
    <w:rsid w:val="00A345EA"/>
    <w:rsid w:val="00A346FE"/>
    <w:rsid w:val="00A349DA"/>
    <w:rsid w:val="00A35C53"/>
    <w:rsid w:val="00A36F2C"/>
    <w:rsid w:val="00A37201"/>
    <w:rsid w:val="00A37302"/>
    <w:rsid w:val="00A37BC2"/>
    <w:rsid w:val="00A402FB"/>
    <w:rsid w:val="00A415A0"/>
    <w:rsid w:val="00A430C5"/>
    <w:rsid w:val="00A43393"/>
    <w:rsid w:val="00A44821"/>
    <w:rsid w:val="00A454AC"/>
    <w:rsid w:val="00A46104"/>
    <w:rsid w:val="00A4769C"/>
    <w:rsid w:val="00A501F8"/>
    <w:rsid w:val="00A50C71"/>
    <w:rsid w:val="00A51299"/>
    <w:rsid w:val="00A517DC"/>
    <w:rsid w:val="00A521DE"/>
    <w:rsid w:val="00A52727"/>
    <w:rsid w:val="00A527EB"/>
    <w:rsid w:val="00A545CB"/>
    <w:rsid w:val="00A5555A"/>
    <w:rsid w:val="00A55C2E"/>
    <w:rsid w:val="00A55DAF"/>
    <w:rsid w:val="00A57A65"/>
    <w:rsid w:val="00A602D1"/>
    <w:rsid w:val="00A60E5A"/>
    <w:rsid w:val="00A63338"/>
    <w:rsid w:val="00A6410F"/>
    <w:rsid w:val="00A6512D"/>
    <w:rsid w:val="00A65956"/>
    <w:rsid w:val="00A65BB2"/>
    <w:rsid w:val="00A65EAD"/>
    <w:rsid w:val="00A66D32"/>
    <w:rsid w:val="00A67B73"/>
    <w:rsid w:val="00A67DC0"/>
    <w:rsid w:val="00A7174A"/>
    <w:rsid w:val="00A718DD"/>
    <w:rsid w:val="00A71A49"/>
    <w:rsid w:val="00A72C53"/>
    <w:rsid w:val="00A72E60"/>
    <w:rsid w:val="00A72E9D"/>
    <w:rsid w:val="00A72EEC"/>
    <w:rsid w:val="00A73D46"/>
    <w:rsid w:val="00A7637B"/>
    <w:rsid w:val="00A8015C"/>
    <w:rsid w:val="00A8118C"/>
    <w:rsid w:val="00A8353F"/>
    <w:rsid w:val="00A83B66"/>
    <w:rsid w:val="00A83CE4"/>
    <w:rsid w:val="00A84060"/>
    <w:rsid w:val="00A854E9"/>
    <w:rsid w:val="00A8597F"/>
    <w:rsid w:val="00A86C84"/>
    <w:rsid w:val="00A87209"/>
    <w:rsid w:val="00A90F1E"/>
    <w:rsid w:val="00A922BF"/>
    <w:rsid w:val="00A95864"/>
    <w:rsid w:val="00A95BF4"/>
    <w:rsid w:val="00A95E75"/>
    <w:rsid w:val="00A95F4A"/>
    <w:rsid w:val="00AA07CC"/>
    <w:rsid w:val="00AA3BBC"/>
    <w:rsid w:val="00AA4B5E"/>
    <w:rsid w:val="00AA5F75"/>
    <w:rsid w:val="00AA6114"/>
    <w:rsid w:val="00AA648C"/>
    <w:rsid w:val="00AA676E"/>
    <w:rsid w:val="00AA6929"/>
    <w:rsid w:val="00AB06BD"/>
    <w:rsid w:val="00AB1697"/>
    <w:rsid w:val="00AB3DB0"/>
    <w:rsid w:val="00AB4DE2"/>
    <w:rsid w:val="00AB6835"/>
    <w:rsid w:val="00AB6B06"/>
    <w:rsid w:val="00AB74DF"/>
    <w:rsid w:val="00AB74E3"/>
    <w:rsid w:val="00AB785C"/>
    <w:rsid w:val="00AB7B01"/>
    <w:rsid w:val="00AB7B95"/>
    <w:rsid w:val="00AB7CBF"/>
    <w:rsid w:val="00AC00EC"/>
    <w:rsid w:val="00AC18CD"/>
    <w:rsid w:val="00AC31AF"/>
    <w:rsid w:val="00AC343A"/>
    <w:rsid w:val="00AC3FCB"/>
    <w:rsid w:val="00AC43AE"/>
    <w:rsid w:val="00AC4ACE"/>
    <w:rsid w:val="00AC5038"/>
    <w:rsid w:val="00AC5104"/>
    <w:rsid w:val="00AC623E"/>
    <w:rsid w:val="00AC76A2"/>
    <w:rsid w:val="00AC7C16"/>
    <w:rsid w:val="00AC7EF9"/>
    <w:rsid w:val="00AD08C6"/>
    <w:rsid w:val="00AD28B4"/>
    <w:rsid w:val="00AD37E7"/>
    <w:rsid w:val="00AD4184"/>
    <w:rsid w:val="00AD5ED8"/>
    <w:rsid w:val="00AD70ED"/>
    <w:rsid w:val="00AD724C"/>
    <w:rsid w:val="00AD7D30"/>
    <w:rsid w:val="00AD7F1D"/>
    <w:rsid w:val="00AE0ECC"/>
    <w:rsid w:val="00AE1311"/>
    <w:rsid w:val="00AE1580"/>
    <w:rsid w:val="00AE1844"/>
    <w:rsid w:val="00AE1EE8"/>
    <w:rsid w:val="00AE3F8A"/>
    <w:rsid w:val="00AE5B4E"/>
    <w:rsid w:val="00AE5C4B"/>
    <w:rsid w:val="00AE5DCA"/>
    <w:rsid w:val="00AE702A"/>
    <w:rsid w:val="00AF000B"/>
    <w:rsid w:val="00AF0196"/>
    <w:rsid w:val="00AF24E6"/>
    <w:rsid w:val="00AF3642"/>
    <w:rsid w:val="00AF3AE3"/>
    <w:rsid w:val="00AF403B"/>
    <w:rsid w:val="00AF4E96"/>
    <w:rsid w:val="00AF6653"/>
    <w:rsid w:val="00AF696A"/>
    <w:rsid w:val="00AF6C27"/>
    <w:rsid w:val="00AF70C7"/>
    <w:rsid w:val="00AF73E2"/>
    <w:rsid w:val="00AF7B04"/>
    <w:rsid w:val="00B0328F"/>
    <w:rsid w:val="00B0380D"/>
    <w:rsid w:val="00B03B68"/>
    <w:rsid w:val="00B04913"/>
    <w:rsid w:val="00B05849"/>
    <w:rsid w:val="00B077F2"/>
    <w:rsid w:val="00B1104F"/>
    <w:rsid w:val="00B110BC"/>
    <w:rsid w:val="00B11197"/>
    <w:rsid w:val="00B14672"/>
    <w:rsid w:val="00B15EDF"/>
    <w:rsid w:val="00B16558"/>
    <w:rsid w:val="00B16F9F"/>
    <w:rsid w:val="00B17164"/>
    <w:rsid w:val="00B20EE8"/>
    <w:rsid w:val="00B247D6"/>
    <w:rsid w:val="00B248CC"/>
    <w:rsid w:val="00B24CEA"/>
    <w:rsid w:val="00B314A3"/>
    <w:rsid w:val="00B31A0D"/>
    <w:rsid w:val="00B3388C"/>
    <w:rsid w:val="00B35E71"/>
    <w:rsid w:val="00B36956"/>
    <w:rsid w:val="00B36B2A"/>
    <w:rsid w:val="00B3710B"/>
    <w:rsid w:val="00B37393"/>
    <w:rsid w:val="00B378BC"/>
    <w:rsid w:val="00B37A34"/>
    <w:rsid w:val="00B37BF3"/>
    <w:rsid w:val="00B400C8"/>
    <w:rsid w:val="00B40207"/>
    <w:rsid w:val="00B40585"/>
    <w:rsid w:val="00B42156"/>
    <w:rsid w:val="00B432D8"/>
    <w:rsid w:val="00B433F1"/>
    <w:rsid w:val="00B45AD0"/>
    <w:rsid w:val="00B46BC0"/>
    <w:rsid w:val="00B477D3"/>
    <w:rsid w:val="00B47845"/>
    <w:rsid w:val="00B47E96"/>
    <w:rsid w:val="00B517A6"/>
    <w:rsid w:val="00B51A27"/>
    <w:rsid w:val="00B51BEF"/>
    <w:rsid w:val="00B51F3A"/>
    <w:rsid w:val="00B52056"/>
    <w:rsid w:val="00B53BAD"/>
    <w:rsid w:val="00B558C5"/>
    <w:rsid w:val="00B56524"/>
    <w:rsid w:val="00B567CF"/>
    <w:rsid w:val="00B56C7B"/>
    <w:rsid w:val="00B57A2D"/>
    <w:rsid w:val="00B57EB5"/>
    <w:rsid w:val="00B602D5"/>
    <w:rsid w:val="00B61946"/>
    <w:rsid w:val="00B64186"/>
    <w:rsid w:val="00B6476F"/>
    <w:rsid w:val="00B64F59"/>
    <w:rsid w:val="00B65915"/>
    <w:rsid w:val="00B65B57"/>
    <w:rsid w:val="00B66DC2"/>
    <w:rsid w:val="00B67A86"/>
    <w:rsid w:val="00B70B34"/>
    <w:rsid w:val="00B7251F"/>
    <w:rsid w:val="00B72EB1"/>
    <w:rsid w:val="00B74A82"/>
    <w:rsid w:val="00B74BB6"/>
    <w:rsid w:val="00B76EC7"/>
    <w:rsid w:val="00B77448"/>
    <w:rsid w:val="00B775EF"/>
    <w:rsid w:val="00B800D3"/>
    <w:rsid w:val="00B804C5"/>
    <w:rsid w:val="00B80A87"/>
    <w:rsid w:val="00B834E9"/>
    <w:rsid w:val="00B838F2"/>
    <w:rsid w:val="00B8461B"/>
    <w:rsid w:val="00B854EB"/>
    <w:rsid w:val="00B859C4"/>
    <w:rsid w:val="00B87510"/>
    <w:rsid w:val="00B87527"/>
    <w:rsid w:val="00B9194E"/>
    <w:rsid w:val="00B933C4"/>
    <w:rsid w:val="00B93416"/>
    <w:rsid w:val="00B9343B"/>
    <w:rsid w:val="00B93589"/>
    <w:rsid w:val="00B93868"/>
    <w:rsid w:val="00B9398C"/>
    <w:rsid w:val="00B94811"/>
    <w:rsid w:val="00B94C08"/>
    <w:rsid w:val="00B9555C"/>
    <w:rsid w:val="00B96678"/>
    <w:rsid w:val="00B96CDA"/>
    <w:rsid w:val="00B96D01"/>
    <w:rsid w:val="00B975BD"/>
    <w:rsid w:val="00BA06DB"/>
    <w:rsid w:val="00BA141B"/>
    <w:rsid w:val="00BA4F21"/>
    <w:rsid w:val="00BA6168"/>
    <w:rsid w:val="00BA657E"/>
    <w:rsid w:val="00BA67F6"/>
    <w:rsid w:val="00BA6E6A"/>
    <w:rsid w:val="00BA71DC"/>
    <w:rsid w:val="00BB1171"/>
    <w:rsid w:val="00BB1E81"/>
    <w:rsid w:val="00BB3151"/>
    <w:rsid w:val="00BB3352"/>
    <w:rsid w:val="00BB3730"/>
    <w:rsid w:val="00BB3B7E"/>
    <w:rsid w:val="00BB3D24"/>
    <w:rsid w:val="00BB47F5"/>
    <w:rsid w:val="00BC0AD1"/>
    <w:rsid w:val="00BC0D96"/>
    <w:rsid w:val="00BC12EC"/>
    <w:rsid w:val="00BC1E9B"/>
    <w:rsid w:val="00BC2256"/>
    <w:rsid w:val="00BC2494"/>
    <w:rsid w:val="00BC2FBB"/>
    <w:rsid w:val="00BC3D3B"/>
    <w:rsid w:val="00BC5178"/>
    <w:rsid w:val="00BC68BA"/>
    <w:rsid w:val="00BC6F9C"/>
    <w:rsid w:val="00BC7305"/>
    <w:rsid w:val="00BC793C"/>
    <w:rsid w:val="00BC7C85"/>
    <w:rsid w:val="00BD1606"/>
    <w:rsid w:val="00BD1950"/>
    <w:rsid w:val="00BD31CA"/>
    <w:rsid w:val="00BD3F4B"/>
    <w:rsid w:val="00BD4B59"/>
    <w:rsid w:val="00BD4C76"/>
    <w:rsid w:val="00BD6313"/>
    <w:rsid w:val="00BD6934"/>
    <w:rsid w:val="00BD6A92"/>
    <w:rsid w:val="00BE27D2"/>
    <w:rsid w:val="00BE385F"/>
    <w:rsid w:val="00BE5693"/>
    <w:rsid w:val="00BE58B6"/>
    <w:rsid w:val="00BE6E52"/>
    <w:rsid w:val="00BF0287"/>
    <w:rsid w:val="00BF0600"/>
    <w:rsid w:val="00BF1610"/>
    <w:rsid w:val="00BF2214"/>
    <w:rsid w:val="00BF2FB6"/>
    <w:rsid w:val="00BF321C"/>
    <w:rsid w:val="00BF3FD6"/>
    <w:rsid w:val="00BF680B"/>
    <w:rsid w:val="00BF6B60"/>
    <w:rsid w:val="00BF79C3"/>
    <w:rsid w:val="00C0120F"/>
    <w:rsid w:val="00C0185F"/>
    <w:rsid w:val="00C0296E"/>
    <w:rsid w:val="00C034D4"/>
    <w:rsid w:val="00C03C68"/>
    <w:rsid w:val="00C05640"/>
    <w:rsid w:val="00C05E41"/>
    <w:rsid w:val="00C064D8"/>
    <w:rsid w:val="00C0684E"/>
    <w:rsid w:val="00C077AE"/>
    <w:rsid w:val="00C07C11"/>
    <w:rsid w:val="00C07D97"/>
    <w:rsid w:val="00C1021A"/>
    <w:rsid w:val="00C119FA"/>
    <w:rsid w:val="00C11A4A"/>
    <w:rsid w:val="00C11D1A"/>
    <w:rsid w:val="00C120B6"/>
    <w:rsid w:val="00C121B1"/>
    <w:rsid w:val="00C125E3"/>
    <w:rsid w:val="00C1276F"/>
    <w:rsid w:val="00C140DD"/>
    <w:rsid w:val="00C14417"/>
    <w:rsid w:val="00C15702"/>
    <w:rsid w:val="00C15A7E"/>
    <w:rsid w:val="00C1745A"/>
    <w:rsid w:val="00C17D65"/>
    <w:rsid w:val="00C200CC"/>
    <w:rsid w:val="00C20984"/>
    <w:rsid w:val="00C21898"/>
    <w:rsid w:val="00C21E10"/>
    <w:rsid w:val="00C22D95"/>
    <w:rsid w:val="00C22FF3"/>
    <w:rsid w:val="00C2581F"/>
    <w:rsid w:val="00C30AEC"/>
    <w:rsid w:val="00C34136"/>
    <w:rsid w:val="00C34758"/>
    <w:rsid w:val="00C3566F"/>
    <w:rsid w:val="00C36102"/>
    <w:rsid w:val="00C365DD"/>
    <w:rsid w:val="00C36631"/>
    <w:rsid w:val="00C40DAE"/>
    <w:rsid w:val="00C41AEE"/>
    <w:rsid w:val="00C4294E"/>
    <w:rsid w:val="00C44174"/>
    <w:rsid w:val="00C4497B"/>
    <w:rsid w:val="00C44BC2"/>
    <w:rsid w:val="00C4517F"/>
    <w:rsid w:val="00C452B4"/>
    <w:rsid w:val="00C455DA"/>
    <w:rsid w:val="00C462F9"/>
    <w:rsid w:val="00C464D6"/>
    <w:rsid w:val="00C47A92"/>
    <w:rsid w:val="00C47B8B"/>
    <w:rsid w:val="00C50301"/>
    <w:rsid w:val="00C50BE8"/>
    <w:rsid w:val="00C52D21"/>
    <w:rsid w:val="00C5307A"/>
    <w:rsid w:val="00C549D3"/>
    <w:rsid w:val="00C54DE2"/>
    <w:rsid w:val="00C551E7"/>
    <w:rsid w:val="00C553B9"/>
    <w:rsid w:val="00C55A4B"/>
    <w:rsid w:val="00C5775C"/>
    <w:rsid w:val="00C60F1E"/>
    <w:rsid w:val="00C615E9"/>
    <w:rsid w:val="00C62A14"/>
    <w:rsid w:val="00C62A75"/>
    <w:rsid w:val="00C637F6"/>
    <w:rsid w:val="00C64BDE"/>
    <w:rsid w:val="00C65B56"/>
    <w:rsid w:val="00C65F03"/>
    <w:rsid w:val="00C66EC9"/>
    <w:rsid w:val="00C66F04"/>
    <w:rsid w:val="00C67BA5"/>
    <w:rsid w:val="00C67FF5"/>
    <w:rsid w:val="00C720E7"/>
    <w:rsid w:val="00C72790"/>
    <w:rsid w:val="00C72A16"/>
    <w:rsid w:val="00C734B6"/>
    <w:rsid w:val="00C73B74"/>
    <w:rsid w:val="00C74433"/>
    <w:rsid w:val="00C764F5"/>
    <w:rsid w:val="00C76FC4"/>
    <w:rsid w:val="00C77293"/>
    <w:rsid w:val="00C8070D"/>
    <w:rsid w:val="00C80F09"/>
    <w:rsid w:val="00C80FBF"/>
    <w:rsid w:val="00C81350"/>
    <w:rsid w:val="00C81B18"/>
    <w:rsid w:val="00C821D7"/>
    <w:rsid w:val="00C83448"/>
    <w:rsid w:val="00C83CAF"/>
    <w:rsid w:val="00C8474A"/>
    <w:rsid w:val="00C8507D"/>
    <w:rsid w:val="00C851F4"/>
    <w:rsid w:val="00C85706"/>
    <w:rsid w:val="00C85761"/>
    <w:rsid w:val="00C85848"/>
    <w:rsid w:val="00C868C2"/>
    <w:rsid w:val="00C870B6"/>
    <w:rsid w:val="00C87C3F"/>
    <w:rsid w:val="00C90F5E"/>
    <w:rsid w:val="00C91779"/>
    <w:rsid w:val="00C942AD"/>
    <w:rsid w:val="00C9569F"/>
    <w:rsid w:val="00C9624A"/>
    <w:rsid w:val="00CA08D6"/>
    <w:rsid w:val="00CA1B6A"/>
    <w:rsid w:val="00CA2D16"/>
    <w:rsid w:val="00CA2D1A"/>
    <w:rsid w:val="00CA3AF9"/>
    <w:rsid w:val="00CA3B29"/>
    <w:rsid w:val="00CA5B4B"/>
    <w:rsid w:val="00CA6314"/>
    <w:rsid w:val="00CA691B"/>
    <w:rsid w:val="00CA6B28"/>
    <w:rsid w:val="00CB0499"/>
    <w:rsid w:val="00CB0550"/>
    <w:rsid w:val="00CB116E"/>
    <w:rsid w:val="00CB42C7"/>
    <w:rsid w:val="00CB43D0"/>
    <w:rsid w:val="00CB4D15"/>
    <w:rsid w:val="00CB4E8C"/>
    <w:rsid w:val="00CB4F70"/>
    <w:rsid w:val="00CB5CF1"/>
    <w:rsid w:val="00CB5EB7"/>
    <w:rsid w:val="00CB7E14"/>
    <w:rsid w:val="00CC0180"/>
    <w:rsid w:val="00CC191B"/>
    <w:rsid w:val="00CC2E22"/>
    <w:rsid w:val="00CC381E"/>
    <w:rsid w:val="00CC3CA0"/>
    <w:rsid w:val="00CC3DA6"/>
    <w:rsid w:val="00CC71BB"/>
    <w:rsid w:val="00CC7603"/>
    <w:rsid w:val="00CD02EC"/>
    <w:rsid w:val="00CD0D46"/>
    <w:rsid w:val="00CD2ADA"/>
    <w:rsid w:val="00CD2F4C"/>
    <w:rsid w:val="00CD2FD8"/>
    <w:rsid w:val="00CD3061"/>
    <w:rsid w:val="00CD4E9D"/>
    <w:rsid w:val="00CD5496"/>
    <w:rsid w:val="00CD57C6"/>
    <w:rsid w:val="00CD6650"/>
    <w:rsid w:val="00CE1E0C"/>
    <w:rsid w:val="00CE619E"/>
    <w:rsid w:val="00CE7477"/>
    <w:rsid w:val="00CE7637"/>
    <w:rsid w:val="00CE79D0"/>
    <w:rsid w:val="00CF00E1"/>
    <w:rsid w:val="00CF0BAE"/>
    <w:rsid w:val="00CF1F00"/>
    <w:rsid w:val="00CF3718"/>
    <w:rsid w:val="00CF4569"/>
    <w:rsid w:val="00CF4B39"/>
    <w:rsid w:val="00CF5D65"/>
    <w:rsid w:val="00CF7903"/>
    <w:rsid w:val="00CF7A73"/>
    <w:rsid w:val="00D021BD"/>
    <w:rsid w:val="00D04886"/>
    <w:rsid w:val="00D05D9C"/>
    <w:rsid w:val="00D065D5"/>
    <w:rsid w:val="00D078BE"/>
    <w:rsid w:val="00D07B6A"/>
    <w:rsid w:val="00D1002E"/>
    <w:rsid w:val="00D107FC"/>
    <w:rsid w:val="00D13F45"/>
    <w:rsid w:val="00D13F8A"/>
    <w:rsid w:val="00D1446F"/>
    <w:rsid w:val="00D1475B"/>
    <w:rsid w:val="00D15606"/>
    <w:rsid w:val="00D2012A"/>
    <w:rsid w:val="00D2042D"/>
    <w:rsid w:val="00D22806"/>
    <w:rsid w:val="00D238BB"/>
    <w:rsid w:val="00D25512"/>
    <w:rsid w:val="00D25A90"/>
    <w:rsid w:val="00D264D4"/>
    <w:rsid w:val="00D2670E"/>
    <w:rsid w:val="00D2784D"/>
    <w:rsid w:val="00D27FBF"/>
    <w:rsid w:val="00D319CA"/>
    <w:rsid w:val="00D34B84"/>
    <w:rsid w:val="00D35C02"/>
    <w:rsid w:val="00D3794C"/>
    <w:rsid w:val="00D401B0"/>
    <w:rsid w:val="00D4124F"/>
    <w:rsid w:val="00D428DD"/>
    <w:rsid w:val="00D4308E"/>
    <w:rsid w:val="00D43C0D"/>
    <w:rsid w:val="00D441EC"/>
    <w:rsid w:val="00D46A66"/>
    <w:rsid w:val="00D46F83"/>
    <w:rsid w:val="00D50A90"/>
    <w:rsid w:val="00D53D6F"/>
    <w:rsid w:val="00D54603"/>
    <w:rsid w:val="00D553C5"/>
    <w:rsid w:val="00D573E7"/>
    <w:rsid w:val="00D60933"/>
    <w:rsid w:val="00D60F0D"/>
    <w:rsid w:val="00D61885"/>
    <w:rsid w:val="00D619EE"/>
    <w:rsid w:val="00D665D3"/>
    <w:rsid w:val="00D66C7D"/>
    <w:rsid w:val="00D70736"/>
    <w:rsid w:val="00D71CDF"/>
    <w:rsid w:val="00D73B2D"/>
    <w:rsid w:val="00D73F30"/>
    <w:rsid w:val="00D741F4"/>
    <w:rsid w:val="00D747A6"/>
    <w:rsid w:val="00D754B6"/>
    <w:rsid w:val="00D757DC"/>
    <w:rsid w:val="00D8262E"/>
    <w:rsid w:val="00D84924"/>
    <w:rsid w:val="00D86276"/>
    <w:rsid w:val="00D86974"/>
    <w:rsid w:val="00D86BF9"/>
    <w:rsid w:val="00D8725E"/>
    <w:rsid w:val="00D878F9"/>
    <w:rsid w:val="00D918D5"/>
    <w:rsid w:val="00D92ED7"/>
    <w:rsid w:val="00D92FD7"/>
    <w:rsid w:val="00D944BF"/>
    <w:rsid w:val="00D94AC6"/>
    <w:rsid w:val="00D95803"/>
    <w:rsid w:val="00D9613C"/>
    <w:rsid w:val="00DA0D98"/>
    <w:rsid w:val="00DA0FAA"/>
    <w:rsid w:val="00DA149F"/>
    <w:rsid w:val="00DA1BD7"/>
    <w:rsid w:val="00DA2BA9"/>
    <w:rsid w:val="00DA4A4A"/>
    <w:rsid w:val="00DA604E"/>
    <w:rsid w:val="00DB0029"/>
    <w:rsid w:val="00DB10F5"/>
    <w:rsid w:val="00DB190E"/>
    <w:rsid w:val="00DB257B"/>
    <w:rsid w:val="00DB3424"/>
    <w:rsid w:val="00DB5372"/>
    <w:rsid w:val="00DB5920"/>
    <w:rsid w:val="00DB6156"/>
    <w:rsid w:val="00DB71ED"/>
    <w:rsid w:val="00DB7A6B"/>
    <w:rsid w:val="00DC26AF"/>
    <w:rsid w:val="00DC2916"/>
    <w:rsid w:val="00DC2AFC"/>
    <w:rsid w:val="00DC4116"/>
    <w:rsid w:val="00DC4DC1"/>
    <w:rsid w:val="00DC611D"/>
    <w:rsid w:val="00DC6451"/>
    <w:rsid w:val="00DC667A"/>
    <w:rsid w:val="00DC6B6F"/>
    <w:rsid w:val="00DD0586"/>
    <w:rsid w:val="00DD171D"/>
    <w:rsid w:val="00DD4197"/>
    <w:rsid w:val="00DD42AF"/>
    <w:rsid w:val="00DD4EE1"/>
    <w:rsid w:val="00DD5645"/>
    <w:rsid w:val="00DD648B"/>
    <w:rsid w:val="00DD6E7C"/>
    <w:rsid w:val="00DD7235"/>
    <w:rsid w:val="00DE0A57"/>
    <w:rsid w:val="00DE0FD9"/>
    <w:rsid w:val="00DE2AC8"/>
    <w:rsid w:val="00DE2E7B"/>
    <w:rsid w:val="00DE32A6"/>
    <w:rsid w:val="00DE3CD9"/>
    <w:rsid w:val="00DE40AF"/>
    <w:rsid w:val="00DE45F9"/>
    <w:rsid w:val="00DE5A71"/>
    <w:rsid w:val="00DE672B"/>
    <w:rsid w:val="00DE72C1"/>
    <w:rsid w:val="00DF4AA2"/>
    <w:rsid w:val="00DF5680"/>
    <w:rsid w:val="00DF5C88"/>
    <w:rsid w:val="00DF5F17"/>
    <w:rsid w:val="00E00F51"/>
    <w:rsid w:val="00E04A68"/>
    <w:rsid w:val="00E04B8C"/>
    <w:rsid w:val="00E04D64"/>
    <w:rsid w:val="00E066F9"/>
    <w:rsid w:val="00E067E3"/>
    <w:rsid w:val="00E06DB4"/>
    <w:rsid w:val="00E07173"/>
    <w:rsid w:val="00E07F1B"/>
    <w:rsid w:val="00E1125F"/>
    <w:rsid w:val="00E1164F"/>
    <w:rsid w:val="00E12756"/>
    <w:rsid w:val="00E13380"/>
    <w:rsid w:val="00E1456F"/>
    <w:rsid w:val="00E17768"/>
    <w:rsid w:val="00E17B78"/>
    <w:rsid w:val="00E2271B"/>
    <w:rsid w:val="00E24846"/>
    <w:rsid w:val="00E249B3"/>
    <w:rsid w:val="00E25929"/>
    <w:rsid w:val="00E2597D"/>
    <w:rsid w:val="00E25AAC"/>
    <w:rsid w:val="00E25FD7"/>
    <w:rsid w:val="00E26437"/>
    <w:rsid w:val="00E30A23"/>
    <w:rsid w:val="00E31036"/>
    <w:rsid w:val="00E3197E"/>
    <w:rsid w:val="00E375F8"/>
    <w:rsid w:val="00E40DC5"/>
    <w:rsid w:val="00E41C10"/>
    <w:rsid w:val="00E41F2A"/>
    <w:rsid w:val="00E432D9"/>
    <w:rsid w:val="00E436ED"/>
    <w:rsid w:val="00E43DCE"/>
    <w:rsid w:val="00E46C42"/>
    <w:rsid w:val="00E46C92"/>
    <w:rsid w:val="00E46EF7"/>
    <w:rsid w:val="00E52CF2"/>
    <w:rsid w:val="00E52D28"/>
    <w:rsid w:val="00E53469"/>
    <w:rsid w:val="00E535A2"/>
    <w:rsid w:val="00E53D3F"/>
    <w:rsid w:val="00E54209"/>
    <w:rsid w:val="00E54A51"/>
    <w:rsid w:val="00E552AC"/>
    <w:rsid w:val="00E556F7"/>
    <w:rsid w:val="00E5771B"/>
    <w:rsid w:val="00E60233"/>
    <w:rsid w:val="00E624F2"/>
    <w:rsid w:val="00E6528B"/>
    <w:rsid w:val="00E652B5"/>
    <w:rsid w:val="00E6558E"/>
    <w:rsid w:val="00E65BFD"/>
    <w:rsid w:val="00E71B98"/>
    <w:rsid w:val="00E72D93"/>
    <w:rsid w:val="00E73213"/>
    <w:rsid w:val="00E73D7C"/>
    <w:rsid w:val="00E75EC5"/>
    <w:rsid w:val="00E76048"/>
    <w:rsid w:val="00E76349"/>
    <w:rsid w:val="00E76B37"/>
    <w:rsid w:val="00E77C02"/>
    <w:rsid w:val="00E77CDC"/>
    <w:rsid w:val="00E80AA4"/>
    <w:rsid w:val="00E80F8B"/>
    <w:rsid w:val="00E815A8"/>
    <w:rsid w:val="00E81CC3"/>
    <w:rsid w:val="00E81DE0"/>
    <w:rsid w:val="00E8290D"/>
    <w:rsid w:val="00E829F4"/>
    <w:rsid w:val="00E8342A"/>
    <w:rsid w:val="00E83D35"/>
    <w:rsid w:val="00E846E1"/>
    <w:rsid w:val="00E8613F"/>
    <w:rsid w:val="00E905D6"/>
    <w:rsid w:val="00E90EAA"/>
    <w:rsid w:val="00E91902"/>
    <w:rsid w:val="00E96625"/>
    <w:rsid w:val="00E97AFA"/>
    <w:rsid w:val="00E97C22"/>
    <w:rsid w:val="00E97FDB"/>
    <w:rsid w:val="00EA0271"/>
    <w:rsid w:val="00EA348F"/>
    <w:rsid w:val="00EA3A93"/>
    <w:rsid w:val="00EA4F4C"/>
    <w:rsid w:val="00EA5794"/>
    <w:rsid w:val="00EA5B2A"/>
    <w:rsid w:val="00EA68D8"/>
    <w:rsid w:val="00EA74B1"/>
    <w:rsid w:val="00EB1DFB"/>
    <w:rsid w:val="00EB380B"/>
    <w:rsid w:val="00EB3D3C"/>
    <w:rsid w:val="00EB57BC"/>
    <w:rsid w:val="00EB612C"/>
    <w:rsid w:val="00EC04DE"/>
    <w:rsid w:val="00EC2250"/>
    <w:rsid w:val="00EC2643"/>
    <w:rsid w:val="00EC2983"/>
    <w:rsid w:val="00EC5199"/>
    <w:rsid w:val="00EC6A9A"/>
    <w:rsid w:val="00EC7505"/>
    <w:rsid w:val="00ED1AC9"/>
    <w:rsid w:val="00ED5442"/>
    <w:rsid w:val="00ED596C"/>
    <w:rsid w:val="00ED6338"/>
    <w:rsid w:val="00ED6E1D"/>
    <w:rsid w:val="00ED7C0B"/>
    <w:rsid w:val="00ED7D4C"/>
    <w:rsid w:val="00EE0213"/>
    <w:rsid w:val="00EE254D"/>
    <w:rsid w:val="00EE3EA4"/>
    <w:rsid w:val="00EE482F"/>
    <w:rsid w:val="00EE60D0"/>
    <w:rsid w:val="00EE68DE"/>
    <w:rsid w:val="00EF1AAD"/>
    <w:rsid w:val="00EF33B8"/>
    <w:rsid w:val="00EF3B9B"/>
    <w:rsid w:val="00EF3BF8"/>
    <w:rsid w:val="00EF3EC0"/>
    <w:rsid w:val="00EF45C0"/>
    <w:rsid w:val="00EF4863"/>
    <w:rsid w:val="00EF4B48"/>
    <w:rsid w:val="00EF5399"/>
    <w:rsid w:val="00EF56A0"/>
    <w:rsid w:val="00EF5D41"/>
    <w:rsid w:val="00EF6148"/>
    <w:rsid w:val="00F006B6"/>
    <w:rsid w:val="00F00C5C"/>
    <w:rsid w:val="00F014F3"/>
    <w:rsid w:val="00F025AB"/>
    <w:rsid w:val="00F02AEC"/>
    <w:rsid w:val="00F04B36"/>
    <w:rsid w:val="00F074F4"/>
    <w:rsid w:val="00F0765F"/>
    <w:rsid w:val="00F0788B"/>
    <w:rsid w:val="00F10D71"/>
    <w:rsid w:val="00F1180A"/>
    <w:rsid w:val="00F11F17"/>
    <w:rsid w:val="00F131F1"/>
    <w:rsid w:val="00F13820"/>
    <w:rsid w:val="00F140A3"/>
    <w:rsid w:val="00F15395"/>
    <w:rsid w:val="00F209AE"/>
    <w:rsid w:val="00F21700"/>
    <w:rsid w:val="00F22376"/>
    <w:rsid w:val="00F22EA2"/>
    <w:rsid w:val="00F24561"/>
    <w:rsid w:val="00F256A4"/>
    <w:rsid w:val="00F25CE7"/>
    <w:rsid w:val="00F2726F"/>
    <w:rsid w:val="00F30CA3"/>
    <w:rsid w:val="00F314C2"/>
    <w:rsid w:val="00F31D4B"/>
    <w:rsid w:val="00F34D3B"/>
    <w:rsid w:val="00F35519"/>
    <w:rsid w:val="00F359E4"/>
    <w:rsid w:val="00F41F89"/>
    <w:rsid w:val="00F421A4"/>
    <w:rsid w:val="00F42FA7"/>
    <w:rsid w:val="00F44CB0"/>
    <w:rsid w:val="00F45C5D"/>
    <w:rsid w:val="00F4688B"/>
    <w:rsid w:val="00F50DDA"/>
    <w:rsid w:val="00F54D38"/>
    <w:rsid w:val="00F55A92"/>
    <w:rsid w:val="00F57F8A"/>
    <w:rsid w:val="00F603ED"/>
    <w:rsid w:val="00F6110E"/>
    <w:rsid w:val="00F6369C"/>
    <w:rsid w:val="00F64FA6"/>
    <w:rsid w:val="00F67FAB"/>
    <w:rsid w:val="00F70A39"/>
    <w:rsid w:val="00F7165F"/>
    <w:rsid w:val="00F71A11"/>
    <w:rsid w:val="00F72527"/>
    <w:rsid w:val="00F72903"/>
    <w:rsid w:val="00F72A63"/>
    <w:rsid w:val="00F741B6"/>
    <w:rsid w:val="00F750A9"/>
    <w:rsid w:val="00F75330"/>
    <w:rsid w:val="00F75D11"/>
    <w:rsid w:val="00F75F73"/>
    <w:rsid w:val="00F75FEA"/>
    <w:rsid w:val="00F8039A"/>
    <w:rsid w:val="00F8142C"/>
    <w:rsid w:val="00F8293B"/>
    <w:rsid w:val="00F82EE4"/>
    <w:rsid w:val="00F83CB9"/>
    <w:rsid w:val="00F83F4D"/>
    <w:rsid w:val="00F85048"/>
    <w:rsid w:val="00F853B6"/>
    <w:rsid w:val="00F85C78"/>
    <w:rsid w:val="00F86BBA"/>
    <w:rsid w:val="00F8795B"/>
    <w:rsid w:val="00F90CF1"/>
    <w:rsid w:val="00F91204"/>
    <w:rsid w:val="00F91CD7"/>
    <w:rsid w:val="00F91EC0"/>
    <w:rsid w:val="00F92BB4"/>
    <w:rsid w:val="00F92FBC"/>
    <w:rsid w:val="00F935DB"/>
    <w:rsid w:val="00F938E0"/>
    <w:rsid w:val="00F95B3A"/>
    <w:rsid w:val="00FA06CA"/>
    <w:rsid w:val="00FA089B"/>
    <w:rsid w:val="00FA0AE8"/>
    <w:rsid w:val="00FA1F5E"/>
    <w:rsid w:val="00FA28AB"/>
    <w:rsid w:val="00FA3204"/>
    <w:rsid w:val="00FA44BB"/>
    <w:rsid w:val="00FA49C3"/>
    <w:rsid w:val="00FA61BB"/>
    <w:rsid w:val="00FA6367"/>
    <w:rsid w:val="00FA7115"/>
    <w:rsid w:val="00FB0D4C"/>
    <w:rsid w:val="00FB1B8B"/>
    <w:rsid w:val="00FB4078"/>
    <w:rsid w:val="00FB5D6E"/>
    <w:rsid w:val="00FB5DCD"/>
    <w:rsid w:val="00FB6885"/>
    <w:rsid w:val="00FB6F55"/>
    <w:rsid w:val="00FB75B9"/>
    <w:rsid w:val="00FB76B5"/>
    <w:rsid w:val="00FB7906"/>
    <w:rsid w:val="00FB79E1"/>
    <w:rsid w:val="00FB7D3B"/>
    <w:rsid w:val="00FC1A2B"/>
    <w:rsid w:val="00FC1AFB"/>
    <w:rsid w:val="00FC1D1F"/>
    <w:rsid w:val="00FC3126"/>
    <w:rsid w:val="00FC4111"/>
    <w:rsid w:val="00FC5B0C"/>
    <w:rsid w:val="00FC6191"/>
    <w:rsid w:val="00FC6F09"/>
    <w:rsid w:val="00FD08B0"/>
    <w:rsid w:val="00FD0B14"/>
    <w:rsid w:val="00FD1778"/>
    <w:rsid w:val="00FD28D0"/>
    <w:rsid w:val="00FD39E3"/>
    <w:rsid w:val="00FD4B26"/>
    <w:rsid w:val="00FD5B04"/>
    <w:rsid w:val="00FD6C24"/>
    <w:rsid w:val="00FD7D00"/>
    <w:rsid w:val="00FE00C0"/>
    <w:rsid w:val="00FE25C5"/>
    <w:rsid w:val="00FE2BA6"/>
    <w:rsid w:val="00FE3393"/>
    <w:rsid w:val="00FE3B2B"/>
    <w:rsid w:val="00FE41C0"/>
    <w:rsid w:val="00FE6756"/>
    <w:rsid w:val="00FF0075"/>
    <w:rsid w:val="00FF25E3"/>
    <w:rsid w:val="00FF2EE5"/>
    <w:rsid w:val="00FF44CD"/>
    <w:rsid w:val="00FF5F61"/>
    <w:rsid w:val="00FF6CE7"/>
    <w:rsid w:val="00FF70AD"/>
    <w:rsid w:val="00FF7C41"/>
    <w:rsid w:val="00FF7D3B"/>
    <w:rsid w:val="1858D280"/>
    <w:rsid w:val="3569D4CC"/>
    <w:rsid w:val="36FDBF08"/>
    <w:rsid w:val="53A0085F"/>
    <w:rsid w:val="57E744ED"/>
    <w:rsid w:val="5F869B2E"/>
    <w:rsid w:val="624EA88E"/>
    <w:rsid w:val="78CB8E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3B5C0"/>
  <w15:chartTrackingRefBased/>
  <w15:docId w15:val="{05526B62-6C0C-47B2-9A12-FAE8D051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E"/>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381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CC381E"/>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381E"/>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CC381E"/>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CC381E"/>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CC381E"/>
    <w:pPr>
      <w:numPr>
        <w:ilvl w:val="1"/>
        <w:numId w:val="7"/>
      </w:numPr>
      <w:spacing w:before="120" w:after="180" w:line="240" w:lineRule="atLeast"/>
    </w:pPr>
    <w:rPr>
      <w:rFonts w:eastAsia="Cambria" w:cs="Times New Roman"/>
      <w:color w:val="333F48"/>
    </w:rPr>
  </w:style>
  <w:style w:type="paragraph" w:styleId="ListBullet3">
    <w:name w:val="List Bullet 3"/>
    <w:basedOn w:val="Normal"/>
    <w:uiPriority w:val="2"/>
    <w:qFormat/>
    <w:rsid w:val="00CC381E"/>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C1276F"/>
    <w:pPr>
      <w:numPr>
        <w:numId w:val="16"/>
      </w:numPr>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F074F4"/>
    <w:pPr>
      <w:numPr>
        <w:numId w:val="0"/>
      </w:numPr>
      <w:ind w:left="1440" w:hanging="447"/>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5722B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903">
      <w:bodyDiv w:val="1"/>
      <w:marLeft w:val="0"/>
      <w:marRight w:val="0"/>
      <w:marTop w:val="0"/>
      <w:marBottom w:val="0"/>
      <w:divBdr>
        <w:top w:val="none" w:sz="0" w:space="0" w:color="auto"/>
        <w:left w:val="none" w:sz="0" w:space="0" w:color="auto"/>
        <w:bottom w:val="none" w:sz="0" w:space="0" w:color="auto"/>
        <w:right w:val="none" w:sz="0" w:space="0" w:color="auto"/>
      </w:divBdr>
    </w:div>
    <w:div w:id="92482973">
      <w:bodyDiv w:val="1"/>
      <w:marLeft w:val="0"/>
      <w:marRight w:val="0"/>
      <w:marTop w:val="0"/>
      <w:marBottom w:val="0"/>
      <w:divBdr>
        <w:top w:val="none" w:sz="0" w:space="0" w:color="auto"/>
        <w:left w:val="none" w:sz="0" w:space="0" w:color="auto"/>
        <w:bottom w:val="none" w:sz="0" w:space="0" w:color="auto"/>
        <w:right w:val="none" w:sz="0" w:space="0" w:color="auto"/>
      </w:divBdr>
    </w:div>
    <w:div w:id="424958058">
      <w:bodyDiv w:val="1"/>
      <w:marLeft w:val="0"/>
      <w:marRight w:val="0"/>
      <w:marTop w:val="0"/>
      <w:marBottom w:val="0"/>
      <w:divBdr>
        <w:top w:val="none" w:sz="0" w:space="0" w:color="auto"/>
        <w:left w:val="none" w:sz="0" w:space="0" w:color="auto"/>
        <w:bottom w:val="none" w:sz="0" w:space="0" w:color="auto"/>
        <w:right w:val="none" w:sz="0" w:space="0" w:color="auto"/>
      </w:divBdr>
    </w:div>
    <w:div w:id="632834307">
      <w:bodyDiv w:val="1"/>
      <w:marLeft w:val="0"/>
      <w:marRight w:val="0"/>
      <w:marTop w:val="0"/>
      <w:marBottom w:val="0"/>
      <w:divBdr>
        <w:top w:val="none" w:sz="0" w:space="0" w:color="auto"/>
        <w:left w:val="none" w:sz="0" w:space="0" w:color="auto"/>
        <w:bottom w:val="none" w:sz="0" w:space="0" w:color="auto"/>
        <w:right w:val="none" w:sz="0" w:space="0" w:color="auto"/>
      </w:divBdr>
    </w:div>
    <w:div w:id="776944852">
      <w:bodyDiv w:val="1"/>
      <w:marLeft w:val="0"/>
      <w:marRight w:val="0"/>
      <w:marTop w:val="0"/>
      <w:marBottom w:val="0"/>
      <w:divBdr>
        <w:top w:val="none" w:sz="0" w:space="0" w:color="auto"/>
        <w:left w:val="none" w:sz="0" w:space="0" w:color="auto"/>
        <w:bottom w:val="none" w:sz="0" w:space="0" w:color="auto"/>
        <w:right w:val="none" w:sz="0" w:space="0" w:color="auto"/>
      </w:divBdr>
    </w:div>
    <w:div w:id="784815614">
      <w:bodyDiv w:val="1"/>
      <w:marLeft w:val="0"/>
      <w:marRight w:val="0"/>
      <w:marTop w:val="0"/>
      <w:marBottom w:val="0"/>
      <w:divBdr>
        <w:top w:val="none" w:sz="0" w:space="0" w:color="auto"/>
        <w:left w:val="none" w:sz="0" w:space="0" w:color="auto"/>
        <w:bottom w:val="none" w:sz="0" w:space="0" w:color="auto"/>
        <w:right w:val="none" w:sz="0" w:space="0" w:color="auto"/>
      </w:divBdr>
    </w:div>
    <w:div w:id="794567284">
      <w:bodyDiv w:val="1"/>
      <w:marLeft w:val="0"/>
      <w:marRight w:val="0"/>
      <w:marTop w:val="0"/>
      <w:marBottom w:val="0"/>
      <w:divBdr>
        <w:top w:val="none" w:sz="0" w:space="0" w:color="auto"/>
        <w:left w:val="none" w:sz="0" w:space="0" w:color="auto"/>
        <w:bottom w:val="none" w:sz="0" w:space="0" w:color="auto"/>
        <w:right w:val="none" w:sz="0" w:space="0" w:color="auto"/>
      </w:divBdr>
    </w:div>
    <w:div w:id="967858722">
      <w:bodyDiv w:val="1"/>
      <w:marLeft w:val="0"/>
      <w:marRight w:val="0"/>
      <w:marTop w:val="0"/>
      <w:marBottom w:val="0"/>
      <w:divBdr>
        <w:top w:val="none" w:sz="0" w:space="0" w:color="auto"/>
        <w:left w:val="none" w:sz="0" w:space="0" w:color="auto"/>
        <w:bottom w:val="none" w:sz="0" w:space="0" w:color="auto"/>
        <w:right w:val="none" w:sz="0" w:space="0" w:color="auto"/>
      </w:divBdr>
    </w:div>
    <w:div w:id="1022896669">
      <w:bodyDiv w:val="1"/>
      <w:marLeft w:val="0"/>
      <w:marRight w:val="0"/>
      <w:marTop w:val="0"/>
      <w:marBottom w:val="0"/>
      <w:divBdr>
        <w:top w:val="none" w:sz="0" w:space="0" w:color="auto"/>
        <w:left w:val="none" w:sz="0" w:space="0" w:color="auto"/>
        <w:bottom w:val="none" w:sz="0" w:space="0" w:color="auto"/>
        <w:right w:val="none" w:sz="0" w:space="0" w:color="auto"/>
      </w:divBdr>
    </w:div>
    <w:div w:id="1029254965">
      <w:bodyDiv w:val="1"/>
      <w:marLeft w:val="0"/>
      <w:marRight w:val="0"/>
      <w:marTop w:val="0"/>
      <w:marBottom w:val="0"/>
      <w:divBdr>
        <w:top w:val="none" w:sz="0" w:space="0" w:color="auto"/>
        <w:left w:val="none" w:sz="0" w:space="0" w:color="auto"/>
        <w:bottom w:val="none" w:sz="0" w:space="0" w:color="auto"/>
        <w:right w:val="none" w:sz="0" w:space="0" w:color="auto"/>
      </w:divBdr>
    </w:div>
    <w:div w:id="1041252156">
      <w:bodyDiv w:val="1"/>
      <w:marLeft w:val="0"/>
      <w:marRight w:val="0"/>
      <w:marTop w:val="0"/>
      <w:marBottom w:val="0"/>
      <w:divBdr>
        <w:top w:val="none" w:sz="0" w:space="0" w:color="auto"/>
        <w:left w:val="none" w:sz="0" w:space="0" w:color="auto"/>
        <w:bottom w:val="none" w:sz="0" w:space="0" w:color="auto"/>
        <w:right w:val="none" w:sz="0" w:space="0" w:color="auto"/>
      </w:divBdr>
    </w:div>
    <w:div w:id="1046099227">
      <w:bodyDiv w:val="1"/>
      <w:marLeft w:val="0"/>
      <w:marRight w:val="0"/>
      <w:marTop w:val="0"/>
      <w:marBottom w:val="0"/>
      <w:divBdr>
        <w:top w:val="none" w:sz="0" w:space="0" w:color="auto"/>
        <w:left w:val="none" w:sz="0" w:space="0" w:color="auto"/>
        <w:bottom w:val="none" w:sz="0" w:space="0" w:color="auto"/>
        <w:right w:val="none" w:sz="0" w:space="0" w:color="auto"/>
      </w:divBdr>
    </w:div>
    <w:div w:id="1049721578">
      <w:bodyDiv w:val="1"/>
      <w:marLeft w:val="0"/>
      <w:marRight w:val="0"/>
      <w:marTop w:val="0"/>
      <w:marBottom w:val="0"/>
      <w:divBdr>
        <w:top w:val="none" w:sz="0" w:space="0" w:color="auto"/>
        <w:left w:val="none" w:sz="0" w:space="0" w:color="auto"/>
        <w:bottom w:val="none" w:sz="0" w:space="0" w:color="auto"/>
        <w:right w:val="none" w:sz="0" w:space="0" w:color="auto"/>
      </w:divBdr>
    </w:div>
    <w:div w:id="1097363394">
      <w:bodyDiv w:val="1"/>
      <w:marLeft w:val="0"/>
      <w:marRight w:val="0"/>
      <w:marTop w:val="0"/>
      <w:marBottom w:val="0"/>
      <w:divBdr>
        <w:top w:val="none" w:sz="0" w:space="0" w:color="auto"/>
        <w:left w:val="none" w:sz="0" w:space="0" w:color="auto"/>
        <w:bottom w:val="none" w:sz="0" w:space="0" w:color="auto"/>
        <w:right w:val="none" w:sz="0" w:space="0" w:color="auto"/>
      </w:divBdr>
    </w:div>
    <w:div w:id="1150173825">
      <w:bodyDiv w:val="1"/>
      <w:marLeft w:val="0"/>
      <w:marRight w:val="0"/>
      <w:marTop w:val="0"/>
      <w:marBottom w:val="0"/>
      <w:divBdr>
        <w:top w:val="none" w:sz="0" w:space="0" w:color="auto"/>
        <w:left w:val="none" w:sz="0" w:space="0" w:color="auto"/>
        <w:bottom w:val="none" w:sz="0" w:space="0" w:color="auto"/>
        <w:right w:val="none" w:sz="0" w:space="0" w:color="auto"/>
      </w:divBdr>
    </w:div>
    <w:div w:id="1269461181">
      <w:bodyDiv w:val="1"/>
      <w:marLeft w:val="0"/>
      <w:marRight w:val="0"/>
      <w:marTop w:val="0"/>
      <w:marBottom w:val="0"/>
      <w:divBdr>
        <w:top w:val="none" w:sz="0" w:space="0" w:color="auto"/>
        <w:left w:val="none" w:sz="0" w:space="0" w:color="auto"/>
        <w:bottom w:val="none" w:sz="0" w:space="0" w:color="auto"/>
        <w:right w:val="none" w:sz="0" w:space="0" w:color="auto"/>
      </w:divBdr>
    </w:div>
    <w:div w:id="1292596207">
      <w:bodyDiv w:val="1"/>
      <w:marLeft w:val="0"/>
      <w:marRight w:val="0"/>
      <w:marTop w:val="0"/>
      <w:marBottom w:val="0"/>
      <w:divBdr>
        <w:top w:val="none" w:sz="0" w:space="0" w:color="auto"/>
        <w:left w:val="none" w:sz="0" w:space="0" w:color="auto"/>
        <w:bottom w:val="none" w:sz="0" w:space="0" w:color="auto"/>
        <w:right w:val="none" w:sz="0" w:space="0" w:color="auto"/>
      </w:divBdr>
    </w:div>
    <w:div w:id="1340691728">
      <w:bodyDiv w:val="1"/>
      <w:marLeft w:val="0"/>
      <w:marRight w:val="0"/>
      <w:marTop w:val="0"/>
      <w:marBottom w:val="0"/>
      <w:divBdr>
        <w:top w:val="none" w:sz="0" w:space="0" w:color="auto"/>
        <w:left w:val="none" w:sz="0" w:space="0" w:color="auto"/>
        <w:bottom w:val="none" w:sz="0" w:space="0" w:color="auto"/>
        <w:right w:val="none" w:sz="0" w:space="0" w:color="auto"/>
      </w:divBdr>
    </w:div>
    <w:div w:id="1361249644">
      <w:bodyDiv w:val="1"/>
      <w:marLeft w:val="0"/>
      <w:marRight w:val="0"/>
      <w:marTop w:val="0"/>
      <w:marBottom w:val="0"/>
      <w:divBdr>
        <w:top w:val="none" w:sz="0" w:space="0" w:color="auto"/>
        <w:left w:val="none" w:sz="0" w:space="0" w:color="auto"/>
        <w:bottom w:val="none" w:sz="0" w:space="0" w:color="auto"/>
        <w:right w:val="none" w:sz="0" w:space="0" w:color="auto"/>
      </w:divBdr>
    </w:div>
    <w:div w:id="1399866443">
      <w:bodyDiv w:val="1"/>
      <w:marLeft w:val="0"/>
      <w:marRight w:val="0"/>
      <w:marTop w:val="0"/>
      <w:marBottom w:val="0"/>
      <w:divBdr>
        <w:top w:val="none" w:sz="0" w:space="0" w:color="auto"/>
        <w:left w:val="none" w:sz="0" w:space="0" w:color="auto"/>
        <w:bottom w:val="none" w:sz="0" w:space="0" w:color="auto"/>
        <w:right w:val="none" w:sz="0" w:space="0" w:color="auto"/>
      </w:divBdr>
    </w:div>
    <w:div w:id="1423720034">
      <w:bodyDiv w:val="1"/>
      <w:marLeft w:val="0"/>
      <w:marRight w:val="0"/>
      <w:marTop w:val="0"/>
      <w:marBottom w:val="0"/>
      <w:divBdr>
        <w:top w:val="none" w:sz="0" w:space="0" w:color="auto"/>
        <w:left w:val="none" w:sz="0" w:space="0" w:color="auto"/>
        <w:bottom w:val="none" w:sz="0" w:space="0" w:color="auto"/>
        <w:right w:val="none" w:sz="0" w:space="0" w:color="auto"/>
      </w:divBdr>
    </w:div>
    <w:div w:id="1629167861">
      <w:bodyDiv w:val="1"/>
      <w:marLeft w:val="0"/>
      <w:marRight w:val="0"/>
      <w:marTop w:val="0"/>
      <w:marBottom w:val="0"/>
      <w:divBdr>
        <w:top w:val="none" w:sz="0" w:space="0" w:color="auto"/>
        <w:left w:val="none" w:sz="0" w:space="0" w:color="auto"/>
        <w:bottom w:val="none" w:sz="0" w:space="0" w:color="auto"/>
        <w:right w:val="none" w:sz="0" w:space="0" w:color="auto"/>
      </w:divBdr>
    </w:div>
    <w:div w:id="1629314369">
      <w:bodyDiv w:val="1"/>
      <w:marLeft w:val="0"/>
      <w:marRight w:val="0"/>
      <w:marTop w:val="0"/>
      <w:marBottom w:val="0"/>
      <w:divBdr>
        <w:top w:val="none" w:sz="0" w:space="0" w:color="auto"/>
        <w:left w:val="none" w:sz="0" w:space="0" w:color="auto"/>
        <w:bottom w:val="none" w:sz="0" w:space="0" w:color="auto"/>
        <w:right w:val="none" w:sz="0" w:space="0" w:color="auto"/>
      </w:divBdr>
    </w:div>
    <w:div w:id="1741058282">
      <w:bodyDiv w:val="1"/>
      <w:marLeft w:val="0"/>
      <w:marRight w:val="0"/>
      <w:marTop w:val="0"/>
      <w:marBottom w:val="0"/>
      <w:divBdr>
        <w:top w:val="none" w:sz="0" w:space="0" w:color="auto"/>
        <w:left w:val="none" w:sz="0" w:space="0" w:color="auto"/>
        <w:bottom w:val="none" w:sz="0" w:space="0" w:color="auto"/>
        <w:right w:val="none" w:sz="0" w:space="0" w:color="auto"/>
      </w:divBdr>
    </w:div>
    <w:div w:id="1859002456">
      <w:bodyDiv w:val="1"/>
      <w:marLeft w:val="0"/>
      <w:marRight w:val="0"/>
      <w:marTop w:val="0"/>
      <w:marBottom w:val="0"/>
      <w:divBdr>
        <w:top w:val="none" w:sz="0" w:space="0" w:color="auto"/>
        <w:left w:val="none" w:sz="0" w:space="0" w:color="auto"/>
        <w:bottom w:val="none" w:sz="0" w:space="0" w:color="auto"/>
        <w:right w:val="none" w:sz="0" w:space="0" w:color="auto"/>
      </w:divBdr>
    </w:div>
    <w:div w:id="1905525042">
      <w:bodyDiv w:val="1"/>
      <w:marLeft w:val="0"/>
      <w:marRight w:val="0"/>
      <w:marTop w:val="0"/>
      <w:marBottom w:val="0"/>
      <w:divBdr>
        <w:top w:val="none" w:sz="0" w:space="0" w:color="auto"/>
        <w:left w:val="none" w:sz="0" w:space="0" w:color="auto"/>
        <w:bottom w:val="none" w:sz="0" w:space="0" w:color="auto"/>
        <w:right w:val="none" w:sz="0" w:space="0" w:color="auto"/>
      </w:divBdr>
    </w:div>
    <w:div w:id="1962376852">
      <w:bodyDiv w:val="1"/>
      <w:marLeft w:val="0"/>
      <w:marRight w:val="0"/>
      <w:marTop w:val="0"/>
      <w:marBottom w:val="0"/>
      <w:divBdr>
        <w:top w:val="none" w:sz="0" w:space="0" w:color="auto"/>
        <w:left w:val="none" w:sz="0" w:space="0" w:color="auto"/>
        <w:bottom w:val="none" w:sz="0" w:space="0" w:color="auto"/>
        <w:right w:val="none" w:sz="0" w:space="0" w:color="auto"/>
      </w:divBdr>
    </w:div>
    <w:div w:id="20440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news/safety-updates/peripheral-neuropathy-supplementary-vitamin-b6-pyridoxine" TargetMode="External"/><Relationship Id="rId26" Type="http://schemas.openxmlformats.org/officeDocument/2006/relationships/hyperlink" Target="https://www.tga.gov.au/news/blog/understanding-complementary-medicines" TargetMode="External"/><Relationship Id="rId3" Type="http://schemas.openxmlformats.org/officeDocument/2006/relationships/customXml" Target="../customXml/item3.xml"/><Relationship Id="rId21" Type="http://schemas.openxmlformats.org/officeDocument/2006/relationships/hyperlink" Target="https://www.ema.europa.eu/en/human-regulatory-overview/pharmacovigilance-overview"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pps.tga.gov.au/Prod/daen/daen-entry.aspx" TargetMode="External"/><Relationship Id="rId25" Type="http://schemas.openxmlformats.org/officeDocument/2006/relationships/hyperlink" Target="https://www.legislation.gov.au/F2021L01888/latest/tex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onsultations.health.gov.au" TargetMode="External"/><Relationship Id="rId20" Type="http://schemas.openxmlformats.org/officeDocument/2006/relationships/hyperlink" Target="https://www.ema.europa.eu/en/human-regulatory-overview/research-development/pharmacovigilance-research-development/eudravigila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au/F2025L00683/latest/text" TargetMode="External"/><Relationship Id="rId32" Type="http://schemas.openxmlformats.org/officeDocument/2006/relationships/hyperlink" Target="https://www.tga.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yperlink" Target="https://www.nhmrc.gov.au/about-us/publications/nutrient-reference-values-australia-and-new-zealand-including-recommended-dietary-intakes" TargetMode="External"/><Relationship Id="rId28" Type="http://schemas.openxmlformats.org/officeDocument/2006/relationships/hyperlink" Target="https://www.nps.org.au/consumers/complementary-medicines-explained"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tga.gov.au/news/safety-updates/peripheral-neuropathy-supplementary-vitamin-b6-pyridoxine"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fsa.europa.eu/en/topics/topic/food-supplements" TargetMode="External"/><Relationship Id="rId27" Type="http://schemas.openxmlformats.org/officeDocument/2006/relationships/hyperlink" Target="http://www.nps.org.au" TargetMode="External"/><Relationship Id="rId30" Type="http://schemas.openxmlformats.org/officeDocument/2006/relationships/footer" Target="foot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books/NBK554500/" TargetMode="External"/><Relationship Id="rId13" Type="http://schemas.openxmlformats.org/officeDocument/2006/relationships/hyperlink" Target="https://doi.org/10.1016/j.bbapap.2010.12.006" TargetMode="External"/><Relationship Id="rId18" Type="http://schemas.openxmlformats.org/officeDocument/2006/relationships/hyperlink" Target="https://www.sciencedirect.com/science/article/pii/S221343442030013X?ref=pdf_download&amp;fr=RR-2&amp;rr=949779a12d9f573e" TargetMode="External"/><Relationship Id="rId26" Type="http://schemas.openxmlformats.org/officeDocument/2006/relationships/hyperlink" Target="https://www.lareb.nl/en/news/nerve-damage-due-to-the-use-of-nutritional-supplements-with-vitamin-b6?query=zoekterm=vitamin+B6&amp;captcha_at_solution=%7B%22challenge%22%3A%22bnseLJMMoAQVAixvMonbfEx65N8q6EaFnh3y3vAmtQa9lJl%2FmfjTmBt6tVGySIm5rDlmw80LcsH3dw8jzxNUQJbEulwYb%2FZns5eOCY0Quxj3kv%2FAYbRHI7AjEnvyAdS%2Bx4%2FlDF3292E6kf9uCXHLuV5BR7PQC1Qf%2F7o7t52i%2BrJ4gaWzU%2Bv%2BulIGz13127BMLI0%2FvyXOrKlt4ZDXeEyeBkU7erLsNrq6t%2F%2FBc0uROfFNsb1T6lrsCS7%2FVo3hCXHxIV%2FL8JtKHfrz%2BUkTnEF%2F1f6pPcD6XC2IbPSXavuJHK9f2%2FDWUZaF10YSc6gepfV7r9j2AvpsNBIrvMAdZyDU0txNdo%2BRwLojUvfMD%2Fu5rbnU4CbtTNZ1EyFrWRQfTG4T%2BxgPgj4X0zygCiRuQ5T4zOL%2BFKBYBP7N%2FIx%2BKzBUvMwrS%2BakRcDOw3jVSBhWFQLPpmff8y4a86Br6JIQE3BaDI1jWXdSh6fSvOkSGX2R2HYZvN5F3dmTUsXpNbWFrWNQ0RgWFdc0u5ZO0ASGItS80Ms5VX%2F1uzjiKizQTNTTXQMx0W4K27WxMp6oW0CpBnlyF8b9nXweJtcV33Gsmvpktupcpp%2BNfrMjt6sowVtC%2FrC%2FCEpcsAcM1NKiiJQq%2BHqV%2BCqKW64c6l4%2FyMyC38Q1aiuH%2Fk%2FcGNTYBDe5DhGhHprL6ECojSDLv4H4MeMqYBzyab5LywAG0Aj8h78DU95Xbw%3D%3D%22%2C%22solutions%22%3A%5B%7B%22hash%22%3A%2200078e67f0216ad7e69245c0af31fd297cb7eb6ce75a63c846bf274591b36d03%22%2C%22nonce%22%3A%22VgOCmxjfOMZpUtLM%E2%82%AC3655%22%7D%2C%7B%22hash%22%3A%220002b6c517fbd74ed9d33b35e27999e60debf551a9985fe2de4d4fd7048ccb28%22%2C%22nonce%22%3A%221mLMtUR9bwnUTCHH%E2%82%AC3723%22%7D%5D%2C%22expires%22%3A1750638854910%2C%22timings%22%3A%7B%22compute%22%3A3723%2C%22full%22%3A3723%7D%2C%22category%22%3A%22%22%7D" TargetMode="External"/><Relationship Id="rId39" Type="http://schemas.openxmlformats.org/officeDocument/2006/relationships/hyperlink" Target="https://www.foodstandards.gov.au/sites/default/files/food-standards-code/applications/Documents/A470%20Formulated%20Bevs%20FAR%20Attach%206%20FINAL.pdf" TargetMode="External"/><Relationship Id="rId3" Type="http://schemas.openxmlformats.org/officeDocument/2006/relationships/hyperlink" Target="https://www.aihw.gov.au/getmedia/fc5ad42e-08f5-4f9a-9ca4-723cacaa510d/aihw-phe-227.pdf?v=20230605183709&amp;inline=true" TargetMode="External"/><Relationship Id="rId21" Type="http://schemas.openxmlformats.org/officeDocument/2006/relationships/hyperlink" Target="https://doi.org/10.1097/00063110-200504000-00007" TargetMode="External"/><Relationship Id="rId34" Type="http://schemas.openxmlformats.org/officeDocument/2006/relationships/hyperlink" Target="https://www.nhs.uk/conditions/vitamins-and-minerals/vitamin-b/" TargetMode="External"/><Relationship Id="rId42" Type="http://schemas.openxmlformats.org/officeDocument/2006/relationships/hyperlink" Target="https://www.legislation.gov.au/F2025L00683/latest/text" TargetMode="External"/><Relationship Id="rId7" Type="http://schemas.openxmlformats.org/officeDocument/2006/relationships/hyperlink" Target="https://www.msdmanuals.com/professional/nutritional-disorders/vitamin-deficiency-dependency-and-toxicity/vitamin-b6-deficiency-and-dependency" TargetMode="External"/><Relationship Id="rId12" Type="http://schemas.openxmlformats.org/officeDocument/2006/relationships/hyperlink" Target="https://doi.org/10.1002/ijgo.16032" TargetMode="External"/><Relationship Id="rId17" Type="http://schemas.openxmlformats.org/officeDocument/2006/relationships/hyperlink" Target="https://doi.org/10.1016/j.phanu.2020.100188" TargetMode="External"/><Relationship Id="rId25" Type="http://schemas.openxmlformats.org/officeDocument/2006/relationships/hyperlink" Target="https://doi.org/10.1002/pds.70108" TargetMode="External"/><Relationship Id="rId33" Type="http://schemas.openxmlformats.org/officeDocument/2006/relationships/hyperlink" Target="https://www.foodstandards.gov.scot/consumers/healthy-eating/nutrition/vitamins-minerals/vitamin-b6" TargetMode="External"/><Relationship Id="rId38" Type="http://schemas.openxmlformats.org/officeDocument/2006/relationships/hyperlink" Target="https://doi.org/10.17226/6015" TargetMode="External"/><Relationship Id="rId2" Type="http://schemas.openxmlformats.org/officeDocument/2006/relationships/hyperlink" Target="C://Users/chakap/Downloads/nutrient-refererence-dietary-intakes.pdf" TargetMode="External"/><Relationship Id="rId16" Type="http://schemas.openxmlformats.org/officeDocument/2006/relationships/hyperlink" Target="https://doi.org/10.1016/j.tiv.2017.07.009" TargetMode="External"/><Relationship Id="rId20" Type="http://schemas.openxmlformats.org/officeDocument/2006/relationships/hyperlink" Target="https://doi.org/10.1016/s1090-3798(98)80007-x" TargetMode="External"/><Relationship Id="rId29" Type="http://schemas.openxmlformats.org/officeDocument/2006/relationships/hyperlink" Target="https://www.6wresearch.com/industry-report/australia-pyridoxine-hydrochloride-vitamin-b6-market-outlook" TargetMode="External"/><Relationship Id="rId41" Type="http://schemas.openxmlformats.org/officeDocument/2006/relationships/hyperlink" Target="https://doi.org/10.1002/pds.70108" TargetMode="External"/><Relationship Id="rId1" Type="http://schemas.openxmlformats.org/officeDocument/2006/relationships/hyperlink" Target="http://www.chem.qmul.ac.uk/iubmb/enzyme/" TargetMode="External"/><Relationship Id="rId6" Type="http://schemas.openxmlformats.org/officeDocument/2006/relationships/hyperlink" Target="https://doi.org/10.3389/fnut.2022.1031502" TargetMode="External"/><Relationship Id="rId11" Type="http://schemas.openxmlformats.org/officeDocument/2006/relationships/hyperlink" Target="https://www.somanz.org/content/uploads/2020/07/NVP-GUIDELINE-1.2.20-1.pdf" TargetMode="External"/><Relationship Id="rId24" Type="http://schemas.openxmlformats.org/officeDocument/2006/relationships/hyperlink" Target="https://doi.org/10.1093/advances/nmab033" TargetMode="External"/><Relationship Id="rId32" Type="http://schemas.openxmlformats.org/officeDocument/2006/relationships/hyperlink" Target="https://doi.org/10.1177/0272684x19874967" TargetMode="External"/><Relationship Id="rId37" Type="http://schemas.openxmlformats.org/officeDocument/2006/relationships/hyperlink" Target="http://www.nap.edu/catalog.php?record_id=6015" TargetMode="External"/><Relationship Id="rId40" Type="http://schemas.openxmlformats.org/officeDocument/2006/relationships/hyperlink" Target="https://doi.org/10.1007/s40264-018-0664-0" TargetMode="External"/><Relationship Id="rId5" Type="http://schemas.openxmlformats.org/officeDocument/2006/relationships/hyperlink" Target="https://www.kelloggs.com.au/en_AU/products/all-bran-product.html" TargetMode="External"/><Relationship Id="rId15" Type="http://schemas.openxmlformats.org/officeDocument/2006/relationships/hyperlink" Target="https://doi.org/10.1016/j.clnu.2021.05.028" TargetMode="External"/><Relationship Id="rId23" Type="http://schemas.openxmlformats.org/officeDocument/2006/relationships/hyperlink" Target="https://doi.org/10.2903/j.efsa.2023.8006" TargetMode="External"/><Relationship Id="rId28" Type="http://schemas.openxmlformats.org/officeDocument/2006/relationships/hyperlink" Target="https://doi.org/10.1136/bmjopen-2018-024198" TargetMode="External"/><Relationship Id="rId36" Type="http://schemas.openxmlformats.org/officeDocument/2006/relationships/hyperlink" Target="https://www.canada.ca/en/health-canada/services/food-nutrition/healthy-eating/dietary-reference-intakes/tables/reference-values-vitamins.html" TargetMode="External"/><Relationship Id="rId10" Type="http://schemas.openxmlformats.org/officeDocument/2006/relationships/hyperlink" Target="https://www.kemh.health.wa.gov.au/~/media/HSPs/NMHS/Hospitals/WNHS/Documents/Clinical-guidelines/Obs-Gyn-MPs/Pyridoxine---Vitamin-B6.pdf?thn=0" TargetMode="External"/><Relationship Id="rId19" Type="http://schemas.openxmlformats.org/officeDocument/2006/relationships/hyperlink" Target="https://doi.org/10.1016/s0140-6736(85)92536-x" TargetMode="External"/><Relationship Id="rId31" Type="http://schemas.openxmlformats.org/officeDocument/2006/relationships/hyperlink" Target="https://doi.org/10.3390/pharmacy13030061" TargetMode="External"/><Relationship Id="rId4" Type="http://schemas.openxmlformats.org/officeDocument/2006/relationships/hyperlink" Target="https://ods.od.nih.gov/factsheets/VitaminB6-HealthProfessional/" TargetMode="External"/><Relationship Id="rId9" Type="http://schemas.openxmlformats.org/officeDocument/2006/relationships/hyperlink" Target="https://www.seslhd.health.nsw.gov.au/sites/default/files/groups/Royal_Hospital_for_Women/Mothersafe/documents/nauseavomofpregupdatenov21.pdf" TargetMode="External"/><Relationship Id="rId14" Type="http://schemas.openxmlformats.org/officeDocument/2006/relationships/hyperlink" Target="https://ods.od.nih.gov/factsheets/VitaminB6-HealthProfessional/" TargetMode="External"/><Relationship Id="rId22" Type="http://schemas.openxmlformats.org/officeDocument/2006/relationships/hyperlink" Target="https://doi.org/10.1038/s41598-021-98565-w" TargetMode="External"/><Relationship Id="rId27" Type="http://schemas.openxmlformats.org/officeDocument/2006/relationships/hyperlink" Target="https://doi.org/10.4103/0976-500X.120955" TargetMode="External"/><Relationship Id="rId30" Type="http://schemas.openxmlformats.org/officeDocument/2006/relationships/hyperlink" Target="https://doi.org/10.1089/acm.2018.0533" TargetMode="External"/><Relationship Id="rId35" Type="http://schemas.openxmlformats.org/officeDocument/2006/relationships/hyperlink" Target="https://cot.food.gov.uk/sites/default/files/vitmin2003.pdf" TargetMode="External"/><Relationship Id="rId43" Type="http://schemas.openxmlformats.org/officeDocument/2006/relationships/hyperlink" Target="https://www.legislation.gov.au/F2021L01888/latest/tex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p\AppData\Roaming\Micro%20focus\content%20manager\TRIM\TEMP\HPTRIM.4352\D25-19068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F372D2617446C995170ED79404A4C1"/>
        <w:category>
          <w:name w:val="General"/>
          <w:gallery w:val="placeholder"/>
        </w:category>
        <w:types>
          <w:type w:val="bbPlcHdr"/>
        </w:types>
        <w:behaviors>
          <w:behavior w:val="content"/>
        </w:behaviors>
        <w:guid w:val="{49D05C22-C3E4-45A9-87F5-E88704A5D268}"/>
      </w:docPartPr>
      <w:docPartBody>
        <w:p w:rsidR="00D23B33" w:rsidRDefault="00D23B33">
          <w:pPr>
            <w:pStyle w:val="87F372D2617446C995170ED79404A4C1"/>
          </w:pPr>
          <w:r w:rsidRPr="0077627B">
            <w:rPr>
              <w:rStyle w:val="PlaceholderText"/>
            </w:rPr>
            <w:t>Click or tap here to enter text.</w:t>
          </w:r>
        </w:p>
      </w:docPartBody>
    </w:docPart>
    <w:docPart>
      <w:docPartPr>
        <w:name w:val="167393964D7B4CE580B22DEA52A620E0"/>
        <w:category>
          <w:name w:val="General"/>
          <w:gallery w:val="placeholder"/>
        </w:category>
        <w:types>
          <w:type w:val="bbPlcHdr"/>
        </w:types>
        <w:behaviors>
          <w:behavior w:val="content"/>
        </w:behaviors>
        <w:guid w:val="{1F665FA7-BA13-4C76-BEBC-3AEC1B34079D}"/>
      </w:docPartPr>
      <w:docPartBody>
        <w:p w:rsidR="00D23B33" w:rsidRDefault="00D23B33">
          <w:pPr>
            <w:pStyle w:val="167393964D7B4CE580B22DEA52A620E0"/>
          </w:pPr>
          <w:r w:rsidRPr="0077627B">
            <w:rPr>
              <w:rStyle w:val="PlaceholderText"/>
            </w:rPr>
            <w:t>Click or tap here to enter text.</w:t>
          </w:r>
        </w:p>
      </w:docPartBody>
    </w:docPart>
    <w:docPart>
      <w:docPartPr>
        <w:name w:val="731CF32895634A92B66C10BC3BC60079"/>
        <w:category>
          <w:name w:val="General"/>
          <w:gallery w:val="placeholder"/>
        </w:category>
        <w:types>
          <w:type w:val="bbPlcHdr"/>
        </w:types>
        <w:behaviors>
          <w:behavior w:val="content"/>
        </w:behaviors>
        <w:guid w:val="{4C49E3D1-4F54-47BF-819D-0CD7EE237E93}"/>
      </w:docPartPr>
      <w:docPartBody>
        <w:p w:rsidR="00D23B33" w:rsidRDefault="00D23B33">
          <w:pPr>
            <w:pStyle w:val="731CF32895634A92B66C10BC3BC60079"/>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E4"/>
    <w:rsid w:val="0006125B"/>
    <w:rsid w:val="00205114"/>
    <w:rsid w:val="00211016"/>
    <w:rsid w:val="00244EE2"/>
    <w:rsid w:val="002854D5"/>
    <w:rsid w:val="002B334C"/>
    <w:rsid w:val="002C4378"/>
    <w:rsid w:val="002F63C2"/>
    <w:rsid w:val="00352675"/>
    <w:rsid w:val="003C5C6B"/>
    <w:rsid w:val="003F0F3C"/>
    <w:rsid w:val="004B208D"/>
    <w:rsid w:val="004F62AF"/>
    <w:rsid w:val="005C351A"/>
    <w:rsid w:val="005F58E4"/>
    <w:rsid w:val="006748C2"/>
    <w:rsid w:val="006E50B0"/>
    <w:rsid w:val="00741A13"/>
    <w:rsid w:val="00767D68"/>
    <w:rsid w:val="00783C6B"/>
    <w:rsid w:val="007C47E7"/>
    <w:rsid w:val="008F62CE"/>
    <w:rsid w:val="009C2931"/>
    <w:rsid w:val="00A81CCE"/>
    <w:rsid w:val="00B21E51"/>
    <w:rsid w:val="00BB1E81"/>
    <w:rsid w:val="00C21E10"/>
    <w:rsid w:val="00CA6314"/>
    <w:rsid w:val="00D23B33"/>
    <w:rsid w:val="00DE45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8E4"/>
    <w:rPr>
      <w:color w:val="808080"/>
    </w:rPr>
  </w:style>
  <w:style w:type="paragraph" w:customStyle="1" w:styleId="87F372D2617446C995170ED79404A4C1">
    <w:name w:val="87F372D2617446C995170ED79404A4C1"/>
  </w:style>
  <w:style w:type="paragraph" w:customStyle="1" w:styleId="167393964D7B4CE580B22DEA52A620E0">
    <w:name w:val="167393964D7B4CE580B22DEA52A620E0"/>
  </w:style>
  <w:style w:type="paragraph" w:customStyle="1" w:styleId="731CF32895634A92B66C10BC3BC60079">
    <w:name w:val="731CF32895634A92B66C10BC3BC60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0a292-e042-440d-aef8-ab5a9bd10e41"/>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A574D-CB5C-4E6D-96E3-CD09D94B74E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2.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customXml/itemProps3.xml><?xml version="1.0" encoding="utf-8"?>
<ds:datastoreItem xmlns:ds="http://schemas.openxmlformats.org/officeDocument/2006/customXml" ds:itemID="{A39C9177-84BB-4E7F-8316-92E29549D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2342D-DC63-41D4-A400-FED938771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D25-190684  Template - Public notice of interim decisions - ACMS#XX, ACCS#XX, Joint ACMS-ACCS#XX.DOTM</Template>
  <TotalTime>2</TotalTime>
  <Pages>17</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43213</CharactersWithSpaces>
  <SharedDoc>false</SharedDoc>
  <HLinks>
    <vt:vector size="390" baseType="variant">
      <vt:variant>
        <vt:i4>3473445</vt:i4>
      </vt:variant>
      <vt:variant>
        <vt:i4>105</vt:i4>
      </vt:variant>
      <vt:variant>
        <vt:i4>0</vt:i4>
      </vt:variant>
      <vt:variant>
        <vt:i4>5</vt:i4>
      </vt:variant>
      <vt:variant>
        <vt:lpwstr>https://www.tga.gov.au/</vt:lpwstr>
      </vt:variant>
      <vt:variant>
        <vt:lpwstr/>
      </vt:variant>
      <vt:variant>
        <vt:i4>5242926</vt:i4>
      </vt:variant>
      <vt:variant>
        <vt:i4>102</vt:i4>
      </vt:variant>
      <vt:variant>
        <vt:i4>0</vt:i4>
      </vt:variant>
      <vt:variant>
        <vt:i4>5</vt:i4>
      </vt:variant>
      <vt:variant>
        <vt:lpwstr>mailto:info@tga.gov.au</vt:lpwstr>
      </vt:variant>
      <vt:variant>
        <vt:lpwstr/>
      </vt:variant>
      <vt:variant>
        <vt:i4>2162742</vt:i4>
      </vt:variant>
      <vt:variant>
        <vt:i4>99</vt:i4>
      </vt:variant>
      <vt:variant>
        <vt:i4>0</vt:i4>
      </vt:variant>
      <vt:variant>
        <vt:i4>5</vt:i4>
      </vt:variant>
      <vt:variant>
        <vt:lpwstr>https://www.nps.org.au/consumers/complementary-medicines-explained</vt:lpwstr>
      </vt:variant>
      <vt:variant>
        <vt:lpwstr/>
      </vt:variant>
      <vt:variant>
        <vt:i4>7340071</vt:i4>
      </vt:variant>
      <vt:variant>
        <vt:i4>96</vt:i4>
      </vt:variant>
      <vt:variant>
        <vt:i4>0</vt:i4>
      </vt:variant>
      <vt:variant>
        <vt:i4>5</vt:i4>
      </vt:variant>
      <vt:variant>
        <vt:lpwstr>http://www.nps.org.au/</vt:lpwstr>
      </vt:variant>
      <vt:variant>
        <vt:lpwstr/>
      </vt:variant>
      <vt:variant>
        <vt:i4>2818103</vt:i4>
      </vt:variant>
      <vt:variant>
        <vt:i4>93</vt:i4>
      </vt:variant>
      <vt:variant>
        <vt:i4>0</vt:i4>
      </vt:variant>
      <vt:variant>
        <vt:i4>5</vt:i4>
      </vt:variant>
      <vt:variant>
        <vt:lpwstr>https://www.legislation.gov.au/F2021L01888/latest/text</vt:lpwstr>
      </vt:variant>
      <vt:variant>
        <vt:lpwstr/>
      </vt:variant>
      <vt:variant>
        <vt:i4>2883640</vt:i4>
      </vt:variant>
      <vt:variant>
        <vt:i4>87</vt:i4>
      </vt:variant>
      <vt:variant>
        <vt:i4>0</vt:i4>
      </vt:variant>
      <vt:variant>
        <vt:i4>5</vt:i4>
      </vt:variant>
      <vt:variant>
        <vt:lpwstr>https://www.legislation.gov.au/F2025L00212/asmade/text</vt:lpwstr>
      </vt:variant>
      <vt:variant>
        <vt:lpwstr/>
      </vt:variant>
      <vt:variant>
        <vt:i4>1900548</vt:i4>
      </vt:variant>
      <vt:variant>
        <vt:i4>84</vt:i4>
      </vt:variant>
      <vt:variant>
        <vt:i4>0</vt:i4>
      </vt:variant>
      <vt:variant>
        <vt:i4>5</vt:i4>
      </vt:variant>
      <vt:variant>
        <vt:lpwstr>https://www.nhmrc.gov.au/about-us/publications/nutrient-reference-values-australia-and-new-zealand-including-recommended-dietary-intakes</vt:lpwstr>
      </vt:variant>
      <vt:variant>
        <vt:lpwstr/>
      </vt:variant>
      <vt:variant>
        <vt:i4>8257569</vt:i4>
      </vt:variant>
      <vt:variant>
        <vt:i4>81</vt:i4>
      </vt:variant>
      <vt:variant>
        <vt:i4>0</vt:i4>
      </vt:variant>
      <vt:variant>
        <vt:i4>5</vt:i4>
      </vt:variant>
      <vt:variant>
        <vt:lpwstr>https://www.efsa.europa.eu/en/topics/topic/food-supplements</vt:lpwstr>
      </vt:variant>
      <vt:variant>
        <vt:lpwstr/>
      </vt:variant>
      <vt:variant>
        <vt:i4>5242899</vt:i4>
      </vt:variant>
      <vt:variant>
        <vt:i4>78</vt:i4>
      </vt:variant>
      <vt:variant>
        <vt:i4>0</vt:i4>
      </vt:variant>
      <vt:variant>
        <vt:i4>5</vt:i4>
      </vt:variant>
      <vt:variant>
        <vt:lpwstr>https://www.ema.europa.eu/en/human-regulatory-overview/pharmacovigilance-overview</vt:lpwstr>
      </vt:variant>
      <vt:variant>
        <vt:lpwstr>monitoring-suspected-adverse-reactions-11758</vt:lpwstr>
      </vt:variant>
      <vt:variant>
        <vt:i4>4587599</vt:i4>
      </vt:variant>
      <vt:variant>
        <vt:i4>75</vt:i4>
      </vt:variant>
      <vt:variant>
        <vt:i4>0</vt:i4>
      </vt:variant>
      <vt:variant>
        <vt:i4>5</vt:i4>
      </vt:variant>
      <vt:variant>
        <vt:lpwstr>https://www.ema.europa.eu/en/human-regulatory-overview/research-development/pharmacovigilance-research-development/eudravigilance</vt:lpwstr>
      </vt:variant>
      <vt:variant>
        <vt:lpwstr/>
      </vt:variant>
      <vt:variant>
        <vt:i4>5439582</vt:i4>
      </vt:variant>
      <vt:variant>
        <vt:i4>72</vt:i4>
      </vt:variant>
      <vt:variant>
        <vt:i4>0</vt:i4>
      </vt:variant>
      <vt:variant>
        <vt:i4>5</vt:i4>
      </vt:variant>
      <vt:variant>
        <vt:lpwstr>https://www.tga.gov.au/news/safety-updates/peripheral-neuropathy-supplementary-vitamin-b6-pyridoxine</vt:lpwstr>
      </vt:variant>
      <vt:variant>
        <vt:lpwstr>changes-to-label-warnings-for-vitamin-b6-products</vt:lpwstr>
      </vt:variant>
      <vt:variant>
        <vt:i4>1048581</vt:i4>
      </vt:variant>
      <vt:variant>
        <vt:i4>69</vt:i4>
      </vt:variant>
      <vt:variant>
        <vt:i4>0</vt:i4>
      </vt:variant>
      <vt:variant>
        <vt:i4>5</vt:i4>
      </vt:variant>
      <vt:variant>
        <vt:lpwstr>https://www.tga.gov.au/news/safety-updates/peripheral-neuropathy-supplementary-vitamin-b6-pyridoxine</vt:lpwstr>
      </vt:variant>
      <vt:variant>
        <vt:lpwstr/>
      </vt:variant>
      <vt:variant>
        <vt:i4>1441872</vt:i4>
      </vt:variant>
      <vt:variant>
        <vt:i4>66</vt:i4>
      </vt:variant>
      <vt:variant>
        <vt:i4>0</vt:i4>
      </vt:variant>
      <vt:variant>
        <vt:i4>5</vt:i4>
      </vt:variant>
      <vt:variant>
        <vt:lpwstr>https://apps.tga.gov.au/Prod/daen/daen-entry.aspx</vt:lpwstr>
      </vt:variant>
      <vt:variant>
        <vt:lpwstr/>
      </vt:variant>
      <vt:variant>
        <vt:i4>1900548</vt:i4>
      </vt:variant>
      <vt:variant>
        <vt:i4>63</vt:i4>
      </vt:variant>
      <vt:variant>
        <vt:i4>0</vt:i4>
      </vt:variant>
      <vt:variant>
        <vt:i4>5</vt:i4>
      </vt:variant>
      <vt:variant>
        <vt:lpwstr>https://www.nhmrc.gov.au/about-us/publications/nutrient-reference-values-australia-and-new-zealand-including-recommended-dietary-intakes</vt:lpwstr>
      </vt:variant>
      <vt:variant>
        <vt:lpwstr/>
      </vt:variant>
      <vt:variant>
        <vt:i4>1507395</vt:i4>
      </vt:variant>
      <vt:variant>
        <vt:i4>60</vt:i4>
      </vt:variant>
      <vt:variant>
        <vt:i4>0</vt:i4>
      </vt:variant>
      <vt:variant>
        <vt:i4>5</vt:i4>
      </vt:variant>
      <vt:variant>
        <vt:lpwstr>https://consultations.health.gov.au/</vt:lpwstr>
      </vt:variant>
      <vt:variant>
        <vt:lpwstr/>
      </vt:variant>
      <vt:variant>
        <vt:i4>1376316</vt:i4>
      </vt:variant>
      <vt:variant>
        <vt:i4>53</vt:i4>
      </vt:variant>
      <vt:variant>
        <vt:i4>0</vt:i4>
      </vt:variant>
      <vt:variant>
        <vt:i4>5</vt:i4>
      </vt:variant>
      <vt:variant>
        <vt:lpwstr/>
      </vt:variant>
      <vt:variant>
        <vt:lpwstr>_Toc199506486</vt:lpwstr>
      </vt:variant>
      <vt:variant>
        <vt:i4>1376316</vt:i4>
      </vt:variant>
      <vt:variant>
        <vt:i4>47</vt:i4>
      </vt:variant>
      <vt:variant>
        <vt:i4>0</vt:i4>
      </vt:variant>
      <vt:variant>
        <vt:i4>5</vt:i4>
      </vt:variant>
      <vt:variant>
        <vt:lpwstr/>
      </vt:variant>
      <vt:variant>
        <vt:lpwstr>_Toc199506485</vt:lpwstr>
      </vt:variant>
      <vt:variant>
        <vt:i4>1376316</vt:i4>
      </vt:variant>
      <vt:variant>
        <vt:i4>41</vt:i4>
      </vt:variant>
      <vt:variant>
        <vt:i4>0</vt:i4>
      </vt:variant>
      <vt:variant>
        <vt:i4>5</vt:i4>
      </vt:variant>
      <vt:variant>
        <vt:lpwstr/>
      </vt:variant>
      <vt:variant>
        <vt:lpwstr>_Toc199506484</vt:lpwstr>
      </vt:variant>
      <vt:variant>
        <vt:i4>1376316</vt:i4>
      </vt:variant>
      <vt:variant>
        <vt:i4>35</vt:i4>
      </vt:variant>
      <vt:variant>
        <vt:i4>0</vt:i4>
      </vt:variant>
      <vt:variant>
        <vt:i4>5</vt:i4>
      </vt:variant>
      <vt:variant>
        <vt:lpwstr/>
      </vt:variant>
      <vt:variant>
        <vt:lpwstr>_Toc199506483</vt:lpwstr>
      </vt:variant>
      <vt:variant>
        <vt:i4>1376316</vt:i4>
      </vt:variant>
      <vt:variant>
        <vt:i4>29</vt:i4>
      </vt:variant>
      <vt:variant>
        <vt:i4>0</vt:i4>
      </vt:variant>
      <vt:variant>
        <vt:i4>5</vt:i4>
      </vt:variant>
      <vt:variant>
        <vt:lpwstr/>
      </vt:variant>
      <vt:variant>
        <vt:lpwstr>_Toc199506482</vt:lpwstr>
      </vt:variant>
      <vt:variant>
        <vt:i4>1376316</vt:i4>
      </vt:variant>
      <vt:variant>
        <vt:i4>23</vt:i4>
      </vt:variant>
      <vt:variant>
        <vt:i4>0</vt:i4>
      </vt:variant>
      <vt:variant>
        <vt:i4>5</vt:i4>
      </vt:variant>
      <vt:variant>
        <vt:lpwstr/>
      </vt:variant>
      <vt:variant>
        <vt:lpwstr>_Toc199506481</vt:lpwstr>
      </vt:variant>
      <vt:variant>
        <vt:i4>1376316</vt:i4>
      </vt:variant>
      <vt:variant>
        <vt:i4>17</vt:i4>
      </vt:variant>
      <vt:variant>
        <vt:i4>0</vt:i4>
      </vt:variant>
      <vt:variant>
        <vt:i4>5</vt:i4>
      </vt:variant>
      <vt:variant>
        <vt:lpwstr/>
      </vt:variant>
      <vt:variant>
        <vt:lpwstr>_Toc199506480</vt:lpwstr>
      </vt:variant>
      <vt:variant>
        <vt:i4>1703996</vt:i4>
      </vt:variant>
      <vt:variant>
        <vt:i4>11</vt:i4>
      </vt:variant>
      <vt:variant>
        <vt:i4>0</vt:i4>
      </vt:variant>
      <vt:variant>
        <vt:i4>5</vt:i4>
      </vt:variant>
      <vt:variant>
        <vt:lpwstr/>
      </vt:variant>
      <vt:variant>
        <vt:lpwstr>_Toc199506479</vt:lpwstr>
      </vt:variant>
      <vt:variant>
        <vt:i4>1703996</vt:i4>
      </vt:variant>
      <vt:variant>
        <vt:i4>5</vt:i4>
      </vt:variant>
      <vt:variant>
        <vt:i4>0</vt:i4>
      </vt:variant>
      <vt:variant>
        <vt:i4>5</vt:i4>
      </vt:variant>
      <vt:variant>
        <vt:lpwstr/>
      </vt:variant>
      <vt:variant>
        <vt:lpwstr>_Toc199506478</vt:lpwstr>
      </vt:variant>
      <vt:variant>
        <vt:i4>6291548</vt:i4>
      </vt:variant>
      <vt:variant>
        <vt:i4>0</vt:i4>
      </vt:variant>
      <vt:variant>
        <vt:i4>0</vt:i4>
      </vt:variant>
      <vt:variant>
        <vt:i4>5</vt:i4>
      </vt:variant>
      <vt:variant>
        <vt:lpwstr>mailto:tga.copyright@tga.gov.au</vt:lpwstr>
      </vt:variant>
      <vt:variant>
        <vt:lpwstr/>
      </vt:variant>
      <vt:variant>
        <vt:i4>6684706</vt:i4>
      </vt:variant>
      <vt:variant>
        <vt:i4>102</vt:i4>
      </vt:variant>
      <vt:variant>
        <vt:i4>0</vt:i4>
      </vt:variant>
      <vt:variant>
        <vt:i4>5</vt:i4>
      </vt:variant>
      <vt:variant>
        <vt:lpwstr>https://www.mdpi.com/2226-4787/13/3/61</vt:lpwstr>
      </vt:variant>
      <vt:variant>
        <vt:lpwstr/>
      </vt:variant>
      <vt:variant>
        <vt:i4>4325442</vt:i4>
      </vt:variant>
      <vt:variant>
        <vt:i4>99</vt:i4>
      </vt:variant>
      <vt:variant>
        <vt:i4>0</vt:i4>
      </vt:variant>
      <vt:variant>
        <vt:i4>5</vt:i4>
      </vt:variant>
      <vt:variant>
        <vt:lpwstr>https://onlinelibrary.wiley.com/doi/10.1002/pds.70108</vt:lpwstr>
      </vt:variant>
      <vt:variant>
        <vt:lpwstr/>
      </vt:variant>
      <vt:variant>
        <vt:i4>6684744</vt:i4>
      </vt:variant>
      <vt:variant>
        <vt:i4>96</vt:i4>
      </vt:variant>
      <vt:variant>
        <vt:i4>0</vt:i4>
      </vt:variant>
      <vt:variant>
        <vt:i4>5</vt:i4>
      </vt:variant>
      <vt:variant>
        <vt:lpwstr>http://www.nap.edu/catalog.php?record_id=6015</vt:lpwstr>
      </vt:variant>
      <vt:variant>
        <vt:lpwstr/>
      </vt:variant>
      <vt:variant>
        <vt:i4>4784134</vt:i4>
      </vt:variant>
      <vt:variant>
        <vt:i4>93</vt:i4>
      </vt:variant>
      <vt:variant>
        <vt:i4>0</vt:i4>
      </vt:variant>
      <vt:variant>
        <vt:i4>5</vt:i4>
      </vt:variant>
      <vt:variant>
        <vt:lpwstr>https://www.canada.ca/en/health-canada/services/food-nutrition/healthy-eating/dietary-reference-intakes/tables/reference-values-vitamins.html</vt:lpwstr>
      </vt:variant>
      <vt:variant>
        <vt:lpwstr/>
      </vt:variant>
      <vt:variant>
        <vt:i4>2621559</vt:i4>
      </vt:variant>
      <vt:variant>
        <vt:i4>90</vt:i4>
      </vt:variant>
      <vt:variant>
        <vt:i4>0</vt:i4>
      </vt:variant>
      <vt:variant>
        <vt:i4>5</vt:i4>
      </vt:variant>
      <vt:variant>
        <vt:lpwstr>https://cot.food.gov.uk/sites/default/files/vitmin2003.pdf</vt:lpwstr>
      </vt:variant>
      <vt:variant>
        <vt:lpwstr/>
      </vt:variant>
      <vt:variant>
        <vt:i4>7274614</vt:i4>
      </vt:variant>
      <vt:variant>
        <vt:i4>87</vt:i4>
      </vt:variant>
      <vt:variant>
        <vt:i4>0</vt:i4>
      </vt:variant>
      <vt:variant>
        <vt:i4>5</vt:i4>
      </vt:variant>
      <vt:variant>
        <vt:lpwstr>https://www.nhs.uk/conditions/vitamins-and-minerals/vitamin-b/</vt:lpwstr>
      </vt:variant>
      <vt:variant>
        <vt:lpwstr/>
      </vt:variant>
      <vt:variant>
        <vt:i4>7798838</vt:i4>
      </vt:variant>
      <vt:variant>
        <vt:i4>84</vt:i4>
      </vt:variant>
      <vt:variant>
        <vt:i4>0</vt:i4>
      </vt:variant>
      <vt:variant>
        <vt:i4>5</vt:i4>
      </vt:variant>
      <vt:variant>
        <vt:lpwstr>https://www.foodstandards.gov.scot/consumers/healthy-eating/nutrition/vitamins-minerals/vitamin-b6</vt:lpwstr>
      </vt:variant>
      <vt:variant>
        <vt:lpwstr/>
      </vt:variant>
      <vt:variant>
        <vt:i4>1966095</vt:i4>
      </vt:variant>
      <vt:variant>
        <vt:i4>75</vt:i4>
      </vt:variant>
      <vt:variant>
        <vt:i4>0</vt:i4>
      </vt:variant>
      <vt:variant>
        <vt:i4>5</vt:i4>
      </vt:variant>
      <vt:variant>
        <vt:lpwstr>https://journals.sagepub.com/doi/abs/10.1177/0272684X19874967</vt:lpwstr>
      </vt:variant>
      <vt:variant>
        <vt:lpwstr/>
      </vt:variant>
      <vt:variant>
        <vt:i4>6684706</vt:i4>
      </vt:variant>
      <vt:variant>
        <vt:i4>72</vt:i4>
      </vt:variant>
      <vt:variant>
        <vt:i4>0</vt:i4>
      </vt:variant>
      <vt:variant>
        <vt:i4>5</vt:i4>
      </vt:variant>
      <vt:variant>
        <vt:lpwstr>https://www.mdpi.com/2226-4787/13/3/61</vt:lpwstr>
      </vt:variant>
      <vt:variant>
        <vt:lpwstr/>
      </vt:variant>
      <vt:variant>
        <vt:i4>1114195</vt:i4>
      </vt:variant>
      <vt:variant>
        <vt:i4>69</vt:i4>
      </vt:variant>
      <vt:variant>
        <vt:i4>0</vt:i4>
      </vt:variant>
      <vt:variant>
        <vt:i4>5</vt:i4>
      </vt:variant>
      <vt:variant>
        <vt:lpwstr>https://www.liebertpub.com/doi/10.1089/acm.2018.0533</vt:lpwstr>
      </vt:variant>
      <vt:variant>
        <vt:lpwstr/>
      </vt:variant>
      <vt:variant>
        <vt:i4>2097193</vt:i4>
      </vt:variant>
      <vt:variant>
        <vt:i4>66</vt:i4>
      </vt:variant>
      <vt:variant>
        <vt:i4>0</vt:i4>
      </vt:variant>
      <vt:variant>
        <vt:i4>5</vt:i4>
      </vt:variant>
      <vt:variant>
        <vt:lpwstr>https://www.6wresearch.com/industry-report/australia-pyridoxine-hydrochloride-vitamin-b6-market-outlook</vt:lpwstr>
      </vt:variant>
      <vt:variant>
        <vt:lpwstr/>
      </vt:variant>
      <vt:variant>
        <vt:i4>1703966</vt:i4>
      </vt:variant>
      <vt:variant>
        <vt:i4>63</vt:i4>
      </vt:variant>
      <vt:variant>
        <vt:i4>0</vt:i4>
      </vt:variant>
      <vt:variant>
        <vt:i4>5</vt:i4>
      </vt:variant>
      <vt:variant>
        <vt:lpwstr>https://bmjopen.bmj.com/content/9/7/e024198.long</vt:lpwstr>
      </vt:variant>
      <vt:variant>
        <vt:lpwstr/>
      </vt:variant>
      <vt:variant>
        <vt:i4>1966111</vt:i4>
      </vt:variant>
      <vt:variant>
        <vt:i4>60</vt:i4>
      </vt:variant>
      <vt:variant>
        <vt:i4>0</vt:i4>
      </vt:variant>
      <vt:variant>
        <vt:i4>5</vt:i4>
      </vt:variant>
      <vt:variant>
        <vt:lpwstr>https://pmc.ncbi.nlm.nih.gov/articles/PMC3853673/</vt:lpwstr>
      </vt:variant>
      <vt:variant>
        <vt:lpwstr/>
      </vt:variant>
      <vt:variant>
        <vt:i4>2097212</vt:i4>
      </vt:variant>
      <vt:variant>
        <vt:i4>57</vt:i4>
      </vt:variant>
      <vt:variant>
        <vt:i4>0</vt:i4>
      </vt:variant>
      <vt:variant>
        <vt:i4>5</vt:i4>
      </vt:variant>
      <vt:variant>
        <vt:lpwstr>https://www.lareb.nl/Knowledge/FilePreview?id=51323&amp;p=33592</vt:lpwstr>
      </vt:variant>
      <vt:variant>
        <vt:lpwstr/>
      </vt:variant>
      <vt:variant>
        <vt:i4>3735588</vt:i4>
      </vt:variant>
      <vt:variant>
        <vt:i4>54</vt:i4>
      </vt:variant>
      <vt:variant>
        <vt:i4>0</vt:i4>
      </vt:variant>
      <vt:variant>
        <vt:i4>5</vt:i4>
      </vt:variant>
      <vt:variant>
        <vt:lpwstr>https://pmc.ncbi.nlm.nih.gov/articles/PMC11779544/</vt:lpwstr>
      </vt:variant>
      <vt:variant>
        <vt:lpwstr/>
      </vt:variant>
      <vt:variant>
        <vt:i4>4063269</vt:i4>
      </vt:variant>
      <vt:variant>
        <vt:i4>51</vt:i4>
      </vt:variant>
      <vt:variant>
        <vt:i4>0</vt:i4>
      </vt:variant>
      <vt:variant>
        <vt:i4>5</vt:i4>
      </vt:variant>
      <vt:variant>
        <vt:lpwstr>https://efsa.onlinelibrary.wiley.com/doi/epdf/10.2903/j.efsa.2023.8006</vt:lpwstr>
      </vt:variant>
      <vt:variant>
        <vt:lpwstr/>
      </vt:variant>
      <vt:variant>
        <vt:i4>393295</vt:i4>
      </vt:variant>
      <vt:variant>
        <vt:i4>48</vt:i4>
      </vt:variant>
      <vt:variant>
        <vt:i4>0</vt:i4>
      </vt:variant>
      <vt:variant>
        <vt:i4>5</vt:i4>
      </vt:variant>
      <vt:variant>
        <vt:lpwstr>https://journals.lww.com/euro-emergencymed/abstract/2005/04000/pyridoxine_in_clinical_toxicology__a_review.7.aspx</vt:lpwstr>
      </vt:variant>
      <vt:variant>
        <vt:lpwstr/>
      </vt:variant>
      <vt:variant>
        <vt:i4>2818154</vt:i4>
      </vt:variant>
      <vt:variant>
        <vt:i4>45</vt:i4>
      </vt:variant>
      <vt:variant>
        <vt:i4>0</vt:i4>
      </vt:variant>
      <vt:variant>
        <vt:i4>5</vt:i4>
      </vt:variant>
      <vt:variant>
        <vt:lpwstr>https://www.sciencedirect.com/science/article/abs/pii/S109037989880007X</vt:lpwstr>
      </vt:variant>
      <vt:variant>
        <vt:lpwstr/>
      </vt:variant>
      <vt:variant>
        <vt:i4>2883689</vt:i4>
      </vt:variant>
      <vt:variant>
        <vt:i4>42</vt:i4>
      </vt:variant>
      <vt:variant>
        <vt:i4>0</vt:i4>
      </vt:variant>
      <vt:variant>
        <vt:i4>5</vt:i4>
      </vt:variant>
      <vt:variant>
        <vt:lpwstr>https://www.sciencedirect.com/science/article/abs/pii/S014067368592536X</vt:lpwstr>
      </vt:variant>
      <vt:variant>
        <vt:lpwstr/>
      </vt:variant>
      <vt:variant>
        <vt:i4>3801112</vt:i4>
      </vt:variant>
      <vt:variant>
        <vt:i4>39</vt:i4>
      </vt:variant>
      <vt:variant>
        <vt:i4>0</vt:i4>
      </vt:variant>
      <vt:variant>
        <vt:i4>5</vt:i4>
      </vt:variant>
      <vt:variant>
        <vt:lpwstr>https://www.sciencedirect.com/science/article/pii/S221343442030013X?ref=pdf_download&amp;fr=RR-2&amp;rr=949779a12d9f573e</vt:lpwstr>
      </vt:variant>
      <vt:variant>
        <vt:lpwstr/>
      </vt:variant>
      <vt:variant>
        <vt:i4>3997805</vt:i4>
      </vt:variant>
      <vt:variant>
        <vt:i4>36</vt:i4>
      </vt:variant>
      <vt:variant>
        <vt:i4>0</vt:i4>
      </vt:variant>
      <vt:variant>
        <vt:i4>5</vt:i4>
      </vt:variant>
      <vt:variant>
        <vt:lpwstr>https://www.sciencedirect.com/science/article/abs/pii/S0887233317301959?via%3Dihub</vt:lpwstr>
      </vt:variant>
      <vt:variant>
        <vt:lpwstr/>
      </vt:variant>
      <vt:variant>
        <vt:i4>5046361</vt:i4>
      </vt:variant>
      <vt:variant>
        <vt:i4>33</vt:i4>
      </vt:variant>
      <vt:variant>
        <vt:i4>0</vt:i4>
      </vt:variant>
      <vt:variant>
        <vt:i4>5</vt:i4>
      </vt:variant>
      <vt:variant>
        <vt:lpwstr>https://ods.od.nih.gov/factsheets/VitaminB6-HealthProfessional/</vt:lpwstr>
      </vt:variant>
      <vt:variant>
        <vt:lpwstr>en8</vt:lpwstr>
      </vt:variant>
      <vt:variant>
        <vt:i4>720900</vt:i4>
      </vt:variant>
      <vt:variant>
        <vt:i4>30</vt:i4>
      </vt:variant>
      <vt:variant>
        <vt:i4>0</vt:i4>
      </vt:variant>
      <vt:variant>
        <vt:i4>5</vt:i4>
      </vt:variant>
      <vt:variant>
        <vt:lpwstr>https://obgyn.onlinelibrary.wiley.com/doi/10.1002/ijgo.16032</vt:lpwstr>
      </vt:variant>
      <vt:variant>
        <vt:lpwstr/>
      </vt:variant>
      <vt:variant>
        <vt:i4>3997747</vt:i4>
      </vt:variant>
      <vt:variant>
        <vt:i4>27</vt:i4>
      </vt:variant>
      <vt:variant>
        <vt:i4>0</vt:i4>
      </vt:variant>
      <vt:variant>
        <vt:i4>5</vt:i4>
      </vt:variant>
      <vt:variant>
        <vt:lpwstr>https://www.kemh.health.wa.gov.au/~/media/HSPs/NMHS/Hospitals/WNHS/Documents/Clinical-guidelines/Obs-Gyn-MPs/Pyridoxine---Vitamin-B6.pdf?thn=0</vt:lpwstr>
      </vt:variant>
      <vt:variant>
        <vt:lpwstr/>
      </vt:variant>
      <vt:variant>
        <vt:i4>3014751</vt:i4>
      </vt:variant>
      <vt:variant>
        <vt:i4>24</vt:i4>
      </vt:variant>
      <vt:variant>
        <vt:i4>0</vt:i4>
      </vt:variant>
      <vt:variant>
        <vt:i4>5</vt:i4>
      </vt:variant>
      <vt:variant>
        <vt:lpwstr>https://www.seslhd.health.nsw.gov.au/sites/default/files/groups/Royal_Hospital_for_Women/Mothersafe/documents/nauseavomofpregupdatenov21.pdf</vt:lpwstr>
      </vt:variant>
      <vt:variant>
        <vt:lpwstr/>
      </vt:variant>
      <vt:variant>
        <vt:i4>2490488</vt:i4>
      </vt:variant>
      <vt:variant>
        <vt:i4>21</vt:i4>
      </vt:variant>
      <vt:variant>
        <vt:i4>0</vt:i4>
      </vt:variant>
      <vt:variant>
        <vt:i4>5</vt:i4>
      </vt:variant>
      <vt:variant>
        <vt:lpwstr>https://www.acog.org/womens-health/faqs/morning-sickness-nausea-and-vomiting-of-pregnancy</vt:lpwstr>
      </vt:variant>
      <vt:variant>
        <vt:lpwstr>:~:text=Vitamin%20B6%20is%20a%20safe,B6%20and%20doxylamine%20is%20available</vt:lpwstr>
      </vt:variant>
      <vt:variant>
        <vt:i4>5570574</vt:i4>
      </vt:variant>
      <vt:variant>
        <vt:i4>18</vt:i4>
      </vt:variant>
      <vt:variant>
        <vt:i4>0</vt:i4>
      </vt:variant>
      <vt:variant>
        <vt:i4>5</vt:i4>
      </vt:variant>
      <vt:variant>
        <vt:lpwstr>https://www.ncbi.nlm.nih.gov/books/NBK554500/</vt:lpwstr>
      </vt:variant>
      <vt:variant>
        <vt:lpwstr>article-43297.s6</vt:lpwstr>
      </vt:variant>
      <vt:variant>
        <vt:i4>5046371</vt:i4>
      </vt:variant>
      <vt:variant>
        <vt:i4>15</vt:i4>
      </vt:variant>
      <vt:variant>
        <vt:i4>0</vt:i4>
      </vt:variant>
      <vt:variant>
        <vt:i4>5</vt:i4>
      </vt:variant>
      <vt:variant>
        <vt:lpwstr>https://www.msdmanuals.com/professional/nutritional-disorders/vitamin-deficiency-dependency-and-toxicity/vitamin-b6-deficiency-and-dependency</vt:lpwstr>
      </vt:variant>
      <vt:variant>
        <vt:lpwstr>Diagnosis_v44325047</vt:lpwstr>
      </vt:variant>
      <vt:variant>
        <vt:i4>7078014</vt:i4>
      </vt:variant>
      <vt:variant>
        <vt:i4>12</vt:i4>
      </vt:variant>
      <vt:variant>
        <vt:i4>0</vt:i4>
      </vt:variant>
      <vt:variant>
        <vt:i4>5</vt:i4>
      </vt:variant>
      <vt:variant>
        <vt:lpwstr>https://journals.physiology.org/doi/full/10.1152/ajpcell.00015.2008</vt:lpwstr>
      </vt:variant>
      <vt:variant>
        <vt:lpwstr/>
      </vt:variant>
      <vt:variant>
        <vt:i4>7077904</vt:i4>
      </vt:variant>
      <vt:variant>
        <vt:i4>9</vt:i4>
      </vt:variant>
      <vt:variant>
        <vt:i4>0</vt:i4>
      </vt:variant>
      <vt:variant>
        <vt:i4>5</vt:i4>
      </vt:variant>
      <vt:variant>
        <vt:lpwstr>https://www.kelloggs.com.au/en_AU/products/all-bran-product.html</vt:lpwstr>
      </vt:variant>
      <vt:variant>
        <vt:lpwstr>nutrition-modal</vt:lpwstr>
      </vt:variant>
      <vt:variant>
        <vt:i4>5046361</vt:i4>
      </vt:variant>
      <vt:variant>
        <vt:i4>6</vt:i4>
      </vt:variant>
      <vt:variant>
        <vt:i4>0</vt:i4>
      </vt:variant>
      <vt:variant>
        <vt:i4>5</vt:i4>
      </vt:variant>
      <vt:variant>
        <vt:lpwstr>https://ods.od.nih.gov/factsheets/VitaminB6-HealthProfessional/</vt:lpwstr>
      </vt:variant>
      <vt:variant>
        <vt:lpwstr>en8</vt:lpwstr>
      </vt:variant>
      <vt:variant>
        <vt:i4>1179651</vt:i4>
      </vt:variant>
      <vt:variant>
        <vt:i4>0</vt:i4>
      </vt:variant>
      <vt:variant>
        <vt:i4>0</vt:i4>
      </vt:variant>
      <vt:variant>
        <vt:i4>5</vt:i4>
      </vt:variant>
      <vt:variant>
        <vt:lpwstr>http://www.chem.qmul.ac.uk/iubmb/enzyme/</vt:lpwstr>
      </vt:variant>
      <vt:variant>
        <vt:lpwstr/>
      </vt:variant>
      <vt:variant>
        <vt:i4>3538992</vt:i4>
      </vt:variant>
      <vt:variant>
        <vt:i4>21</vt:i4>
      </vt:variant>
      <vt:variant>
        <vt:i4>0</vt:i4>
      </vt:variant>
      <vt:variant>
        <vt:i4>5</vt:i4>
      </vt:variant>
      <vt:variant>
        <vt:lpwstr>https://www.foodstandards.gov.au/sites/default/files/food-standards-code/applications/Documents/A470 Formulated Bevs FAR Attach 6 FINAL.pdf</vt:lpwstr>
      </vt:variant>
      <vt:variant>
        <vt:lpwstr/>
      </vt:variant>
      <vt:variant>
        <vt:i4>7340137</vt:i4>
      </vt:variant>
      <vt:variant>
        <vt:i4>18</vt:i4>
      </vt:variant>
      <vt:variant>
        <vt:i4>0</vt:i4>
      </vt:variant>
      <vt:variant>
        <vt:i4>5</vt:i4>
      </vt:variant>
      <vt:variant>
        <vt:lpwstr>https://www.tga.gov.au/how-we-regulate/ingredients-and-scheduling-medicines-and-chemicals/scheduling-basics-medicines-and-chemicals-australia/ahmac-scheduling-policy-framework-medicines-and-chemicals</vt:lpwstr>
      </vt:variant>
      <vt:variant>
        <vt:lpwstr/>
      </vt:variant>
      <vt:variant>
        <vt:i4>7340137</vt:i4>
      </vt:variant>
      <vt:variant>
        <vt:i4>15</vt:i4>
      </vt:variant>
      <vt:variant>
        <vt:i4>0</vt:i4>
      </vt:variant>
      <vt:variant>
        <vt:i4>5</vt:i4>
      </vt:variant>
      <vt:variant>
        <vt:lpwstr>https://www.tga.gov.au/how-we-regulate/ingredients-and-scheduling-medicines-and-chemicals/scheduling-basics-medicines-and-chemicals-australia/ahmac-scheduling-policy-framework-medicines-and-chemicals</vt:lpwstr>
      </vt:variant>
      <vt:variant>
        <vt:lpwstr/>
      </vt:variant>
      <vt:variant>
        <vt:i4>458754</vt:i4>
      </vt:variant>
      <vt:variant>
        <vt:i4>12</vt:i4>
      </vt:variant>
      <vt:variant>
        <vt:i4>0</vt:i4>
      </vt:variant>
      <vt:variant>
        <vt:i4>5</vt:i4>
      </vt:variant>
      <vt:variant>
        <vt:lpwstr>https://pubmed.ncbi.nlm.nih.gov/34024922/</vt:lpwstr>
      </vt:variant>
      <vt:variant>
        <vt:lpwstr/>
      </vt:variant>
      <vt:variant>
        <vt:i4>1769563</vt:i4>
      </vt:variant>
      <vt:variant>
        <vt:i4>9</vt:i4>
      </vt:variant>
      <vt:variant>
        <vt:i4>0</vt:i4>
      </vt:variant>
      <vt:variant>
        <vt:i4>5</vt:i4>
      </vt:variant>
      <vt:variant>
        <vt:lpwstr>https://www.ncbi.nlm.nih.gov/books/NBK542220/</vt:lpwstr>
      </vt:variant>
      <vt:variant>
        <vt:lpwstr/>
      </vt:variant>
      <vt:variant>
        <vt:i4>1769563</vt:i4>
      </vt:variant>
      <vt:variant>
        <vt:i4>6</vt:i4>
      </vt:variant>
      <vt:variant>
        <vt:i4>0</vt:i4>
      </vt:variant>
      <vt:variant>
        <vt:i4>5</vt:i4>
      </vt:variant>
      <vt:variant>
        <vt:lpwstr>https://www.ncbi.nlm.nih.gov/books/NBK542220/</vt:lpwstr>
      </vt:variant>
      <vt:variant>
        <vt:lpwstr/>
      </vt:variant>
      <vt:variant>
        <vt:i4>3276920</vt:i4>
      </vt:variant>
      <vt:variant>
        <vt:i4>3</vt:i4>
      </vt:variant>
      <vt:variant>
        <vt:i4>0</vt:i4>
      </vt:variant>
      <vt:variant>
        <vt:i4>5</vt:i4>
      </vt:variant>
      <vt:variant>
        <vt:lpwstr>https://www.sciencedirect.com/science/article/pii/S0261561421002788</vt:lpwstr>
      </vt:variant>
      <vt:variant>
        <vt:lpwstr>bib33</vt:lpwstr>
      </vt:variant>
      <vt:variant>
        <vt:i4>1310790</vt:i4>
      </vt:variant>
      <vt:variant>
        <vt:i4>0</vt:i4>
      </vt:variant>
      <vt:variant>
        <vt:i4>0</vt:i4>
      </vt:variant>
      <vt:variant>
        <vt:i4>5</vt:i4>
      </vt:variant>
      <vt:variant>
        <vt:lpwstr>https://www.somanz.org/content/uploads/2020/07/NVP-GUIDELINE-1.2.20-1.pdf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 to amend (or not amend) the current Poisons Standard in relation to pyridoxine, pyridoxal or pyridoxamine (vitamin B6)</dc:title>
  <dc:subject>consultation</dc:subject>
  <dc:creator>Therapeutic Goods Administration</dc:creator>
  <cp:keywords/>
  <dc:description/>
  <cp:lastModifiedBy>LACK, Janet</cp:lastModifiedBy>
  <cp:revision>2</cp:revision>
  <cp:lastPrinted>2025-06-03T09:08:00Z</cp:lastPrinted>
  <dcterms:created xsi:type="dcterms:W3CDTF">2025-06-26T00:01:00Z</dcterms:created>
  <dcterms:modified xsi:type="dcterms:W3CDTF">2025-06-26T00:01:00Z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