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E47C" w14:textId="4D3EA26C" w:rsidR="00495508" w:rsidRPr="00C11ED4" w:rsidRDefault="00495508" w:rsidP="00495508">
      <w:pPr>
        <w:tabs>
          <w:tab w:val="left" w:pos="284"/>
        </w:tabs>
        <w:spacing w:after="480" w:line="240" w:lineRule="auto"/>
        <w:rPr>
          <w:rFonts w:asciiTheme="majorHAnsi" w:hAnsiTheme="majorHAnsi"/>
        </w:rPr>
      </w:pPr>
      <w:r w:rsidRPr="00C11ED4">
        <w:rPr>
          <w:rFonts w:asciiTheme="majorHAnsi" w:hAnsiTheme="majorHAnsi"/>
          <w:noProof/>
          <w:lang w:eastAsia="en-AU"/>
        </w:rPr>
        <mc:AlternateContent>
          <mc:Choice Requires="wps">
            <w:drawing>
              <wp:inline distT="0" distB="0" distL="0" distR="0" wp14:anchorId="40CB377F" wp14:editId="4F1CE3CB">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128C5" w14:textId="77777777" w:rsidR="00495508" w:rsidRPr="00BE2A26" w:rsidRDefault="00495508" w:rsidP="00495508">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40CB377F"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50B128C5" w14:textId="77777777" w:rsidR="00495508" w:rsidRPr="00BE2A26" w:rsidRDefault="00495508" w:rsidP="00495508">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C11ED4">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r w:rsidR="00FC66B1" w:rsidRPr="00C11ED4">
        <w:rPr>
          <w:rFonts w:asciiTheme="majorHAnsi" w:hAnsiTheme="majorHAnsi"/>
        </w:rPr>
        <w:t>https://www.tga.gov.au/reporting-problems</w:t>
      </w:r>
      <w:r w:rsidRPr="00C11ED4">
        <w:rPr>
          <w:rFonts w:asciiTheme="majorHAnsi" w:hAnsiTheme="majorHAnsi"/>
        </w:rPr>
        <w:t>.</w:t>
      </w:r>
    </w:p>
    <w:p w14:paraId="688BB187" w14:textId="2B0B44FF" w:rsidR="004032BD" w:rsidRPr="00C11ED4" w:rsidRDefault="004032BD" w:rsidP="006559EB">
      <w:pPr>
        <w:pStyle w:val="Heading1"/>
        <w:numPr>
          <w:ilvl w:val="0"/>
          <w:numId w:val="0"/>
        </w:numPr>
        <w:spacing w:before="0" w:after="200"/>
        <w:rPr>
          <w:rFonts w:eastAsia="SimSun" w:cstheme="minorHAnsi"/>
        </w:rPr>
      </w:pPr>
      <w:r w:rsidRPr="00C11ED4">
        <w:rPr>
          <w:rFonts w:eastAsia="SimSun" w:cstheme="minorHAnsi"/>
        </w:rPr>
        <w:t>Australian P</w:t>
      </w:r>
      <w:r w:rsidR="00677840" w:rsidRPr="00C11ED4">
        <w:rPr>
          <w:rFonts w:eastAsia="SimSun" w:cstheme="minorHAnsi"/>
        </w:rPr>
        <w:t xml:space="preserve">roduct </w:t>
      </w:r>
      <w:r w:rsidRPr="00C11ED4">
        <w:rPr>
          <w:rFonts w:eastAsia="SimSun" w:cstheme="minorHAnsi"/>
        </w:rPr>
        <w:t>I</w:t>
      </w:r>
      <w:r w:rsidR="00677840" w:rsidRPr="00C11ED4">
        <w:rPr>
          <w:rFonts w:eastAsia="SimSun" w:cstheme="minorHAnsi"/>
        </w:rPr>
        <w:t>nformation</w:t>
      </w:r>
      <w:r w:rsidRPr="00C11ED4">
        <w:rPr>
          <w:rFonts w:eastAsia="SimSun" w:cstheme="minorHAnsi"/>
        </w:rPr>
        <w:t xml:space="preserve"> – </w:t>
      </w:r>
      <w:r w:rsidR="009D6893" w:rsidRPr="00C11ED4">
        <w:rPr>
          <w:rFonts w:eastAsia="SimSun" w:cstheme="minorHAnsi"/>
        </w:rPr>
        <w:t>POMBILITI</w:t>
      </w:r>
      <w:r w:rsidR="009D6893" w:rsidRPr="00C11ED4">
        <w:rPr>
          <w:rFonts w:eastAsia="SimSun" w:cstheme="minorHAnsi"/>
          <w:vertAlign w:val="superscript"/>
        </w:rPr>
        <w:t>®</w:t>
      </w:r>
      <w:r w:rsidR="007E693C" w:rsidRPr="00C11ED4">
        <w:rPr>
          <w:rFonts w:eastAsia="SimSun" w:cstheme="minorHAnsi"/>
        </w:rPr>
        <w:t xml:space="preserve"> </w:t>
      </w:r>
      <w:r w:rsidRPr="00C11ED4">
        <w:rPr>
          <w:rFonts w:eastAsia="SimSun" w:cstheme="minorHAnsi"/>
        </w:rPr>
        <w:t>(</w:t>
      </w:r>
      <w:r w:rsidR="002C324F" w:rsidRPr="00C11ED4">
        <w:rPr>
          <w:rFonts w:eastAsia="SimSun" w:cstheme="minorHAnsi"/>
        </w:rPr>
        <w:t>cipaglucosidase alfa</w:t>
      </w:r>
      <w:r w:rsidRPr="00C11ED4">
        <w:rPr>
          <w:rFonts w:eastAsia="SimSun" w:cstheme="minorHAnsi"/>
        </w:rPr>
        <w:t>)</w:t>
      </w:r>
      <w:r w:rsidR="00497C85" w:rsidRPr="00C11ED4">
        <w:rPr>
          <w:rFonts w:eastAsia="SimSun" w:cstheme="minorHAnsi"/>
        </w:rPr>
        <w:t xml:space="preserve"> </w:t>
      </w:r>
    </w:p>
    <w:p w14:paraId="522684CC" w14:textId="77777777" w:rsidR="001A3992" w:rsidRPr="00C11ED4" w:rsidRDefault="001A3992" w:rsidP="006559EB">
      <w:pPr>
        <w:pStyle w:val="Heading1"/>
        <w:spacing w:before="0" w:after="200"/>
        <w:ind w:left="431" w:hanging="431"/>
        <w:rPr>
          <w:rFonts w:cstheme="minorHAnsi"/>
        </w:rPr>
      </w:pPr>
      <w:r w:rsidRPr="00C11ED4">
        <w:rPr>
          <w:rFonts w:cstheme="minorHAnsi"/>
        </w:rPr>
        <w:t>Name of the medicine</w:t>
      </w:r>
    </w:p>
    <w:p w14:paraId="541A9430" w14:textId="44B117D1" w:rsidR="00BB50CE" w:rsidRPr="00C11ED4" w:rsidRDefault="0913095F"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POMBILITI </w:t>
      </w:r>
      <w:proofErr w:type="spellStart"/>
      <w:r w:rsidR="79D01A23" w:rsidRPr="00C11ED4">
        <w:rPr>
          <w:rFonts w:asciiTheme="majorHAnsi" w:hAnsiTheme="majorHAnsi"/>
          <w:sz w:val="22"/>
          <w:szCs w:val="22"/>
        </w:rPr>
        <w:t>cipaglucosidase</w:t>
      </w:r>
      <w:proofErr w:type="spellEnd"/>
      <w:r w:rsidR="79D01A23" w:rsidRPr="00C11ED4">
        <w:rPr>
          <w:rFonts w:asciiTheme="majorHAnsi" w:hAnsiTheme="majorHAnsi"/>
          <w:sz w:val="22"/>
          <w:szCs w:val="22"/>
        </w:rPr>
        <w:t xml:space="preserve"> alfa </w:t>
      </w:r>
      <w:r w:rsidR="00BD0F5A" w:rsidRPr="00C11ED4">
        <w:rPr>
          <w:rFonts w:asciiTheme="majorHAnsi" w:hAnsiTheme="majorHAnsi"/>
          <w:sz w:val="22"/>
          <w:szCs w:val="22"/>
        </w:rPr>
        <w:t>105 mg</w:t>
      </w:r>
      <w:r w:rsidR="00897E83" w:rsidRPr="00C11ED4">
        <w:rPr>
          <w:rFonts w:asciiTheme="majorHAnsi" w:hAnsiTheme="majorHAnsi"/>
          <w:sz w:val="22"/>
          <w:szCs w:val="22"/>
        </w:rPr>
        <w:t>/7 m</w:t>
      </w:r>
      <w:r w:rsidR="00CE57CF" w:rsidRPr="00C11ED4">
        <w:rPr>
          <w:rFonts w:asciiTheme="majorHAnsi" w:hAnsiTheme="majorHAnsi"/>
          <w:sz w:val="22"/>
          <w:szCs w:val="22"/>
        </w:rPr>
        <w:t>L</w:t>
      </w:r>
      <w:r w:rsidR="00BD0F5A" w:rsidRPr="00C11ED4">
        <w:rPr>
          <w:rFonts w:asciiTheme="majorHAnsi" w:hAnsiTheme="majorHAnsi"/>
          <w:sz w:val="22"/>
          <w:szCs w:val="22"/>
        </w:rPr>
        <w:t xml:space="preserve"> </w:t>
      </w:r>
      <w:r w:rsidR="0F26CD54" w:rsidRPr="00C11ED4">
        <w:rPr>
          <w:rFonts w:asciiTheme="majorHAnsi" w:hAnsiTheme="majorHAnsi"/>
          <w:sz w:val="22"/>
          <w:szCs w:val="22"/>
        </w:rPr>
        <w:t xml:space="preserve">powder for </w:t>
      </w:r>
      <w:r w:rsidRPr="00C11ED4">
        <w:rPr>
          <w:rFonts w:asciiTheme="majorHAnsi" w:hAnsiTheme="majorHAnsi"/>
          <w:sz w:val="22"/>
          <w:szCs w:val="22"/>
        </w:rPr>
        <w:t>injection</w:t>
      </w:r>
      <w:r w:rsidR="00741DFC" w:rsidRPr="00C11ED4">
        <w:rPr>
          <w:rFonts w:asciiTheme="majorHAnsi" w:hAnsiTheme="majorHAnsi"/>
          <w:sz w:val="22"/>
          <w:szCs w:val="22"/>
        </w:rPr>
        <w:t xml:space="preserve"> vial</w:t>
      </w:r>
      <w:r w:rsidR="00571895" w:rsidRPr="00C11ED4">
        <w:rPr>
          <w:rFonts w:asciiTheme="majorHAnsi" w:hAnsiTheme="majorHAnsi"/>
          <w:sz w:val="22"/>
          <w:szCs w:val="22"/>
        </w:rPr>
        <w:t>.</w:t>
      </w:r>
    </w:p>
    <w:p w14:paraId="2AC17082" w14:textId="77777777" w:rsidR="001A3992" w:rsidRPr="00C11ED4" w:rsidRDefault="001A3992" w:rsidP="006559EB">
      <w:pPr>
        <w:pStyle w:val="Heading1"/>
        <w:spacing w:before="0" w:after="200"/>
        <w:rPr>
          <w:rFonts w:cstheme="minorHAnsi"/>
        </w:rPr>
      </w:pPr>
      <w:r w:rsidRPr="00C11ED4">
        <w:rPr>
          <w:rFonts w:cstheme="minorHAnsi"/>
        </w:rPr>
        <w:t>Qualitative and quantitative composition</w:t>
      </w:r>
    </w:p>
    <w:p w14:paraId="2A90F1AA" w14:textId="7913A0E8" w:rsidR="000B6DA3" w:rsidRPr="00C11ED4" w:rsidRDefault="000B6DA3"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One vial contains 105 mg of </w:t>
      </w:r>
      <w:proofErr w:type="spellStart"/>
      <w:r w:rsidRPr="00C11ED4">
        <w:rPr>
          <w:rFonts w:asciiTheme="majorHAnsi" w:hAnsiTheme="majorHAnsi"/>
          <w:sz w:val="22"/>
          <w:szCs w:val="22"/>
        </w:rPr>
        <w:t>cipaglucosidase</w:t>
      </w:r>
      <w:proofErr w:type="spellEnd"/>
      <w:r w:rsidRPr="00C11ED4">
        <w:rPr>
          <w:rFonts w:asciiTheme="majorHAnsi" w:hAnsiTheme="majorHAnsi"/>
          <w:sz w:val="22"/>
          <w:szCs w:val="22"/>
        </w:rPr>
        <w:t xml:space="preserve"> alfa.</w:t>
      </w:r>
    </w:p>
    <w:p w14:paraId="1593D822" w14:textId="780937B2" w:rsidR="000B6DA3" w:rsidRPr="00C11ED4" w:rsidRDefault="000B6DA3"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After reconstitution of each vial </w:t>
      </w:r>
      <w:r w:rsidR="00BF550B" w:rsidRPr="00C11ED4">
        <w:rPr>
          <w:rFonts w:asciiTheme="majorHAnsi" w:hAnsiTheme="majorHAnsi"/>
          <w:sz w:val="22"/>
          <w:szCs w:val="22"/>
        </w:rPr>
        <w:t>(</w:t>
      </w:r>
      <w:r w:rsidRPr="00C11ED4">
        <w:rPr>
          <w:rFonts w:asciiTheme="majorHAnsi" w:hAnsiTheme="majorHAnsi"/>
          <w:sz w:val="22"/>
          <w:szCs w:val="22"/>
        </w:rPr>
        <w:t xml:space="preserve">see </w:t>
      </w:r>
      <w:r w:rsidR="002A33FE" w:rsidRPr="00C11ED4">
        <w:rPr>
          <w:rFonts w:asciiTheme="majorHAnsi" w:hAnsiTheme="majorHAnsi"/>
          <w:sz w:val="22"/>
          <w:szCs w:val="22"/>
        </w:rPr>
        <w:t>Section</w:t>
      </w:r>
      <w:r w:rsidRPr="00C11ED4">
        <w:rPr>
          <w:rFonts w:asciiTheme="majorHAnsi" w:hAnsiTheme="majorHAnsi"/>
          <w:sz w:val="22"/>
          <w:szCs w:val="22"/>
        </w:rPr>
        <w:t xml:space="preserve"> </w:t>
      </w:r>
      <w:r w:rsidR="00393E5C" w:rsidRPr="00C11ED4">
        <w:rPr>
          <w:rFonts w:asciiTheme="majorHAnsi" w:hAnsiTheme="majorHAnsi"/>
          <w:sz w:val="22"/>
          <w:szCs w:val="22"/>
        </w:rPr>
        <w:t>6.6 SPECIAL PRECAUTIONS FOR DISPOSAL</w:t>
      </w:r>
      <w:r w:rsidRPr="00C11ED4">
        <w:rPr>
          <w:rFonts w:asciiTheme="majorHAnsi" w:hAnsiTheme="majorHAnsi"/>
          <w:sz w:val="22"/>
          <w:szCs w:val="22"/>
        </w:rPr>
        <w:t xml:space="preserve">), the concentrated </w:t>
      </w:r>
      <w:r w:rsidRPr="00C11ED4">
        <w:rPr>
          <w:rFonts w:asciiTheme="majorHAnsi" w:hAnsiTheme="majorHAnsi"/>
          <w:sz w:val="22"/>
          <w:szCs w:val="22"/>
          <w:lang w:val="en-AU"/>
        </w:rPr>
        <w:t>solution</w:t>
      </w:r>
      <w:r w:rsidRPr="00C11ED4">
        <w:rPr>
          <w:rFonts w:asciiTheme="majorHAnsi" w:hAnsiTheme="majorHAnsi"/>
          <w:sz w:val="22"/>
          <w:szCs w:val="22"/>
        </w:rPr>
        <w:t xml:space="preserve"> contains 15 mg of </w:t>
      </w:r>
      <w:proofErr w:type="spellStart"/>
      <w:r w:rsidRPr="00C11ED4">
        <w:rPr>
          <w:rFonts w:asciiTheme="majorHAnsi" w:hAnsiTheme="majorHAnsi"/>
          <w:sz w:val="22"/>
          <w:szCs w:val="22"/>
        </w:rPr>
        <w:t>cipaglucosidase</w:t>
      </w:r>
      <w:proofErr w:type="spellEnd"/>
      <w:r w:rsidRPr="00C11ED4">
        <w:rPr>
          <w:rFonts w:asciiTheme="majorHAnsi" w:hAnsiTheme="majorHAnsi"/>
          <w:sz w:val="22"/>
          <w:szCs w:val="22"/>
        </w:rPr>
        <w:t xml:space="preserve"> alfa* per </w:t>
      </w:r>
      <w:proofErr w:type="spellStart"/>
      <w:r w:rsidRPr="00C11ED4">
        <w:rPr>
          <w:rFonts w:asciiTheme="majorHAnsi" w:hAnsiTheme="majorHAnsi"/>
          <w:sz w:val="22"/>
          <w:szCs w:val="22"/>
        </w:rPr>
        <w:t>mL.</w:t>
      </w:r>
      <w:proofErr w:type="spellEnd"/>
    </w:p>
    <w:p w14:paraId="6870BF56" w14:textId="58EB9899" w:rsidR="00072831" w:rsidRPr="00C11ED4" w:rsidRDefault="004C062C"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w:t>
      </w:r>
      <w:proofErr w:type="spellStart"/>
      <w:r w:rsidR="00072831" w:rsidRPr="00C11ED4">
        <w:rPr>
          <w:rFonts w:asciiTheme="majorHAnsi" w:hAnsiTheme="majorHAnsi"/>
          <w:sz w:val="22"/>
          <w:szCs w:val="22"/>
        </w:rPr>
        <w:t>Cipaglucosidase</w:t>
      </w:r>
      <w:proofErr w:type="spellEnd"/>
      <w:r w:rsidR="00072831" w:rsidRPr="00C11ED4">
        <w:rPr>
          <w:rFonts w:asciiTheme="majorHAnsi" w:hAnsiTheme="majorHAnsi"/>
          <w:sz w:val="22"/>
          <w:szCs w:val="22"/>
        </w:rPr>
        <w:t xml:space="preserve"> alfa is a hydrolytic glycogen-specific enzyme, produced by recombinant DNA methodology derived from Chinese Hamster Ovary (CHO) cell line using perfusion methodology, resulting in cellularly (CHO)-derived N-glycans. This genetic technology deliberately creates a recombinant enzyme with a very similar structure to the natural form of human acid α</w:t>
      </w:r>
      <w:r w:rsidR="00940E75" w:rsidRPr="00C11ED4">
        <w:rPr>
          <w:rFonts w:asciiTheme="majorHAnsi" w:hAnsiTheme="majorHAnsi"/>
          <w:sz w:val="22"/>
          <w:szCs w:val="22"/>
        </w:rPr>
        <w:noBreakHyphen/>
      </w:r>
      <w:r w:rsidR="00072831" w:rsidRPr="00C11ED4">
        <w:rPr>
          <w:rFonts w:asciiTheme="majorHAnsi" w:hAnsiTheme="majorHAnsi"/>
          <w:sz w:val="22"/>
          <w:szCs w:val="22"/>
        </w:rPr>
        <w:t>glucosidase (</w:t>
      </w:r>
      <w:proofErr w:type="spellStart"/>
      <w:r w:rsidR="00072831" w:rsidRPr="00C11ED4">
        <w:rPr>
          <w:rFonts w:asciiTheme="majorHAnsi" w:hAnsiTheme="majorHAnsi"/>
          <w:sz w:val="22"/>
          <w:szCs w:val="22"/>
        </w:rPr>
        <w:t>rhGAA</w:t>
      </w:r>
      <w:proofErr w:type="spellEnd"/>
      <w:r w:rsidR="00072831" w:rsidRPr="00C11ED4">
        <w:rPr>
          <w:rFonts w:asciiTheme="majorHAnsi" w:hAnsiTheme="majorHAnsi"/>
          <w:sz w:val="22"/>
          <w:szCs w:val="22"/>
        </w:rPr>
        <w:t xml:space="preserve">) enzyme. </w:t>
      </w:r>
      <w:proofErr w:type="spellStart"/>
      <w:r w:rsidR="00072831" w:rsidRPr="00C11ED4">
        <w:rPr>
          <w:rFonts w:asciiTheme="majorHAnsi" w:hAnsiTheme="majorHAnsi"/>
          <w:sz w:val="22"/>
          <w:szCs w:val="22"/>
        </w:rPr>
        <w:t>Cipaglucosidase</w:t>
      </w:r>
      <w:proofErr w:type="spellEnd"/>
      <w:r w:rsidR="00072831" w:rsidRPr="00C11ED4">
        <w:rPr>
          <w:rFonts w:asciiTheme="majorHAnsi" w:hAnsiTheme="majorHAnsi"/>
          <w:sz w:val="22"/>
          <w:szCs w:val="22"/>
        </w:rPr>
        <w:t xml:space="preserve"> alfa degrades glycogen by </w:t>
      </w:r>
      <w:proofErr w:type="spellStart"/>
      <w:r w:rsidR="00072831" w:rsidRPr="00C11ED4">
        <w:rPr>
          <w:rFonts w:asciiTheme="majorHAnsi" w:hAnsiTheme="majorHAnsi"/>
          <w:sz w:val="22"/>
          <w:szCs w:val="22"/>
        </w:rPr>
        <w:t>cataly</w:t>
      </w:r>
      <w:r w:rsidR="00A801C7" w:rsidRPr="00C11ED4">
        <w:rPr>
          <w:rFonts w:asciiTheme="majorHAnsi" w:hAnsiTheme="majorHAnsi"/>
          <w:sz w:val="22"/>
          <w:szCs w:val="22"/>
        </w:rPr>
        <w:t>s</w:t>
      </w:r>
      <w:r w:rsidR="00072831" w:rsidRPr="00C11ED4">
        <w:rPr>
          <w:rFonts w:asciiTheme="majorHAnsi" w:hAnsiTheme="majorHAnsi"/>
          <w:sz w:val="22"/>
          <w:szCs w:val="22"/>
        </w:rPr>
        <w:t>ing</w:t>
      </w:r>
      <w:proofErr w:type="spellEnd"/>
      <w:r w:rsidR="00072831" w:rsidRPr="00C11ED4">
        <w:rPr>
          <w:rFonts w:asciiTheme="majorHAnsi" w:hAnsiTheme="majorHAnsi"/>
          <w:sz w:val="22"/>
          <w:szCs w:val="22"/>
        </w:rPr>
        <w:t xml:space="preserve"> the hydrolysis of α-1,4</w:t>
      </w:r>
      <w:r w:rsidR="00515249" w:rsidRPr="00C11ED4">
        <w:rPr>
          <w:rFonts w:asciiTheme="majorHAnsi" w:hAnsiTheme="majorHAnsi"/>
          <w:sz w:val="22"/>
          <w:szCs w:val="22"/>
        </w:rPr>
        <w:t>-</w:t>
      </w:r>
      <w:r w:rsidR="00072831" w:rsidRPr="00C11ED4">
        <w:rPr>
          <w:rFonts w:asciiTheme="majorHAnsi" w:hAnsiTheme="majorHAnsi"/>
          <w:sz w:val="22"/>
          <w:szCs w:val="22"/>
        </w:rPr>
        <w:t xml:space="preserve"> and α-1,6-glycosidic linkages of lysosomal glycogen</w:t>
      </w:r>
      <w:r w:rsidR="00D40F95" w:rsidRPr="00C11ED4">
        <w:rPr>
          <w:rFonts w:asciiTheme="majorHAnsi" w:hAnsiTheme="majorHAnsi"/>
          <w:sz w:val="22"/>
          <w:szCs w:val="22"/>
        </w:rPr>
        <w:t>.</w:t>
      </w:r>
    </w:p>
    <w:p w14:paraId="5A06025E" w14:textId="1F39C42C" w:rsidR="00497C85" w:rsidRPr="00C11ED4" w:rsidRDefault="00497C85"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For the full list of excipients, see </w:t>
      </w:r>
      <w:r w:rsidR="002A33FE" w:rsidRPr="00C11ED4">
        <w:rPr>
          <w:rFonts w:asciiTheme="majorHAnsi" w:hAnsiTheme="majorHAnsi"/>
          <w:sz w:val="22"/>
          <w:szCs w:val="22"/>
        </w:rPr>
        <w:t>Section</w:t>
      </w:r>
      <w:r w:rsidRPr="00C11ED4">
        <w:rPr>
          <w:rFonts w:asciiTheme="majorHAnsi" w:hAnsiTheme="majorHAnsi"/>
          <w:sz w:val="22"/>
          <w:szCs w:val="22"/>
        </w:rPr>
        <w:t xml:space="preserve"> 6.1 </w:t>
      </w:r>
      <w:r w:rsidR="00E62684" w:rsidRPr="00C11ED4">
        <w:rPr>
          <w:rFonts w:asciiTheme="majorHAnsi" w:hAnsiTheme="majorHAnsi"/>
          <w:sz w:val="22"/>
          <w:szCs w:val="22"/>
        </w:rPr>
        <w:t>LIST OF EXCIPIENTS</w:t>
      </w:r>
      <w:r w:rsidRPr="00C11ED4">
        <w:rPr>
          <w:rFonts w:asciiTheme="majorHAnsi" w:hAnsiTheme="majorHAnsi"/>
          <w:sz w:val="22"/>
          <w:szCs w:val="22"/>
        </w:rPr>
        <w:t>.</w:t>
      </w:r>
    </w:p>
    <w:p w14:paraId="3395B381" w14:textId="77777777" w:rsidR="001A3992" w:rsidRPr="00C11ED4" w:rsidRDefault="001A3992" w:rsidP="006559EB">
      <w:pPr>
        <w:pStyle w:val="Heading1"/>
        <w:spacing w:before="0" w:after="200"/>
        <w:rPr>
          <w:rFonts w:cstheme="minorHAnsi"/>
        </w:rPr>
      </w:pPr>
      <w:r w:rsidRPr="00C11ED4">
        <w:rPr>
          <w:rFonts w:cstheme="minorHAnsi"/>
        </w:rPr>
        <w:t>Pharmaceutical form</w:t>
      </w:r>
    </w:p>
    <w:p w14:paraId="6B60A3D7" w14:textId="4347D855" w:rsidR="00063344" w:rsidRPr="00C11ED4" w:rsidRDefault="00880A99" w:rsidP="006559EB">
      <w:pPr>
        <w:pStyle w:val="C-BodyText"/>
        <w:spacing w:before="0" w:after="200" w:line="276" w:lineRule="auto"/>
        <w:rPr>
          <w:rFonts w:asciiTheme="majorHAnsi" w:hAnsiTheme="majorHAnsi"/>
          <w:sz w:val="22"/>
          <w:szCs w:val="22"/>
        </w:rPr>
      </w:pPr>
      <w:r w:rsidRPr="00C11ED4">
        <w:rPr>
          <w:rFonts w:asciiTheme="majorHAnsi" w:hAnsiTheme="majorHAnsi"/>
          <w:iCs/>
          <w:sz w:val="22"/>
          <w:szCs w:val="22"/>
          <w:lang w:eastAsia="en-AU"/>
        </w:rPr>
        <w:t xml:space="preserve">Powder for </w:t>
      </w:r>
      <w:r w:rsidR="000D5D4B" w:rsidRPr="00C11ED4">
        <w:rPr>
          <w:rFonts w:asciiTheme="majorHAnsi" w:hAnsiTheme="majorHAnsi"/>
          <w:iCs/>
          <w:sz w:val="22"/>
          <w:szCs w:val="22"/>
          <w:lang w:eastAsia="en-AU"/>
        </w:rPr>
        <w:t>injection</w:t>
      </w:r>
      <w:r w:rsidR="000D5D4B" w:rsidRPr="00C11ED4">
        <w:rPr>
          <w:rFonts w:asciiTheme="majorHAnsi" w:hAnsiTheme="majorHAnsi"/>
          <w:b/>
          <w:iCs/>
          <w:sz w:val="22"/>
          <w:szCs w:val="22"/>
          <w:lang w:eastAsia="en-AU"/>
        </w:rPr>
        <w:t xml:space="preserve"> </w:t>
      </w:r>
    </w:p>
    <w:p w14:paraId="71BD0185" w14:textId="49A6D474" w:rsidR="00063344" w:rsidRPr="00C11ED4" w:rsidRDefault="00063344"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White to slightly yellow</w:t>
      </w:r>
      <w:r w:rsidR="001260E7" w:rsidRPr="00C11ED4">
        <w:rPr>
          <w:rFonts w:asciiTheme="majorHAnsi" w:hAnsiTheme="majorHAnsi"/>
          <w:sz w:val="22"/>
          <w:szCs w:val="22"/>
        </w:rPr>
        <w:t>ish</w:t>
      </w:r>
      <w:r w:rsidRPr="00C11ED4">
        <w:rPr>
          <w:rFonts w:asciiTheme="majorHAnsi" w:hAnsiTheme="majorHAnsi"/>
          <w:sz w:val="22"/>
          <w:szCs w:val="22"/>
        </w:rPr>
        <w:t xml:space="preserve"> </w:t>
      </w:r>
      <w:proofErr w:type="spellStart"/>
      <w:r w:rsidRPr="00C11ED4">
        <w:rPr>
          <w:rFonts w:asciiTheme="majorHAnsi" w:hAnsiTheme="majorHAnsi"/>
          <w:sz w:val="22"/>
          <w:szCs w:val="22"/>
        </w:rPr>
        <w:t>lyophilised</w:t>
      </w:r>
      <w:proofErr w:type="spellEnd"/>
      <w:r w:rsidRPr="00C11ED4">
        <w:rPr>
          <w:rFonts w:asciiTheme="majorHAnsi" w:hAnsiTheme="majorHAnsi"/>
          <w:sz w:val="22"/>
          <w:szCs w:val="22"/>
        </w:rPr>
        <w:t xml:space="preserve"> powder </w:t>
      </w:r>
    </w:p>
    <w:p w14:paraId="11143029" w14:textId="77777777" w:rsidR="001A3992" w:rsidRPr="00C11ED4" w:rsidRDefault="001A3992" w:rsidP="006559EB">
      <w:pPr>
        <w:pStyle w:val="Heading1"/>
        <w:spacing w:before="0" w:after="200"/>
        <w:rPr>
          <w:rFonts w:cstheme="minorHAnsi"/>
        </w:rPr>
      </w:pPr>
      <w:r w:rsidRPr="00C11ED4">
        <w:rPr>
          <w:rFonts w:cstheme="minorHAnsi"/>
        </w:rPr>
        <w:t>Clinical particulars</w:t>
      </w:r>
    </w:p>
    <w:p w14:paraId="4E8855A2" w14:textId="77777777" w:rsidR="001A3992" w:rsidRPr="00C11ED4" w:rsidRDefault="001A3992" w:rsidP="006559EB">
      <w:pPr>
        <w:pStyle w:val="Heading2"/>
        <w:spacing w:before="0"/>
        <w:rPr>
          <w:rFonts w:cstheme="minorHAnsi"/>
        </w:rPr>
      </w:pPr>
      <w:r w:rsidRPr="00C11ED4">
        <w:rPr>
          <w:rFonts w:cstheme="minorHAnsi"/>
        </w:rPr>
        <w:t xml:space="preserve">Therapeutic indications </w:t>
      </w:r>
    </w:p>
    <w:p w14:paraId="1699966A" w14:textId="688E8DAF" w:rsidR="00702B96" w:rsidRPr="00C11ED4" w:rsidRDefault="005207BB"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POMBILITI </w:t>
      </w:r>
      <w:r w:rsidR="007664E3" w:rsidRPr="00C11ED4">
        <w:rPr>
          <w:rFonts w:asciiTheme="majorHAnsi" w:hAnsiTheme="majorHAnsi"/>
          <w:sz w:val="22"/>
          <w:szCs w:val="22"/>
        </w:rPr>
        <w:t>(</w:t>
      </w:r>
      <w:proofErr w:type="spellStart"/>
      <w:r w:rsidR="007664E3" w:rsidRPr="00C11ED4">
        <w:rPr>
          <w:rFonts w:asciiTheme="majorHAnsi" w:hAnsiTheme="majorHAnsi"/>
          <w:sz w:val="22"/>
          <w:szCs w:val="22"/>
        </w:rPr>
        <w:t>cipaglucosidase</w:t>
      </w:r>
      <w:proofErr w:type="spellEnd"/>
      <w:r w:rsidR="007664E3" w:rsidRPr="00C11ED4">
        <w:rPr>
          <w:rFonts w:asciiTheme="majorHAnsi" w:hAnsiTheme="majorHAnsi"/>
          <w:sz w:val="22"/>
          <w:szCs w:val="22"/>
        </w:rPr>
        <w:t xml:space="preserve"> alfa) is a long-term enzyme replacement therapy used in combination with the enzyme </w:t>
      </w:r>
      <w:proofErr w:type="spellStart"/>
      <w:r w:rsidR="007664E3" w:rsidRPr="00C11ED4">
        <w:rPr>
          <w:rFonts w:asciiTheme="majorHAnsi" w:hAnsiTheme="majorHAnsi"/>
          <w:sz w:val="22"/>
          <w:szCs w:val="22"/>
        </w:rPr>
        <w:t>stabiliser</w:t>
      </w:r>
      <w:proofErr w:type="spellEnd"/>
      <w:r w:rsidR="007664E3" w:rsidRPr="00C11ED4">
        <w:rPr>
          <w:rFonts w:asciiTheme="majorHAnsi" w:hAnsiTheme="majorHAnsi"/>
          <w:sz w:val="22"/>
          <w:szCs w:val="22"/>
        </w:rPr>
        <w:t xml:space="preserve"> </w:t>
      </w:r>
      <w:proofErr w:type="spellStart"/>
      <w:r w:rsidR="007664E3" w:rsidRPr="00C11ED4">
        <w:rPr>
          <w:rFonts w:asciiTheme="majorHAnsi" w:hAnsiTheme="majorHAnsi"/>
          <w:sz w:val="22"/>
          <w:szCs w:val="22"/>
        </w:rPr>
        <w:t>miglustat</w:t>
      </w:r>
      <w:proofErr w:type="spellEnd"/>
      <w:r w:rsidR="007664E3" w:rsidRPr="00C11ED4">
        <w:rPr>
          <w:rFonts w:asciiTheme="majorHAnsi" w:hAnsiTheme="majorHAnsi"/>
          <w:sz w:val="22"/>
          <w:szCs w:val="22"/>
        </w:rPr>
        <w:t xml:space="preserve"> for the treatment of adults with late-onset Pompe disease (acid α</w:t>
      </w:r>
      <w:r w:rsidR="00743E70" w:rsidRPr="00C11ED4">
        <w:rPr>
          <w:rFonts w:asciiTheme="majorHAnsi" w:hAnsiTheme="majorHAnsi"/>
          <w:sz w:val="22"/>
          <w:szCs w:val="22"/>
        </w:rPr>
        <w:noBreakHyphen/>
      </w:r>
      <w:r w:rsidR="007664E3" w:rsidRPr="00C11ED4">
        <w:rPr>
          <w:rFonts w:asciiTheme="majorHAnsi" w:hAnsiTheme="majorHAnsi"/>
          <w:sz w:val="22"/>
          <w:szCs w:val="22"/>
        </w:rPr>
        <w:t>glucosidase [GAA] deficiency).</w:t>
      </w:r>
    </w:p>
    <w:p w14:paraId="5F49FF4B" w14:textId="77777777" w:rsidR="001A3992" w:rsidRPr="00C11ED4" w:rsidRDefault="001A3992" w:rsidP="005717B1">
      <w:pPr>
        <w:pStyle w:val="Heading2"/>
        <w:keepNext/>
        <w:spacing w:before="0"/>
        <w:rPr>
          <w:rFonts w:cstheme="minorHAnsi"/>
        </w:rPr>
      </w:pPr>
      <w:r w:rsidRPr="00C11ED4">
        <w:rPr>
          <w:rFonts w:cstheme="minorHAnsi"/>
        </w:rPr>
        <w:lastRenderedPageBreak/>
        <w:t xml:space="preserve">Dose and method of administration </w:t>
      </w:r>
    </w:p>
    <w:p w14:paraId="7D6CBB17" w14:textId="3532AE09" w:rsidR="000E0D3E" w:rsidRPr="00C11ED4" w:rsidRDefault="000E0D3E" w:rsidP="00611F5F">
      <w:pPr>
        <w:pStyle w:val="C-BodyText"/>
        <w:rPr>
          <w:rFonts w:asciiTheme="majorHAnsi" w:hAnsiTheme="majorHAnsi"/>
          <w:sz w:val="22"/>
          <w:szCs w:val="22"/>
        </w:rPr>
      </w:pPr>
      <w:r w:rsidRPr="00C11ED4">
        <w:rPr>
          <w:rFonts w:asciiTheme="majorHAnsi" w:hAnsiTheme="majorHAnsi"/>
          <w:sz w:val="22"/>
          <w:szCs w:val="22"/>
        </w:rPr>
        <w:t>Treatment should be supervised by a physician experienced in the management of patients with Pompe disease or other inherited metabolic or neuromuscular diseases.</w:t>
      </w:r>
      <w:r w:rsidRPr="00C11ED4">
        <w:rPr>
          <w:rFonts w:asciiTheme="majorHAnsi" w:hAnsiTheme="majorHAnsi"/>
          <w:sz w:val="22"/>
          <w:szCs w:val="22"/>
        </w:rPr>
        <w:cr/>
      </w:r>
    </w:p>
    <w:p w14:paraId="64B2C1DA" w14:textId="52AF9BEE" w:rsidR="00B51218" w:rsidRPr="00C11ED4" w:rsidRDefault="00B51218"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POMBILITI must be used in combination with </w:t>
      </w:r>
      <w:proofErr w:type="spellStart"/>
      <w:r w:rsidRPr="00C11ED4">
        <w:rPr>
          <w:rFonts w:asciiTheme="majorHAnsi" w:hAnsiTheme="majorHAnsi"/>
          <w:sz w:val="22"/>
          <w:szCs w:val="22"/>
        </w:rPr>
        <w:t>miglustat</w:t>
      </w:r>
      <w:proofErr w:type="spellEnd"/>
      <w:r w:rsidRPr="00C11ED4">
        <w:rPr>
          <w:rFonts w:asciiTheme="majorHAnsi" w:hAnsiTheme="majorHAnsi"/>
          <w:sz w:val="22"/>
          <w:szCs w:val="22"/>
        </w:rPr>
        <w:t xml:space="preserve"> 65 mg capsules. The prescribing information for </w:t>
      </w:r>
      <w:proofErr w:type="spellStart"/>
      <w:r w:rsidRPr="00C11ED4">
        <w:rPr>
          <w:rFonts w:asciiTheme="majorHAnsi" w:hAnsiTheme="majorHAnsi"/>
          <w:sz w:val="22"/>
          <w:szCs w:val="22"/>
        </w:rPr>
        <w:t>miglustat</w:t>
      </w:r>
      <w:proofErr w:type="spellEnd"/>
      <w:r w:rsidRPr="00C11ED4">
        <w:rPr>
          <w:rFonts w:asciiTheme="majorHAnsi" w:hAnsiTheme="majorHAnsi"/>
          <w:sz w:val="22"/>
          <w:szCs w:val="22"/>
        </w:rPr>
        <w:t xml:space="preserve"> 65 mg capsules should be consulted before prescribing POMBILITI</w:t>
      </w:r>
      <w:r w:rsidR="00086D1D" w:rsidRPr="00C11ED4">
        <w:rPr>
          <w:rFonts w:asciiTheme="majorHAnsi" w:hAnsiTheme="majorHAnsi"/>
          <w:sz w:val="22"/>
          <w:szCs w:val="22"/>
        </w:rPr>
        <w:t>.</w:t>
      </w:r>
    </w:p>
    <w:p w14:paraId="6A3CF5AA" w14:textId="6FAA55B5" w:rsidR="00A60CC3" w:rsidRPr="00C11ED4" w:rsidRDefault="00A60CC3"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The recommended dose of POMBILITI is 20 mg/kg body weight administered every other week as an intravenous solution</w:t>
      </w:r>
      <w:r w:rsidR="00C1036A" w:rsidRPr="00C11ED4">
        <w:rPr>
          <w:rFonts w:asciiTheme="majorHAnsi" w:hAnsiTheme="majorHAnsi"/>
          <w:sz w:val="22"/>
          <w:szCs w:val="22"/>
        </w:rPr>
        <w:t xml:space="preserve"> for IV administration</w:t>
      </w:r>
      <w:r w:rsidRPr="00C11ED4">
        <w:rPr>
          <w:rFonts w:asciiTheme="majorHAnsi" w:hAnsiTheme="majorHAnsi"/>
          <w:sz w:val="22"/>
          <w:szCs w:val="22"/>
        </w:rPr>
        <w:t>.</w:t>
      </w:r>
    </w:p>
    <w:p w14:paraId="46AAF1E5" w14:textId="35FDE9EE" w:rsidR="00A50814" w:rsidRPr="00C11ED4" w:rsidRDefault="00A50814" w:rsidP="006559EB">
      <w:pPr>
        <w:pStyle w:val="C-BodyText"/>
        <w:keepNext/>
        <w:keepLines/>
        <w:spacing w:before="0" w:after="200" w:line="276" w:lineRule="auto"/>
        <w:rPr>
          <w:rFonts w:asciiTheme="majorHAnsi" w:hAnsiTheme="majorHAnsi"/>
          <w:b/>
          <w:bCs/>
          <w:sz w:val="22"/>
          <w:szCs w:val="22"/>
        </w:rPr>
      </w:pPr>
      <w:r w:rsidRPr="00C11ED4">
        <w:rPr>
          <w:rFonts w:asciiTheme="majorHAnsi" w:hAnsiTheme="majorHAnsi"/>
          <w:b/>
          <w:bCs/>
          <w:sz w:val="22"/>
          <w:szCs w:val="22"/>
        </w:rPr>
        <w:t xml:space="preserve">Method of </w:t>
      </w:r>
      <w:r w:rsidR="00801F54" w:rsidRPr="00C11ED4">
        <w:rPr>
          <w:rFonts w:asciiTheme="majorHAnsi" w:hAnsiTheme="majorHAnsi"/>
          <w:b/>
          <w:bCs/>
          <w:sz w:val="22"/>
          <w:szCs w:val="22"/>
        </w:rPr>
        <w:t>a</w:t>
      </w:r>
      <w:r w:rsidR="00A449FF" w:rsidRPr="00C11ED4">
        <w:rPr>
          <w:rFonts w:asciiTheme="majorHAnsi" w:hAnsiTheme="majorHAnsi"/>
          <w:b/>
          <w:bCs/>
          <w:sz w:val="22"/>
          <w:szCs w:val="22"/>
        </w:rPr>
        <w:t>dministration</w:t>
      </w:r>
    </w:p>
    <w:p w14:paraId="049A5D8C" w14:textId="4BC98066" w:rsidR="00D6725F" w:rsidRPr="00C11ED4" w:rsidRDefault="00B6366F" w:rsidP="00361BDC">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POMBILITI </w:t>
      </w:r>
      <w:r w:rsidR="00D6725F" w:rsidRPr="00C11ED4">
        <w:rPr>
          <w:rFonts w:asciiTheme="majorHAnsi" w:hAnsiTheme="majorHAnsi"/>
          <w:sz w:val="22"/>
          <w:szCs w:val="22"/>
        </w:rPr>
        <w:t>is to be administered by intravenous infusion.</w:t>
      </w:r>
    </w:p>
    <w:p w14:paraId="5B412D54" w14:textId="77777777" w:rsidR="00EE47BA" w:rsidRPr="00C11ED4" w:rsidRDefault="00EE47BA" w:rsidP="00EE47BA">
      <w:pPr>
        <w:pStyle w:val="C-BodyText"/>
        <w:spacing w:before="0" w:after="200" w:line="276" w:lineRule="auto"/>
        <w:rPr>
          <w:rFonts w:asciiTheme="majorHAnsi" w:hAnsiTheme="majorHAnsi"/>
          <w:sz w:val="22"/>
          <w:szCs w:val="22"/>
        </w:rPr>
      </w:pPr>
      <w:r w:rsidRPr="00C11ED4">
        <w:rPr>
          <w:rFonts w:asciiTheme="majorHAnsi" w:hAnsiTheme="majorHAnsi"/>
          <w:sz w:val="22"/>
          <w:szCs w:val="22"/>
        </w:rPr>
        <w:t>The total volume of infusion is determined by the patient's body weight. Infusion of the 20 mg/kg dose is normally administered over the course of 4 hours if tolerated. Infusion body weight range is ≥ 40 kg. The initial infusion rate should be no more than 1 mg/kg/</w:t>
      </w:r>
      <w:proofErr w:type="spellStart"/>
      <w:r w:rsidRPr="00C11ED4">
        <w:rPr>
          <w:rFonts w:asciiTheme="majorHAnsi" w:hAnsiTheme="majorHAnsi"/>
          <w:sz w:val="22"/>
          <w:szCs w:val="22"/>
        </w:rPr>
        <w:t>hr</w:t>
      </w:r>
      <w:proofErr w:type="spellEnd"/>
      <w:r w:rsidRPr="00C11ED4">
        <w:rPr>
          <w:rFonts w:asciiTheme="majorHAnsi" w:hAnsiTheme="majorHAnsi"/>
          <w:sz w:val="22"/>
          <w:szCs w:val="22"/>
        </w:rPr>
        <w:t xml:space="preserve"> for 30 minutes. The infusion rate may be increased by 2 mg/kg/</w:t>
      </w:r>
      <w:proofErr w:type="spellStart"/>
      <w:r w:rsidRPr="00C11ED4">
        <w:rPr>
          <w:rFonts w:asciiTheme="majorHAnsi" w:hAnsiTheme="majorHAnsi"/>
          <w:sz w:val="22"/>
          <w:szCs w:val="22"/>
        </w:rPr>
        <w:t>hr</w:t>
      </w:r>
      <w:proofErr w:type="spellEnd"/>
      <w:r w:rsidRPr="00C11ED4">
        <w:rPr>
          <w:rFonts w:asciiTheme="majorHAnsi" w:hAnsiTheme="majorHAnsi"/>
          <w:sz w:val="22"/>
          <w:szCs w:val="22"/>
        </w:rPr>
        <w:t xml:space="preserve"> every 30 minutes after the patient’s tolerance to the infusion rate is established, until a maximum rate of 7 mg/kg/</w:t>
      </w:r>
      <w:proofErr w:type="spellStart"/>
      <w:r w:rsidRPr="00C11ED4">
        <w:rPr>
          <w:rFonts w:asciiTheme="majorHAnsi" w:hAnsiTheme="majorHAnsi"/>
          <w:sz w:val="22"/>
          <w:szCs w:val="22"/>
        </w:rPr>
        <w:t>hr</w:t>
      </w:r>
      <w:proofErr w:type="spellEnd"/>
      <w:r w:rsidRPr="00C11ED4">
        <w:rPr>
          <w:rFonts w:asciiTheme="majorHAnsi" w:hAnsiTheme="majorHAnsi"/>
          <w:sz w:val="22"/>
          <w:szCs w:val="22"/>
        </w:rPr>
        <w:t xml:space="preserve"> is reached. Vital signs should be obtained at the end of each step. The infusion rate may be slowed or temporarily stopped in the event of mild to moderate IARs. In the event of severe allergic reaction or anaphylaxis, immediately stop the infusion, and appropriate medical treatment should be initiated, (see Sections 4.3 CONTRAINDICATIONS and 4.4 SPECIAL WARNING AND PRECAUTIONS). </w:t>
      </w:r>
    </w:p>
    <w:p w14:paraId="6268814E" w14:textId="21125554" w:rsidR="00357B98" w:rsidRPr="00C11ED4" w:rsidRDefault="00A3708A" w:rsidP="00361BDC">
      <w:pPr>
        <w:pStyle w:val="C-BodyText"/>
        <w:spacing w:before="0" w:after="200" w:line="276" w:lineRule="auto"/>
        <w:rPr>
          <w:rFonts w:asciiTheme="majorHAnsi" w:hAnsiTheme="majorHAnsi"/>
          <w:sz w:val="22"/>
          <w:szCs w:val="22"/>
        </w:rPr>
      </w:pPr>
      <w:r w:rsidRPr="00C11ED4">
        <w:rPr>
          <w:rFonts w:asciiTheme="majorHAnsi" w:hAnsiTheme="majorHAnsi"/>
          <w:sz w:val="22"/>
          <w:szCs w:val="22"/>
        </w:rPr>
        <w:t>Infusion can be administered in all sites of patient care including</w:t>
      </w:r>
      <w:r w:rsidR="00C472C2" w:rsidRPr="00C11ED4">
        <w:rPr>
          <w:rStyle w:val="CommentReference"/>
          <w:rFonts w:asciiTheme="majorHAnsi" w:eastAsiaTheme="minorHAnsi" w:hAnsiTheme="majorHAnsi" w:cstheme="minorBidi"/>
          <w:lang w:val="en-AU"/>
        </w:rPr>
        <w:t xml:space="preserve"> </w:t>
      </w:r>
      <w:r w:rsidR="005A5236" w:rsidRPr="00C11ED4">
        <w:rPr>
          <w:rStyle w:val="CommentReference"/>
          <w:rFonts w:asciiTheme="majorHAnsi" w:eastAsiaTheme="minorHAnsi" w:hAnsiTheme="majorHAnsi" w:cstheme="minorBidi"/>
          <w:sz w:val="22"/>
          <w:szCs w:val="22"/>
          <w:lang w:val="en-AU"/>
        </w:rPr>
        <w:t>at home,</w:t>
      </w:r>
      <w:r w:rsidR="005A5236" w:rsidRPr="00C11ED4">
        <w:rPr>
          <w:rStyle w:val="CommentReference"/>
          <w:rFonts w:asciiTheme="majorHAnsi" w:eastAsiaTheme="minorHAnsi" w:hAnsiTheme="majorHAnsi" w:cstheme="minorBidi"/>
          <w:lang w:val="en-AU"/>
        </w:rPr>
        <w:t xml:space="preserve"> </w:t>
      </w:r>
      <w:r w:rsidRPr="00C11ED4">
        <w:rPr>
          <w:rFonts w:asciiTheme="majorHAnsi" w:hAnsiTheme="majorHAnsi"/>
          <w:sz w:val="22"/>
          <w:szCs w:val="22"/>
        </w:rPr>
        <w:t>in-clinic, and in</w:t>
      </w:r>
      <w:r w:rsidR="006C4516" w:rsidRPr="00C11ED4">
        <w:rPr>
          <w:rFonts w:asciiTheme="majorHAnsi" w:hAnsiTheme="majorHAnsi"/>
          <w:sz w:val="22"/>
          <w:szCs w:val="22"/>
        </w:rPr>
        <w:noBreakHyphen/>
      </w:r>
      <w:r w:rsidRPr="00C11ED4">
        <w:rPr>
          <w:rFonts w:asciiTheme="majorHAnsi" w:hAnsiTheme="majorHAnsi"/>
          <w:sz w:val="22"/>
          <w:szCs w:val="22"/>
        </w:rPr>
        <w:t xml:space="preserve">hospital after comprehensive evaluation of </w:t>
      </w:r>
      <w:r w:rsidR="002A7645" w:rsidRPr="00C11ED4">
        <w:rPr>
          <w:rFonts w:asciiTheme="majorHAnsi" w:hAnsiTheme="majorHAnsi"/>
          <w:sz w:val="22"/>
          <w:szCs w:val="22"/>
        </w:rPr>
        <w:t>infusion-associated</w:t>
      </w:r>
      <w:r w:rsidR="00360067" w:rsidRPr="00C11ED4">
        <w:rPr>
          <w:rFonts w:asciiTheme="majorHAnsi" w:hAnsiTheme="majorHAnsi"/>
          <w:sz w:val="22"/>
          <w:szCs w:val="22"/>
        </w:rPr>
        <w:t xml:space="preserve"> </w:t>
      </w:r>
      <w:r w:rsidR="001824B4" w:rsidRPr="00C11ED4">
        <w:rPr>
          <w:rFonts w:asciiTheme="majorHAnsi" w:hAnsiTheme="majorHAnsi"/>
          <w:sz w:val="22"/>
          <w:szCs w:val="22"/>
        </w:rPr>
        <w:t>reactions</w:t>
      </w:r>
      <w:r w:rsidR="00360067" w:rsidRPr="00C11ED4">
        <w:rPr>
          <w:rFonts w:asciiTheme="majorHAnsi" w:hAnsiTheme="majorHAnsi"/>
          <w:sz w:val="22"/>
          <w:szCs w:val="22"/>
        </w:rPr>
        <w:t xml:space="preserve"> (</w:t>
      </w:r>
      <w:r w:rsidRPr="00C11ED4">
        <w:rPr>
          <w:rFonts w:asciiTheme="majorHAnsi" w:hAnsiTheme="majorHAnsi"/>
          <w:sz w:val="22"/>
          <w:szCs w:val="22"/>
        </w:rPr>
        <w:t>IAR</w:t>
      </w:r>
      <w:r w:rsidR="00C36382" w:rsidRPr="00C11ED4">
        <w:rPr>
          <w:rFonts w:asciiTheme="majorHAnsi" w:hAnsiTheme="majorHAnsi"/>
          <w:sz w:val="22"/>
          <w:szCs w:val="22"/>
        </w:rPr>
        <w:t>s</w:t>
      </w:r>
      <w:r w:rsidR="001824B4" w:rsidRPr="00C11ED4">
        <w:rPr>
          <w:rFonts w:asciiTheme="majorHAnsi" w:hAnsiTheme="majorHAnsi"/>
          <w:sz w:val="22"/>
          <w:szCs w:val="22"/>
        </w:rPr>
        <w:t>)</w:t>
      </w:r>
      <w:r w:rsidRPr="00C11ED4">
        <w:rPr>
          <w:rFonts w:asciiTheme="majorHAnsi" w:hAnsiTheme="majorHAnsi"/>
          <w:sz w:val="22"/>
          <w:szCs w:val="22"/>
        </w:rPr>
        <w:t xml:space="preserve"> risks under the supervision of a healthcare professional (</w:t>
      </w:r>
      <w:r w:rsidRPr="00C11ED4">
        <w:rPr>
          <w:rFonts w:asciiTheme="majorHAnsi" w:hAnsiTheme="majorHAnsi"/>
          <w:sz w:val="22"/>
        </w:rPr>
        <w:t xml:space="preserve">see </w:t>
      </w:r>
      <w:r w:rsidR="007674F8" w:rsidRPr="00C11ED4">
        <w:rPr>
          <w:rFonts w:asciiTheme="majorHAnsi" w:hAnsiTheme="majorHAnsi"/>
          <w:sz w:val="22"/>
        </w:rPr>
        <w:t>S</w:t>
      </w:r>
      <w:r w:rsidRPr="00C11ED4">
        <w:rPr>
          <w:rFonts w:asciiTheme="majorHAnsi" w:hAnsiTheme="majorHAnsi"/>
          <w:sz w:val="22"/>
        </w:rPr>
        <w:t xml:space="preserve">ections </w:t>
      </w:r>
      <w:r w:rsidR="006A78C2" w:rsidRPr="00C11ED4">
        <w:rPr>
          <w:rFonts w:asciiTheme="majorHAnsi" w:hAnsiTheme="majorHAnsi"/>
          <w:sz w:val="22"/>
        </w:rPr>
        <w:t xml:space="preserve">4.3 </w:t>
      </w:r>
      <w:r w:rsidR="002937E9" w:rsidRPr="00C11ED4">
        <w:rPr>
          <w:rFonts w:asciiTheme="majorHAnsi" w:hAnsiTheme="majorHAnsi"/>
          <w:sz w:val="22"/>
        </w:rPr>
        <w:t xml:space="preserve">CONTRAINDICATIONS </w:t>
      </w:r>
      <w:r w:rsidR="006A78C2" w:rsidRPr="00C11ED4">
        <w:rPr>
          <w:rFonts w:asciiTheme="majorHAnsi" w:hAnsiTheme="majorHAnsi"/>
          <w:sz w:val="22"/>
        </w:rPr>
        <w:t>and 4.4</w:t>
      </w:r>
      <w:r w:rsidR="00916473" w:rsidRPr="00C11ED4">
        <w:rPr>
          <w:rFonts w:asciiTheme="majorHAnsi" w:hAnsiTheme="majorHAnsi"/>
          <w:sz w:val="22"/>
        </w:rPr>
        <w:t> </w:t>
      </w:r>
      <w:r w:rsidR="006A78C2" w:rsidRPr="00C11ED4">
        <w:rPr>
          <w:rFonts w:asciiTheme="majorHAnsi" w:hAnsiTheme="majorHAnsi"/>
          <w:sz w:val="22"/>
        </w:rPr>
        <w:t>SPECIAL WARNINGS AND PRECAUTIONS FOR USE</w:t>
      </w:r>
      <w:r w:rsidRPr="00C11ED4">
        <w:rPr>
          <w:rFonts w:asciiTheme="majorHAnsi" w:hAnsiTheme="majorHAnsi"/>
          <w:sz w:val="22"/>
          <w:szCs w:val="22"/>
        </w:rPr>
        <w:t>.</w:t>
      </w:r>
    </w:p>
    <w:p w14:paraId="7F418007" w14:textId="418A1DD0" w:rsidR="00B33B35" w:rsidRPr="00C11ED4" w:rsidRDefault="00B33B35" w:rsidP="00361BDC">
      <w:pPr>
        <w:pStyle w:val="C-BodyText"/>
        <w:spacing w:before="0" w:after="200" w:line="276" w:lineRule="auto"/>
        <w:rPr>
          <w:rFonts w:asciiTheme="majorHAnsi" w:hAnsiTheme="majorHAnsi"/>
          <w:sz w:val="22"/>
          <w:szCs w:val="22"/>
        </w:rPr>
      </w:pPr>
      <w:r w:rsidRPr="00C11ED4">
        <w:rPr>
          <w:rFonts w:asciiTheme="majorHAnsi" w:hAnsiTheme="majorHAnsi"/>
          <w:sz w:val="22"/>
          <w:szCs w:val="22"/>
        </w:rPr>
        <w:t>Product is for single use in one patient only</w:t>
      </w:r>
      <w:r w:rsidR="00221252" w:rsidRPr="00C11ED4">
        <w:rPr>
          <w:rFonts w:asciiTheme="majorHAnsi" w:hAnsiTheme="majorHAnsi"/>
          <w:sz w:val="22"/>
          <w:szCs w:val="22"/>
        </w:rPr>
        <w:t xml:space="preserve"> and</w:t>
      </w:r>
      <w:r w:rsidRPr="00C11ED4">
        <w:rPr>
          <w:rFonts w:asciiTheme="majorHAnsi" w:hAnsiTheme="majorHAnsi"/>
          <w:sz w:val="22"/>
          <w:szCs w:val="22"/>
        </w:rPr>
        <w:t xml:space="preserve"> </w:t>
      </w:r>
      <w:r w:rsidR="00221252" w:rsidRPr="00C11ED4">
        <w:rPr>
          <w:rFonts w:asciiTheme="majorHAnsi" w:hAnsiTheme="majorHAnsi"/>
          <w:sz w:val="22"/>
          <w:szCs w:val="22"/>
        </w:rPr>
        <w:t>c</w:t>
      </w:r>
      <w:r w:rsidR="00160467" w:rsidRPr="00C11ED4">
        <w:rPr>
          <w:rFonts w:asciiTheme="majorHAnsi" w:hAnsiTheme="majorHAnsi"/>
          <w:sz w:val="22"/>
          <w:szCs w:val="22"/>
        </w:rPr>
        <w:t xml:space="preserve">ontains no antimicrobial preservative. </w:t>
      </w:r>
      <w:r w:rsidRPr="00C11ED4">
        <w:rPr>
          <w:rFonts w:asciiTheme="majorHAnsi" w:hAnsiTheme="majorHAnsi"/>
          <w:sz w:val="22"/>
          <w:szCs w:val="22"/>
        </w:rPr>
        <w:t>Discard any residue</w:t>
      </w:r>
      <w:r w:rsidR="00B105CA" w:rsidRPr="00C11ED4">
        <w:rPr>
          <w:rFonts w:asciiTheme="majorHAnsi" w:hAnsiTheme="majorHAnsi"/>
          <w:sz w:val="22"/>
          <w:szCs w:val="22"/>
        </w:rPr>
        <w:t>.</w:t>
      </w:r>
    </w:p>
    <w:p w14:paraId="20696B13" w14:textId="77777777" w:rsidR="00827165" w:rsidRPr="00C11ED4" w:rsidRDefault="00827165" w:rsidP="00584307">
      <w:pPr>
        <w:pStyle w:val="C-BodyText"/>
        <w:keepNext/>
        <w:spacing w:before="0" w:line="276" w:lineRule="auto"/>
        <w:rPr>
          <w:rFonts w:asciiTheme="majorHAnsi" w:hAnsiTheme="majorHAnsi"/>
          <w:b/>
          <w:bCs/>
          <w:sz w:val="22"/>
          <w:szCs w:val="22"/>
        </w:rPr>
      </w:pPr>
      <w:r w:rsidRPr="00C11ED4">
        <w:rPr>
          <w:rFonts w:asciiTheme="majorHAnsi" w:hAnsiTheme="majorHAnsi"/>
          <w:b/>
          <w:bCs/>
          <w:sz w:val="22"/>
          <w:szCs w:val="22"/>
        </w:rPr>
        <w:lastRenderedPageBreak/>
        <w:t>Figure 1: Dose Timeline</w:t>
      </w:r>
    </w:p>
    <w:p w14:paraId="222DBB53" w14:textId="43CE253B" w:rsidR="001B557E" w:rsidRPr="00C11ED4" w:rsidRDefault="00CD0DED" w:rsidP="00A35572">
      <w:pPr>
        <w:pStyle w:val="C-BodyText"/>
        <w:spacing w:before="0" w:after="0" w:line="276" w:lineRule="auto"/>
        <w:rPr>
          <w:rFonts w:asciiTheme="majorHAnsi" w:hAnsiTheme="majorHAnsi"/>
          <w:sz w:val="22"/>
          <w:szCs w:val="22"/>
        </w:rPr>
      </w:pPr>
      <w:r w:rsidRPr="00C11ED4">
        <w:rPr>
          <w:rFonts w:asciiTheme="majorHAnsi" w:hAnsiTheme="majorHAnsi"/>
          <w:noProof/>
          <w:sz w:val="22"/>
          <w:szCs w:val="22"/>
        </w:rPr>
        <w:drawing>
          <wp:inline distT="0" distB="0" distL="0" distR="0" wp14:anchorId="5DC28CB2" wp14:editId="06C32E1A">
            <wp:extent cx="5731510" cy="2292350"/>
            <wp:effectExtent l="0" t="0" r="2540" b="0"/>
            <wp:docPr id="1843544972" name="Picture 2" descr="Figure 1: Dos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44972" name="Picture 2" descr="Figure 1: Dose Time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292350"/>
                    </a:xfrm>
                    <a:prstGeom prst="rect">
                      <a:avLst/>
                    </a:prstGeom>
                    <a:noFill/>
                    <a:ln>
                      <a:noFill/>
                    </a:ln>
                  </pic:spPr>
                </pic:pic>
              </a:graphicData>
            </a:graphic>
          </wp:inline>
        </w:drawing>
      </w:r>
    </w:p>
    <w:p w14:paraId="5CDC9C6C" w14:textId="69444D97" w:rsidR="00827165" w:rsidRPr="00C11ED4" w:rsidRDefault="00827165" w:rsidP="00827165">
      <w:pPr>
        <w:pStyle w:val="C-BodyText"/>
        <w:spacing w:before="0" w:after="200" w:line="276" w:lineRule="auto"/>
        <w:ind w:left="130" w:hanging="130"/>
        <w:rPr>
          <w:rFonts w:asciiTheme="majorHAnsi" w:hAnsiTheme="majorHAnsi"/>
          <w:sz w:val="20"/>
        </w:rPr>
      </w:pPr>
      <w:r w:rsidRPr="00C11ED4">
        <w:rPr>
          <w:rFonts w:asciiTheme="majorHAnsi" w:hAnsiTheme="majorHAnsi"/>
          <w:sz w:val="20"/>
        </w:rPr>
        <w:t xml:space="preserve">* The POMBILITI infusion should start 1 hour after taking </w:t>
      </w:r>
      <w:proofErr w:type="spellStart"/>
      <w:r w:rsidR="0015741E" w:rsidRPr="00C11ED4">
        <w:rPr>
          <w:rFonts w:asciiTheme="majorHAnsi" w:hAnsiTheme="majorHAnsi"/>
          <w:sz w:val="20"/>
        </w:rPr>
        <w:t>miglustat</w:t>
      </w:r>
      <w:proofErr w:type="spellEnd"/>
      <w:r w:rsidR="0015741E" w:rsidRPr="00C11ED4">
        <w:rPr>
          <w:rFonts w:asciiTheme="majorHAnsi" w:hAnsiTheme="majorHAnsi"/>
          <w:sz w:val="20"/>
        </w:rPr>
        <w:t xml:space="preserve"> 65 mg capsules</w:t>
      </w:r>
      <w:r w:rsidRPr="00C11ED4">
        <w:rPr>
          <w:rFonts w:asciiTheme="majorHAnsi" w:hAnsiTheme="majorHAnsi"/>
          <w:sz w:val="20"/>
        </w:rPr>
        <w:t xml:space="preserve">. In the event of infusion delay, the start of infusion should not exceed 3 hours from taking </w:t>
      </w:r>
      <w:proofErr w:type="spellStart"/>
      <w:r w:rsidR="0015741E" w:rsidRPr="00C11ED4">
        <w:rPr>
          <w:rFonts w:asciiTheme="majorHAnsi" w:hAnsiTheme="majorHAnsi"/>
          <w:sz w:val="20"/>
        </w:rPr>
        <w:t>miglustat</w:t>
      </w:r>
      <w:proofErr w:type="spellEnd"/>
      <w:r w:rsidR="0015741E" w:rsidRPr="00C11ED4">
        <w:rPr>
          <w:rFonts w:asciiTheme="majorHAnsi" w:hAnsiTheme="majorHAnsi"/>
          <w:sz w:val="20"/>
        </w:rPr>
        <w:t xml:space="preserve"> 65 mg capsules</w:t>
      </w:r>
      <w:r w:rsidRPr="00C11ED4">
        <w:rPr>
          <w:rFonts w:asciiTheme="majorHAnsi" w:hAnsiTheme="majorHAnsi"/>
          <w:sz w:val="20"/>
        </w:rPr>
        <w:t>. See below “Missed Dose”.</w:t>
      </w:r>
    </w:p>
    <w:p w14:paraId="3C862A8C" w14:textId="77777777" w:rsidR="00DE1E78" w:rsidRPr="00C11ED4" w:rsidRDefault="00DE1E78" w:rsidP="00DE1E78">
      <w:pPr>
        <w:pStyle w:val="C-BodyText"/>
        <w:spacing w:before="0" w:after="200" w:line="276" w:lineRule="auto"/>
        <w:rPr>
          <w:rFonts w:asciiTheme="majorHAnsi" w:hAnsiTheme="majorHAnsi"/>
          <w:sz w:val="22"/>
          <w:u w:val="single"/>
        </w:rPr>
      </w:pPr>
      <w:r w:rsidRPr="00C11ED4">
        <w:rPr>
          <w:rFonts w:asciiTheme="majorHAnsi" w:hAnsiTheme="majorHAnsi"/>
          <w:sz w:val="22"/>
          <w:u w:val="single"/>
        </w:rPr>
        <w:t>Home infusion</w:t>
      </w:r>
    </w:p>
    <w:p w14:paraId="5AA37183" w14:textId="12BCA73D" w:rsidR="00DE1E78" w:rsidRPr="00C11ED4" w:rsidRDefault="00DE1E78" w:rsidP="00DE1E78">
      <w:pPr>
        <w:pStyle w:val="C-BodyText"/>
        <w:spacing w:before="0" w:after="200" w:line="276" w:lineRule="auto"/>
        <w:rPr>
          <w:rFonts w:asciiTheme="majorHAnsi" w:hAnsiTheme="majorHAnsi"/>
          <w:sz w:val="22"/>
        </w:rPr>
      </w:pPr>
      <w:r w:rsidRPr="00C11ED4">
        <w:rPr>
          <w:rFonts w:asciiTheme="majorHAnsi" w:hAnsiTheme="majorHAnsi"/>
          <w:sz w:val="22"/>
        </w:rPr>
        <w:t>Infusion of POMBILITI at home may be considered for patients after evaluation and upon recommendation by the treating physician</w:t>
      </w:r>
      <w:r w:rsidR="00A70BBD" w:rsidRPr="00C11ED4">
        <w:rPr>
          <w:rFonts w:asciiTheme="majorHAnsi" w:hAnsiTheme="majorHAnsi"/>
          <w:sz w:val="22"/>
          <w:szCs w:val="22"/>
        </w:rPr>
        <w:t xml:space="preserve"> (see Section 4.4 SPECIAL WARNINGS AND PRECAUTIONS FOR USE)</w:t>
      </w:r>
      <w:r w:rsidRPr="00C11ED4">
        <w:rPr>
          <w:rFonts w:asciiTheme="majorHAnsi" w:hAnsiTheme="majorHAnsi"/>
          <w:sz w:val="22"/>
          <w:szCs w:val="22"/>
        </w:rPr>
        <w:t>.</w:t>
      </w:r>
      <w:r w:rsidR="003B49E3" w:rsidRPr="00C11ED4">
        <w:rPr>
          <w:rFonts w:asciiTheme="majorHAnsi" w:hAnsiTheme="majorHAnsi"/>
          <w:sz w:val="22"/>
          <w:szCs w:val="22"/>
        </w:rPr>
        <w:t xml:space="preserve"> </w:t>
      </w:r>
      <w:r w:rsidR="00AC61BF" w:rsidRPr="00C11ED4">
        <w:rPr>
          <w:rFonts w:asciiTheme="majorHAnsi" w:hAnsiTheme="majorHAnsi"/>
          <w:sz w:val="22"/>
          <w:szCs w:val="22"/>
        </w:rPr>
        <w:t>The treating physician should be consulted if the patient experiences significant infusion reactions or if changes to recommended dose and/or infusion rate are require</w:t>
      </w:r>
      <w:r w:rsidR="094D1962" w:rsidRPr="00C11ED4">
        <w:rPr>
          <w:rFonts w:asciiTheme="majorHAnsi" w:hAnsiTheme="majorHAnsi"/>
          <w:sz w:val="22"/>
          <w:szCs w:val="22"/>
        </w:rPr>
        <w:t>d</w:t>
      </w:r>
      <w:r w:rsidR="00AC61BF" w:rsidRPr="00C11ED4">
        <w:rPr>
          <w:rFonts w:asciiTheme="majorHAnsi" w:hAnsiTheme="majorHAnsi"/>
          <w:sz w:val="22"/>
          <w:szCs w:val="22"/>
        </w:rPr>
        <w:t>.</w:t>
      </w:r>
      <w:r w:rsidRPr="00C11ED4">
        <w:rPr>
          <w:rFonts w:asciiTheme="majorHAnsi" w:hAnsiTheme="majorHAnsi"/>
          <w:sz w:val="22"/>
        </w:rPr>
        <w:t xml:space="preserve"> </w:t>
      </w:r>
    </w:p>
    <w:p w14:paraId="67798A11" w14:textId="2C16F531" w:rsidR="00D3712E" w:rsidRPr="00C11ED4" w:rsidRDefault="00D3712E" w:rsidP="00E56621">
      <w:pPr>
        <w:pStyle w:val="C-BodyText"/>
        <w:keepNext/>
        <w:spacing w:before="0" w:after="200" w:line="276" w:lineRule="auto"/>
        <w:rPr>
          <w:rFonts w:asciiTheme="majorHAnsi" w:hAnsiTheme="majorHAnsi"/>
          <w:b/>
          <w:bCs/>
          <w:sz w:val="22"/>
          <w:szCs w:val="22"/>
        </w:rPr>
      </w:pPr>
      <w:r w:rsidRPr="00C11ED4">
        <w:rPr>
          <w:rFonts w:asciiTheme="majorHAnsi" w:hAnsiTheme="majorHAnsi"/>
          <w:b/>
          <w:bCs/>
          <w:sz w:val="22"/>
          <w:szCs w:val="22"/>
        </w:rPr>
        <w:t>Preparation before the infusion</w:t>
      </w:r>
    </w:p>
    <w:p w14:paraId="3CB2A8C2" w14:textId="372E44C0" w:rsidR="00D3712E" w:rsidRPr="00C11ED4" w:rsidRDefault="00D3712E"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Use aseptic technique.</w:t>
      </w:r>
    </w:p>
    <w:p w14:paraId="2D00FA9C" w14:textId="3ADCA850" w:rsidR="00D3712E" w:rsidRPr="00C11ED4" w:rsidRDefault="00D3712E"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Each vial of </w:t>
      </w:r>
      <w:r w:rsidR="002D73CE" w:rsidRPr="00C11ED4">
        <w:rPr>
          <w:rFonts w:asciiTheme="majorHAnsi" w:hAnsiTheme="majorHAnsi"/>
          <w:sz w:val="22"/>
          <w:szCs w:val="22"/>
        </w:rPr>
        <w:t xml:space="preserve">POMBILITI </w:t>
      </w:r>
      <w:r w:rsidRPr="00C11ED4">
        <w:rPr>
          <w:rFonts w:asciiTheme="majorHAnsi" w:hAnsiTheme="majorHAnsi"/>
          <w:sz w:val="22"/>
          <w:szCs w:val="22"/>
        </w:rPr>
        <w:t>is for single</w:t>
      </w:r>
      <w:r w:rsidR="006D78A8" w:rsidRPr="00C11ED4">
        <w:rPr>
          <w:rFonts w:asciiTheme="majorHAnsi" w:hAnsiTheme="majorHAnsi"/>
          <w:sz w:val="22"/>
          <w:szCs w:val="22"/>
        </w:rPr>
        <w:t>-dose</w:t>
      </w:r>
      <w:r w:rsidR="00464E66" w:rsidRPr="00C11ED4">
        <w:rPr>
          <w:rFonts w:asciiTheme="majorHAnsi" w:hAnsiTheme="majorHAnsi"/>
          <w:sz w:val="22"/>
          <w:szCs w:val="22"/>
        </w:rPr>
        <w:t>-</w:t>
      </w:r>
      <w:r w:rsidRPr="00C11ED4">
        <w:rPr>
          <w:rFonts w:asciiTheme="majorHAnsi" w:hAnsiTheme="majorHAnsi"/>
          <w:sz w:val="22"/>
          <w:szCs w:val="22"/>
        </w:rPr>
        <w:t>only.</w:t>
      </w:r>
    </w:p>
    <w:p w14:paraId="199B0E3D" w14:textId="707C2764" w:rsidR="00D3712E" w:rsidRPr="00C11ED4" w:rsidRDefault="00D3712E" w:rsidP="006559EB">
      <w:pPr>
        <w:pStyle w:val="C-BodyText"/>
        <w:spacing w:before="0" w:after="200" w:line="276" w:lineRule="auto"/>
        <w:rPr>
          <w:rFonts w:asciiTheme="majorHAnsi" w:hAnsiTheme="majorHAnsi"/>
          <w:b/>
          <w:bCs/>
          <w:sz w:val="22"/>
          <w:szCs w:val="22"/>
        </w:rPr>
      </w:pPr>
      <w:r w:rsidRPr="00C11ED4">
        <w:rPr>
          <w:rFonts w:asciiTheme="majorHAnsi" w:hAnsiTheme="majorHAnsi"/>
          <w:b/>
          <w:bCs/>
          <w:sz w:val="22"/>
          <w:szCs w:val="22"/>
        </w:rPr>
        <w:t>Calculating the dose</w:t>
      </w:r>
    </w:p>
    <w:p w14:paraId="6C7DEC49" w14:textId="5A56C889" w:rsidR="00D3712E" w:rsidRPr="00C11ED4" w:rsidRDefault="00D3712E"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Determine the number of </w:t>
      </w:r>
      <w:r w:rsidR="00C35A4D" w:rsidRPr="00C11ED4">
        <w:rPr>
          <w:rFonts w:asciiTheme="majorHAnsi" w:hAnsiTheme="majorHAnsi"/>
          <w:sz w:val="22"/>
          <w:szCs w:val="22"/>
        </w:rPr>
        <w:t>POMBILITI</w:t>
      </w:r>
      <w:r w:rsidRPr="00C11ED4">
        <w:rPr>
          <w:rFonts w:asciiTheme="majorHAnsi" w:hAnsiTheme="majorHAnsi"/>
          <w:sz w:val="22"/>
          <w:szCs w:val="22"/>
        </w:rPr>
        <w:t xml:space="preserve"> vials to be reconstituted based on patient’s body weight.</w:t>
      </w:r>
    </w:p>
    <w:p w14:paraId="15D0F249" w14:textId="25CB30F0" w:rsidR="009B257B" w:rsidRPr="00C11ED4" w:rsidRDefault="00D3712E" w:rsidP="006559EB">
      <w:pPr>
        <w:pStyle w:val="C-BodyText"/>
        <w:numPr>
          <w:ilvl w:val="0"/>
          <w:numId w:val="15"/>
        </w:numPr>
        <w:spacing w:before="0" w:after="200" w:line="276" w:lineRule="auto"/>
        <w:rPr>
          <w:rFonts w:asciiTheme="majorHAnsi" w:hAnsiTheme="majorHAnsi"/>
          <w:sz w:val="22"/>
          <w:szCs w:val="22"/>
        </w:rPr>
      </w:pPr>
      <w:r w:rsidRPr="00C11ED4">
        <w:rPr>
          <w:rFonts w:asciiTheme="majorHAnsi" w:hAnsiTheme="majorHAnsi"/>
          <w:sz w:val="22"/>
          <w:szCs w:val="22"/>
        </w:rPr>
        <w:t>Patient’s body weight (kg) x dose (mg/kg) = Patient dose (mg)</w:t>
      </w:r>
    </w:p>
    <w:p w14:paraId="37CF06D3" w14:textId="542BC7B9" w:rsidR="00D3712E" w:rsidRPr="00C11ED4" w:rsidRDefault="00D3712E" w:rsidP="006559EB">
      <w:pPr>
        <w:pStyle w:val="C-BodyText"/>
        <w:numPr>
          <w:ilvl w:val="0"/>
          <w:numId w:val="15"/>
        </w:numPr>
        <w:spacing w:before="0" w:after="200" w:line="276" w:lineRule="auto"/>
        <w:rPr>
          <w:rFonts w:asciiTheme="majorHAnsi" w:hAnsiTheme="majorHAnsi"/>
          <w:sz w:val="22"/>
          <w:szCs w:val="22"/>
        </w:rPr>
      </w:pPr>
      <w:r w:rsidRPr="00C11ED4">
        <w:rPr>
          <w:rFonts w:asciiTheme="majorHAnsi" w:hAnsiTheme="majorHAnsi"/>
          <w:sz w:val="22"/>
          <w:szCs w:val="22"/>
        </w:rPr>
        <w:t>Patient’s dose (in mg) divided by 105 (mg per vial) = Number of vials to reconstitute</w:t>
      </w:r>
    </w:p>
    <w:p w14:paraId="1C459423" w14:textId="61A0103E" w:rsidR="00D3712E" w:rsidRPr="00C11ED4" w:rsidRDefault="00D3712E" w:rsidP="006559EB">
      <w:pPr>
        <w:pStyle w:val="C-BodyText"/>
        <w:numPr>
          <w:ilvl w:val="0"/>
          <w:numId w:val="16"/>
        </w:numPr>
        <w:spacing w:before="0" w:after="200" w:line="276" w:lineRule="auto"/>
        <w:ind w:left="720"/>
        <w:rPr>
          <w:rFonts w:asciiTheme="majorHAnsi" w:hAnsiTheme="majorHAnsi"/>
          <w:sz w:val="22"/>
          <w:szCs w:val="22"/>
        </w:rPr>
      </w:pPr>
      <w:r w:rsidRPr="00C11ED4">
        <w:rPr>
          <w:rFonts w:asciiTheme="majorHAnsi" w:hAnsiTheme="majorHAnsi"/>
          <w:sz w:val="22"/>
          <w:szCs w:val="22"/>
        </w:rPr>
        <w:t>If the number of vials includes a fraction, round up to the next whole number.</w:t>
      </w:r>
    </w:p>
    <w:p w14:paraId="3450C122" w14:textId="0127E0DD" w:rsidR="00D3712E" w:rsidRPr="00C11ED4" w:rsidRDefault="00D3712E"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Example: in a 65 kg patient dosed at 20 mg/kg</w:t>
      </w:r>
    </w:p>
    <w:p w14:paraId="190DF498" w14:textId="3E2552CD" w:rsidR="00D3712E" w:rsidRPr="00C11ED4" w:rsidRDefault="00D3712E" w:rsidP="006559EB">
      <w:pPr>
        <w:pStyle w:val="C-BodyText"/>
        <w:numPr>
          <w:ilvl w:val="0"/>
          <w:numId w:val="16"/>
        </w:numPr>
        <w:spacing w:before="0" w:after="200" w:line="276" w:lineRule="auto"/>
        <w:ind w:left="720"/>
        <w:rPr>
          <w:rFonts w:asciiTheme="majorHAnsi" w:hAnsiTheme="majorHAnsi"/>
          <w:sz w:val="22"/>
          <w:szCs w:val="22"/>
        </w:rPr>
      </w:pPr>
      <w:r w:rsidRPr="00C11ED4">
        <w:rPr>
          <w:rFonts w:asciiTheme="majorHAnsi" w:hAnsiTheme="majorHAnsi"/>
          <w:sz w:val="22"/>
          <w:szCs w:val="22"/>
        </w:rPr>
        <w:t>Patient dose (mg): 65 kg x 20 mg/kg = 1300 mg total dose</w:t>
      </w:r>
    </w:p>
    <w:p w14:paraId="74F6D6F4" w14:textId="782CA4C6" w:rsidR="00332C3E" w:rsidRPr="00C11ED4" w:rsidRDefault="00332C3E" w:rsidP="006559EB">
      <w:pPr>
        <w:pStyle w:val="C-BodyText"/>
        <w:numPr>
          <w:ilvl w:val="0"/>
          <w:numId w:val="16"/>
        </w:numPr>
        <w:spacing w:before="0" w:after="200" w:line="276" w:lineRule="auto"/>
        <w:ind w:left="720"/>
        <w:rPr>
          <w:rFonts w:asciiTheme="majorHAnsi" w:hAnsiTheme="majorHAnsi"/>
          <w:sz w:val="22"/>
          <w:szCs w:val="22"/>
        </w:rPr>
      </w:pPr>
      <w:r w:rsidRPr="00C11ED4">
        <w:rPr>
          <w:rFonts w:asciiTheme="majorHAnsi" w:hAnsiTheme="majorHAnsi"/>
          <w:sz w:val="22"/>
          <w:szCs w:val="22"/>
        </w:rPr>
        <w:t>N</w:t>
      </w:r>
      <w:r w:rsidR="00D3712E" w:rsidRPr="00C11ED4">
        <w:rPr>
          <w:rFonts w:asciiTheme="majorHAnsi" w:hAnsiTheme="majorHAnsi"/>
          <w:sz w:val="22"/>
          <w:szCs w:val="22"/>
        </w:rPr>
        <w:t>umber of vials to reconstitute: 1300 divided by 105 mg per vial = 12.38 vials and round up to 13 vials.</w:t>
      </w:r>
    </w:p>
    <w:p w14:paraId="0DE19794" w14:textId="1F87BC29" w:rsidR="00D3712E" w:rsidRPr="00C11ED4" w:rsidRDefault="00D3712E" w:rsidP="006559EB">
      <w:pPr>
        <w:pStyle w:val="C-BodyText"/>
        <w:numPr>
          <w:ilvl w:val="0"/>
          <w:numId w:val="16"/>
        </w:numPr>
        <w:spacing w:before="0" w:after="200" w:line="276" w:lineRule="auto"/>
        <w:ind w:left="720"/>
        <w:rPr>
          <w:rFonts w:asciiTheme="majorHAnsi" w:hAnsiTheme="majorHAnsi"/>
          <w:sz w:val="22"/>
          <w:szCs w:val="22"/>
        </w:rPr>
      </w:pPr>
      <w:r w:rsidRPr="00C11ED4">
        <w:rPr>
          <w:rFonts w:asciiTheme="majorHAnsi" w:hAnsiTheme="majorHAnsi"/>
          <w:sz w:val="22"/>
          <w:szCs w:val="22"/>
        </w:rPr>
        <w:lastRenderedPageBreak/>
        <w:t>Remove 7.0 mL from each of the first 12 vials;</w:t>
      </w:r>
      <w:r w:rsidR="00332C3E" w:rsidRPr="00C11ED4">
        <w:rPr>
          <w:rFonts w:asciiTheme="majorHAnsi" w:hAnsiTheme="majorHAnsi"/>
          <w:sz w:val="22"/>
          <w:szCs w:val="22"/>
        </w:rPr>
        <w:t xml:space="preserve"> </w:t>
      </w:r>
      <w:r w:rsidR="00882196" w:rsidRPr="00C11ED4">
        <w:rPr>
          <w:rFonts w:asciiTheme="majorHAnsi" w:hAnsiTheme="majorHAnsi"/>
          <w:sz w:val="22"/>
          <w:szCs w:val="22"/>
        </w:rPr>
        <w:br/>
      </w:r>
      <w:r w:rsidRPr="00C11ED4">
        <w:rPr>
          <w:rFonts w:asciiTheme="majorHAnsi" w:hAnsiTheme="majorHAnsi"/>
          <w:sz w:val="22"/>
          <w:szCs w:val="22"/>
        </w:rPr>
        <w:t>0.38 vial x 7.0 mL = 2.66 mL rounded to 2.7 mL from the 13th vial.</w:t>
      </w:r>
    </w:p>
    <w:p w14:paraId="2280C4B6" w14:textId="604A5BA8" w:rsidR="00D3712E" w:rsidRPr="00C11ED4" w:rsidRDefault="00D3712E" w:rsidP="00FC66B1">
      <w:pPr>
        <w:pStyle w:val="C-BodyText"/>
        <w:keepNext/>
        <w:spacing w:before="0" w:after="200" w:line="276" w:lineRule="auto"/>
        <w:rPr>
          <w:rFonts w:asciiTheme="majorHAnsi" w:hAnsiTheme="majorHAnsi"/>
          <w:b/>
          <w:bCs/>
          <w:sz w:val="22"/>
          <w:szCs w:val="22"/>
        </w:rPr>
      </w:pPr>
      <w:r w:rsidRPr="00C11ED4">
        <w:rPr>
          <w:rFonts w:asciiTheme="majorHAnsi" w:hAnsiTheme="majorHAnsi"/>
          <w:b/>
          <w:bCs/>
          <w:sz w:val="22"/>
          <w:szCs w:val="22"/>
        </w:rPr>
        <w:t>Items needed for reconstitution and dilution</w:t>
      </w:r>
    </w:p>
    <w:p w14:paraId="502B23F5" w14:textId="16866B06" w:rsidR="00332C3E" w:rsidRPr="00C11ED4" w:rsidRDefault="00C35A4D" w:rsidP="006559EB">
      <w:pPr>
        <w:pStyle w:val="C-BodyText"/>
        <w:numPr>
          <w:ilvl w:val="0"/>
          <w:numId w:val="17"/>
        </w:numPr>
        <w:spacing w:before="0" w:after="200" w:line="276" w:lineRule="auto"/>
        <w:rPr>
          <w:rFonts w:asciiTheme="majorHAnsi" w:hAnsiTheme="majorHAnsi"/>
          <w:sz w:val="22"/>
          <w:szCs w:val="22"/>
        </w:rPr>
      </w:pPr>
      <w:r w:rsidRPr="00C11ED4">
        <w:rPr>
          <w:rFonts w:asciiTheme="majorHAnsi" w:hAnsiTheme="majorHAnsi"/>
          <w:sz w:val="22"/>
          <w:szCs w:val="22"/>
        </w:rPr>
        <w:t>POMBILITI</w:t>
      </w:r>
      <w:r w:rsidR="00D3712E" w:rsidRPr="00C11ED4">
        <w:rPr>
          <w:rFonts w:asciiTheme="majorHAnsi" w:hAnsiTheme="majorHAnsi"/>
          <w:sz w:val="22"/>
          <w:szCs w:val="22"/>
        </w:rPr>
        <w:t xml:space="preserve"> 105 mg vials</w:t>
      </w:r>
    </w:p>
    <w:p w14:paraId="5F45868D" w14:textId="533FC21C" w:rsidR="00332C3E" w:rsidRPr="00C11ED4" w:rsidRDefault="00D3712E" w:rsidP="006559EB">
      <w:pPr>
        <w:pStyle w:val="C-BodyText"/>
        <w:numPr>
          <w:ilvl w:val="0"/>
          <w:numId w:val="17"/>
        </w:numPr>
        <w:spacing w:before="0" w:after="200" w:line="276" w:lineRule="auto"/>
        <w:rPr>
          <w:rFonts w:asciiTheme="majorHAnsi" w:hAnsiTheme="majorHAnsi"/>
          <w:sz w:val="22"/>
          <w:szCs w:val="22"/>
        </w:rPr>
      </w:pPr>
      <w:r w:rsidRPr="00C11ED4">
        <w:rPr>
          <w:rFonts w:asciiTheme="majorHAnsi" w:hAnsiTheme="majorHAnsi"/>
          <w:sz w:val="22"/>
          <w:szCs w:val="22"/>
        </w:rPr>
        <w:t>Sterile water for injection</w:t>
      </w:r>
      <w:r w:rsidR="00BF2302" w:rsidRPr="00C11ED4">
        <w:rPr>
          <w:rFonts w:asciiTheme="majorHAnsi" w:hAnsiTheme="majorHAnsi"/>
          <w:sz w:val="22"/>
          <w:szCs w:val="22"/>
        </w:rPr>
        <w:t>s</w:t>
      </w:r>
      <w:r w:rsidRPr="00C11ED4">
        <w:rPr>
          <w:rFonts w:asciiTheme="majorHAnsi" w:hAnsiTheme="majorHAnsi"/>
          <w:sz w:val="22"/>
          <w:szCs w:val="22"/>
        </w:rPr>
        <w:t xml:space="preserve"> at room temperature of 20°C to 25°C</w:t>
      </w:r>
    </w:p>
    <w:p w14:paraId="198ABFBA" w14:textId="5F8CF2EF" w:rsidR="00D3712E" w:rsidRPr="00C11ED4" w:rsidRDefault="00D3712E" w:rsidP="006559EB">
      <w:pPr>
        <w:pStyle w:val="C-BodyText"/>
        <w:numPr>
          <w:ilvl w:val="0"/>
          <w:numId w:val="17"/>
        </w:numPr>
        <w:spacing w:before="0" w:after="200" w:line="276" w:lineRule="auto"/>
        <w:rPr>
          <w:rFonts w:asciiTheme="majorHAnsi" w:hAnsiTheme="majorHAnsi"/>
          <w:sz w:val="22"/>
          <w:szCs w:val="22"/>
        </w:rPr>
      </w:pPr>
      <w:r w:rsidRPr="00C11ED4">
        <w:rPr>
          <w:rFonts w:asciiTheme="majorHAnsi" w:hAnsiTheme="majorHAnsi"/>
          <w:sz w:val="22"/>
          <w:szCs w:val="22"/>
        </w:rPr>
        <w:t>Sodium chloride 9 mg/mL (0.9%) solution for injection at room temperature of 20°C to 25°C</w:t>
      </w:r>
    </w:p>
    <w:p w14:paraId="7AEA0002" w14:textId="5C74751A" w:rsidR="00D3712E" w:rsidRPr="00C11ED4" w:rsidRDefault="00D3712E" w:rsidP="006559EB">
      <w:pPr>
        <w:pStyle w:val="C-BodyText"/>
        <w:spacing w:before="0" w:after="200" w:line="276" w:lineRule="auto"/>
        <w:ind w:firstLine="360"/>
        <w:rPr>
          <w:rFonts w:asciiTheme="majorHAnsi" w:hAnsiTheme="majorHAnsi"/>
          <w:sz w:val="22"/>
          <w:szCs w:val="22"/>
        </w:rPr>
      </w:pPr>
      <w:r w:rsidRPr="00C11ED4">
        <w:rPr>
          <w:rFonts w:asciiTheme="majorHAnsi" w:hAnsiTheme="majorHAnsi"/>
          <w:sz w:val="22"/>
          <w:szCs w:val="22"/>
        </w:rPr>
        <w:t>Note: Choose a bag size based on the patient’s body weight.</w:t>
      </w:r>
    </w:p>
    <w:p w14:paraId="7E0F4AD4" w14:textId="19A29C67" w:rsidR="00D3712E" w:rsidRPr="00C11ED4" w:rsidRDefault="00D3712E" w:rsidP="006559EB">
      <w:pPr>
        <w:pStyle w:val="C-BodyText"/>
        <w:numPr>
          <w:ilvl w:val="0"/>
          <w:numId w:val="18"/>
        </w:numPr>
        <w:spacing w:before="0" w:after="200" w:line="276" w:lineRule="auto"/>
        <w:rPr>
          <w:rFonts w:asciiTheme="majorHAnsi" w:hAnsiTheme="majorHAnsi"/>
          <w:b/>
          <w:bCs/>
          <w:sz w:val="22"/>
          <w:szCs w:val="22"/>
        </w:rPr>
      </w:pPr>
      <w:r w:rsidRPr="00C11ED4">
        <w:rPr>
          <w:rFonts w:asciiTheme="majorHAnsi" w:hAnsiTheme="majorHAnsi"/>
          <w:sz w:val="22"/>
          <w:szCs w:val="22"/>
        </w:rPr>
        <w:t xml:space="preserve">A needle of </w:t>
      </w:r>
      <w:r w:rsidRPr="00C11ED4">
        <w:rPr>
          <w:rFonts w:asciiTheme="majorHAnsi" w:hAnsiTheme="majorHAnsi"/>
          <w:b/>
          <w:bCs/>
          <w:sz w:val="22"/>
          <w:szCs w:val="22"/>
        </w:rPr>
        <w:t>18 gauge or lesser diameter</w:t>
      </w:r>
    </w:p>
    <w:p w14:paraId="2BB69BD5" w14:textId="328B6187" w:rsidR="00D3712E" w:rsidRPr="00C11ED4" w:rsidRDefault="00D3712E" w:rsidP="006559EB">
      <w:pPr>
        <w:pStyle w:val="C-BodyText"/>
        <w:spacing w:before="0" w:after="200" w:line="276" w:lineRule="auto"/>
        <w:rPr>
          <w:rFonts w:asciiTheme="majorHAnsi" w:hAnsiTheme="majorHAnsi"/>
          <w:b/>
          <w:bCs/>
          <w:sz w:val="22"/>
          <w:szCs w:val="22"/>
        </w:rPr>
      </w:pPr>
      <w:r w:rsidRPr="00C11ED4">
        <w:rPr>
          <w:rFonts w:asciiTheme="majorHAnsi" w:hAnsiTheme="majorHAnsi"/>
          <w:b/>
          <w:bCs/>
          <w:sz w:val="22"/>
          <w:szCs w:val="22"/>
        </w:rPr>
        <w:t>Activities before reconstitution</w:t>
      </w:r>
    </w:p>
    <w:p w14:paraId="25B215E5" w14:textId="4710BF15" w:rsidR="00332C3E" w:rsidRPr="00C11ED4" w:rsidRDefault="00C35A4D" w:rsidP="006559EB">
      <w:pPr>
        <w:pStyle w:val="C-BodyText"/>
        <w:numPr>
          <w:ilvl w:val="0"/>
          <w:numId w:val="18"/>
        </w:numPr>
        <w:spacing w:before="0" w:after="200" w:line="276" w:lineRule="auto"/>
        <w:rPr>
          <w:rFonts w:asciiTheme="majorHAnsi" w:hAnsiTheme="majorHAnsi"/>
          <w:sz w:val="22"/>
          <w:szCs w:val="22"/>
        </w:rPr>
      </w:pPr>
      <w:r w:rsidRPr="00C11ED4">
        <w:rPr>
          <w:rFonts w:asciiTheme="majorHAnsi" w:hAnsiTheme="majorHAnsi"/>
          <w:sz w:val="22"/>
          <w:szCs w:val="22"/>
        </w:rPr>
        <w:t>POMBILITI</w:t>
      </w:r>
      <w:r w:rsidR="00D3712E" w:rsidRPr="00C11ED4">
        <w:rPr>
          <w:rFonts w:asciiTheme="majorHAnsi" w:hAnsiTheme="majorHAnsi"/>
          <w:sz w:val="22"/>
          <w:szCs w:val="22"/>
        </w:rPr>
        <w:t xml:space="preserve"> vials should be removed from the refrigerator (2° to 8°C) and allowed to come to room temperature (</w:t>
      </w:r>
      <w:proofErr w:type="spellStart"/>
      <w:r w:rsidR="00D3712E" w:rsidRPr="00C11ED4">
        <w:rPr>
          <w:rFonts w:asciiTheme="majorHAnsi" w:hAnsiTheme="majorHAnsi"/>
          <w:sz w:val="22"/>
          <w:szCs w:val="22"/>
        </w:rPr>
        <w:t>ie</w:t>
      </w:r>
      <w:proofErr w:type="spellEnd"/>
      <w:r w:rsidR="00176554" w:rsidRPr="00C11ED4">
        <w:rPr>
          <w:rFonts w:asciiTheme="majorHAnsi" w:hAnsiTheme="majorHAnsi"/>
          <w:sz w:val="22"/>
          <w:szCs w:val="22"/>
        </w:rPr>
        <w:t>,</w:t>
      </w:r>
      <w:r w:rsidR="00D3712E" w:rsidRPr="00C11ED4">
        <w:rPr>
          <w:rFonts w:asciiTheme="majorHAnsi" w:hAnsiTheme="majorHAnsi"/>
          <w:sz w:val="22"/>
          <w:szCs w:val="22"/>
        </w:rPr>
        <w:t xml:space="preserve"> approximately 30 minutes at 20°C to 25°C).</w:t>
      </w:r>
    </w:p>
    <w:p w14:paraId="62AE3055" w14:textId="27D988DC" w:rsidR="00D3712E" w:rsidRPr="00C11ED4" w:rsidRDefault="00D3712E" w:rsidP="006559EB">
      <w:pPr>
        <w:pStyle w:val="C-BodyText"/>
        <w:numPr>
          <w:ilvl w:val="0"/>
          <w:numId w:val="18"/>
        </w:numPr>
        <w:spacing w:before="0" w:after="200" w:line="276" w:lineRule="auto"/>
        <w:rPr>
          <w:rFonts w:asciiTheme="majorHAnsi" w:hAnsiTheme="majorHAnsi"/>
          <w:sz w:val="22"/>
          <w:szCs w:val="22"/>
        </w:rPr>
      </w:pPr>
      <w:r w:rsidRPr="00C11ED4">
        <w:rPr>
          <w:rFonts w:asciiTheme="majorHAnsi" w:hAnsiTheme="majorHAnsi"/>
          <w:sz w:val="22"/>
          <w:szCs w:val="22"/>
        </w:rPr>
        <w:t xml:space="preserve">Do not use if the </w:t>
      </w:r>
      <w:r w:rsidR="009016D3" w:rsidRPr="00C11ED4">
        <w:rPr>
          <w:rFonts w:asciiTheme="majorHAnsi" w:hAnsiTheme="majorHAnsi"/>
          <w:sz w:val="22"/>
          <w:szCs w:val="22"/>
        </w:rPr>
        <w:t>vial</w:t>
      </w:r>
      <w:r w:rsidR="000A5068" w:rsidRPr="00C11ED4">
        <w:rPr>
          <w:rFonts w:asciiTheme="majorHAnsi" w:hAnsiTheme="majorHAnsi"/>
          <w:sz w:val="22"/>
          <w:szCs w:val="22"/>
        </w:rPr>
        <w:t xml:space="preserve"> is chipped, crac</w:t>
      </w:r>
      <w:r w:rsidR="00862E14" w:rsidRPr="00C11ED4">
        <w:rPr>
          <w:rFonts w:asciiTheme="majorHAnsi" w:hAnsiTheme="majorHAnsi"/>
          <w:sz w:val="22"/>
          <w:szCs w:val="22"/>
        </w:rPr>
        <w:t>k</w:t>
      </w:r>
      <w:r w:rsidR="000A5068" w:rsidRPr="00C11ED4">
        <w:rPr>
          <w:rFonts w:asciiTheme="majorHAnsi" w:hAnsiTheme="majorHAnsi"/>
          <w:sz w:val="22"/>
          <w:szCs w:val="22"/>
        </w:rPr>
        <w:t>ed,</w:t>
      </w:r>
      <w:r w:rsidR="009016D3" w:rsidRPr="00C11ED4">
        <w:rPr>
          <w:rFonts w:asciiTheme="majorHAnsi" w:hAnsiTheme="majorHAnsi"/>
          <w:sz w:val="22"/>
          <w:szCs w:val="22"/>
        </w:rPr>
        <w:t xml:space="preserve"> has fluid</w:t>
      </w:r>
      <w:r w:rsidR="00685929" w:rsidRPr="00C11ED4">
        <w:rPr>
          <w:rFonts w:asciiTheme="majorHAnsi" w:hAnsiTheme="majorHAnsi"/>
          <w:sz w:val="22"/>
          <w:szCs w:val="22"/>
        </w:rPr>
        <w:t>,</w:t>
      </w:r>
      <w:r w:rsidR="009016D3" w:rsidRPr="00C11ED4">
        <w:rPr>
          <w:rFonts w:asciiTheme="majorHAnsi" w:hAnsiTheme="majorHAnsi"/>
          <w:sz w:val="22"/>
          <w:szCs w:val="22"/>
        </w:rPr>
        <w:t xml:space="preserve"> content </w:t>
      </w:r>
      <w:r w:rsidRPr="00C11ED4">
        <w:rPr>
          <w:rFonts w:asciiTheme="majorHAnsi" w:hAnsiTheme="majorHAnsi"/>
          <w:sz w:val="22"/>
          <w:szCs w:val="22"/>
        </w:rPr>
        <w:t xml:space="preserve">is </w:t>
      </w:r>
      <w:proofErr w:type="spellStart"/>
      <w:r w:rsidRPr="00C11ED4">
        <w:rPr>
          <w:rFonts w:asciiTheme="majorHAnsi" w:hAnsiTheme="majorHAnsi"/>
          <w:sz w:val="22"/>
          <w:szCs w:val="22"/>
        </w:rPr>
        <w:t>discoloured</w:t>
      </w:r>
      <w:proofErr w:type="spellEnd"/>
      <w:r w:rsidR="000A5068" w:rsidRPr="00C11ED4">
        <w:rPr>
          <w:rFonts w:asciiTheme="majorHAnsi" w:hAnsiTheme="majorHAnsi"/>
          <w:sz w:val="22"/>
          <w:szCs w:val="22"/>
        </w:rPr>
        <w:t xml:space="preserve"> </w:t>
      </w:r>
      <w:r w:rsidRPr="00C11ED4">
        <w:rPr>
          <w:rFonts w:asciiTheme="majorHAnsi" w:hAnsiTheme="majorHAnsi"/>
          <w:sz w:val="22"/>
          <w:szCs w:val="22"/>
        </w:rPr>
        <w:t xml:space="preserve">or if the closure is damaged or the button of </w:t>
      </w:r>
      <w:proofErr w:type="spellStart"/>
      <w:r w:rsidRPr="00C11ED4">
        <w:rPr>
          <w:rFonts w:asciiTheme="majorHAnsi" w:hAnsiTheme="majorHAnsi"/>
          <w:sz w:val="22"/>
          <w:szCs w:val="22"/>
        </w:rPr>
        <w:t>overseal</w:t>
      </w:r>
      <w:proofErr w:type="spellEnd"/>
      <w:r w:rsidRPr="00C11ED4">
        <w:rPr>
          <w:rFonts w:asciiTheme="majorHAnsi" w:hAnsiTheme="majorHAnsi"/>
          <w:sz w:val="22"/>
          <w:szCs w:val="22"/>
        </w:rPr>
        <w:t xml:space="preserve"> is removed.</w:t>
      </w:r>
    </w:p>
    <w:p w14:paraId="4F810AC3" w14:textId="61B3410F" w:rsidR="00D3712E" w:rsidRPr="00C11ED4" w:rsidRDefault="00D3712E" w:rsidP="006559EB">
      <w:pPr>
        <w:pStyle w:val="C-BodyText"/>
        <w:keepNext/>
        <w:spacing w:before="0" w:after="200" w:line="276" w:lineRule="auto"/>
        <w:rPr>
          <w:rFonts w:asciiTheme="majorHAnsi" w:hAnsiTheme="majorHAnsi"/>
          <w:b/>
          <w:bCs/>
          <w:sz w:val="22"/>
          <w:szCs w:val="22"/>
        </w:rPr>
      </w:pPr>
      <w:r w:rsidRPr="00C11ED4">
        <w:rPr>
          <w:rFonts w:asciiTheme="majorHAnsi" w:hAnsiTheme="majorHAnsi"/>
          <w:b/>
          <w:bCs/>
          <w:sz w:val="22"/>
          <w:szCs w:val="22"/>
        </w:rPr>
        <w:t xml:space="preserve">Reconstituting the </w:t>
      </w:r>
      <w:proofErr w:type="spellStart"/>
      <w:r w:rsidRPr="00C11ED4">
        <w:rPr>
          <w:rFonts w:asciiTheme="majorHAnsi" w:hAnsiTheme="majorHAnsi"/>
          <w:b/>
          <w:bCs/>
          <w:sz w:val="22"/>
          <w:szCs w:val="22"/>
        </w:rPr>
        <w:t>lyophilised</w:t>
      </w:r>
      <w:proofErr w:type="spellEnd"/>
      <w:r w:rsidRPr="00C11ED4">
        <w:rPr>
          <w:rFonts w:asciiTheme="majorHAnsi" w:hAnsiTheme="majorHAnsi"/>
          <w:b/>
          <w:bCs/>
          <w:sz w:val="22"/>
          <w:szCs w:val="22"/>
        </w:rPr>
        <w:t xml:space="preserve"> powder</w:t>
      </w:r>
    </w:p>
    <w:p w14:paraId="17661903" w14:textId="4E7536B2" w:rsidR="007F59E1" w:rsidRPr="00C11ED4" w:rsidRDefault="00D3712E" w:rsidP="006559EB">
      <w:pPr>
        <w:pStyle w:val="C-BodyText"/>
        <w:numPr>
          <w:ilvl w:val="0"/>
          <w:numId w:val="22"/>
        </w:numPr>
        <w:spacing w:before="0" w:after="200" w:line="276" w:lineRule="auto"/>
        <w:rPr>
          <w:rFonts w:asciiTheme="majorHAnsi" w:hAnsiTheme="majorHAnsi"/>
          <w:sz w:val="22"/>
          <w:szCs w:val="22"/>
        </w:rPr>
      </w:pPr>
      <w:r w:rsidRPr="00C11ED4">
        <w:rPr>
          <w:rFonts w:asciiTheme="majorHAnsi" w:hAnsiTheme="majorHAnsi"/>
          <w:sz w:val="22"/>
          <w:szCs w:val="22"/>
        </w:rPr>
        <w:t xml:space="preserve">Reconstitute each vial by slowly adding 7.2 mL sterile water for injections dropwise down the inside of the vial rather than directly onto the </w:t>
      </w:r>
      <w:proofErr w:type="spellStart"/>
      <w:r w:rsidRPr="00C11ED4">
        <w:rPr>
          <w:rFonts w:asciiTheme="majorHAnsi" w:hAnsiTheme="majorHAnsi"/>
          <w:sz w:val="22"/>
          <w:szCs w:val="22"/>
        </w:rPr>
        <w:t>lyophilised</w:t>
      </w:r>
      <w:proofErr w:type="spellEnd"/>
      <w:r w:rsidRPr="00C11ED4">
        <w:rPr>
          <w:rFonts w:asciiTheme="majorHAnsi" w:hAnsiTheme="majorHAnsi"/>
          <w:sz w:val="22"/>
          <w:szCs w:val="22"/>
        </w:rPr>
        <w:t xml:space="preserve"> powder. Avoid forceful impact of sterile water for injections on the </w:t>
      </w:r>
      <w:proofErr w:type="spellStart"/>
      <w:r w:rsidRPr="00C11ED4">
        <w:rPr>
          <w:rFonts w:asciiTheme="majorHAnsi" w:hAnsiTheme="majorHAnsi"/>
          <w:sz w:val="22"/>
          <w:szCs w:val="22"/>
        </w:rPr>
        <w:t>lyophilised</w:t>
      </w:r>
      <w:proofErr w:type="spellEnd"/>
      <w:r w:rsidRPr="00C11ED4">
        <w:rPr>
          <w:rFonts w:asciiTheme="majorHAnsi" w:hAnsiTheme="majorHAnsi"/>
          <w:sz w:val="22"/>
          <w:szCs w:val="22"/>
        </w:rPr>
        <w:t xml:space="preserve"> powder and avoid foaming.</w:t>
      </w:r>
    </w:p>
    <w:p w14:paraId="40BFFB92" w14:textId="55B13B4A" w:rsidR="007F59E1" w:rsidRPr="00C11ED4" w:rsidRDefault="00D3712E" w:rsidP="006559EB">
      <w:pPr>
        <w:pStyle w:val="C-BodyText"/>
        <w:numPr>
          <w:ilvl w:val="0"/>
          <w:numId w:val="22"/>
        </w:numPr>
        <w:spacing w:before="0" w:after="200" w:line="276" w:lineRule="auto"/>
        <w:rPr>
          <w:rFonts w:asciiTheme="majorHAnsi" w:hAnsiTheme="majorHAnsi"/>
          <w:sz w:val="22"/>
          <w:szCs w:val="22"/>
        </w:rPr>
      </w:pPr>
      <w:r w:rsidRPr="00C11ED4">
        <w:rPr>
          <w:rFonts w:asciiTheme="majorHAnsi" w:hAnsiTheme="majorHAnsi"/>
          <w:sz w:val="22"/>
          <w:szCs w:val="22"/>
        </w:rPr>
        <w:t xml:space="preserve">Tilt and roll each vial gently to dissolve the powder. Do not invert, swirl, or shake. Reconstitution of the </w:t>
      </w:r>
      <w:proofErr w:type="spellStart"/>
      <w:r w:rsidRPr="00C11ED4">
        <w:rPr>
          <w:rFonts w:asciiTheme="majorHAnsi" w:hAnsiTheme="majorHAnsi"/>
          <w:sz w:val="22"/>
          <w:szCs w:val="22"/>
        </w:rPr>
        <w:t>lyophilised</w:t>
      </w:r>
      <w:proofErr w:type="spellEnd"/>
      <w:r w:rsidRPr="00C11ED4">
        <w:rPr>
          <w:rFonts w:asciiTheme="majorHAnsi" w:hAnsiTheme="majorHAnsi"/>
          <w:sz w:val="22"/>
          <w:szCs w:val="22"/>
        </w:rPr>
        <w:t xml:space="preserve"> powder typically takes 2 minutes.</w:t>
      </w:r>
    </w:p>
    <w:p w14:paraId="2924123E" w14:textId="201E513D" w:rsidR="00A24A43" w:rsidRPr="00C11ED4" w:rsidRDefault="00D3712E" w:rsidP="006559EB">
      <w:pPr>
        <w:pStyle w:val="C-BodyText"/>
        <w:numPr>
          <w:ilvl w:val="0"/>
          <w:numId w:val="22"/>
        </w:numPr>
        <w:spacing w:before="0" w:after="200" w:line="276" w:lineRule="auto"/>
        <w:rPr>
          <w:rFonts w:asciiTheme="majorHAnsi" w:hAnsiTheme="majorHAnsi"/>
          <w:sz w:val="22"/>
          <w:szCs w:val="22"/>
        </w:rPr>
      </w:pPr>
      <w:r w:rsidRPr="00C11ED4">
        <w:rPr>
          <w:rFonts w:asciiTheme="majorHAnsi" w:hAnsiTheme="majorHAnsi"/>
          <w:sz w:val="22"/>
          <w:szCs w:val="22"/>
        </w:rPr>
        <w:t xml:space="preserve">Perform an inspection of the reconstituted vials for particulate matter and </w:t>
      </w:r>
      <w:proofErr w:type="spellStart"/>
      <w:r w:rsidRPr="00C11ED4">
        <w:rPr>
          <w:rFonts w:asciiTheme="majorHAnsi" w:hAnsiTheme="majorHAnsi"/>
          <w:sz w:val="22"/>
          <w:szCs w:val="22"/>
        </w:rPr>
        <w:t>discolouration</w:t>
      </w:r>
      <w:proofErr w:type="spellEnd"/>
      <w:r w:rsidRPr="00C11ED4">
        <w:rPr>
          <w:rFonts w:asciiTheme="majorHAnsi" w:hAnsiTheme="majorHAnsi"/>
          <w:sz w:val="22"/>
          <w:szCs w:val="22"/>
        </w:rPr>
        <w:t xml:space="preserve">. The reconstituted volume appears as a </w:t>
      </w:r>
      <w:proofErr w:type="spellStart"/>
      <w:r w:rsidRPr="00C11ED4">
        <w:rPr>
          <w:rFonts w:asciiTheme="majorHAnsi" w:hAnsiTheme="majorHAnsi"/>
          <w:sz w:val="22"/>
          <w:szCs w:val="22"/>
        </w:rPr>
        <w:t>colourless</w:t>
      </w:r>
      <w:proofErr w:type="spellEnd"/>
      <w:r w:rsidRPr="00C11ED4">
        <w:rPr>
          <w:rFonts w:asciiTheme="majorHAnsi" w:hAnsiTheme="majorHAnsi"/>
          <w:sz w:val="22"/>
          <w:szCs w:val="22"/>
        </w:rPr>
        <w:t xml:space="preserve"> to slightly yellow solution,</w:t>
      </w:r>
      <w:r w:rsidR="000738E4" w:rsidRPr="00C11ED4">
        <w:rPr>
          <w:rFonts w:asciiTheme="majorHAnsi" w:hAnsiTheme="majorHAnsi"/>
          <w:sz w:val="22"/>
          <w:szCs w:val="22"/>
        </w:rPr>
        <w:t xml:space="preserve"> clear to opalescent, and appears </w:t>
      </w:r>
      <w:r w:rsidRPr="00C11ED4">
        <w:rPr>
          <w:rFonts w:asciiTheme="majorHAnsi" w:hAnsiTheme="majorHAnsi"/>
          <w:sz w:val="22"/>
          <w:szCs w:val="22"/>
        </w:rPr>
        <w:t xml:space="preserve">practically free of particles in the form of white to translucent </w:t>
      </w:r>
      <w:r w:rsidR="004E5CF5" w:rsidRPr="00C11ED4">
        <w:rPr>
          <w:rFonts w:asciiTheme="majorHAnsi" w:hAnsiTheme="majorHAnsi"/>
          <w:sz w:val="22"/>
          <w:szCs w:val="22"/>
        </w:rPr>
        <w:t xml:space="preserve">visible </w:t>
      </w:r>
      <w:r w:rsidRPr="00C11ED4">
        <w:rPr>
          <w:rFonts w:asciiTheme="majorHAnsi" w:hAnsiTheme="majorHAnsi"/>
          <w:sz w:val="22"/>
          <w:szCs w:val="22"/>
        </w:rPr>
        <w:t>particles</w:t>
      </w:r>
      <w:r w:rsidR="004E5CF5" w:rsidRPr="00C11ED4">
        <w:rPr>
          <w:rFonts w:asciiTheme="majorHAnsi" w:hAnsiTheme="majorHAnsi"/>
          <w:sz w:val="22"/>
          <w:szCs w:val="22"/>
        </w:rPr>
        <w:t xml:space="preserve"> in a vial</w:t>
      </w:r>
      <w:r w:rsidRPr="00C11ED4">
        <w:rPr>
          <w:rFonts w:asciiTheme="majorHAnsi" w:hAnsiTheme="majorHAnsi"/>
          <w:sz w:val="22"/>
          <w:szCs w:val="22"/>
        </w:rPr>
        <w:t xml:space="preserve">. If upon immediate inspection foreign matter is observed or if the solution is </w:t>
      </w:r>
      <w:proofErr w:type="spellStart"/>
      <w:r w:rsidRPr="00C11ED4">
        <w:rPr>
          <w:rFonts w:asciiTheme="majorHAnsi" w:hAnsiTheme="majorHAnsi"/>
          <w:sz w:val="22"/>
          <w:szCs w:val="22"/>
        </w:rPr>
        <w:t>discoloured</w:t>
      </w:r>
      <w:proofErr w:type="spellEnd"/>
      <w:r w:rsidRPr="00C11ED4">
        <w:rPr>
          <w:rFonts w:asciiTheme="majorHAnsi" w:hAnsiTheme="majorHAnsi"/>
          <w:sz w:val="22"/>
          <w:szCs w:val="22"/>
        </w:rPr>
        <w:t>, do not use.</w:t>
      </w:r>
    </w:p>
    <w:p w14:paraId="67543F1C" w14:textId="1F7D6C1E" w:rsidR="00A24A43" w:rsidRPr="00C11ED4" w:rsidRDefault="00A24A43" w:rsidP="00FC66B1">
      <w:pPr>
        <w:pStyle w:val="C-BodyText"/>
        <w:spacing w:before="0" w:after="200" w:line="276" w:lineRule="auto"/>
        <w:ind w:left="360"/>
        <w:rPr>
          <w:rFonts w:asciiTheme="majorHAnsi" w:hAnsiTheme="majorHAnsi"/>
          <w:sz w:val="20"/>
        </w:rPr>
      </w:pPr>
      <w:r w:rsidRPr="00C11ED4">
        <w:rPr>
          <w:rFonts w:asciiTheme="majorHAnsi" w:hAnsiTheme="majorHAnsi"/>
          <w:sz w:val="22"/>
          <w:szCs w:val="22"/>
        </w:rPr>
        <w:t xml:space="preserve">Each reconstituted vial has a </w:t>
      </w:r>
      <w:r w:rsidRPr="00C11ED4">
        <w:rPr>
          <w:rFonts w:asciiTheme="majorHAnsi" w:hAnsiTheme="majorHAnsi"/>
          <w:b/>
          <w:bCs/>
          <w:sz w:val="22"/>
          <w:szCs w:val="22"/>
        </w:rPr>
        <w:t>concentration of 15 mg/mL</w:t>
      </w:r>
      <w:r w:rsidRPr="00C11ED4">
        <w:rPr>
          <w:rFonts w:asciiTheme="majorHAnsi" w:hAnsiTheme="majorHAnsi"/>
          <w:sz w:val="22"/>
          <w:szCs w:val="22"/>
        </w:rPr>
        <w:t xml:space="preserve"> with an extractable volume of 7.0 </w:t>
      </w:r>
      <w:proofErr w:type="spellStart"/>
      <w:r w:rsidRPr="00C11ED4">
        <w:rPr>
          <w:rFonts w:asciiTheme="majorHAnsi" w:hAnsiTheme="majorHAnsi"/>
          <w:sz w:val="22"/>
          <w:szCs w:val="22"/>
        </w:rPr>
        <w:t>mL</w:t>
      </w:r>
      <w:r w:rsidR="00FF707D" w:rsidRPr="00C11ED4">
        <w:rPr>
          <w:rFonts w:asciiTheme="majorHAnsi" w:hAnsiTheme="majorHAnsi"/>
          <w:sz w:val="22"/>
          <w:szCs w:val="22"/>
        </w:rPr>
        <w:t>.</w:t>
      </w:r>
      <w:proofErr w:type="spellEnd"/>
    </w:p>
    <w:p w14:paraId="4B4C40D8" w14:textId="799BB14F" w:rsidR="00D3712E" w:rsidRPr="00C11ED4" w:rsidRDefault="00D3712E" w:rsidP="006559EB">
      <w:pPr>
        <w:pStyle w:val="C-BodyText"/>
        <w:numPr>
          <w:ilvl w:val="0"/>
          <w:numId w:val="22"/>
        </w:numPr>
        <w:spacing w:before="0" w:after="200" w:line="276" w:lineRule="auto"/>
        <w:rPr>
          <w:rFonts w:asciiTheme="majorHAnsi" w:hAnsiTheme="majorHAnsi"/>
          <w:sz w:val="22"/>
          <w:szCs w:val="22"/>
        </w:rPr>
      </w:pPr>
      <w:r w:rsidRPr="00C11ED4">
        <w:rPr>
          <w:rFonts w:asciiTheme="majorHAnsi" w:hAnsiTheme="majorHAnsi"/>
          <w:sz w:val="22"/>
          <w:szCs w:val="22"/>
        </w:rPr>
        <w:t>Repeat above steps for the number of vials needed for dilution.</w:t>
      </w:r>
    </w:p>
    <w:p w14:paraId="47606A4C" w14:textId="1E180FC6" w:rsidR="00D3712E" w:rsidRPr="00C11ED4" w:rsidRDefault="00D3712E" w:rsidP="006559EB">
      <w:pPr>
        <w:pStyle w:val="C-BodyText"/>
        <w:spacing w:before="0" w:after="200" w:line="276" w:lineRule="auto"/>
        <w:rPr>
          <w:rFonts w:asciiTheme="majorHAnsi" w:hAnsiTheme="majorHAnsi"/>
          <w:b/>
          <w:bCs/>
          <w:sz w:val="22"/>
          <w:szCs w:val="22"/>
        </w:rPr>
      </w:pPr>
      <w:r w:rsidRPr="00C11ED4">
        <w:rPr>
          <w:rFonts w:asciiTheme="majorHAnsi" w:hAnsiTheme="majorHAnsi"/>
          <w:b/>
          <w:bCs/>
          <w:sz w:val="22"/>
          <w:szCs w:val="22"/>
        </w:rPr>
        <w:t>Dilution and preparation of the infusion bag</w:t>
      </w:r>
    </w:p>
    <w:p w14:paraId="10BDD9DD" w14:textId="32C744C4" w:rsidR="00382D0E" w:rsidRPr="00C11ED4" w:rsidRDefault="00D3712E" w:rsidP="006559EB">
      <w:pPr>
        <w:pStyle w:val="C-BodyText"/>
        <w:numPr>
          <w:ilvl w:val="0"/>
          <w:numId w:val="23"/>
        </w:numPr>
        <w:spacing w:before="0" w:after="200" w:line="276" w:lineRule="auto"/>
        <w:rPr>
          <w:rFonts w:asciiTheme="majorHAnsi" w:hAnsiTheme="majorHAnsi"/>
          <w:sz w:val="22"/>
          <w:szCs w:val="22"/>
        </w:rPr>
      </w:pPr>
      <w:r w:rsidRPr="00C11ED4">
        <w:rPr>
          <w:rFonts w:asciiTheme="majorHAnsi" w:hAnsiTheme="majorHAnsi"/>
          <w:sz w:val="22"/>
          <w:szCs w:val="22"/>
        </w:rPr>
        <w:t xml:space="preserve">Remove airspace within the infusion bag. Remove an equal volume of sodium chloride </w:t>
      </w:r>
      <w:r w:rsidR="00122AE0" w:rsidRPr="00C11ED4">
        <w:rPr>
          <w:rFonts w:asciiTheme="majorHAnsi" w:hAnsiTheme="majorHAnsi"/>
          <w:sz w:val="22"/>
          <w:szCs w:val="22"/>
        </w:rPr>
        <w:t>9 </w:t>
      </w:r>
      <w:r w:rsidRPr="00C11ED4">
        <w:rPr>
          <w:rFonts w:asciiTheme="majorHAnsi" w:hAnsiTheme="majorHAnsi"/>
          <w:sz w:val="22"/>
          <w:szCs w:val="22"/>
        </w:rPr>
        <w:t xml:space="preserve">mg/mL (0.9%) solution for injection that will be replaced by the total volume (mL) of reconstituted </w:t>
      </w:r>
      <w:r w:rsidR="002D73CE" w:rsidRPr="00C11ED4">
        <w:rPr>
          <w:rFonts w:asciiTheme="majorHAnsi" w:hAnsiTheme="majorHAnsi"/>
          <w:sz w:val="22"/>
          <w:szCs w:val="22"/>
        </w:rPr>
        <w:t>POMBILITI</w:t>
      </w:r>
      <w:r w:rsidR="00FB6576" w:rsidRPr="00C11ED4">
        <w:rPr>
          <w:rFonts w:asciiTheme="majorHAnsi" w:hAnsiTheme="majorHAnsi"/>
          <w:sz w:val="22"/>
          <w:szCs w:val="22"/>
        </w:rPr>
        <w:t xml:space="preserve"> </w:t>
      </w:r>
      <w:r w:rsidR="00B13BA4" w:rsidRPr="00C11ED4">
        <w:rPr>
          <w:rFonts w:asciiTheme="majorHAnsi" w:hAnsiTheme="majorHAnsi"/>
          <w:sz w:val="22"/>
          <w:szCs w:val="22"/>
        </w:rPr>
        <w:t xml:space="preserve">needed </w:t>
      </w:r>
      <w:r w:rsidR="00FB6576" w:rsidRPr="00C11ED4">
        <w:rPr>
          <w:rFonts w:asciiTheme="majorHAnsi" w:hAnsiTheme="majorHAnsi"/>
          <w:sz w:val="22"/>
          <w:szCs w:val="22"/>
        </w:rPr>
        <w:t>for the bag</w:t>
      </w:r>
      <w:r w:rsidRPr="00C11ED4">
        <w:rPr>
          <w:rFonts w:asciiTheme="majorHAnsi" w:hAnsiTheme="majorHAnsi"/>
          <w:sz w:val="22"/>
          <w:szCs w:val="22"/>
        </w:rPr>
        <w:t>.</w:t>
      </w:r>
    </w:p>
    <w:p w14:paraId="35FCD664" w14:textId="03CC5A25" w:rsidR="00382D0E" w:rsidRPr="00C11ED4" w:rsidRDefault="005F5A5E" w:rsidP="006559EB">
      <w:pPr>
        <w:pStyle w:val="C-BodyText"/>
        <w:numPr>
          <w:ilvl w:val="0"/>
          <w:numId w:val="23"/>
        </w:numPr>
        <w:spacing w:before="0" w:after="200" w:line="276" w:lineRule="auto"/>
        <w:rPr>
          <w:rFonts w:asciiTheme="majorHAnsi" w:hAnsiTheme="majorHAnsi"/>
          <w:sz w:val="22"/>
          <w:szCs w:val="22"/>
        </w:rPr>
      </w:pPr>
      <w:r w:rsidRPr="00C11ED4">
        <w:rPr>
          <w:rFonts w:asciiTheme="majorHAnsi" w:hAnsiTheme="majorHAnsi"/>
          <w:sz w:val="22"/>
          <w:szCs w:val="22"/>
        </w:rPr>
        <w:lastRenderedPageBreak/>
        <w:t>S</w:t>
      </w:r>
      <w:r w:rsidR="00D3712E" w:rsidRPr="00C11ED4">
        <w:rPr>
          <w:rFonts w:asciiTheme="majorHAnsi" w:hAnsiTheme="majorHAnsi"/>
          <w:sz w:val="22"/>
          <w:szCs w:val="22"/>
        </w:rPr>
        <w:t xml:space="preserve">lowly withdraw </w:t>
      </w:r>
      <w:r w:rsidRPr="00C11ED4">
        <w:rPr>
          <w:rFonts w:asciiTheme="majorHAnsi" w:hAnsiTheme="majorHAnsi"/>
          <w:sz w:val="22"/>
          <w:szCs w:val="22"/>
        </w:rPr>
        <w:t>7 m</w:t>
      </w:r>
      <w:r w:rsidR="00117F5C" w:rsidRPr="00C11ED4">
        <w:rPr>
          <w:rFonts w:asciiTheme="majorHAnsi" w:hAnsiTheme="majorHAnsi"/>
          <w:sz w:val="22"/>
          <w:szCs w:val="22"/>
        </w:rPr>
        <w:t>L</w:t>
      </w:r>
      <w:r w:rsidRPr="00C11ED4">
        <w:rPr>
          <w:rFonts w:asciiTheme="majorHAnsi" w:hAnsiTheme="majorHAnsi"/>
          <w:sz w:val="22"/>
          <w:szCs w:val="22"/>
        </w:rPr>
        <w:t xml:space="preserve"> of </w:t>
      </w:r>
      <w:r w:rsidR="00D3712E" w:rsidRPr="00C11ED4">
        <w:rPr>
          <w:rFonts w:asciiTheme="majorHAnsi" w:hAnsiTheme="majorHAnsi"/>
          <w:sz w:val="22"/>
          <w:szCs w:val="22"/>
        </w:rPr>
        <w:t>the reconstituted solution from the vials</w:t>
      </w:r>
      <w:r w:rsidR="000E37E2" w:rsidRPr="00C11ED4">
        <w:rPr>
          <w:rFonts w:asciiTheme="majorHAnsi" w:hAnsiTheme="majorHAnsi"/>
          <w:sz w:val="22"/>
          <w:szCs w:val="22"/>
        </w:rPr>
        <w:t>, including</w:t>
      </w:r>
      <w:r w:rsidR="00A2176C" w:rsidRPr="00C11ED4">
        <w:rPr>
          <w:rFonts w:asciiTheme="majorHAnsi" w:hAnsiTheme="majorHAnsi"/>
          <w:sz w:val="22"/>
          <w:szCs w:val="22"/>
        </w:rPr>
        <w:t xml:space="preserve"> less than the 7.0 mL for the partial vial,</w:t>
      </w:r>
      <w:r w:rsidR="00013417" w:rsidRPr="00C11ED4">
        <w:rPr>
          <w:rFonts w:asciiTheme="majorHAnsi" w:hAnsiTheme="majorHAnsi"/>
          <w:sz w:val="22"/>
          <w:szCs w:val="22"/>
        </w:rPr>
        <w:t xml:space="preserve"> until the patient’s dose is obtained.</w:t>
      </w:r>
      <w:r w:rsidR="004228F6" w:rsidRPr="00C11ED4">
        <w:rPr>
          <w:rFonts w:asciiTheme="majorHAnsi" w:hAnsiTheme="majorHAnsi"/>
          <w:sz w:val="22"/>
          <w:szCs w:val="22"/>
        </w:rPr>
        <w:t xml:space="preserve"> </w:t>
      </w:r>
      <w:r w:rsidR="00D3712E" w:rsidRPr="00C11ED4">
        <w:rPr>
          <w:rFonts w:asciiTheme="majorHAnsi" w:hAnsiTheme="majorHAnsi"/>
          <w:sz w:val="22"/>
          <w:szCs w:val="22"/>
        </w:rPr>
        <w:t>Avoid foaming in the syringe. Discard any remaining reconstituted solution in the last vial.</w:t>
      </w:r>
    </w:p>
    <w:p w14:paraId="3AD03057" w14:textId="633730BD" w:rsidR="00382D0E" w:rsidRPr="00C11ED4" w:rsidRDefault="00D3712E" w:rsidP="006559EB">
      <w:pPr>
        <w:pStyle w:val="C-BodyText"/>
        <w:numPr>
          <w:ilvl w:val="0"/>
          <w:numId w:val="23"/>
        </w:numPr>
        <w:spacing w:before="0" w:after="200" w:line="276" w:lineRule="auto"/>
        <w:rPr>
          <w:rFonts w:asciiTheme="majorHAnsi" w:hAnsiTheme="majorHAnsi"/>
          <w:sz w:val="22"/>
          <w:szCs w:val="22"/>
        </w:rPr>
      </w:pPr>
      <w:r w:rsidRPr="00C11ED4">
        <w:rPr>
          <w:rFonts w:asciiTheme="majorHAnsi" w:hAnsiTheme="majorHAnsi"/>
          <w:sz w:val="22"/>
          <w:szCs w:val="22"/>
        </w:rPr>
        <w:t xml:space="preserve">Slowly inject the reconstituted </w:t>
      </w:r>
      <w:r w:rsidR="00EC2653" w:rsidRPr="00C11ED4">
        <w:rPr>
          <w:rFonts w:asciiTheme="majorHAnsi" w:hAnsiTheme="majorHAnsi"/>
          <w:sz w:val="22"/>
          <w:szCs w:val="22"/>
        </w:rPr>
        <w:t>POMBILITI</w:t>
      </w:r>
      <w:r w:rsidRPr="00C11ED4">
        <w:rPr>
          <w:rFonts w:asciiTheme="majorHAnsi" w:hAnsiTheme="majorHAnsi"/>
          <w:sz w:val="22"/>
          <w:szCs w:val="22"/>
        </w:rPr>
        <w:t xml:space="preserve"> solution directly into the sodium chloride 9</w:t>
      </w:r>
      <w:r w:rsidR="006C7F9C" w:rsidRPr="00C11ED4">
        <w:rPr>
          <w:rFonts w:asciiTheme="majorHAnsi" w:hAnsiTheme="majorHAnsi"/>
          <w:sz w:val="22"/>
          <w:szCs w:val="22"/>
        </w:rPr>
        <w:t> </w:t>
      </w:r>
      <w:r w:rsidRPr="00C11ED4">
        <w:rPr>
          <w:rFonts w:asciiTheme="majorHAnsi" w:hAnsiTheme="majorHAnsi"/>
          <w:sz w:val="22"/>
          <w:szCs w:val="22"/>
        </w:rPr>
        <w:t>mg/mL (0.9%) solution for injection bag. Do not add directly into the air space that may remain within the infusion bag.</w:t>
      </w:r>
    </w:p>
    <w:p w14:paraId="3C047AA3" w14:textId="0C78541F" w:rsidR="00D3712E" w:rsidRPr="00C11ED4" w:rsidRDefault="00D3712E" w:rsidP="006559EB">
      <w:pPr>
        <w:pStyle w:val="C-BodyText"/>
        <w:numPr>
          <w:ilvl w:val="0"/>
          <w:numId w:val="23"/>
        </w:numPr>
        <w:spacing w:before="0" w:after="200" w:line="276" w:lineRule="auto"/>
        <w:rPr>
          <w:rFonts w:asciiTheme="majorHAnsi" w:hAnsiTheme="majorHAnsi"/>
          <w:sz w:val="22"/>
          <w:szCs w:val="22"/>
        </w:rPr>
      </w:pPr>
      <w:r w:rsidRPr="00C11ED4">
        <w:rPr>
          <w:rFonts w:asciiTheme="majorHAnsi" w:hAnsiTheme="majorHAnsi"/>
          <w:sz w:val="22"/>
          <w:szCs w:val="22"/>
        </w:rPr>
        <w:t xml:space="preserve">Gently invert or massage the bag to mix the diluted solution. Do not shake or excessively agitate the bag for infusion. </w:t>
      </w:r>
      <w:r w:rsidR="00D51B09" w:rsidRPr="00C11ED4">
        <w:rPr>
          <w:rFonts w:asciiTheme="majorHAnsi" w:hAnsiTheme="majorHAnsi"/>
          <w:sz w:val="22"/>
          <w:szCs w:val="22"/>
        </w:rPr>
        <w:t>After dilution, the solution will have a final concentration of 0.5</w:t>
      </w:r>
      <w:r w:rsidR="007E48F6" w:rsidRPr="00C11ED4">
        <w:rPr>
          <w:rFonts w:asciiTheme="majorHAnsi" w:hAnsiTheme="majorHAnsi"/>
          <w:sz w:val="22"/>
          <w:szCs w:val="22"/>
        </w:rPr>
        <w:t> </w:t>
      </w:r>
      <w:r w:rsidR="00D51B09" w:rsidRPr="00C11ED4">
        <w:rPr>
          <w:rFonts w:asciiTheme="majorHAnsi" w:hAnsiTheme="majorHAnsi"/>
          <w:sz w:val="22"/>
          <w:szCs w:val="22"/>
        </w:rPr>
        <w:t xml:space="preserve">to 4 mg/mL of POMBILITI. </w:t>
      </w:r>
      <w:r w:rsidRPr="00C11ED4">
        <w:rPr>
          <w:rFonts w:asciiTheme="majorHAnsi" w:hAnsiTheme="majorHAnsi"/>
          <w:sz w:val="22"/>
          <w:szCs w:val="22"/>
        </w:rPr>
        <w:t>Do not use a pneumatic tube to transport the infusion bag.</w:t>
      </w:r>
    </w:p>
    <w:p w14:paraId="13BCC134" w14:textId="4AE01F21" w:rsidR="008A5776" w:rsidRPr="00C11ED4" w:rsidRDefault="008A5776" w:rsidP="006559EB">
      <w:pPr>
        <w:pStyle w:val="C-BodyText"/>
        <w:numPr>
          <w:ilvl w:val="0"/>
          <w:numId w:val="23"/>
        </w:numPr>
        <w:spacing w:before="0" w:after="200" w:line="276" w:lineRule="auto"/>
        <w:rPr>
          <w:rFonts w:asciiTheme="majorHAnsi" w:hAnsiTheme="majorHAnsi"/>
          <w:sz w:val="22"/>
          <w:szCs w:val="22"/>
        </w:rPr>
      </w:pPr>
      <w:r w:rsidRPr="00C11ED4">
        <w:rPr>
          <w:rFonts w:asciiTheme="majorHAnsi" w:hAnsiTheme="majorHAnsi"/>
          <w:sz w:val="22"/>
          <w:szCs w:val="22"/>
        </w:rPr>
        <w:t>Repeat steps on remaining infusion bag(s) to achieve the total volume (mL) of reconstituted POMBILITI</w:t>
      </w:r>
      <w:r w:rsidR="00E47FF3" w:rsidRPr="00C11ED4">
        <w:rPr>
          <w:rFonts w:asciiTheme="majorHAnsi" w:hAnsiTheme="majorHAnsi"/>
          <w:sz w:val="22"/>
          <w:szCs w:val="22"/>
        </w:rPr>
        <w:t xml:space="preserve"> solution</w:t>
      </w:r>
      <w:r w:rsidRPr="00C11ED4">
        <w:rPr>
          <w:rFonts w:asciiTheme="majorHAnsi" w:hAnsiTheme="majorHAnsi"/>
          <w:sz w:val="22"/>
          <w:szCs w:val="22"/>
        </w:rPr>
        <w:t xml:space="preserve"> required for the patient’s dose.</w:t>
      </w:r>
    </w:p>
    <w:p w14:paraId="12E19B28" w14:textId="403896A4" w:rsidR="00D3712E" w:rsidRPr="00C11ED4" w:rsidRDefault="00D3712E"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The infusion solution should be administered as close to after dilution preparation as possible at room temperature</w:t>
      </w:r>
      <w:r w:rsidR="007C3E87" w:rsidRPr="00C11ED4">
        <w:rPr>
          <w:rFonts w:asciiTheme="majorHAnsi" w:hAnsiTheme="majorHAnsi"/>
          <w:sz w:val="22"/>
          <w:szCs w:val="22"/>
        </w:rPr>
        <w:t xml:space="preserve"> (see</w:t>
      </w:r>
      <w:r w:rsidRPr="00C11ED4">
        <w:rPr>
          <w:rFonts w:asciiTheme="majorHAnsi" w:hAnsiTheme="majorHAnsi"/>
          <w:sz w:val="22"/>
          <w:szCs w:val="22"/>
        </w:rPr>
        <w:t xml:space="preserve"> </w:t>
      </w:r>
      <w:r w:rsidR="002A33FE" w:rsidRPr="00C11ED4">
        <w:rPr>
          <w:rFonts w:asciiTheme="majorHAnsi" w:hAnsiTheme="majorHAnsi"/>
          <w:sz w:val="22"/>
          <w:szCs w:val="22"/>
        </w:rPr>
        <w:t>Section</w:t>
      </w:r>
      <w:r w:rsidRPr="00C11ED4">
        <w:rPr>
          <w:rFonts w:asciiTheme="majorHAnsi" w:hAnsiTheme="majorHAnsi"/>
          <w:sz w:val="22"/>
          <w:szCs w:val="22"/>
        </w:rPr>
        <w:t xml:space="preserve"> </w:t>
      </w:r>
      <w:r w:rsidR="00C32A2A" w:rsidRPr="00C11ED4">
        <w:rPr>
          <w:rFonts w:asciiTheme="majorHAnsi" w:hAnsiTheme="majorHAnsi"/>
          <w:sz w:val="22"/>
          <w:szCs w:val="22"/>
        </w:rPr>
        <w:t>4.2 DOSE AND METHOD OF ADMINISTRATION</w:t>
      </w:r>
      <w:r w:rsidR="00EE10BF" w:rsidRPr="00C11ED4">
        <w:rPr>
          <w:rFonts w:asciiTheme="majorHAnsi" w:hAnsiTheme="majorHAnsi"/>
          <w:sz w:val="22"/>
          <w:szCs w:val="22"/>
        </w:rPr>
        <w:t>)</w:t>
      </w:r>
      <w:r w:rsidRPr="00C11ED4">
        <w:rPr>
          <w:rFonts w:asciiTheme="majorHAnsi" w:hAnsiTheme="majorHAnsi"/>
          <w:sz w:val="22"/>
          <w:szCs w:val="22"/>
        </w:rPr>
        <w:t>.</w:t>
      </w:r>
    </w:p>
    <w:p w14:paraId="7409FC22" w14:textId="2523019F" w:rsidR="00D3712E" w:rsidRPr="00C11ED4" w:rsidRDefault="00D3712E" w:rsidP="006559EB">
      <w:pPr>
        <w:pStyle w:val="C-BodyText"/>
        <w:spacing w:before="0" w:after="200" w:line="276" w:lineRule="auto"/>
        <w:rPr>
          <w:rFonts w:asciiTheme="majorHAnsi" w:hAnsiTheme="majorHAnsi"/>
          <w:b/>
          <w:bCs/>
          <w:sz w:val="22"/>
          <w:szCs w:val="22"/>
        </w:rPr>
      </w:pPr>
      <w:r w:rsidRPr="00C11ED4">
        <w:rPr>
          <w:rFonts w:asciiTheme="majorHAnsi" w:hAnsiTheme="majorHAnsi"/>
          <w:b/>
          <w:bCs/>
          <w:sz w:val="22"/>
          <w:szCs w:val="22"/>
        </w:rPr>
        <w:t>Preparing for administration</w:t>
      </w:r>
    </w:p>
    <w:p w14:paraId="3E1AA3CE" w14:textId="500F8FD0" w:rsidR="00D3712E" w:rsidRPr="00C11ED4" w:rsidRDefault="00D3712E"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If it is not possible to start the infusion following dilution, the </w:t>
      </w:r>
      <w:r w:rsidR="0025316D" w:rsidRPr="00C11ED4">
        <w:rPr>
          <w:rFonts w:asciiTheme="majorHAnsi" w:hAnsiTheme="majorHAnsi"/>
          <w:sz w:val="22"/>
          <w:szCs w:val="22"/>
        </w:rPr>
        <w:t xml:space="preserve">reconstituted and </w:t>
      </w:r>
      <w:r w:rsidRPr="00C11ED4">
        <w:rPr>
          <w:rFonts w:asciiTheme="majorHAnsi" w:hAnsiTheme="majorHAnsi"/>
          <w:sz w:val="22"/>
          <w:szCs w:val="22"/>
        </w:rPr>
        <w:t xml:space="preserve">diluted solution is stable for up to </w:t>
      </w:r>
      <w:r w:rsidR="0025316D" w:rsidRPr="00C11ED4">
        <w:rPr>
          <w:rFonts w:asciiTheme="majorHAnsi" w:hAnsiTheme="majorHAnsi"/>
          <w:sz w:val="22"/>
          <w:szCs w:val="22"/>
        </w:rPr>
        <w:t xml:space="preserve">30 </w:t>
      </w:r>
      <w:r w:rsidRPr="00C11ED4">
        <w:rPr>
          <w:rFonts w:asciiTheme="majorHAnsi" w:hAnsiTheme="majorHAnsi"/>
          <w:sz w:val="22"/>
          <w:szCs w:val="22"/>
        </w:rPr>
        <w:t>hours refrigerated at 2°C to 8°C. Storage at room temperature is not recommended, refer to the in</w:t>
      </w:r>
      <w:r w:rsidR="0025316D" w:rsidRPr="00C11ED4">
        <w:rPr>
          <w:rFonts w:asciiTheme="majorHAnsi" w:hAnsiTheme="majorHAnsi"/>
          <w:sz w:val="22"/>
          <w:szCs w:val="22"/>
        </w:rPr>
        <w:t>-</w:t>
      </w:r>
      <w:r w:rsidRPr="00C11ED4">
        <w:rPr>
          <w:rFonts w:asciiTheme="majorHAnsi" w:hAnsiTheme="majorHAnsi"/>
          <w:sz w:val="22"/>
          <w:szCs w:val="22"/>
        </w:rPr>
        <w:t>use stability storage conditions. Do not freeze or shake.</w:t>
      </w:r>
    </w:p>
    <w:p w14:paraId="1F0AEEA1" w14:textId="5A77C142" w:rsidR="00D3712E" w:rsidRPr="00C11ED4" w:rsidRDefault="00D3712E"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The </w:t>
      </w:r>
      <w:r w:rsidR="00CB517B" w:rsidRPr="00C11ED4">
        <w:rPr>
          <w:rFonts w:asciiTheme="majorHAnsi" w:hAnsiTheme="majorHAnsi"/>
          <w:sz w:val="22"/>
          <w:szCs w:val="22"/>
        </w:rPr>
        <w:t xml:space="preserve">normal saline bag for infusion </w:t>
      </w:r>
      <w:r w:rsidRPr="00C11ED4">
        <w:rPr>
          <w:rFonts w:asciiTheme="majorHAnsi" w:hAnsiTheme="majorHAnsi"/>
          <w:sz w:val="22"/>
          <w:szCs w:val="22"/>
        </w:rPr>
        <w:t xml:space="preserve">containing </w:t>
      </w:r>
      <w:r w:rsidR="00EC2653" w:rsidRPr="00C11ED4">
        <w:rPr>
          <w:rFonts w:asciiTheme="majorHAnsi" w:hAnsiTheme="majorHAnsi"/>
          <w:sz w:val="22"/>
          <w:szCs w:val="22"/>
        </w:rPr>
        <w:t>PO</w:t>
      </w:r>
      <w:r w:rsidR="007576FB" w:rsidRPr="00C11ED4">
        <w:rPr>
          <w:rFonts w:asciiTheme="majorHAnsi" w:hAnsiTheme="majorHAnsi"/>
          <w:sz w:val="22"/>
          <w:szCs w:val="22"/>
        </w:rPr>
        <w:t>MBILITI</w:t>
      </w:r>
      <w:r w:rsidRPr="00C11ED4">
        <w:rPr>
          <w:rFonts w:asciiTheme="majorHAnsi" w:hAnsiTheme="majorHAnsi"/>
          <w:sz w:val="22"/>
          <w:szCs w:val="22"/>
        </w:rPr>
        <w:t xml:space="preserve"> is administered using an infusion pump.</w:t>
      </w:r>
    </w:p>
    <w:p w14:paraId="01715356" w14:textId="45248F18" w:rsidR="00D3712E" w:rsidRPr="00C11ED4" w:rsidRDefault="00D3712E"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Prior to infusion, inspect the infusion bag for foaming</w:t>
      </w:r>
      <w:r w:rsidR="0061745C" w:rsidRPr="00C11ED4">
        <w:rPr>
          <w:rFonts w:asciiTheme="majorHAnsi" w:hAnsiTheme="majorHAnsi"/>
          <w:sz w:val="22"/>
          <w:szCs w:val="22"/>
        </w:rPr>
        <w:t>,</w:t>
      </w:r>
      <w:r w:rsidRPr="00C11ED4">
        <w:rPr>
          <w:rFonts w:asciiTheme="majorHAnsi" w:hAnsiTheme="majorHAnsi"/>
          <w:sz w:val="22"/>
          <w:szCs w:val="22"/>
        </w:rPr>
        <w:t xml:space="preserve"> and if foaming is present, let foaming dissipate. Avoid shaking and handle infusion bag gently to prevent foaming.</w:t>
      </w:r>
    </w:p>
    <w:p w14:paraId="7396AA3C" w14:textId="2270F4B4" w:rsidR="00D3712E" w:rsidRPr="00C11ED4" w:rsidRDefault="00D3712E"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An intravenous administration set should be used with an inline low protein binding 0.2</w:t>
      </w:r>
      <w:r w:rsidR="001D6CBE" w:rsidRPr="00C11ED4">
        <w:rPr>
          <w:rFonts w:asciiTheme="majorHAnsi" w:hAnsiTheme="majorHAnsi"/>
          <w:sz w:val="22"/>
          <w:szCs w:val="22"/>
        </w:rPr>
        <w:t>-</w:t>
      </w:r>
      <w:r w:rsidRPr="00C11ED4">
        <w:rPr>
          <w:rFonts w:asciiTheme="majorHAnsi" w:hAnsiTheme="majorHAnsi"/>
          <w:sz w:val="22"/>
          <w:szCs w:val="22"/>
        </w:rPr>
        <w:t xml:space="preserve">micron filter. If the </w:t>
      </w:r>
      <w:r w:rsidR="00825359" w:rsidRPr="00C11ED4">
        <w:rPr>
          <w:rFonts w:asciiTheme="majorHAnsi" w:hAnsiTheme="majorHAnsi"/>
          <w:sz w:val="22"/>
          <w:szCs w:val="22"/>
        </w:rPr>
        <w:t>IV-line</w:t>
      </w:r>
      <w:r w:rsidRPr="00C11ED4">
        <w:rPr>
          <w:rFonts w:asciiTheme="majorHAnsi" w:hAnsiTheme="majorHAnsi"/>
          <w:sz w:val="22"/>
          <w:szCs w:val="22"/>
        </w:rPr>
        <w:t xml:space="preserve"> blocks during infusion, change the filter.</w:t>
      </w:r>
    </w:p>
    <w:p w14:paraId="760DAF23" w14:textId="423AB678" w:rsidR="00D3712E" w:rsidRPr="00C11ED4" w:rsidRDefault="00D3712E"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Other </w:t>
      </w:r>
      <w:r w:rsidR="00F94101" w:rsidRPr="00C11ED4">
        <w:rPr>
          <w:rFonts w:asciiTheme="majorHAnsi" w:hAnsiTheme="majorHAnsi"/>
          <w:sz w:val="22"/>
          <w:szCs w:val="22"/>
        </w:rPr>
        <w:t>medicines</w:t>
      </w:r>
      <w:r w:rsidRPr="00C11ED4">
        <w:rPr>
          <w:rFonts w:asciiTheme="majorHAnsi" w:hAnsiTheme="majorHAnsi"/>
          <w:sz w:val="22"/>
          <w:szCs w:val="22"/>
        </w:rPr>
        <w:t xml:space="preserve"> should not be infused in the same IV line as the diluted </w:t>
      </w:r>
      <w:r w:rsidR="002A0C7D" w:rsidRPr="00C11ED4">
        <w:rPr>
          <w:rFonts w:asciiTheme="majorHAnsi" w:hAnsiTheme="majorHAnsi"/>
          <w:sz w:val="22"/>
          <w:szCs w:val="22"/>
        </w:rPr>
        <w:t>POMBILITI</w:t>
      </w:r>
      <w:r w:rsidRPr="00C11ED4">
        <w:rPr>
          <w:rFonts w:asciiTheme="majorHAnsi" w:hAnsiTheme="majorHAnsi"/>
          <w:sz w:val="22"/>
          <w:szCs w:val="22"/>
        </w:rPr>
        <w:t xml:space="preserve"> solution.</w:t>
      </w:r>
    </w:p>
    <w:p w14:paraId="3749376E" w14:textId="77777777" w:rsidR="005E7448" w:rsidRPr="00C11ED4" w:rsidRDefault="005E7448" w:rsidP="006559EB">
      <w:pPr>
        <w:pStyle w:val="C-BodyText"/>
        <w:spacing w:before="0" w:after="200" w:line="276" w:lineRule="auto"/>
        <w:rPr>
          <w:rFonts w:asciiTheme="majorHAnsi" w:hAnsiTheme="majorHAnsi"/>
          <w:sz w:val="22"/>
          <w:szCs w:val="22"/>
          <w:u w:val="single"/>
        </w:rPr>
      </w:pPr>
      <w:r w:rsidRPr="00C11ED4">
        <w:rPr>
          <w:rFonts w:asciiTheme="majorHAnsi" w:hAnsiTheme="majorHAnsi"/>
          <w:sz w:val="22"/>
          <w:szCs w:val="22"/>
          <w:u w:val="single"/>
        </w:rPr>
        <w:t>Missed dose</w:t>
      </w:r>
    </w:p>
    <w:p w14:paraId="0EE04830" w14:textId="7786B1C5" w:rsidR="005E7448" w:rsidRPr="00C11ED4" w:rsidRDefault="005E7448"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If the </w:t>
      </w:r>
      <w:r w:rsidR="000B6F4A" w:rsidRPr="00C11ED4">
        <w:rPr>
          <w:rFonts w:asciiTheme="majorHAnsi" w:hAnsiTheme="majorHAnsi"/>
          <w:sz w:val="22"/>
          <w:szCs w:val="22"/>
        </w:rPr>
        <w:t>POMBILITI</w:t>
      </w:r>
      <w:r w:rsidRPr="00C11ED4">
        <w:rPr>
          <w:rFonts w:asciiTheme="majorHAnsi" w:hAnsiTheme="majorHAnsi"/>
          <w:sz w:val="22"/>
          <w:szCs w:val="22"/>
        </w:rPr>
        <w:t xml:space="preserve"> infusion cannot be started within 3 hours of oral administration of </w:t>
      </w:r>
      <w:bookmarkStart w:id="0" w:name="_Hlk175583583"/>
      <w:proofErr w:type="spellStart"/>
      <w:r w:rsidR="00F45112" w:rsidRPr="00C11ED4">
        <w:rPr>
          <w:rFonts w:asciiTheme="majorHAnsi" w:hAnsiTheme="majorHAnsi"/>
          <w:sz w:val="22"/>
          <w:szCs w:val="22"/>
        </w:rPr>
        <w:t>miglustat</w:t>
      </w:r>
      <w:proofErr w:type="spellEnd"/>
      <w:r w:rsidR="00F45112" w:rsidRPr="00C11ED4">
        <w:rPr>
          <w:rFonts w:asciiTheme="majorHAnsi" w:hAnsiTheme="majorHAnsi"/>
          <w:sz w:val="22"/>
          <w:szCs w:val="22"/>
        </w:rPr>
        <w:t xml:space="preserve"> 65 mg capsules</w:t>
      </w:r>
      <w:bookmarkEnd w:id="0"/>
      <w:r w:rsidRPr="00C11ED4">
        <w:rPr>
          <w:rFonts w:asciiTheme="majorHAnsi" w:hAnsiTheme="majorHAnsi"/>
          <w:sz w:val="22"/>
          <w:szCs w:val="22"/>
        </w:rPr>
        <w:t xml:space="preserve">, reschedule treatment of </w:t>
      </w:r>
      <w:r w:rsidR="000B6F4A" w:rsidRPr="00C11ED4">
        <w:rPr>
          <w:rFonts w:asciiTheme="majorHAnsi" w:hAnsiTheme="majorHAnsi"/>
          <w:sz w:val="22"/>
          <w:szCs w:val="22"/>
        </w:rPr>
        <w:t>POMBILITI</w:t>
      </w:r>
      <w:r w:rsidRPr="00C11ED4">
        <w:rPr>
          <w:rFonts w:asciiTheme="majorHAnsi" w:hAnsiTheme="majorHAnsi"/>
          <w:sz w:val="22"/>
          <w:szCs w:val="22"/>
        </w:rPr>
        <w:t xml:space="preserve"> and </w:t>
      </w:r>
      <w:proofErr w:type="spellStart"/>
      <w:r w:rsidR="00F45112" w:rsidRPr="00C11ED4">
        <w:rPr>
          <w:rFonts w:asciiTheme="majorHAnsi" w:hAnsiTheme="majorHAnsi"/>
          <w:sz w:val="22"/>
          <w:szCs w:val="22"/>
        </w:rPr>
        <w:t>miglustat</w:t>
      </w:r>
      <w:proofErr w:type="spellEnd"/>
      <w:r w:rsidR="00F45112" w:rsidRPr="00C11ED4">
        <w:rPr>
          <w:rFonts w:asciiTheme="majorHAnsi" w:hAnsiTheme="majorHAnsi"/>
          <w:sz w:val="22"/>
          <w:szCs w:val="22"/>
        </w:rPr>
        <w:t xml:space="preserve"> 65 mg capsules</w:t>
      </w:r>
      <w:r w:rsidR="00F45112" w:rsidRPr="00C11ED4" w:rsidDel="00F45112">
        <w:rPr>
          <w:rFonts w:asciiTheme="majorHAnsi" w:hAnsiTheme="majorHAnsi"/>
          <w:sz w:val="22"/>
          <w:szCs w:val="22"/>
        </w:rPr>
        <w:t xml:space="preserve"> </w:t>
      </w:r>
      <w:r w:rsidRPr="00C11ED4">
        <w:rPr>
          <w:rFonts w:asciiTheme="majorHAnsi" w:hAnsiTheme="majorHAnsi"/>
          <w:sz w:val="22"/>
          <w:szCs w:val="22"/>
        </w:rPr>
        <w:t xml:space="preserve">at least 24 hours after taking </w:t>
      </w:r>
      <w:proofErr w:type="spellStart"/>
      <w:r w:rsidR="00F45112" w:rsidRPr="00C11ED4">
        <w:rPr>
          <w:rFonts w:asciiTheme="majorHAnsi" w:hAnsiTheme="majorHAnsi"/>
          <w:sz w:val="22"/>
          <w:szCs w:val="22"/>
        </w:rPr>
        <w:t>miglustat</w:t>
      </w:r>
      <w:proofErr w:type="spellEnd"/>
      <w:r w:rsidR="00F45112" w:rsidRPr="00C11ED4">
        <w:rPr>
          <w:rFonts w:asciiTheme="majorHAnsi" w:hAnsiTheme="majorHAnsi"/>
          <w:sz w:val="22"/>
          <w:szCs w:val="22"/>
        </w:rPr>
        <w:t xml:space="preserve"> 65 mg capsules</w:t>
      </w:r>
      <w:r w:rsidRPr="00C11ED4">
        <w:rPr>
          <w:rFonts w:asciiTheme="majorHAnsi" w:hAnsiTheme="majorHAnsi"/>
          <w:sz w:val="22"/>
          <w:szCs w:val="22"/>
        </w:rPr>
        <w:t xml:space="preserve">. If </w:t>
      </w:r>
      <w:r w:rsidR="000B6F4A" w:rsidRPr="00C11ED4">
        <w:rPr>
          <w:rFonts w:asciiTheme="majorHAnsi" w:hAnsiTheme="majorHAnsi"/>
          <w:sz w:val="22"/>
          <w:szCs w:val="22"/>
        </w:rPr>
        <w:t>POMBILITI</w:t>
      </w:r>
      <w:r w:rsidRPr="00C11ED4">
        <w:rPr>
          <w:rFonts w:asciiTheme="majorHAnsi" w:hAnsiTheme="majorHAnsi"/>
          <w:sz w:val="22"/>
          <w:szCs w:val="22"/>
        </w:rPr>
        <w:t xml:space="preserve"> and </w:t>
      </w:r>
      <w:proofErr w:type="spellStart"/>
      <w:r w:rsidR="00F45112" w:rsidRPr="00C11ED4">
        <w:rPr>
          <w:rFonts w:asciiTheme="majorHAnsi" w:hAnsiTheme="majorHAnsi"/>
          <w:sz w:val="22"/>
          <w:szCs w:val="22"/>
        </w:rPr>
        <w:t>miglustat</w:t>
      </w:r>
      <w:proofErr w:type="spellEnd"/>
      <w:r w:rsidR="00F45112" w:rsidRPr="00C11ED4">
        <w:rPr>
          <w:rFonts w:asciiTheme="majorHAnsi" w:hAnsiTheme="majorHAnsi"/>
          <w:sz w:val="22"/>
          <w:szCs w:val="22"/>
        </w:rPr>
        <w:t xml:space="preserve"> 65 mg capsules</w:t>
      </w:r>
      <w:r w:rsidR="00F45112" w:rsidRPr="00C11ED4" w:rsidDel="00F45112">
        <w:rPr>
          <w:rFonts w:asciiTheme="majorHAnsi" w:hAnsiTheme="majorHAnsi"/>
          <w:sz w:val="22"/>
          <w:szCs w:val="22"/>
        </w:rPr>
        <w:t xml:space="preserve"> </w:t>
      </w:r>
      <w:r w:rsidRPr="00C11ED4">
        <w:rPr>
          <w:rFonts w:asciiTheme="majorHAnsi" w:hAnsiTheme="majorHAnsi"/>
          <w:sz w:val="22"/>
          <w:szCs w:val="22"/>
        </w:rPr>
        <w:t>are both missed, treatment should occur as soon as possible.</w:t>
      </w:r>
      <w:r w:rsidR="00783FB1" w:rsidRPr="00C11ED4">
        <w:rPr>
          <w:rFonts w:asciiTheme="majorHAnsi" w:hAnsiTheme="majorHAnsi"/>
          <w:sz w:val="22"/>
          <w:szCs w:val="22"/>
        </w:rPr>
        <w:t xml:space="preserve"> These 2</w:t>
      </w:r>
      <w:r w:rsidR="002E77B9" w:rsidRPr="00C11ED4">
        <w:rPr>
          <w:rFonts w:asciiTheme="majorHAnsi" w:hAnsiTheme="majorHAnsi"/>
          <w:sz w:val="22"/>
          <w:szCs w:val="22"/>
        </w:rPr>
        <w:t> </w:t>
      </w:r>
      <w:r w:rsidR="00783FB1" w:rsidRPr="00C11ED4">
        <w:rPr>
          <w:rFonts w:asciiTheme="majorHAnsi" w:hAnsiTheme="majorHAnsi"/>
          <w:sz w:val="22"/>
          <w:szCs w:val="22"/>
        </w:rPr>
        <w:t>medicines should be administered at the next available opportunity when they can be given as detailed in Figure 1</w:t>
      </w:r>
      <w:r w:rsidR="00541276" w:rsidRPr="00C11ED4">
        <w:rPr>
          <w:rFonts w:asciiTheme="majorHAnsi" w:hAnsiTheme="majorHAnsi"/>
          <w:sz w:val="22"/>
          <w:szCs w:val="22"/>
        </w:rPr>
        <w:t>.</w:t>
      </w:r>
    </w:p>
    <w:p w14:paraId="541866F0" w14:textId="245B9FAE" w:rsidR="002319F0" w:rsidRPr="00C11ED4" w:rsidRDefault="002319F0"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Patient response to treatment should be routinely evaluated based on a comprehensive evaluation of all clinical manifestations of the disease. In case of an insufficient response or intolerable safety risks, discontinuation of </w:t>
      </w:r>
      <w:r w:rsidR="00D94E2E" w:rsidRPr="00C11ED4">
        <w:rPr>
          <w:rFonts w:asciiTheme="majorHAnsi" w:hAnsiTheme="majorHAnsi"/>
          <w:sz w:val="22"/>
          <w:szCs w:val="22"/>
        </w:rPr>
        <w:t xml:space="preserve">POMBILITI </w:t>
      </w:r>
      <w:r w:rsidRPr="00C11ED4">
        <w:rPr>
          <w:rFonts w:asciiTheme="majorHAnsi" w:hAnsiTheme="majorHAnsi"/>
          <w:sz w:val="22"/>
          <w:szCs w:val="22"/>
        </w:rPr>
        <w:t xml:space="preserve">in combination with </w:t>
      </w:r>
      <w:proofErr w:type="spellStart"/>
      <w:r w:rsidR="00F41C37" w:rsidRPr="00C11ED4">
        <w:rPr>
          <w:rFonts w:asciiTheme="majorHAnsi" w:hAnsiTheme="majorHAnsi"/>
          <w:sz w:val="22"/>
          <w:szCs w:val="22"/>
        </w:rPr>
        <w:t>miglustat</w:t>
      </w:r>
      <w:proofErr w:type="spellEnd"/>
      <w:r w:rsidR="00F41C37" w:rsidRPr="00C11ED4">
        <w:rPr>
          <w:rFonts w:asciiTheme="majorHAnsi" w:hAnsiTheme="majorHAnsi"/>
          <w:sz w:val="22"/>
          <w:szCs w:val="22"/>
        </w:rPr>
        <w:t xml:space="preserve"> 65 mg </w:t>
      </w:r>
      <w:r w:rsidR="00F41C37" w:rsidRPr="00C11ED4">
        <w:rPr>
          <w:rFonts w:asciiTheme="majorHAnsi" w:hAnsiTheme="majorHAnsi"/>
          <w:sz w:val="22"/>
          <w:szCs w:val="22"/>
        </w:rPr>
        <w:lastRenderedPageBreak/>
        <w:t xml:space="preserve">capsules </w:t>
      </w:r>
      <w:r w:rsidRPr="00C11ED4">
        <w:rPr>
          <w:rFonts w:asciiTheme="majorHAnsi" w:hAnsiTheme="majorHAnsi"/>
          <w:sz w:val="22"/>
          <w:szCs w:val="22"/>
        </w:rPr>
        <w:t xml:space="preserve">treatment should be considered, </w:t>
      </w:r>
      <w:r w:rsidRPr="00C11ED4">
        <w:rPr>
          <w:rFonts w:asciiTheme="majorHAnsi" w:hAnsiTheme="majorHAnsi"/>
          <w:sz w:val="22"/>
        </w:rPr>
        <w:t xml:space="preserve">see </w:t>
      </w:r>
      <w:r w:rsidR="00B236A4" w:rsidRPr="00C11ED4">
        <w:rPr>
          <w:rFonts w:asciiTheme="majorHAnsi" w:hAnsiTheme="majorHAnsi"/>
          <w:sz w:val="22"/>
        </w:rPr>
        <w:t>S</w:t>
      </w:r>
      <w:r w:rsidRPr="00C11ED4">
        <w:rPr>
          <w:rFonts w:asciiTheme="majorHAnsi" w:hAnsiTheme="majorHAnsi"/>
          <w:sz w:val="22"/>
        </w:rPr>
        <w:t xml:space="preserve">ection </w:t>
      </w:r>
      <w:r w:rsidR="00662AE6" w:rsidRPr="00C11ED4">
        <w:rPr>
          <w:rFonts w:asciiTheme="majorHAnsi" w:hAnsiTheme="majorHAnsi"/>
          <w:sz w:val="22"/>
        </w:rPr>
        <w:t>4.4 SPECIAL WARNING AND PRECAUTIONS</w:t>
      </w:r>
      <w:r w:rsidRPr="00C11ED4">
        <w:rPr>
          <w:rFonts w:asciiTheme="majorHAnsi" w:hAnsiTheme="majorHAnsi"/>
          <w:sz w:val="22"/>
          <w:szCs w:val="22"/>
        </w:rPr>
        <w:t>. Both medicinal products should either be continued or discontinued.</w:t>
      </w:r>
    </w:p>
    <w:p w14:paraId="3FDC7282" w14:textId="77777777" w:rsidR="006E1379" w:rsidRPr="00C11ED4" w:rsidRDefault="006E1379" w:rsidP="00FC66B1">
      <w:pPr>
        <w:pStyle w:val="C-BodyText"/>
        <w:keepNext/>
        <w:spacing w:before="0" w:after="200" w:line="276" w:lineRule="auto"/>
        <w:rPr>
          <w:rFonts w:asciiTheme="majorHAnsi" w:hAnsiTheme="majorHAnsi"/>
          <w:sz w:val="22"/>
          <w:szCs w:val="22"/>
          <w:u w:val="single"/>
        </w:rPr>
      </w:pPr>
      <w:r w:rsidRPr="00C11ED4">
        <w:rPr>
          <w:rFonts w:asciiTheme="majorHAnsi" w:hAnsiTheme="majorHAnsi"/>
          <w:sz w:val="22"/>
          <w:szCs w:val="22"/>
          <w:u w:val="single"/>
        </w:rPr>
        <w:t>Switching patients from another enzyme replacement therapy (ERT)</w:t>
      </w:r>
    </w:p>
    <w:p w14:paraId="0721BE8B" w14:textId="0B55B237" w:rsidR="006E1379" w:rsidRPr="00C11ED4" w:rsidRDefault="006E1379"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If the patient is switching from another ERT to POMBILITI in combination with </w:t>
      </w:r>
      <w:proofErr w:type="spellStart"/>
      <w:r w:rsidR="00F41C37" w:rsidRPr="00C11ED4">
        <w:rPr>
          <w:rFonts w:asciiTheme="majorHAnsi" w:hAnsiTheme="majorHAnsi"/>
          <w:sz w:val="22"/>
          <w:szCs w:val="22"/>
        </w:rPr>
        <w:t>miglustat</w:t>
      </w:r>
      <w:proofErr w:type="spellEnd"/>
      <w:r w:rsidR="00F41C37" w:rsidRPr="00C11ED4">
        <w:rPr>
          <w:rFonts w:asciiTheme="majorHAnsi" w:hAnsiTheme="majorHAnsi"/>
          <w:sz w:val="22"/>
          <w:szCs w:val="22"/>
        </w:rPr>
        <w:t xml:space="preserve"> 65 mg capsules</w:t>
      </w:r>
      <w:r w:rsidR="00F41C37" w:rsidRPr="00C11ED4" w:rsidDel="00F41C37">
        <w:rPr>
          <w:rFonts w:asciiTheme="majorHAnsi" w:hAnsiTheme="majorHAnsi"/>
          <w:sz w:val="22"/>
          <w:szCs w:val="22"/>
        </w:rPr>
        <w:t xml:space="preserve"> </w:t>
      </w:r>
      <w:r w:rsidRPr="00C11ED4">
        <w:rPr>
          <w:rFonts w:asciiTheme="majorHAnsi" w:hAnsiTheme="majorHAnsi"/>
          <w:sz w:val="22"/>
          <w:szCs w:val="22"/>
        </w:rPr>
        <w:t>therapy, the patient can be started with POMBILITI</w:t>
      </w:r>
      <w:r w:rsidR="00AB3C4E" w:rsidRPr="00C11ED4">
        <w:rPr>
          <w:rFonts w:asciiTheme="majorHAnsi" w:hAnsiTheme="majorHAnsi"/>
          <w:sz w:val="22"/>
          <w:szCs w:val="22"/>
        </w:rPr>
        <w:t xml:space="preserve"> in combination with </w:t>
      </w:r>
      <w:proofErr w:type="spellStart"/>
      <w:r w:rsidR="00AE4466" w:rsidRPr="00C11ED4">
        <w:rPr>
          <w:rFonts w:asciiTheme="majorHAnsi" w:hAnsiTheme="majorHAnsi"/>
          <w:sz w:val="22"/>
          <w:szCs w:val="22"/>
        </w:rPr>
        <w:t>miglustat</w:t>
      </w:r>
      <w:proofErr w:type="spellEnd"/>
      <w:r w:rsidR="00AE4466" w:rsidRPr="00C11ED4">
        <w:rPr>
          <w:rFonts w:asciiTheme="majorHAnsi" w:hAnsiTheme="majorHAnsi"/>
          <w:sz w:val="22"/>
          <w:szCs w:val="22"/>
        </w:rPr>
        <w:t xml:space="preserve"> 65</w:t>
      </w:r>
      <w:r w:rsidR="00DF6108" w:rsidRPr="00C11ED4">
        <w:rPr>
          <w:rFonts w:asciiTheme="majorHAnsi" w:hAnsiTheme="majorHAnsi"/>
          <w:sz w:val="22"/>
          <w:szCs w:val="22"/>
        </w:rPr>
        <w:t> </w:t>
      </w:r>
      <w:r w:rsidR="00AE4466" w:rsidRPr="00C11ED4">
        <w:rPr>
          <w:rFonts w:asciiTheme="majorHAnsi" w:hAnsiTheme="majorHAnsi"/>
          <w:sz w:val="22"/>
          <w:szCs w:val="22"/>
        </w:rPr>
        <w:t>mg capsules</w:t>
      </w:r>
      <w:r w:rsidR="00AE4466" w:rsidRPr="00C11ED4" w:rsidDel="00AE4466">
        <w:rPr>
          <w:rFonts w:asciiTheme="majorHAnsi" w:hAnsiTheme="majorHAnsi"/>
          <w:sz w:val="22"/>
          <w:szCs w:val="22"/>
        </w:rPr>
        <w:t xml:space="preserve"> </w:t>
      </w:r>
      <w:r w:rsidRPr="00C11ED4">
        <w:rPr>
          <w:rFonts w:asciiTheme="majorHAnsi" w:hAnsiTheme="majorHAnsi"/>
          <w:sz w:val="22"/>
          <w:szCs w:val="22"/>
        </w:rPr>
        <w:t>therapy at the next scheduled dosing time (</w:t>
      </w:r>
      <w:proofErr w:type="spellStart"/>
      <w:r w:rsidRPr="00C11ED4">
        <w:rPr>
          <w:rFonts w:asciiTheme="majorHAnsi" w:hAnsiTheme="majorHAnsi"/>
          <w:sz w:val="22"/>
          <w:szCs w:val="22"/>
        </w:rPr>
        <w:t>ie</w:t>
      </w:r>
      <w:proofErr w:type="spellEnd"/>
      <w:r w:rsidR="007A0939" w:rsidRPr="00C11ED4">
        <w:rPr>
          <w:rFonts w:asciiTheme="majorHAnsi" w:hAnsiTheme="majorHAnsi"/>
          <w:sz w:val="22"/>
          <w:szCs w:val="22"/>
        </w:rPr>
        <w:t>,</w:t>
      </w:r>
      <w:r w:rsidRPr="00C11ED4">
        <w:rPr>
          <w:rFonts w:asciiTheme="majorHAnsi" w:hAnsiTheme="majorHAnsi"/>
          <w:sz w:val="22"/>
          <w:szCs w:val="22"/>
        </w:rPr>
        <w:t> approximately 2 weeks after the last ERT administration).</w:t>
      </w:r>
    </w:p>
    <w:p w14:paraId="3497A1C1" w14:textId="71A2A857" w:rsidR="006E1379" w:rsidRPr="00C11ED4" w:rsidRDefault="006E1379" w:rsidP="006559EB">
      <w:pPr>
        <w:pStyle w:val="C-BodyText"/>
        <w:spacing w:before="0" w:after="200" w:line="276" w:lineRule="auto"/>
        <w:rPr>
          <w:rFonts w:asciiTheme="majorHAnsi" w:hAnsiTheme="majorHAnsi"/>
          <w:sz w:val="22"/>
        </w:rPr>
      </w:pPr>
      <w:r w:rsidRPr="00C11ED4">
        <w:rPr>
          <w:rFonts w:asciiTheme="majorHAnsi" w:hAnsiTheme="majorHAnsi"/>
          <w:sz w:val="22"/>
          <w:szCs w:val="22"/>
        </w:rPr>
        <w:t xml:space="preserve">Patients who have switched from another ERT to POMBILITI in combination with </w:t>
      </w:r>
      <w:proofErr w:type="spellStart"/>
      <w:r w:rsidR="00AE4466" w:rsidRPr="00C11ED4">
        <w:rPr>
          <w:rFonts w:asciiTheme="majorHAnsi" w:hAnsiTheme="majorHAnsi"/>
          <w:sz w:val="22"/>
          <w:szCs w:val="22"/>
        </w:rPr>
        <w:t>miglustat</w:t>
      </w:r>
      <w:proofErr w:type="spellEnd"/>
      <w:r w:rsidR="00AE4466" w:rsidRPr="00C11ED4">
        <w:rPr>
          <w:rFonts w:asciiTheme="majorHAnsi" w:hAnsiTheme="majorHAnsi"/>
          <w:sz w:val="22"/>
          <w:szCs w:val="22"/>
        </w:rPr>
        <w:t xml:space="preserve"> 65</w:t>
      </w:r>
      <w:r w:rsidR="001008C0" w:rsidRPr="00C11ED4">
        <w:rPr>
          <w:rFonts w:asciiTheme="majorHAnsi" w:hAnsiTheme="majorHAnsi"/>
          <w:sz w:val="22"/>
          <w:szCs w:val="22"/>
        </w:rPr>
        <w:t> </w:t>
      </w:r>
      <w:r w:rsidR="00AE4466" w:rsidRPr="00C11ED4">
        <w:rPr>
          <w:rFonts w:asciiTheme="majorHAnsi" w:hAnsiTheme="majorHAnsi"/>
          <w:sz w:val="22"/>
          <w:szCs w:val="22"/>
        </w:rPr>
        <w:t>mg capsules</w:t>
      </w:r>
      <w:r w:rsidR="00AE4466" w:rsidRPr="00C11ED4" w:rsidDel="00AE4466">
        <w:rPr>
          <w:rFonts w:asciiTheme="majorHAnsi" w:hAnsiTheme="majorHAnsi"/>
          <w:sz w:val="22"/>
          <w:szCs w:val="22"/>
        </w:rPr>
        <w:t xml:space="preserve"> </w:t>
      </w:r>
      <w:r w:rsidRPr="00C11ED4">
        <w:rPr>
          <w:rFonts w:asciiTheme="majorHAnsi" w:hAnsiTheme="majorHAnsi"/>
          <w:sz w:val="22"/>
          <w:szCs w:val="22"/>
        </w:rPr>
        <w:t xml:space="preserve">therapy should be advised to continue with any </w:t>
      </w:r>
      <w:proofErr w:type="spellStart"/>
      <w:r w:rsidRPr="00C11ED4">
        <w:rPr>
          <w:rFonts w:asciiTheme="majorHAnsi" w:hAnsiTheme="majorHAnsi"/>
          <w:sz w:val="22"/>
          <w:szCs w:val="22"/>
        </w:rPr>
        <w:t>premedications</w:t>
      </w:r>
      <w:proofErr w:type="spellEnd"/>
      <w:r w:rsidRPr="00C11ED4">
        <w:rPr>
          <w:rFonts w:asciiTheme="majorHAnsi" w:hAnsiTheme="majorHAnsi"/>
          <w:sz w:val="22"/>
          <w:szCs w:val="22"/>
        </w:rPr>
        <w:t xml:space="preserve"> used with the previous ERT therapy to </w:t>
      </w:r>
      <w:proofErr w:type="spellStart"/>
      <w:r w:rsidRPr="00C11ED4">
        <w:rPr>
          <w:rFonts w:asciiTheme="majorHAnsi" w:hAnsiTheme="majorHAnsi"/>
          <w:sz w:val="22"/>
          <w:szCs w:val="22"/>
        </w:rPr>
        <w:t>minimise</w:t>
      </w:r>
      <w:proofErr w:type="spellEnd"/>
      <w:r w:rsidRPr="00C11ED4">
        <w:rPr>
          <w:rFonts w:asciiTheme="majorHAnsi" w:hAnsiTheme="majorHAnsi"/>
          <w:sz w:val="22"/>
          <w:szCs w:val="22"/>
        </w:rPr>
        <w:t xml:space="preserve"> IARs. Depending on tolerability, premedication may be modified (see Section 4.4 SPECIAL WARNINGS AND PRECAUTIONS FOR USE).</w:t>
      </w:r>
      <w:r w:rsidR="008E483E" w:rsidRPr="00C11ED4">
        <w:rPr>
          <w:rFonts w:asciiTheme="majorHAnsi" w:hAnsiTheme="majorHAnsi"/>
          <w:sz w:val="22"/>
          <w:szCs w:val="22"/>
        </w:rPr>
        <w:t xml:space="preserve"> Premedication and/or treatment during infusion with corticosteroids, antihistamines, and antipyretics may be administered to assist with signs and symptoms related to IARs</w:t>
      </w:r>
      <w:r w:rsidR="004F3BB2" w:rsidRPr="00C11ED4">
        <w:rPr>
          <w:rFonts w:asciiTheme="majorHAnsi" w:hAnsiTheme="majorHAnsi"/>
          <w:sz w:val="22"/>
          <w:szCs w:val="22"/>
        </w:rPr>
        <w:t xml:space="preserve"> </w:t>
      </w:r>
      <w:r w:rsidR="00350471" w:rsidRPr="00C11ED4">
        <w:rPr>
          <w:rFonts w:asciiTheme="majorHAnsi" w:hAnsiTheme="majorHAnsi"/>
          <w:sz w:val="22"/>
          <w:szCs w:val="22"/>
        </w:rPr>
        <w:t>(</w:t>
      </w:r>
      <w:r w:rsidR="008E483E" w:rsidRPr="00C11ED4">
        <w:rPr>
          <w:rFonts w:asciiTheme="majorHAnsi" w:hAnsiTheme="majorHAnsi"/>
          <w:sz w:val="22"/>
          <w:szCs w:val="22"/>
        </w:rPr>
        <w:t xml:space="preserve">see </w:t>
      </w:r>
      <w:r w:rsidR="00B236A4" w:rsidRPr="00C11ED4">
        <w:rPr>
          <w:rFonts w:asciiTheme="majorHAnsi" w:hAnsiTheme="majorHAnsi"/>
          <w:sz w:val="22"/>
        </w:rPr>
        <w:t>S</w:t>
      </w:r>
      <w:r w:rsidR="008E483E" w:rsidRPr="00C11ED4">
        <w:rPr>
          <w:rFonts w:asciiTheme="majorHAnsi" w:hAnsiTheme="majorHAnsi"/>
          <w:sz w:val="22"/>
        </w:rPr>
        <w:t xml:space="preserve">ections </w:t>
      </w:r>
      <w:r w:rsidR="00CD4C10" w:rsidRPr="00C11ED4">
        <w:rPr>
          <w:rFonts w:asciiTheme="majorHAnsi" w:hAnsiTheme="majorHAnsi"/>
          <w:sz w:val="22"/>
        </w:rPr>
        <w:t>4.3 CONTRAINDICATIONS and 4.4 SPECIAL WARNING AND PRECAUTIONS</w:t>
      </w:r>
      <w:r w:rsidR="00350471" w:rsidRPr="00C11ED4">
        <w:rPr>
          <w:rFonts w:asciiTheme="majorHAnsi" w:hAnsiTheme="majorHAnsi"/>
          <w:sz w:val="22"/>
        </w:rPr>
        <w:t>)</w:t>
      </w:r>
      <w:r w:rsidR="00655294" w:rsidRPr="00C11ED4">
        <w:rPr>
          <w:rFonts w:asciiTheme="majorHAnsi" w:hAnsiTheme="majorHAnsi"/>
          <w:sz w:val="22"/>
        </w:rPr>
        <w:t>.</w:t>
      </w:r>
    </w:p>
    <w:p w14:paraId="7AAF926D" w14:textId="082112EF" w:rsidR="009F71AE" w:rsidRPr="00C11ED4" w:rsidRDefault="009F71AE" w:rsidP="006559EB">
      <w:pPr>
        <w:pStyle w:val="C-BodyText"/>
        <w:spacing w:before="0" w:after="200" w:line="276" w:lineRule="auto"/>
        <w:rPr>
          <w:rFonts w:asciiTheme="majorHAnsi" w:hAnsiTheme="majorHAnsi"/>
          <w:b/>
          <w:sz w:val="22"/>
          <w:u w:val="single"/>
        </w:rPr>
      </w:pPr>
      <w:r w:rsidRPr="00C11ED4">
        <w:rPr>
          <w:rFonts w:asciiTheme="majorHAnsi" w:hAnsiTheme="majorHAnsi"/>
          <w:b/>
          <w:sz w:val="22"/>
          <w:u w:val="single"/>
        </w:rPr>
        <w:t xml:space="preserve">Dose </w:t>
      </w:r>
      <w:r w:rsidR="00862CB7" w:rsidRPr="00C11ED4">
        <w:rPr>
          <w:rFonts w:asciiTheme="majorHAnsi" w:hAnsiTheme="majorHAnsi"/>
          <w:b/>
          <w:bCs/>
          <w:sz w:val="22"/>
          <w:szCs w:val="22"/>
          <w:u w:val="single"/>
        </w:rPr>
        <w:t>a</w:t>
      </w:r>
      <w:r w:rsidRPr="00024512">
        <w:rPr>
          <w:rFonts w:asciiTheme="majorHAnsi" w:hAnsiTheme="majorHAnsi"/>
          <w:b/>
          <w:bCs/>
          <w:sz w:val="22"/>
          <w:szCs w:val="22"/>
          <w:u w:val="single"/>
        </w:rPr>
        <w:t>djustment</w:t>
      </w:r>
    </w:p>
    <w:p w14:paraId="1C081345" w14:textId="6C884F80" w:rsidR="002706BD" w:rsidRPr="00C11ED4" w:rsidRDefault="72C96F19" w:rsidP="4551478B">
      <w:pPr>
        <w:pStyle w:val="C-BodyText"/>
        <w:spacing w:before="0" w:after="200" w:line="276" w:lineRule="auto"/>
        <w:rPr>
          <w:rFonts w:asciiTheme="majorHAnsi" w:hAnsiTheme="majorHAnsi"/>
          <w:sz w:val="22"/>
          <w:szCs w:val="22"/>
          <w:u w:val="single"/>
        </w:rPr>
      </w:pPr>
      <w:r w:rsidRPr="00C11ED4">
        <w:rPr>
          <w:rFonts w:asciiTheme="majorHAnsi" w:hAnsiTheme="majorHAnsi"/>
          <w:sz w:val="22"/>
          <w:szCs w:val="22"/>
          <w:u w:val="single"/>
        </w:rPr>
        <w:t>H</w:t>
      </w:r>
      <w:r w:rsidR="2CA712A6" w:rsidRPr="00C11ED4">
        <w:rPr>
          <w:rFonts w:asciiTheme="majorHAnsi" w:hAnsiTheme="majorHAnsi"/>
          <w:sz w:val="22"/>
          <w:szCs w:val="22"/>
          <w:u w:val="single"/>
        </w:rPr>
        <w:t xml:space="preserve">epatic </w:t>
      </w:r>
      <w:r w:rsidR="4DE4B0AF" w:rsidRPr="00C11ED4">
        <w:rPr>
          <w:rFonts w:asciiTheme="majorHAnsi" w:hAnsiTheme="majorHAnsi"/>
          <w:sz w:val="22"/>
          <w:szCs w:val="22"/>
          <w:u w:val="single"/>
        </w:rPr>
        <w:t>i</w:t>
      </w:r>
      <w:r w:rsidR="2CA712A6" w:rsidRPr="00C11ED4">
        <w:rPr>
          <w:rFonts w:asciiTheme="majorHAnsi" w:hAnsiTheme="majorHAnsi"/>
          <w:sz w:val="22"/>
          <w:szCs w:val="22"/>
          <w:u w:val="single"/>
        </w:rPr>
        <w:t>mpairment</w:t>
      </w:r>
    </w:p>
    <w:p w14:paraId="63751422" w14:textId="7E8EC3A0" w:rsidR="002706BD" w:rsidRPr="00C11ED4" w:rsidRDefault="00527E9C" w:rsidP="006559EB">
      <w:pPr>
        <w:pStyle w:val="C-BodyText"/>
        <w:spacing w:before="0" w:after="200" w:line="276" w:lineRule="auto"/>
        <w:rPr>
          <w:rFonts w:asciiTheme="majorHAnsi" w:hAnsiTheme="majorHAnsi"/>
          <w:sz w:val="22"/>
        </w:rPr>
      </w:pPr>
      <w:r w:rsidRPr="00C11ED4">
        <w:rPr>
          <w:rFonts w:asciiTheme="majorHAnsi" w:hAnsiTheme="majorHAnsi"/>
          <w:sz w:val="22"/>
        </w:rPr>
        <w:t xml:space="preserve">The safety and efficacy of POMBILITI in combination with </w:t>
      </w:r>
      <w:proofErr w:type="spellStart"/>
      <w:r w:rsidR="00B77274" w:rsidRPr="00C11ED4">
        <w:rPr>
          <w:rFonts w:asciiTheme="majorHAnsi" w:hAnsiTheme="majorHAnsi"/>
          <w:sz w:val="22"/>
          <w:szCs w:val="22"/>
        </w:rPr>
        <w:t>miglustat</w:t>
      </w:r>
      <w:proofErr w:type="spellEnd"/>
      <w:r w:rsidR="00B77274" w:rsidRPr="00C11ED4">
        <w:rPr>
          <w:rFonts w:asciiTheme="majorHAnsi" w:hAnsiTheme="majorHAnsi"/>
          <w:sz w:val="22"/>
          <w:szCs w:val="22"/>
        </w:rPr>
        <w:t xml:space="preserve"> 65 mg capsules</w:t>
      </w:r>
      <w:r w:rsidR="00B77274" w:rsidRPr="00C11ED4" w:rsidDel="00B77274">
        <w:rPr>
          <w:rFonts w:asciiTheme="majorHAnsi" w:hAnsiTheme="majorHAnsi"/>
          <w:sz w:val="22"/>
          <w:szCs w:val="22"/>
        </w:rPr>
        <w:t xml:space="preserve"> </w:t>
      </w:r>
      <w:r w:rsidRPr="00024512">
        <w:rPr>
          <w:rFonts w:asciiTheme="majorHAnsi" w:hAnsiTheme="majorHAnsi"/>
          <w:sz w:val="22"/>
        </w:rPr>
        <w:t xml:space="preserve">therapy have not been evaluated in patients </w:t>
      </w:r>
      <w:r w:rsidR="001C1437" w:rsidRPr="00C11ED4">
        <w:rPr>
          <w:rFonts w:asciiTheme="majorHAnsi" w:hAnsiTheme="majorHAnsi"/>
          <w:sz w:val="22"/>
        </w:rPr>
        <w:t xml:space="preserve">with </w:t>
      </w:r>
      <w:r w:rsidRPr="00024512">
        <w:rPr>
          <w:rFonts w:asciiTheme="majorHAnsi" w:hAnsiTheme="majorHAnsi"/>
          <w:sz w:val="22"/>
        </w:rPr>
        <w:t xml:space="preserve">hepatic impairment. </w:t>
      </w:r>
      <w:r w:rsidRPr="00C11ED4">
        <w:rPr>
          <w:rFonts w:asciiTheme="majorHAnsi" w:hAnsiTheme="majorHAnsi"/>
          <w:sz w:val="22"/>
        </w:rPr>
        <w:t>No dose adjustment can be recommended for hepatically impaired patients.</w:t>
      </w:r>
    </w:p>
    <w:p w14:paraId="649FCED1" w14:textId="45F3C7E3" w:rsidR="00964D8D" w:rsidRPr="00C11ED4" w:rsidRDefault="00334190" w:rsidP="3EBD0CD4">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Renal </w:t>
      </w:r>
      <w:r w:rsidR="0054489D" w:rsidRPr="00C11ED4">
        <w:rPr>
          <w:rFonts w:asciiTheme="majorHAnsi" w:hAnsiTheme="majorHAnsi"/>
          <w:sz w:val="22"/>
          <w:szCs w:val="22"/>
        </w:rPr>
        <w:t>i</w:t>
      </w:r>
      <w:r w:rsidR="009B75BE" w:rsidRPr="00C11ED4">
        <w:rPr>
          <w:rFonts w:asciiTheme="majorHAnsi" w:hAnsiTheme="majorHAnsi"/>
          <w:sz w:val="22"/>
          <w:szCs w:val="22"/>
        </w:rPr>
        <w:t>mpairment</w:t>
      </w:r>
    </w:p>
    <w:p w14:paraId="233D0DCA" w14:textId="6A4BD55B" w:rsidR="009B75BE" w:rsidRPr="00C11ED4" w:rsidRDefault="04C7CC06" w:rsidP="4551478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The safety and efficacy of POMBILITI in combination with </w:t>
      </w:r>
      <w:proofErr w:type="spellStart"/>
      <w:r w:rsidRPr="00C11ED4">
        <w:rPr>
          <w:rFonts w:asciiTheme="majorHAnsi" w:hAnsiTheme="majorHAnsi"/>
          <w:sz w:val="22"/>
          <w:szCs w:val="22"/>
        </w:rPr>
        <w:t>miglustat</w:t>
      </w:r>
      <w:proofErr w:type="spellEnd"/>
      <w:r w:rsidRPr="00C11ED4">
        <w:rPr>
          <w:rFonts w:asciiTheme="majorHAnsi" w:hAnsiTheme="majorHAnsi"/>
          <w:sz w:val="22"/>
          <w:szCs w:val="22"/>
        </w:rPr>
        <w:t xml:space="preserve"> 65 mg capsules therapy have not been evaluated in patients with renal impairment. When administering every other week, increased plasma </w:t>
      </w:r>
      <w:proofErr w:type="spellStart"/>
      <w:r w:rsidRPr="00C11ED4">
        <w:rPr>
          <w:rFonts w:asciiTheme="majorHAnsi" w:hAnsiTheme="majorHAnsi"/>
          <w:sz w:val="22"/>
          <w:szCs w:val="22"/>
        </w:rPr>
        <w:t>miglustat</w:t>
      </w:r>
      <w:proofErr w:type="spellEnd"/>
      <w:r w:rsidRPr="00C11ED4">
        <w:rPr>
          <w:rFonts w:asciiTheme="majorHAnsi" w:hAnsiTheme="majorHAnsi"/>
          <w:sz w:val="22"/>
          <w:szCs w:val="22"/>
        </w:rPr>
        <w:t xml:space="preserve"> exposure </w:t>
      </w:r>
      <w:proofErr w:type="gramStart"/>
      <w:r w:rsidRPr="00C11ED4">
        <w:rPr>
          <w:rFonts w:asciiTheme="majorHAnsi" w:hAnsiTheme="majorHAnsi"/>
          <w:sz w:val="22"/>
          <w:szCs w:val="22"/>
        </w:rPr>
        <w:t>as a result of</w:t>
      </w:r>
      <w:proofErr w:type="gramEnd"/>
      <w:r w:rsidRPr="00C11ED4">
        <w:rPr>
          <w:rFonts w:asciiTheme="majorHAnsi" w:hAnsiTheme="majorHAnsi"/>
          <w:sz w:val="22"/>
          <w:szCs w:val="22"/>
        </w:rPr>
        <w:t xml:space="preserve"> moderate or severe renal impairment is not expected to appreciably impact </w:t>
      </w:r>
      <w:proofErr w:type="spellStart"/>
      <w:r w:rsidRPr="00C11ED4">
        <w:rPr>
          <w:rFonts w:asciiTheme="majorHAnsi" w:hAnsiTheme="majorHAnsi"/>
          <w:sz w:val="22"/>
          <w:szCs w:val="22"/>
        </w:rPr>
        <w:t>cipaglucosidase</w:t>
      </w:r>
      <w:proofErr w:type="spellEnd"/>
      <w:r w:rsidRPr="00C11ED4">
        <w:rPr>
          <w:rFonts w:asciiTheme="majorHAnsi" w:hAnsiTheme="majorHAnsi"/>
          <w:sz w:val="22"/>
          <w:szCs w:val="22"/>
        </w:rPr>
        <w:t xml:space="preserve"> alfa exposures and is not anticipated to affect efficacy and safety of </w:t>
      </w:r>
      <w:proofErr w:type="spellStart"/>
      <w:r w:rsidRPr="00C11ED4">
        <w:rPr>
          <w:rFonts w:asciiTheme="majorHAnsi" w:hAnsiTheme="majorHAnsi"/>
          <w:sz w:val="22"/>
          <w:szCs w:val="22"/>
        </w:rPr>
        <w:t>cipaglucosidase</w:t>
      </w:r>
      <w:proofErr w:type="spellEnd"/>
      <w:r w:rsidRPr="00C11ED4">
        <w:rPr>
          <w:rFonts w:asciiTheme="majorHAnsi" w:hAnsiTheme="majorHAnsi"/>
          <w:sz w:val="22"/>
          <w:szCs w:val="22"/>
        </w:rPr>
        <w:t xml:space="preserve"> alfa in a clinically meaningful manner. No dose adjustment is required in patients with renal impairment. </w:t>
      </w:r>
    </w:p>
    <w:p w14:paraId="3140B0C1" w14:textId="70F314DF" w:rsidR="009F71AE" w:rsidRPr="00C11ED4" w:rsidRDefault="00A84943" w:rsidP="006559EB">
      <w:pPr>
        <w:pStyle w:val="C-BodyText"/>
        <w:spacing w:before="0" w:after="200" w:line="276" w:lineRule="auto"/>
        <w:rPr>
          <w:rFonts w:asciiTheme="majorHAnsi" w:hAnsiTheme="majorHAnsi"/>
          <w:sz w:val="22"/>
          <w:u w:val="single"/>
        </w:rPr>
      </w:pPr>
      <w:r w:rsidRPr="00C11ED4">
        <w:rPr>
          <w:rFonts w:asciiTheme="majorHAnsi" w:hAnsiTheme="majorHAnsi"/>
          <w:sz w:val="22"/>
          <w:u w:val="single"/>
        </w:rPr>
        <w:t>Elderly</w:t>
      </w:r>
    </w:p>
    <w:p w14:paraId="612B2D5C" w14:textId="08E3B8DA" w:rsidR="009F71AE" w:rsidRPr="00C11ED4" w:rsidRDefault="004613AB" w:rsidP="006559EB">
      <w:pPr>
        <w:pStyle w:val="C-BodyText"/>
        <w:spacing w:before="0" w:after="200" w:line="276" w:lineRule="auto"/>
        <w:rPr>
          <w:rFonts w:asciiTheme="majorHAnsi" w:hAnsiTheme="majorHAnsi"/>
          <w:sz w:val="22"/>
        </w:rPr>
      </w:pPr>
      <w:r w:rsidRPr="00C11ED4">
        <w:rPr>
          <w:rFonts w:asciiTheme="majorHAnsi" w:hAnsiTheme="majorHAnsi"/>
          <w:sz w:val="22"/>
          <w:szCs w:val="22"/>
        </w:rPr>
        <w:t xml:space="preserve">There is limited experience with the use of POMBILITI in combination with OPFOLDA therapy in patients above the age of 65 years. </w:t>
      </w:r>
      <w:r w:rsidR="009F71AE" w:rsidRPr="00C11ED4">
        <w:rPr>
          <w:rFonts w:asciiTheme="majorHAnsi" w:hAnsiTheme="majorHAnsi"/>
          <w:sz w:val="22"/>
        </w:rPr>
        <w:t>There is no dose adjustment required in patients ≥ 65 years of age</w:t>
      </w:r>
      <w:r w:rsidR="00662F1F" w:rsidRPr="00C11ED4">
        <w:rPr>
          <w:rFonts w:asciiTheme="majorHAnsi" w:hAnsiTheme="majorHAnsi"/>
          <w:sz w:val="22"/>
        </w:rPr>
        <w:t xml:space="preserve"> (see Section 5.2 PHARMACOKINETIC PROPERTIES)</w:t>
      </w:r>
      <w:r w:rsidR="009F71AE" w:rsidRPr="00C11ED4">
        <w:rPr>
          <w:rFonts w:asciiTheme="majorHAnsi" w:hAnsiTheme="majorHAnsi"/>
          <w:sz w:val="22"/>
        </w:rPr>
        <w:t>.</w:t>
      </w:r>
    </w:p>
    <w:p w14:paraId="5E22C2E6" w14:textId="3448258F" w:rsidR="009F71AE" w:rsidRPr="00C11ED4" w:rsidRDefault="00A84943" w:rsidP="006559EB">
      <w:pPr>
        <w:pStyle w:val="C-BodyText"/>
        <w:spacing w:before="0" w:after="200" w:line="276" w:lineRule="auto"/>
        <w:rPr>
          <w:rFonts w:asciiTheme="majorHAnsi" w:hAnsiTheme="majorHAnsi"/>
          <w:sz w:val="22"/>
          <w:u w:val="single"/>
        </w:rPr>
      </w:pPr>
      <w:proofErr w:type="spellStart"/>
      <w:r w:rsidRPr="00C11ED4">
        <w:rPr>
          <w:rFonts w:asciiTheme="majorHAnsi" w:hAnsiTheme="majorHAnsi"/>
          <w:sz w:val="22"/>
          <w:u w:val="single"/>
        </w:rPr>
        <w:t>P</w:t>
      </w:r>
      <w:r w:rsidR="00A74636" w:rsidRPr="00C11ED4">
        <w:rPr>
          <w:rFonts w:asciiTheme="majorHAnsi" w:hAnsiTheme="majorHAnsi"/>
          <w:sz w:val="22"/>
          <w:u w:val="single"/>
        </w:rPr>
        <w:t>a</w:t>
      </w:r>
      <w:r w:rsidRPr="00C11ED4">
        <w:rPr>
          <w:rFonts w:asciiTheme="majorHAnsi" w:hAnsiTheme="majorHAnsi"/>
          <w:sz w:val="22"/>
          <w:u w:val="single"/>
        </w:rPr>
        <w:t>ediatric</w:t>
      </w:r>
      <w:proofErr w:type="spellEnd"/>
      <w:r w:rsidRPr="00C11ED4">
        <w:rPr>
          <w:rFonts w:asciiTheme="majorHAnsi" w:hAnsiTheme="majorHAnsi"/>
          <w:sz w:val="22"/>
          <w:u w:val="single"/>
        </w:rPr>
        <w:t xml:space="preserve"> </w:t>
      </w:r>
      <w:r w:rsidR="004F17C8" w:rsidRPr="00C11ED4">
        <w:rPr>
          <w:rFonts w:asciiTheme="majorHAnsi" w:hAnsiTheme="majorHAnsi"/>
          <w:sz w:val="22"/>
          <w:szCs w:val="22"/>
          <w:u w:val="single"/>
        </w:rPr>
        <w:t>p</w:t>
      </w:r>
      <w:r w:rsidR="008F3C73" w:rsidRPr="00024512">
        <w:rPr>
          <w:rFonts w:asciiTheme="majorHAnsi" w:hAnsiTheme="majorHAnsi"/>
          <w:sz w:val="22"/>
          <w:szCs w:val="22"/>
          <w:u w:val="single"/>
        </w:rPr>
        <w:t>opulation</w:t>
      </w:r>
    </w:p>
    <w:p w14:paraId="31D183D6" w14:textId="4ED5AD79" w:rsidR="00A84943" w:rsidRPr="00C11ED4" w:rsidRDefault="00CC5569" w:rsidP="006559EB">
      <w:pPr>
        <w:pStyle w:val="C-BodyText"/>
        <w:spacing w:before="0" w:after="200" w:line="276" w:lineRule="auto"/>
        <w:rPr>
          <w:rFonts w:asciiTheme="majorHAnsi" w:hAnsiTheme="majorHAnsi"/>
          <w:sz w:val="22"/>
        </w:rPr>
      </w:pPr>
      <w:r w:rsidRPr="00C11ED4">
        <w:rPr>
          <w:rFonts w:asciiTheme="majorHAnsi" w:hAnsiTheme="majorHAnsi"/>
          <w:sz w:val="22"/>
        </w:rPr>
        <w:t>The safety and effectiveness of POMBILITI</w:t>
      </w:r>
      <w:r w:rsidR="005B140F" w:rsidRPr="00C11ED4">
        <w:rPr>
          <w:rFonts w:asciiTheme="majorHAnsi" w:hAnsiTheme="majorHAnsi"/>
          <w:sz w:val="22"/>
        </w:rPr>
        <w:t xml:space="preserve"> in combination with</w:t>
      </w:r>
      <w:r w:rsidR="00A74636" w:rsidRPr="00C11ED4">
        <w:rPr>
          <w:rFonts w:asciiTheme="majorHAnsi" w:hAnsiTheme="majorHAnsi"/>
          <w:sz w:val="22"/>
        </w:rPr>
        <w:t xml:space="preserve"> </w:t>
      </w:r>
      <w:proofErr w:type="spellStart"/>
      <w:r w:rsidR="00590534" w:rsidRPr="00C11ED4">
        <w:rPr>
          <w:rFonts w:asciiTheme="majorHAnsi" w:hAnsiTheme="majorHAnsi"/>
          <w:sz w:val="22"/>
          <w:szCs w:val="22"/>
        </w:rPr>
        <w:t>miglustat</w:t>
      </w:r>
      <w:proofErr w:type="spellEnd"/>
      <w:r w:rsidR="00590534" w:rsidRPr="00C11ED4">
        <w:rPr>
          <w:rFonts w:asciiTheme="majorHAnsi" w:hAnsiTheme="majorHAnsi"/>
          <w:sz w:val="22"/>
          <w:szCs w:val="22"/>
        </w:rPr>
        <w:t xml:space="preserve"> 65 mg capsules</w:t>
      </w:r>
      <w:r w:rsidR="00590534" w:rsidRPr="00C11ED4" w:rsidDel="00590534">
        <w:rPr>
          <w:rFonts w:asciiTheme="majorHAnsi" w:hAnsiTheme="majorHAnsi"/>
          <w:sz w:val="22"/>
        </w:rPr>
        <w:t xml:space="preserve"> </w:t>
      </w:r>
      <w:r w:rsidR="005B140F" w:rsidRPr="00C11ED4">
        <w:rPr>
          <w:rFonts w:asciiTheme="majorHAnsi" w:hAnsiTheme="majorHAnsi"/>
          <w:sz w:val="22"/>
        </w:rPr>
        <w:t xml:space="preserve">therapy </w:t>
      </w:r>
      <w:r w:rsidRPr="00C11ED4">
        <w:rPr>
          <w:rFonts w:asciiTheme="majorHAnsi" w:hAnsiTheme="majorHAnsi"/>
          <w:sz w:val="22"/>
        </w:rPr>
        <w:t xml:space="preserve">have not been established in </w:t>
      </w:r>
      <w:proofErr w:type="spellStart"/>
      <w:r w:rsidRPr="00C11ED4">
        <w:rPr>
          <w:rFonts w:asciiTheme="majorHAnsi" w:hAnsiTheme="majorHAnsi"/>
          <w:sz w:val="22"/>
        </w:rPr>
        <w:t>paediatric</w:t>
      </w:r>
      <w:proofErr w:type="spellEnd"/>
      <w:r w:rsidRPr="00C11ED4">
        <w:rPr>
          <w:rFonts w:asciiTheme="majorHAnsi" w:hAnsiTheme="majorHAnsi"/>
          <w:sz w:val="22"/>
        </w:rPr>
        <w:t xml:space="preserve"> patients.</w:t>
      </w:r>
    </w:p>
    <w:p w14:paraId="34D3B91D" w14:textId="7D89F77D" w:rsidR="001A3992" w:rsidRPr="00C11ED4" w:rsidRDefault="001A3992" w:rsidP="00130558">
      <w:pPr>
        <w:pStyle w:val="Heading2"/>
        <w:keepNext/>
        <w:spacing w:before="0"/>
        <w:ind w:left="578" w:hanging="578"/>
        <w:rPr>
          <w:rFonts w:cstheme="minorHAnsi"/>
          <w:szCs w:val="24"/>
        </w:rPr>
      </w:pPr>
      <w:r w:rsidRPr="00C11ED4">
        <w:rPr>
          <w:rFonts w:cstheme="minorHAnsi"/>
          <w:szCs w:val="24"/>
        </w:rPr>
        <w:lastRenderedPageBreak/>
        <w:t>Contraindications</w:t>
      </w:r>
    </w:p>
    <w:p w14:paraId="47008448" w14:textId="2D325914" w:rsidR="00084340" w:rsidRPr="00C11ED4" w:rsidRDefault="003E4A4F" w:rsidP="006559EB">
      <w:pPr>
        <w:pStyle w:val="ListParagraph"/>
        <w:numPr>
          <w:ilvl w:val="0"/>
          <w:numId w:val="12"/>
        </w:numPr>
        <w:contextualSpacing w:val="0"/>
        <w:rPr>
          <w:rFonts w:asciiTheme="majorHAnsi" w:eastAsia="Times New Roman" w:hAnsiTheme="majorHAnsi" w:cstheme="minorHAnsi"/>
          <w:lang w:val="en-US"/>
        </w:rPr>
      </w:pPr>
      <w:r w:rsidRPr="00C11ED4">
        <w:rPr>
          <w:rFonts w:asciiTheme="majorHAnsi" w:eastAsia="Times New Roman" w:hAnsiTheme="majorHAnsi" w:cstheme="minorHAnsi"/>
          <w:lang w:val="en-US"/>
        </w:rPr>
        <w:t>Patients with a history of l</w:t>
      </w:r>
      <w:r w:rsidR="00084340" w:rsidRPr="00C11ED4">
        <w:rPr>
          <w:rFonts w:asciiTheme="majorHAnsi" w:eastAsia="Times New Roman" w:hAnsiTheme="majorHAnsi" w:cstheme="minorHAnsi"/>
          <w:lang w:val="en-US"/>
        </w:rPr>
        <w:t>ife</w:t>
      </w:r>
      <w:r w:rsidR="000D62D9" w:rsidRPr="00C11ED4">
        <w:rPr>
          <w:rFonts w:asciiTheme="majorHAnsi" w:eastAsia="Times New Roman" w:hAnsiTheme="majorHAnsi" w:cstheme="minorHAnsi"/>
          <w:lang w:val="en-US"/>
        </w:rPr>
        <w:t>-</w:t>
      </w:r>
      <w:r w:rsidR="00084340" w:rsidRPr="00C11ED4">
        <w:rPr>
          <w:rFonts w:asciiTheme="majorHAnsi" w:eastAsia="Times New Roman" w:hAnsiTheme="majorHAnsi" w:cstheme="minorHAnsi"/>
          <w:lang w:val="en-US"/>
        </w:rPr>
        <w:t xml:space="preserve">threatening </w:t>
      </w:r>
      <w:r w:rsidR="00601A51" w:rsidRPr="00C11ED4">
        <w:rPr>
          <w:rFonts w:asciiTheme="majorHAnsi" w:eastAsia="Times New Roman" w:hAnsiTheme="majorHAnsi" w:cstheme="minorHAnsi"/>
          <w:lang w:val="en-US"/>
        </w:rPr>
        <w:t>infusion-associated reactions (IARs) (</w:t>
      </w:r>
      <w:proofErr w:type="spellStart"/>
      <w:r w:rsidR="00601A51" w:rsidRPr="00C11ED4">
        <w:rPr>
          <w:rFonts w:asciiTheme="majorHAnsi" w:eastAsia="Times New Roman" w:hAnsiTheme="majorHAnsi" w:cstheme="minorHAnsi"/>
          <w:lang w:val="en-US"/>
        </w:rPr>
        <w:t>eg</w:t>
      </w:r>
      <w:proofErr w:type="spellEnd"/>
      <w:r w:rsidR="00996BB6" w:rsidRPr="00C11ED4">
        <w:rPr>
          <w:rFonts w:asciiTheme="majorHAnsi" w:eastAsia="Times New Roman" w:hAnsiTheme="majorHAnsi" w:cstheme="minorHAnsi"/>
          <w:lang w:val="en-US"/>
        </w:rPr>
        <w:t>,</w:t>
      </w:r>
      <w:r w:rsidR="00AF782C" w:rsidRPr="00C11ED4">
        <w:rPr>
          <w:rFonts w:asciiTheme="majorHAnsi" w:eastAsia="Times New Roman" w:hAnsiTheme="majorHAnsi" w:cstheme="minorHAnsi"/>
          <w:lang w:val="en-US"/>
        </w:rPr>
        <w:t> </w:t>
      </w:r>
      <w:r w:rsidR="00996BB6" w:rsidRPr="00C11ED4">
        <w:rPr>
          <w:rFonts w:asciiTheme="majorHAnsi" w:eastAsia="Times New Roman" w:hAnsiTheme="majorHAnsi" w:cstheme="minorHAnsi"/>
          <w:lang w:val="en-US"/>
        </w:rPr>
        <w:t xml:space="preserve">anaphylaxis and severe cutaneous reactions) </w:t>
      </w:r>
      <w:r w:rsidR="00084340" w:rsidRPr="00C11ED4">
        <w:rPr>
          <w:rFonts w:asciiTheme="majorHAnsi" w:eastAsia="Times New Roman" w:hAnsiTheme="majorHAnsi" w:cstheme="minorHAnsi"/>
          <w:lang w:val="en-US"/>
        </w:rPr>
        <w:t xml:space="preserve">to the active substance, or to any of the excipients listed in </w:t>
      </w:r>
      <w:r w:rsidR="002A33FE" w:rsidRPr="00C11ED4">
        <w:rPr>
          <w:rFonts w:asciiTheme="majorHAnsi" w:eastAsia="Times New Roman" w:hAnsiTheme="majorHAnsi" w:cstheme="minorHAnsi"/>
          <w:lang w:val="en-US"/>
        </w:rPr>
        <w:t>Section</w:t>
      </w:r>
      <w:r w:rsidR="00084340" w:rsidRPr="00C11ED4">
        <w:rPr>
          <w:rFonts w:asciiTheme="majorHAnsi" w:eastAsia="Times New Roman" w:hAnsiTheme="majorHAnsi" w:cstheme="minorHAnsi"/>
          <w:lang w:val="en-US"/>
        </w:rPr>
        <w:t xml:space="preserve"> 6.1</w:t>
      </w:r>
      <w:r w:rsidR="0074169A" w:rsidRPr="00C11ED4">
        <w:rPr>
          <w:rFonts w:asciiTheme="majorHAnsi" w:eastAsia="Times New Roman" w:hAnsiTheme="majorHAnsi" w:cstheme="minorHAnsi"/>
          <w:lang w:val="en-US"/>
        </w:rPr>
        <w:t xml:space="preserve"> LIST OF EXCIPIENTS</w:t>
      </w:r>
      <w:r w:rsidR="00084340" w:rsidRPr="00C11ED4">
        <w:rPr>
          <w:rFonts w:asciiTheme="majorHAnsi" w:eastAsia="Times New Roman" w:hAnsiTheme="majorHAnsi" w:cstheme="minorHAnsi"/>
          <w:lang w:val="en-US"/>
        </w:rPr>
        <w:t xml:space="preserve">, when rechallenge was unsuccessful </w:t>
      </w:r>
      <w:r w:rsidR="00344772" w:rsidRPr="00C11ED4">
        <w:rPr>
          <w:rFonts w:asciiTheme="majorHAnsi" w:eastAsia="Times New Roman" w:hAnsiTheme="majorHAnsi" w:cstheme="minorHAnsi"/>
          <w:lang w:val="en-US"/>
        </w:rPr>
        <w:t>(</w:t>
      </w:r>
      <w:r w:rsidR="00084340" w:rsidRPr="00C11ED4">
        <w:rPr>
          <w:rFonts w:asciiTheme="majorHAnsi" w:eastAsia="Times New Roman" w:hAnsiTheme="majorHAnsi" w:cstheme="minorHAnsi"/>
          <w:lang w:val="en-US"/>
        </w:rPr>
        <w:t xml:space="preserve">see </w:t>
      </w:r>
      <w:r w:rsidR="002A33FE" w:rsidRPr="00C11ED4">
        <w:rPr>
          <w:rFonts w:asciiTheme="majorHAnsi" w:eastAsia="Times New Roman" w:hAnsiTheme="majorHAnsi" w:cstheme="minorHAnsi"/>
          <w:lang w:val="en-US"/>
        </w:rPr>
        <w:t>Section</w:t>
      </w:r>
      <w:r w:rsidR="00084340" w:rsidRPr="00C11ED4">
        <w:rPr>
          <w:rFonts w:asciiTheme="majorHAnsi" w:eastAsia="Times New Roman" w:hAnsiTheme="majorHAnsi" w:cstheme="minorHAnsi"/>
          <w:lang w:val="en-US"/>
        </w:rPr>
        <w:t xml:space="preserve">s 4.4 </w:t>
      </w:r>
      <w:r w:rsidR="00970C49" w:rsidRPr="00C11ED4">
        <w:rPr>
          <w:rFonts w:asciiTheme="majorHAnsi" w:eastAsia="Times New Roman" w:hAnsiTheme="majorHAnsi" w:cstheme="minorHAnsi"/>
          <w:lang w:val="en-US"/>
        </w:rPr>
        <w:t xml:space="preserve">SPECIAL WARNINGS AND PRECAUTIONS FOR USE </w:t>
      </w:r>
      <w:r w:rsidR="00084340" w:rsidRPr="00C11ED4">
        <w:rPr>
          <w:rFonts w:asciiTheme="majorHAnsi" w:eastAsia="Times New Roman" w:hAnsiTheme="majorHAnsi" w:cstheme="minorHAnsi"/>
          <w:lang w:val="en-US"/>
        </w:rPr>
        <w:t xml:space="preserve">and </w:t>
      </w:r>
      <w:r w:rsidR="00BB5C28" w:rsidRPr="00C11ED4">
        <w:rPr>
          <w:rFonts w:asciiTheme="majorHAnsi" w:eastAsia="Times New Roman" w:hAnsiTheme="majorHAnsi" w:cstheme="minorHAnsi"/>
          <w:lang w:val="en-US"/>
        </w:rPr>
        <w:t xml:space="preserve">4.8 ADVERSE EFFECTS </w:t>
      </w:r>
      <w:r w:rsidR="007064E3" w:rsidRPr="00C11ED4">
        <w:rPr>
          <w:rFonts w:asciiTheme="majorHAnsi" w:eastAsia="Times New Roman" w:hAnsiTheme="majorHAnsi" w:cstheme="minorHAnsi"/>
          <w:lang w:val="en-US"/>
        </w:rPr>
        <w:t>[</w:t>
      </w:r>
      <w:r w:rsidR="00BB5C28" w:rsidRPr="00C11ED4">
        <w:rPr>
          <w:rFonts w:asciiTheme="majorHAnsi" w:eastAsia="Times New Roman" w:hAnsiTheme="majorHAnsi" w:cstheme="minorHAnsi"/>
          <w:lang w:val="en-US"/>
        </w:rPr>
        <w:t>UNDESIRABLE EFFECTS</w:t>
      </w:r>
      <w:r w:rsidR="00292453" w:rsidRPr="00C11ED4">
        <w:rPr>
          <w:rFonts w:asciiTheme="majorHAnsi" w:eastAsia="Times New Roman" w:hAnsiTheme="majorHAnsi" w:cstheme="minorHAnsi"/>
          <w:lang w:val="en-US"/>
        </w:rPr>
        <w:t>]</w:t>
      </w:r>
      <w:r w:rsidR="007064E3" w:rsidRPr="00C11ED4">
        <w:rPr>
          <w:rFonts w:asciiTheme="majorHAnsi" w:eastAsia="Times New Roman" w:hAnsiTheme="majorHAnsi" w:cstheme="minorHAnsi"/>
          <w:lang w:val="en-US"/>
        </w:rPr>
        <w:t>)</w:t>
      </w:r>
      <w:r w:rsidR="00084340" w:rsidRPr="00C11ED4">
        <w:rPr>
          <w:rFonts w:asciiTheme="majorHAnsi" w:eastAsia="Times New Roman" w:hAnsiTheme="majorHAnsi" w:cstheme="minorHAnsi"/>
          <w:lang w:val="en-US"/>
        </w:rPr>
        <w:t>.</w:t>
      </w:r>
    </w:p>
    <w:p w14:paraId="0CFEB1C3" w14:textId="2ADFCFB2" w:rsidR="00681842" w:rsidRPr="00C11ED4" w:rsidRDefault="00350471" w:rsidP="006559EB">
      <w:pPr>
        <w:pStyle w:val="ListParagraph"/>
        <w:numPr>
          <w:ilvl w:val="0"/>
          <w:numId w:val="12"/>
        </w:numPr>
        <w:contextualSpacing w:val="0"/>
        <w:rPr>
          <w:rFonts w:asciiTheme="majorHAnsi" w:eastAsia="Times New Roman" w:hAnsiTheme="majorHAnsi"/>
          <w:lang w:val="en-US"/>
        </w:rPr>
      </w:pPr>
      <w:r w:rsidRPr="00C11ED4">
        <w:rPr>
          <w:rFonts w:asciiTheme="majorHAnsi" w:eastAsia="Times New Roman" w:hAnsiTheme="majorHAnsi"/>
          <w:lang w:val="en-US"/>
        </w:rPr>
        <w:t>Patients with a c</w:t>
      </w:r>
      <w:r w:rsidR="434CFDD8" w:rsidRPr="00C11ED4">
        <w:rPr>
          <w:rFonts w:asciiTheme="majorHAnsi" w:eastAsia="Times New Roman" w:hAnsiTheme="majorHAnsi"/>
          <w:lang w:val="en-US"/>
        </w:rPr>
        <w:t xml:space="preserve">ontraindication to </w:t>
      </w:r>
      <w:proofErr w:type="spellStart"/>
      <w:r w:rsidR="00426BCF" w:rsidRPr="00C11ED4">
        <w:rPr>
          <w:rFonts w:asciiTheme="majorHAnsi" w:eastAsia="Cambria" w:hAnsiTheme="majorHAnsi" w:cs="Cambria"/>
        </w:rPr>
        <w:t>miglustat</w:t>
      </w:r>
      <w:proofErr w:type="spellEnd"/>
      <w:r w:rsidR="434CFDD8" w:rsidRPr="00C11ED4">
        <w:rPr>
          <w:rFonts w:asciiTheme="majorHAnsi" w:eastAsia="Times New Roman" w:hAnsiTheme="majorHAnsi"/>
          <w:lang w:val="en-US"/>
        </w:rPr>
        <w:t>.</w:t>
      </w:r>
    </w:p>
    <w:p w14:paraId="39715159" w14:textId="77777777" w:rsidR="001A3992" w:rsidRPr="00C11ED4" w:rsidRDefault="00E74A56" w:rsidP="006559EB">
      <w:pPr>
        <w:pStyle w:val="Heading2"/>
        <w:keepNext/>
        <w:spacing w:before="0"/>
        <w:rPr>
          <w:rFonts w:cstheme="minorHAnsi"/>
        </w:rPr>
      </w:pPr>
      <w:r w:rsidRPr="00C11ED4">
        <w:rPr>
          <w:rFonts w:cstheme="minorHAnsi"/>
        </w:rPr>
        <w:t>Special warnings and p</w:t>
      </w:r>
      <w:r w:rsidR="001A3992" w:rsidRPr="00C11ED4">
        <w:rPr>
          <w:rFonts w:cstheme="minorHAnsi"/>
        </w:rPr>
        <w:t xml:space="preserve">recautions </w:t>
      </w:r>
      <w:r w:rsidRPr="00C11ED4">
        <w:rPr>
          <w:rFonts w:cstheme="minorHAnsi"/>
        </w:rPr>
        <w:t>for use</w:t>
      </w:r>
    </w:p>
    <w:p w14:paraId="09F3054B" w14:textId="77777777" w:rsidR="00572B3B" w:rsidRPr="00C11ED4" w:rsidRDefault="00572B3B" w:rsidP="006559EB">
      <w:pPr>
        <w:tabs>
          <w:tab w:val="left" w:pos="567"/>
        </w:tabs>
        <w:rPr>
          <w:rFonts w:asciiTheme="majorHAnsi" w:eastAsia="Times New Roman" w:hAnsiTheme="majorHAnsi" w:cs="Times New Roman"/>
          <w:b/>
          <w:bCs/>
          <w:lang w:val="en-US"/>
        </w:rPr>
      </w:pPr>
      <w:bookmarkStart w:id="1" w:name="nfusion_associated_reactions_hypersensen"/>
      <w:r w:rsidRPr="00C11ED4">
        <w:rPr>
          <w:rFonts w:asciiTheme="majorHAnsi" w:eastAsia="Times New Roman" w:hAnsiTheme="majorHAnsi" w:cs="Times New Roman"/>
          <w:b/>
          <w:bCs/>
          <w:lang w:val="en-US"/>
        </w:rPr>
        <w:t>Anaphylaxis and infusion-associated reactions</w:t>
      </w:r>
      <w:bookmarkEnd w:id="1"/>
    </w:p>
    <w:p w14:paraId="7598EC46" w14:textId="106C3E25" w:rsidR="00572B3B" w:rsidRPr="00C11ED4" w:rsidRDefault="00572B3B" w:rsidP="006559EB">
      <w:pPr>
        <w:tabs>
          <w:tab w:val="left" w:pos="567"/>
        </w:tabs>
        <w:rPr>
          <w:rFonts w:asciiTheme="majorHAnsi" w:eastAsia="Times New Roman" w:hAnsiTheme="majorHAnsi" w:cs="Times New Roman"/>
          <w:lang w:val="en-US"/>
        </w:rPr>
      </w:pPr>
      <w:r w:rsidRPr="00C11ED4">
        <w:rPr>
          <w:rFonts w:asciiTheme="majorHAnsi" w:eastAsia="Times New Roman" w:hAnsiTheme="majorHAnsi" w:cs="Times New Roman"/>
          <w:lang w:val="en-GB"/>
        </w:rPr>
        <w:t xml:space="preserve">Serious anaphylaxis and IARs have occurred in some patients during infusion and following infusion with </w:t>
      </w:r>
      <w:r w:rsidR="005A1797" w:rsidRPr="00C11ED4">
        <w:rPr>
          <w:rFonts w:asciiTheme="majorHAnsi" w:hAnsiTheme="majorHAnsi"/>
        </w:rPr>
        <w:t>POMBIL</w:t>
      </w:r>
      <w:r w:rsidR="009E441D" w:rsidRPr="00C11ED4">
        <w:rPr>
          <w:rFonts w:asciiTheme="majorHAnsi" w:hAnsiTheme="majorHAnsi"/>
        </w:rPr>
        <w:t>I</w:t>
      </w:r>
      <w:r w:rsidR="005A1797" w:rsidRPr="00C11ED4">
        <w:rPr>
          <w:rFonts w:asciiTheme="majorHAnsi" w:hAnsiTheme="majorHAnsi"/>
        </w:rPr>
        <w:t>TI</w:t>
      </w:r>
      <w:r w:rsidRPr="00C11ED4">
        <w:rPr>
          <w:rFonts w:asciiTheme="majorHAnsi" w:eastAsia="Times New Roman" w:hAnsiTheme="majorHAnsi" w:cs="Times New Roman"/>
          <w:lang w:val="en-GB"/>
        </w:rPr>
        <w:t xml:space="preserve"> </w:t>
      </w:r>
      <w:r w:rsidR="00837B84" w:rsidRPr="00C11ED4">
        <w:rPr>
          <w:rFonts w:asciiTheme="majorHAnsi" w:eastAsia="Times New Roman" w:hAnsiTheme="majorHAnsi" w:cs="Times New Roman"/>
          <w:lang w:val="en-GB"/>
        </w:rPr>
        <w:t>(</w:t>
      </w:r>
      <w:r w:rsidRPr="00C11ED4">
        <w:rPr>
          <w:rFonts w:asciiTheme="majorHAnsi" w:eastAsia="Times New Roman" w:hAnsiTheme="majorHAnsi" w:cs="Times New Roman"/>
          <w:lang w:val="en-GB"/>
        </w:rPr>
        <w:t xml:space="preserve">see </w:t>
      </w:r>
      <w:r w:rsidR="002A33FE" w:rsidRPr="00C11ED4">
        <w:rPr>
          <w:rFonts w:asciiTheme="majorHAnsi" w:eastAsia="Times New Roman" w:hAnsiTheme="majorHAnsi" w:cs="Times New Roman"/>
          <w:lang w:val="en-GB"/>
        </w:rPr>
        <w:t>Section</w:t>
      </w:r>
      <w:r w:rsidRPr="00C11ED4">
        <w:rPr>
          <w:rFonts w:asciiTheme="majorHAnsi" w:eastAsia="Times New Roman" w:hAnsiTheme="majorHAnsi" w:cs="Times New Roman"/>
          <w:lang w:val="en-GB"/>
        </w:rPr>
        <w:t xml:space="preserve"> </w:t>
      </w:r>
      <w:r w:rsidR="006D37AB" w:rsidRPr="00C11ED4">
        <w:rPr>
          <w:rFonts w:asciiTheme="majorHAnsi" w:eastAsia="Times New Roman" w:hAnsiTheme="majorHAnsi" w:cs="Times New Roman"/>
          <w:lang w:val="en-GB"/>
        </w:rPr>
        <w:t xml:space="preserve">4.8 ADVERSE EFFECTS </w:t>
      </w:r>
      <w:r w:rsidR="00837B84" w:rsidRPr="00C11ED4">
        <w:rPr>
          <w:rFonts w:asciiTheme="majorHAnsi" w:eastAsia="Times New Roman" w:hAnsiTheme="majorHAnsi" w:cs="Times New Roman"/>
          <w:lang w:val="en-GB"/>
        </w:rPr>
        <w:t>[</w:t>
      </w:r>
      <w:r w:rsidR="006D37AB" w:rsidRPr="00C11ED4">
        <w:rPr>
          <w:rFonts w:asciiTheme="majorHAnsi" w:eastAsia="Times New Roman" w:hAnsiTheme="majorHAnsi" w:cs="Times New Roman"/>
          <w:lang w:val="en-GB"/>
        </w:rPr>
        <w:t>UNDESIRABLE EFFECTS</w:t>
      </w:r>
      <w:r w:rsidR="00266404" w:rsidRPr="00C11ED4">
        <w:rPr>
          <w:rFonts w:asciiTheme="majorHAnsi" w:eastAsia="Times New Roman" w:hAnsiTheme="majorHAnsi" w:cs="Times New Roman"/>
          <w:lang w:val="en-GB"/>
        </w:rPr>
        <w:t>]</w:t>
      </w:r>
      <w:r w:rsidR="00837B84" w:rsidRPr="00C11ED4">
        <w:rPr>
          <w:rFonts w:asciiTheme="majorHAnsi" w:eastAsia="Times New Roman" w:hAnsiTheme="majorHAnsi" w:cs="Times New Roman"/>
          <w:lang w:val="en-GB"/>
        </w:rPr>
        <w:t>)</w:t>
      </w:r>
      <w:r w:rsidRPr="00C11ED4">
        <w:rPr>
          <w:rFonts w:asciiTheme="majorHAnsi" w:eastAsia="Times New Roman" w:hAnsiTheme="majorHAnsi" w:cs="Times New Roman"/>
          <w:lang w:val="en-GB"/>
        </w:rPr>
        <w:t xml:space="preserve">. Premedication with oral antihistamine, antipyretics, and/or corticosteroids may be administered to assist with signs and symptoms related to IARs experienced with prior ERT treatment. Reduction of the infusion rate, temporary interruption of the infusion, symptomatic treatment with oral antihistamine, or antipyretics, and appropriate resuscitation measures should be considered to manage serious IARs. Mild to moderate and transient IARs may be adequately managed by slowing the infusion rate or interrupting the infusion; medical treatment or discontinuation of </w:t>
      </w:r>
      <w:r w:rsidR="005A1797" w:rsidRPr="00C11ED4">
        <w:rPr>
          <w:rFonts w:asciiTheme="majorHAnsi" w:hAnsiTheme="majorHAnsi"/>
        </w:rPr>
        <w:t>POMBIL</w:t>
      </w:r>
      <w:r w:rsidR="009E441D" w:rsidRPr="00C11ED4">
        <w:rPr>
          <w:rFonts w:asciiTheme="majorHAnsi" w:hAnsiTheme="majorHAnsi"/>
        </w:rPr>
        <w:t>I</w:t>
      </w:r>
      <w:r w:rsidR="005A1797" w:rsidRPr="00C11ED4">
        <w:rPr>
          <w:rFonts w:asciiTheme="majorHAnsi" w:hAnsiTheme="majorHAnsi"/>
        </w:rPr>
        <w:t xml:space="preserve">TI </w:t>
      </w:r>
      <w:r w:rsidRPr="00C11ED4">
        <w:rPr>
          <w:rFonts w:asciiTheme="majorHAnsi" w:eastAsia="Times New Roman" w:hAnsiTheme="majorHAnsi" w:cs="Times New Roman"/>
          <w:lang w:val="en-GB"/>
        </w:rPr>
        <w:t>may not be required.</w:t>
      </w:r>
    </w:p>
    <w:p w14:paraId="3C77E565" w14:textId="318C43C2" w:rsidR="00572B3B" w:rsidRPr="00C11ED4" w:rsidRDefault="00572B3B" w:rsidP="006559EB">
      <w:pPr>
        <w:tabs>
          <w:tab w:val="left" w:pos="567"/>
        </w:tabs>
        <w:rPr>
          <w:rFonts w:asciiTheme="majorHAnsi" w:eastAsia="Times New Roman" w:hAnsiTheme="majorHAnsi" w:cs="Times New Roman"/>
          <w:lang w:val="en-GB"/>
        </w:rPr>
      </w:pPr>
      <w:r w:rsidRPr="00C11ED4">
        <w:rPr>
          <w:rFonts w:asciiTheme="majorHAnsi" w:eastAsia="Times New Roman" w:hAnsiTheme="majorHAnsi" w:cs="Times New Roman"/>
          <w:lang w:val="en-GB"/>
        </w:rPr>
        <w:t>If anaphylaxis or severe allergic reactions occur, infusion should be immediately paused, and appropriate medical treatment should be initiated. The current medical standards for emergency treatment of anaphylactic reactions are to be observed and cardiopulmonary resuscitation equipment should be readily available. The risks and benefits of re</w:t>
      </w:r>
      <w:r w:rsidRPr="00C11ED4">
        <w:rPr>
          <w:rFonts w:asciiTheme="majorHAnsi" w:eastAsia="Times New Roman" w:hAnsiTheme="majorHAnsi" w:cs="Times New Roman"/>
          <w:lang w:val="en-GB"/>
        </w:rPr>
        <w:noBreakHyphen/>
        <w:t xml:space="preserve">administering </w:t>
      </w:r>
      <w:r w:rsidR="005A1797" w:rsidRPr="00C11ED4">
        <w:rPr>
          <w:rFonts w:asciiTheme="majorHAnsi" w:hAnsiTheme="majorHAnsi"/>
        </w:rPr>
        <w:t>POMBIL</w:t>
      </w:r>
      <w:r w:rsidR="009E441D" w:rsidRPr="00C11ED4">
        <w:rPr>
          <w:rFonts w:asciiTheme="majorHAnsi" w:hAnsiTheme="majorHAnsi"/>
        </w:rPr>
        <w:t>I</w:t>
      </w:r>
      <w:r w:rsidR="005A1797" w:rsidRPr="00C11ED4">
        <w:rPr>
          <w:rFonts w:asciiTheme="majorHAnsi" w:hAnsiTheme="majorHAnsi"/>
        </w:rPr>
        <w:t>TI</w:t>
      </w:r>
      <w:r w:rsidRPr="00C11ED4">
        <w:rPr>
          <w:rFonts w:asciiTheme="majorHAnsi" w:eastAsia="Times New Roman" w:hAnsiTheme="majorHAnsi" w:cs="Times New Roman"/>
          <w:lang w:val="en-GB"/>
        </w:rPr>
        <w:t xml:space="preserve"> following anaphylaxis or severe allergic reaction should be carefully considered, and appropriate resuscitation measures made available if the decision is made to readminister the medicinal product. </w:t>
      </w:r>
      <w:r w:rsidR="00B45C0F" w:rsidRPr="00C11ED4">
        <w:rPr>
          <w:rFonts w:asciiTheme="majorHAnsi" w:hAnsiTheme="majorHAnsi"/>
          <w:lang w:val="en-GB"/>
        </w:rPr>
        <w:t>If a patient experiences anaphylaxis or severe allergic reactions in the home setting, and if the patient continues therapy, their next infusions must occur in a clinical setting, equipped to deal with such medical emergencies.</w:t>
      </w:r>
    </w:p>
    <w:p w14:paraId="7488B058" w14:textId="77777777" w:rsidR="00572B3B" w:rsidRPr="00C11ED4" w:rsidRDefault="00572B3B" w:rsidP="006559EB">
      <w:pPr>
        <w:tabs>
          <w:tab w:val="left" w:pos="567"/>
        </w:tabs>
        <w:rPr>
          <w:rFonts w:asciiTheme="majorHAnsi" w:eastAsia="Times New Roman" w:hAnsiTheme="majorHAnsi" w:cs="Times New Roman"/>
          <w:b/>
          <w:bCs/>
          <w:lang w:val="en-US"/>
        </w:rPr>
      </w:pPr>
      <w:r w:rsidRPr="00C11ED4">
        <w:rPr>
          <w:rFonts w:asciiTheme="majorHAnsi" w:eastAsia="Times New Roman" w:hAnsiTheme="majorHAnsi" w:cs="Times New Roman"/>
          <w:b/>
          <w:bCs/>
          <w:lang w:val="en-GB"/>
        </w:rPr>
        <w:t>Risk of acute cardiorespiratory failure in susceptible patients</w:t>
      </w:r>
    </w:p>
    <w:p w14:paraId="0D4A0892" w14:textId="13EFC11B" w:rsidR="00572B3B" w:rsidRPr="00C11ED4" w:rsidRDefault="00572B3B" w:rsidP="006559EB">
      <w:pPr>
        <w:tabs>
          <w:tab w:val="left" w:pos="567"/>
        </w:tabs>
        <w:rPr>
          <w:rFonts w:asciiTheme="majorHAnsi" w:eastAsia="Times New Roman" w:hAnsiTheme="majorHAnsi" w:cs="Times New Roman"/>
          <w:lang w:val="en-GB"/>
        </w:rPr>
      </w:pPr>
      <w:r w:rsidRPr="00C11ED4">
        <w:rPr>
          <w:rFonts w:asciiTheme="majorHAnsi" w:eastAsia="Times New Roman" w:hAnsiTheme="majorHAnsi" w:cs="Times New Roman"/>
          <w:lang w:val="en-GB"/>
        </w:rPr>
        <w:t xml:space="preserve">Patients with acute underlying respiratory illness or compromised cardiac and/or respiratory function may be at risk of serious exacerbation of their cardiac or respiratory compromise during infusions. Appropriate medical support and monitoring measures should be readily available during </w:t>
      </w:r>
      <w:r w:rsidR="005A1797" w:rsidRPr="00C11ED4">
        <w:rPr>
          <w:rFonts w:asciiTheme="majorHAnsi" w:hAnsiTheme="majorHAnsi"/>
        </w:rPr>
        <w:t>POMBIL</w:t>
      </w:r>
      <w:r w:rsidR="009E441D" w:rsidRPr="00C11ED4">
        <w:rPr>
          <w:rFonts w:asciiTheme="majorHAnsi" w:hAnsiTheme="majorHAnsi"/>
        </w:rPr>
        <w:t>I</w:t>
      </w:r>
      <w:r w:rsidR="005A1797" w:rsidRPr="00C11ED4">
        <w:rPr>
          <w:rFonts w:asciiTheme="majorHAnsi" w:hAnsiTheme="majorHAnsi"/>
        </w:rPr>
        <w:t xml:space="preserve">TI </w:t>
      </w:r>
      <w:r w:rsidRPr="00C11ED4">
        <w:rPr>
          <w:rFonts w:asciiTheme="majorHAnsi" w:eastAsia="Times New Roman" w:hAnsiTheme="majorHAnsi" w:cs="Times New Roman"/>
          <w:lang w:val="en-GB"/>
        </w:rPr>
        <w:t>infusion.</w:t>
      </w:r>
    </w:p>
    <w:p w14:paraId="25BF5C00" w14:textId="77777777" w:rsidR="00572B3B" w:rsidRPr="00C11ED4" w:rsidRDefault="00572B3B" w:rsidP="006559EB">
      <w:pPr>
        <w:tabs>
          <w:tab w:val="left" w:pos="567"/>
        </w:tabs>
        <w:rPr>
          <w:rFonts w:asciiTheme="majorHAnsi" w:eastAsia="Times New Roman" w:hAnsiTheme="majorHAnsi" w:cs="Times New Roman"/>
          <w:b/>
          <w:bCs/>
          <w:lang w:val="en-US"/>
        </w:rPr>
      </w:pPr>
      <w:r w:rsidRPr="00C11ED4">
        <w:rPr>
          <w:rFonts w:asciiTheme="majorHAnsi" w:eastAsia="Times New Roman" w:hAnsiTheme="majorHAnsi" w:cs="Times New Roman"/>
          <w:b/>
          <w:bCs/>
          <w:lang w:val="en-US"/>
        </w:rPr>
        <w:t>Immune complex-related reactions</w:t>
      </w:r>
    </w:p>
    <w:p w14:paraId="0D219752" w14:textId="77777777" w:rsidR="008D3988" w:rsidRPr="00C11ED4" w:rsidRDefault="00572B3B" w:rsidP="006559EB">
      <w:pPr>
        <w:tabs>
          <w:tab w:val="left" w:pos="567"/>
        </w:tabs>
        <w:rPr>
          <w:rFonts w:asciiTheme="majorHAnsi" w:eastAsia="Times New Roman" w:hAnsiTheme="majorHAnsi" w:cs="Times New Roman"/>
          <w:lang w:val="en-GB"/>
        </w:rPr>
      </w:pPr>
      <w:r w:rsidRPr="00C11ED4">
        <w:rPr>
          <w:rFonts w:asciiTheme="majorHAnsi" w:eastAsia="Times New Roman" w:hAnsiTheme="majorHAnsi" w:cs="Times New Roman"/>
          <w:lang w:val="en-GB"/>
        </w:rPr>
        <w:t xml:space="preserve">Immune complex-related reactions have been reported with other ERTs in patients who had high IgG antibody titres, including severe cutaneous reactions and nephrotic syndrome. </w:t>
      </w:r>
    </w:p>
    <w:p w14:paraId="62C676F8" w14:textId="6EB6CFCB" w:rsidR="00572B3B" w:rsidRPr="00C11ED4" w:rsidRDefault="00572B3B" w:rsidP="006559EB">
      <w:pPr>
        <w:tabs>
          <w:tab w:val="left" w:pos="567"/>
        </w:tabs>
        <w:rPr>
          <w:rFonts w:asciiTheme="majorHAnsi" w:eastAsia="Times New Roman" w:hAnsiTheme="majorHAnsi" w:cs="Times New Roman"/>
          <w:lang w:val="en-US"/>
        </w:rPr>
      </w:pPr>
      <w:r w:rsidRPr="00C11ED4">
        <w:rPr>
          <w:rFonts w:asciiTheme="majorHAnsi" w:eastAsia="Times New Roman" w:hAnsiTheme="majorHAnsi" w:cs="Times New Roman"/>
          <w:lang w:val="en-GB"/>
        </w:rPr>
        <w:lastRenderedPageBreak/>
        <w:t xml:space="preserve">A potential class effect cannot be excluded. Patients should be monitored for clinical signs and symptoms of systemic immune complex-related reactions while receiving </w:t>
      </w:r>
      <w:r w:rsidR="009E347F" w:rsidRPr="00C11ED4">
        <w:rPr>
          <w:rFonts w:asciiTheme="majorHAnsi" w:hAnsiTheme="majorHAnsi"/>
        </w:rPr>
        <w:t>POMBIL</w:t>
      </w:r>
      <w:r w:rsidR="009E441D" w:rsidRPr="00C11ED4">
        <w:rPr>
          <w:rFonts w:asciiTheme="majorHAnsi" w:hAnsiTheme="majorHAnsi"/>
        </w:rPr>
        <w:t>I</w:t>
      </w:r>
      <w:r w:rsidR="009E347F" w:rsidRPr="00C11ED4">
        <w:rPr>
          <w:rFonts w:asciiTheme="majorHAnsi" w:hAnsiTheme="majorHAnsi"/>
        </w:rPr>
        <w:t>TI</w:t>
      </w:r>
      <w:r w:rsidRPr="00C11ED4">
        <w:rPr>
          <w:rFonts w:asciiTheme="majorHAnsi" w:eastAsia="Times New Roman" w:hAnsiTheme="majorHAnsi" w:cs="Times New Roman"/>
          <w:lang w:val="en-GB"/>
        </w:rPr>
        <w:t xml:space="preserve"> </w:t>
      </w:r>
      <w:r w:rsidR="002C59B2" w:rsidRPr="00C11ED4">
        <w:rPr>
          <w:rFonts w:asciiTheme="majorHAnsi" w:eastAsia="Times New Roman" w:hAnsiTheme="majorHAnsi" w:cs="Times New Roman"/>
          <w:lang w:val="en-GB"/>
        </w:rPr>
        <w:t xml:space="preserve">in combination </w:t>
      </w:r>
      <w:r w:rsidRPr="00C11ED4">
        <w:rPr>
          <w:rFonts w:asciiTheme="majorHAnsi" w:eastAsia="Times New Roman" w:hAnsiTheme="majorHAnsi" w:cs="Times New Roman"/>
          <w:lang w:val="en-GB"/>
        </w:rPr>
        <w:t xml:space="preserve">with </w:t>
      </w:r>
      <w:r w:rsidR="009E347F" w:rsidRPr="00C11ED4">
        <w:rPr>
          <w:rFonts w:asciiTheme="majorHAnsi" w:eastAsia="Times New Roman" w:hAnsiTheme="majorHAnsi" w:cs="Times New Roman"/>
          <w:lang w:val="en-GB"/>
        </w:rPr>
        <w:t>OPFOLDA</w:t>
      </w:r>
      <w:r w:rsidR="00943E91" w:rsidRPr="00C11ED4">
        <w:rPr>
          <w:rFonts w:asciiTheme="majorHAnsi" w:eastAsia="Times New Roman" w:hAnsiTheme="majorHAnsi" w:cs="Times New Roman"/>
          <w:lang w:val="en-GB"/>
        </w:rPr>
        <w:t xml:space="preserve"> therapy</w:t>
      </w:r>
      <w:r w:rsidRPr="00C11ED4">
        <w:rPr>
          <w:rFonts w:asciiTheme="majorHAnsi" w:eastAsia="Times New Roman" w:hAnsiTheme="majorHAnsi" w:cs="Times New Roman"/>
          <w:lang w:val="en-GB"/>
        </w:rPr>
        <w:t xml:space="preserve">. If immune complex-related reactions occur, discontinuation of the administration of </w:t>
      </w:r>
      <w:r w:rsidR="009E347F" w:rsidRPr="00C11ED4">
        <w:rPr>
          <w:rFonts w:asciiTheme="majorHAnsi" w:hAnsiTheme="majorHAnsi"/>
        </w:rPr>
        <w:t>POMBIL</w:t>
      </w:r>
      <w:r w:rsidR="009E441D" w:rsidRPr="00C11ED4">
        <w:rPr>
          <w:rFonts w:asciiTheme="majorHAnsi" w:hAnsiTheme="majorHAnsi"/>
        </w:rPr>
        <w:t>I</w:t>
      </w:r>
      <w:r w:rsidR="009E347F" w:rsidRPr="00C11ED4">
        <w:rPr>
          <w:rFonts w:asciiTheme="majorHAnsi" w:hAnsiTheme="majorHAnsi"/>
        </w:rPr>
        <w:t>TI</w:t>
      </w:r>
      <w:r w:rsidRPr="00C11ED4">
        <w:rPr>
          <w:rFonts w:asciiTheme="majorHAnsi" w:eastAsia="Times New Roman" w:hAnsiTheme="majorHAnsi" w:cs="Times New Roman"/>
          <w:lang w:val="en-GB"/>
        </w:rPr>
        <w:t xml:space="preserve"> should be considered and appropriate medical treatment should be initiated. The risks and benefits of re-administering </w:t>
      </w:r>
      <w:r w:rsidR="009E347F" w:rsidRPr="00C11ED4">
        <w:rPr>
          <w:rFonts w:asciiTheme="majorHAnsi" w:hAnsiTheme="majorHAnsi"/>
        </w:rPr>
        <w:t>POMBIL</w:t>
      </w:r>
      <w:r w:rsidR="009E441D" w:rsidRPr="00C11ED4">
        <w:rPr>
          <w:rFonts w:asciiTheme="majorHAnsi" w:hAnsiTheme="majorHAnsi"/>
        </w:rPr>
        <w:t>I</w:t>
      </w:r>
      <w:r w:rsidR="009E347F" w:rsidRPr="00C11ED4">
        <w:rPr>
          <w:rFonts w:asciiTheme="majorHAnsi" w:hAnsiTheme="majorHAnsi"/>
        </w:rPr>
        <w:t xml:space="preserve">TI </w:t>
      </w:r>
      <w:r w:rsidRPr="00C11ED4">
        <w:rPr>
          <w:rFonts w:asciiTheme="majorHAnsi" w:eastAsia="Times New Roman" w:hAnsiTheme="majorHAnsi" w:cs="Times New Roman"/>
          <w:lang w:val="en-GB"/>
        </w:rPr>
        <w:t>following an immune complex-related reaction should be reconsidered for each individual patient.</w:t>
      </w:r>
    </w:p>
    <w:p w14:paraId="3B4F940C" w14:textId="75785E5D" w:rsidR="00134DC7" w:rsidRPr="00C11ED4" w:rsidRDefault="00A118C8" w:rsidP="006559EB">
      <w:pPr>
        <w:pStyle w:val="Heading3"/>
        <w:spacing w:before="0" w:after="200"/>
        <w:ind w:left="0"/>
        <w:rPr>
          <w:rFonts w:cstheme="minorHAnsi"/>
        </w:rPr>
      </w:pPr>
      <w:r w:rsidRPr="00C11ED4">
        <w:rPr>
          <w:rFonts w:cstheme="minorHAnsi"/>
        </w:rPr>
        <w:t>Use in hepatic impairment</w:t>
      </w:r>
    </w:p>
    <w:p w14:paraId="57C2FFE9" w14:textId="297641CA" w:rsidR="00A118C8" w:rsidRPr="00C11ED4" w:rsidRDefault="0027609E" w:rsidP="00A118C8">
      <w:pPr>
        <w:rPr>
          <w:rFonts w:asciiTheme="majorHAnsi" w:eastAsia="Times New Roman" w:hAnsiTheme="majorHAnsi" w:cs="Times New Roman"/>
          <w:lang w:val="en-GB"/>
        </w:rPr>
      </w:pPr>
      <w:r w:rsidRPr="00C11ED4">
        <w:rPr>
          <w:rFonts w:asciiTheme="majorHAnsi" w:eastAsia="Times New Roman" w:hAnsiTheme="majorHAnsi" w:cs="Times New Roman"/>
          <w:lang w:val="en-GB"/>
        </w:rPr>
        <w:t xml:space="preserve">The safety and efficacy of </w:t>
      </w:r>
      <w:r w:rsidR="00EF5EC4" w:rsidRPr="00C11ED4">
        <w:rPr>
          <w:rFonts w:asciiTheme="majorHAnsi" w:eastAsia="Times New Roman" w:hAnsiTheme="majorHAnsi" w:cs="Times New Roman"/>
          <w:lang w:val="en-GB"/>
        </w:rPr>
        <w:t>POMBILITI</w:t>
      </w:r>
      <w:r w:rsidRPr="00C11ED4">
        <w:rPr>
          <w:rFonts w:asciiTheme="majorHAnsi" w:eastAsia="Times New Roman" w:hAnsiTheme="majorHAnsi" w:cs="Times New Roman"/>
          <w:lang w:val="en-GB"/>
        </w:rPr>
        <w:t xml:space="preserve"> in combination with </w:t>
      </w:r>
      <w:bookmarkStart w:id="2" w:name="_Hlk170809704"/>
      <w:r w:rsidR="00EF5EC4" w:rsidRPr="00C11ED4">
        <w:rPr>
          <w:rFonts w:asciiTheme="majorHAnsi" w:eastAsia="Times New Roman" w:hAnsiTheme="majorHAnsi" w:cs="Times New Roman"/>
          <w:lang w:val="en-GB"/>
        </w:rPr>
        <w:t>OPFOLDA</w:t>
      </w:r>
      <w:r w:rsidRPr="00C11ED4">
        <w:rPr>
          <w:rFonts w:asciiTheme="majorHAnsi" w:eastAsia="Times New Roman" w:hAnsiTheme="majorHAnsi" w:cs="Times New Roman"/>
          <w:lang w:val="en-GB"/>
        </w:rPr>
        <w:t xml:space="preserve"> </w:t>
      </w:r>
      <w:bookmarkEnd w:id="2"/>
      <w:r w:rsidRPr="00C11ED4">
        <w:rPr>
          <w:rFonts w:asciiTheme="majorHAnsi" w:eastAsia="Times New Roman" w:hAnsiTheme="majorHAnsi" w:cs="Times New Roman"/>
          <w:lang w:val="en-GB"/>
        </w:rPr>
        <w:t xml:space="preserve">therapy have not been evaluated in patients with hepatic impairment. </w:t>
      </w:r>
    </w:p>
    <w:p w14:paraId="75EA6940" w14:textId="77777777" w:rsidR="00A404FB" w:rsidRPr="00C11ED4" w:rsidRDefault="00A404FB" w:rsidP="006559EB">
      <w:pPr>
        <w:pStyle w:val="Heading3"/>
        <w:spacing w:before="0" w:after="200"/>
        <w:ind w:left="0"/>
        <w:rPr>
          <w:rFonts w:cstheme="minorHAnsi"/>
        </w:rPr>
      </w:pPr>
      <w:r w:rsidRPr="00C11ED4">
        <w:rPr>
          <w:rFonts w:cstheme="minorHAnsi"/>
        </w:rPr>
        <w:t xml:space="preserve">Use in renal impairment </w:t>
      </w:r>
    </w:p>
    <w:p w14:paraId="42BB7B53" w14:textId="4E9D43F0" w:rsidR="00A404FB" w:rsidRPr="00C11ED4" w:rsidRDefault="7593B7E3" w:rsidP="002A41C0">
      <w:pPr>
        <w:rPr>
          <w:rFonts w:eastAsia="Times New Roman" w:cs="Times New Roman"/>
          <w:lang w:val="en-GB"/>
        </w:rPr>
      </w:pPr>
      <w:r w:rsidRPr="00C11ED4">
        <w:rPr>
          <w:rFonts w:asciiTheme="majorHAnsi" w:eastAsia="Times New Roman" w:hAnsiTheme="majorHAnsi" w:cs="Times New Roman"/>
          <w:lang w:val="en-GB"/>
        </w:rPr>
        <w:t xml:space="preserve">The safety and efficacy of </w:t>
      </w:r>
      <w:r w:rsidR="5FE540E9" w:rsidRPr="00C11ED4">
        <w:rPr>
          <w:rFonts w:asciiTheme="majorHAnsi" w:eastAsia="Times New Roman" w:hAnsiTheme="majorHAnsi" w:cs="Times New Roman"/>
          <w:lang w:val="en-GB"/>
        </w:rPr>
        <w:t xml:space="preserve">POMBILITI </w:t>
      </w:r>
      <w:r w:rsidRPr="00C11ED4">
        <w:rPr>
          <w:rFonts w:asciiTheme="majorHAnsi" w:eastAsia="Times New Roman" w:hAnsiTheme="majorHAnsi" w:cs="Times New Roman"/>
          <w:lang w:val="en-GB"/>
        </w:rPr>
        <w:t xml:space="preserve">in combination with </w:t>
      </w:r>
      <w:r w:rsidR="5FE540E9" w:rsidRPr="00C11ED4">
        <w:rPr>
          <w:rFonts w:asciiTheme="majorHAnsi" w:eastAsia="Times New Roman" w:hAnsiTheme="majorHAnsi" w:cs="Times New Roman"/>
          <w:lang w:val="en-GB"/>
        </w:rPr>
        <w:t xml:space="preserve">OPFOLDA </w:t>
      </w:r>
      <w:r w:rsidRPr="00C11ED4">
        <w:rPr>
          <w:rFonts w:asciiTheme="majorHAnsi" w:eastAsia="Times New Roman" w:hAnsiTheme="majorHAnsi" w:cs="Times New Roman"/>
          <w:lang w:val="en-GB"/>
        </w:rPr>
        <w:t xml:space="preserve">therapy have not been evaluated in patients with renal impairment. </w:t>
      </w:r>
      <w:r w:rsidR="4DBF9D06" w:rsidRPr="00C11ED4">
        <w:rPr>
          <w:rFonts w:asciiTheme="majorHAnsi" w:hAnsiTheme="majorHAnsi"/>
        </w:rPr>
        <w:t xml:space="preserve">No dose adjustment is required in patients with renal impairment </w:t>
      </w:r>
      <w:r w:rsidR="4DBF9D06" w:rsidRPr="00C11ED4">
        <w:rPr>
          <w:rFonts w:asciiTheme="majorHAnsi" w:eastAsia="Times New Roman" w:hAnsiTheme="majorHAnsi" w:cs="Times New Roman"/>
          <w:lang w:val="en-GB"/>
        </w:rPr>
        <w:t>(see Section 4.2 DOSE AND METHOD OF ADMINISTRATION).</w:t>
      </w:r>
    </w:p>
    <w:p w14:paraId="25C9FD97" w14:textId="2EF68790" w:rsidR="001A3992" w:rsidRPr="00C11ED4" w:rsidRDefault="001A3992" w:rsidP="006559EB">
      <w:pPr>
        <w:pStyle w:val="Heading3"/>
        <w:spacing w:before="0" w:after="200"/>
        <w:ind w:left="0"/>
        <w:rPr>
          <w:rFonts w:cstheme="minorHAnsi"/>
        </w:rPr>
      </w:pPr>
      <w:r w:rsidRPr="00C11ED4">
        <w:rPr>
          <w:rFonts w:cstheme="minorHAnsi"/>
        </w:rPr>
        <w:t>Use in the elderly</w:t>
      </w:r>
    </w:p>
    <w:p w14:paraId="39F95A50" w14:textId="74A44616" w:rsidR="008542D2" w:rsidRPr="00C11ED4" w:rsidRDefault="00E51246" w:rsidP="006559EB">
      <w:pPr>
        <w:tabs>
          <w:tab w:val="left" w:pos="567"/>
        </w:tabs>
        <w:rPr>
          <w:rFonts w:asciiTheme="majorHAnsi" w:eastAsia="Times New Roman" w:hAnsiTheme="majorHAnsi" w:cs="Times New Roman"/>
          <w:lang w:val="en-GB"/>
        </w:rPr>
      </w:pPr>
      <w:r w:rsidRPr="00C11ED4">
        <w:rPr>
          <w:rFonts w:asciiTheme="majorHAnsi" w:eastAsia="Times New Roman" w:hAnsiTheme="majorHAnsi" w:cs="Times New Roman"/>
          <w:lang w:val="en-GB"/>
        </w:rPr>
        <w:t xml:space="preserve">There is limited experience with the use of </w:t>
      </w:r>
      <w:r w:rsidR="00C17C5E" w:rsidRPr="00C11ED4">
        <w:rPr>
          <w:rFonts w:asciiTheme="majorHAnsi" w:eastAsia="Times New Roman" w:hAnsiTheme="majorHAnsi" w:cs="Times New Roman"/>
          <w:lang w:val="en-GB"/>
        </w:rPr>
        <w:t>POMBILITI</w:t>
      </w:r>
      <w:r w:rsidRPr="00C11ED4">
        <w:rPr>
          <w:rFonts w:asciiTheme="majorHAnsi" w:eastAsia="Times New Roman" w:hAnsiTheme="majorHAnsi" w:cs="Times New Roman"/>
          <w:lang w:val="en-GB"/>
        </w:rPr>
        <w:t xml:space="preserve"> in combination with </w:t>
      </w:r>
      <w:r w:rsidR="00C17C5E" w:rsidRPr="00C11ED4">
        <w:rPr>
          <w:rFonts w:asciiTheme="majorHAnsi" w:eastAsia="Times New Roman" w:hAnsiTheme="majorHAnsi" w:cs="Times New Roman"/>
          <w:lang w:val="en-GB"/>
        </w:rPr>
        <w:t>OPFOLDA</w:t>
      </w:r>
      <w:r w:rsidRPr="00C11ED4">
        <w:rPr>
          <w:rFonts w:asciiTheme="majorHAnsi" w:eastAsia="Times New Roman" w:hAnsiTheme="majorHAnsi" w:cs="Times New Roman"/>
          <w:lang w:val="en-GB"/>
        </w:rPr>
        <w:t xml:space="preserve"> therapy in patients above the age of 65 years old. There is no dose adjustment required in </w:t>
      </w:r>
      <w:r w:rsidR="006662C1" w:rsidRPr="00C11ED4">
        <w:rPr>
          <w:rFonts w:asciiTheme="majorHAnsi" w:eastAsia="Times New Roman" w:hAnsiTheme="majorHAnsi" w:cs="Times New Roman"/>
          <w:lang w:val="en-GB"/>
        </w:rPr>
        <w:t>patients ≥</w:t>
      </w:r>
      <w:r w:rsidR="00657532" w:rsidRPr="00C11ED4">
        <w:rPr>
          <w:rFonts w:asciiTheme="majorHAnsi" w:eastAsia="Times New Roman" w:hAnsiTheme="majorHAnsi" w:cs="Times New Roman"/>
          <w:lang w:val="en-GB"/>
        </w:rPr>
        <w:t> </w:t>
      </w:r>
      <w:r w:rsidR="006662C1" w:rsidRPr="00C11ED4">
        <w:rPr>
          <w:rFonts w:asciiTheme="majorHAnsi" w:eastAsia="Times New Roman" w:hAnsiTheme="majorHAnsi" w:cs="Times New Roman"/>
          <w:lang w:val="en-GB"/>
        </w:rPr>
        <w:t>65</w:t>
      </w:r>
      <w:r w:rsidR="00657532" w:rsidRPr="00C11ED4">
        <w:rPr>
          <w:rFonts w:asciiTheme="majorHAnsi" w:eastAsia="Times New Roman" w:hAnsiTheme="majorHAnsi" w:cs="Times New Roman"/>
          <w:lang w:val="en-GB"/>
        </w:rPr>
        <w:t> </w:t>
      </w:r>
      <w:r w:rsidR="006662C1" w:rsidRPr="00C11ED4">
        <w:rPr>
          <w:rFonts w:asciiTheme="majorHAnsi" w:eastAsia="Times New Roman" w:hAnsiTheme="majorHAnsi" w:cs="Times New Roman"/>
          <w:lang w:val="en-GB"/>
        </w:rPr>
        <w:t>years of age</w:t>
      </w:r>
      <w:r w:rsidR="00943E91" w:rsidRPr="00C11ED4">
        <w:rPr>
          <w:rFonts w:asciiTheme="majorHAnsi" w:eastAsia="Times New Roman" w:hAnsiTheme="majorHAnsi" w:cs="Times New Roman"/>
          <w:lang w:val="en-GB"/>
        </w:rPr>
        <w:t xml:space="preserve"> </w:t>
      </w:r>
      <w:r w:rsidR="00FA157A" w:rsidRPr="00C11ED4">
        <w:rPr>
          <w:rFonts w:asciiTheme="majorHAnsi" w:eastAsia="Times New Roman" w:hAnsiTheme="majorHAnsi" w:cs="Times New Roman"/>
          <w:lang w:val="en-GB"/>
        </w:rPr>
        <w:t>(s</w:t>
      </w:r>
      <w:r w:rsidR="005E2CBF" w:rsidRPr="00C11ED4">
        <w:rPr>
          <w:rFonts w:asciiTheme="majorHAnsi" w:eastAsia="Times New Roman" w:hAnsiTheme="majorHAnsi" w:cs="Times New Roman"/>
          <w:lang w:val="en-GB"/>
        </w:rPr>
        <w:t xml:space="preserve">ee </w:t>
      </w:r>
      <w:r w:rsidR="002A33FE" w:rsidRPr="00C11ED4">
        <w:rPr>
          <w:rFonts w:asciiTheme="majorHAnsi" w:eastAsia="Times New Roman" w:hAnsiTheme="majorHAnsi" w:cs="Times New Roman"/>
          <w:lang w:val="en-GB"/>
        </w:rPr>
        <w:t>Section</w:t>
      </w:r>
      <w:r w:rsidR="005E2CBF" w:rsidRPr="00C11ED4">
        <w:rPr>
          <w:rFonts w:asciiTheme="majorHAnsi" w:eastAsia="Times New Roman" w:hAnsiTheme="majorHAnsi" w:cs="Times New Roman"/>
          <w:lang w:val="en-GB"/>
        </w:rPr>
        <w:t xml:space="preserve"> </w:t>
      </w:r>
      <w:r w:rsidR="00FA157A" w:rsidRPr="00C11ED4">
        <w:rPr>
          <w:rFonts w:asciiTheme="majorHAnsi" w:eastAsia="Times New Roman" w:hAnsiTheme="majorHAnsi" w:cs="Times New Roman"/>
          <w:lang w:val="en-GB"/>
        </w:rPr>
        <w:t xml:space="preserve">4.2 DOSE AND </w:t>
      </w:r>
      <w:r w:rsidR="005E5C43" w:rsidRPr="00C11ED4">
        <w:rPr>
          <w:rFonts w:asciiTheme="majorHAnsi" w:eastAsia="Times New Roman" w:hAnsiTheme="majorHAnsi" w:cs="Times New Roman"/>
          <w:lang w:val="en-GB"/>
        </w:rPr>
        <w:t xml:space="preserve">METHOD OF </w:t>
      </w:r>
      <w:r w:rsidR="00FA157A" w:rsidRPr="00C11ED4">
        <w:rPr>
          <w:rFonts w:asciiTheme="majorHAnsi" w:eastAsia="Times New Roman" w:hAnsiTheme="majorHAnsi" w:cs="Times New Roman"/>
          <w:lang w:val="en-GB"/>
        </w:rPr>
        <w:t>ADMINISTRATION).</w:t>
      </w:r>
    </w:p>
    <w:p w14:paraId="51125276" w14:textId="77777777" w:rsidR="001A3992" w:rsidRPr="00C11ED4" w:rsidRDefault="001A3992" w:rsidP="006559EB">
      <w:pPr>
        <w:pStyle w:val="Heading3"/>
        <w:spacing w:before="0" w:after="200"/>
        <w:ind w:left="0"/>
        <w:rPr>
          <w:rFonts w:cstheme="minorHAnsi"/>
        </w:rPr>
      </w:pPr>
      <w:r w:rsidRPr="00C11ED4">
        <w:rPr>
          <w:rFonts w:cstheme="minorHAnsi"/>
        </w:rPr>
        <w:t>Paediatric use</w:t>
      </w:r>
    </w:p>
    <w:p w14:paraId="7B698891" w14:textId="39859E31" w:rsidR="00257628" w:rsidRPr="00C11ED4" w:rsidRDefault="00257628"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The safety and </w:t>
      </w:r>
      <w:r w:rsidR="000B0C1D" w:rsidRPr="00C11ED4">
        <w:rPr>
          <w:rFonts w:asciiTheme="majorHAnsi" w:hAnsiTheme="majorHAnsi"/>
          <w:sz w:val="22"/>
          <w:szCs w:val="22"/>
        </w:rPr>
        <w:t>effectiveness</w:t>
      </w:r>
      <w:r w:rsidR="00775812" w:rsidRPr="00C11ED4">
        <w:rPr>
          <w:rFonts w:asciiTheme="majorHAnsi" w:hAnsiTheme="majorHAnsi"/>
          <w:sz w:val="22"/>
          <w:szCs w:val="22"/>
        </w:rPr>
        <w:t xml:space="preserve"> </w:t>
      </w:r>
      <w:r w:rsidR="00DD2C3A" w:rsidRPr="00C11ED4">
        <w:rPr>
          <w:rFonts w:asciiTheme="majorHAnsi" w:hAnsiTheme="majorHAnsi"/>
          <w:sz w:val="22"/>
          <w:szCs w:val="22"/>
        </w:rPr>
        <w:t xml:space="preserve">of </w:t>
      </w:r>
      <w:r w:rsidR="00E44510" w:rsidRPr="00C11ED4">
        <w:rPr>
          <w:rFonts w:asciiTheme="majorHAnsi" w:hAnsiTheme="majorHAnsi"/>
          <w:sz w:val="22"/>
          <w:szCs w:val="22"/>
        </w:rPr>
        <w:t>POMBIL</w:t>
      </w:r>
      <w:r w:rsidR="009E441D" w:rsidRPr="00C11ED4">
        <w:rPr>
          <w:rFonts w:asciiTheme="majorHAnsi" w:hAnsiTheme="majorHAnsi"/>
          <w:sz w:val="22"/>
          <w:szCs w:val="22"/>
        </w:rPr>
        <w:t>I</w:t>
      </w:r>
      <w:r w:rsidR="00E44510" w:rsidRPr="00C11ED4">
        <w:rPr>
          <w:rFonts w:asciiTheme="majorHAnsi" w:hAnsiTheme="majorHAnsi"/>
          <w:sz w:val="22"/>
          <w:szCs w:val="22"/>
        </w:rPr>
        <w:t xml:space="preserve">TI </w:t>
      </w:r>
      <w:r w:rsidRPr="00C11ED4">
        <w:rPr>
          <w:rFonts w:asciiTheme="majorHAnsi" w:hAnsiTheme="majorHAnsi"/>
          <w:sz w:val="22"/>
          <w:szCs w:val="22"/>
        </w:rPr>
        <w:t xml:space="preserve">in combination with </w:t>
      </w:r>
      <w:r w:rsidR="00B06E9D" w:rsidRPr="00C11ED4">
        <w:rPr>
          <w:rFonts w:asciiTheme="majorHAnsi" w:hAnsiTheme="majorHAnsi"/>
          <w:sz w:val="22"/>
          <w:szCs w:val="22"/>
        </w:rPr>
        <w:t xml:space="preserve">OPFOLDA </w:t>
      </w:r>
      <w:r w:rsidRPr="00C11ED4">
        <w:rPr>
          <w:rFonts w:asciiTheme="majorHAnsi" w:hAnsiTheme="majorHAnsi"/>
          <w:sz w:val="22"/>
          <w:szCs w:val="22"/>
        </w:rPr>
        <w:t>therapy have not been established</w:t>
      </w:r>
      <w:r w:rsidR="00146A65" w:rsidRPr="00C11ED4">
        <w:rPr>
          <w:rFonts w:asciiTheme="majorHAnsi" w:hAnsiTheme="majorHAnsi"/>
          <w:sz w:val="22"/>
          <w:szCs w:val="22"/>
        </w:rPr>
        <w:t xml:space="preserve"> in </w:t>
      </w:r>
      <w:proofErr w:type="spellStart"/>
      <w:r w:rsidR="00146A65" w:rsidRPr="00C11ED4">
        <w:rPr>
          <w:rFonts w:asciiTheme="majorHAnsi" w:hAnsiTheme="majorHAnsi"/>
          <w:sz w:val="22"/>
          <w:szCs w:val="22"/>
        </w:rPr>
        <w:t>p</w:t>
      </w:r>
      <w:r w:rsidR="00DF05E9" w:rsidRPr="00C11ED4">
        <w:rPr>
          <w:rFonts w:asciiTheme="majorHAnsi" w:hAnsiTheme="majorHAnsi"/>
          <w:sz w:val="22"/>
          <w:szCs w:val="22"/>
        </w:rPr>
        <w:t>a</w:t>
      </w:r>
      <w:r w:rsidR="00146A65" w:rsidRPr="00C11ED4">
        <w:rPr>
          <w:rFonts w:asciiTheme="majorHAnsi" w:hAnsiTheme="majorHAnsi"/>
          <w:sz w:val="22"/>
          <w:szCs w:val="22"/>
        </w:rPr>
        <w:t>edia</w:t>
      </w:r>
      <w:r w:rsidR="008F28FD" w:rsidRPr="00C11ED4">
        <w:rPr>
          <w:rFonts w:asciiTheme="majorHAnsi" w:hAnsiTheme="majorHAnsi"/>
          <w:sz w:val="22"/>
          <w:szCs w:val="22"/>
        </w:rPr>
        <w:t>tric</w:t>
      </w:r>
      <w:proofErr w:type="spellEnd"/>
      <w:r w:rsidR="008F28FD" w:rsidRPr="00C11ED4">
        <w:rPr>
          <w:rFonts w:asciiTheme="majorHAnsi" w:hAnsiTheme="majorHAnsi"/>
          <w:sz w:val="22"/>
          <w:szCs w:val="22"/>
        </w:rPr>
        <w:t xml:space="preserve"> patients</w:t>
      </w:r>
      <w:r w:rsidRPr="00C11ED4">
        <w:rPr>
          <w:rFonts w:asciiTheme="majorHAnsi" w:hAnsiTheme="majorHAnsi"/>
          <w:sz w:val="22"/>
          <w:szCs w:val="22"/>
        </w:rPr>
        <w:t>.</w:t>
      </w:r>
      <w:r w:rsidR="00E51246" w:rsidRPr="00C11ED4">
        <w:rPr>
          <w:rFonts w:asciiTheme="majorHAnsi" w:hAnsiTheme="majorHAnsi"/>
          <w:sz w:val="22"/>
          <w:szCs w:val="22"/>
        </w:rPr>
        <w:t xml:space="preserve"> </w:t>
      </w:r>
    </w:p>
    <w:p w14:paraId="53B4FB5C" w14:textId="77777777" w:rsidR="00223786" w:rsidRPr="00C11ED4" w:rsidRDefault="00223786" w:rsidP="006559EB">
      <w:pPr>
        <w:pStyle w:val="Heading3"/>
        <w:spacing w:before="0" w:after="200"/>
        <w:ind w:left="0"/>
        <w:rPr>
          <w:rFonts w:cstheme="minorHAnsi"/>
        </w:rPr>
      </w:pPr>
      <w:r w:rsidRPr="00C11ED4">
        <w:rPr>
          <w:rFonts w:cstheme="minorHAnsi"/>
        </w:rPr>
        <w:t>Effects on laboratory tests</w:t>
      </w:r>
    </w:p>
    <w:p w14:paraId="611BD40F" w14:textId="77777777" w:rsidR="00223786" w:rsidRPr="00C11ED4" w:rsidRDefault="00223786" w:rsidP="006559EB">
      <w:pPr>
        <w:rPr>
          <w:rFonts w:asciiTheme="majorHAnsi" w:hAnsiTheme="majorHAnsi" w:cstheme="minorHAnsi"/>
        </w:rPr>
      </w:pPr>
      <w:r w:rsidRPr="00C11ED4">
        <w:rPr>
          <w:rFonts w:asciiTheme="majorHAnsi" w:hAnsiTheme="majorHAnsi" w:cstheme="minorHAnsi"/>
        </w:rPr>
        <w:t>No data available</w:t>
      </w:r>
    </w:p>
    <w:p w14:paraId="596A1AC7" w14:textId="39744B4E" w:rsidR="001A3992" w:rsidRPr="00C11ED4" w:rsidRDefault="001A3992" w:rsidP="006559EB">
      <w:pPr>
        <w:pStyle w:val="Heading2"/>
        <w:keepNext/>
        <w:keepLines/>
        <w:spacing w:before="0"/>
        <w:rPr>
          <w:rFonts w:cstheme="minorHAnsi"/>
        </w:rPr>
      </w:pPr>
      <w:r w:rsidRPr="00C11ED4">
        <w:rPr>
          <w:rFonts w:cstheme="minorHAnsi"/>
        </w:rPr>
        <w:t>Interactions with other medicines and other forms of interactions</w:t>
      </w:r>
    </w:p>
    <w:p w14:paraId="014D75DF" w14:textId="194F2A92" w:rsidR="009C0AA9" w:rsidRPr="00C11ED4" w:rsidRDefault="009C0AA9" w:rsidP="006559EB">
      <w:pPr>
        <w:rPr>
          <w:rFonts w:asciiTheme="majorHAnsi" w:hAnsiTheme="majorHAnsi"/>
        </w:rPr>
      </w:pPr>
      <w:r w:rsidRPr="00C11ED4">
        <w:rPr>
          <w:rFonts w:asciiTheme="majorHAnsi" w:hAnsiTheme="majorHAnsi"/>
        </w:rPr>
        <w:t xml:space="preserve">No </w:t>
      </w:r>
      <w:r w:rsidR="00E74E59" w:rsidRPr="00C11ED4">
        <w:rPr>
          <w:rFonts w:asciiTheme="majorHAnsi" w:hAnsiTheme="majorHAnsi"/>
        </w:rPr>
        <w:t xml:space="preserve">drug-drug </w:t>
      </w:r>
      <w:r w:rsidRPr="00C11ED4">
        <w:rPr>
          <w:rFonts w:asciiTheme="majorHAnsi" w:hAnsiTheme="majorHAnsi"/>
        </w:rPr>
        <w:t xml:space="preserve">interaction studies have been </w:t>
      </w:r>
      <w:r w:rsidR="00E74E59" w:rsidRPr="00C11ED4">
        <w:rPr>
          <w:rFonts w:asciiTheme="majorHAnsi" w:hAnsiTheme="majorHAnsi"/>
        </w:rPr>
        <w:t>conducted using</w:t>
      </w:r>
      <w:r w:rsidRPr="00C11ED4">
        <w:rPr>
          <w:rFonts w:asciiTheme="majorHAnsi" w:hAnsiTheme="majorHAnsi"/>
        </w:rPr>
        <w:t xml:space="preserve"> </w:t>
      </w:r>
      <w:proofErr w:type="spellStart"/>
      <w:r w:rsidR="00E03C77" w:rsidRPr="00C11ED4">
        <w:rPr>
          <w:rFonts w:asciiTheme="majorHAnsi" w:hAnsiTheme="majorHAnsi"/>
        </w:rPr>
        <w:t>cipaglucosidase</w:t>
      </w:r>
      <w:proofErr w:type="spellEnd"/>
      <w:r w:rsidR="00E03C77" w:rsidRPr="00C11ED4">
        <w:rPr>
          <w:rFonts w:asciiTheme="majorHAnsi" w:hAnsiTheme="majorHAnsi"/>
        </w:rPr>
        <w:t xml:space="preserve"> alfa </w:t>
      </w:r>
      <w:r w:rsidRPr="00C11ED4">
        <w:rPr>
          <w:rFonts w:asciiTheme="majorHAnsi" w:hAnsiTheme="majorHAnsi"/>
        </w:rPr>
        <w:t xml:space="preserve">or </w:t>
      </w:r>
      <w:proofErr w:type="spellStart"/>
      <w:r w:rsidR="00E03C77" w:rsidRPr="00C11ED4">
        <w:rPr>
          <w:rFonts w:asciiTheme="majorHAnsi" w:hAnsiTheme="majorHAnsi"/>
        </w:rPr>
        <w:t>cipaglucosidase</w:t>
      </w:r>
      <w:proofErr w:type="spellEnd"/>
      <w:r w:rsidR="00E03C77" w:rsidRPr="00C11ED4">
        <w:rPr>
          <w:rFonts w:asciiTheme="majorHAnsi" w:hAnsiTheme="majorHAnsi"/>
        </w:rPr>
        <w:t xml:space="preserve"> alfa</w:t>
      </w:r>
      <w:r w:rsidR="00E03C77" w:rsidRPr="00C11ED4" w:rsidDel="00E03C77">
        <w:rPr>
          <w:rFonts w:asciiTheme="majorHAnsi" w:hAnsiTheme="majorHAnsi"/>
        </w:rPr>
        <w:t xml:space="preserve"> </w:t>
      </w:r>
      <w:r w:rsidRPr="00C11ED4">
        <w:rPr>
          <w:rFonts w:asciiTheme="majorHAnsi" w:hAnsiTheme="majorHAnsi"/>
        </w:rPr>
        <w:t xml:space="preserve">in combination with </w:t>
      </w:r>
      <w:proofErr w:type="spellStart"/>
      <w:r w:rsidR="00380B28" w:rsidRPr="00C11ED4">
        <w:rPr>
          <w:rFonts w:asciiTheme="majorHAnsi" w:hAnsiTheme="majorHAnsi"/>
        </w:rPr>
        <w:t>miglustat</w:t>
      </w:r>
      <w:proofErr w:type="spellEnd"/>
      <w:r w:rsidRPr="00C11ED4">
        <w:rPr>
          <w:rFonts w:asciiTheme="majorHAnsi" w:hAnsiTheme="majorHAnsi"/>
        </w:rPr>
        <w:t>.</w:t>
      </w:r>
    </w:p>
    <w:p w14:paraId="56922F70" w14:textId="77777777" w:rsidR="001A3992" w:rsidRPr="00C11ED4" w:rsidRDefault="001A3992" w:rsidP="006559EB">
      <w:pPr>
        <w:pStyle w:val="Heading2"/>
        <w:spacing w:before="0"/>
        <w:rPr>
          <w:rFonts w:cstheme="minorHAnsi"/>
        </w:rPr>
      </w:pPr>
      <w:r w:rsidRPr="00C11ED4">
        <w:rPr>
          <w:rFonts w:cstheme="minorHAnsi"/>
        </w:rPr>
        <w:t xml:space="preserve">Fertility, pregnancy and lactation </w:t>
      </w:r>
    </w:p>
    <w:p w14:paraId="0E0C5A72" w14:textId="77777777" w:rsidR="00191355" w:rsidRPr="00C11ED4" w:rsidRDefault="00191355" w:rsidP="006559EB">
      <w:pPr>
        <w:pStyle w:val="Heading3"/>
        <w:spacing w:before="0" w:after="200"/>
        <w:ind w:left="0"/>
        <w:rPr>
          <w:rFonts w:cstheme="minorBidi"/>
        </w:rPr>
      </w:pPr>
      <w:r w:rsidRPr="00C11ED4">
        <w:rPr>
          <w:rFonts w:cstheme="minorBidi"/>
        </w:rPr>
        <w:t>Contraception in females</w:t>
      </w:r>
    </w:p>
    <w:p w14:paraId="3CA5B569" w14:textId="40D3F7D5" w:rsidR="00797C59" w:rsidRPr="00C11ED4" w:rsidRDefault="00191355" w:rsidP="006559EB">
      <w:pPr>
        <w:rPr>
          <w:rFonts w:asciiTheme="majorHAnsi" w:hAnsiTheme="majorHAnsi"/>
        </w:rPr>
      </w:pPr>
      <w:r w:rsidRPr="00C11ED4">
        <w:rPr>
          <w:rFonts w:asciiTheme="majorHAnsi" w:hAnsiTheme="majorHAnsi"/>
        </w:rPr>
        <w:t xml:space="preserve">Reliable contraceptive measures must be used by women of childbearing potential during treatment </w:t>
      </w:r>
      <w:r w:rsidR="00A22906" w:rsidRPr="00C11ED4">
        <w:rPr>
          <w:rFonts w:asciiTheme="majorHAnsi" w:hAnsiTheme="majorHAnsi"/>
        </w:rPr>
        <w:t xml:space="preserve">with </w:t>
      </w:r>
      <w:r w:rsidR="00711E89" w:rsidRPr="00C11ED4">
        <w:rPr>
          <w:rFonts w:asciiTheme="majorHAnsi" w:hAnsiTheme="majorHAnsi"/>
        </w:rPr>
        <w:t>POMBILITI</w:t>
      </w:r>
      <w:r w:rsidRPr="00C11ED4">
        <w:rPr>
          <w:rFonts w:asciiTheme="majorHAnsi" w:hAnsiTheme="majorHAnsi"/>
        </w:rPr>
        <w:t xml:space="preserve"> in combination with </w:t>
      </w:r>
      <w:r w:rsidR="00711E89" w:rsidRPr="00C11ED4">
        <w:rPr>
          <w:rFonts w:asciiTheme="majorHAnsi" w:hAnsiTheme="majorHAnsi"/>
        </w:rPr>
        <w:t>OPFOLDA</w:t>
      </w:r>
      <w:r w:rsidRPr="00C11ED4">
        <w:rPr>
          <w:rFonts w:asciiTheme="majorHAnsi" w:hAnsiTheme="majorHAnsi"/>
        </w:rPr>
        <w:t xml:space="preserve">, and for 4 weeks after </w:t>
      </w:r>
      <w:r w:rsidR="00A22906" w:rsidRPr="00C11ED4">
        <w:rPr>
          <w:rFonts w:asciiTheme="majorHAnsi" w:hAnsiTheme="majorHAnsi"/>
        </w:rPr>
        <w:t>the last</w:t>
      </w:r>
      <w:r w:rsidR="009A1044" w:rsidRPr="00C11ED4">
        <w:rPr>
          <w:rFonts w:asciiTheme="majorHAnsi" w:hAnsiTheme="majorHAnsi"/>
        </w:rPr>
        <w:t xml:space="preserve"> dose </w:t>
      </w:r>
      <w:r w:rsidR="007C3E87" w:rsidRPr="00C11ED4">
        <w:rPr>
          <w:rFonts w:asciiTheme="majorHAnsi" w:hAnsiTheme="majorHAnsi"/>
        </w:rPr>
        <w:t>(see</w:t>
      </w:r>
      <w:r w:rsidRPr="00C11ED4">
        <w:rPr>
          <w:rFonts w:asciiTheme="majorHAnsi" w:hAnsiTheme="majorHAnsi"/>
        </w:rPr>
        <w:t xml:space="preserve"> </w:t>
      </w:r>
      <w:r w:rsidR="00375C31" w:rsidRPr="00C11ED4">
        <w:rPr>
          <w:rFonts w:asciiTheme="majorHAnsi" w:hAnsiTheme="majorHAnsi"/>
        </w:rPr>
        <w:t>Effects on fertility</w:t>
      </w:r>
      <w:r w:rsidR="00266404" w:rsidRPr="00C11ED4">
        <w:rPr>
          <w:rFonts w:asciiTheme="majorHAnsi" w:hAnsiTheme="majorHAnsi"/>
        </w:rPr>
        <w:t>)</w:t>
      </w:r>
      <w:r w:rsidRPr="00C11ED4">
        <w:rPr>
          <w:rFonts w:asciiTheme="majorHAnsi" w:hAnsiTheme="majorHAnsi"/>
        </w:rPr>
        <w:t>. The medicinal product is not recommended in women of childbearing potential not using reliable contraception.</w:t>
      </w:r>
    </w:p>
    <w:p w14:paraId="4132D226" w14:textId="65C11DEB" w:rsidR="001A3992" w:rsidRPr="00C11ED4" w:rsidRDefault="001A3992" w:rsidP="006559EB">
      <w:pPr>
        <w:pStyle w:val="Heading3"/>
        <w:spacing w:before="0" w:after="200"/>
        <w:ind w:left="0"/>
        <w:rPr>
          <w:rFonts w:cstheme="minorHAnsi"/>
        </w:rPr>
      </w:pPr>
      <w:r w:rsidRPr="00C11ED4">
        <w:rPr>
          <w:rFonts w:cstheme="minorBidi"/>
        </w:rPr>
        <w:lastRenderedPageBreak/>
        <w:t>Effects on fertility</w:t>
      </w:r>
    </w:p>
    <w:p w14:paraId="6BD17B35" w14:textId="428E5A94" w:rsidR="007F59C7" w:rsidRPr="00C11ED4" w:rsidRDefault="007F59C7" w:rsidP="006559EB">
      <w:pPr>
        <w:rPr>
          <w:rFonts w:asciiTheme="majorHAnsi" w:hAnsiTheme="majorHAnsi"/>
        </w:rPr>
      </w:pPr>
      <w:r w:rsidRPr="00C11ED4">
        <w:rPr>
          <w:rFonts w:asciiTheme="majorHAnsi" w:hAnsiTheme="majorHAnsi"/>
        </w:rPr>
        <w:t xml:space="preserve">There are no clinical data on the effects of </w:t>
      </w:r>
      <w:r w:rsidR="00886DC9" w:rsidRPr="00C11ED4">
        <w:rPr>
          <w:rFonts w:asciiTheme="majorHAnsi" w:hAnsiTheme="majorHAnsi"/>
        </w:rPr>
        <w:t xml:space="preserve">IV </w:t>
      </w:r>
      <w:proofErr w:type="spellStart"/>
      <w:r w:rsidRPr="00C11ED4">
        <w:rPr>
          <w:rFonts w:asciiTheme="majorHAnsi" w:hAnsiTheme="majorHAnsi"/>
        </w:rPr>
        <w:t>cipaglucosidase</w:t>
      </w:r>
      <w:proofErr w:type="spellEnd"/>
      <w:r w:rsidRPr="00C11ED4">
        <w:rPr>
          <w:rFonts w:asciiTheme="majorHAnsi" w:hAnsiTheme="majorHAnsi"/>
        </w:rPr>
        <w:t xml:space="preserve"> alfa </w:t>
      </w:r>
      <w:r w:rsidR="00886DC9" w:rsidRPr="00C11ED4">
        <w:rPr>
          <w:rFonts w:asciiTheme="majorHAnsi" w:hAnsiTheme="majorHAnsi"/>
        </w:rPr>
        <w:t>(</w:t>
      </w:r>
      <w:r w:rsidR="002D1DC3" w:rsidRPr="00C11ED4">
        <w:rPr>
          <w:rFonts w:asciiTheme="majorHAnsi" w:hAnsiTheme="majorHAnsi"/>
        </w:rPr>
        <w:t>20</w:t>
      </w:r>
      <w:r w:rsidR="00886DC9" w:rsidRPr="00C11ED4">
        <w:rPr>
          <w:rFonts w:asciiTheme="majorHAnsi" w:hAnsiTheme="majorHAnsi"/>
        </w:rPr>
        <w:t xml:space="preserve"> mg/kg) </w:t>
      </w:r>
      <w:r w:rsidR="007F6328" w:rsidRPr="00C11ED4">
        <w:rPr>
          <w:rFonts w:asciiTheme="majorHAnsi" w:hAnsiTheme="majorHAnsi"/>
        </w:rPr>
        <w:t xml:space="preserve">in combination with </w:t>
      </w:r>
      <w:proofErr w:type="spellStart"/>
      <w:r w:rsidR="007F6328" w:rsidRPr="00C11ED4">
        <w:rPr>
          <w:rFonts w:asciiTheme="majorHAnsi" w:hAnsiTheme="majorHAnsi"/>
        </w:rPr>
        <w:t>miglustat</w:t>
      </w:r>
      <w:proofErr w:type="spellEnd"/>
      <w:r w:rsidR="007F6328" w:rsidRPr="00C11ED4">
        <w:rPr>
          <w:rFonts w:asciiTheme="majorHAnsi" w:hAnsiTheme="majorHAnsi"/>
        </w:rPr>
        <w:t xml:space="preserve"> </w:t>
      </w:r>
      <w:r w:rsidRPr="00C11ED4">
        <w:rPr>
          <w:rFonts w:asciiTheme="majorHAnsi" w:hAnsiTheme="majorHAnsi"/>
        </w:rPr>
        <w:t>on fertility.</w:t>
      </w:r>
      <w:r w:rsidR="00986DAA" w:rsidRPr="00C11ED4">
        <w:rPr>
          <w:rFonts w:asciiTheme="majorHAnsi" w:hAnsiTheme="majorHAnsi"/>
        </w:rPr>
        <w:t xml:space="preserve"> </w:t>
      </w:r>
    </w:p>
    <w:p w14:paraId="0462CD98" w14:textId="41EEBF50" w:rsidR="008C6443" w:rsidRPr="00C11ED4" w:rsidRDefault="008C6443" w:rsidP="008C6443">
      <w:pPr>
        <w:pStyle w:val="C-BodyText"/>
        <w:shd w:val="clear" w:color="auto" w:fill="FFFFFF" w:themeFill="background1"/>
        <w:spacing w:before="0" w:after="200" w:line="276" w:lineRule="auto"/>
        <w:rPr>
          <w:rFonts w:asciiTheme="majorHAnsi" w:hAnsiTheme="majorHAnsi" w:cstheme="minorHAnsi"/>
          <w:bCs/>
          <w:sz w:val="22"/>
          <w:szCs w:val="22"/>
        </w:rPr>
      </w:pPr>
      <w:r w:rsidRPr="00C11ED4">
        <w:rPr>
          <w:rFonts w:asciiTheme="majorHAnsi" w:hAnsiTheme="majorHAnsi" w:cstheme="minorHAnsi"/>
          <w:bCs/>
          <w:sz w:val="22"/>
          <w:szCs w:val="22"/>
        </w:rPr>
        <w:t xml:space="preserve">In a </w:t>
      </w:r>
      <w:r w:rsidR="007D5E1C" w:rsidRPr="00C11ED4">
        <w:rPr>
          <w:rFonts w:asciiTheme="majorHAnsi" w:hAnsiTheme="majorHAnsi" w:cstheme="minorHAnsi"/>
          <w:bCs/>
          <w:sz w:val="22"/>
          <w:szCs w:val="22"/>
        </w:rPr>
        <w:t>fertility</w:t>
      </w:r>
      <w:r w:rsidRPr="00C11ED4">
        <w:rPr>
          <w:rFonts w:asciiTheme="majorHAnsi" w:hAnsiTheme="majorHAnsi" w:cstheme="minorHAnsi"/>
          <w:bCs/>
          <w:sz w:val="22"/>
          <w:szCs w:val="22"/>
        </w:rPr>
        <w:t xml:space="preserve"> study in male rats, there was no effect of </w:t>
      </w:r>
      <w:r w:rsidR="007D5E1C" w:rsidRPr="00C11ED4">
        <w:rPr>
          <w:rFonts w:asciiTheme="majorHAnsi" w:hAnsiTheme="majorHAnsi" w:cstheme="minorHAnsi"/>
          <w:bCs/>
          <w:sz w:val="22"/>
          <w:szCs w:val="22"/>
        </w:rPr>
        <w:t xml:space="preserve">IV </w:t>
      </w:r>
      <w:proofErr w:type="spellStart"/>
      <w:r w:rsidRPr="00C11ED4">
        <w:rPr>
          <w:rFonts w:asciiTheme="majorHAnsi" w:hAnsiTheme="majorHAnsi" w:cstheme="minorHAnsi"/>
          <w:bCs/>
          <w:sz w:val="22"/>
          <w:szCs w:val="22"/>
        </w:rPr>
        <w:t>cipaglucosidase</w:t>
      </w:r>
      <w:proofErr w:type="spellEnd"/>
      <w:r w:rsidRPr="00C11ED4">
        <w:rPr>
          <w:rFonts w:asciiTheme="majorHAnsi" w:hAnsiTheme="majorHAnsi" w:cstheme="minorHAnsi"/>
          <w:bCs/>
          <w:sz w:val="22"/>
          <w:szCs w:val="22"/>
        </w:rPr>
        <w:t xml:space="preserve"> alfa </w:t>
      </w:r>
      <w:r w:rsidR="00D656B5" w:rsidRPr="00C11ED4">
        <w:rPr>
          <w:rFonts w:asciiTheme="majorHAnsi" w:hAnsiTheme="majorHAnsi"/>
        </w:rPr>
        <w:t xml:space="preserve">(400 mg/kg) </w:t>
      </w:r>
      <w:r w:rsidRPr="00C11ED4">
        <w:rPr>
          <w:rFonts w:asciiTheme="majorHAnsi" w:hAnsiTheme="majorHAnsi" w:cstheme="minorHAnsi"/>
          <w:bCs/>
          <w:sz w:val="22"/>
          <w:szCs w:val="22"/>
        </w:rPr>
        <w:t xml:space="preserve">in combination with </w:t>
      </w:r>
      <w:proofErr w:type="spellStart"/>
      <w:r w:rsidRPr="00C11ED4">
        <w:rPr>
          <w:rFonts w:asciiTheme="majorHAnsi" w:hAnsiTheme="majorHAnsi" w:cstheme="minorHAnsi"/>
          <w:bCs/>
          <w:sz w:val="22"/>
          <w:szCs w:val="22"/>
        </w:rPr>
        <w:t>miglustat</w:t>
      </w:r>
      <w:proofErr w:type="spellEnd"/>
      <w:r w:rsidRPr="00C11ED4">
        <w:rPr>
          <w:rFonts w:asciiTheme="majorHAnsi" w:hAnsiTheme="majorHAnsi" w:cstheme="minorHAnsi"/>
          <w:bCs/>
          <w:sz w:val="22"/>
          <w:szCs w:val="22"/>
        </w:rPr>
        <w:t xml:space="preserve"> </w:t>
      </w:r>
      <w:r w:rsidR="00D656B5" w:rsidRPr="00C11ED4">
        <w:rPr>
          <w:rFonts w:asciiTheme="majorHAnsi" w:hAnsiTheme="majorHAnsi" w:cstheme="minorHAnsi"/>
          <w:bCs/>
          <w:sz w:val="22"/>
          <w:szCs w:val="22"/>
        </w:rPr>
        <w:t xml:space="preserve">(60 mg/kg) </w:t>
      </w:r>
      <w:r w:rsidRPr="00C11ED4">
        <w:rPr>
          <w:rFonts w:asciiTheme="majorHAnsi" w:hAnsiTheme="majorHAnsi" w:cstheme="minorHAnsi"/>
          <w:bCs/>
          <w:sz w:val="22"/>
          <w:szCs w:val="22"/>
        </w:rPr>
        <w:t xml:space="preserve">or </w:t>
      </w:r>
      <w:proofErr w:type="spellStart"/>
      <w:r w:rsidRPr="00C11ED4">
        <w:rPr>
          <w:rFonts w:asciiTheme="majorHAnsi" w:hAnsiTheme="majorHAnsi" w:cstheme="minorHAnsi"/>
          <w:bCs/>
          <w:sz w:val="22"/>
          <w:szCs w:val="22"/>
        </w:rPr>
        <w:t>cipaglucosidase</w:t>
      </w:r>
      <w:proofErr w:type="spellEnd"/>
      <w:r w:rsidRPr="00C11ED4">
        <w:rPr>
          <w:rFonts w:asciiTheme="majorHAnsi" w:hAnsiTheme="majorHAnsi" w:cstheme="minorHAnsi"/>
          <w:bCs/>
          <w:sz w:val="22"/>
          <w:szCs w:val="22"/>
        </w:rPr>
        <w:t xml:space="preserve"> alfa alone </w:t>
      </w:r>
      <w:r w:rsidR="00D656B5" w:rsidRPr="00C11ED4">
        <w:rPr>
          <w:rFonts w:asciiTheme="majorHAnsi" w:hAnsiTheme="majorHAnsi"/>
        </w:rPr>
        <w:t xml:space="preserve">(400 mg/kg) </w:t>
      </w:r>
      <w:r w:rsidRPr="00C11ED4">
        <w:rPr>
          <w:rFonts w:asciiTheme="majorHAnsi" w:hAnsiTheme="majorHAnsi" w:cstheme="minorHAnsi"/>
          <w:bCs/>
          <w:sz w:val="22"/>
          <w:szCs w:val="22"/>
        </w:rPr>
        <w:t>on spermatogenesis.</w:t>
      </w:r>
    </w:p>
    <w:p w14:paraId="5D75FA70" w14:textId="7F2E31F5" w:rsidR="008C6443" w:rsidRPr="00C11ED4" w:rsidRDefault="008C6443" w:rsidP="008C6443">
      <w:pPr>
        <w:pStyle w:val="C-BodyText"/>
        <w:shd w:val="clear" w:color="auto" w:fill="FFFFFF" w:themeFill="background1"/>
        <w:spacing w:before="0" w:after="200" w:line="276" w:lineRule="auto"/>
        <w:rPr>
          <w:rFonts w:asciiTheme="majorHAnsi" w:hAnsiTheme="majorHAnsi" w:cstheme="minorHAnsi"/>
          <w:bCs/>
          <w:sz w:val="22"/>
          <w:szCs w:val="22"/>
        </w:rPr>
      </w:pPr>
      <w:r w:rsidRPr="00C11ED4">
        <w:rPr>
          <w:rFonts w:asciiTheme="majorHAnsi" w:hAnsiTheme="majorHAnsi" w:cstheme="minorHAnsi"/>
          <w:bCs/>
          <w:sz w:val="22"/>
          <w:szCs w:val="22"/>
        </w:rPr>
        <w:t>In a fertility and early embryonic development study in rats</w:t>
      </w:r>
      <w:r w:rsidRPr="00C11ED4">
        <w:t xml:space="preserve"> </w:t>
      </w:r>
      <w:r w:rsidRPr="00C11ED4">
        <w:rPr>
          <w:rFonts w:asciiTheme="majorHAnsi" w:hAnsiTheme="majorHAnsi" w:cstheme="minorHAnsi"/>
          <w:bCs/>
          <w:sz w:val="22"/>
          <w:szCs w:val="22"/>
        </w:rPr>
        <w:t xml:space="preserve">treated with </w:t>
      </w:r>
      <w:r w:rsidR="00B47FF1" w:rsidRPr="00C11ED4">
        <w:rPr>
          <w:rFonts w:asciiTheme="majorHAnsi" w:hAnsiTheme="majorHAnsi" w:cstheme="minorHAnsi"/>
          <w:bCs/>
          <w:sz w:val="22"/>
          <w:szCs w:val="22"/>
        </w:rPr>
        <w:t xml:space="preserve">oral </w:t>
      </w:r>
      <w:proofErr w:type="spellStart"/>
      <w:r w:rsidRPr="00C11ED4">
        <w:rPr>
          <w:rFonts w:asciiTheme="majorHAnsi" w:hAnsiTheme="majorHAnsi" w:cstheme="minorHAnsi"/>
          <w:bCs/>
          <w:sz w:val="22"/>
          <w:szCs w:val="22"/>
        </w:rPr>
        <w:t>miglustat</w:t>
      </w:r>
      <w:proofErr w:type="spellEnd"/>
      <w:r w:rsidRPr="00C11ED4">
        <w:rPr>
          <w:rFonts w:asciiTheme="majorHAnsi" w:hAnsiTheme="majorHAnsi" w:cstheme="minorHAnsi"/>
          <w:bCs/>
          <w:sz w:val="22"/>
          <w:szCs w:val="22"/>
        </w:rPr>
        <w:t xml:space="preserve"> alone (60 mg/kg) and with the combination (</w:t>
      </w:r>
      <w:proofErr w:type="spellStart"/>
      <w:r w:rsidRPr="00C11ED4">
        <w:rPr>
          <w:rFonts w:asciiTheme="majorHAnsi" w:hAnsiTheme="majorHAnsi" w:cstheme="minorHAnsi"/>
          <w:bCs/>
          <w:sz w:val="22"/>
          <w:szCs w:val="22"/>
        </w:rPr>
        <w:t>cipaglucosidase</w:t>
      </w:r>
      <w:proofErr w:type="spellEnd"/>
      <w:r w:rsidRPr="00C11ED4">
        <w:rPr>
          <w:rFonts w:asciiTheme="majorHAnsi" w:hAnsiTheme="majorHAnsi" w:cstheme="minorHAnsi"/>
          <w:bCs/>
          <w:sz w:val="22"/>
          <w:szCs w:val="22"/>
        </w:rPr>
        <w:t xml:space="preserve"> alfa 400 mg/kg </w:t>
      </w:r>
      <w:r w:rsidR="00B47FF1" w:rsidRPr="00C11ED4">
        <w:rPr>
          <w:rFonts w:asciiTheme="majorHAnsi" w:hAnsiTheme="majorHAnsi" w:cstheme="minorHAnsi"/>
          <w:bCs/>
          <w:sz w:val="22"/>
          <w:szCs w:val="22"/>
        </w:rPr>
        <w:t xml:space="preserve">IV </w:t>
      </w:r>
      <w:r w:rsidRPr="00C11ED4">
        <w:rPr>
          <w:rFonts w:asciiTheme="majorHAnsi" w:hAnsiTheme="majorHAnsi" w:cstheme="minorHAnsi"/>
          <w:bCs/>
          <w:sz w:val="22"/>
          <w:szCs w:val="22"/>
        </w:rPr>
        <w:t xml:space="preserve">with oral </w:t>
      </w:r>
      <w:proofErr w:type="spellStart"/>
      <w:r w:rsidRPr="00C11ED4">
        <w:rPr>
          <w:rFonts w:asciiTheme="majorHAnsi" w:hAnsiTheme="majorHAnsi" w:cstheme="minorHAnsi"/>
          <w:bCs/>
          <w:sz w:val="22"/>
          <w:szCs w:val="22"/>
        </w:rPr>
        <w:t>miglustat</w:t>
      </w:r>
      <w:proofErr w:type="spellEnd"/>
      <w:r w:rsidRPr="00C11ED4">
        <w:rPr>
          <w:rFonts w:asciiTheme="majorHAnsi" w:hAnsiTheme="majorHAnsi" w:cstheme="minorHAnsi"/>
          <w:bCs/>
          <w:sz w:val="22"/>
          <w:szCs w:val="22"/>
        </w:rPr>
        <w:t xml:space="preserve"> 60</w:t>
      </w:r>
      <w:r w:rsidR="007D448F" w:rsidRPr="00C11ED4">
        <w:rPr>
          <w:rFonts w:asciiTheme="majorHAnsi" w:hAnsiTheme="majorHAnsi" w:cstheme="minorHAnsi"/>
          <w:bCs/>
          <w:sz w:val="22"/>
          <w:szCs w:val="22"/>
        </w:rPr>
        <w:t> </w:t>
      </w:r>
      <w:r w:rsidRPr="00C11ED4">
        <w:rPr>
          <w:rFonts w:asciiTheme="majorHAnsi" w:hAnsiTheme="majorHAnsi" w:cstheme="minorHAnsi"/>
          <w:bCs/>
          <w:sz w:val="22"/>
          <w:szCs w:val="22"/>
        </w:rPr>
        <w:t xml:space="preserve">mg/kg) every other day for 14 days prior to mating and continuing through gestation day 7 (GD 7), pre-implantation loss was observed in the female fertility component of the study in both </w:t>
      </w:r>
      <w:proofErr w:type="spellStart"/>
      <w:r w:rsidRPr="00C11ED4">
        <w:rPr>
          <w:rFonts w:asciiTheme="majorHAnsi" w:hAnsiTheme="majorHAnsi" w:cstheme="minorHAnsi"/>
          <w:bCs/>
          <w:sz w:val="22"/>
          <w:szCs w:val="22"/>
        </w:rPr>
        <w:t>miglustat</w:t>
      </w:r>
      <w:proofErr w:type="spellEnd"/>
      <w:r w:rsidRPr="00C11ED4">
        <w:rPr>
          <w:rFonts w:asciiTheme="majorHAnsi" w:hAnsiTheme="majorHAnsi" w:cstheme="minorHAnsi"/>
          <w:bCs/>
          <w:sz w:val="22"/>
          <w:szCs w:val="22"/>
        </w:rPr>
        <w:t xml:space="preserve"> alone and the combination treatment group and was considered </w:t>
      </w:r>
      <w:proofErr w:type="spellStart"/>
      <w:r w:rsidRPr="00C11ED4">
        <w:rPr>
          <w:rFonts w:asciiTheme="majorHAnsi" w:hAnsiTheme="majorHAnsi" w:cstheme="minorHAnsi"/>
          <w:bCs/>
          <w:sz w:val="22"/>
          <w:szCs w:val="22"/>
        </w:rPr>
        <w:t>miglustat</w:t>
      </w:r>
      <w:proofErr w:type="spellEnd"/>
      <w:r w:rsidRPr="00C11ED4">
        <w:rPr>
          <w:rFonts w:asciiTheme="majorHAnsi" w:hAnsiTheme="majorHAnsi" w:cstheme="minorHAnsi"/>
          <w:bCs/>
          <w:sz w:val="22"/>
          <w:szCs w:val="22"/>
        </w:rPr>
        <w:t xml:space="preserve"> related. Whether this pre-implantation loss in female rats would be reversible if treatment were discontinued prior to cohabitation is unknown.</w:t>
      </w:r>
    </w:p>
    <w:p w14:paraId="55B4DC50" w14:textId="44BAB544" w:rsidR="001A3992" w:rsidRPr="00C11ED4" w:rsidRDefault="001A3992" w:rsidP="006559EB">
      <w:pPr>
        <w:pStyle w:val="Heading3"/>
        <w:spacing w:before="0" w:after="200"/>
        <w:ind w:left="0"/>
        <w:rPr>
          <w:rFonts w:cstheme="minorHAnsi"/>
        </w:rPr>
      </w:pPr>
      <w:r w:rsidRPr="00C11ED4">
        <w:rPr>
          <w:rFonts w:cstheme="minorHAnsi"/>
        </w:rPr>
        <w:t xml:space="preserve">Use in pregnancy </w:t>
      </w:r>
    </w:p>
    <w:p w14:paraId="5196C6DF" w14:textId="7BE73DDD" w:rsidR="00C13ADC" w:rsidRPr="00C11ED4" w:rsidRDefault="00C13ADC" w:rsidP="00567C0A">
      <w:pPr>
        <w:pStyle w:val="Heading3"/>
        <w:spacing w:before="0" w:after="200"/>
        <w:ind w:left="0"/>
        <w:rPr>
          <w:rFonts w:cstheme="minorHAnsi"/>
        </w:rPr>
      </w:pPr>
      <w:r w:rsidRPr="00C11ED4">
        <w:rPr>
          <w:rFonts w:cstheme="minorHAnsi"/>
        </w:rPr>
        <w:t xml:space="preserve">Category </w:t>
      </w:r>
      <w:r w:rsidR="00C97887" w:rsidRPr="00C11ED4">
        <w:rPr>
          <w:rFonts w:cstheme="minorHAnsi"/>
        </w:rPr>
        <w:t>D</w:t>
      </w:r>
    </w:p>
    <w:p w14:paraId="73643E33" w14:textId="7194C3AD" w:rsidR="00C13ADC" w:rsidRPr="00C11ED4" w:rsidRDefault="00C13ADC" w:rsidP="006559EB">
      <w:pPr>
        <w:rPr>
          <w:rFonts w:asciiTheme="majorHAnsi" w:hAnsiTheme="majorHAnsi"/>
        </w:rPr>
      </w:pPr>
      <w:r w:rsidRPr="00C11ED4">
        <w:rPr>
          <w:rFonts w:asciiTheme="majorHAnsi" w:hAnsiTheme="majorHAnsi"/>
        </w:rPr>
        <w:t>There are no clinical data f</w:t>
      </w:r>
      <w:r w:rsidR="003C37D0" w:rsidRPr="00C11ED4">
        <w:rPr>
          <w:rFonts w:asciiTheme="majorHAnsi" w:hAnsiTheme="majorHAnsi"/>
        </w:rPr>
        <w:t>or</w:t>
      </w:r>
      <w:r w:rsidRPr="00C11ED4">
        <w:rPr>
          <w:rFonts w:asciiTheme="majorHAnsi" w:hAnsiTheme="majorHAnsi"/>
        </w:rPr>
        <w:t xml:space="preserve"> the use of </w:t>
      </w:r>
      <w:r w:rsidR="00B6366F" w:rsidRPr="00C11ED4">
        <w:rPr>
          <w:rFonts w:asciiTheme="majorHAnsi" w:hAnsiTheme="majorHAnsi"/>
        </w:rPr>
        <w:t xml:space="preserve">POMBILITI </w:t>
      </w:r>
      <w:r w:rsidRPr="00C11ED4">
        <w:rPr>
          <w:rFonts w:asciiTheme="majorHAnsi" w:hAnsiTheme="majorHAnsi"/>
        </w:rPr>
        <w:t xml:space="preserve">in combination with </w:t>
      </w:r>
      <w:r w:rsidR="00B6366F" w:rsidRPr="00C11ED4">
        <w:rPr>
          <w:rFonts w:asciiTheme="majorHAnsi" w:hAnsiTheme="majorHAnsi"/>
        </w:rPr>
        <w:t>OPFOLDA</w:t>
      </w:r>
      <w:r w:rsidR="00B06E9D" w:rsidRPr="00C11ED4">
        <w:rPr>
          <w:rFonts w:asciiTheme="majorHAnsi" w:hAnsiTheme="majorHAnsi"/>
        </w:rPr>
        <w:t xml:space="preserve"> </w:t>
      </w:r>
      <w:r w:rsidRPr="00C11ED4">
        <w:rPr>
          <w:rFonts w:asciiTheme="majorHAnsi" w:hAnsiTheme="majorHAnsi"/>
        </w:rPr>
        <w:t xml:space="preserve">in pregnant women. Animal studies with </w:t>
      </w:r>
      <w:proofErr w:type="spellStart"/>
      <w:r w:rsidR="00137481" w:rsidRPr="00C11ED4">
        <w:rPr>
          <w:rFonts w:asciiTheme="majorHAnsi" w:hAnsiTheme="majorHAnsi"/>
        </w:rPr>
        <w:t>miglustat</w:t>
      </w:r>
      <w:proofErr w:type="spellEnd"/>
      <w:r w:rsidR="00B06E9D" w:rsidRPr="00C11ED4">
        <w:rPr>
          <w:rFonts w:asciiTheme="majorHAnsi" w:hAnsiTheme="majorHAnsi"/>
        </w:rPr>
        <w:t xml:space="preserve"> </w:t>
      </w:r>
      <w:r w:rsidRPr="00C11ED4">
        <w:rPr>
          <w:rFonts w:asciiTheme="majorHAnsi" w:hAnsiTheme="majorHAnsi"/>
        </w:rPr>
        <w:t xml:space="preserve">alone as well as with </w:t>
      </w:r>
      <w:proofErr w:type="spellStart"/>
      <w:r w:rsidRPr="00C11ED4">
        <w:rPr>
          <w:rFonts w:asciiTheme="majorHAnsi" w:hAnsiTheme="majorHAnsi"/>
        </w:rPr>
        <w:t>cipaglucosidase</w:t>
      </w:r>
      <w:proofErr w:type="spellEnd"/>
      <w:r w:rsidRPr="00C11ED4">
        <w:rPr>
          <w:rFonts w:asciiTheme="majorHAnsi" w:hAnsiTheme="majorHAnsi"/>
        </w:rPr>
        <w:t xml:space="preserve"> alfa </w:t>
      </w:r>
      <w:r w:rsidR="008F3847" w:rsidRPr="00C11ED4">
        <w:rPr>
          <w:rFonts w:asciiTheme="majorHAnsi" w:hAnsiTheme="majorHAnsi"/>
        </w:rPr>
        <w:t xml:space="preserve">in combination with </w:t>
      </w:r>
      <w:proofErr w:type="spellStart"/>
      <w:r w:rsidR="00137481" w:rsidRPr="00C11ED4">
        <w:rPr>
          <w:rFonts w:asciiTheme="majorHAnsi" w:hAnsiTheme="majorHAnsi"/>
        </w:rPr>
        <w:t>miglustat</w:t>
      </w:r>
      <w:proofErr w:type="spellEnd"/>
      <w:r w:rsidR="00B06E9D" w:rsidRPr="00C11ED4">
        <w:rPr>
          <w:rFonts w:asciiTheme="majorHAnsi" w:hAnsiTheme="majorHAnsi"/>
        </w:rPr>
        <w:t xml:space="preserve"> </w:t>
      </w:r>
      <w:r w:rsidRPr="00C11ED4">
        <w:rPr>
          <w:rFonts w:asciiTheme="majorHAnsi" w:hAnsiTheme="majorHAnsi"/>
        </w:rPr>
        <w:t xml:space="preserve">have shown reproductive toxicity. </w:t>
      </w:r>
      <w:r w:rsidR="003E1583" w:rsidRPr="00C11ED4">
        <w:rPr>
          <w:rFonts w:asciiTheme="majorHAnsi" w:hAnsiTheme="majorHAnsi"/>
        </w:rPr>
        <w:t>POMBIL</w:t>
      </w:r>
      <w:r w:rsidR="009E441D" w:rsidRPr="00C11ED4">
        <w:rPr>
          <w:rFonts w:asciiTheme="majorHAnsi" w:hAnsiTheme="majorHAnsi"/>
        </w:rPr>
        <w:t>I</w:t>
      </w:r>
      <w:r w:rsidR="003E1583" w:rsidRPr="00C11ED4">
        <w:rPr>
          <w:rFonts w:asciiTheme="majorHAnsi" w:hAnsiTheme="majorHAnsi"/>
        </w:rPr>
        <w:t>TI</w:t>
      </w:r>
      <w:r w:rsidRPr="00C11ED4">
        <w:rPr>
          <w:rFonts w:asciiTheme="majorHAnsi" w:hAnsiTheme="majorHAnsi"/>
        </w:rPr>
        <w:t xml:space="preserve"> in combination with </w:t>
      </w:r>
      <w:r w:rsidR="00B06E9D" w:rsidRPr="00C11ED4">
        <w:rPr>
          <w:rFonts w:asciiTheme="majorHAnsi" w:hAnsiTheme="majorHAnsi"/>
        </w:rPr>
        <w:t xml:space="preserve">OPFOLDA </w:t>
      </w:r>
      <w:r w:rsidRPr="00C11ED4">
        <w:rPr>
          <w:rFonts w:asciiTheme="majorHAnsi" w:hAnsiTheme="majorHAnsi"/>
        </w:rPr>
        <w:t>therapy is not recommended during pregnancy.</w:t>
      </w:r>
    </w:p>
    <w:p w14:paraId="67FFCCCF" w14:textId="2A3F724D" w:rsidR="00303797" w:rsidRPr="00C11ED4" w:rsidRDefault="28B5C407" w:rsidP="354D09DB">
      <w:pPr>
        <w:pStyle w:val="C-BodyText"/>
        <w:shd w:val="clear" w:color="auto" w:fill="FFFFFF" w:themeFill="background1"/>
        <w:spacing w:before="0" w:after="200" w:line="276" w:lineRule="auto"/>
        <w:rPr>
          <w:rFonts w:asciiTheme="majorHAnsi" w:hAnsiTheme="majorHAnsi" w:cstheme="minorBidi"/>
          <w:sz w:val="22"/>
          <w:szCs w:val="22"/>
        </w:rPr>
      </w:pPr>
      <w:r w:rsidRPr="00C11ED4">
        <w:rPr>
          <w:rFonts w:asciiTheme="majorHAnsi" w:hAnsiTheme="majorHAnsi" w:cstheme="minorBidi"/>
          <w:sz w:val="22"/>
          <w:szCs w:val="22"/>
        </w:rPr>
        <w:t xml:space="preserve">In </w:t>
      </w:r>
      <w:r w:rsidR="72D5BC52" w:rsidRPr="00C11ED4">
        <w:rPr>
          <w:rFonts w:asciiTheme="majorHAnsi" w:hAnsiTheme="majorHAnsi" w:cstheme="minorBidi"/>
          <w:sz w:val="22"/>
          <w:szCs w:val="22"/>
        </w:rPr>
        <w:t xml:space="preserve">an </w:t>
      </w:r>
      <w:r w:rsidRPr="00C11ED4">
        <w:rPr>
          <w:rFonts w:asciiTheme="majorHAnsi" w:hAnsiTheme="majorHAnsi" w:cstheme="minorBidi"/>
          <w:sz w:val="22"/>
          <w:szCs w:val="22"/>
        </w:rPr>
        <w:t xml:space="preserve">embryofetal development study in rats </w:t>
      </w:r>
      <w:r w:rsidR="4E827441" w:rsidRPr="00C11ED4">
        <w:rPr>
          <w:rFonts w:asciiTheme="majorHAnsi" w:hAnsiTheme="majorHAnsi" w:cstheme="minorBidi"/>
          <w:sz w:val="22"/>
          <w:szCs w:val="22"/>
        </w:rPr>
        <w:t xml:space="preserve">dosed with </w:t>
      </w:r>
      <w:proofErr w:type="spellStart"/>
      <w:r w:rsidR="4E827441" w:rsidRPr="00C11ED4">
        <w:rPr>
          <w:rFonts w:asciiTheme="majorHAnsi" w:hAnsiTheme="majorHAnsi" w:cstheme="minorBidi"/>
          <w:sz w:val="22"/>
          <w:szCs w:val="22"/>
        </w:rPr>
        <w:t>cipaglucosidase</w:t>
      </w:r>
      <w:proofErr w:type="spellEnd"/>
      <w:r w:rsidR="4E827441" w:rsidRPr="00C11ED4">
        <w:rPr>
          <w:rFonts w:asciiTheme="majorHAnsi" w:hAnsiTheme="majorHAnsi" w:cstheme="minorBidi"/>
          <w:sz w:val="22"/>
          <w:szCs w:val="22"/>
        </w:rPr>
        <w:t xml:space="preserve"> alfa (up to 400 mg/kg IV) and/or oral </w:t>
      </w:r>
      <w:proofErr w:type="spellStart"/>
      <w:r w:rsidR="4E827441" w:rsidRPr="00C11ED4">
        <w:rPr>
          <w:rFonts w:asciiTheme="majorHAnsi" w:hAnsiTheme="majorHAnsi" w:cstheme="minorBidi"/>
          <w:sz w:val="22"/>
          <w:szCs w:val="22"/>
        </w:rPr>
        <w:t>miglustat</w:t>
      </w:r>
      <w:proofErr w:type="spellEnd"/>
      <w:r w:rsidR="4E827441" w:rsidRPr="00C11ED4">
        <w:rPr>
          <w:rFonts w:asciiTheme="majorHAnsi" w:hAnsiTheme="majorHAnsi" w:cstheme="minorBidi"/>
          <w:sz w:val="22"/>
          <w:szCs w:val="22"/>
        </w:rPr>
        <w:t xml:space="preserve"> (60 mg/kg), </w:t>
      </w:r>
      <w:r w:rsidRPr="00C11ED4">
        <w:rPr>
          <w:rFonts w:asciiTheme="majorHAnsi" w:hAnsiTheme="majorHAnsi" w:cstheme="minorBidi"/>
          <w:sz w:val="22"/>
          <w:szCs w:val="22"/>
        </w:rPr>
        <w:t>no adverse findings were observed in pregnant rats or their offspring</w:t>
      </w:r>
      <w:r w:rsidR="1CE76DE3" w:rsidRPr="00C11ED4">
        <w:rPr>
          <w:rFonts w:asciiTheme="majorHAnsi" w:hAnsiTheme="majorHAnsi" w:cstheme="minorBidi"/>
          <w:sz w:val="22"/>
          <w:szCs w:val="22"/>
        </w:rPr>
        <w:t xml:space="preserve"> at 20-fold and 4-fold the exposure at the maximum recommended human dose (MRHD) of </w:t>
      </w:r>
      <w:proofErr w:type="spellStart"/>
      <w:r w:rsidR="1CE76DE3" w:rsidRPr="00C11ED4">
        <w:rPr>
          <w:rFonts w:asciiTheme="majorHAnsi" w:hAnsiTheme="majorHAnsi" w:cstheme="minorBidi"/>
          <w:sz w:val="22"/>
          <w:szCs w:val="22"/>
        </w:rPr>
        <w:t>cipaglucosidase</w:t>
      </w:r>
      <w:proofErr w:type="spellEnd"/>
      <w:r w:rsidR="1CE76DE3" w:rsidRPr="00C11ED4">
        <w:rPr>
          <w:rFonts w:asciiTheme="majorHAnsi" w:hAnsiTheme="majorHAnsi" w:cstheme="minorBidi"/>
          <w:sz w:val="22"/>
          <w:szCs w:val="22"/>
        </w:rPr>
        <w:t xml:space="preserve"> alfa and </w:t>
      </w:r>
      <w:proofErr w:type="spellStart"/>
      <w:r w:rsidR="1CE76DE3" w:rsidRPr="00C11ED4">
        <w:rPr>
          <w:rFonts w:asciiTheme="majorHAnsi" w:hAnsiTheme="majorHAnsi" w:cstheme="minorBidi"/>
          <w:sz w:val="22"/>
          <w:szCs w:val="22"/>
        </w:rPr>
        <w:t>miglustat</w:t>
      </w:r>
      <w:proofErr w:type="spellEnd"/>
      <w:r w:rsidR="1CE76DE3" w:rsidRPr="00C11ED4">
        <w:rPr>
          <w:rFonts w:asciiTheme="majorHAnsi" w:hAnsiTheme="majorHAnsi" w:cstheme="minorBidi"/>
          <w:sz w:val="22"/>
          <w:szCs w:val="22"/>
        </w:rPr>
        <w:t>, respectively</w:t>
      </w:r>
      <w:r w:rsidRPr="00C11ED4">
        <w:rPr>
          <w:rFonts w:asciiTheme="majorHAnsi" w:hAnsiTheme="majorHAnsi" w:cstheme="minorBidi"/>
          <w:sz w:val="22"/>
          <w:szCs w:val="22"/>
        </w:rPr>
        <w:t>.</w:t>
      </w:r>
    </w:p>
    <w:p w14:paraId="5B6117A9" w14:textId="44B6BB1B" w:rsidR="00303797" w:rsidRPr="00C11ED4" w:rsidRDefault="28B5C407" w:rsidP="354D09DB">
      <w:pPr>
        <w:pStyle w:val="C-BodyText"/>
        <w:shd w:val="clear" w:color="auto" w:fill="FFFFFF" w:themeFill="background1"/>
        <w:spacing w:before="0" w:after="200" w:line="276" w:lineRule="auto"/>
        <w:rPr>
          <w:rFonts w:asciiTheme="majorHAnsi" w:hAnsiTheme="majorHAnsi" w:cstheme="minorBidi"/>
          <w:sz w:val="22"/>
          <w:szCs w:val="22"/>
        </w:rPr>
      </w:pPr>
      <w:r w:rsidRPr="00C11ED4">
        <w:rPr>
          <w:rFonts w:asciiTheme="majorHAnsi" w:hAnsiTheme="majorHAnsi" w:cstheme="minorBidi"/>
          <w:sz w:val="22"/>
          <w:szCs w:val="22"/>
        </w:rPr>
        <w:t xml:space="preserve">In an embryofetal development study in rabbits, maternal effects including decreased food consumption and body weight gains were evident for the combination group </w:t>
      </w:r>
      <w:r w:rsidRPr="00C11ED4">
        <w:rPr>
          <w:rFonts w:asciiTheme="majorHAnsi" w:hAnsiTheme="majorHAnsi"/>
          <w:sz w:val="22"/>
          <w:szCs w:val="22"/>
        </w:rPr>
        <w:t>(</w:t>
      </w:r>
      <w:proofErr w:type="spellStart"/>
      <w:r w:rsidRPr="00C11ED4">
        <w:rPr>
          <w:rFonts w:asciiTheme="majorHAnsi" w:hAnsiTheme="majorHAnsi"/>
          <w:sz w:val="22"/>
          <w:szCs w:val="22"/>
        </w:rPr>
        <w:t>cipaglucosidase</w:t>
      </w:r>
      <w:proofErr w:type="spellEnd"/>
      <w:r w:rsidRPr="00C11ED4">
        <w:rPr>
          <w:rFonts w:asciiTheme="majorHAnsi" w:hAnsiTheme="majorHAnsi"/>
          <w:sz w:val="22"/>
          <w:szCs w:val="22"/>
        </w:rPr>
        <w:t xml:space="preserve"> alfa 175 mg/kg </w:t>
      </w:r>
      <w:r w:rsidR="28764CF6" w:rsidRPr="00C11ED4">
        <w:rPr>
          <w:rFonts w:asciiTheme="majorHAnsi" w:hAnsiTheme="majorHAnsi"/>
          <w:sz w:val="22"/>
          <w:szCs w:val="22"/>
        </w:rPr>
        <w:t xml:space="preserve">IV </w:t>
      </w:r>
      <w:r w:rsidRPr="00C11ED4">
        <w:rPr>
          <w:rFonts w:asciiTheme="majorHAnsi" w:hAnsiTheme="majorHAnsi"/>
          <w:sz w:val="22"/>
          <w:szCs w:val="22"/>
        </w:rPr>
        <w:t xml:space="preserve">with oral </w:t>
      </w:r>
      <w:proofErr w:type="spellStart"/>
      <w:r w:rsidRPr="00C11ED4">
        <w:rPr>
          <w:rFonts w:asciiTheme="majorHAnsi" w:hAnsiTheme="majorHAnsi"/>
          <w:sz w:val="22"/>
          <w:szCs w:val="22"/>
        </w:rPr>
        <w:t>miglustat</w:t>
      </w:r>
      <w:proofErr w:type="spellEnd"/>
      <w:r w:rsidRPr="00C11ED4">
        <w:rPr>
          <w:rFonts w:asciiTheme="majorHAnsi" w:hAnsiTheme="majorHAnsi"/>
          <w:sz w:val="22"/>
          <w:szCs w:val="22"/>
        </w:rPr>
        <w:t xml:space="preserve"> 25 mg/kg)</w:t>
      </w:r>
      <w:r w:rsidRPr="00C11ED4">
        <w:rPr>
          <w:rFonts w:asciiTheme="majorHAnsi" w:hAnsiTheme="majorHAnsi" w:cstheme="minorBidi"/>
          <w:sz w:val="22"/>
          <w:szCs w:val="22"/>
        </w:rPr>
        <w:t xml:space="preserve">. Additionally, the results included an increase in cardiovascular malformations (aortic pulmonary trunk, ventricular septum defect, and dilated aortic arch) at 16-fold and 3-fold the exposure at the MRHD of </w:t>
      </w:r>
      <w:proofErr w:type="spellStart"/>
      <w:r w:rsidRPr="00C11ED4">
        <w:rPr>
          <w:rFonts w:asciiTheme="majorHAnsi" w:hAnsiTheme="majorHAnsi" w:cstheme="minorBidi"/>
          <w:sz w:val="22"/>
          <w:szCs w:val="22"/>
        </w:rPr>
        <w:t>cipaglucosidase</w:t>
      </w:r>
      <w:proofErr w:type="spellEnd"/>
      <w:r w:rsidRPr="00C11ED4">
        <w:rPr>
          <w:rFonts w:asciiTheme="majorHAnsi" w:hAnsiTheme="majorHAnsi" w:cstheme="minorBidi"/>
          <w:sz w:val="22"/>
          <w:szCs w:val="22"/>
        </w:rPr>
        <w:t xml:space="preserve"> alfa and </w:t>
      </w:r>
      <w:proofErr w:type="spellStart"/>
      <w:r w:rsidRPr="00C11ED4">
        <w:rPr>
          <w:rFonts w:asciiTheme="majorHAnsi" w:hAnsiTheme="majorHAnsi" w:cstheme="minorBidi"/>
          <w:sz w:val="22"/>
          <w:szCs w:val="22"/>
        </w:rPr>
        <w:t>miglustat</w:t>
      </w:r>
      <w:proofErr w:type="spellEnd"/>
      <w:r w:rsidRPr="00C11ED4">
        <w:rPr>
          <w:rFonts w:asciiTheme="majorHAnsi" w:hAnsiTheme="majorHAnsi" w:cstheme="minorBidi"/>
          <w:sz w:val="22"/>
          <w:szCs w:val="22"/>
        </w:rPr>
        <w:t>, respectively</w:t>
      </w:r>
      <w:r w:rsidR="1B2F1CF3" w:rsidRPr="00C11ED4">
        <w:rPr>
          <w:rFonts w:asciiTheme="majorHAnsi" w:hAnsiTheme="majorHAnsi" w:cstheme="minorBidi"/>
          <w:sz w:val="22"/>
          <w:szCs w:val="22"/>
        </w:rPr>
        <w:t>.</w:t>
      </w:r>
      <w:r w:rsidRPr="00C11ED4">
        <w:rPr>
          <w:rFonts w:asciiTheme="majorHAnsi" w:hAnsiTheme="majorHAnsi" w:cstheme="minorBidi"/>
          <w:sz w:val="22"/>
          <w:szCs w:val="22"/>
        </w:rPr>
        <w:t xml:space="preserve"> A NOAEL could not be established for the combination group since only one combination dose was tested. </w:t>
      </w:r>
    </w:p>
    <w:p w14:paraId="1674C11B" w14:textId="451E5484" w:rsidR="001A3992" w:rsidRPr="00C11ED4" w:rsidRDefault="001A3992" w:rsidP="006559EB">
      <w:pPr>
        <w:pStyle w:val="Heading3"/>
        <w:spacing w:before="0" w:after="200"/>
        <w:ind w:left="0"/>
        <w:rPr>
          <w:rFonts w:cstheme="minorHAnsi"/>
        </w:rPr>
      </w:pPr>
      <w:r w:rsidRPr="00C11ED4">
        <w:rPr>
          <w:rFonts w:cstheme="minorHAnsi"/>
        </w:rPr>
        <w:t xml:space="preserve">Use in lactation </w:t>
      </w:r>
    </w:p>
    <w:p w14:paraId="6A586CB2" w14:textId="6FC7FDC7" w:rsidR="00D96464" w:rsidRPr="00C11ED4" w:rsidRDefault="00D96464" w:rsidP="006559EB">
      <w:pPr>
        <w:rPr>
          <w:rFonts w:asciiTheme="majorHAnsi" w:hAnsiTheme="majorHAnsi"/>
        </w:rPr>
      </w:pPr>
      <w:r w:rsidRPr="00C11ED4">
        <w:rPr>
          <w:rFonts w:asciiTheme="majorHAnsi" w:hAnsiTheme="majorHAnsi"/>
        </w:rPr>
        <w:t xml:space="preserve">It is not known if </w:t>
      </w:r>
      <w:proofErr w:type="spellStart"/>
      <w:r w:rsidRPr="00C11ED4">
        <w:rPr>
          <w:rFonts w:asciiTheme="majorHAnsi" w:hAnsiTheme="majorHAnsi"/>
        </w:rPr>
        <w:t>cipaglucosidase</w:t>
      </w:r>
      <w:proofErr w:type="spellEnd"/>
      <w:r w:rsidRPr="00C11ED4">
        <w:rPr>
          <w:rFonts w:asciiTheme="majorHAnsi" w:hAnsiTheme="majorHAnsi"/>
        </w:rPr>
        <w:t xml:space="preserve"> alfa and </w:t>
      </w:r>
      <w:proofErr w:type="spellStart"/>
      <w:r w:rsidR="00492265" w:rsidRPr="00C11ED4">
        <w:rPr>
          <w:rFonts w:asciiTheme="majorHAnsi" w:hAnsiTheme="majorHAnsi"/>
        </w:rPr>
        <w:t>miglustat</w:t>
      </w:r>
      <w:proofErr w:type="spellEnd"/>
      <w:r w:rsidR="00B06E9D" w:rsidRPr="00C11ED4">
        <w:rPr>
          <w:rFonts w:asciiTheme="majorHAnsi" w:hAnsiTheme="majorHAnsi"/>
        </w:rPr>
        <w:t xml:space="preserve"> </w:t>
      </w:r>
      <w:r w:rsidRPr="00C11ED4">
        <w:rPr>
          <w:rFonts w:asciiTheme="majorHAnsi" w:hAnsiTheme="majorHAnsi"/>
        </w:rPr>
        <w:t xml:space="preserve">are secreted in human breast milk. Available pharmacodynamic/toxicological data in animals have shown secretion of </w:t>
      </w:r>
      <w:proofErr w:type="spellStart"/>
      <w:r w:rsidR="00E9475C" w:rsidRPr="00C11ED4">
        <w:rPr>
          <w:rFonts w:asciiTheme="majorHAnsi" w:hAnsiTheme="majorHAnsi"/>
        </w:rPr>
        <w:t>miglustat</w:t>
      </w:r>
      <w:proofErr w:type="spellEnd"/>
      <w:r w:rsidR="00E9475C" w:rsidRPr="00C11ED4">
        <w:rPr>
          <w:rFonts w:asciiTheme="majorHAnsi" w:hAnsiTheme="majorHAnsi"/>
        </w:rPr>
        <w:t xml:space="preserve"> and excretion of </w:t>
      </w:r>
      <w:proofErr w:type="spellStart"/>
      <w:r w:rsidR="00E97D85" w:rsidRPr="00C11ED4">
        <w:rPr>
          <w:rFonts w:asciiTheme="majorHAnsi" w:hAnsiTheme="majorHAnsi"/>
        </w:rPr>
        <w:t>cipa</w:t>
      </w:r>
      <w:r w:rsidR="008A05E9" w:rsidRPr="00C11ED4">
        <w:rPr>
          <w:rFonts w:asciiTheme="majorHAnsi" w:hAnsiTheme="majorHAnsi"/>
        </w:rPr>
        <w:t>glucosidase</w:t>
      </w:r>
      <w:proofErr w:type="spellEnd"/>
      <w:r w:rsidR="00251E71" w:rsidRPr="00C11ED4">
        <w:rPr>
          <w:rFonts w:asciiTheme="majorHAnsi" w:hAnsiTheme="majorHAnsi"/>
        </w:rPr>
        <w:t xml:space="preserve"> </w:t>
      </w:r>
      <w:r w:rsidRPr="00C11ED4">
        <w:rPr>
          <w:rFonts w:asciiTheme="majorHAnsi" w:hAnsiTheme="majorHAnsi"/>
        </w:rPr>
        <w:t xml:space="preserve">alfa in milk. A risk to newborns/infants cannot be excluded. </w:t>
      </w:r>
      <w:r w:rsidR="003F063E" w:rsidRPr="00C11ED4">
        <w:rPr>
          <w:rFonts w:asciiTheme="majorHAnsi" w:hAnsiTheme="majorHAnsi"/>
        </w:rPr>
        <w:t xml:space="preserve">Patients should be advised </w:t>
      </w:r>
      <w:r w:rsidRPr="00C11ED4">
        <w:rPr>
          <w:rFonts w:asciiTheme="majorHAnsi" w:hAnsiTheme="majorHAnsi"/>
        </w:rPr>
        <w:t xml:space="preserve">to discontinue breastfeeding </w:t>
      </w:r>
      <w:r w:rsidR="001529F7" w:rsidRPr="00C11ED4">
        <w:rPr>
          <w:rFonts w:asciiTheme="majorHAnsi" w:hAnsiTheme="majorHAnsi"/>
        </w:rPr>
        <w:t>while on treatment with POMBILITI in combination with OPFOLDA</w:t>
      </w:r>
      <w:r w:rsidRPr="00C11ED4">
        <w:rPr>
          <w:rFonts w:asciiTheme="majorHAnsi" w:hAnsiTheme="majorHAnsi"/>
        </w:rPr>
        <w:t>.</w:t>
      </w:r>
    </w:p>
    <w:p w14:paraId="2C57AEB9" w14:textId="1EFDDA2E" w:rsidR="007A36F0" w:rsidRPr="00C11ED4" w:rsidRDefault="59F6885F" w:rsidP="354D09DB">
      <w:pPr>
        <w:rPr>
          <w:rFonts w:asciiTheme="majorHAnsi" w:hAnsiTheme="majorHAnsi"/>
        </w:rPr>
      </w:pPr>
      <w:r w:rsidRPr="00C11ED4">
        <w:rPr>
          <w:rStyle w:val="C-BodyTextChar"/>
          <w:rFonts w:asciiTheme="majorHAnsi" w:eastAsiaTheme="majorEastAsia" w:hAnsiTheme="majorHAnsi"/>
          <w:sz w:val="22"/>
          <w:szCs w:val="22"/>
        </w:rPr>
        <w:lastRenderedPageBreak/>
        <w:t>In a pre-and post-natal development study in rats</w:t>
      </w:r>
      <w:r w:rsidR="00C8223A" w:rsidRPr="00C11ED4">
        <w:rPr>
          <w:rStyle w:val="C-BodyTextChar"/>
          <w:rFonts w:asciiTheme="majorHAnsi" w:eastAsiaTheme="majorEastAsia" w:hAnsiTheme="majorHAnsi"/>
          <w:sz w:val="22"/>
          <w:szCs w:val="22"/>
        </w:rPr>
        <w:t>,</w:t>
      </w:r>
      <w:r w:rsidRPr="00C11ED4">
        <w:rPr>
          <w:rStyle w:val="C-BodyTextChar"/>
          <w:rFonts w:asciiTheme="majorHAnsi" w:eastAsiaTheme="majorEastAsia" w:hAnsiTheme="majorHAnsi"/>
          <w:sz w:val="22"/>
          <w:szCs w:val="22"/>
        </w:rPr>
        <w:t xml:space="preserve"> </w:t>
      </w:r>
      <w:r w:rsidR="08ACAD18" w:rsidRPr="00C11ED4">
        <w:rPr>
          <w:rStyle w:val="C-BodyTextChar"/>
          <w:rFonts w:asciiTheme="majorHAnsi" w:eastAsiaTheme="majorEastAsia" w:hAnsiTheme="majorHAnsi"/>
          <w:sz w:val="22"/>
          <w:szCs w:val="22"/>
        </w:rPr>
        <w:t xml:space="preserve">increased maternal and pup mortality was observed following treatment with the combination of </w:t>
      </w:r>
      <w:proofErr w:type="spellStart"/>
      <w:r w:rsidR="08ACAD18" w:rsidRPr="00C11ED4">
        <w:rPr>
          <w:rStyle w:val="C-BodyTextChar"/>
          <w:rFonts w:asciiTheme="majorHAnsi" w:eastAsiaTheme="majorEastAsia" w:hAnsiTheme="majorHAnsi"/>
          <w:sz w:val="22"/>
          <w:szCs w:val="22"/>
        </w:rPr>
        <w:t>cipaglucosidase</w:t>
      </w:r>
      <w:proofErr w:type="spellEnd"/>
      <w:r w:rsidR="08ACAD18" w:rsidRPr="00C11ED4">
        <w:rPr>
          <w:rStyle w:val="C-BodyTextChar"/>
          <w:rFonts w:asciiTheme="majorHAnsi" w:eastAsiaTheme="majorEastAsia" w:hAnsiTheme="majorHAnsi"/>
          <w:sz w:val="22"/>
          <w:szCs w:val="22"/>
        </w:rPr>
        <w:t xml:space="preserve"> alfa and </w:t>
      </w:r>
      <w:proofErr w:type="spellStart"/>
      <w:r w:rsidR="08ACAD18" w:rsidRPr="00C11ED4">
        <w:rPr>
          <w:rStyle w:val="C-BodyTextChar"/>
          <w:rFonts w:asciiTheme="majorHAnsi" w:eastAsiaTheme="majorEastAsia" w:hAnsiTheme="majorHAnsi"/>
          <w:sz w:val="22"/>
          <w:szCs w:val="22"/>
        </w:rPr>
        <w:t>miglustat</w:t>
      </w:r>
      <w:proofErr w:type="spellEnd"/>
      <w:r w:rsidR="08ACAD18" w:rsidRPr="00C11ED4">
        <w:rPr>
          <w:rStyle w:val="C-BodyTextChar"/>
          <w:rFonts w:asciiTheme="majorHAnsi" w:eastAsiaTheme="majorEastAsia" w:hAnsiTheme="majorHAnsi"/>
          <w:sz w:val="22"/>
          <w:szCs w:val="22"/>
        </w:rPr>
        <w:t xml:space="preserve"> at doses of 400 mg/kg for </w:t>
      </w:r>
      <w:proofErr w:type="spellStart"/>
      <w:r w:rsidR="08ACAD18" w:rsidRPr="00C11ED4">
        <w:rPr>
          <w:rStyle w:val="C-BodyTextChar"/>
          <w:rFonts w:asciiTheme="majorHAnsi" w:eastAsiaTheme="majorEastAsia" w:hAnsiTheme="majorHAnsi"/>
          <w:sz w:val="22"/>
          <w:szCs w:val="22"/>
        </w:rPr>
        <w:t>cipaglucosidase</w:t>
      </w:r>
      <w:proofErr w:type="spellEnd"/>
      <w:r w:rsidR="08ACAD18" w:rsidRPr="00C11ED4">
        <w:rPr>
          <w:rStyle w:val="C-BodyTextChar"/>
          <w:rFonts w:asciiTheme="majorHAnsi" w:eastAsiaTheme="majorEastAsia" w:hAnsiTheme="majorHAnsi"/>
          <w:sz w:val="22"/>
          <w:szCs w:val="22"/>
        </w:rPr>
        <w:t xml:space="preserve"> alfa and 60 mg/kg </w:t>
      </w:r>
      <w:proofErr w:type="spellStart"/>
      <w:r w:rsidR="08ACAD18" w:rsidRPr="00C11ED4">
        <w:rPr>
          <w:rStyle w:val="C-BodyTextChar"/>
          <w:rFonts w:asciiTheme="majorHAnsi" w:eastAsiaTheme="majorEastAsia" w:hAnsiTheme="majorHAnsi"/>
          <w:sz w:val="22"/>
          <w:szCs w:val="22"/>
        </w:rPr>
        <w:t>miglustat</w:t>
      </w:r>
      <w:proofErr w:type="spellEnd"/>
      <w:r w:rsidR="08ACAD18" w:rsidRPr="00C11ED4">
        <w:rPr>
          <w:rStyle w:val="C-BodyTextChar"/>
          <w:rFonts w:asciiTheme="majorHAnsi" w:eastAsiaTheme="majorEastAsia" w:hAnsiTheme="majorHAnsi"/>
          <w:sz w:val="22"/>
          <w:szCs w:val="22"/>
        </w:rPr>
        <w:t xml:space="preserve"> every second day (20-fold and 4.1-fold the exposure for </w:t>
      </w:r>
      <w:proofErr w:type="spellStart"/>
      <w:r w:rsidR="08ACAD18" w:rsidRPr="00C11ED4">
        <w:rPr>
          <w:rStyle w:val="C-BodyTextChar"/>
          <w:rFonts w:asciiTheme="majorHAnsi" w:eastAsiaTheme="majorEastAsia" w:hAnsiTheme="majorHAnsi"/>
          <w:sz w:val="22"/>
          <w:szCs w:val="22"/>
        </w:rPr>
        <w:t>cipaglucosidase</w:t>
      </w:r>
      <w:proofErr w:type="spellEnd"/>
      <w:r w:rsidR="08ACAD18" w:rsidRPr="00C11ED4">
        <w:rPr>
          <w:rStyle w:val="C-BodyTextChar"/>
          <w:rFonts w:asciiTheme="majorHAnsi" w:eastAsiaTheme="majorEastAsia" w:hAnsiTheme="majorHAnsi"/>
          <w:sz w:val="22"/>
          <w:szCs w:val="22"/>
        </w:rPr>
        <w:t xml:space="preserve"> alfa and </w:t>
      </w:r>
      <w:proofErr w:type="spellStart"/>
      <w:r w:rsidR="08ACAD18" w:rsidRPr="00C11ED4">
        <w:rPr>
          <w:rStyle w:val="C-BodyTextChar"/>
          <w:rFonts w:asciiTheme="majorHAnsi" w:eastAsiaTheme="majorEastAsia" w:hAnsiTheme="majorHAnsi"/>
          <w:sz w:val="22"/>
          <w:szCs w:val="22"/>
        </w:rPr>
        <w:t>miglustat</w:t>
      </w:r>
      <w:proofErr w:type="spellEnd"/>
      <w:r w:rsidR="08ACAD18" w:rsidRPr="00C11ED4">
        <w:rPr>
          <w:rStyle w:val="C-BodyTextChar"/>
          <w:rFonts w:asciiTheme="majorHAnsi" w:eastAsiaTheme="majorEastAsia" w:hAnsiTheme="majorHAnsi"/>
          <w:sz w:val="22"/>
          <w:szCs w:val="22"/>
        </w:rPr>
        <w:t xml:space="preserve"> at the MRHD, respectively</w:t>
      </w:r>
      <w:r w:rsidR="003A0FEB" w:rsidRPr="00C11ED4">
        <w:rPr>
          <w:rStyle w:val="C-BodyTextChar"/>
          <w:rFonts w:asciiTheme="majorHAnsi" w:eastAsiaTheme="majorEastAsia" w:hAnsiTheme="majorHAnsi"/>
          <w:sz w:val="22"/>
          <w:szCs w:val="22"/>
        </w:rPr>
        <w:t>)</w:t>
      </w:r>
      <w:r w:rsidR="071CBED4" w:rsidRPr="00C11ED4">
        <w:rPr>
          <w:rStyle w:val="C-BodyTextChar"/>
          <w:rFonts w:asciiTheme="majorHAnsi" w:eastAsiaTheme="majorEastAsia" w:hAnsiTheme="majorHAnsi"/>
          <w:sz w:val="22"/>
          <w:szCs w:val="22"/>
        </w:rPr>
        <w:t>.</w:t>
      </w:r>
      <w:r w:rsidR="2BB1E472" w:rsidRPr="00C11ED4">
        <w:t xml:space="preserve"> </w:t>
      </w:r>
      <w:r w:rsidR="2BB1E472" w:rsidRPr="00C11ED4">
        <w:rPr>
          <w:rStyle w:val="C-BodyTextChar"/>
          <w:rFonts w:asciiTheme="majorHAnsi" w:eastAsiaTheme="majorEastAsia" w:hAnsiTheme="majorHAnsi"/>
          <w:sz w:val="22"/>
          <w:szCs w:val="22"/>
        </w:rPr>
        <w:t xml:space="preserve">Decreased pup weight was also observed following treatment with the combination at this dose. </w:t>
      </w:r>
      <w:r w:rsidRPr="00C11ED4">
        <w:rPr>
          <w:rStyle w:val="C-BodyTextChar"/>
          <w:rFonts w:asciiTheme="majorHAnsi" w:eastAsiaTheme="majorEastAsia" w:hAnsiTheme="majorHAnsi"/>
          <w:sz w:val="22"/>
          <w:szCs w:val="22"/>
        </w:rPr>
        <w:t xml:space="preserve">Evaluation of milk in rats from the combination treatment group showed secretion of </w:t>
      </w:r>
      <w:proofErr w:type="spellStart"/>
      <w:r w:rsidRPr="00C11ED4">
        <w:rPr>
          <w:rStyle w:val="C-BodyTextChar"/>
          <w:rFonts w:asciiTheme="majorHAnsi" w:eastAsiaTheme="majorEastAsia" w:hAnsiTheme="majorHAnsi"/>
          <w:sz w:val="22"/>
          <w:szCs w:val="22"/>
        </w:rPr>
        <w:t>miglustat</w:t>
      </w:r>
      <w:proofErr w:type="spellEnd"/>
      <w:r w:rsidRPr="00C11ED4">
        <w:rPr>
          <w:rStyle w:val="C-BodyTextChar"/>
          <w:rFonts w:asciiTheme="majorHAnsi" w:eastAsiaTheme="majorEastAsia" w:hAnsiTheme="majorHAnsi"/>
          <w:sz w:val="22"/>
          <w:szCs w:val="22"/>
        </w:rPr>
        <w:t xml:space="preserve"> and excretion of </w:t>
      </w:r>
      <w:proofErr w:type="spellStart"/>
      <w:r w:rsidRPr="00C11ED4">
        <w:rPr>
          <w:rStyle w:val="C-BodyTextChar"/>
          <w:rFonts w:asciiTheme="majorHAnsi" w:eastAsiaTheme="majorEastAsia" w:hAnsiTheme="majorHAnsi"/>
          <w:sz w:val="22"/>
          <w:szCs w:val="22"/>
        </w:rPr>
        <w:t>cipaglucosidase</w:t>
      </w:r>
      <w:proofErr w:type="spellEnd"/>
      <w:r w:rsidRPr="00C11ED4">
        <w:rPr>
          <w:rStyle w:val="C-BodyTextChar"/>
          <w:rFonts w:asciiTheme="majorHAnsi" w:eastAsiaTheme="majorEastAsia" w:hAnsiTheme="majorHAnsi"/>
          <w:sz w:val="22"/>
          <w:szCs w:val="22"/>
        </w:rPr>
        <w:t xml:space="preserve"> alfa in rat milk.</w:t>
      </w:r>
      <w:r w:rsidRPr="00C11ED4">
        <w:t xml:space="preserve"> </w:t>
      </w:r>
    </w:p>
    <w:p w14:paraId="1820ECB2" w14:textId="77777777" w:rsidR="001A3992" w:rsidRPr="00C11ED4" w:rsidRDefault="001A3992" w:rsidP="006559EB">
      <w:pPr>
        <w:pStyle w:val="Heading2"/>
        <w:keepNext/>
        <w:spacing w:before="0"/>
        <w:rPr>
          <w:rFonts w:cstheme="minorHAnsi"/>
        </w:rPr>
      </w:pPr>
      <w:r w:rsidRPr="00C11ED4">
        <w:rPr>
          <w:rFonts w:cstheme="minorHAnsi"/>
        </w:rPr>
        <w:t xml:space="preserve">Effects on ability to drive and use machines </w:t>
      </w:r>
    </w:p>
    <w:p w14:paraId="74D166C0" w14:textId="5A88EF0E" w:rsidR="00E12547" w:rsidRPr="00C11ED4" w:rsidRDefault="002F4D96" w:rsidP="006559EB">
      <w:pPr>
        <w:pStyle w:val="C-BodyText"/>
        <w:spacing w:before="0" w:after="200" w:line="276" w:lineRule="auto"/>
        <w:rPr>
          <w:rFonts w:asciiTheme="majorHAnsi" w:hAnsiTheme="majorHAnsi"/>
          <w:sz w:val="22"/>
          <w:szCs w:val="22"/>
        </w:rPr>
      </w:pPr>
      <w:bookmarkStart w:id="3" w:name="_Hlk88732070"/>
      <w:r w:rsidRPr="00C11ED4">
        <w:rPr>
          <w:rFonts w:asciiTheme="majorHAnsi" w:hAnsiTheme="majorHAnsi"/>
          <w:sz w:val="22"/>
          <w:szCs w:val="22"/>
        </w:rPr>
        <w:t>POMBILITI</w:t>
      </w:r>
      <w:r w:rsidR="00E12547" w:rsidRPr="00C11ED4">
        <w:rPr>
          <w:rFonts w:asciiTheme="majorHAnsi" w:hAnsiTheme="majorHAnsi"/>
          <w:sz w:val="22"/>
          <w:szCs w:val="22"/>
        </w:rPr>
        <w:t xml:space="preserve"> </w:t>
      </w:r>
      <w:r w:rsidR="008F7893" w:rsidRPr="00C11ED4">
        <w:rPr>
          <w:rFonts w:asciiTheme="majorHAnsi" w:hAnsiTheme="majorHAnsi"/>
          <w:sz w:val="22"/>
          <w:szCs w:val="22"/>
        </w:rPr>
        <w:t xml:space="preserve">may have </w:t>
      </w:r>
      <w:r w:rsidR="00E12547" w:rsidRPr="00C11ED4">
        <w:rPr>
          <w:rFonts w:asciiTheme="majorHAnsi" w:hAnsiTheme="majorHAnsi"/>
          <w:sz w:val="22"/>
          <w:szCs w:val="22"/>
        </w:rPr>
        <w:t xml:space="preserve">minor influence on the ability to drive and to use machines since dizziness, hypotension, and somnolence have been reported as adverse reactions. Caution is required when driving or using any tools or machines after receiving </w:t>
      </w:r>
      <w:r w:rsidRPr="00C11ED4">
        <w:rPr>
          <w:rFonts w:asciiTheme="majorHAnsi" w:hAnsiTheme="majorHAnsi"/>
          <w:sz w:val="22"/>
          <w:szCs w:val="22"/>
        </w:rPr>
        <w:t>POMBILITI</w:t>
      </w:r>
      <w:r w:rsidR="00E12547" w:rsidRPr="00C11ED4">
        <w:rPr>
          <w:rFonts w:asciiTheme="majorHAnsi" w:hAnsiTheme="majorHAnsi"/>
          <w:sz w:val="22"/>
          <w:szCs w:val="22"/>
        </w:rPr>
        <w:t>.</w:t>
      </w:r>
      <w:bookmarkEnd w:id="3"/>
    </w:p>
    <w:p w14:paraId="27F6FD3F" w14:textId="77777777" w:rsidR="001A3992" w:rsidRPr="00C11ED4" w:rsidRDefault="001A3992" w:rsidP="006559EB">
      <w:pPr>
        <w:pStyle w:val="Heading2"/>
        <w:keepNext/>
        <w:keepLines/>
        <w:spacing w:before="0"/>
        <w:rPr>
          <w:rFonts w:cstheme="minorHAnsi"/>
        </w:rPr>
      </w:pPr>
      <w:r w:rsidRPr="00C11ED4">
        <w:rPr>
          <w:rFonts w:cstheme="minorHAnsi"/>
        </w:rPr>
        <w:t>Adverse effects (Undesirable effects)</w:t>
      </w:r>
    </w:p>
    <w:p w14:paraId="13BFF7C9" w14:textId="77777777" w:rsidR="005B7515" w:rsidRPr="00C11ED4" w:rsidRDefault="005B7515" w:rsidP="005B7515">
      <w:pPr>
        <w:pStyle w:val="C-BodyText"/>
        <w:keepNext/>
        <w:spacing w:before="0" w:after="200" w:line="276" w:lineRule="auto"/>
        <w:rPr>
          <w:rFonts w:asciiTheme="majorHAnsi" w:hAnsiTheme="majorHAnsi"/>
          <w:b/>
          <w:bCs/>
          <w:sz w:val="22"/>
          <w:szCs w:val="22"/>
          <w:lang w:val="en-GB"/>
        </w:rPr>
      </w:pPr>
      <w:r w:rsidRPr="00C11ED4">
        <w:rPr>
          <w:rFonts w:asciiTheme="majorHAnsi" w:hAnsiTheme="majorHAnsi"/>
          <w:b/>
          <w:bCs/>
          <w:sz w:val="22"/>
          <w:szCs w:val="22"/>
          <w:lang w:val="en-GB"/>
        </w:rPr>
        <w:t>Summary of the safety profile</w:t>
      </w:r>
    </w:p>
    <w:p w14:paraId="6357F805" w14:textId="25E9696D" w:rsidR="008E4720" w:rsidRPr="00C11ED4" w:rsidRDefault="008E4720" w:rsidP="008E4720">
      <w:pPr>
        <w:pStyle w:val="C-BodyText"/>
        <w:keepNext/>
        <w:rPr>
          <w:rFonts w:asciiTheme="majorHAnsi" w:eastAsiaTheme="minorHAnsi" w:hAnsiTheme="majorHAnsi" w:cstheme="minorBidi"/>
          <w:sz w:val="22"/>
          <w:szCs w:val="22"/>
          <w:lang w:val="en-AU"/>
        </w:rPr>
      </w:pPr>
      <w:r w:rsidRPr="00C11ED4">
        <w:rPr>
          <w:rFonts w:asciiTheme="majorHAnsi" w:eastAsiaTheme="minorHAnsi" w:hAnsiTheme="majorHAnsi" w:cstheme="minorBidi"/>
          <w:sz w:val="22"/>
          <w:szCs w:val="22"/>
          <w:lang w:val="en-AU"/>
        </w:rPr>
        <w:t xml:space="preserve">The pooled safety analysis from 3 clinical trials included 151 adult patients with late-onset Pompe disease (LOPD) treated with POMBILITI in combination with </w:t>
      </w:r>
      <w:r w:rsidR="001E7DD3" w:rsidRPr="00C11ED4">
        <w:rPr>
          <w:rFonts w:asciiTheme="majorHAnsi" w:eastAsiaTheme="minorHAnsi" w:hAnsiTheme="majorHAnsi" w:cstheme="minorBidi"/>
          <w:sz w:val="22"/>
          <w:szCs w:val="22"/>
          <w:lang w:val="en-AU"/>
        </w:rPr>
        <w:t>OPFOLDA</w:t>
      </w:r>
      <w:r w:rsidRPr="00C11ED4">
        <w:rPr>
          <w:rFonts w:asciiTheme="majorHAnsi" w:eastAsiaTheme="minorHAnsi" w:hAnsiTheme="majorHAnsi" w:cstheme="minorBidi"/>
          <w:sz w:val="22"/>
          <w:szCs w:val="22"/>
          <w:lang w:val="en-AU"/>
        </w:rPr>
        <w:t xml:space="preserve"> including:</w:t>
      </w:r>
    </w:p>
    <w:p w14:paraId="215C6C06" w14:textId="025E8484" w:rsidR="008E4720" w:rsidRPr="00C11ED4" w:rsidRDefault="008E4720" w:rsidP="008E4720">
      <w:pPr>
        <w:pStyle w:val="C-BodyText"/>
        <w:keepNext/>
        <w:numPr>
          <w:ilvl w:val="0"/>
          <w:numId w:val="12"/>
        </w:numPr>
        <w:rPr>
          <w:rFonts w:asciiTheme="majorHAnsi" w:eastAsiaTheme="minorHAnsi" w:hAnsiTheme="majorHAnsi" w:cstheme="minorBidi"/>
          <w:sz w:val="22"/>
          <w:szCs w:val="22"/>
          <w:lang w:val="en-AU"/>
        </w:rPr>
      </w:pPr>
      <w:r w:rsidRPr="00C11ED4">
        <w:rPr>
          <w:rFonts w:asciiTheme="majorHAnsi" w:eastAsiaTheme="minorHAnsi" w:hAnsiTheme="majorHAnsi" w:cstheme="minorBidi"/>
          <w:sz w:val="22"/>
          <w:szCs w:val="22"/>
          <w:lang w:val="en-AU"/>
        </w:rPr>
        <w:t>85 patients in the randomi</w:t>
      </w:r>
      <w:r w:rsidR="00CE1518" w:rsidRPr="00C11ED4">
        <w:rPr>
          <w:rFonts w:asciiTheme="majorHAnsi" w:eastAsiaTheme="minorHAnsi" w:hAnsiTheme="majorHAnsi" w:cstheme="minorBidi"/>
          <w:sz w:val="22"/>
          <w:szCs w:val="22"/>
          <w:lang w:val="en-AU"/>
        </w:rPr>
        <w:t>s</w:t>
      </w:r>
      <w:r w:rsidRPr="00C11ED4">
        <w:rPr>
          <w:rFonts w:asciiTheme="majorHAnsi" w:eastAsiaTheme="minorHAnsi" w:hAnsiTheme="majorHAnsi" w:cstheme="minorBidi"/>
          <w:sz w:val="22"/>
          <w:szCs w:val="22"/>
          <w:lang w:val="en-AU"/>
        </w:rPr>
        <w:t xml:space="preserve">ed, double-blind, active-controlled trial in adults </w:t>
      </w:r>
      <w:r w:rsidR="00837B84" w:rsidRPr="00C11ED4">
        <w:rPr>
          <w:rFonts w:asciiTheme="majorHAnsi" w:eastAsiaTheme="minorHAnsi" w:hAnsiTheme="majorHAnsi" w:cstheme="minorBidi"/>
          <w:sz w:val="22"/>
          <w:szCs w:val="22"/>
          <w:lang w:val="en-AU"/>
        </w:rPr>
        <w:t>(</w:t>
      </w:r>
      <w:r w:rsidR="00164FA8" w:rsidRPr="00C11ED4">
        <w:rPr>
          <w:rFonts w:asciiTheme="majorHAnsi" w:eastAsiaTheme="minorHAnsi" w:hAnsiTheme="majorHAnsi" w:cstheme="minorBidi"/>
          <w:sz w:val="22"/>
          <w:szCs w:val="22"/>
          <w:lang w:val="en-AU"/>
        </w:rPr>
        <w:t xml:space="preserve">the PROPEL trial; </w:t>
      </w:r>
      <w:r w:rsidRPr="00C11ED4">
        <w:rPr>
          <w:rFonts w:asciiTheme="majorHAnsi" w:eastAsiaTheme="minorHAnsi" w:hAnsiTheme="majorHAnsi" w:cstheme="minorBidi"/>
          <w:sz w:val="22"/>
          <w:szCs w:val="22"/>
          <w:lang w:val="en-AU"/>
        </w:rPr>
        <w:t xml:space="preserve">see </w:t>
      </w:r>
      <w:r w:rsidR="00B236A4" w:rsidRPr="00C11ED4">
        <w:rPr>
          <w:rFonts w:asciiTheme="majorHAnsi" w:eastAsiaTheme="minorHAnsi" w:hAnsiTheme="majorHAnsi" w:cstheme="minorBidi"/>
          <w:sz w:val="22"/>
          <w:szCs w:val="22"/>
          <w:lang w:val="en-AU"/>
        </w:rPr>
        <w:t xml:space="preserve">Section </w:t>
      </w:r>
      <w:r w:rsidR="0056056B" w:rsidRPr="00C11ED4">
        <w:rPr>
          <w:rFonts w:asciiTheme="majorHAnsi" w:eastAsiaTheme="minorHAnsi" w:hAnsiTheme="majorHAnsi" w:cstheme="minorBidi"/>
          <w:sz w:val="22"/>
          <w:szCs w:val="22"/>
          <w:lang w:val="en-AU"/>
        </w:rPr>
        <w:t>5.1 PHARMACODYNAMIC PROPERTIES</w:t>
      </w:r>
      <w:r w:rsidR="00837B84" w:rsidRPr="00C11ED4">
        <w:rPr>
          <w:rFonts w:asciiTheme="majorHAnsi" w:eastAsiaTheme="minorHAnsi" w:hAnsiTheme="majorHAnsi" w:cstheme="minorBidi"/>
          <w:sz w:val="22"/>
          <w:szCs w:val="22"/>
          <w:lang w:val="en-AU"/>
        </w:rPr>
        <w:t>)</w:t>
      </w:r>
      <w:r w:rsidRPr="00C11ED4">
        <w:rPr>
          <w:rFonts w:asciiTheme="majorHAnsi" w:eastAsiaTheme="minorHAnsi" w:hAnsiTheme="majorHAnsi" w:cstheme="minorBidi"/>
          <w:sz w:val="22"/>
          <w:szCs w:val="22"/>
          <w:lang w:val="en-AU"/>
        </w:rPr>
        <w:t>,</w:t>
      </w:r>
    </w:p>
    <w:p w14:paraId="444CC9C3" w14:textId="662C33C6" w:rsidR="008E4720" w:rsidRPr="00C11ED4" w:rsidRDefault="008E4720" w:rsidP="008E4720">
      <w:pPr>
        <w:pStyle w:val="C-BodyText"/>
        <w:keepNext/>
        <w:numPr>
          <w:ilvl w:val="0"/>
          <w:numId w:val="12"/>
        </w:numPr>
        <w:rPr>
          <w:rFonts w:asciiTheme="majorHAnsi" w:eastAsiaTheme="minorHAnsi" w:hAnsiTheme="majorHAnsi" w:cstheme="minorBidi"/>
          <w:sz w:val="22"/>
          <w:szCs w:val="22"/>
          <w:lang w:val="en-AU"/>
        </w:rPr>
      </w:pPr>
      <w:r w:rsidRPr="00C11ED4">
        <w:rPr>
          <w:rFonts w:asciiTheme="majorHAnsi" w:eastAsiaTheme="minorHAnsi" w:hAnsiTheme="majorHAnsi" w:cstheme="minorBidi"/>
          <w:sz w:val="22"/>
          <w:szCs w:val="22"/>
          <w:lang w:val="en-AU"/>
        </w:rPr>
        <w:t>37 patients in the open-label extension trial where patients switched from a</w:t>
      </w:r>
      <w:r w:rsidR="00223AB9" w:rsidRPr="00C11ED4">
        <w:rPr>
          <w:rFonts w:asciiTheme="majorHAnsi" w:eastAsiaTheme="minorHAnsi" w:hAnsiTheme="majorHAnsi" w:cstheme="minorBidi"/>
          <w:sz w:val="22"/>
          <w:szCs w:val="22"/>
          <w:lang w:val="en-AU"/>
        </w:rPr>
        <w:t>n</w:t>
      </w:r>
      <w:r w:rsidRPr="00C11ED4">
        <w:rPr>
          <w:rFonts w:asciiTheme="majorHAnsi" w:eastAsiaTheme="minorHAnsi" w:hAnsiTheme="majorHAnsi" w:cstheme="minorBidi"/>
          <w:sz w:val="22"/>
          <w:szCs w:val="22"/>
          <w:lang w:val="en-AU"/>
        </w:rPr>
        <w:t xml:space="preserve"> approved </w:t>
      </w:r>
      <w:proofErr w:type="spellStart"/>
      <w:r w:rsidRPr="00C11ED4">
        <w:rPr>
          <w:rFonts w:asciiTheme="majorHAnsi" w:eastAsiaTheme="minorHAnsi" w:hAnsiTheme="majorHAnsi" w:cstheme="minorBidi"/>
          <w:sz w:val="22"/>
          <w:szCs w:val="22"/>
          <w:lang w:val="en-AU"/>
        </w:rPr>
        <w:t>alglucosidase</w:t>
      </w:r>
      <w:proofErr w:type="spellEnd"/>
      <w:r w:rsidRPr="00C11ED4">
        <w:rPr>
          <w:rFonts w:asciiTheme="majorHAnsi" w:eastAsiaTheme="minorHAnsi" w:hAnsiTheme="majorHAnsi" w:cstheme="minorBidi"/>
          <w:sz w:val="22"/>
          <w:szCs w:val="22"/>
          <w:lang w:val="en-AU"/>
        </w:rPr>
        <w:t xml:space="preserve"> alfa product </w:t>
      </w:r>
      <w:r w:rsidR="00CE1518" w:rsidRPr="00C11ED4">
        <w:rPr>
          <w:rFonts w:asciiTheme="majorHAnsi" w:eastAsiaTheme="minorHAnsi" w:hAnsiTheme="majorHAnsi" w:cstheme="minorBidi"/>
          <w:sz w:val="22"/>
          <w:szCs w:val="22"/>
          <w:lang w:val="en-AU"/>
        </w:rPr>
        <w:t>in the PROPEL trial</w:t>
      </w:r>
      <w:r w:rsidRPr="00C11ED4">
        <w:rPr>
          <w:rFonts w:asciiTheme="majorHAnsi" w:eastAsiaTheme="minorHAnsi" w:hAnsiTheme="majorHAnsi" w:cstheme="minorBidi"/>
          <w:sz w:val="22"/>
          <w:szCs w:val="22"/>
          <w:lang w:val="en-AU"/>
        </w:rPr>
        <w:t xml:space="preserve"> </w:t>
      </w:r>
      <w:r w:rsidR="00837B84" w:rsidRPr="00C11ED4">
        <w:rPr>
          <w:rFonts w:asciiTheme="majorHAnsi" w:eastAsiaTheme="minorHAnsi" w:hAnsiTheme="majorHAnsi" w:cstheme="minorBidi"/>
          <w:sz w:val="22"/>
          <w:szCs w:val="22"/>
          <w:lang w:val="en-AU"/>
        </w:rPr>
        <w:t>(</w:t>
      </w:r>
      <w:r w:rsidR="0056056B" w:rsidRPr="00C11ED4">
        <w:rPr>
          <w:rFonts w:asciiTheme="majorHAnsi" w:eastAsiaTheme="minorHAnsi" w:hAnsiTheme="majorHAnsi" w:cstheme="minorBidi"/>
          <w:sz w:val="22"/>
          <w:szCs w:val="22"/>
          <w:lang w:val="en-AU"/>
        </w:rPr>
        <w:t xml:space="preserve">see </w:t>
      </w:r>
      <w:r w:rsidR="00B236A4" w:rsidRPr="00C11ED4">
        <w:rPr>
          <w:rFonts w:asciiTheme="majorHAnsi" w:eastAsiaTheme="minorHAnsi" w:hAnsiTheme="majorHAnsi" w:cstheme="minorBidi"/>
          <w:sz w:val="22"/>
          <w:szCs w:val="22"/>
          <w:lang w:val="en-AU"/>
        </w:rPr>
        <w:t xml:space="preserve">Section </w:t>
      </w:r>
      <w:r w:rsidR="0056056B" w:rsidRPr="00C11ED4">
        <w:rPr>
          <w:rFonts w:asciiTheme="majorHAnsi" w:eastAsiaTheme="minorHAnsi" w:hAnsiTheme="majorHAnsi" w:cstheme="minorBidi"/>
          <w:sz w:val="22"/>
          <w:szCs w:val="22"/>
          <w:lang w:val="en-AU"/>
        </w:rPr>
        <w:t>5.1 PHARMACODYNAMIC PROPERTIES</w:t>
      </w:r>
      <w:r w:rsidR="00837B84" w:rsidRPr="00C11ED4">
        <w:rPr>
          <w:rFonts w:asciiTheme="majorHAnsi" w:eastAsiaTheme="minorHAnsi" w:hAnsiTheme="majorHAnsi" w:cstheme="minorBidi"/>
          <w:sz w:val="22"/>
          <w:szCs w:val="22"/>
          <w:lang w:val="en-AU"/>
        </w:rPr>
        <w:t>)</w:t>
      </w:r>
      <w:r w:rsidRPr="00C11ED4">
        <w:rPr>
          <w:rFonts w:asciiTheme="majorHAnsi" w:eastAsiaTheme="minorHAnsi" w:hAnsiTheme="majorHAnsi" w:cstheme="minorBidi"/>
          <w:sz w:val="22"/>
          <w:szCs w:val="22"/>
          <w:lang w:val="en-AU"/>
        </w:rPr>
        <w:t xml:space="preserve"> to POMBILITI in combination with </w:t>
      </w:r>
      <w:r w:rsidR="0056056B" w:rsidRPr="00C11ED4">
        <w:rPr>
          <w:rFonts w:asciiTheme="majorHAnsi" w:eastAsiaTheme="minorHAnsi" w:hAnsiTheme="majorHAnsi" w:cstheme="minorBidi"/>
          <w:sz w:val="22"/>
          <w:szCs w:val="22"/>
          <w:lang w:val="en-AU"/>
        </w:rPr>
        <w:t>OPFOLDA</w:t>
      </w:r>
      <w:r w:rsidRPr="00C11ED4">
        <w:rPr>
          <w:rFonts w:asciiTheme="majorHAnsi" w:eastAsiaTheme="minorHAnsi" w:hAnsiTheme="majorHAnsi" w:cstheme="minorBidi"/>
          <w:sz w:val="22"/>
          <w:szCs w:val="22"/>
          <w:lang w:val="en-AU"/>
        </w:rPr>
        <w:t>,</w:t>
      </w:r>
    </w:p>
    <w:p w14:paraId="560FE336" w14:textId="1E191BD0" w:rsidR="003D4B08" w:rsidRPr="00C11ED4" w:rsidRDefault="008E4720" w:rsidP="008E4720">
      <w:pPr>
        <w:pStyle w:val="C-BodyText"/>
        <w:keepNext/>
        <w:numPr>
          <w:ilvl w:val="0"/>
          <w:numId w:val="12"/>
        </w:numPr>
        <w:rPr>
          <w:rFonts w:asciiTheme="majorHAnsi" w:eastAsiaTheme="minorHAnsi" w:hAnsiTheme="majorHAnsi" w:cstheme="minorBidi"/>
          <w:sz w:val="22"/>
          <w:szCs w:val="22"/>
          <w:lang w:val="en-AU"/>
        </w:rPr>
      </w:pPr>
      <w:r w:rsidRPr="00C11ED4">
        <w:rPr>
          <w:rFonts w:asciiTheme="majorHAnsi" w:eastAsiaTheme="minorHAnsi" w:hAnsiTheme="majorHAnsi" w:cstheme="minorBidi"/>
          <w:sz w:val="22"/>
          <w:szCs w:val="22"/>
          <w:lang w:val="en-AU"/>
        </w:rPr>
        <w:t>29 patients in an open-label trial.</w:t>
      </w:r>
    </w:p>
    <w:p w14:paraId="3BF5ED1F" w14:textId="1E0FF715" w:rsidR="00650FA6" w:rsidRPr="00C11ED4" w:rsidRDefault="00650FA6" w:rsidP="006559EB">
      <w:pPr>
        <w:rPr>
          <w:rFonts w:asciiTheme="majorHAnsi" w:hAnsiTheme="majorHAnsi"/>
        </w:rPr>
      </w:pPr>
      <w:r w:rsidRPr="00C11ED4">
        <w:rPr>
          <w:rFonts w:asciiTheme="majorHAnsi" w:hAnsiTheme="majorHAnsi"/>
        </w:rPr>
        <w:t xml:space="preserve">The most common reported adverse reactions </w:t>
      </w:r>
      <w:r w:rsidR="00AD2FB6" w:rsidRPr="00C11ED4">
        <w:rPr>
          <w:rFonts w:asciiTheme="majorHAnsi" w:hAnsiTheme="majorHAnsi"/>
        </w:rPr>
        <w:t xml:space="preserve">(≥ 5%) reported in </w:t>
      </w:r>
      <w:r w:rsidR="006969F8" w:rsidRPr="00C11ED4">
        <w:rPr>
          <w:rFonts w:asciiTheme="majorHAnsi" w:hAnsiTheme="majorHAnsi"/>
        </w:rPr>
        <w:t>POMBILITI-OPFOLDA</w:t>
      </w:r>
      <w:r w:rsidR="00AD2FB6" w:rsidRPr="00C11ED4">
        <w:rPr>
          <w:rFonts w:asciiTheme="majorHAnsi" w:hAnsiTheme="majorHAnsi"/>
        </w:rPr>
        <w:t xml:space="preserve"> treated subjects in all 3 studies were headache, diarrhoea, fatigue, nausea, abdominal pain, pyrexia, and chills.</w:t>
      </w:r>
    </w:p>
    <w:p w14:paraId="7DDD8B91" w14:textId="10DAB6B3" w:rsidR="00650FA6" w:rsidRPr="00C11ED4" w:rsidRDefault="00650FA6"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Reported serious adverse reactions </w:t>
      </w:r>
      <w:r w:rsidR="00D46CCF" w:rsidRPr="00C11ED4">
        <w:rPr>
          <w:rFonts w:asciiTheme="majorHAnsi" w:hAnsiTheme="majorHAnsi"/>
          <w:sz w:val="22"/>
          <w:szCs w:val="22"/>
        </w:rPr>
        <w:t>in all 3 studies were urticaria (2.0%), anaphylaxis (1.3%), chills (0.7</w:t>
      </w:r>
      <w:r w:rsidR="004348DA" w:rsidRPr="00C11ED4">
        <w:rPr>
          <w:rFonts w:asciiTheme="majorHAnsi" w:hAnsiTheme="majorHAnsi"/>
          <w:sz w:val="22"/>
          <w:szCs w:val="22"/>
        </w:rPr>
        <w:t>%</w:t>
      </w:r>
      <w:r w:rsidR="00D46CCF" w:rsidRPr="00C11ED4">
        <w:rPr>
          <w:rFonts w:asciiTheme="majorHAnsi" w:hAnsiTheme="majorHAnsi"/>
          <w:sz w:val="22"/>
          <w:szCs w:val="22"/>
        </w:rPr>
        <w:t>), cough (0.7</w:t>
      </w:r>
      <w:r w:rsidR="004348DA" w:rsidRPr="00C11ED4">
        <w:rPr>
          <w:rFonts w:asciiTheme="majorHAnsi" w:hAnsiTheme="majorHAnsi"/>
          <w:sz w:val="22"/>
          <w:szCs w:val="22"/>
        </w:rPr>
        <w:t>%</w:t>
      </w:r>
      <w:r w:rsidR="00D46CCF" w:rsidRPr="00C11ED4">
        <w:rPr>
          <w:rFonts w:asciiTheme="majorHAnsi" w:hAnsiTheme="majorHAnsi"/>
          <w:sz w:val="22"/>
          <w:szCs w:val="22"/>
        </w:rPr>
        <w:t>), flushing (0.7</w:t>
      </w:r>
      <w:r w:rsidR="004348DA" w:rsidRPr="00C11ED4">
        <w:rPr>
          <w:rFonts w:asciiTheme="majorHAnsi" w:hAnsiTheme="majorHAnsi"/>
          <w:sz w:val="22"/>
          <w:szCs w:val="22"/>
        </w:rPr>
        <w:t>%</w:t>
      </w:r>
      <w:r w:rsidR="00D46CCF" w:rsidRPr="00C11ED4">
        <w:rPr>
          <w:rFonts w:asciiTheme="majorHAnsi" w:hAnsiTheme="majorHAnsi"/>
          <w:sz w:val="22"/>
          <w:szCs w:val="22"/>
        </w:rPr>
        <w:t xml:space="preserve">), pyrexia (0.7%), presyncope (0.7%), </w:t>
      </w:r>
      <w:proofErr w:type="spellStart"/>
      <w:r w:rsidR="00D46CCF" w:rsidRPr="00C11ED4">
        <w:rPr>
          <w:rFonts w:asciiTheme="majorHAnsi" w:hAnsiTheme="majorHAnsi"/>
          <w:sz w:val="22"/>
          <w:szCs w:val="22"/>
        </w:rPr>
        <w:t>dyspnoea</w:t>
      </w:r>
      <w:proofErr w:type="spellEnd"/>
      <w:r w:rsidR="00D46CCF" w:rsidRPr="00C11ED4">
        <w:rPr>
          <w:rFonts w:asciiTheme="majorHAnsi" w:hAnsiTheme="majorHAnsi"/>
          <w:sz w:val="22"/>
          <w:szCs w:val="22"/>
        </w:rPr>
        <w:t xml:space="preserve"> (0.7%), pharyngeal oedema (0.7%), wheezing (0.7%), and hypotension (0.7%).</w:t>
      </w:r>
    </w:p>
    <w:p w14:paraId="33CB9793" w14:textId="77777777" w:rsidR="00650FA6" w:rsidRPr="00C11ED4" w:rsidRDefault="00650FA6" w:rsidP="00FC66B1">
      <w:pPr>
        <w:pStyle w:val="C-BodyText"/>
        <w:keepNext/>
        <w:keepLines/>
        <w:spacing w:before="200" w:after="200" w:line="276" w:lineRule="auto"/>
        <w:rPr>
          <w:rFonts w:asciiTheme="majorHAnsi" w:hAnsiTheme="majorHAnsi"/>
          <w:sz w:val="22"/>
          <w:szCs w:val="22"/>
          <w:u w:val="single"/>
          <w:lang w:val="en-GB"/>
        </w:rPr>
      </w:pPr>
      <w:r w:rsidRPr="00C11ED4">
        <w:rPr>
          <w:rFonts w:asciiTheme="majorHAnsi" w:hAnsiTheme="majorHAnsi"/>
          <w:sz w:val="22"/>
          <w:szCs w:val="22"/>
          <w:u w:val="single"/>
        </w:rPr>
        <w:t>Tabulated list of adverse reactions</w:t>
      </w:r>
    </w:p>
    <w:p w14:paraId="468AC78C" w14:textId="59FC68E7" w:rsidR="00650FA6" w:rsidRPr="00C11ED4" w:rsidRDefault="00650FA6" w:rsidP="00581A0D">
      <w:pPr>
        <w:rPr>
          <w:rFonts w:asciiTheme="majorHAnsi" w:hAnsiTheme="majorHAnsi"/>
        </w:rPr>
      </w:pPr>
      <w:r w:rsidRPr="00C11ED4">
        <w:rPr>
          <w:rFonts w:asciiTheme="majorHAnsi" w:hAnsiTheme="majorHAnsi"/>
        </w:rPr>
        <w:t xml:space="preserve">The assessment of adverse reactions was informed by subjects treated with </w:t>
      </w:r>
      <w:r w:rsidR="00D148F6" w:rsidRPr="00C11ED4">
        <w:rPr>
          <w:rFonts w:asciiTheme="majorHAnsi" w:hAnsiTheme="majorHAnsi"/>
        </w:rPr>
        <w:t xml:space="preserve">POMBILITI </w:t>
      </w:r>
      <w:r w:rsidRPr="00C11ED4">
        <w:rPr>
          <w:rFonts w:asciiTheme="majorHAnsi" w:hAnsiTheme="majorHAnsi"/>
        </w:rPr>
        <w:t xml:space="preserve">in combination with </w:t>
      </w:r>
      <w:r w:rsidR="00B06E9D" w:rsidRPr="00C11ED4">
        <w:rPr>
          <w:rFonts w:asciiTheme="majorHAnsi" w:hAnsiTheme="majorHAnsi"/>
        </w:rPr>
        <w:t xml:space="preserve">OPFOLDA </w:t>
      </w:r>
      <w:r w:rsidRPr="00C11ED4">
        <w:rPr>
          <w:rFonts w:asciiTheme="majorHAnsi" w:hAnsiTheme="majorHAnsi"/>
        </w:rPr>
        <w:t xml:space="preserve">therapy </w:t>
      </w:r>
      <w:r w:rsidR="00FC5DA7" w:rsidRPr="00C11ED4">
        <w:rPr>
          <w:rFonts w:asciiTheme="majorHAnsi" w:hAnsiTheme="majorHAnsi"/>
        </w:rPr>
        <w:t>across</w:t>
      </w:r>
      <w:r w:rsidRPr="00C11ED4">
        <w:rPr>
          <w:rFonts w:asciiTheme="majorHAnsi" w:hAnsiTheme="majorHAnsi"/>
        </w:rPr>
        <w:t xml:space="preserve"> 3 clinical trials. The total mean duration of exposure was </w:t>
      </w:r>
      <w:r w:rsidR="00FC5DA7" w:rsidRPr="00C11ED4">
        <w:rPr>
          <w:rFonts w:asciiTheme="majorHAnsi" w:hAnsiTheme="majorHAnsi"/>
        </w:rPr>
        <w:t>28</w:t>
      </w:r>
      <w:r w:rsidRPr="00C11ED4">
        <w:rPr>
          <w:rFonts w:asciiTheme="majorHAnsi" w:hAnsiTheme="majorHAnsi"/>
        </w:rPr>
        <w:t> months.</w:t>
      </w:r>
    </w:p>
    <w:p w14:paraId="13370472" w14:textId="4E7D9925" w:rsidR="00936B97" w:rsidRPr="00C11ED4" w:rsidRDefault="00936B97" w:rsidP="00581A0D">
      <w:pPr>
        <w:rPr>
          <w:rFonts w:asciiTheme="majorHAnsi" w:hAnsiTheme="majorHAnsi"/>
        </w:rPr>
      </w:pPr>
      <w:r w:rsidRPr="00C11ED4">
        <w:rPr>
          <w:rFonts w:asciiTheme="majorHAnsi" w:hAnsiTheme="majorHAnsi"/>
        </w:rPr>
        <w:t>The corresponding frequency category for each treatment</w:t>
      </w:r>
      <w:r w:rsidR="00F82FD1" w:rsidRPr="00C11ED4">
        <w:rPr>
          <w:rFonts w:asciiTheme="majorHAnsi" w:hAnsiTheme="majorHAnsi"/>
        </w:rPr>
        <w:t>-</w:t>
      </w:r>
      <w:r w:rsidRPr="00C11ED4">
        <w:rPr>
          <w:rFonts w:asciiTheme="majorHAnsi" w:hAnsiTheme="majorHAnsi"/>
        </w:rPr>
        <w:t>related adverse event is based on the following convention: very common (≥</w:t>
      </w:r>
      <w:r w:rsidR="00EF2EF5" w:rsidRPr="00C11ED4">
        <w:rPr>
          <w:rFonts w:asciiTheme="majorHAnsi" w:hAnsiTheme="majorHAnsi"/>
        </w:rPr>
        <w:t> </w:t>
      </w:r>
      <w:r w:rsidRPr="00C11ED4">
        <w:rPr>
          <w:rFonts w:asciiTheme="majorHAnsi" w:hAnsiTheme="majorHAnsi"/>
        </w:rPr>
        <w:t>1/10), common (≥ 1/100 to &lt;</w:t>
      </w:r>
      <w:r w:rsidR="00EF2EF5" w:rsidRPr="00C11ED4">
        <w:rPr>
          <w:rFonts w:asciiTheme="majorHAnsi" w:hAnsiTheme="majorHAnsi"/>
        </w:rPr>
        <w:t> </w:t>
      </w:r>
      <w:r w:rsidRPr="00C11ED4">
        <w:rPr>
          <w:rFonts w:asciiTheme="majorHAnsi" w:hAnsiTheme="majorHAnsi"/>
        </w:rPr>
        <w:t>1/10), uncommon (≥</w:t>
      </w:r>
      <w:r w:rsidR="00BA0164" w:rsidRPr="00C11ED4">
        <w:rPr>
          <w:rFonts w:asciiTheme="majorHAnsi" w:hAnsiTheme="majorHAnsi"/>
        </w:rPr>
        <w:t> </w:t>
      </w:r>
      <w:r w:rsidRPr="00C11ED4">
        <w:rPr>
          <w:rFonts w:asciiTheme="majorHAnsi" w:hAnsiTheme="majorHAnsi"/>
        </w:rPr>
        <w:t>1/1,000 to &lt;</w:t>
      </w:r>
      <w:r w:rsidR="00EF2EF5" w:rsidRPr="00C11ED4">
        <w:rPr>
          <w:rFonts w:asciiTheme="majorHAnsi" w:hAnsiTheme="majorHAnsi"/>
        </w:rPr>
        <w:t> </w:t>
      </w:r>
      <w:r w:rsidRPr="00C11ED4">
        <w:rPr>
          <w:rFonts w:asciiTheme="majorHAnsi" w:hAnsiTheme="majorHAnsi"/>
        </w:rPr>
        <w:t>1/100), rare (≥ 1/10</w:t>
      </w:r>
      <w:r w:rsidR="001D7600" w:rsidRPr="00C11ED4">
        <w:rPr>
          <w:rFonts w:asciiTheme="majorHAnsi" w:hAnsiTheme="majorHAnsi"/>
        </w:rPr>
        <w:t>,</w:t>
      </w:r>
      <w:r w:rsidRPr="00C11ED4">
        <w:rPr>
          <w:rFonts w:asciiTheme="majorHAnsi" w:hAnsiTheme="majorHAnsi"/>
        </w:rPr>
        <w:t>000 to &lt; 1/1,000), very rare (&lt; 1/10</w:t>
      </w:r>
      <w:r w:rsidR="001D7600" w:rsidRPr="00C11ED4">
        <w:rPr>
          <w:rFonts w:asciiTheme="majorHAnsi" w:hAnsiTheme="majorHAnsi"/>
        </w:rPr>
        <w:t>,</w:t>
      </w:r>
      <w:r w:rsidRPr="00C11ED4">
        <w:rPr>
          <w:rFonts w:asciiTheme="majorHAnsi" w:hAnsiTheme="majorHAnsi"/>
        </w:rPr>
        <w:t xml:space="preserve">000), and not known (cannot be estimated from available data). Adverse reactions from the clinical </w:t>
      </w:r>
      <w:r w:rsidR="00500C7B" w:rsidRPr="00C11ED4">
        <w:rPr>
          <w:rFonts w:asciiTheme="majorHAnsi" w:hAnsiTheme="majorHAnsi"/>
        </w:rPr>
        <w:t xml:space="preserve">trials </w:t>
      </w:r>
      <w:r w:rsidRPr="00C11ED4">
        <w:rPr>
          <w:rFonts w:asciiTheme="majorHAnsi" w:hAnsiTheme="majorHAnsi"/>
        </w:rPr>
        <w:t xml:space="preserve">are listed by MedDRA system organ class in Table </w:t>
      </w:r>
      <w:r w:rsidR="0045389F" w:rsidRPr="00C11ED4">
        <w:rPr>
          <w:rFonts w:asciiTheme="majorHAnsi" w:hAnsiTheme="majorHAnsi"/>
        </w:rPr>
        <w:t>1</w:t>
      </w:r>
      <w:r w:rsidR="00EC29A8" w:rsidRPr="00C11ED4">
        <w:rPr>
          <w:rFonts w:asciiTheme="majorHAnsi" w:hAnsiTheme="majorHAnsi"/>
        </w:rPr>
        <w:t>.</w:t>
      </w:r>
    </w:p>
    <w:p w14:paraId="46C510EF" w14:textId="623C7AC8" w:rsidR="00650FA6" w:rsidRPr="00C11ED4" w:rsidRDefault="00650FA6" w:rsidP="00FC66B1">
      <w:pPr>
        <w:spacing w:after="0"/>
        <w:rPr>
          <w:rFonts w:asciiTheme="majorHAnsi" w:hAnsiTheme="majorHAnsi"/>
          <w:b/>
          <w:bCs/>
        </w:rPr>
      </w:pPr>
      <w:r w:rsidRPr="00C11ED4">
        <w:rPr>
          <w:rFonts w:asciiTheme="majorHAnsi" w:hAnsiTheme="majorHAnsi"/>
          <w:b/>
          <w:bCs/>
        </w:rPr>
        <w:lastRenderedPageBreak/>
        <w:t xml:space="preserve">Table </w:t>
      </w:r>
      <w:r w:rsidR="0045389F" w:rsidRPr="00C11ED4">
        <w:rPr>
          <w:rFonts w:asciiTheme="majorHAnsi" w:hAnsiTheme="majorHAnsi"/>
          <w:b/>
          <w:bCs/>
        </w:rPr>
        <w:t>1</w:t>
      </w:r>
      <w:r w:rsidRPr="00C11ED4">
        <w:rPr>
          <w:rFonts w:asciiTheme="majorHAnsi" w:hAnsiTheme="majorHAnsi"/>
          <w:b/>
          <w:bCs/>
        </w:rPr>
        <w:t xml:space="preserve">: Summary of </w:t>
      </w:r>
      <w:r w:rsidR="00F760A7" w:rsidRPr="00C11ED4">
        <w:rPr>
          <w:rFonts w:asciiTheme="majorHAnsi" w:hAnsiTheme="majorHAnsi"/>
          <w:b/>
          <w:bCs/>
        </w:rPr>
        <w:t>A</w:t>
      </w:r>
      <w:r w:rsidRPr="00C11ED4">
        <w:rPr>
          <w:rFonts w:asciiTheme="majorHAnsi" w:hAnsiTheme="majorHAnsi"/>
          <w:b/>
          <w:bCs/>
        </w:rPr>
        <w:t xml:space="preserve">dverse </w:t>
      </w:r>
      <w:r w:rsidR="00F760A7" w:rsidRPr="00C11ED4">
        <w:rPr>
          <w:rFonts w:asciiTheme="majorHAnsi" w:hAnsiTheme="majorHAnsi"/>
          <w:b/>
          <w:bCs/>
        </w:rPr>
        <w:t>R</w:t>
      </w:r>
      <w:r w:rsidRPr="00C11ED4">
        <w:rPr>
          <w:rFonts w:asciiTheme="majorHAnsi" w:hAnsiTheme="majorHAnsi"/>
          <w:b/>
          <w:bCs/>
        </w:rPr>
        <w:t xml:space="preserve">eactions from </w:t>
      </w:r>
      <w:r w:rsidR="007C061F" w:rsidRPr="00C11ED4">
        <w:rPr>
          <w:rFonts w:asciiTheme="majorHAnsi" w:hAnsiTheme="majorHAnsi"/>
          <w:b/>
          <w:bCs/>
        </w:rPr>
        <w:t xml:space="preserve">Three </w:t>
      </w:r>
      <w:r w:rsidR="00902C7D" w:rsidRPr="00C11ED4">
        <w:rPr>
          <w:rFonts w:asciiTheme="majorHAnsi" w:hAnsiTheme="majorHAnsi"/>
          <w:b/>
          <w:bCs/>
        </w:rPr>
        <w:t xml:space="preserve">Clinical </w:t>
      </w:r>
      <w:r w:rsidR="00F760A7" w:rsidRPr="00C11ED4">
        <w:rPr>
          <w:rFonts w:asciiTheme="majorHAnsi" w:hAnsiTheme="majorHAnsi"/>
          <w:b/>
          <w:bCs/>
        </w:rPr>
        <w:t>T</w:t>
      </w:r>
      <w:r w:rsidR="00902C7D" w:rsidRPr="00C11ED4">
        <w:rPr>
          <w:rFonts w:asciiTheme="majorHAnsi" w:hAnsiTheme="majorHAnsi"/>
          <w:b/>
          <w:bCs/>
        </w:rPr>
        <w: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365"/>
        <w:gridCol w:w="4842"/>
      </w:tblGrid>
      <w:tr w:rsidR="00B020E1" w:rsidRPr="00C11ED4" w14:paraId="4C95BE96" w14:textId="77777777" w:rsidTr="00552325">
        <w:trPr>
          <w:tblHeader/>
        </w:trPr>
        <w:tc>
          <w:tcPr>
            <w:tcW w:w="1558" w:type="pct"/>
            <w:shd w:val="clear" w:color="auto" w:fill="E7E6E6"/>
          </w:tcPr>
          <w:p w14:paraId="755413D5" w14:textId="77777777" w:rsidR="00E72905" w:rsidRPr="00C11ED4" w:rsidRDefault="00E72905" w:rsidP="00A80EBD">
            <w:pPr>
              <w:spacing w:after="0" w:line="240" w:lineRule="auto"/>
              <w:rPr>
                <w:rFonts w:asciiTheme="majorHAnsi" w:hAnsiTheme="majorHAnsi"/>
                <w:b/>
                <w:bCs/>
                <w:szCs w:val="24"/>
              </w:rPr>
            </w:pPr>
            <w:r w:rsidRPr="00C11ED4">
              <w:rPr>
                <w:rFonts w:asciiTheme="majorHAnsi" w:hAnsiTheme="majorHAnsi"/>
                <w:b/>
                <w:bCs/>
                <w:szCs w:val="24"/>
              </w:rPr>
              <w:t>System Organ Class (SOC)</w:t>
            </w:r>
          </w:p>
        </w:tc>
        <w:tc>
          <w:tcPr>
            <w:tcW w:w="757" w:type="pct"/>
            <w:shd w:val="clear" w:color="auto" w:fill="E7E6E6"/>
          </w:tcPr>
          <w:p w14:paraId="3589C731" w14:textId="77777777" w:rsidR="00E72905" w:rsidRPr="00C11ED4" w:rsidRDefault="00E72905" w:rsidP="00A80EBD">
            <w:pPr>
              <w:spacing w:after="0" w:line="240" w:lineRule="auto"/>
              <w:rPr>
                <w:rFonts w:asciiTheme="majorHAnsi" w:hAnsiTheme="majorHAnsi"/>
                <w:b/>
                <w:bCs/>
                <w:szCs w:val="24"/>
              </w:rPr>
            </w:pPr>
            <w:r w:rsidRPr="00C11ED4">
              <w:rPr>
                <w:rFonts w:asciiTheme="majorHAnsi" w:hAnsiTheme="majorHAnsi"/>
                <w:b/>
                <w:bCs/>
                <w:szCs w:val="24"/>
              </w:rPr>
              <w:t>Frequency</w:t>
            </w:r>
          </w:p>
        </w:tc>
        <w:tc>
          <w:tcPr>
            <w:tcW w:w="2685" w:type="pct"/>
            <w:shd w:val="clear" w:color="auto" w:fill="E7E6E6"/>
          </w:tcPr>
          <w:p w14:paraId="01AB838A" w14:textId="77777777" w:rsidR="00E72905" w:rsidRPr="00C11ED4" w:rsidRDefault="00E72905" w:rsidP="00A80EBD">
            <w:pPr>
              <w:spacing w:after="0" w:line="240" w:lineRule="auto"/>
              <w:rPr>
                <w:rFonts w:asciiTheme="majorHAnsi" w:hAnsiTheme="majorHAnsi"/>
                <w:b/>
                <w:bCs/>
                <w:szCs w:val="24"/>
              </w:rPr>
            </w:pPr>
            <w:r w:rsidRPr="00C11ED4">
              <w:rPr>
                <w:rFonts w:asciiTheme="majorHAnsi" w:hAnsiTheme="majorHAnsi"/>
                <w:b/>
                <w:bCs/>
                <w:szCs w:val="24"/>
              </w:rPr>
              <w:t>Adverse Reaction (Preferred Term)</w:t>
            </w:r>
          </w:p>
        </w:tc>
      </w:tr>
      <w:tr w:rsidR="00B020E1" w:rsidRPr="00C11ED4" w14:paraId="14034129" w14:textId="77777777" w:rsidTr="00552325">
        <w:tc>
          <w:tcPr>
            <w:tcW w:w="1558" w:type="pct"/>
            <w:vMerge w:val="restart"/>
            <w:shd w:val="clear" w:color="auto" w:fill="auto"/>
          </w:tcPr>
          <w:p w14:paraId="14288B96"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Immune system disorders</w:t>
            </w:r>
          </w:p>
        </w:tc>
        <w:tc>
          <w:tcPr>
            <w:tcW w:w="757" w:type="pct"/>
            <w:shd w:val="clear" w:color="auto" w:fill="auto"/>
          </w:tcPr>
          <w:p w14:paraId="727FB475"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Common</w:t>
            </w:r>
          </w:p>
        </w:tc>
        <w:tc>
          <w:tcPr>
            <w:tcW w:w="2685" w:type="pct"/>
            <w:shd w:val="clear" w:color="auto" w:fill="auto"/>
          </w:tcPr>
          <w:p w14:paraId="283AEAD6"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Anaphylactic reaction</w:t>
            </w:r>
            <w:r w:rsidRPr="00C11ED4">
              <w:rPr>
                <w:rFonts w:asciiTheme="majorHAnsi" w:hAnsiTheme="majorHAnsi"/>
                <w:szCs w:val="24"/>
                <w:vertAlign w:val="superscript"/>
              </w:rPr>
              <w:t>‡6</w:t>
            </w:r>
          </w:p>
        </w:tc>
      </w:tr>
      <w:tr w:rsidR="00B020E1" w:rsidRPr="00C11ED4" w14:paraId="607880F6" w14:textId="77777777" w:rsidTr="00552325">
        <w:tc>
          <w:tcPr>
            <w:tcW w:w="1558" w:type="pct"/>
            <w:vMerge/>
            <w:shd w:val="clear" w:color="auto" w:fill="auto"/>
          </w:tcPr>
          <w:p w14:paraId="4C0A7076" w14:textId="77777777" w:rsidR="00E72905" w:rsidRPr="00C11ED4" w:rsidRDefault="00E72905" w:rsidP="00A80EBD">
            <w:pPr>
              <w:spacing w:after="0" w:line="240" w:lineRule="auto"/>
              <w:rPr>
                <w:rFonts w:asciiTheme="majorHAnsi" w:hAnsiTheme="majorHAnsi"/>
                <w:szCs w:val="24"/>
              </w:rPr>
            </w:pPr>
          </w:p>
        </w:tc>
        <w:tc>
          <w:tcPr>
            <w:tcW w:w="757" w:type="pct"/>
            <w:shd w:val="clear" w:color="auto" w:fill="auto"/>
          </w:tcPr>
          <w:p w14:paraId="478941FF"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Uncommon</w:t>
            </w:r>
          </w:p>
        </w:tc>
        <w:tc>
          <w:tcPr>
            <w:tcW w:w="2685" w:type="pct"/>
            <w:shd w:val="clear" w:color="auto" w:fill="auto"/>
          </w:tcPr>
          <w:p w14:paraId="77B5B963"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Hypersensitivity</w:t>
            </w:r>
          </w:p>
        </w:tc>
      </w:tr>
      <w:tr w:rsidR="00B020E1" w:rsidRPr="00C11ED4" w14:paraId="63BAADFA" w14:textId="77777777" w:rsidTr="00552325">
        <w:tc>
          <w:tcPr>
            <w:tcW w:w="1558" w:type="pct"/>
            <w:vMerge w:val="restart"/>
            <w:shd w:val="clear" w:color="auto" w:fill="auto"/>
          </w:tcPr>
          <w:p w14:paraId="424E985A"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Nervous system disorders</w:t>
            </w:r>
          </w:p>
        </w:tc>
        <w:tc>
          <w:tcPr>
            <w:tcW w:w="757" w:type="pct"/>
            <w:shd w:val="clear" w:color="auto" w:fill="auto"/>
          </w:tcPr>
          <w:p w14:paraId="5C379F18"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Very Common</w:t>
            </w:r>
          </w:p>
        </w:tc>
        <w:tc>
          <w:tcPr>
            <w:tcW w:w="2685" w:type="pct"/>
            <w:shd w:val="clear" w:color="auto" w:fill="auto"/>
          </w:tcPr>
          <w:p w14:paraId="5CDF32DC"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Headache</w:t>
            </w:r>
          </w:p>
        </w:tc>
      </w:tr>
      <w:tr w:rsidR="00B020E1" w:rsidRPr="00C11ED4" w14:paraId="703F1724" w14:textId="77777777" w:rsidTr="00552325">
        <w:tc>
          <w:tcPr>
            <w:tcW w:w="1558" w:type="pct"/>
            <w:vMerge/>
            <w:shd w:val="clear" w:color="auto" w:fill="auto"/>
          </w:tcPr>
          <w:p w14:paraId="4A6A4916" w14:textId="77777777" w:rsidR="00E72905" w:rsidRPr="00C11ED4" w:rsidRDefault="00E72905" w:rsidP="00A80EBD">
            <w:pPr>
              <w:spacing w:after="0" w:line="240" w:lineRule="auto"/>
              <w:rPr>
                <w:rFonts w:asciiTheme="majorHAnsi" w:hAnsiTheme="majorHAnsi"/>
                <w:szCs w:val="24"/>
              </w:rPr>
            </w:pPr>
          </w:p>
        </w:tc>
        <w:tc>
          <w:tcPr>
            <w:tcW w:w="757" w:type="pct"/>
            <w:shd w:val="clear" w:color="auto" w:fill="auto"/>
          </w:tcPr>
          <w:p w14:paraId="6A82B82B"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Common</w:t>
            </w:r>
          </w:p>
        </w:tc>
        <w:tc>
          <w:tcPr>
            <w:tcW w:w="2685" w:type="pct"/>
            <w:shd w:val="clear" w:color="auto" w:fill="auto"/>
          </w:tcPr>
          <w:p w14:paraId="33E02808" w14:textId="3ABE828C"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Dizziness*, tremor, somnolence*, dysgeusia, paraesthesia</w:t>
            </w:r>
          </w:p>
        </w:tc>
      </w:tr>
      <w:tr w:rsidR="00B020E1" w:rsidRPr="00C11ED4" w14:paraId="0014F7EF" w14:textId="77777777" w:rsidTr="00552325">
        <w:tc>
          <w:tcPr>
            <w:tcW w:w="1558" w:type="pct"/>
            <w:vMerge/>
            <w:shd w:val="clear" w:color="auto" w:fill="auto"/>
          </w:tcPr>
          <w:p w14:paraId="14CFBDDB" w14:textId="77777777" w:rsidR="00E72905" w:rsidRPr="00C11ED4" w:rsidRDefault="00E72905" w:rsidP="00A80EBD">
            <w:pPr>
              <w:spacing w:after="0" w:line="240" w:lineRule="auto"/>
              <w:rPr>
                <w:rFonts w:asciiTheme="majorHAnsi" w:hAnsiTheme="majorHAnsi"/>
                <w:szCs w:val="24"/>
              </w:rPr>
            </w:pPr>
          </w:p>
        </w:tc>
        <w:tc>
          <w:tcPr>
            <w:tcW w:w="757" w:type="pct"/>
            <w:shd w:val="clear" w:color="auto" w:fill="auto"/>
          </w:tcPr>
          <w:p w14:paraId="00B33947"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Uncommon</w:t>
            </w:r>
          </w:p>
        </w:tc>
        <w:tc>
          <w:tcPr>
            <w:tcW w:w="2685" w:type="pct"/>
            <w:shd w:val="clear" w:color="auto" w:fill="auto"/>
          </w:tcPr>
          <w:p w14:paraId="76A90D8A"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Balance disorder, burning sensation*, migraine</w:t>
            </w:r>
            <w:r w:rsidRPr="00C11ED4">
              <w:rPr>
                <w:rFonts w:asciiTheme="majorHAnsi" w:hAnsiTheme="majorHAnsi"/>
                <w:szCs w:val="24"/>
                <w:vertAlign w:val="superscript"/>
              </w:rPr>
              <w:t>‡4</w:t>
            </w:r>
            <w:r w:rsidRPr="00C11ED4">
              <w:rPr>
                <w:rFonts w:asciiTheme="majorHAnsi" w:hAnsiTheme="majorHAnsi"/>
                <w:szCs w:val="24"/>
              </w:rPr>
              <w:t>, presyncope*</w:t>
            </w:r>
          </w:p>
        </w:tc>
      </w:tr>
      <w:tr w:rsidR="00B020E1" w:rsidRPr="00C11ED4" w14:paraId="5C0DD179" w14:textId="77777777" w:rsidTr="00552325">
        <w:tc>
          <w:tcPr>
            <w:tcW w:w="1558" w:type="pct"/>
            <w:shd w:val="clear" w:color="auto" w:fill="auto"/>
          </w:tcPr>
          <w:p w14:paraId="21C633CF"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Cardiac disorders</w:t>
            </w:r>
          </w:p>
        </w:tc>
        <w:tc>
          <w:tcPr>
            <w:tcW w:w="757" w:type="pct"/>
            <w:shd w:val="clear" w:color="auto" w:fill="auto"/>
          </w:tcPr>
          <w:p w14:paraId="4BBE4059"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Common</w:t>
            </w:r>
          </w:p>
        </w:tc>
        <w:tc>
          <w:tcPr>
            <w:tcW w:w="2685" w:type="pct"/>
            <w:tcBorders>
              <w:bottom w:val="single" w:sz="4" w:space="0" w:color="auto"/>
            </w:tcBorders>
            <w:shd w:val="clear" w:color="auto" w:fill="auto"/>
          </w:tcPr>
          <w:p w14:paraId="5CB7805B" w14:textId="77777777" w:rsidR="00E72905" w:rsidRPr="00C11ED4" w:rsidRDefault="00E72905" w:rsidP="00A80EBD">
            <w:pPr>
              <w:spacing w:after="0" w:line="240" w:lineRule="auto"/>
              <w:rPr>
                <w:rFonts w:asciiTheme="majorHAnsi" w:hAnsiTheme="majorHAnsi"/>
                <w:szCs w:val="24"/>
                <w:lang w:val="pt-BR"/>
              </w:rPr>
            </w:pPr>
            <w:r w:rsidRPr="00C11ED4">
              <w:rPr>
                <w:rFonts w:asciiTheme="majorHAnsi" w:hAnsiTheme="majorHAnsi"/>
                <w:szCs w:val="24"/>
                <w:lang w:val="pt-BR"/>
              </w:rPr>
              <w:t>Tachycardia</w:t>
            </w:r>
            <w:r w:rsidRPr="00C11ED4">
              <w:rPr>
                <w:rFonts w:asciiTheme="majorHAnsi" w:hAnsiTheme="majorHAnsi"/>
                <w:szCs w:val="24"/>
                <w:vertAlign w:val="superscript"/>
              </w:rPr>
              <w:t>‡7</w:t>
            </w:r>
          </w:p>
        </w:tc>
      </w:tr>
      <w:tr w:rsidR="00B020E1" w:rsidRPr="00C11ED4" w14:paraId="4FE93CB6" w14:textId="77777777" w:rsidTr="00552325">
        <w:tc>
          <w:tcPr>
            <w:tcW w:w="1558" w:type="pct"/>
            <w:vMerge w:val="restart"/>
            <w:shd w:val="clear" w:color="auto" w:fill="auto"/>
          </w:tcPr>
          <w:p w14:paraId="27E973CE"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Vascular disorders</w:t>
            </w:r>
          </w:p>
        </w:tc>
        <w:tc>
          <w:tcPr>
            <w:tcW w:w="757" w:type="pct"/>
            <w:shd w:val="clear" w:color="auto" w:fill="auto"/>
          </w:tcPr>
          <w:p w14:paraId="420C7842"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Common</w:t>
            </w:r>
          </w:p>
        </w:tc>
        <w:tc>
          <w:tcPr>
            <w:tcW w:w="2685" w:type="pct"/>
            <w:shd w:val="clear" w:color="auto" w:fill="auto"/>
          </w:tcPr>
          <w:p w14:paraId="736E4E52"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Flushing*, hypotension</w:t>
            </w:r>
          </w:p>
        </w:tc>
      </w:tr>
      <w:tr w:rsidR="00B020E1" w:rsidRPr="00C11ED4" w14:paraId="1FD5E7DE" w14:textId="77777777" w:rsidTr="00552325">
        <w:tc>
          <w:tcPr>
            <w:tcW w:w="1558" w:type="pct"/>
            <w:vMerge/>
            <w:shd w:val="clear" w:color="auto" w:fill="auto"/>
          </w:tcPr>
          <w:p w14:paraId="753EDE0D" w14:textId="77777777" w:rsidR="00E72905" w:rsidRPr="00C11ED4" w:rsidRDefault="00E72905" w:rsidP="00A80EBD">
            <w:pPr>
              <w:spacing w:after="0" w:line="240" w:lineRule="auto"/>
              <w:rPr>
                <w:rFonts w:asciiTheme="majorHAnsi" w:hAnsiTheme="majorHAnsi"/>
                <w:szCs w:val="24"/>
              </w:rPr>
            </w:pPr>
          </w:p>
        </w:tc>
        <w:tc>
          <w:tcPr>
            <w:tcW w:w="757" w:type="pct"/>
            <w:shd w:val="clear" w:color="auto" w:fill="auto"/>
          </w:tcPr>
          <w:p w14:paraId="07D99C27"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Uncommon</w:t>
            </w:r>
          </w:p>
        </w:tc>
        <w:tc>
          <w:tcPr>
            <w:tcW w:w="2685" w:type="pct"/>
            <w:shd w:val="clear" w:color="auto" w:fill="auto"/>
          </w:tcPr>
          <w:p w14:paraId="4248285C"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Pallor</w:t>
            </w:r>
          </w:p>
        </w:tc>
      </w:tr>
      <w:tr w:rsidR="00B020E1" w:rsidRPr="00C11ED4" w14:paraId="12D1882B" w14:textId="77777777" w:rsidTr="00552325">
        <w:tc>
          <w:tcPr>
            <w:tcW w:w="1558" w:type="pct"/>
            <w:vMerge w:val="restart"/>
            <w:shd w:val="clear" w:color="auto" w:fill="auto"/>
          </w:tcPr>
          <w:p w14:paraId="0E9BACBC"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Respiratory, thoracic and mediastinal disorders</w:t>
            </w:r>
          </w:p>
        </w:tc>
        <w:tc>
          <w:tcPr>
            <w:tcW w:w="757" w:type="pct"/>
            <w:shd w:val="clear" w:color="auto" w:fill="auto"/>
          </w:tcPr>
          <w:p w14:paraId="053E5076"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Common</w:t>
            </w:r>
          </w:p>
        </w:tc>
        <w:tc>
          <w:tcPr>
            <w:tcW w:w="2685" w:type="pct"/>
            <w:shd w:val="clear" w:color="auto" w:fill="auto"/>
          </w:tcPr>
          <w:p w14:paraId="42A18021"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Dyspnoea, cough*</w:t>
            </w:r>
          </w:p>
        </w:tc>
      </w:tr>
      <w:tr w:rsidR="00B020E1" w:rsidRPr="00C11ED4" w14:paraId="0D5379C6" w14:textId="77777777" w:rsidTr="00552325">
        <w:tc>
          <w:tcPr>
            <w:tcW w:w="1558" w:type="pct"/>
            <w:vMerge/>
            <w:shd w:val="clear" w:color="auto" w:fill="auto"/>
          </w:tcPr>
          <w:p w14:paraId="224667DA" w14:textId="77777777" w:rsidR="00E72905" w:rsidRPr="00C11ED4" w:rsidRDefault="00E72905" w:rsidP="00A80EBD">
            <w:pPr>
              <w:spacing w:after="0" w:line="240" w:lineRule="auto"/>
              <w:rPr>
                <w:rFonts w:asciiTheme="majorHAnsi" w:hAnsiTheme="majorHAnsi"/>
                <w:szCs w:val="24"/>
              </w:rPr>
            </w:pPr>
          </w:p>
        </w:tc>
        <w:tc>
          <w:tcPr>
            <w:tcW w:w="757" w:type="pct"/>
            <w:shd w:val="clear" w:color="auto" w:fill="auto"/>
          </w:tcPr>
          <w:p w14:paraId="020ADCA2"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Uncommon</w:t>
            </w:r>
          </w:p>
        </w:tc>
        <w:tc>
          <w:tcPr>
            <w:tcW w:w="2685" w:type="pct"/>
            <w:shd w:val="clear" w:color="auto" w:fill="auto"/>
          </w:tcPr>
          <w:p w14:paraId="75BEDC6F"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Asthma, oropharyngeal discomfort*, pharyngeal oedema*, wheezing*</w:t>
            </w:r>
          </w:p>
        </w:tc>
      </w:tr>
      <w:tr w:rsidR="00B020E1" w:rsidRPr="00C11ED4" w14:paraId="5FD2FE04" w14:textId="77777777" w:rsidTr="00552325">
        <w:tc>
          <w:tcPr>
            <w:tcW w:w="1558" w:type="pct"/>
            <w:vMerge w:val="restart"/>
            <w:shd w:val="clear" w:color="auto" w:fill="auto"/>
          </w:tcPr>
          <w:p w14:paraId="5920E656" w14:textId="77777777" w:rsidR="00E72905" w:rsidRPr="00C11ED4" w:rsidRDefault="00E72905" w:rsidP="00A1095A">
            <w:pPr>
              <w:keepNext/>
              <w:spacing w:after="0" w:line="240" w:lineRule="auto"/>
              <w:rPr>
                <w:rFonts w:asciiTheme="majorHAnsi" w:hAnsiTheme="majorHAnsi"/>
                <w:szCs w:val="24"/>
              </w:rPr>
            </w:pPr>
            <w:r w:rsidRPr="00C11ED4">
              <w:rPr>
                <w:rFonts w:asciiTheme="majorHAnsi" w:hAnsiTheme="majorHAnsi"/>
                <w:szCs w:val="24"/>
              </w:rPr>
              <w:t xml:space="preserve">Gastrointestinal disorders </w:t>
            </w:r>
          </w:p>
        </w:tc>
        <w:tc>
          <w:tcPr>
            <w:tcW w:w="757" w:type="pct"/>
            <w:shd w:val="clear" w:color="auto" w:fill="auto"/>
          </w:tcPr>
          <w:p w14:paraId="5E3158A4"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Common</w:t>
            </w:r>
          </w:p>
        </w:tc>
        <w:tc>
          <w:tcPr>
            <w:tcW w:w="2685" w:type="pct"/>
            <w:tcBorders>
              <w:bottom w:val="single" w:sz="4" w:space="0" w:color="auto"/>
            </w:tcBorders>
            <w:shd w:val="clear" w:color="auto" w:fill="auto"/>
          </w:tcPr>
          <w:p w14:paraId="26227EE5" w14:textId="77777777" w:rsidR="00E72905" w:rsidRPr="00C11ED4" w:rsidRDefault="00E72905" w:rsidP="00A80EBD">
            <w:pPr>
              <w:spacing w:after="0" w:line="240" w:lineRule="auto"/>
              <w:rPr>
                <w:rFonts w:asciiTheme="majorHAnsi" w:hAnsiTheme="majorHAnsi"/>
                <w:szCs w:val="24"/>
                <w:lang w:val="pt-BR"/>
              </w:rPr>
            </w:pPr>
            <w:r w:rsidRPr="00C11ED4">
              <w:rPr>
                <w:rFonts w:asciiTheme="majorHAnsi" w:hAnsiTheme="majorHAnsi"/>
                <w:szCs w:val="24"/>
              </w:rPr>
              <w:t>Diarrhoea, nausea, abdominal pain</w:t>
            </w:r>
            <w:hyperlink r:id="rId12" w:anchor="footnote-reference-38" w:history="1">
              <w:r w:rsidRPr="00C11ED4">
                <w:rPr>
                  <w:rFonts w:asciiTheme="majorHAnsi" w:hAnsiTheme="majorHAnsi"/>
                  <w:caps/>
                  <w:szCs w:val="24"/>
                  <w:bdr w:val="none" w:sz="0" w:space="0" w:color="auto" w:frame="1"/>
                  <w:vertAlign w:val="superscript"/>
                </w:rPr>
                <w:t>‡</w:t>
              </w:r>
            </w:hyperlink>
            <w:r w:rsidRPr="00C11ED4">
              <w:rPr>
                <w:rFonts w:asciiTheme="majorHAnsi" w:hAnsiTheme="majorHAnsi"/>
                <w:caps/>
                <w:szCs w:val="24"/>
                <w:bdr w:val="none" w:sz="0" w:space="0" w:color="auto" w:frame="1"/>
                <w:vertAlign w:val="superscript"/>
              </w:rPr>
              <w:t>1</w:t>
            </w:r>
            <w:r w:rsidRPr="00C11ED4">
              <w:rPr>
                <w:rFonts w:asciiTheme="majorHAnsi" w:hAnsiTheme="majorHAnsi"/>
                <w:szCs w:val="24"/>
              </w:rPr>
              <w:t>, vomiting, flatulence, abdominal distension, constipation</w:t>
            </w:r>
            <w:r w:rsidRPr="00C11ED4">
              <w:rPr>
                <w:rFonts w:asciiTheme="majorHAnsi" w:hAnsiTheme="majorHAnsi"/>
                <w:szCs w:val="24"/>
                <w:vertAlign w:val="superscript"/>
              </w:rPr>
              <w:t>†</w:t>
            </w:r>
          </w:p>
        </w:tc>
      </w:tr>
      <w:tr w:rsidR="00B020E1" w:rsidRPr="00C11ED4" w14:paraId="7104C33E" w14:textId="77777777" w:rsidTr="00552325">
        <w:tc>
          <w:tcPr>
            <w:tcW w:w="1558" w:type="pct"/>
            <w:vMerge/>
            <w:shd w:val="clear" w:color="auto" w:fill="auto"/>
          </w:tcPr>
          <w:p w14:paraId="630FCFB6" w14:textId="77777777" w:rsidR="00E72905" w:rsidRPr="00C11ED4" w:rsidRDefault="00E72905" w:rsidP="00A80EBD">
            <w:pPr>
              <w:spacing w:after="0" w:line="240" w:lineRule="auto"/>
              <w:rPr>
                <w:rFonts w:asciiTheme="majorHAnsi" w:hAnsiTheme="majorHAnsi"/>
                <w:szCs w:val="24"/>
              </w:rPr>
            </w:pPr>
          </w:p>
        </w:tc>
        <w:tc>
          <w:tcPr>
            <w:tcW w:w="757" w:type="pct"/>
            <w:tcBorders>
              <w:bottom w:val="single" w:sz="4" w:space="0" w:color="000000"/>
            </w:tcBorders>
            <w:shd w:val="clear" w:color="auto" w:fill="auto"/>
          </w:tcPr>
          <w:p w14:paraId="70A053A1"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Uncommon</w:t>
            </w:r>
          </w:p>
        </w:tc>
        <w:tc>
          <w:tcPr>
            <w:tcW w:w="2685" w:type="pct"/>
            <w:tcBorders>
              <w:top w:val="single" w:sz="4" w:space="0" w:color="auto"/>
              <w:left w:val="nil"/>
              <w:bottom w:val="single" w:sz="4" w:space="0" w:color="000000"/>
              <w:right w:val="single" w:sz="4" w:space="0" w:color="auto"/>
            </w:tcBorders>
            <w:shd w:val="clear" w:color="auto" w:fill="FFFFFF"/>
          </w:tcPr>
          <w:p w14:paraId="51B53183"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Abdominal discomfort</w:t>
            </w:r>
            <w:r w:rsidRPr="00C11ED4">
              <w:rPr>
                <w:rFonts w:asciiTheme="majorHAnsi" w:hAnsiTheme="majorHAnsi"/>
                <w:szCs w:val="24"/>
                <w:vertAlign w:val="superscript"/>
              </w:rPr>
              <w:t>†</w:t>
            </w:r>
            <w:r w:rsidRPr="00C11ED4">
              <w:rPr>
                <w:rFonts w:asciiTheme="majorHAnsi" w:hAnsiTheme="majorHAnsi"/>
                <w:szCs w:val="24"/>
              </w:rPr>
              <w:t>, dyspepsia*, oesophageal pain*, oesophageal spasm, oral discomfort*, oral pain, swollen tongue*</w:t>
            </w:r>
          </w:p>
        </w:tc>
      </w:tr>
      <w:tr w:rsidR="00B020E1" w:rsidRPr="00C11ED4" w14:paraId="483F8E51" w14:textId="77777777" w:rsidTr="00552325">
        <w:tc>
          <w:tcPr>
            <w:tcW w:w="1558" w:type="pct"/>
            <w:vMerge w:val="restart"/>
            <w:shd w:val="clear" w:color="auto" w:fill="auto"/>
          </w:tcPr>
          <w:p w14:paraId="43BEF415" w14:textId="177AB181"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Skin and subcutaneous tissue disorder</w:t>
            </w:r>
            <w:r w:rsidR="001B124E" w:rsidRPr="00C11ED4">
              <w:rPr>
                <w:rFonts w:asciiTheme="majorHAnsi" w:hAnsiTheme="majorHAnsi"/>
                <w:szCs w:val="24"/>
              </w:rPr>
              <w:t>s</w:t>
            </w:r>
          </w:p>
        </w:tc>
        <w:tc>
          <w:tcPr>
            <w:tcW w:w="757" w:type="pct"/>
            <w:shd w:val="clear" w:color="auto" w:fill="auto"/>
          </w:tcPr>
          <w:p w14:paraId="0FA697EF"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Common</w:t>
            </w:r>
          </w:p>
        </w:tc>
        <w:tc>
          <w:tcPr>
            <w:tcW w:w="2685" w:type="pct"/>
            <w:shd w:val="clear" w:color="auto" w:fill="auto"/>
          </w:tcPr>
          <w:p w14:paraId="051F5830"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Urticaria</w:t>
            </w:r>
            <w:r w:rsidRPr="00C11ED4">
              <w:rPr>
                <w:rFonts w:asciiTheme="majorHAnsi" w:hAnsiTheme="majorHAnsi"/>
                <w:szCs w:val="24"/>
                <w:vertAlign w:val="superscript"/>
              </w:rPr>
              <w:t>‡3</w:t>
            </w:r>
            <w:r w:rsidRPr="00C11ED4">
              <w:rPr>
                <w:rFonts w:asciiTheme="majorHAnsi" w:hAnsiTheme="majorHAnsi"/>
                <w:szCs w:val="24"/>
              </w:rPr>
              <w:t>, rash</w:t>
            </w:r>
            <w:r w:rsidRPr="00C11ED4">
              <w:rPr>
                <w:rFonts w:asciiTheme="majorHAnsi" w:hAnsiTheme="majorHAnsi"/>
                <w:szCs w:val="24"/>
                <w:vertAlign w:val="superscript"/>
              </w:rPr>
              <w:t>‡2</w:t>
            </w:r>
            <w:r w:rsidRPr="00C11ED4">
              <w:rPr>
                <w:rFonts w:asciiTheme="majorHAnsi" w:hAnsiTheme="majorHAnsi"/>
                <w:szCs w:val="24"/>
              </w:rPr>
              <w:t>, pruritus, hyperhidrosis</w:t>
            </w:r>
          </w:p>
        </w:tc>
      </w:tr>
      <w:tr w:rsidR="00B020E1" w:rsidRPr="00C11ED4" w14:paraId="699C1FA2" w14:textId="77777777" w:rsidTr="00552325">
        <w:tc>
          <w:tcPr>
            <w:tcW w:w="1558" w:type="pct"/>
            <w:vMerge/>
            <w:shd w:val="clear" w:color="auto" w:fill="auto"/>
          </w:tcPr>
          <w:p w14:paraId="3423EDB8" w14:textId="77777777" w:rsidR="00E72905" w:rsidRPr="00C11ED4" w:rsidRDefault="00E72905" w:rsidP="00A80EBD">
            <w:pPr>
              <w:spacing w:after="0" w:line="240" w:lineRule="auto"/>
              <w:rPr>
                <w:rFonts w:asciiTheme="majorHAnsi" w:hAnsiTheme="majorHAnsi"/>
                <w:szCs w:val="24"/>
              </w:rPr>
            </w:pPr>
          </w:p>
        </w:tc>
        <w:tc>
          <w:tcPr>
            <w:tcW w:w="757" w:type="pct"/>
            <w:shd w:val="clear" w:color="auto" w:fill="auto"/>
          </w:tcPr>
          <w:p w14:paraId="61637CD7"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Uncommon</w:t>
            </w:r>
          </w:p>
        </w:tc>
        <w:tc>
          <w:tcPr>
            <w:tcW w:w="2685" w:type="pct"/>
            <w:shd w:val="clear" w:color="auto" w:fill="auto"/>
          </w:tcPr>
          <w:p w14:paraId="40B92B82" w14:textId="77777777" w:rsidR="00E72905" w:rsidRPr="00C11ED4" w:rsidRDefault="00E72905" w:rsidP="00A80EBD">
            <w:pPr>
              <w:spacing w:after="0" w:line="240" w:lineRule="auto"/>
              <w:rPr>
                <w:rFonts w:asciiTheme="majorHAnsi" w:hAnsiTheme="majorHAnsi"/>
                <w:szCs w:val="24"/>
                <w:lang w:val="fr-CA"/>
              </w:rPr>
            </w:pPr>
            <w:r w:rsidRPr="00C11ED4">
              <w:rPr>
                <w:rFonts w:asciiTheme="majorHAnsi" w:hAnsiTheme="majorHAnsi"/>
                <w:szCs w:val="24"/>
                <w:lang w:val="fr-CA"/>
              </w:rPr>
              <w:t xml:space="preserve">Skin </w:t>
            </w:r>
            <w:proofErr w:type="spellStart"/>
            <w:r w:rsidRPr="00C11ED4">
              <w:rPr>
                <w:rFonts w:asciiTheme="majorHAnsi" w:hAnsiTheme="majorHAnsi"/>
                <w:szCs w:val="24"/>
                <w:lang w:val="fr-CA"/>
              </w:rPr>
              <w:t>discolouration</w:t>
            </w:r>
            <w:proofErr w:type="spellEnd"/>
            <w:r w:rsidRPr="00C11ED4">
              <w:rPr>
                <w:rFonts w:asciiTheme="majorHAnsi" w:hAnsiTheme="majorHAnsi"/>
                <w:szCs w:val="24"/>
                <w:lang w:val="fr-CA"/>
              </w:rPr>
              <w:t xml:space="preserve">, skin </w:t>
            </w:r>
            <w:proofErr w:type="spellStart"/>
            <w:r w:rsidRPr="00C11ED4">
              <w:rPr>
                <w:rFonts w:asciiTheme="majorHAnsi" w:hAnsiTheme="majorHAnsi"/>
                <w:szCs w:val="24"/>
                <w:lang w:val="fr-CA"/>
              </w:rPr>
              <w:t>oedema</w:t>
            </w:r>
            <w:proofErr w:type="spellEnd"/>
            <w:r w:rsidRPr="00C11ED4">
              <w:rPr>
                <w:rFonts w:asciiTheme="majorHAnsi" w:hAnsiTheme="majorHAnsi"/>
                <w:szCs w:val="24"/>
                <w:lang w:val="fr-CA"/>
              </w:rPr>
              <w:t>*</w:t>
            </w:r>
          </w:p>
        </w:tc>
      </w:tr>
      <w:tr w:rsidR="00B020E1" w:rsidRPr="00C11ED4" w14:paraId="018A7D61" w14:textId="77777777" w:rsidTr="00552325">
        <w:tc>
          <w:tcPr>
            <w:tcW w:w="1558" w:type="pct"/>
            <w:vMerge w:val="restart"/>
            <w:shd w:val="clear" w:color="auto" w:fill="auto"/>
          </w:tcPr>
          <w:p w14:paraId="5B9F9817"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Musculoskeletal and connective tissue disorders</w:t>
            </w:r>
          </w:p>
        </w:tc>
        <w:tc>
          <w:tcPr>
            <w:tcW w:w="757" w:type="pct"/>
            <w:shd w:val="clear" w:color="auto" w:fill="auto"/>
          </w:tcPr>
          <w:p w14:paraId="149A9608"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Common</w:t>
            </w:r>
          </w:p>
        </w:tc>
        <w:tc>
          <w:tcPr>
            <w:tcW w:w="2685" w:type="pct"/>
            <w:shd w:val="clear" w:color="auto" w:fill="auto"/>
          </w:tcPr>
          <w:p w14:paraId="097A650F"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Muscle spasms, myalgia, arthralgia, muscular weakness</w:t>
            </w:r>
          </w:p>
        </w:tc>
      </w:tr>
      <w:tr w:rsidR="00B020E1" w:rsidRPr="00C11ED4" w14:paraId="60AC744B" w14:textId="77777777" w:rsidTr="00552325">
        <w:tc>
          <w:tcPr>
            <w:tcW w:w="1558" w:type="pct"/>
            <w:vMerge/>
            <w:shd w:val="clear" w:color="auto" w:fill="auto"/>
          </w:tcPr>
          <w:p w14:paraId="52A170D6" w14:textId="77777777" w:rsidR="00E72905" w:rsidRPr="00C11ED4" w:rsidRDefault="00E72905" w:rsidP="00A80EBD">
            <w:pPr>
              <w:spacing w:after="0" w:line="240" w:lineRule="auto"/>
              <w:rPr>
                <w:rFonts w:asciiTheme="majorHAnsi" w:hAnsiTheme="majorHAnsi"/>
                <w:szCs w:val="24"/>
              </w:rPr>
            </w:pPr>
          </w:p>
        </w:tc>
        <w:tc>
          <w:tcPr>
            <w:tcW w:w="757" w:type="pct"/>
            <w:shd w:val="clear" w:color="auto" w:fill="auto"/>
          </w:tcPr>
          <w:p w14:paraId="16729358"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Uncommon</w:t>
            </w:r>
          </w:p>
        </w:tc>
        <w:tc>
          <w:tcPr>
            <w:tcW w:w="2685" w:type="pct"/>
            <w:shd w:val="clear" w:color="auto" w:fill="auto"/>
          </w:tcPr>
          <w:p w14:paraId="448B4307"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Flank pain, muscle fatigue, musculoskeletal stiffness</w:t>
            </w:r>
          </w:p>
        </w:tc>
      </w:tr>
      <w:tr w:rsidR="00B020E1" w:rsidRPr="00C11ED4" w14:paraId="207A931B" w14:textId="77777777" w:rsidTr="00552325">
        <w:tc>
          <w:tcPr>
            <w:tcW w:w="1558" w:type="pct"/>
            <w:vMerge w:val="restart"/>
            <w:shd w:val="clear" w:color="auto" w:fill="auto"/>
          </w:tcPr>
          <w:p w14:paraId="1CFB3735"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General disorders and administration site conditions</w:t>
            </w:r>
          </w:p>
        </w:tc>
        <w:tc>
          <w:tcPr>
            <w:tcW w:w="757" w:type="pct"/>
            <w:shd w:val="clear" w:color="auto" w:fill="auto"/>
          </w:tcPr>
          <w:p w14:paraId="6C81BBC0"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Common</w:t>
            </w:r>
          </w:p>
        </w:tc>
        <w:tc>
          <w:tcPr>
            <w:tcW w:w="2685" w:type="pct"/>
            <w:shd w:val="clear" w:color="auto" w:fill="auto"/>
          </w:tcPr>
          <w:p w14:paraId="480CAA3D"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Fatigue, pyrexia, chills, chest discomfort*, infusion site swelling*, pain*, peripheral swelling</w:t>
            </w:r>
          </w:p>
        </w:tc>
      </w:tr>
      <w:tr w:rsidR="00B020E1" w:rsidRPr="00C11ED4" w14:paraId="5CB843E9" w14:textId="77777777" w:rsidTr="00552325">
        <w:tc>
          <w:tcPr>
            <w:tcW w:w="1558" w:type="pct"/>
            <w:vMerge/>
            <w:shd w:val="clear" w:color="auto" w:fill="auto"/>
          </w:tcPr>
          <w:p w14:paraId="761D9E16" w14:textId="77777777" w:rsidR="00E72905" w:rsidRPr="00C11ED4" w:rsidRDefault="00E72905" w:rsidP="00A80EBD">
            <w:pPr>
              <w:spacing w:after="0" w:line="240" w:lineRule="auto"/>
              <w:rPr>
                <w:rFonts w:asciiTheme="majorHAnsi" w:hAnsiTheme="majorHAnsi"/>
                <w:szCs w:val="24"/>
              </w:rPr>
            </w:pPr>
          </w:p>
        </w:tc>
        <w:tc>
          <w:tcPr>
            <w:tcW w:w="757" w:type="pct"/>
            <w:shd w:val="clear" w:color="auto" w:fill="auto"/>
          </w:tcPr>
          <w:p w14:paraId="6946975E"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Uncommon</w:t>
            </w:r>
          </w:p>
        </w:tc>
        <w:tc>
          <w:tcPr>
            <w:tcW w:w="2685" w:type="pct"/>
            <w:shd w:val="clear" w:color="auto" w:fill="auto"/>
          </w:tcPr>
          <w:p w14:paraId="5429E835"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Asthenia, facial pain, feeling jittery</w:t>
            </w:r>
            <w:r w:rsidRPr="00C11ED4">
              <w:rPr>
                <w:rFonts w:asciiTheme="majorHAnsi" w:hAnsiTheme="majorHAnsi"/>
                <w:szCs w:val="24"/>
                <w:vertAlign w:val="superscript"/>
              </w:rPr>
              <w:t>†</w:t>
            </w:r>
            <w:r w:rsidRPr="00C11ED4">
              <w:rPr>
                <w:rFonts w:asciiTheme="majorHAnsi" w:hAnsiTheme="majorHAnsi"/>
                <w:szCs w:val="24"/>
              </w:rPr>
              <w:t>, infusion site pain*, malaise*, non-cardiac chest pain, swelling face*</w:t>
            </w:r>
          </w:p>
        </w:tc>
      </w:tr>
      <w:tr w:rsidR="00B020E1" w:rsidRPr="00C11ED4" w14:paraId="5A8DFFC9" w14:textId="77777777" w:rsidTr="00552325">
        <w:tc>
          <w:tcPr>
            <w:tcW w:w="1558" w:type="pct"/>
            <w:vMerge w:val="restart"/>
            <w:shd w:val="clear" w:color="auto" w:fill="auto"/>
          </w:tcPr>
          <w:p w14:paraId="288A07E1"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Investigations</w:t>
            </w:r>
          </w:p>
        </w:tc>
        <w:tc>
          <w:tcPr>
            <w:tcW w:w="757" w:type="pct"/>
            <w:shd w:val="clear" w:color="auto" w:fill="auto"/>
          </w:tcPr>
          <w:p w14:paraId="525D099F"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Common</w:t>
            </w:r>
          </w:p>
        </w:tc>
        <w:tc>
          <w:tcPr>
            <w:tcW w:w="2685" w:type="pct"/>
            <w:shd w:val="clear" w:color="auto" w:fill="auto"/>
          </w:tcPr>
          <w:p w14:paraId="5646EC28"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Blood pressure increased</w:t>
            </w:r>
            <w:r w:rsidRPr="00C11ED4">
              <w:rPr>
                <w:rFonts w:asciiTheme="majorHAnsi" w:hAnsiTheme="majorHAnsi"/>
                <w:szCs w:val="24"/>
                <w:vertAlign w:val="superscript"/>
              </w:rPr>
              <w:t>‡5</w:t>
            </w:r>
          </w:p>
        </w:tc>
      </w:tr>
      <w:tr w:rsidR="00B020E1" w:rsidRPr="00C11ED4" w14:paraId="426C607C" w14:textId="77777777" w:rsidTr="00552325">
        <w:tc>
          <w:tcPr>
            <w:tcW w:w="1558" w:type="pct"/>
            <w:vMerge/>
            <w:shd w:val="clear" w:color="auto" w:fill="auto"/>
          </w:tcPr>
          <w:p w14:paraId="6BE32730" w14:textId="77777777" w:rsidR="00E72905" w:rsidRPr="00C11ED4" w:rsidRDefault="00E72905" w:rsidP="00A80EBD">
            <w:pPr>
              <w:spacing w:after="0" w:line="240" w:lineRule="auto"/>
              <w:rPr>
                <w:rFonts w:asciiTheme="majorHAnsi" w:hAnsiTheme="majorHAnsi"/>
                <w:szCs w:val="24"/>
              </w:rPr>
            </w:pPr>
          </w:p>
        </w:tc>
        <w:tc>
          <w:tcPr>
            <w:tcW w:w="757" w:type="pct"/>
            <w:shd w:val="clear" w:color="auto" w:fill="auto"/>
          </w:tcPr>
          <w:p w14:paraId="04635740"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Uncommon</w:t>
            </w:r>
          </w:p>
        </w:tc>
        <w:tc>
          <w:tcPr>
            <w:tcW w:w="2685" w:type="pct"/>
            <w:shd w:val="clear" w:color="auto" w:fill="auto"/>
          </w:tcPr>
          <w:p w14:paraId="7216DAA2"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 xml:space="preserve">Body temperature fluctuation*, lymphocyte count </w:t>
            </w:r>
            <w:proofErr w:type="gramStart"/>
            <w:r w:rsidRPr="00C11ED4">
              <w:rPr>
                <w:rFonts w:asciiTheme="majorHAnsi" w:hAnsiTheme="majorHAnsi"/>
                <w:szCs w:val="24"/>
              </w:rPr>
              <w:t>decreased,</w:t>
            </w:r>
            <w:proofErr w:type="gramEnd"/>
            <w:r w:rsidRPr="00C11ED4">
              <w:rPr>
                <w:rFonts w:asciiTheme="majorHAnsi" w:hAnsiTheme="majorHAnsi"/>
                <w:szCs w:val="24"/>
              </w:rPr>
              <w:t xml:space="preserve"> platelet count decreased</w:t>
            </w:r>
            <w:r w:rsidRPr="00C11ED4">
              <w:rPr>
                <w:rFonts w:asciiTheme="majorHAnsi" w:hAnsiTheme="majorHAnsi"/>
                <w:szCs w:val="24"/>
                <w:vertAlign w:val="superscript"/>
              </w:rPr>
              <w:t>†</w:t>
            </w:r>
          </w:p>
        </w:tc>
      </w:tr>
      <w:tr w:rsidR="00B020E1" w:rsidRPr="00C11ED4" w14:paraId="5E9437E9" w14:textId="77777777" w:rsidTr="00552325">
        <w:tc>
          <w:tcPr>
            <w:tcW w:w="1558" w:type="pct"/>
            <w:shd w:val="clear" w:color="auto" w:fill="auto"/>
          </w:tcPr>
          <w:p w14:paraId="187A063F"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Injury, poisoning and procedural complications</w:t>
            </w:r>
          </w:p>
        </w:tc>
        <w:tc>
          <w:tcPr>
            <w:tcW w:w="757" w:type="pct"/>
            <w:shd w:val="clear" w:color="auto" w:fill="auto"/>
          </w:tcPr>
          <w:p w14:paraId="1C4E6A0B"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Uncommon</w:t>
            </w:r>
          </w:p>
        </w:tc>
        <w:tc>
          <w:tcPr>
            <w:tcW w:w="2685" w:type="pct"/>
            <w:shd w:val="clear" w:color="auto" w:fill="auto"/>
          </w:tcPr>
          <w:p w14:paraId="0746E298" w14:textId="77777777" w:rsidR="00E72905" w:rsidRPr="00C11ED4" w:rsidRDefault="00E72905" w:rsidP="00A80EBD">
            <w:pPr>
              <w:spacing w:after="0" w:line="240" w:lineRule="auto"/>
              <w:rPr>
                <w:rFonts w:asciiTheme="majorHAnsi" w:hAnsiTheme="majorHAnsi"/>
                <w:szCs w:val="24"/>
              </w:rPr>
            </w:pPr>
            <w:r w:rsidRPr="00C11ED4">
              <w:rPr>
                <w:rFonts w:asciiTheme="majorHAnsi" w:hAnsiTheme="majorHAnsi"/>
                <w:szCs w:val="24"/>
              </w:rPr>
              <w:t>Skin abrasion*</w:t>
            </w:r>
          </w:p>
        </w:tc>
      </w:tr>
      <w:tr w:rsidR="00B020E1" w:rsidRPr="00C11ED4" w14:paraId="2CC0292B" w14:textId="77777777" w:rsidTr="00552325">
        <w:tc>
          <w:tcPr>
            <w:tcW w:w="5000" w:type="pct"/>
            <w:gridSpan w:val="3"/>
            <w:shd w:val="clear" w:color="auto" w:fill="auto"/>
          </w:tcPr>
          <w:p w14:paraId="1F258BF0" w14:textId="7F1345DB" w:rsidR="00221BBF" w:rsidRPr="00C11ED4" w:rsidRDefault="00221BBF" w:rsidP="00221BBF">
            <w:pPr>
              <w:spacing w:after="0" w:line="240" w:lineRule="auto"/>
              <w:rPr>
                <w:rFonts w:asciiTheme="majorHAnsi" w:hAnsiTheme="majorHAnsi"/>
                <w:sz w:val="20"/>
                <w:szCs w:val="20"/>
              </w:rPr>
            </w:pPr>
            <w:r w:rsidRPr="00C11ED4">
              <w:rPr>
                <w:rFonts w:asciiTheme="majorHAnsi" w:hAnsiTheme="majorHAnsi"/>
                <w:sz w:val="20"/>
                <w:szCs w:val="20"/>
              </w:rPr>
              <w:t>* Related to POMBILITI</w:t>
            </w:r>
          </w:p>
          <w:p w14:paraId="7E763041" w14:textId="4C95C79A" w:rsidR="00221BBF" w:rsidRPr="00C11ED4" w:rsidRDefault="00221BBF" w:rsidP="00221BBF">
            <w:pPr>
              <w:spacing w:after="0" w:line="240" w:lineRule="auto"/>
              <w:rPr>
                <w:rFonts w:asciiTheme="majorHAnsi" w:hAnsiTheme="majorHAnsi"/>
                <w:sz w:val="20"/>
                <w:szCs w:val="20"/>
              </w:rPr>
            </w:pPr>
            <w:r w:rsidRPr="00C11ED4">
              <w:rPr>
                <w:rFonts w:asciiTheme="majorHAnsi" w:hAnsiTheme="majorHAnsi"/>
                <w:sz w:val="20"/>
                <w:szCs w:val="20"/>
                <w:vertAlign w:val="superscript"/>
              </w:rPr>
              <w:t>†</w:t>
            </w:r>
            <w:r w:rsidRPr="00C11ED4">
              <w:rPr>
                <w:rFonts w:asciiTheme="majorHAnsi" w:hAnsiTheme="majorHAnsi"/>
                <w:sz w:val="20"/>
                <w:szCs w:val="20"/>
              </w:rPr>
              <w:t xml:space="preserve"> Related to OPFOLDA</w:t>
            </w:r>
          </w:p>
          <w:p w14:paraId="1726250D" w14:textId="77777777" w:rsidR="00221BBF" w:rsidRPr="00C11ED4" w:rsidRDefault="00221BBF" w:rsidP="00221BBF">
            <w:pPr>
              <w:spacing w:after="0" w:line="240" w:lineRule="auto"/>
              <w:rPr>
                <w:rFonts w:asciiTheme="majorHAnsi" w:hAnsiTheme="majorHAnsi"/>
                <w:sz w:val="20"/>
                <w:szCs w:val="20"/>
              </w:rPr>
            </w:pPr>
            <w:r w:rsidRPr="00C11ED4">
              <w:rPr>
                <w:rFonts w:asciiTheme="majorHAnsi" w:hAnsiTheme="majorHAnsi"/>
                <w:sz w:val="20"/>
                <w:szCs w:val="20"/>
                <w:vertAlign w:val="superscript"/>
              </w:rPr>
              <w:t>‡</w:t>
            </w:r>
            <w:r w:rsidRPr="00C11ED4">
              <w:rPr>
                <w:rFonts w:asciiTheme="majorHAnsi" w:hAnsiTheme="majorHAnsi"/>
                <w:sz w:val="20"/>
                <w:szCs w:val="20"/>
              </w:rPr>
              <w:t xml:space="preserve"> Adverse reactions that are medically related were grouped to a single preferred term.</w:t>
            </w:r>
          </w:p>
          <w:p w14:paraId="2D682BE1" w14:textId="77777777" w:rsidR="00221BBF" w:rsidRPr="00C11ED4" w:rsidRDefault="00221BBF" w:rsidP="00FF6FD6">
            <w:pPr>
              <w:spacing w:after="0" w:line="240" w:lineRule="auto"/>
              <w:ind w:left="115" w:hanging="115"/>
              <w:rPr>
                <w:rFonts w:asciiTheme="majorHAnsi" w:hAnsiTheme="majorHAnsi"/>
                <w:sz w:val="20"/>
                <w:szCs w:val="20"/>
              </w:rPr>
            </w:pPr>
            <w:r w:rsidRPr="00C11ED4">
              <w:rPr>
                <w:rFonts w:asciiTheme="majorHAnsi" w:hAnsiTheme="majorHAnsi"/>
                <w:sz w:val="20"/>
                <w:szCs w:val="20"/>
                <w:vertAlign w:val="superscript"/>
              </w:rPr>
              <w:t>1</w:t>
            </w:r>
            <w:r w:rsidRPr="00C11ED4">
              <w:rPr>
                <w:rFonts w:asciiTheme="majorHAnsi" w:hAnsiTheme="majorHAnsi"/>
                <w:sz w:val="20"/>
                <w:szCs w:val="20"/>
              </w:rPr>
              <w:t xml:space="preserve"> Abdominal pain, abdominal pain upper, and abdominal pain lower are grouped under abdominal pain.</w:t>
            </w:r>
          </w:p>
          <w:p w14:paraId="10682D82" w14:textId="77777777" w:rsidR="00221BBF" w:rsidRPr="00C11ED4" w:rsidRDefault="00221BBF" w:rsidP="00FF6FD6">
            <w:pPr>
              <w:spacing w:after="0" w:line="240" w:lineRule="auto"/>
              <w:ind w:left="115" w:hanging="115"/>
              <w:rPr>
                <w:rFonts w:asciiTheme="majorHAnsi" w:hAnsiTheme="majorHAnsi"/>
                <w:sz w:val="20"/>
                <w:szCs w:val="20"/>
              </w:rPr>
            </w:pPr>
            <w:r w:rsidRPr="00C11ED4">
              <w:rPr>
                <w:rFonts w:asciiTheme="majorHAnsi" w:hAnsiTheme="majorHAnsi"/>
                <w:sz w:val="20"/>
                <w:szCs w:val="20"/>
                <w:vertAlign w:val="superscript"/>
              </w:rPr>
              <w:t>2</w:t>
            </w:r>
            <w:r w:rsidRPr="00C11ED4">
              <w:rPr>
                <w:rFonts w:asciiTheme="majorHAnsi" w:hAnsiTheme="majorHAnsi"/>
                <w:sz w:val="20"/>
                <w:szCs w:val="20"/>
              </w:rPr>
              <w:t xml:space="preserve"> Rash, rash erythematous, rash macular, and infusion site rash are grouped under rash.</w:t>
            </w:r>
          </w:p>
          <w:p w14:paraId="07A694BE" w14:textId="77777777" w:rsidR="00221BBF" w:rsidRPr="00C11ED4" w:rsidRDefault="00221BBF" w:rsidP="00FF6FD6">
            <w:pPr>
              <w:spacing w:after="0" w:line="240" w:lineRule="auto"/>
              <w:ind w:left="115" w:hanging="115"/>
              <w:rPr>
                <w:rFonts w:asciiTheme="majorHAnsi" w:hAnsiTheme="majorHAnsi"/>
                <w:sz w:val="20"/>
                <w:szCs w:val="20"/>
              </w:rPr>
            </w:pPr>
            <w:r w:rsidRPr="00C11ED4">
              <w:rPr>
                <w:rFonts w:asciiTheme="majorHAnsi" w:hAnsiTheme="majorHAnsi"/>
                <w:sz w:val="20"/>
                <w:szCs w:val="20"/>
                <w:vertAlign w:val="superscript"/>
              </w:rPr>
              <w:t>3</w:t>
            </w:r>
            <w:r w:rsidRPr="00C11ED4">
              <w:rPr>
                <w:rFonts w:asciiTheme="majorHAnsi" w:hAnsiTheme="majorHAnsi"/>
                <w:sz w:val="20"/>
                <w:szCs w:val="20"/>
              </w:rPr>
              <w:t xml:space="preserve"> Urticaria, mechanical urticaria, and urticaria rash are grouped under urticaria.</w:t>
            </w:r>
          </w:p>
          <w:p w14:paraId="1CA4FF90" w14:textId="77777777" w:rsidR="00221BBF" w:rsidRPr="00C11ED4" w:rsidRDefault="00221BBF" w:rsidP="00FF6FD6">
            <w:pPr>
              <w:spacing w:after="0" w:line="240" w:lineRule="auto"/>
              <w:ind w:left="115" w:hanging="115"/>
              <w:rPr>
                <w:rFonts w:asciiTheme="majorHAnsi" w:hAnsiTheme="majorHAnsi"/>
                <w:sz w:val="20"/>
                <w:szCs w:val="20"/>
              </w:rPr>
            </w:pPr>
            <w:r w:rsidRPr="00C11ED4">
              <w:rPr>
                <w:rFonts w:asciiTheme="majorHAnsi" w:hAnsiTheme="majorHAnsi"/>
                <w:sz w:val="20"/>
                <w:szCs w:val="20"/>
                <w:vertAlign w:val="superscript"/>
              </w:rPr>
              <w:t>4</w:t>
            </w:r>
            <w:r w:rsidRPr="00C11ED4">
              <w:rPr>
                <w:rFonts w:asciiTheme="majorHAnsi" w:hAnsiTheme="majorHAnsi"/>
                <w:sz w:val="20"/>
                <w:szCs w:val="20"/>
              </w:rPr>
              <w:t xml:space="preserve"> Migraine and migraine with aura are grouped under migraine.</w:t>
            </w:r>
          </w:p>
          <w:p w14:paraId="00ECF62E" w14:textId="77777777" w:rsidR="00221BBF" w:rsidRPr="00C11ED4" w:rsidRDefault="00221BBF" w:rsidP="00FF6FD6">
            <w:pPr>
              <w:spacing w:after="0" w:line="240" w:lineRule="auto"/>
              <w:ind w:left="115" w:hanging="115"/>
              <w:rPr>
                <w:rFonts w:asciiTheme="majorHAnsi" w:hAnsiTheme="majorHAnsi"/>
                <w:sz w:val="20"/>
                <w:szCs w:val="20"/>
              </w:rPr>
            </w:pPr>
            <w:r w:rsidRPr="00C11ED4">
              <w:rPr>
                <w:rFonts w:asciiTheme="majorHAnsi" w:hAnsiTheme="majorHAnsi"/>
                <w:sz w:val="20"/>
                <w:szCs w:val="20"/>
                <w:vertAlign w:val="superscript"/>
              </w:rPr>
              <w:t>5</w:t>
            </w:r>
            <w:r w:rsidRPr="00C11ED4">
              <w:rPr>
                <w:rFonts w:asciiTheme="majorHAnsi" w:hAnsiTheme="majorHAnsi"/>
                <w:sz w:val="20"/>
                <w:szCs w:val="20"/>
              </w:rPr>
              <w:t xml:space="preserve"> Hypertension and blood pressure increased are grouped under blood pressure increased.</w:t>
            </w:r>
          </w:p>
          <w:p w14:paraId="2B673E7F" w14:textId="77777777" w:rsidR="00463DE0" w:rsidRPr="00C11ED4" w:rsidRDefault="00221BBF" w:rsidP="00FF6FD6">
            <w:pPr>
              <w:spacing w:after="0" w:line="240" w:lineRule="auto"/>
              <w:ind w:left="115" w:hanging="115"/>
              <w:rPr>
                <w:rFonts w:asciiTheme="majorHAnsi" w:hAnsiTheme="majorHAnsi"/>
                <w:sz w:val="20"/>
                <w:szCs w:val="20"/>
              </w:rPr>
            </w:pPr>
            <w:r w:rsidRPr="00C11ED4">
              <w:rPr>
                <w:rFonts w:asciiTheme="majorHAnsi" w:hAnsiTheme="majorHAnsi"/>
                <w:sz w:val="20"/>
                <w:szCs w:val="20"/>
                <w:vertAlign w:val="superscript"/>
              </w:rPr>
              <w:t>6</w:t>
            </w:r>
            <w:r w:rsidRPr="00C11ED4">
              <w:rPr>
                <w:rFonts w:asciiTheme="majorHAnsi" w:hAnsiTheme="majorHAnsi"/>
                <w:sz w:val="20"/>
                <w:szCs w:val="20"/>
              </w:rPr>
              <w:t xml:space="preserve"> Anaphylaxis and anaphylactic reaction are grouped under anaphylactic reaction. Anaphylactoid reaction is manually coded to anaphylaxis.</w:t>
            </w:r>
          </w:p>
          <w:p w14:paraId="79E8CFAB" w14:textId="7B75E51C" w:rsidR="00013008" w:rsidRPr="00C11ED4" w:rsidRDefault="008C45A5" w:rsidP="00FF6FD6">
            <w:pPr>
              <w:spacing w:after="0" w:line="240" w:lineRule="auto"/>
              <w:ind w:left="115" w:hanging="115"/>
              <w:rPr>
                <w:rFonts w:asciiTheme="majorHAnsi" w:hAnsiTheme="majorHAnsi"/>
                <w:sz w:val="20"/>
                <w:szCs w:val="20"/>
              </w:rPr>
            </w:pPr>
            <w:r w:rsidRPr="00C11ED4">
              <w:rPr>
                <w:rFonts w:asciiTheme="majorHAnsi" w:hAnsiTheme="majorHAnsi"/>
                <w:sz w:val="20"/>
                <w:szCs w:val="20"/>
                <w:vertAlign w:val="superscript"/>
              </w:rPr>
              <w:t>7</w:t>
            </w:r>
            <w:r w:rsidRPr="00C11ED4">
              <w:rPr>
                <w:rFonts w:asciiTheme="majorHAnsi" w:hAnsiTheme="majorHAnsi"/>
                <w:sz w:val="20"/>
                <w:szCs w:val="20"/>
              </w:rPr>
              <w:t xml:space="preserve"> Tachycardia and sinus tachycardia are grouped under tachycardia.</w:t>
            </w:r>
          </w:p>
        </w:tc>
      </w:tr>
    </w:tbl>
    <w:p w14:paraId="118980CE" w14:textId="60D972D3" w:rsidR="00323301" w:rsidRPr="00C11ED4" w:rsidRDefault="00323301" w:rsidP="00FC66B1">
      <w:pPr>
        <w:pStyle w:val="C-BodyText"/>
        <w:keepNext/>
        <w:keepLines/>
        <w:shd w:val="clear" w:color="auto" w:fill="FFFFFF" w:themeFill="background1"/>
        <w:spacing w:before="200" w:after="200" w:line="276" w:lineRule="auto"/>
        <w:rPr>
          <w:rFonts w:asciiTheme="majorHAnsi" w:hAnsiTheme="majorHAnsi" w:cstheme="minorHAnsi"/>
          <w:sz w:val="22"/>
          <w:szCs w:val="22"/>
          <w:u w:val="single"/>
          <w:lang w:val="en"/>
        </w:rPr>
      </w:pPr>
      <w:r w:rsidRPr="00C11ED4">
        <w:rPr>
          <w:rFonts w:asciiTheme="majorHAnsi" w:hAnsiTheme="majorHAnsi" w:cstheme="minorHAnsi"/>
          <w:sz w:val="22"/>
          <w:szCs w:val="22"/>
          <w:u w:val="single"/>
          <w:lang w:val="en"/>
        </w:rPr>
        <w:lastRenderedPageBreak/>
        <w:t>Tabulated list of treatment-emergent adverse events from PROPEL trial</w:t>
      </w:r>
    </w:p>
    <w:p w14:paraId="668ACAAB" w14:textId="53497BA5" w:rsidR="0045389F" w:rsidRPr="00C11ED4" w:rsidRDefault="0045389F" w:rsidP="00EB0E90">
      <w:pPr>
        <w:pStyle w:val="C-BodyText"/>
        <w:keepNext/>
        <w:keepLines/>
        <w:shd w:val="clear" w:color="auto" w:fill="FFFFFF" w:themeFill="background1"/>
        <w:spacing w:before="200"/>
        <w:rPr>
          <w:rFonts w:asciiTheme="majorHAnsi" w:hAnsiTheme="majorHAnsi" w:cstheme="minorBidi"/>
          <w:sz w:val="22"/>
          <w:szCs w:val="22"/>
        </w:rPr>
      </w:pPr>
      <w:r w:rsidRPr="00C11ED4">
        <w:rPr>
          <w:rFonts w:asciiTheme="majorHAnsi" w:hAnsiTheme="majorHAnsi" w:cstheme="minorBidi"/>
          <w:sz w:val="22"/>
          <w:szCs w:val="22"/>
        </w:rPr>
        <w:t xml:space="preserve">The </w:t>
      </w:r>
      <w:proofErr w:type="gramStart"/>
      <w:r w:rsidRPr="00C11ED4">
        <w:rPr>
          <w:rFonts w:asciiTheme="majorHAnsi" w:hAnsiTheme="majorHAnsi" w:cstheme="minorBidi"/>
          <w:sz w:val="22"/>
          <w:szCs w:val="22"/>
        </w:rPr>
        <w:t>most commonly reported</w:t>
      </w:r>
      <w:proofErr w:type="gramEnd"/>
      <w:r w:rsidRPr="00C11ED4">
        <w:rPr>
          <w:rFonts w:asciiTheme="majorHAnsi" w:hAnsiTheme="majorHAnsi" w:cstheme="minorBidi"/>
          <w:sz w:val="22"/>
          <w:szCs w:val="22"/>
        </w:rPr>
        <w:t xml:space="preserve"> treatment-emergent adverse events (TEAEs) (≥</w:t>
      </w:r>
      <w:r w:rsidR="0074463C" w:rsidRPr="00C11ED4">
        <w:rPr>
          <w:rFonts w:asciiTheme="majorHAnsi" w:hAnsiTheme="majorHAnsi" w:cstheme="minorBidi"/>
          <w:sz w:val="22"/>
          <w:szCs w:val="22"/>
        </w:rPr>
        <w:t xml:space="preserve"> </w:t>
      </w:r>
      <w:r w:rsidRPr="00C11ED4">
        <w:rPr>
          <w:rFonts w:asciiTheme="majorHAnsi" w:hAnsiTheme="majorHAnsi" w:cstheme="minorBidi"/>
          <w:sz w:val="22"/>
          <w:szCs w:val="22"/>
        </w:rPr>
        <w:t>10%) from either treatment group in controlled</w:t>
      </w:r>
      <w:r w:rsidR="00EA0F64" w:rsidRPr="00C11ED4">
        <w:rPr>
          <w:rFonts w:asciiTheme="majorHAnsi" w:hAnsiTheme="majorHAnsi" w:cstheme="minorBidi"/>
          <w:sz w:val="22"/>
          <w:szCs w:val="22"/>
        </w:rPr>
        <w:t xml:space="preserve"> trial</w:t>
      </w:r>
      <w:r w:rsidR="00ED49FE" w:rsidRPr="00C11ED4">
        <w:rPr>
          <w:rFonts w:asciiTheme="majorHAnsi" w:hAnsiTheme="majorHAnsi" w:cstheme="minorBidi"/>
          <w:sz w:val="22"/>
          <w:szCs w:val="22"/>
        </w:rPr>
        <w:t xml:space="preserve"> (PROPEL)</w:t>
      </w:r>
      <w:r w:rsidRPr="00C11ED4">
        <w:rPr>
          <w:rFonts w:asciiTheme="majorHAnsi" w:hAnsiTheme="majorHAnsi" w:cstheme="minorBidi"/>
          <w:sz w:val="22"/>
          <w:szCs w:val="22"/>
        </w:rPr>
        <w:t xml:space="preserve"> are shown in Table 2.</w:t>
      </w:r>
      <w:r w:rsidR="004E4EA6" w:rsidRPr="00C11ED4">
        <w:rPr>
          <w:rFonts w:asciiTheme="majorHAnsi" w:hAnsiTheme="majorHAnsi" w:cstheme="minorBidi"/>
          <w:sz w:val="22"/>
          <w:szCs w:val="22"/>
        </w:rPr>
        <w:t xml:space="preserve"> The most frequently </w:t>
      </w:r>
      <w:r w:rsidR="00E910A1" w:rsidRPr="00C11ED4">
        <w:rPr>
          <w:rFonts w:asciiTheme="majorHAnsi" w:hAnsiTheme="majorHAnsi" w:cstheme="minorBidi"/>
          <w:sz w:val="22"/>
          <w:szCs w:val="22"/>
        </w:rPr>
        <w:t xml:space="preserve">reported TEAEs in the </w:t>
      </w:r>
      <w:r w:rsidR="00607D28" w:rsidRPr="00C11ED4">
        <w:rPr>
          <w:rFonts w:asciiTheme="majorHAnsi" w:hAnsiTheme="majorHAnsi" w:cstheme="minorBidi"/>
          <w:sz w:val="22"/>
          <w:szCs w:val="22"/>
        </w:rPr>
        <w:t>POMBILITI in combination with OPFOLDA</w:t>
      </w:r>
      <w:r w:rsidR="00464948" w:rsidRPr="00C11ED4">
        <w:rPr>
          <w:rFonts w:asciiTheme="majorHAnsi" w:hAnsiTheme="majorHAnsi" w:cstheme="minorBidi"/>
          <w:sz w:val="22"/>
          <w:szCs w:val="22"/>
        </w:rPr>
        <w:t xml:space="preserve"> group were fall, headache, nasopharyngitis and myalgia.</w:t>
      </w:r>
      <w:r w:rsidR="00EB0E90" w:rsidRPr="00C11ED4">
        <w:rPr>
          <w:rFonts w:asciiTheme="majorHAnsi" w:hAnsiTheme="majorHAnsi" w:cstheme="minorBidi"/>
          <w:sz w:val="22"/>
          <w:szCs w:val="22"/>
        </w:rPr>
        <w:t xml:space="preserve"> The most frequently reported TEAEs in the </w:t>
      </w:r>
      <w:proofErr w:type="spellStart"/>
      <w:r w:rsidR="00EB0E90" w:rsidRPr="00C11ED4">
        <w:rPr>
          <w:rFonts w:asciiTheme="majorHAnsi" w:hAnsiTheme="majorHAnsi" w:cstheme="minorBidi"/>
          <w:sz w:val="22"/>
          <w:szCs w:val="22"/>
        </w:rPr>
        <w:t>alglucosidase</w:t>
      </w:r>
      <w:proofErr w:type="spellEnd"/>
      <w:r w:rsidR="00EB0E90" w:rsidRPr="00C11ED4">
        <w:rPr>
          <w:rFonts w:asciiTheme="majorHAnsi" w:hAnsiTheme="majorHAnsi" w:cstheme="minorBidi"/>
          <w:sz w:val="22"/>
          <w:szCs w:val="22"/>
        </w:rPr>
        <w:t xml:space="preserve"> alfa/placebo group were fall, headache, nausea, and back pain</w:t>
      </w:r>
      <w:r w:rsidR="00607D28" w:rsidRPr="00C11ED4">
        <w:rPr>
          <w:rFonts w:asciiTheme="majorHAnsi" w:hAnsiTheme="majorHAnsi" w:cstheme="minorBidi"/>
          <w:sz w:val="22"/>
          <w:szCs w:val="22"/>
        </w:rPr>
        <w:t>.</w:t>
      </w:r>
    </w:p>
    <w:p w14:paraId="671101BC" w14:textId="77777777" w:rsidR="00555F92" w:rsidRPr="00C11ED4" w:rsidRDefault="00555F92" w:rsidP="00555F92">
      <w:pPr>
        <w:spacing w:before="120"/>
        <w:rPr>
          <w:rFonts w:asciiTheme="majorHAnsi" w:hAnsiTheme="majorHAnsi" w:cstheme="minorHAnsi"/>
          <w:lang w:val="en"/>
        </w:rPr>
      </w:pPr>
      <w:r w:rsidRPr="00C11ED4">
        <w:rPr>
          <w:rFonts w:asciiTheme="majorHAnsi" w:hAnsiTheme="majorHAnsi" w:cstheme="minorHAnsi"/>
          <w:lang w:val="en"/>
        </w:rPr>
        <w:t>Table 2 shows adverse events with an incidence of at least 10% in either treatment group from the controlled trial (PROPEL).</w:t>
      </w:r>
    </w:p>
    <w:tbl>
      <w:tblPr>
        <w:tblStyle w:val="TableGrid2"/>
        <w:tblW w:w="5000" w:type="pct"/>
        <w:tblLook w:val="04A0" w:firstRow="1" w:lastRow="0" w:firstColumn="1" w:lastColumn="0" w:noHBand="0" w:noVBand="1"/>
      </w:tblPr>
      <w:tblGrid>
        <w:gridCol w:w="3008"/>
        <w:gridCol w:w="3009"/>
        <w:gridCol w:w="3009"/>
      </w:tblGrid>
      <w:tr w:rsidR="00B020E1" w:rsidRPr="00C11ED4" w14:paraId="0F431416" w14:textId="77777777" w:rsidTr="007526BB">
        <w:tc>
          <w:tcPr>
            <w:tcW w:w="5000" w:type="pct"/>
            <w:gridSpan w:val="3"/>
            <w:tcBorders>
              <w:top w:val="nil"/>
              <w:left w:val="nil"/>
              <w:bottom w:val="single" w:sz="4" w:space="0" w:color="auto"/>
              <w:right w:val="nil"/>
            </w:tcBorders>
            <w:tcMar>
              <w:left w:w="0" w:type="dxa"/>
              <w:right w:w="0" w:type="dxa"/>
            </w:tcMar>
          </w:tcPr>
          <w:p w14:paraId="368E619A" w14:textId="267CDEDB" w:rsidR="0045389F" w:rsidRPr="00C11ED4" w:rsidRDefault="0045389F" w:rsidP="005224B6">
            <w:pPr>
              <w:keepNext/>
              <w:spacing w:line="276" w:lineRule="auto"/>
              <w:rPr>
                <w:rFonts w:asciiTheme="majorHAnsi" w:hAnsiTheme="majorHAnsi" w:cstheme="minorHAnsi"/>
                <w:b/>
                <w:bCs/>
                <w:lang w:val="en"/>
              </w:rPr>
            </w:pPr>
            <w:r w:rsidRPr="00C11ED4">
              <w:rPr>
                <w:rFonts w:asciiTheme="majorHAnsi" w:hAnsiTheme="majorHAnsi" w:cstheme="minorHAnsi"/>
                <w:b/>
                <w:bCs/>
                <w:lang w:val="en"/>
              </w:rPr>
              <w:t>Table 2: Adverse Events with an Incidence of at Least 10% of Subjects by Preferred Term (</w:t>
            </w:r>
            <w:r w:rsidR="00101AFB" w:rsidRPr="00C11ED4">
              <w:rPr>
                <w:rFonts w:asciiTheme="majorHAnsi" w:hAnsiTheme="majorHAnsi" w:cstheme="minorHAnsi"/>
                <w:b/>
                <w:bCs/>
                <w:lang w:val="en"/>
              </w:rPr>
              <w:t>PROPEL trial</w:t>
            </w:r>
            <w:r w:rsidRPr="00C11ED4">
              <w:rPr>
                <w:rFonts w:asciiTheme="majorHAnsi" w:hAnsiTheme="majorHAnsi" w:cstheme="minorHAnsi"/>
                <w:b/>
                <w:bCs/>
                <w:lang w:val="en"/>
              </w:rPr>
              <w:t>)</w:t>
            </w:r>
          </w:p>
        </w:tc>
      </w:tr>
      <w:tr w:rsidR="00B020E1" w:rsidRPr="00C11ED4" w14:paraId="59A232FD" w14:textId="77777777" w:rsidTr="007526BB">
        <w:tc>
          <w:tcPr>
            <w:tcW w:w="1666" w:type="pct"/>
            <w:tcBorders>
              <w:top w:val="single" w:sz="4" w:space="0" w:color="auto"/>
            </w:tcBorders>
          </w:tcPr>
          <w:p w14:paraId="1B6639E1" w14:textId="77777777" w:rsidR="0045389F" w:rsidRPr="00C11ED4" w:rsidRDefault="0045389F" w:rsidP="00A80EBD">
            <w:pPr>
              <w:rPr>
                <w:rFonts w:asciiTheme="majorHAnsi" w:hAnsiTheme="majorHAnsi" w:cstheme="minorHAnsi"/>
                <w:b/>
                <w:bCs/>
                <w:lang w:val="en"/>
              </w:rPr>
            </w:pPr>
            <w:r w:rsidRPr="00C11ED4">
              <w:rPr>
                <w:rFonts w:asciiTheme="majorHAnsi" w:hAnsiTheme="majorHAnsi" w:cstheme="minorHAnsi"/>
                <w:b/>
                <w:bCs/>
                <w:lang w:val="en"/>
              </w:rPr>
              <w:t>Preferred Term - n (%)</w:t>
            </w:r>
          </w:p>
        </w:tc>
        <w:tc>
          <w:tcPr>
            <w:tcW w:w="1667" w:type="pct"/>
            <w:tcBorders>
              <w:top w:val="single" w:sz="4" w:space="0" w:color="auto"/>
            </w:tcBorders>
          </w:tcPr>
          <w:p w14:paraId="3BC734D2" w14:textId="62B99801" w:rsidR="0045389F" w:rsidRPr="00C11ED4" w:rsidRDefault="0045389F" w:rsidP="00A80EBD">
            <w:pPr>
              <w:jc w:val="center"/>
              <w:rPr>
                <w:rFonts w:asciiTheme="majorHAnsi" w:hAnsiTheme="majorHAnsi" w:cstheme="minorHAnsi"/>
                <w:b/>
                <w:bCs/>
                <w:lang w:val="en"/>
              </w:rPr>
            </w:pPr>
            <w:r w:rsidRPr="00C11ED4">
              <w:rPr>
                <w:rFonts w:asciiTheme="majorHAnsi" w:hAnsiTheme="majorHAnsi" w:cstheme="minorHAnsi"/>
                <w:b/>
                <w:bCs/>
                <w:lang w:val="en"/>
              </w:rPr>
              <w:t>POMBILITI in combination with OPFOLDA</w:t>
            </w:r>
            <w:r w:rsidR="00433EAF" w:rsidRPr="00C11ED4">
              <w:rPr>
                <w:rFonts w:asciiTheme="majorHAnsi" w:hAnsiTheme="majorHAnsi" w:cstheme="minorHAnsi"/>
                <w:b/>
                <w:bCs/>
                <w:lang w:val="en"/>
              </w:rPr>
              <w:t xml:space="preserve"> </w:t>
            </w:r>
            <w:r w:rsidRPr="00C11ED4">
              <w:rPr>
                <w:rFonts w:asciiTheme="majorHAnsi" w:hAnsiTheme="majorHAnsi" w:cstheme="minorHAnsi"/>
                <w:b/>
                <w:bCs/>
                <w:lang w:val="en"/>
              </w:rPr>
              <w:t>(N = 85)</w:t>
            </w:r>
          </w:p>
        </w:tc>
        <w:tc>
          <w:tcPr>
            <w:tcW w:w="1667" w:type="pct"/>
            <w:tcBorders>
              <w:top w:val="single" w:sz="4" w:space="0" w:color="auto"/>
            </w:tcBorders>
          </w:tcPr>
          <w:p w14:paraId="64422C16" w14:textId="77777777" w:rsidR="0045389F" w:rsidRPr="00C11ED4" w:rsidRDefault="0045389F" w:rsidP="00A80EBD">
            <w:pPr>
              <w:jc w:val="center"/>
              <w:rPr>
                <w:rFonts w:asciiTheme="majorHAnsi" w:hAnsiTheme="majorHAnsi" w:cstheme="minorHAnsi"/>
                <w:b/>
                <w:bCs/>
                <w:lang w:val="en"/>
              </w:rPr>
            </w:pPr>
            <w:proofErr w:type="spellStart"/>
            <w:r w:rsidRPr="00C11ED4">
              <w:rPr>
                <w:rFonts w:asciiTheme="majorHAnsi" w:hAnsiTheme="majorHAnsi" w:cstheme="minorHAnsi"/>
                <w:b/>
                <w:bCs/>
                <w:lang w:val="en"/>
              </w:rPr>
              <w:t>Alglucosidase</w:t>
            </w:r>
            <w:proofErr w:type="spellEnd"/>
            <w:r w:rsidRPr="00C11ED4">
              <w:rPr>
                <w:rFonts w:asciiTheme="majorHAnsi" w:hAnsiTheme="majorHAnsi" w:cstheme="minorHAnsi"/>
                <w:b/>
                <w:bCs/>
                <w:lang w:val="en"/>
              </w:rPr>
              <w:t xml:space="preserve"> Alfa/Placebo</w:t>
            </w:r>
            <w:r w:rsidRPr="00C11ED4">
              <w:rPr>
                <w:rFonts w:asciiTheme="majorHAnsi" w:hAnsiTheme="majorHAnsi" w:cstheme="minorHAnsi"/>
                <w:b/>
                <w:bCs/>
                <w:lang w:val="en"/>
              </w:rPr>
              <w:br/>
              <w:t>(N = 38)</w:t>
            </w:r>
          </w:p>
        </w:tc>
      </w:tr>
      <w:tr w:rsidR="00B020E1" w:rsidRPr="00C11ED4" w14:paraId="144F482C" w14:textId="77777777" w:rsidTr="007526BB">
        <w:tc>
          <w:tcPr>
            <w:tcW w:w="1666" w:type="pct"/>
          </w:tcPr>
          <w:p w14:paraId="3E8AFC6F" w14:textId="77777777" w:rsidR="0045389F" w:rsidRPr="00C11ED4" w:rsidRDefault="0045389F" w:rsidP="00A80EBD">
            <w:pPr>
              <w:rPr>
                <w:rFonts w:asciiTheme="majorHAnsi" w:hAnsiTheme="majorHAnsi" w:cstheme="minorHAnsi"/>
                <w:lang w:val="en"/>
              </w:rPr>
            </w:pPr>
            <w:r w:rsidRPr="00C11ED4">
              <w:rPr>
                <w:rFonts w:asciiTheme="majorHAnsi" w:hAnsiTheme="majorHAnsi"/>
              </w:rPr>
              <w:t>Subjects</w:t>
            </w:r>
            <w:r w:rsidRPr="00C11ED4">
              <w:rPr>
                <w:rFonts w:asciiTheme="majorHAnsi" w:hAnsiTheme="majorHAnsi"/>
                <w:spacing w:val="-13"/>
              </w:rPr>
              <w:t xml:space="preserve"> </w:t>
            </w:r>
            <w:r w:rsidRPr="00C11ED4">
              <w:rPr>
                <w:rFonts w:asciiTheme="majorHAnsi" w:hAnsiTheme="majorHAnsi"/>
              </w:rPr>
              <w:t>with</w:t>
            </w:r>
            <w:r w:rsidRPr="00C11ED4">
              <w:rPr>
                <w:rFonts w:asciiTheme="majorHAnsi" w:hAnsiTheme="majorHAnsi"/>
                <w:spacing w:val="-6"/>
              </w:rPr>
              <w:t xml:space="preserve"> </w:t>
            </w:r>
            <w:r w:rsidRPr="00C11ED4">
              <w:rPr>
                <w:rFonts w:asciiTheme="majorHAnsi" w:hAnsiTheme="majorHAnsi"/>
              </w:rPr>
              <w:t>any</w:t>
            </w:r>
            <w:r w:rsidRPr="00C11ED4">
              <w:rPr>
                <w:rFonts w:asciiTheme="majorHAnsi" w:hAnsiTheme="majorHAnsi"/>
                <w:spacing w:val="-5"/>
              </w:rPr>
              <w:t xml:space="preserve"> </w:t>
            </w:r>
            <w:r w:rsidRPr="00C11ED4">
              <w:rPr>
                <w:rFonts w:asciiTheme="majorHAnsi" w:hAnsiTheme="majorHAnsi"/>
                <w:spacing w:val="-4"/>
              </w:rPr>
              <w:t>TEAE</w:t>
            </w:r>
          </w:p>
        </w:tc>
        <w:tc>
          <w:tcPr>
            <w:tcW w:w="1667" w:type="pct"/>
          </w:tcPr>
          <w:p w14:paraId="75031712"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81</w:t>
            </w:r>
            <w:r w:rsidRPr="00C11ED4">
              <w:rPr>
                <w:rFonts w:asciiTheme="majorHAnsi" w:hAnsiTheme="majorHAnsi"/>
                <w:spacing w:val="-6"/>
              </w:rPr>
              <w:t xml:space="preserve"> </w:t>
            </w:r>
            <w:r w:rsidRPr="00C11ED4">
              <w:rPr>
                <w:rFonts w:asciiTheme="majorHAnsi" w:hAnsiTheme="majorHAnsi"/>
                <w:spacing w:val="-2"/>
              </w:rPr>
              <w:t>(95.3)</w:t>
            </w:r>
          </w:p>
        </w:tc>
        <w:tc>
          <w:tcPr>
            <w:tcW w:w="1667" w:type="pct"/>
          </w:tcPr>
          <w:p w14:paraId="12990B32"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37</w:t>
            </w:r>
            <w:r w:rsidRPr="00C11ED4">
              <w:rPr>
                <w:rFonts w:asciiTheme="majorHAnsi" w:hAnsiTheme="majorHAnsi"/>
                <w:spacing w:val="-6"/>
              </w:rPr>
              <w:t xml:space="preserve"> </w:t>
            </w:r>
            <w:r w:rsidRPr="00C11ED4">
              <w:rPr>
                <w:rFonts w:asciiTheme="majorHAnsi" w:hAnsiTheme="majorHAnsi"/>
                <w:spacing w:val="-2"/>
              </w:rPr>
              <w:t>(97.4)</w:t>
            </w:r>
          </w:p>
        </w:tc>
      </w:tr>
      <w:tr w:rsidR="00B020E1" w:rsidRPr="00C11ED4" w14:paraId="79552A9A" w14:textId="77777777" w:rsidTr="007526BB">
        <w:tc>
          <w:tcPr>
            <w:tcW w:w="1666" w:type="pct"/>
          </w:tcPr>
          <w:p w14:paraId="40906CA4" w14:textId="77777777" w:rsidR="0045389F" w:rsidRPr="00C11ED4" w:rsidRDefault="0045389F" w:rsidP="00A80EBD">
            <w:pPr>
              <w:rPr>
                <w:rFonts w:asciiTheme="majorHAnsi" w:hAnsiTheme="majorHAnsi" w:cstheme="minorHAnsi"/>
                <w:lang w:val="en"/>
              </w:rPr>
            </w:pPr>
            <w:r w:rsidRPr="00C11ED4">
              <w:rPr>
                <w:rFonts w:asciiTheme="majorHAnsi" w:hAnsiTheme="majorHAnsi"/>
              </w:rPr>
              <w:t>Fall</w:t>
            </w:r>
          </w:p>
        </w:tc>
        <w:tc>
          <w:tcPr>
            <w:tcW w:w="1667" w:type="pct"/>
          </w:tcPr>
          <w:p w14:paraId="7FA4B34E"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25 (29.4)</w:t>
            </w:r>
          </w:p>
        </w:tc>
        <w:tc>
          <w:tcPr>
            <w:tcW w:w="1667" w:type="pct"/>
          </w:tcPr>
          <w:p w14:paraId="6C7FAE78"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15 (39.5)</w:t>
            </w:r>
          </w:p>
        </w:tc>
      </w:tr>
      <w:tr w:rsidR="00B020E1" w:rsidRPr="00C11ED4" w14:paraId="2AAD00EB" w14:textId="77777777" w:rsidTr="007526BB">
        <w:tc>
          <w:tcPr>
            <w:tcW w:w="1666" w:type="pct"/>
          </w:tcPr>
          <w:p w14:paraId="53503D45" w14:textId="77777777" w:rsidR="0045389F" w:rsidRPr="00C11ED4" w:rsidRDefault="0045389F" w:rsidP="00A80EBD">
            <w:pPr>
              <w:rPr>
                <w:rFonts w:asciiTheme="majorHAnsi" w:hAnsiTheme="majorHAnsi" w:cstheme="minorHAnsi"/>
                <w:lang w:val="en"/>
              </w:rPr>
            </w:pPr>
            <w:r w:rsidRPr="00C11ED4">
              <w:rPr>
                <w:rFonts w:asciiTheme="majorHAnsi" w:hAnsiTheme="majorHAnsi"/>
              </w:rPr>
              <w:t>Headache</w:t>
            </w:r>
          </w:p>
        </w:tc>
        <w:tc>
          <w:tcPr>
            <w:tcW w:w="1667" w:type="pct"/>
          </w:tcPr>
          <w:p w14:paraId="484B6C7D"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20 (23.5)</w:t>
            </w:r>
          </w:p>
        </w:tc>
        <w:tc>
          <w:tcPr>
            <w:tcW w:w="1667" w:type="pct"/>
          </w:tcPr>
          <w:p w14:paraId="108DCAE2"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9 (23.7)</w:t>
            </w:r>
          </w:p>
        </w:tc>
      </w:tr>
      <w:tr w:rsidR="00B020E1" w:rsidRPr="00C11ED4" w14:paraId="45DD7635" w14:textId="77777777" w:rsidTr="007526BB">
        <w:tc>
          <w:tcPr>
            <w:tcW w:w="1666" w:type="pct"/>
          </w:tcPr>
          <w:p w14:paraId="4A08EF6B" w14:textId="77777777" w:rsidR="0045389F" w:rsidRPr="00C11ED4" w:rsidRDefault="0045389F" w:rsidP="00A80EBD">
            <w:pPr>
              <w:rPr>
                <w:rFonts w:asciiTheme="majorHAnsi" w:hAnsiTheme="majorHAnsi" w:cstheme="minorHAnsi"/>
                <w:lang w:val="en"/>
              </w:rPr>
            </w:pPr>
            <w:r w:rsidRPr="00C11ED4">
              <w:rPr>
                <w:rFonts w:asciiTheme="majorHAnsi" w:hAnsiTheme="majorHAnsi"/>
              </w:rPr>
              <w:t>Nasopharyngitis</w:t>
            </w:r>
          </w:p>
        </w:tc>
        <w:tc>
          <w:tcPr>
            <w:tcW w:w="1667" w:type="pct"/>
          </w:tcPr>
          <w:p w14:paraId="53D5B09D"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19 (22.4)</w:t>
            </w:r>
          </w:p>
        </w:tc>
        <w:tc>
          <w:tcPr>
            <w:tcW w:w="1667" w:type="pct"/>
          </w:tcPr>
          <w:p w14:paraId="47E56195"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3 (7.9)</w:t>
            </w:r>
          </w:p>
        </w:tc>
      </w:tr>
      <w:tr w:rsidR="00B020E1" w:rsidRPr="00C11ED4" w14:paraId="3D609CAB" w14:textId="77777777" w:rsidTr="007526BB">
        <w:tc>
          <w:tcPr>
            <w:tcW w:w="1666" w:type="pct"/>
          </w:tcPr>
          <w:p w14:paraId="5C0CAA5E" w14:textId="77777777" w:rsidR="0045389F" w:rsidRPr="00C11ED4" w:rsidRDefault="0045389F" w:rsidP="00A80EBD">
            <w:pPr>
              <w:rPr>
                <w:rFonts w:asciiTheme="majorHAnsi" w:hAnsiTheme="majorHAnsi" w:cstheme="minorHAnsi"/>
                <w:lang w:val="en"/>
              </w:rPr>
            </w:pPr>
            <w:r w:rsidRPr="00C11ED4">
              <w:rPr>
                <w:rFonts w:asciiTheme="majorHAnsi" w:hAnsiTheme="majorHAnsi"/>
              </w:rPr>
              <w:t>Myalgia</w:t>
            </w:r>
          </w:p>
        </w:tc>
        <w:tc>
          <w:tcPr>
            <w:tcW w:w="1667" w:type="pct"/>
          </w:tcPr>
          <w:p w14:paraId="6CF0AD31"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14 (16.5)</w:t>
            </w:r>
          </w:p>
        </w:tc>
        <w:tc>
          <w:tcPr>
            <w:tcW w:w="1667" w:type="pct"/>
          </w:tcPr>
          <w:p w14:paraId="683110DB"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5 (13.2)</w:t>
            </w:r>
          </w:p>
        </w:tc>
      </w:tr>
      <w:tr w:rsidR="00B020E1" w:rsidRPr="00C11ED4" w14:paraId="3C749ECE" w14:textId="77777777" w:rsidTr="007526BB">
        <w:tc>
          <w:tcPr>
            <w:tcW w:w="1666" w:type="pct"/>
          </w:tcPr>
          <w:p w14:paraId="3E67104E" w14:textId="77777777" w:rsidR="0045389F" w:rsidRPr="00C11ED4" w:rsidRDefault="0045389F" w:rsidP="00A80EBD">
            <w:pPr>
              <w:rPr>
                <w:rFonts w:asciiTheme="majorHAnsi" w:hAnsiTheme="majorHAnsi" w:cstheme="minorHAnsi"/>
                <w:lang w:val="en"/>
              </w:rPr>
            </w:pPr>
            <w:r w:rsidRPr="00C11ED4">
              <w:rPr>
                <w:rFonts w:asciiTheme="majorHAnsi" w:hAnsiTheme="majorHAnsi"/>
              </w:rPr>
              <w:t>Diarrhoea</w:t>
            </w:r>
          </w:p>
        </w:tc>
        <w:tc>
          <w:tcPr>
            <w:tcW w:w="1667" w:type="pct"/>
          </w:tcPr>
          <w:p w14:paraId="12E9656B"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11 (12.9)</w:t>
            </w:r>
          </w:p>
        </w:tc>
        <w:tc>
          <w:tcPr>
            <w:tcW w:w="1667" w:type="pct"/>
          </w:tcPr>
          <w:p w14:paraId="1EE46E9F"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4 (10.5)</w:t>
            </w:r>
          </w:p>
        </w:tc>
      </w:tr>
      <w:tr w:rsidR="00B020E1" w:rsidRPr="00C11ED4" w14:paraId="716AFDCE" w14:textId="77777777" w:rsidTr="007526BB">
        <w:tc>
          <w:tcPr>
            <w:tcW w:w="1666" w:type="pct"/>
          </w:tcPr>
          <w:p w14:paraId="60FD24E4" w14:textId="77777777" w:rsidR="0045389F" w:rsidRPr="00C11ED4" w:rsidRDefault="0045389F" w:rsidP="00A80EBD">
            <w:pPr>
              <w:rPr>
                <w:rFonts w:asciiTheme="majorHAnsi" w:hAnsiTheme="majorHAnsi" w:cstheme="minorHAnsi"/>
                <w:lang w:val="en"/>
              </w:rPr>
            </w:pPr>
            <w:r w:rsidRPr="00C11ED4">
              <w:rPr>
                <w:rFonts w:asciiTheme="majorHAnsi" w:hAnsiTheme="majorHAnsi"/>
              </w:rPr>
              <w:t>Nausea</w:t>
            </w:r>
          </w:p>
        </w:tc>
        <w:tc>
          <w:tcPr>
            <w:tcW w:w="1667" w:type="pct"/>
          </w:tcPr>
          <w:p w14:paraId="6A7D39C8"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10 (11.8)</w:t>
            </w:r>
          </w:p>
        </w:tc>
        <w:tc>
          <w:tcPr>
            <w:tcW w:w="1667" w:type="pct"/>
          </w:tcPr>
          <w:p w14:paraId="611EB0A1"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8 (21.1)</w:t>
            </w:r>
          </w:p>
        </w:tc>
      </w:tr>
      <w:tr w:rsidR="00B020E1" w:rsidRPr="00C11ED4" w14:paraId="294CF8FF" w14:textId="77777777" w:rsidTr="007526BB">
        <w:tc>
          <w:tcPr>
            <w:tcW w:w="1666" w:type="pct"/>
          </w:tcPr>
          <w:p w14:paraId="3097C890" w14:textId="77777777" w:rsidR="0045389F" w:rsidRPr="00C11ED4" w:rsidRDefault="0045389F" w:rsidP="00A80EBD">
            <w:pPr>
              <w:rPr>
                <w:rFonts w:asciiTheme="majorHAnsi" w:hAnsiTheme="majorHAnsi" w:cstheme="minorHAnsi"/>
                <w:lang w:val="en"/>
              </w:rPr>
            </w:pPr>
            <w:r w:rsidRPr="00C11ED4">
              <w:rPr>
                <w:rFonts w:asciiTheme="majorHAnsi" w:hAnsiTheme="majorHAnsi"/>
              </w:rPr>
              <w:t>Arthralgia</w:t>
            </w:r>
          </w:p>
        </w:tc>
        <w:tc>
          <w:tcPr>
            <w:tcW w:w="1667" w:type="pct"/>
          </w:tcPr>
          <w:p w14:paraId="49F6188D"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13 (15.3)</w:t>
            </w:r>
          </w:p>
        </w:tc>
        <w:tc>
          <w:tcPr>
            <w:tcW w:w="1667" w:type="pct"/>
          </w:tcPr>
          <w:p w14:paraId="0118A3B5"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5 (13.2)</w:t>
            </w:r>
          </w:p>
        </w:tc>
      </w:tr>
      <w:tr w:rsidR="00B020E1" w:rsidRPr="00C11ED4" w14:paraId="6EEE652C" w14:textId="77777777" w:rsidTr="007526BB">
        <w:tc>
          <w:tcPr>
            <w:tcW w:w="1666" w:type="pct"/>
          </w:tcPr>
          <w:p w14:paraId="08F928DB" w14:textId="77777777" w:rsidR="0045389F" w:rsidRPr="00C11ED4" w:rsidRDefault="0045389F" w:rsidP="00A80EBD">
            <w:pPr>
              <w:rPr>
                <w:rFonts w:asciiTheme="majorHAnsi" w:hAnsiTheme="majorHAnsi" w:cstheme="minorHAnsi"/>
                <w:lang w:val="en"/>
              </w:rPr>
            </w:pPr>
            <w:r w:rsidRPr="00C11ED4">
              <w:rPr>
                <w:rFonts w:asciiTheme="majorHAnsi" w:hAnsiTheme="majorHAnsi"/>
              </w:rPr>
              <w:t>Back pain</w:t>
            </w:r>
          </w:p>
        </w:tc>
        <w:tc>
          <w:tcPr>
            <w:tcW w:w="1667" w:type="pct"/>
          </w:tcPr>
          <w:p w14:paraId="59A10CD9"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9 (10.6)</w:t>
            </w:r>
          </w:p>
        </w:tc>
        <w:tc>
          <w:tcPr>
            <w:tcW w:w="1667" w:type="pct"/>
          </w:tcPr>
          <w:p w14:paraId="1276B445"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7 (18.4)</w:t>
            </w:r>
          </w:p>
        </w:tc>
      </w:tr>
      <w:tr w:rsidR="00B020E1" w:rsidRPr="00C11ED4" w14:paraId="7013BBF1" w14:textId="77777777" w:rsidTr="007526BB">
        <w:tc>
          <w:tcPr>
            <w:tcW w:w="1666" w:type="pct"/>
          </w:tcPr>
          <w:p w14:paraId="4AAC4C55" w14:textId="77777777" w:rsidR="0045389F" w:rsidRPr="00C11ED4" w:rsidRDefault="0045389F" w:rsidP="00A80EBD">
            <w:pPr>
              <w:rPr>
                <w:rFonts w:asciiTheme="majorHAnsi" w:hAnsiTheme="majorHAnsi" w:cstheme="minorHAnsi"/>
                <w:lang w:val="en"/>
              </w:rPr>
            </w:pPr>
            <w:r w:rsidRPr="00C11ED4">
              <w:rPr>
                <w:rFonts w:asciiTheme="majorHAnsi" w:hAnsiTheme="majorHAnsi"/>
              </w:rPr>
              <w:t>Urinary tract infection</w:t>
            </w:r>
          </w:p>
        </w:tc>
        <w:tc>
          <w:tcPr>
            <w:tcW w:w="1667" w:type="pct"/>
          </w:tcPr>
          <w:p w14:paraId="4EF942C1"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12 (14.1)</w:t>
            </w:r>
          </w:p>
        </w:tc>
        <w:tc>
          <w:tcPr>
            <w:tcW w:w="1667" w:type="pct"/>
          </w:tcPr>
          <w:p w14:paraId="4B82B2D7"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2 (5.3)</w:t>
            </w:r>
          </w:p>
        </w:tc>
      </w:tr>
      <w:tr w:rsidR="00B020E1" w:rsidRPr="00C11ED4" w14:paraId="14DBF10D" w14:textId="77777777" w:rsidTr="007526BB">
        <w:tc>
          <w:tcPr>
            <w:tcW w:w="1666" w:type="pct"/>
          </w:tcPr>
          <w:p w14:paraId="401E0496" w14:textId="77777777" w:rsidR="0045389F" w:rsidRPr="00C11ED4" w:rsidRDefault="0045389F" w:rsidP="00A80EBD">
            <w:pPr>
              <w:rPr>
                <w:rFonts w:asciiTheme="majorHAnsi" w:hAnsiTheme="majorHAnsi" w:cstheme="minorHAnsi"/>
                <w:lang w:val="en"/>
              </w:rPr>
            </w:pPr>
            <w:r w:rsidRPr="00C11ED4">
              <w:rPr>
                <w:rFonts w:asciiTheme="majorHAnsi" w:hAnsiTheme="majorHAnsi"/>
              </w:rPr>
              <w:t>Fatigue</w:t>
            </w:r>
          </w:p>
        </w:tc>
        <w:tc>
          <w:tcPr>
            <w:tcW w:w="1667" w:type="pct"/>
          </w:tcPr>
          <w:p w14:paraId="5AA2C808"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8 (9.4)</w:t>
            </w:r>
          </w:p>
        </w:tc>
        <w:tc>
          <w:tcPr>
            <w:tcW w:w="1667" w:type="pct"/>
          </w:tcPr>
          <w:p w14:paraId="31E0B712"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5 (13.2)</w:t>
            </w:r>
          </w:p>
        </w:tc>
      </w:tr>
      <w:tr w:rsidR="00B020E1" w:rsidRPr="00C11ED4" w14:paraId="2C53A7EE" w14:textId="77777777" w:rsidTr="007526BB">
        <w:tc>
          <w:tcPr>
            <w:tcW w:w="1666" w:type="pct"/>
          </w:tcPr>
          <w:p w14:paraId="54BB4C73" w14:textId="77777777" w:rsidR="0045389F" w:rsidRPr="00C11ED4" w:rsidRDefault="0045389F" w:rsidP="00A80EBD">
            <w:pPr>
              <w:rPr>
                <w:rFonts w:asciiTheme="majorHAnsi" w:hAnsiTheme="majorHAnsi" w:cstheme="minorHAnsi"/>
                <w:lang w:val="en"/>
              </w:rPr>
            </w:pPr>
            <w:r w:rsidRPr="00C11ED4">
              <w:rPr>
                <w:rFonts w:asciiTheme="majorHAnsi" w:hAnsiTheme="majorHAnsi"/>
              </w:rPr>
              <w:t>Pain in extremity</w:t>
            </w:r>
          </w:p>
        </w:tc>
        <w:tc>
          <w:tcPr>
            <w:tcW w:w="1667" w:type="pct"/>
          </w:tcPr>
          <w:p w14:paraId="3070B19E"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11 (12.9)</w:t>
            </w:r>
          </w:p>
        </w:tc>
        <w:tc>
          <w:tcPr>
            <w:tcW w:w="1667" w:type="pct"/>
          </w:tcPr>
          <w:p w14:paraId="6E5ACC11"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2 (5.3)</w:t>
            </w:r>
          </w:p>
        </w:tc>
      </w:tr>
      <w:tr w:rsidR="00B020E1" w:rsidRPr="00C11ED4" w14:paraId="298710E1" w14:textId="77777777" w:rsidTr="007526BB">
        <w:tc>
          <w:tcPr>
            <w:tcW w:w="1666" w:type="pct"/>
          </w:tcPr>
          <w:p w14:paraId="205E23C3" w14:textId="77777777" w:rsidR="0045389F" w:rsidRPr="00C11ED4" w:rsidRDefault="0045389F" w:rsidP="00A80EBD">
            <w:pPr>
              <w:rPr>
                <w:rFonts w:asciiTheme="majorHAnsi" w:hAnsiTheme="majorHAnsi" w:cstheme="minorHAnsi"/>
                <w:lang w:val="en"/>
              </w:rPr>
            </w:pPr>
            <w:r w:rsidRPr="00C11ED4">
              <w:rPr>
                <w:rFonts w:asciiTheme="majorHAnsi" w:hAnsiTheme="majorHAnsi"/>
              </w:rPr>
              <w:t>Musculoskeletal</w:t>
            </w:r>
            <w:r w:rsidRPr="00C11ED4">
              <w:rPr>
                <w:rFonts w:asciiTheme="majorHAnsi" w:hAnsiTheme="majorHAnsi"/>
                <w:spacing w:val="-13"/>
              </w:rPr>
              <w:t xml:space="preserve"> </w:t>
            </w:r>
            <w:r w:rsidRPr="00C11ED4">
              <w:rPr>
                <w:rFonts w:asciiTheme="majorHAnsi" w:hAnsiTheme="majorHAnsi"/>
                <w:spacing w:val="-4"/>
              </w:rPr>
              <w:t>pain</w:t>
            </w:r>
          </w:p>
        </w:tc>
        <w:tc>
          <w:tcPr>
            <w:tcW w:w="1667" w:type="pct"/>
          </w:tcPr>
          <w:p w14:paraId="568EC28F"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10</w:t>
            </w:r>
            <w:r w:rsidRPr="00C11ED4">
              <w:rPr>
                <w:rFonts w:asciiTheme="majorHAnsi" w:hAnsiTheme="majorHAnsi"/>
                <w:spacing w:val="-6"/>
              </w:rPr>
              <w:t xml:space="preserve"> </w:t>
            </w:r>
            <w:r w:rsidRPr="00C11ED4">
              <w:rPr>
                <w:rFonts w:asciiTheme="majorHAnsi" w:hAnsiTheme="majorHAnsi"/>
                <w:spacing w:val="-2"/>
              </w:rPr>
              <w:t>(11.8)</w:t>
            </w:r>
          </w:p>
        </w:tc>
        <w:tc>
          <w:tcPr>
            <w:tcW w:w="1667" w:type="pct"/>
          </w:tcPr>
          <w:p w14:paraId="3DCAD62B"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2</w:t>
            </w:r>
            <w:r w:rsidRPr="00C11ED4">
              <w:rPr>
                <w:rFonts w:asciiTheme="majorHAnsi" w:hAnsiTheme="majorHAnsi"/>
                <w:spacing w:val="-7"/>
              </w:rPr>
              <w:t xml:space="preserve"> </w:t>
            </w:r>
            <w:r w:rsidRPr="00C11ED4">
              <w:rPr>
                <w:rFonts w:asciiTheme="majorHAnsi" w:hAnsiTheme="majorHAnsi"/>
                <w:spacing w:val="-2"/>
              </w:rPr>
              <w:t>(5.3)</w:t>
            </w:r>
          </w:p>
        </w:tc>
      </w:tr>
      <w:tr w:rsidR="00B020E1" w:rsidRPr="00C11ED4" w14:paraId="6654CB90" w14:textId="77777777" w:rsidTr="007526BB">
        <w:tc>
          <w:tcPr>
            <w:tcW w:w="1666" w:type="pct"/>
            <w:tcBorders>
              <w:bottom w:val="single" w:sz="4" w:space="0" w:color="auto"/>
            </w:tcBorders>
          </w:tcPr>
          <w:p w14:paraId="3D9F58BC" w14:textId="77777777" w:rsidR="0045389F" w:rsidRPr="00C11ED4" w:rsidRDefault="0045389F" w:rsidP="00A80EBD">
            <w:pPr>
              <w:rPr>
                <w:rFonts w:asciiTheme="majorHAnsi" w:hAnsiTheme="majorHAnsi" w:cstheme="minorHAnsi"/>
                <w:lang w:val="en"/>
              </w:rPr>
            </w:pPr>
            <w:r w:rsidRPr="00C11ED4">
              <w:rPr>
                <w:rFonts w:asciiTheme="majorHAnsi" w:hAnsiTheme="majorHAnsi"/>
              </w:rPr>
              <w:t>Oropharyngeal</w:t>
            </w:r>
            <w:r w:rsidRPr="00C11ED4">
              <w:rPr>
                <w:rFonts w:asciiTheme="majorHAnsi" w:hAnsiTheme="majorHAnsi"/>
                <w:spacing w:val="3"/>
              </w:rPr>
              <w:t xml:space="preserve"> </w:t>
            </w:r>
            <w:r w:rsidRPr="00C11ED4">
              <w:rPr>
                <w:rFonts w:asciiTheme="majorHAnsi" w:hAnsiTheme="majorHAnsi"/>
                <w:spacing w:val="-4"/>
              </w:rPr>
              <w:t>pain</w:t>
            </w:r>
          </w:p>
        </w:tc>
        <w:tc>
          <w:tcPr>
            <w:tcW w:w="1667" w:type="pct"/>
            <w:tcBorders>
              <w:bottom w:val="single" w:sz="4" w:space="0" w:color="auto"/>
            </w:tcBorders>
          </w:tcPr>
          <w:p w14:paraId="251C0BB3"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10</w:t>
            </w:r>
            <w:r w:rsidRPr="00C11ED4">
              <w:rPr>
                <w:rFonts w:asciiTheme="majorHAnsi" w:hAnsiTheme="majorHAnsi"/>
                <w:spacing w:val="-6"/>
              </w:rPr>
              <w:t xml:space="preserve"> </w:t>
            </w:r>
            <w:r w:rsidRPr="00C11ED4">
              <w:rPr>
                <w:rFonts w:asciiTheme="majorHAnsi" w:hAnsiTheme="majorHAnsi"/>
                <w:spacing w:val="-2"/>
              </w:rPr>
              <w:t>(11.8)</w:t>
            </w:r>
          </w:p>
        </w:tc>
        <w:tc>
          <w:tcPr>
            <w:tcW w:w="1667" w:type="pct"/>
            <w:tcBorders>
              <w:bottom w:val="single" w:sz="4" w:space="0" w:color="auto"/>
            </w:tcBorders>
          </w:tcPr>
          <w:p w14:paraId="3FF99EFB" w14:textId="77777777" w:rsidR="0045389F" w:rsidRPr="00C11ED4" w:rsidRDefault="0045389F" w:rsidP="00A80EBD">
            <w:pPr>
              <w:jc w:val="center"/>
              <w:rPr>
                <w:rFonts w:asciiTheme="majorHAnsi" w:hAnsiTheme="majorHAnsi" w:cstheme="minorHAnsi"/>
                <w:lang w:val="en"/>
              </w:rPr>
            </w:pPr>
            <w:r w:rsidRPr="00C11ED4">
              <w:rPr>
                <w:rFonts w:asciiTheme="majorHAnsi" w:hAnsiTheme="majorHAnsi"/>
              </w:rPr>
              <w:t>2</w:t>
            </w:r>
            <w:r w:rsidRPr="00C11ED4">
              <w:rPr>
                <w:rFonts w:asciiTheme="majorHAnsi" w:hAnsiTheme="majorHAnsi"/>
                <w:spacing w:val="-7"/>
              </w:rPr>
              <w:t xml:space="preserve"> </w:t>
            </w:r>
            <w:r w:rsidRPr="00C11ED4">
              <w:rPr>
                <w:rFonts w:asciiTheme="majorHAnsi" w:hAnsiTheme="majorHAnsi"/>
                <w:spacing w:val="-2"/>
              </w:rPr>
              <w:t>(5.3)</w:t>
            </w:r>
          </w:p>
        </w:tc>
      </w:tr>
      <w:tr w:rsidR="00B020E1" w:rsidRPr="00C11ED4" w14:paraId="7D07240F" w14:textId="77777777" w:rsidTr="007526BB">
        <w:tc>
          <w:tcPr>
            <w:tcW w:w="5000" w:type="pct"/>
            <w:gridSpan w:val="3"/>
            <w:tcBorders>
              <w:top w:val="single" w:sz="4" w:space="0" w:color="auto"/>
            </w:tcBorders>
          </w:tcPr>
          <w:p w14:paraId="5E123EFC" w14:textId="4D8A2CB8" w:rsidR="0045389F" w:rsidRPr="00C11ED4" w:rsidRDefault="0045389F" w:rsidP="00A80EBD">
            <w:pPr>
              <w:rPr>
                <w:rFonts w:asciiTheme="majorHAnsi" w:hAnsiTheme="majorHAnsi"/>
              </w:rPr>
            </w:pPr>
            <w:r w:rsidRPr="00C11ED4">
              <w:rPr>
                <w:rFonts w:asciiTheme="majorHAnsi" w:hAnsiTheme="majorHAnsi"/>
              </w:rPr>
              <w:t>N = total number of subjects; n = number of subjects in category indicated; TEAE</w:t>
            </w:r>
            <w:r w:rsidR="002661F9" w:rsidRPr="00C11ED4">
              <w:rPr>
                <w:rFonts w:asciiTheme="majorHAnsi" w:hAnsiTheme="majorHAnsi"/>
              </w:rPr>
              <w:t xml:space="preserve"> </w:t>
            </w:r>
            <w:r w:rsidRPr="00C11ED4">
              <w:rPr>
                <w:rFonts w:asciiTheme="majorHAnsi" w:hAnsiTheme="majorHAnsi"/>
              </w:rPr>
              <w:t>= emergent adverse event</w:t>
            </w:r>
          </w:p>
        </w:tc>
      </w:tr>
    </w:tbl>
    <w:p w14:paraId="7A3FE1B2" w14:textId="28E14E6F" w:rsidR="00650FA6" w:rsidRPr="00C11ED4" w:rsidRDefault="00650FA6" w:rsidP="00FC66B1">
      <w:pPr>
        <w:pStyle w:val="C-BodyText"/>
        <w:keepNext/>
        <w:keepLines/>
        <w:shd w:val="clear" w:color="auto" w:fill="FFFFFF" w:themeFill="background1"/>
        <w:spacing w:before="200" w:after="200" w:line="276" w:lineRule="auto"/>
        <w:rPr>
          <w:rFonts w:asciiTheme="majorHAnsi" w:hAnsiTheme="majorHAnsi"/>
          <w:b/>
          <w:bCs/>
          <w:sz w:val="22"/>
          <w:szCs w:val="22"/>
        </w:rPr>
      </w:pPr>
      <w:r w:rsidRPr="00C11ED4">
        <w:rPr>
          <w:rFonts w:asciiTheme="majorHAnsi" w:hAnsiTheme="majorHAnsi"/>
          <w:b/>
          <w:bCs/>
          <w:sz w:val="22"/>
          <w:szCs w:val="22"/>
        </w:rPr>
        <w:t>Description of selected adverse reactions</w:t>
      </w:r>
    </w:p>
    <w:p w14:paraId="5D7BBCD0" w14:textId="48CB1F80" w:rsidR="00650FA6" w:rsidRPr="00C11ED4" w:rsidRDefault="00650FA6" w:rsidP="00AC5E9C">
      <w:pPr>
        <w:pStyle w:val="C-BodyText"/>
        <w:keepNext/>
        <w:keepLines/>
        <w:shd w:val="clear" w:color="auto" w:fill="FFFFFF" w:themeFill="background1"/>
        <w:spacing w:before="0" w:after="200" w:line="276" w:lineRule="auto"/>
        <w:rPr>
          <w:rFonts w:asciiTheme="majorHAnsi" w:hAnsiTheme="majorHAnsi"/>
          <w:sz w:val="22"/>
          <w:szCs w:val="22"/>
          <w:u w:val="single"/>
        </w:rPr>
      </w:pPr>
      <w:r w:rsidRPr="00C11ED4">
        <w:rPr>
          <w:rFonts w:asciiTheme="majorHAnsi" w:hAnsiTheme="majorHAnsi"/>
          <w:sz w:val="22"/>
          <w:szCs w:val="22"/>
          <w:u w:val="single"/>
        </w:rPr>
        <w:t>Infusion</w:t>
      </w:r>
      <w:r w:rsidR="0023243A" w:rsidRPr="00C11ED4">
        <w:rPr>
          <w:rFonts w:asciiTheme="majorHAnsi" w:hAnsiTheme="majorHAnsi"/>
          <w:sz w:val="22"/>
          <w:szCs w:val="22"/>
          <w:u w:val="single"/>
        </w:rPr>
        <w:t xml:space="preserve"> </w:t>
      </w:r>
      <w:r w:rsidRPr="00C11ED4">
        <w:rPr>
          <w:rFonts w:asciiTheme="majorHAnsi" w:hAnsiTheme="majorHAnsi"/>
          <w:sz w:val="22"/>
          <w:szCs w:val="22"/>
          <w:u w:val="single"/>
        </w:rPr>
        <w:t>associated reactions (IARs)</w:t>
      </w:r>
    </w:p>
    <w:p w14:paraId="5AF19469" w14:textId="5607FC9D" w:rsidR="00650FA6" w:rsidRPr="00C11ED4" w:rsidRDefault="00650FA6" w:rsidP="00AC5E9C">
      <w:pPr>
        <w:rPr>
          <w:rFonts w:asciiTheme="majorHAnsi" w:hAnsiTheme="majorHAnsi"/>
        </w:rPr>
      </w:pPr>
      <w:r w:rsidRPr="00C11ED4">
        <w:rPr>
          <w:rFonts w:asciiTheme="majorHAnsi" w:hAnsiTheme="majorHAnsi"/>
        </w:rPr>
        <w:t xml:space="preserve">The following IARs were reported in </w:t>
      </w:r>
      <w:r w:rsidR="008029DE" w:rsidRPr="00C11ED4">
        <w:rPr>
          <w:rFonts w:asciiTheme="majorHAnsi" w:hAnsiTheme="majorHAnsi"/>
        </w:rPr>
        <w:t xml:space="preserve">at least 2 subjects in the PROPEL </w:t>
      </w:r>
      <w:r w:rsidR="00500C7B" w:rsidRPr="00C11ED4">
        <w:rPr>
          <w:rFonts w:asciiTheme="majorHAnsi" w:hAnsiTheme="majorHAnsi"/>
        </w:rPr>
        <w:t xml:space="preserve">trial </w:t>
      </w:r>
      <w:r w:rsidR="008029DE" w:rsidRPr="00C11ED4">
        <w:rPr>
          <w:rFonts w:asciiTheme="majorHAnsi" w:hAnsiTheme="majorHAnsi"/>
        </w:rPr>
        <w:t xml:space="preserve">during the POMBILITI infusion or within 2 hours after completion of </w:t>
      </w:r>
      <w:r w:rsidRPr="00C11ED4">
        <w:rPr>
          <w:rFonts w:asciiTheme="majorHAnsi" w:hAnsiTheme="majorHAnsi"/>
        </w:rPr>
        <w:t>the infusion: abdominal distension, chills, pyrexia, dizziness, dysgeusia, dyspnoea, pruritus, rash, and flushing.</w:t>
      </w:r>
      <w:r w:rsidR="005B7EA4" w:rsidRPr="00C11ED4">
        <w:rPr>
          <w:rFonts w:asciiTheme="majorHAnsi" w:hAnsiTheme="majorHAnsi"/>
        </w:rPr>
        <w:t xml:space="preserve"> </w:t>
      </w:r>
      <w:r w:rsidRPr="00C11ED4">
        <w:rPr>
          <w:rFonts w:asciiTheme="majorHAnsi" w:hAnsiTheme="majorHAnsi"/>
        </w:rPr>
        <w:t xml:space="preserve">0.7% of patients experienced a serious adverse reaction of anaphylaxis (characterised by generalised pruritus, dyspnoea, and hypotension) during </w:t>
      </w:r>
      <w:r w:rsidR="008029DE" w:rsidRPr="00C11ED4">
        <w:rPr>
          <w:rFonts w:asciiTheme="majorHAnsi" w:hAnsiTheme="majorHAnsi"/>
        </w:rPr>
        <w:t xml:space="preserve">the PROPEL </w:t>
      </w:r>
      <w:r w:rsidR="00500C7B" w:rsidRPr="00C11ED4">
        <w:rPr>
          <w:rFonts w:asciiTheme="majorHAnsi" w:hAnsiTheme="majorHAnsi"/>
        </w:rPr>
        <w:t xml:space="preserve">trial </w:t>
      </w:r>
      <w:r w:rsidRPr="00C11ED4">
        <w:rPr>
          <w:rFonts w:asciiTheme="majorHAnsi" w:hAnsiTheme="majorHAnsi"/>
        </w:rPr>
        <w:t xml:space="preserve">receiving </w:t>
      </w:r>
      <w:r w:rsidR="00E4300F" w:rsidRPr="00C11ED4">
        <w:rPr>
          <w:rFonts w:asciiTheme="majorHAnsi" w:hAnsiTheme="majorHAnsi"/>
        </w:rPr>
        <w:t>POMBIL</w:t>
      </w:r>
      <w:r w:rsidR="009E441D" w:rsidRPr="00C11ED4">
        <w:rPr>
          <w:rFonts w:asciiTheme="majorHAnsi" w:hAnsiTheme="majorHAnsi"/>
        </w:rPr>
        <w:t>I</w:t>
      </w:r>
      <w:r w:rsidR="00E4300F" w:rsidRPr="00C11ED4">
        <w:rPr>
          <w:rFonts w:asciiTheme="majorHAnsi" w:hAnsiTheme="majorHAnsi"/>
        </w:rPr>
        <w:t>TI</w:t>
      </w:r>
      <w:r w:rsidRPr="00C11ED4">
        <w:rPr>
          <w:rFonts w:asciiTheme="majorHAnsi" w:hAnsiTheme="majorHAnsi"/>
        </w:rPr>
        <w:t xml:space="preserve"> and </w:t>
      </w:r>
      <w:r w:rsidR="00E4300F" w:rsidRPr="00C11ED4">
        <w:rPr>
          <w:rFonts w:asciiTheme="majorHAnsi" w:hAnsiTheme="majorHAnsi"/>
        </w:rPr>
        <w:t>OPFOLDA</w:t>
      </w:r>
      <w:r w:rsidRPr="00C11ED4">
        <w:rPr>
          <w:rFonts w:asciiTheme="majorHAnsi" w:hAnsiTheme="majorHAnsi"/>
        </w:rPr>
        <w:t xml:space="preserve">. 1.3% of patients receiving </w:t>
      </w:r>
      <w:r w:rsidR="00E4300F" w:rsidRPr="00C11ED4">
        <w:rPr>
          <w:rFonts w:asciiTheme="majorHAnsi" w:hAnsiTheme="majorHAnsi"/>
        </w:rPr>
        <w:t>POMBILITI</w:t>
      </w:r>
      <w:r w:rsidRPr="00C11ED4">
        <w:rPr>
          <w:rFonts w:asciiTheme="majorHAnsi" w:hAnsiTheme="majorHAnsi"/>
        </w:rPr>
        <w:t xml:space="preserve"> and </w:t>
      </w:r>
      <w:r w:rsidR="00B06E9D" w:rsidRPr="00C11ED4">
        <w:rPr>
          <w:rFonts w:asciiTheme="majorHAnsi" w:hAnsiTheme="majorHAnsi"/>
        </w:rPr>
        <w:t xml:space="preserve">OPFOLDA </w:t>
      </w:r>
      <w:r w:rsidRPr="00C11ED4">
        <w:rPr>
          <w:rFonts w:asciiTheme="majorHAnsi" w:hAnsiTheme="majorHAnsi"/>
        </w:rPr>
        <w:t>discontinued treatment due to IARs (anaphylaxis and chills). Most IARs were mild or moderate in severity and transient in nature</w:t>
      </w:r>
      <w:r w:rsidR="007C135E" w:rsidRPr="00C11ED4">
        <w:rPr>
          <w:rFonts w:asciiTheme="majorHAnsi" w:hAnsiTheme="majorHAnsi"/>
        </w:rPr>
        <w:t>,</w:t>
      </w:r>
      <w:r w:rsidR="00F3738A" w:rsidRPr="00C11ED4">
        <w:rPr>
          <w:rFonts w:asciiTheme="majorHAnsi" w:hAnsiTheme="majorHAnsi"/>
        </w:rPr>
        <w:t xml:space="preserve"> and none were assessed as life-threatening or fatal. Most subjects who experienced IARs were able to continue treatment with POMBILITI</w:t>
      </w:r>
      <w:r w:rsidR="00AB3C4E" w:rsidRPr="00C11ED4">
        <w:rPr>
          <w:rFonts w:asciiTheme="majorHAnsi" w:hAnsiTheme="majorHAnsi"/>
        </w:rPr>
        <w:t xml:space="preserve"> in combination with</w:t>
      </w:r>
      <w:r w:rsidR="002C59B2" w:rsidRPr="00C11ED4">
        <w:rPr>
          <w:rFonts w:asciiTheme="majorHAnsi" w:hAnsiTheme="majorHAnsi"/>
        </w:rPr>
        <w:t xml:space="preserve"> </w:t>
      </w:r>
      <w:r w:rsidR="00512FC2" w:rsidRPr="00C11ED4">
        <w:rPr>
          <w:rFonts w:asciiTheme="majorHAnsi" w:hAnsiTheme="majorHAnsi"/>
        </w:rPr>
        <w:t>OPFOLDA</w:t>
      </w:r>
      <w:r w:rsidR="00191E05" w:rsidRPr="00C11ED4">
        <w:rPr>
          <w:rFonts w:asciiTheme="majorHAnsi" w:hAnsiTheme="majorHAnsi"/>
        </w:rPr>
        <w:t>.</w:t>
      </w:r>
    </w:p>
    <w:p w14:paraId="61590212" w14:textId="77777777" w:rsidR="00650FA6" w:rsidRPr="00C11ED4" w:rsidRDefault="00650FA6" w:rsidP="00AC5E9C">
      <w:pPr>
        <w:pStyle w:val="C-BodyText"/>
        <w:keepNext/>
        <w:keepLines/>
        <w:shd w:val="clear" w:color="auto" w:fill="FFFFFF" w:themeFill="background1"/>
        <w:spacing w:before="0" w:after="200" w:line="276" w:lineRule="auto"/>
        <w:rPr>
          <w:rFonts w:asciiTheme="majorHAnsi" w:hAnsiTheme="majorHAnsi"/>
          <w:sz w:val="22"/>
          <w:szCs w:val="22"/>
          <w:u w:val="single"/>
          <w:lang w:val="en-GB"/>
        </w:rPr>
      </w:pPr>
      <w:r w:rsidRPr="00C11ED4">
        <w:rPr>
          <w:rFonts w:asciiTheme="majorHAnsi" w:hAnsiTheme="majorHAnsi"/>
          <w:sz w:val="22"/>
          <w:szCs w:val="22"/>
          <w:u w:val="single"/>
          <w:lang w:val="en-GB"/>
        </w:rPr>
        <w:lastRenderedPageBreak/>
        <w:t>Immunogenicity</w:t>
      </w:r>
    </w:p>
    <w:p w14:paraId="26457BED" w14:textId="18DD68E2" w:rsidR="00E01F3C" w:rsidRPr="00C11ED4" w:rsidRDefault="00E01F3C" w:rsidP="00AC5E9C">
      <w:pPr>
        <w:pStyle w:val="C-BodyText"/>
        <w:spacing w:before="0" w:after="200" w:line="276" w:lineRule="auto"/>
        <w:rPr>
          <w:rFonts w:asciiTheme="majorHAnsi" w:hAnsiTheme="majorHAnsi"/>
          <w:sz w:val="22"/>
          <w:szCs w:val="22"/>
        </w:rPr>
      </w:pPr>
      <w:bookmarkStart w:id="4" w:name="_Hlk58393864"/>
      <w:r w:rsidRPr="00C11ED4">
        <w:rPr>
          <w:rFonts w:asciiTheme="majorHAnsi" w:hAnsiTheme="majorHAnsi"/>
          <w:sz w:val="22"/>
          <w:szCs w:val="22"/>
        </w:rPr>
        <w:t>The observed incidence of antidrug antibodies is highly dependent on the sensitivity and specificity of the assay. Differences in assay methods preclude meaningful comparisons of the incidence of antidrug antibodies (ADA) in the trials described below with the incidence of antidrug antibodies in other trials.</w:t>
      </w:r>
    </w:p>
    <w:p w14:paraId="2EB14ED9" w14:textId="7DB3F613" w:rsidR="00650FA6" w:rsidRPr="00C11ED4" w:rsidRDefault="00650FA6" w:rsidP="00AC5E9C">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In the </w:t>
      </w:r>
      <w:r w:rsidR="001B124E" w:rsidRPr="00C11ED4">
        <w:rPr>
          <w:rFonts w:asciiTheme="majorHAnsi" w:hAnsiTheme="majorHAnsi"/>
          <w:sz w:val="22"/>
          <w:szCs w:val="22"/>
        </w:rPr>
        <w:t>P</w:t>
      </w:r>
      <w:r w:rsidRPr="00C11ED4">
        <w:rPr>
          <w:rFonts w:asciiTheme="majorHAnsi" w:hAnsiTheme="majorHAnsi"/>
          <w:sz w:val="22"/>
          <w:szCs w:val="22"/>
        </w:rPr>
        <w:t>hase 3 trial</w:t>
      </w:r>
      <w:r w:rsidR="00E01F3C" w:rsidRPr="00C11ED4">
        <w:rPr>
          <w:rFonts w:asciiTheme="majorHAnsi" w:hAnsiTheme="majorHAnsi"/>
          <w:sz w:val="22"/>
          <w:szCs w:val="22"/>
        </w:rPr>
        <w:t xml:space="preserve"> (PROPEL)</w:t>
      </w:r>
      <w:r w:rsidRPr="00C11ED4">
        <w:rPr>
          <w:rFonts w:asciiTheme="majorHAnsi" w:hAnsiTheme="majorHAnsi"/>
          <w:sz w:val="22"/>
          <w:szCs w:val="22"/>
        </w:rPr>
        <w:t>, the percent of ERT</w:t>
      </w:r>
      <w:r w:rsidRPr="00C11ED4">
        <w:rPr>
          <w:rFonts w:asciiTheme="majorHAnsi" w:hAnsiTheme="majorHAnsi"/>
          <w:sz w:val="22"/>
          <w:szCs w:val="22"/>
        </w:rPr>
        <w:noBreakHyphen/>
        <w:t>naïve subjects with positive specific anti</w:t>
      </w:r>
      <w:r w:rsidRPr="00C11ED4">
        <w:rPr>
          <w:rFonts w:asciiTheme="majorHAnsi" w:hAnsiTheme="majorHAnsi"/>
          <w:sz w:val="22"/>
          <w:szCs w:val="22"/>
        </w:rPr>
        <w:noBreakHyphen/>
      </w:r>
      <w:proofErr w:type="spellStart"/>
      <w:r w:rsidRPr="00C11ED4">
        <w:rPr>
          <w:rFonts w:asciiTheme="majorHAnsi" w:hAnsiTheme="majorHAnsi"/>
          <w:sz w:val="22"/>
          <w:szCs w:val="22"/>
        </w:rPr>
        <w:t>rhGAA</w:t>
      </w:r>
      <w:proofErr w:type="spellEnd"/>
      <w:r w:rsidRPr="00C11ED4">
        <w:rPr>
          <w:rFonts w:asciiTheme="majorHAnsi" w:hAnsiTheme="majorHAnsi"/>
          <w:sz w:val="22"/>
          <w:szCs w:val="22"/>
        </w:rPr>
        <w:t xml:space="preserve"> antibodies and detectable </w:t>
      </w:r>
      <w:proofErr w:type="spellStart"/>
      <w:r w:rsidRPr="00C11ED4">
        <w:rPr>
          <w:rFonts w:asciiTheme="majorHAnsi" w:hAnsiTheme="majorHAnsi"/>
          <w:sz w:val="22"/>
          <w:szCs w:val="22"/>
        </w:rPr>
        <w:t>titres</w:t>
      </w:r>
      <w:proofErr w:type="spellEnd"/>
      <w:r w:rsidRPr="00C11ED4">
        <w:rPr>
          <w:rFonts w:asciiTheme="majorHAnsi" w:hAnsiTheme="majorHAnsi"/>
          <w:sz w:val="22"/>
          <w:szCs w:val="22"/>
        </w:rPr>
        <w:t xml:space="preserve"> increased from 0% at baseline to 87.5% at the last </w:t>
      </w:r>
      <w:r w:rsidR="00500C7B" w:rsidRPr="00C11ED4">
        <w:rPr>
          <w:rFonts w:asciiTheme="majorHAnsi" w:hAnsiTheme="majorHAnsi"/>
          <w:sz w:val="22"/>
          <w:szCs w:val="22"/>
        </w:rPr>
        <w:t xml:space="preserve">trial </w:t>
      </w:r>
      <w:r w:rsidRPr="00C11ED4">
        <w:rPr>
          <w:rFonts w:asciiTheme="majorHAnsi" w:hAnsiTheme="majorHAnsi"/>
          <w:sz w:val="22"/>
          <w:szCs w:val="22"/>
        </w:rPr>
        <w:t>visit; the percent of ERT</w:t>
      </w:r>
      <w:r w:rsidRPr="00C11ED4">
        <w:rPr>
          <w:rFonts w:asciiTheme="majorHAnsi" w:hAnsiTheme="majorHAnsi"/>
          <w:sz w:val="22"/>
          <w:szCs w:val="22"/>
        </w:rPr>
        <w:noBreakHyphen/>
        <w:t>experienced subjects with positive specific anti</w:t>
      </w:r>
      <w:r w:rsidRPr="00C11ED4">
        <w:rPr>
          <w:rFonts w:asciiTheme="majorHAnsi" w:hAnsiTheme="majorHAnsi"/>
          <w:sz w:val="22"/>
          <w:szCs w:val="22"/>
        </w:rPr>
        <w:noBreakHyphen/>
      </w:r>
      <w:proofErr w:type="spellStart"/>
      <w:r w:rsidRPr="00C11ED4">
        <w:rPr>
          <w:rFonts w:asciiTheme="majorHAnsi" w:hAnsiTheme="majorHAnsi"/>
          <w:sz w:val="22"/>
          <w:szCs w:val="22"/>
        </w:rPr>
        <w:t>rhGAA</w:t>
      </w:r>
      <w:proofErr w:type="spellEnd"/>
      <w:r w:rsidRPr="00C11ED4">
        <w:rPr>
          <w:rFonts w:asciiTheme="majorHAnsi" w:hAnsiTheme="majorHAnsi"/>
          <w:sz w:val="22"/>
          <w:szCs w:val="22"/>
        </w:rPr>
        <w:t xml:space="preserve"> antibodies and detectable </w:t>
      </w:r>
      <w:proofErr w:type="spellStart"/>
      <w:r w:rsidRPr="00C11ED4">
        <w:rPr>
          <w:rFonts w:asciiTheme="majorHAnsi" w:hAnsiTheme="majorHAnsi"/>
          <w:sz w:val="22"/>
          <w:szCs w:val="22"/>
        </w:rPr>
        <w:t>titres</w:t>
      </w:r>
      <w:proofErr w:type="spellEnd"/>
      <w:r w:rsidRPr="00C11ED4">
        <w:rPr>
          <w:rFonts w:asciiTheme="majorHAnsi" w:hAnsiTheme="majorHAnsi"/>
          <w:sz w:val="22"/>
          <w:szCs w:val="22"/>
        </w:rPr>
        <w:t xml:space="preserve"> remained stable for subjects treated with </w:t>
      </w:r>
      <w:r w:rsidR="00791D3B" w:rsidRPr="00C11ED4">
        <w:rPr>
          <w:rFonts w:asciiTheme="majorHAnsi" w:hAnsiTheme="majorHAnsi"/>
          <w:sz w:val="22"/>
          <w:szCs w:val="22"/>
        </w:rPr>
        <w:t>POMBILITI</w:t>
      </w:r>
      <w:r w:rsidRPr="00C11ED4">
        <w:rPr>
          <w:rFonts w:asciiTheme="majorHAnsi" w:hAnsiTheme="majorHAnsi"/>
          <w:sz w:val="22"/>
          <w:szCs w:val="22"/>
        </w:rPr>
        <w:t xml:space="preserve"> (83.1% at baseline to 74.1% at last trial visit). </w:t>
      </w:r>
    </w:p>
    <w:p w14:paraId="7625F5E4" w14:textId="657492C9" w:rsidR="00650FA6" w:rsidRPr="00C11ED4" w:rsidRDefault="00650FA6" w:rsidP="00AC5E9C">
      <w:pPr>
        <w:pStyle w:val="C-BodyText"/>
        <w:spacing w:before="0" w:after="200" w:line="276" w:lineRule="auto"/>
        <w:rPr>
          <w:rFonts w:asciiTheme="majorHAnsi" w:hAnsiTheme="majorHAnsi"/>
          <w:sz w:val="22"/>
          <w:szCs w:val="22"/>
        </w:rPr>
      </w:pPr>
      <w:proofErr w:type="gramStart"/>
      <w:r w:rsidRPr="00C11ED4">
        <w:rPr>
          <w:rFonts w:asciiTheme="majorHAnsi" w:hAnsiTheme="majorHAnsi"/>
          <w:sz w:val="22"/>
          <w:szCs w:val="22"/>
        </w:rPr>
        <w:t>The majority of</w:t>
      </w:r>
      <w:proofErr w:type="gramEnd"/>
      <w:r w:rsidRPr="00C11ED4">
        <w:rPr>
          <w:rFonts w:asciiTheme="majorHAnsi" w:hAnsiTheme="majorHAnsi"/>
          <w:sz w:val="22"/>
          <w:szCs w:val="22"/>
        </w:rPr>
        <w:t xml:space="preserve"> ERT</w:t>
      </w:r>
      <w:r w:rsidRPr="00C11ED4">
        <w:rPr>
          <w:rFonts w:asciiTheme="majorHAnsi" w:hAnsiTheme="majorHAnsi"/>
          <w:sz w:val="22"/>
          <w:szCs w:val="22"/>
        </w:rPr>
        <w:noBreakHyphen/>
        <w:t>experienced and ERT</w:t>
      </w:r>
      <w:r w:rsidRPr="00C11ED4">
        <w:rPr>
          <w:rFonts w:asciiTheme="majorHAnsi" w:hAnsiTheme="majorHAnsi"/>
          <w:sz w:val="22"/>
          <w:szCs w:val="22"/>
        </w:rPr>
        <w:noBreakHyphen/>
        <w:t xml:space="preserve">naïve subjects treated with </w:t>
      </w:r>
      <w:r w:rsidR="00791D3B" w:rsidRPr="00C11ED4">
        <w:rPr>
          <w:rFonts w:asciiTheme="majorHAnsi" w:hAnsiTheme="majorHAnsi"/>
          <w:sz w:val="22"/>
          <w:szCs w:val="22"/>
        </w:rPr>
        <w:t>POMBILITI</w:t>
      </w:r>
      <w:r w:rsidRPr="00C11ED4">
        <w:rPr>
          <w:rFonts w:asciiTheme="majorHAnsi" w:hAnsiTheme="majorHAnsi"/>
          <w:sz w:val="22"/>
          <w:szCs w:val="22"/>
        </w:rPr>
        <w:t xml:space="preserve"> were positive post</w:t>
      </w:r>
      <w:r w:rsidRPr="00C11ED4">
        <w:rPr>
          <w:rFonts w:asciiTheme="majorHAnsi" w:hAnsiTheme="majorHAnsi"/>
          <w:sz w:val="22"/>
          <w:szCs w:val="22"/>
        </w:rPr>
        <w:noBreakHyphen/>
        <w:t xml:space="preserve">treatment for </w:t>
      </w:r>
      <w:proofErr w:type="spellStart"/>
      <w:r w:rsidRPr="00C11ED4">
        <w:rPr>
          <w:rFonts w:asciiTheme="majorHAnsi" w:hAnsiTheme="majorHAnsi"/>
          <w:sz w:val="22"/>
          <w:szCs w:val="22"/>
        </w:rPr>
        <w:t>neutralising</w:t>
      </w:r>
      <w:proofErr w:type="spellEnd"/>
      <w:r w:rsidRPr="00C11ED4">
        <w:rPr>
          <w:rFonts w:asciiTheme="majorHAnsi" w:hAnsiTheme="majorHAnsi"/>
          <w:sz w:val="22"/>
          <w:szCs w:val="22"/>
        </w:rPr>
        <w:t xml:space="preserve"> antibodies (Nabs). The incidence of enzyme activity inhibition Nabs was similar between subjects treated with either </w:t>
      </w:r>
      <w:r w:rsidR="00177323" w:rsidRPr="00C11ED4">
        <w:rPr>
          <w:rFonts w:asciiTheme="majorHAnsi" w:hAnsiTheme="majorHAnsi"/>
          <w:sz w:val="22"/>
          <w:szCs w:val="22"/>
        </w:rPr>
        <w:t>POMBILITI</w:t>
      </w:r>
      <w:r w:rsidRPr="00C11ED4">
        <w:rPr>
          <w:rFonts w:asciiTheme="majorHAnsi" w:hAnsiTheme="majorHAnsi"/>
          <w:sz w:val="22"/>
          <w:szCs w:val="22"/>
        </w:rPr>
        <w:t xml:space="preserve"> or with </w:t>
      </w:r>
      <w:proofErr w:type="spellStart"/>
      <w:r w:rsidRPr="00C11ED4">
        <w:rPr>
          <w:rFonts w:asciiTheme="majorHAnsi" w:hAnsiTheme="majorHAnsi"/>
          <w:sz w:val="22"/>
          <w:szCs w:val="22"/>
        </w:rPr>
        <w:t>alglucosidase</w:t>
      </w:r>
      <w:proofErr w:type="spellEnd"/>
      <w:r w:rsidRPr="00C11ED4">
        <w:rPr>
          <w:rFonts w:asciiTheme="majorHAnsi" w:hAnsiTheme="majorHAnsi"/>
          <w:sz w:val="22"/>
          <w:szCs w:val="22"/>
        </w:rPr>
        <w:t xml:space="preserve"> alfa.</w:t>
      </w:r>
    </w:p>
    <w:p w14:paraId="0C9ACAC3" w14:textId="77777777" w:rsidR="00650FA6" w:rsidRPr="00C11ED4" w:rsidRDefault="00650FA6" w:rsidP="00AC5E9C">
      <w:pPr>
        <w:pStyle w:val="C-BodyText"/>
        <w:spacing w:before="0" w:after="200" w:line="276" w:lineRule="auto"/>
        <w:rPr>
          <w:rFonts w:asciiTheme="majorHAnsi" w:hAnsiTheme="majorHAnsi"/>
          <w:sz w:val="22"/>
          <w:szCs w:val="22"/>
        </w:rPr>
      </w:pPr>
      <w:r w:rsidRPr="00C11ED4">
        <w:rPr>
          <w:rFonts w:asciiTheme="majorHAnsi" w:hAnsiTheme="majorHAnsi"/>
          <w:sz w:val="22"/>
          <w:szCs w:val="22"/>
        </w:rPr>
        <w:t>Subjects who had an IAR post</w:t>
      </w:r>
      <w:r w:rsidRPr="00C11ED4">
        <w:rPr>
          <w:rFonts w:asciiTheme="majorHAnsi" w:hAnsiTheme="majorHAnsi"/>
          <w:sz w:val="22"/>
          <w:szCs w:val="22"/>
        </w:rPr>
        <w:noBreakHyphen/>
        <w:t>treatment were tested for anti</w:t>
      </w:r>
      <w:r w:rsidRPr="00C11ED4">
        <w:rPr>
          <w:rFonts w:asciiTheme="majorHAnsi" w:hAnsiTheme="majorHAnsi"/>
          <w:sz w:val="22"/>
          <w:szCs w:val="22"/>
        </w:rPr>
        <w:noBreakHyphen/>
      </w:r>
      <w:proofErr w:type="spellStart"/>
      <w:r w:rsidRPr="00C11ED4">
        <w:rPr>
          <w:rFonts w:asciiTheme="majorHAnsi" w:hAnsiTheme="majorHAnsi"/>
          <w:sz w:val="22"/>
          <w:szCs w:val="22"/>
        </w:rPr>
        <w:t>rhGAA</w:t>
      </w:r>
      <w:proofErr w:type="spellEnd"/>
      <w:r w:rsidRPr="00C11ED4">
        <w:rPr>
          <w:rFonts w:asciiTheme="majorHAnsi" w:hAnsiTheme="majorHAnsi"/>
          <w:sz w:val="22"/>
          <w:szCs w:val="22"/>
        </w:rPr>
        <w:t xml:space="preserve"> </w:t>
      </w:r>
      <w:proofErr w:type="spellStart"/>
      <w:r w:rsidRPr="00C11ED4">
        <w:rPr>
          <w:rFonts w:asciiTheme="majorHAnsi" w:hAnsiTheme="majorHAnsi"/>
          <w:sz w:val="22"/>
          <w:szCs w:val="22"/>
        </w:rPr>
        <w:t>IgE</w:t>
      </w:r>
      <w:proofErr w:type="spellEnd"/>
      <w:r w:rsidRPr="00C11ED4">
        <w:rPr>
          <w:rFonts w:asciiTheme="majorHAnsi" w:hAnsiTheme="majorHAnsi"/>
          <w:sz w:val="22"/>
          <w:szCs w:val="22"/>
        </w:rPr>
        <w:t xml:space="preserve"> (immunoglobulin E) after the occurrence of the IAR; there was no clear trend in IAR occurrence with the incidence of anti</w:t>
      </w:r>
      <w:r w:rsidRPr="00C11ED4">
        <w:rPr>
          <w:rFonts w:asciiTheme="majorHAnsi" w:hAnsiTheme="majorHAnsi"/>
          <w:sz w:val="22"/>
          <w:szCs w:val="22"/>
        </w:rPr>
        <w:noBreakHyphen/>
      </w:r>
      <w:proofErr w:type="spellStart"/>
      <w:r w:rsidRPr="00C11ED4">
        <w:rPr>
          <w:rFonts w:asciiTheme="majorHAnsi" w:hAnsiTheme="majorHAnsi"/>
          <w:sz w:val="22"/>
          <w:szCs w:val="22"/>
        </w:rPr>
        <w:t>rhGAA</w:t>
      </w:r>
      <w:proofErr w:type="spellEnd"/>
      <w:r w:rsidRPr="00C11ED4">
        <w:rPr>
          <w:rFonts w:asciiTheme="majorHAnsi" w:hAnsiTheme="majorHAnsi"/>
          <w:sz w:val="22"/>
          <w:szCs w:val="22"/>
        </w:rPr>
        <w:t xml:space="preserve"> </w:t>
      </w:r>
      <w:proofErr w:type="spellStart"/>
      <w:r w:rsidRPr="00C11ED4">
        <w:rPr>
          <w:rFonts w:asciiTheme="majorHAnsi" w:hAnsiTheme="majorHAnsi"/>
          <w:sz w:val="22"/>
          <w:szCs w:val="22"/>
        </w:rPr>
        <w:t>IgE</w:t>
      </w:r>
      <w:proofErr w:type="spellEnd"/>
      <w:r w:rsidRPr="00C11ED4">
        <w:rPr>
          <w:rFonts w:asciiTheme="majorHAnsi" w:hAnsiTheme="majorHAnsi"/>
          <w:sz w:val="22"/>
          <w:szCs w:val="22"/>
        </w:rPr>
        <w:t xml:space="preserve"> or with total anti</w:t>
      </w:r>
      <w:r w:rsidRPr="00C11ED4">
        <w:rPr>
          <w:rFonts w:asciiTheme="majorHAnsi" w:hAnsiTheme="majorHAnsi"/>
          <w:sz w:val="22"/>
          <w:szCs w:val="22"/>
        </w:rPr>
        <w:noBreakHyphen/>
      </w:r>
      <w:proofErr w:type="spellStart"/>
      <w:r w:rsidRPr="00C11ED4">
        <w:rPr>
          <w:rFonts w:asciiTheme="majorHAnsi" w:hAnsiTheme="majorHAnsi"/>
          <w:sz w:val="22"/>
          <w:szCs w:val="22"/>
        </w:rPr>
        <w:t>rhGAA</w:t>
      </w:r>
      <w:proofErr w:type="spellEnd"/>
      <w:r w:rsidRPr="00C11ED4">
        <w:rPr>
          <w:rFonts w:asciiTheme="majorHAnsi" w:hAnsiTheme="majorHAnsi"/>
          <w:sz w:val="22"/>
          <w:szCs w:val="22"/>
        </w:rPr>
        <w:t xml:space="preserve"> antibodies.</w:t>
      </w:r>
    </w:p>
    <w:p w14:paraId="168A59A4" w14:textId="2C6F50EE" w:rsidR="00650FA6" w:rsidRPr="00C11ED4" w:rsidRDefault="00650FA6" w:rsidP="00AC5E9C">
      <w:pPr>
        <w:pStyle w:val="C-BodyText"/>
        <w:spacing w:before="0" w:after="200" w:line="276" w:lineRule="auto"/>
        <w:rPr>
          <w:rFonts w:asciiTheme="majorHAnsi" w:hAnsiTheme="majorHAnsi"/>
          <w:sz w:val="22"/>
          <w:szCs w:val="22"/>
        </w:rPr>
      </w:pPr>
      <w:r w:rsidRPr="00C11ED4">
        <w:rPr>
          <w:rFonts w:asciiTheme="majorHAnsi" w:hAnsiTheme="majorHAnsi"/>
          <w:sz w:val="22"/>
          <w:szCs w:val="22"/>
        </w:rPr>
        <w:t>Overall, there was no apparent association between immunogenicity and safety, pharmacokinetics, or pharmacodynamic effects</w:t>
      </w:r>
      <w:r w:rsidR="00DA6076" w:rsidRPr="00C11ED4">
        <w:rPr>
          <w:rFonts w:asciiTheme="majorHAnsi" w:hAnsiTheme="majorHAnsi"/>
          <w:sz w:val="22"/>
          <w:szCs w:val="22"/>
        </w:rPr>
        <w:t>;</w:t>
      </w:r>
      <w:r w:rsidR="00FF27AA" w:rsidRPr="00C11ED4">
        <w:rPr>
          <w:rFonts w:asciiTheme="majorHAnsi" w:hAnsiTheme="majorHAnsi"/>
          <w:sz w:val="22"/>
          <w:szCs w:val="22"/>
        </w:rPr>
        <w:t xml:space="preserve"> </w:t>
      </w:r>
      <w:r w:rsidR="00EE014C" w:rsidRPr="00C11ED4">
        <w:rPr>
          <w:rFonts w:asciiTheme="majorHAnsi" w:hAnsiTheme="majorHAnsi"/>
          <w:sz w:val="22"/>
          <w:szCs w:val="22"/>
        </w:rPr>
        <w:t>h</w:t>
      </w:r>
      <w:r w:rsidRPr="00C11ED4">
        <w:rPr>
          <w:rFonts w:asciiTheme="majorHAnsi" w:hAnsiTheme="majorHAnsi"/>
          <w:sz w:val="22"/>
          <w:szCs w:val="22"/>
        </w:rPr>
        <w:t>owever, patients should be monitored for signs and symptoms of systemic immune complex-related reactions</w:t>
      </w:r>
      <w:r w:rsidR="00BF79C5" w:rsidRPr="00C11ED4">
        <w:rPr>
          <w:rFonts w:asciiTheme="majorHAnsi" w:hAnsiTheme="majorHAnsi"/>
          <w:sz w:val="22"/>
          <w:szCs w:val="22"/>
        </w:rPr>
        <w:t xml:space="preserve"> </w:t>
      </w:r>
      <w:r w:rsidR="007C3E87" w:rsidRPr="00C11ED4">
        <w:rPr>
          <w:rFonts w:asciiTheme="majorHAnsi" w:hAnsiTheme="majorHAnsi"/>
          <w:sz w:val="22"/>
          <w:szCs w:val="22"/>
        </w:rPr>
        <w:t>(see</w:t>
      </w:r>
      <w:r w:rsidRPr="00C11ED4">
        <w:rPr>
          <w:rFonts w:asciiTheme="majorHAnsi" w:hAnsiTheme="majorHAnsi"/>
          <w:sz w:val="22"/>
          <w:szCs w:val="22"/>
        </w:rPr>
        <w:t xml:space="preserve"> </w:t>
      </w:r>
      <w:r w:rsidR="002A33FE" w:rsidRPr="00C11ED4">
        <w:rPr>
          <w:rFonts w:asciiTheme="majorHAnsi" w:hAnsiTheme="majorHAnsi"/>
          <w:sz w:val="22"/>
          <w:szCs w:val="22"/>
        </w:rPr>
        <w:t>Section</w:t>
      </w:r>
      <w:r w:rsidRPr="00C11ED4">
        <w:rPr>
          <w:rFonts w:asciiTheme="majorHAnsi" w:hAnsiTheme="majorHAnsi"/>
          <w:sz w:val="22"/>
          <w:szCs w:val="22"/>
        </w:rPr>
        <w:t> </w:t>
      </w:r>
      <w:r w:rsidR="0050436C" w:rsidRPr="00C11ED4">
        <w:rPr>
          <w:rFonts w:asciiTheme="majorHAnsi" w:hAnsiTheme="majorHAnsi"/>
          <w:sz w:val="22"/>
          <w:szCs w:val="22"/>
        </w:rPr>
        <w:t>4.4 SPECIAL WARNINGS AND PRECAUTIONS FOR USE</w:t>
      </w:r>
      <w:r w:rsidR="009408BE" w:rsidRPr="00C11ED4">
        <w:rPr>
          <w:rFonts w:asciiTheme="majorHAnsi" w:hAnsiTheme="majorHAnsi"/>
          <w:sz w:val="22"/>
          <w:szCs w:val="22"/>
        </w:rPr>
        <w:t>)</w:t>
      </w:r>
      <w:r w:rsidRPr="00C11ED4">
        <w:rPr>
          <w:rFonts w:asciiTheme="majorHAnsi" w:hAnsiTheme="majorHAnsi"/>
          <w:sz w:val="22"/>
          <w:szCs w:val="22"/>
        </w:rPr>
        <w:t>.</w:t>
      </w:r>
    </w:p>
    <w:bookmarkEnd w:id="4"/>
    <w:p w14:paraId="495E2D6E" w14:textId="7B9479EC" w:rsidR="002B424E" w:rsidRPr="00C11ED4" w:rsidRDefault="002B424E" w:rsidP="00AC5E9C">
      <w:pPr>
        <w:pStyle w:val="Heading3"/>
        <w:spacing w:before="0" w:after="200"/>
        <w:ind w:left="0"/>
      </w:pPr>
      <w:r w:rsidRPr="00C11ED4">
        <w:t>Reporting suspected adverse effects</w:t>
      </w:r>
    </w:p>
    <w:p w14:paraId="3D01C31B" w14:textId="33C71DCB" w:rsidR="00497C85" w:rsidRPr="00C11ED4" w:rsidRDefault="64AB0EB6" w:rsidP="00AC5E9C">
      <w:pPr>
        <w:rPr>
          <w:rFonts w:asciiTheme="majorHAnsi" w:hAnsiTheme="majorHAnsi"/>
        </w:rPr>
      </w:pPr>
      <w:r w:rsidRPr="00C11ED4">
        <w:rPr>
          <w:rFonts w:asciiTheme="majorHAnsi" w:hAnsiTheme="maj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D8639E" w:rsidRPr="00C11ED4">
        <w:rPr>
          <w:rFonts w:asciiTheme="majorHAnsi" w:hAnsiTheme="majorHAnsi"/>
          <w:lang w:val="en"/>
        </w:rPr>
        <w:t>www.tga.gov.au/reporting-problems</w:t>
      </w:r>
      <w:r w:rsidR="00497C85" w:rsidRPr="00C11ED4">
        <w:rPr>
          <w:rFonts w:asciiTheme="majorHAnsi" w:hAnsiTheme="majorHAnsi"/>
          <w:lang w:val="en"/>
        </w:rPr>
        <w:t>.</w:t>
      </w:r>
    </w:p>
    <w:p w14:paraId="07A6BD1A" w14:textId="77777777" w:rsidR="001A3992" w:rsidRPr="00C11ED4" w:rsidRDefault="001A3992" w:rsidP="00AC5E9C">
      <w:pPr>
        <w:pStyle w:val="Heading2"/>
        <w:keepNext/>
        <w:keepLines/>
        <w:spacing w:before="0"/>
        <w:rPr>
          <w:rFonts w:cstheme="minorHAnsi"/>
        </w:rPr>
      </w:pPr>
      <w:r w:rsidRPr="00C11ED4">
        <w:rPr>
          <w:rFonts w:cstheme="minorHAnsi"/>
        </w:rPr>
        <w:t>Overdose</w:t>
      </w:r>
    </w:p>
    <w:p w14:paraId="10EF41A7" w14:textId="5F1DDC90" w:rsidR="00EE4176" w:rsidRPr="00C11ED4" w:rsidRDefault="00780DF0" w:rsidP="00AC5E9C">
      <w:pPr>
        <w:pStyle w:val="C-BodyText"/>
        <w:keepNext/>
        <w:spacing w:before="0" w:after="200" w:line="276" w:lineRule="auto"/>
        <w:rPr>
          <w:rFonts w:asciiTheme="majorHAnsi" w:hAnsiTheme="majorHAnsi"/>
          <w:sz w:val="22"/>
          <w:szCs w:val="22"/>
        </w:rPr>
      </w:pPr>
      <w:r w:rsidRPr="00C11ED4">
        <w:rPr>
          <w:rFonts w:asciiTheme="majorHAnsi" w:hAnsiTheme="majorHAnsi"/>
          <w:sz w:val="22"/>
          <w:szCs w:val="22"/>
        </w:rPr>
        <w:t xml:space="preserve">There is no experience with overdose of POMBILITI </w:t>
      </w:r>
      <w:r w:rsidR="00837B84" w:rsidRPr="00C11ED4">
        <w:rPr>
          <w:rFonts w:asciiTheme="majorHAnsi" w:hAnsiTheme="majorHAnsi"/>
          <w:sz w:val="22"/>
          <w:szCs w:val="22"/>
          <w:lang w:val="en-GB"/>
        </w:rPr>
        <w:t>(</w:t>
      </w:r>
      <w:r w:rsidR="00EE4176" w:rsidRPr="00C11ED4">
        <w:rPr>
          <w:rFonts w:asciiTheme="majorHAnsi" w:hAnsiTheme="majorHAnsi"/>
          <w:sz w:val="22"/>
          <w:szCs w:val="22"/>
          <w:lang w:val="en-GB"/>
        </w:rPr>
        <w:t xml:space="preserve">see </w:t>
      </w:r>
      <w:r w:rsidR="002A33FE" w:rsidRPr="00C11ED4">
        <w:rPr>
          <w:rFonts w:asciiTheme="majorHAnsi" w:hAnsiTheme="majorHAnsi"/>
          <w:sz w:val="22"/>
          <w:szCs w:val="22"/>
          <w:lang w:val="en-GB"/>
        </w:rPr>
        <w:t>Section</w:t>
      </w:r>
      <w:r w:rsidR="00EE4176" w:rsidRPr="00C11ED4">
        <w:rPr>
          <w:rFonts w:asciiTheme="majorHAnsi" w:hAnsiTheme="majorHAnsi"/>
          <w:sz w:val="22"/>
          <w:szCs w:val="22"/>
          <w:lang w:val="en-GB"/>
        </w:rPr>
        <w:t xml:space="preserve">s </w:t>
      </w:r>
      <w:r w:rsidR="005968EB" w:rsidRPr="00C11ED4">
        <w:rPr>
          <w:rFonts w:asciiTheme="majorHAnsi" w:hAnsiTheme="majorHAnsi"/>
          <w:sz w:val="22"/>
          <w:szCs w:val="22"/>
          <w:lang w:val="en-GB"/>
        </w:rPr>
        <w:t xml:space="preserve">4.4 SPECIAL WARNINGS AND PRECAUTIONS FOR USE </w:t>
      </w:r>
      <w:r w:rsidR="00EE4176" w:rsidRPr="00C11ED4">
        <w:rPr>
          <w:rFonts w:asciiTheme="majorHAnsi" w:hAnsiTheme="majorHAnsi"/>
          <w:sz w:val="22"/>
          <w:szCs w:val="22"/>
          <w:lang w:val="en-GB"/>
        </w:rPr>
        <w:t xml:space="preserve">and </w:t>
      </w:r>
      <w:r w:rsidR="00106641" w:rsidRPr="00C11ED4">
        <w:rPr>
          <w:rFonts w:asciiTheme="majorHAnsi" w:hAnsiTheme="majorHAnsi"/>
          <w:sz w:val="22"/>
          <w:szCs w:val="22"/>
          <w:lang w:val="en-GB"/>
        </w:rPr>
        <w:t xml:space="preserve">4.8 ADVERSE EFFECTS </w:t>
      </w:r>
      <w:r w:rsidR="00837B84" w:rsidRPr="00C11ED4">
        <w:rPr>
          <w:rFonts w:asciiTheme="majorHAnsi" w:hAnsiTheme="majorHAnsi"/>
          <w:sz w:val="22"/>
          <w:szCs w:val="22"/>
          <w:lang w:val="en-GB"/>
        </w:rPr>
        <w:t>[</w:t>
      </w:r>
      <w:r w:rsidR="00106641" w:rsidRPr="00C11ED4">
        <w:rPr>
          <w:rFonts w:asciiTheme="majorHAnsi" w:hAnsiTheme="majorHAnsi"/>
          <w:sz w:val="22"/>
          <w:szCs w:val="22"/>
          <w:lang w:val="en-GB"/>
        </w:rPr>
        <w:t>UNDESIRABLE EFFECTS</w:t>
      </w:r>
      <w:r w:rsidR="007C3E87" w:rsidRPr="00C11ED4">
        <w:rPr>
          <w:rFonts w:asciiTheme="majorHAnsi" w:hAnsiTheme="majorHAnsi"/>
          <w:sz w:val="22"/>
          <w:szCs w:val="22"/>
          <w:lang w:val="en-GB"/>
        </w:rPr>
        <w:t>]</w:t>
      </w:r>
      <w:r w:rsidR="00837B84" w:rsidRPr="00C11ED4">
        <w:rPr>
          <w:rFonts w:asciiTheme="majorHAnsi" w:hAnsiTheme="majorHAnsi"/>
          <w:sz w:val="22"/>
          <w:szCs w:val="22"/>
          <w:lang w:val="en-GB"/>
        </w:rPr>
        <w:t>)</w:t>
      </w:r>
      <w:r w:rsidR="00EE4176" w:rsidRPr="00C11ED4">
        <w:rPr>
          <w:rFonts w:asciiTheme="majorHAnsi" w:hAnsiTheme="majorHAnsi"/>
          <w:sz w:val="22"/>
          <w:szCs w:val="22"/>
          <w:lang w:val="en-GB"/>
        </w:rPr>
        <w:t>.</w:t>
      </w:r>
    </w:p>
    <w:p w14:paraId="22B13D34" w14:textId="7571481E" w:rsidR="00497C85" w:rsidRPr="00C11ED4" w:rsidRDefault="00497C85" w:rsidP="00AC5E9C">
      <w:pPr>
        <w:rPr>
          <w:rFonts w:asciiTheme="majorHAnsi" w:hAnsiTheme="majorHAnsi" w:cstheme="minorHAnsi"/>
        </w:rPr>
      </w:pPr>
      <w:r w:rsidRPr="00C11ED4">
        <w:rPr>
          <w:rFonts w:asciiTheme="majorHAnsi" w:hAnsiTheme="majorHAnsi" w:cstheme="minorHAnsi"/>
          <w:lang w:val="en"/>
        </w:rPr>
        <w:t>For information on the management of overdose, contact the Poisons Information Centre on 13 11 26.</w:t>
      </w:r>
    </w:p>
    <w:p w14:paraId="0485B48F" w14:textId="77777777" w:rsidR="001A3992" w:rsidRPr="00C11ED4" w:rsidRDefault="001A3992" w:rsidP="00AC5E9C">
      <w:pPr>
        <w:pStyle w:val="Heading1"/>
        <w:keepLines w:val="0"/>
        <w:spacing w:before="0" w:after="200"/>
        <w:rPr>
          <w:rFonts w:cstheme="minorHAnsi"/>
          <w:lang w:val="en-US"/>
        </w:rPr>
      </w:pPr>
      <w:r w:rsidRPr="00C11ED4">
        <w:rPr>
          <w:rFonts w:cstheme="minorHAnsi"/>
          <w:lang w:val="en-US"/>
        </w:rPr>
        <w:t>Pharmacological properties</w:t>
      </w:r>
    </w:p>
    <w:p w14:paraId="186C7C10" w14:textId="77777777" w:rsidR="001A3992" w:rsidRPr="00C11ED4" w:rsidRDefault="001A3992" w:rsidP="00AC5E9C">
      <w:pPr>
        <w:pStyle w:val="Heading2"/>
        <w:spacing w:before="0"/>
        <w:rPr>
          <w:rFonts w:cstheme="minorHAnsi"/>
          <w:lang w:val="en-US"/>
        </w:rPr>
      </w:pPr>
      <w:r w:rsidRPr="00C11ED4">
        <w:rPr>
          <w:rFonts w:cstheme="minorHAnsi"/>
          <w:lang w:val="en-US"/>
        </w:rPr>
        <w:t xml:space="preserve">Pharmacodynamic properties </w:t>
      </w:r>
    </w:p>
    <w:p w14:paraId="4DBA3985" w14:textId="77777777" w:rsidR="00E502F5" w:rsidRPr="00C11ED4" w:rsidRDefault="00E502F5" w:rsidP="00AC5E9C">
      <w:pPr>
        <w:rPr>
          <w:rFonts w:asciiTheme="majorHAnsi" w:hAnsiTheme="majorHAnsi"/>
        </w:rPr>
      </w:pPr>
      <w:r w:rsidRPr="00C11ED4">
        <w:rPr>
          <w:rFonts w:asciiTheme="majorHAnsi" w:hAnsiTheme="majorHAnsi"/>
        </w:rPr>
        <w:t>Pharmacotherapeutic group: Other alimentary tract and metabolism products, enzymes. ATC Code: A16Ab23</w:t>
      </w:r>
    </w:p>
    <w:p w14:paraId="14E02870" w14:textId="527E335E" w:rsidR="001A3992" w:rsidRPr="00C11ED4" w:rsidRDefault="001A3992" w:rsidP="00AC5E9C">
      <w:pPr>
        <w:pStyle w:val="Heading3"/>
        <w:spacing w:before="0" w:after="200"/>
        <w:ind w:left="0"/>
        <w:rPr>
          <w:rFonts w:cstheme="minorHAnsi"/>
        </w:rPr>
      </w:pPr>
      <w:r w:rsidRPr="00C11ED4">
        <w:rPr>
          <w:rFonts w:cstheme="minorHAnsi"/>
        </w:rPr>
        <w:lastRenderedPageBreak/>
        <w:t>Mechanism of action</w:t>
      </w:r>
    </w:p>
    <w:p w14:paraId="789CB07F" w14:textId="1DC7D38D" w:rsidR="00B91805" w:rsidRPr="00C11ED4" w:rsidRDefault="00B91805" w:rsidP="69EBF1B5">
      <w:pPr>
        <w:shd w:val="clear" w:color="auto" w:fill="FFFFFF" w:themeFill="background1"/>
        <w:rPr>
          <w:rFonts w:asciiTheme="majorHAnsi" w:hAnsiTheme="majorHAnsi"/>
        </w:rPr>
      </w:pPr>
      <w:proofErr w:type="spellStart"/>
      <w:r w:rsidRPr="00C11ED4">
        <w:rPr>
          <w:rFonts w:asciiTheme="majorHAnsi" w:hAnsiTheme="majorHAnsi"/>
        </w:rPr>
        <w:t>Cipaglucosidase</w:t>
      </w:r>
      <w:proofErr w:type="spellEnd"/>
      <w:r w:rsidRPr="00C11ED4">
        <w:rPr>
          <w:rFonts w:asciiTheme="majorHAnsi" w:hAnsiTheme="majorHAnsi"/>
        </w:rPr>
        <w:t xml:space="preserve"> alfa is intended to replace the absent or impaired endogenous enzyme</w:t>
      </w:r>
      <w:r w:rsidR="003108A2" w:rsidRPr="00C11ED4">
        <w:rPr>
          <w:rFonts w:asciiTheme="majorHAnsi" w:hAnsiTheme="majorHAnsi"/>
        </w:rPr>
        <w:t xml:space="preserve"> in</w:t>
      </w:r>
      <w:r w:rsidR="007B10F1" w:rsidRPr="00C11ED4">
        <w:t xml:space="preserve"> </w:t>
      </w:r>
      <w:r w:rsidR="007B10F1" w:rsidRPr="00C11ED4">
        <w:rPr>
          <w:rFonts w:asciiTheme="majorHAnsi" w:hAnsiTheme="majorHAnsi"/>
        </w:rPr>
        <w:t>people with Pompe disease (acid α</w:t>
      </w:r>
      <w:r w:rsidR="001B12CF" w:rsidRPr="00C11ED4">
        <w:rPr>
          <w:rFonts w:asciiTheme="majorHAnsi" w:hAnsiTheme="majorHAnsi"/>
        </w:rPr>
        <w:t>-</w:t>
      </w:r>
      <w:r w:rsidR="007B10F1" w:rsidRPr="00C11ED4">
        <w:rPr>
          <w:rFonts w:asciiTheme="majorHAnsi" w:hAnsiTheme="majorHAnsi"/>
        </w:rPr>
        <w:t>glucosidase [GAA] deficiency)</w:t>
      </w:r>
      <w:r w:rsidRPr="00C11ED4">
        <w:rPr>
          <w:rFonts w:asciiTheme="majorHAnsi" w:hAnsiTheme="majorHAnsi"/>
        </w:rPr>
        <w:t>.</w:t>
      </w:r>
      <w:r w:rsidR="006A62BD" w:rsidRPr="00C11ED4">
        <w:rPr>
          <w:rFonts w:asciiTheme="majorHAnsi" w:hAnsiTheme="majorHAnsi"/>
        </w:rPr>
        <w:t xml:space="preserve"> </w:t>
      </w:r>
      <w:proofErr w:type="spellStart"/>
      <w:r w:rsidRPr="00C11ED4">
        <w:rPr>
          <w:rFonts w:asciiTheme="majorHAnsi" w:hAnsiTheme="majorHAnsi"/>
        </w:rPr>
        <w:t>Cipaglucosidase</w:t>
      </w:r>
      <w:proofErr w:type="spellEnd"/>
      <w:r w:rsidRPr="00C11ED4">
        <w:rPr>
          <w:rFonts w:asciiTheme="majorHAnsi" w:hAnsiTheme="majorHAnsi"/>
        </w:rPr>
        <w:t xml:space="preserve"> alfa is stabilised by </w:t>
      </w:r>
      <w:proofErr w:type="spellStart"/>
      <w:r w:rsidR="00492265" w:rsidRPr="00C11ED4">
        <w:rPr>
          <w:rFonts w:asciiTheme="majorHAnsi" w:hAnsiTheme="majorHAnsi"/>
        </w:rPr>
        <w:t>miglustat</w:t>
      </w:r>
      <w:proofErr w:type="spellEnd"/>
      <w:r w:rsidR="00B06E9D" w:rsidRPr="00C11ED4">
        <w:rPr>
          <w:rFonts w:asciiTheme="majorHAnsi" w:hAnsiTheme="majorHAnsi"/>
        </w:rPr>
        <w:t xml:space="preserve"> </w:t>
      </w:r>
      <w:r w:rsidRPr="00C11ED4">
        <w:rPr>
          <w:rFonts w:asciiTheme="majorHAnsi" w:hAnsiTheme="majorHAnsi"/>
        </w:rPr>
        <w:t>minimising the loss of enzyme activity in the blood during infusion of this hydrolytic glycogen-specific enzyme with bisM6P N</w:t>
      </w:r>
      <w:r w:rsidR="06F5DC2A" w:rsidRPr="00C11ED4">
        <w:rPr>
          <w:rFonts w:asciiTheme="majorHAnsi" w:hAnsiTheme="majorHAnsi"/>
        </w:rPr>
        <w:noBreakHyphen/>
      </w:r>
      <w:r w:rsidRPr="00C11ED4">
        <w:rPr>
          <w:rFonts w:asciiTheme="majorHAnsi" w:hAnsiTheme="majorHAnsi"/>
        </w:rPr>
        <w:t>glycans for high affinity cation</w:t>
      </w:r>
      <w:r w:rsidRPr="00C11ED4">
        <w:rPr>
          <w:rFonts w:asciiTheme="majorHAnsi" w:hAnsiTheme="majorHAnsi"/>
        </w:rPr>
        <w:noBreakHyphen/>
        <w:t>independent mannose</w:t>
      </w:r>
      <w:r w:rsidR="00EC52FB" w:rsidRPr="00C11ED4">
        <w:rPr>
          <w:rFonts w:asciiTheme="majorHAnsi" w:hAnsiTheme="majorHAnsi"/>
        </w:rPr>
        <w:t xml:space="preserve"> </w:t>
      </w:r>
      <w:r w:rsidRPr="00C11ED4">
        <w:rPr>
          <w:rFonts w:asciiTheme="majorHAnsi" w:hAnsiTheme="majorHAnsi"/>
        </w:rPr>
        <w:t>6</w:t>
      </w:r>
      <w:r w:rsidR="003D17AC" w:rsidRPr="00C11ED4">
        <w:rPr>
          <w:rFonts w:asciiTheme="majorHAnsi" w:hAnsiTheme="majorHAnsi"/>
        </w:rPr>
        <w:t>-</w:t>
      </w:r>
      <w:r w:rsidRPr="00C11ED4">
        <w:rPr>
          <w:rFonts w:asciiTheme="majorHAnsi" w:hAnsiTheme="majorHAnsi"/>
        </w:rPr>
        <w:t>phosphate receptor (CI</w:t>
      </w:r>
      <w:r w:rsidR="263696BF" w:rsidRPr="00C11ED4">
        <w:rPr>
          <w:rFonts w:asciiTheme="majorHAnsi" w:hAnsiTheme="majorHAnsi"/>
        </w:rPr>
        <w:noBreakHyphen/>
      </w:r>
      <w:r w:rsidRPr="00C11ED4">
        <w:rPr>
          <w:rFonts w:asciiTheme="majorHAnsi" w:hAnsiTheme="majorHAnsi"/>
        </w:rPr>
        <w:t>MPR) binding. After binding, it is internalised in the lysosome where it undergoes proteolytic cleavage and N</w:t>
      </w:r>
      <w:r w:rsidR="132D13EE" w:rsidRPr="00C11ED4">
        <w:rPr>
          <w:rFonts w:asciiTheme="majorHAnsi" w:hAnsiTheme="majorHAnsi"/>
        </w:rPr>
        <w:noBreakHyphen/>
      </w:r>
      <w:r w:rsidRPr="00C11ED4">
        <w:rPr>
          <w:rFonts w:asciiTheme="majorHAnsi" w:hAnsiTheme="majorHAnsi"/>
        </w:rPr>
        <w:t xml:space="preserve">glycan trimming which are both required to yield the most mature and </w:t>
      </w:r>
      <w:r w:rsidR="00756714" w:rsidRPr="00C11ED4">
        <w:rPr>
          <w:rFonts w:asciiTheme="majorHAnsi" w:hAnsiTheme="majorHAnsi"/>
        </w:rPr>
        <w:t xml:space="preserve">the </w:t>
      </w:r>
      <w:r w:rsidR="001E06A2" w:rsidRPr="00C11ED4">
        <w:rPr>
          <w:rFonts w:asciiTheme="majorHAnsi" w:hAnsiTheme="majorHAnsi"/>
        </w:rPr>
        <w:t xml:space="preserve">most </w:t>
      </w:r>
      <w:r w:rsidRPr="00C11ED4">
        <w:rPr>
          <w:rFonts w:asciiTheme="majorHAnsi" w:hAnsiTheme="majorHAnsi"/>
        </w:rPr>
        <w:t xml:space="preserve">active form of the GAA enzyme. </w:t>
      </w:r>
      <w:r w:rsidR="00D6598B" w:rsidRPr="00C11ED4">
        <w:rPr>
          <w:rFonts w:asciiTheme="majorHAnsi" w:hAnsiTheme="majorHAnsi"/>
        </w:rPr>
        <w:t>The enzyme activity reduces intramuscular glycogen and ameliorates tissue damage</w:t>
      </w:r>
      <w:r w:rsidRPr="00C11ED4">
        <w:rPr>
          <w:rFonts w:asciiTheme="majorHAnsi" w:hAnsiTheme="majorHAnsi"/>
        </w:rPr>
        <w:t>.</w:t>
      </w:r>
    </w:p>
    <w:p w14:paraId="767C141F" w14:textId="0051FD92" w:rsidR="001A3992" w:rsidRPr="00C11ED4" w:rsidRDefault="001A3992" w:rsidP="00AC5E9C">
      <w:pPr>
        <w:pStyle w:val="Heading3"/>
        <w:tabs>
          <w:tab w:val="left" w:pos="2041"/>
        </w:tabs>
        <w:spacing w:before="0" w:after="200"/>
        <w:ind w:left="0"/>
        <w:rPr>
          <w:rFonts w:cstheme="minorHAnsi"/>
          <w:lang w:val="en-US"/>
        </w:rPr>
      </w:pPr>
      <w:r w:rsidRPr="00C11ED4">
        <w:rPr>
          <w:rFonts w:cstheme="minorHAnsi"/>
        </w:rPr>
        <w:t>Clinical</w:t>
      </w:r>
      <w:r w:rsidRPr="00C11ED4">
        <w:rPr>
          <w:rFonts w:cstheme="minorHAnsi"/>
          <w:lang w:val="en-US"/>
        </w:rPr>
        <w:t xml:space="preserve"> trials</w:t>
      </w:r>
    </w:p>
    <w:p w14:paraId="190B8446" w14:textId="77B1B9B6" w:rsidR="00FE2BDA" w:rsidRPr="00C11ED4" w:rsidRDefault="00FE2BDA" w:rsidP="00AC5E9C">
      <w:pPr>
        <w:pStyle w:val="C-BodyText"/>
        <w:spacing w:before="0" w:after="200" w:line="276" w:lineRule="auto"/>
        <w:rPr>
          <w:rFonts w:asciiTheme="majorHAnsi" w:hAnsiTheme="majorHAnsi"/>
          <w:sz w:val="22"/>
          <w:szCs w:val="22"/>
        </w:rPr>
      </w:pPr>
      <w:r w:rsidRPr="00C11ED4">
        <w:rPr>
          <w:rFonts w:asciiTheme="majorHAnsi" w:hAnsiTheme="majorHAnsi"/>
          <w:sz w:val="22"/>
          <w:szCs w:val="22"/>
        </w:rPr>
        <w:t>A 52</w:t>
      </w:r>
      <w:r w:rsidRPr="00C11ED4">
        <w:rPr>
          <w:rFonts w:asciiTheme="majorHAnsi" w:hAnsiTheme="majorHAnsi"/>
          <w:sz w:val="22"/>
          <w:szCs w:val="22"/>
        </w:rPr>
        <w:noBreakHyphen/>
        <w:t xml:space="preserve">week </w:t>
      </w:r>
      <w:r w:rsidR="00C27FD4" w:rsidRPr="00C11ED4">
        <w:rPr>
          <w:rFonts w:asciiTheme="majorHAnsi" w:hAnsiTheme="majorHAnsi"/>
          <w:sz w:val="22"/>
          <w:szCs w:val="22"/>
        </w:rPr>
        <w:t>P</w:t>
      </w:r>
      <w:r w:rsidRPr="00C11ED4">
        <w:rPr>
          <w:rFonts w:asciiTheme="majorHAnsi" w:hAnsiTheme="majorHAnsi"/>
          <w:sz w:val="22"/>
          <w:szCs w:val="22"/>
        </w:rPr>
        <w:t xml:space="preserve">hase 3 </w:t>
      </w:r>
      <w:proofErr w:type="spellStart"/>
      <w:r w:rsidRPr="00C11ED4">
        <w:rPr>
          <w:rFonts w:asciiTheme="majorHAnsi" w:hAnsiTheme="majorHAnsi"/>
          <w:sz w:val="22"/>
          <w:szCs w:val="22"/>
        </w:rPr>
        <w:t>randomised</w:t>
      </w:r>
      <w:proofErr w:type="spellEnd"/>
      <w:r w:rsidRPr="00C11ED4">
        <w:rPr>
          <w:rFonts w:asciiTheme="majorHAnsi" w:hAnsiTheme="majorHAnsi"/>
          <w:sz w:val="22"/>
          <w:szCs w:val="22"/>
        </w:rPr>
        <w:t>, double</w:t>
      </w:r>
      <w:r w:rsidRPr="00C11ED4">
        <w:rPr>
          <w:rFonts w:asciiTheme="majorHAnsi" w:hAnsiTheme="majorHAnsi"/>
          <w:sz w:val="22"/>
          <w:szCs w:val="22"/>
        </w:rPr>
        <w:noBreakHyphen/>
        <w:t>blind, active</w:t>
      </w:r>
      <w:r w:rsidRPr="00C11ED4">
        <w:rPr>
          <w:rFonts w:asciiTheme="majorHAnsi" w:hAnsiTheme="majorHAnsi"/>
          <w:sz w:val="22"/>
          <w:szCs w:val="22"/>
        </w:rPr>
        <w:noBreakHyphen/>
        <w:t>controlled, international, multi</w:t>
      </w:r>
      <w:r w:rsidRPr="00C11ED4">
        <w:rPr>
          <w:rFonts w:asciiTheme="majorHAnsi" w:hAnsiTheme="majorHAnsi"/>
          <w:sz w:val="22"/>
          <w:szCs w:val="22"/>
        </w:rPr>
        <w:noBreakHyphen/>
      </w:r>
      <w:proofErr w:type="spellStart"/>
      <w:r w:rsidRPr="00C11ED4">
        <w:rPr>
          <w:rFonts w:asciiTheme="majorHAnsi" w:hAnsiTheme="majorHAnsi"/>
          <w:sz w:val="22"/>
          <w:szCs w:val="22"/>
        </w:rPr>
        <w:t>centre</w:t>
      </w:r>
      <w:proofErr w:type="spellEnd"/>
      <w:r w:rsidRPr="00C11ED4">
        <w:rPr>
          <w:rFonts w:asciiTheme="majorHAnsi" w:hAnsiTheme="majorHAnsi"/>
          <w:sz w:val="22"/>
          <w:szCs w:val="22"/>
        </w:rPr>
        <w:t xml:space="preserve"> clinical trial was conducted in adult subjects (≥ 18 years) diagnosed with </w:t>
      </w:r>
      <w:r w:rsidR="0001243D" w:rsidRPr="00C11ED4">
        <w:rPr>
          <w:rFonts w:asciiTheme="majorHAnsi" w:hAnsiTheme="majorHAnsi"/>
          <w:sz w:val="22"/>
          <w:szCs w:val="22"/>
        </w:rPr>
        <w:t>late</w:t>
      </w:r>
      <w:r w:rsidR="002D37D5" w:rsidRPr="00C11ED4">
        <w:rPr>
          <w:rFonts w:asciiTheme="majorHAnsi" w:hAnsiTheme="majorHAnsi"/>
          <w:sz w:val="22"/>
          <w:szCs w:val="22"/>
        </w:rPr>
        <w:t>-</w:t>
      </w:r>
      <w:r w:rsidR="0001243D" w:rsidRPr="00C11ED4">
        <w:rPr>
          <w:rFonts w:asciiTheme="majorHAnsi" w:hAnsiTheme="majorHAnsi"/>
          <w:sz w:val="22"/>
          <w:szCs w:val="22"/>
        </w:rPr>
        <w:t xml:space="preserve">onset </w:t>
      </w:r>
      <w:r w:rsidRPr="00C11ED4">
        <w:rPr>
          <w:rFonts w:asciiTheme="majorHAnsi" w:hAnsiTheme="majorHAnsi"/>
          <w:sz w:val="22"/>
          <w:szCs w:val="22"/>
        </w:rPr>
        <w:t xml:space="preserve">Pompe disease. Subjects were </w:t>
      </w:r>
      <w:proofErr w:type="spellStart"/>
      <w:r w:rsidRPr="00C11ED4">
        <w:rPr>
          <w:rFonts w:asciiTheme="majorHAnsi" w:hAnsiTheme="majorHAnsi"/>
          <w:sz w:val="22"/>
          <w:szCs w:val="22"/>
        </w:rPr>
        <w:t>randomised</w:t>
      </w:r>
      <w:proofErr w:type="spellEnd"/>
      <w:r w:rsidRPr="00C11ED4">
        <w:rPr>
          <w:rFonts w:asciiTheme="majorHAnsi" w:hAnsiTheme="majorHAnsi"/>
          <w:sz w:val="22"/>
          <w:szCs w:val="22"/>
        </w:rPr>
        <w:t xml:space="preserve"> 2:1 to receive </w:t>
      </w:r>
      <w:bookmarkStart w:id="5" w:name="_Hlk75356464"/>
      <w:r w:rsidR="00B973E9" w:rsidRPr="00C11ED4">
        <w:rPr>
          <w:rFonts w:asciiTheme="majorHAnsi" w:hAnsiTheme="majorHAnsi"/>
          <w:sz w:val="22"/>
          <w:szCs w:val="22"/>
        </w:rPr>
        <w:t xml:space="preserve">20 mg/kg </w:t>
      </w:r>
      <w:r w:rsidR="00DC1B42" w:rsidRPr="00C11ED4">
        <w:rPr>
          <w:rFonts w:asciiTheme="majorHAnsi" w:hAnsiTheme="majorHAnsi"/>
          <w:sz w:val="22"/>
          <w:szCs w:val="22"/>
        </w:rPr>
        <w:t>POMBIL</w:t>
      </w:r>
      <w:r w:rsidR="009E441D" w:rsidRPr="00C11ED4">
        <w:rPr>
          <w:rFonts w:asciiTheme="majorHAnsi" w:hAnsiTheme="majorHAnsi"/>
          <w:sz w:val="22"/>
          <w:szCs w:val="22"/>
        </w:rPr>
        <w:t>I</w:t>
      </w:r>
      <w:r w:rsidR="00DC1B42" w:rsidRPr="00C11ED4">
        <w:rPr>
          <w:rFonts w:asciiTheme="majorHAnsi" w:hAnsiTheme="majorHAnsi"/>
          <w:sz w:val="22"/>
          <w:szCs w:val="22"/>
        </w:rPr>
        <w:t>TI</w:t>
      </w:r>
      <w:r w:rsidRPr="00C11ED4">
        <w:rPr>
          <w:rFonts w:asciiTheme="majorHAnsi" w:hAnsiTheme="majorHAnsi"/>
          <w:sz w:val="22"/>
          <w:szCs w:val="22"/>
        </w:rPr>
        <w:t xml:space="preserve"> in combination with </w:t>
      </w:r>
      <w:r w:rsidR="00B973E9" w:rsidRPr="00C11ED4">
        <w:rPr>
          <w:rFonts w:asciiTheme="majorHAnsi" w:hAnsiTheme="majorHAnsi"/>
          <w:sz w:val="22"/>
          <w:szCs w:val="22"/>
        </w:rPr>
        <w:t>195</w:t>
      </w:r>
      <w:r w:rsidR="00DF6108" w:rsidRPr="00C11ED4">
        <w:rPr>
          <w:rFonts w:asciiTheme="majorHAnsi" w:hAnsiTheme="majorHAnsi"/>
          <w:sz w:val="22"/>
          <w:szCs w:val="22"/>
        </w:rPr>
        <w:t> </w:t>
      </w:r>
      <w:r w:rsidR="00B973E9" w:rsidRPr="00C11ED4">
        <w:rPr>
          <w:rFonts w:asciiTheme="majorHAnsi" w:hAnsiTheme="majorHAnsi"/>
          <w:sz w:val="22"/>
          <w:szCs w:val="22"/>
        </w:rPr>
        <w:t xml:space="preserve">mg or 260 mg </w:t>
      </w:r>
      <w:r w:rsidR="00B06E9D" w:rsidRPr="00C11ED4">
        <w:rPr>
          <w:rFonts w:asciiTheme="majorHAnsi" w:hAnsiTheme="majorHAnsi"/>
          <w:sz w:val="22"/>
          <w:szCs w:val="22"/>
        </w:rPr>
        <w:t xml:space="preserve">OPFOLDA </w:t>
      </w:r>
      <w:r w:rsidR="00B973E9" w:rsidRPr="00C11ED4">
        <w:rPr>
          <w:rFonts w:asciiTheme="majorHAnsi" w:hAnsiTheme="majorHAnsi"/>
          <w:sz w:val="22"/>
          <w:szCs w:val="22"/>
        </w:rPr>
        <w:t xml:space="preserve">based on body weight </w:t>
      </w:r>
      <w:r w:rsidR="00B64B12" w:rsidRPr="00C11ED4">
        <w:rPr>
          <w:rFonts w:asciiTheme="majorHAnsi" w:hAnsiTheme="majorHAnsi"/>
          <w:sz w:val="22"/>
          <w:szCs w:val="22"/>
        </w:rPr>
        <w:t>or</w:t>
      </w:r>
      <w:r w:rsidR="00B973E9" w:rsidRPr="00C11ED4">
        <w:rPr>
          <w:rFonts w:asciiTheme="majorHAnsi" w:hAnsiTheme="majorHAnsi"/>
          <w:sz w:val="22"/>
          <w:szCs w:val="22"/>
        </w:rPr>
        <w:t xml:space="preserve"> 20 mg/kg</w:t>
      </w:r>
      <w:r w:rsidR="00B64B12" w:rsidRPr="00C11ED4">
        <w:rPr>
          <w:rFonts w:asciiTheme="majorHAnsi" w:hAnsiTheme="majorHAnsi"/>
          <w:sz w:val="22"/>
          <w:szCs w:val="22"/>
        </w:rPr>
        <w:t xml:space="preserve"> </w:t>
      </w:r>
      <w:proofErr w:type="spellStart"/>
      <w:r w:rsidR="008D4A3F" w:rsidRPr="00C11ED4">
        <w:rPr>
          <w:rFonts w:asciiTheme="majorHAnsi" w:hAnsiTheme="majorHAnsi"/>
          <w:sz w:val="22"/>
          <w:szCs w:val="22"/>
        </w:rPr>
        <w:t>alglucosidase</w:t>
      </w:r>
      <w:proofErr w:type="spellEnd"/>
      <w:r w:rsidR="008D4A3F" w:rsidRPr="00C11ED4">
        <w:rPr>
          <w:rFonts w:asciiTheme="majorHAnsi" w:hAnsiTheme="majorHAnsi"/>
          <w:sz w:val="22"/>
          <w:szCs w:val="22"/>
        </w:rPr>
        <w:t xml:space="preserve"> </w:t>
      </w:r>
      <w:r w:rsidR="00B64B12" w:rsidRPr="00C11ED4">
        <w:rPr>
          <w:rFonts w:asciiTheme="majorHAnsi" w:hAnsiTheme="majorHAnsi"/>
          <w:sz w:val="22"/>
          <w:szCs w:val="22"/>
        </w:rPr>
        <w:t>alfa</w:t>
      </w:r>
      <w:r w:rsidR="005A5709" w:rsidRPr="00C11ED4">
        <w:rPr>
          <w:rFonts w:asciiTheme="majorHAnsi" w:hAnsiTheme="majorHAnsi"/>
          <w:sz w:val="22"/>
          <w:szCs w:val="22"/>
        </w:rPr>
        <w:t xml:space="preserve"> in combination with </w:t>
      </w:r>
      <w:bookmarkEnd w:id="5"/>
      <w:r w:rsidRPr="00C11ED4">
        <w:rPr>
          <w:rFonts w:asciiTheme="majorHAnsi" w:hAnsiTheme="majorHAnsi"/>
          <w:sz w:val="22"/>
          <w:szCs w:val="22"/>
        </w:rPr>
        <w:t xml:space="preserve">placebo every other week for 52 weeks. The efficacy population included a total of 122 subjects of which 95 subjects had received prior ERT with </w:t>
      </w:r>
      <w:proofErr w:type="spellStart"/>
      <w:r w:rsidRPr="00C11ED4">
        <w:rPr>
          <w:rFonts w:asciiTheme="majorHAnsi" w:hAnsiTheme="majorHAnsi"/>
          <w:sz w:val="22"/>
          <w:szCs w:val="22"/>
        </w:rPr>
        <w:t>alglucosidase</w:t>
      </w:r>
      <w:proofErr w:type="spellEnd"/>
      <w:r w:rsidRPr="00C11ED4">
        <w:rPr>
          <w:rFonts w:asciiTheme="majorHAnsi" w:hAnsiTheme="majorHAnsi"/>
          <w:sz w:val="22"/>
          <w:szCs w:val="22"/>
        </w:rPr>
        <w:t xml:space="preserve"> alfa (ERT</w:t>
      </w:r>
      <w:r w:rsidRPr="00C11ED4">
        <w:rPr>
          <w:rFonts w:asciiTheme="majorHAnsi" w:hAnsiTheme="majorHAnsi"/>
          <w:sz w:val="22"/>
          <w:szCs w:val="22"/>
        </w:rPr>
        <w:noBreakHyphen/>
        <w:t>experienced) and 27 had never received ERT (ERT</w:t>
      </w:r>
      <w:r w:rsidRPr="00C11ED4">
        <w:rPr>
          <w:rFonts w:asciiTheme="majorHAnsi" w:hAnsiTheme="majorHAnsi"/>
          <w:sz w:val="22"/>
          <w:szCs w:val="22"/>
        </w:rPr>
        <w:noBreakHyphen/>
        <w:t>naïve).</w:t>
      </w:r>
    </w:p>
    <w:p w14:paraId="69DE2461" w14:textId="3D04F465" w:rsidR="00FE2BDA" w:rsidRPr="00C11ED4" w:rsidRDefault="00FE2BDA" w:rsidP="00AC5E9C">
      <w:pPr>
        <w:pStyle w:val="C-BodyText"/>
        <w:spacing w:before="0" w:after="200" w:line="276" w:lineRule="auto"/>
        <w:rPr>
          <w:rFonts w:asciiTheme="majorHAnsi" w:hAnsiTheme="majorHAnsi"/>
          <w:sz w:val="22"/>
          <w:szCs w:val="22"/>
        </w:rPr>
      </w:pPr>
      <w:r w:rsidRPr="00C11ED4">
        <w:rPr>
          <w:rFonts w:asciiTheme="majorHAnsi" w:hAnsiTheme="majorHAnsi"/>
          <w:sz w:val="22"/>
          <w:szCs w:val="22"/>
        </w:rPr>
        <w:t>Demographics, baseline 6</w:t>
      </w:r>
      <w:r w:rsidRPr="00C11ED4">
        <w:rPr>
          <w:rFonts w:asciiTheme="majorHAnsi" w:hAnsiTheme="majorHAnsi"/>
          <w:sz w:val="22"/>
          <w:szCs w:val="22"/>
        </w:rPr>
        <w:noBreakHyphen/>
        <w:t>Minute Walk Distance (6MWD), and sitting percent predicted Forced Vital Capacity (FVC) were generally similar in the 2</w:t>
      </w:r>
      <w:r w:rsidR="00E52527" w:rsidRPr="00C11ED4">
        <w:rPr>
          <w:rFonts w:asciiTheme="majorHAnsi" w:hAnsiTheme="majorHAnsi"/>
          <w:sz w:val="22"/>
          <w:szCs w:val="22"/>
        </w:rPr>
        <w:t> </w:t>
      </w:r>
      <w:r w:rsidRPr="00C11ED4">
        <w:rPr>
          <w:rFonts w:asciiTheme="majorHAnsi" w:hAnsiTheme="majorHAnsi"/>
          <w:sz w:val="22"/>
          <w:szCs w:val="22"/>
        </w:rPr>
        <w:t>treatment arms. More than two</w:t>
      </w:r>
      <w:r w:rsidR="00C27FD4" w:rsidRPr="00C11ED4">
        <w:rPr>
          <w:rFonts w:asciiTheme="majorHAnsi" w:hAnsiTheme="majorHAnsi"/>
          <w:sz w:val="22"/>
          <w:szCs w:val="22"/>
        </w:rPr>
        <w:t>-</w:t>
      </w:r>
      <w:r w:rsidRPr="00C11ED4">
        <w:rPr>
          <w:rFonts w:asciiTheme="majorHAnsi" w:hAnsiTheme="majorHAnsi"/>
          <w:sz w:val="22"/>
          <w:szCs w:val="22"/>
        </w:rPr>
        <w:t>thirds (67%) of ERT</w:t>
      </w:r>
      <w:r w:rsidRPr="00C11ED4">
        <w:rPr>
          <w:rFonts w:asciiTheme="majorHAnsi" w:hAnsiTheme="majorHAnsi"/>
          <w:sz w:val="22"/>
          <w:szCs w:val="22"/>
        </w:rPr>
        <w:noBreakHyphen/>
        <w:t xml:space="preserve">experienced subjects had been on ERT treatment for more than 5 years prior to entering the </w:t>
      </w:r>
      <w:r w:rsidR="005A4816" w:rsidRPr="00C11ED4">
        <w:rPr>
          <w:rFonts w:asciiTheme="majorHAnsi" w:hAnsiTheme="majorHAnsi"/>
          <w:sz w:val="22"/>
          <w:szCs w:val="22"/>
        </w:rPr>
        <w:t xml:space="preserve">PROPEL </w:t>
      </w:r>
      <w:r w:rsidR="008A5D41" w:rsidRPr="00C11ED4">
        <w:rPr>
          <w:rFonts w:asciiTheme="majorHAnsi" w:hAnsiTheme="majorHAnsi"/>
          <w:sz w:val="22"/>
          <w:szCs w:val="22"/>
        </w:rPr>
        <w:t>trial</w:t>
      </w:r>
      <w:r w:rsidRPr="00C11ED4">
        <w:rPr>
          <w:rFonts w:asciiTheme="majorHAnsi" w:hAnsiTheme="majorHAnsi"/>
          <w:sz w:val="22"/>
          <w:szCs w:val="22"/>
        </w:rPr>
        <w:t xml:space="preserve"> (mean of 7.4 years).</w:t>
      </w:r>
    </w:p>
    <w:p w14:paraId="4AC64430" w14:textId="02208E2D" w:rsidR="00613509" w:rsidRPr="00C11ED4" w:rsidRDefault="002355EE" w:rsidP="00AC5E9C">
      <w:pPr>
        <w:pStyle w:val="C-BodyText"/>
        <w:spacing w:before="0" w:after="200" w:line="276" w:lineRule="auto"/>
        <w:rPr>
          <w:rFonts w:asciiTheme="majorHAnsi" w:hAnsiTheme="majorHAnsi"/>
          <w:sz w:val="22"/>
          <w:szCs w:val="22"/>
        </w:rPr>
      </w:pPr>
      <w:r w:rsidRPr="00C11ED4">
        <w:rPr>
          <w:rFonts w:asciiTheme="majorHAnsi" w:hAnsiTheme="majorHAnsi"/>
          <w:sz w:val="22"/>
          <w:szCs w:val="22"/>
        </w:rPr>
        <w:t>The primary efficacy endpoint was change in 6-minute walk distance (6MWD) from baseline to Week 52. The first key secondary endpoint was change in sitting percent</w:t>
      </w:r>
      <w:r w:rsidR="00832A37" w:rsidRPr="00C11ED4">
        <w:rPr>
          <w:rFonts w:asciiTheme="majorHAnsi" w:hAnsiTheme="majorHAnsi"/>
          <w:sz w:val="22"/>
          <w:szCs w:val="22"/>
        </w:rPr>
        <w:t xml:space="preserve"> </w:t>
      </w:r>
      <w:r w:rsidRPr="00C11ED4">
        <w:rPr>
          <w:rFonts w:asciiTheme="majorHAnsi" w:hAnsiTheme="majorHAnsi"/>
          <w:sz w:val="22"/>
          <w:szCs w:val="22"/>
        </w:rPr>
        <w:t>predicted Forced Vital Capacity (FVC).</w:t>
      </w:r>
    </w:p>
    <w:p w14:paraId="478D64A1" w14:textId="77777777" w:rsidR="00A07A66" w:rsidRPr="00C11ED4" w:rsidRDefault="00A07A66" w:rsidP="00A07A66">
      <w:pPr>
        <w:pStyle w:val="C-BodyText"/>
        <w:keepNext/>
        <w:spacing w:before="0" w:after="200" w:line="276" w:lineRule="auto"/>
        <w:rPr>
          <w:rFonts w:asciiTheme="majorHAnsi" w:hAnsiTheme="majorHAnsi"/>
          <w:sz w:val="22"/>
          <w:szCs w:val="22"/>
          <w:u w:val="single"/>
        </w:rPr>
      </w:pPr>
      <w:r w:rsidRPr="00C11ED4">
        <w:rPr>
          <w:rFonts w:asciiTheme="majorHAnsi" w:hAnsiTheme="majorHAnsi"/>
          <w:sz w:val="22"/>
          <w:szCs w:val="22"/>
          <w:u w:val="single"/>
        </w:rPr>
        <w:t>Motor function</w:t>
      </w:r>
    </w:p>
    <w:p w14:paraId="165A4617" w14:textId="77777777" w:rsidR="00A07A66" w:rsidRPr="00C11ED4" w:rsidRDefault="00A07A66" w:rsidP="00A07A66">
      <w:pPr>
        <w:pStyle w:val="C-BodyText"/>
        <w:keepNext/>
        <w:spacing w:before="0" w:after="200" w:line="276" w:lineRule="auto"/>
        <w:rPr>
          <w:rFonts w:asciiTheme="majorHAnsi" w:hAnsiTheme="majorHAnsi"/>
          <w:i/>
          <w:iCs/>
          <w:sz w:val="22"/>
          <w:szCs w:val="22"/>
        </w:rPr>
      </w:pPr>
      <w:r w:rsidRPr="00C11ED4">
        <w:rPr>
          <w:rFonts w:asciiTheme="majorHAnsi" w:hAnsiTheme="majorHAnsi"/>
          <w:i/>
          <w:iCs/>
          <w:sz w:val="22"/>
          <w:szCs w:val="22"/>
        </w:rPr>
        <w:t>6</w:t>
      </w:r>
      <w:r w:rsidRPr="00C11ED4">
        <w:rPr>
          <w:rFonts w:asciiTheme="majorHAnsi" w:hAnsiTheme="majorHAnsi"/>
          <w:i/>
          <w:iCs/>
          <w:sz w:val="22"/>
          <w:szCs w:val="22"/>
        </w:rPr>
        <w:noBreakHyphen/>
        <w:t>Minute Walk Distance (6MWD) at 52 weeks</w:t>
      </w:r>
    </w:p>
    <w:p w14:paraId="203F8C6A" w14:textId="3E1270C6" w:rsidR="00A07A66" w:rsidRPr="00C11ED4" w:rsidRDefault="00A07A66" w:rsidP="00A07A66">
      <w:pPr>
        <w:pStyle w:val="C-BodyText"/>
        <w:spacing w:before="0" w:after="200" w:line="276" w:lineRule="auto"/>
        <w:rPr>
          <w:rFonts w:asciiTheme="majorHAnsi" w:hAnsiTheme="majorHAnsi"/>
          <w:sz w:val="22"/>
          <w:szCs w:val="22"/>
        </w:rPr>
      </w:pPr>
      <w:r w:rsidRPr="00C11ED4">
        <w:rPr>
          <w:rFonts w:asciiTheme="majorHAnsi" w:hAnsiTheme="majorHAnsi"/>
          <w:sz w:val="22"/>
          <w:szCs w:val="22"/>
        </w:rPr>
        <w:t>All subjects (ERT-experienced and ERT-naïve) treated with POMBILITI in combination with OPFOLDA therapy walked on average 20.8 </w:t>
      </w:r>
      <w:proofErr w:type="spellStart"/>
      <w:r w:rsidRPr="00C11ED4">
        <w:rPr>
          <w:rFonts w:asciiTheme="majorHAnsi" w:hAnsiTheme="majorHAnsi"/>
          <w:sz w:val="22"/>
          <w:szCs w:val="22"/>
        </w:rPr>
        <w:t>metr</w:t>
      </w:r>
      <w:r w:rsidR="00C448CC" w:rsidRPr="00C11ED4">
        <w:rPr>
          <w:rFonts w:asciiTheme="majorHAnsi" w:hAnsiTheme="majorHAnsi"/>
          <w:sz w:val="22"/>
          <w:szCs w:val="22"/>
        </w:rPr>
        <w:t>e</w:t>
      </w:r>
      <w:r w:rsidRPr="00C11ED4">
        <w:rPr>
          <w:rFonts w:asciiTheme="majorHAnsi" w:hAnsiTheme="majorHAnsi"/>
          <w:sz w:val="22"/>
          <w:szCs w:val="22"/>
        </w:rPr>
        <w:t>s</w:t>
      </w:r>
      <w:proofErr w:type="spellEnd"/>
      <w:r w:rsidRPr="00C11ED4">
        <w:rPr>
          <w:rFonts w:asciiTheme="majorHAnsi" w:hAnsiTheme="majorHAnsi"/>
          <w:sz w:val="22"/>
          <w:szCs w:val="22"/>
        </w:rPr>
        <w:t xml:space="preserve"> farther from baseline as compared to those treated with </w:t>
      </w:r>
      <w:proofErr w:type="spellStart"/>
      <w:r w:rsidRPr="00C11ED4">
        <w:rPr>
          <w:rFonts w:asciiTheme="majorHAnsi" w:hAnsiTheme="majorHAnsi"/>
          <w:sz w:val="22"/>
          <w:szCs w:val="22"/>
        </w:rPr>
        <w:t>alglucosidase</w:t>
      </w:r>
      <w:proofErr w:type="spellEnd"/>
      <w:r w:rsidRPr="00C11ED4">
        <w:rPr>
          <w:rFonts w:asciiTheme="majorHAnsi" w:hAnsiTheme="majorHAnsi"/>
          <w:sz w:val="22"/>
          <w:szCs w:val="22"/>
        </w:rPr>
        <w:t xml:space="preserve"> alfa</w:t>
      </w:r>
      <w:r w:rsidRPr="00C11ED4">
        <w:rPr>
          <w:rFonts w:asciiTheme="majorHAnsi" w:hAnsiTheme="majorHAnsi"/>
          <w:sz w:val="22"/>
          <w:szCs w:val="22"/>
        </w:rPr>
        <w:noBreakHyphen/>
        <w:t>placebo who walked 7.2 </w:t>
      </w:r>
      <w:proofErr w:type="spellStart"/>
      <w:r w:rsidRPr="00C11ED4">
        <w:rPr>
          <w:rFonts w:asciiTheme="majorHAnsi" w:hAnsiTheme="majorHAnsi"/>
          <w:sz w:val="22"/>
          <w:szCs w:val="22"/>
        </w:rPr>
        <w:t>metr</w:t>
      </w:r>
      <w:r w:rsidR="00C448CC" w:rsidRPr="00C11ED4">
        <w:rPr>
          <w:rFonts w:asciiTheme="majorHAnsi" w:hAnsiTheme="majorHAnsi"/>
          <w:sz w:val="22"/>
          <w:szCs w:val="22"/>
        </w:rPr>
        <w:t>e</w:t>
      </w:r>
      <w:r w:rsidRPr="00C11ED4">
        <w:rPr>
          <w:rFonts w:asciiTheme="majorHAnsi" w:hAnsiTheme="majorHAnsi"/>
          <w:sz w:val="22"/>
          <w:szCs w:val="22"/>
        </w:rPr>
        <w:t>s</w:t>
      </w:r>
      <w:proofErr w:type="spellEnd"/>
      <w:r w:rsidRPr="00C11ED4">
        <w:rPr>
          <w:rFonts w:asciiTheme="majorHAnsi" w:hAnsiTheme="majorHAnsi"/>
          <w:sz w:val="22"/>
          <w:szCs w:val="22"/>
        </w:rPr>
        <w:t xml:space="preserve"> farther from baseline, indicating a POMBILITI in combination with OPFOLDA treatment effect of 13.6 </w:t>
      </w:r>
      <w:proofErr w:type="spellStart"/>
      <w:r w:rsidRPr="00C11ED4">
        <w:rPr>
          <w:rFonts w:asciiTheme="majorHAnsi" w:hAnsiTheme="majorHAnsi"/>
          <w:sz w:val="22"/>
          <w:szCs w:val="22"/>
        </w:rPr>
        <w:t>metr</w:t>
      </w:r>
      <w:r w:rsidR="00C448CC" w:rsidRPr="00C11ED4">
        <w:rPr>
          <w:rFonts w:asciiTheme="majorHAnsi" w:hAnsiTheme="majorHAnsi"/>
          <w:sz w:val="22"/>
          <w:szCs w:val="22"/>
        </w:rPr>
        <w:t>e</w:t>
      </w:r>
      <w:r w:rsidRPr="00C11ED4">
        <w:rPr>
          <w:rFonts w:asciiTheme="majorHAnsi" w:hAnsiTheme="majorHAnsi"/>
          <w:sz w:val="22"/>
          <w:szCs w:val="22"/>
        </w:rPr>
        <w:t>s</w:t>
      </w:r>
      <w:proofErr w:type="spellEnd"/>
      <w:r w:rsidR="00F808DA" w:rsidRPr="00C11ED4">
        <w:rPr>
          <w:rFonts w:asciiTheme="majorHAnsi" w:hAnsiTheme="majorHAnsi"/>
          <w:sz w:val="22"/>
          <w:szCs w:val="22"/>
        </w:rPr>
        <w:t>.</w:t>
      </w:r>
      <w:r w:rsidR="00F808DA" w:rsidRPr="00C11ED4">
        <w:t xml:space="preserve"> </w:t>
      </w:r>
      <w:r w:rsidR="00F808DA" w:rsidRPr="00C11ED4">
        <w:rPr>
          <w:rFonts w:asciiTheme="majorHAnsi" w:hAnsiTheme="majorHAnsi"/>
          <w:sz w:val="22"/>
          <w:szCs w:val="22"/>
        </w:rPr>
        <w:t>Statistically significant superiority was not achieved</w:t>
      </w:r>
      <w:r w:rsidRPr="00C11ED4">
        <w:rPr>
          <w:rFonts w:asciiTheme="majorHAnsi" w:hAnsiTheme="majorHAnsi"/>
          <w:sz w:val="22"/>
          <w:szCs w:val="22"/>
        </w:rPr>
        <w:t xml:space="preserve"> </w:t>
      </w:r>
      <w:r w:rsidRPr="00C11ED4">
        <w:rPr>
          <w:rFonts w:asciiTheme="majorHAnsi" w:hAnsiTheme="majorHAnsi"/>
          <w:sz w:val="22"/>
          <w:szCs w:val="22"/>
          <w:lang w:val="en-GB"/>
        </w:rPr>
        <w:t>(</w:t>
      </w:r>
      <w:r w:rsidRPr="00C11ED4">
        <w:rPr>
          <w:rFonts w:asciiTheme="majorHAnsi" w:hAnsiTheme="majorHAnsi"/>
          <w:sz w:val="22"/>
          <w:szCs w:val="22"/>
        </w:rPr>
        <w:t>p = 0.07) (Table </w:t>
      </w:r>
      <w:r w:rsidR="00941152" w:rsidRPr="00C11ED4">
        <w:rPr>
          <w:rFonts w:asciiTheme="majorHAnsi" w:hAnsiTheme="majorHAnsi"/>
          <w:sz w:val="22"/>
          <w:szCs w:val="22"/>
        </w:rPr>
        <w:t>3</w:t>
      </w:r>
      <w:r w:rsidRPr="00C11ED4">
        <w:rPr>
          <w:rFonts w:asciiTheme="majorHAnsi" w:hAnsiTheme="majorHAnsi"/>
          <w:sz w:val="22"/>
          <w:szCs w:val="22"/>
        </w:rPr>
        <w:t>).</w:t>
      </w:r>
    </w:p>
    <w:p w14:paraId="40FA90DB" w14:textId="47A1B917" w:rsidR="00A07A66" w:rsidRPr="00C11ED4" w:rsidRDefault="00A07A66" w:rsidP="00A07A66">
      <w:pPr>
        <w:rPr>
          <w:rFonts w:asciiTheme="majorHAnsi" w:hAnsiTheme="majorHAnsi"/>
        </w:rPr>
      </w:pPr>
      <w:r w:rsidRPr="00C11ED4">
        <w:rPr>
          <w:rFonts w:asciiTheme="majorHAnsi" w:hAnsiTheme="majorHAnsi"/>
        </w:rPr>
        <w:t>The ERT</w:t>
      </w:r>
      <w:r w:rsidR="00F838CE" w:rsidRPr="00C11ED4">
        <w:rPr>
          <w:rFonts w:asciiTheme="majorHAnsi" w:hAnsiTheme="majorHAnsi"/>
        </w:rPr>
        <w:t>-</w:t>
      </w:r>
      <w:r w:rsidRPr="00C11ED4">
        <w:rPr>
          <w:rFonts w:asciiTheme="majorHAnsi" w:hAnsiTheme="majorHAnsi"/>
        </w:rPr>
        <w:t>experienced subjects treated with POMBILITI in combination with OPFOLDA therapy (n = 65) had a mean improvement in walk distance from baseline of 16.9 metr</w:t>
      </w:r>
      <w:r w:rsidR="00C448CC" w:rsidRPr="00C11ED4">
        <w:rPr>
          <w:rFonts w:asciiTheme="majorHAnsi" w:hAnsiTheme="majorHAnsi"/>
        </w:rPr>
        <w:t>e</w:t>
      </w:r>
      <w:r w:rsidRPr="00C11ED4">
        <w:rPr>
          <w:rFonts w:asciiTheme="majorHAnsi" w:hAnsiTheme="majorHAnsi"/>
        </w:rPr>
        <w:t>s as compared to a mean of 0 metr</w:t>
      </w:r>
      <w:r w:rsidR="00C448CC" w:rsidRPr="00C11ED4">
        <w:rPr>
          <w:rFonts w:asciiTheme="majorHAnsi" w:hAnsiTheme="majorHAnsi"/>
        </w:rPr>
        <w:t>e</w:t>
      </w:r>
      <w:r w:rsidRPr="00C11ED4">
        <w:rPr>
          <w:rFonts w:asciiTheme="majorHAnsi" w:hAnsiTheme="majorHAnsi"/>
        </w:rPr>
        <w:t xml:space="preserve">s for </w:t>
      </w:r>
      <w:proofErr w:type="spellStart"/>
      <w:r w:rsidRPr="00C11ED4">
        <w:rPr>
          <w:rFonts w:asciiTheme="majorHAnsi" w:hAnsiTheme="majorHAnsi"/>
        </w:rPr>
        <w:t>alglucosidase</w:t>
      </w:r>
      <w:proofErr w:type="spellEnd"/>
      <w:r w:rsidRPr="00C11ED4">
        <w:rPr>
          <w:rFonts w:asciiTheme="majorHAnsi" w:hAnsiTheme="majorHAnsi"/>
        </w:rPr>
        <w:t xml:space="preserve"> alfa in combination with placebo (n = 30), indicating a POMBILITI in combination with OPFOLDA treatment effect of 16.9 metr</w:t>
      </w:r>
      <w:r w:rsidR="00C448CC" w:rsidRPr="00C11ED4">
        <w:rPr>
          <w:rFonts w:asciiTheme="majorHAnsi" w:hAnsiTheme="majorHAnsi"/>
        </w:rPr>
        <w:t>e</w:t>
      </w:r>
      <w:r w:rsidRPr="00C11ED4">
        <w:rPr>
          <w:rFonts w:asciiTheme="majorHAnsi" w:hAnsiTheme="majorHAnsi"/>
        </w:rPr>
        <w:t>s (p = 0.047).</w:t>
      </w:r>
    </w:p>
    <w:p w14:paraId="6793ECEF" w14:textId="0489BBD7" w:rsidR="00A07A66" w:rsidRPr="00C11ED4" w:rsidRDefault="00A07A66" w:rsidP="00A07A66">
      <w:pPr>
        <w:rPr>
          <w:rFonts w:asciiTheme="majorHAnsi" w:hAnsiTheme="majorHAnsi"/>
        </w:rPr>
      </w:pPr>
      <w:r w:rsidRPr="00C11ED4">
        <w:rPr>
          <w:rFonts w:asciiTheme="majorHAnsi" w:hAnsiTheme="majorHAnsi"/>
        </w:rPr>
        <w:lastRenderedPageBreak/>
        <w:t>The ERT</w:t>
      </w:r>
      <w:r w:rsidRPr="00C11ED4">
        <w:rPr>
          <w:rFonts w:asciiTheme="majorHAnsi" w:hAnsiTheme="majorHAnsi"/>
        </w:rPr>
        <w:noBreakHyphen/>
        <w:t>naïve subjects treated with POMBILITI in combination with OPFOLDA therapy (n = 20) had a mean improvement in walk distance from baseline of 33.4 metr</w:t>
      </w:r>
      <w:r w:rsidR="00C448CC" w:rsidRPr="00C11ED4">
        <w:rPr>
          <w:rFonts w:asciiTheme="majorHAnsi" w:hAnsiTheme="majorHAnsi"/>
        </w:rPr>
        <w:t>e</w:t>
      </w:r>
      <w:r w:rsidRPr="00C11ED4">
        <w:rPr>
          <w:rFonts w:asciiTheme="majorHAnsi" w:hAnsiTheme="majorHAnsi"/>
        </w:rPr>
        <w:t>s as compared to 38.3 metr</w:t>
      </w:r>
      <w:r w:rsidR="00C448CC" w:rsidRPr="00C11ED4">
        <w:rPr>
          <w:rFonts w:asciiTheme="majorHAnsi" w:hAnsiTheme="majorHAnsi"/>
        </w:rPr>
        <w:t>e</w:t>
      </w:r>
      <w:r w:rsidRPr="00C11ED4">
        <w:rPr>
          <w:rFonts w:asciiTheme="majorHAnsi" w:hAnsiTheme="majorHAnsi"/>
        </w:rPr>
        <w:t xml:space="preserve">s for </w:t>
      </w:r>
      <w:proofErr w:type="spellStart"/>
      <w:r w:rsidRPr="00C11ED4">
        <w:rPr>
          <w:rFonts w:asciiTheme="majorHAnsi" w:hAnsiTheme="majorHAnsi"/>
        </w:rPr>
        <w:t>alglucosidase</w:t>
      </w:r>
      <w:proofErr w:type="spellEnd"/>
      <w:r w:rsidRPr="00C11ED4">
        <w:rPr>
          <w:rFonts w:asciiTheme="majorHAnsi" w:hAnsiTheme="majorHAnsi"/>
        </w:rPr>
        <w:t xml:space="preserve"> alfa in combination with placebo (n = 75).</w:t>
      </w:r>
    </w:p>
    <w:p w14:paraId="30F582B0" w14:textId="32F7EBD1" w:rsidR="00A07A66" w:rsidRPr="00C11ED4" w:rsidRDefault="00A07A66" w:rsidP="009F0AC3">
      <w:pPr>
        <w:pStyle w:val="C-BodyText"/>
        <w:spacing w:before="0" w:after="0" w:line="276" w:lineRule="auto"/>
        <w:rPr>
          <w:rFonts w:asciiTheme="majorHAnsi" w:hAnsiTheme="majorHAnsi"/>
          <w:b/>
          <w:bCs/>
          <w:sz w:val="22"/>
          <w:szCs w:val="22"/>
        </w:rPr>
      </w:pPr>
      <w:r w:rsidRPr="00C11ED4">
        <w:rPr>
          <w:rFonts w:asciiTheme="majorHAnsi" w:hAnsiTheme="majorHAnsi"/>
          <w:b/>
          <w:bCs/>
          <w:sz w:val="22"/>
          <w:szCs w:val="22"/>
        </w:rPr>
        <w:t xml:space="preserve">Table </w:t>
      </w:r>
      <w:r w:rsidR="00C26F02" w:rsidRPr="00C11ED4">
        <w:rPr>
          <w:rFonts w:asciiTheme="majorHAnsi" w:hAnsiTheme="majorHAnsi"/>
          <w:b/>
          <w:bCs/>
          <w:sz w:val="22"/>
          <w:szCs w:val="22"/>
        </w:rPr>
        <w:t>3</w:t>
      </w:r>
      <w:r w:rsidRPr="00C11ED4">
        <w:rPr>
          <w:rFonts w:asciiTheme="majorHAnsi" w:hAnsiTheme="majorHAnsi"/>
          <w:b/>
          <w:bCs/>
          <w:sz w:val="22"/>
          <w:szCs w:val="22"/>
        </w:rPr>
        <w:t>: Summary of 6MWD in All Subjects at 52 Weeks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3159"/>
        <w:gridCol w:w="3161"/>
      </w:tblGrid>
      <w:tr w:rsidR="00A36996" w:rsidRPr="00C11ED4" w14:paraId="21FB4820" w14:textId="77777777" w:rsidTr="00B83CA6">
        <w:tc>
          <w:tcPr>
            <w:tcW w:w="1495" w:type="pct"/>
            <w:tcBorders>
              <w:bottom w:val="single" w:sz="4" w:space="0" w:color="auto"/>
            </w:tcBorders>
            <w:shd w:val="clear" w:color="auto" w:fill="auto"/>
          </w:tcPr>
          <w:p w14:paraId="55A36910" w14:textId="6C1E7A0E" w:rsidR="00A07A66" w:rsidRPr="00C11ED4" w:rsidRDefault="00A07A66" w:rsidP="00EA4361">
            <w:pPr>
              <w:autoSpaceDE w:val="0"/>
              <w:autoSpaceDN w:val="0"/>
              <w:adjustRightInd w:val="0"/>
              <w:spacing w:after="0" w:line="240" w:lineRule="auto"/>
              <w:rPr>
                <w:rFonts w:asciiTheme="majorHAnsi" w:hAnsiTheme="majorHAnsi"/>
                <w:b/>
                <w:bCs/>
              </w:rPr>
            </w:pPr>
            <w:r w:rsidRPr="00C11ED4">
              <w:rPr>
                <w:rFonts w:asciiTheme="majorHAnsi" w:hAnsiTheme="majorHAnsi"/>
                <w:b/>
                <w:bCs/>
              </w:rPr>
              <w:t>6MWD (metr</w:t>
            </w:r>
            <w:r w:rsidR="00C448CC" w:rsidRPr="00C11ED4">
              <w:rPr>
                <w:rFonts w:asciiTheme="majorHAnsi" w:hAnsiTheme="majorHAnsi"/>
                <w:b/>
                <w:bCs/>
              </w:rPr>
              <w:t>e</w:t>
            </w:r>
            <w:r w:rsidRPr="00C11ED4">
              <w:rPr>
                <w:rFonts w:asciiTheme="majorHAnsi" w:hAnsiTheme="majorHAnsi"/>
                <w:b/>
                <w:bCs/>
              </w:rPr>
              <w:t>s)</w:t>
            </w:r>
          </w:p>
        </w:tc>
        <w:tc>
          <w:tcPr>
            <w:tcW w:w="1752" w:type="pct"/>
            <w:tcBorders>
              <w:bottom w:val="single" w:sz="4" w:space="0" w:color="auto"/>
            </w:tcBorders>
            <w:shd w:val="clear" w:color="auto" w:fill="auto"/>
          </w:tcPr>
          <w:p w14:paraId="79025D75" w14:textId="77777777" w:rsidR="00A07A66" w:rsidRPr="00C11ED4" w:rsidRDefault="00A07A66" w:rsidP="00EA4361">
            <w:pPr>
              <w:autoSpaceDE w:val="0"/>
              <w:autoSpaceDN w:val="0"/>
              <w:adjustRightInd w:val="0"/>
              <w:spacing w:after="0" w:line="240" w:lineRule="auto"/>
              <w:jc w:val="center"/>
              <w:rPr>
                <w:rFonts w:asciiTheme="majorHAnsi" w:hAnsiTheme="majorHAnsi"/>
                <w:b/>
                <w:bCs/>
                <w:lang w:val="en-US"/>
              </w:rPr>
            </w:pPr>
            <w:r w:rsidRPr="00C11ED4">
              <w:rPr>
                <w:rFonts w:asciiTheme="majorHAnsi" w:hAnsiTheme="majorHAnsi"/>
                <w:b/>
                <w:bCs/>
              </w:rPr>
              <w:t>POMBILITI</w:t>
            </w:r>
            <w:r w:rsidRPr="00C11ED4">
              <w:rPr>
                <w:rFonts w:asciiTheme="majorHAnsi" w:hAnsiTheme="majorHAnsi"/>
              </w:rPr>
              <w:t xml:space="preserve"> </w:t>
            </w:r>
            <w:r w:rsidRPr="00C11ED4">
              <w:rPr>
                <w:rFonts w:asciiTheme="majorHAnsi" w:hAnsiTheme="majorHAnsi"/>
                <w:b/>
                <w:bCs/>
              </w:rPr>
              <w:t>in combination with OPFOLDA</w:t>
            </w:r>
          </w:p>
        </w:tc>
        <w:tc>
          <w:tcPr>
            <w:tcW w:w="1752" w:type="pct"/>
            <w:tcBorders>
              <w:bottom w:val="single" w:sz="4" w:space="0" w:color="auto"/>
            </w:tcBorders>
            <w:shd w:val="clear" w:color="auto" w:fill="auto"/>
          </w:tcPr>
          <w:p w14:paraId="6AC838C1" w14:textId="77777777" w:rsidR="00A07A66" w:rsidRPr="00C11ED4" w:rsidRDefault="00A07A66" w:rsidP="00EA4361">
            <w:pPr>
              <w:autoSpaceDE w:val="0"/>
              <w:autoSpaceDN w:val="0"/>
              <w:adjustRightInd w:val="0"/>
              <w:spacing w:after="0" w:line="240" w:lineRule="auto"/>
              <w:jc w:val="center"/>
              <w:rPr>
                <w:rFonts w:asciiTheme="majorHAnsi" w:hAnsiTheme="majorHAnsi"/>
                <w:b/>
                <w:bCs/>
              </w:rPr>
            </w:pPr>
            <w:proofErr w:type="spellStart"/>
            <w:r w:rsidRPr="00C11ED4">
              <w:rPr>
                <w:rFonts w:asciiTheme="majorHAnsi" w:hAnsiTheme="majorHAnsi"/>
                <w:b/>
                <w:bCs/>
              </w:rPr>
              <w:t>Alglucosidase</w:t>
            </w:r>
            <w:proofErr w:type="spellEnd"/>
            <w:r w:rsidRPr="00C11ED4">
              <w:rPr>
                <w:rFonts w:asciiTheme="majorHAnsi" w:hAnsiTheme="majorHAnsi"/>
                <w:b/>
                <w:bCs/>
              </w:rPr>
              <w:t xml:space="preserve"> alfa in combination with placebo</w:t>
            </w:r>
          </w:p>
        </w:tc>
      </w:tr>
      <w:tr w:rsidR="00A36996" w:rsidRPr="00C11ED4" w14:paraId="6C7A981A" w14:textId="77777777" w:rsidTr="00B83CA6">
        <w:tc>
          <w:tcPr>
            <w:tcW w:w="1495" w:type="pct"/>
            <w:tcBorders>
              <w:bottom w:val="nil"/>
            </w:tcBorders>
            <w:shd w:val="clear" w:color="auto" w:fill="auto"/>
          </w:tcPr>
          <w:p w14:paraId="1EE85737" w14:textId="77777777" w:rsidR="00A07A66" w:rsidRPr="00C11ED4" w:rsidRDefault="00A07A66" w:rsidP="00EA4361">
            <w:pPr>
              <w:autoSpaceDE w:val="0"/>
              <w:autoSpaceDN w:val="0"/>
              <w:adjustRightInd w:val="0"/>
              <w:spacing w:after="0" w:line="240" w:lineRule="auto"/>
              <w:rPr>
                <w:rFonts w:asciiTheme="majorHAnsi" w:hAnsiTheme="majorHAnsi"/>
              </w:rPr>
            </w:pPr>
            <w:r w:rsidRPr="00C11ED4">
              <w:rPr>
                <w:rFonts w:asciiTheme="majorHAnsi" w:hAnsiTheme="majorHAnsi"/>
              </w:rPr>
              <w:t>Baseline</w:t>
            </w:r>
          </w:p>
        </w:tc>
        <w:tc>
          <w:tcPr>
            <w:tcW w:w="1752" w:type="pct"/>
            <w:tcBorders>
              <w:bottom w:val="nil"/>
            </w:tcBorders>
            <w:shd w:val="clear" w:color="auto" w:fill="auto"/>
            <w:vAlign w:val="bottom"/>
          </w:tcPr>
          <w:p w14:paraId="52669C44" w14:textId="77777777" w:rsidR="00A07A66" w:rsidRPr="00C11ED4" w:rsidRDefault="00A07A66" w:rsidP="00EA4361">
            <w:pPr>
              <w:autoSpaceDE w:val="0"/>
              <w:autoSpaceDN w:val="0"/>
              <w:adjustRightInd w:val="0"/>
              <w:spacing w:after="0" w:line="240" w:lineRule="auto"/>
              <w:rPr>
                <w:rFonts w:asciiTheme="majorHAnsi" w:hAnsiTheme="majorHAnsi"/>
                <w:spacing w:val="-6"/>
              </w:rPr>
            </w:pPr>
          </w:p>
        </w:tc>
        <w:tc>
          <w:tcPr>
            <w:tcW w:w="1752" w:type="pct"/>
            <w:tcBorders>
              <w:bottom w:val="nil"/>
            </w:tcBorders>
            <w:shd w:val="clear" w:color="auto" w:fill="auto"/>
            <w:vAlign w:val="bottom"/>
          </w:tcPr>
          <w:p w14:paraId="4585BAE3" w14:textId="77777777" w:rsidR="00A07A66" w:rsidRPr="00C11ED4" w:rsidRDefault="00A07A66" w:rsidP="00EA4361">
            <w:pPr>
              <w:autoSpaceDE w:val="0"/>
              <w:autoSpaceDN w:val="0"/>
              <w:adjustRightInd w:val="0"/>
              <w:spacing w:after="0" w:line="240" w:lineRule="auto"/>
              <w:rPr>
                <w:rFonts w:asciiTheme="majorHAnsi" w:hAnsiTheme="majorHAnsi"/>
              </w:rPr>
            </w:pPr>
          </w:p>
        </w:tc>
      </w:tr>
      <w:tr w:rsidR="00A36996" w:rsidRPr="00C11ED4" w14:paraId="08B37887" w14:textId="77777777" w:rsidTr="00B83CA6">
        <w:tc>
          <w:tcPr>
            <w:tcW w:w="1495" w:type="pct"/>
            <w:tcBorders>
              <w:top w:val="nil"/>
              <w:bottom w:val="nil"/>
            </w:tcBorders>
            <w:shd w:val="clear" w:color="auto" w:fill="auto"/>
          </w:tcPr>
          <w:p w14:paraId="083E7CAC" w14:textId="77777777" w:rsidR="00A07A66" w:rsidRPr="00C11ED4" w:rsidRDefault="00A07A66" w:rsidP="0034260E">
            <w:pPr>
              <w:autoSpaceDE w:val="0"/>
              <w:autoSpaceDN w:val="0"/>
              <w:adjustRightInd w:val="0"/>
              <w:spacing w:after="0" w:line="240" w:lineRule="auto"/>
              <w:ind w:left="158"/>
              <w:rPr>
                <w:rFonts w:asciiTheme="majorHAnsi" w:hAnsiTheme="majorHAnsi"/>
              </w:rPr>
            </w:pPr>
            <w:r w:rsidRPr="00C11ED4">
              <w:rPr>
                <w:rFonts w:asciiTheme="majorHAnsi" w:hAnsiTheme="majorHAnsi"/>
              </w:rPr>
              <w:t>n</w:t>
            </w:r>
          </w:p>
        </w:tc>
        <w:tc>
          <w:tcPr>
            <w:tcW w:w="1752" w:type="pct"/>
            <w:tcBorders>
              <w:top w:val="nil"/>
              <w:bottom w:val="nil"/>
            </w:tcBorders>
            <w:shd w:val="clear" w:color="auto" w:fill="auto"/>
            <w:vAlign w:val="bottom"/>
          </w:tcPr>
          <w:p w14:paraId="60419013" w14:textId="77777777" w:rsidR="00A07A66" w:rsidRPr="00C11ED4" w:rsidRDefault="00A07A66" w:rsidP="00EA4361">
            <w:pPr>
              <w:autoSpaceDE w:val="0"/>
              <w:autoSpaceDN w:val="0"/>
              <w:adjustRightInd w:val="0"/>
              <w:spacing w:after="0" w:line="240" w:lineRule="auto"/>
              <w:jc w:val="center"/>
              <w:rPr>
                <w:rFonts w:asciiTheme="majorHAnsi" w:hAnsiTheme="majorHAnsi"/>
              </w:rPr>
            </w:pPr>
            <w:r w:rsidRPr="00C11ED4">
              <w:rPr>
                <w:rFonts w:asciiTheme="majorHAnsi" w:hAnsiTheme="majorHAnsi"/>
              </w:rPr>
              <w:t>n = 85</w:t>
            </w:r>
          </w:p>
        </w:tc>
        <w:tc>
          <w:tcPr>
            <w:tcW w:w="1752" w:type="pct"/>
            <w:tcBorders>
              <w:top w:val="nil"/>
              <w:bottom w:val="nil"/>
            </w:tcBorders>
            <w:shd w:val="clear" w:color="auto" w:fill="auto"/>
            <w:vAlign w:val="bottom"/>
          </w:tcPr>
          <w:p w14:paraId="4E410E94" w14:textId="77777777" w:rsidR="00A07A66" w:rsidRPr="00C11ED4" w:rsidRDefault="00A07A66" w:rsidP="00EA4361">
            <w:pPr>
              <w:autoSpaceDE w:val="0"/>
              <w:autoSpaceDN w:val="0"/>
              <w:adjustRightInd w:val="0"/>
              <w:spacing w:after="0" w:line="240" w:lineRule="auto"/>
              <w:jc w:val="center"/>
              <w:rPr>
                <w:rFonts w:asciiTheme="majorHAnsi" w:hAnsiTheme="majorHAnsi"/>
              </w:rPr>
            </w:pPr>
            <w:r w:rsidRPr="00C11ED4">
              <w:rPr>
                <w:rFonts w:asciiTheme="majorHAnsi" w:hAnsiTheme="majorHAnsi"/>
              </w:rPr>
              <w:t>n = 37</w:t>
            </w:r>
          </w:p>
        </w:tc>
      </w:tr>
      <w:tr w:rsidR="00A36996" w:rsidRPr="00C11ED4" w14:paraId="7B8027DD" w14:textId="77777777" w:rsidTr="00B83CA6">
        <w:tc>
          <w:tcPr>
            <w:tcW w:w="1495" w:type="pct"/>
            <w:tcBorders>
              <w:top w:val="nil"/>
              <w:bottom w:val="nil"/>
            </w:tcBorders>
            <w:shd w:val="clear" w:color="auto" w:fill="auto"/>
          </w:tcPr>
          <w:p w14:paraId="171D54C8" w14:textId="77777777" w:rsidR="00A07A66" w:rsidRPr="00C11ED4" w:rsidRDefault="00A07A66" w:rsidP="0034260E">
            <w:pPr>
              <w:autoSpaceDE w:val="0"/>
              <w:autoSpaceDN w:val="0"/>
              <w:adjustRightInd w:val="0"/>
              <w:spacing w:after="0" w:line="240" w:lineRule="auto"/>
              <w:ind w:left="158"/>
              <w:rPr>
                <w:rFonts w:asciiTheme="majorHAnsi" w:hAnsiTheme="majorHAnsi"/>
              </w:rPr>
            </w:pPr>
            <w:r w:rsidRPr="00C11ED4">
              <w:rPr>
                <w:rFonts w:asciiTheme="majorHAnsi" w:hAnsiTheme="majorHAnsi"/>
              </w:rPr>
              <w:t>Mean (SD)</w:t>
            </w:r>
          </w:p>
        </w:tc>
        <w:tc>
          <w:tcPr>
            <w:tcW w:w="1752" w:type="pct"/>
            <w:tcBorders>
              <w:top w:val="nil"/>
              <w:bottom w:val="nil"/>
            </w:tcBorders>
            <w:shd w:val="clear" w:color="auto" w:fill="auto"/>
            <w:vAlign w:val="bottom"/>
          </w:tcPr>
          <w:p w14:paraId="5B4A3959" w14:textId="77777777" w:rsidR="00A07A66" w:rsidRPr="00C11ED4" w:rsidRDefault="00A07A66" w:rsidP="00EA4361">
            <w:pPr>
              <w:autoSpaceDE w:val="0"/>
              <w:autoSpaceDN w:val="0"/>
              <w:adjustRightInd w:val="0"/>
              <w:spacing w:after="0" w:line="240" w:lineRule="auto"/>
              <w:jc w:val="center"/>
              <w:rPr>
                <w:rFonts w:asciiTheme="majorHAnsi" w:hAnsiTheme="majorHAnsi"/>
              </w:rPr>
            </w:pPr>
            <w:r w:rsidRPr="00C11ED4">
              <w:rPr>
                <w:rFonts w:asciiTheme="majorHAnsi" w:hAnsiTheme="majorHAnsi"/>
              </w:rPr>
              <w:t>357.9 (111.8)</w:t>
            </w:r>
          </w:p>
        </w:tc>
        <w:tc>
          <w:tcPr>
            <w:tcW w:w="1752" w:type="pct"/>
            <w:tcBorders>
              <w:top w:val="nil"/>
              <w:bottom w:val="nil"/>
            </w:tcBorders>
            <w:shd w:val="clear" w:color="auto" w:fill="auto"/>
            <w:vAlign w:val="bottom"/>
          </w:tcPr>
          <w:p w14:paraId="4986EA1E" w14:textId="375D4357" w:rsidR="00A07A66" w:rsidRPr="00C11ED4" w:rsidRDefault="57DE5D51" w:rsidP="00EA4361">
            <w:pPr>
              <w:autoSpaceDE w:val="0"/>
              <w:autoSpaceDN w:val="0"/>
              <w:adjustRightInd w:val="0"/>
              <w:spacing w:after="0" w:line="240" w:lineRule="auto"/>
              <w:jc w:val="center"/>
              <w:rPr>
                <w:rFonts w:asciiTheme="majorHAnsi" w:hAnsiTheme="majorHAnsi"/>
              </w:rPr>
            </w:pPr>
            <w:r w:rsidRPr="00C11ED4">
              <w:rPr>
                <w:rFonts w:asciiTheme="majorHAnsi" w:hAnsiTheme="majorHAnsi"/>
              </w:rPr>
              <w:t>351.0 (121.3)</w:t>
            </w:r>
          </w:p>
        </w:tc>
      </w:tr>
      <w:tr w:rsidR="00A36996" w:rsidRPr="00C11ED4" w14:paraId="5BD0A6CD" w14:textId="77777777" w:rsidTr="00B83CA6">
        <w:tc>
          <w:tcPr>
            <w:tcW w:w="1495" w:type="pct"/>
            <w:tcBorders>
              <w:top w:val="nil"/>
              <w:bottom w:val="single" w:sz="4" w:space="0" w:color="auto"/>
            </w:tcBorders>
            <w:shd w:val="clear" w:color="auto" w:fill="auto"/>
          </w:tcPr>
          <w:p w14:paraId="6DEB4534" w14:textId="77777777" w:rsidR="00A07A66" w:rsidRPr="00C11ED4" w:rsidRDefault="00A07A66" w:rsidP="0034260E">
            <w:pPr>
              <w:autoSpaceDE w:val="0"/>
              <w:autoSpaceDN w:val="0"/>
              <w:adjustRightInd w:val="0"/>
              <w:spacing w:after="0" w:line="240" w:lineRule="auto"/>
              <w:ind w:left="158"/>
              <w:rPr>
                <w:rFonts w:asciiTheme="majorHAnsi" w:hAnsiTheme="majorHAnsi"/>
              </w:rPr>
            </w:pPr>
            <w:r w:rsidRPr="00C11ED4">
              <w:rPr>
                <w:rFonts w:asciiTheme="majorHAnsi" w:hAnsiTheme="majorHAnsi"/>
              </w:rPr>
              <w:t>Median</w:t>
            </w:r>
          </w:p>
        </w:tc>
        <w:tc>
          <w:tcPr>
            <w:tcW w:w="1752" w:type="pct"/>
            <w:tcBorders>
              <w:top w:val="nil"/>
              <w:bottom w:val="single" w:sz="4" w:space="0" w:color="auto"/>
            </w:tcBorders>
            <w:shd w:val="clear" w:color="auto" w:fill="auto"/>
            <w:vAlign w:val="bottom"/>
          </w:tcPr>
          <w:p w14:paraId="75CAC2D7" w14:textId="77777777" w:rsidR="00A07A66" w:rsidRPr="00C11ED4" w:rsidRDefault="00A07A66" w:rsidP="00EA4361">
            <w:pPr>
              <w:autoSpaceDE w:val="0"/>
              <w:autoSpaceDN w:val="0"/>
              <w:adjustRightInd w:val="0"/>
              <w:spacing w:after="0" w:line="240" w:lineRule="auto"/>
              <w:jc w:val="center"/>
              <w:rPr>
                <w:rFonts w:asciiTheme="majorHAnsi" w:hAnsiTheme="majorHAnsi"/>
              </w:rPr>
            </w:pPr>
            <w:r w:rsidRPr="00C11ED4">
              <w:rPr>
                <w:rFonts w:asciiTheme="majorHAnsi" w:hAnsiTheme="majorHAnsi"/>
                <w:spacing w:val="-6"/>
              </w:rPr>
              <w:t>359.5</w:t>
            </w:r>
          </w:p>
        </w:tc>
        <w:tc>
          <w:tcPr>
            <w:tcW w:w="1752" w:type="pct"/>
            <w:tcBorders>
              <w:top w:val="nil"/>
              <w:bottom w:val="single" w:sz="4" w:space="0" w:color="auto"/>
            </w:tcBorders>
            <w:shd w:val="clear" w:color="auto" w:fill="auto"/>
            <w:vAlign w:val="bottom"/>
          </w:tcPr>
          <w:p w14:paraId="7EA1A21F" w14:textId="77777777" w:rsidR="00A07A66" w:rsidRPr="00C11ED4" w:rsidRDefault="00A07A66" w:rsidP="00EA4361">
            <w:pPr>
              <w:autoSpaceDE w:val="0"/>
              <w:autoSpaceDN w:val="0"/>
              <w:adjustRightInd w:val="0"/>
              <w:spacing w:after="0" w:line="240" w:lineRule="auto"/>
              <w:jc w:val="center"/>
              <w:rPr>
                <w:rFonts w:asciiTheme="majorHAnsi" w:hAnsiTheme="majorHAnsi"/>
              </w:rPr>
            </w:pPr>
            <w:r w:rsidRPr="00C11ED4">
              <w:rPr>
                <w:rFonts w:asciiTheme="majorHAnsi" w:hAnsiTheme="majorHAnsi"/>
              </w:rPr>
              <w:t>365.5</w:t>
            </w:r>
          </w:p>
        </w:tc>
      </w:tr>
      <w:tr w:rsidR="00A36996" w:rsidRPr="00C11ED4" w14:paraId="7CA8DD91" w14:textId="77777777" w:rsidTr="00B83CA6">
        <w:tc>
          <w:tcPr>
            <w:tcW w:w="1495" w:type="pct"/>
            <w:tcBorders>
              <w:bottom w:val="nil"/>
            </w:tcBorders>
            <w:shd w:val="clear" w:color="auto" w:fill="auto"/>
          </w:tcPr>
          <w:p w14:paraId="2BF86777" w14:textId="683D4FB6" w:rsidR="00A07A66" w:rsidRPr="00C11ED4" w:rsidRDefault="00A07A66" w:rsidP="00EA4361">
            <w:pPr>
              <w:autoSpaceDE w:val="0"/>
              <w:autoSpaceDN w:val="0"/>
              <w:adjustRightInd w:val="0"/>
              <w:spacing w:after="0" w:line="240" w:lineRule="auto"/>
              <w:rPr>
                <w:rFonts w:asciiTheme="majorHAnsi" w:hAnsiTheme="majorHAnsi"/>
              </w:rPr>
            </w:pPr>
            <w:r w:rsidRPr="00C11ED4">
              <w:rPr>
                <w:rFonts w:asciiTheme="majorHAnsi" w:hAnsiTheme="majorHAnsi"/>
              </w:rPr>
              <w:t xml:space="preserve">Change from baseline at </w:t>
            </w:r>
            <w:r w:rsidR="00480376" w:rsidRPr="00C11ED4">
              <w:rPr>
                <w:rFonts w:asciiTheme="majorHAnsi" w:hAnsiTheme="majorHAnsi"/>
              </w:rPr>
              <w:t>W</w:t>
            </w:r>
            <w:r w:rsidRPr="00C11ED4">
              <w:rPr>
                <w:rFonts w:asciiTheme="majorHAnsi" w:hAnsiTheme="majorHAnsi"/>
              </w:rPr>
              <w:t>eek 52</w:t>
            </w:r>
          </w:p>
        </w:tc>
        <w:tc>
          <w:tcPr>
            <w:tcW w:w="1752" w:type="pct"/>
            <w:tcBorders>
              <w:bottom w:val="nil"/>
            </w:tcBorders>
            <w:shd w:val="clear" w:color="auto" w:fill="auto"/>
            <w:vAlign w:val="bottom"/>
          </w:tcPr>
          <w:p w14:paraId="73A60D1B" w14:textId="77777777" w:rsidR="00A07A66" w:rsidRPr="00C11ED4" w:rsidRDefault="00A07A66" w:rsidP="00EA4361">
            <w:pPr>
              <w:autoSpaceDE w:val="0"/>
              <w:autoSpaceDN w:val="0"/>
              <w:adjustRightInd w:val="0"/>
              <w:spacing w:after="0" w:line="240" w:lineRule="auto"/>
              <w:jc w:val="center"/>
              <w:rPr>
                <w:rFonts w:asciiTheme="majorHAnsi" w:hAnsiTheme="majorHAnsi"/>
              </w:rPr>
            </w:pPr>
          </w:p>
        </w:tc>
        <w:tc>
          <w:tcPr>
            <w:tcW w:w="1752" w:type="pct"/>
            <w:tcBorders>
              <w:bottom w:val="nil"/>
            </w:tcBorders>
            <w:shd w:val="clear" w:color="auto" w:fill="auto"/>
            <w:vAlign w:val="bottom"/>
          </w:tcPr>
          <w:p w14:paraId="4451AC96" w14:textId="77777777" w:rsidR="00A07A66" w:rsidRPr="00C11ED4" w:rsidRDefault="00A07A66" w:rsidP="00EA4361">
            <w:pPr>
              <w:autoSpaceDE w:val="0"/>
              <w:autoSpaceDN w:val="0"/>
              <w:adjustRightInd w:val="0"/>
              <w:spacing w:after="0" w:line="240" w:lineRule="auto"/>
              <w:jc w:val="center"/>
              <w:rPr>
                <w:rFonts w:asciiTheme="majorHAnsi" w:hAnsiTheme="majorHAnsi"/>
              </w:rPr>
            </w:pPr>
          </w:p>
        </w:tc>
      </w:tr>
      <w:tr w:rsidR="00A36996" w:rsidRPr="00C11ED4" w14:paraId="619EAEBC" w14:textId="77777777" w:rsidTr="00B83CA6">
        <w:tc>
          <w:tcPr>
            <w:tcW w:w="1495" w:type="pct"/>
            <w:tcBorders>
              <w:top w:val="nil"/>
              <w:bottom w:val="nil"/>
            </w:tcBorders>
            <w:shd w:val="clear" w:color="auto" w:fill="auto"/>
          </w:tcPr>
          <w:p w14:paraId="77107ABE" w14:textId="77777777" w:rsidR="00A07A66" w:rsidRPr="00C11ED4" w:rsidRDefault="00A07A66" w:rsidP="0034260E">
            <w:pPr>
              <w:autoSpaceDE w:val="0"/>
              <w:autoSpaceDN w:val="0"/>
              <w:adjustRightInd w:val="0"/>
              <w:spacing w:after="0" w:line="240" w:lineRule="auto"/>
              <w:ind w:left="158"/>
              <w:rPr>
                <w:rFonts w:asciiTheme="majorHAnsi" w:hAnsiTheme="majorHAnsi"/>
              </w:rPr>
            </w:pPr>
            <w:r w:rsidRPr="00C11ED4">
              <w:rPr>
                <w:rFonts w:asciiTheme="majorHAnsi" w:hAnsiTheme="majorHAnsi"/>
              </w:rPr>
              <w:t>n</w:t>
            </w:r>
          </w:p>
        </w:tc>
        <w:tc>
          <w:tcPr>
            <w:tcW w:w="1752" w:type="pct"/>
            <w:tcBorders>
              <w:top w:val="nil"/>
              <w:bottom w:val="nil"/>
            </w:tcBorders>
            <w:shd w:val="clear" w:color="auto" w:fill="auto"/>
            <w:vAlign w:val="bottom"/>
          </w:tcPr>
          <w:p w14:paraId="4E41B472" w14:textId="77777777" w:rsidR="00A07A66" w:rsidRPr="00C11ED4" w:rsidRDefault="00A07A66" w:rsidP="00EA4361">
            <w:pPr>
              <w:autoSpaceDE w:val="0"/>
              <w:autoSpaceDN w:val="0"/>
              <w:adjustRightInd w:val="0"/>
              <w:spacing w:after="0" w:line="240" w:lineRule="auto"/>
              <w:jc w:val="center"/>
              <w:rPr>
                <w:rFonts w:asciiTheme="majorHAnsi" w:hAnsiTheme="majorHAnsi"/>
              </w:rPr>
            </w:pPr>
            <w:r w:rsidRPr="00C11ED4">
              <w:rPr>
                <w:rFonts w:asciiTheme="majorHAnsi" w:hAnsiTheme="majorHAnsi"/>
              </w:rPr>
              <w:t>n = 85</w:t>
            </w:r>
          </w:p>
        </w:tc>
        <w:tc>
          <w:tcPr>
            <w:tcW w:w="1752" w:type="pct"/>
            <w:tcBorders>
              <w:top w:val="nil"/>
              <w:bottom w:val="nil"/>
            </w:tcBorders>
            <w:shd w:val="clear" w:color="auto" w:fill="auto"/>
            <w:vAlign w:val="bottom"/>
          </w:tcPr>
          <w:p w14:paraId="49B46922" w14:textId="77777777" w:rsidR="00A07A66" w:rsidRPr="00C11ED4" w:rsidRDefault="00A07A66" w:rsidP="00EA4361">
            <w:pPr>
              <w:autoSpaceDE w:val="0"/>
              <w:autoSpaceDN w:val="0"/>
              <w:adjustRightInd w:val="0"/>
              <w:spacing w:after="0" w:line="240" w:lineRule="auto"/>
              <w:jc w:val="center"/>
              <w:rPr>
                <w:rFonts w:asciiTheme="majorHAnsi" w:hAnsiTheme="majorHAnsi"/>
              </w:rPr>
            </w:pPr>
            <w:r w:rsidRPr="00C11ED4">
              <w:rPr>
                <w:rFonts w:asciiTheme="majorHAnsi" w:hAnsiTheme="majorHAnsi"/>
              </w:rPr>
              <w:t>n = 37</w:t>
            </w:r>
          </w:p>
        </w:tc>
      </w:tr>
      <w:tr w:rsidR="00A36996" w:rsidRPr="00C11ED4" w14:paraId="5EBCCEEB" w14:textId="77777777" w:rsidTr="00B83CA6">
        <w:tc>
          <w:tcPr>
            <w:tcW w:w="1495" w:type="pct"/>
            <w:tcBorders>
              <w:top w:val="nil"/>
              <w:bottom w:val="nil"/>
            </w:tcBorders>
            <w:shd w:val="clear" w:color="auto" w:fill="auto"/>
          </w:tcPr>
          <w:p w14:paraId="00B0AFFD" w14:textId="77777777" w:rsidR="00A07A66" w:rsidRPr="00C11ED4" w:rsidRDefault="00A07A66" w:rsidP="0034260E">
            <w:pPr>
              <w:autoSpaceDE w:val="0"/>
              <w:autoSpaceDN w:val="0"/>
              <w:adjustRightInd w:val="0"/>
              <w:spacing w:after="0" w:line="240" w:lineRule="auto"/>
              <w:ind w:left="158"/>
              <w:rPr>
                <w:rFonts w:asciiTheme="majorHAnsi" w:hAnsiTheme="majorHAnsi"/>
                <w:lang w:val="it-IT"/>
              </w:rPr>
            </w:pPr>
            <w:r w:rsidRPr="00C11ED4">
              <w:rPr>
                <w:rFonts w:asciiTheme="majorHAnsi" w:hAnsiTheme="majorHAnsi"/>
                <w:lang w:val="it-IT"/>
              </w:rPr>
              <w:t>Mean (SD)</w:t>
            </w:r>
          </w:p>
        </w:tc>
        <w:tc>
          <w:tcPr>
            <w:tcW w:w="1752" w:type="pct"/>
            <w:tcBorders>
              <w:top w:val="nil"/>
              <w:bottom w:val="nil"/>
            </w:tcBorders>
            <w:shd w:val="clear" w:color="auto" w:fill="auto"/>
            <w:vAlign w:val="bottom"/>
          </w:tcPr>
          <w:p w14:paraId="155C1F15" w14:textId="1327F739" w:rsidR="00A07A66" w:rsidRPr="00C11ED4" w:rsidRDefault="00A07A66" w:rsidP="00EA4361">
            <w:pPr>
              <w:autoSpaceDE w:val="0"/>
              <w:autoSpaceDN w:val="0"/>
              <w:adjustRightInd w:val="0"/>
              <w:spacing w:after="0" w:line="240" w:lineRule="auto"/>
              <w:jc w:val="center"/>
              <w:rPr>
                <w:rFonts w:asciiTheme="majorHAnsi" w:hAnsiTheme="majorHAnsi"/>
              </w:rPr>
            </w:pPr>
            <w:r w:rsidRPr="00C11ED4">
              <w:rPr>
                <w:rFonts w:asciiTheme="majorHAnsi" w:hAnsiTheme="majorHAnsi"/>
              </w:rPr>
              <w:t>20.</w:t>
            </w:r>
            <w:r w:rsidR="00B75D9B" w:rsidRPr="00C11ED4">
              <w:rPr>
                <w:rFonts w:asciiTheme="majorHAnsi" w:hAnsiTheme="majorHAnsi"/>
              </w:rPr>
              <w:t>8</w:t>
            </w:r>
            <w:r w:rsidRPr="00C11ED4">
              <w:rPr>
                <w:rFonts w:asciiTheme="majorHAnsi" w:hAnsiTheme="majorHAnsi"/>
              </w:rPr>
              <w:t xml:space="preserve"> (42.8)</w:t>
            </w:r>
          </w:p>
        </w:tc>
        <w:tc>
          <w:tcPr>
            <w:tcW w:w="1752" w:type="pct"/>
            <w:tcBorders>
              <w:top w:val="nil"/>
              <w:bottom w:val="nil"/>
            </w:tcBorders>
            <w:shd w:val="clear" w:color="auto" w:fill="auto"/>
            <w:vAlign w:val="bottom"/>
          </w:tcPr>
          <w:p w14:paraId="0A211584" w14:textId="77777777" w:rsidR="00A07A66" w:rsidRPr="00C11ED4" w:rsidRDefault="00A07A66" w:rsidP="00EA4361">
            <w:pPr>
              <w:autoSpaceDE w:val="0"/>
              <w:autoSpaceDN w:val="0"/>
              <w:adjustRightInd w:val="0"/>
              <w:spacing w:after="0" w:line="240" w:lineRule="auto"/>
              <w:jc w:val="center"/>
              <w:rPr>
                <w:rFonts w:asciiTheme="majorHAnsi" w:hAnsiTheme="majorHAnsi"/>
              </w:rPr>
            </w:pPr>
            <w:r w:rsidRPr="00C11ED4">
              <w:rPr>
                <w:rFonts w:asciiTheme="majorHAnsi" w:hAnsiTheme="majorHAnsi"/>
              </w:rPr>
              <w:t>7.2 (40.3)</w:t>
            </w:r>
          </w:p>
        </w:tc>
      </w:tr>
      <w:tr w:rsidR="00A36996" w:rsidRPr="00C11ED4" w14:paraId="1F634598" w14:textId="77777777" w:rsidTr="00B83CA6">
        <w:tc>
          <w:tcPr>
            <w:tcW w:w="1495" w:type="pct"/>
            <w:tcBorders>
              <w:top w:val="nil"/>
              <w:bottom w:val="nil"/>
            </w:tcBorders>
            <w:shd w:val="clear" w:color="auto" w:fill="auto"/>
          </w:tcPr>
          <w:p w14:paraId="5205CC80" w14:textId="03B5AD4A" w:rsidR="00A07A66" w:rsidRPr="00C11ED4" w:rsidRDefault="00A07A66" w:rsidP="0034260E">
            <w:pPr>
              <w:autoSpaceDE w:val="0"/>
              <w:autoSpaceDN w:val="0"/>
              <w:adjustRightInd w:val="0"/>
              <w:spacing w:after="0" w:line="240" w:lineRule="auto"/>
              <w:ind w:left="158"/>
              <w:rPr>
                <w:rFonts w:asciiTheme="majorHAnsi" w:hAnsiTheme="majorHAnsi"/>
                <w:lang w:val="it-IT"/>
              </w:rPr>
            </w:pPr>
            <w:r w:rsidRPr="00C11ED4">
              <w:rPr>
                <w:rFonts w:asciiTheme="majorHAnsi" w:hAnsiTheme="majorHAnsi"/>
                <w:lang w:val="it-IT"/>
              </w:rPr>
              <w:t>(95% CI)</w:t>
            </w:r>
          </w:p>
        </w:tc>
        <w:tc>
          <w:tcPr>
            <w:tcW w:w="1752" w:type="pct"/>
            <w:tcBorders>
              <w:top w:val="nil"/>
              <w:bottom w:val="nil"/>
            </w:tcBorders>
            <w:shd w:val="clear" w:color="auto" w:fill="auto"/>
            <w:vAlign w:val="bottom"/>
          </w:tcPr>
          <w:p w14:paraId="1A498171" w14:textId="37FA52BA" w:rsidR="00A07A66" w:rsidRPr="00C11ED4" w:rsidRDefault="00A07A66" w:rsidP="00B8501E">
            <w:pPr>
              <w:autoSpaceDE w:val="0"/>
              <w:autoSpaceDN w:val="0"/>
              <w:adjustRightInd w:val="0"/>
              <w:spacing w:after="0" w:line="240" w:lineRule="auto"/>
              <w:jc w:val="center"/>
              <w:rPr>
                <w:rFonts w:asciiTheme="majorHAnsi" w:hAnsiTheme="majorHAnsi"/>
              </w:rPr>
            </w:pPr>
            <w:r w:rsidRPr="00C11ED4">
              <w:rPr>
                <w:rFonts w:asciiTheme="majorHAnsi" w:hAnsiTheme="majorHAnsi"/>
              </w:rPr>
              <w:t>(11.6, 30.0)</w:t>
            </w:r>
          </w:p>
        </w:tc>
        <w:tc>
          <w:tcPr>
            <w:tcW w:w="1752" w:type="pct"/>
            <w:tcBorders>
              <w:top w:val="nil"/>
              <w:bottom w:val="nil"/>
            </w:tcBorders>
            <w:shd w:val="clear" w:color="auto" w:fill="auto"/>
            <w:vAlign w:val="bottom"/>
          </w:tcPr>
          <w:p w14:paraId="04BB6F00" w14:textId="4E9BC985" w:rsidR="00A07A66" w:rsidRPr="00C11ED4" w:rsidRDefault="00A07A66" w:rsidP="00B8501E">
            <w:pPr>
              <w:autoSpaceDE w:val="0"/>
              <w:autoSpaceDN w:val="0"/>
              <w:adjustRightInd w:val="0"/>
              <w:spacing w:after="0" w:line="240" w:lineRule="auto"/>
              <w:jc w:val="center"/>
              <w:rPr>
                <w:rFonts w:asciiTheme="majorHAnsi" w:hAnsiTheme="majorHAnsi"/>
              </w:rPr>
            </w:pPr>
            <w:r w:rsidRPr="00C11ED4">
              <w:rPr>
                <w:rFonts w:asciiTheme="majorHAnsi" w:hAnsiTheme="majorHAnsi"/>
              </w:rPr>
              <w:t>(</w:t>
            </w:r>
            <w:r w:rsidR="13067C00" w:rsidRPr="00C11ED4">
              <w:rPr>
                <w:rFonts w:asciiTheme="majorHAnsi" w:hAnsiTheme="majorHAnsi"/>
              </w:rPr>
              <w:t>-</w:t>
            </w:r>
            <w:r w:rsidRPr="00C11ED4">
              <w:rPr>
                <w:rFonts w:asciiTheme="majorHAnsi" w:hAnsiTheme="majorHAnsi"/>
              </w:rPr>
              <w:t>6.2, 20.7)</w:t>
            </w:r>
          </w:p>
        </w:tc>
      </w:tr>
      <w:tr w:rsidR="00A155C4" w:rsidRPr="00C11ED4" w14:paraId="5DF042E2" w14:textId="77777777" w:rsidTr="00B83CA6">
        <w:tc>
          <w:tcPr>
            <w:tcW w:w="1495" w:type="pct"/>
            <w:tcBorders>
              <w:top w:val="nil"/>
            </w:tcBorders>
            <w:shd w:val="clear" w:color="auto" w:fill="auto"/>
          </w:tcPr>
          <w:p w14:paraId="4CEB023D" w14:textId="66CFBC01" w:rsidR="00B8501E" w:rsidRPr="00C11ED4" w:rsidRDefault="00B8501E" w:rsidP="00B8501E">
            <w:pPr>
              <w:autoSpaceDE w:val="0"/>
              <w:autoSpaceDN w:val="0"/>
              <w:adjustRightInd w:val="0"/>
              <w:spacing w:after="0" w:line="240" w:lineRule="auto"/>
              <w:ind w:left="158"/>
              <w:rPr>
                <w:rFonts w:asciiTheme="majorHAnsi" w:hAnsiTheme="majorHAnsi"/>
                <w:lang w:val="it-IT"/>
              </w:rPr>
            </w:pPr>
            <w:r w:rsidRPr="00C11ED4">
              <w:rPr>
                <w:rFonts w:asciiTheme="majorHAnsi" w:hAnsiTheme="majorHAnsi"/>
                <w:lang w:val="it-IT"/>
              </w:rPr>
              <w:t>Median</w:t>
            </w:r>
          </w:p>
        </w:tc>
        <w:tc>
          <w:tcPr>
            <w:tcW w:w="1752" w:type="pct"/>
            <w:tcBorders>
              <w:top w:val="nil"/>
            </w:tcBorders>
            <w:shd w:val="clear" w:color="auto" w:fill="auto"/>
            <w:vAlign w:val="bottom"/>
          </w:tcPr>
          <w:p w14:paraId="6EC1BC31" w14:textId="5D937095" w:rsidR="00B8501E" w:rsidRPr="00C11ED4" w:rsidRDefault="00B8501E" w:rsidP="00EA4361">
            <w:pPr>
              <w:autoSpaceDE w:val="0"/>
              <w:autoSpaceDN w:val="0"/>
              <w:adjustRightInd w:val="0"/>
              <w:spacing w:after="0" w:line="240" w:lineRule="auto"/>
              <w:jc w:val="center"/>
              <w:rPr>
                <w:rFonts w:asciiTheme="majorHAnsi" w:hAnsiTheme="majorHAnsi"/>
              </w:rPr>
            </w:pPr>
            <w:r w:rsidRPr="00C11ED4">
              <w:rPr>
                <w:rFonts w:asciiTheme="majorHAnsi" w:hAnsiTheme="majorHAnsi"/>
              </w:rPr>
              <w:t>12.5</w:t>
            </w:r>
          </w:p>
        </w:tc>
        <w:tc>
          <w:tcPr>
            <w:tcW w:w="1752" w:type="pct"/>
            <w:tcBorders>
              <w:top w:val="nil"/>
            </w:tcBorders>
            <w:shd w:val="clear" w:color="auto" w:fill="auto"/>
            <w:vAlign w:val="bottom"/>
          </w:tcPr>
          <w:p w14:paraId="195DA26F" w14:textId="6DA7BA67" w:rsidR="00B8501E" w:rsidRPr="00C11ED4" w:rsidRDefault="00B8501E" w:rsidP="00EA4361">
            <w:pPr>
              <w:autoSpaceDE w:val="0"/>
              <w:autoSpaceDN w:val="0"/>
              <w:adjustRightInd w:val="0"/>
              <w:spacing w:after="0" w:line="240" w:lineRule="auto"/>
              <w:jc w:val="center"/>
              <w:rPr>
                <w:rFonts w:asciiTheme="majorHAnsi" w:hAnsiTheme="majorHAnsi"/>
              </w:rPr>
            </w:pPr>
            <w:r w:rsidRPr="00C11ED4">
              <w:rPr>
                <w:rFonts w:asciiTheme="majorHAnsi" w:hAnsiTheme="majorHAnsi"/>
              </w:rPr>
              <w:t>1.4</w:t>
            </w:r>
          </w:p>
        </w:tc>
      </w:tr>
      <w:tr w:rsidR="00FA6AF7" w:rsidRPr="00C11ED4" w14:paraId="676D7B4D" w14:textId="77777777" w:rsidTr="00B83CA6">
        <w:tc>
          <w:tcPr>
            <w:tcW w:w="1495" w:type="pct"/>
            <w:tcBorders>
              <w:bottom w:val="nil"/>
            </w:tcBorders>
            <w:shd w:val="clear" w:color="auto" w:fill="auto"/>
          </w:tcPr>
          <w:p w14:paraId="3954748A" w14:textId="7F441414" w:rsidR="00A07A66" w:rsidRPr="00C11ED4" w:rsidRDefault="00A07A66" w:rsidP="00EA4361">
            <w:pPr>
              <w:autoSpaceDE w:val="0"/>
              <w:autoSpaceDN w:val="0"/>
              <w:adjustRightInd w:val="0"/>
              <w:spacing w:after="0" w:line="240" w:lineRule="auto"/>
              <w:rPr>
                <w:rFonts w:asciiTheme="majorHAnsi" w:hAnsiTheme="majorHAnsi"/>
              </w:rPr>
            </w:pPr>
            <w:r w:rsidRPr="00C11ED4">
              <w:rPr>
                <w:rFonts w:asciiTheme="majorHAnsi" w:hAnsiTheme="majorHAnsi"/>
              </w:rPr>
              <w:t xml:space="preserve">Change to </w:t>
            </w:r>
            <w:r w:rsidR="00480376" w:rsidRPr="00C11ED4">
              <w:rPr>
                <w:rFonts w:asciiTheme="majorHAnsi" w:hAnsiTheme="majorHAnsi"/>
              </w:rPr>
              <w:t>W</w:t>
            </w:r>
            <w:r w:rsidRPr="00C11ED4">
              <w:rPr>
                <w:rFonts w:asciiTheme="majorHAnsi" w:hAnsiTheme="majorHAnsi"/>
              </w:rPr>
              <w:t>eek 52</w:t>
            </w:r>
          </w:p>
        </w:tc>
        <w:tc>
          <w:tcPr>
            <w:tcW w:w="3505" w:type="pct"/>
            <w:gridSpan w:val="2"/>
            <w:tcBorders>
              <w:bottom w:val="nil"/>
            </w:tcBorders>
            <w:shd w:val="clear" w:color="auto" w:fill="auto"/>
          </w:tcPr>
          <w:p w14:paraId="78079544" w14:textId="77777777" w:rsidR="00A07A66" w:rsidRPr="00C11ED4" w:rsidRDefault="00A07A66" w:rsidP="00EA4361">
            <w:pPr>
              <w:keepNext/>
              <w:keepLines/>
              <w:autoSpaceDE w:val="0"/>
              <w:autoSpaceDN w:val="0"/>
              <w:adjustRightInd w:val="0"/>
              <w:spacing w:after="0" w:line="240" w:lineRule="auto"/>
              <w:rPr>
                <w:rFonts w:asciiTheme="majorHAnsi" w:hAnsiTheme="majorHAnsi"/>
              </w:rPr>
            </w:pPr>
          </w:p>
        </w:tc>
      </w:tr>
      <w:tr w:rsidR="00FA6AF7" w:rsidRPr="00C11ED4" w14:paraId="07F2DB2A" w14:textId="77777777" w:rsidTr="00B83CA6">
        <w:tc>
          <w:tcPr>
            <w:tcW w:w="1495" w:type="pct"/>
            <w:tcBorders>
              <w:top w:val="nil"/>
              <w:bottom w:val="nil"/>
            </w:tcBorders>
            <w:shd w:val="clear" w:color="auto" w:fill="auto"/>
          </w:tcPr>
          <w:p w14:paraId="64411394" w14:textId="062547E4" w:rsidR="00A07A66" w:rsidRPr="00C11ED4" w:rsidRDefault="00A07A66" w:rsidP="0034260E">
            <w:pPr>
              <w:autoSpaceDE w:val="0"/>
              <w:autoSpaceDN w:val="0"/>
              <w:adjustRightInd w:val="0"/>
              <w:spacing w:after="0" w:line="240" w:lineRule="auto"/>
              <w:ind w:left="158"/>
              <w:rPr>
                <w:rFonts w:asciiTheme="majorHAnsi" w:hAnsiTheme="majorHAnsi"/>
              </w:rPr>
            </w:pPr>
            <w:r w:rsidRPr="00C11ED4">
              <w:rPr>
                <w:rFonts w:asciiTheme="majorHAnsi" w:hAnsiTheme="majorHAnsi"/>
              </w:rPr>
              <w:t xml:space="preserve">Diff. of </w:t>
            </w:r>
            <w:r w:rsidR="6FB0EBA6" w:rsidRPr="00C11ED4">
              <w:rPr>
                <w:rFonts w:asciiTheme="majorHAnsi" w:hAnsiTheme="majorHAnsi"/>
              </w:rPr>
              <w:t xml:space="preserve">LS </w:t>
            </w:r>
            <w:r w:rsidRPr="00C11ED4">
              <w:rPr>
                <w:rFonts w:asciiTheme="majorHAnsi" w:hAnsiTheme="majorHAnsi"/>
              </w:rPr>
              <w:t>means (SE)</w:t>
            </w:r>
          </w:p>
        </w:tc>
        <w:tc>
          <w:tcPr>
            <w:tcW w:w="3505" w:type="pct"/>
            <w:gridSpan w:val="2"/>
            <w:tcBorders>
              <w:top w:val="nil"/>
              <w:bottom w:val="nil"/>
            </w:tcBorders>
            <w:shd w:val="clear" w:color="auto" w:fill="auto"/>
          </w:tcPr>
          <w:p w14:paraId="2F9911E6" w14:textId="6AFA6499" w:rsidR="00A07A66" w:rsidRPr="00C11ED4" w:rsidRDefault="00A07A66" w:rsidP="00EA4361">
            <w:pPr>
              <w:keepNext/>
              <w:keepLines/>
              <w:autoSpaceDE w:val="0"/>
              <w:autoSpaceDN w:val="0"/>
              <w:adjustRightInd w:val="0"/>
              <w:spacing w:after="0" w:line="240" w:lineRule="auto"/>
              <w:jc w:val="center"/>
              <w:rPr>
                <w:rFonts w:asciiTheme="majorHAnsi" w:hAnsiTheme="majorHAnsi"/>
              </w:rPr>
            </w:pPr>
            <w:r w:rsidRPr="00C11ED4">
              <w:rPr>
                <w:rFonts w:asciiTheme="majorHAnsi" w:hAnsiTheme="majorHAnsi"/>
              </w:rPr>
              <w:t>13.</w:t>
            </w:r>
            <w:r w:rsidR="480632BC" w:rsidRPr="00C11ED4">
              <w:rPr>
                <w:rFonts w:asciiTheme="majorHAnsi" w:hAnsiTheme="majorHAnsi"/>
              </w:rPr>
              <w:t>7</w:t>
            </w:r>
            <w:r w:rsidRPr="00C11ED4">
              <w:rPr>
                <w:rFonts w:asciiTheme="majorHAnsi" w:hAnsiTheme="majorHAnsi"/>
              </w:rPr>
              <w:t xml:space="preserve"> (</w:t>
            </w:r>
            <w:r w:rsidR="60560D80" w:rsidRPr="00C11ED4">
              <w:rPr>
                <w:rFonts w:asciiTheme="majorHAnsi" w:hAnsiTheme="majorHAnsi"/>
              </w:rPr>
              <w:t>7</w:t>
            </w:r>
            <w:r w:rsidRPr="00C11ED4">
              <w:rPr>
                <w:rFonts w:asciiTheme="majorHAnsi" w:hAnsiTheme="majorHAnsi"/>
              </w:rPr>
              <w:t>.</w:t>
            </w:r>
            <w:r w:rsidR="1BC68447" w:rsidRPr="00C11ED4">
              <w:rPr>
                <w:rFonts w:asciiTheme="majorHAnsi" w:hAnsiTheme="majorHAnsi"/>
              </w:rPr>
              <w:t>6</w:t>
            </w:r>
            <w:r w:rsidRPr="00C11ED4">
              <w:rPr>
                <w:rFonts w:asciiTheme="majorHAnsi" w:hAnsiTheme="majorHAnsi"/>
              </w:rPr>
              <w:t>)</w:t>
            </w:r>
          </w:p>
        </w:tc>
      </w:tr>
      <w:tr w:rsidR="00FA6AF7" w:rsidRPr="00C11ED4" w14:paraId="2DBF994A" w14:textId="77777777" w:rsidTr="00B83CA6">
        <w:tc>
          <w:tcPr>
            <w:tcW w:w="1495" w:type="pct"/>
            <w:tcBorders>
              <w:top w:val="nil"/>
              <w:bottom w:val="nil"/>
            </w:tcBorders>
            <w:shd w:val="clear" w:color="auto" w:fill="auto"/>
          </w:tcPr>
          <w:p w14:paraId="0D422614" w14:textId="77777777" w:rsidR="00A07A66" w:rsidRPr="00C11ED4" w:rsidRDefault="00A07A66" w:rsidP="0034260E">
            <w:pPr>
              <w:autoSpaceDE w:val="0"/>
              <w:autoSpaceDN w:val="0"/>
              <w:adjustRightInd w:val="0"/>
              <w:spacing w:after="0" w:line="240" w:lineRule="auto"/>
              <w:ind w:left="158"/>
              <w:rPr>
                <w:rFonts w:asciiTheme="majorHAnsi" w:hAnsiTheme="majorHAnsi"/>
              </w:rPr>
            </w:pPr>
            <w:r w:rsidRPr="00C11ED4">
              <w:rPr>
                <w:rFonts w:asciiTheme="majorHAnsi" w:hAnsiTheme="majorHAnsi"/>
              </w:rPr>
              <w:t>(95% CI)</w:t>
            </w:r>
          </w:p>
        </w:tc>
        <w:tc>
          <w:tcPr>
            <w:tcW w:w="3505" w:type="pct"/>
            <w:gridSpan w:val="2"/>
            <w:tcBorders>
              <w:top w:val="nil"/>
              <w:bottom w:val="nil"/>
            </w:tcBorders>
            <w:shd w:val="clear" w:color="auto" w:fill="auto"/>
          </w:tcPr>
          <w:p w14:paraId="3DBB8C22" w14:textId="603796E4" w:rsidR="00A07A66" w:rsidRPr="00C11ED4" w:rsidRDefault="00A07A66" w:rsidP="00EA4361">
            <w:pPr>
              <w:keepNext/>
              <w:keepLines/>
              <w:autoSpaceDE w:val="0"/>
              <w:autoSpaceDN w:val="0"/>
              <w:adjustRightInd w:val="0"/>
              <w:spacing w:after="0" w:line="240" w:lineRule="auto"/>
              <w:jc w:val="center"/>
              <w:rPr>
                <w:rFonts w:asciiTheme="majorHAnsi" w:hAnsiTheme="majorHAnsi"/>
              </w:rPr>
            </w:pPr>
            <w:r w:rsidRPr="00C11ED4">
              <w:rPr>
                <w:rFonts w:asciiTheme="majorHAnsi" w:hAnsiTheme="majorHAnsi"/>
              </w:rPr>
              <w:t>(</w:t>
            </w:r>
            <w:r w:rsidR="00DF4624" w:rsidRPr="00C11ED4">
              <w:rPr>
                <w:rFonts w:asciiTheme="majorHAnsi" w:hAnsiTheme="majorHAnsi"/>
              </w:rPr>
              <w:t>-</w:t>
            </w:r>
            <w:r w:rsidR="54EF6246" w:rsidRPr="00C11ED4">
              <w:rPr>
                <w:rFonts w:asciiTheme="majorHAnsi" w:hAnsiTheme="majorHAnsi"/>
              </w:rPr>
              <w:t>1</w:t>
            </w:r>
            <w:r w:rsidRPr="00C11ED4">
              <w:rPr>
                <w:rFonts w:asciiTheme="majorHAnsi" w:hAnsiTheme="majorHAnsi"/>
              </w:rPr>
              <w:t>.2, 2</w:t>
            </w:r>
            <w:r w:rsidR="7A0B6652" w:rsidRPr="00C11ED4">
              <w:rPr>
                <w:rFonts w:asciiTheme="majorHAnsi" w:hAnsiTheme="majorHAnsi"/>
              </w:rPr>
              <w:t>8</w:t>
            </w:r>
            <w:r w:rsidRPr="00C11ED4">
              <w:rPr>
                <w:rFonts w:asciiTheme="majorHAnsi" w:hAnsiTheme="majorHAnsi"/>
              </w:rPr>
              <w:t>.</w:t>
            </w:r>
            <w:r w:rsidR="5AD664BD" w:rsidRPr="00C11ED4">
              <w:rPr>
                <w:rFonts w:asciiTheme="majorHAnsi" w:hAnsiTheme="majorHAnsi"/>
              </w:rPr>
              <w:t>5</w:t>
            </w:r>
            <w:r w:rsidRPr="00C11ED4">
              <w:rPr>
                <w:rFonts w:asciiTheme="majorHAnsi" w:hAnsiTheme="majorHAnsi"/>
              </w:rPr>
              <w:t>)</w:t>
            </w:r>
          </w:p>
        </w:tc>
      </w:tr>
      <w:tr w:rsidR="00FA6AF7" w:rsidRPr="00C11ED4" w14:paraId="098A4A10" w14:textId="77777777" w:rsidTr="00B83CA6">
        <w:tc>
          <w:tcPr>
            <w:tcW w:w="1495" w:type="pct"/>
            <w:tcBorders>
              <w:top w:val="nil"/>
            </w:tcBorders>
            <w:shd w:val="clear" w:color="auto" w:fill="auto"/>
          </w:tcPr>
          <w:p w14:paraId="79A9C76E" w14:textId="39F5B70E" w:rsidR="00A07A66" w:rsidRPr="00C11ED4" w:rsidRDefault="00A07A66" w:rsidP="0034260E">
            <w:pPr>
              <w:autoSpaceDE w:val="0"/>
              <w:autoSpaceDN w:val="0"/>
              <w:adjustRightInd w:val="0"/>
              <w:spacing w:after="0" w:line="240" w:lineRule="auto"/>
              <w:ind w:left="158"/>
              <w:rPr>
                <w:rFonts w:asciiTheme="majorHAnsi" w:hAnsiTheme="majorHAnsi"/>
              </w:rPr>
            </w:pPr>
            <w:r w:rsidRPr="00C11ED4">
              <w:rPr>
                <w:rFonts w:asciiTheme="majorHAnsi" w:hAnsiTheme="majorHAnsi"/>
              </w:rPr>
              <w:t>2</w:t>
            </w:r>
            <w:r w:rsidR="586C18D8" w:rsidRPr="00C11ED4">
              <w:rPr>
                <w:rFonts w:asciiTheme="majorHAnsi" w:hAnsiTheme="majorHAnsi"/>
              </w:rPr>
              <w:t>-</w:t>
            </w:r>
            <w:r w:rsidRPr="00C11ED4">
              <w:rPr>
                <w:rFonts w:asciiTheme="majorHAnsi" w:hAnsiTheme="majorHAnsi"/>
              </w:rPr>
              <w:t>sided p value</w:t>
            </w:r>
            <w:r w:rsidR="00F40EAA" w:rsidRPr="00C11ED4">
              <w:rPr>
                <w:rFonts w:asciiTheme="majorHAnsi" w:hAnsiTheme="majorHAnsi"/>
                <w:vertAlign w:val="superscript"/>
              </w:rPr>
              <w:t>*</w:t>
            </w:r>
          </w:p>
        </w:tc>
        <w:tc>
          <w:tcPr>
            <w:tcW w:w="3505" w:type="pct"/>
            <w:gridSpan w:val="2"/>
            <w:tcBorders>
              <w:top w:val="nil"/>
            </w:tcBorders>
            <w:shd w:val="clear" w:color="auto" w:fill="auto"/>
          </w:tcPr>
          <w:p w14:paraId="0154CE23" w14:textId="77777777" w:rsidR="00A07A66" w:rsidRPr="00C11ED4" w:rsidRDefault="00A07A66" w:rsidP="00EA4361">
            <w:pPr>
              <w:keepNext/>
              <w:keepLines/>
              <w:autoSpaceDE w:val="0"/>
              <w:autoSpaceDN w:val="0"/>
              <w:adjustRightInd w:val="0"/>
              <w:spacing w:after="0" w:line="240" w:lineRule="auto"/>
              <w:jc w:val="center"/>
              <w:rPr>
                <w:rFonts w:asciiTheme="majorHAnsi" w:hAnsiTheme="majorHAnsi"/>
              </w:rPr>
            </w:pPr>
            <w:r w:rsidRPr="00C11ED4">
              <w:rPr>
                <w:rFonts w:asciiTheme="majorHAnsi" w:hAnsiTheme="majorHAnsi"/>
              </w:rPr>
              <w:t>p = 0.071</w:t>
            </w:r>
          </w:p>
        </w:tc>
      </w:tr>
    </w:tbl>
    <w:p w14:paraId="776CC0A7" w14:textId="0CBD3155" w:rsidR="00EA4361" w:rsidRPr="00C11ED4" w:rsidRDefault="00EA4361" w:rsidP="00FC6664">
      <w:pPr>
        <w:pStyle w:val="C-BodyText"/>
        <w:spacing w:before="0" w:after="0" w:line="240" w:lineRule="auto"/>
        <w:rPr>
          <w:rStyle w:val="cf01"/>
          <w:rFonts w:asciiTheme="majorHAnsi" w:eastAsiaTheme="majorEastAsia" w:hAnsiTheme="majorHAnsi"/>
          <w:color w:val="auto"/>
          <w:sz w:val="20"/>
          <w:szCs w:val="20"/>
        </w:rPr>
      </w:pPr>
      <w:r w:rsidRPr="00C11ED4">
        <w:rPr>
          <w:rStyle w:val="cf01"/>
          <w:rFonts w:asciiTheme="majorHAnsi" w:eastAsiaTheme="majorEastAsia" w:hAnsiTheme="majorHAnsi"/>
          <w:color w:val="auto"/>
          <w:sz w:val="20"/>
          <w:szCs w:val="20"/>
        </w:rPr>
        <w:t xml:space="preserve">* </w:t>
      </w:r>
      <w:r w:rsidR="007B5E53" w:rsidRPr="00C11ED4">
        <w:rPr>
          <w:rStyle w:val="cf01"/>
          <w:rFonts w:asciiTheme="majorHAnsi" w:eastAsiaTheme="majorEastAsia" w:hAnsiTheme="majorHAnsi"/>
          <w:color w:val="auto"/>
          <w:sz w:val="20"/>
          <w:szCs w:val="20"/>
        </w:rPr>
        <w:t>Statistical</w:t>
      </w:r>
      <w:r w:rsidRPr="00C11ED4">
        <w:rPr>
          <w:rStyle w:val="cf01"/>
          <w:rFonts w:asciiTheme="majorHAnsi" w:eastAsiaTheme="majorEastAsia" w:hAnsiTheme="majorHAnsi"/>
          <w:color w:val="auto"/>
          <w:sz w:val="20"/>
          <w:szCs w:val="20"/>
        </w:rPr>
        <w:t xml:space="preserve"> superiority was not achieved</w:t>
      </w:r>
      <w:r w:rsidR="009C724F" w:rsidRPr="00C11ED4">
        <w:rPr>
          <w:rStyle w:val="cf01"/>
          <w:rFonts w:asciiTheme="majorHAnsi" w:eastAsiaTheme="majorEastAsia" w:hAnsiTheme="majorHAnsi"/>
          <w:color w:val="auto"/>
          <w:sz w:val="20"/>
          <w:szCs w:val="20"/>
        </w:rPr>
        <w:t>.</w:t>
      </w:r>
    </w:p>
    <w:p w14:paraId="08D7C890" w14:textId="77777777" w:rsidR="00EA4361" w:rsidRPr="00C11ED4" w:rsidRDefault="00EA4361" w:rsidP="0034260E">
      <w:pPr>
        <w:pStyle w:val="C-BodyText"/>
        <w:spacing w:before="0" w:after="0" w:line="240" w:lineRule="auto"/>
        <w:rPr>
          <w:rFonts w:asciiTheme="majorHAnsi" w:hAnsiTheme="majorHAnsi"/>
          <w:sz w:val="20"/>
        </w:rPr>
      </w:pPr>
      <w:r w:rsidRPr="00C11ED4">
        <w:rPr>
          <w:rFonts w:asciiTheme="majorHAnsi" w:hAnsiTheme="majorHAnsi"/>
          <w:sz w:val="20"/>
        </w:rPr>
        <w:t>LS: least square; SD: standard deviation; SE: standard error; CI: confidence interval; Diff.: difference</w:t>
      </w:r>
    </w:p>
    <w:p w14:paraId="04E195AC" w14:textId="5128E58E" w:rsidR="00D251DC" w:rsidRPr="00C11ED4" w:rsidRDefault="00EA4361" w:rsidP="005B30A8">
      <w:pPr>
        <w:pStyle w:val="C-BodyText"/>
        <w:spacing w:before="0" w:after="200" w:line="240" w:lineRule="auto"/>
        <w:rPr>
          <w:rFonts w:asciiTheme="majorHAnsi" w:eastAsiaTheme="majorEastAsia" w:hAnsiTheme="majorHAnsi" w:cs="Segoe UI"/>
          <w:sz w:val="20"/>
        </w:rPr>
      </w:pPr>
      <w:r w:rsidRPr="00C11ED4">
        <w:rPr>
          <w:rFonts w:asciiTheme="majorHAnsi" w:hAnsiTheme="majorHAnsi"/>
          <w:sz w:val="20"/>
        </w:rPr>
        <w:t xml:space="preserve">Diff. in change to </w:t>
      </w:r>
      <w:r w:rsidR="00480376" w:rsidRPr="00C11ED4">
        <w:rPr>
          <w:rFonts w:asciiTheme="majorHAnsi" w:hAnsiTheme="majorHAnsi"/>
          <w:sz w:val="20"/>
        </w:rPr>
        <w:t>W</w:t>
      </w:r>
      <w:r w:rsidRPr="00C11ED4">
        <w:rPr>
          <w:rFonts w:asciiTheme="majorHAnsi" w:hAnsiTheme="majorHAnsi"/>
          <w:sz w:val="20"/>
        </w:rPr>
        <w:t xml:space="preserve">eek 52 data </w:t>
      </w:r>
      <w:r w:rsidRPr="00C11ED4">
        <w:rPr>
          <w:rStyle w:val="cf01"/>
          <w:rFonts w:asciiTheme="majorHAnsi" w:eastAsiaTheme="majorEastAsia" w:hAnsiTheme="majorHAnsi"/>
          <w:color w:val="auto"/>
          <w:sz w:val="20"/>
          <w:szCs w:val="20"/>
        </w:rPr>
        <w:t xml:space="preserve">based on nonparametric </w:t>
      </w:r>
      <w:proofErr w:type="spellStart"/>
      <w:r w:rsidRPr="00C11ED4">
        <w:rPr>
          <w:rStyle w:val="cf01"/>
          <w:rFonts w:asciiTheme="majorHAnsi" w:eastAsiaTheme="majorEastAsia" w:hAnsiTheme="majorHAnsi"/>
          <w:color w:val="auto"/>
          <w:sz w:val="20"/>
          <w:szCs w:val="20"/>
        </w:rPr>
        <w:t>randomisation</w:t>
      </w:r>
      <w:proofErr w:type="spellEnd"/>
      <w:r w:rsidRPr="00C11ED4">
        <w:rPr>
          <w:rStyle w:val="cf01"/>
          <w:rFonts w:asciiTheme="majorHAnsi" w:eastAsiaTheme="majorEastAsia" w:hAnsiTheme="majorHAnsi"/>
          <w:color w:val="auto"/>
          <w:sz w:val="20"/>
          <w:szCs w:val="20"/>
        </w:rPr>
        <w:t>-based ANCOVA analysis of the ITT-LOCF population excluding outlier.</w:t>
      </w:r>
    </w:p>
    <w:p w14:paraId="591612BB" w14:textId="4FA496BF" w:rsidR="00F02FC9" w:rsidRPr="00C11ED4" w:rsidRDefault="00F02FC9" w:rsidP="005B30A8">
      <w:pPr>
        <w:pStyle w:val="C-BodyText"/>
        <w:spacing w:before="0" w:after="200" w:line="276" w:lineRule="auto"/>
        <w:rPr>
          <w:rFonts w:asciiTheme="majorHAnsi" w:hAnsiTheme="majorHAnsi"/>
          <w:sz w:val="22"/>
          <w:szCs w:val="22"/>
          <w:u w:val="single"/>
        </w:rPr>
      </w:pPr>
      <w:r w:rsidRPr="00C11ED4">
        <w:rPr>
          <w:rFonts w:asciiTheme="majorHAnsi" w:hAnsiTheme="majorHAnsi"/>
          <w:sz w:val="22"/>
          <w:szCs w:val="22"/>
          <w:u w:val="single"/>
        </w:rPr>
        <w:t xml:space="preserve">Pulmonary </w:t>
      </w:r>
      <w:r w:rsidR="00D744A1" w:rsidRPr="00C11ED4">
        <w:rPr>
          <w:rFonts w:asciiTheme="majorHAnsi" w:hAnsiTheme="majorHAnsi"/>
          <w:sz w:val="22"/>
          <w:szCs w:val="22"/>
          <w:u w:val="single"/>
        </w:rPr>
        <w:t>f</w:t>
      </w:r>
      <w:r w:rsidRPr="00C11ED4">
        <w:rPr>
          <w:rFonts w:asciiTheme="majorHAnsi" w:hAnsiTheme="majorHAnsi"/>
          <w:sz w:val="22"/>
          <w:szCs w:val="22"/>
          <w:u w:val="single"/>
        </w:rPr>
        <w:t>unction</w:t>
      </w:r>
    </w:p>
    <w:p w14:paraId="3ED97C21" w14:textId="18C33ED6" w:rsidR="00F02FC9" w:rsidRPr="00C11ED4" w:rsidRDefault="00F02FC9" w:rsidP="00FC66B1">
      <w:pPr>
        <w:pStyle w:val="C-BodyText"/>
        <w:spacing w:before="0" w:after="200" w:line="276" w:lineRule="auto"/>
        <w:rPr>
          <w:rFonts w:asciiTheme="majorHAnsi" w:hAnsiTheme="majorHAnsi"/>
          <w:i/>
          <w:iCs/>
          <w:sz w:val="22"/>
          <w:szCs w:val="22"/>
        </w:rPr>
      </w:pPr>
      <w:r w:rsidRPr="00C11ED4">
        <w:rPr>
          <w:rFonts w:asciiTheme="majorHAnsi" w:hAnsiTheme="majorHAnsi"/>
          <w:i/>
          <w:iCs/>
          <w:sz w:val="22"/>
          <w:szCs w:val="22"/>
        </w:rPr>
        <w:t xml:space="preserve">Sitting </w:t>
      </w:r>
      <w:r w:rsidR="008526C0" w:rsidRPr="00C11ED4">
        <w:rPr>
          <w:rFonts w:asciiTheme="majorHAnsi" w:hAnsiTheme="majorHAnsi"/>
          <w:i/>
          <w:iCs/>
          <w:sz w:val="22"/>
          <w:szCs w:val="22"/>
        </w:rPr>
        <w:t>p</w:t>
      </w:r>
      <w:r w:rsidRPr="00C11ED4">
        <w:rPr>
          <w:rFonts w:asciiTheme="majorHAnsi" w:hAnsiTheme="majorHAnsi"/>
          <w:i/>
          <w:iCs/>
          <w:sz w:val="22"/>
          <w:szCs w:val="22"/>
        </w:rPr>
        <w:t>ercent</w:t>
      </w:r>
      <w:r w:rsidR="008526C0" w:rsidRPr="00C11ED4">
        <w:rPr>
          <w:rFonts w:asciiTheme="majorHAnsi" w:hAnsiTheme="majorHAnsi"/>
          <w:i/>
          <w:iCs/>
          <w:sz w:val="22"/>
          <w:szCs w:val="22"/>
        </w:rPr>
        <w:t xml:space="preserve"> </w:t>
      </w:r>
      <w:r w:rsidRPr="00C11ED4">
        <w:rPr>
          <w:rFonts w:asciiTheme="majorHAnsi" w:hAnsiTheme="majorHAnsi"/>
          <w:i/>
          <w:iCs/>
          <w:sz w:val="22"/>
          <w:szCs w:val="22"/>
        </w:rPr>
        <w:t>predicted Forced Vital Capacity (FVC) at 52 weeks</w:t>
      </w:r>
    </w:p>
    <w:p w14:paraId="387BE2EB" w14:textId="7A4E6910" w:rsidR="00F02FC9" w:rsidRPr="00C11ED4" w:rsidRDefault="00F02FC9" w:rsidP="00FC66B1">
      <w:pPr>
        <w:pStyle w:val="C-BodyText"/>
        <w:spacing w:before="0" w:after="200" w:line="276" w:lineRule="auto"/>
        <w:rPr>
          <w:rFonts w:asciiTheme="majorHAnsi" w:hAnsiTheme="majorHAnsi"/>
          <w:sz w:val="22"/>
          <w:szCs w:val="22"/>
        </w:rPr>
      </w:pPr>
      <w:r w:rsidRPr="00C11ED4">
        <w:rPr>
          <w:rFonts w:asciiTheme="majorHAnsi" w:hAnsiTheme="majorHAnsi"/>
          <w:sz w:val="22"/>
          <w:szCs w:val="22"/>
        </w:rPr>
        <w:t>All subjects (ERT-experienced and ERT-naïve) treated with POMBILITI</w:t>
      </w:r>
      <w:r w:rsidR="009A5A94" w:rsidRPr="00C11ED4">
        <w:rPr>
          <w:rFonts w:asciiTheme="majorHAnsi" w:hAnsiTheme="majorHAnsi"/>
          <w:sz w:val="22"/>
          <w:szCs w:val="22"/>
        </w:rPr>
        <w:t xml:space="preserve"> in combination with O</w:t>
      </w:r>
      <w:r w:rsidRPr="00C11ED4">
        <w:rPr>
          <w:rFonts w:asciiTheme="majorHAnsi" w:hAnsiTheme="majorHAnsi"/>
          <w:sz w:val="22"/>
          <w:szCs w:val="22"/>
        </w:rPr>
        <w:t xml:space="preserve">PFOLDA showed a mean change in FVC from baseline of -0.9% as compared with subjects treated with </w:t>
      </w:r>
      <w:proofErr w:type="spellStart"/>
      <w:r w:rsidRPr="00C11ED4">
        <w:rPr>
          <w:rFonts w:asciiTheme="majorHAnsi" w:hAnsiTheme="majorHAnsi"/>
          <w:sz w:val="22"/>
          <w:szCs w:val="22"/>
        </w:rPr>
        <w:t>alglucosidase</w:t>
      </w:r>
      <w:proofErr w:type="spellEnd"/>
      <w:r w:rsidRPr="00C11ED4">
        <w:rPr>
          <w:rFonts w:asciiTheme="majorHAnsi" w:hAnsiTheme="majorHAnsi"/>
          <w:sz w:val="22"/>
          <w:szCs w:val="22"/>
        </w:rPr>
        <w:t xml:space="preserve"> alfa-placebo of -4.0%, indicating a </w:t>
      </w:r>
      <w:r w:rsidR="009A5A94" w:rsidRPr="00C11ED4">
        <w:rPr>
          <w:rFonts w:asciiTheme="majorHAnsi" w:hAnsiTheme="majorHAnsi"/>
          <w:sz w:val="22"/>
          <w:szCs w:val="22"/>
        </w:rPr>
        <w:t>POMBILITI in combination with OPFOLDA</w:t>
      </w:r>
      <w:r w:rsidRPr="00C11ED4">
        <w:rPr>
          <w:rFonts w:asciiTheme="majorHAnsi" w:hAnsiTheme="majorHAnsi"/>
          <w:sz w:val="22"/>
          <w:szCs w:val="22"/>
        </w:rPr>
        <w:t xml:space="preserve"> treatment effect of 3.0% (Table </w:t>
      </w:r>
      <w:r w:rsidR="00D00C9F" w:rsidRPr="00C11ED4">
        <w:rPr>
          <w:rFonts w:asciiTheme="majorHAnsi" w:hAnsiTheme="majorHAnsi"/>
          <w:sz w:val="22"/>
          <w:szCs w:val="22"/>
        </w:rPr>
        <w:t>4</w:t>
      </w:r>
      <w:r w:rsidRPr="00C11ED4">
        <w:rPr>
          <w:rFonts w:asciiTheme="majorHAnsi" w:hAnsiTheme="majorHAnsi"/>
          <w:sz w:val="22"/>
          <w:szCs w:val="22"/>
        </w:rPr>
        <w:t>).</w:t>
      </w:r>
    </w:p>
    <w:p w14:paraId="0949BE26" w14:textId="73AD6AB0" w:rsidR="00F02FC9" w:rsidRPr="00C11ED4" w:rsidRDefault="00F02FC9" w:rsidP="00FC66B1">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The ERT-experienced subjects treated with </w:t>
      </w:r>
      <w:r w:rsidR="00A87195" w:rsidRPr="00C11ED4">
        <w:rPr>
          <w:rFonts w:asciiTheme="majorHAnsi" w:hAnsiTheme="majorHAnsi"/>
          <w:sz w:val="22"/>
          <w:szCs w:val="22"/>
        </w:rPr>
        <w:t xml:space="preserve">POMBILITI in combination with OPFOLDA </w:t>
      </w:r>
      <w:r w:rsidR="00AE1CAC" w:rsidRPr="00C11ED4">
        <w:rPr>
          <w:rFonts w:asciiTheme="majorHAnsi" w:hAnsiTheme="majorHAnsi"/>
          <w:sz w:val="22"/>
          <w:szCs w:val="22"/>
        </w:rPr>
        <w:t>(n</w:t>
      </w:r>
      <w:r w:rsidR="00EE27C9" w:rsidRPr="00C11ED4">
        <w:rPr>
          <w:rFonts w:asciiTheme="majorHAnsi" w:hAnsiTheme="majorHAnsi"/>
          <w:sz w:val="22"/>
          <w:szCs w:val="22"/>
        </w:rPr>
        <w:t xml:space="preserve"> </w:t>
      </w:r>
      <w:r w:rsidR="00AE1CAC" w:rsidRPr="00C11ED4">
        <w:rPr>
          <w:rFonts w:asciiTheme="majorHAnsi" w:hAnsiTheme="majorHAnsi"/>
          <w:sz w:val="22"/>
          <w:szCs w:val="22"/>
        </w:rPr>
        <w:t>=</w:t>
      </w:r>
      <w:r w:rsidR="00EE27C9" w:rsidRPr="00C11ED4">
        <w:rPr>
          <w:rFonts w:asciiTheme="majorHAnsi" w:hAnsiTheme="majorHAnsi"/>
          <w:sz w:val="22"/>
          <w:szCs w:val="22"/>
        </w:rPr>
        <w:t xml:space="preserve"> </w:t>
      </w:r>
      <w:r w:rsidR="00AE1CAC" w:rsidRPr="00C11ED4">
        <w:rPr>
          <w:rFonts w:asciiTheme="majorHAnsi" w:hAnsiTheme="majorHAnsi"/>
          <w:sz w:val="22"/>
          <w:szCs w:val="22"/>
        </w:rPr>
        <w:t xml:space="preserve">65) </w:t>
      </w:r>
      <w:r w:rsidRPr="00C11ED4">
        <w:rPr>
          <w:rFonts w:asciiTheme="majorHAnsi" w:hAnsiTheme="majorHAnsi"/>
          <w:sz w:val="22"/>
          <w:szCs w:val="22"/>
        </w:rPr>
        <w:t xml:space="preserve">showed a mean change in FVC from baseline of +0.1% as compared with subjects treated with </w:t>
      </w:r>
      <w:proofErr w:type="spellStart"/>
      <w:r w:rsidRPr="00C11ED4">
        <w:rPr>
          <w:rFonts w:asciiTheme="majorHAnsi" w:hAnsiTheme="majorHAnsi"/>
          <w:sz w:val="22"/>
          <w:szCs w:val="22"/>
        </w:rPr>
        <w:t>alglucosidase</w:t>
      </w:r>
      <w:proofErr w:type="spellEnd"/>
      <w:r w:rsidRPr="00C11ED4">
        <w:rPr>
          <w:rFonts w:asciiTheme="majorHAnsi" w:hAnsiTheme="majorHAnsi"/>
          <w:sz w:val="22"/>
          <w:szCs w:val="22"/>
        </w:rPr>
        <w:t xml:space="preserve"> alfa-placebo of -4.0% </w:t>
      </w:r>
      <w:r w:rsidR="005C551B" w:rsidRPr="00C11ED4">
        <w:rPr>
          <w:rFonts w:asciiTheme="majorHAnsi" w:hAnsiTheme="majorHAnsi"/>
          <w:sz w:val="22"/>
          <w:szCs w:val="22"/>
        </w:rPr>
        <w:t>(n</w:t>
      </w:r>
      <w:r w:rsidR="00EE27C9" w:rsidRPr="00C11ED4">
        <w:rPr>
          <w:rFonts w:asciiTheme="majorHAnsi" w:hAnsiTheme="majorHAnsi"/>
          <w:sz w:val="22"/>
          <w:szCs w:val="22"/>
        </w:rPr>
        <w:t xml:space="preserve"> </w:t>
      </w:r>
      <w:r w:rsidR="005C551B" w:rsidRPr="00C11ED4">
        <w:rPr>
          <w:rFonts w:asciiTheme="majorHAnsi" w:hAnsiTheme="majorHAnsi"/>
          <w:sz w:val="22"/>
          <w:szCs w:val="22"/>
        </w:rPr>
        <w:t>=</w:t>
      </w:r>
      <w:r w:rsidR="00EE27C9" w:rsidRPr="00C11ED4">
        <w:rPr>
          <w:rFonts w:asciiTheme="majorHAnsi" w:hAnsiTheme="majorHAnsi"/>
          <w:sz w:val="22"/>
          <w:szCs w:val="22"/>
        </w:rPr>
        <w:t xml:space="preserve"> </w:t>
      </w:r>
      <w:r w:rsidR="005C551B" w:rsidRPr="00C11ED4">
        <w:rPr>
          <w:rFonts w:asciiTheme="majorHAnsi" w:hAnsiTheme="majorHAnsi"/>
          <w:sz w:val="22"/>
          <w:szCs w:val="22"/>
        </w:rPr>
        <w:t xml:space="preserve">30) </w:t>
      </w:r>
      <w:r w:rsidRPr="00C11ED4">
        <w:rPr>
          <w:rFonts w:asciiTheme="majorHAnsi" w:hAnsiTheme="majorHAnsi"/>
          <w:sz w:val="22"/>
          <w:szCs w:val="22"/>
        </w:rPr>
        <w:t xml:space="preserve">indicating a </w:t>
      </w:r>
      <w:r w:rsidR="00A87195" w:rsidRPr="00C11ED4">
        <w:rPr>
          <w:rFonts w:asciiTheme="majorHAnsi" w:hAnsiTheme="majorHAnsi"/>
          <w:sz w:val="22"/>
          <w:szCs w:val="22"/>
        </w:rPr>
        <w:t xml:space="preserve">POMBILITI in combination with OPFOLDA </w:t>
      </w:r>
      <w:r w:rsidRPr="00C11ED4">
        <w:rPr>
          <w:rFonts w:asciiTheme="majorHAnsi" w:hAnsiTheme="majorHAnsi"/>
          <w:sz w:val="22"/>
          <w:szCs w:val="22"/>
        </w:rPr>
        <w:t>treatment effect of 4.1%.</w:t>
      </w:r>
    </w:p>
    <w:p w14:paraId="2AC25164" w14:textId="409C384A" w:rsidR="00F02FC9" w:rsidRPr="00C11ED4" w:rsidRDefault="00F02FC9" w:rsidP="00FC66B1">
      <w:pPr>
        <w:pStyle w:val="C-BodyText"/>
        <w:spacing w:before="0" w:after="200" w:line="276" w:lineRule="auto"/>
        <w:rPr>
          <w:rFonts w:asciiTheme="majorHAnsi" w:hAnsiTheme="majorHAnsi"/>
          <w:sz w:val="22"/>
          <w:szCs w:val="22"/>
        </w:rPr>
      </w:pPr>
      <w:r w:rsidRPr="00C11ED4">
        <w:rPr>
          <w:rFonts w:asciiTheme="majorHAnsi" w:hAnsiTheme="majorHAnsi"/>
          <w:sz w:val="22"/>
          <w:szCs w:val="22"/>
        </w:rPr>
        <w:t>The ERT</w:t>
      </w:r>
      <w:r w:rsidRPr="00C11ED4">
        <w:rPr>
          <w:rFonts w:asciiTheme="majorHAnsi" w:hAnsiTheme="majorHAnsi"/>
          <w:sz w:val="22"/>
          <w:szCs w:val="22"/>
        </w:rPr>
        <w:noBreakHyphen/>
        <w:t xml:space="preserve">naïve subjects treated with </w:t>
      </w:r>
      <w:r w:rsidR="000F70B8" w:rsidRPr="00C11ED4">
        <w:rPr>
          <w:rFonts w:asciiTheme="majorHAnsi" w:hAnsiTheme="majorHAnsi"/>
          <w:sz w:val="22"/>
          <w:szCs w:val="22"/>
        </w:rPr>
        <w:t>POMBILITI in combination with OPFOLDA</w:t>
      </w:r>
      <w:r w:rsidRPr="00C11ED4">
        <w:rPr>
          <w:rFonts w:asciiTheme="majorHAnsi" w:hAnsiTheme="majorHAnsi"/>
          <w:sz w:val="22"/>
          <w:szCs w:val="22"/>
        </w:rPr>
        <w:t xml:space="preserve"> </w:t>
      </w:r>
      <w:r w:rsidR="00F436D9" w:rsidRPr="00C11ED4">
        <w:rPr>
          <w:rFonts w:asciiTheme="majorHAnsi" w:hAnsiTheme="majorHAnsi"/>
          <w:sz w:val="22"/>
          <w:szCs w:val="22"/>
        </w:rPr>
        <w:t>(n</w:t>
      </w:r>
      <w:r w:rsidR="00DF7AD5" w:rsidRPr="00C11ED4">
        <w:rPr>
          <w:rFonts w:asciiTheme="majorHAnsi" w:hAnsiTheme="majorHAnsi"/>
          <w:sz w:val="22"/>
          <w:szCs w:val="22"/>
        </w:rPr>
        <w:t xml:space="preserve"> </w:t>
      </w:r>
      <w:r w:rsidR="00F436D9" w:rsidRPr="00C11ED4">
        <w:rPr>
          <w:rFonts w:asciiTheme="majorHAnsi" w:hAnsiTheme="majorHAnsi"/>
          <w:sz w:val="22"/>
          <w:szCs w:val="22"/>
        </w:rPr>
        <w:t>=</w:t>
      </w:r>
      <w:r w:rsidR="00DF7AD5" w:rsidRPr="00C11ED4">
        <w:rPr>
          <w:rFonts w:asciiTheme="majorHAnsi" w:hAnsiTheme="majorHAnsi"/>
          <w:sz w:val="22"/>
          <w:szCs w:val="22"/>
        </w:rPr>
        <w:t xml:space="preserve"> </w:t>
      </w:r>
      <w:r w:rsidR="00F436D9" w:rsidRPr="00C11ED4">
        <w:rPr>
          <w:rFonts w:asciiTheme="majorHAnsi" w:hAnsiTheme="majorHAnsi"/>
          <w:sz w:val="22"/>
          <w:szCs w:val="22"/>
        </w:rPr>
        <w:t xml:space="preserve">20) </w:t>
      </w:r>
      <w:r w:rsidRPr="00C11ED4">
        <w:rPr>
          <w:rFonts w:asciiTheme="majorHAnsi" w:hAnsiTheme="majorHAnsi"/>
          <w:sz w:val="22"/>
          <w:szCs w:val="22"/>
        </w:rPr>
        <w:t xml:space="preserve">showed a mean change in FVC from baseline of -4.1% as compared with subjects treated with </w:t>
      </w:r>
      <w:proofErr w:type="spellStart"/>
      <w:r w:rsidRPr="00C11ED4">
        <w:rPr>
          <w:rFonts w:asciiTheme="majorHAnsi" w:hAnsiTheme="majorHAnsi"/>
          <w:sz w:val="22"/>
          <w:szCs w:val="22"/>
        </w:rPr>
        <w:t>alglucosidase</w:t>
      </w:r>
      <w:proofErr w:type="spellEnd"/>
      <w:r w:rsidRPr="00C11ED4">
        <w:rPr>
          <w:rFonts w:asciiTheme="majorHAnsi" w:hAnsiTheme="majorHAnsi"/>
          <w:sz w:val="22"/>
          <w:szCs w:val="22"/>
        </w:rPr>
        <w:t xml:space="preserve"> alfa</w:t>
      </w:r>
      <w:r w:rsidRPr="00C11ED4">
        <w:rPr>
          <w:rFonts w:asciiTheme="majorHAnsi" w:hAnsiTheme="majorHAnsi"/>
          <w:sz w:val="22"/>
          <w:szCs w:val="22"/>
        </w:rPr>
        <w:noBreakHyphen/>
        <w:t xml:space="preserve">placebo </w:t>
      </w:r>
      <w:r w:rsidR="008A4067" w:rsidRPr="00C11ED4">
        <w:rPr>
          <w:rFonts w:asciiTheme="majorHAnsi" w:hAnsiTheme="majorHAnsi"/>
          <w:sz w:val="22"/>
          <w:szCs w:val="22"/>
        </w:rPr>
        <w:t>(n</w:t>
      </w:r>
      <w:r w:rsidR="00DF7AD5" w:rsidRPr="00C11ED4">
        <w:rPr>
          <w:rFonts w:asciiTheme="majorHAnsi" w:hAnsiTheme="majorHAnsi"/>
          <w:sz w:val="22"/>
          <w:szCs w:val="22"/>
        </w:rPr>
        <w:t xml:space="preserve"> </w:t>
      </w:r>
      <w:r w:rsidR="008A4067" w:rsidRPr="00C11ED4">
        <w:rPr>
          <w:rFonts w:asciiTheme="majorHAnsi" w:hAnsiTheme="majorHAnsi"/>
          <w:sz w:val="22"/>
          <w:szCs w:val="22"/>
        </w:rPr>
        <w:t>=</w:t>
      </w:r>
      <w:r w:rsidR="00DF7AD5" w:rsidRPr="00C11ED4">
        <w:rPr>
          <w:rFonts w:asciiTheme="majorHAnsi" w:hAnsiTheme="majorHAnsi"/>
          <w:sz w:val="22"/>
          <w:szCs w:val="22"/>
        </w:rPr>
        <w:t xml:space="preserve"> </w:t>
      </w:r>
      <w:r w:rsidR="008A4067" w:rsidRPr="00C11ED4">
        <w:rPr>
          <w:rFonts w:asciiTheme="majorHAnsi" w:hAnsiTheme="majorHAnsi"/>
          <w:sz w:val="22"/>
          <w:szCs w:val="22"/>
        </w:rPr>
        <w:t xml:space="preserve">7) </w:t>
      </w:r>
      <w:r w:rsidRPr="00C11ED4">
        <w:rPr>
          <w:rFonts w:asciiTheme="majorHAnsi" w:hAnsiTheme="majorHAnsi"/>
          <w:sz w:val="22"/>
          <w:szCs w:val="22"/>
        </w:rPr>
        <w:t>of -3.6%, indicating similar rates of decline (</w:t>
      </w:r>
      <w:r w:rsidRPr="00C11ED4">
        <w:rPr>
          <w:rFonts w:asciiTheme="majorHAnsi" w:hAnsiTheme="majorHAnsi"/>
          <w:sz w:val="22"/>
          <w:szCs w:val="22"/>
        </w:rPr>
        <w:noBreakHyphen/>
        <w:t>0.5% difference).</w:t>
      </w:r>
    </w:p>
    <w:p w14:paraId="751EE58F" w14:textId="44283996" w:rsidR="00CB2494" w:rsidRPr="00C11ED4" w:rsidRDefault="00CB2494" w:rsidP="00FC66B1">
      <w:pPr>
        <w:pStyle w:val="C-BodyText"/>
        <w:keepNext/>
        <w:spacing w:before="0" w:after="0" w:line="276" w:lineRule="auto"/>
        <w:rPr>
          <w:rFonts w:asciiTheme="majorHAnsi" w:hAnsiTheme="majorHAnsi"/>
          <w:b/>
          <w:bCs/>
          <w:sz w:val="22"/>
          <w:szCs w:val="22"/>
        </w:rPr>
      </w:pPr>
      <w:r w:rsidRPr="00C11ED4">
        <w:rPr>
          <w:rFonts w:asciiTheme="majorHAnsi" w:hAnsiTheme="majorHAnsi"/>
          <w:b/>
          <w:bCs/>
          <w:sz w:val="22"/>
          <w:szCs w:val="22"/>
        </w:rPr>
        <w:lastRenderedPageBreak/>
        <w:t xml:space="preserve">Table </w:t>
      </w:r>
      <w:r w:rsidR="00D00C9F" w:rsidRPr="00C11ED4">
        <w:rPr>
          <w:rFonts w:asciiTheme="majorHAnsi" w:hAnsiTheme="majorHAnsi"/>
          <w:b/>
          <w:bCs/>
          <w:sz w:val="22"/>
          <w:szCs w:val="22"/>
        </w:rPr>
        <w:t>4</w:t>
      </w:r>
      <w:r w:rsidR="00EF12F6" w:rsidRPr="00C11ED4">
        <w:rPr>
          <w:rFonts w:asciiTheme="majorHAnsi" w:hAnsiTheme="majorHAnsi"/>
          <w:b/>
          <w:bCs/>
          <w:sz w:val="22"/>
          <w:szCs w:val="22"/>
        </w:rPr>
        <w:t>:</w:t>
      </w:r>
      <w:r w:rsidRPr="00C11ED4">
        <w:rPr>
          <w:rFonts w:asciiTheme="majorHAnsi" w:hAnsiTheme="majorHAnsi"/>
          <w:b/>
          <w:bCs/>
          <w:sz w:val="22"/>
          <w:szCs w:val="22"/>
        </w:rPr>
        <w:t xml:space="preserve"> Summary of Percent Predicted FVC in All Subjects at 52 Weeks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3159"/>
        <w:gridCol w:w="3161"/>
      </w:tblGrid>
      <w:tr w:rsidR="00112F6D" w:rsidRPr="00C11ED4" w14:paraId="5258B5A0" w14:textId="77777777" w:rsidTr="009A14F4">
        <w:tc>
          <w:tcPr>
            <w:tcW w:w="1495" w:type="pct"/>
            <w:tcBorders>
              <w:bottom w:val="single" w:sz="4" w:space="0" w:color="auto"/>
            </w:tcBorders>
            <w:shd w:val="clear" w:color="auto" w:fill="auto"/>
          </w:tcPr>
          <w:p w14:paraId="38CA27F4" w14:textId="77777777" w:rsidR="00943AF6" w:rsidRPr="00C11ED4" w:rsidRDefault="00943AF6" w:rsidP="00FC66B1">
            <w:pPr>
              <w:keepNext/>
              <w:keepLines/>
              <w:autoSpaceDE w:val="0"/>
              <w:autoSpaceDN w:val="0"/>
              <w:adjustRightInd w:val="0"/>
              <w:spacing w:after="0" w:line="240" w:lineRule="auto"/>
              <w:rPr>
                <w:rFonts w:asciiTheme="majorHAnsi" w:hAnsiTheme="majorHAnsi"/>
                <w:b/>
                <w:bCs/>
                <w:szCs w:val="24"/>
              </w:rPr>
            </w:pPr>
            <w:r w:rsidRPr="00C11ED4">
              <w:rPr>
                <w:rFonts w:asciiTheme="majorHAnsi" w:hAnsiTheme="majorHAnsi"/>
                <w:b/>
                <w:bCs/>
                <w:szCs w:val="24"/>
              </w:rPr>
              <w:t>Sitting Percent Predicted FVC</w:t>
            </w:r>
          </w:p>
        </w:tc>
        <w:tc>
          <w:tcPr>
            <w:tcW w:w="1752" w:type="pct"/>
            <w:tcBorders>
              <w:bottom w:val="single" w:sz="4" w:space="0" w:color="auto"/>
            </w:tcBorders>
            <w:shd w:val="clear" w:color="auto" w:fill="auto"/>
          </w:tcPr>
          <w:p w14:paraId="3E6B9F4C" w14:textId="1333F329" w:rsidR="00943AF6" w:rsidRPr="00C11ED4" w:rsidRDefault="00D06462" w:rsidP="00FC66B1">
            <w:pPr>
              <w:keepNext/>
              <w:keepLines/>
              <w:autoSpaceDE w:val="0"/>
              <w:autoSpaceDN w:val="0"/>
              <w:adjustRightInd w:val="0"/>
              <w:spacing w:after="0" w:line="240" w:lineRule="auto"/>
              <w:jc w:val="center"/>
              <w:rPr>
                <w:rFonts w:asciiTheme="majorHAnsi" w:hAnsiTheme="majorHAnsi"/>
                <w:b/>
                <w:bCs/>
                <w:szCs w:val="24"/>
                <w:lang w:val="pt-BR"/>
              </w:rPr>
            </w:pPr>
            <w:r w:rsidRPr="00C11ED4">
              <w:rPr>
                <w:rFonts w:asciiTheme="majorHAnsi" w:hAnsiTheme="majorHAnsi"/>
                <w:b/>
                <w:bCs/>
                <w:szCs w:val="24"/>
                <w:lang w:val="pt-BR"/>
              </w:rPr>
              <w:t>POMBILITI in combination with OPFOLDA</w:t>
            </w:r>
          </w:p>
        </w:tc>
        <w:tc>
          <w:tcPr>
            <w:tcW w:w="1753" w:type="pct"/>
            <w:tcBorders>
              <w:bottom w:val="single" w:sz="4" w:space="0" w:color="auto"/>
              <w:right w:val="single" w:sz="4" w:space="0" w:color="auto"/>
            </w:tcBorders>
            <w:shd w:val="clear" w:color="auto" w:fill="auto"/>
          </w:tcPr>
          <w:p w14:paraId="41CAF06A" w14:textId="498D10F3" w:rsidR="00943AF6" w:rsidRPr="00C11ED4" w:rsidRDefault="00300193" w:rsidP="00FC66B1">
            <w:pPr>
              <w:keepNext/>
              <w:keepLines/>
              <w:autoSpaceDE w:val="0"/>
              <w:autoSpaceDN w:val="0"/>
              <w:adjustRightInd w:val="0"/>
              <w:spacing w:after="0" w:line="240" w:lineRule="auto"/>
              <w:jc w:val="center"/>
              <w:rPr>
                <w:rFonts w:asciiTheme="majorHAnsi" w:hAnsiTheme="majorHAnsi"/>
                <w:b/>
                <w:bCs/>
                <w:szCs w:val="24"/>
              </w:rPr>
            </w:pPr>
            <w:proofErr w:type="spellStart"/>
            <w:r w:rsidRPr="00C11ED4">
              <w:rPr>
                <w:rFonts w:asciiTheme="majorHAnsi" w:hAnsiTheme="majorHAnsi"/>
                <w:b/>
                <w:bCs/>
                <w:szCs w:val="24"/>
              </w:rPr>
              <w:t>A</w:t>
            </w:r>
            <w:r w:rsidR="00943AF6" w:rsidRPr="00C11ED4">
              <w:rPr>
                <w:rFonts w:asciiTheme="majorHAnsi" w:hAnsiTheme="majorHAnsi"/>
                <w:b/>
                <w:bCs/>
                <w:szCs w:val="24"/>
              </w:rPr>
              <w:t>lglucosidase</w:t>
            </w:r>
            <w:proofErr w:type="spellEnd"/>
            <w:r w:rsidR="00943AF6" w:rsidRPr="00C11ED4">
              <w:rPr>
                <w:rFonts w:asciiTheme="majorHAnsi" w:hAnsiTheme="majorHAnsi"/>
                <w:b/>
                <w:bCs/>
                <w:szCs w:val="24"/>
              </w:rPr>
              <w:t xml:space="preserve"> alfa-placebo</w:t>
            </w:r>
          </w:p>
        </w:tc>
      </w:tr>
      <w:tr w:rsidR="00112F6D" w:rsidRPr="00C11ED4" w14:paraId="6EAD9BA1" w14:textId="77777777" w:rsidTr="009A14F4">
        <w:tc>
          <w:tcPr>
            <w:tcW w:w="1495" w:type="pct"/>
            <w:tcBorders>
              <w:bottom w:val="nil"/>
            </w:tcBorders>
            <w:shd w:val="clear" w:color="auto" w:fill="auto"/>
          </w:tcPr>
          <w:p w14:paraId="564DE57D" w14:textId="5EED4EFD" w:rsidR="00943AF6" w:rsidRPr="00C11ED4" w:rsidRDefault="00943AF6" w:rsidP="00FC66B1">
            <w:pPr>
              <w:keepNext/>
              <w:keepLines/>
              <w:autoSpaceDE w:val="0"/>
              <w:autoSpaceDN w:val="0"/>
              <w:adjustRightInd w:val="0"/>
              <w:spacing w:after="0" w:line="240" w:lineRule="auto"/>
              <w:rPr>
                <w:rFonts w:asciiTheme="majorHAnsi" w:hAnsiTheme="majorHAnsi"/>
                <w:szCs w:val="24"/>
              </w:rPr>
            </w:pPr>
            <w:r w:rsidRPr="00C11ED4">
              <w:rPr>
                <w:rFonts w:asciiTheme="majorHAnsi" w:hAnsiTheme="majorHAnsi"/>
                <w:szCs w:val="24"/>
              </w:rPr>
              <w:t>Baseline</w:t>
            </w:r>
          </w:p>
        </w:tc>
        <w:tc>
          <w:tcPr>
            <w:tcW w:w="1752" w:type="pct"/>
            <w:tcBorders>
              <w:bottom w:val="nil"/>
            </w:tcBorders>
            <w:shd w:val="clear" w:color="auto" w:fill="auto"/>
          </w:tcPr>
          <w:p w14:paraId="4E69FC03" w14:textId="25A08EEF" w:rsidR="00943AF6" w:rsidRPr="00C11ED4" w:rsidRDefault="00943AF6" w:rsidP="00FC66B1">
            <w:pPr>
              <w:keepNext/>
              <w:keepLines/>
              <w:autoSpaceDE w:val="0"/>
              <w:autoSpaceDN w:val="0"/>
              <w:adjustRightInd w:val="0"/>
              <w:spacing w:after="0" w:line="240" w:lineRule="auto"/>
              <w:jc w:val="center"/>
              <w:rPr>
                <w:rFonts w:asciiTheme="majorHAnsi" w:hAnsiTheme="majorHAnsi"/>
                <w:spacing w:val="-6"/>
                <w:szCs w:val="24"/>
              </w:rPr>
            </w:pPr>
          </w:p>
        </w:tc>
        <w:tc>
          <w:tcPr>
            <w:tcW w:w="1753" w:type="pct"/>
            <w:tcBorders>
              <w:bottom w:val="nil"/>
              <w:right w:val="single" w:sz="4" w:space="0" w:color="auto"/>
            </w:tcBorders>
            <w:shd w:val="clear" w:color="auto" w:fill="auto"/>
          </w:tcPr>
          <w:p w14:paraId="6391C313" w14:textId="3EBA89C7" w:rsidR="00943AF6" w:rsidRPr="00C11ED4" w:rsidRDefault="00943AF6" w:rsidP="00FC66B1">
            <w:pPr>
              <w:keepNext/>
              <w:keepLines/>
              <w:autoSpaceDE w:val="0"/>
              <w:autoSpaceDN w:val="0"/>
              <w:adjustRightInd w:val="0"/>
              <w:spacing w:after="0" w:line="240" w:lineRule="auto"/>
              <w:jc w:val="center"/>
              <w:rPr>
                <w:rFonts w:asciiTheme="majorHAnsi" w:hAnsiTheme="majorHAnsi"/>
                <w:szCs w:val="24"/>
              </w:rPr>
            </w:pPr>
          </w:p>
        </w:tc>
      </w:tr>
      <w:tr w:rsidR="00112F6D" w:rsidRPr="00C11ED4" w14:paraId="65851BAE" w14:textId="77777777" w:rsidTr="009A14F4">
        <w:tc>
          <w:tcPr>
            <w:tcW w:w="1495" w:type="pct"/>
            <w:tcBorders>
              <w:top w:val="nil"/>
              <w:bottom w:val="nil"/>
            </w:tcBorders>
            <w:shd w:val="clear" w:color="auto" w:fill="auto"/>
          </w:tcPr>
          <w:p w14:paraId="54462309" w14:textId="1CFB6536" w:rsidR="00D364F7" w:rsidRPr="00C11ED4" w:rsidRDefault="00D364F7" w:rsidP="0034260E">
            <w:pPr>
              <w:keepNext/>
              <w:keepLines/>
              <w:autoSpaceDE w:val="0"/>
              <w:autoSpaceDN w:val="0"/>
              <w:adjustRightInd w:val="0"/>
              <w:spacing w:after="0" w:line="240" w:lineRule="auto"/>
              <w:ind w:left="158"/>
              <w:rPr>
                <w:rFonts w:asciiTheme="majorHAnsi" w:hAnsiTheme="majorHAnsi"/>
                <w:szCs w:val="24"/>
              </w:rPr>
            </w:pPr>
            <w:r w:rsidRPr="00C11ED4">
              <w:rPr>
                <w:rFonts w:asciiTheme="majorHAnsi" w:hAnsiTheme="majorHAnsi"/>
                <w:szCs w:val="24"/>
              </w:rPr>
              <w:t>n</w:t>
            </w:r>
          </w:p>
        </w:tc>
        <w:tc>
          <w:tcPr>
            <w:tcW w:w="1752" w:type="pct"/>
            <w:tcBorders>
              <w:top w:val="nil"/>
              <w:bottom w:val="nil"/>
            </w:tcBorders>
            <w:shd w:val="clear" w:color="auto" w:fill="auto"/>
          </w:tcPr>
          <w:p w14:paraId="21BAF43A" w14:textId="1B88FF38" w:rsidR="00D364F7" w:rsidRPr="00C11ED4" w:rsidRDefault="00D364F7" w:rsidP="00D364F7">
            <w:pPr>
              <w:keepNext/>
              <w:keepLines/>
              <w:autoSpaceDE w:val="0"/>
              <w:autoSpaceDN w:val="0"/>
              <w:adjustRightInd w:val="0"/>
              <w:spacing w:after="0" w:line="240" w:lineRule="auto"/>
              <w:jc w:val="center"/>
              <w:rPr>
                <w:rFonts w:asciiTheme="majorHAnsi" w:hAnsiTheme="majorHAnsi"/>
                <w:szCs w:val="24"/>
              </w:rPr>
            </w:pPr>
            <w:r w:rsidRPr="00C11ED4">
              <w:rPr>
                <w:rFonts w:asciiTheme="majorHAnsi" w:hAnsiTheme="majorHAnsi"/>
                <w:szCs w:val="24"/>
              </w:rPr>
              <w:t>n = 85</w:t>
            </w:r>
          </w:p>
        </w:tc>
        <w:tc>
          <w:tcPr>
            <w:tcW w:w="1753" w:type="pct"/>
            <w:tcBorders>
              <w:top w:val="nil"/>
              <w:bottom w:val="nil"/>
              <w:right w:val="single" w:sz="4" w:space="0" w:color="auto"/>
            </w:tcBorders>
            <w:shd w:val="clear" w:color="auto" w:fill="auto"/>
          </w:tcPr>
          <w:p w14:paraId="1C381463" w14:textId="2F424DFA" w:rsidR="00D364F7" w:rsidRPr="00C11ED4" w:rsidRDefault="00D364F7" w:rsidP="00D364F7">
            <w:pPr>
              <w:keepNext/>
              <w:keepLines/>
              <w:autoSpaceDE w:val="0"/>
              <w:autoSpaceDN w:val="0"/>
              <w:adjustRightInd w:val="0"/>
              <w:spacing w:after="0" w:line="240" w:lineRule="auto"/>
              <w:jc w:val="center"/>
              <w:rPr>
                <w:rFonts w:asciiTheme="majorHAnsi" w:hAnsiTheme="majorHAnsi"/>
                <w:szCs w:val="24"/>
              </w:rPr>
            </w:pPr>
            <w:r w:rsidRPr="00C11ED4">
              <w:rPr>
                <w:rFonts w:asciiTheme="majorHAnsi" w:hAnsiTheme="majorHAnsi"/>
                <w:szCs w:val="24"/>
              </w:rPr>
              <w:t>n = 37</w:t>
            </w:r>
          </w:p>
        </w:tc>
      </w:tr>
      <w:tr w:rsidR="00112F6D" w:rsidRPr="00C11ED4" w14:paraId="56CC5327" w14:textId="77777777" w:rsidTr="009A14F4">
        <w:tc>
          <w:tcPr>
            <w:tcW w:w="1495" w:type="pct"/>
            <w:tcBorders>
              <w:top w:val="nil"/>
              <w:bottom w:val="nil"/>
            </w:tcBorders>
            <w:shd w:val="clear" w:color="auto" w:fill="auto"/>
          </w:tcPr>
          <w:p w14:paraId="3C81BB7C" w14:textId="73667A71" w:rsidR="00D364F7" w:rsidRPr="00C11ED4" w:rsidRDefault="00D364F7" w:rsidP="0034260E">
            <w:pPr>
              <w:keepNext/>
              <w:keepLines/>
              <w:autoSpaceDE w:val="0"/>
              <w:autoSpaceDN w:val="0"/>
              <w:adjustRightInd w:val="0"/>
              <w:spacing w:after="0" w:line="240" w:lineRule="auto"/>
              <w:ind w:left="158"/>
              <w:rPr>
                <w:rFonts w:asciiTheme="majorHAnsi" w:hAnsiTheme="majorHAnsi"/>
                <w:szCs w:val="24"/>
              </w:rPr>
            </w:pPr>
            <w:r w:rsidRPr="00C11ED4">
              <w:rPr>
                <w:rFonts w:asciiTheme="majorHAnsi" w:hAnsiTheme="majorHAnsi"/>
                <w:szCs w:val="24"/>
              </w:rPr>
              <w:t>Mean (SD)</w:t>
            </w:r>
          </w:p>
        </w:tc>
        <w:tc>
          <w:tcPr>
            <w:tcW w:w="1752" w:type="pct"/>
            <w:tcBorders>
              <w:top w:val="nil"/>
              <w:bottom w:val="nil"/>
            </w:tcBorders>
            <w:shd w:val="clear" w:color="auto" w:fill="auto"/>
          </w:tcPr>
          <w:p w14:paraId="58025904" w14:textId="71B3D9FD" w:rsidR="00D364F7" w:rsidRPr="00C11ED4" w:rsidRDefault="00D364F7" w:rsidP="00D364F7">
            <w:pPr>
              <w:keepNext/>
              <w:keepLines/>
              <w:autoSpaceDE w:val="0"/>
              <w:autoSpaceDN w:val="0"/>
              <w:adjustRightInd w:val="0"/>
              <w:spacing w:after="0" w:line="240" w:lineRule="auto"/>
              <w:jc w:val="center"/>
              <w:rPr>
                <w:rFonts w:asciiTheme="majorHAnsi" w:hAnsiTheme="majorHAnsi"/>
                <w:szCs w:val="24"/>
              </w:rPr>
            </w:pPr>
            <w:r w:rsidRPr="00C11ED4">
              <w:rPr>
                <w:rFonts w:asciiTheme="majorHAnsi" w:hAnsiTheme="majorHAnsi"/>
                <w:spacing w:val="-6"/>
                <w:szCs w:val="24"/>
              </w:rPr>
              <w:t>70.7 (19.6)</w:t>
            </w:r>
          </w:p>
        </w:tc>
        <w:tc>
          <w:tcPr>
            <w:tcW w:w="1753" w:type="pct"/>
            <w:tcBorders>
              <w:top w:val="nil"/>
              <w:bottom w:val="nil"/>
              <w:right w:val="single" w:sz="4" w:space="0" w:color="auto"/>
            </w:tcBorders>
            <w:shd w:val="clear" w:color="auto" w:fill="auto"/>
          </w:tcPr>
          <w:p w14:paraId="6D1DC78A" w14:textId="1DB62C37" w:rsidR="00D364F7" w:rsidRPr="00C11ED4" w:rsidRDefault="00D364F7" w:rsidP="00D364F7">
            <w:pPr>
              <w:keepNext/>
              <w:keepLines/>
              <w:autoSpaceDE w:val="0"/>
              <w:autoSpaceDN w:val="0"/>
              <w:adjustRightInd w:val="0"/>
              <w:spacing w:after="0" w:line="240" w:lineRule="auto"/>
              <w:jc w:val="center"/>
              <w:rPr>
                <w:rFonts w:asciiTheme="majorHAnsi" w:hAnsiTheme="majorHAnsi"/>
                <w:szCs w:val="24"/>
              </w:rPr>
            </w:pPr>
            <w:r w:rsidRPr="00C11ED4">
              <w:rPr>
                <w:rFonts w:asciiTheme="majorHAnsi" w:hAnsiTheme="majorHAnsi"/>
                <w:szCs w:val="24"/>
              </w:rPr>
              <w:t>69.7 (21.5)</w:t>
            </w:r>
          </w:p>
        </w:tc>
      </w:tr>
      <w:tr w:rsidR="00112F6D" w:rsidRPr="00C11ED4" w14:paraId="6BC762E3" w14:textId="77777777" w:rsidTr="009A14F4">
        <w:tc>
          <w:tcPr>
            <w:tcW w:w="1495" w:type="pct"/>
            <w:tcBorders>
              <w:top w:val="nil"/>
              <w:bottom w:val="single" w:sz="4" w:space="0" w:color="auto"/>
            </w:tcBorders>
            <w:shd w:val="clear" w:color="auto" w:fill="auto"/>
          </w:tcPr>
          <w:p w14:paraId="10B7CA95" w14:textId="3D74393C" w:rsidR="00D364F7" w:rsidRPr="00C11ED4" w:rsidRDefault="00D364F7" w:rsidP="0034260E">
            <w:pPr>
              <w:keepNext/>
              <w:keepLines/>
              <w:autoSpaceDE w:val="0"/>
              <w:autoSpaceDN w:val="0"/>
              <w:adjustRightInd w:val="0"/>
              <w:spacing w:after="0" w:line="240" w:lineRule="auto"/>
              <w:ind w:left="158"/>
              <w:rPr>
                <w:rFonts w:asciiTheme="majorHAnsi" w:hAnsiTheme="majorHAnsi"/>
                <w:szCs w:val="24"/>
              </w:rPr>
            </w:pPr>
            <w:r w:rsidRPr="00C11ED4">
              <w:rPr>
                <w:rFonts w:asciiTheme="majorHAnsi" w:hAnsiTheme="majorHAnsi"/>
                <w:szCs w:val="24"/>
              </w:rPr>
              <w:t>Median</w:t>
            </w:r>
          </w:p>
        </w:tc>
        <w:tc>
          <w:tcPr>
            <w:tcW w:w="1752" w:type="pct"/>
            <w:tcBorders>
              <w:top w:val="nil"/>
              <w:bottom w:val="single" w:sz="4" w:space="0" w:color="auto"/>
            </w:tcBorders>
            <w:shd w:val="clear" w:color="auto" w:fill="auto"/>
          </w:tcPr>
          <w:p w14:paraId="75E3724B" w14:textId="1BBEA62A" w:rsidR="00D364F7" w:rsidRPr="00C11ED4" w:rsidRDefault="00D364F7" w:rsidP="00D364F7">
            <w:pPr>
              <w:keepNext/>
              <w:keepLines/>
              <w:autoSpaceDE w:val="0"/>
              <w:autoSpaceDN w:val="0"/>
              <w:adjustRightInd w:val="0"/>
              <w:spacing w:after="0" w:line="240" w:lineRule="auto"/>
              <w:jc w:val="center"/>
              <w:rPr>
                <w:rFonts w:asciiTheme="majorHAnsi" w:hAnsiTheme="majorHAnsi"/>
                <w:szCs w:val="24"/>
              </w:rPr>
            </w:pPr>
            <w:r w:rsidRPr="00C11ED4">
              <w:rPr>
                <w:rFonts w:asciiTheme="majorHAnsi" w:hAnsiTheme="majorHAnsi"/>
                <w:spacing w:val="-6"/>
                <w:szCs w:val="24"/>
              </w:rPr>
              <w:t>70.0</w:t>
            </w:r>
          </w:p>
        </w:tc>
        <w:tc>
          <w:tcPr>
            <w:tcW w:w="1753" w:type="pct"/>
            <w:tcBorders>
              <w:top w:val="nil"/>
              <w:bottom w:val="single" w:sz="4" w:space="0" w:color="auto"/>
              <w:right w:val="single" w:sz="4" w:space="0" w:color="auto"/>
            </w:tcBorders>
            <w:shd w:val="clear" w:color="auto" w:fill="auto"/>
          </w:tcPr>
          <w:p w14:paraId="31A4A1FB" w14:textId="70CAFCE4" w:rsidR="00D364F7" w:rsidRPr="00C11ED4" w:rsidRDefault="00D364F7" w:rsidP="00D364F7">
            <w:pPr>
              <w:keepNext/>
              <w:keepLines/>
              <w:autoSpaceDE w:val="0"/>
              <w:autoSpaceDN w:val="0"/>
              <w:adjustRightInd w:val="0"/>
              <w:spacing w:after="0" w:line="240" w:lineRule="auto"/>
              <w:jc w:val="center"/>
              <w:rPr>
                <w:rFonts w:asciiTheme="majorHAnsi" w:hAnsiTheme="majorHAnsi"/>
                <w:szCs w:val="24"/>
              </w:rPr>
            </w:pPr>
            <w:r w:rsidRPr="00C11ED4">
              <w:rPr>
                <w:rFonts w:asciiTheme="majorHAnsi" w:hAnsiTheme="majorHAnsi"/>
                <w:szCs w:val="24"/>
              </w:rPr>
              <w:t>71.0</w:t>
            </w:r>
          </w:p>
        </w:tc>
      </w:tr>
      <w:tr w:rsidR="00112F6D" w:rsidRPr="00C11ED4" w14:paraId="332D78D5" w14:textId="77777777" w:rsidTr="009A14F4">
        <w:tc>
          <w:tcPr>
            <w:tcW w:w="1495" w:type="pct"/>
            <w:tcBorders>
              <w:bottom w:val="nil"/>
            </w:tcBorders>
            <w:shd w:val="clear" w:color="auto" w:fill="auto"/>
          </w:tcPr>
          <w:p w14:paraId="4304A9E5" w14:textId="3F01F311" w:rsidR="00943AF6" w:rsidRPr="00C11ED4" w:rsidRDefault="00943AF6" w:rsidP="00FC66B1">
            <w:pPr>
              <w:keepNext/>
              <w:keepLines/>
              <w:autoSpaceDE w:val="0"/>
              <w:autoSpaceDN w:val="0"/>
              <w:adjustRightInd w:val="0"/>
              <w:spacing w:after="0" w:line="240" w:lineRule="auto"/>
              <w:rPr>
                <w:rFonts w:asciiTheme="majorHAnsi" w:hAnsiTheme="majorHAnsi"/>
                <w:szCs w:val="24"/>
              </w:rPr>
            </w:pPr>
            <w:r w:rsidRPr="00C11ED4">
              <w:rPr>
                <w:rFonts w:asciiTheme="majorHAnsi" w:hAnsiTheme="majorHAnsi"/>
                <w:szCs w:val="24"/>
              </w:rPr>
              <w:t>Change from baseline at Week 52</w:t>
            </w:r>
          </w:p>
        </w:tc>
        <w:tc>
          <w:tcPr>
            <w:tcW w:w="1752" w:type="pct"/>
            <w:tcBorders>
              <w:bottom w:val="nil"/>
            </w:tcBorders>
            <w:shd w:val="clear" w:color="auto" w:fill="auto"/>
          </w:tcPr>
          <w:p w14:paraId="24F686BE" w14:textId="77777777" w:rsidR="00943AF6" w:rsidRPr="00C11ED4" w:rsidRDefault="00943AF6" w:rsidP="00FC66B1">
            <w:pPr>
              <w:keepNext/>
              <w:keepLines/>
              <w:autoSpaceDE w:val="0"/>
              <w:autoSpaceDN w:val="0"/>
              <w:adjustRightInd w:val="0"/>
              <w:spacing w:after="0" w:line="240" w:lineRule="auto"/>
              <w:jc w:val="center"/>
              <w:rPr>
                <w:rFonts w:asciiTheme="majorHAnsi" w:hAnsiTheme="majorHAnsi"/>
                <w:szCs w:val="24"/>
              </w:rPr>
            </w:pPr>
          </w:p>
          <w:p w14:paraId="034CC404" w14:textId="0A1827A0" w:rsidR="00943AF6" w:rsidRPr="00C11ED4" w:rsidRDefault="00943AF6" w:rsidP="00FC66B1">
            <w:pPr>
              <w:keepNext/>
              <w:keepLines/>
              <w:autoSpaceDE w:val="0"/>
              <w:autoSpaceDN w:val="0"/>
              <w:adjustRightInd w:val="0"/>
              <w:spacing w:after="0" w:line="240" w:lineRule="auto"/>
              <w:rPr>
                <w:rFonts w:asciiTheme="majorHAnsi" w:hAnsiTheme="majorHAnsi"/>
                <w:szCs w:val="24"/>
              </w:rPr>
            </w:pPr>
          </w:p>
        </w:tc>
        <w:tc>
          <w:tcPr>
            <w:tcW w:w="1753" w:type="pct"/>
            <w:tcBorders>
              <w:bottom w:val="nil"/>
              <w:right w:val="single" w:sz="4" w:space="0" w:color="auto"/>
            </w:tcBorders>
            <w:shd w:val="clear" w:color="auto" w:fill="auto"/>
            <w:tcMar>
              <w:left w:w="58" w:type="dxa"/>
              <w:right w:w="58" w:type="dxa"/>
            </w:tcMar>
          </w:tcPr>
          <w:p w14:paraId="435AD5EE" w14:textId="09D2F7D5" w:rsidR="00943AF6" w:rsidRPr="00C11ED4" w:rsidRDefault="00943AF6" w:rsidP="00FC66B1">
            <w:pPr>
              <w:keepNext/>
              <w:keepLines/>
              <w:autoSpaceDE w:val="0"/>
              <w:autoSpaceDN w:val="0"/>
              <w:adjustRightInd w:val="0"/>
              <w:spacing w:after="0" w:line="240" w:lineRule="auto"/>
              <w:jc w:val="center"/>
              <w:rPr>
                <w:rFonts w:asciiTheme="majorHAnsi" w:hAnsiTheme="majorHAnsi"/>
                <w:szCs w:val="24"/>
              </w:rPr>
            </w:pPr>
          </w:p>
        </w:tc>
      </w:tr>
      <w:tr w:rsidR="00112F6D" w:rsidRPr="00C11ED4" w14:paraId="18B58D70" w14:textId="77777777" w:rsidTr="009A14F4">
        <w:tc>
          <w:tcPr>
            <w:tcW w:w="1495" w:type="pct"/>
            <w:tcBorders>
              <w:top w:val="nil"/>
              <w:bottom w:val="nil"/>
            </w:tcBorders>
            <w:shd w:val="clear" w:color="auto" w:fill="auto"/>
          </w:tcPr>
          <w:p w14:paraId="3FADF70B" w14:textId="2B5165DA" w:rsidR="00143361" w:rsidRPr="00C11ED4" w:rsidRDefault="00143361" w:rsidP="0034260E">
            <w:pPr>
              <w:keepNext/>
              <w:keepLines/>
              <w:autoSpaceDE w:val="0"/>
              <w:autoSpaceDN w:val="0"/>
              <w:adjustRightInd w:val="0"/>
              <w:spacing w:after="0" w:line="240" w:lineRule="auto"/>
              <w:ind w:left="158"/>
              <w:rPr>
                <w:rFonts w:asciiTheme="majorHAnsi" w:hAnsiTheme="majorHAnsi"/>
                <w:szCs w:val="24"/>
              </w:rPr>
            </w:pPr>
            <w:r w:rsidRPr="00C11ED4">
              <w:rPr>
                <w:rFonts w:asciiTheme="majorHAnsi" w:hAnsiTheme="majorHAnsi"/>
                <w:szCs w:val="24"/>
              </w:rPr>
              <w:t>n</w:t>
            </w:r>
          </w:p>
        </w:tc>
        <w:tc>
          <w:tcPr>
            <w:tcW w:w="1752" w:type="pct"/>
            <w:tcBorders>
              <w:top w:val="nil"/>
              <w:bottom w:val="nil"/>
            </w:tcBorders>
            <w:shd w:val="clear" w:color="auto" w:fill="auto"/>
          </w:tcPr>
          <w:p w14:paraId="0FEB3572" w14:textId="120107E1" w:rsidR="00143361" w:rsidRPr="00C11ED4" w:rsidRDefault="00143361" w:rsidP="00143361">
            <w:pPr>
              <w:keepNext/>
              <w:keepLines/>
              <w:autoSpaceDE w:val="0"/>
              <w:autoSpaceDN w:val="0"/>
              <w:adjustRightInd w:val="0"/>
              <w:spacing w:after="0" w:line="240" w:lineRule="auto"/>
              <w:jc w:val="center"/>
              <w:rPr>
                <w:rFonts w:asciiTheme="majorHAnsi" w:hAnsiTheme="majorHAnsi"/>
                <w:szCs w:val="24"/>
              </w:rPr>
            </w:pPr>
            <w:r w:rsidRPr="00C11ED4">
              <w:rPr>
                <w:rFonts w:asciiTheme="majorHAnsi" w:hAnsiTheme="majorHAnsi"/>
                <w:szCs w:val="24"/>
              </w:rPr>
              <w:t>n = 84</w:t>
            </w:r>
          </w:p>
        </w:tc>
        <w:tc>
          <w:tcPr>
            <w:tcW w:w="1753" w:type="pct"/>
            <w:tcBorders>
              <w:top w:val="nil"/>
              <w:bottom w:val="nil"/>
              <w:right w:val="single" w:sz="4" w:space="0" w:color="auto"/>
            </w:tcBorders>
            <w:shd w:val="clear" w:color="auto" w:fill="auto"/>
            <w:tcMar>
              <w:left w:w="58" w:type="dxa"/>
              <w:right w:w="58" w:type="dxa"/>
            </w:tcMar>
          </w:tcPr>
          <w:p w14:paraId="4D6DFEBA" w14:textId="27B7B623" w:rsidR="00143361" w:rsidRPr="00C11ED4" w:rsidRDefault="00143361" w:rsidP="00143361">
            <w:pPr>
              <w:keepNext/>
              <w:keepLines/>
              <w:autoSpaceDE w:val="0"/>
              <w:autoSpaceDN w:val="0"/>
              <w:adjustRightInd w:val="0"/>
              <w:spacing w:after="0" w:line="240" w:lineRule="auto"/>
              <w:jc w:val="center"/>
              <w:rPr>
                <w:rFonts w:asciiTheme="majorHAnsi" w:hAnsiTheme="majorHAnsi"/>
                <w:szCs w:val="24"/>
              </w:rPr>
            </w:pPr>
            <w:r w:rsidRPr="00C11ED4">
              <w:rPr>
                <w:rFonts w:asciiTheme="majorHAnsi" w:hAnsiTheme="majorHAnsi"/>
                <w:szCs w:val="24"/>
              </w:rPr>
              <w:t>n = 37</w:t>
            </w:r>
          </w:p>
        </w:tc>
      </w:tr>
      <w:tr w:rsidR="00112F6D" w:rsidRPr="00C11ED4" w14:paraId="4F1DA0E3" w14:textId="77777777" w:rsidTr="009A14F4">
        <w:tc>
          <w:tcPr>
            <w:tcW w:w="1495" w:type="pct"/>
            <w:tcBorders>
              <w:top w:val="nil"/>
              <w:bottom w:val="nil"/>
            </w:tcBorders>
            <w:shd w:val="clear" w:color="auto" w:fill="auto"/>
          </w:tcPr>
          <w:p w14:paraId="16DF69B8" w14:textId="6CBD2BEB" w:rsidR="00143361" w:rsidRPr="00C11ED4" w:rsidRDefault="00143361" w:rsidP="0034260E">
            <w:pPr>
              <w:keepNext/>
              <w:keepLines/>
              <w:autoSpaceDE w:val="0"/>
              <w:autoSpaceDN w:val="0"/>
              <w:adjustRightInd w:val="0"/>
              <w:spacing w:after="0" w:line="240" w:lineRule="auto"/>
              <w:ind w:left="158"/>
              <w:rPr>
                <w:rFonts w:asciiTheme="majorHAnsi" w:hAnsiTheme="majorHAnsi"/>
                <w:szCs w:val="24"/>
              </w:rPr>
            </w:pPr>
            <w:r w:rsidRPr="00C11ED4">
              <w:rPr>
                <w:rFonts w:asciiTheme="majorHAnsi" w:hAnsiTheme="majorHAnsi"/>
                <w:szCs w:val="24"/>
              </w:rPr>
              <w:t xml:space="preserve">Mean (SD) </w:t>
            </w:r>
          </w:p>
        </w:tc>
        <w:tc>
          <w:tcPr>
            <w:tcW w:w="1752" w:type="pct"/>
            <w:tcBorders>
              <w:top w:val="nil"/>
              <w:bottom w:val="nil"/>
            </w:tcBorders>
            <w:shd w:val="clear" w:color="auto" w:fill="auto"/>
          </w:tcPr>
          <w:p w14:paraId="13E77703" w14:textId="56360D00" w:rsidR="00143361" w:rsidRPr="00C11ED4" w:rsidRDefault="00143361" w:rsidP="00143361">
            <w:pPr>
              <w:keepNext/>
              <w:keepLines/>
              <w:autoSpaceDE w:val="0"/>
              <w:autoSpaceDN w:val="0"/>
              <w:adjustRightInd w:val="0"/>
              <w:spacing w:after="0" w:line="240" w:lineRule="auto"/>
              <w:jc w:val="center"/>
              <w:rPr>
                <w:rFonts w:asciiTheme="majorHAnsi" w:hAnsiTheme="majorHAnsi"/>
                <w:szCs w:val="24"/>
              </w:rPr>
            </w:pPr>
            <w:r w:rsidRPr="00C11ED4">
              <w:rPr>
                <w:rFonts w:asciiTheme="majorHAnsi" w:hAnsiTheme="majorHAnsi"/>
                <w:szCs w:val="24"/>
              </w:rPr>
              <w:t>-0.9 (6.2)</w:t>
            </w:r>
          </w:p>
        </w:tc>
        <w:tc>
          <w:tcPr>
            <w:tcW w:w="1753" w:type="pct"/>
            <w:tcBorders>
              <w:top w:val="nil"/>
              <w:bottom w:val="nil"/>
              <w:right w:val="single" w:sz="4" w:space="0" w:color="auto"/>
            </w:tcBorders>
            <w:shd w:val="clear" w:color="auto" w:fill="auto"/>
            <w:tcMar>
              <w:left w:w="58" w:type="dxa"/>
              <w:right w:w="58" w:type="dxa"/>
            </w:tcMar>
          </w:tcPr>
          <w:p w14:paraId="31CD664A" w14:textId="729DAD36" w:rsidR="00143361" w:rsidRPr="00C11ED4" w:rsidRDefault="00143361" w:rsidP="00143361">
            <w:pPr>
              <w:keepNext/>
              <w:keepLines/>
              <w:autoSpaceDE w:val="0"/>
              <w:autoSpaceDN w:val="0"/>
              <w:adjustRightInd w:val="0"/>
              <w:spacing w:after="0" w:line="240" w:lineRule="auto"/>
              <w:jc w:val="center"/>
              <w:rPr>
                <w:rFonts w:asciiTheme="majorHAnsi" w:hAnsiTheme="majorHAnsi"/>
                <w:szCs w:val="24"/>
              </w:rPr>
            </w:pPr>
            <w:r w:rsidRPr="00C11ED4">
              <w:rPr>
                <w:rFonts w:asciiTheme="majorHAnsi" w:hAnsiTheme="majorHAnsi"/>
                <w:szCs w:val="24"/>
              </w:rPr>
              <w:t>-</w:t>
            </w:r>
            <w:r w:rsidR="1B07DADA" w:rsidRPr="00C11ED4">
              <w:rPr>
                <w:rFonts w:asciiTheme="majorHAnsi" w:hAnsiTheme="majorHAnsi"/>
              </w:rPr>
              <w:t>4.0</w:t>
            </w:r>
            <w:r w:rsidRPr="00C11ED4">
              <w:rPr>
                <w:rFonts w:asciiTheme="majorHAnsi" w:hAnsiTheme="majorHAnsi"/>
                <w:szCs w:val="24"/>
              </w:rPr>
              <w:t xml:space="preserve"> (4.9)</w:t>
            </w:r>
          </w:p>
        </w:tc>
      </w:tr>
      <w:tr w:rsidR="00112F6D" w:rsidRPr="00C11ED4" w14:paraId="7F8D64C3" w14:textId="77777777" w:rsidTr="009A14F4">
        <w:tc>
          <w:tcPr>
            <w:tcW w:w="1495" w:type="pct"/>
            <w:tcBorders>
              <w:top w:val="nil"/>
              <w:bottom w:val="nil"/>
            </w:tcBorders>
            <w:shd w:val="clear" w:color="auto" w:fill="auto"/>
          </w:tcPr>
          <w:p w14:paraId="3447196A" w14:textId="304ABA67" w:rsidR="00143361" w:rsidRPr="00C11ED4" w:rsidRDefault="00143361" w:rsidP="0034260E">
            <w:pPr>
              <w:keepNext/>
              <w:keepLines/>
              <w:autoSpaceDE w:val="0"/>
              <w:autoSpaceDN w:val="0"/>
              <w:adjustRightInd w:val="0"/>
              <w:spacing w:after="0" w:line="240" w:lineRule="auto"/>
              <w:ind w:left="158"/>
              <w:rPr>
                <w:rFonts w:asciiTheme="majorHAnsi" w:hAnsiTheme="majorHAnsi"/>
                <w:szCs w:val="24"/>
              </w:rPr>
            </w:pPr>
            <w:r w:rsidRPr="00C11ED4">
              <w:rPr>
                <w:rFonts w:asciiTheme="majorHAnsi" w:hAnsiTheme="majorHAnsi"/>
                <w:szCs w:val="24"/>
              </w:rPr>
              <w:t>(95% CI)</w:t>
            </w:r>
          </w:p>
        </w:tc>
        <w:tc>
          <w:tcPr>
            <w:tcW w:w="1752" w:type="pct"/>
            <w:tcBorders>
              <w:top w:val="nil"/>
              <w:bottom w:val="nil"/>
            </w:tcBorders>
            <w:shd w:val="clear" w:color="auto" w:fill="auto"/>
          </w:tcPr>
          <w:p w14:paraId="26A6B553" w14:textId="001A87A2" w:rsidR="00143361" w:rsidRPr="00C11ED4" w:rsidRDefault="00143361" w:rsidP="00143361">
            <w:pPr>
              <w:keepNext/>
              <w:keepLines/>
              <w:autoSpaceDE w:val="0"/>
              <w:autoSpaceDN w:val="0"/>
              <w:adjustRightInd w:val="0"/>
              <w:spacing w:after="0" w:line="240" w:lineRule="auto"/>
              <w:jc w:val="center"/>
              <w:rPr>
                <w:rFonts w:asciiTheme="majorHAnsi" w:hAnsiTheme="majorHAnsi"/>
                <w:szCs w:val="24"/>
              </w:rPr>
            </w:pPr>
            <w:r w:rsidRPr="00C11ED4">
              <w:rPr>
                <w:rFonts w:asciiTheme="majorHAnsi" w:hAnsiTheme="majorHAnsi"/>
                <w:szCs w:val="24"/>
              </w:rPr>
              <w:t>(-2.3, 0.4)</w:t>
            </w:r>
          </w:p>
        </w:tc>
        <w:tc>
          <w:tcPr>
            <w:tcW w:w="1753" w:type="pct"/>
            <w:tcBorders>
              <w:top w:val="nil"/>
              <w:bottom w:val="nil"/>
              <w:right w:val="single" w:sz="4" w:space="0" w:color="auto"/>
            </w:tcBorders>
            <w:shd w:val="clear" w:color="auto" w:fill="auto"/>
            <w:tcMar>
              <w:left w:w="58" w:type="dxa"/>
              <w:right w:w="58" w:type="dxa"/>
            </w:tcMar>
          </w:tcPr>
          <w:p w14:paraId="6487055F" w14:textId="382ED64C" w:rsidR="00143361" w:rsidRPr="00C11ED4" w:rsidRDefault="00143361" w:rsidP="00143361">
            <w:pPr>
              <w:keepNext/>
              <w:keepLines/>
              <w:autoSpaceDE w:val="0"/>
              <w:autoSpaceDN w:val="0"/>
              <w:adjustRightInd w:val="0"/>
              <w:spacing w:after="0" w:line="240" w:lineRule="auto"/>
              <w:jc w:val="center"/>
              <w:rPr>
                <w:rFonts w:asciiTheme="majorHAnsi" w:hAnsiTheme="majorHAnsi"/>
                <w:szCs w:val="24"/>
              </w:rPr>
            </w:pPr>
            <w:r w:rsidRPr="00C11ED4">
              <w:rPr>
                <w:rFonts w:asciiTheme="majorHAnsi" w:hAnsiTheme="majorHAnsi"/>
                <w:szCs w:val="24"/>
              </w:rPr>
              <w:t>(-5.6, -2.3)</w:t>
            </w:r>
          </w:p>
        </w:tc>
      </w:tr>
      <w:tr w:rsidR="00112F6D" w:rsidRPr="00C11ED4" w14:paraId="6FE793C3" w14:textId="77777777" w:rsidTr="009A14F4">
        <w:tc>
          <w:tcPr>
            <w:tcW w:w="1495" w:type="pct"/>
            <w:tcBorders>
              <w:top w:val="nil"/>
              <w:bottom w:val="single" w:sz="4" w:space="0" w:color="auto"/>
            </w:tcBorders>
            <w:shd w:val="clear" w:color="auto" w:fill="auto"/>
          </w:tcPr>
          <w:p w14:paraId="40520DBE" w14:textId="3DDDC7C7" w:rsidR="00143361" w:rsidRPr="00C11ED4" w:rsidRDefault="00143361" w:rsidP="0034260E">
            <w:pPr>
              <w:keepNext/>
              <w:keepLines/>
              <w:autoSpaceDE w:val="0"/>
              <w:autoSpaceDN w:val="0"/>
              <w:adjustRightInd w:val="0"/>
              <w:spacing w:after="0" w:line="240" w:lineRule="auto"/>
              <w:ind w:left="158"/>
              <w:rPr>
                <w:rFonts w:asciiTheme="majorHAnsi" w:hAnsiTheme="majorHAnsi"/>
                <w:szCs w:val="24"/>
              </w:rPr>
            </w:pPr>
            <w:r w:rsidRPr="00C11ED4">
              <w:rPr>
                <w:rFonts w:asciiTheme="majorHAnsi" w:hAnsiTheme="majorHAnsi"/>
                <w:szCs w:val="24"/>
              </w:rPr>
              <w:t>Median</w:t>
            </w:r>
          </w:p>
        </w:tc>
        <w:tc>
          <w:tcPr>
            <w:tcW w:w="1752" w:type="pct"/>
            <w:tcBorders>
              <w:top w:val="nil"/>
              <w:bottom w:val="single" w:sz="4" w:space="0" w:color="auto"/>
            </w:tcBorders>
            <w:shd w:val="clear" w:color="auto" w:fill="auto"/>
          </w:tcPr>
          <w:p w14:paraId="26E61156" w14:textId="14D214EA" w:rsidR="00143361" w:rsidRPr="00C11ED4" w:rsidRDefault="00143361" w:rsidP="00143361">
            <w:pPr>
              <w:keepNext/>
              <w:keepLines/>
              <w:autoSpaceDE w:val="0"/>
              <w:autoSpaceDN w:val="0"/>
              <w:adjustRightInd w:val="0"/>
              <w:spacing w:after="0" w:line="240" w:lineRule="auto"/>
              <w:jc w:val="center"/>
              <w:rPr>
                <w:rFonts w:asciiTheme="majorHAnsi" w:hAnsiTheme="majorHAnsi"/>
                <w:szCs w:val="24"/>
              </w:rPr>
            </w:pPr>
            <w:r w:rsidRPr="00C11ED4">
              <w:rPr>
                <w:rFonts w:asciiTheme="majorHAnsi" w:hAnsiTheme="majorHAnsi"/>
                <w:szCs w:val="24"/>
              </w:rPr>
              <w:t>-1.0</w:t>
            </w:r>
          </w:p>
        </w:tc>
        <w:tc>
          <w:tcPr>
            <w:tcW w:w="1753" w:type="pct"/>
            <w:tcBorders>
              <w:top w:val="nil"/>
              <w:bottom w:val="single" w:sz="4" w:space="0" w:color="auto"/>
              <w:right w:val="single" w:sz="4" w:space="0" w:color="auto"/>
            </w:tcBorders>
            <w:shd w:val="clear" w:color="auto" w:fill="auto"/>
            <w:tcMar>
              <w:left w:w="58" w:type="dxa"/>
              <w:right w:w="58" w:type="dxa"/>
            </w:tcMar>
          </w:tcPr>
          <w:p w14:paraId="6333C584" w14:textId="77DFF29B" w:rsidR="00143361" w:rsidRPr="00C11ED4" w:rsidRDefault="00143361" w:rsidP="00143361">
            <w:pPr>
              <w:keepNext/>
              <w:keepLines/>
              <w:autoSpaceDE w:val="0"/>
              <w:autoSpaceDN w:val="0"/>
              <w:adjustRightInd w:val="0"/>
              <w:spacing w:after="0" w:line="240" w:lineRule="auto"/>
              <w:jc w:val="center"/>
              <w:rPr>
                <w:rFonts w:asciiTheme="majorHAnsi" w:hAnsiTheme="majorHAnsi"/>
                <w:szCs w:val="24"/>
              </w:rPr>
            </w:pPr>
            <w:r w:rsidRPr="00C11ED4">
              <w:rPr>
                <w:rFonts w:asciiTheme="majorHAnsi" w:hAnsiTheme="majorHAnsi"/>
                <w:szCs w:val="24"/>
              </w:rPr>
              <w:t>-3.0</w:t>
            </w:r>
          </w:p>
        </w:tc>
      </w:tr>
      <w:tr w:rsidR="00B020E1" w:rsidRPr="00C11ED4" w14:paraId="2B1FDF8B" w14:textId="77777777" w:rsidTr="00B83CA6">
        <w:tc>
          <w:tcPr>
            <w:tcW w:w="1495" w:type="pct"/>
            <w:tcBorders>
              <w:left w:val="single" w:sz="4" w:space="0" w:color="auto"/>
              <w:bottom w:val="nil"/>
              <w:right w:val="single" w:sz="4" w:space="0" w:color="auto"/>
            </w:tcBorders>
            <w:shd w:val="clear" w:color="auto" w:fill="auto"/>
          </w:tcPr>
          <w:p w14:paraId="40612F8C" w14:textId="44C06349" w:rsidR="00943AF6" w:rsidRPr="00C11ED4" w:rsidRDefault="00943AF6" w:rsidP="00FC66B1">
            <w:pPr>
              <w:keepNext/>
              <w:keepLines/>
              <w:autoSpaceDE w:val="0"/>
              <w:autoSpaceDN w:val="0"/>
              <w:adjustRightInd w:val="0"/>
              <w:spacing w:after="0" w:line="240" w:lineRule="auto"/>
              <w:rPr>
                <w:rFonts w:asciiTheme="majorHAnsi" w:hAnsiTheme="majorHAnsi"/>
                <w:szCs w:val="24"/>
              </w:rPr>
            </w:pPr>
            <w:r w:rsidRPr="00C11ED4">
              <w:rPr>
                <w:rFonts w:asciiTheme="majorHAnsi" w:hAnsiTheme="majorHAnsi"/>
                <w:szCs w:val="24"/>
              </w:rPr>
              <w:t>Change to Week 52</w:t>
            </w:r>
          </w:p>
        </w:tc>
        <w:tc>
          <w:tcPr>
            <w:tcW w:w="3505" w:type="pct"/>
            <w:gridSpan w:val="2"/>
            <w:tcBorders>
              <w:left w:val="single" w:sz="4" w:space="0" w:color="auto"/>
              <w:bottom w:val="nil"/>
              <w:right w:val="single" w:sz="4" w:space="0" w:color="auto"/>
            </w:tcBorders>
            <w:shd w:val="clear" w:color="auto" w:fill="auto"/>
          </w:tcPr>
          <w:p w14:paraId="4D9E50B5" w14:textId="48ABEF25" w:rsidR="00943AF6" w:rsidRPr="00C11ED4" w:rsidRDefault="00943AF6" w:rsidP="00FC66B1">
            <w:pPr>
              <w:pStyle w:val="C-BodyText"/>
              <w:keepNext/>
              <w:keepLines/>
              <w:spacing w:before="0" w:after="0" w:line="240" w:lineRule="auto"/>
              <w:rPr>
                <w:rFonts w:asciiTheme="majorHAnsi" w:hAnsiTheme="majorHAnsi"/>
                <w:sz w:val="22"/>
                <w:szCs w:val="22"/>
              </w:rPr>
            </w:pPr>
          </w:p>
        </w:tc>
      </w:tr>
      <w:tr w:rsidR="00B020E1" w:rsidRPr="00C11ED4" w14:paraId="387BEA55" w14:textId="77777777" w:rsidTr="00662306">
        <w:tc>
          <w:tcPr>
            <w:tcW w:w="1495" w:type="pct"/>
            <w:tcBorders>
              <w:top w:val="nil"/>
              <w:left w:val="single" w:sz="4" w:space="0" w:color="auto"/>
              <w:bottom w:val="nil"/>
              <w:right w:val="single" w:sz="4" w:space="0" w:color="auto"/>
            </w:tcBorders>
            <w:shd w:val="clear" w:color="auto" w:fill="auto"/>
          </w:tcPr>
          <w:p w14:paraId="5E97E5C0" w14:textId="682D0731" w:rsidR="004C1884" w:rsidRPr="00C11ED4" w:rsidRDefault="004C1884" w:rsidP="0034260E">
            <w:pPr>
              <w:keepNext/>
              <w:keepLines/>
              <w:autoSpaceDE w:val="0"/>
              <w:autoSpaceDN w:val="0"/>
              <w:adjustRightInd w:val="0"/>
              <w:spacing w:after="0" w:line="240" w:lineRule="auto"/>
              <w:ind w:left="158"/>
              <w:rPr>
                <w:rFonts w:asciiTheme="majorHAnsi" w:hAnsiTheme="majorHAnsi"/>
                <w:szCs w:val="24"/>
              </w:rPr>
            </w:pPr>
            <w:r w:rsidRPr="00C11ED4">
              <w:rPr>
                <w:rFonts w:asciiTheme="majorHAnsi" w:hAnsiTheme="majorHAnsi"/>
                <w:szCs w:val="24"/>
              </w:rPr>
              <w:t xml:space="preserve">Diff. of </w:t>
            </w:r>
            <w:r w:rsidR="008D2A3F" w:rsidRPr="00C11ED4">
              <w:rPr>
                <w:rFonts w:asciiTheme="majorHAnsi" w:hAnsiTheme="majorHAnsi"/>
                <w:szCs w:val="24"/>
              </w:rPr>
              <w:t xml:space="preserve">LS </w:t>
            </w:r>
            <w:r w:rsidRPr="00C11ED4">
              <w:rPr>
                <w:rFonts w:asciiTheme="majorHAnsi" w:hAnsiTheme="majorHAnsi"/>
                <w:szCs w:val="24"/>
              </w:rPr>
              <w:t>means (SE)</w:t>
            </w:r>
          </w:p>
        </w:tc>
        <w:tc>
          <w:tcPr>
            <w:tcW w:w="3505" w:type="pct"/>
            <w:gridSpan w:val="2"/>
            <w:tcBorders>
              <w:top w:val="nil"/>
              <w:left w:val="single" w:sz="4" w:space="0" w:color="auto"/>
              <w:bottom w:val="nil"/>
              <w:right w:val="single" w:sz="4" w:space="0" w:color="auto"/>
            </w:tcBorders>
            <w:shd w:val="clear" w:color="auto" w:fill="auto"/>
          </w:tcPr>
          <w:p w14:paraId="0455DAEF" w14:textId="260AE642" w:rsidR="004C1884" w:rsidRPr="00C11ED4" w:rsidRDefault="006D5AAD" w:rsidP="004C1884">
            <w:pPr>
              <w:pStyle w:val="C-BodyText"/>
              <w:keepNext/>
              <w:keepLines/>
              <w:spacing w:before="0" w:after="0" w:line="240" w:lineRule="auto"/>
              <w:jc w:val="center"/>
              <w:rPr>
                <w:rFonts w:asciiTheme="majorHAnsi" w:hAnsiTheme="majorHAnsi"/>
                <w:sz w:val="22"/>
                <w:szCs w:val="22"/>
              </w:rPr>
            </w:pPr>
            <w:r w:rsidRPr="00C11ED4">
              <w:rPr>
                <w:rFonts w:asciiTheme="majorHAnsi" w:hAnsiTheme="majorHAnsi"/>
                <w:sz w:val="22"/>
                <w:szCs w:val="22"/>
              </w:rPr>
              <w:t xml:space="preserve">2.7 </w:t>
            </w:r>
            <w:r w:rsidR="007944E4" w:rsidRPr="00C11ED4">
              <w:rPr>
                <w:rFonts w:asciiTheme="majorHAnsi" w:hAnsiTheme="majorHAnsi"/>
                <w:sz w:val="22"/>
                <w:szCs w:val="22"/>
              </w:rPr>
              <w:t>(1.2)</w:t>
            </w:r>
          </w:p>
        </w:tc>
      </w:tr>
      <w:tr w:rsidR="00B020E1" w:rsidRPr="00C11ED4" w14:paraId="22757040" w14:textId="77777777" w:rsidTr="00662306">
        <w:tc>
          <w:tcPr>
            <w:tcW w:w="1495" w:type="pct"/>
            <w:tcBorders>
              <w:top w:val="nil"/>
              <w:left w:val="single" w:sz="4" w:space="0" w:color="auto"/>
              <w:bottom w:val="single" w:sz="4" w:space="0" w:color="auto"/>
              <w:right w:val="single" w:sz="4" w:space="0" w:color="auto"/>
            </w:tcBorders>
            <w:shd w:val="clear" w:color="auto" w:fill="auto"/>
          </w:tcPr>
          <w:p w14:paraId="460ED535" w14:textId="2279C1E3" w:rsidR="004C1884" w:rsidRPr="00C11ED4" w:rsidRDefault="004C1884" w:rsidP="0034260E">
            <w:pPr>
              <w:keepNext/>
              <w:keepLines/>
              <w:autoSpaceDE w:val="0"/>
              <w:autoSpaceDN w:val="0"/>
              <w:adjustRightInd w:val="0"/>
              <w:spacing w:after="0" w:line="240" w:lineRule="auto"/>
              <w:ind w:left="158"/>
              <w:rPr>
                <w:rFonts w:asciiTheme="majorHAnsi" w:hAnsiTheme="majorHAnsi"/>
                <w:szCs w:val="24"/>
              </w:rPr>
            </w:pPr>
            <w:r w:rsidRPr="00C11ED4">
              <w:rPr>
                <w:rFonts w:asciiTheme="majorHAnsi" w:hAnsiTheme="majorHAnsi"/>
                <w:szCs w:val="24"/>
              </w:rPr>
              <w:t>(95% CI)</w:t>
            </w:r>
          </w:p>
        </w:tc>
        <w:tc>
          <w:tcPr>
            <w:tcW w:w="3505" w:type="pct"/>
            <w:gridSpan w:val="2"/>
            <w:tcBorders>
              <w:top w:val="nil"/>
              <w:left w:val="single" w:sz="4" w:space="0" w:color="auto"/>
              <w:bottom w:val="single" w:sz="4" w:space="0" w:color="auto"/>
              <w:right w:val="single" w:sz="4" w:space="0" w:color="auto"/>
            </w:tcBorders>
            <w:shd w:val="clear" w:color="auto" w:fill="auto"/>
          </w:tcPr>
          <w:p w14:paraId="4216298C" w14:textId="0122A6E6" w:rsidR="004C1884" w:rsidRPr="00C11ED4" w:rsidRDefault="00E33844" w:rsidP="004C1884">
            <w:pPr>
              <w:pStyle w:val="C-BodyText"/>
              <w:keepNext/>
              <w:keepLines/>
              <w:spacing w:before="0" w:after="0" w:line="240" w:lineRule="auto"/>
              <w:jc w:val="center"/>
              <w:rPr>
                <w:rFonts w:asciiTheme="majorHAnsi" w:hAnsiTheme="majorHAnsi"/>
                <w:sz w:val="22"/>
                <w:szCs w:val="22"/>
              </w:rPr>
            </w:pPr>
            <w:r w:rsidRPr="00C11ED4">
              <w:rPr>
                <w:rFonts w:asciiTheme="majorHAnsi" w:hAnsiTheme="majorHAnsi"/>
                <w:sz w:val="22"/>
                <w:szCs w:val="22"/>
              </w:rPr>
              <w:t>(0.</w:t>
            </w:r>
            <w:r w:rsidR="006D5AAD" w:rsidRPr="00C11ED4">
              <w:rPr>
                <w:rFonts w:asciiTheme="majorHAnsi" w:hAnsiTheme="majorHAnsi"/>
                <w:sz w:val="22"/>
                <w:szCs w:val="22"/>
              </w:rPr>
              <w:t>4</w:t>
            </w:r>
            <w:r w:rsidRPr="00C11ED4">
              <w:rPr>
                <w:rFonts w:asciiTheme="majorHAnsi" w:hAnsiTheme="majorHAnsi"/>
                <w:sz w:val="22"/>
                <w:szCs w:val="22"/>
              </w:rPr>
              <w:t>, 5.</w:t>
            </w:r>
            <w:r w:rsidR="006D5AAD" w:rsidRPr="00C11ED4">
              <w:rPr>
                <w:rFonts w:asciiTheme="majorHAnsi" w:hAnsiTheme="majorHAnsi"/>
                <w:sz w:val="22"/>
                <w:szCs w:val="22"/>
              </w:rPr>
              <w:t>0</w:t>
            </w:r>
            <w:r w:rsidRPr="00C11ED4">
              <w:rPr>
                <w:rFonts w:asciiTheme="majorHAnsi" w:hAnsiTheme="majorHAnsi"/>
                <w:sz w:val="22"/>
                <w:szCs w:val="22"/>
              </w:rPr>
              <w:t>)</w:t>
            </w:r>
          </w:p>
        </w:tc>
      </w:tr>
    </w:tbl>
    <w:p w14:paraId="64F6A392" w14:textId="60141168" w:rsidR="0087664A" w:rsidRPr="00C11ED4" w:rsidRDefault="001D69CB" w:rsidP="0034260E">
      <w:pPr>
        <w:pStyle w:val="C-BodyText"/>
        <w:spacing w:before="0" w:after="0" w:line="240" w:lineRule="auto"/>
        <w:rPr>
          <w:rFonts w:asciiTheme="majorHAnsi" w:hAnsiTheme="majorHAnsi"/>
          <w:sz w:val="20"/>
        </w:rPr>
      </w:pPr>
      <w:r w:rsidRPr="00C11ED4">
        <w:rPr>
          <w:rFonts w:asciiTheme="majorHAnsi" w:hAnsiTheme="majorHAnsi"/>
          <w:sz w:val="20"/>
        </w:rPr>
        <w:t xml:space="preserve">LS: least square; </w:t>
      </w:r>
      <w:r w:rsidR="000011FC" w:rsidRPr="00C11ED4">
        <w:rPr>
          <w:rFonts w:asciiTheme="majorHAnsi" w:hAnsiTheme="majorHAnsi"/>
          <w:sz w:val="20"/>
        </w:rPr>
        <w:t>SD: standard deviation; SE: standard error; CI: confidence interval; Diff.: difference</w:t>
      </w:r>
      <w:r w:rsidRPr="00C11ED4">
        <w:rPr>
          <w:rFonts w:asciiTheme="majorHAnsi" w:hAnsiTheme="majorHAnsi"/>
          <w:sz w:val="20"/>
        </w:rPr>
        <w:t xml:space="preserve"> </w:t>
      </w:r>
    </w:p>
    <w:p w14:paraId="2B00A12E" w14:textId="73D18462" w:rsidR="008962FC" w:rsidRPr="00C11ED4" w:rsidRDefault="001D69CB" w:rsidP="0034260E">
      <w:pPr>
        <w:pStyle w:val="C-BodyText"/>
        <w:spacing w:before="0" w:after="200" w:line="240" w:lineRule="auto"/>
        <w:rPr>
          <w:rFonts w:asciiTheme="majorHAnsi" w:hAnsiTheme="majorHAnsi"/>
          <w:sz w:val="20"/>
        </w:rPr>
      </w:pPr>
      <w:r w:rsidRPr="00C11ED4">
        <w:rPr>
          <w:rFonts w:asciiTheme="majorHAnsi" w:hAnsiTheme="majorHAnsi"/>
          <w:sz w:val="20"/>
        </w:rPr>
        <w:t xml:space="preserve">Diff. in change to </w:t>
      </w:r>
      <w:r w:rsidR="00480376" w:rsidRPr="00C11ED4">
        <w:rPr>
          <w:rFonts w:asciiTheme="majorHAnsi" w:hAnsiTheme="majorHAnsi"/>
          <w:sz w:val="20"/>
        </w:rPr>
        <w:t>W</w:t>
      </w:r>
      <w:r w:rsidRPr="00C11ED4">
        <w:rPr>
          <w:rFonts w:asciiTheme="majorHAnsi" w:hAnsiTheme="majorHAnsi"/>
          <w:sz w:val="20"/>
        </w:rPr>
        <w:t xml:space="preserve">eek 52 data </w:t>
      </w:r>
      <w:r w:rsidRPr="00C11ED4">
        <w:rPr>
          <w:rStyle w:val="cf01"/>
          <w:rFonts w:asciiTheme="majorHAnsi" w:eastAsiaTheme="majorEastAsia" w:hAnsiTheme="majorHAnsi"/>
          <w:color w:val="auto"/>
          <w:sz w:val="20"/>
          <w:szCs w:val="20"/>
        </w:rPr>
        <w:t>based on ANCOVA analysis of the ITT-LOCF population excluding outlier</w:t>
      </w:r>
    </w:p>
    <w:p w14:paraId="5A6BDFF8" w14:textId="6FB8B048" w:rsidR="00FE2BDA" w:rsidRPr="00C11ED4" w:rsidRDefault="00FE2BDA" w:rsidP="006559EB">
      <w:pPr>
        <w:pStyle w:val="C-BodyText"/>
        <w:spacing w:before="0" w:after="200" w:line="276" w:lineRule="auto"/>
        <w:rPr>
          <w:rFonts w:asciiTheme="majorHAnsi" w:hAnsiTheme="majorHAnsi"/>
          <w:i/>
          <w:iCs/>
          <w:sz w:val="22"/>
          <w:szCs w:val="22"/>
        </w:rPr>
      </w:pPr>
      <w:r w:rsidRPr="00C11ED4">
        <w:rPr>
          <w:rFonts w:asciiTheme="majorHAnsi" w:hAnsiTheme="majorHAnsi"/>
          <w:i/>
          <w:iCs/>
          <w:sz w:val="22"/>
          <w:szCs w:val="22"/>
        </w:rPr>
        <w:t>Secondary endpoints</w:t>
      </w:r>
    </w:p>
    <w:p w14:paraId="777C0CD9" w14:textId="606870A3" w:rsidR="00FE2BDA" w:rsidRPr="00C11ED4" w:rsidRDefault="00FE2BDA"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The observed effects for the secondary endpoints </w:t>
      </w:r>
      <w:r w:rsidR="00830508" w:rsidRPr="00C11ED4">
        <w:rPr>
          <w:rFonts w:asciiTheme="majorHAnsi" w:hAnsiTheme="majorHAnsi"/>
          <w:sz w:val="22"/>
          <w:szCs w:val="22"/>
        </w:rPr>
        <w:t>(</w:t>
      </w:r>
      <w:proofErr w:type="spellStart"/>
      <w:r w:rsidR="00830508" w:rsidRPr="00C11ED4">
        <w:rPr>
          <w:rFonts w:asciiTheme="majorHAnsi" w:hAnsiTheme="majorHAnsi"/>
          <w:sz w:val="22"/>
          <w:szCs w:val="22"/>
        </w:rPr>
        <w:t>eg</w:t>
      </w:r>
      <w:proofErr w:type="spellEnd"/>
      <w:r w:rsidR="00830508" w:rsidRPr="00C11ED4">
        <w:rPr>
          <w:rFonts w:asciiTheme="majorHAnsi" w:hAnsiTheme="majorHAnsi"/>
          <w:sz w:val="22"/>
          <w:szCs w:val="22"/>
        </w:rPr>
        <w:t xml:space="preserve">, </w:t>
      </w:r>
      <w:r w:rsidR="00B81C79" w:rsidRPr="00C11ED4">
        <w:rPr>
          <w:rFonts w:asciiTheme="majorHAnsi" w:hAnsiTheme="majorHAnsi"/>
          <w:sz w:val="22"/>
          <w:szCs w:val="22"/>
        </w:rPr>
        <w:t>MMT,</w:t>
      </w:r>
      <w:r w:rsidR="004023B4" w:rsidRPr="00C11ED4">
        <w:rPr>
          <w:rFonts w:asciiTheme="majorHAnsi" w:hAnsiTheme="majorHAnsi"/>
          <w:sz w:val="22"/>
          <w:szCs w:val="22"/>
        </w:rPr>
        <w:t xml:space="preserve"> </w:t>
      </w:r>
      <w:r w:rsidR="00830508" w:rsidRPr="00C11ED4">
        <w:rPr>
          <w:rFonts w:asciiTheme="majorHAnsi" w:hAnsiTheme="majorHAnsi"/>
          <w:sz w:val="22"/>
          <w:szCs w:val="22"/>
        </w:rPr>
        <w:t>GSGC, CK, Hex 4,</w:t>
      </w:r>
      <w:r w:rsidR="00352569" w:rsidRPr="00C11ED4">
        <w:rPr>
          <w:rFonts w:asciiTheme="majorHAnsi" w:hAnsiTheme="majorHAnsi"/>
          <w:sz w:val="22"/>
          <w:szCs w:val="22"/>
        </w:rPr>
        <w:t xml:space="preserve"> </w:t>
      </w:r>
      <w:r w:rsidR="00830508" w:rsidRPr="00C11ED4">
        <w:rPr>
          <w:rFonts w:asciiTheme="majorHAnsi" w:hAnsiTheme="majorHAnsi"/>
          <w:sz w:val="22"/>
          <w:szCs w:val="22"/>
        </w:rPr>
        <w:t>PROMIS</w:t>
      </w:r>
      <w:r w:rsidR="00B83CA6" w:rsidRPr="00C11ED4">
        <w:rPr>
          <w:rFonts w:asciiTheme="majorHAnsi" w:hAnsiTheme="majorHAnsi"/>
          <w:sz w:val="22"/>
          <w:szCs w:val="22"/>
        </w:rPr>
        <w:t>-</w:t>
      </w:r>
      <w:r w:rsidR="00830508" w:rsidRPr="00C11ED4">
        <w:rPr>
          <w:rFonts w:asciiTheme="majorHAnsi" w:hAnsiTheme="majorHAnsi"/>
          <w:sz w:val="22"/>
          <w:szCs w:val="22"/>
        </w:rPr>
        <w:t>Physical Function</w:t>
      </w:r>
      <w:r w:rsidR="006709BD" w:rsidRPr="00C11ED4">
        <w:rPr>
          <w:rFonts w:asciiTheme="majorHAnsi" w:hAnsiTheme="majorHAnsi"/>
          <w:sz w:val="22"/>
          <w:szCs w:val="22"/>
        </w:rPr>
        <w:t>,</w:t>
      </w:r>
      <w:r w:rsidR="00352569" w:rsidRPr="00C11ED4">
        <w:rPr>
          <w:rFonts w:asciiTheme="majorHAnsi" w:hAnsiTheme="majorHAnsi"/>
          <w:sz w:val="22"/>
          <w:szCs w:val="22"/>
        </w:rPr>
        <w:t xml:space="preserve"> and </w:t>
      </w:r>
      <w:r w:rsidR="006627C2" w:rsidRPr="00C11ED4">
        <w:rPr>
          <w:rFonts w:asciiTheme="majorHAnsi" w:hAnsiTheme="majorHAnsi"/>
          <w:sz w:val="22"/>
          <w:szCs w:val="22"/>
        </w:rPr>
        <w:t>PROMIS</w:t>
      </w:r>
      <w:r w:rsidR="00B83CA6" w:rsidRPr="00C11ED4">
        <w:rPr>
          <w:rFonts w:asciiTheme="majorHAnsi" w:hAnsiTheme="majorHAnsi"/>
          <w:sz w:val="22"/>
          <w:szCs w:val="22"/>
        </w:rPr>
        <w:t>-</w:t>
      </w:r>
      <w:r w:rsidR="006627C2" w:rsidRPr="00C11ED4">
        <w:rPr>
          <w:rFonts w:asciiTheme="majorHAnsi" w:hAnsiTheme="majorHAnsi"/>
          <w:sz w:val="22"/>
          <w:szCs w:val="22"/>
        </w:rPr>
        <w:t>Fatigue</w:t>
      </w:r>
      <w:r w:rsidR="00830508" w:rsidRPr="00C11ED4">
        <w:rPr>
          <w:rFonts w:asciiTheme="majorHAnsi" w:hAnsiTheme="majorHAnsi"/>
          <w:sz w:val="22"/>
          <w:szCs w:val="22"/>
        </w:rPr>
        <w:t xml:space="preserve">) </w:t>
      </w:r>
      <w:r w:rsidRPr="00C11ED4">
        <w:rPr>
          <w:rFonts w:asciiTheme="majorHAnsi" w:hAnsiTheme="majorHAnsi"/>
          <w:sz w:val="22"/>
          <w:szCs w:val="22"/>
        </w:rPr>
        <w:t xml:space="preserve">supported the conclusions drawn from the 6MWD and sitting </w:t>
      </w:r>
      <w:r w:rsidR="00826BDD" w:rsidRPr="00C11ED4">
        <w:rPr>
          <w:rFonts w:asciiTheme="majorHAnsi" w:hAnsiTheme="majorHAnsi"/>
          <w:sz w:val="22"/>
          <w:szCs w:val="22"/>
        </w:rPr>
        <w:t xml:space="preserve">percent </w:t>
      </w:r>
      <w:r w:rsidRPr="00C11ED4">
        <w:rPr>
          <w:rFonts w:asciiTheme="majorHAnsi" w:hAnsiTheme="majorHAnsi"/>
          <w:sz w:val="22"/>
          <w:szCs w:val="22"/>
        </w:rPr>
        <w:t>predicted FVC.</w:t>
      </w:r>
    </w:p>
    <w:p w14:paraId="08F99D5A" w14:textId="7B724C8E" w:rsidR="004C4E78" w:rsidRPr="00C11ED4" w:rsidRDefault="00095108" w:rsidP="006559EB">
      <w:pPr>
        <w:pStyle w:val="C-BodyText"/>
        <w:spacing w:before="0" w:after="200" w:line="276" w:lineRule="auto"/>
        <w:rPr>
          <w:rFonts w:asciiTheme="majorHAnsi" w:hAnsiTheme="majorHAnsi"/>
          <w:sz w:val="22"/>
          <w:szCs w:val="22"/>
        </w:rPr>
      </w:pPr>
      <w:r w:rsidRPr="00C11ED4">
        <w:rPr>
          <w:rFonts w:asciiTheme="majorHAnsi" w:hAnsiTheme="majorHAnsi"/>
          <w:sz w:val="22"/>
          <w:szCs w:val="22"/>
        </w:rPr>
        <w:t xml:space="preserve">Subjects who were treated with 20 mg/kg </w:t>
      </w:r>
      <w:r w:rsidR="00712E75" w:rsidRPr="00C11ED4">
        <w:rPr>
          <w:rFonts w:asciiTheme="majorHAnsi" w:hAnsiTheme="majorHAnsi"/>
          <w:sz w:val="22"/>
          <w:szCs w:val="22"/>
        </w:rPr>
        <w:t>POMBILITI</w:t>
      </w:r>
      <w:r w:rsidRPr="00C11ED4">
        <w:rPr>
          <w:rFonts w:asciiTheme="majorHAnsi" w:hAnsiTheme="majorHAnsi"/>
          <w:sz w:val="22"/>
          <w:szCs w:val="22"/>
        </w:rPr>
        <w:t xml:space="preserve"> in combination with the enzyme </w:t>
      </w:r>
      <w:proofErr w:type="spellStart"/>
      <w:r w:rsidRPr="00C11ED4">
        <w:rPr>
          <w:rFonts w:asciiTheme="majorHAnsi" w:hAnsiTheme="majorHAnsi"/>
          <w:sz w:val="22"/>
          <w:szCs w:val="22"/>
        </w:rPr>
        <w:t>stabiliser</w:t>
      </w:r>
      <w:proofErr w:type="spellEnd"/>
      <w:r w:rsidRPr="00C11ED4">
        <w:rPr>
          <w:rFonts w:asciiTheme="majorHAnsi" w:hAnsiTheme="majorHAnsi"/>
          <w:sz w:val="22"/>
          <w:szCs w:val="22"/>
        </w:rPr>
        <w:t xml:space="preserve"> </w:t>
      </w:r>
      <w:r w:rsidR="00712E75" w:rsidRPr="00C11ED4">
        <w:rPr>
          <w:rFonts w:asciiTheme="majorHAnsi" w:hAnsiTheme="majorHAnsi"/>
          <w:sz w:val="22"/>
          <w:szCs w:val="22"/>
        </w:rPr>
        <w:t>OPFOLDA</w:t>
      </w:r>
      <w:r w:rsidRPr="00C11ED4">
        <w:rPr>
          <w:rFonts w:asciiTheme="majorHAnsi" w:hAnsiTheme="majorHAnsi"/>
          <w:sz w:val="22"/>
          <w:szCs w:val="22"/>
        </w:rPr>
        <w:t xml:space="preserve"> every other week showed a mean reduction of -22.4% in CK compared to a mean increase of +15.6% in the </w:t>
      </w:r>
      <w:proofErr w:type="spellStart"/>
      <w:r w:rsidRPr="00C11ED4">
        <w:rPr>
          <w:rFonts w:asciiTheme="majorHAnsi" w:hAnsiTheme="majorHAnsi"/>
          <w:sz w:val="22"/>
          <w:szCs w:val="22"/>
        </w:rPr>
        <w:t>alglucosidase</w:t>
      </w:r>
      <w:proofErr w:type="spellEnd"/>
      <w:r w:rsidRPr="00C11ED4">
        <w:rPr>
          <w:rFonts w:asciiTheme="majorHAnsi" w:hAnsiTheme="majorHAnsi"/>
          <w:sz w:val="22"/>
          <w:szCs w:val="22"/>
        </w:rPr>
        <w:t xml:space="preserve"> alfa and placebo treated subjects, and a mean reduction of -31.5% in Hex-4 compared to a mean increase of +11.0% in subjects who were treated with </w:t>
      </w:r>
      <w:proofErr w:type="spellStart"/>
      <w:r w:rsidRPr="00C11ED4">
        <w:rPr>
          <w:rFonts w:asciiTheme="majorHAnsi" w:hAnsiTheme="majorHAnsi"/>
          <w:sz w:val="22"/>
          <w:szCs w:val="22"/>
        </w:rPr>
        <w:t>alglucosidase</w:t>
      </w:r>
      <w:proofErr w:type="spellEnd"/>
      <w:r w:rsidRPr="00C11ED4">
        <w:rPr>
          <w:rFonts w:asciiTheme="majorHAnsi" w:hAnsiTheme="majorHAnsi"/>
          <w:sz w:val="22"/>
          <w:szCs w:val="22"/>
        </w:rPr>
        <w:t xml:space="preserve"> alfa and placebo after 52 weeks.</w:t>
      </w:r>
    </w:p>
    <w:p w14:paraId="111CD563" w14:textId="77777777" w:rsidR="001A3992" w:rsidRPr="00C11ED4" w:rsidRDefault="001A3992" w:rsidP="00FE2DB5">
      <w:pPr>
        <w:pStyle w:val="Heading2"/>
        <w:keepNext/>
        <w:spacing w:before="0"/>
        <w:rPr>
          <w:rFonts w:cstheme="minorHAnsi"/>
          <w:lang w:val="en-US"/>
        </w:rPr>
      </w:pPr>
      <w:r w:rsidRPr="00C11ED4">
        <w:rPr>
          <w:rFonts w:cstheme="minorHAnsi"/>
          <w:lang w:val="en-US"/>
        </w:rPr>
        <w:t xml:space="preserve">Pharmacokinetic properties </w:t>
      </w:r>
    </w:p>
    <w:p w14:paraId="3ED3A575" w14:textId="02EFA191" w:rsidR="00AD3E95" w:rsidRPr="00C11ED4" w:rsidRDefault="63A481D0" w:rsidP="4551478B">
      <w:pPr>
        <w:keepNext/>
        <w:rPr>
          <w:rFonts w:asciiTheme="majorHAnsi" w:hAnsiTheme="majorHAnsi"/>
          <w:b/>
          <w:bCs/>
        </w:rPr>
      </w:pPr>
      <w:r w:rsidRPr="00C11ED4">
        <w:rPr>
          <w:rFonts w:asciiTheme="majorHAnsi" w:hAnsiTheme="majorHAnsi"/>
          <w:b/>
          <w:bCs/>
        </w:rPr>
        <w:t>Absorption</w:t>
      </w:r>
    </w:p>
    <w:p w14:paraId="07B185A1" w14:textId="62D2E045" w:rsidR="005C362C" w:rsidRPr="00C11ED4" w:rsidRDefault="00640586" w:rsidP="4DB02149">
      <w:pPr>
        <w:rPr>
          <w:rFonts w:asciiTheme="majorHAnsi" w:hAnsiTheme="majorHAnsi"/>
        </w:rPr>
      </w:pPr>
      <w:proofErr w:type="spellStart"/>
      <w:r w:rsidRPr="00C11ED4">
        <w:rPr>
          <w:rFonts w:asciiTheme="majorHAnsi" w:hAnsiTheme="majorHAnsi"/>
        </w:rPr>
        <w:t>Cipaglucosidase</w:t>
      </w:r>
      <w:proofErr w:type="spellEnd"/>
      <w:r w:rsidRPr="00C11ED4">
        <w:rPr>
          <w:rFonts w:asciiTheme="majorHAnsi" w:hAnsiTheme="majorHAnsi"/>
        </w:rPr>
        <w:t xml:space="preserve"> alfa was evaluated with and without </w:t>
      </w:r>
      <w:proofErr w:type="spellStart"/>
      <w:r w:rsidRPr="00C11ED4">
        <w:rPr>
          <w:rFonts w:asciiTheme="majorHAnsi" w:hAnsiTheme="majorHAnsi"/>
        </w:rPr>
        <w:t>miglustat</w:t>
      </w:r>
      <w:proofErr w:type="spellEnd"/>
      <w:r w:rsidRPr="00C11ED4">
        <w:rPr>
          <w:rFonts w:asciiTheme="majorHAnsi" w:hAnsiTheme="majorHAnsi"/>
        </w:rPr>
        <w:t xml:space="preserve"> in 11 ambulatory ERT</w:t>
      </w:r>
      <w:r w:rsidR="007204B7" w:rsidRPr="00C11ED4">
        <w:rPr>
          <w:rFonts w:asciiTheme="majorHAnsi" w:hAnsiTheme="majorHAnsi"/>
        </w:rPr>
        <w:noBreakHyphen/>
      </w:r>
      <w:r w:rsidRPr="00C11ED4">
        <w:rPr>
          <w:rFonts w:asciiTheme="majorHAnsi" w:hAnsiTheme="majorHAnsi"/>
        </w:rPr>
        <w:t>experienced subjects with LOPD, reached peak concentrations at approximately the end of the 4-hour duration of IV infusion, and declined in a biphasic manner to 24 hours from the start of infusion.</w:t>
      </w:r>
    </w:p>
    <w:p w14:paraId="101E4812" w14:textId="03DBF01D" w:rsidR="007B3982" w:rsidRPr="00C11ED4" w:rsidRDefault="007B3982" w:rsidP="00D36A63">
      <w:pPr>
        <w:keepNext/>
        <w:spacing w:after="0"/>
        <w:rPr>
          <w:rFonts w:asciiTheme="majorHAnsi" w:hAnsiTheme="majorHAnsi"/>
          <w:color w:val="000000" w:themeColor="text1"/>
          <w:lang w:val="en-US"/>
        </w:rPr>
      </w:pPr>
      <w:r w:rsidRPr="00C11ED4">
        <w:rPr>
          <w:rFonts w:asciiTheme="majorHAnsi" w:hAnsiTheme="majorHAnsi"/>
          <w:b/>
          <w:bCs/>
          <w:color w:val="000000" w:themeColor="text1"/>
        </w:rPr>
        <w:t xml:space="preserve">Table 5: Pharmacokinetic </w:t>
      </w:r>
      <w:r w:rsidR="00F94B21" w:rsidRPr="00C11ED4">
        <w:rPr>
          <w:rFonts w:asciiTheme="majorHAnsi" w:hAnsiTheme="majorHAnsi"/>
          <w:b/>
          <w:bCs/>
          <w:color w:val="000000" w:themeColor="text1"/>
        </w:rPr>
        <w:t>S</w:t>
      </w:r>
      <w:r w:rsidRPr="00C11ED4">
        <w:rPr>
          <w:rFonts w:asciiTheme="majorHAnsi" w:hAnsiTheme="majorHAnsi"/>
          <w:b/>
          <w:bCs/>
          <w:color w:val="000000" w:themeColor="text1"/>
        </w:rPr>
        <w:t xml:space="preserve">ummary at </w:t>
      </w:r>
      <w:r w:rsidR="00F94B21" w:rsidRPr="00C11ED4">
        <w:rPr>
          <w:rFonts w:asciiTheme="majorHAnsi" w:hAnsiTheme="majorHAnsi"/>
          <w:b/>
          <w:bCs/>
          <w:color w:val="000000" w:themeColor="text1"/>
        </w:rPr>
        <w:t>C</w:t>
      </w:r>
      <w:r w:rsidRPr="00C11ED4">
        <w:rPr>
          <w:rFonts w:asciiTheme="majorHAnsi" w:hAnsiTheme="majorHAnsi"/>
          <w:b/>
          <w:bCs/>
          <w:color w:val="000000" w:themeColor="text1"/>
        </w:rPr>
        <w:t xml:space="preserve">linical </w:t>
      </w:r>
      <w:r w:rsidR="00F94B21" w:rsidRPr="00C11ED4">
        <w:rPr>
          <w:rFonts w:asciiTheme="majorHAnsi" w:hAnsiTheme="majorHAnsi"/>
          <w:b/>
          <w:bCs/>
          <w:color w:val="000000" w:themeColor="text1"/>
        </w:rPr>
        <w:t>D</w:t>
      </w:r>
      <w:r w:rsidRPr="00C11ED4">
        <w:rPr>
          <w:rFonts w:asciiTheme="majorHAnsi" w:hAnsiTheme="majorHAnsi"/>
          <w:b/>
          <w:bCs/>
          <w:color w:val="000000" w:themeColor="text1"/>
        </w:rPr>
        <w:t xml:space="preserve">ose </w:t>
      </w:r>
    </w:p>
    <w:tbl>
      <w:tblPr>
        <w:tblStyle w:val="TableGrid1"/>
        <w:tblW w:w="5000" w:type="pct"/>
        <w:tblLook w:val="04A0" w:firstRow="1" w:lastRow="0" w:firstColumn="1" w:lastColumn="0" w:noHBand="0" w:noVBand="1"/>
      </w:tblPr>
      <w:tblGrid>
        <w:gridCol w:w="2696"/>
        <w:gridCol w:w="3159"/>
        <w:gridCol w:w="3161"/>
      </w:tblGrid>
      <w:tr w:rsidR="002E381E" w:rsidRPr="00C11ED4" w14:paraId="1E9F2155" w14:textId="77777777" w:rsidTr="000346C2">
        <w:tc>
          <w:tcPr>
            <w:tcW w:w="1495" w:type="pct"/>
          </w:tcPr>
          <w:p w14:paraId="735C0543" w14:textId="77777777" w:rsidR="007B3982" w:rsidRPr="00C11ED4" w:rsidRDefault="007B3982" w:rsidP="001A09C5">
            <w:pPr>
              <w:pStyle w:val="C-BodyText"/>
              <w:keepNext/>
              <w:spacing w:before="0" w:after="0" w:line="240" w:lineRule="auto"/>
              <w:ind w:left="72" w:hanging="72"/>
              <w:rPr>
                <w:rFonts w:asciiTheme="majorHAnsi" w:hAnsiTheme="majorHAnsi"/>
                <w:b/>
                <w:sz w:val="22"/>
              </w:rPr>
            </w:pPr>
            <w:r w:rsidRPr="00C11ED4">
              <w:rPr>
                <w:rFonts w:asciiTheme="majorHAnsi" w:hAnsiTheme="majorHAnsi"/>
                <w:b/>
                <w:bCs/>
                <w:sz w:val="22"/>
              </w:rPr>
              <w:t>PK Parameter</w:t>
            </w:r>
          </w:p>
        </w:tc>
        <w:tc>
          <w:tcPr>
            <w:tcW w:w="1752" w:type="pct"/>
          </w:tcPr>
          <w:p w14:paraId="2C42C5AA" w14:textId="77777777" w:rsidR="007B3982" w:rsidRPr="00C11ED4" w:rsidRDefault="007B3982" w:rsidP="001A09C5">
            <w:pPr>
              <w:pStyle w:val="C-BodyText"/>
              <w:keepNext/>
              <w:spacing w:before="0" w:after="0" w:line="240" w:lineRule="auto"/>
              <w:ind w:left="72" w:hanging="72"/>
              <w:jc w:val="center"/>
              <w:rPr>
                <w:rFonts w:asciiTheme="majorHAnsi" w:hAnsiTheme="majorHAnsi"/>
                <w:b/>
                <w:sz w:val="22"/>
                <w:lang w:val="en-GB"/>
              </w:rPr>
            </w:pPr>
            <w:proofErr w:type="spellStart"/>
            <w:r w:rsidRPr="00C11ED4">
              <w:rPr>
                <w:rFonts w:asciiTheme="majorHAnsi" w:hAnsiTheme="majorHAnsi"/>
                <w:b/>
                <w:bCs/>
                <w:sz w:val="22"/>
              </w:rPr>
              <w:t>Cipaglucosidase</w:t>
            </w:r>
            <w:proofErr w:type="spellEnd"/>
            <w:r w:rsidRPr="00C11ED4">
              <w:rPr>
                <w:rFonts w:asciiTheme="majorHAnsi" w:hAnsiTheme="majorHAnsi"/>
                <w:b/>
                <w:bCs/>
                <w:sz w:val="22"/>
              </w:rPr>
              <w:t xml:space="preserve"> alfa 20 mg/kg in combination with </w:t>
            </w:r>
            <w:proofErr w:type="spellStart"/>
            <w:r w:rsidRPr="00C11ED4">
              <w:rPr>
                <w:rFonts w:asciiTheme="majorHAnsi" w:hAnsiTheme="majorHAnsi"/>
                <w:b/>
                <w:bCs/>
                <w:sz w:val="22"/>
              </w:rPr>
              <w:t>miglustat</w:t>
            </w:r>
            <w:proofErr w:type="spellEnd"/>
            <w:r w:rsidRPr="00C11ED4">
              <w:rPr>
                <w:rFonts w:asciiTheme="majorHAnsi" w:hAnsiTheme="majorHAnsi"/>
                <w:b/>
                <w:bCs/>
                <w:sz w:val="22"/>
              </w:rPr>
              <w:t xml:space="preserve"> 260 mg</w:t>
            </w:r>
          </w:p>
        </w:tc>
        <w:tc>
          <w:tcPr>
            <w:tcW w:w="1753" w:type="pct"/>
          </w:tcPr>
          <w:p w14:paraId="18A5DB02" w14:textId="77777777" w:rsidR="007B3982" w:rsidRPr="00C11ED4" w:rsidRDefault="007B3982" w:rsidP="001A09C5">
            <w:pPr>
              <w:pStyle w:val="C-BodyText"/>
              <w:keepNext/>
              <w:spacing w:before="0" w:after="0" w:line="240" w:lineRule="auto"/>
              <w:ind w:left="72" w:hanging="72"/>
              <w:jc w:val="center"/>
              <w:rPr>
                <w:rFonts w:asciiTheme="majorHAnsi" w:hAnsiTheme="majorHAnsi"/>
                <w:b/>
                <w:sz w:val="22"/>
                <w:lang w:val="pt-BR"/>
              </w:rPr>
            </w:pPr>
            <w:proofErr w:type="spellStart"/>
            <w:r w:rsidRPr="00C11ED4">
              <w:rPr>
                <w:rFonts w:asciiTheme="majorHAnsi" w:hAnsiTheme="majorHAnsi"/>
                <w:b/>
                <w:bCs/>
                <w:sz w:val="22"/>
              </w:rPr>
              <w:t>Cipaglucosidase</w:t>
            </w:r>
            <w:proofErr w:type="spellEnd"/>
            <w:r w:rsidRPr="00C11ED4">
              <w:rPr>
                <w:rFonts w:asciiTheme="majorHAnsi" w:hAnsiTheme="majorHAnsi"/>
                <w:b/>
                <w:bCs/>
                <w:sz w:val="22"/>
              </w:rPr>
              <w:t xml:space="preserve"> alfa</w:t>
            </w:r>
            <w:r w:rsidRPr="00C11ED4">
              <w:rPr>
                <w:rFonts w:asciiTheme="majorHAnsi" w:hAnsiTheme="majorHAnsi"/>
                <w:sz w:val="22"/>
              </w:rPr>
              <w:br w:type="textWrapping" w:clear="all"/>
            </w:r>
            <w:r w:rsidRPr="00C11ED4">
              <w:rPr>
                <w:rFonts w:asciiTheme="majorHAnsi" w:hAnsiTheme="majorHAnsi"/>
                <w:b/>
                <w:bCs/>
                <w:sz w:val="22"/>
              </w:rPr>
              <w:t>20 mg/kg</w:t>
            </w:r>
          </w:p>
        </w:tc>
      </w:tr>
      <w:tr w:rsidR="002E381E" w:rsidRPr="00C11ED4" w14:paraId="0304D94B" w14:textId="77777777" w:rsidTr="000346C2">
        <w:tc>
          <w:tcPr>
            <w:tcW w:w="1495" w:type="pct"/>
          </w:tcPr>
          <w:p w14:paraId="11CC0C00" w14:textId="77777777" w:rsidR="007B3982" w:rsidRPr="00C11ED4" w:rsidRDefault="007B3982" w:rsidP="001A09C5">
            <w:pPr>
              <w:pStyle w:val="C-BodyText"/>
              <w:keepNext/>
              <w:spacing w:before="0" w:after="0" w:line="240" w:lineRule="auto"/>
              <w:ind w:left="72" w:hanging="72"/>
              <w:rPr>
                <w:rFonts w:asciiTheme="majorHAnsi" w:hAnsiTheme="majorHAnsi"/>
                <w:sz w:val="22"/>
              </w:rPr>
            </w:pPr>
            <w:proofErr w:type="spellStart"/>
            <w:r w:rsidRPr="00C11ED4">
              <w:rPr>
                <w:rFonts w:asciiTheme="majorHAnsi" w:hAnsiTheme="majorHAnsi"/>
                <w:sz w:val="22"/>
              </w:rPr>
              <w:t>C</w:t>
            </w:r>
            <w:r w:rsidRPr="00C11ED4">
              <w:rPr>
                <w:rFonts w:asciiTheme="majorHAnsi" w:hAnsiTheme="majorHAnsi"/>
                <w:sz w:val="22"/>
                <w:vertAlign w:val="subscript"/>
              </w:rPr>
              <w:t>max</w:t>
            </w:r>
            <w:proofErr w:type="spellEnd"/>
            <w:r w:rsidRPr="00C11ED4">
              <w:rPr>
                <w:rFonts w:asciiTheme="majorHAnsi" w:hAnsiTheme="majorHAnsi"/>
                <w:sz w:val="22"/>
              </w:rPr>
              <w:t xml:space="preserve"> (mcg/mL)</w:t>
            </w:r>
          </w:p>
        </w:tc>
        <w:tc>
          <w:tcPr>
            <w:tcW w:w="1752" w:type="pct"/>
          </w:tcPr>
          <w:p w14:paraId="5BF520A2" w14:textId="77777777" w:rsidR="007B3982" w:rsidRPr="00C11ED4" w:rsidRDefault="007B3982" w:rsidP="001A09C5">
            <w:pPr>
              <w:pStyle w:val="C-BodyText"/>
              <w:keepNext/>
              <w:spacing w:before="0" w:after="0" w:line="240" w:lineRule="auto"/>
              <w:ind w:left="72" w:hanging="72"/>
              <w:jc w:val="center"/>
              <w:rPr>
                <w:rFonts w:asciiTheme="majorHAnsi" w:hAnsiTheme="majorHAnsi"/>
                <w:sz w:val="22"/>
                <w:lang w:val="pt-BR"/>
              </w:rPr>
            </w:pPr>
            <w:r w:rsidRPr="00C11ED4">
              <w:rPr>
                <w:rFonts w:asciiTheme="majorHAnsi" w:hAnsiTheme="majorHAnsi"/>
                <w:sz w:val="22"/>
              </w:rPr>
              <w:t>345 (18.5)</w:t>
            </w:r>
          </w:p>
        </w:tc>
        <w:tc>
          <w:tcPr>
            <w:tcW w:w="1753" w:type="pct"/>
          </w:tcPr>
          <w:p w14:paraId="65F1CF60" w14:textId="77777777" w:rsidR="007B3982" w:rsidRPr="00C11ED4" w:rsidRDefault="007B3982" w:rsidP="001A09C5">
            <w:pPr>
              <w:pStyle w:val="C-BodyText"/>
              <w:keepNext/>
              <w:spacing w:before="0" w:after="0" w:line="240" w:lineRule="auto"/>
              <w:ind w:left="72" w:hanging="72"/>
              <w:jc w:val="center"/>
              <w:rPr>
                <w:rFonts w:asciiTheme="majorHAnsi" w:hAnsiTheme="majorHAnsi"/>
                <w:sz w:val="22"/>
                <w:lang w:val="pt-BR"/>
              </w:rPr>
            </w:pPr>
            <w:r w:rsidRPr="00C11ED4">
              <w:rPr>
                <w:rFonts w:asciiTheme="majorHAnsi" w:hAnsiTheme="majorHAnsi"/>
                <w:sz w:val="22"/>
              </w:rPr>
              <w:t>325 (13.5)</w:t>
            </w:r>
          </w:p>
        </w:tc>
      </w:tr>
      <w:tr w:rsidR="002E381E" w:rsidRPr="00C11ED4" w14:paraId="71C87BA9" w14:textId="77777777" w:rsidTr="000346C2">
        <w:tc>
          <w:tcPr>
            <w:tcW w:w="1495" w:type="pct"/>
          </w:tcPr>
          <w:p w14:paraId="02DF976C" w14:textId="77777777" w:rsidR="007B3982" w:rsidRPr="00C11ED4" w:rsidRDefault="007B3982" w:rsidP="001A09C5">
            <w:pPr>
              <w:pStyle w:val="C-BodyText"/>
              <w:keepNext/>
              <w:spacing w:before="0" w:after="0" w:line="240" w:lineRule="auto"/>
              <w:ind w:left="72" w:hanging="72"/>
              <w:rPr>
                <w:rFonts w:asciiTheme="majorHAnsi" w:hAnsiTheme="majorHAnsi"/>
                <w:sz w:val="22"/>
              </w:rPr>
            </w:pPr>
            <w:r w:rsidRPr="00C11ED4">
              <w:rPr>
                <w:rFonts w:asciiTheme="majorHAnsi" w:hAnsiTheme="majorHAnsi"/>
                <w:sz w:val="22"/>
              </w:rPr>
              <w:t>AUC</w:t>
            </w:r>
            <w:r w:rsidRPr="00C11ED4">
              <w:rPr>
                <w:rFonts w:asciiTheme="majorHAnsi" w:hAnsiTheme="majorHAnsi"/>
                <w:sz w:val="22"/>
                <w:vertAlign w:val="subscript"/>
              </w:rPr>
              <w:t>0-∞</w:t>
            </w:r>
            <w:r w:rsidRPr="00C11ED4">
              <w:rPr>
                <w:rFonts w:asciiTheme="majorHAnsi" w:hAnsiTheme="majorHAnsi"/>
                <w:sz w:val="22"/>
              </w:rPr>
              <w:t xml:space="preserve"> (mcg*h/mL)</w:t>
            </w:r>
          </w:p>
        </w:tc>
        <w:tc>
          <w:tcPr>
            <w:tcW w:w="1752" w:type="pct"/>
          </w:tcPr>
          <w:p w14:paraId="56C0AECC" w14:textId="77777777" w:rsidR="007B3982" w:rsidRPr="00C11ED4" w:rsidRDefault="007B3982" w:rsidP="001A09C5">
            <w:pPr>
              <w:pStyle w:val="C-BodyText"/>
              <w:keepNext/>
              <w:spacing w:before="0" w:after="0" w:line="240" w:lineRule="auto"/>
              <w:ind w:left="72" w:hanging="72"/>
              <w:jc w:val="center"/>
              <w:rPr>
                <w:rFonts w:asciiTheme="majorHAnsi" w:hAnsiTheme="majorHAnsi"/>
                <w:sz w:val="22"/>
                <w:lang w:val="pt-BR"/>
              </w:rPr>
            </w:pPr>
            <w:r w:rsidRPr="00C11ED4">
              <w:rPr>
                <w:rFonts w:asciiTheme="majorHAnsi" w:hAnsiTheme="majorHAnsi"/>
                <w:sz w:val="22"/>
              </w:rPr>
              <w:t>1812 (20.8)</w:t>
            </w:r>
          </w:p>
        </w:tc>
        <w:tc>
          <w:tcPr>
            <w:tcW w:w="1753" w:type="pct"/>
          </w:tcPr>
          <w:p w14:paraId="38FEBA87" w14:textId="77777777" w:rsidR="007B3982" w:rsidRPr="00C11ED4" w:rsidRDefault="007B3982" w:rsidP="001A09C5">
            <w:pPr>
              <w:pStyle w:val="C-BodyText"/>
              <w:keepNext/>
              <w:spacing w:before="0" w:after="0" w:line="240" w:lineRule="auto"/>
              <w:ind w:left="72" w:hanging="72"/>
              <w:jc w:val="center"/>
              <w:rPr>
                <w:rFonts w:asciiTheme="majorHAnsi" w:hAnsiTheme="majorHAnsi"/>
                <w:sz w:val="22"/>
                <w:lang w:val="pt-BR"/>
              </w:rPr>
            </w:pPr>
            <w:r w:rsidRPr="00C11ED4">
              <w:rPr>
                <w:rFonts w:asciiTheme="majorHAnsi" w:hAnsiTheme="majorHAnsi"/>
                <w:sz w:val="22"/>
              </w:rPr>
              <w:t>1410 (15.9)</w:t>
            </w:r>
          </w:p>
        </w:tc>
      </w:tr>
    </w:tbl>
    <w:p w14:paraId="1074910A" w14:textId="0ECE6452" w:rsidR="00963FDA" w:rsidRPr="00C11ED4" w:rsidRDefault="005B30A8" w:rsidP="00D36A63">
      <w:pPr>
        <w:spacing w:line="240" w:lineRule="auto"/>
        <w:rPr>
          <w:rFonts w:asciiTheme="majorHAnsi" w:hAnsiTheme="majorHAnsi"/>
          <w:sz w:val="20"/>
          <w:szCs w:val="20"/>
        </w:rPr>
      </w:pPr>
      <w:r w:rsidRPr="00C11ED4">
        <w:rPr>
          <w:rFonts w:asciiTheme="majorHAnsi" w:hAnsiTheme="majorHAnsi"/>
          <w:color w:val="000000" w:themeColor="text1"/>
          <w:sz w:val="20"/>
          <w:szCs w:val="20"/>
        </w:rPr>
        <w:t>AUC</w:t>
      </w:r>
      <w:r w:rsidRPr="00C11ED4">
        <w:rPr>
          <w:rFonts w:asciiTheme="majorHAnsi" w:hAnsiTheme="majorHAnsi"/>
          <w:color w:val="000000" w:themeColor="text1"/>
          <w:sz w:val="20"/>
          <w:szCs w:val="20"/>
          <w:vertAlign w:val="subscript"/>
        </w:rPr>
        <w:t>0</w:t>
      </w:r>
      <w:r w:rsidRPr="00C11ED4">
        <w:rPr>
          <w:rFonts w:asciiTheme="majorHAnsi" w:hAnsiTheme="majorHAnsi"/>
          <w:color w:val="000000" w:themeColor="text1"/>
          <w:sz w:val="20"/>
          <w:szCs w:val="20"/>
          <w:vertAlign w:val="subscript"/>
        </w:rPr>
        <w:noBreakHyphen/>
        <w:t>∞</w:t>
      </w:r>
      <w:r w:rsidRPr="00C11ED4">
        <w:rPr>
          <w:rFonts w:asciiTheme="majorHAnsi" w:hAnsiTheme="majorHAnsi"/>
          <w:color w:val="000000" w:themeColor="text1"/>
          <w:sz w:val="20"/>
          <w:szCs w:val="20"/>
        </w:rPr>
        <w:t xml:space="preserve"> = area under the curve from time 0 to infinity; </w:t>
      </w:r>
      <w:proofErr w:type="spellStart"/>
      <w:r w:rsidRPr="00C11ED4">
        <w:rPr>
          <w:rFonts w:asciiTheme="majorHAnsi" w:hAnsiTheme="majorHAnsi"/>
          <w:color w:val="000000" w:themeColor="text1"/>
          <w:sz w:val="20"/>
          <w:szCs w:val="20"/>
        </w:rPr>
        <w:t>C</w:t>
      </w:r>
      <w:r w:rsidRPr="00C11ED4">
        <w:rPr>
          <w:rFonts w:asciiTheme="majorHAnsi" w:hAnsiTheme="majorHAnsi"/>
          <w:color w:val="000000" w:themeColor="text1"/>
          <w:sz w:val="20"/>
          <w:szCs w:val="20"/>
          <w:vertAlign w:val="subscript"/>
        </w:rPr>
        <w:t>max</w:t>
      </w:r>
      <w:proofErr w:type="spellEnd"/>
      <w:r w:rsidRPr="00C11ED4">
        <w:rPr>
          <w:rFonts w:asciiTheme="majorHAnsi" w:hAnsiTheme="majorHAnsi"/>
          <w:color w:val="000000" w:themeColor="text1"/>
          <w:sz w:val="20"/>
          <w:szCs w:val="20"/>
        </w:rPr>
        <w:t xml:space="preserve"> = maximum observed plasma concentration</w:t>
      </w:r>
    </w:p>
    <w:p w14:paraId="3E93E1FB" w14:textId="63246FE1" w:rsidR="00D778F0" w:rsidRPr="00C11ED4" w:rsidRDefault="00D778F0" w:rsidP="00D778F0">
      <w:pPr>
        <w:rPr>
          <w:rFonts w:asciiTheme="majorHAnsi" w:hAnsiTheme="majorHAnsi"/>
          <w:b/>
          <w:bCs/>
        </w:rPr>
      </w:pPr>
      <w:r w:rsidRPr="00C11ED4">
        <w:rPr>
          <w:rFonts w:asciiTheme="majorHAnsi" w:hAnsiTheme="majorHAnsi"/>
          <w:b/>
          <w:bCs/>
        </w:rPr>
        <w:t>Distribution</w:t>
      </w:r>
    </w:p>
    <w:p w14:paraId="7448EBA5" w14:textId="78EEE5CF" w:rsidR="00D778F0" w:rsidRPr="00C11ED4" w:rsidRDefault="00D778F0" w:rsidP="00D778F0">
      <w:pPr>
        <w:rPr>
          <w:rFonts w:asciiTheme="majorHAnsi" w:hAnsiTheme="majorHAnsi"/>
        </w:rPr>
      </w:pPr>
      <w:r w:rsidRPr="00C11ED4">
        <w:rPr>
          <w:rFonts w:asciiTheme="majorHAnsi" w:hAnsiTheme="majorHAnsi"/>
        </w:rPr>
        <w:lastRenderedPageBreak/>
        <w:t xml:space="preserve">The distribution (alpha) half-life increased by 47% following administration of the clinical dose regimen of both </w:t>
      </w:r>
      <w:proofErr w:type="spellStart"/>
      <w:r w:rsidRPr="00C11ED4">
        <w:rPr>
          <w:rFonts w:asciiTheme="majorHAnsi" w:hAnsiTheme="majorHAnsi"/>
        </w:rPr>
        <w:t>cipaglucosidase</w:t>
      </w:r>
      <w:proofErr w:type="spellEnd"/>
      <w:r w:rsidRPr="00C11ED4">
        <w:rPr>
          <w:rFonts w:asciiTheme="majorHAnsi" w:hAnsiTheme="majorHAnsi"/>
        </w:rPr>
        <w:t xml:space="preserve"> alfa and </w:t>
      </w:r>
      <w:proofErr w:type="spellStart"/>
      <w:r w:rsidRPr="00C11ED4">
        <w:rPr>
          <w:rFonts w:asciiTheme="majorHAnsi" w:hAnsiTheme="majorHAnsi"/>
        </w:rPr>
        <w:t>miglustat</w:t>
      </w:r>
      <w:proofErr w:type="spellEnd"/>
      <w:r w:rsidRPr="00C11ED4">
        <w:rPr>
          <w:rFonts w:asciiTheme="majorHAnsi" w:hAnsiTheme="majorHAnsi"/>
        </w:rPr>
        <w:t xml:space="preserve"> relative to 20 mg/kg </w:t>
      </w:r>
      <w:proofErr w:type="spellStart"/>
      <w:r w:rsidRPr="00C11ED4">
        <w:rPr>
          <w:rFonts w:asciiTheme="majorHAnsi" w:hAnsiTheme="majorHAnsi"/>
        </w:rPr>
        <w:t>cipaglucosidase</w:t>
      </w:r>
      <w:proofErr w:type="spellEnd"/>
      <w:r w:rsidRPr="00C11ED4">
        <w:rPr>
          <w:rFonts w:asciiTheme="majorHAnsi" w:hAnsiTheme="majorHAnsi"/>
        </w:rPr>
        <w:t xml:space="preserve"> alfa alone. The population PK model predicted </w:t>
      </w:r>
      <w:proofErr w:type="spellStart"/>
      <w:r w:rsidRPr="00C11ED4">
        <w:rPr>
          <w:rFonts w:asciiTheme="majorHAnsi" w:hAnsiTheme="majorHAnsi"/>
        </w:rPr>
        <w:t>cipaglucosidase</w:t>
      </w:r>
      <w:proofErr w:type="spellEnd"/>
      <w:r w:rsidRPr="00C11ED4">
        <w:rPr>
          <w:rFonts w:asciiTheme="majorHAnsi" w:hAnsiTheme="majorHAnsi"/>
        </w:rPr>
        <w:t xml:space="preserve"> alfa central compartment volume of distribution to be 3.24 L. </w:t>
      </w:r>
    </w:p>
    <w:p w14:paraId="3B4CA4D6" w14:textId="3B715BC6" w:rsidR="00AD3E95" w:rsidRPr="00C11ED4" w:rsidRDefault="00AD3E95" w:rsidP="006559EB">
      <w:pPr>
        <w:rPr>
          <w:rFonts w:asciiTheme="majorHAnsi" w:hAnsiTheme="majorHAnsi"/>
          <w:b/>
          <w:bCs/>
        </w:rPr>
      </w:pPr>
      <w:r w:rsidRPr="00C11ED4">
        <w:rPr>
          <w:rFonts w:asciiTheme="majorHAnsi" w:hAnsiTheme="majorHAnsi"/>
          <w:b/>
          <w:bCs/>
        </w:rPr>
        <w:t>Metabolism</w:t>
      </w:r>
    </w:p>
    <w:p w14:paraId="01D892C1" w14:textId="25BCD944" w:rsidR="00AD3E95" w:rsidRPr="00C11ED4" w:rsidRDefault="4F9692B2" w:rsidP="4DB02149">
      <w:pPr>
        <w:rPr>
          <w:rFonts w:asciiTheme="majorHAnsi" w:hAnsiTheme="majorHAnsi"/>
        </w:rPr>
      </w:pPr>
      <w:r w:rsidRPr="00C11ED4">
        <w:rPr>
          <w:rFonts w:asciiTheme="majorHAnsi" w:hAnsiTheme="majorHAnsi"/>
        </w:rPr>
        <w:t xml:space="preserve">The metabolic pathway of </w:t>
      </w:r>
      <w:proofErr w:type="spellStart"/>
      <w:r w:rsidRPr="00C11ED4">
        <w:rPr>
          <w:rFonts w:asciiTheme="majorHAnsi" w:hAnsiTheme="majorHAnsi"/>
        </w:rPr>
        <w:t>cipaglucosidase</w:t>
      </w:r>
      <w:proofErr w:type="spellEnd"/>
      <w:r w:rsidRPr="00C11ED4">
        <w:rPr>
          <w:rFonts w:asciiTheme="majorHAnsi" w:hAnsiTheme="majorHAnsi"/>
        </w:rPr>
        <w:t xml:space="preserve"> alfa has not been characteri</w:t>
      </w:r>
      <w:r w:rsidR="00A00FE8" w:rsidRPr="00C11ED4">
        <w:rPr>
          <w:rFonts w:asciiTheme="majorHAnsi" w:hAnsiTheme="majorHAnsi"/>
        </w:rPr>
        <w:t>s</w:t>
      </w:r>
      <w:r w:rsidRPr="00C11ED4">
        <w:rPr>
          <w:rFonts w:asciiTheme="majorHAnsi" w:hAnsiTheme="majorHAnsi"/>
        </w:rPr>
        <w:t xml:space="preserve">ed. As a glycoprotein, </w:t>
      </w:r>
      <w:proofErr w:type="spellStart"/>
      <w:r w:rsidRPr="00C11ED4">
        <w:rPr>
          <w:rFonts w:asciiTheme="majorHAnsi" w:hAnsiTheme="majorHAnsi"/>
        </w:rPr>
        <w:t>cipaglucosidase</w:t>
      </w:r>
      <w:proofErr w:type="spellEnd"/>
      <w:r w:rsidRPr="00C11ED4">
        <w:rPr>
          <w:rFonts w:asciiTheme="majorHAnsi" w:hAnsiTheme="majorHAnsi"/>
        </w:rPr>
        <w:t xml:space="preserve"> alfa is expected to be degraded to small </w:t>
      </w:r>
      <w:r w:rsidR="3988BA84" w:rsidRPr="00C11ED4">
        <w:rPr>
          <w:rFonts w:asciiTheme="majorHAnsi" w:hAnsiTheme="majorHAnsi"/>
        </w:rPr>
        <w:t>peptides</w:t>
      </w:r>
      <w:r w:rsidRPr="00C11ED4">
        <w:rPr>
          <w:rFonts w:asciiTheme="majorHAnsi" w:hAnsiTheme="majorHAnsi"/>
        </w:rPr>
        <w:t xml:space="preserve"> or amino acids v</w:t>
      </w:r>
      <w:r w:rsidR="1419530F" w:rsidRPr="00C11ED4">
        <w:rPr>
          <w:rFonts w:asciiTheme="majorHAnsi" w:hAnsiTheme="majorHAnsi"/>
        </w:rPr>
        <w:t>ia non</w:t>
      </w:r>
      <w:r w:rsidR="0019775C" w:rsidRPr="00C11ED4">
        <w:rPr>
          <w:rFonts w:asciiTheme="majorHAnsi" w:hAnsiTheme="majorHAnsi"/>
        </w:rPr>
        <w:noBreakHyphen/>
      </w:r>
      <w:r w:rsidR="1419530F" w:rsidRPr="00C11ED4">
        <w:rPr>
          <w:rFonts w:asciiTheme="majorHAnsi" w:hAnsiTheme="majorHAnsi"/>
        </w:rPr>
        <w:t xml:space="preserve">saturable catabolic pathways. </w:t>
      </w:r>
    </w:p>
    <w:p w14:paraId="2FFB23FB" w14:textId="489281F8" w:rsidR="00AD3E95" w:rsidRPr="00C11ED4" w:rsidRDefault="24B5E109" w:rsidP="006559EB">
      <w:pPr>
        <w:rPr>
          <w:rFonts w:asciiTheme="majorHAnsi" w:hAnsiTheme="majorHAnsi"/>
          <w:b/>
          <w:bCs/>
        </w:rPr>
      </w:pPr>
      <w:r w:rsidRPr="00C11ED4">
        <w:rPr>
          <w:rFonts w:asciiTheme="majorHAnsi" w:hAnsiTheme="majorHAnsi"/>
          <w:b/>
          <w:bCs/>
        </w:rPr>
        <w:t>Excretion</w:t>
      </w:r>
    </w:p>
    <w:p w14:paraId="16DC9639" w14:textId="032A0C10" w:rsidR="006C6B87" w:rsidRPr="00C11ED4" w:rsidRDefault="328AB95B" w:rsidP="006559EB">
      <w:pPr>
        <w:rPr>
          <w:rFonts w:asciiTheme="majorHAnsi" w:hAnsiTheme="majorHAnsi"/>
        </w:rPr>
      </w:pPr>
      <w:proofErr w:type="spellStart"/>
      <w:r w:rsidRPr="00C11ED4">
        <w:rPr>
          <w:rFonts w:asciiTheme="majorHAnsi" w:hAnsiTheme="majorHAnsi"/>
        </w:rPr>
        <w:t>Cipaglucosidase</w:t>
      </w:r>
      <w:proofErr w:type="spellEnd"/>
      <w:r w:rsidRPr="00C11ED4">
        <w:rPr>
          <w:rFonts w:asciiTheme="majorHAnsi" w:hAnsiTheme="majorHAnsi"/>
        </w:rPr>
        <w:t xml:space="preserve"> alfa is eliminated primarily in the liver by proteolytic hydrolysis. The mean terminal elimination half-life for </w:t>
      </w:r>
      <w:proofErr w:type="spellStart"/>
      <w:r w:rsidRPr="00C11ED4">
        <w:rPr>
          <w:rFonts w:asciiTheme="majorHAnsi" w:hAnsiTheme="majorHAnsi"/>
        </w:rPr>
        <w:t>cipaglucosidase</w:t>
      </w:r>
      <w:proofErr w:type="spellEnd"/>
      <w:r w:rsidRPr="00C11ED4">
        <w:rPr>
          <w:rFonts w:asciiTheme="majorHAnsi" w:hAnsiTheme="majorHAnsi"/>
        </w:rPr>
        <w:t xml:space="preserve"> alfa ranged from 1.6 to 2.6 hours.</w:t>
      </w:r>
    </w:p>
    <w:p w14:paraId="0A63A4C9" w14:textId="77777777" w:rsidR="0067125C" w:rsidRPr="00C11ED4" w:rsidRDefault="0067125C" w:rsidP="006559EB">
      <w:pPr>
        <w:keepNext/>
        <w:tabs>
          <w:tab w:val="left" w:pos="2250"/>
        </w:tabs>
        <w:rPr>
          <w:rFonts w:asciiTheme="majorHAnsi" w:hAnsiTheme="majorHAnsi"/>
          <w:b/>
          <w:bCs/>
        </w:rPr>
      </w:pPr>
      <w:r w:rsidRPr="00C11ED4">
        <w:rPr>
          <w:rFonts w:asciiTheme="majorHAnsi" w:hAnsiTheme="majorHAnsi"/>
          <w:b/>
          <w:bCs/>
        </w:rPr>
        <w:t>Special populations</w:t>
      </w:r>
    </w:p>
    <w:p w14:paraId="2BB579AE" w14:textId="77777777" w:rsidR="0067125C" w:rsidRPr="00C11ED4" w:rsidRDefault="0067125C" w:rsidP="006559EB">
      <w:pPr>
        <w:keepNext/>
        <w:tabs>
          <w:tab w:val="left" w:pos="2250"/>
        </w:tabs>
        <w:rPr>
          <w:rFonts w:asciiTheme="majorHAnsi" w:hAnsiTheme="majorHAnsi"/>
          <w:u w:val="single"/>
        </w:rPr>
      </w:pPr>
      <w:r w:rsidRPr="00C11ED4">
        <w:rPr>
          <w:rFonts w:asciiTheme="majorHAnsi" w:hAnsiTheme="majorHAnsi"/>
          <w:u w:val="single"/>
        </w:rPr>
        <w:t>Gender, elderly, and race/ethnicity</w:t>
      </w:r>
    </w:p>
    <w:p w14:paraId="496C6E85" w14:textId="5315B12B" w:rsidR="0067125C" w:rsidRPr="00C11ED4" w:rsidRDefault="00B1614F" w:rsidP="004E4505">
      <w:pPr>
        <w:keepLines/>
        <w:tabs>
          <w:tab w:val="left" w:pos="2250"/>
        </w:tabs>
        <w:rPr>
          <w:rFonts w:asciiTheme="majorHAnsi" w:hAnsiTheme="majorHAnsi"/>
        </w:rPr>
      </w:pPr>
      <w:r w:rsidRPr="00C11ED4">
        <w:rPr>
          <w:rFonts w:asciiTheme="majorHAnsi" w:hAnsiTheme="majorHAnsi"/>
        </w:rPr>
        <w:t>Based on a pooled population pharmacokinetic analysis, gender and race did not have a clinically meaningful effects on POMBILITI in combination with OPFOLDA exposures.</w:t>
      </w:r>
      <w:r w:rsidR="00B20C2F" w:rsidRPr="00C11ED4">
        <w:rPr>
          <w:rFonts w:asciiTheme="majorHAnsi" w:hAnsiTheme="majorHAnsi"/>
        </w:rPr>
        <w:t xml:space="preserve"> There is limited experience with the use of POMBILITI in combination with OPFOLDA therapy in patients above the age of 65 years old. There is no dose adjustment required in elderly patients</w:t>
      </w:r>
      <w:r w:rsidR="0067125C" w:rsidRPr="00C11ED4">
        <w:rPr>
          <w:rFonts w:asciiTheme="majorHAnsi" w:hAnsiTheme="majorHAnsi"/>
        </w:rPr>
        <w:t>.</w:t>
      </w:r>
    </w:p>
    <w:p w14:paraId="1208489E" w14:textId="5DD6BC17" w:rsidR="001A3992" w:rsidRPr="00C11ED4" w:rsidRDefault="001A3992" w:rsidP="00FC66B1">
      <w:pPr>
        <w:pStyle w:val="Heading2"/>
        <w:keepNext/>
        <w:spacing w:before="0"/>
        <w:rPr>
          <w:rFonts w:cstheme="minorHAnsi"/>
          <w:lang w:val="en-US"/>
        </w:rPr>
      </w:pPr>
      <w:r w:rsidRPr="00C11ED4">
        <w:rPr>
          <w:rFonts w:cstheme="minorHAnsi"/>
          <w:lang w:val="en-US"/>
        </w:rPr>
        <w:t>Preclinical safety data</w:t>
      </w:r>
    </w:p>
    <w:p w14:paraId="0FC90A62" w14:textId="3BCB5C33" w:rsidR="00F61378" w:rsidRPr="00C11ED4" w:rsidRDefault="00F61378" w:rsidP="006559EB">
      <w:pPr>
        <w:pStyle w:val="C-BodyText"/>
        <w:keepNext/>
        <w:keepLines/>
        <w:shd w:val="clear" w:color="auto" w:fill="FFFFFF" w:themeFill="background1"/>
        <w:spacing w:before="0" w:after="200" w:line="276" w:lineRule="auto"/>
        <w:rPr>
          <w:rFonts w:asciiTheme="majorHAnsi" w:hAnsiTheme="majorHAnsi" w:cstheme="minorHAnsi"/>
          <w:b/>
          <w:bCs/>
          <w:sz w:val="22"/>
          <w:szCs w:val="22"/>
        </w:rPr>
      </w:pPr>
      <w:r w:rsidRPr="00C11ED4">
        <w:rPr>
          <w:rFonts w:asciiTheme="majorHAnsi" w:hAnsiTheme="majorHAnsi" w:cstheme="minorHAnsi"/>
          <w:b/>
          <w:bCs/>
          <w:sz w:val="22"/>
          <w:szCs w:val="22"/>
        </w:rPr>
        <w:t>Genotoxicity</w:t>
      </w:r>
    </w:p>
    <w:p w14:paraId="555AC041" w14:textId="2C326A49" w:rsidR="003C2F10" w:rsidRPr="00C11ED4" w:rsidRDefault="00B27A54" w:rsidP="00EC6829">
      <w:pPr>
        <w:pStyle w:val="C-BodyText"/>
        <w:shd w:val="clear" w:color="auto" w:fill="FFFFFF" w:themeFill="background1"/>
        <w:spacing w:before="0" w:after="200" w:line="276" w:lineRule="auto"/>
        <w:rPr>
          <w:rFonts w:asciiTheme="majorHAnsi" w:hAnsiTheme="majorHAnsi" w:cstheme="minorHAnsi"/>
          <w:sz w:val="22"/>
          <w:szCs w:val="22"/>
        </w:rPr>
      </w:pPr>
      <w:r w:rsidRPr="00C11ED4">
        <w:rPr>
          <w:rFonts w:asciiTheme="majorHAnsi" w:hAnsiTheme="majorHAnsi" w:cstheme="minorHAnsi"/>
          <w:sz w:val="22"/>
          <w:szCs w:val="22"/>
        </w:rPr>
        <w:t>Genotoxic</w:t>
      </w:r>
      <w:r w:rsidR="001E199B" w:rsidRPr="00C11ED4">
        <w:rPr>
          <w:rFonts w:asciiTheme="majorHAnsi" w:hAnsiTheme="majorHAnsi" w:cstheme="minorHAnsi"/>
          <w:sz w:val="22"/>
          <w:szCs w:val="22"/>
        </w:rPr>
        <w:t>ity</w:t>
      </w:r>
      <w:r w:rsidRPr="00C11ED4">
        <w:rPr>
          <w:rFonts w:asciiTheme="majorHAnsi" w:hAnsiTheme="majorHAnsi" w:cstheme="minorHAnsi"/>
          <w:sz w:val="22"/>
          <w:szCs w:val="22"/>
        </w:rPr>
        <w:t xml:space="preserve"> studies have not been conducted with </w:t>
      </w:r>
      <w:proofErr w:type="spellStart"/>
      <w:r w:rsidRPr="00C11ED4">
        <w:rPr>
          <w:rFonts w:asciiTheme="majorHAnsi" w:hAnsiTheme="majorHAnsi" w:cstheme="minorHAnsi"/>
          <w:sz w:val="22"/>
          <w:szCs w:val="22"/>
        </w:rPr>
        <w:t>cipagluco</w:t>
      </w:r>
      <w:r w:rsidR="005F3D3E" w:rsidRPr="00C11ED4">
        <w:rPr>
          <w:rFonts w:asciiTheme="majorHAnsi" w:hAnsiTheme="majorHAnsi" w:cstheme="minorHAnsi"/>
          <w:sz w:val="22"/>
          <w:szCs w:val="22"/>
        </w:rPr>
        <w:t>sidase</w:t>
      </w:r>
      <w:proofErr w:type="spellEnd"/>
      <w:r w:rsidR="005F3D3E" w:rsidRPr="00C11ED4">
        <w:rPr>
          <w:rFonts w:asciiTheme="majorHAnsi" w:hAnsiTheme="majorHAnsi" w:cstheme="minorHAnsi"/>
          <w:sz w:val="22"/>
          <w:szCs w:val="22"/>
        </w:rPr>
        <w:t xml:space="preserve"> alfa.</w:t>
      </w:r>
      <w:r w:rsidR="0087119E" w:rsidRPr="00C11ED4">
        <w:rPr>
          <w:rFonts w:asciiTheme="majorHAnsi" w:hAnsiTheme="majorHAnsi" w:cstheme="minorHAnsi"/>
          <w:sz w:val="22"/>
          <w:szCs w:val="22"/>
        </w:rPr>
        <w:t xml:space="preserve"> As a high molecular weight protein, </w:t>
      </w:r>
      <w:proofErr w:type="spellStart"/>
      <w:r w:rsidR="0087119E" w:rsidRPr="00C11ED4">
        <w:rPr>
          <w:rFonts w:asciiTheme="majorHAnsi" w:hAnsiTheme="majorHAnsi" w:cstheme="minorHAnsi"/>
          <w:sz w:val="22"/>
          <w:szCs w:val="22"/>
        </w:rPr>
        <w:t>cipaglucosidase</w:t>
      </w:r>
      <w:proofErr w:type="spellEnd"/>
      <w:r w:rsidR="0087119E" w:rsidRPr="00C11ED4">
        <w:rPr>
          <w:rFonts w:asciiTheme="majorHAnsi" w:hAnsiTheme="majorHAnsi" w:cstheme="minorHAnsi"/>
          <w:sz w:val="22"/>
          <w:szCs w:val="22"/>
        </w:rPr>
        <w:t xml:space="preserve"> alfa is not expected to interact directly with DNA or other chromosomal material.</w:t>
      </w:r>
    </w:p>
    <w:p w14:paraId="5E86C5EE" w14:textId="64312981" w:rsidR="001A3992" w:rsidRPr="00C11ED4" w:rsidRDefault="001A3992" w:rsidP="006559EB">
      <w:pPr>
        <w:pStyle w:val="Heading3"/>
        <w:keepLines w:val="0"/>
        <w:spacing w:before="0" w:after="200"/>
        <w:ind w:left="0"/>
        <w:rPr>
          <w:rFonts w:cstheme="minorHAnsi"/>
          <w:lang w:val="en-US"/>
        </w:rPr>
      </w:pPr>
      <w:proofErr w:type="spellStart"/>
      <w:r w:rsidRPr="00C11ED4">
        <w:rPr>
          <w:rFonts w:cstheme="minorHAnsi"/>
        </w:rPr>
        <w:t>Carcin</w:t>
      </w:r>
      <w:r w:rsidRPr="00C11ED4">
        <w:rPr>
          <w:rFonts w:cstheme="minorHAnsi"/>
          <w:lang w:val="en-US"/>
        </w:rPr>
        <w:t>ogenicity</w:t>
      </w:r>
      <w:proofErr w:type="spellEnd"/>
    </w:p>
    <w:p w14:paraId="51EC7555" w14:textId="1CADD3C6" w:rsidR="003C2F10" w:rsidRPr="00C11ED4" w:rsidRDefault="005F3D3E" w:rsidP="006559EB">
      <w:pPr>
        <w:rPr>
          <w:rFonts w:asciiTheme="majorHAnsi" w:hAnsiTheme="majorHAnsi"/>
          <w:lang w:val="en-US"/>
        </w:rPr>
      </w:pPr>
      <w:r w:rsidRPr="00C11ED4">
        <w:rPr>
          <w:rFonts w:asciiTheme="majorHAnsi" w:hAnsiTheme="majorHAnsi"/>
        </w:rPr>
        <w:t xml:space="preserve">Carcinogenicity studies have not been conducted with </w:t>
      </w:r>
      <w:proofErr w:type="spellStart"/>
      <w:r w:rsidRPr="00C11ED4">
        <w:rPr>
          <w:rFonts w:asciiTheme="majorHAnsi" w:hAnsiTheme="majorHAnsi"/>
        </w:rPr>
        <w:t>cipaglucosidase</w:t>
      </w:r>
      <w:proofErr w:type="spellEnd"/>
      <w:r w:rsidRPr="00C11ED4">
        <w:rPr>
          <w:rFonts w:asciiTheme="majorHAnsi" w:hAnsiTheme="majorHAnsi"/>
        </w:rPr>
        <w:t xml:space="preserve"> alfa</w:t>
      </w:r>
      <w:r w:rsidR="007A1DB6" w:rsidRPr="00C11ED4">
        <w:rPr>
          <w:rFonts w:asciiTheme="majorHAnsi" w:hAnsiTheme="majorHAnsi"/>
        </w:rPr>
        <w:t>.</w:t>
      </w:r>
      <w:r w:rsidR="00A65437" w:rsidRPr="00C11ED4">
        <w:rPr>
          <w:rFonts w:asciiTheme="majorHAnsi" w:hAnsiTheme="majorHAnsi"/>
        </w:rPr>
        <w:t xml:space="preserve"> As a recombinant glycoprotein</w:t>
      </w:r>
      <w:r w:rsidR="00112F6D" w:rsidRPr="00C11ED4">
        <w:rPr>
          <w:rFonts w:asciiTheme="majorHAnsi" w:hAnsiTheme="majorHAnsi"/>
        </w:rPr>
        <w:t>,</w:t>
      </w:r>
      <w:r w:rsidR="2DC44C11" w:rsidRPr="00C11ED4">
        <w:rPr>
          <w:rFonts w:asciiTheme="majorHAnsi" w:hAnsiTheme="majorHAnsi"/>
        </w:rPr>
        <w:t xml:space="preserve"> </w:t>
      </w:r>
      <w:proofErr w:type="spellStart"/>
      <w:r w:rsidR="00355849" w:rsidRPr="00C11ED4">
        <w:rPr>
          <w:rFonts w:asciiTheme="majorHAnsi" w:hAnsiTheme="majorHAnsi"/>
        </w:rPr>
        <w:t>cipaglucosidase</w:t>
      </w:r>
      <w:proofErr w:type="spellEnd"/>
      <w:r w:rsidR="00355849" w:rsidRPr="00C11ED4">
        <w:rPr>
          <w:rFonts w:asciiTheme="majorHAnsi" w:hAnsiTheme="majorHAnsi"/>
        </w:rPr>
        <w:t xml:space="preserve"> alfa </w:t>
      </w:r>
      <w:r w:rsidR="00A65437" w:rsidRPr="00C11ED4">
        <w:rPr>
          <w:rFonts w:asciiTheme="majorHAnsi" w:hAnsiTheme="majorHAnsi"/>
        </w:rPr>
        <w:t>is not expected to exhibit carcinogenic potential.</w:t>
      </w:r>
    </w:p>
    <w:p w14:paraId="73641B5E" w14:textId="77777777" w:rsidR="001A3992" w:rsidRPr="00C11ED4" w:rsidRDefault="001A3992" w:rsidP="006559EB">
      <w:pPr>
        <w:pStyle w:val="Heading1"/>
        <w:spacing w:before="0" w:after="200"/>
        <w:rPr>
          <w:rFonts w:cstheme="minorHAnsi"/>
          <w:lang w:val="en-US"/>
        </w:rPr>
      </w:pPr>
      <w:r w:rsidRPr="00C11ED4">
        <w:rPr>
          <w:rFonts w:cstheme="minorHAnsi"/>
          <w:lang w:val="en-US"/>
        </w:rPr>
        <w:t>Pharmaceutical particulars</w:t>
      </w:r>
    </w:p>
    <w:p w14:paraId="627AD22B" w14:textId="77777777" w:rsidR="001A3992" w:rsidRPr="00C11ED4" w:rsidRDefault="001A3992" w:rsidP="006559EB">
      <w:pPr>
        <w:pStyle w:val="Heading2"/>
        <w:spacing w:before="0"/>
        <w:rPr>
          <w:rFonts w:cstheme="minorHAnsi"/>
          <w:lang w:val="en-US"/>
        </w:rPr>
      </w:pPr>
      <w:r w:rsidRPr="00C11ED4">
        <w:rPr>
          <w:rFonts w:cstheme="minorHAnsi"/>
          <w:lang w:val="en-US"/>
        </w:rPr>
        <w:t xml:space="preserve">List of excipients </w:t>
      </w:r>
    </w:p>
    <w:p w14:paraId="219E4BAB" w14:textId="21BDBDFF" w:rsidR="00225B85" w:rsidRPr="00C11ED4" w:rsidRDefault="00764538" w:rsidP="006559EB">
      <w:pPr>
        <w:rPr>
          <w:rFonts w:asciiTheme="majorHAnsi" w:hAnsiTheme="majorHAnsi" w:cstheme="minorHAnsi"/>
          <w:lang w:val="en"/>
        </w:rPr>
      </w:pPr>
      <w:r w:rsidRPr="00C11ED4">
        <w:rPr>
          <w:rFonts w:asciiTheme="majorHAnsi" w:hAnsiTheme="majorHAnsi" w:cstheme="minorHAnsi"/>
          <w:lang w:val="en"/>
        </w:rPr>
        <w:t>c</w:t>
      </w:r>
      <w:r w:rsidR="00225B85" w:rsidRPr="00C11ED4">
        <w:rPr>
          <w:rFonts w:asciiTheme="majorHAnsi" w:hAnsiTheme="majorHAnsi" w:cstheme="minorHAnsi"/>
          <w:lang w:val="en"/>
        </w:rPr>
        <w:t xml:space="preserve">itric acid monohydrate </w:t>
      </w:r>
    </w:p>
    <w:p w14:paraId="50C9991D" w14:textId="072EAACB" w:rsidR="00225B85" w:rsidRPr="00C11ED4" w:rsidRDefault="00764538" w:rsidP="006559EB">
      <w:pPr>
        <w:rPr>
          <w:rFonts w:asciiTheme="majorHAnsi" w:hAnsiTheme="majorHAnsi" w:cstheme="minorHAnsi"/>
          <w:lang w:val="en"/>
        </w:rPr>
      </w:pPr>
      <w:r w:rsidRPr="00C11ED4">
        <w:rPr>
          <w:rFonts w:asciiTheme="majorHAnsi" w:hAnsiTheme="majorHAnsi" w:cstheme="minorHAnsi"/>
          <w:lang w:val="en"/>
        </w:rPr>
        <w:t>m</w:t>
      </w:r>
      <w:r w:rsidR="00225B85" w:rsidRPr="00C11ED4">
        <w:rPr>
          <w:rFonts w:asciiTheme="majorHAnsi" w:hAnsiTheme="majorHAnsi" w:cstheme="minorHAnsi"/>
          <w:lang w:val="en"/>
        </w:rPr>
        <w:t xml:space="preserve">annitol </w:t>
      </w:r>
    </w:p>
    <w:p w14:paraId="45919BE4" w14:textId="245AE858" w:rsidR="00225B85" w:rsidRPr="00C11ED4" w:rsidRDefault="00764538" w:rsidP="006559EB">
      <w:pPr>
        <w:rPr>
          <w:rFonts w:asciiTheme="majorHAnsi" w:hAnsiTheme="majorHAnsi" w:cstheme="minorHAnsi"/>
          <w:lang w:val="en"/>
        </w:rPr>
      </w:pPr>
      <w:r w:rsidRPr="00C11ED4">
        <w:rPr>
          <w:rFonts w:asciiTheme="majorHAnsi" w:hAnsiTheme="majorHAnsi" w:cstheme="minorHAnsi"/>
          <w:lang w:val="en"/>
        </w:rPr>
        <w:t>p</w:t>
      </w:r>
      <w:r w:rsidR="00225B85" w:rsidRPr="00C11ED4">
        <w:rPr>
          <w:rFonts w:asciiTheme="majorHAnsi" w:hAnsiTheme="majorHAnsi" w:cstheme="minorHAnsi"/>
          <w:lang w:val="en"/>
        </w:rPr>
        <w:t xml:space="preserve">olysorbate 80 </w:t>
      </w:r>
    </w:p>
    <w:p w14:paraId="217E1132" w14:textId="4E902D18" w:rsidR="008D48B5" w:rsidRPr="00C11ED4" w:rsidRDefault="00764538" w:rsidP="006559EB">
      <w:pPr>
        <w:rPr>
          <w:rFonts w:asciiTheme="majorHAnsi" w:hAnsiTheme="majorHAnsi" w:cstheme="minorHAnsi"/>
          <w:lang w:val="en"/>
        </w:rPr>
      </w:pPr>
      <w:r w:rsidRPr="00C11ED4">
        <w:rPr>
          <w:rFonts w:asciiTheme="majorHAnsi" w:hAnsiTheme="majorHAnsi" w:cstheme="minorHAnsi"/>
          <w:lang w:val="en"/>
        </w:rPr>
        <w:t>s</w:t>
      </w:r>
      <w:r w:rsidR="008D48B5" w:rsidRPr="00C11ED4">
        <w:rPr>
          <w:rFonts w:asciiTheme="majorHAnsi" w:hAnsiTheme="majorHAnsi" w:cstheme="minorHAnsi"/>
          <w:lang w:val="en"/>
        </w:rPr>
        <w:t>odium citrate dihydrate</w:t>
      </w:r>
    </w:p>
    <w:p w14:paraId="1CDDA08D" w14:textId="7D0D13F8" w:rsidR="00497C85" w:rsidRPr="00C11ED4" w:rsidRDefault="00497C85" w:rsidP="006559EB">
      <w:pPr>
        <w:rPr>
          <w:rFonts w:asciiTheme="majorHAnsi" w:hAnsiTheme="majorHAnsi" w:cstheme="minorHAnsi"/>
          <w:lang w:val="en-US"/>
        </w:rPr>
      </w:pPr>
      <w:r w:rsidRPr="00C11ED4">
        <w:rPr>
          <w:rFonts w:asciiTheme="majorHAnsi" w:hAnsiTheme="majorHAnsi" w:cstheme="minorHAnsi"/>
          <w:lang w:val="en"/>
        </w:rPr>
        <w:lastRenderedPageBreak/>
        <w:t xml:space="preserve">Refer to </w:t>
      </w:r>
      <w:r w:rsidR="002A33FE" w:rsidRPr="00C11ED4">
        <w:rPr>
          <w:rFonts w:asciiTheme="majorHAnsi" w:hAnsiTheme="majorHAnsi" w:cstheme="minorHAnsi"/>
          <w:lang w:val="en"/>
        </w:rPr>
        <w:t>Section</w:t>
      </w:r>
      <w:r w:rsidRPr="00C11ED4">
        <w:rPr>
          <w:rFonts w:asciiTheme="majorHAnsi" w:hAnsiTheme="majorHAnsi" w:cstheme="minorHAnsi"/>
          <w:lang w:val="en"/>
        </w:rPr>
        <w:t xml:space="preserve"> 2 </w:t>
      </w:r>
      <w:r w:rsidR="0074169A" w:rsidRPr="00C11ED4">
        <w:rPr>
          <w:rFonts w:asciiTheme="majorHAnsi" w:hAnsiTheme="majorHAnsi" w:cstheme="minorHAnsi"/>
          <w:lang w:val="en"/>
        </w:rPr>
        <w:t>QUALITATIVE AND QUANTITATIVE COMPOSITION</w:t>
      </w:r>
      <w:r w:rsidRPr="00C11ED4">
        <w:rPr>
          <w:rFonts w:asciiTheme="majorHAnsi" w:hAnsiTheme="majorHAnsi" w:cstheme="minorHAnsi"/>
          <w:lang w:val="en"/>
        </w:rPr>
        <w:t xml:space="preserve">. </w:t>
      </w:r>
    </w:p>
    <w:p w14:paraId="7D650E65" w14:textId="77777777" w:rsidR="001A3992" w:rsidRPr="00C11ED4" w:rsidRDefault="001A3992" w:rsidP="00FC66B1">
      <w:pPr>
        <w:pStyle w:val="Heading2"/>
        <w:keepNext/>
        <w:spacing w:before="0"/>
        <w:rPr>
          <w:rFonts w:cstheme="minorHAnsi"/>
          <w:lang w:val="en-US"/>
        </w:rPr>
      </w:pPr>
      <w:r w:rsidRPr="00C11ED4">
        <w:rPr>
          <w:rFonts w:cstheme="minorHAnsi"/>
          <w:lang w:val="en-US"/>
        </w:rPr>
        <w:t xml:space="preserve">Incompatibilities </w:t>
      </w:r>
    </w:p>
    <w:p w14:paraId="28E63C58" w14:textId="6105E6F8" w:rsidR="00497C85" w:rsidRPr="00C11ED4" w:rsidRDefault="00497C85" w:rsidP="006559EB">
      <w:pPr>
        <w:rPr>
          <w:rFonts w:asciiTheme="majorHAnsi" w:hAnsiTheme="majorHAnsi" w:cstheme="minorHAnsi"/>
          <w:lang w:val="en-US"/>
        </w:rPr>
      </w:pPr>
      <w:r w:rsidRPr="00C11ED4">
        <w:rPr>
          <w:rFonts w:asciiTheme="majorHAnsi" w:hAnsiTheme="majorHAnsi" w:cstheme="minorHAnsi"/>
          <w:lang w:val="en"/>
        </w:rPr>
        <w:t xml:space="preserve">Incompatibilities were either not assessed or not identified as part of the registration of this medicine. </w:t>
      </w:r>
    </w:p>
    <w:p w14:paraId="23A5B4FE" w14:textId="77777777" w:rsidR="001A3992" w:rsidRPr="00C11ED4" w:rsidRDefault="001A3992" w:rsidP="006559EB">
      <w:pPr>
        <w:pStyle w:val="Heading2"/>
        <w:spacing w:before="0"/>
        <w:rPr>
          <w:rFonts w:cstheme="minorHAnsi"/>
          <w:lang w:val="en-US"/>
        </w:rPr>
      </w:pPr>
      <w:r w:rsidRPr="00C11ED4">
        <w:rPr>
          <w:rFonts w:cstheme="minorHAnsi"/>
          <w:lang w:val="en-US"/>
        </w:rPr>
        <w:t xml:space="preserve">Shelf life </w:t>
      </w:r>
    </w:p>
    <w:p w14:paraId="271D3085" w14:textId="3273F406" w:rsidR="00497C85" w:rsidRPr="00C11ED4" w:rsidRDefault="00497C85" w:rsidP="006559EB">
      <w:pPr>
        <w:rPr>
          <w:rFonts w:asciiTheme="majorHAnsi" w:hAnsiTheme="majorHAnsi" w:cstheme="minorHAnsi"/>
          <w:lang w:val="en"/>
        </w:rPr>
      </w:pPr>
      <w:r w:rsidRPr="00C11ED4">
        <w:rPr>
          <w:rFonts w:asciiTheme="majorHAnsi" w:hAnsiTheme="majorHAnsi" w:cstheme="minorHAnsi"/>
          <w:lang w:val="en"/>
        </w:rPr>
        <w:t xml:space="preserve">In Australia, information on the shelf life can be found on the public summary of the Australian Register of Therapeutic Goods (ARTG). The expiry date can be found on the packaging. </w:t>
      </w:r>
    </w:p>
    <w:p w14:paraId="2C8C7E07" w14:textId="2C008B34" w:rsidR="007C4D8C" w:rsidRPr="00C11ED4" w:rsidRDefault="007C4D8C" w:rsidP="00DD343C">
      <w:pPr>
        <w:keepNext/>
        <w:rPr>
          <w:rFonts w:asciiTheme="majorHAnsi" w:hAnsiTheme="majorHAnsi"/>
          <w:b/>
          <w:bCs/>
          <w:lang w:val="en-US"/>
        </w:rPr>
      </w:pPr>
      <w:r w:rsidRPr="00C11ED4">
        <w:rPr>
          <w:rFonts w:asciiTheme="majorHAnsi" w:hAnsiTheme="majorHAnsi"/>
          <w:b/>
          <w:bCs/>
          <w:lang w:val="en-US"/>
        </w:rPr>
        <w:t>Reconstituted medicinal product</w:t>
      </w:r>
    </w:p>
    <w:p w14:paraId="280AE31B" w14:textId="7F5033A5" w:rsidR="00457CE2" w:rsidRPr="00C11ED4" w:rsidRDefault="00457CE2" w:rsidP="001D35F1">
      <w:pPr>
        <w:keepNext/>
        <w:spacing w:line="240" w:lineRule="auto"/>
        <w:rPr>
          <w:rFonts w:asciiTheme="majorHAnsi" w:hAnsiTheme="majorHAnsi"/>
          <w:lang w:val="en-US"/>
        </w:rPr>
      </w:pPr>
      <w:r w:rsidRPr="00C11ED4">
        <w:rPr>
          <w:rFonts w:asciiTheme="majorHAnsi" w:hAnsiTheme="majorHAnsi"/>
          <w:lang w:val="en-US"/>
        </w:rPr>
        <w:t xml:space="preserve">Do not freeze the reconstituted vial or the diluted </w:t>
      </w:r>
      <w:proofErr w:type="spellStart"/>
      <w:r w:rsidRPr="00C11ED4">
        <w:rPr>
          <w:rFonts w:asciiTheme="majorHAnsi" w:hAnsiTheme="majorHAnsi"/>
          <w:lang w:val="en-US"/>
        </w:rPr>
        <w:t>cipaglucosidase</w:t>
      </w:r>
      <w:proofErr w:type="spellEnd"/>
      <w:r w:rsidRPr="00C11ED4">
        <w:rPr>
          <w:rFonts w:asciiTheme="majorHAnsi" w:hAnsiTheme="majorHAnsi"/>
          <w:lang w:val="en-US"/>
        </w:rPr>
        <w:t xml:space="preserve"> alfa solution in the bag for infusion.</w:t>
      </w:r>
      <w:r w:rsidR="00310CB8" w:rsidRPr="00C11ED4">
        <w:rPr>
          <w:rFonts w:asciiTheme="majorHAnsi" w:hAnsiTheme="majorHAnsi"/>
          <w:lang w:val="en-US"/>
        </w:rPr>
        <w:t xml:space="preserve"> See table below:</w:t>
      </w:r>
    </w:p>
    <w:tbl>
      <w:tblPr>
        <w:tblW w:w="5007" w:type="pct"/>
        <w:tblBorders>
          <w:top w:val="outset" w:sz="6" w:space="0" w:color="7B7B7B"/>
          <w:left w:val="outset" w:sz="6" w:space="0" w:color="7B7B7B"/>
          <w:bottom w:val="outset" w:sz="6" w:space="0" w:color="7B7B7B"/>
          <w:right w:val="outset" w:sz="6" w:space="0" w:color="7B7B7B"/>
        </w:tblBorders>
        <w:tblLook w:val="04A0" w:firstRow="1" w:lastRow="0" w:firstColumn="1" w:lastColumn="0" w:noHBand="0" w:noVBand="1"/>
      </w:tblPr>
      <w:tblGrid>
        <w:gridCol w:w="2694"/>
        <w:gridCol w:w="3167"/>
        <w:gridCol w:w="3155"/>
        <w:gridCol w:w="13"/>
      </w:tblGrid>
      <w:tr w:rsidR="00E2657E" w:rsidRPr="00C11ED4" w14:paraId="692F1A17" w14:textId="77777777" w:rsidTr="007E7175">
        <w:trPr>
          <w:gridAfter w:val="1"/>
          <w:wAfter w:w="7" w:type="pct"/>
        </w:trPr>
        <w:tc>
          <w:tcPr>
            <w:tcW w:w="1492" w:type="pct"/>
            <w:vMerge w:val="restart"/>
            <w:tcBorders>
              <w:top w:val="single" w:sz="4" w:space="0" w:color="auto"/>
              <w:left w:val="single" w:sz="4" w:space="0" w:color="auto"/>
              <w:bottom w:val="outset" w:sz="6" w:space="0" w:color="7B7B7B"/>
              <w:right w:val="single" w:sz="4" w:space="0" w:color="auto"/>
            </w:tcBorders>
            <w:shd w:val="clear" w:color="auto" w:fill="auto"/>
            <w:tcMar>
              <w:top w:w="0" w:type="dxa"/>
              <w:left w:w="115" w:type="dxa"/>
              <w:bottom w:w="0" w:type="dxa"/>
              <w:right w:w="115" w:type="dxa"/>
            </w:tcMar>
            <w:hideMark/>
          </w:tcPr>
          <w:p w14:paraId="5C2BF8D1" w14:textId="1B1BAC69" w:rsidR="00310CB8" w:rsidRPr="00C11ED4" w:rsidRDefault="00310CB8" w:rsidP="00FC66B1">
            <w:pPr>
              <w:keepNext/>
              <w:keepLines/>
              <w:shd w:val="clear" w:color="auto" w:fill="FFFFFF"/>
              <w:spacing w:after="0" w:line="240" w:lineRule="auto"/>
              <w:jc w:val="center"/>
              <w:rPr>
                <w:rFonts w:asciiTheme="majorHAnsi" w:hAnsiTheme="majorHAnsi"/>
                <w:szCs w:val="24"/>
              </w:rPr>
            </w:pPr>
            <w:r w:rsidRPr="00C11ED4">
              <w:rPr>
                <w:rFonts w:asciiTheme="majorHAnsi" w:hAnsiTheme="majorHAnsi"/>
                <w:b/>
                <w:bCs/>
                <w:szCs w:val="24"/>
              </w:rPr>
              <w:t>Infusion Preparation</w:t>
            </w:r>
            <w:r w:rsidR="006B66F4" w:rsidRPr="00C11ED4">
              <w:rPr>
                <w:rFonts w:asciiTheme="majorHAnsi" w:hAnsiTheme="majorHAnsi"/>
                <w:b/>
                <w:bCs/>
                <w:szCs w:val="24"/>
              </w:rPr>
              <w:t>*</w:t>
            </w:r>
          </w:p>
        </w:tc>
        <w:tc>
          <w:tcPr>
            <w:tcW w:w="3501"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DF55E4B" w14:textId="77777777" w:rsidR="00310CB8" w:rsidRPr="00C11ED4" w:rsidRDefault="00310CB8" w:rsidP="00FC66B1">
            <w:pPr>
              <w:keepNext/>
              <w:keepLines/>
              <w:shd w:val="clear" w:color="auto" w:fill="FFFFFF"/>
              <w:spacing w:after="0" w:line="240" w:lineRule="auto"/>
              <w:jc w:val="center"/>
              <w:rPr>
                <w:rFonts w:asciiTheme="majorHAnsi" w:hAnsiTheme="majorHAnsi"/>
                <w:szCs w:val="24"/>
              </w:rPr>
            </w:pPr>
            <w:r w:rsidRPr="00C11ED4">
              <w:rPr>
                <w:rFonts w:asciiTheme="majorHAnsi" w:hAnsiTheme="majorHAnsi"/>
                <w:b/>
                <w:bCs/>
                <w:szCs w:val="24"/>
              </w:rPr>
              <w:t>In-use Stability</w:t>
            </w:r>
            <w:r w:rsidRPr="00C11ED4">
              <w:rPr>
                <w:rFonts w:asciiTheme="majorHAnsi" w:hAnsiTheme="majorHAnsi"/>
                <w:szCs w:val="24"/>
              </w:rPr>
              <w:t xml:space="preserve"> </w:t>
            </w:r>
          </w:p>
        </w:tc>
      </w:tr>
      <w:tr w:rsidR="000346C2" w:rsidRPr="00C11ED4" w14:paraId="6940A430" w14:textId="77777777" w:rsidTr="007E7175">
        <w:tc>
          <w:tcPr>
            <w:tcW w:w="1492" w:type="pct"/>
            <w:vMerge/>
            <w:tcBorders>
              <w:top w:val="outset" w:sz="6" w:space="0" w:color="7B7B7B"/>
              <w:left w:val="single" w:sz="4" w:space="0" w:color="auto"/>
              <w:bottom w:val="single" w:sz="4" w:space="0" w:color="auto"/>
              <w:right w:val="single" w:sz="4" w:space="0" w:color="auto"/>
            </w:tcBorders>
            <w:shd w:val="clear" w:color="auto" w:fill="auto"/>
            <w:tcMar>
              <w:left w:w="115" w:type="dxa"/>
              <w:right w:w="115" w:type="dxa"/>
            </w:tcMar>
            <w:hideMark/>
          </w:tcPr>
          <w:p w14:paraId="4F08E30F" w14:textId="77777777" w:rsidR="00310CB8" w:rsidRPr="00C11ED4" w:rsidRDefault="00310CB8" w:rsidP="00FC66B1">
            <w:pPr>
              <w:keepNext/>
              <w:keepLines/>
              <w:shd w:val="clear" w:color="auto" w:fill="FFFFFF"/>
              <w:spacing w:after="0" w:line="240" w:lineRule="auto"/>
              <w:jc w:val="center"/>
              <w:rPr>
                <w:rFonts w:asciiTheme="majorHAnsi" w:hAnsiTheme="majorHAnsi"/>
                <w:szCs w:val="24"/>
              </w:rPr>
            </w:pPr>
          </w:p>
        </w:tc>
        <w:tc>
          <w:tcPr>
            <w:tcW w:w="1754"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2FB9636" w14:textId="57F418D6" w:rsidR="00310CB8" w:rsidRPr="00C11ED4" w:rsidRDefault="00310CB8" w:rsidP="00FC66B1">
            <w:pPr>
              <w:keepNext/>
              <w:keepLines/>
              <w:shd w:val="clear" w:color="auto" w:fill="FFFFFF"/>
              <w:spacing w:after="0" w:line="240" w:lineRule="auto"/>
              <w:jc w:val="center"/>
              <w:rPr>
                <w:rFonts w:asciiTheme="majorHAnsi" w:hAnsiTheme="majorHAnsi"/>
                <w:szCs w:val="24"/>
              </w:rPr>
            </w:pPr>
            <w:r w:rsidRPr="00C11ED4">
              <w:rPr>
                <w:rFonts w:asciiTheme="majorHAnsi" w:hAnsiTheme="majorHAnsi"/>
                <w:b/>
                <w:bCs/>
                <w:szCs w:val="24"/>
              </w:rPr>
              <w:t xml:space="preserve">Refrigerated Storage </w:t>
            </w:r>
            <w:r w:rsidRPr="00C11ED4">
              <w:rPr>
                <w:rFonts w:asciiTheme="majorHAnsi" w:hAnsiTheme="majorHAnsi"/>
                <w:b/>
                <w:bCs/>
                <w:szCs w:val="24"/>
              </w:rPr>
              <w:br/>
            </w:r>
            <w:r w:rsidRPr="00C11ED4">
              <w:rPr>
                <w:rFonts w:asciiTheme="majorHAnsi" w:hAnsiTheme="majorHAnsi"/>
                <w:szCs w:val="24"/>
              </w:rPr>
              <w:t>(2°C to 8°C)</w:t>
            </w:r>
          </w:p>
        </w:tc>
        <w:tc>
          <w:tcPr>
            <w:tcW w:w="1754"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8BE4E57" w14:textId="0AA3A6EF" w:rsidR="00310CB8" w:rsidRPr="00C11ED4" w:rsidRDefault="00310CB8" w:rsidP="00FC66B1">
            <w:pPr>
              <w:keepNext/>
              <w:keepLines/>
              <w:shd w:val="clear" w:color="auto" w:fill="FFFFFF"/>
              <w:spacing w:after="0" w:line="240" w:lineRule="auto"/>
              <w:jc w:val="center"/>
              <w:rPr>
                <w:rFonts w:asciiTheme="majorHAnsi" w:hAnsiTheme="majorHAnsi"/>
                <w:szCs w:val="24"/>
              </w:rPr>
            </w:pPr>
            <w:r w:rsidRPr="00C11ED4">
              <w:rPr>
                <w:rFonts w:asciiTheme="majorHAnsi" w:hAnsiTheme="majorHAnsi"/>
                <w:b/>
                <w:bCs/>
                <w:szCs w:val="24"/>
              </w:rPr>
              <w:t xml:space="preserve">Room Temperature Storage </w:t>
            </w:r>
            <w:r w:rsidRPr="00C11ED4">
              <w:rPr>
                <w:rFonts w:asciiTheme="majorHAnsi" w:hAnsiTheme="majorHAnsi"/>
                <w:b/>
                <w:bCs/>
                <w:szCs w:val="24"/>
              </w:rPr>
              <w:br/>
            </w:r>
            <w:r w:rsidRPr="00C11ED4">
              <w:rPr>
                <w:rFonts w:asciiTheme="majorHAnsi" w:hAnsiTheme="majorHAnsi"/>
                <w:szCs w:val="24"/>
              </w:rPr>
              <w:t>(20°C to 25°C)</w:t>
            </w:r>
          </w:p>
        </w:tc>
      </w:tr>
      <w:tr w:rsidR="000346C2" w:rsidRPr="00C11ED4" w14:paraId="2DAADFC4" w14:textId="77777777" w:rsidTr="007E7175">
        <w:tc>
          <w:tcPr>
            <w:tcW w:w="1492"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75B9D10" w14:textId="1828EFF2" w:rsidR="00310CB8" w:rsidRPr="00C11ED4" w:rsidRDefault="00310CB8" w:rsidP="00FC66B1">
            <w:pPr>
              <w:keepNext/>
              <w:keepLines/>
              <w:shd w:val="clear" w:color="auto" w:fill="FFFFFF"/>
              <w:spacing w:after="0" w:line="240" w:lineRule="auto"/>
              <w:rPr>
                <w:rFonts w:asciiTheme="majorHAnsi" w:hAnsiTheme="majorHAnsi"/>
                <w:szCs w:val="24"/>
              </w:rPr>
            </w:pPr>
            <w:r w:rsidRPr="00C11ED4">
              <w:rPr>
                <w:rFonts w:asciiTheme="majorHAnsi" w:hAnsiTheme="majorHAnsi"/>
                <w:szCs w:val="24"/>
              </w:rPr>
              <w:t xml:space="preserve">Once </w:t>
            </w:r>
            <w:r w:rsidR="00093F15" w:rsidRPr="00C11ED4">
              <w:rPr>
                <w:rFonts w:asciiTheme="majorHAnsi" w:hAnsiTheme="majorHAnsi"/>
                <w:szCs w:val="24"/>
              </w:rPr>
              <w:t>POMBILITI</w:t>
            </w:r>
            <w:r w:rsidRPr="00C11ED4">
              <w:rPr>
                <w:rFonts w:asciiTheme="majorHAnsi" w:hAnsiTheme="majorHAnsi"/>
                <w:szCs w:val="24"/>
              </w:rPr>
              <w:t xml:space="preserve"> vial is reconstituted with sterile water for injection</w:t>
            </w:r>
            <w:r w:rsidR="000C7A53" w:rsidRPr="00C11ED4">
              <w:rPr>
                <w:rFonts w:asciiTheme="majorHAnsi" w:hAnsiTheme="majorHAnsi"/>
                <w:szCs w:val="24"/>
              </w:rPr>
              <w:t>s</w:t>
            </w:r>
            <w:r w:rsidRPr="00C11ED4">
              <w:rPr>
                <w:rFonts w:asciiTheme="majorHAnsi" w:hAnsiTheme="majorHAnsi"/>
                <w:szCs w:val="24"/>
              </w:rPr>
              <w:t>:</w:t>
            </w:r>
          </w:p>
        </w:tc>
        <w:tc>
          <w:tcPr>
            <w:tcW w:w="1754"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0A55744" w14:textId="073150E2" w:rsidR="00310CB8" w:rsidRPr="00C11ED4" w:rsidRDefault="00310CB8" w:rsidP="00FC66B1">
            <w:pPr>
              <w:keepNext/>
              <w:keepLines/>
              <w:shd w:val="clear" w:color="auto" w:fill="FFFFFF"/>
              <w:spacing w:after="0" w:line="240" w:lineRule="auto"/>
              <w:jc w:val="center"/>
              <w:rPr>
                <w:rFonts w:asciiTheme="majorHAnsi" w:hAnsiTheme="majorHAnsi"/>
                <w:szCs w:val="24"/>
              </w:rPr>
            </w:pPr>
            <w:r w:rsidRPr="00C11ED4">
              <w:rPr>
                <w:rFonts w:asciiTheme="majorHAnsi" w:hAnsiTheme="majorHAnsi"/>
                <w:szCs w:val="24"/>
              </w:rPr>
              <w:t>24 hours</w:t>
            </w:r>
          </w:p>
        </w:tc>
        <w:tc>
          <w:tcPr>
            <w:tcW w:w="1754" w:type="pct"/>
            <w:gridSpan w:val="2"/>
            <w:tcBorders>
              <w:top w:val="single" w:sz="4" w:space="0" w:color="auto"/>
              <w:left w:val="single" w:sz="4" w:space="0" w:color="auto"/>
              <w:bottom w:val="outset" w:sz="6" w:space="0" w:color="7B7B7B"/>
              <w:right w:val="single" w:sz="4" w:space="0" w:color="auto"/>
            </w:tcBorders>
            <w:shd w:val="clear" w:color="auto" w:fill="auto"/>
            <w:tcMar>
              <w:top w:w="0" w:type="dxa"/>
              <w:left w:w="115" w:type="dxa"/>
              <w:bottom w:w="0" w:type="dxa"/>
              <w:right w:w="115" w:type="dxa"/>
            </w:tcMar>
            <w:hideMark/>
          </w:tcPr>
          <w:p w14:paraId="32118746" w14:textId="635EE136" w:rsidR="00310CB8" w:rsidRPr="00C11ED4" w:rsidRDefault="00310CB8" w:rsidP="00FC66B1">
            <w:pPr>
              <w:keepNext/>
              <w:keepLines/>
              <w:shd w:val="clear" w:color="auto" w:fill="FFFFFF"/>
              <w:spacing w:after="0" w:line="240" w:lineRule="auto"/>
              <w:jc w:val="center"/>
              <w:rPr>
                <w:rFonts w:asciiTheme="majorHAnsi" w:hAnsiTheme="majorHAnsi"/>
                <w:szCs w:val="24"/>
              </w:rPr>
            </w:pPr>
            <w:r w:rsidRPr="00C11ED4">
              <w:rPr>
                <w:rFonts w:asciiTheme="majorHAnsi" w:hAnsiTheme="majorHAnsi"/>
                <w:szCs w:val="24"/>
              </w:rPr>
              <w:t>Not recommended</w:t>
            </w:r>
          </w:p>
        </w:tc>
      </w:tr>
      <w:tr w:rsidR="000346C2" w:rsidRPr="00C11ED4" w14:paraId="7CF3EAC3" w14:textId="77777777" w:rsidTr="007E7175">
        <w:tc>
          <w:tcPr>
            <w:tcW w:w="1492"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F7D0A2E" w14:textId="78BA362F" w:rsidR="00310CB8" w:rsidRPr="00C11ED4" w:rsidRDefault="00310CB8" w:rsidP="00FC66B1">
            <w:pPr>
              <w:keepNext/>
              <w:keepLines/>
              <w:shd w:val="clear" w:color="auto" w:fill="FFFFFF"/>
              <w:spacing w:after="0" w:line="240" w:lineRule="auto"/>
              <w:rPr>
                <w:rFonts w:asciiTheme="majorHAnsi" w:hAnsiTheme="majorHAnsi"/>
                <w:szCs w:val="24"/>
              </w:rPr>
            </w:pPr>
            <w:r w:rsidRPr="00C11ED4">
              <w:rPr>
                <w:rFonts w:asciiTheme="majorHAnsi" w:hAnsiTheme="majorHAnsi"/>
                <w:szCs w:val="24"/>
              </w:rPr>
              <w:t>Once reconstituted vial is diluted with sodium chloride 9</w:t>
            </w:r>
            <w:r w:rsidR="00347416" w:rsidRPr="00C11ED4">
              <w:rPr>
                <w:rFonts w:asciiTheme="majorHAnsi" w:hAnsiTheme="majorHAnsi"/>
                <w:szCs w:val="24"/>
              </w:rPr>
              <w:t> </w:t>
            </w:r>
            <w:r w:rsidRPr="00C11ED4">
              <w:rPr>
                <w:rFonts w:asciiTheme="majorHAnsi" w:hAnsiTheme="majorHAnsi"/>
                <w:szCs w:val="24"/>
              </w:rPr>
              <w:t>mg/mL (0.9%) solution for injection in the infusion bag:</w:t>
            </w:r>
          </w:p>
        </w:tc>
        <w:tc>
          <w:tcPr>
            <w:tcW w:w="1754"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5AFC7D65" w14:textId="0C1EC33F" w:rsidR="00310CB8" w:rsidRPr="00C11ED4" w:rsidRDefault="00460DDD" w:rsidP="00FC66B1">
            <w:pPr>
              <w:keepNext/>
              <w:keepLines/>
              <w:shd w:val="clear" w:color="auto" w:fill="FFFFFF"/>
              <w:spacing w:after="0" w:line="240" w:lineRule="auto"/>
              <w:jc w:val="center"/>
              <w:rPr>
                <w:rFonts w:asciiTheme="majorHAnsi" w:hAnsiTheme="majorHAnsi"/>
                <w:szCs w:val="24"/>
              </w:rPr>
            </w:pPr>
            <w:r w:rsidRPr="00C11ED4">
              <w:rPr>
                <w:rFonts w:asciiTheme="majorHAnsi" w:hAnsiTheme="majorHAnsi"/>
                <w:szCs w:val="24"/>
              </w:rPr>
              <w:t>24 </w:t>
            </w:r>
            <w:r w:rsidR="00310CB8" w:rsidRPr="00C11ED4">
              <w:rPr>
                <w:rFonts w:asciiTheme="majorHAnsi" w:hAnsiTheme="majorHAnsi"/>
                <w:szCs w:val="24"/>
              </w:rPr>
              <w:t>hours</w:t>
            </w:r>
          </w:p>
        </w:tc>
        <w:tc>
          <w:tcPr>
            <w:tcW w:w="1754" w:type="pct"/>
            <w:gridSpan w:val="2"/>
            <w:tcBorders>
              <w:top w:val="outset" w:sz="6" w:space="0" w:color="7B7B7B"/>
              <w:left w:val="single" w:sz="4" w:space="0" w:color="auto"/>
              <w:bottom w:val="outset" w:sz="6" w:space="0" w:color="7B7B7B"/>
              <w:right w:val="single" w:sz="4" w:space="0" w:color="auto"/>
            </w:tcBorders>
            <w:shd w:val="clear" w:color="auto" w:fill="auto"/>
            <w:tcMar>
              <w:top w:w="0" w:type="dxa"/>
              <w:left w:w="115" w:type="dxa"/>
              <w:bottom w:w="0" w:type="dxa"/>
              <w:right w:w="115" w:type="dxa"/>
            </w:tcMar>
          </w:tcPr>
          <w:p w14:paraId="2363811B" w14:textId="108B1110" w:rsidR="00310CB8" w:rsidRPr="00C11ED4" w:rsidRDefault="00310CB8" w:rsidP="00FC66B1">
            <w:pPr>
              <w:keepNext/>
              <w:keepLines/>
              <w:shd w:val="clear" w:color="auto" w:fill="FFFFFF"/>
              <w:spacing w:after="0" w:line="240" w:lineRule="auto"/>
              <w:jc w:val="center"/>
              <w:rPr>
                <w:rFonts w:asciiTheme="majorHAnsi" w:hAnsiTheme="majorHAnsi"/>
                <w:szCs w:val="24"/>
              </w:rPr>
            </w:pPr>
            <w:r w:rsidRPr="00C11ED4">
              <w:rPr>
                <w:rFonts w:asciiTheme="majorHAnsi" w:hAnsiTheme="majorHAnsi"/>
                <w:szCs w:val="24"/>
              </w:rPr>
              <w:t>6 hours</w:t>
            </w:r>
          </w:p>
        </w:tc>
      </w:tr>
      <w:tr w:rsidR="004E4505" w:rsidRPr="00C11ED4" w14:paraId="784B6CF6" w14:textId="77777777" w:rsidTr="007E7175">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89419ED" w14:textId="1ED8A25D" w:rsidR="00D6239F" w:rsidRPr="00C11ED4" w:rsidRDefault="00D6239F" w:rsidP="005224B6">
            <w:pPr>
              <w:shd w:val="clear" w:color="auto" w:fill="FFFFFF"/>
              <w:spacing w:after="0" w:line="240" w:lineRule="auto"/>
              <w:ind w:left="130" w:hanging="130"/>
              <w:rPr>
                <w:rFonts w:asciiTheme="majorHAnsi" w:hAnsiTheme="majorHAnsi"/>
                <w:sz w:val="20"/>
                <w:szCs w:val="20"/>
              </w:rPr>
            </w:pPr>
            <w:r w:rsidRPr="00C11ED4">
              <w:rPr>
                <w:rFonts w:asciiTheme="majorHAnsi" w:hAnsiTheme="majorHAnsi"/>
                <w:sz w:val="20"/>
                <w:szCs w:val="20"/>
              </w:rPr>
              <w:t>*</w:t>
            </w:r>
            <w:r w:rsidRPr="00C11ED4">
              <w:rPr>
                <w:sz w:val="20"/>
                <w:szCs w:val="20"/>
              </w:rPr>
              <w:t xml:space="preserve"> </w:t>
            </w:r>
            <w:r w:rsidRPr="00C11ED4">
              <w:rPr>
                <w:rFonts w:asciiTheme="majorHAnsi" w:hAnsiTheme="majorHAnsi"/>
                <w:sz w:val="20"/>
                <w:szCs w:val="20"/>
              </w:rPr>
              <w:t>To reduce microbiological hazard, use as soon as practicable after reconstitution/preparation. If storage is necessary, hold at 2-8°C for not more than 24 hours</w:t>
            </w:r>
            <w:r w:rsidR="008F6A03" w:rsidRPr="00C11ED4">
              <w:rPr>
                <w:rFonts w:asciiTheme="majorHAnsi" w:hAnsiTheme="majorHAnsi"/>
                <w:sz w:val="20"/>
                <w:szCs w:val="20"/>
              </w:rPr>
              <w:t>.</w:t>
            </w:r>
          </w:p>
        </w:tc>
      </w:tr>
    </w:tbl>
    <w:p w14:paraId="25DB134B" w14:textId="77777777" w:rsidR="001A3992" w:rsidRPr="00C11ED4" w:rsidRDefault="001A3992" w:rsidP="00FC66B1">
      <w:pPr>
        <w:pStyle w:val="Heading2"/>
        <w:keepNext/>
        <w:keepLines/>
        <w:spacing w:before="200"/>
        <w:rPr>
          <w:rFonts w:cstheme="minorHAnsi"/>
          <w:lang w:val="en-US"/>
        </w:rPr>
      </w:pPr>
      <w:r w:rsidRPr="00C11ED4">
        <w:rPr>
          <w:rFonts w:cstheme="minorHAnsi"/>
          <w:lang w:val="en-US"/>
        </w:rPr>
        <w:t xml:space="preserve">Special precautions for storage </w:t>
      </w:r>
    </w:p>
    <w:p w14:paraId="459A6154" w14:textId="77777777" w:rsidR="00B455FB" w:rsidRPr="00C11ED4" w:rsidRDefault="004F27BE" w:rsidP="0003348C">
      <w:pPr>
        <w:pStyle w:val="Default"/>
        <w:shd w:val="clear" w:color="auto" w:fill="FFFFFF" w:themeFill="background1"/>
        <w:spacing w:after="200" w:line="276" w:lineRule="auto"/>
        <w:rPr>
          <w:rFonts w:asciiTheme="majorHAnsi" w:hAnsiTheme="majorHAnsi"/>
          <w:sz w:val="22"/>
          <w:szCs w:val="22"/>
        </w:rPr>
      </w:pPr>
      <w:r w:rsidRPr="00C11ED4">
        <w:rPr>
          <w:rFonts w:asciiTheme="majorHAnsi" w:hAnsiTheme="majorHAnsi"/>
          <w:sz w:val="22"/>
          <w:szCs w:val="22"/>
        </w:rPr>
        <w:t>Store in original container or equivalent to protect from light.</w:t>
      </w:r>
    </w:p>
    <w:p w14:paraId="4AFE8F14" w14:textId="22F3A723" w:rsidR="005202B0" w:rsidRPr="00C11ED4" w:rsidRDefault="00B455FB" w:rsidP="0003348C">
      <w:pPr>
        <w:pStyle w:val="Default"/>
        <w:shd w:val="clear" w:color="auto" w:fill="FFFFFF" w:themeFill="background1"/>
        <w:spacing w:after="200" w:line="276" w:lineRule="auto"/>
        <w:rPr>
          <w:rFonts w:asciiTheme="majorHAnsi" w:hAnsiTheme="majorHAnsi"/>
          <w:sz w:val="22"/>
          <w:szCs w:val="22"/>
        </w:rPr>
      </w:pPr>
      <w:r w:rsidRPr="00C11ED4">
        <w:rPr>
          <w:rFonts w:asciiTheme="majorHAnsi" w:hAnsiTheme="majorHAnsi"/>
          <w:sz w:val="22"/>
          <w:szCs w:val="22"/>
        </w:rPr>
        <w:t>Do not freeze. Store at 2°C to 8°C.</w:t>
      </w:r>
    </w:p>
    <w:p w14:paraId="4EE6DD8C" w14:textId="35BE581A" w:rsidR="005202B0" w:rsidRPr="00C11ED4" w:rsidRDefault="005202B0" w:rsidP="0003348C">
      <w:pPr>
        <w:pStyle w:val="Default"/>
        <w:shd w:val="clear" w:color="auto" w:fill="FFFFFF" w:themeFill="background1"/>
        <w:spacing w:after="200" w:line="276" w:lineRule="auto"/>
        <w:rPr>
          <w:rFonts w:asciiTheme="majorHAnsi" w:hAnsiTheme="majorHAnsi"/>
          <w:sz w:val="22"/>
          <w:szCs w:val="22"/>
        </w:rPr>
      </w:pPr>
      <w:r w:rsidRPr="00C11ED4">
        <w:rPr>
          <w:rFonts w:asciiTheme="majorHAnsi" w:hAnsiTheme="majorHAnsi"/>
          <w:sz w:val="22"/>
          <w:szCs w:val="22"/>
        </w:rPr>
        <w:t xml:space="preserve">For storage conditions after reconstitution and dilution of the medicinal product, see </w:t>
      </w:r>
      <w:r w:rsidR="002A33FE" w:rsidRPr="00C11ED4">
        <w:rPr>
          <w:rFonts w:asciiTheme="majorHAnsi" w:hAnsiTheme="majorHAnsi"/>
          <w:sz w:val="22"/>
          <w:szCs w:val="22"/>
        </w:rPr>
        <w:t>Section</w:t>
      </w:r>
      <w:r w:rsidRPr="00C11ED4">
        <w:rPr>
          <w:rFonts w:asciiTheme="majorHAnsi" w:hAnsiTheme="majorHAnsi"/>
          <w:sz w:val="22"/>
          <w:szCs w:val="22"/>
        </w:rPr>
        <w:t xml:space="preserve"> </w:t>
      </w:r>
      <w:r w:rsidR="00B231D4" w:rsidRPr="00C11ED4">
        <w:rPr>
          <w:rFonts w:asciiTheme="majorHAnsi" w:hAnsiTheme="majorHAnsi"/>
          <w:sz w:val="22"/>
          <w:szCs w:val="22"/>
        </w:rPr>
        <w:t>6.3 SHELF LIFE</w:t>
      </w:r>
      <w:r w:rsidRPr="00C11ED4">
        <w:rPr>
          <w:rFonts w:asciiTheme="majorHAnsi" w:hAnsiTheme="majorHAnsi"/>
          <w:sz w:val="22"/>
          <w:szCs w:val="22"/>
        </w:rPr>
        <w:t>.</w:t>
      </w:r>
    </w:p>
    <w:p w14:paraId="607FE7D4" w14:textId="77777777" w:rsidR="001A3992" w:rsidRPr="00C11ED4" w:rsidRDefault="001A3992" w:rsidP="0003348C">
      <w:pPr>
        <w:pStyle w:val="Heading2"/>
        <w:spacing w:before="0"/>
        <w:rPr>
          <w:rFonts w:cstheme="minorHAnsi"/>
          <w:lang w:val="en-US"/>
        </w:rPr>
      </w:pPr>
      <w:r w:rsidRPr="00C11ED4">
        <w:rPr>
          <w:rFonts w:cstheme="minorHAnsi"/>
          <w:lang w:val="en-US"/>
        </w:rPr>
        <w:t xml:space="preserve">Nature and contents of container </w:t>
      </w:r>
    </w:p>
    <w:p w14:paraId="6A544C7C" w14:textId="1334ECFB" w:rsidR="00B50D83" w:rsidRPr="00C11ED4" w:rsidRDefault="00B50D83" w:rsidP="00851B36">
      <w:pPr>
        <w:pStyle w:val="ListParagraph"/>
        <w:shd w:val="clear" w:color="auto" w:fill="FFFFFF" w:themeFill="background1"/>
        <w:ind w:left="0"/>
        <w:contextualSpacing w:val="0"/>
        <w:rPr>
          <w:rFonts w:asciiTheme="majorHAnsi" w:hAnsiTheme="majorHAnsi"/>
          <w:b/>
          <w:bCs/>
        </w:rPr>
      </w:pPr>
      <w:r w:rsidRPr="00C11ED4">
        <w:rPr>
          <w:rFonts w:asciiTheme="majorHAnsi" w:hAnsiTheme="majorHAnsi"/>
          <w:b/>
          <w:bCs/>
        </w:rPr>
        <w:t xml:space="preserve">Container </w:t>
      </w:r>
      <w:r w:rsidR="00814B37" w:rsidRPr="00C11ED4">
        <w:rPr>
          <w:rFonts w:asciiTheme="majorHAnsi" w:hAnsiTheme="majorHAnsi"/>
          <w:b/>
          <w:bCs/>
        </w:rPr>
        <w:t>t</w:t>
      </w:r>
      <w:r w:rsidRPr="00C11ED4">
        <w:rPr>
          <w:rFonts w:asciiTheme="majorHAnsi" w:hAnsiTheme="majorHAnsi"/>
          <w:b/>
          <w:bCs/>
        </w:rPr>
        <w:t>ype</w:t>
      </w:r>
    </w:p>
    <w:p w14:paraId="0A780ECE" w14:textId="5FA6DA93" w:rsidR="00464E66" w:rsidRPr="00C11ED4" w:rsidRDefault="004625E1" w:rsidP="00851B36">
      <w:pPr>
        <w:pStyle w:val="ListParagraph"/>
        <w:shd w:val="clear" w:color="auto" w:fill="FFFFFF" w:themeFill="background1"/>
        <w:ind w:left="0"/>
        <w:contextualSpacing w:val="0"/>
        <w:rPr>
          <w:rFonts w:asciiTheme="majorHAnsi" w:hAnsiTheme="majorHAnsi"/>
        </w:rPr>
      </w:pPr>
      <w:r w:rsidRPr="00C11ED4">
        <w:rPr>
          <w:rFonts w:asciiTheme="majorHAnsi" w:hAnsiTheme="majorHAnsi"/>
        </w:rPr>
        <w:t xml:space="preserve">One 20 mL vial contains 105 mg of </w:t>
      </w:r>
      <w:proofErr w:type="spellStart"/>
      <w:r w:rsidRPr="00C11ED4">
        <w:rPr>
          <w:rFonts w:asciiTheme="majorHAnsi" w:hAnsiTheme="majorHAnsi"/>
        </w:rPr>
        <w:t>cipaglucosidase</w:t>
      </w:r>
      <w:proofErr w:type="spellEnd"/>
      <w:r w:rsidRPr="00C11ED4">
        <w:rPr>
          <w:rFonts w:asciiTheme="majorHAnsi" w:hAnsiTheme="majorHAnsi"/>
        </w:rPr>
        <w:t xml:space="preserve"> alfa. </w:t>
      </w:r>
      <w:r w:rsidR="002A410D" w:rsidRPr="00C11ED4">
        <w:rPr>
          <w:rFonts w:asciiTheme="majorHAnsi" w:hAnsiTheme="majorHAnsi"/>
        </w:rPr>
        <w:t xml:space="preserve">It is supplied in a neutral borosilicate clear glass vial sealed with a 20 mm </w:t>
      </w:r>
      <w:proofErr w:type="spellStart"/>
      <w:r w:rsidR="002A410D" w:rsidRPr="00C11ED4">
        <w:rPr>
          <w:rFonts w:asciiTheme="majorHAnsi" w:hAnsiTheme="majorHAnsi"/>
        </w:rPr>
        <w:t>chlorobutyl</w:t>
      </w:r>
      <w:proofErr w:type="spellEnd"/>
      <w:r w:rsidR="002A410D" w:rsidRPr="00C11ED4">
        <w:rPr>
          <w:rFonts w:asciiTheme="majorHAnsi" w:hAnsiTheme="majorHAnsi"/>
        </w:rPr>
        <w:t xml:space="preserve"> rubber stopper with an </w:t>
      </w:r>
      <w:r w:rsidR="00A73966" w:rsidRPr="00C11ED4">
        <w:rPr>
          <w:rFonts w:asciiTheme="majorHAnsi" w:hAnsiTheme="majorHAnsi"/>
        </w:rPr>
        <w:t>aluminium</w:t>
      </w:r>
      <w:r w:rsidR="002A410D" w:rsidRPr="00C11ED4">
        <w:rPr>
          <w:rFonts w:asciiTheme="majorHAnsi" w:hAnsiTheme="majorHAnsi"/>
        </w:rPr>
        <w:t xml:space="preserve"> </w:t>
      </w:r>
      <w:proofErr w:type="spellStart"/>
      <w:r w:rsidR="002A410D" w:rsidRPr="00C11ED4">
        <w:rPr>
          <w:rFonts w:asciiTheme="majorHAnsi" w:hAnsiTheme="majorHAnsi"/>
        </w:rPr>
        <w:t>overseal</w:t>
      </w:r>
      <w:proofErr w:type="spellEnd"/>
      <w:r w:rsidR="002A410D" w:rsidRPr="00C11ED4">
        <w:rPr>
          <w:rFonts w:asciiTheme="majorHAnsi" w:hAnsiTheme="majorHAnsi"/>
        </w:rPr>
        <w:t xml:space="preserve"> with a dark grey </w:t>
      </w:r>
      <w:r w:rsidR="00A73966" w:rsidRPr="00C11ED4">
        <w:rPr>
          <w:rFonts w:asciiTheme="majorHAnsi" w:hAnsiTheme="majorHAnsi"/>
        </w:rPr>
        <w:t>f</w:t>
      </w:r>
      <w:r w:rsidR="002A410D" w:rsidRPr="00C11ED4">
        <w:rPr>
          <w:rFonts w:asciiTheme="majorHAnsi" w:hAnsiTheme="majorHAnsi"/>
        </w:rPr>
        <w:t>lip</w:t>
      </w:r>
      <w:r w:rsidR="00CB0A87" w:rsidRPr="00C11ED4">
        <w:rPr>
          <w:rFonts w:asciiTheme="majorHAnsi" w:hAnsiTheme="majorHAnsi"/>
        </w:rPr>
        <w:t xml:space="preserve">-off </w:t>
      </w:r>
      <w:r w:rsidR="002A410D" w:rsidRPr="00C11ED4">
        <w:rPr>
          <w:rFonts w:asciiTheme="majorHAnsi" w:hAnsiTheme="majorHAnsi"/>
        </w:rPr>
        <w:t xml:space="preserve">cap. </w:t>
      </w:r>
    </w:p>
    <w:p w14:paraId="6A8B67D4" w14:textId="70740949" w:rsidR="00B50D83" w:rsidRPr="00C11ED4" w:rsidRDefault="00B50D83" w:rsidP="00130558">
      <w:pPr>
        <w:pStyle w:val="ListParagraph"/>
        <w:keepNext/>
        <w:shd w:val="clear" w:color="auto" w:fill="FFFFFF" w:themeFill="background1"/>
        <w:ind w:left="0"/>
        <w:contextualSpacing w:val="0"/>
        <w:rPr>
          <w:rFonts w:asciiTheme="majorHAnsi" w:hAnsiTheme="majorHAnsi"/>
          <w:b/>
          <w:bCs/>
        </w:rPr>
      </w:pPr>
      <w:r w:rsidRPr="00C11ED4">
        <w:rPr>
          <w:rFonts w:asciiTheme="majorHAnsi" w:hAnsiTheme="majorHAnsi"/>
          <w:b/>
          <w:bCs/>
        </w:rPr>
        <w:lastRenderedPageBreak/>
        <w:t xml:space="preserve">Pack </w:t>
      </w:r>
      <w:r w:rsidR="00814B37" w:rsidRPr="00C11ED4">
        <w:rPr>
          <w:rFonts w:asciiTheme="majorHAnsi" w:hAnsiTheme="majorHAnsi"/>
          <w:b/>
          <w:bCs/>
        </w:rPr>
        <w:t>s</w:t>
      </w:r>
      <w:r w:rsidRPr="00C11ED4">
        <w:rPr>
          <w:rFonts w:asciiTheme="majorHAnsi" w:hAnsiTheme="majorHAnsi"/>
          <w:b/>
          <w:bCs/>
        </w:rPr>
        <w:t>izes</w:t>
      </w:r>
    </w:p>
    <w:p w14:paraId="29EA430A" w14:textId="0ED3B31F" w:rsidR="003B122C" w:rsidRPr="00C11ED4" w:rsidRDefault="57AA199F" w:rsidP="0003348C">
      <w:pPr>
        <w:shd w:val="clear" w:color="auto" w:fill="FFFFFF" w:themeFill="background1"/>
        <w:rPr>
          <w:rFonts w:asciiTheme="majorHAnsi" w:hAnsiTheme="majorHAnsi"/>
        </w:rPr>
      </w:pPr>
      <w:r w:rsidRPr="00C11ED4">
        <w:rPr>
          <w:rFonts w:asciiTheme="majorHAnsi" w:hAnsiTheme="majorHAnsi"/>
        </w:rPr>
        <w:t>Packs containing 1, 10, and 25 vials.</w:t>
      </w:r>
    </w:p>
    <w:p w14:paraId="69052E3B" w14:textId="77777777" w:rsidR="003B122C" w:rsidRPr="00C11ED4" w:rsidRDefault="003B122C" w:rsidP="0003348C">
      <w:pPr>
        <w:shd w:val="clear" w:color="auto" w:fill="FFFFFF" w:themeFill="background1"/>
        <w:rPr>
          <w:rFonts w:asciiTheme="majorHAnsi" w:hAnsiTheme="majorHAnsi"/>
        </w:rPr>
      </w:pPr>
      <w:r w:rsidRPr="00C11ED4">
        <w:rPr>
          <w:rFonts w:asciiTheme="majorHAnsi" w:hAnsiTheme="majorHAnsi"/>
        </w:rPr>
        <w:t>Not all pack sizes may be marketed.</w:t>
      </w:r>
    </w:p>
    <w:p w14:paraId="25EDAA13" w14:textId="77777777" w:rsidR="001A3992" w:rsidRPr="00C11ED4" w:rsidRDefault="001A3992" w:rsidP="0003348C">
      <w:pPr>
        <w:pStyle w:val="Heading2"/>
        <w:keepNext/>
        <w:keepLines/>
        <w:spacing w:before="0"/>
        <w:rPr>
          <w:rFonts w:cstheme="minorHAnsi"/>
          <w:lang w:val="en-US"/>
        </w:rPr>
      </w:pPr>
      <w:r w:rsidRPr="00C11ED4">
        <w:rPr>
          <w:rFonts w:cstheme="minorHAnsi"/>
          <w:lang w:val="en-US"/>
        </w:rPr>
        <w:t xml:space="preserve">Special precautions for disposal </w:t>
      </w:r>
    </w:p>
    <w:p w14:paraId="68F859FA" w14:textId="77777777" w:rsidR="0024507B" w:rsidRPr="00C11ED4" w:rsidRDefault="0024507B" w:rsidP="00FC66B1">
      <w:pPr>
        <w:keepNext/>
        <w:rPr>
          <w:rFonts w:asciiTheme="majorHAnsi" w:hAnsiTheme="majorHAnsi"/>
          <w:b/>
          <w:bCs/>
          <w:lang w:val="en-US"/>
        </w:rPr>
      </w:pPr>
      <w:r w:rsidRPr="00C11ED4">
        <w:rPr>
          <w:rFonts w:asciiTheme="majorHAnsi" w:hAnsiTheme="majorHAnsi"/>
          <w:b/>
          <w:bCs/>
          <w:lang w:val="en-US"/>
        </w:rPr>
        <w:t>Disposal</w:t>
      </w:r>
    </w:p>
    <w:p w14:paraId="57C755CF" w14:textId="5747BF99" w:rsidR="002B424E" w:rsidRPr="00C11ED4" w:rsidRDefault="002B424E" w:rsidP="0003348C">
      <w:pPr>
        <w:rPr>
          <w:rFonts w:asciiTheme="majorHAnsi" w:hAnsiTheme="majorHAnsi"/>
          <w:lang w:val="en-US"/>
        </w:rPr>
      </w:pPr>
      <w:r w:rsidRPr="00C11ED4">
        <w:rPr>
          <w:rFonts w:asciiTheme="majorHAnsi" w:hAnsiTheme="majorHAnsi"/>
          <w:lang w:val="en-US"/>
        </w:rPr>
        <w:t>In Australia, any unused medicine or waste material should be disposed of in accordance with local requirements.</w:t>
      </w:r>
    </w:p>
    <w:p w14:paraId="1533BC12" w14:textId="77777777" w:rsidR="001A3992" w:rsidRPr="00C11ED4" w:rsidRDefault="001A3992" w:rsidP="0003348C">
      <w:pPr>
        <w:pStyle w:val="Heading2"/>
        <w:spacing w:before="0"/>
        <w:rPr>
          <w:rFonts w:cstheme="minorHAnsi"/>
          <w:lang w:val="en-US"/>
        </w:rPr>
      </w:pPr>
      <w:r w:rsidRPr="00C11ED4">
        <w:rPr>
          <w:rFonts w:cstheme="minorHAnsi"/>
          <w:lang w:val="en-US"/>
        </w:rPr>
        <w:t>Physicochemical properties</w:t>
      </w:r>
    </w:p>
    <w:p w14:paraId="551FCA85" w14:textId="77777777" w:rsidR="001A3992" w:rsidRPr="00C11ED4" w:rsidRDefault="001A3992" w:rsidP="0003348C">
      <w:pPr>
        <w:pStyle w:val="Heading3"/>
        <w:keepNext w:val="0"/>
        <w:keepLines w:val="0"/>
        <w:spacing w:before="0" w:after="200"/>
        <w:ind w:left="0"/>
        <w:rPr>
          <w:rFonts w:cstheme="minorHAnsi"/>
          <w:lang w:val="en-US"/>
        </w:rPr>
      </w:pPr>
      <w:r w:rsidRPr="00C11ED4">
        <w:rPr>
          <w:rFonts w:cstheme="minorHAnsi"/>
          <w:lang w:val="en-US"/>
        </w:rPr>
        <w:t>CAS number</w:t>
      </w:r>
    </w:p>
    <w:p w14:paraId="724446E3" w14:textId="3C289177" w:rsidR="00982907" w:rsidRPr="00C11ED4" w:rsidRDefault="0048360C" w:rsidP="0003348C">
      <w:pPr>
        <w:rPr>
          <w:rFonts w:asciiTheme="majorHAnsi" w:hAnsiTheme="majorHAnsi"/>
          <w:lang w:val="en-US"/>
        </w:rPr>
      </w:pPr>
      <w:r w:rsidRPr="00C11ED4">
        <w:rPr>
          <w:rFonts w:asciiTheme="majorHAnsi" w:hAnsiTheme="majorHAnsi"/>
          <w:lang w:val="en-US"/>
        </w:rPr>
        <w:t>2359727-71-0</w:t>
      </w:r>
    </w:p>
    <w:p w14:paraId="3FA9310D" w14:textId="77777777" w:rsidR="001A3992" w:rsidRPr="00C11ED4" w:rsidRDefault="001A3992" w:rsidP="0003348C">
      <w:pPr>
        <w:pStyle w:val="Heading1"/>
        <w:spacing w:before="0" w:after="200"/>
        <w:rPr>
          <w:rFonts w:cstheme="minorHAnsi"/>
          <w:lang w:val="en-US"/>
        </w:rPr>
      </w:pPr>
      <w:bookmarkStart w:id="6" w:name="_Hlk132900905"/>
      <w:r w:rsidRPr="00C11ED4">
        <w:rPr>
          <w:rFonts w:cstheme="minorHAnsi"/>
          <w:lang w:val="en-US"/>
        </w:rPr>
        <w:t>Medicine schedule (Poisons Standard)</w:t>
      </w:r>
    </w:p>
    <w:bookmarkEnd w:id="6"/>
    <w:p w14:paraId="5511B551" w14:textId="65222391" w:rsidR="00FE700C" w:rsidRPr="00C11ED4" w:rsidRDefault="00510E75" w:rsidP="0003348C">
      <w:pPr>
        <w:rPr>
          <w:rFonts w:asciiTheme="majorHAnsi" w:hAnsiTheme="majorHAnsi"/>
          <w:lang w:val="en-US"/>
        </w:rPr>
      </w:pPr>
      <w:r w:rsidRPr="00C11ED4">
        <w:rPr>
          <w:rFonts w:asciiTheme="majorHAnsi" w:hAnsiTheme="majorHAnsi"/>
          <w:lang w:val="en-US"/>
        </w:rPr>
        <w:t>Schedule 4</w:t>
      </w:r>
      <w:r w:rsidR="0048360C" w:rsidRPr="00C11ED4">
        <w:rPr>
          <w:rFonts w:asciiTheme="majorHAnsi" w:hAnsiTheme="majorHAnsi"/>
          <w:lang w:val="en-US"/>
        </w:rPr>
        <w:t xml:space="preserve"> </w:t>
      </w:r>
      <w:r w:rsidR="00A83230" w:rsidRPr="00C11ED4">
        <w:rPr>
          <w:rFonts w:asciiTheme="majorHAnsi" w:hAnsiTheme="majorHAnsi"/>
          <w:lang w:val="en-US"/>
        </w:rPr>
        <w:t xml:space="preserve">– </w:t>
      </w:r>
      <w:r w:rsidR="0048360C" w:rsidRPr="00C11ED4">
        <w:rPr>
          <w:rFonts w:asciiTheme="majorHAnsi" w:hAnsiTheme="majorHAnsi"/>
          <w:lang w:val="en-US"/>
        </w:rPr>
        <w:t>Prescription Only Medicine</w:t>
      </w:r>
    </w:p>
    <w:p w14:paraId="58CB864E" w14:textId="77777777" w:rsidR="001A3992" w:rsidRPr="00C11ED4" w:rsidRDefault="001A3992" w:rsidP="0003348C">
      <w:pPr>
        <w:pStyle w:val="Heading1"/>
        <w:spacing w:before="0" w:after="200"/>
        <w:rPr>
          <w:rFonts w:cstheme="minorHAnsi"/>
          <w:lang w:val="en-US"/>
        </w:rPr>
      </w:pPr>
      <w:r w:rsidRPr="00C11ED4">
        <w:rPr>
          <w:rFonts w:cstheme="minorHAnsi"/>
          <w:lang w:val="en-US"/>
        </w:rPr>
        <w:t>Sponsor</w:t>
      </w:r>
    </w:p>
    <w:p w14:paraId="6DDE8D1D" w14:textId="6B8F0A2E" w:rsidR="003C7A83" w:rsidRPr="00C11ED4" w:rsidRDefault="003C7A83" w:rsidP="00FC66B1">
      <w:pPr>
        <w:pStyle w:val="CTDtext"/>
        <w:spacing w:after="0" w:line="276" w:lineRule="auto"/>
        <w:jc w:val="left"/>
        <w:rPr>
          <w:rFonts w:asciiTheme="majorHAnsi" w:hAnsiTheme="majorHAnsi"/>
          <w:noProof/>
          <w:sz w:val="22"/>
          <w:szCs w:val="22"/>
          <w:lang w:val="en-AU"/>
        </w:rPr>
      </w:pPr>
      <w:r w:rsidRPr="00C11ED4">
        <w:rPr>
          <w:rFonts w:asciiTheme="majorHAnsi" w:hAnsiTheme="majorHAnsi"/>
          <w:noProof/>
          <w:sz w:val="22"/>
          <w:szCs w:val="22"/>
          <w:lang w:val="en-AU"/>
        </w:rPr>
        <w:t>Amicus Therapeutics Pty Ltd</w:t>
      </w:r>
    </w:p>
    <w:p w14:paraId="280E2172" w14:textId="541C2B87" w:rsidR="00C12C05" w:rsidRPr="00C11ED4" w:rsidRDefault="00C12C05" w:rsidP="00FC66B1">
      <w:pPr>
        <w:pStyle w:val="CTDtext"/>
        <w:spacing w:after="0" w:line="276" w:lineRule="auto"/>
        <w:jc w:val="left"/>
        <w:rPr>
          <w:rFonts w:asciiTheme="majorHAnsi" w:hAnsiTheme="majorHAnsi"/>
          <w:noProof/>
          <w:sz w:val="22"/>
          <w:szCs w:val="22"/>
          <w:lang w:val="en-AU"/>
        </w:rPr>
      </w:pPr>
      <w:r w:rsidRPr="00C11ED4">
        <w:rPr>
          <w:rFonts w:asciiTheme="majorHAnsi" w:hAnsiTheme="majorHAnsi"/>
          <w:noProof/>
          <w:sz w:val="22"/>
          <w:szCs w:val="22"/>
          <w:lang w:val="en-AU"/>
        </w:rPr>
        <w:t>Level 10, 20 Martin Place</w:t>
      </w:r>
    </w:p>
    <w:p w14:paraId="1AC43D41" w14:textId="2E9526E3" w:rsidR="00CF3B49" w:rsidRPr="00C11ED4" w:rsidRDefault="00DD4654" w:rsidP="00FC66B1">
      <w:pPr>
        <w:pStyle w:val="CTDtext"/>
        <w:spacing w:after="0" w:line="276" w:lineRule="auto"/>
        <w:jc w:val="left"/>
        <w:rPr>
          <w:rFonts w:asciiTheme="majorHAnsi" w:hAnsiTheme="majorHAnsi"/>
          <w:noProof/>
          <w:sz w:val="22"/>
          <w:szCs w:val="22"/>
          <w:lang w:val="en-AU"/>
        </w:rPr>
      </w:pPr>
      <w:r w:rsidRPr="00C11ED4">
        <w:rPr>
          <w:rFonts w:asciiTheme="majorHAnsi" w:hAnsiTheme="majorHAnsi"/>
          <w:noProof/>
          <w:sz w:val="22"/>
          <w:szCs w:val="22"/>
          <w:lang w:val="en-AU"/>
        </w:rPr>
        <w:t>Sydney NSW 2000</w:t>
      </w:r>
    </w:p>
    <w:p w14:paraId="0DD885E7" w14:textId="2B01A590" w:rsidR="003C7A83" w:rsidRPr="00C11ED4" w:rsidRDefault="00DD4654" w:rsidP="00F447F5">
      <w:pPr>
        <w:spacing w:after="0"/>
        <w:rPr>
          <w:rFonts w:asciiTheme="majorHAnsi" w:hAnsiTheme="majorHAnsi"/>
          <w:noProof/>
        </w:rPr>
      </w:pPr>
      <w:r w:rsidRPr="00C11ED4">
        <w:rPr>
          <w:rFonts w:asciiTheme="majorHAnsi" w:hAnsiTheme="majorHAnsi"/>
          <w:noProof/>
        </w:rPr>
        <w:t>Australia</w:t>
      </w:r>
    </w:p>
    <w:p w14:paraId="3BE0C849" w14:textId="77777777" w:rsidR="00A96182" w:rsidRPr="00C11ED4" w:rsidRDefault="00A96182" w:rsidP="00A96182">
      <w:pPr>
        <w:spacing w:after="0"/>
        <w:rPr>
          <w:rFonts w:asciiTheme="majorHAnsi" w:hAnsiTheme="majorHAnsi"/>
          <w:lang w:val="en-US"/>
        </w:rPr>
      </w:pPr>
      <w:r w:rsidRPr="00C11ED4">
        <w:rPr>
          <w:rFonts w:asciiTheme="majorHAnsi" w:hAnsiTheme="majorHAnsi"/>
          <w:lang w:val="en-US"/>
        </w:rPr>
        <w:t>Free call: 1300 264 287</w:t>
      </w:r>
    </w:p>
    <w:p w14:paraId="57C1E5E7" w14:textId="153C850B" w:rsidR="00D10115" w:rsidRPr="00C11ED4" w:rsidRDefault="00A96182" w:rsidP="00A96182">
      <w:pPr>
        <w:pStyle w:val="CTDtext"/>
        <w:rPr>
          <w:rFonts w:asciiTheme="majorHAnsi" w:hAnsiTheme="majorHAnsi"/>
          <w:noProof/>
          <w:sz w:val="22"/>
          <w:szCs w:val="22"/>
        </w:rPr>
      </w:pPr>
      <w:r w:rsidRPr="00C11ED4">
        <w:rPr>
          <w:rFonts w:asciiTheme="majorHAnsi" w:hAnsiTheme="majorHAnsi"/>
          <w:sz w:val="22"/>
          <w:szCs w:val="22"/>
          <w:lang w:val="en-US"/>
        </w:rPr>
        <w:t>Email: MedInfoAustralia@amicusrx.com</w:t>
      </w:r>
      <w:r w:rsidRPr="00C11ED4">
        <w:rPr>
          <w:rFonts w:asciiTheme="majorHAnsi" w:hAnsiTheme="majorHAnsi"/>
          <w:lang w:val="en-US"/>
        </w:rPr>
        <w:t xml:space="preserve"> </w:t>
      </w:r>
    </w:p>
    <w:p w14:paraId="12EC3C39" w14:textId="2D82D954" w:rsidR="001A3992" w:rsidRPr="00C11ED4" w:rsidRDefault="001A3992" w:rsidP="0003348C">
      <w:pPr>
        <w:pStyle w:val="Heading1"/>
        <w:spacing w:before="0" w:after="200"/>
        <w:rPr>
          <w:rFonts w:cstheme="minorHAnsi"/>
          <w:lang w:val="en-US"/>
        </w:rPr>
      </w:pPr>
      <w:r w:rsidRPr="00C11ED4">
        <w:rPr>
          <w:rFonts w:cstheme="minorHAnsi"/>
          <w:lang w:val="en-US"/>
        </w:rPr>
        <w:t xml:space="preserve">Date of first approval </w:t>
      </w:r>
    </w:p>
    <w:p w14:paraId="18F1655D" w14:textId="0BD2FAA3" w:rsidR="00D92A08" w:rsidRPr="00C11ED4" w:rsidRDefault="0042533C" w:rsidP="0003348C">
      <w:pPr>
        <w:rPr>
          <w:rFonts w:asciiTheme="majorHAnsi" w:hAnsiTheme="majorHAnsi"/>
          <w:lang w:val="en-US"/>
        </w:rPr>
      </w:pPr>
      <w:r>
        <w:rPr>
          <w:rFonts w:asciiTheme="majorHAnsi" w:hAnsiTheme="majorHAnsi"/>
          <w:lang w:val="en-US"/>
        </w:rPr>
        <w:t>17 February 2025</w:t>
      </w:r>
    </w:p>
    <w:p w14:paraId="0BCF210A" w14:textId="77777777" w:rsidR="001A3992" w:rsidRPr="00C11ED4" w:rsidRDefault="001A3992" w:rsidP="0003348C">
      <w:pPr>
        <w:pStyle w:val="Heading1"/>
        <w:spacing w:before="0" w:after="200"/>
        <w:rPr>
          <w:rFonts w:cstheme="minorHAnsi"/>
          <w:lang w:val="en-US"/>
        </w:rPr>
      </w:pPr>
      <w:r w:rsidRPr="00C11ED4">
        <w:rPr>
          <w:rFonts w:cstheme="minorHAnsi"/>
          <w:lang w:val="en-US"/>
        </w:rPr>
        <w:t xml:space="preserve">Date of revision </w:t>
      </w:r>
    </w:p>
    <w:p w14:paraId="3F7326DF" w14:textId="7087C179" w:rsidR="00646136" w:rsidRPr="00C11ED4" w:rsidRDefault="00642B33" w:rsidP="0003348C">
      <w:pPr>
        <w:rPr>
          <w:rFonts w:asciiTheme="majorHAnsi" w:hAnsiTheme="majorHAnsi"/>
          <w:lang w:val="en-US"/>
        </w:rPr>
      </w:pPr>
      <w:r w:rsidRPr="00C11ED4">
        <w:rPr>
          <w:rFonts w:asciiTheme="majorHAnsi" w:hAnsiTheme="majorHAnsi"/>
          <w:lang w:val="en-US"/>
        </w:rPr>
        <w:t>Not Applicable</w:t>
      </w:r>
    </w:p>
    <w:p w14:paraId="2433374E" w14:textId="77777777" w:rsidR="001A3992" w:rsidRPr="00C11ED4" w:rsidRDefault="001A3992" w:rsidP="0005377A">
      <w:pPr>
        <w:pStyle w:val="Heading2"/>
        <w:keepNext/>
        <w:keepLines/>
        <w:numPr>
          <w:ilvl w:val="0"/>
          <w:numId w:val="0"/>
        </w:numPr>
        <w:spacing w:before="0"/>
        <w:rPr>
          <w:rFonts w:cstheme="minorHAnsi"/>
          <w:lang w:val="en-US"/>
        </w:rPr>
      </w:pPr>
      <w:r w:rsidRPr="00C11ED4">
        <w:rPr>
          <w:rFonts w:cstheme="minorHAnsi"/>
          <w:lang w:val="en-US"/>
        </w:rPr>
        <w:t>Summary table of changes</w:t>
      </w:r>
    </w:p>
    <w:tbl>
      <w:tblPr>
        <w:tblStyle w:val="LightGrid"/>
        <w:tblW w:w="5000" w:type="pct"/>
        <w:tblCellMar>
          <w:top w:w="57" w:type="dxa"/>
          <w:bottom w:w="57" w:type="dxa"/>
        </w:tblCellMar>
        <w:tblLook w:val="06A0" w:firstRow="1" w:lastRow="0" w:firstColumn="1" w:lastColumn="0" w:noHBand="1" w:noVBand="1"/>
      </w:tblPr>
      <w:tblGrid>
        <w:gridCol w:w="1371"/>
        <w:gridCol w:w="7635"/>
      </w:tblGrid>
      <w:tr w:rsidR="00B020E1" w:rsidRPr="00C11ED4" w14:paraId="3C751F9D" w14:textId="77777777" w:rsidTr="00E542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shd w:val="clear" w:color="auto" w:fill="F2F2F2" w:themeFill="background1" w:themeFillShade="F2"/>
            <w:vAlign w:val="center"/>
          </w:tcPr>
          <w:p w14:paraId="5BDD676D" w14:textId="53057748" w:rsidR="00ED0937" w:rsidRPr="00C11ED4" w:rsidRDefault="002A33FE" w:rsidP="0005377A">
            <w:pPr>
              <w:keepNext/>
              <w:keepLines/>
              <w:rPr>
                <w:rFonts w:cstheme="minorHAnsi"/>
                <w:sz w:val="20"/>
                <w:lang w:val="en-US"/>
              </w:rPr>
            </w:pPr>
            <w:r w:rsidRPr="00C11ED4">
              <w:rPr>
                <w:rFonts w:cstheme="minorHAnsi"/>
                <w:sz w:val="20"/>
                <w:lang w:val="en-US"/>
              </w:rPr>
              <w:t>Section</w:t>
            </w:r>
            <w:r w:rsidR="00ED0937" w:rsidRPr="00C11ED4">
              <w:rPr>
                <w:rFonts w:cstheme="minorHAnsi"/>
                <w:sz w:val="20"/>
                <w:lang w:val="en-US"/>
              </w:rPr>
              <w:t xml:space="preserve"> Changed</w:t>
            </w:r>
          </w:p>
        </w:tc>
        <w:tc>
          <w:tcPr>
            <w:tcW w:w="4239" w:type="pct"/>
            <w:shd w:val="clear" w:color="auto" w:fill="F2F2F2" w:themeFill="background1" w:themeFillShade="F2"/>
            <w:vAlign w:val="center"/>
          </w:tcPr>
          <w:p w14:paraId="57D5B45C" w14:textId="77777777" w:rsidR="00ED0937" w:rsidRPr="00C11ED4" w:rsidRDefault="00ED0937" w:rsidP="0005377A">
            <w:pPr>
              <w:keepNext/>
              <w:keepLines/>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C11ED4">
              <w:rPr>
                <w:rFonts w:cstheme="minorHAnsi"/>
                <w:sz w:val="20"/>
                <w:lang w:val="en-US"/>
              </w:rPr>
              <w:t>Summary of new information</w:t>
            </w:r>
          </w:p>
        </w:tc>
      </w:tr>
      <w:tr w:rsidR="00B020E1" w:rsidRPr="00B020E1" w14:paraId="423D89F5" w14:textId="77777777" w:rsidTr="00E54276">
        <w:tc>
          <w:tcPr>
            <w:cnfStyle w:val="001000000000" w:firstRow="0" w:lastRow="0" w:firstColumn="1" w:lastColumn="0" w:oddVBand="0" w:evenVBand="0" w:oddHBand="0" w:evenHBand="0" w:firstRowFirstColumn="0" w:firstRowLastColumn="0" w:lastRowFirstColumn="0" w:lastRowLastColumn="0"/>
            <w:tcW w:w="761" w:type="pct"/>
            <w:vAlign w:val="center"/>
          </w:tcPr>
          <w:p w14:paraId="744A9CFA" w14:textId="1F99DB6D" w:rsidR="00ED0937" w:rsidRPr="00C11ED4" w:rsidRDefault="00642B33" w:rsidP="0005377A">
            <w:pPr>
              <w:keepNext/>
              <w:keepLines/>
              <w:rPr>
                <w:rFonts w:cstheme="minorHAnsi"/>
                <w:lang w:val="en-US"/>
              </w:rPr>
            </w:pPr>
            <w:r w:rsidRPr="00C11ED4">
              <w:rPr>
                <w:rFonts w:cstheme="minorHAnsi"/>
                <w:lang w:val="en-US"/>
              </w:rPr>
              <w:t>-</w:t>
            </w:r>
          </w:p>
        </w:tc>
        <w:tc>
          <w:tcPr>
            <w:tcW w:w="4239" w:type="pct"/>
            <w:vAlign w:val="center"/>
          </w:tcPr>
          <w:p w14:paraId="6D7525F1" w14:textId="2186C99B" w:rsidR="00ED0937" w:rsidRPr="00B020E1" w:rsidRDefault="00642B33" w:rsidP="0005377A">
            <w:pPr>
              <w:keepNext/>
              <w:keep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sidRPr="00C11ED4">
              <w:rPr>
                <w:rFonts w:asciiTheme="majorHAnsi" w:hAnsiTheme="majorHAnsi" w:cstheme="minorHAnsi"/>
                <w:lang w:val="en-US"/>
              </w:rPr>
              <w:t>New</w:t>
            </w:r>
          </w:p>
        </w:tc>
      </w:tr>
    </w:tbl>
    <w:p w14:paraId="41C47509" w14:textId="0B4FC137" w:rsidR="00960CD5" w:rsidRPr="00B020E1" w:rsidRDefault="00960CD5" w:rsidP="00117F5C">
      <w:pPr>
        <w:spacing w:after="120"/>
        <w:rPr>
          <w:rFonts w:asciiTheme="majorHAnsi" w:hAnsiTheme="majorHAnsi" w:cstheme="minorHAnsi"/>
        </w:rPr>
      </w:pPr>
    </w:p>
    <w:sectPr w:rsidR="00960CD5" w:rsidRPr="00B020E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587D" w14:textId="77777777" w:rsidR="00957410" w:rsidRDefault="00957410" w:rsidP="001A3992">
      <w:pPr>
        <w:spacing w:after="0" w:line="240" w:lineRule="auto"/>
      </w:pPr>
      <w:r>
        <w:separator/>
      </w:r>
    </w:p>
    <w:p w14:paraId="016E664A" w14:textId="77777777" w:rsidR="00957410" w:rsidRDefault="00957410"/>
  </w:endnote>
  <w:endnote w:type="continuationSeparator" w:id="0">
    <w:p w14:paraId="37A29CFB" w14:textId="77777777" w:rsidR="00957410" w:rsidRDefault="00957410" w:rsidP="001A3992">
      <w:pPr>
        <w:spacing w:after="0" w:line="240" w:lineRule="auto"/>
      </w:pPr>
      <w:r>
        <w:continuationSeparator/>
      </w:r>
    </w:p>
    <w:p w14:paraId="746D1FE8" w14:textId="77777777" w:rsidR="00957410" w:rsidRDefault="00957410"/>
  </w:endnote>
  <w:endnote w:type="continuationNotice" w:id="1">
    <w:p w14:paraId="2A8CCF8A" w14:textId="77777777" w:rsidR="00957410" w:rsidRDefault="00957410">
      <w:pPr>
        <w:spacing w:after="0" w:line="240" w:lineRule="auto"/>
      </w:pPr>
    </w:p>
    <w:p w14:paraId="7702B640" w14:textId="77777777" w:rsidR="00957410" w:rsidRDefault="00957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163430"/>
      <w:docPartObj>
        <w:docPartGallery w:val="Page Numbers (Bottom of Page)"/>
        <w:docPartUnique/>
      </w:docPartObj>
    </w:sdtPr>
    <w:sdtEndPr>
      <w:rPr>
        <w:sz w:val="20"/>
        <w:szCs w:val="20"/>
      </w:rPr>
    </w:sdtEndPr>
    <w:sdtContent>
      <w:p w14:paraId="49915CBC" w14:textId="3AA0048E" w:rsidR="00942B97" w:rsidRPr="00B8074A" w:rsidRDefault="00431ACD" w:rsidP="00A80EBD">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677840">
          <w:rPr>
            <w:noProof/>
            <w:sz w:val="20"/>
          </w:rPr>
          <w:t>2</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BAD2" w14:textId="77777777" w:rsidR="00957410" w:rsidRDefault="00957410" w:rsidP="001A3992">
      <w:pPr>
        <w:spacing w:after="0" w:line="240" w:lineRule="auto"/>
      </w:pPr>
      <w:r>
        <w:separator/>
      </w:r>
    </w:p>
    <w:p w14:paraId="39C0F79C" w14:textId="77777777" w:rsidR="00957410" w:rsidRDefault="00957410"/>
  </w:footnote>
  <w:footnote w:type="continuationSeparator" w:id="0">
    <w:p w14:paraId="6FD6935B" w14:textId="77777777" w:rsidR="00957410" w:rsidRDefault="00957410" w:rsidP="001A3992">
      <w:pPr>
        <w:spacing w:after="0" w:line="240" w:lineRule="auto"/>
      </w:pPr>
      <w:r>
        <w:continuationSeparator/>
      </w:r>
    </w:p>
    <w:p w14:paraId="15DFECF8" w14:textId="77777777" w:rsidR="00957410" w:rsidRDefault="00957410"/>
  </w:footnote>
  <w:footnote w:type="continuationNotice" w:id="1">
    <w:p w14:paraId="73C1573A" w14:textId="77777777" w:rsidR="00957410" w:rsidRDefault="00957410">
      <w:pPr>
        <w:spacing w:after="0" w:line="240" w:lineRule="auto"/>
      </w:pPr>
    </w:p>
    <w:p w14:paraId="5B3C47A0" w14:textId="77777777" w:rsidR="00957410" w:rsidRDefault="009574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66D3" w14:textId="77777777" w:rsidR="001D2A88" w:rsidRDefault="001D2A88" w:rsidP="001D2A88">
    <w:pPr>
      <w:pStyle w:val="ListBullet"/>
      <w:ind w:left="0" w:firstLine="0"/>
    </w:pPr>
  </w:p>
  <w:tbl>
    <w:tblPr>
      <w:tblStyle w:val="TableGrid"/>
      <w:tblW w:w="0" w:type="auto"/>
      <w:tblInd w:w="-318" w:type="dxa"/>
      <w:shd w:val="clear" w:color="auto" w:fill="E4F2E0"/>
      <w:tblLook w:val="04A0" w:firstRow="1" w:lastRow="0" w:firstColumn="1" w:lastColumn="0" w:noHBand="0" w:noVBand="1"/>
    </w:tblPr>
    <w:tblGrid>
      <w:gridCol w:w="9334"/>
    </w:tblGrid>
    <w:tr w:rsidR="001D2A88" w:rsidRPr="000B2145" w14:paraId="5E023E5F" w14:textId="77777777" w:rsidTr="000D49C1">
      <w:trPr>
        <w:trHeight w:val="1012"/>
      </w:trPr>
      <w:tc>
        <w:tcPr>
          <w:tcW w:w="9498" w:type="dxa"/>
          <w:shd w:val="clear" w:color="auto" w:fill="E4F2E0"/>
        </w:tcPr>
        <w:p w14:paraId="531E952D" w14:textId="77777777" w:rsidR="001D2A88" w:rsidRPr="00CB3C52" w:rsidRDefault="001D2A88" w:rsidP="001D2A88">
          <w:pPr>
            <w:pStyle w:val="Footer"/>
            <w:rPr>
              <w:b/>
              <w:bCs/>
              <w:sz w:val="18"/>
              <w:szCs w:val="18"/>
            </w:rPr>
          </w:pPr>
          <w:bookmarkStart w:id="7" w:name="_Hlk109054010"/>
          <w:proofErr w:type="spellStart"/>
          <w:r w:rsidRPr="00CB3C52">
            <w:rPr>
              <w:b/>
              <w:bCs/>
              <w:sz w:val="18"/>
              <w:szCs w:val="18"/>
            </w:rPr>
            <w:t>AusPAR</w:t>
          </w:r>
          <w:proofErr w:type="spellEnd"/>
          <w:r w:rsidRPr="00CB3C52">
            <w:rPr>
              <w:b/>
              <w:bCs/>
              <w:sz w:val="18"/>
              <w:szCs w:val="18"/>
            </w:rPr>
            <w:t xml:space="preserve"> - </w:t>
          </w:r>
          <w:proofErr w:type="spellStart"/>
          <w:r w:rsidRPr="00CB3C52">
            <w:rPr>
              <w:b/>
              <w:bCs/>
              <w:sz w:val="18"/>
              <w:szCs w:val="18"/>
            </w:rPr>
            <w:t>Pombiliti</w:t>
          </w:r>
          <w:proofErr w:type="spellEnd"/>
          <w:r w:rsidRPr="00CB3C52">
            <w:rPr>
              <w:b/>
              <w:bCs/>
              <w:sz w:val="18"/>
              <w:szCs w:val="18"/>
            </w:rPr>
            <w:t xml:space="preserve"> – </w:t>
          </w:r>
          <w:proofErr w:type="spellStart"/>
          <w:r w:rsidRPr="00CB3C52">
            <w:rPr>
              <w:b/>
              <w:bCs/>
              <w:sz w:val="18"/>
              <w:szCs w:val="18"/>
            </w:rPr>
            <w:t>cipaglucosidase</w:t>
          </w:r>
          <w:proofErr w:type="spellEnd"/>
          <w:r w:rsidRPr="00CB3C52">
            <w:rPr>
              <w:b/>
              <w:bCs/>
              <w:sz w:val="18"/>
              <w:szCs w:val="18"/>
            </w:rPr>
            <w:t xml:space="preserve"> alfa- Amicus Therapeutics - PM-2023-05418-1-3</w:t>
          </w:r>
        </w:p>
        <w:p w14:paraId="574DC819" w14:textId="77777777" w:rsidR="001D2A88" w:rsidRPr="000E4791" w:rsidRDefault="001D2A88" w:rsidP="001D2A88">
          <w:pPr>
            <w:pStyle w:val="Footer"/>
            <w:rPr>
              <w:b/>
              <w:sz w:val="18"/>
              <w:szCs w:val="18"/>
            </w:rPr>
          </w:pPr>
          <w:r w:rsidRPr="00CB3C52">
            <w:rPr>
              <w:b/>
              <w:bCs/>
              <w:sz w:val="18"/>
              <w:szCs w:val="18"/>
            </w:rPr>
            <w:t>Date of Finalisation: 2 June 2025</w:t>
          </w:r>
          <w:r w:rsidRPr="00991D2F">
            <w:rPr>
              <w:b/>
              <w:bCs/>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C7790E">
            <w:rPr>
              <w:b/>
              <w:sz w:val="18"/>
              <w:szCs w:val="18"/>
            </w:rPr>
            <w:t>&gt;</w:t>
          </w:r>
        </w:p>
      </w:tc>
    </w:tr>
    <w:bookmarkEnd w:id="7"/>
  </w:tbl>
  <w:p w14:paraId="7DD1C3CB" w14:textId="77777777" w:rsidR="001D2A88" w:rsidRDefault="001D2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C63D2"/>
    <w:multiLevelType w:val="hybridMultilevel"/>
    <w:tmpl w:val="53461C32"/>
    <w:lvl w:ilvl="0" w:tplc="CB1EFD26">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C659D"/>
    <w:multiLevelType w:val="hybridMultilevel"/>
    <w:tmpl w:val="15D28CBC"/>
    <w:lvl w:ilvl="0" w:tplc="E56ADB0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54D64"/>
    <w:multiLevelType w:val="hybridMultilevel"/>
    <w:tmpl w:val="7BF4B56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16B30"/>
    <w:multiLevelType w:val="hybridMultilevel"/>
    <w:tmpl w:val="A754D3F4"/>
    <w:lvl w:ilvl="0" w:tplc="CB1EFD26">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A6A57"/>
    <w:multiLevelType w:val="hybridMultilevel"/>
    <w:tmpl w:val="A36615B2"/>
    <w:lvl w:ilvl="0" w:tplc="9E525E3C">
      <w:start w:val="1"/>
      <w:numFmt w:val="decimal"/>
      <w:lvlText w:val="%1."/>
      <w:lvlJc w:val="left"/>
      <w:pPr>
        <w:ind w:left="1020" w:hanging="360"/>
      </w:pPr>
    </w:lvl>
    <w:lvl w:ilvl="1" w:tplc="89A86602">
      <w:start w:val="1"/>
      <w:numFmt w:val="decimal"/>
      <w:lvlText w:val="%2."/>
      <w:lvlJc w:val="left"/>
      <w:pPr>
        <w:ind w:left="1020" w:hanging="360"/>
      </w:pPr>
    </w:lvl>
    <w:lvl w:ilvl="2" w:tplc="F75AEE2E">
      <w:start w:val="1"/>
      <w:numFmt w:val="decimal"/>
      <w:lvlText w:val="%3."/>
      <w:lvlJc w:val="left"/>
      <w:pPr>
        <w:ind w:left="1020" w:hanging="360"/>
      </w:pPr>
    </w:lvl>
    <w:lvl w:ilvl="3" w:tplc="F964F292">
      <w:start w:val="1"/>
      <w:numFmt w:val="decimal"/>
      <w:lvlText w:val="%4."/>
      <w:lvlJc w:val="left"/>
      <w:pPr>
        <w:ind w:left="1020" w:hanging="360"/>
      </w:pPr>
    </w:lvl>
    <w:lvl w:ilvl="4" w:tplc="60FE665A">
      <w:start w:val="1"/>
      <w:numFmt w:val="decimal"/>
      <w:lvlText w:val="%5."/>
      <w:lvlJc w:val="left"/>
      <w:pPr>
        <w:ind w:left="1020" w:hanging="360"/>
      </w:pPr>
    </w:lvl>
    <w:lvl w:ilvl="5" w:tplc="E2580124">
      <w:start w:val="1"/>
      <w:numFmt w:val="decimal"/>
      <w:lvlText w:val="%6."/>
      <w:lvlJc w:val="left"/>
      <w:pPr>
        <w:ind w:left="1020" w:hanging="360"/>
      </w:pPr>
    </w:lvl>
    <w:lvl w:ilvl="6" w:tplc="3E06D218">
      <w:start w:val="1"/>
      <w:numFmt w:val="decimal"/>
      <w:lvlText w:val="%7."/>
      <w:lvlJc w:val="left"/>
      <w:pPr>
        <w:ind w:left="1020" w:hanging="360"/>
      </w:pPr>
    </w:lvl>
    <w:lvl w:ilvl="7" w:tplc="8362CCCE">
      <w:start w:val="1"/>
      <w:numFmt w:val="decimal"/>
      <w:lvlText w:val="%8."/>
      <w:lvlJc w:val="left"/>
      <w:pPr>
        <w:ind w:left="1020" w:hanging="360"/>
      </w:pPr>
    </w:lvl>
    <w:lvl w:ilvl="8" w:tplc="A7A4E2F4">
      <w:start w:val="1"/>
      <w:numFmt w:val="decimal"/>
      <w:lvlText w:val="%9."/>
      <w:lvlJc w:val="left"/>
      <w:pPr>
        <w:ind w:left="1020" w:hanging="360"/>
      </w:pPr>
    </w:lvl>
  </w:abstractNum>
  <w:abstractNum w:abstractNumId="7"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F5DC4"/>
    <w:multiLevelType w:val="hybridMultilevel"/>
    <w:tmpl w:val="E62CB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408C9"/>
    <w:multiLevelType w:val="hybridMultilevel"/>
    <w:tmpl w:val="7BD62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E5160"/>
    <w:multiLevelType w:val="hybridMultilevel"/>
    <w:tmpl w:val="EF30B7F0"/>
    <w:lvl w:ilvl="0" w:tplc="E56ADB0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0C202F"/>
    <w:multiLevelType w:val="hybridMultilevel"/>
    <w:tmpl w:val="146CEC74"/>
    <w:lvl w:ilvl="0" w:tplc="CB1EFD26">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0C628B"/>
    <w:multiLevelType w:val="hybridMultilevel"/>
    <w:tmpl w:val="927C4ABC"/>
    <w:lvl w:ilvl="0" w:tplc="921CCB32">
      <w:start w:val="1"/>
      <w:numFmt w:val="decimal"/>
      <w:lvlText w:val="%1."/>
      <w:lvlJc w:val="left"/>
      <w:pPr>
        <w:ind w:left="720" w:hanging="360"/>
      </w:pPr>
    </w:lvl>
    <w:lvl w:ilvl="1" w:tplc="C0E6E774">
      <w:start w:val="1"/>
      <w:numFmt w:val="decimal"/>
      <w:lvlText w:val="%2."/>
      <w:lvlJc w:val="left"/>
      <w:pPr>
        <w:ind w:left="720" w:hanging="360"/>
      </w:pPr>
    </w:lvl>
    <w:lvl w:ilvl="2" w:tplc="E59EA4F0">
      <w:start w:val="1"/>
      <w:numFmt w:val="decimal"/>
      <w:lvlText w:val="%3."/>
      <w:lvlJc w:val="left"/>
      <w:pPr>
        <w:ind w:left="720" w:hanging="360"/>
      </w:pPr>
    </w:lvl>
    <w:lvl w:ilvl="3" w:tplc="0E70224E">
      <w:start w:val="1"/>
      <w:numFmt w:val="decimal"/>
      <w:lvlText w:val="%4."/>
      <w:lvlJc w:val="left"/>
      <w:pPr>
        <w:ind w:left="720" w:hanging="360"/>
      </w:pPr>
    </w:lvl>
    <w:lvl w:ilvl="4" w:tplc="95348A40">
      <w:start w:val="1"/>
      <w:numFmt w:val="decimal"/>
      <w:lvlText w:val="%5."/>
      <w:lvlJc w:val="left"/>
      <w:pPr>
        <w:ind w:left="720" w:hanging="360"/>
      </w:pPr>
    </w:lvl>
    <w:lvl w:ilvl="5" w:tplc="39A277B6">
      <w:start w:val="1"/>
      <w:numFmt w:val="decimal"/>
      <w:lvlText w:val="%6."/>
      <w:lvlJc w:val="left"/>
      <w:pPr>
        <w:ind w:left="720" w:hanging="360"/>
      </w:pPr>
    </w:lvl>
    <w:lvl w:ilvl="6" w:tplc="F3102E0C">
      <w:start w:val="1"/>
      <w:numFmt w:val="decimal"/>
      <w:lvlText w:val="%7."/>
      <w:lvlJc w:val="left"/>
      <w:pPr>
        <w:ind w:left="720" w:hanging="360"/>
      </w:pPr>
    </w:lvl>
    <w:lvl w:ilvl="7" w:tplc="08E6D198">
      <w:start w:val="1"/>
      <w:numFmt w:val="decimal"/>
      <w:lvlText w:val="%8."/>
      <w:lvlJc w:val="left"/>
      <w:pPr>
        <w:ind w:left="720" w:hanging="360"/>
      </w:pPr>
    </w:lvl>
    <w:lvl w:ilvl="8" w:tplc="57001A84">
      <w:start w:val="1"/>
      <w:numFmt w:val="decimal"/>
      <w:lvlText w:val="%9."/>
      <w:lvlJc w:val="left"/>
      <w:pPr>
        <w:ind w:left="720" w:hanging="360"/>
      </w:pPr>
    </w:lvl>
  </w:abstractNum>
  <w:abstractNum w:abstractNumId="13" w15:restartNumberingAfterBreak="0">
    <w:nsid w:val="506E5BC9"/>
    <w:multiLevelType w:val="hybridMultilevel"/>
    <w:tmpl w:val="F1808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6E74C8"/>
    <w:multiLevelType w:val="hybridMultilevel"/>
    <w:tmpl w:val="AFBE9BA0"/>
    <w:lvl w:ilvl="0" w:tplc="40BE4A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60490"/>
    <w:multiLevelType w:val="hybridMultilevel"/>
    <w:tmpl w:val="53D0A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63379B"/>
    <w:multiLevelType w:val="hybridMultilevel"/>
    <w:tmpl w:val="C20E4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A86623"/>
    <w:multiLevelType w:val="hybridMultilevel"/>
    <w:tmpl w:val="53D0A3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0332797"/>
    <w:multiLevelType w:val="multilevel"/>
    <w:tmpl w:val="E4AE8C32"/>
    <w:lvl w:ilvl="0">
      <w:start w:val="1"/>
      <w:numFmt w:val="decimal"/>
      <w:pStyle w:val="Heading1"/>
      <w:lvlText w:val="%1"/>
      <w:lvlJc w:val="left"/>
      <w:pPr>
        <w:ind w:left="432" w:hanging="432"/>
      </w:pPr>
      <w:rPr>
        <w:b/>
        <w:bCs/>
      </w:rPr>
    </w:lvl>
    <w:lvl w:ilvl="1">
      <w:start w:val="1"/>
      <w:numFmt w:val="decimal"/>
      <w:pStyle w:val="Heading2"/>
      <w:lvlText w:val="%1.%2"/>
      <w:lvlJc w:val="left"/>
      <w:pPr>
        <w:ind w:left="66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D62191"/>
    <w:multiLevelType w:val="hybridMultilevel"/>
    <w:tmpl w:val="F3F6A6AC"/>
    <w:lvl w:ilvl="0" w:tplc="40BE4A6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842373"/>
    <w:multiLevelType w:val="hybridMultilevel"/>
    <w:tmpl w:val="6614A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7614742">
    <w:abstractNumId w:val="21"/>
  </w:num>
  <w:num w:numId="2" w16cid:durableId="492256387">
    <w:abstractNumId w:val="2"/>
  </w:num>
  <w:num w:numId="3" w16cid:durableId="1199199151">
    <w:abstractNumId w:val="0"/>
  </w:num>
  <w:num w:numId="4" w16cid:durableId="825048882">
    <w:abstractNumId w:val="14"/>
  </w:num>
  <w:num w:numId="5" w16cid:durableId="763918139">
    <w:abstractNumId w:val="26"/>
  </w:num>
  <w:num w:numId="6" w16cid:durableId="165098795">
    <w:abstractNumId w:val="22"/>
  </w:num>
  <w:num w:numId="7" w16cid:durableId="1718628802">
    <w:abstractNumId w:val="18"/>
  </w:num>
  <w:num w:numId="8" w16cid:durableId="434250385">
    <w:abstractNumId w:val="23"/>
  </w:num>
  <w:num w:numId="9" w16cid:durableId="709115206">
    <w:abstractNumId w:val="7"/>
  </w:num>
  <w:num w:numId="10" w16cid:durableId="1555505163">
    <w:abstractNumId w:val="17"/>
  </w:num>
  <w:num w:numId="11" w16cid:durableId="1356077957">
    <w:abstractNumId w:val="15"/>
  </w:num>
  <w:num w:numId="12" w16cid:durableId="953829263">
    <w:abstractNumId w:val="24"/>
  </w:num>
  <w:num w:numId="13" w16cid:durableId="620691952">
    <w:abstractNumId w:val="25"/>
  </w:num>
  <w:num w:numId="14" w16cid:durableId="1806965686">
    <w:abstractNumId w:val="13"/>
  </w:num>
  <w:num w:numId="15" w16cid:durableId="1631939186">
    <w:abstractNumId w:val="16"/>
  </w:num>
  <w:num w:numId="16" w16cid:durableId="2006470438">
    <w:abstractNumId w:val="11"/>
  </w:num>
  <w:num w:numId="17" w16cid:durableId="1567110574">
    <w:abstractNumId w:val="5"/>
  </w:num>
  <w:num w:numId="18" w16cid:durableId="1814910621">
    <w:abstractNumId w:val="1"/>
  </w:num>
  <w:num w:numId="19" w16cid:durableId="40713694">
    <w:abstractNumId w:val="8"/>
  </w:num>
  <w:num w:numId="20" w16cid:durableId="1008365137">
    <w:abstractNumId w:val="10"/>
  </w:num>
  <w:num w:numId="21" w16cid:durableId="881863546">
    <w:abstractNumId w:val="3"/>
  </w:num>
  <w:num w:numId="22" w16cid:durableId="549221272">
    <w:abstractNumId w:val="20"/>
  </w:num>
  <w:num w:numId="23" w16cid:durableId="412776940">
    <w:abstractNumId w:val="4"/>
  </w:num>
  <w:num w:numId="24" w16cid:durableId="1870483722">
    <w:abstractNumId w:val="21"/>
  </w:num>
  <w:num w:numId="25" w16cid:durableId="1389495158">
    <w:abstractNumId w:val="19"/>
  </w:num>
  <w:num w:numId="26" w16cid:durableId="1858084186">
    <w:abstractNumId w:val="9"/>
  </w:num>
  <w:num w:numId="27" w16cid:durableId="773407101">
    <w:abstractNumId w:val="6"/>
  </w:num>
  <w:num w:numId="28" w16cid:durableId="1191262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umen_Document_Id" w:val="fb42aa95-e140-4a14-bb76-ff1519ab8e71"/>
  </w:docVars>
  <w:rsids>
    <w:rsidRoot w:val="00C55A32"/>
    <w:rsid w:val="000006E2"/>
    <w:rsid w:val="00000EE4"/>
    <w:rsid w:val="000011FC"/>
    <w:rsid w:val="0000188E"/>
    <w:rsid w:val="000023E2"/>
    <w:rsid w:val="00002F2E"/>
    <w:rsid w:val="00002F33"/>
    <w:rsid w:val="0000341F"/>
    <w:rsid w:val="00004031"/>
    <w:rsid w:val="0000747C"/>
    <w:rsid w:val="000116BD"/>
    <w:rsid w:val="0001243D"/>
    <w:rsid w:val="000125B6"/>
    <w:rsid w:val="00013008"/>
    <w:rsid w:val="00013294"/>
    <w:rsid w:val="00013417"/>
    <w:rsid w:val="00013BA2"/>
    <w:rsid w:val="00014324"/>
    <w:rsid w:val="00014A45"/>
    <w:rsid w:val="000151BE"/>
    <w:rsid w:val="0001644C"/>
    <w:rsid w:val="00020BEE"/>
    <w:rsid w:val="000212CD"/>
    <w:rsid w:val="00024512"/>
    <w:rsid w:val="00025274"/>
    <w:rsid w:val="00025EB3"/>
    <w:rsid w:val="00026566"/>
    <w:rsid w:val="0002681F"/>
    <w:rsid w:val="000277D9"/>
    <w:rsid w:val="00027DA3"/>
    <w:rsid w:val="000301BB"/>
    <w:rsid w:val="000304F0"/>
    <w:rsid w:val="00031177"/>
    <w:rsid w:val="00032DAA"/>
    <w:rsid w:val="000330A1"/>
    <w:rsid w:val="0003348C"/>
    <w:rsid w:val="0003403F"/>
    <w:rsid w:val="000346C2"/>
    <w:rsid w:val="00035B79"/>
    <w:rsid w:val="000366A7"/>
    <w:rsid w:val="000421C1"/>
    <w:rsid w:val="000422AC"/>
    <w:rsid w:val="000423A5"/>
    <w:rsid w:val="000448E8"/>
    <w:rsid w:val="00044AE0"/>
    <w:rsid w:val="00044C96"/>
    <w:rsid w:val="00045119"/>
    <w:rsid w:val="00046709"/>
    <w:rsid w:val="00047769"/>
    <w:rsid w:val="00047D94"/>
    <w:rsid w:val="00050314"/>
    <w:rsid w:val="00050BEB"/>
    <w:rsid w:val="00051A4E"/>
    <w:rsid w:val="00052317"/>
    <w:rsid w:val="0005344D"/>
    <w:rsid w:val="0005377A"/>
    <w:rsid w:val="0005479D"/>
    <w:rsid w:val="0005492C"/>
    <w:rsid w:val="0005581D"/>
    <w:rsid w:val="0005592F"/>
    <w:rsid w:val="00055AF4"/>
    <w:rsid w:val="00055D13"/>
    <w:rsid w:val="000605C0"/>
    <w:rsid w:val="000610D6"/>
    <w:rsid w:val="00061235"/>
    <w:rsid w:val="00061B6A"/>
    <w:rsid w:val="00063344"/>
    <w:rsid w:val="00065B33"/>
    <w:rsid w:val="00066088"/>
    <w:rsid w:val="00067F0A"/>
    <w:rsid w:val="00070A4A"/>
    <w:rsid w:val="00070AC2"/>
    <w:rsid w:val="00070BA0"/>
    <w:rsid w:val="00071FCB"/>
    <w:rsid w:val="00072112"/>
    <w:rsid w:val="00072742"/>
    <w:rsid w:val="00072831"/>
    <w:rsid w:val="00073036"/>
    <w:rsid w:val="000738E4"/>
    <w:rsid w:val="0007400D"/>
    <w:rsid w:val="00074E99"/>
    <w:rsid w:val="00075063"/>
    <w:rsid w:val="000753E5"/>
    <w:rsid w:val="0007643A"/>
    <w:rsid w:val="000765C2"/>
    <w:rsid w:val="000771C5"/>
    <w:rsid w:val="000810C5"/>
    <w:rsid w:val="00084340"/>
    <w:rsid w:val="0008436D"/>
    <w:rsid w:val="000852CD"/>
    <w:rsid w:val="00085417"/>
    <w:rsid w:val="00086D1D"/>
    <w:rsid w:val="00087A4F"/>
    <w:rsid w:val="00087AA8"/>
    <w:rsid w:val="000909D8"/>
    <w:rsid w:val="0009196D"/>
    <w:rsid w:val="00092573"/>
    <w:rsid w:val="000929C0"/>
    <w:rsid w:val="00093826"/>
    <w:rsid w:val="00093EC9"/>
    <w:rsid w:val="00093F15"/>
    <w:rsid w:val="00094528"/>
    <w:rsid w:val="00094E85"/>
    <w:rsid w:val="00095108"/>
    <w:rsid w:val="00095BF4"/>
    <w:rsid w:val="00095DF8"/>
    <w:rsid w:val="00096280"/>
    <w:rsid w:val="000A05A6"/>
    <w:rsid w:val="000A0A74"/>
    <w:rsid w:val="000A29DA"/>
    <w:rsid w:val="000A2C19"/>
    <w:rsid w:val="000A2C1E"/>
    <w:rsid w:val="000A3B7A"/>
    <w:rsid w:val="000A44FA"/>
    <w:rsid w:val="000A4A1B"/>
    <w:rsid w:val="000A5068"/>
    <w:rsid w:val="000A508A"/>
    <w:rsid w:val="000A5178"/>
    <w:rsid w:val="000A6BD3"/>
    <w:rsid w:val="000A7C3D"/>
    <w:rsid w:val="000B0C1D"/>
    <w:rsid w:val="000B16C2"/>
    <w:rsid w:val="000B3097"/>
    <w:rsid w:val="000B3B94"/>
    <w:rsid w:val="000B3D8D"/>
    <w:rsid w:val="000B3E07"/>
    <w:rsid w:val="000B6DA3"/>
    <w:rsid w:val="000B6F4A"/>
    <w:rsid w:val="000C2B19"/>
    <w:rsid w:val="000C301C"/>
    <w:rsid w:val="000C31C5"/>
    <w:rsid w:val="000C3CB9"/>
    <w:rsid w:val="000C3F41"/>
    <w:rsid w:val="000C3F6E"/>
    <w:rsid w:val="000C43FE"/>
    <w:rsid w:val="000C6080"/>
    <w:rsid w:val="000C7A53"/>
    <w:rsid w:val="000D0776"/>
    <w:rsid w:val="000D1971"/>
    <w:rsid w:val="000D27E0"/>
    <w:rsid w:val="000D4E68"/>
    <w:rsid w:val="000D58BE"/>
    <w:rsid w:val="000D5D4B"/>
    <w:rsid w:val="000D62D9"/>
    <w:rsid w:val="000D78A3"/>
    <w:rsid w:val="000D7E89"/>
    <w:rsid w:val="000E03F4"/>
    <w:rsid w:val="000E0D3E"/>
    <w:rsid w:val="000E12C2"/>
    <w:rsid w:val="000E15A4"/>
    <w:rsid w:val="000E1E92"/>
    <w:rsid w:val="000E37E2"/>
    <w:rsid w:val="000E3914"/>
    <w:rsid w:val="000E3F34"/>
    <w:rsid w:val="000E5202"/>
    <w:rsid w:val="000E5CE4"/>
    <w:rsid w:val="000F1B36"/>
    <w:rsid w:val="000F1D7E"/>
    <w:rsid w:val="000F3BA7"/>
    <w:rsid w:val="000F4D3C"/>
    <w:rsid w:val="000F6B1C"/>
    <w:rsid w:val="000F70B8"/>
    <w:rsid w:val="0010022C"/>
    <w:rsid w:val="00100792"/>
    <w:rsid w:val="001008C0"/>
    <w:rsid w:val="001008D1"/>
    <w:rsid w:val="00100D0E"/>
    <w:rsid w:val="00101697"/>
    <w:rsid w:val="0010178C"/>
    <w:rsid w:val="001018F9"/>
    <w:rsid w:val="00101AFB"/>
    <w:rsid w:val="00102159"/>
    <w:rsid w:val="00102944"/>
    <w:rsid w:val="00102BF2"/>
    <w:rsid w:val="00102DE8"/>
    <w:rsid w:val="001031D7"/>
    <w:rsid w:val="001035D9"/>
    <w:rsid w:val="00103BAC"/>
    <w:rsid w:val="00103DD6"/>
    <w:rsid w:val="00104335"/>
    <w:rsid w:val="0010547D"/>
    <w:rsid w:val="001057DC"/>
    <w:rsid w:val="001059EB"/>
    <w:rsid w:val="00106641"/>
    <w:rsid w:val="00110988"/>
    <w:rsid w:val="00111BDE"/>
    <w:rsid w:val="0011218D"/>
    <w:rsid w:val="00112AE1"/>
    <w:rsid w:val="00112C49"/>
    <w:rsid w:val="00112F6D"/>
    <w:rsid w:val="00113AF9"/>
    <w:rsid w:val="001147EC"/>
    <w:rsid w:val="00114C12"/>
    <w:rsid w:val="00114EE9"/>
    <w:rsid w:val="0011531A"/>
    <w:rsid w:val="00115DF5"/>
    <w:rsid w:val="00116847"/>
    <w:rsid w:val="00117F5C"/>
    <w:rsid w:val="001207ED"/>
    <w:rsid w:val="00120950"/>
    <w:rsid w:val="00121D9F"/>
    <w:rsid w:val="001222E2"/>
    <w:rsid w:val="00122AE0"/>
    <w:rsid w:val="00122D01"/>
    <w:rsid w:val="00122EE5"/>
    <w:rsid w:val="0012435C"/>
    <w:rsid w:val="00124FAE"/>
    <w:rsid w:val="001260E7"/>
    <w:rsid w:val="00130558"/>
    <w:rsid w:val="00131798"/>
    <w:rsid w:val="00133A3F"/>
    <w:rsid w:val="00134DC7"/>
    <w:rsid w:val="001373DB"/>
    <w:rsid w:val="00137481"/>
    <w:rsid w:val="00140023"/>
    <w:rsid w:val="001419A0"/>
    <w:rsid w:val="00141E16"/>
    <w:rsid w:val="00141F51"/>
    <w:rsid w:val="00143361"/>
    <w:rsid w:val="001436E3"/>
    <w:rsid w:val="00143852"/>
    <w:rsid w:val="001439B6"/>
    <w:rsid w:val="00146169"/>
    <w:rsid w:val="001463BB"/>
    <w:rsid w:val="00146A65"/>
    <w:rsid w:val="00146E99"/>
    <w:rsid w:val="001507B4"/>
    <w:rsid w:val="001514DA"/>
    <w:rsid w:val="00151680"/>
    <w:rsid w:val="00152129"/>
    <w:rsid w:val="001525A4"/>
    <w:rsid w:val="0015265A"/>
    <w:rsid w:val="00152959"/>
    <w:rsid w:val="001529F7"/>
    <w:rsid w:val="001534E8"/>
    <w:rsid w:val="00154C72"/>
    <w:rsid w:val="0015601C"/>
    <w:rsid w:val="0015731D"/>
    <w:rsid w:val="0015741E"/>
    <w:rsid w:val="0015759D"/>
    <w:rsid w:val="00160467"/>
    <w:rsid w:val="00160836"/>
    <w:rsid w:val="0016085C"/>
    <w:rsid w:val="00161354"/>
    <w:rsid w:val="0016157F"/>
    <w:rsid w:val="00163038"/>
    <w:rsid w:val="00164FA8"/>
    <w:rsid w:val="001652D7"/>
    <w:rsid w:val="00165A9C"/>
    <w:rsid w:val="00165DDF"/>
    <w:rsid w:val="00166BB1"/>
    <w:rsid w:val="00167BAE"/>
    <w:rsid w:val="00167F91"/>
    <w:rsid w:val="00172EF3"/>
    <w:rsid w:val="001741C0"/>
    <w:rsid w:val="001749F4"/>
    <w:rsid w:val="001763B0"/>
    <w:rsid w:val="00176554"/>
    <w:rsid w:val="00177323"/>
    <w:rsid w:val="0017750A"/>
    <w:rsid w:val="00177B54"/>
    <w:rsid w:val="00177C7C"/>
    <w:rsid w:val="001812A0"/>
    <w:rsid w:val="0018222F"/>
    <w:rsid w:val="001824B4"/>
    <w:rsid w:val="00182B65"/>
    <w:rsid w:val="00184192"/>
    <w:rsid w:val="00184675"/>
    <w:rsid w:val="00184A07"/>
    <w:rsid w:val="00184B7B"/>
    <w:rsid w:val="00184F7F"/>
    <w:rsid w:val="00185499"/>
    <w:rsid w:val="00186176"/>
    <w:rsid w:val="0018664E"/>
    <w:rsid w:val="00187D59"/>
    <w:rsid w:val="00191355"/>
    <w:rsid w:val="00191E05"/>
    <w:rsid w:val="00192191"/>
    <w:rsid w:val="0019286A"/>
    <w:rsid w:val="00195BE1"/>
    <w:rsid w:val="0019687E"/>
    <w:rsid w:val="00196948"/>
    <w:rsid w:val="001971EE"/>
    <w:rsid w:val="0019775C"/>
    <w:rsid w:val="00197C10"/>
    <w:rsid w:val="00197DCD"/>
    <w:rsid w:val="001A09C5"/>
    <w:rsid w:val="001A0BA8"/>
    <w:rsid w:val="001A1489"/>
    <w:rsid w:val="001A3992"/>
    <w:rsid w:val="001A5D6C"/>
    <w:rsid w:val="001A736A"/>
    <w:rsid w:val="001A770D"/>
    <w:rsid w:val="001A7B34"/>
    <w:rsid w:val="001B016A"/>
    <w:rsid w:val="001B02F4"/>
    <w:rsid w:val="001B0DCB"/>
    <w:rsid w:val="001B0F66"/>
    <w:rsid w:val="001B124E"/>
    <w:rsid w:val="001B12CF"/>
    <w:rsid w:val="001B30BE"/>
    <w:rsid w:val="001B38DF"/>
    <w:rsid w:val="001B4083"/>
    <w:rsid w:val="001B4D35"/>
    <w:rsid w:val="001B557E"/>
    <w:rsid w:val="001B61D7"/>
    <w:rsid w:val="001B6B83"/>
    <w:rsid w:val="001B7B3E"/>
    <w:rsid w:val="001C0370"/>
    <w:rsid w:val="001C1437"/>
    <w:rsid w:val="001C3BD0"/>
    <w:rsid w:val="001C69AF"/>
    <w:rsid w:val="001C77B4"/>
    <w:rsid w:val="001D052A"/>
    <w:rsid w:val="001D0974"/>
    <w:rsid w:val="001D09D7"/>
    <w:rsid w:val="001D2A88"/>
    <w:rsid w:val="001D3232"/>
    <w:rsid w:val="001D35F1"/>
    <w:rsid w:val="001D5302"/>
    <w:rsid w:val="001D5452"/>
    <w:rsid w:val="001D61F8"/>
    <w:rsid w:val="001D69CB"/>
    <w:rsid w:val="001D6CBE"/>
    <w:rsid w:val="001D7600"/>
    <w:rsid w:val="001E06A2"/>
    <w:rsid w:val="001E0D9E"/>
    <w:rsid w:val="001E199B"/>
    <w:rsid w:val="001E4BA2"/>
    <w:rsid w:val="001E5A41"/>
    <w:rsid w:val="001E5D70"/>
    <w:rsid w:val="001E5F41"/>
    <w:rsid w:val="001E7938"/>
    <w:rsid w:val="001E7993"/>
    <w:rsid w:val="001E7C5B"/>
    <w:rsid w:val="001E7DD3"/>
    <w:rsid w:val="001E7E2F"/>
    <w:rsid w:val="001F00EE"/>
    <w:rsid w:val="001F1B24"/>
    <w:rsid w:val="001F21EA"/>
    <w:rsid w:val="001F2448"/>
    <w:rsid w:val="001F43F8"/>
    <w:rsid w:val="001F50A8"/>
    <w:rsid w:val="001F6188"/>
    <w:rsid w:val="001F6816"/>
    <w:rsid w:val="001F6B14"/>
    <w:rsid w:val="001F76A4"/>
    <w:rsid w:val="002005B2"/>
    <w:rsid w:val="00200AB9"/>
    <w:rsid w:val="00202553"/>
    <w:rsid w:val="0020290D"/>
    <w:rsid w:val="00203598"/>
    <w:rsid w:val="00204655"/>
    <w:rsid w:val="002049E6"/>
    <w:rsid w:val="00205378"/>
    <w:rsid w:val="00211264"/>
    <w:rsid w:val="002115F1"/>
    <w:rsid w:val="00212275"/>
    <w:rsid w:val="00214816"/>
    <w:rsid w:val="00214B03"/>
    <w:rsid w:val="00214C1A"/>
    <w:rsid w:val="00214CD5"/>
    <w:rsid w:val="00215818"/>
    <w:rsid w:val="002163A8"/>
    <w:rsid w:val="002203F8"/>
    <w:rsid w:val="0022076B"/>
    <w:rsid w:val="00221067"/>
    <w:rsid w:val="00221252"/>
    <w:rsid w:val="00221BBF"/>
    <w:rsid w:val="00221C5C"/>
    <w:rsid w:val="00221FC5"/>
    <w:rsid w:val="00222338"/>
    <w:rsid w:val="00222577"/>
    <w:rsid w:val="00223786"/>
    <w:rsid w:val="00223AB9"/>
    <w:rsid w:val="002249D5"/>
    <w:rsid w:val="00224B3D"/>
    <w:rsid w:val="00224F8E"/>
    <w:rsid w:val="00225B85"/>
    <w:rsid w:val="00226097"/>
    <w:rsid w:val="00226AD3"/>
    <w:rsid w:val="00227480"/>
    <w:rsid w:val="00230BAA"/>
    <w:rsid w:val="002319F0"/>
    <w:rsid w:val="002322BE"/>
    <w:rsid w:val="0023243A"/>
    <w:rsid w:val="00233857"/>
    <w:rsid w:val="00234F7F"/>
    <w:rsid w:val="0023510B"/>
    <w:rsid w:val="002355EE"/>
    <w:rsid w:val="00236581"/>
    <w:rsid w:val="0023745B"/>
    <w:rsid w:val="00237559"/>
    <w:rsid w:val="002404B7"/>
    <w:rsid w:val="0024121B"/>
    <w:rsid w:val="00242106"/>
    <w:rsid w:val="0024224D"/>
    <w:rsid w:val="002429ED"/>
    <w:rsid w:val="002431BC"/>
    <w:rsid w:val="00243EE0"/>
    <w:rsid w:val="00244E56"/>
    <w:rsid w:val="0024507B"/>
    <w:rsid w:val="00245F86"/>
    <w:rsid w:val="00247489"/>
    <w:rsid w:val="00250846"/>
    <w:rsid w:val="00251AC0"/>
    <w:rsid w:val="00251E71"/>
    <w:rsid w:val="002520FE"/>
    <w:rsid w:val="0025316D"/>
    <w:rsid w:val="00253CC6"/>
    <w:rsid w:val="00254521"/>
    <w:rsid w:val="00255CAE"/>
    <w:rsid w:val="00255E25"/>
    <w:rsid w:val="00257628"/>
    <w:rsid w:val="00260B33"/>
    <w:rsid w:val="0026200B"/>
    <w:rsid w:val="0026249A"/>
    <w:rsid w:val="002630E0"/>
    <w:rsid w:val="00263723"/>
    <w:rsid w:val="00263B62"/>
    <w:rsid w:val="00263C1C"/>
    <w:rsid w:val="00263F1E"/>
    <w:rsid w:val="0026417D"/>
    <w:rsid w:val="00264493"/>
    <w:rsid w:val="00264D62"/>
    <w:rsid w:val="002661F9"/>
    <w:rsid w:val="00266404"/>
    <w:rsid w:val="00267DF2"/>
    <w:rsid w:val="002705A2"/>
    <w:rsid w:val="002706BD"/>
    <w:rsid w:val="00270D1A"/>
    <w:rsid w:val="00270D99"/>
    <w:rsid w:val="00270EA2"/>
    <w:rsid w:val="0027431C"/>
    <w:rsid w:val="002756D7"/>
    <w:rsid w:val="0027609E"/>
    <w:rsid w:val="0027622F"/>
    <w:rsid w:val="002762E3"/>
    <w:rsid w:val="0027646D"/>
    <w:rsid w:val="002765A3"/>
    <w:rsid w:val="00276E57"/>
    <w:rsid w:val="002773B6"/>
    <w:rsid w:val="00280C10"/>
    <w:rsid w:val="00283EDE"/>
    <w:rsid w:val="0028443E"/>
    <w:rsid w:val="00285345"/>
    <w:rsid w:val="002862F8"/>
    <w:rsid w:val="002864A2"/>
    <w:rsid w:val="00287371"/>
    <w:rsid w:val="00290231"/>
    <w:rsid w:val="002905FA"/>
    <w:rsid w:val="00291815"/>
    <w:rsid w:val="002920D4"/>
    <w:rsid w:val="00292453"/>
    <w:rsid w:val="002927D2"/>
    <w:rsid w:val="002931FC"/>
    <w:rsid w:val="002937CC"/>
    <w:rsid w:val="002937E9"/>
    <w:rsid w:val="00293AC3"/>
    <w:rsid w:val="00293F90"/>
    <w:rsid w:val="00295FA6"/>
    <w:rsid w:val="002966A1"/>
    <w:rsid w:val="002973F1"/>
    <w:rsid w:val="00297DD4"/>
    <w:rsid w:val="002A09B3"/>
    <w:rsid w:val="002A0AB8"/>
    <w:rsid w:val="002A0C7D"/>
    <w:rsid w:val="002A164B"/>
    <w:rsid w:val="002A1655"/>
    <w:rsid w:val="002A3355"/>
    <w:rsid w:val="002A33FE"/>
    <w:rsid w:val="002A3CD4"/>
    <w:rsid w:val="002A402D"/>
    <w:rsid w:val="002A410D"/>
    <w:rsid w:val="002A41C0"/>
    <w:rsid w:val="002A57A8"/>
    <w:rsid w:val="002A6313"/>
    <w:rsid w:val="002A7645"/>
    <w:rsid w:val="002B07EF"/>
    <w:rsid w:val="002B12B9"/>
    <w:rsid w:val="002B1E98"/>
    <w:rsid w:val="002B26E0"/>
    <w:rsid w:val="002B2B1D"/>
    <w:rsid w:val="002B32EF"/>
    <w:rsid w:val="002B411C"/>
    <w:rsid w:val="002B424E"/>
    <w:rsid w:val="002B4792"/>
    <w:rsid w:val="002B4B6F"/>
    <w:rsid w:val="002B517A"/>
    <w:rsid w:val="002B5A82"/>
    <w:rsid w:val="002C0927"/>
    <w:rsid w:val="002C324F"/>
    <w:rsid w:val="002C4EEF"/>
    <w:rsid w:val="002C5080"/>
    <w:rsid w:val="002C50B8"/>
    <w:rsid w:val="002C59B2"/>
    <w:rsid w:val="002C69CE"/>
    <w:rsid w:val="002D16E9"/>
    <w:rsid w:val="002D1DC3"/>
    <w:rsid w:val="002D24BC"/>
    <w:rsid w:val="002D2B99"/>
    <w:rsid w:val="002D37D5"/>
    <w:rsid w:val="002D3C79"/>
    <w:rsid w:val="002D4FB9"/>
    <w:rsid w:val="002D51F8"/>
    <w:rsid w:val="002D5F96"/>
    <w:rsid w:val="002D6412"/>
    <w:rsid w:val="002D645B"/>
    <w:rsid w:val="002D65DF"/>
    <w:rsid w:val="002D68F2"/>
    <w:rsid w:val="002D6C13"/>
    <w:rsid w:val="002D6FF9"/>
    <w:rsid w:val="002D73CE"/>
    <w:rsid w:val="002D7B44"/>
    <w:rsid w:val="002E0111"/>
    <w:rsid w:val="002E0389"/>
    <w:rsid w:val="002E0640"/>
    <w:rsid w:val="002E0BD1"/>
    <w:rsid w:val="002E2454"/>
    <w:rsid w:val="002E277D"/>
    <w:rsid w:val="002E381E"/>
    <w:rsid w:val="002E3C3D"/>
    <w:rsid w:val="002E407E"/>
    <w:rsid w:val="002E41B0"/>
    <w:rsid w:val="002E4DEB"/>
    <w:rsid w:val="002E6234"/>
    <w:rsid w:val="002E681C"/>
    <w:rsid w:val="002E77B9"/>
    <w:rsid w:val="002E78D3"/>
    <w:rsid w:val="002E791C"/>
    <w:rsid w:val="002F119B"/>
    <w:rsid w:val="002F2550"/>
    <w:rsid w:val="002F2580"/>
    <w:rsid w:val="002F2B7D"/>
    <w:rsid w:val="002F2D68"/>
    <w:rsid w:val="002F3006"/>
    <w:rsid w:val="002F39FB"/>
    <w:rsid w:val="002F4D96"/>
    <w:rsid w:val="002F6E76"/>
    <w:rsid w:val="002F7B90"/>
    <w:rsid w:val="00300193"/>
    <w:rsid w:val="00300640"/>
    <w:rsid w:val="003012B2"/>
    <w:rsid w:val="0030246F"/>
    <w:rsid w:val="00303797"/>
    <w:rsid w:val="00303E44"/>
    <w:rsid w:val="0030703E"/>
    <w:rsid w:val="00307149"/>
    <w:rsid w:val="00310666"/>
    <w:rsid w:val="0031071C"/>
    <w:rsid w:val="003108A2"/>
    <w:rsid w:val="00310CB8"/>
    <w:rsid w:val="003111C1"/>
    <w:rsid w:val="00311EE0"/>
    <w:rsid w:val="00312625"/>
    <w:rsid w:val="0031309F"/>
    <w:rsid w:val="00313515"/>
    <w:rsid w:val="00315834"/>
    <w:rsid w:val="00316C26"/>
    <w:rsid w:val="00317082"/>
    <w:rsid w:val="00317FE3"/>
    <w:rsid w:val="00320ADB"/>
    <w:rsid w:val="00320E63"/>
    <w:rsid w:val="0032185F"/>
    <w:rsid w:val="0032200C"/>
    <w:rsid w:val="00322764"/>
    <w:rsid w:val="00323301"/>
    <w:rsid w:val="003238F6"/>
    <w:rsid w:val="00323B02"/>
    <w:rsid w:val="003244F1"/>
    <w:rsid w:val="00324E4C"/>
    <w:rsid w:val="00325F64"/>
    <w:rsid w:val="00327065"/>
    <w:rsid w:val="00327156"/>
    <w:rsid w:val="00330B0D"/>
    <w:rsid w:val="00330DA2"/>
    <w:rsid w:val="003314D5"/>
    <w:rsid w:val="003315A1"/>
    <w:rsid w:val="003317CB"/>
    <w:rsid w:val="00332C3E"/>
    <w:rsid w:val="00333A47"/>
    <w:rsid w:val="00333D67"/>
    <w:rsid w:val="00333E75"/>
    <w:rsid w:val="00334190"/>
    <w:rsid w:val="00334997"/>
    <w:rsid w:val="0033547F"/>
    <w:rsid w:val="003370E9"/>
    <w:rsid w:val="00337695"/>
    <w:rsid w:val="00337BD2"/>
    <w:rsid w:val="00340851"/>
    <w:rsid w:val="00341BC0"/>
    <w:rsid w:val="003424BA"/>
    <w:rsid w:val="0034251A"/>
    <w:rsid w:val="0034260E"/>
    <w:rsid w:val="00344772"/>
    <w:rsid w:val="00344C6E"/>
    <w:rsid w:val="00346675"/>
    <w:rsid w:val="00346B07"/>
    <w:rsid w:val="003471A1"/>
    <w:rsid w:val="0034739A"/>
    <w:rsid w:val="00347416"/>
    <w:rsid w:val="003477EC"/>
    <w:rsid w:val="00350471"/>
    <w:rsid w:val="0035085E"/>
    <w:rsid w:val="0035158C"/>
    <w:rsid w:val="00351EBE"/>
    <w:rsid w:val="00352569"/>
    <w:rsid w:val="00355849"/>
    <w:rsid w:val="00357701"/>
    <w:rsid w:val="00357731"/>
    <w:rsid w:val="00357B12"/>
    <w:rsid w:val="00357B98"/>
    <w:rsid w:val="00360067"/>
    <w:rsid w:val="00361860"/>
    <w:rsid w:val="00361BDC"/>
    <w:rsid w:val="00361D03"/>
    <w:rsid w:val="003625AA"/>
    <w:rsid w:val="00362D65"/>
    <w:rsid w:val="00363AE7"/>
    <w:rsid w:val="00363F5A"/>
    <w:rsid w:val="003646F2"/>
    <w:rsid w:val="003652C5"/>
    <w:rsid w:val="003657FA"/>
    <w:rsid w:val="003679E0"/>
    <w:rsid w:val="003706C1"/>
    <w:rsid w:val="003715F7"/>
    <w:rsid w:val="003717FF"/>
    <w:rsid w:val="00371CAD"/>
    <w:rsid w:val="00371CB2"/>
    <w:rsid w:val="00371CFE"/>
    <w:rsid w:val="003720E5"/>
    <w:rsid w:val="00372B22"/>
    <w:rsid w:val="00372E8B"/>
    <w:rsid w:val="00373DF6"/>
    <w:rsid w:val="003743AE"/>
    <w:rsid w:val="00375C31"/>
    <w:rsid w:val="00376DC0"/>
    <w:rsid w:val="00377216"/>
    <w:rsid w:val="0038000C"/>
    <w:rsid w:val="00380B28"/>
    <w:rsid w:val="00381014"/>
    <w:rsid w:val="003813F2"/>
    <w:rsid w:val="0038170A"/>
    <w:rsid w:val="0038215E"/>
    <w:rsid w:val="00382659"/>
    <w:rsid w:val="00382B10"/>
    <w:rsid w:val="00382D0E"/>
    <w:rsid w:val="00383A15"/>
    <w:rsid w:val="00383AD6"/>
    <w:rsid w:val="003849E5"/>
    <w:rsid w:val="00384D6A"/>
    <w:rsid w:val="0038599F"/>
    <w:rsid w:val="00386177"/>
    <w:rsid w:val="00386E0D"/>
    <w:rsid w:val="0038780A"/>
    <w:rsid w:val="00387B9C"/>
    <w:rsid w:val="00387FE1"/>
    <w:rsid w:val="0039093E"/>
    <w:rsid w:val="00391E05"/>
    <w:rsid w:val="00392110"/>
    <w:rsid w:val="00392BEF"/>
    <w:rsid w:val="0039356E"/>
    <w:rsid w:val="00393651"/>
    <w:rsid w:val="00393D62"/>
    <w:rsid w:val="00393D8D"/>
    <w:rsid w:val="00393E5C"/>
    <w:rsid w:val="00394520"/>
    <w:rsid w:val="003970B7"/>
    <w:rsid w:val="00397204"/>
    <w:rsid w:val="003A0609"/>
    <w:rsid w:val="003A0FEB"/>
    <w:rsid w:val="003A11BB"/>
    <w:rsid w:val="003A16D8"/>
    <w:rsid w:val="003A171B"/>
    <w:rsid w:val="003A19F2"/>
    <w:rsid w:val="003A1C47"/>
    <w:rsid w:val="003A1CC4"/>
    <w:rsid w:val="003A1F83"/>
    <w:rsid w:val="003A3356"/>
    <w:rsid w:val="003A3F1A"/>
    <w:rsid w:val="003A4961"/>
    <w:rsid w:val="003A4DD2"/>
    <w:rsid w:val="003A5102"/>
    <w:rsid w:val="003A5DA9"/>
    <w:rsid w:val="003A6C00"/>
    <w:rsid w:val="003B008D"/>
    <w:rsid w:val="003B00A4"/>
    <w:rsid w:val="003B071A"/>
    <w:rsid w:val="003B122C"/>
    <w:rsid w:val="003B1882"/>
    <w:rsid w:val="003B49E3"/>
    <w:rsid w:val="003B5A07"/>
    <w:rsid w:val="003B5DEA"/>
    <w:rsid w:val="003B60C9"/>
    <w:rsid w:val="003B65EC"/>
    <w:rsid w:val="003C02B4"/>
    <w:rsid w:val="003C0942"/>
    <w:rsid w:val="003C1179"/>
    <w:rsid w:val="003C2F10"/>
    <w:rsid w:val="003C3170"/>
    <w:rsid w:val="003C3367"/>
    <w:rsid w:val="003C3593"/>
    <w:rsid w:val="003C37D0"/>
    <w:rsid w:val="003C5FEF"/>
    <w:rsid w:val="003C5FFC"/>
    <w:rsid w:val="003C62C9"/>
    <w:rsid w:val="003C74F0"/>
    <w:rsid w:val="003C7A83"/>
    <w:rsid w:val="003D0102"/>
    <w:rsid w:val="003D12EB"/>
    <w:rsid w:val="003D1515"/>
    <w:rsid w:val="003D158F"/>
    <w:rsid w:val="003D17AC"/>
    <w:rsid w:val="003D3551"/>
    <w:rsid w:val="003D41B6"/>
    <w:rsid w:val="003D4B08"/>
    <w:rsid w:val="003D5623"/>
    <w:rsid w:val="003D5FA8"/>
    <w:rsid w:val="003D600B"/>
    <w:rsid w:val="003D7996"/>
    <w:rsid w:val="003D7C6D"/>
    <w:rsid w:val="003E0B57"/>
    <w:rsid w:val="003E13B7"/>
    <w:rsid w:val="003E1583"/>
    <w:rsid w:val="003E2FB4"/>
    <w:rsid w:val="003E355C"/>
    <w:rsid w:val="003E4A4F"/>
    <w:rsid w:val="003E5F14"/>
    <w:rsid w:val="003E687D"/>
    <w:rsid w:val="003E6A34"/>
    <w:rsid w:val="003E6D64"/>
    <w:rsid w:val="003E731A"/>
    <w:rsid w:val="003E7642"/>
    <w:rsid w:val="003E7732"/>
    <w:rsid w:val="003E7F36"/>
    <w:rsid w:val="003F063E"/>
    <w:rsid w:val="003F14B7"/>
    <w:rsid w:val="003F28F1"/>
    <w:rsid w:val="003F327F"/>
    <w:rsid w:val="003F43AB"/>
    <w:rsid w:val="003F5213"/>
    <w:rsid w:val="003F562A"/>
    <w:rsid w:val="003F60D0"/>
    <w:rsid w:val="003F7036"/>
    <w:rsid w:val="0040196D"/>
    <w:rsid w:val="00401D8A"/>
    <w:rsid w:val="004022C2"/>
    <w:rsid w:val="004023B4"/>
    <w:rsid w:val="004032BD"/>
    <w:rsid w:val="004038FE"/>
    <w:rsid w:val="004044DE"/>
    <w:rsid w:val="00405127"/>
    <w:rsid w:val="0040624F"/>
    <w:rsid w:val="00406922"/>
    <w:rsid w:val="00406E6B"/>
    <w:rsid w:val="004114BE"/>
    <w:rsid w:val="00412741"/>
    <w:rsid w:val="004141AA"/>
    <w:rsid w:val="00414E33"/>
    <w:rsid w:val="00416666"/>
    <w:rsid w:val="00416766"/>
    <w:rsid w:val="00416F0B"/>
    <w:rsid w:val="00417D92"/>
    <w:rsid w:val="004201B3"/>
    <w:rsid w:val="00420DC1"/>
    <w:rsid w:val="00420FB2"/>
    <w:rsid w:val="0042193E"/>
    <w:rsid w:val="00421B53"/>
    <w:rsid w:val="00422713"/>
    <w:rsid w:val="004228F6"/>
    <w:rsid w:val="00422C08"/>
    <w:rsid w:val="004237CF"/>
    <w:rsid w:val="004239FD"/>
    <w:rsid w:val="004240E9"/>
    <w:rsid w:val="0042533C"/>
    <w:rsid w:val="00425E1C"/>
    <w:rsid w:val="00426BCF"/>
    <w:rsid w:val="00427D94"/>
    <w:rsid w:val="00431ACD"/>
    <w:rsid w:val="00431F8E"/>
    <w:rsid w:val="00432252"/>
    <w:rsid w:val="00433EAF"/>
    <w:rsid w:val="004348DA"/>
    <w:rsid w:val="00435531"/>
    <w:rsid w:val="0043565B"/>
    <w:rsid w:val="004357F5"/>
    <w:rsid w:val="00435B2C"/>
    <w:rsid w:val="0043639C"/>
    <w:rsid w:val="00436658"/>
    <w:rsid w:val="00441834"/>
    <w:rsid w:val="0044188E"/>
    <w:rsid w:val="00442384"/>
    <w:rsid w:val="0044259A"/>
    <w:rsid w:val="00442EE1"/>
    <w:rsid w:val="00445922"/>
    <w:rsid w:val="00445943"/>
    <w:rsid w:val="00446186"/>
    <w:rsid w:val="00446B8B"/>
    <w:rsid w:val="00446DB1"/>
    <w:rsid w:val="00447293"/>
    <w:rsid w:val="004473FB"/>
    <w:rsid w:val="00447669"/>
    <w:rsid w:val="00447AEE"/>
    <w:rsid w:val="00447F53"/>
    <w:rsid w:val="00450D94"/>
    <w:rsid w:val="0045244E"/>
    <w:rsid w:val="00453122"/>
    <w:rsid w:val="0045389F"/>
    <w:rsid w:val="00455B27"/>
    <w:rsid w:val="004560EE"/>
    <w:rsid w:val="0045657E"/>
    <w:rsid w:val="00456AAF"/>
    <w:rsid w:val="00457CE2"/>
    <w:rsid w:val="00457DB3"/>
    <w:rsid w:val="004603C6"/>
    <w:rsid w:val="004607A8"/>
    <w:rsid w:val="00460DDD"/>
    <w:rsid w:val="00461389"/>
    <w:rsid w:val="004613AB"/>
    <w:rsid w:val="00461DFC"/>
    <w:rsid w:val="004625E1"/>
    <w:rsid w:val="00463DE0"/>
    <w:rsid w:val="00464948"/>
    <w:rsid w:val="00464E66"/>
    <w:rsid w:val="00465416"/>
    <w:rsid w:val="00465B51"/>
    <w:rsid w:val="004664A0"/>
    <w:rsid w:val="00466555"/>
    <w:rsid w:val="00466CBD"/>
    <w:rsid w:val="00466F91"/>
    <w:rsid w:val="004676BE"/>
    <w:rsid w:val="0047062F"/>
    <w:rsid w:val="00471ABC"/>
    <w:rsid w:val="004738C4"/>
    <w:rsid w:val="00473EB8"/>
    <w:rsid w:val="00474129"/>
    <w:rsid w:val="0047430D"/>
    <w:rsid w:val="00474989"/>
    <w:rsid w:val="00474F55"/>
    <w:rsid w:val="004765BC"/>
    <w:rsid w:val="00477D7B"/>
    <w:rsid w:val="00480376"/>
    <w:rsid w:val="00481215"/>
    <w:rsid w:val="00481A04"/>
    <w:rsid w:val="0048360C"/>
    <w:rsid w:val="00485306"/>
    <w:rsid w:val="00486070"/>
    <w:rsid w:val="0048660B"/>
    <w:rsid w:val="00486E79"/>
    <w:rsid w:val="00490A49"/>
    <w:rsid w:val="0049217D"/>
    <w:rsid w:val="00492265"/>
    <w:rsid w:val="0049416D"/>
    <w:rsid w:val="004944CB"/>
    <w:rsid w:val="00494670"/>
    <w:rsid w:val="00494F1B"/>
    <w:rsid w:val="00495508"/>
    <w:rsid w:val="004968B6"/>
    <w:rsid w:val="00497879"/>
    <w:rsid w:val="0049789A"/>
    <w:rsid w:val="00497C85"/>
    <w:rsid w:val="004A1468"/>
    <w:rsid w:val="004A1CA3"/>
    <w:rsid w:val="004A238A"/>
    <w:rsid w:val="004A2AF4"/>
    <w:rsid w:val="004A3637"/>
    <w:rsid w:val="004A4809"/>
    <w:rsid w:val="004A51B7"/>
    <w:rsid w:val="004A5CAE"/>
    <w:rsid w:val="004A6992"/>
    <w:rsid w:val="004A69B1"/>
    <w:rsid w:val="004A6A5C"/>
    <w:rsid w:val="004A7605"/>
    <w:rsid w:val="004A791D"/>
    <w:rsid w:val="004A7F35"/>
    <w:rsid w:val="004B01A3"/>
    <w:rsid w:val="004B0B43"/>
    <w:rsid w:val="004B0EFA"/>
    <w:rsid w:val="004B1DE2"/>
    <w:rsid w:val="004B2394"/>
    <w:rsid w:val="004B3BE2"/>
    <w:rsid w:val="004B3F96"/>
    <w:rsid w:val="004B45BC"/>
    <w:rsid w:val="004B574E"/>
    <w:rsid w:val="004B5E2B"/>
    <w:rsid w:val="004B6BB4"/>
    <w:rsid w:val="004B6FB2"/>
    <w:rsid w:val="004B726C"/>
    <w:rsid w:val="004C062C"/>
    <w:rsid w:val="004C132F"/>
    <w:rsid w:val="004C1884"/>
    <w:rsid w:val="004C288A"/>
    <w:rsid w:val="004C3F80"/>
    <w:rsid w:val="004C46E3"/>
    <w:rsid w:val="004C4E78"/>
    <w:rsid w:val="004C5124"/>
    <w:rsid w:val="004C5C3E"/>
    <w:rsid w:val="004C742F"/>
    <w:rsid w:val="004C7CB5"/>
    <w:rsid w:val="004D0E53"/>
    <w:rsid w:val="004D1859"/>
    <w:rsid w:val="004D214F"/>
    <w:rsid w:val="004D26A9"/>
    <w:rsid w:val="004D34CC"/>
    <w:rsid w:val="004D3E02"/>
    <w:rsid w:val="004D44F7"/>
    <w:rsid w:val="004D459B"/>
    <w:rsid w:val="004D4C10"/>
    <w:rsid w:val="004D4D9A"/>
    <w:rsid w:val="004D537D"/>
    <w:rsid w:val="004D5531"/>
    <w:rsid w:val="004D59D5"/>
    <w:rsid w:val="004D6D93"/>
    <w:rsid w:val="004E0B56"/>
    <w:rsid w:val="004E0D4E"/>
    <w:rsid w:val="004E166D"/>
    <w:rsid w:val="004E2072"/>
    <w:rsid w:val="004E227C"/>
    <w:rsid w:val="004E2AF8"/>
    <w:rsid w:val="004E4505"/>
    <w:rsid w:val="004E48BF"/>
    <w:rsid w:val="004E4EA6"/>
    <w:rsid w:val="004E5199"/>
    <w:rsid w:val="004E5CF5"/>
    <w:rsid w:val="004E5D70"/>
    <w:rsid w:val="004E6583"/>
    <w:rsid w:val="004E6D25"/>
    <w:rsid w:val="004E6D99"/>
    <w:rsid w:val="004F0313"/>
    <w:rsid w:val="004F061F"/>
    <w:rsid w:val="004F09C6"/>
    <w:rsid w:val="004F0C57"/>
    <w:rsid w:val="004F17C8"/>
    <w:rsid w:val="004F27BE"/>
    <w:rsid w:val="004F3BB2"/>
    <w:rsid w:val="004F3E7E"/>
    <w:rsid w:val="004F66C9"/>
    <w:rsid w:val="00500C3F"/>
    <w:rsid w:val="00500C7B"/>
    <w:rsid w:val="00500DC2"/>
    <w:rsid w:val="00503447"/>
    <w:rsid w:val="0050412F"/>
    <w:rsid w:val="00504198"/>
    <w:rsid w:val="0050436C"/>
    <w:rsid w:val="00505413"/>
    <w:rsid w:val="005059EB"/>
    <w:rsid w:val="00506A66"/>
    <w:rsid w:val="00510E75"/>
    <w:rsid w:val="005118DE"/>
    <w:rsid w:val="00512BA0"/>
    <w:rsid w:val="00512FC2"/>
    <w:rsid w:val="005137B6"/>
    <w:rsid w:val="00513BE3"/>
    <w:rsid w:val="00514281"/>
    <w:rsid w:val="00514777"/>
    <w:rsid w:val="00514F44"/>
    <w:rsid w:val="00515249"/>
    <w:rsid w:val="00515641"/>
    <w:rsid w:val="0051616A"/>
    <w:rsid w:val="005161B2"/>
    <w:rsid w:val="005175FE"/>
    <w:rsid w:val="005202B0"/>
    <w:rsid w:val="005204B8"/>
    <w:rsid w:val="005207BB"/>
    <w:rsid w:val="0052180F"/>
    <w:rsid w:val="00521D10"/>
    <w:rsid w:val="00521EF3"/>
    <w:rsid w:val="005224B4"/>
    <w:rsid w:val="005224B6"/>
    <w:rsid w:val="00522D4D"/>
    <w:rsid w:val="0052400F"/>
    <w:rsid w:val="005244D2"/>
    <w:rsid w:val="00525315"/>
    <w:rsid w:val="00526540"/>
    <w:rsid w:val="00527E9C"/>
    <w:rsid w:val="00531C66"/>
    <w:rsid w:val="00532519"/>
    <w:rsid w:val="00533CC4"/>
    <w:rsid w:val="00533F25"/>
    <w:rsid w:val="0053560C"/>
    <w:rsid w:val="00535D2F"/>
    <w:rsid w:val="00536C44"/>
    <w:rsid w:val="00536EF2"/>
    <w:rsid w:val="0053775F"/>
    <w:rsid w:val="00537C08"/>
    <w:rsid w:val="00540373"/>
    <w:rsid w:val="00541276"/>
    <w:rsid w:val="00542EB8"/>
    <w:rsid w:val="00542FA3"/>
    <w:rsid w:val="00543AAB"/>
    <w:rsid w:val="0054428A"/>
    <w:rsid w:val="0054489D"/>
    <w:rsid w:val="00546522"/>
    <w:rsid w:val="005467CC"/>
    <w:rsid w:val="00547981"/>
    <w:rsid w:val="00547ACA"/>
    <w:rsid w:val="00547EF1"/>
    <w:rsid w:val="00550682"/>
    <w:rsid w:val="0055179C"/>
    <w:rsid w:val="00552065"/>
    <w:rsid w:val="00552325"/>
    <w:rsid w:val="00554C82"/>
    <w:rsid w:val="00554C99"/>
    <w:rsid w:val="00554CFD"/>
    <w:rsid w:val="00555B3E"/>
    <w:rsid w:val="00555F92"/>
    <w:rsid w:val="0055736F"/>
    <w:rsid w:val="00557703"/>
    <w:rsid w:val="005577CD"/>
    <w:rsid w:val="0056056B"/>
    <w:rsid w:val="00560865"/>
    <w:rsid w:val="00563937"/>
    <w:rsid w:val="00564079"/>
    <w:rsid w:val="00564941"/>
    <w:rsid w:val="00564F1C"/>
    <w:rsid w:val="00565047"/>
    <w:rsid w:val="00567C0A"/>
    <w:rsid w:val="00570B92"/>
    <w:rsid w:val="005717B1"/>
    <w:rsid w:val="00571895"/>
    <w:rsid w:val="00572B3B"/>
    <w:rsid w:val="00572BDB"/>
    <w:rsid w:val="00574141"/>
    <w:rsid w:val="00575EE0"/>
    <w:rsid w:val="00576369"/>
    <w:rsid w:val="00577283"/>
    <w:rsid w:val="00580447"/>
    <w:rsid w:val="00581351"/>
    <w:rsid w:val="00581A0D"/>
    <w:rsid w:val="00584258"/>
    <w:rsid w:val="00584307"/>
    <w:rsid w:val="00585E5C"/>
    <w:rsid w:val="00586482"/>
    <w:rsid w:val="00586A17"/>
    <w:rsid w:val="00586D75"/>
    <w:rsid w:val="0058755D"/>
    <w:rsid w:val="005878F5"/>
    <w:rsid w:val="00590184"/>
    <w:rsid w:val="00590534"/>
    <w:rsid w:val="00591303"/>
    <w:rsid w:val="00591F2E"/>
    <w:rsid w:val="0059219D"/>
    <w:rsid w:val="0059306E"/>
    <w:rsid w:val="005938F9"/>
    <w:rsid w:val="00594589"/>
    <w:rsid w:val="00594737"/>
    <w:rsid w:val="00594B08"/>
    <w:rsid w:val="005968EB"/>
    <w:rsid w:val="00596FC2"/>
    <w:rsid w:val="005A07CD"/>
    <w:rsid w:val="005A123B"/>
    <w:rsid w:val="005A1797"/>
    <w:rsid w:val="005A2052"/>
    <w:rsid w:val="005A23BA"/>
    <w:rsid w:val="005A2FA6"/>
    <w:rsid w:val="005A3237"/>
    <w:rsid w:val="005A3668"/>
    <w:rsid w:val="005A3E30"/>
    <w:rsid w:val="005A4816"/>
    <w:rsid w:val="005A517B"/>
    <w:rsid w:val="005A5236"/>
    <w:rsid w:val="005A543B"/>
    <w:rsid w:val="005A5709"/>
    <w:rsid w:val="005A76B1"/>
    <w:rsid w:val="005A7949"/>
    <w:rsid w:val="005A79B2"/>
    <w:rsid w:val="005B00D6"/>
    <w:rsid w:val="005B0EAE"/>
    <w:rsid w:val="005B0EEB"/>
    <w:rsid w:val="005B140F"/>
    <w:rsid w:val="005B15BC"/>
    <w:rsid w:val="005B21CD"/>
    <w:rsid w:val="005B277C"/>
    <w:rsid w:val="005B309F"/>
    <w:rsid w:val="005B30A8"/>
    <w:rsid w:val="005B45FA"/>
    <w:rsid w:val="005B6EDD"/>
    <w:rsid w:val="005B71FB"/>
    <w:rsid w:val="005B7515"/>
    <w:rsid w:val="005B7BED"/>
    <w:rsid w:val="005B7EA4"/>
    <w:rsid w:val="005C053E"/>
    <w:rsid w:val="005C110C"/>
    <w:rsid w:val="005C14BA"/>
    <w:rsid w:val="005C2ED2"/>
    <w:rsid w:val="005C35AA"/>
    <w:rsid w:val="005C362C"/>
    <w:rsid w:val="005C52A9"/>
    <w:rsid w:val="005C551B"/>
    <w:rsid w:val="005C5EF7"/>
    <w:rsid w:val="005C617E"/>
    <w:rsid w:val="005C6BD9"/>
    <w:rsid w:val="005C6F8D"/>
    <w:rsid w:val="005C6FB2"/>
    <w:rsid w:val="005C73E3"/>
    <w:rsid w:val="005D0753"/>
    <w:rsid w:val="005D106B"/>
    <w:rsid w:val="005D25A7"/>
    <w:rsid w:val="005D2B51"/>
    <w:rsid w:val="005D3816"/>
    <w:rsid w:val="005D391D"/>
    <w:rsid w:val="005D40C8"/>
    <w:rsid w:val="005D638E"/>
    <w:rsid w:val="005D69E3"/>
    <w:rsid w:val="005D70E8"/>
    <w:rsid w:val="005D791E"/>
    <w:rsid w:val="005E083F"/>
    <w:rsid w:val="005E0BFF"/>
    <w:rsid w:val="005E11A4"/>
    <w:rsid w:val="005E1565"/>
    <w:rsid w:val="005E1E34"/>
    <w:rsid w:val="005E2B34"/>
    <w:rsid w:val="005E2CBF"/>
    <w:rsid w:val="005E3DB7"/>
    <w:rsid w:val="005E4DB6"/>
    <w:rsid w:val="005E577A"/>
    <w:rsid w:val="005E599A"/>
    <w:rsid w:val="005E5C43"/>
    <w:rsid w:val="005E62B2"/>
    <w:rsid w:val="005E6691"/>
    <w:rsid w:val="005E6FAB"/>
    <w:rsid w:val="005E7448"/>
    <w:rsid w:val="005F25BE"/>
    <w:rsid w:val="005F3D3E"/>
    <w:rsid w:val="005F4681"/>
    <w:rsid w:val="005F558E"/>
    <w:rsid w:val="005F5A5E"/>
    <w:rsid w:val="005F629C"/>
    <w:rsid w:val="005F6E58"/>
    <w:rsid w:val="005F7822"/>
    <w:rsid w:val="005F7D8E"/>
    <w:rsid w:val="00600090"/>
    <w:rsid w:val="00601A51"/>
    <w:rsid w:val="00602A7A"/>
    <w:rsid w:val="00602EE0"/>
    <w:rsid w:val="00605C94"/>
    <w:rsid w:val="006060FF"/>
    <w:rsid w:val="00606291"/>
    <w:rsid w:val="006067D8"/>
    <w:rsid w:val="00607D28"/>
    <w:rsid w:val="006102DF"/>
    <w:rsid w:val="006110EF"/>
    <w:rsid w:val="00611F5F"/>
    <w:rsid w:val="0061245E"/>
    <w:rsid w:val="00613509"/>
    <w:rsid w:val="00613691"/>
    <w:rsid w:val="00613E85"/>
    <w:rsid w:val="00615941"/>
    <w:rsid w:val="00615CBB"/>
    <w:rsid w:val="00615D4E"/>
    <w:rsid w:val="00616826"/>
    <w:rsid w:val="00616B19"/>
    <w:rsid w:val="0061745C"/>
    <w:rsid w:val="00617D53"/>
    <w:rsid w:val="00617F2C"/>
    <w:rsid w:val="0062114B"/>
    <w:rsid w:val="006211F3"/>
    <w:rsid w:val="00622324"/>
    <w:rsid w:val="006223FC"/>
    <w:rsid w:val="00622CBE"/>
    <w:rsid w:val="0062311D"/>
    <w:rsid w:val="00623434"/>
    <w:rsid w:val="0062369B"/>
    <w:rsid w:val="00623E3F"/>
    <w:rsid w:val="00624260"/>
    <w:rsid w:val="00625033"/>
    <w:rsid w:val="00625267"/>
    <w:rsid w:val="006257D8"/>
    <w:rsid w:val="006300A0"/>
    <w:rsid w:val="00631C63"/>
    <w:rsid w:val="006325C3"/>
    <w:rsid w:val="00632CEC"/>
    <w:rsid w:val="00633099"/>
    <w:rsid w:val="00633793"/>
    <w:rsid w:val="00633DAF"/>
    <w:rsid w:val="00634248"/>
    <w:rsid w:val="006343A1"/>
    <w:rsid w:val="00634CC3"/>
    <w:rsid w:val="00635CEC"/>
    <w:rsid w:val="00636C3A"/>
    <w:rsid w:val="006400B3"/>
    <w:rsid w:val="00640112"/>
    <w:rsid w:val="00640586"/>
    <w:rsid w:val="00640FBF"/>
    <w:rsid w:val="00641183"/>
    <w:rsid w:val="0064135E"/>
    <w:rsid w:val="00641928"/>
    <w:rsid w:val="00642707"/>
    <w:rsid w:val="00642A28"/>
    <w:rsid w:val="00642B33"/>
    <w:rsid w:val="00643D02"/>
    <w:rsid w:val="00646136"/>
    <w:rsid w:val="006473A2"/>
    <w:rsid w:val="006473C8"/>
    <w:rsid w:val="00647944"/>
    <w:rsid w:val="006508C7"/>
    <w:rsid w:val="00650AED"/>
    <w:rsid w:val="00650FA6"/>
    <w:rsid w:val="00651751"/>
    <w:rsid w:val="00651CB2"/>
    <w:rsid w:val="006524B1"/>
    <w:rsid w:val="006527F2"/>
    <w:rsid w:val="00653ED5"/>
    <w:rsid w:val="00654879"/>
    <w:rsid w:val="006548C6"/>
    <w:rsid w:val="00654BEF"/>
    <w:rsid w:val="00654C2C"/>
    <w:rsid w:val="00655294"/>
    <w:rsid w:val="006559EB"/>
    <w:rsid w:val="00655C8D"/>
    <w:rsid w:val="00656448"/>
    <w:rsid w:val="00656845"/>
    <w:rsid w:val="00657247"/>
    <w:rsid w:val="00657532"/>
    <w:rsid w:val="00660BDE"/>
    <w:rsid w:val="00660FA5"/>
    <w:rsid w:val="006615BF"/>
    <w:rsid w:val="00662306"/>
    <w:rsid w:val="00662332"/>
    <w:rsid w:val="006627C2"/>
    <w:rsid w:val="00662AE6"/>
    <w:rsid w:val="00662F1F"/>
    <w:rsid w:val="00663157"/>
    <w:rsid w:val="0066356B"/>
    <w:rsid w:val="00664D21"/>
    <w:rsid w:val="00665701"/>
    <w:rsid w:val="00665F0F"/>
    <w:rsid w:val="006662C1"/>
    <w:rsid w:val="00666619"/>
    <w:rsid w:val="006673F8"/>
    <w:rsid w:val="006709BD"/>
    <w:rsid w:val="00670B8C"/>
    <w:rsid w:val="00670E36"/>
    <w:rsid w:val="00671065"/>
    <w:rsid w:val="0067125C"/>
    <w:rsid w:val="00671B0C"/>
    <w:rsid w:val="00671BCF"/>
    <w:rsid w:val="00671D21"/>
    <w:rsid w:val="00672A46"/>
    <w:rsid w:val="00674D58"/>
    <w:rsid w:val="00675715"/>
    <w:rsid w:val="00676453"/>
    <w:rsid w:val="006769E9"/>
    <w:rsid w:val="00676EC2"/>
    <w:rsid w:val="00677840"/>
    <w:rsid w:val="00681842"/>
    <w:rsid w:val="00681949"/>
    <w:rsid w:val="00684107"/>
    <w:rsid w:val="0068587D"/>
    <w:rsid w:val="00685929"/>
    <w:rsid w:val="0068658C"/>
    <w:rsid w:val="0068687D"/>
    <w:rsid w:val="00686C2E"/>
    <w:rsid w:val="00687597"/>
    <w:rsid w:val="00687E01"/>
    <w:rsid w:val="00690314"/>
    <w:rsid w:val="00690332"/>
    <w:rsid w:val="00690464"/>
    <w:rsid w:val="00690DBF"/>
    <w:rsid w:val="00691595"/>
    <w:rsid w:val="006915FB"/>
    <w:rsid w:val="00691FB0"/>
    <w:rsid w:val="00693154"/>
    <w:rsid w:val="00694AEF"/>
    <w:rsid w:val="00695671"/>
    <w:rsid w:val="0069575D"/>
    <w:rsid w:val="0069597F"/>
    <w:rsid w:val="00696961"/>
    <w:rsid w:val="006969F8"/>
    <w:rsid w:val="006970E2"/>
    <w:rsid w:val="006976C4"/>
    <w:rsid w:val="006A11F3"/>
    <w:rsid w:val="006A1AAD"/>
    <w:rsid w:val="006A2C2B"/>
    <w:rsid w:val="006A3099"/>
    <w:rsid w:val="006A3605"/>
    <w:rsid w:val="006A5884"/>
    <w:rsid w:val="006A5C67"/>
    <w:rsid w:val="006A62BD"/>
    <w:rsid w:val="006A78C2"/>
    <w:rsid w:val="006B038D"/>
    <w:rsid w:val="006B1127"/>
    <w:rsid w:val="006B2477"/>
    <w:rsid w:val="006B2C7B"/>
    <w:rsid w:val="006B336E"/>
    <w:rsid w:val="006B4518"/>
    <w:rsid w:val="006B5DBB"/>
    <w:rsid w:val="006B61CE"/>
    <w:rsid w:val="006B66F4"/>
    <w:rsid w:val="006B6F76"/>
    <w:rsid w:val="006C07B8"/>
    <w:rsid w:val="006C0D5A"/>
    <w:rsid w:val="006C1B4C"/>
    <w:rsid w:val="006C3054"/>
    <w:rsid w:val="006C381A"/>
    <w:rsid w:val="006C416B"/>
    <w:rsid w:val="006C421E"/>
    <w:rsid w:val="006C4516"/>
    <w:rsid w:val="006C4644"/>
    <w:rsid w:val="006C4E72"/>
    <w:rsid w:val="006C51C7"/>
    <w:rsid w:val="006C5220"/>
    <w:rsid w:val="006C6B15"/>
    <w:rsid w:val="006C6B87"/>
    <w:rsid w:val="006C6F29"/>
    <w:rsid w:val="006C7F9C"/>
    <w:rsid w:val="006D0297"/>
    <w:rsid w:val="006D0BF0"/>
    <w:rsid w:val="006D1ADD"/>
    <w:rsid w:val="006D24F2"/>
    <w:rsid w:val="006D2667"/>
    <w:rsid w:val="006D2F85"/>
    <w:rsid w:val="006D37AB"/>
    <w:rsid w:val="006D400B"/>
    <w:rsid w:val="006D4DE5"/>
    <w:rsid w:val="006D5AAD"/>
    <w:rsid w:val="006D6D2E"/>
    <w:rsid w:val="006D78A8"/>
    <w:rsid w:val="006E0C8C"/>
    <w:rsid w:val="006E1379"/>
    <w:rsid w:val="006E14BC"/>
    <w:rsid w:val="006E154D"/>
    <w:rsid w:val="006E239F"/>
    <w:rsid w:val="006E4E3A"/>
    <w:rsid w:val="006E4F27"/>
    <w:rsid w:val="006E5463"/>
    <w:rsid w:val="006E5ED7"/>
    <w:rsid w:val="006E6815"/>
    <w:rsid w:val="006E74BB"/>
    <w:rsid w:val="006F0311"/>
    <w:rsid w:val="006F0BB8"/>
    <w:rsid w:val="006F173F"/>
    <w:rsid w:val="006F180F"/>
    <w:rsid w:val="006F2BC1"/>
    <w:rsid w:val="006F2DF7"/>
    <w:rsid w:val="006F4520"/>
    <w:rsid w:val="006F6CEC"/>
    <w:rsid w:val="006F7CF1"/>
    <w:rsid w:val="0070071F"/>
    <w:rsid w:val="00700DC7"/>
    <w:rsid w:val="007014CD"/>
    <w:rsid w:val="00701711"/>
    <w:rsid w:val="007019B8"/>
    <w:rsid w:val="00702B96"/>
    <w:rsid w:val="007064E3"/>
    <w:rsid w:val="007068BF"/>
    <w:rsid w:val="00706B4A"/>
    <w:rsid w:val="00706DBD"/>
    <w:rsid w:val="00707860"/>
    <w:rsid w:val="00707DC4"/>
    <w:rsid w:val="007103C2"/>
    <w:rsid w:val="00711E89"/>
    <w:rsid w:val="00712E18"/>
    <w:rsid w:val="00712E75"/>
    <w:rsid w:val="00713433"/>
    <w:rsid w:val="00714355"/>
    <w:rsid w:val="00714437"/>
    <w:rsid w:val="00714874"/>
    <w:rsid w:val="0071512F"/>
    <w:rsid w:val="007155A8"/>
    <w:rsid w:val="0071652C"/>
    <w:rsid w:val="007179BB"/>
    <w:rsid w:val="00717FFA"/>
    <w:rsid w:val="007204B7"/>
    <w:rsid w:val="00720D9B"/>
    <w:rsid w:val="00721851"/>
    <w:rsid w:val="00722A9E"/>
    <w:rsid w:val="00723367"/>
    <w:rsid w:val="00725525"/>
    <w:rsid w:val="00725981"/>
    <w:rsid w:val="00726075"/>
    <w:rsid w:val="0072642A"/>
    <w:rsid w:val="0073164A"/>
    <w:rsid w:val="00731BB6"/>
    <w:rsid w:val="0073211D"/>
    <w:rsid w:val="007326CE"/>
    <w:rsid w:val="007332FB"/>
    <w:rsid w:val="00733E72"/>
    <w:rsid w:val="0073414E"/>
    <w:rsid w:val="007348F7"/>
    <w:rsid w:val="0074049B"/>
    <w:rsid w:val="00740BB6"/>
    <w:rsid w:val="0074169A"/>
    <w:rsid w:val="00741DFC"/>
    <w:rsid w:val="0074213C"/>
    <w:rsid w:val="00743E70"/>
    <w:rsid w:val="0074463C"/>
    <w:rsid w:val="00746C58"/>
    <w:rsid w:val="007476DD"/>
    <w:rsid w:val="0074770A"/>
    <w:rsid w:val="00747A34"/>
    <w:rsid w:val="00747D49"/>
    <w:rsid w:val="00750010"/>
    <w:rsid w:val="0075011E"/>
    <w:rsid w:val="007524FD"/>
    <w:rsid w:val="007526BB"/>
    <w:rsid w:val="00754E89"/>
    <w:rsid w:val="00755551"/>
    <w:rsid w:val="0075644F"/>
    <w:rsid w:val="00756627"/>
    <w:rsid w:val="007566EE"/>
    <w:rsid w:val="00756714"/>
    <w:rsid w:val="00756B5A"/>
    <w:rsid w:val="00756BF1"/>
    <w:rsid w:val="0075701A"/>
    <w:rsid w:val="007576FB"/>
    <w:rsid w:val="007604D6"/>
    <w:rsid w:val="00760D9A"/>
    <w:rsid w:val="007613DD"/>
    <w:rsid w:val="007638C7"/>
    <w:rsid w:val="0076408E"/>
    <w:rsid w:val="00764538"/>
    <w:rsid w:val="00765452"/>
    <w:rsid w:val="00766189"/>
    <w:rsid w:val="007664E3"/>
    <w:rsid w:val="007670F4"/>
    <w:rsid w:val="007674F8"/>
    <w:rsid w:val="007677F9"/>
    <w:rsid w:val="00767828"/>
    <w:rsid w:val="00767D68"/>
    <w:rsid w:val="007709FB"/>
    <w:rsid w:val="0077341B"/>
    <w:rsid w:val="00773BAA"/>
    <w:rsid w:val="00775812"/>
    <w:rsid w:val="00776C3C"/>
    <w:rsid w:val="007770F8"/>
    <w:rsid w:val="0078000B"/>
    <w:rsid w:val="00780859"/>
    <w:rsid w:val="00780DF0"/>
    <w:rsid w:val="00781450"/>
    <w:rsid w:val="0078299B"/>
    <w:rsid w:val="00782AAE"/>
    <w:rsid w:val="007837A7"/>
    <w:rsid w:val="00783E67"/>
    <w:rsid w:val="00783FB1"/>
    <w:rsid w:val="00784D8C"/>
    <w:rsid w:val="007855D0"/>
    <w:rsid w:val="007859E1"/>
    <w:rsid w:val="00786165"/>
    <w:rsid w:val="007874BC"/>
    <w:rsid w:val="00790042"/>
    <w:rsid w:val="00791C1B"/>
    <w:rsid w:val="00791D3B"/>
    <w:rsid w:val="00792BE8"/>
    <w:rsid w:val="00792BFF"/>
    <w:rsid w:val="007937B5"/>
    <w:rsid w:val="007944CA"/>
    <w:rsid w:val="007944E4"/>
    <w:rsid w:val="00794DA0"/>
    <w:rsid w:val="00797C59"/>
    <w:rsid w:val="00797F7F"/>
    <w:rsid w:val="007A0939"/>
    <w:rsid w:val="007A142F"/>
    <w:rsid w:val="007A1DB6"/>
    <w:rsid w:val="007A1E19"/>
    <w:rsid w:val="007A2055"/>
    <w:rsid w:val="007A2760"/>
    <w:rsid w:val="007A36F0"/>
    <w:rsid w:val="007A4031"/>
    <w:rsid w:val="007A49F5"/>
    <w:rsid w:val="007A63A8"/>
    <w:rsid w:val="007A64FC"/>
    <w:rsid w:val="007A7CC0"/>
    <w:rsid w:val="007B0237"/>
    <w:rsid w:val="007B10F1"/>
    <w:rsid w:val="007B1A8E"/>
    <w:rsid w:val="007B1BD4"/>
    <w:rsid w:val="007B37CF"/>
    <w:rsid w:val="007B3982"/>
    <w:rsid w:val="007B4182"/>
    <w:rsid w:val="007B42F5"/>
    <w:rsid w:val="007B4912"/>
    <w:rsid w:val="007B5E53"/>
    <w:rsid w:val="007B63E3"/>
    <w:rsid w:val="007B6632"/>
    <w:rsid w:val="007B6BCC"/>
    <w:rsid w:val="007B6E5A"/>
    <w:rsid w:val="007C061F"/>
    <w:rsid w:val="007C1042"/>
    <w:rsid w:val="007C135E"/>
    <w:rsid w:val="007C13DC"/>
    <w:rsid w:val="007C2D1C"/>
    <w:rsid w:val="007C344B"/>
    <w:rsid w:val="007C3E87"/>
    <w:rsid w:val="007C48DC"/>
    <w:rsid w:val="007C495D"/>
    <w:rsid w:val="007C4B6F"/>
    <w:rsid w:val="007C4D8C"/>
    <w:rsid w:val="007C65B7"/>
    <w:rsid w:val="007C6FD3"/>
    <w:rsid w:val="007D000F"/>
    <w:rsid w:val="007D03F5"/>
    <w:rsid w:val="007D088A"/>
    <w:rsid w:val="007D1B20"/>
    <w:rsid w:val="007D2522"/>
    <w:rsid w:val="007D2A41"/>
    <w:rsid w:val="007D3C77"/>
    <w:rsid w:val="007D448F"/>
    <w:rsid w:val="007D46BE"/>
    <w:rsid w:val="007D4B00"/>
    <w:rsid w:val="007D58AC"/>
    <w:rsid w:val="007D5E1C"/>
    <w:rsid w:val="007D5E8A"/>
    <w:rsid w:val="007D5F65"/>
    <w:rsid w:val="007D6841"/>
    <w:rsid w:val="007D6DB5"/>
    <w:rsid w:val="007D7CBA"/>
    <w:rsid w:val="007E10EA"/>
    <w:rsid w:val="007E1336"/>
    <w:rsid w:val="007E1802"/>
    <w:rsid w:val="007E210F"/>
    <w:rsid w:val="007E3404"/>
    <w:rsid w:val="007E454C"/>
    <w:rsid w:val="007E4654"/>
    <w:rsid w:val="007E48AF"/>
    <w:rsid w:val="007E48F6"/>
    <w:rsid w:val="007E5407"/>
    <w:rsid w:val="007E6054"/>
    <w:rsid w:val="007E693C"/>
    <w:rsid w:val="007E695E"/>
    <w:rsid w:val="007E7175"/>
    <w:rsid w:val="007E7420"/>
    <w:rsid w:val="007F0338"/>
    <w:rsid w:val="007F1747"/>
    <w:rsid w:val="007F262C"/>
    <w:rsid w:val="007F59C7"/>
    <w:rsid w:val="007F59E1"/>
    <w:rsid w:val="007F5D51"/>
    <w:rsid w:val="007F5E6F"/>
    <w:rsid w:val="007F62C9"/>
    <w:rsid w:val="007F6328"/>
    <w:rsid w:val="007F6CC7"/>
    <w:rsid w:val="007F6D04"/>
    <w:rsid w:val="007F7C69"/>
    <w:rsid w:val="008004DB"/>
    <w:rsid w:val="008007E6"/>
    <w:rsid w:val="008008B7"/>
    <w:rsid w:val="00800F56"/>
    <w:rsid w:val="00801B46"/>
    <w:rsid w:val="00801F54"/>
    <w:rsid w:val="008029DE"/>
    <w:rsid w:val="00802BC1"/>
    <w:rsid w:val="00802D3B"/>
    <w:rsid w:val="00802F97"/>
    <w:rsid w:val="00803D19"/>
    <w:rsid w:val="0080500A"/>
    <w:rsid w:val="008055AF"/>
    <w:rsid w:val="00805927"/>
    <w:rsid w:val="00805AF2"/>
    <w:rsid w:val="0080691C"/>
    <w:rsid w:val="00806DA3"/>
    <w:rsid w:val="008077EE"/>
    <w:rsid w:val="00807D9E"/>
    <w:rsid w:val="00810289"/>
    <w:rsid w:val="00811CEB"/>
    <w:rsid w:val="00812E02"/>
    <w:rsid w:val="00814B37"/>
    <w:rsid w:val="00815009"/>
    <w:rsid w:val="00815611"/>
    <w:rsid w:val="008163C8"/>
    <w:rsid w:val="00817AA6"/>
    <w:rsid w:val="00817C15"/>
    <w:rsid w:val="00820466"/>
    <w:rsid w:val="0082163F"/>
    <w:rsid w:val="008218A1"/>
    <w:rsid w:val="008221A9"/>
    <w:rsid w:val="0082291A"/>
    <w:rsid w:val="00822D07"/>
    <w:rsid w:val="00824C2D"/>
    <w:rsid w:val="00824D76"/>
    <w:rsid w:val="00824F72"/>
    <w:rsid w:val="00825359"/>
    <w:rsid w:val="00825703"/>
    <w:rsid w:val="00825E59"/>
    <w:rsid w:val="00826101"/>
    <w:rsid w:val="0082659C"/>
    <w:rsid w:val="00826BDD"/>
    <w:rsid w:val="00826CB1"/>
    <w:rsid w:val="00827165"/>
    <w:rsid w:val="0083019E"/>
    <w:rsid w:val="00830508"/>
    <w:rsid w:val="0083179F"/>
    <w:rsid w:val="00832082"/>
    <w:rsid w:val="00832767"/>
    <w:rsid w:val="00832A37"/>
    <w:rsid w:val="00834499"/>
    <w:rsid w:val="00835B05"/>
    <w:rsid w:val="008362C2"/>
    <w:rsid w:val="00837B84"/>
    <w:rsid w:val="00840E9D"/>
    <w:rsid w:val="00840F86"/>
    <w:rsid w:val="00840FBD"/>
    <w:rsid w:val="00841CA5"/>
    <w:rsid w:val="00842C74"/>
    <w:rsid w:val="008439EC"/>
    <w:rsid w:val="008457D1"/>
    <w:rsid w:val="00845C7A"/>
    <w:rsid w:val="00846640"/>
    <w:rsid w:val="00846BA9"/>
    <w:rsid w:val="00846FA5"/>
    <w:rsid w:val="00847C23"/>
    <w:rsid w:val="0085104D"/>
    <w:rsid w:val="0085149B"/>
    <w:rsid w:val="00851B36"/>
    <w:rsid w:val="00851F59"/>
    <w:rsid w:val="008526C0"/>
    <w:rsid w:val="00852A1E"/>
    <w:rsid w:val="0085423D"/>
    <w:rsid w:val="008542D2"/>
    <w:rsid w:val="0085447A"/>
    <w:rsid w:val="008545D0"/>
    <w:rsid w:val="00855837"/>
    <w:rsid w:val="0085764F"/>
    <w:rsid w:val="00862CB7"/>
    <w:rsid w:val="00862E14"/>
    <w:rsid w:val="008636C3"/>
    <w:rsid w:val="00865AAF"/>
    <w:rsid w:val="0086773B"/>
    <w:rsid w:val="00867883"/>
    <w:rsid w:val="00870A04"/>
    <w:rsid w:val="0087119E"/>
    <w:rsid w:val="00873A4C"/>
    <w:rsid w:val="00874363"/>
    <w:rsid w:val="00874E98"/>
    <w:rsid w:val="008750B9"/>
    <w:rsid w:val="008759A9"/>
    <w:rsid w:val="0087664A"/>
    <w:rsid w:val="00876FE4"/>
    <w:rsid w:val="00877653"/>
    <w:rsid w:val="00877796"/>
    <w:rsid w:val="0088035E"/>
    <w:rsid w:val="00880A99"/>
    <w:rsid w:val="00882196"/>
    <w:rsid w:val="008822EE"/>
    <w:rsid w:val="00882995"/>
    <w:rsid w:val="00882BC9"/>
    <w:rsid w:val="00883ED9"/>
    <w:rsid w:val="0088473D"/>
    <w:rsid w:val="00885AFA"/>
    <w:rsid w:val="00885EBA"/>
    <w:rsid w:val="00886A52"/>
    <w:rsid w:val="00886DC9"/>
    <w:rsid w:val="008877FE"/>
    <w:rsid w:val="008910E2"/>
    <w:rsid w:val="008913F0"/>
    <w:rsid w:val="0089169F"/>
    <w:rsid w:val="00892C5F"/>
    <w:rsid w:val="008946A4"/>
    <w:rsid w:val="008950D8"/>
    <w:rsid w:val="008955E0"/>
    <w:rsid w:val="00895F94"/>
    <w:rsid w:val="008962FC"/>
    <w:rsid w:val="00897E83"/>
    <w:rsid w:val="008A05E9"/>
    <w:rsid w:val="008A148E"/>
    <w:rsid w:val="008A1757"/>
    <w:rsid w:val="008A265A"/>
    <w:rsid w:val="008A30AA"/>
    <w:rsid w:val="008A3A80"/>
    <w:rsid w:val="008A4067"/>
    <w:rsid w:val="008A4681"/>
    <w:rsid w:val="008A5776"/>
    <w:rsid w:val="008A5B6A"/>
    <w:rsid w:val="008A5D41"/>
    <w:rsid w:val="008A5EC7"/>
    <w:rsid w:val="008A60C1"/>
    <w:rsid w:val="008A6326"/>
    <w:rsid w:val="008A7432"/>
    <w:rsid w:val="008A7809"/>
    <w:rsid w:val="008A7D69"/>
    <w:rsid w:val="008B07A0"/>
    <w:rsid w:val="008B0B13"/>
    <w:rsid w:val="008B2B7B"/>
    <w:rsid w:val="008B35F6"/>
    <w:rsid w:val="008B4310"/>
    <w:rsid w:val="008B551D"/>
    <w:rsid w:val="008B6341"/>
    <w:rsid w:val="008B640F"/>
    <w:rsid w:val="008B79AF"/>
    <w:rsid w:val="008C3382"/>
    <w:rsid w:val="008C45A5"/>
    <w:rsid w:val="008C6443"/>
    <w:rsid w:val="008C6CCC"/>
    <w:rsid w:val="008C7087"/>
    <w:rsid w:val="008C74F8"/>
    <w:rsid w:val="008D06D9"/>
    <w:rsid w:val="008D1111"/>
    <w:rsid w:val="008D1922"/>
    <w:rsid w:val="008D1985"/>
    <w:rsid w:val="008D2A3F"/>
    <w:rsid w:val="008D2B2B"/>
    <w:rsid w:val="008D2BAE"/>
    <w:rsid w:val="008D3712"/>
    <w:rsid w:val="008D3988"/>
    <w:rsid w:val="008D48B5"/>
    <w:rsid w:val="008D4A3F"/>
    <w:rsid w:val="008D551F"/>
    <w:rsid w:val="008D55B3"/>
    <w:rsid w:val="008D56B2"/>
    <w:rsid w:val="008D5790"/>
    <w:rsid w:val="008D62C9"/>
    <w:rsid w:val="008D7ACE"/>
    <w:rsid w:val="008D7FE8"/>
    <w:rsid w:val="008E1199"/>
    <w:rsid w:val="008E14E6"/>
    <w:rsid w:val="008E1A9F"/>
    <w:rsid w:val="008E21BF"/>
    <w:rsid w:val="008E319C"/>
    <w:rsid w:val="008E33B9"/>
    <w:rsid w:val="008E4720"/>
    <w:rsid w:val="008E483E"/>
    <w:rsid w:val="008E4B1C"/>
    <w:rsid w:val="008E560A"/>
    <w:rsid w:val="008E5693"/>
    <w:rsid w:val="008E603B"/>
    <w:rsid w:val="008E65A0"/>
    <w:rsid w:val="008F07B5"/>
    <w:rsid w:val="008F1625"/>
    <w:rsid w:val="008F28FD"/>
    <w:rsid w:val="008F37A2"/>
    <w:rsid w:val="008F3847"/>
    <w:rsid w:val="008F3C73"/>
    <w:rsid w:val="008F408D"/>
    <w:rsid w:val="008F4BF6"/>
    <w:rsid w:val="008F641F"/>
    <w:rsid w:val="008F6A03"/>
    <w:rsid w:val="008F6D7D"/>
    <w:rsid w:val="008F7290"/>
    <w:rsid w:val="008F7893"/>
    <w:rsid w:val="008F7992"/>
    <w:rsid w:val="00901529"/>
    <w:rsid w:val="009016D3"/>
    <w:rsid w:val="009022F8"/>
    <w:rsid w:val="009023E5"/>
    <w:rsid w:val="00902C7D"/>
    <w:rsid w:val="00903CDC"/>
    <w:rsid w:val="00903DF5"/>
    <w:rsid w:val="00907652"/>
    <w:rsid w:val="0091181A"/>
    <w:rsid w:val="00912C09"/>
    <w:rsid w:val="00913CDC"/>
    <w:rsid w:val="00914BBB"/>
    <w:rsid w:val="00914CE5"/>
    <w:rsid w:val="00914D54"/>
    <w:rsid w:val="00916473"/>
    <w:rsid w:val="009173BF"/>
    <w:rsid w:val="009203C6"/>
    <w:rsid w:val="00920B5A"/>
    <w:rsid w:val="00921084"/>
    <w:rsid w:val="0092151F"/>
    <w:rsid w:val="00923AC4"/>
    <w:rsid w:val="009257C5"/>
    <w:rsid w:val="00925B37"/>
    <w:rsid w:val="009260D9"/>
    <w:rsid w:val="0092643B"/>
    <w:rsid w:val="0092704E"/>
    <w:rsid w:val="00927ABD"/>
    <w:rsid w:val="00927C6A"/>
    <w:rsid w:val="00927E81"/>
    <w:rsid w:val="00930333"/>
    <w:rsid w:val="00930B33"/>
    <w:rsid w:val="00931E6C"/>
    <w:rsid w:val="00932C79"/>
    <w:rsid w:val="0093306B"/>
    <w:rsid w:val="009336D7"/>
    <w:rsid w:val="009341C3"/>
    <w:rsid w:val="009356ED"/>
    <w:rsid w:val="00936B97"/>
    <w:rsid w:val="00937880"/>
    <w:rsid w:val="009408BE"/>
    <w:rsid w:val="00940E75"/>
    <w:rsid w:val="00941152"/>
    <w:rsid w:val="00942B97"/>
    <w:rsid w:val="00943AF6"/>
    <w:rsid w:val="00943E91"/>
    <w:rsid w:val="00943FE4"/>
    <w:rsid w:val="00944358"/>
    <w:rsid w:val="0094456C"/>
    <w:rsid w:val="00944AA2"/>
    <w:rsid w:val="00944B74"/>
    <w:rsid w:val="009450F7"/>
    <w:rsid w:val="00945733"/>
    <w:rsid w:val="00947277"/>
    <w:rsid w:val="00947B83"/>
    <w:rsid w:val="009504BD"/>
    <w:rsid w:val="00950DA7"/>
    <w:rsid w:val="0095219B"/>
    <w:rsid w:val="00952E23"/>
    <w:rsid w:val="009533A7"/>
    <w:rsid w:val="00953616"/>
    <w:rsid w:val="009540AC"/>
    <w:rsid w:val="009548E1"/>
    <w:rsid w:val="00956665"/>
    <w:rsid w:val="00956B1D"/>
    <w:rsid w:val="00957410"/>
    <w:rsid w:val="00957C0B"/>
    <w:rsid w:val="00960376"/>
    <w:rsid w:val="0096086F"/>
    <w:rsid w:val="00960CD5"/>
    <w:rsid w:val="0096130E"/>
    <w:rsid w:val="009626C9"/>
    <w:rsid w:val="0096328D"/>
    <w:rsid w:val="009636CD"/>
    <w:rsid w:val="00963B3D"/>
    <w:rsid w:val="00963FDA"/>
    <w:rsid w:val="00964D8D"/>
    <w:rsid w:val="00965400"/>
    <w:rsid w:val="0096630E"/>
    <w:rsid w:val="009667E1"/>
    <w:rsid w:val="009674B5"/>
    <w:rsid w:val="00967FF5"/>
    <w:rsid w:val="00970C49"/>
    <w:rsid w:val="00971D03"/>
    <w:rsid w:val="00971E5F"/>
    <w:rsid w:val="00971EE3"/>
    <w:rsid w:val="0097523F"/>
    <w:rsid w:val="00975737"/>
    <w:rsid w:val="00976936"/>
    <w:rsid w:val="00976F21"/>
    <w:rsid w:val="00977C2C"/>
    <w:rsid w:val="00980A8F"/>
    <w:rsid w:val="00981274"/>
    <w:rsid w:val="009828AD"/>
    <w:rsid w:val="00982907"/>
    <w:rsid w:val="009834A7"/>
    <w:rsid w:val="00983FB3"/>
    <w:rsid w:val="00986DAA"/>
    <w:rsid w:val="00987477"/>
    <w:rsid w:val="00987822"/>
    <w:rsid w:val="00990870"/>
    <w:rsid w:val="0099097C"/>
    <w:rsid w:val="00990A5A"/>
    <w:rsid w:val="00991AB3"/>
    <w:rsid w:val="009921EF"/>
    <w:rsid w:val="00992718"/>
    <w:rsid w:val="00992F36"/>
    <w:rsid w:val="00993532"/>
    <w:rsid w:val="00993AC0"/>
    <w:rsid w:val="00994905"/>
    <w:rsid w:val="00994F95"/>
    <w:rsid w:val="00996446"/>
    <w:rsid w:val="009965DC"/>
    <w:rsid w:val="009968B5"/>
    <w:rsid w:val="009968EA"/>
    <w:rsid w:val="00996BB6"/>
    <w:rsid w:val="009A1044"/>
    <w:rsid w:val="009A1155"/>
    <w:rsid w:val="009A14F4"/>
    <w:rsid w:val="009A22E3"/>
    <w:rsid w:val="009A2406"/>
    <w:rsid w:val="009A25E5"/>
    <w:rsid w:val="009A2C54"/>
    <w:rsid w:val="009A2C5D"/>
    <w:rsid w:val="009A2F98"/>
    <w:rsid w:val="009A438F"/>
    <w:rsid w:val="009A498D"/>
    <w:rsid w:val="009A5A94"/>
    <w:rsid w:val="009A73C5"/>
    <w:rsid w:val="009A76B0"/>
    <w:rsid w:val="009A7F33"/>
    <w:rsid w:val="009B0EFC"/>
    <w:rsid w:val="009B14B7"/>
    <w:rsid w:val="009B1BA5"/>
    <w:rsid w:val="009B1CF9"/>
    <w:rsid w:val="009B1E6E"/>
    <w:rsid w:val="009B257B"/>
    <w:rsid w:val="009B3BA2"/>
    <w:rsid w:val="009B57FF"/>
    <w:rsid w:val="009B6893"/>
    <w:rsid w:val="009B6A18"/>
    <w:rsid w:val="009B738D"/>
    <w:rsid w:val="009B75BE"/>
    <w:rsid w:val="009B76CF"/>
    <w:rsid w:val="009C0AA9"/>
    <w:rsid w:val="009C10C3"/>
    <w:rsid w:val="009C11F4"/>
    <w:rsid w:val="009C12F4"/>
    <w:rsid w:val="009C13F3"/>
    <w:rsid w:val="009C291B"/>
    <w:rsid w:val="009C54F3"/>
    <w:rsid w:val="009C60BA"/>
    <w:rsid w:val="009C724F"/>
    <w:rsid w:val="009C749F"/>
    <w:rsid w:val="009C7CF8"/>
    <w:rsid w:val="009D05B6"/>
    <w:rsid w:val="009D0951"/>
    <w:rsid w:val="009D27EC"/>
    <w:rsid w:val="009D2FA4"/>
    <w:rsid w:val="009D57C4"/>
    <w:rsid w:val="009D673C"/>
    <w:rsid w:val="009D6893"/>
    <w:rsid w:val="009D717B"/>
    <w:rsid w:val="009D7FFE"/>
    <w:rsid w:val="009E206C"/>
    <w:rsid w:val="009E347F"/>
    <w:rsid w:val="009E34CC"/>
    <w:rsid w:val="009E3AA8"/>
    <w:rsid w:val="009E441D"/>
    <w:rsid w:val="009E515C"/>
    <w:rsid w:val="009E56B4"/>
    <w:rsid w:val="009E5C23"/>
    <w:rsid w:val="009E637B"/>
    <w:rsid w:val="009E63CA"/>
    <w:rsid w:val="009E6837"/>
    <w:rsid w:val="009F0AC3"/>
    <w:rsid w:val="009F1081"/>
    <w:rsid w:val="009F1B85"/>
    <w:rsid w:val="009F2A49"/>
    <w:rsid w:val="009F2C54"/>
    <w:rsid w:val="009F3668"/>
    <w:rsid w:val="009F4474"/>
    <w:rsid w:val="009F49BB"/>
    <w:rsid w:val="009F4ADB"/>
    <w:rsid w:val="009F62BA"/>
    <w:rsid w:val="009F69C4"/>
    <w:rsid w:val="009F6C03"/>
    <w:rsid w:val="009F71AE"/>
    <w:rsid w:val="009F7DE2"/>
    <w:rsid w:val="00A00C7F"/>
    <w:rsid w:val="00A00DEE"/>
    <w:rsid w:val="00A00FE8"/>
    <w:rsid w:val="00A029E7"/>
    <w:rsid w:val="00A02FC7"/>
    <w:rsid w:val="00A03AB9"/>
    <w:rsid w:val="00A044B0"/>
    <w:rsid w:val="00A0546F"/>
    <w:rsid w:val="00A059CE"/>
    <w:rsid w:val="00A0665D"/>
    <w:rsid w:val="00A07A66"/>
    <w:rsid w:val="00A10490"/>
    <w:rsid w:val="00A1095A"/>
    <w:rsid w:val="00A118C8"/>
    <w:rsid w:val="00A15109"/>
    <w:rsid w:val="00A155C4"/>
    <w:rsid w:val="00A15A33"/>
    <w:rsid w:val="00A15ADD"/>
    <w:rsid w:val="00A16085"/>
    <w:rsid w:val="00A16B79"/>
    <w:rsid w:val="00A1759A"/>
    <w:rsid w:val="00A17622"/>
    <w:rsid w:val="00A17B33"/>
    <w:rsid w:val="00A17CB8"/>
    <w:rsid w:val="00A2014F"/>
    <w:rsid w:val="00A20D02"/>
    <w:rsid w:val="00A21730"/>
    <w:rsid w:val="00A2176C"/>
    <w:rsid w:val="00A228CE"/>
    <w:rsid w:val="00A22906"/>
    <w:rsid w:val="00A22ABE"/>
    <w:rsid w:val="00A234B6"/>
    <w:rsid w:val="00A23C62"/>
    <w:rsid w:val="00A243A4"/>
    <w:rsid w:val="00A24A43"/>
    <w:rsid w:val="00A24ADE"/>
    <w:rsid w:val="00A274D5"/>
    <w:rsid w:val="00A31F99"/>
    <w:rsid w:val="00A330E7"/>
    <w:rsid w:val="00A3408A"/>
    <w:rsid w:val="00A34DFA"/>
    <w:rsid w:val="00A35572"/>
    <w:rsid w:val="00A3673B"/>
    <w:rsid w:val="00A36996"/>
    <w:rsid w:val="00A36AE2"/>
    <w:rsid w:val="00A3708A"/>
    <w:rsid w:val="00A37D5D"/>
    <w:rsid w:val="00A402A7"/>
    <w:rsid w:val="00A404FB"/>
    <w:rsid w:val="00A41DF2"/>
    <w:rsid w:val="00A42866"/>
    <w:rsid w:val="00A428AD"/>
    <w:rsid w:val="00A42CF1"/>
    <w:rsid w:val="00A449FF"/>
    <w:rsid w:val="00A4556A"/>
    <w:rsid w:val="00A46CE3"/>
    <w:rsid w:val="00A474C6"/>
    <w:rsid w:val="00A47850"/>
    <w:rsid w:val="00A50453"/>
    <w:rsid w:val="00A50814"/>
    <w:rsid w:val="00A50DF4"/>
    <w:rsid w:val="00A5127E"/>
    <w:rsid w:val="00A513B3"/>
    <w:rsid w:val="00A5177A"/>
    <w:rsid w:val="00A51D96"/>
    <w:rsid w:val="00A520A4"/>
    <w:rsid w:val="00A52D99"/>
    <w:rsid w:val="00A53917"/>
    <w:rsid w:val="00A53BF7"/>
    <w:rsid w:val="00A548B7"/>
    <w:rsid w:val="00A54B43"/>
    <w:rsid w:val="00A55682"/>
    <w:rsid w:val="00A55CE5"/>
    <w:rsid w:val="00A56136"/>
    <w:rsid w:val="00A564E9"/>
    <w:rsid w:val="00A603EB"/>
    <w:rsid w:val="00A60CC3"/>
    <w:rsid w:val="00A6119A"/>
    <w:rsid w:val="00A61688"/>
    <w:rsid w:val="00A61914"/>
    <w:rsid w:val="00A6230E"/>
    <w:rsid w:val="00A62CFC"/>
    <w:rsid w:val="00A6326F"/>
    <w:rsid w:val="00A63701"/>
    <w:rsid w:val="00A63AEA"/>
    <w:rsid w:val="00A63ED7"/>
    <w:rsid w:val="00A64D82"/>
    <w:rsid w:val="00A64F40"/>
    <w:rsid w:val="00A65437"/>
    <w:rsid w:val="00A665AE"/>
    <w:rsid w:val="00A66E24"/>
    <w:rsid w:val="00A66F61"/>
    <w:rsid w:val="00A70BBD"/>
    <w:rsid w:val="00A71363"/>
    <w:rsid w:val="00A72038"/>
    <w:rsid w:val="00A73125"/>
    <w:rsid w:val="00A73966"/>
    <w:rsid w:val="00A73E1E"/>
    <w:rsid w:val="00A74636"/>
    <w:rsid w:val="00A74E58"/>
    <w:rsid w:val="00A76183"/>
    <w:rsid w:val="00A76509"/>
    <w:rsid w:val="00A76B8C"/>
    <w:rsid w:val="00A801C7"/>
    <w:rsid w:val="00A80EBD"/>
    <w:rsid w:val="00A8299F"/>
    <w:rsid w:val="00A829DE"/>
    <w:rsid w:val="00A831C4"/>
    <w:rsid w:val="00A83230"/>
    <w:rsid w:val="00A83563"/>
    <w:rsid w:val="00A8385B"/>
    <w:rsid w:val="00A84784"/>
    <w:rsid w:val="00A84943"/>
    <w:rsid w:val="00A84C39"/>
    <w:rsid w:val="00A8624B"/>
    <w:rsid w:val="00A87195"/>
    <w:rsid w:val="00A91498"/>
    <w:rsid w:val="00A9350C"/>
    <w:rsid w:val="00A93DF1"/>
    <w:rsid w:val="00A947BA"/>
    <w:rsid w:val="00A95D8C"/>
    <w:rsid w:val="00A96158"/>
    <w:rsid w:val="00A96182"/>
    <w:rsid w:val="00A97457"/>
    <w:rsid w:val="00A974A3"/>
    <w:rsid w:val="00A97A23"/>
    <w:rsid w:val="00A97E2C"/>
    <w:rsid w:val="00AA1616"/>
    <w:rsid w:val="00AA1644"/>
    <w:rsid w:val="00AA1725"/>
    <w:rsid w:val="00AA18EC"/>
    <w:rsid w:val="00AA20F3"/>
    <w:rsid w:val="00AA24A3"/>
    <w:rsid w:val="00AA3881"/>
    <w:rsid w:val="00AA3D96"/>
    <w:rsid w:val="00AA4385"/>
    <w:rsid w:val="00AA4503"/>
    <w:rsid w:val="00AA54D1"/>
    <w:rsid w:val="00AA59E7"/>
    <w:rsid w:val="00AA5BD1"/>
    <w:rsid w:val="00AA621F"/>
    <w:rsid w:val="00AA6301"/>
    <w:rsid w:val="00AA7D21"/>
    <w:rsid w:val="00AB0488"/>
    <w:rsid w:val="00AB27FF"/>
    <w:rsid w:val="00AB344E"/>
    <w:rsid w:val="00AB380D"/>
    <w:rsid w:val="00AB3C4E"/>
    <w:rsid w:val="00AB49FF"/>
    <w:rsid w:val="00AB4F91"/>
    <w:rsid w:val="00AB6D45"/>
    <w:rsid w:val="00AC04D1"/>
    <w:rsid w:val="00AC0E57"/>
    <w:rsid w:val="00AC0F15"/>
    <w:rsid w:val="00AC444A"/>
    <w:rsid w:val="00AC4A7D"/>
    <w:rsid w:val="00AC4D8F"/>
    <w:rsid w:val="00AC56CB"/>
    <w:rsid w:val="00AC5E9C"/>
    <w:rsid w:val="00AC61BF"/>
    <w:rsid w:val="00AC7CA4"/>
    <w:rsid w:val="00AD0079"/>
    <w:rsid w:val="00AD1A5F"/>
    <w:rsid w:val="00AD2B57"/>
    <w:rsid w:val="00AD2F42"/>
    <w:rsid w:val="00AD2FB6"/>
    <w:rsid w:val="00AD3E95"/>
    <w:rsid w:val="00AD3F5A"/>
    <w:rsid w:val="00AD46E7"/>
    <w:rsid w:val="00AD5D4C"/>
    <w:rsid w:val="00AD5FE5"/>
    <w:rsid w:val="00AD692D"/>
    <w:rsid w:val="00AD6D48"/>
    <w:rsid w:val="00AD71CF"/>
    <w:rsid w:val="00AD764F"/>
    <w:rsid w:val="00AD7705"/>
    <w:rsid w:val="00AD7C73"/>
    <w:rsid w:val="00AE03EB"/>
    <w:rsid w:val="00AE0EC7"/>
    <w:rsid w:val="00AE1CAC"/>
    <w:rsid w:val="00AE2C3E"/>
    <w:rsid w:val="00AE3FF0"/>
    <w:rsid w:val="00AE4466"/>
    <w:rsid w:val="00AE4AD8"/>
    <w:rsid w:val="00AE51A4"/>
    <w:rsid w:val="00AE51E2"/>
    <w:rsid w:val="00AE5F67"/>
    <w:rsid w:val="00AE74A8"/>
    <w:rsid w:val="00AE7876"/>
    <w:rsid w:val="00AE7B84"/>
    <w:rsid w:val="00AF09EC"/>
    <w:rsid w:val="00AF0D51"/>
    <w:rsid w:val="00AF1227"/>
    <w:rsid w:val="00AF1F54"/>
    <w:rsid w:val="00AF20DC"/>
    <w:rsid w:val="00AF2135"/>
    <w:rsid w:val="00AF24B7"/>
    <w:rsid w:val="00AF28BF"/>
    <w:rsid w:val="00AF3D0B"/>
    <w:rsid w:val="00AF3FDE"/>
    <w:rsid w:val="00AF57E2"/>
    <w:rsid w:val="00AF5DFF"/>
    <w:rsid w:val="00AF782C"/>
    <w:rsid w:val="00B00AA8"/>
    <w:rsid w:val="00B020E1"/>
    <w:rsid w:val="00B02BCA"/>
    <w:rsid w:val="00B02F7C"/>
    <w:rsid w:val="00B03255"/>
    <w:rsid w:val="00B034C4"/>
    <w:rsid w:val="00B04A2E"/>
    <w:rsid w:val="00B05AD8"/>
    <w:rsid w:val="00B06CF3"/>
    <w:rsid w:val="00B06E9D"/>
    <w:rsid w:val="00B07329"/>
    <w:rsid w:val="00B07632"/>
    <w:rsid w:val="00B07A7C"/>
    <w:rsid w:val="00B07B18"/>
    <w:rsid w:val="00B07E7B"/>
    <w:rsid w:val="00B07F86"/>
    <w:rsid w:val="00B10131"/>
    <w:rsid w:val="00B105CA"/>
    <w:rsid w:val="00B10C89"/>
    <w:rsid w:val="00B11959"/>
    <w:rsid w:val="00B1206C"/>
    <w:rsid w:val="00B12DCF"/>
    <w:rsid w:val="00B13377"/>
    <w:rsid w:val="00B13BA4"/>
    <w:rsid w:val="00B14464"/>
    <w:rsid w:val="00B15406"/>
    <w:rsid w:val="00B15C48"/>
    <w:rsid w:val="00B1614F"/>
    <w:rsid w:val="00B162B4"/>
    <w:rsid w:val="00B1719C"/>
    <w:rsid w:val="00B17D99"/>
    <w:rsid w:val="00B17DB9"/>
    <w:rsid w:val="00B207DA"/>
    <w:rsid w:val="00B20C2F"/>
    <w:rsid w:val="00B20D45"/>
    <w:rsid w:val="00B222BA"/>
    <w:rsid w:val="00B22766"/>
    <w:rsid w:val="00B231D4"/>
    <w:rsid w:val="00B23615"/>
    <w:rsid w:val="00B236A4"/>
    <w:rsid w:val="00B2544B"/>
    <w:rsid w:val="00B256D3"/>
    <w:rsid w:val="00B25DE6"/>
    <w:rsid w:val="00B267B6"/>
    <w:rsid w:val="00B267D1"/>
    <w:rsid w:val="00B27A54"/>
    <w:rsid w:val="00B313F0"/>
    <w:rsid w:val="00B314EF"/>
    <w:rsid w:val="00B31641"/>
    <w:rsid w:val="00B326FB"/>
    <w:rsid w:val="00B33B35"/>
    <w:rsid w:val="00B33FCF"/>
    <w:rsid w:val="00B34EF5"/>
    <w:rsid w:val="00B35FD6"/>
    <w:rsid w:val="00B36D66"/>
    <w:rsid w:val="00B37153"/>
    <w:rsid w:val="00B3728D"/>
    <w:rsid w:val="00B376BB"/>
    <w:rsid w:val="00B3773F"/>
    <w:rsid w:val="00B400DF"/>
    <w:rsid w:val="00B4064E"/>
    <w:rsid w:val="00B4091F"/>
    <w:rsid w:val="00B41497"/>
    <w:rsid w:val="00B4434E"/>
    <w:rsid w:val="00B44FC2"/>
    <w:rsid w:val="00B45343"/>
    <w:rsid w:val="00B455FB"/>
    <w:rsid w:val="00B45C0F"/>
    <w:rsid w:val="00B4682F"/>
    <w:rsid w:val="00B47030"/>
    <w:rsid w:val="00B47FF1"/>
    <w:rsid w:val="00B501C7"/>
    <w:rsid w:val="00B5084C"/>
    <w:rsid w:val="00B50D83"/>
    <w:rsid w:val="00B51218"/>
    <w:rsid w:val="00B5256C"/>
    <w:rsid w:val="00B5269D"/>
    <w:rsid w:val="00B54D4F"/>
    <w:rsid w:val="00B54F7F"/>
    <w:rsid w:val="00B5538E"/>
    <w:rsid w:val="00B60906"/>
    <w:rsid w:val="00B61485"/>
    <w:rsid w:val="00B6275A"/>
    <w:rsid w:val="00B63570"/>
    <w:rsid w:val="00B6366F"/>
    <w:rsid w:val="00B63A19"/>
    <w:rsid w:val="00B64B12"/>
    <w:rsid w:val="00B64E14"/>
    <w:rsid w:val="00B6514B"/>
    <w:rsid w:val="00B65354"/>
    <w:rsid w:val="00B65F21"/>
    <w:rsid w:val="00B66A70"/>
    <w:rsid w:val="00B66CB6"/>
    <w:rsid w:val="00B67F6A"/>
    <w:rsid w:val="00B71874"/>
    <w:rsid w:val="00B721F7"/>
    <w:rsid w:val="00B752AB"/>
    <w:rsid w:val="00B75D9B"/>
    <w:rsid w:val="00B75DDA"/>
    <w:rsid w:val="00B762A9"/>
    <w:rsid w:val="00B76688"/>
    <w:rsid w:val="00B76CB8"/>
    <w:rsid w:val="00B76F1D"/>
    <w:rsid w:val="00B76FB8"/>
    <w:rsid w:val="00B77274"/>
    <w:rsid w:val="00B8070E"/>
    <w:rsid w:val="00B80A24"/>
    <w:rsid w:val="00B80E38"/>
    <w:rsid w:val="00B8121A"/>
    <w:rsid w:val="00B81B0E"/>
    <w:rsid w:val="00B81C79"/>
    <w:rsid w:val="00B834D0"/>
    <w:rsid w:val="00B83912"/>
    <w:rsid w:val="00B83CA6"/>
    <w:rsid w:val="00B83E96"/>
    <w:rsid w:val="00B8501E"/>
    <w:rsid w:val="00B854B2"/>
    <w:rsid w:val="00B85A42"/>
    <w:rsid w:val="00B85B5C"/>
    <w:rsid w:val="00B86738"/>
    <w:rsid w:val="00B868F5"/>
    <w:rsid w:val="00B8707A"/>
    <w:rsid w:val="00B90388"/>
    <w:rsid w:val="00B9042A"/>
    <w:rsid w:val="00B91581"/>
    <w:rsid w:val="00B91805"/>
    <w:rsid w:val="00B919BE"/>
    <w:rsid w:val="00B91CE7"/>
    <w:rsid w:val="00B925C8"/>
    <w:rsid w:val="00B95307"/>
    <w:rsid w:val="00B9549F"/>
    <w:rsid w:val="00B95587"/>
    <w:rsid w:val="00B967F9"/>
    <w:rsid w:val="00B973E9"/>
    <w:rsid w:val="00B97F52"/>
    <w:rsid w:val="00BA0164"/>
    <w:rsid w:val="00BA0FB0"/>
    <w:rsid w:val="00BA4505"/>
    <w:rsid w:val="00BA5253"/>
    <w:rsid w:val="00BA60C4"/>
    <w:rsid w:val="00BA6FF0"/>
    <w:rsid w:val="00BA79FF"/>
    <w:rsid w:val="00BB0AE8"/>
    <w:rsid w:val="00BB1A04"/>
    <w:rsid w:val="00BB217E"/>
    <w:rsid w:val="00BB50CE"/>
    <w:rsid w:val="00BB5478"/>
    <w:rsid w:val="00BB5C28"/>
    <w:rsid w:val="00BB603A"/>
    <w:rsid w:val="00BB7459"/>
    <w:rsid w:val="00BB7C72"/>
    <w:rsid w:val="00BB7CD0"/>
    <w:rsid w:val="00BB7F1B"/>
    <w:rsid w:val="00BC00F4"/>
    <w:rsid w:val="00BC0DDD"/>
    <w:rsid w:val="00BC0E96"/>
    <w:rsid w:val="00BC1882"/>
    <w:rsid w:val="00BC1B12"/>
    <w:rsid w:val="00BC2486"/>
    <w:rsid w:val="00BC27FD"/>
    <w:rsid w:val="00BC2B00"/>
    <w:rsid w:val="00BC3A10"/>
    <w:rsid w:val="00BC4F62"/>
    <w:rsid w:val="00BC517A"/>
    <w:rsid w:val="00BC558A"/>
    <w:rsid w:val="00BC564A"/>
    <w:rsid w:val="00BC5A5B"/>
    <w:rsid w:val="00BC5F8F"/>
    <w:rsid w:val="00BC6142"/>
    <w:rsid w:val="00BC6B71"/>
    <w:rsid w:val="00BC6D24"/>
    <w:rsid w:val="00BD0809"/>
    <w:rsid w:val="00BD0EA9"/>
    <w:rsid w:val="00BD0F5A"/>
    <w:rsid w:val="00BD13D5"/>
    <w:rsid w:val="00BD3903"/>
    <w:rsid w:val="00BD39D3"/>
    <w:rsid w:val="00BD3B77"/>
    <w:rsid w:val="00BD60B0"/>
    <w:rsid w:val="00BD6848"/>
    <w:rsid w:val="00BD6A11"/>
    <w:rsid w:val="00BD6B9C"/>
    <w:rsid w:val="00BD7139"/>
    <w:rsid w:val="00BD79D8"/>
    <w:rsid w:val="00BE1BFE"/>
    <w:rsid w:val="00BE1FF4"/>
    <w:rsid w:val="00BE2155"/>
    <w:rsid w:val="00BE30C2"/>
    <w:rsid w:val="00BE3148"/>
    <w:rsid w:val="00BE4140"/>
    <w:rsid w:val="00BE44EA"/>
    <w:rsid w:val="00BE476B"/>
    <w:rsid w:val="00BE48C3"/>
    <w:rsid w:val="00BE5B25"/>
    <w:rsid w:val="00BE5F58"/>
    <w:rsid w:val="00BE61F9"/>
    <w:rsid w:val="00BE6CE4"/>
    <w:rsid w:val="00BE73B0"/>
    <w:rsid w:val="00BE7959"/>
    <w:rsid w:val="00BF0038"/>
    <w:rsid w:val="00BF0E67"/>
    <w:rsid w:val="00BF2302"/>
    <w:rsid w:val="00BF3818"/>
    <w:rsid w:val="00BF3BC0"/>
    <w:rsid w:val="00BF5000"/>
    <w:rsid w:val="00BF550B"/>
    <w:rsid w:val="00BF5CC2"/>
    <w:rsid w:val="00BF6394"/>
    <w:rsid w:val="00BF69E3"/>
    <w:rsid w:val="00BF7479"/>
    <w:rsid w:val="00BF79C5"/>
    <w:rsid w:val="00BF79DE"/>
    <w:rsid w:val="00C002F9"/>
    <w:rsid w:val="00C0097B"/>
    <w:rsid w:val="00C013FE"/>
    <w:rsid w:val="00C02AA0"/>
    <w:rsid w:val="00C03A67"/>
    <w:rsid w:val="00C046E7"/>
    <w:rsid w:val="00C04711"/>
    <w:rsid w:val="00C04FC4"/>
    <w:rsid w:val="00C058C9"/>
    <w:rsid w:val="00C1036A"/>
    <w:rsid w:val="00C10D6E"/>
    <w:rsid w:val="00C11202"/>
    <w:rsid w:val="00C11ED4"/>
    <w:rsid w:val="00C12C05"/>
    <w:rsid w:val="00C130F0"/>
    <w:rsid w:val="00C13ADC"/>
    <w:rsid w:val="00C13C8D"/>
    <w:rsid w:val="00C13E72"/>
    <w:rsid w:val="00C13F0C"/>
    <w:rsid w:val="00C14384"/>
    <w:rsid w:val="00C15359"/>
    <w:rsid w:val="00C157B5"/>
    <w:rsid w:val="00C1604E"/>
    <w:rsid w:val="00C172FB"/>
    <w:rsid w:val="00C17C5E"/>
    <w:rsid w:val="00C211FC"/>
    <w:rsid w:val="00C220AB"/>
    <w:rsid w:val="00C229DA"/>
    <w:rsid w:val="00C22A3E"/>
    <w:rsid w:val="00C23E60"/>
    <w:rsid w:val="00C258C0"/>
    <w:rsid w:val="00C26926"/>
    <w:rsid w:val="00C26F02"/>
    <w:rsid w:val="00C27145"/>
    <w:rsid w:val="00C2714F"/>
    <w:rsid w:val="00C27FD4"/>
    <w:rsid w:val="00C3132E"/>
    <w:rsid w:val="00C318CC"/>
    <w:rsid w:val="00C32264"/>
    <w:rsid w:val="00C32A2A"/>
    <w:rsid w:val="00C33F39"/>
    <w:rsid w:val="00C35930"/>
    <w:rsid w:val="00C35A4D"/>
    <w:rsid w:val="00C36382"/>
    <w:rsid w:val="00C36BD4"/>
    <w:rsid w:val="00C36CF4"/>
    <w:rsid w:val="00C36E39"/>
    <w:rsid w:val="00C4178F"/>
    <w:rsid w:val="00C4319F"/>
    <w:rsid w:val="00C43592"/>
    <w:rsid w:val="00C44229"/>
    <w:rsid w:val="00C442A6"/>
    <w:rsid w:val="00C442E7"/>
    <w:rsid w:val="00C4461A"/>
    <w:rsid w:val="00C446BB"/>
    <w:rsid w:val="00C448CC"/>
    <w:rsid w:val="00C452AD"/>
    <w:rsid w:val="00C4600C"/>
    <w:rsid w:val="00C46CDE"/>
    <w:rsid w:val="00C472C2"/>
    <w:rsid w:val="00C47346"/>
    <w:rsid w:val="00C47F13"/>
    <w:rsid w:val="00C47FCD"/>
    <w:rsid w:val="00C50B2D"/>
    <w:rsid w:val="00C52CF6"/>
    <w:rsid w:val="00C544EB"/>
    <w:rsid w:val="00C54788"/>
    <w:rsid w:val="00C55A32"/>
    <w:rsid w:val="00C56811"/>
    <w:rsid w:val="00C6028C"/>
    <w:rsid w:val="00C60CAF"/>
    <w:rsid w:val="00C61EF4"/>
    <w:rsid w:val="00C63F3A"/>
    <w:rsid w:val="00C668F7"/>
    <w:rsid w:val="00C67A1E"/>
    <w:rsid w:val="00C67AE8"/>
    <w:rsid w:val="00C701C0"/>
    <w:rsid w:val="00C708D4"/>
    <w:rsid w:val="00C7093B"/>
    <w:rsid w:val="00C727DA"/>
    <w:rsid w:val="00C733F5"/>
    <w:rsid w:val="00C736F6"/>
    <w:rsid w:val="00C74322"/>
    <w:rsid w:val="00C74F82"/>
    <w:rsid w:val="00C751F8"/>
    <w:rsid w:val="00C76054"/>
    <w:rsid w:val="00C76FA2"/>
    <w:rsid w:val="00C77393"/>
    <w:rsid w:val="00C77A29"/>
    <w:rsid w:val="00C80C94"/>
    <w:rsid w:val="00C81A28"/>
    <w:rsid w:val="00C81E32"/>
    <w:rsid w:val="00C81F33"/>
    <w:rsid w:val="00C8223A"/>
    <w:rsid w:val="00C823DD"/>
    <w:rsid w:val="00C84DC6"/>
    <w:rsid w:val="00C864D1"/>
    <w:rsid w:val="00C86D92"/>
    <w:rsid w:val="00C87474"/>
    <w:rsid w:val="00C8762C"/>
    <w:rsid w:val="00C87DAE"/>
    <w:rsid w:val="00C900AB"/>
    <w:rsid w:val="00C915E4"/>
    <w:rsid w:val="00C91A2D"/>
    <w:rsid w:val="00C91FFB"/>
    <w:rsid w:val="00C929D4"/>
    <w:rsid w:val="00C92A81"/>
    <w:rsid w:val="00C931C5"/>
    <w:rsid w:val="00C93A26"/>
    <w:rsid w:val="00C93DBA"/>
    <w:rsid w:val="00C946E2"/>
    <w:rsid w:val="00C94D63"/>
    <w:rsid w:val="00C953A3"/>
    <w:rsid w:val="00C9552C"/>
    <w:rsid w:val="00C95ABB"/>
    <w:rsid w:val="00C96E36"/>
    <w:rsid w:val="00C97593"/>
    <w:rsid w:val="00C97887"/>
    <w:rsid w:val="00CA0923"/>
    <w:rsid w:val="00CA224F"/>
    <w:rsid w:val="00CA35EA"/>
    <w:rsid w:val="00CA35F5"/>
    <w:rsid w:val="00CA4801"/>
    <w:rsid w:val="00CA4A53"/>
    <w:rsid w:val="00CA5112"/>
    <w:rsid w:val="00CA612E"/>
    <w:rsid w:val="00CA6CCF"/>
    <w:rsid w:val="00CA722F"/>
    <w:rsid w:val="00CA77BA"/>
    <w:rsid w:val="00CB0A87"/>
    <w:rsid w:val="00CB12CD"/>
    <w:rsid w:val="00CB1656"/>
    <w:rsid w:val="00CB1745"/>
    <w:rsid w:val="00CB1F58"/>
    <w:rsid w:val="00CB2494"/>
    <w:rsid w:val="00CB2B33"/>
    <w:rsid w:val="00CB2C2F"/>
    <w:rsid w:val="00CB2EBE"/>
    <w:rsid w:val="00CB3495"/>
    <w:rsid w:val="00CB42E0"/>
    <w:rsid w:val="00CB4AE0"/>
    <w:rsid w:val="00CB4BF9"/>
    <w:rsid w:val="00CB517B"/>
    <w:rsid w:val="00CB6C02"/>
    <w:rsid w:val="00CB739A"/>
    <w:rsid w:val="00CB7E10"/>
    <w:rsid w:val="00CB7E24"/>
    <w:rsid w:val="00CC0CDB"/>
    <w:rsid w:val="00CC1BC2"/>
    <w:rsid w:val="00CC3445"/>
    <w:rsid w:val="00CC3644"/>
    <w:rsid w:val="00CC3E82"/>
    <w:rsid w:val="00CC3F09"/>
    <w:rsid w:val="00CC3FF2"/>
    <w:rsid w:val="00CC4341"/>
    <w:rsid w:val="00CC4AC2"/>
    <w:rsid w:val="00CC4E9B"/>
    <w:rsid w:val="00CC4F82"/>
    <w:rsid w:val="00CC5569"/>
    <w:rsid w:val="00CC6AAA"/>
    <w:rsid w:val="00CD0DED"/>
    <w:rsid w:val="00CD0F72"/>
    <w:rsid w:val="00CD165F"/>
    <w:rsid w:val="00CD17D0"/>
    <w:rsid w:val="00CD1A23"/>
    <w:rsid w:val="00CD20F8"/>
    <w:rsid w:val="00CD3C8A"/>
    <w:rsid w:val="00CD4C10"/>
    <w:rsid w:val="00CD6600"/>
    <w:rsid w:val="00CD6B34"/>
    <w:rsid w:val="00CD6E15"/>
    <w:rsid w:val="00CE03CB"/>
    <w:rsid w:val="00CE0EE4"/>
    <w:rsid w:val="00CE1518"/>
    <w:rsid w:val="00CE1A81"/>
    <w:rsid w:val="00CE1AEB"/>
    <w:rsid w:val="00CE3FAB"/>
    <w:rsid w:val="00CE402A"/>
    <w:rsid w:val="00CE4774"/>
    <w:rsid w:val="00CE5204"/>
    <w:rsid w:val="00CE57CF"/>
    <w:rsid w:val="00CE6879"/>
    <w:rsid w:val="00CE6966"/>
    <w:rsid w:val="00CE7C1E"/>
    <w:rsid w:val="00CE7D93"/>
    <w:rsid w:val="00CF020E"/>
    <w:rsid w:val="00CF0C01"/>
    <w:rsid w:val="00CF3B49"/>
    <w:rsid w:val="00CF401A"/>
    <w:rsid w:val="00CF4276"/>
    <w:rsid w:val="00CF42C7"/>
    <w:rsid w:val="00CF45DE"/>
    <w:rsid w:val="00CF53DB"/>
    <w:rsid w:val="00CF5A99"/>
    <w:rsid w:val="00CF60E9"/>
    <w:rsid w:val="00D00582"/>
    <w:rsid w:val="00D00C9F"/>
    <w:rsid w:val="00D01288"/>
    <w:rsid w:val="00D0139C"/>
    <w:rsid w:val="00D013F3"/>
    <w:rsid w:val="00D020EB"/>
    <w:rsid w:val="00D030D2"/>
    <w:rsid w:val="00D03FFC"/>
    <w:rsid w:val="00D05B50"/>
    <w:rsid w:val="00D06462"/>
    <w:rsid w:val="00D06EEF"/>
    <w:rsid w:val="00D0701E"/>
    <w:rsid w:val="00D10115"/>
    <w:rsid w:val="00D12486"/>
    <w:rsid w:val="00D12D27"/>
    <w:rsid w:val="00D13CC9"/>
    <w:rsid w:val="00D13DCC"/>
    <w:rsid w:val="00D14027"/>
    <w:rsid w:val="00D148F6"/>
    <w:rsid w:val="00D16477"/>
    <w:rsid w:val="00D165AA"/>
    <w:rsid w:val="00D16BD8"/>
    <w:rsid w:val="00D20C5B"/>
    <w:rsid w:val="00D2138E"/>
    <w:rsid w:val="00D218B6"/>
    <w:rsid w:val="00D21AF4"/>
    <w:rsid w:val="00D23DF6"/>
    <w:rsid w:val="00D24F7A"/>
    <w:rsid w:val="00D250F2"/>
    <w:rsid w:val="00D251DC"/>
    <w:rsid w:val="00D2521A"/>
    <w:rsid w:val="00D25601"/>
    <w:rsid w:val="00D27336"/>
    <w:rsid w:val="00D277A3"/>
    <w:rsid w:val="00D27CB9"/>
    <w:rsid w:val="00D30838"/>
    <w:rsid w:val="00D30C6B"/>
    <w:rsid w:val="00D31D8B"/>
    <w:rsid w:val="00D32730"/>
    <w:rsid w:val="00D32BBA"/>
    <w:rsid w:val="00D33A8A"/>
    <w:rsid w:val="00D34025"/>
    <w:rsid w:val="00D34369"/>
    <w:rsid w:val="00D34677"/>
    <w:rsid w:val="00D364F7"/>
    <w:rsid w:val="00D36A63"/>
    <w:rsid w:val="00D37028"/>
    <w:rsid w:val="00D3712E"/>
    <w:rsid w:val="00D37AD1"/>
    <w:rsid w:val="00D40F5E"/>
    <w:rsid w:val="00D40F95"/>
    <w:rsid w:val="00D41D7E"/>
    <w:rsid w:val="00D41E1E"/>
    <w:rsid w:val="00D427B2"/>
    <w:rsid w:val="00D43934"/>
    <w:rsid w:val="00D44BA0"/>
    <w:rsid w:val="00D44DA0"/>
    <w:rsid w:val="00D44EA7"/>
    <w:rsid w:val="00D450FF"/>
    <w:rsid w:val="00D45258"/>
    <w:rsid w:val="00D4665E"/>
    <w:rsid w:val="00D467B9"/>
    <w:rsid w:val="00D46BF9"/>
    <w:rsid w:val="00D46CCF"/>
    <w:rsid w:val="00D47F72"/>
    <w:rsid w:val="00D50BC0"/>
    <w:rsid w:val="00D51B09"/>
    <w:rsid w:val="00D52153"/>
    <w:rsid w:val="00D57246"/>
    <w:rsid w:val="00D575C1"/>
    <w:rsid w:val="00D57BD7"/>
    <w:rsid w:val="00D60E63"/>
    <w:rsid w:val="00D6167B"/>
    <w:rsid w:val="00D62015"/>
    <w:rsid w:val="00D6239F"/>
    <w:rsid w:val="00D62498"/>
    <w:rsid w:val="00D624A7"/>
    <w:rsid w:val="00D6282E"/>
    <w:rsid w:val="00D646A1"/>
    <w:rsid w:val="00D656B5"/>
    <w:rsid w:val="00D6598B"/>
    <w:rsid w:val="00D6725F"/>
    <w:rsid w:val="00D6726C"/>
    <w:rsid w:val="00D67659"/>
    <w:rsid w:val="00D67B7B"/>
    <w:rsid w:val="00D705C9"/>
    <w:rsid w:val="00D714B1"/>
    <w:rsid w:val="00D7150C"/>
    <w:rsid w:val="00D71FD1"/>
    <w:rsid w:val="00D724BA"/>
    <w:rsid w:val="00D729CC"/>
    <w:rsid w:val="00D744A1"/>
    <w:rsid w:val="00D7483D"/>
    <w:rsid w:val="00D756C2"/>
    <w:rsid w:val="00D75E3E"/>
    <w:rsid w:val="00D77159"/>
    <w:rsid w:val="00D77258"/>
    <w:rsid w:val="00D778F0"/>
    <w:rsid w:val="00D80921"/>
    <w:rsid w:val="00D80D01"/>
    <w:rsid w:val="00D82DEE"/>
    <w:rsid w:val="00D84162"/>
    <w:rsid w:val="00D8554A"/>
    <w:rsid w:val="00D8639E"/>
    <w:rsid w:val="00D87045"/>
    <w:rsid w:val="00D87CEA"/>
    <w:rsid w:val="00D900D2"/>
    <w:rsid w:val="00D905FA"/>
    <w:rsid w:val="00D90733"/>
    <w:rsid w:val="00D917D2"/>
    <w:rsid w:val="00D927CF"/>
    <w:rsid w:val="00D92A08"/>
    <w:rsid w:val="00D934C7"/>
    <w:rsid w:val="00D93880"/>
    <w:rsid w:val="00D93DD0"/>
    <w:rsid w:val="00D9439F"/>
    <w:rsid w:val="00D94BBF"/>
    <w:rsid w:val="00D94E2E"/>
    <w:rsid w:val="00D95829"/>
    <w:rsid w:val="00D96464"/>
    <w:rsid w:val="00D97269"/>
    <w:rsid w:val="00DA0A75"/>
    <w:rsid w:val="00DA1787"/>
    <w:rsid w:val="00DA19DC"/>
    <w:rsid w:val="00DA32C8"/>
    <w:rsid w:val="00DA3B88"/>
    <w:rsid w:val="00DA4AE3"/>
    <w:rsid w:val="00DA52E3"/>
    <w:rsid w:val="00DA5C1F"/>
    <w:rsid w:val="00DA6076"/>
    <w:rsid w:val="00DA63A8"/>
    <w:rsid w:val="00DA6647"/>
    <w:rsid w:val="00DA6C1D"/>
    <w:rsid w:val="00DA7695"/>
    <w:rsid w:val="00DB0ACB"/>
    <w:rsid w:val="00DB38CF"/>
    <w:rsid w:val="00DB47AB"/>
    <w:rsid w:val="00DB6631"/>
    <w:rsid w:val="00DB6DE6"/>
    <w:rsid w:val="00DB74D4"/>
    <w:rsid w:val="00DB7804"/>
    <w:rsid w:val="00DC0AC3"/>
    <w:rsid w:val="00DC1766"/>
    <w:rsid w:val="00DC1B42"/>
    <w:rsid w:val="00DC27E1"/>
    <w:rsid w:val="00DC3697"/>
    <w:rsid w:val="00DC37D7"/>
    <w:rsid w:val="00DC4D38"/>
    <w:rsid w:val="00DC5B38"/>
    <w:rsid w:val="00DC64D1"/>
    <w:rsid w:val="00DC6564"/>
    <w:rsid w:val="00DC6A4E"/>
    <w:rsid w:val="00DC6F67"/>
    <w:rsid w:val="00DC7AE9"/>
    <w:rsid w:val="00DD2590"/>
    <w:rsid w:val="00DD25DD"/>
    <w:rsid w:val="00DD2C3A"/>
    <w:rsid w:val="00DD2E8B"/>
    <w:rsid w:val="00DD3036"/>
    <w:rsid w:val="00DD343C"/>
    <w:rsid w:val="00DD4654"/>
    <w:rsid w:val="00DD541E"/>
    <w:rsid w:val="00DD616B"/>
    <w:rsid w:val="00DD628E"/>
    <w:rsid w:val="00DD6E60"/>
    <w:rsid w:val="00DD795D"/>
    <w:rsid w:val="00DD7E16"/>
    <w:rsid w:val="00DE0362"/>
    <w:rsid w:val="00DE0634"/>
    <w:rsid w:val="00DE1E78"/>
    <w:rsid w:val="00DE1FB6"/>
    <w:rsid w:val="00DE2268"/>
    <w:rsid w:val="00DE2919"/>
    <w:rsid w:val="00DE297D"/>
    <w:rsid w:val="00DE3DA0"/>
    <w:rsid w:val="00DE4130"/>
    <w:rsid w:val="00DE4AFD"/>
    <w:rsid w:val="00DE6B31"/>
    <w:rsid w:val="00DE6D2D"/>
    <w:rsid w:val="00DE6EB6"/>
    <w:rsid w:val="00DE7062"/>
    <w:rsid w:val="00DE70EA"/>
    <w:rsid w:val="00DE7408"/>
    <w:rsid w:val="00DF0427"/>
    <w:rsid w:val="00DF05A7"/>
    <w:rsid w:val="00DF05E9"/>
    <w:rsid w:val="00DF1208"/>
    <w:rsid w:val="00DF1240"/>
    <w:rsid w:val="00DF1BD1"/>
    <w:rsid w:val="00DF2540"/>
    <w:rsid w:val="00DF259A"/>
    <w:rsid w:val="00DF3B74"/>
    <w:rsid w:val="00DF4622"/>
    <w:rsid w:val="00DF4624"/>
    <w:rsid w:val="00DF46FD"/>
    <w:rsid w:val="00DF5E99"/>
    <w:rsid w:val="00DF6108"/>
    <w:rsid w:val="00DF6F53"/>
    <w:rsid w:val="00DF6F5B"/>
    <w:rsid w:val="00DF7255"/>
    <w:rsid w:val="00DF7AD5"/>
    <w:rsid w:val="00E01C09"/>
    <w:rsid w:val="00E01F3C"/>
    <w:rsid w:val="00E03C77"/>
    <w:rsid w:val="00E0406F"/>
    <w:rsid w:val="00E05166"/>
    <w:rsid w:val="00E05363"/>
    <w:rsid w:val="00E0689D"/>
    <w:rsid w:val="00E07B1B"/>
    <w:rsid w:val="00E07F62"/>
    <w:rsid w:val="00E12547"/>
    <w:rsid w:val="00E15A27"/>
    <w:rsid w:val="00E16190"/>
    <w:rsid w:val="00E16F7D"/>
    <w:rsid w:val="00E17DF0"/>
    <w:rsid w:val="00E20A1B"/>
    <w:rsid w:val="00E20BF9"/>
    <w:rsid w:val="00E218A5"/>
    <w:rsid w:val="00E21CB2"/>
    <w:rsid w:val="00E221D5"/>
    <w:rsid w:val="00E2225A"/>
    <w:rsid w:val="00E2285D"/>
    <w:rsid w:val="00E232C1"/>
    <w:rsid w:val="00E23D02"/>
    <w:rsid w:val="00E248F3"/>
    <w:rsid w:val="00E25764"/>
    <w:rsid w:val="00E25DE2"/>
    <w:rsid w:val="00E2657E"/>
    <w:rsid w:val="00E265EA"/>
    <w:rsid w:val="00E272D6"/>
    <w:rsid w:val="00E30137"/>
    <w:rsid w:val="00E31C75"/>
    <w:rsid w:val="00E32903"/>
    <w:rsid w:val="00E33216"/>
    <w:rsid w:val="00E33844"/>
    <w:rsid w:val="00E34634"/>
    <w:rsid w:val="00E347AC"/>
    <w:rsid w:val="00E34B39"/>
    <w:rsid w:val="00E34C87"/>
    <w:rsid w:val="00E35187"/>
    <w:rsid w:val="00E36836"/>
    <w:rsid w:val="00E37A39"/>
    <w:rsid w:val="00E37A84"/>
    <w:rsid w:val="00E4300F"/>
    <w:rsid w:val="00E433DD"/>
    <w:rsid w:val="00E4434E"/>
    <w:rsid w:val="00E44510"/>
    <w:rsid w:val="00E44896"/>
    <w:rsid w:val="00E44E1F"/>
    <w:rsid w:val="00E44E8E"/>
    <w:rsid w:val="00E454CC"/>
    <w:rsid w:val="00E45C85"/>
    <w:rsid w:val="00E46518"/>
    <w:rsid w:val="00E467FB"/>
    <w:rsid w:val="00E46937"/>
    <w:rsid w:val="00E47FF3"/>
    <w:rsid w:val="00E502F5"/>
    <w:rsid w:val="00E51246"/>
    <w:rsid w:val="00E52527"/>
    <w:rsid w:val="00E53911"/>
    <w:rsid w:val="00E54276"/>
    <w:rsid w:val="00E554B5"/>
    <w:rsid w:val="00E56621"/>
    <w:rsid w:val="00E62684"/>
    <w:rsid w:val="00E62C65"/>
    <w:rsid w:val="00E643F8"/>
    <w:rsid w:val="00E644BB"/>
    <w:rsid w:val="00E64A19"/>
    <w:rsid w:val="00E64ABB"/>
    <w:rsid w:val="00E65072"/>
    <w:rsid w:val="00E65A32"/>
    <w:rsid w:val="00E66234"/>
    <w:rsid w:val="00E663D7"/>
    <w:rsid w:val="00E672EB"/>
    <w:rsid w:val="00E674EA"/>
    <w:rsid w:val="00E677AC"/>
    <w:rsid w:val="00E67D87"/>
    <w:rsid w:val="00E711C9"/>
    <w:rsid w:val="00E715DF"/>
    <w:rsid w:val="00E71D97"/>
    <w:rsid w:val="00E72905"/>
    <w:rsid w:val="00E736AF"/>
    <w:rsid w:val="00E73924"/>
    <w:rsid w:val="00E74794"/>
    <w:rsid w:val="00E747BC"/>
    <w:rsid w:val="00E74A56"/>
    <w:rsid w:val="00E74A6C"/>
    <w:rsid w:val="00E74E59"/>
    <w:rsid w:val="00E75D06"/>
    <w:rsid w:val="00E7623A"/>
    <w:rsid w:val="00E76760"/>
    <w:rsid w:val="00E77014"/>
    <w:rsid w:val="00E77667"/>
    <w:rsid w:val="00E77F6C"/>
    <w:rsid w:val="00E80151"/>
    <w:rsid w:val="00E8041B"/>
    <w:rsid w:val="00E80DB1"/>
    <w:rsid w:val="00E80DE1"/>
    <w:rsid w:val="00E81823"/>
    <w:rsid w:val="00E85132"/>
    <w:rsid w:val="00E85261"/>
    <w:rsid w:val="00E858F4"/>
    <w:rsid w:val="00E86B74"/>
    <w:rsid w:val="00E87343"/>
    <w:rsid w:val="00E9042C"/>
    <w:rsid w:val="00E90566"/>
    <w:rsid w:val="00E910A1"/>
    <w:rsid w:val="00E91197"/>
    <w:rsid w:val="00E93741"/>
    <w:rsid w:val="00E9475C"/>
    <w:rsid w:val="00E94D61"/>
    <w:rsid w:val="00E95A98"/>
    <w:rsid w:val="00E95E6C"/>
    <w:rsid w:val="00E97D85"/>
    <w:rsid w:val="00EA0DEB"/>
    <w:rsid w:val="00EA0F64"/>
    <w:rsid w:val="00EA1FC0"/>
    <w:rsid w:val="00EA2C72"/>
    <w:rsid w:val="00EA3515"/>
    <w:rsid w:val="00EA3844"/>
    <w:rsid w:val="00EA4060"/>
    <w:rsid w:val="00EA4361"/>
    <w:rsid w:val="00EA5D1E"/>
    <w:rsid w:val="00EA63CF"/>
    <w:rsid w:val="00EB0819"/>
    <w:rsid w:val="00EB0E90"/>
    <w:rsid w:val="00EB1161"/>
    <w:rsid w:val="00EB2893"/>
    <w:rsid w:val="00EB302E"/>
    <w:rsid w:val="00EB327C"/>
    <w:rsid w:val="00EB383D"/>
    <w:rsid w:val="00EB405D"/>
    <w:rsid w:val="00EB4903"/>
    <w:rsid w:val="00EB4B1D"/>
    <w:rsid w:val="00EB53F4"/>
    <w:rsid w:val="00EB54FE"/>
    <w:rsid w:val="00EB74B0"/>
    <w:rsid w:val="00EC10BE"/>
    <w:rsid w:val="00EC1E4D"/>
    <w:rsid w:val="00EC2653"/>
    <w:rsid w:val="00EC29A8"/>
    <w:rsid w:val="00EC3127"/>
    <w:rsid w:val="00EC345A"/>
    <w:rsid w:val="00EC52FB"/>
    <w:rsid w:val="00EC567B"/>
    <w:rsid w:val="00EC5C71"/>
    <w:rsid w:val="00EC5E80"/>
    <w:rsid w:val="00EC6829"/>
    <w:rsid w:val="00EC6AB6"/>
    <w:rsid w:val="00EC6DD4"/>
    <w:rsid w:val="00EC6F0A"/>
    <w:rsid w:val="00EC7906"/>
    <w:rsid w:val="00ED02E5"/>
    <w:rsid w:val="00ED07B0"/>
    <w:rsid w:val="00ED0937"/>
    <w:rsid w:val="00ED192D"/>
    <w:rsid w:val="00ED49FE"/>
    <w:rsid w:val="00ED4B2C"/>
    <w:rsid w:val="00ED5B7F"/>
    <w:rsid w:val="00ED65EF"/>
    <w:rsid w:val="00EE014C"/>
    <w:rsid w:val="00EE08FF"/>
    <w:rsid w:val="00EE10BF"/>
    <w:rsid w:val="00EE17B0"/>
    <w:rsid w:val="00EE27C9"/>
    <w:rsid w:val="00EE4176"/>
    <w:rsid w:val="00EE47BA"/>
    <w:rsid w:val="00EE47C0"/>
    <w:rsid w:val="00EE64EC"/>
    <w:rsid w:val="00EE7044"/>
    <w:rsid w:val="00EE785D"/>
    <w:rsid w:val="00EE7963"/>
    <w:rsid w:val="00EE79E4"/>
    <w:rsid w:val="00EF02F6"/>
    <w:rsid w:val="00EF0F29"/>
    <w:rsid w:val="00EF12F6"/>
    <w:rsid w:val="00EF20DD"/>
    <w:rsid w:val="00EF2D99"/>
    <w:rsid w:val="00EF2E77"/>
    <w:rsid w:val="00EF2EF5"/>
    <w:rsid w:val="00EF3A87"/>
    <w:rsid w:val="00EF5EC4"/>
    <w:rsid w:val="00F0071B"/>
    <w:rsid w:val="00F01E1B"/>
    <w:rsid w:val="00F02FC9"/>
    <w:rsid w:val="00F033C6"/>
    <w:rsid w:val="00F03F82"/>
    <w:rsid w:val="00F042B1"/>
    <w:rsid w:val="00F059EC"/>
    <w:rsid w:val="00F05DA2"/>
    <w:rsid w:val="00F05E4B"/>
    <w:rsid w:val="00F06096"/>
    <w:rsid w:val="00F106BA"/>
    <w:rsid w:val="00F1075C"/>
    <w:rsid w:val="00F10833"/>
    <w:rsid w:val="00F11DCB"/>
    <w:rsid w:val="00F11E72"/>
    <w:rsid w:val="00F12BA4"/>
    <w:rsid w:val="00F1356D"/>
    <w:rsid w:val="00F1478F"/>
    <w:rsid w:val="00F20E1B"/>
    <w:rsid w:val="00F2224D"/>
    <w:rsid w:val="00F228C2"/>
    <w:rsid w:val="00F2309C"/>
    <w:rsid w:val="00F23995"/>
    <w:rsid w:val="00F24F7F"/>
    <w:rsid w:val="00F25418"/>
    <w:rsid w:val="00F2682B"/>
    <w:rsid w:val="00F27830"/>
    <w:rsid w:val="00F27B52"/>
    <w:rsid w:val="00F30D23"/>
    <w:rsid w:val="00F311C4"/>
    <w:rsid w:val="00F315ED"/>
    <w:rsid w:val="00F31E2B"/>
    <w:rsid w:val="00F3203B"/>
    <w:rsid w:val="00F324FD"/>
    <w:rsid w:val="00F33A97"/>
    <w:rsid w:val="00F35C16"/>
    <w:rsid w:val="00F3738A"/>
    <w:rsid w:val="00F379BC"/>
    <w:rsid w:val="00F40B72"/>
    <w:rsid w:val="00F40C23"/>
    <w:rsid w:val="00F40EAA"/>
    <w:rsid w:val="00F41304"/>
    <w:rsid w:val="00F41327"/>
    <w:rsid w:val="00F41C37"/>
    <w:rsid w:val="00F4234B"/>
    <w:rsid w:val="00F4255A"/>
    <w:rsid w:val="00F42A00"/>
    <w:rsid w:val="00F42EC0"/>
    <w:rsid w:val="00F430FE"/>
    <w:rsid w:val="00F436D9"/>
    <w:rsid w:val="00F43823"/>
    <w:rsid w:val="00F43954"/>
    <w:rsid w:val="00F447F5"/>
    <w:rsid w:val="00F4497B"/>
    <w:rsid w:val="00F44CE1"/>
    <w:rsid w:val="00F44F7F"/>
    <w:rsid w:val="00F45112"/>
    <w:rsid w:val="00F458DD"/>
    <w:rsid w:val="00F47B10"/>
    <w:rsid w:val="00F47EFE"/>
    <w:rsid w:val="00F506C7"/>
    <w:rsid w:val="00F512DA"/>
    <w:rsid w:val="00F52E12"/>
    <w:rsid w:val="00F530F2"/>
    <w:rsid w:val="00F53B0A"/>
    <w:rsid w:val="00F55793"/>
    <w:rsid w:val="00F55C8F"/>
    <w:rsid w:val="00F56CB4"/>
    <w:rsid w:val="00F5752E"/>
    <w:rsid w:val="00F57FED"/>
    <w:rsid w:val="00F603DB"/>
    <w:rsid w:val="00F60B41"/>
    <w:rsid w:val="00F60B75"/>
    <w:rsid w:val="00F60F3D"/>
    <w:rsid w:val="00F61378"/>
    <w:rsid w:val="00F6296F"/>
    <w:rsid w:val="00F6461B"/>
    <w:rsid w:val="00F65796"/>
    <w:rsid w:val="00F65BEF"/>
    <w:rsid w:val="00F662B6"/>
    <w:rsid w:val="00F67019"/>
    <w:rsid w:val="00F7090C"/>
    <w:rsid w:val="00F70A03"/>
    <w:rsid w:val="00F717CA"/>
    <w:rsid w:val="00F722B1"/>
    <w:rsid w:val="00F727DB"/>
    <w:rsid w:val="00F739B2"/>
    <w:rsid w:val="00F73B69"/>
    <w:rsid w:val="00F73EA0"/>
    <w:rsid w:val="00F73F0B"/>
    <w:rsid w:val="00F757DE"/>
    <w:rsid w:val="00F7591C"/>
    <w:rsid w:val="00F75AA0"/>
    <w:rsid w:val="00F760A7"/>
    <w:rsid w:val="00F80028"/>
    <w:rsid w:val="00F808DA"/>
    <w:rsid w:val="00F80E4F"/>
    <w:rsid w:val="00F8136E"/>
    <w:rsid w:val="00F81DBE"/>
    <w:rsid w:val="00F82349"/>
    <w:rsid w:val="00F82FD1"/>
    <w:rsid w:val="00F838CE"/>
    <w:rsid w:val="00F83E6B"/>
    <w:rsid w:val="00F84182"/>
    <w:rsid w:val="00F846B2"/>
    <w:rsid w:val="00F84786"/>
    <w:rsid w:val="00F8685B"/>
    <w:rsid w:val="00F869CB"/>
    <w:rsid w:val="00F87DAA"/>
    <w:rsid w:val="00F87E5D"/>
    <w:rsid w:val="00F90211"/>
    <w:rsid w:val="00F90258"/>
    <w:rsid w:val="00F90388"/>
    <w:rsid w:val="00F905AC"/>
    <w:rsid w:val="00F9152B"/>
    <w:rsid w:val="00F915AF"/>
    <w:rsid w:val="00F923CE"/>
    <w:rsid w:val="00F93732"/>
    <w:rsid w:val="00F94101"/>
    <w:rsid w:val="00F946F5"/>
    <w:rsid w:val="00F94B21"/>
    <w:rsid w:val="00F95B1D"/>
    <w:rsid w:val="00F96445"/>
    <w:rsid w:val="00F96F28"/>
    <w:rsid w:val="00F9722A"/>
    <w:rsid w:val="00F97B9B"/>
    <w:rsid w:val="00F97EE9"/>
    <w:rsid w:val="00FA1336"/>
    <w:rsid w:val="00FA157A"/>
    <w:rsid w:val="00FA18EF"/>
    <w:rsid w:val="00FA1ABA"/>
    <w:rsid w:val="00FA2C86"/>
    <w:rsid w:val="00FA2F14"/>
    <w:rsid w:val="00FA33FE"/>
    <w:rsid w:val="00FA53FD"/>
    <w:rsid w:val="00FA5A62"/>
    <w:rsid w:val="00FA6AF7"/>
    <w:rsid w:val="00FA6BEF"/>
    <w:rsid w:val="00FA7D1C"/>
    <w:rsid w:val="00FB0254"/>
    <w:rsid w:val="00FB1399"/>
    <w:rsid w:val="00FB2D41"/>
    <w:rsid w:val="00FB401A"/>
    <w:rsid w:val="00FB62FD"/>
    <w:rsid w:val="00FB63C3"/>
    <w:rsid w:val="00FB6576"/>
    <w:rsid w:val="00FB6B63"/>
    <w:rsid w:val="00FB6D26"/>
    <w:rsid w:val="00FC0346"/>
    <w:rsid w:val="00FC2C91"/>
    <w:rsid w:val="00FC3E28"/>
    <w:rsid w:val="00FC444A"/>
    <w:rsid w:val="00FC483B"/>
    <w:rsid w:val="00FC4FDF"/>
    <w:rsid w:val="00FC56A0"/>
    <w:rsid w:val="00FC5B8E"/>
    <w:rsid w:val="00FC5DA7"/>
    <w:rsid w:val="00FC6664"/>
    <w:rsid w:val="00FC66B1"/>
    <w:rsid w:val="00FC7371"/>
    <w:rsid w:val="00FD2142"/>
    <w:rsid w:val="00FD2514"/>
    <w:rsid w:val="00FD31D0"/>
    <w:rsid w:val="00FD3E9B"/>
    <w:rsid w:val="00FD6C28"/>
    <w:rsid w:val="00FD7D37"/>
    <w:rsid w:val="00FD7D51"/>
    <w:rsid w:val="00FE15C7"/>
    <w:rsid w:val="00FE19E2"/>
    <w:rsid w:val="00FE22D1"/>
    <w:rsid w:val="00FE237B"/>
    <w:rsid w:val="00FE2777"/>
    <w:rsid w:val="00FE2BDA"/>
    <w:rsid w:val="00FE2DB5"/>
    <w:rsid w:val="00FE455A"/>
    <w:rsid w:val="00FE57BA"/>
    <w:rsid w:val="00FE6279"/>
    <w:rsid w:val="00FE6E81"/>
    <w:rsid w:val="00FE700C"/>
    <w:rsid w:val="00FF085F"/>
    <w:rsid w:val="00FF12D2"/>
    <w:rsid w:val="00FF1321"/>
    <w:rsid w:val="00FF16EE"/>
    <w:rsid w:val="00FF20E3"/>
    <w:rsid w:val="00FF27AA"/>
    <w:rsid w:val="00FF2BF1"/>
    <w:rsid w:val="00FF309C"/>
    <w:rsid w:val="00FF3315"/>
    <w:rsid w:val="00FF34F2"/>
    <w:rsid w:val="00FF3D8D"/>
    <w:rsid w:val="00FF4964"/>
    <w:rsid w:val="00FF4CD2"/>
    <w:rsid w:val="00FF52C6"/>
    <w:rsid w:val="00FF63E5"/>
    <w:rsid w:val="00FF6FD6"/>
    <w:rsid w:val="00FF707D"/>
    <w:rsid w:val="00FF78BD"/>
    <w:rsid w:val="04BC4842"/>
    <w:rsid w:val="04C7CC06"/>
    <w:rsid w:val="06F5DC2A"/>
    <w:rsid w:val="071CBED4"/>
    <w:rsid w:val="07672CB7"/>
    <w:rsid w:val="0807126B"/>
    <w:rsid w:val="087867C1"/>
    <w:rsid w:val="08ACAD18"/>
    <w:rsid w:val="0913095F"/>
    <w:rsid w:val="094D1962"/>
    <w:rsid w:val="0A1F009E"/>
    <w:rsid w:val="0AB7EBD5"/>
    <w:rsid w:val="0BF4E52C"/>
    <w:rsid w:val="0C18959A"/>
    <w:rsid w:val="0CB53A2C"/>
    <w:rsid w:val="0DCFEEB5"/>
    <w:rsid w:val="0ECA553D"/>
    <w:rsid w:val="0F26CD54"/>
    <w:rsid w:val="1136BD9E"/>
    <w:rsid w:val="114FF31B"/>
    <w:rsid w:val="12531ACF"/>
    <w:rsid w:val="12F4DAFA"/>
    <w:rsid w:val="12F7D9A5"/>
    <w:rsid w:val="13067C00"/>
    <w:rsid w:val="132D13EE"/>
    <w:rsid w:val="1419530F"/>
    <w:rsid w:val="16319365"/>
    <w:rsid w:val="167D6E02"/>
    <w:rsid w:val="16E58DD1"/>
    <w:rsid w:val="174CF99D"/>
    <w:rsid w:val="179BFB4D"/>
    <w:rsid w:val="17F9F934"/>
    <w:rsid w:val="1954D3C6"/>
    <w:rsid w:val="197D9D2E"/>
    <w:rsid w:val="19D1EC05"/>
    <w:rsid w:val="1A413DA8"/>
    <w:rsid w:val="1ACB3FC8"/>
    <w:rsid w:val="1B07DADA"/>
    <w:rsid w:val="1B2F1CF3"/>
    <w:rsid w:val="1B4E571F"/>
    <w:rsid w:val="1BC68447"/>
    <w:rsid w:val="1CE76DE3"/>
    <w:rsid w:val="1D83F80E"/>
    <w:rsid w:val="1ED43F73"/>
    <w:rsid w:val="204F6B37"/>
    <w:rsid w:val="215540F9"/>
    <w:rsid w:val="222CE7CE"/>
    <w:rsid w:val="22D39032"/>
    <w:rsid w:val="22D708E4"/>
    <w:rsid w:val="243FB8C5"/>
    <w:rsid w:val="24B5E109"/>
    <w:rsid w:val="250225ED"/>
    <w:rsid w:val="25032AD4"/>
    <w:rsid w:val="257BEF19"/>
    <w:rsid w:val="25AA52AE"/>
    <w:rsid w:val="26337928"/>
    <w:rsid w:val="263696BF"/>
    <w:rsid w:val="270F075E"/>
    <w:rsid w:val="28764CF6"/>
    <w:rsid w:val="28A2A947"/>
    <w:rsid w:val="28B5C407"/>
    <w:rsid w:val="2BA87861"/>
    <w:rsid w:val="2BB1E472"/>
    <w:rsid w:val="2BF12463"/>
    <w:rsid w:val="2CA712A6"/>
    <w:rsid w:val="2DC44C11"/>
    <w:rsid w:val="2E0F23C2"/>
    <w:rsid w:val="2E13343F"/>
    <w:rsid w:val="2EB59565"/>
    <w:rsid w:val="2F3C341B"/>
    <w:rsid w:val="2F90BB68"/>
    <w:rsid w:val="30395C13"/>
    <w:rsid w:val="303DB705"/>
    <w:rsid w:val="306D7C87"/>
    <w:rsid w:val="30F7CDE9"/>
    <w:rsid w:val="311138E8"/>
    <w:rsid w:val="3130B89C"/>
    <w:rsid w:val="319B9CEE"/>
    <w:rsid w:val="3226EE3D"/>
    <w:rsid w:val="328AB95B"/>
    <w:rsid w:val="3476069E"/>
    <w:rsid w:val="348EC402"/>
    <w:rsid w:val="34D199EF"/>
    <w:rsid w:val="354D09DB"/>
    <w:rsid w:val="3717151A"/>
    <w:rsid w:val="37BF4D74"/>
    <w:rsid w:val="3805C8BB"/>
    <w:rsid w:val="3988BA84"/>
    <w:rsid w:val="3BD2265D"/>
    <w:rsid w:val="3C5B009F"/>
    <w:rsid w:val="3C8599F3"/>
    <w:rsid w:val="3D5CC7F9"/>
    <w:rsid w:val="3E2C0BBD"/>
    <w:rsid w:val="3EBD0CD4"/>
    <w:rsid w:val="3FF03982"/>
    <w:rsid w:val="3FF63659"/>
    <w:rsid w:val="400C1D00"/>
    <w:rsid w:val="4055DFA9"/>
    <w:rsid w:val="40739119"/>
    <w:rsid w:val="410AD439"/>
    <w:rsid w:val="410E8D7F"/>
    <w:rsid w:val="4142C030"/>
    <w:rsid w:val="41797873"/>
    <w:rsid w:val="42A2AC16"/>
    <w:rsid w:val="42DAF990"/>
    <w:rsid w:val="42DCE2DA"/>
    <w:rsid w:val="4349F9A5"/>
    <w:rsid w:val="434CFDD8"/>
    <w:rsid w:val="43A0AB51"/>
    <w:rsid w:val="43C746E2"/>
    <w:rsid w:val="44C08C7E"/>
    <w:rsid w:val="44EC933F"/>
    <w:rsid w:val="45198DFC"/>
    <w:rsid w:val="4551478B"/>
    <w:rsid w:val="45EDE40B"/>
    <w:rsid w:val="480632BC"/>
    <w:rsid w:val="484F5C86"/>
    <w:rsid w:val="4976A234"/>
    <w:rsid w:val="4A07721D"/>
    <w:rsid w:val="4B28766F"/>
    <w:rsid w:val="4B6110D1"/>
    <w:rsid w:val="4C68DB2F"/>
    <w:rsid w:val="4CD4700C"/>
    <w:rsid w:val="4DB02149"/>
    <w:rsid w:val="4DBF9D06"/>
    <w:rsid w:val="4DE4B0AF"/>
    <w:rsid w:val="4E5B98F9"/>
    <w:rsid w:val="4E827441"/>
    <w:rsid w:val="4F1EB6B9"/>
    <w:rsid w:val="4F9692B2"/>
    <w:rsid w:val="508A0073"/>
    <w:rsid w:val="50B0DE24"/>
    <w:rsid w:val="50CC98FC"/>
    <w:rsid w:val="52820645"/>
    <w:rsid w:val="539D4126"/>
    <w:rsid w:val="54AC0362"/>
    <w:rsid w:val="54EF6246"/>
    <w:rsid w:val="5612EFDC"/>
    <w:rsid w:val="563E3F09"/>
    <w:rsid w:val="5703F453"/>
    <w:rsid w:val="5746C30C"/>
    <w:rsid w:val="577834C6"/>
    <w:rsid w:val="57AA199F"/>
    <w:rsid w:val="57DE5D51"/>
    <w:rsid w:val="57EA6E28"/>
    <w:rsid w:val="582072C9"/>
    <w:rsid w:val="586C18D8"/>
    <w:rsid w:val="595CEE29"/>
    <w:rsid w:val="59F6885F"/>
    <w:rsid w:val="5A72AB29"/>
    <w:rsid w:val="5AD664BD"/>
    <w:rsid w:val="5C9BA290"/>
    <w:rsid w:val="5CF60C2C"/>
    <w:rsid w:val="5E3E556B"/>
    <w:rsid w:val="5E46A030"/>
    <w:rsid w:val="5FE540E9"/>
    <w:rsid w:val="60560D80"/>
    <w:rsid w:val="60A358CA"/>
    <w:rsid w:val="61204E1A"/>
    <w:rsid w:val="629D301C"/>
    <w:rsid w:val="62F8736D"/>
    <w:rsid w:val="63A481D0"/>
    <w:rsid w:val="641761A9"/>
    <w:rsid w:val="64AB0EB6"/>
    <w:rsid w:val="6524F235"/>
    <w:rsid w:val="665C43CD"/>
    <w:rsid w:val="6684E073"/>
    <w:rsid w:val="69554E60"/>
    <w:rsid w:val="698AC5B4"/>
    <w:rsid w:val="69EBF1B5"/>
    <w:rsid w:val="6C4A6F93"/>
    <w:rsid w:val="6E773E3E"/>
    <w:rsid w:val="6E99F74D"/>
    <w:rsid w:val="6F7DDE0D"/>
    <w:rsid w:val="6FB0EBA6"/>
    <w:rsid w:val="724931AA"/>
    <w:rsid w:val="72C1DB4A"/>
    <w:rsid w:val="72C96F19"/>
    <w:rsid w:val="72D5BC52"/>
    <w:rsid w:val="731E53F8"/>
    <w:rsid w:val="74B8C58C"/>
    <w:rsid w:val="75141EC4"/>
    <w:rsid w:val="7593B7E3"/>
    <w:rsid w:val="76D98D8A"/>
    <w:rsid w:val="7759F3BB"/>
    <w:rsid w:val="79D01A23"/>
    <w:rsid w:val="7A0B6652"/>
    <w:rsid w:val="7AC2BE7D"/>
    <w:rsid w:val="7AD20FDE"/>
    <w:rsid w:val="7B21A8CB"/>
    <w:rsid w:val="7B504F4F"/>
    <w:rsid w:val="7B564E14"/>
    <w:rsid w:val="7C22410E"/>
    <w:rsid w:val="7C75FEE7"/>
    <w:rsid w:val="7CEC88B9"/>
    <w:rsid w:val="7E07D1A6"/>
    <w:rsid w:val="7FBE54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BF7C5"/>
  <w15:docId w15:val="{DE7848BA-8221-46C7-BA62-243CFFEC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6"/>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1A3992"/>
    <w:pPr>
      <w:ind w:left="720"/>
      <w:contextualSpacing/>
    </w:pPr>
    <w:rPr>
      <w:rFonts w:ascii="Cambria" w:hAnsi="Cambria"/>
    </w:rPr>
  </w:style>
  <w:style w:type="character" w:styleId="CommentReference">
    <w:name w:val="annotation reference"/>
    <w:aliases w:val="-H18,Annotationmark,CommentReference"/>
    <w:basedOn w:val="DefaultParagraphFont"/>
    <w:uiPriority w:val="99"/>
    <w:unhideWhenUsed/>
    <w:qFormat/>
    <w:rsid w:val="001A3992"/>
    <w:rPr>
      <w:sz w:val="16"/>
      <w:szCs w:val="16"/>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Kommentarer,Car17,Car17 Car"/>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basedOn w:val="DefaultParagraphFont"/>
    <w:link w:val="CommentText"/>
    <w:uiPriority w:val="99"/>
    <w:qForma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C55A32"/>
    <w:rPr>
      <w:rFonts w:asciiTheme="minorHAnsi" w:hAnsiTheme="minorHAnsi"/>
      <w:b/>
      <w:bCs/>
    </w:rPr>
  </w:style>
  <w:style w:type="character" w:customStyle="1" w:styleId="CommentSubjectChar">
    <w:name w:val="Comment Subject Char"/>
    <w:basedOn w:val="CommentTextChar"/>
    <w:link w:val="CommentSubject"/>
    <w:uiPriority w:val="99"/>
    <w:semiHidden/>
    <w:rsid w:val="00C55A32"/>
    <w:rPr>
      <w:rFonts w:ascii="Cambria" w:hAnsi="Cambria"/>
      <w:b/>
      <w:bCs/>
      <w:sz w:val="20"/>
      <w:szCs w:val="20"/>
    </w:rPr>
  </w:style>
  <w:style w:type="paragraph" w:customStyle="1" w:styleId="C-BodyText">
    <w:name w:val="C-Body Text"/>
    <w:link w:val="C-BodyTextChar"/>
    <w:rsid w:val="000B6DA3"/>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sid w:val="000B6DA3"/>
    <w:rPr>
      <w:rFonts w:ascii="Times New Roman" w:eastAsia="Times New Roman" w:hAnsi="Times New Roman" w:cs="Times New Roman"/>
      <w:sz w:val="24"/>
      <w:szCs w:val="20"/>
      <w:lang w:val="en-US"/>
    </w:rPr>
  </w:style>
  <w:style w:type="table" w:styleId="TableGrid">
    <w:name w:val="Table Grid"/>
    <w:basedOn w:val="TableNormal"/>
    <w:uiPriority w:val="59"/>
    <w:rsid w:val="00FE2BDA"/>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671065"/>
    <w:pPr>
      <w:spacing w:after="0" w:line="240" w:lineRule="auto"/>
    </w:pPr>
    <w:rPr>
      <w:color w:val="000000" w:themeColor="text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02B0"/>
    <w:pPr>
      <w:autoSpaceDE w:val="0"/>
      <w:autoSpaceDN w:val="0"/>
      <w:adjustRightInd w:val="0"/>
      <w:spacing w:after="0" w:line="240" w:lineRule="auto"/>
    </w:pPr>
    <w:rPr>
      <w:rFonts w:ascii="TimesNewRoman,Bold" w:eastAsia="Times New Roman" w:hAnsi="TimesNewRoman,Bold" w:cs="Times New Roman"/>
      <w:sz w:val="20"/>
      <w:szCs w:val="20"/>
      <w:lang w:val="en-US"/>
    </w:rPr>
  </w:style>
  <w:style w:type="character" w:styleId="UnresolvedMention">
    <w:name w:val="Unresolved Mention"/>
    <w:basedOn w:val="DefaultParagraphFont"/>
    <w:uiPriority w:val="99"/>
    <w:unhideWhenUsed/>
    <w:rsid w:val="00A17CB8"/>
    <w:rPr>
      <w:color w:val="605E5C"/>
      <w:shd w:val="clear" w:color="auto" w:fill="E1DFDD"/>
    </w:rPr>
  </w:style>
  <w:style w:type="paragraph" w:styleId="Revision">
    <w:name w:val="Revision"/>
    <w:hidden/>
    <w:uiPriority w:val="99"/>
    <w:semiHidden/>
    <w:rsid w:val="00F1356D"/>
    <w:pPr>
      <w:spacing w:after="0" w:line="240" w:lineRule="auto"/>
    </w:pPr>
  </w:style>
  <w:style w:type="character" w:styleId="FollowedHyperlink">
    <w:name w:val="FollowedHyperlink"/>
    <w:basedOn w:val="DefaultParagraphFont"/>
    <w:uiPriority w:val="99"/>
    <w:semiHidden/>
    <w:unhideWhenUsed/>
    <w:rsid w:val="003370E9"/>
    <w:rPr>
      <w:color w:val="800080" w:themeColor="followedHyperlink"/>
      <w:u w:val="single"/>
    </w:rPr>
  </w:style>
  <w:style w:type="paragraph" w:customStyle="1" w:styleId="CTDtext">
    <w:name w:val="CTD text"/>
    <w:basedOn w:val="Normal"/>
    <w:link w:val="CTDtextZchn"/>
    <w:rsid w:val="003C7A83"/>
    <w:pPr>
      <w:spacing w:after="240" w:line="360" w:lineRule="auto"/>
      <w:jc w:val="both"/>
    </w:pPr>
    <w:rPr>
      <w:rFonts w:ascii="Times New Roman" w:eastAsia="Times New Roman" w:hAnsi="Times New Roman" w:cs="Times New Roman"/>
      <w:sz w:val="24"/>
      <w:szCs w:val="20"/>
      <w:lang w:val="en-GB" w:eastAsia="de-DE"/>
    </w:rPr>
  </w:style>
  <w:style w:type="character" w:customStyle="1" w:styleId="CTDtextZchn">
    <w:name w:val="CTD text Zchn"/>
    <w:link w:val="CTDtext"/>
    <w:rsid w:val="003C7A83"/>
    <w:rPr>
      <w:rFonts w:ascii="Times New Roman" w:eastAsia="Times New Roman" w:hAnsi="Times New Roman" w:cs="Times New Roman"/>
      <w:sz w:val="24"/>
      <w:szCs w:val="20"/>
      <w:lang w:val="en-GB" w:eastAsia="de-DE"/>
    </w:rPr>
  </w:style>
  <w:style w:type="character" w:styleId="Mention">
    <w:name w:val="Mention"/>
    <w:basedOn w:val="DefaultParagraphFont"/>
    <w:uiPriority w:val="99"/>
    <w:unhideWhenUsed/>
    <w:rsid w:val="00276E57"/>
    <w:rPr>
      <w:color w:val="2B579A"/>
      <w:shd w:val="clear" w:color="auto" w:fill="E1DFDD"/>
    </w:rPr>
  </w:style>
  <w:style w:type="paragraph" w:styleId="NormalWeb">
    <w:name w:val="Normal (Web)"/>
    <w:basedOn w:val="Normal"/>
    <w:uiPriority w:val="99"/>
    <w:unhideWhenUsed/>
    <w:rsid w:val="003B008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11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02FC9"/>
    <w:pPr>
      <w:spacing w:after="0" w:line="240" w:lineRule="auto"/>
    </w:pPr>
    <w:rPr>
      <w:rFonts w:ascii="Times New Roman" w:eastAsia="Times New Roman" w:hAnsi="Times New Roman" w:cs="Arial"/>
      <w:sz w:val="20"/>
      <w:szCs w:val="20"/>
      <w:lang w:val="en-US"/>
    </w:rPr>
  </w:style>
  <w:style w:type="character" w:customStyle="1" w:styleId="EndnoteTextChar">
    <w:name w:val="Endnote Text Char"/>
    <w:basedOn w:val="DefaultParagraphFont"/>
    <w:link w:val="EndnoteText"/>
    <w:rsid w:val="00F02FC9"/>
    <w:rPr>
      <w:rFonts w:ascii="Times New Roman" w:eastAsia="Times New Roman" w:hAnsi="Times New Roman" w:cs="Arial"/>
      <w:sz w:val="20"/>
      <w:szCs w:val="20"/>
      <w:lang w:val="en-US"/>
    </w:rPr>
  </w:style>
  <w:style w:type="character" w:styleId="EndnoteReference">
    <w:name w:val="endnote reference"/>
    <w:rsid w:val="00F02FC9"/>
    <w:rPr>
      <w:vertAlign w:val="superscript"/>
    </w:rPr>
  </w:style>
  <w:style w:type="character" w:customStyle="1" w:styleId="cf01">
    <w:name w:val="cf01"/>
    <w:basedOn w:val="DefaultParagraphFont"/>
    <w:rsid w:val="001C1437"/>
    <w:rPr>
      <w:rFonts w:ascii="Segoe UI" w:hAnsi="Segoe UI" w:cs="Segoe UI" w:hint="default"/>
      <w:color w:val="6F2F9F"/>
      <w:sz w:val="18"/>
      <w:szCs w:val="18"/>
    </w:rPr>
  </w:style>
  <w:style w:type="paragraph" w:customStyle="1" w:styleId="pf0">
    <w:name w:val="pf0"/>
    <w:basedOn w:val="Normal"/>
    <w:rsid w:val="00AF122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4134">
      <w:bodyDiv w:val="1"/>
      <w:marLeft w:val="0"/>
      <w:marRight w:val="0"/>
      <w:marTop w:val="0"/>
      <w:marBottom w:val="0"/>
      <w:divBdr>
        <w:top w:val="none" w:sz="0" w:space="0" w:color="auto"/>
        <w:left w:val="none" w:sz="0" w:space="0" w:color="auto"/>
        <w:bottom w:val="none" w:sz="0" w:space="0" w:color="auto"/>
        <w:right w:val="none" w:sz="0" w:space="0" w:color="auto"/>
      </w:divBdr>
    </w:div>
    <w:div w:id="465706317">
      <w:bodyDiv w:val="1"/>
      <w:marLeft w:val="0"/>
      <w:marRight w:val="0"/>
      <w:marTop w:val="0"/>
      <w:marBottom w:val="0"/>
      <w:divBdr>
        <w:top w:val="none" w:sz="0" w:space="0" w:color="auto"/>
        <w:left w:val="none" w:sz="0" w:space="0" w:color="auto"/>
        <w:bottom w:val="none" w:sz="0" w:space="0" w:color="auto"/>
        <w:right w:val="none" w:sz="0" w:space="0" w:color="auto"/>
      </w:divBdr>
    </w:div>
    <w:div w:id="474224183">
      <w:bodyDiv w:val="1"/>
      <w:marLeft w:val="0"/>
      <w:marRight w:val="0"/>
      <w:marTop w:val="0"/>
      <w:marBottom w:val="0"/>
      <w:divBdr>
        <w:top w:val="none" w:sz="0" w:space="0" w:color="auto"/>
        <w:left w:val="none" w:sz="0" w:space="0" w:color="auto"/>
        <w:bottom w:val="none" w:sz="0" w:space="0" w:color="auto"/>
        <w:right w:val="none" w:sz="0" w:space="0" w:color="auto"/>
      </w:divBdr>
    </w:div>
    <w:div w:id="478687764">
      <w:bodyDiv w:val="1"/>
      <w:marLeft w:val="0"/>
      <w:marRight w:val="0"/>
      <w:marTop w:val="0"/>
      <w:marBottom w:val="0"/>
      <w:divBdr>
        <w:top w:val="none" w:sz="0" w:space="0" w:color="auto"/>
        <w:left w:val="none" w:sz="0" w:space="0" w:color="auto"/>
        <w:bottom w:val="none" w:sz="0" w:space="0" w:color="auto"/>
        <w:right w:val="none" w:sz="0" w:space="0" w:color="auto"/>
      </w:divBdr>
    </w:div>
    <w:div w:id="883177557">
      <w:bodyDiv w:val="1"/>
      <w:marLeft w:val="0"/>
      <w:marRight w:val="0"/>
      <w:marTop w:val="0"/>
      <w:marBottom w:val="0"/>
      <w:divBdr>
        <w:top w:val="none" w:sz="0" w:space="0" w:color="auto"/>
        <w:left w:val="none" w:sz="0" w:space="0" w:color="auto"/>
        <w:bottom w:val="none" w:sz="0" w:space="0" w:color="auto"/>
        <w:right w:val="none" w:sz="0" w:space="0" w:color="auto"/>
      </w:divBdr>
    </w:div>
    <w:div w:id="1270234580">
      <w:bodyDiv w:val="1"/>
      <w:marLeft w:val="0"/>
      <w:marRight w:val="0"/>
      <w:marTop w:val="0"/>
      <w:marBottom w:val="0"/>
      <w:divBdr>
        <w:top w:val="none" w:sz="0" w:space="0" w:color="auto"/>
        <w:left w:val="none" w:sz="0" w:space="0" w:color="auto"/>
        <w:bottom w:val="none" w:sz="0" w:space="0" w:color="auto"/>
        <w:right w:val="none" w:sz="0" w:space="0" w:color="auto"/>
      </w:divBdr>
    </w:div>
    <w:div w:id="1449668253">
      <w:bodyDiv w:val="1"/>
      <w:marLeft w:val="0"/>
      <w:marRight w:val="0"/>
      <w:marTop w:val="0"/>
      <w:marBottom w:val="0"/>
      <w:divBdr>
        <w:top w:val="none" w:sz="0" w:space="0" w:color="auto"/>
        <w:left w:val="none" w:sz="0" w:space="0" w:color="auto"/>
        <w:bottom w:val="none" w:sz="0" w:space="0" w:color="auto"/>
        <w:right w:val="none" w:sz="0" w:space="0" w:color="auto"/>
      </w:divBdr>
    </w:div>
    <w:div w:id="1460952536">
      <w:bodyDiv w:val="1"/>
      <w:marLeft w:val="0"/>
      <w:marRight w:val="0"/>
      <w:marTop w:val="0"/>
      <w:marBottom w:val="0"/>
      <w:divBdr>
        <w:top w:val="none" w:sz="0" w:space="0" w:color="auto"/>
        <w:left w:val="none" w:sz="0" w:space="0" w:color="auto"/>
        <w:bottom w:val="none" w:sz="0" w:space="0" w:color="auto"/>
        <w:right w:val="none" w:sz="0" w:space="0" w:color="auto"/>
      </w:divBdr>
    </w:div>
    <w:div w:id="151349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ilymed.nlm.nih.gov/dailymed/drugInfo.cfm?setid=e031b632-8e57-4359-87bd-a5da02bdc55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B5267B6BA204E965E7BC4D19A5E5A" ma:contentTypeVersion="71" ma:contentTypeDescription="Create a new document." ma:contentTypeScope="" ma:versionID="3ee3f51a7b201df9496a9e5b5d0eca50">
  <xsd:schema xmlns:xsd="http://www.w3.org/2001/XMLSchema" xmlns:xs="http://www.w3.org/2001/XMLSchema" xmlns:p="http://schemas.microsoft.com/office/2006/metadata/properties" xmlns:ns2="ada41be2-f35d-459e-a22c-33ae9130f51f" xmlns:ns3="344cc30c-e1b2-437e-a96d-28089de0ccee" targetNamespace="http://schemas.microsoft.com/office/2006/metadata/properties" ma:root="true" ma:fieldsID="8308766674e6a25737f64fadad679dc9" ns2:_="" ns3:_="">
    <xsd:import namespace="ada41be2-f35d-459e-a22c-33ae9130f51f"/>
    <xsd:import namespace="344cc30c-e1b2-437e-a96d-28089de0ccee"/>
    <xsd:element name="properties">
      <xsd:complexType>
        <xsd:sequence>
          <xsd:element name="documentManagement">
            <xsd:complexType>
              <xsd:all>
                <xsd:element ref="ns2:DocTyp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QC_x0020_Processing"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41be2-f35d-459e-a22c-33ae9130f51f" elementFormDefault="qualified">
    <xsd:import namespace="http://schemas.microsoft.com/office/2006/documentManagement/types"/>
    <xsd:import namespace="http://schemas.microsoft.com/office/infopath/2007/PartnerControls"/>
    <xsd:element name="DocType" ma:index="8" nillable="true" ma:displayName="Document Type" ma:format="Dropdown" ma:internalName="DocType" ma:readOnly="false">
      <xsd:simpleType>
        <xsd:restriction base="dms:Choice">
          <xsd:enumeration value="Main"/>
          <xsd:enumeration value="Source"/>
          <xsd:enumeration value="QC Comments"/>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02a0e56-ab72-42d7-b8aa-948826feaf69}" ma:internalName="TaxCatchAll" ma:showField="CatchAllData" ma:web="ada41be2-f35d-459e-a22c-33ae9130f5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4cc30c-e1b2-437e-a96d-28089de0cc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QC_x0020_Processing" ma:index="15" nillable="true" ma:displayName="QC Processing" ma:internalName="QC_x0020_Process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47837b-9937-4cad-ad68-40bae6011bc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da41be2-f35d-459e-a22c-33ae9130f51f">
      <UserInfo>
        <DisplayName>Simon Wong</DisplayName>
        <AccountId>17</AccountId>
        <AccountType/>
      </UserInfo>
      <UserInfo>
        <DisplayName>Soumya Pippiri</DisplayName>
        <AccountId>12</AccountId>
        <AccountType/>
      </UserInfo>
      <UserInfo>
        <DisplayName>Franklin Johnson</DisplayName>
        <AccountId>44</AccountId>
        <AccountType/>
      </UserInfo>
      <UserInfo>
        <DisplayName>Michael Murray</DisplayName>
        <AccountId>33</AccountId>
        <AccountType/>
      </UserInfo>
      <UserInfo>
        <DisplayName>Apeksha Singh</DisplayName>
        <AccountId>13</AccountId>
        <AccountType/>
      </UserInfo>
      <UserInfo>
        <DisplayName>Antrison Morris</DisplayName>
        <AccountId>34</AccountId>
        <AccountType/>
      </UserInfo>
    </SharedWithUsers>
    <TaxCatchAll xmlns="ada41be2-f35d-459e-a22c-33ae9130f51f" xsi:nil="true"/>
    <lcf76f155ced4ddcb4097134ff3c332f xmlns="344cc30c-e1b2-437e-a96d-28089de0ccee">
      <Terms xmlns="http://schemas.microsoft.com/office/infopath/2007/PartnerControls"/>
    </lcf76f155ced4ddcb4097134ff3c332f>
    <QC_x0020_Processing xmlns="344cc30c-e1b2-437e-a96d-28089de0ccee">
      <Url xsi:nil="true"/>
      <Description xsi:nil="true"/>
    </QC_x0020_Processing>
    <DocType xmlns="ada41be2-f35d-459e-a22c-33ae9130f51f">QC Comments</DocType>
  </documentManagement>
</p:properties>
</file>

<file path=customXml/itemProps1.xml><?xml version="1.0" encoding="utf-8"?>
<ds:datastoreItem xmlns:ds="http://schemas.openxmlformats.org/officeDocument/2006/customXml" ds:itemID="{5E35F4DC-1848-4787-B912-E225F05F4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41be2-f35d-459e-a22c-33ae9130f51f"/>
    <ds:schemaRef ds:uri="344cc30c-e1b2-437e-a96d-28089de0c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16373-16F8-4F0F-94E4-2E21200956E9}">
  <ds:schemaRefs>
    <ds:schemaRef ds:uri="http://schemas.microsoft.com/sharepoint/v3/contenttype/forms"/>
  </ds:schemaRefs>
</ds:datastoreItem>
</file>

<file path=customXml/itemProps3.xml><?xml version="1.0" encoding="utf-8"?>
<ds:datastoreItem xmlns:ds="http://schemas.openxmlformats.org/officeDocument/2006/customXml" ds:itemID="{CE0EF236-8D51-4008-B5A2-9CF8A13E37CD}">
  <ds:schemaRefs>
    <ds:schemaRef ds:uri="http://schemas.openxmlformats.org/officeDocument/2006/bibliography"/>
  </ds:schemaRefs>
</ds:datastoreItem>
</file>

<file path=customXml/itemProps4.xml><?xml version="1.0" encoding="utf-8"?>
<ds:datastoreItem xmlns:ds="http://schemas.openxmlformats.org/officeDocument/2006/customXml" ds:itemID="{E89B6546-264C-448F-9F6C-EE82C5CCEF1D}">
  <ds:schemaRefs>
    <ds:schemaRef ds:uri="http://schemas.microsoft.com/office/2006/metadata/properties"/>
    <ds:schemaRef ds:uri="http://schemas.microsoft.com/office/infopath/2007/PartnerControls"/>
    <ds:schemaRef ds:uri="ada41be2-f35d-459e-a22c-33ae9130f51f"/>
    <ds:schemaRef ds:uri="344cc30c-e1b2-437e-a96d-28089de0cce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5893</Words>
  <Characters>33593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Pombiliti</dc:title>
  <dc:subject>Prescription medicines</dc:subject>
  <dc:creator>Amicus Therapeutics Pty Ltd</dc:creator>
  <cp:keywords/>
  <cp:lastPrinted>2024-10-07T19:07:00Z</cp:lastPrinted>
  <dcterms:created xsi:type="dcterms:W3CDTF">2025-06-10T05:07:00Z</dcterms:created>
  <dcterms:modified xsi:type="dcterms:W3CDTF">2025-06-10T05:07:00Z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0x010100241B5267B6BA204E965E7BC4D19A5E5A</vt:lpwstr>
  </property>
  <property fmtid="{D5CDD505-2E9C-101B-9397-08002B2CF9AE}" pid="3" name="MediaServiceImageTags">
    <vt:lpwstr/>
  </property>
  <property fmtid="{D5CDD505-2E9C-101B-9397-08002B2CF9AE}" pid="4" name="MSIP_Label_42ec4a3e-21ef-4e15-97e1-54d4616f4a3d_Enabled">
    <vt:lpwstr>true</vt:lpwstr>
  </property>
  <property fmtid="{D5CDD505-2E9C-101B-9397-08002B2CF9AE}" pid="5" name="MSIP_Label_42ec4a3e-21ef-4e15-97e1-54d4616f4a3d_SetDate">
    <vt:lpwstr>2024-10-07T19:07:40Z</vt:lpwstr>
  </property>
  <property fmtid="{D5CDD505-2E9C-101B-9397-08002B2CF9AE}" pid="6" name="MSIP_Label_42ec4a3e-21ef-4e15-97e1-54d4616f4a3d_Method">
    <vt:lpwstr>Standard</vt:lpwstr>
  </property>
  <property fmtid="{D5CDD505-2E9C-101B-9397-08002B2CF9AE}" pid="7" name="MSIP_Label_42ec4a3e-21ef-4e15-97e1-54d4616f4a3d_Name">
    <vt:lpwstr>Document from Amicus Therapeutics</vt:lpwstr>
  </property>
  <property fmtid="{D5CDD505-2E9C-101B-9397-08002B2CF9AE}" pid="8" name="MSIP_Label_42ec4a3e-21ef-4e15-97e1-54d4616f4a3d_SiteId">
    <vt:lpwstr>73a4ea04-1c92-4660-beb1-4be5f795d238</vt:lpwstr>
  </property>
  <property fmtid="{D5CDD505-2E9C-101B-9397-08002B2CF9AE}" pid="9" name="MSIP_Label_42ec4a3e-21ef-4e15-97e1-54d4616f4a3d_ActionId">
    <vt:lpwstr>b082ed90-b19f-45f2-81f1-771795d5fec6</vt:lpwstr>
  </property>
  <property fmtid="{D5CDD505-2E9C-101B-9397-08002B2CF9AE}" pid="10" name="MSIP_Label_42ec4a3e-21ef-4e15-97e1-54d4616f4a3d_ContentBits">
    <vt:lpwstr>0</vt:lpwstr>
  </property>
</Properties>
</file>